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504CF" w14:textId="02A6DABB" w:rsidR="00751330" w:rsidRDefault="00751330" w:rsidP="00751330">
      <w:pPr>
        <w:jc w:val="center"/>
        <w:rPr>
          <w:sz w:val="36"/>
        </w:rPr>
      </w:pPr>
      <w:r>
        <w:rPr>
          <w:b/>
          <w:sz w:val="36"/>
        </w:rPr>
        <w:t>IN THE SUPREME COURT OF CALIFORNIA</w:t>
      </w:r>
    </w:p>
    <w:p w14:paraId="6D768683" w14:textId="77777777" w:rsidR="00751330" w:rsidRDefault="00751330" w:rsidP="00751330">
      <w:pPr>
        <w:jc w:val="center"/>
      </w:pPr>
    </w:p>
    <w:p w14:paraId="77133F9B" w14:textId="77777777" w:rsidR="00751330" w:rsidRDefault="00751330" w:rsidP="00751330">
      <w:pPr>
        <w:tabs>
          <w:tab w:val="left" w:pos="1440"/>
        </w:tabs>
        <w:spacing w:after="0"/>
        <w:jc w:val="center"/>
        <w:rPr>
          <w:caps/>
        </w:rPr>
      </w:pPr>
      <w:r>
        <w:rPr>
          <w:caps/>
        </w:rPr>
        <w:t>THE PEOPLE,</w:t>
      </w:r>
    </w:p>
    <w:p w14:paraId="387C0C6E" w14:textId="77777777" w:rsidR="00751330" w:rsidRPr="00A33965" w:rsidRDefault="00751330" w:rsidP="00751330">
      <w:pPr>
        <w:tabs>
          <w:tab w:val="left" w:pos="1440"/>
        </w:tabs>
        <w:spacing w:after="0"/>
        <w:jc w:val="center"/>
      </w:pPr>
      <w:r w:rsidRPr="00A33965">
        <w:t>Plaintiff and Respondent</w:t>
      </w:r>
      <w:r>
        <w:t>,</w:t>
      </w:r>
    </w:p>
    <w:p w14:paraId="09F599D4" w14:textId="77777777" w:rsidR="00751330" w:rsidRPr="00A33965" w:rsidRDefault="00751330" w:rsidP="00751330">
      <w:pPr>
        <w:tabs>
          <w:tab w:val="left" w:pos="1440"/>
        </w:tabs>
        <w:spacing w:after="0"/>
        <w:jc w:val="center"/>
      </w:pPr>
      <w:r w:rsidRPr="00A33965">
        <w:t>v.</w:t>
      </w:r>
    </w:p>
    <w:p w14:paraId="2E1B0088" w14:textId="2AB93B1C" w:rsidR="00751330" w:rsidRDefault="00CF2C31" w:rsidP="00751330">
      <w:pPr>
        <w:tabs>
          <w:tab w:val="left" w:pos="1440"/>
        </w:tabs>
        <w:spacing w:after="0"/>
        <w:jc w:val="center"/>
        <w:rPr>
          <w:caps/>
        </w:rPr>
      </w:pPr>
      <w:r>
        <w:t>JOSEPH VEAMATAHAU</w:t>
      </w:r>
      <w:r w:rsidR="00751330">
        <w:rPr>
          <w:caps/>
        </w:rPr>
        <w:t>,</w:t>
      </w:r>
    </w:p>
    <w:p w14:paraId="5CF022D1" w14:textId="77777777" w:rsidR="00751330" w:rsidRPr="00A33965" w:rsidRDefault="00751330" w:rsidP="00751330">
      <w:pPr>
        <w:tabs>
          <w:tab w:val="left" w:pos="1440"/>
        </w:tabs>
        <w:spacing w:after="0"/>
        <w:jc w:val="center"/>
      </w:pPr>
      <w:r w:rsidRPr="00A33965">
        <w:t>Defendant and Appellant.</w:t>
      </w:r>
    </w:p>
    <w:p w14:paraId="03749BB9" w14:textId="77777777" w:rsidR="00751330" w:rsidRDefault="00751330" w:rsidP="00751330">
      <w:pPr>
        <w:tabs>
          <w:tab w:val="left" w:pos="1440"/>
        </w:tabs>
        <w:spacing w:after="0"/>
        <w:jc w:val="center"/>
        <w:rPr>
          <w:caps/>
        </w:rPr>
      </w:pPr>
    </w:p>
    <w:p w14:paraId="2B86BBFC" w14:textId="7AA0F2FD" w:rsidR="00751330" w:rsidRDefault="00751330" w:rsidP="00751330">
      <w:pPr>
        <w:tabs>
          <w:tab w:val="left" w:pos="1440"/>
        </w:tabs>
        <w:spacing w:after="0"/>
        <w:jc w:val="center"/>
        <w:rPr>
          <w:caps/>
        </w:rPr>
      </w:pPr>
      <w:r>
        <w:t>S24</w:t>
      </w:r>
      <w:r w:rsidR="00DA7597">
        <w:t>9872</w:t>
      </w:r>
    </w:p>
    <w:p w14:paraId="6AE679BA" w14:textId="77777777" w:rsidR="00751330" w:rsidRDefault="00751330" w:rsidP="00751330">
      <w:pPr>
        <w:tabs>
          <w:tab w:val="left" w:pos="1440"/>
        </w:tabs>
        <w:spacing w:after="0"/>
        <w:jc w:val="center"/>
      </w:pPr>
    </w:p>
    <w:p w14:paraId="26D8C3D7" w14:textId="4E4CB27E" w:rsidR="00751330" w:rsidRDefault="007D0942" w:rsidP="00751330">
      <w:pPr>
        <w:pBdr>
          <w:bottom w:val="single" w:sz="4" w:space="1" w:color="auto"/>
        </w:pBdr>
        <w:tabs>
          <w:tab w:val="left" w:pos="1440"/>
        </w:tabs>
        <w:spacing w:after="0"/>
        <w:jc w:val="center"/>
      </w:pPr>
      <w:r>
        <w:t>First</w:t>
      </w:r>
      <w:r w:rsidR="00751330">
        <w:t xml:space="preserve"> Appellate District, Division </w:t>
      </w:r>
      <w:r>
        <w:t>One</w:t>
      </w:r>
    </w:p>
    <w:p w14:paraId="64DDDEE7" w14:textId="596B5783" w:rsidR="00751330" w:rsidRDefault="007D0942" w:rsidP="00751330">
      <w:pPr>
        <w:pBdr>
          <w:bottom w:val="single" w:sz="4" w:space="1" w:color="auto"/>
        </w:pBdr>
        <w:tabs>
          <w:tab w:val="left" w:pos="1440"/>
        </w:tabs>
        <w:spacing w:after="0"/>
        <w:jc w:val="center"/>
      </w:pPr>
      <w:r>
        <w:t>A150689</w:t>
      </w:r>
    </w:p>
    <w:p w14:paraId="2EBD2EEB" w14:textId="77777777" w:rsidR="00751330" w:rsidRDefault="00751330" w:rsidP="00751330">
      <w:pPr>
        <w:pBdr>
          <w:bottom w:val="single" w:sz="4" w:space="1" w:color="auto"/>
        </w:pBdr>
        <w:tabs>
          <w:tab w:val="left" w:pos="1440"/>
        </w:tabs>
        <w:spacing w:after="0"/>
        <w:jc w:val="center"/>
      </w:pPr>
    </w:p>
    <w:p w14:paraId="2ABDAF89" w14:textId="161FAEBC" w:rsidR="00751330" w:rsidRPr="00524C3F" w:rsidRDefault="00914D3B" w:rsidP="00751330">
      <w:pPr>
        <w:pBdr>
          <w:bottom w:val="single" w:sz="4" w:space="1" w:color="auto"/>
        </w:pBdr>
        <w:tabs>
          <w:tab w:val="left" w:pos="1440"/>
        </w:tabs>
        <w:spacing w:after="0"/>
        <w:jc w:val="center"/>
      </w:pPr>
      <w:r>
        <w:t>San Mateo</w:t>
      </w:r>
      <w:r w:rsidR="00751330">
        <w:t xml:space="preserve"> County</w:t>
      </w:r>
      <w:r w:rsidR="00751330" w:rsidRPr="00D14E77">
        <w:rPr>
          <w:caps/>
        </w:rPr>
        <w:t xml:space="preserve"> </w:t>
      </w:r>
      <w:r w:rsidR="00751330">
        <w:rPr>
          <w:caps/>
        </w:rPr>
        <w:t>S</w:t>
      </w:r>
      <w:r w:rsidR="00751330">
        <w:t>uperior Court</w:t>
      </w:r>
    </w:p>
    <w:p w14:paraId="4A03DD28" w14:textId="1AB46B42" w:rsidR="00751330" w:rsidRDefault="00914D3B" w:rsidP="00751330">
      <w:pPr>
        <w:pBdr>
          <w:bottom w:val="single" w:sz="4" w:space="1" w:color="auto"/>
        </w:pBdr>
        <w:tabs>
          <w:tab w:val="left" w:pos="1440"/>
        </w:tabs>
        <w:spacing w:after="0"/>
        <w:jc w:val="center"/>
      </w:pPr>
      <w:r>
        <w:t>SF398877A</w:t>
      </w:r>
    </w:p>
    <w:p w14:paraId="11481ED3" w14:textId="77777777" w:rsidR="00751330" w:rsidRDefault="00751330" w:rsidP="00751330">
      <w:pPr>
        <w:pBdr>
          <w:bottom w:val="single" w:sz="4" w:space="1" w:color="auto"/>
        </w:pBdr>
        <w:tabs>
          <w:tab w:val="left" w:pos="1440"/>
        </w:tabs>
        <w:spacing w:after="0"/>
        <w:jc w:val="center"/>
        <w:rPr>
          <w:caps/>
        </w:rPr>
      </w:pPr>
    </w:p>
    <w:p w14:paraId="16D34F95" w14:textId="77777777" w:rsidR="00751330" w:rsidRDefault="00751330" w:rsidP="00751330">
      <w:pPr>
        <w:tabs>
          <w:tab w:val="left" w:pos="1440"/>
        </w:tabs>
        <w:spacing w:after="0"/>
        <w:jc w:val="center"/>
        <w:rPr>
          <w:caps/>
        </w:rPr>
      </w:pPr>
    </w:p>
    <w:p w14:paraId="43A0D32E" w14:textId="25C34B84" w:rsidR="00751330" w:rsidRDefault="008026DA" w:rsidP="00751330">
      <w:pPr>
        <w:tabs>
          <w:tab w:val="left" w:pos="1440"/>
          <w:tab w:val="left" w:pos="4680"/>
          <w:tab w:val="center" w:pos="7200"/>
        </w:tabs>
        <w:spacing w:after="0"/>
        <w:jc w:val="center"/>
      </w:pPr>
      <w:bookmarkStart w:id="0" w:name="Return"/>
      <w:bookmarkEnd w:id="0"/>
      <w:r>
        <w:t>February 27</w:t>
      </w:r>
      <w:r w:rsidR="00751330">
        <w:t>, 20</w:t>
      </w:r>
      <w:r w:rsidR="003A17C9">
        <w:t>20</w:t>
      </w:r>
    </w:p>
    <w:p w14:paraId="0BD27391" w14:textId="7D168A16" w:rsidR="00751330" w:rsidRDefault="00751330" w:rsidP="00751330">
      <w:pPr>
        <w:tabs>
          <w:tab w:val="left" w:pos="1440"/>
          <w:tab w:val="left" w:pos="4680"/>
          <w:tab w:val="center" w:pos="7200"/>
        </w:tabs>
        <w:spacing w:after="0"/>
        <w:jc w:val="center"/>
      </w:pPr>
    </w:p>
    <w:p w14:paraId="64BC723D" w14:textId="31710679" w:rsidR="00AD78B2" w:rsidRDefault="0090077B" w:rsidP="00751330">
      <w:pPr>
        <w:tabs>
          <w:tab w:val="left" w:pos="1440"/>
          <w:tab w:val="left" w:pos="4680"/>
          <w:tab w:val="center" w:pos="7200"/>
        </w:tabs>
        <w:spacing w:after="0"/>
        <w:jc w:val="center"/>
      </w:pPr>
      <w:r>
        <w:t xml:space="preserve">This opinion follows companion case S248730, </w:t>
      </w:r>
    </w:p>
    <w:p w14:paraId="5812241A" w14:textId="112F5035" w:rsidR="0090077B" w:rsidRDefault="00ED581A" w:rsidP="00751330">
      <w:pPr>
        <w:tabs>
          <w:tab w:val="left" w:pos="1440"/>
          <w:tab w:val="left" w:pos="4680"/>
          <w:tab w:val="center" w:pos="7200"/>
        </w:tabs>
        <w:spacing w:after="0"/>
        <w:jc w:val="center"/>
      </w:pPr>
      <w:r>
        <w:t>a</w:t>
      </w:r>
      <w:r w:rsidR="0090077B">
        <w:t>lso filed on February 27, 2020.</w:t>
      </w:r>
    </w:p>
    <w:p w14:paraId="41CC295E" w14:textId="77777777" w:rsidR="0090077B" w:rsidRDefault="0090077B" w:rsidP="00751330">
      <w:pPr>
        <w:tabs>
          <w:tab w:val="left" w:pos="1440"/>
          <w:tab w:val="left" w:pos="4680"/>
          <w:tab w:val="center" w:pos="7200"/>
        </w:tabs>
        <w:spacing w:after="0"/>
        <w:jc w:val="center"/>
      </w:pPr>
    </w:p>
    <w:p w14:paraId="23A82BB6" w14:textId="2651AA6F" w:rsidR="00751330" w:rsidRDefault="00751330" w:rsidP="00751330">
      <w:pPr>
        <w:tabs>
          <w:tab w:val="left" w:pos="1440"/>
          <w:tab w:val="left" w:pos="4680"/>
          <w:tab w:val="center" w:pos="7200"/>
        </w:tabs>
        <w:spacing w:after="0"/>
        <w:jc w:val="left"/>
      </w:pPr>
      <w:r>
        <w:t xml:space="preserve">Chief Justice Cantil-Sakauye </w:t>
      </w:r>
      <w:bookmarkStart w:id="1" w:name="_GoBack"/>
      <w:bookmarkEnd w:id="1"/>
      <w:r>
        <w:t xml:space="preserve">authored the opinion of the Court, in which </w:t>
      </w:r>
      <w:r w:rsidR="008026DA">
        <w:t>Justices Chin, Corrigan, Liu, Cuéllar, Kruger and Groban</w:t>
      </w:r>
      <w:r>
        <w:t xml:space="preserve"> concurred.</w:t>
      </w:r>
    </w:p>
    <w:p w14:paraId="05A1BB24" w14:textId="77777777" w:rsidR="00751330" w:rsidRPr="00FF0DBE" w:rsidRDefault="00751330" w:rsidP="00751330">
      <w:pPr>
        <w:pBdr>
          <w:bottom w:val="single" w:sz="4" w:space="1" w:color="auto"/>
        </w:pBdr>
        <w:tabs>
          <w:tab w:val="left" w:pos="1440"/>
        </w:tabs>
        <w:spacing w:line="480" w:lineRule="atLeast"/>
        <w:jc w:val="left"/>
        <w:rPr>
          <w:caps/>
        </w:rPr>
      </w:pPr>
    </w:p>
    <w:p w14:paraId="14B57B5C" w14:textId="77777777" w:rsidR="00D30228" w:rsidRDefault="00D30228">
      <w:pPr>
        <w:spacing w:after="0" w:line="240" w:lineRule="auto"/>
        <w:jc w:val="left"/>
        <w:sectPr w:rsidR="00D30228" w:rsidSect="00EF3D07">
          <w:headerReference w:type="default" r:id="rId7"/>
          <w:footerReference w:type="default" r:id="rId8"/>
          <w:pgSz w:w="12240" w:h="15840"/>
          <w:pgMar w:top="1800" w:right="2160" w:bottom="1440" w:left="2160" w:header="720" w:footer="720" w:gutter="0"/>
          <w:cols w:space="720"/>
          <w:titlePg/>
          <w:docGrid w:linePitch="367"/>
        </w:sectPr>
      </w:pPr>
    </w:p>
    <w:p w14:paraId="7C762094" w14:textId="0740640C" w:rsidR="002E575C" w:rsidRDefault="002E575C" w:rsidP="001B318E">
      <w:pPr>
        <w:tabs>
          <w:tab w:val="left" w:pos="1440"/>
          <w:tab w:val="left" w:pos="4680"/>
          <w:tab w:val="center" w:pos="7200"/>
        </w:tabs>
        <w:jc w:val="center"/>
      </w:pPr>
      <w:r>
        <w:lastRenderedPageBreak/>
        <w:t>PEOPLE v. VEAMATAHAU</w:t>
      </w:r>
    </w:p>
    <w:p w14:paraId="5ACCC62D" w14:textId="00B735EC" w:rsidR="002E575C" w:rsidRDefault="002E575C" w:rsidP="001B318E">
      <w:pPr>
        <w:tabs>
          <w:tab w:val="left" w:pos="1440"/>
        </w:tabs>
        <w:jc w:val="center"/>
        <w:rPr>
          <w:caps/>
        </w:rPr>
      </w:pPr>
      <w:r>
        <w:t>S24</w:t>
      </w:r>
      <w:r w:rsidR="00E36E00">
        <w:t>9872</w:t>
      </w:r>
    </w:p>
    <w:p w14:paraId="7CDB8249" w14:textId="77777777" w:rsidR="002E575C" w:rsidRDefault="002E575C" w:rsidP="001B318E">
      <w:pPr>
        <w:tabs>
          <w:tab w:val="left" w:pos="1440"/>
          <w:tab w:val="left" w:pos="4680"/>
          <w:tab w:val="center" w:pos="7200"/>
        </w:tabs>
        <w:jc w:val="center"/>
      </w:pPr>
    </w:p>
    <w:p w14:paraId="0C2237D6" w14:textId="5C85A734" w:rsidR="002E575C" w:rsidRDefault="002E575C" w:rsidP="001B318E">
      <w:pPr>
        <w:tabs>
          <w:tab w:val="left" w:pos="1440"/>
          <w:tab w:val="left" w:pos="4680"/>
          <w:tab w:val="center" w:pos="7200"/>
        </w:tabs>
        <w:jc w:val="center"/>
      </w:pPr>
      <w:r>
        <w:t>Opinion of the Court by Cantil-Sakauye, C. J.</w:t>
      </w:r>
    </w:p>
    <w:p w14:paraId="15F7B351" w14:textId="77777777" w:rsidR="00C37C6A" w:rsidRDefault="00C37C6A" w:rsidP="001B318E">
      <w:pPr>
        <w:tabs>
          <w:tab w:val="left" w:pos="1440"/>
          <w:tab w:val="left" w:pos="4680"/>
          <w:tab w:val="center" w:pos="7200"/>
        </w:tabs>
        <w:jc w:val="center"/>
      </w:pPr>
    </w:p>
    <w:p w14:paraId="0DA23B96" w14:textId="20294EAA" w:rsidR="00423930" w:rsidRPr="000D1695" w:rsidRDefault="0081748A" w:rsidP="001B318E">
      <w:pPr>
        <w:tabs>
          <w:tab w:val="left" w:pos="1440"/>
        </w:tabs>
        <w:ind w:firstLine="720"/>
      </w:pPr>
      <w:r>
        <w:t xml:space="preserve">Evidence Code section 802 allows a </w:t>
      </w:r>
      <w:r w:rsidR="00D4766C">
        <w:t>testifying expert</w:t>
      </w:r>
      <w:r>
        <w:t xml:space="preserve"> to “state on direct examination the reasons for his opinion and the matter </w:t>
      </w:r>
      <w:r w:rsidR="00E470B0">
        <w:t>(</w:t>
      </w:r>
      <w:proofErr w:type="gramStart"/>
      <w:r w:rsidR="00E470B0">
        <w:t>including</w:t>
      </w:r>
      <w:r w:rsidR="00D4766C">
        <w:t xml:space="preserve"> .</w:t>
      </w:r>
      <w:proofErr w:type="gramEnd"/>
      <w:r w:rsidR="00640E84">
        <w:t> </w:t>
      </w:r>
      <w:r w:rsidR="00D4766C">
        <w:t>.</w:t>
      </w:r>
      <w:r w:rsidR="00640E84">
        <w:t> </w:t>
      </w:r>
      <w:r w:rsidR="00D4766C">
        <w:t>. his special knowle</w:t>
      </w:r>
      <w:bookmarkStart w:id="2" w:name="MarkDocLoc"/>
      <w:bookmarkEnd w:id="2"/>
      <w:r w:rsidR="00D4766C" w:rsidRPr="000D1695">
        <w:t>dge, skill, experience, training, and education)</w:t>
      </w:r>
      <w:r w:rsidRPr="000D1695">
        <w:t xml:space="preserve"> upon which it is based.”</w:t>
      </w:r>
      <w:r w:rsidR="00D539D0" w:rsidRPr="000D1695">
        <w:t xml:space="preserve"> </w:t>
      </w:r>
      <w:r w:rsidR="00744FC7" w:rsidRPr="000D1695">
        <w:t xml:space="preserve"> </w:t>
      </w:r>
      <w:r w:rsidR="00CC2EEB" w:rsidRPr="000D1695">
        <w:t>So</w:t>
      </w:r>
      <w:r w:rsidR="007F124B" w:rsidRPr="000D1695">
        <w:t xml:space="preserve"> long as </w:t>
      </w:r>
      <w:r w:rsidR="00226295" w:rsidRPr="000D1695">
        <w:t xml:space="preserve">the matter is </w:t>
      </w:r>
      <w:r w:rsidR="007F124B" w:rsidRPr="000D1695">
        <w:t>“of a type that reasonably may be relied upon by an expert</w:t>
      </w:r>
      <w:r w:rsidR="001B7DAF" w:rsidRPr="000D1695">
        <w:t>,” it</w:t>
      </w:r>
      <w:r w:rsidR="007931A9" w:rsidRPr="000D1695">
        <w:t xml:space="preserve"> </w:t>
      </w:r>
      <w:r w:rsidR="00B55E76" w:rsidRPr="000D1695">
        <w:t>may be relayed to the factfinder</w:t>
      </w:r>
      <w:r w:rsidR="000B588E" w:rsidRPr="000D1695">
        <w:t xml:space="preserve"> “whether or not admissible</w:t>
      </w:r>
      <w:r w:rsidR="007F124B" w:rsidRPr="000D1695">
        <w:t>.”</w:t>
      </w:r>
      <w:r w:rsidR="003F5C60" w:rsidRPr="000D1695">
        <w:t xml:space="preserve"> </w:t>
      </w:r>
      <w:r w:rsidR="007F124B" w:rsidRPr="000D1695">
        <w:t xml:space="preserve"> </w:t>
      </w:r>
      <w:r w:rsidR="000E0926" w:rsidRPr="000D1695">
        <w:t>(Evid</w:t>
      </w:r>
      <w:proofErr w:type="gramStart"/>
      <w:r w:rsidR="000E0926" w:rsidRPr="000D1695">
        <w:t xml:space="preserve">. </w:t>
      </w:r>
      <w:proofErr w:type="gramEnd"/>
      <w:r w:rsidR="000E0926" w:rsidRPr="000D1695">
        <w:t>Code, §</w:t>
      </w:r>
      <w:r w:rsidR="00387C8B" w:rsidRPr="000D1695">
        <w:t> </w:t>
      </w:r>
      <w:r w:rsidR="000E0926" w:rsidRPr="000D1695">
        <w:t>801</w:t>
      </w:r>
      <w:r w:rsidR="00164601">
        <w:t>, subd</w:t>
      </w:r>
      <w:proofErr w:type="gramStart"/>
      <w:r w:rsidR="00164601">
        <w:t xml:space="preserve">. </w:t>
      </w:r>
      <w:proofErr w:type="gramEnd"/>
      <w:r w:rsidR="00164601">
        <w:t>(b)</w:t>
      </w:r>
      <w:r w:rsidR="002928E4" w:rsidRPr="000D1695">
        <w:t>; all further unspecified statutory references are to the Evidence Code</w:t>
      </w:r>
      <w:r w:rsidR="000E0926" w:rsidRPr="000D1695">
        <w:t xml:space="preserve">.)  </w:t>
      </w:r>
      <w:r w:rsidR="0051207B" w:rsidRPr="000D1695">
        <w:t>Accordingly,</w:t>
      </w:r>
      <w:r w:rsidR="001C07CE" w:rsidRPr="000D1695">
        <w:t xml:space="preserve"> </w:t>
      </w:r>
      <w:r w:rsidR="000408D8" w:rsidRPr="000D1695">
        <w:t xml:space="preserve">to support his opinion, </w:t>
      </w:r>
      <w:r w:rsidR="001C07CE" w:rsidRPr="000D1695">
        <w:t>an expert is permitted to rela</w:t>
      </w:r>
      <w:r w:rsidR="007202A0" w:rsidRPr="000D1695">
        <w:t>te</w:t>
      </w:r>
      <w:r w:rsidR="001C07CE" w:rsidRPr="000D1695">
        <w:t xml:space="preserve"> to the jury </w:t>
      </w:r>
      <w:r w:rsidR="00D63FDB">
        <w:t xml:space="preserve">background </w:t>
      </w:r>
      <w:r w:rsidR="001C07CE" w:rsidRPr="000D1695">
        <w:t xml:space="preserve">information that </w:t>
      </w:r>
      <w:r w:rsidR="001E4A15" w:rsidRPr="000D1695">
        <w:t xml:space="preserve">is </w:t>
      </w:r>
      <w:r w:rsidR="001C07CE" w:rsidRPr="000D1695">
        <w:t>technically hearsay</w:t>
      </w:r>
      <w:r w:rsidR="005C1714" w:rsidRPr="000D1695">
        <w:t xml:space="preserve">, </w:t>
      </w:r>
      <w:r w:rsidR="00192E5B" w:rsidRPr="000D1695">
        <w:t>including</w:t>
      </w:r>
      <w:r w:rsidR="000408D8" w:rsidRPr="000D1695">
        <w:t xml:space="preserve"> general knowledge and “premises generally accepted in his field.”</w:t>
      </w:r>
      <w:r w:rsidR="0051207B" w:rsidRPr="000D1695">
        <w:t xml:space="preserve">  </w:t>
      </w:r>
      <w:r w:rsidR="00E33ACE" w:rsidRPr="000D1695">
        <w:t>(</w:t>
      </w:r>
      <w:r w:rsidR="00E33ACE" w:rsidRPr="000D1695">
        <w:rPr>
          <w:i/>
        </w:rPr>
        <w:t>People v. Sanchez</w:t>
      </w:r>
      <w:r w:rsidR="00E33ACE" w:rsidRPr="000D1695">
        <w:t xml:space="preserve"> (2016) 63 Cal.4th 665, 685 (</w:t>
      </w:r>
      <w:r w:rsidR="00E33ACE" w:rsidRPr="000D1695">
        <w:rPr>
          <w:i/>
        </w:rPr>
        <w:t>Sanchez</w:t>
      </w:r>
      <w:r w:rsidR="00E33ACE" w:rsidRPr="000D1695">
        <w:t xml:space="preserve">).)  </w:t>
      </w:r>
      <w:r w:rsidR="004C44F1" w:rsidRPr="000D1695">
        <w:t>The</w:t>
      </w:r>
      <w:r w:rsidR="00744FC7" w:rsidRPr="000D1695">
        <w:t xml:space="preserve"> expert, however, </w:t>
      </w:r>
      <w:r w:rsidR="00211361">
        <w:t xml:space="preserve">cannot </w:t>
      </w:r>
      <w:r w:rsidR="0045606B" w:rsidRPr="000D1695">
        <w:t>“</w:t>
      </w:r>
      <w:r w:rsidR="00677B3F" w:rsidRPr="00677B3F">
        <w:t>relate as true case-specific facts asserted in hearsay statements, unless they are independently proven by competent evidence or are covered by a hearsay exception</w:t>
      </w:r>
      <w:r w:rsidR="0045606B" w:rsidRPr="000D1695">
        <w:t>.</w:t>
      </w:r>
      <w:r w:rsidR="00222B21" w:rsidRPr="000D1695">
        <w:t>”</w:t>
      </w:r>
      <w:r w:rsidR="0045606B" w:rsidRPr="000D1695">
        <w:t xml:space="preserve">  (</w:t>
      </w:r>
      <w:r w:rsidR="0045606B" w:rsidRPr="000D1695">
        <w:rPr>
          <w:i/>
        </w:rPr>
        <w:t>Id.</w:t>
      </w:r>
      <w:r w:rsidR="0045606B" w:rsidRPr="000D1695">
        <w:t xml:space="preserve"> at p. </w:t>
      </w:r>
      <w:r w:rsidR="00010EE7" w:rsidRPr="000D1695">
        <w:t>6</w:t>
      </w:r>
      <w:r w:rsidR="0083607F">
        <w:t>8</w:t>
      </w:r>
      <w:r w:rsidR="00010EE7" w:rsidRPr="000D1695">
        <w:t>6.)</w:t>
      </w:r>
    </w:p>
    <w:p w14:paraId="0290D813" w14:textId="38085FE6" w:rsidR="008358A9" w:rsidRPr="000D1695" w:rsidRDefault="00C7116C" w:rsidP="001B318E">
      <w:pPr>
        <w:tabs>
          <w:tab w:val="left" w:pos="1440"/>
        </w:tabs>
        <w:ind w:firstLine="720"/>
      </w:pPr>
      <w:r w:rsidRPr="000D1695">
        <w:t xml:space="preserve">In this case, we </w:t>
      </w:r>
      <w:r w:rsidR="00DA2D85" w:rsidRPr="000D1695">
        <w:t xml:space="preserve">determine </w:t>
      </w:r>
      <w:r w:rsidR="00DA2D85" w:rsidRPr="00421EE2">
        <w:t>whether</w:t>
      </w:r>
      <w:r w:rsidR="00323F92" w:rsidRPr="00421EE2">
        <w:t xml:space="preserve"> </w:t>
      </w:r>
      <w:r w:rsidR="003F2DE1" w:rsidRPr="00421EE2">
        <w:t>an expert</w:t>
      </w:r>
      <w:r w:rsidR="00794982" w:rsidRPr="00421EE2">
        <w:t xml:space="preserve"> </w:t>
      </w:r>
      <w:r w:rsidR="00982913" w:rsidRPr="00421EE2">
        <w:t>related impermissible case-specific hearsay</w:t>
      </w:r>
      <w:r w:rsidR="007D00DD" w:rsidRPr="00421EE2">
        <w:t xml:space="preserve">.  </w:t>
      </w:r>
      <w:r w:rsidR="005C1D8A">
        <w:t>T</w:t>
      </w:r>
      <w:r w:rsidR="007D00DD" w:rsidRPr="00421EE2">
        <w:t>he expert</w:t>
      </w:r>
      <w:r w:rsidR="00323F92" w:rsidRPr="00421EE2">
        <w:t xml:space="preserve"> told the jury that he identified the c</w:t>
      </w:r>
      <w:r w:rsidR="0026725A" w:rsidRPr="00421EE2">
        <w:t xml:space="preserve">ontrolled substance </w:t>
      </w:r>
      <w:r w:rsidR="00323F92" w:rsidRPr="00421EE2">
        <w:t xml:space="preserve">the defendant </w:t>
      </w:r>
      <w:r w:rsidR="005B450D" w:rsidRPr="00421EE2">
        <w:t>wa</w:t>
      </w:r>
      <w:r w:rsidR="00323F92" w:rsidRPr="00421EE2">
        <w:t xml:space="preserve">s charged with possessing by comparing the visual characteristics of </w:t>
      </w:r>
      <w:r w:rsidR="00EC6665" w:rsidRPr="00421EE2">
        <w:t xml:space="preserve">the </w:t>
      </w:r>
      <w:r w:rsidR="00835200" w:rsidRPr="00421EE2">
        <w:t>pills</w:t>
      </w:r>
      <w:r w:rsidR="00323F92" w:rsidRPr="00421EE2">
        <w:t xml:space="preserve"> seized against a database</w:t>
      </w:r>
      <w:r w:rsidR="002E2B09" w:rsidRPr="00421EE2">
        <w:t xml:space="preserve"> containing descriptions of pharmaceuticals</w:t>
      </w:r>
      <w:r w:rsidR="00C85F20" w:rsidRPr="00421EE2">
        <w:t>.</w:t>
      </w:r>
      <w:r w:rsidR="00C85F20" w:rsidRPr="000D1695">
        <w:t xml:space="preserve">  The expert testified that </w:t>
      </w:r>
      <w:r w:rsidR="00354E2F" w:rsidRPr="000D1695">
        <w:t xml:space="preserve">this procedure </w:t>
      </w:r>
      <w:r w:rsidR="00C85F20" w:rsidRPr="000D1695">
        <w:t>was “</w:t>
      </w:r>
      <w:r w:rsidR="00477705" w:rsidRPr="000D1695">
        <w:t>the generally accepted method of testing for this kind of substance in the scientific community</w:t>
      </w:r>
      <w:r w:rsidR="00C85F20" w:rsidRPr="000D1695">
        <w:t>,</w:t>
      </w:r>
      <w:r w:rsidR="00477705" w:rsidRPr="000D1695">
        <w:t>”</w:t>
      </w:r>
      <w:r w:rsidR="00C85F20" w:rsidRPr="000D1695">
        <w:t xml:space="preserve"> and </w:t>
      </w:r>
      <w:r w:rsidR="00E74C30" w:rsidRPr="000D1695">
        <w:t>his</w:t>
      </w:r>
      <w:r w:rsidR="00835200" w:rsidRPr="000D1695">
        <w:t xml:space="preserve"> search on the database led him to the conclusion that the pills contained </w:t>
      </w:r>
      <w:r w:rsidR="00835200" w:rsidRPr="000D1695">
        <w:lastRenderedPageBreak/>
        <w:t xml:space="preserve">alprazolam, the </w:t>
      </w:r>
      <w:r w:rsidR="00656E05" w:rsidRPr="000D1695">
        <w:t>ge</w:t>
      </w:r>
      <w:r w:rsidR="008A158C" w:rsidRPr="000D1695">
        <w:t xml:space="preserve">neric name for Xanax.  </w:t>
      </w:r>
      <w:r w:rsidR="00457B76">
        <w:t>T</w:t>
      </w:r>
      <w:r w:rsidR="00421EE2">
        <w:t xml:space="preserve">he expert </w:t>
      </w:r>
      <w:r w:rsidR="00D070DA">
        <w:t xml:space="preserve">also </w:t>
      </w:r>
      <w:r w:rsidR="00421EE2">
        <w:t>revealed</w:t>
      </w:r>
      <w:r w:rsidR="000D3CDE">
        <w:t xml:space="preserve"> </w:t>
      </w:r>
      <w:r w:rsidR="00421EE2">
        <w:t>the contents of the database</w:t>
      </w:r>
      <w:r w:rsidR="00F60B98">
        <w:t xml:space="preserve">, </w:t>
      </w:r>
      <w:r w:rsidR="00421EE2">
        <w:t xml:space="preserve">stating that if one looks up a particular imprint number, “[the database is] going to tell you </w:t>
      </w:r>
      <w:proofErr w:type="gramStart"/>
      <w:r w:rsidR="00421EE2">
        <w:t xml:space="preserve">that </w:t>
      </w:r>
      <w:r w:rsidR="00CE6D20">
        <w:t>.</w:t>
      </w:r>
      <w:proofErr w:type="gramEnd"/>
      <w:r w:rsidR="003C119B">
        <w:t> </w:t>
      </w:r>
      <w:r w:rsidR="00CE6D20">
        <w:t>.</w:t>
      </w:r>
      <w:r w:rsidR="003C119B">
        <w:t> </w:t>
      </w:r>
      <w:r w:rsidR="00CE6D20">
        <w:t>.</w:t>
      </w:r>
      <w:r w:rsidR="00421EE2">
        <w:t xml:space="preserve"> [a pill bearing such imprint] contains alprazolam, 2</w:t>
      </w:r>
      <w:r w:rsidR="00BF2AAF">
        <w:t> </w:t>
      </w:r>
      <w:r w:rsidR="00421EE2">
        <w:t xml:space="preserve">milligrams.”  </w:t>
      </w:r>
      <w:r w:rsidR="008358A9" w:rsidRPr="000D1695">
        <w:t>After hearing this testimony</w:t>
      </w:r>
      <w:r w:rsidR="009247A7" w:rsidRPr="000D1695">
        <w:t xml:space="preserve"> </w:t>
      </w:r>
      <w:r w:rsidR="008358A9" w:rsidRPr="000D1695">
        <w:t>and other</w:t>
      </w:r>
      <w:r w:rsidR="0047091C" w:rsidRPr="000D1695">
        <w:t xml:space="preserve"> evidence</w:t>
      </w:r>
      <w:r w:rsidR="009247A7" w:rsidRPr="000D1695">
        <w:t xml:space="preserve">, </w:t>
      </w:r>
      <w:r w:rsidR="008358A9" w:rsidRPr="000D1695">
        <w:t>the jury convicted defendant</w:t>
      </w:r>
      <w:r w:rsidR="000615D5" w:rsidRPr="000D1695">
        <w:t xml:space="preserve"> of possession of </w:t>
      </w:r>
      <w:r w:rsidR="00222424" w:rsidRPr="000D1695">
        <w:t>alprazolam</w:t>
      </w:r>
      <w:r w:rsidR="008358A9" w:rsidRPr="000D1695">
        <w:t>.</w:t>
      </w:r>
    </w:p>
    <w:p w14:paraId="23D4B027" w14:textId="0FA61141" w:rsidR="00412643" w:rsidRPr="000D1695" w:rsidRDefault="0023647C" w:rsidP="001B318E">
      <w:pPr>
        <w:tabs>
          <w:tab w:val="left" w:pos="1440"/>
        </w:tabs>
        <w:ind w:firstLine="720"/>
      </w:pPr>
      <w:r w:rsidRPr="000D1695">
        <w:t>Defendant</w:t>
      </w:r>
      <w:r w:rsidR="008358A9" w:rsidRPr="000D1695">
        <w:t xml:space="preserve"> appealed, asserting </w:t>
      </w:r>
      <w:r w:rsidR="00F6781F" w:rsidRPr="000D1695">
        <w:t xml:space="preserve">that the expert testimony violated </w:t>
      </w:r>
      <w:r w:rsidR="00F6781F" w:rsidRPr="000D1695">
        <w:rPr>
          <w:i/>
        </w:rPr>
        <w:t>Sanchez</w:t>
      </w:r>
      <w:r w:rsidR="00F6781F" w:rsidRPr="000D1695">
        <w:t xml:space="preserve">’s prohibition against communication of case-specific </w:t>
      </w:r>
      <w:r w:rsidR="00CE4FEA" w:rsidRPr="000D1695">
        <w:t>hearsay</w:t>
      </w:r>
      <w:r w:rsidR="00F6781F" w:rsidRPr="000D1695">
        <w:t xml:space="preserve">.  </w:t>
      </w:r>
      <w:r w:rsidR="0026725A" w:rsidRPr="000D1695">
        <w:t xml:space="preserve">The Court of Appeal </w:t>
      </w:r>
      <w:r w:rsidR="00322C41" w:rsidRPr="000D1695">
        <w:t>disagreed</w:t>
      </w:r>
      <w:r w:rsidR="00661724" w:rsidRPr="000D1695">
        <w:t>.  It concluded</w:t>
      </w:r>
      <w:r w:rsidR="000B358D" w:rsidRPr="000D1695">
        <w:t xml:space="preserve"> that</w:t>
      </w:r>
      <w:r w:rsidR="00322C41" w:rsidRPr="000D1695">
        <w:t xml:space="preserve"> </w:t>
      </w:r>
      <w:r w:rsidR="000938F8" w:rsidRPr="000D1695">
        <w:t xml:space="preserve">the “testimony about the database, while hearsay, was not case specific, but the type of general background information which has always been admissible when related by an expert.”  </w:t>
      </w:r>
      <w:r w:rsidR="00862671" w:rsidRPr="000D1695">
        <w:t>(</w:t>
      </w:r>
      <w:r w:rsidR="00862671" w:rsidRPr="000D1695">
        <w:rPr>
          <w:i/>
        </w:rPr>
        <w:t>People v. Veamatahau</w:t>
      </w:r>
      <w:r w:rsidR="00862671" w:rsidRPr="000D1695">
        <w:t xml:space="preserve"> (2018) 24 Cal.App.5th 68, 73</w:t>
      </w:r>
      <w:r w:rsidR="00BF2AAF">
        <w:t> </w:t>
      </w:r>
      <w:r w:rsidR="009118AE" w:rsidRPr="000D1695">
        <w:t>(</w:t>
      </w:r>
      <w:proofErr w:type="spellStart"/>
      <w:r w:rsidR="009118AE" w:rsidRPr="000D1695">
        <w:rPr>
          <w:i/>
        </w:rPr>
        <w:t>Veamatahau</w:t>
      </w:r>
      <w:proofErr w:type="spellEnd"/>
      <w:r w:rsidR="009118AE" w:rsidRPr="000D1695">
        <w:t>)</w:t>
      </w:r>
      <w:r w:rsidR="00862671" w:rsidRPr="000D1695">
        <w:t>.)</w:t>
      </w:r>
      <w:r w:rsidR="0050463A" w:rsidRPr="000D1695">
        <w:t xml:space="preserve">  </w:t>
      </w:r>
      <w:r w:rsidR="00020C16" w:rsidRPr="000D1695">
        <w:t xml:space="preserve">The court further found </w:t>
      </w:r>
      <w:proofErr w:type="gramStart"/>
      <w:r w:rsidR="0044768B" w:rsidRPr="000D1695">
        <w:t>sufficient</w:t>
      </w:r>
      <w:proofErr w:type="gramEnd"/>
      <w:r w:rsidR="0044768B" w:rsidRPr="000D1695">
        <w:t xml:space="preserve"> evidence </w:t>
      </w:r>
      <w:r w:rsidR="00C85F20" w:rsidRPr="000D1695">
        <w:t>supported defendant’s conviction for possession</w:t>
      </w:r>
      <w:r w:rsidR="0076743C" w:rsidRPr="000D1695">
        <w:t xml:space="preserve"> of alprazolam.</w:t>
      </w:r>
    </w:p>
    <w:p w14:paraId="317686A9" w14:textId="7BA3981F" w:rsidR="00FC2521" w:rsidRPr="000D1695" w:rsidRDefault="004B2B32" w:rsidP="001B318E">
      <w:pPr>
        <w:tabs>
          <w:tab w:val="left" w:pos="1440"/>
        </w:tabs>
        <w:ind w:firstLine="720"/>
      </w:pPr>
      <w:r>
        <w:t xml:space="preserve">We </w:t>
      </w:r>
      <w:r w:rsidR="00FC2521" w:rsidRPr="000D1695">
        <w:t xml:space="preserve">agree with the Court of Appeal on </w:t>
      </w:r>
      <w:proofErr w:type="gramStart"/>
      <w:r w:rsidR="00FC2521" w:rsidRPr="000D1695">
        <w:t>both of these</w:t>
      </w:r>
      <w:proofErr w:type="gramEnd"/>
      <w:r w:rsidR="00FC2521" w:rsidRPr="000D1695">
        <w:t xml:space="preserve"> issues and affirm its judgment</w:t>
      </w:r>
      <w:r w:rsidR="00F67E2F">
        <w:t xml:space="preserve"> in its entirety</w:t>
      </w:r>
      <w:r w:rsidR="00FC2521" w:rsidRPr="000D1695">
        <w:t>.</w:t>
      </w:r>
    </w:p>
    <w:p w14:paraId="2B18C79B" w14:textId="77777777" w:rsidR="00AF1CBD" w:rsidRPr="000D1695" w:rsidRDefault="00AF1CBD" w:rsidP="001B318E">
      <w:pPr>
        <w:pStyle w:val="Heading1"/>
        <w:spacing w:line="400" w:lineRule="exact"/>
      </w:pPr>
      <w:r w:rsidRPr="000D1695">
        <w:t>I.  Background</w:t>
      </w:r>
    </w:p>
    <w:p w14:paraId="70AE4059" w14:textId="3D8EAB45" w:rsidR="00EB1323" w:rsidRPr="000D1695" w:rsidRDefault="00EB1323" w:rsidP="001B318E">
      <w:r w:rsidRPr="000D1695">
        <w:tab/>
      </w:r>
      <w:r w:rsidR="007F5E70" w:rsidRPr="000D1695">
        <w:t>In</w:t>
      </w:r>
      <w:r w:rsidR="004511FD" w:rsidRPr="000D1695">
        <w:t xml:space="preserve"> June 2015</w:t>
      </w:r>
      <w:r w:rsidR="002F20A5" w:rsidRPr="000D1695">
        <w:t xml:space="preserve">, an East Palo </w:t>
      </w:r>
      <w:r w:rsidR="00356876" w:rsidRPr="000D1695">
        <w:t xml:space="preserve">Alto </w:t>
      </w:r>
      <w:r w:rsidR="002F20A5" w:rsidRPr="000D1695">
        <w:t>police officer, Sergeant Clint Simmont, spotted defendant Joseph Veamatahau’s vehicle</w:t>
      </w:r>
      <w:r w:rsidR="007E79AD" w:rsidRPr="000D1695">
        <w:t xml:space="preserve"> making an unlawful turn</w:t>
      </w:r>
      <w:r w:rsidR="002F20A5" w:rsidRPr="000D1695">
        <w:t>.</w:t>
      </w:r>
      <w:r w:rsidR="007E79AD" w:rsidRPr="000D1695">
        <w:t xml:space="preserve">  </w:t>
      </w:r>
      <w:r w:rsidR="007F5E70" w:rsidRPr="000D1695">
        <w:t>The officer activated his lights</w:t>
      </w:r>
      <w:r w:rsidR="0035011A" w:rsidRPr="000D1695">
        <w:t>, and</w:t>
      </w:r>
      <w:r w:rsidR="007F5E70" w:rsidRPr="000D1695">
        <w:t xml:space="preserve"> defendant fled</w:t>
      </w:r>
      <w:r w:rsidR="00793786" w:rsidRPr="000D1695">
        <w:t xml:space="preserve"> but was eventually</w:t>
      </w:r>
      <w:r w:rsidR="00B132A8" w:rsidRPr="000D1695">
        <w:t xml:space="preserve"> </w:t>
      </w:r>
      <w:r w:rsidR="00916C30" w:rsidRPr="000D1695">
        <w:t>apprehended</w:t>
      </w:r>
      <w:r w:rsidR="007F5E70" w:rsidRPr="000D1695">
        <w:t xml:space="preserve">.  </w:t>
      </w:r>
      <w:r w:rsidR="00DB07DB" w:rsidRPr="000D1695">
        <w:t>A search of defendant’s person and vehicle</w:t>
      </w:r>
      <w:r w:rsidR="001E3B94" w:rsidRPr="000D1695">
        <w:t xml:space="preserve"> revealed</w:t>
      </w:r>
      <w:r w:rsidR="00EA0659" w:rsidRPr="000D1695">
        <w:t xml:space="preserve"> </w:t>
      </w:r>
      <w:r w:rsidR="00F64AD0" w:rsidRPr="000D1695">
        <w:t>a plastic bag containing what turned out to be cocaine</w:t>
      </w:r>
      <w:r w:rsidR="001E3B94" w:rsidRPr="000D1695">
        <w:t xml:space="preserve"> base</w:t>
      </w:r>
      <w:r w:rsidR="00F64AD0" w:rsidRPr="000D1695">
        <w:t xml:space="preserve"> and </w:t>
      </w:r>
      <w:r w:rsidR="00E21FD8" w:rsidRPr="000D1695">
        <w:t>— as is relevant for this appeal — pills wrapped in cellophane</w:t>
      </w:r>
      <w:r w:rsidR="00417306" w:rsidRPr="000D1695">
        <w:t xml:space="preserve"> inside his pocket</w:t>
      </w:r>
      <w:r w:rsidR="00E21FD8" w:rsidRPr="000D1695">
        <w:t xml:space="preserve">.  </w:t>
      </w:r>
      <w:r w:rsidR="00005D9A" w:rsidRPr="000D1695">
        <w:t>Sergeant</w:t>
      </w:r>
      <w:r w:rsidR="006A7D99" w:rsidRPr="000D1695">
        <w:t xml:space="preserve"> Simmont </w:t>
      </w:r>
      <w:r w:rsidR="00C75205" w:rsidRPr="000D1695">
        <w:t xml:space="preserve">arrested defendant and </w:t>
      </w:r>
      <w:r w:rsidR="00DB52B1" w:rsidRPr="000D1695">
        <w:t xml:space="preserve">interrogated </w:t>
      </w:r>
      <w:r w:rsidR="00C75205" w:rsidRPr="000D1695">
        <w:t>him at the police station</w:t>
      </w:r>
      <w:r w:rsidR="00DB52B1" w:rsidRPr="000D1695">
        <w:t xml:space="preserve">. </w:t>
      </w:r>
      <w:r w:rsidR="00147C7B">
        <w:t xml:space="preserve"> </w:t>
      </w:r>
      <w:r w:rsidR="00DB52B1" w:rsidRPr="000D1695">
        <w:t xml:space="preserve">A </w:t>
      </w:r>
      <w:r w:rsidR="005C5146" w:rsidRPr="000D1695">
        <w:t xml:space="preserve">recording of </w:t>
      </w:r>
      <w:r w:rsidR="009E702C" w:rsidRPr="000D1695">
        <w:t xml:space="preserve">the interview </w:t>
      </w:r>
      <w:r w:rsidR="005C5146" w:rsidRPr="000D1695">
        <w:t>was played for the jury</w:t>
      </w:r>
      <w:r w:rsidR="00C75205" w:rsidRPr="000D1695">
        <w:t xml:space="preserve">.  </w:t>
      </w:r>
      <w:r w:rsidR="00851016" w:rsidRPr="000D1695">
        <w:t>During the interrogation</w:t>
      </w:r>
      <w:r w:rsidR="002F4ECB" w:rsidRPr="000D1695">
        <w:t>,</w:t>
      </w:r>
      <w:r w:rsidR="009175D4" w:rsidRPr="000D1695">
        <w:t xml:space="preserve"> </w:t>
      </w:r>
      <w:r w:rsidR="0081759F" w:rsidRPr="000D1695">
        <w:t xml:space="preserve">the officer </w:t>
      </w:r>
      <w:r w:rsidR="00FC0E1C" w:rsidRPr="000D1695">
        <w:t>asked defendant about the pills, saying</w:t>
      </w:r>
      <w:r w:rsidR="00AB299E">
        <w:t>,</w:t>
      </w:r>
      <w:r w:rsidR="00FC0E1C" w:rsidRPr="000D1695">
        <w:t xml:space="preserve"> </w:t>
      </w:r>
      <w:r w:rsidR="0081759F" w:rsidRPr="000D1695">
        <w:t>“What about the pills that you had, the bars?  The Xanibars?</w:t>
      </w:r>
      <w:r w:rsidR="009F49F5" w:rsidRPr="000D1695">
        <w:t xml:space="preserve">”  </w:t>
      </w:r>
      <w:r w:rsidR="0024375B" w:rsidRPr="000D1695">
        <w:t>Defendant responded, “I take those</w:t>
      </w:r>
      <w:r w:rsidR="00E055A6">
        <w:t>,</w:t>
      </w:r>
      <w:r w:rsidR="00290B37" w:rsidRPr="000D1695">
        <w:t xml:space="preserve">” and </w:t>
      </w:r>
      <w:r w:rsidR="00F40AB1" w:rsidRPr="000D1695">
        <w:lastRenderedPageBreak/>
        <w:t>admitted to taking</w:t>
      </w:r>
      <w:r w:rsidR="0024375B" w:rsidRPr="000D1695">
        <w:t xml:space="preserve"> “a lot,” “four or five” pills “[e]very day,” “until </w:t>
      </w:r>
      <w:r w:rsidR="009F49C2" w:rsidRPr="000D1695">
        <w:t>I</w:t>
      </w:r>
      <w:r w:rsidR="00F40AB1" w:rsidRPr="000D1695">
        <w:t xml:space="preserve"> feel good.”</w:t>
      </w:r>
    </w:p>
    <w:p w14:paraId="1E23E985" w14:textId="0D6B8DFD" w:rsidR="00601512" w:rsidRPr="000D1695" w:rsidRDefault="00601512" w:rsidP="001B318E">
      <w:r w:rsidRPr="000D1695">
        <w:tab/>
        <w:t xml:space="preserve">At trial, </w:t>
      </w:r>
      <w:r w:rsidR="004D7AEA" w:rsidRPr="000D1695">
        <w:t>Sergeant</w:t>
      </w:r>
      <w:r w:rsidR="00AF6EE1" w:rsidRPr="000D1695">
        <w:t xml:space="preserve"> Simmont </w:t>
      </w:r>
      <w:r w:rsidR="00005D9A" w:rsidRPr="000D1695">
        <w:t xml:space="preserve">testified </w:t>
      </w:r>
      <w:r w:rsidR="0075500B" w:rsidRPr="000D1695">
        <w:t>concerning</w:t>
      </w:r>
      <w:r w:rsidR="00005D9A" w:rsidRPr="000D1695">
        <w:t xml:space="preserve"> his experience </w:t>
      </w:r>
      <w:r w:rsidR="00567BCA" w:rsidRPr="000D1695">
        <w:t>in</w:t>
      </w:r>
      <w:r w:rsidR="007F043F" w:rsidRPr="000D1695">
        <w:t xml:space="preserve"> narcotics investigation </w:t>
      </w:r>
      <w:r w:rsidR="00051D98" w:rsidRPr="000D1695">
        <w:t xml:space="preserve">and referred to the </w:t>
      </w:r>
      <w:r w:rsidR="005C5E82" w:rsidRPr="000D1695">
        <w:t>pills</w:t>
      </w:r>
      <w:r w:rsidR="00051D98" w:rsidRPr="000D1695">
        <w:t xml:space="preserve"> recovered as “Xanax pills</w:t>
      </w:r>
      <w:r w:rsidR="00005D9A" w:rsidRPr="000D1695">
        <w:t>.</w:t>
      </w:r>
      <w:r w:rsidR="00051D98" w:rsidRPr="000D1695">
        <w:t>”</w:t>
      </w:r>
      <w:r w:rsidR="00005D9A" w:rsidRPr="000D1695">
        <w:t xml:space="preserve">  </w:t>
      </w:r>
      <w:r w:rsidR="006B73FF" w:rsidRPr="000D1695">
        <w:t xml:space="preserve">Scott </w:t>
      </w:r>
      <w:r w:rsidR="00F5447D" w:rsidRPr="000D1695">
        <w:t>Rienhardt</w:t>
      </w:r>
      <w:r w:rsidR="006B73FF" w:rsidRPr="000D1695">
        <w:t>, a criminalist from the San Mateo County Sheriff’s Office Forensic Laboratory</w:t>
      </w:r>
      <w:r w:rsidR="00187F7E" w:rsidRPr="000D1695">
        <w:t>, also testified</w:t>
      </w:r>
      <w:r w:rsidR="006B73FF" w:rsidRPr="000D1695">
        <w:t xml:space="preserve">.  </w:t>
      </w:r>
      <w:r w:rsidR="00F5447D" w:rsidRPr="000D1695">
        <w:t>Rienhardt</w:t>
      </w:r>
      <w:r w:rsidR="006B73FF" w:rsidRPr="000D1695">
        <w:t xml:space="preserve"> </w:t>
      </w:r>
      <w:r w:rsidR="00AE1D20" w:rsidRPr="000D1695">
        <w:t xml:space="preserve">worked in the “controlled </w:t>
      </w:r>
      <w:proofErr w:type="gramStart"/>
      <w:r w:rsidR="00AE1D20" w:rsidRPr="000D1695">
        <w:t>substances .</w:t>
      </w:r>
      <w:proofErr w:type="gramEnd"/>
      <w:r w:rsidR="007E02EC">
        <w:t> </w:t>
      </w:r>
      <w:r w:rsidR="00AE1D20" w:rsidRPr="000D1695">
        <w:t>.</w:t>
      </w:r>
      <w:r w:rsidR="007E02EC">
        <w:t> </w:t>
      </w:r>
      <w:r w:rsidR="00AE1D20" w:rsidRPr="000D1695">
        <w:t xml:space="preserve">. and toxicology unit” at the laboratory, where he had been employed for seven years.  </w:t>
      </w:r>
      <w:r w:rsidR="00F5447D" w:rsidRPr="000D1695">
        <w:t>Rienhardt</w:t>
      </w:r>
      <w:r w:rsidR="00AE1D20" w:rsidRPr="000D1695">
        <w:t xml:space="preserve"> held a degree in “chemistry, with an emphasis in analytical chemistry” and </w:t>
      </w:r>
      <w:r w:rsidR="004F2D2B" w:rsidRPr="000D1695">
        <w:t xml:space="preserve">had </w:t>
      </w:r>
      <w:r w:rsidR="00542493" w:rsidRPr="000D1695">
        <w:t xml:space="preserve">previously </w:t>
      </w:r>
      <w:r w:rsidR="00AE1D20" w:rsidRPr="000D1695">
        <w:t xml:space="preserve">worked for </w:t>
      </w:r>
      <w:r w:rsidR="000D5A88" w:rsidRPr="000D1695">
        <w:t>the Drug Enforcement Administration</w:t>
      </w:r>
      <w:r w:rsidR="00AE1D20" w:rsidRPr="000D1695">
        <w:t>.</w:t>
      </w:r>
      <w:r w:rsidR="00DC2B7F" w:rsidRPr="000D1695">
        <w:t xml:space="preserve">  </w:t>
      </w:r>
      <w:r w:rsidR="00165A4A" w:rsidRPr="000D1695">
        <w:t>Over the course of his career, he ha</w:t>
      </w:r>
      <w:r w:rsidR="007C3956" w:rsidRPr="000D1695">
        <w:t>d</w:t>
      </w:r>
      <w:r w:rsidR="00165A4A" w:rsidRPr="000D1695">
        <w:t xml:space="preserve"> tested for controlled substances </w:t>
      </w:r>
      <w:r w:rsidR="00CF449C" w:rsidRPr="000D1695">
        <w:t>“</w:t>
      </w:r>
      <w:r w:rsidR="00165A4A" w:rsidRPr="000D1695">
        <w:t>thousands of times.</w:t>
      </w:r>
      <w:r w:rsidR="00CF449C" w:rsidRPr="000D1695">
        <w:t xml:space="preserve">”  </w:t>
      </w:r>
      <w:r w:rsidR="00165A4A" w:rsidRPr="000D1695">
        <w:t>Specific to “</w:t>
      </w:r>
      <w:proofErr w:type="gramStart"/>
      <w:r w:rsidR="00165A4A" w:rsidRPr="000D1695">
        <w:t>alprazolam .</w:t>
      </w:r>
      <w:proofErr w:type="gramEnd"/>
      <w:r w:rsidR="003611A0">
        <w:t> </w:t>
      </w:r>
      <w:r w:rsidR="00165A4A" w:rsidRPr="000D1695">
        <w:t>.</w:t>
      </w:r>
      <w:r w:rsidR="003611A0">
        <w:t> </w:t>
      </w:r>
      <w:r w:rsidR="00165A4A" w:rsidRPr="000D1695">
        <w:t xml:space="preserve">. otherwise known as Xanax,” </w:t>
      </w:r>
      <w:r w:rsidR="00F5447D" w:rsidRPr="000D1695">
        <w:t>Rienhardt</w:t>
      </w:r>
      <w:r w:rsidR="00165A4A" w:rsidRPr="000D1695">
        <w:t xml:space="preserve"> </w:t>
      </w:r>
      <w:r w:rsidR="00025489" w:rsidRPr="000D1695">
        <w:t>ha</w:t>
      </w:r>
      <w:r w:rsidR="007C3956" w:rsidRPr="000D1695">
        <w:t>d</w:t>
      </w:r>
      <w:r w:rsidR="00025489" w:rsidRPr="000D1695">
        <w:t xml:space="preserve"> identified the drug “in the hundreds” of times.  </w:t>
      </w:r>
      <w:r w:rsidR="00FA79A6" w:rsidRPr="000D1695">
        <w:t xml:space="preserve">Based on this testimony, the court </w:t>
      </w:r>
      <w:r w:rsidR="009C184D" w:rsidRPr="000D1695">
        <w:t>designated R</w:t>
      </w:r>
      <w:r w:rsidR="00D81488" w:rsidRPr="000D1695">
        <w:t>ienhardt</w:t>
      </w:r>
      <w:r w:rsidR="009C184D" w:rsidRPr="000D1695">
        <w:t xml:space="preserve"> as “an expert in the area of forensic testing of controlled substances, specifically heroin, cocaine base, and alprazolam</w:t>
      </w:r>
      <w:r w:rsidR="00F732A2" w:rsidRPr="000D1695">
        <w:t>.</w:t>
      </w:r>
      <w:r w:rsidR="009C184D" w:rsidRPr="000D1695">
        <w:t>”</w:t>
      </w:r>
    </w:p>
    <w:p w14:paraId="2B1EB87D" w14:textId="54281624" w:rsidR="007846FC" w:rsidRPr="000D1695" w:rsidRDefault="007846FC" w:rsidP="001B318E">
      <w:r w:rsidRPr="000D1695">
        <w:tab/>
      </w:r>
      <w:r w:rsidR="00F5447D" w:rsidRPr="000D1695">
        <w:t>Rienhardt</w:t>
      </w:r>
      <w:r w:rsidRPr="000D1695">
        <w:t xml:space="preserve"> then testified </w:t>
      </w:r>
      <w:r w:rsidR="0021737A" w:rsidRPr="000D1695">
        <w:t>regarding</w:t>
      </w:r>
      <w:r w:rsidRPr="000D1695">
        <w:t xml:space="preserve"> the process by which “evidence comes into the lab to be tested after it’s been seized by the police.”  </w:t>
      </w:r>
      <w:r w:rsidR="00F5447D" w:rsidRPr="000D1695">
        <w:t>Rienhardt</w:t>
      </w:r>
      <w:r w:rsidRPr="000D1695">
        <w:t xml:space="preserve">’s testimony, along with </w:t>
      </w:r>
      <w:r w:rsidR="0073341E" w:rsidRPr="000D1695">
        <w:t>Sergeant</w:t>
      </w:r>
      <w:r w:rsidRPr="000D1695">
        <w:t xml:space="preserve"> Simmont’s, </w:t>
      </w:r>
      <w:r w:rsidR="00B11D1D" w:rsidRPr="000D1695">
        <w:t xml:space="preserve">established </w:t>
      </w:r>
      <w:r w:rsidR="007C6E19" w:rsidRPr="000D1695">
        <w:t xml:space="preserve">that </w:t>
      </w:r>
      <w:r w:rsidR="00F5447D" w:rsidRPr="000D1695">
        <w:t>Rienhardt</w:t>
      </w:r>
      <w:r w:rsidR="007C6E19" w:rsidRPr="000D1695">
        <w:t xml:space="preserve"> examined the pills recovered from defendant</w:t>
      </w:r>
      <w:r w:rsidR="00271F2E" w:rsidRPr="000D1695">
        <w:t xml:space="preserve">.  </w:t>
      </w:r>
      <w:r w:rsidR="00B14B85" w:rsidRPr="000D1695">
        <w:t xml:space="preserve">The prosecutor </w:t>
      </w:r>
      <w:r w:rsidR="00030D51" w:rsidRPr="000D1695">
        <w:t xml:space="preserve">then </w:t>
      </w:r>
      <w:r w:rsidR="00B14B85" w:rsidRPr="000D1695">
        <w:t xml:space="preserve">asked </w:t>
      </w:r>
      <w:r w:rsidR="00F5447D" w:rsidRPr="000D1695">
        <w:t>Rienhardt</w:t>
      </w:r>
      <w:r w:rsidR="00B14B85" w:rsidRPr="000D1695">
        <w:t xml:space="preserve"> if he was “able to identify the contents”</w:t>
      </w:r>
      <w:r w:rsidR="004A72D4" w:rsidRPr="000D1695">
        <w:t xml:space="preserve"> of</w:t>
      </w:r>
      <w:r w:rsidR="00B14B85" w:rsidRPr="000D1695">
        <w:t xml:space="preserve"> the pills</w:t>
      </w:r>
      <w:r w:rsidR="001702ED" w:rsidRPr="000D1695">
        <w:t xml:space="preserve">.  </w:t>
      </w:r>
      <w:r w:rsidR="00F5447D" w:rsidRPr="000D1695">
        <w:t>Rienhardt</w:t>
      </w:r>
      <w:r w:rsidR="00B14B85" w:rsidRPr="000D1695">
        <w:t xml:space="preserve"> responded affirmatively.  </w:t>
      </w:r>
      <w:r w:rsidR="000E3C1D" w:rsidRPr="000D1695">
        <w:t>When</w:t>
      </w:r>
      <w:r w:rsidR="00B14B85" w:rsidRPr="000D1695">
        <w:t xml:space="preserve"> </w:t>
      </w:r>
      <w:r w:rsidR="008A071C">
        <w:t xml:space="preserve">the </w:t>
      </w:r>
      <w:r w:rsidR="00B14B85" w:rsidRPr="000D1695">
        <w:t xml:space="preserve">prosecutor inquired about the method by which </w:t>
      </w:r>
      <w:r w:rsidR="00F5447D" w:rsidRPr="000D1695">
        <w:t>Rienhardt</w:t>
      </w:r>
      <w:r w:rsidR="00B14B85" w:rsidRPr="000D1695">
        <w:t xml:space="preserve"> performed the identification, </w:t>
      </w:r>
      <w:r w:rsidR="00F5447D" w:rsidRPr="000D1695">
        <w:t>Rienhardt</w:t>
      </w:r>
      <w:r w:rsidR="00B14B85" w:rsidRPr="000D1695">
        <w:t xml:space="preserve"> explaine</w:t>
      </w:r>
      <w:r w:rsidR="00CA568C" w:rsidRPr="000D1695">
        <w:t xml:space="preserve">d </w:t>
      </w:r>
      <w:r w:rsidR="00B14B85" w:rsidRPr="000D1695">
        <w:t xml:space="preserve">he used “a database that </w:t>
      </w:r>
      <w:r w:rsidR="001B5E23" w:rsidRPr="000D1695">
        <w:t>[he]</w:t>
      </w:r>
      <w:r w:rsidR="00B14B85" w:rsidRPr="000D1695">
        <w:t xml:space="preserve"> searched against [] the logos that were on the tablets.”  </w:t>
      </w:r>
      <w:r w:rsidR="0014752C" w:rsidRPr="000D1695">
        <w:t>Following up on the explanation</w:t>
      </w:r>
      <w:r w:rsidR="00B14B85" w:rsidRPr="000D1695">
        <w:t xml:space="preserve">, </w:t>
      </w:r>
      <w:r w:rsidR="0014752C" w:rsidRPr="000D1695">
        <w:t>the prosecut</w:t>
      </w:r>
      <w:r w:rsidR="007C1DFC" w:rsidRPr="000D1695">
        <w:t>or</w:t>
      </w:r>
      <w:r w:rsidR="0014752C" w:rsidRPr="000D1695">
        <w:t xml:space="preserve"> </w:t>
      </w:r>
      <w:r w:rsidR="00B14B85" w:rsidRPr="000D1695">
        <w:t>ask</w:t>
      </w:r>
      <w:r w:rsidR="0014752C" w:rsidRPr="000D1695">
        <w:t>ed,</w:t>
      </w:r>
      <w:r w:rsidR="00B14B85" w:rsidRPr="000D1695">
        <w:t xml:space="preserve"> “Is that the generally accepted method of testing for this kind of substance in the scientific community?”  </w:t>
      </w:r>
      <w:r w:rsidR="00F5447D" w:rsidRPr="000D1695">
        <w:t>Rienhardt</w:t>
      </w:r>
      <w:r w:rsidR="00B14B85" w:rsidRPr="000D1695">
        <w:t xml:space="preserve"> confirmed </w:t>
      </w:r>
      <w:r w:rsidR="00B14B85" w:rsidRPr="000D1695">
        <w:lastRenderedPageBreak/>
        <w:t>that it was.  He then opined that</w:t>
      </w:r>
      <w:r w:rsidR="00E055A6">
        <w:t>,</w:t>
      </w:r>
      <w:r w:rsidR="00B14B85" w:rsidRPr="000D1695">
        <w:t xml:space="preserve"> </w:t>
      </w:r>
      <w:proofErr w:type="gramStart"/>
      <w:r w:rsidR="00B14B85" w:rsidRPr="000D1695">
        <w:t>as a result</w:t>
      </w:r>
      <w:r w:rsidR="00A4350A" w:rsidRPr="000D1695">
        <w:t xml:space="preserve"> of</w:t>
      </w:r>
      <w:proofErr w:type="gramEnd"/>
      <w:r w:rsidR="00A4350A" w:rsidRPr="000D1695">
        <w:t xml:space="preserve"> following this method, he “found the tablets to contain alprazolam.”</w:t>
      </w:r>
    </w:p>
    <w:p w14:paraId="23DB8CCA" w14:textId="6E93023B" w:rsidR="00BD6F7F" w:rsidRPr="000D1695" w:rsidRDefault="00BD6F7F" w:rsidP="001B318E">
      <w:r w:rsidRPr="000D1695">
        <w:tab/>
        <w:t xml:space="preserve">On cross-examination, </w:t>
      </w:r>
      <w:r w:rsidR="001D7257" w:rsidRPr="000D1695">
        <w:t xml:space="preserve">defense counsel </w:t>
      </w:r>
      <w:r w:rsidR="00597199" w:rsidRPr="000D1695">
        <w:t xml:space="preserve">attempted to cast doubt on </w:t>
      </w:r>
      <w:r w:rsidR="00F5447D" w:rsidRPr="000D1695">
        <w:t>Rienhardt</w:t>
      </w:r>
      <w:r w:rsidR="00597199" w:rsidRPr="000D1695">
        <w:t xml:space="preserve">’s identification.  </w:t>
      </w:r>
      <w:r w:rsidR="001F2200" w:rsidRPr="000D1695">
        <w:t>Counsel first</w:t>
      </w:r>
      <w:r w:rsidR="00597199" w:rsidRPr="000D1695">
        <w:t xml:space="preserve"> asked whether </w:t>
      </w:r>
      <w:r w:rsidR="00F5447D" w:rsidRPr="000D1695">
        <w:t>Rienhardt</w:t>
      </w:r>
      <w:r w:rsidR="00597199" w:rsidRPr="000D1695">
        <w:t xml:space="preserve"> performed chemical tests on the pills</w:t>
      </w:r>
      <w:r w:rsidR="00272704" w:rsidRPr="000D1695">
        <w:t>.</w:t>
      </w:r>
      <w:r w:rsidR="00597199" w:rsidRPr="000D1695">
        <w:t xml:space="preserve"> </w:t>
      </w:r>
      <w:r w:rsidR="00272704" w:rsidRPr="000D1695">
        <w:t xml:space="preserve"> </w:t>
      </w:r>
      <w:r w:rsidR="00F5447D" w:rsidRPr="000D1695">
        <w:t>Rienhardt</w:t>
      </w:r>
      <w:r w:rsidR="00597199" w:rsidRPr="000D1695">
        <w:t xml:space="preserve"> </w:t>
      </w:r>
      <w:r w:rsidR="00BF23B7" w:rsidRPr="000D1695">
        <w:t xml:space="preserve">said </w:t>
      </w:r>
      <w:r w:rsidR="00272704" w:rsidRPr="000D1695">
        <w:t>he did not and</w:t>
      </w:r>
      <w:r w:rsidR="001737D4" w:rsidRPr="000D1695">
        <w:t xml:space="preserve"> </w:t>
      </w:r>
      <w:r w:rsidR="00BF23B7" w:rsidRPr="000D1695">
        <w:t xml:space="preserve">explained </w:t>
      </w:r>
      <w:r w:rsidR="003F7E6A" w:rsidRPr="000D1695">
        <w:t xml:space="preserve">that </w:t>
      </w:r>
      <w:r w:rsidR="009629D3" w:rsidRPr="000D1695">
        <w:t xml:space="preserve">such </w:t>
      </w:r>
      <w:r w:rsidR="00830624" w:rsidRPr="000D1695">
        <w:t>tests were</w:t>
      </w:r>
      <w:r w:rsidR="00BF23B7" w:rsidRPr="000D1695">
        <w:t xml:space="preserve"> not the procedure </w:t>
      </w:r>
      <w:r w:rsidR="00807A18" w:rsidRPr="000D1695">
        <w:t>followed by</w:t>
      </w:r>
      <w:r w:rsidR="00BF23B7" w:rsidRPr="000D1695">
        <w:t xml:space="preserve"> the San Mateo Forensic Laboratory.  </w:t>
      </w:r>
      <w:r w:rsidR="00A514D9" w:rsidRPr="000D1695">
        <w:t xml:space="preserve">Counsel then suggested that </w:t>
      </w:r>
      <w:r w:rsidR="005D005A" w:rsidRPr="000D1695">
        <w:t xml:space="preserve">a visual </w:t>
      </w:r>
      <w:r w:rsidR="00A905AA" w:rsidRPr="000D1695">
        <w:t>examination</w:t>
      </w:r>
      <w:r w:rsidR="005D005A" w:rsidRPr="000D1695">
        <w:t xml:space="preserve"> did not rule out the possibility that </w:t>
      </w:r>
      <w:r w:rsidR="00A514D9" w:rsidRPr="000D1695">
        <w:t xml:space="preserve">the tablets “could be something else.”  </w:t>
      </w:r>
      <w:r w:rsidR="00F5447D" w:rsidRPr="000D1695">
        <w:t>Rienhardt</w:t>
      </w:r>
      <w:r w:rsidR="00297CA2" w:rsidRPr="000D1695">
        <w:t xml:space="preserve">’s response indicated why </w:t>
      </w:r>
      <w:r w:rsidR="000F2C6E" w:rsidRPr="000D1695">
        <w:t xml:space="preserve">he did not </w:t>
      </w:r>
      <w:r w:rsidR="0061567E" w:rsidRPr="000D1695">
        <w:t>believe</w:t>
      </w:r>
      <w:r w:rsidR="000F2C6E" w:rsidRPr="000D1695">
        <w:t xml:space="preserve"> the tablets were “something else.”  A</w:t>
      </w:r>
      <w:r w:rsidR="00BA6485" w:rsidRPr="000D1695">
        <w:t xml:space="preserve">ccording to </w:t>
      </w:r>
      <w:r w:rsidR="00F5447D" w:rsidRPr="000D1695">
        <w:t>Rienhardt</w:t>
      </w:r>
      <w:r w:rsidR="00BA6485" w:rsidRPr="000D1695">
        <w:t xml:space="preserve">, </w:t>
      </w:r>
      <w:r w:rsidR="00C51C89" w:rsidRPr="000D1695">
        <w:t xml:space="preserve">when </w:t>
      </w:r>
      <w:r w:rsidR="00BA6485" w:rsidRPr="000D1695">
        <w:t>“there’s a controlled substance in the tablet, the FDA requires companies to have a distinct imprint on those tablets to differentiate it from any other tablets.  The FDA regulates that.  [</w:t>
      </w:r>
      <w:proofErr w:type="gramStart"/>
      <w:r w:rsidR="00BA6485" w:rsidRPr="000D1695">
        <w:t>¶]  And</w:t>
      </w:r>
      <w:proofErr w:type="gramEnd"/>
      <w:r w:rsidR="00BA6485" w:rsidRPr="000D1695">
        <w:t xml:space="preserve"> if there’s a tablet that has — in this case GG32 — or 249 [</w:t>
      </w:r>
      <w:r w:rsidR="00CA6127" w:rsidRPr="000D1695">
        <w:t>as</w:t>
      </w:r>
      <w:r w:rsidR="00BA6485" w:rsidRPr="000D1695">
        <w:t xml:space="preserve"> a</w:t>
      </w:r>
      <w:r w:rsidR="000F2EED">
        <w:t>n imprint</w:t>
      </w:r>
      <w:r w:rsidR="00BA6485" w:rsidRPr="000D1695">
        <w:t>] — you can look that up.  And it’s going to tell you that it contains alprazolam, 2</w:t>
      </w:r>
      <w:r w:rsidR="00BF2AAF">
        <w:t> </w:t>
      </w:r>
      <w:r w:rsidR="00BA6485" w:rsidRPr="000D1695">
        <w:t>milligrams.  And that’s — we trust that, all those regulations being in place, to say that there’s alprazolam in those tablets.”</w:t>
      </w:r>
      <w:r w:rsidR="00D60F0A" w:rsidRPr="000D1695">
        <w:t xml:space="preserve">  </w:t>
      </w:r>
      <w:r w:rsidR="004C0084" w:rsidRPr="000D1695">
        <w:t>Rienhardt conceded, however, that he did not “know who put those little letters” on the tabl</w:t>
      </w:r>
      <w:r w:rsidR="00FE4697" w:rsidRPr="000D1695">
        <w:t>ets</w:t>
      </w:r>
      <w:r w:rsidR="004C0084" w:rsidRPr="000D1695">
        <w:t>.</w:t>
      </w:r>
    </w:p>
    <w:p w14:paraId="65BEEC0F" w14:textId="55259CF0" w:rsidR="003C7984" w:rsidRPr="000D1695" w:rsidRDefault="003C7984" w:rsidP="001B318E">
      <w:r w:rsidRPr="000D1695">
        <w:tab/>
        <w:t xml:space="preserve">At the end of the </w:t>
      </w:r>
      <w:r w:rsidR="0045237B" w:rsidRPr="000D1695">
        <w:t>prosecut</w:t>
      </w:r>
      <w:r w:rsidR="00B66CCA" w:rsidRPr="000D1695">
        <w:t>or</w:t>
      </w:r>
      <w:r w:rsidR="00CC17E5" w:rsidRPr="000D1695">
        <w:t xml:space="preserve">’s </w:t>
      </w:r>
      <w:r w:rsidR="008A2E78" w:rsidRPr="000D1695">
        <w:t>presentation of evidence</w:t>
      </w:r>
      <w:r w:rsidR="00301DCA">
        <w:t>,</w:t>
      </w:r>
      <w:r w:rsidR="00DE7514" w:rsidRPr="000D1695">
        <w:t xml:space="preserve"> and outside of the presence of the jury</w:t>
      </w:r>
      <w:r w:rsidR="008A2E78" w:rsidRPr="000D1695">
        <w:t xml:space="preserve">, defendant moved for acquittal under </w:t>
      </w:r>
      <w:r w:rsidRPr="000D1695">
        <w:t>Penal Code section 1118.1</w:t>
      </w:r>
      <w:r w:rsidR="00F50350" w:rsidRPr="000D1695">
        <w:t xml:space="preserve">.  </w:t>
      </w:r>
      <w:r w:rsidR="005339B9" w:rsidRPr="000D1695">
        <w:t xml:space="preserve">Defendant </w:t>
      </w:r>
      <w:r w:rsidR="009808F4" w:rsidRPr="000D1695">
        <w:t xml:space="preserve">faulted the prosecution for not having performed a “traditional test . . . where you actually test the substance.”  </w:t>
      </w:r>
      <w:r w:rsidR="00952A07" w:rsidRPr="000D1695">
        <w:t xml:space="preserve">“The only evidence provided,” claimed defendant, was “a visual test to compare that it’s a Xanax pill,” and “that’s [not] enough for the </w:t>
      </w:r>
      <w:proofErr w:type="gramStart"/>
      <w:r w:rsidR="00952A07" w:rsidRPr="000D1695">
        <w:t>jury .</w:t>
      </w:r>
      <w:proofErr w:type="gramEnd"/>
      <w:r w:rsidR="004E139D">
        <w:t> </w:t>
      </w:r>
      <w:r w:rsidR="00952A07" w:rsidRPr="000D1695">
        <w:t>.</w:t>
      </w:r>
      <w:r w:rsidR="004E139D">
        <w:t> </w:t>
      </w:r>
      <w:r w:rsidR="00952A07" w:rsidRPr="000D1695">
        <w:t xml:space="preserve">. to go back and deliberate about.”  </w:t>
      </w:r>
      <w:r w:rsidR="00F50350" w:rsidRPr="000D1695">
        <w:t>The court denied the motion</w:t>
      </w:r>
      <w:r w:rsidR="0026290C" w:rsidRPr="000D1695">
        <w:t xml:space="preserve">.  As it explained, </w:t>
      </w:r>
      <w:r w:rsidR="001D1B33" w:rsidRPr="000D1695">
        <w:t>“Mr. Rienhardt testified that method that he used is the one generally accepted in the scientific community</w:t>
      </w:r>
      <w:r w:rsidR="001871F1" w:rsidRPr="000D1695">
        <w:t xml:space="preserve">.  </w:t>
      </w:r>
      <w:r w:rsidR="001D1B33" w:rsidRPr="000D1695">
        <w:t xml:space="preserve">The jury </w:t>
      </w:r>
      <w:r w:rsidR="001D1B33" w:rsidRPr="000D1695">
        <w:lastRenderedPageBreak/>
        <w:t>can decide what weight to give the fact that they were identified by physical form and not by a chemical test.  But Mr.</w:t>
      </w:r>
      <w:r w:rsidR="00BF2AAF">
        <w:t> </w:t>
      </w:r>
      <w:proofErr w:type="spellStart"/>
      <w:r w:rsidR="001D1B33" w:rsidRPr="000D1695">
        <w:t>Rienhardt’s</w:t>
      </w:r>
      <w:proofErr w:type="spellEnd"/>
      <w:r w:rsidR="001D1B33" w:rsidRPr="000D1695">
        <w:t xml:space="preserve"> testimony gives the </w:t>
      </w:r>
      <w:proofErr w:type="spellStart"/>
      <w:r w:rsidR="001D1B33" w:rsidRPr="000D1695">
        <w:t>jur</w:t>
      </w:r>
      <w:proofErr w:type="spellEnd"/>
      <w:r w:rsidR="0094338A" w:rsidRPr="000D1695">
        <w:t>[</w:t>
      </w:r>
      <w:proofErr w:type="spellStart"/>
      <w:r w:rsidR="0094338A" w:rsidRPr="000D1695">
        <w:t>ors</w:t>
      </w:r>
      <w:proofErr w:type="spellEnd"/>
      <w:r w:rsidR="0094338A" w:rsidRPr="000D1695">
        <w:t>]</w:t>
      </w:r>
      <w:r w:rsidR="001D1B33" w:rsidRPr="000D1695">
        <w:t xml:space="preserve"> enough information from which they can make that determination themselves.”  </w:t>
      </w:r>
      <w:r w:rsidR="003C4ACB">
        <w:t xml:space="preserve">Defense </w:t>
      </w:r>
      <w:r w:rsidR="007C5400">
        <w:t>counsel</w:t>
      </w:r>
      <w:r w:rsidR="003C4ACB">
        <w:t xml:space="preserve"> </w:t>
      </w:r>
      <w:r w:rsidR="006C5A11">
        <w:t>then argued to the jury during closing statement</w:t>
      </w:r>
      <w:r w:rsidR="00B86DC3">
        <w:t>s</w:t>
      </w:r>
      <w:r w:rsidR="006C5A11">
        <w:t xml:space="preserve"> that the drug identification procedure employed was </w:t>
      </w:r>
      <w:r w:rsidR="00831E4A">
        <w:t>faulty</w:t>
      </w:r>
      <w:r w:rsidR="006353DF">
        <w:t xml:space="preserve">.  </w:t>
      </w:r>
      <w:r w:rsidR="00FA13A3">
        <w:t>C</w:t>
      </w:r>
      <w:r w:rsidR="007C5400">
        <w:t>ounsel</w:t>
      </w:r>
      <w:r w:rsidR="006353DF">
        <w:t xml:space="preserve"> emphasized that Rienhardt “didn’t test the Xanax” and </w:t>
      </w:r>
      <w:r w:rsidR="00B67D25">
        <w:t xml:space="preserve">merely </w:t>
      </w:r>
      <w:r w:rsidR="006353DF">
        <w:t xml:space="preserve">“guess[ed] it’s </w:t>
      </w:r>
      <w:proofErr w:type="gramStart"/>
      <w:r w:rsidR="006353DF">
        <w:t>Xa</w:t>
      </w:r>
      <w:r w:rsidR="00E03E58">
        <w:t>n</w:t>
      </w:r>
      <w:r w:rsidR="006353DF">
        <w:t>ax</w:t>
      </w:r>
      <w:r w:rsidR="003847A7">
        <w:t xml:space="preserve"> </w:t>
      </w:r>
      <w:r w:rsidR="006353DF">
        <w:t>.</w:t>
      </w:r>
      <w:proofErr w:type="gramEnd"/>
      <w:r w:rsidR="006353DF">
        <w:t xml:space="preserve"> . . </w:t>
      </w:r>
      <w:r w:rsidR="00A74D95">
        <w:t xml:space="preserve">[by] </w:t>
      </w:r>
      <w:r w:rsidR="006353DF">
        <w:t>look[</w:t>
      </w:r>
      <w:proofErr w:type="spellStart"/>
      <w:r w:rsidR="006353DF">
        <w:t>ing</w:t>
      </w:r>
      <w:proofErr w:type="spellEnd"/>
      <w:r w:rsidR="006353DF">
        <w:t xml:space="preserve">] at the picture” from </w:t>
      </w:r>
      <w:r w:rsidR="00B57D7E">
        <w:t xml:space="preserve">the </w:t>
      </w:r>
      <w:r w:rsidR="006353DF">
        <w:t xml:space="preserve">database.  </w:t>
      </w:r>
      <w:r w:rsidR="001871F1" w:rsidRPr="000D1695">
        <w:t xml:space="preserve">The jury </w:t>
      </w:r>
      <w:r w:rsidR="001343D2" w:rsidRPr="000D1695">
        <w:t xml:space="preserve">subsequently </w:t>
      </w:r>
      <w:r w:rsidR="001871F1" w:rsidRPr="000D1695">
        <w:t xml:space="preserve">convicted defendant </w:t>
      </w:r>
      <w:r w:rsidR="00E84667" w:rsidRPr="000D1695">
        <w:t xml:space="preserve">of </w:t>
      </w:r>
      <w:r w:rsidR="001871F1" w:rsidRPr="000D1695">
        <w:t>possessi</w:t>
      </w:r>
      <w:r w:rsidR="00376EC0" w:rsidRPr="000D1695">
        <w:t>ng</w:t>
      </w:r>
      <w:r w:rsidR="001871F1" w:rsidRPr="000D1695">
        <w:t xml:space="preserve"> alprazolam.</w:t>
      </w:r>
    </w:p>
    <w:p w14:paraId="108D11DB" w14:textId="5BC39255" w:rsidR="004635CE" w:rsidRPr="000D1695" w:rsidRDefault="008E1CA4" w:rsidP="001B318E">
      <w:r w:rsidRPr="000D1695">
        <w:tab/>
        <w:t>Defendant appealed his conviction.</w:t>
      </w:r>
      <w:r w:rsidR="00D15654" w:rsidRPr="000D1695">
        <w:t xml:space="preserve">  Before the Court of Appeal, as here, defendant contended </w:t>
      </w:r>
      <w:r w:rsidR="00F22664" w:rsidRPr="000D1695">
        <w:t xml:space="preserve">“his conviction must be reversed because Rienhardt’s testimony relayed case-specific hearsay to the jury which was improper under </w:t>
      </w:r>
      <w:r w:rsidR="00F22664" w:rsidRPr="000D1695">
        <w:rPr>
          <w:i/>
          <w:iCs/>
        </w:rPr>
        <w:t>Sanchez</w:t>
      </w:r>
      <w:r w:rsidR="00F22664" w:rsidRPr="000D1695">
        <w:t>.”  (</w:t>
      </w:r>
      <w:r w:rsidR="00F22664" w:rsidRPr="000D1695">
        <w:rPr>
          <w:i/>
          <w:iCs/>
        </w:rPr>
        <w:t>Veamatahau</w:t>
      </w:r>
      <w:r w:rsidR="00F22664" w:rsidRPr="000D1695">
        <w:t xml:space="preserve">, </w:t>
      </w:r>
      <w:r w:rsidR="00F22664" w:rsidRPr="000D1695">
        <w:rPr>
          <w:i/>
          <w:iCs/>
        </w:rPr>
        <w:t>supra</w:t>
      </w:r>
      <w:r w:rsidR="00F22664" w:rsidRPr="000D1695">
        <w:t>, 24 Cal.App.5th at p. 72.)</w:t>
      </w:r>
      <w:r w:rsidR="008528F2" w:rsidRPr="000D1695">
        <w:t xml:space="preserve">  The </w:t>
      </w:r>
      <w:r w:rsidR="00FB67A3" w:rsidRPr="000D1695">
        <w:t xml:space="preserve">appellate </w:t>
      </w:r>
      <w:r w:rsidR="008528F2" w:rsidRPr="000D1695">
        <w:t>court rejected the argumen</w:t>
      </w:r>
      <w:r w:rsidR="00E02B44" w:rsidRPr="000D1695">
        <w:t>t</w:t>
      </w:r>
      <w:r w:rsidR="00B673B1" w:rsidRPr="000D1695">
        <w:t xml:space="preserve">, </w:t>
      </w:r>
      <w:r w:rsidR="001F410A" w:rsidRPr="000D1695">
        <w:t xml:space="preserve">finding that </w:t>
      </w:r>
      <w:r w:rsidR="00B673B1" w:rsidRPr="000D1695">
        <w:t>“the only ‘case-specific’ fact here concerned the markings Rienhardt saw on the pills recovered from defendant.”  (</w:t>
      </w:r>
      <w:r w:rsidR="00B673B1" w:rsidRPr="000D1695">
        <w:rPr>
          <w:i/>
          <w:iCs/>
        </w:rPr>
        <w:t xml:space="preserve">Id. </w:t>
      </w:r>
      <w:r w:rsidR="00B673B1" w:rsidRPr="000D1695">
        <w:t xml:space="preserve">at p. 74.)  </w:t>
      </w:r>
      <w:r w:rsidR="002F524E" w:rsidRPr="000D1695">
        <w:t>However,</w:t>
      </w:r>
      <w:r w:rsidR="0018010E" w:rsidRPr="000D1695">
        <w:t xml:space="preserve"> </w:t>
      </w:r>
      <w:r w:rsidR="00F5447D" w:rsidRPr="000D1695">
        <w:t xml:space="preserve">Rienhardt’s “testimony about the appearance of the pills was not </w:t>
      </w:r>
      <w:proofErr w:type="gramStart"/>
      <w:r w:rsidR="00F5447D" w:rsidRPr="000D1695">
        <w:t>hearsay</w:t>
      </w:r>
      <w:r w:rsidR="0018010E" w:rsidRPr="000D1695">
        <w:t xml:space="preserve"> .</w:t>
      </w:r>
      <w:proofErr w:type="gramEnd"/>
      <w:r w:rsidR="006A7828">
        <w:t> </w:t>
      </w:r>
      <w:r w:rsidR="0018010E" w:rsidRPr="000D1695">
        <w:t>.</w:t>
      </w:r>
      <w:r w:rsidR="006A7828">
        <w:t> </w:t>
      </w:r>
      <w:r w:rsidR="0018010E" w:rsidRPr="000D1695">
        <w:t>.</w:t>
      </w:r>
      <w:r w:rsidR="00F5447D" w:rsidRPr="000D1695">
        <w:t xml:space="preserve"> because it was based on his personal observation.”  (</w:t>
      </w:r>
      <w:r w:rsidR="00F5447D" w:rsidRPr="000D1695">
        <w:rPr>
          <w:i/>
          <w:iCs/>
        </w:rPr>
        <w:t>Ibid.</w:t>
      </w:r>
      <w:r w:rsidR="00F5447D" w:rsidRPr="000D1695">
        <w:t xml:space="preserve">)  </w:t>
      </w:r>
      <w:r w:rsidR="006172EA" w:rsidRPr="000D1695">
        <w:t xml:space="preserve">What was not based on Rienhardt’s personal knowledge was information </w:t>
      </w:r>
      <w:r w:rsidR="00D1200A" w:rsidRPr="000D1695">
        <w:t xml:space="preserve">obtained </w:t>
      </w:r>
      <w:r w:rsidR="006172EA" w:rsidRPr="000D1695">
        <w:t xml:space="preserve">from the database, but this information “was not about the specific pills seized from defendant, but generally about what pills containing certain chemicals look like.”  </w:t>
      </w:r>
      <w:r w:rsidR="0082376F" w:rsidRPr="000D1695">
        <w:t>(</w:t>
      </w:r>
      <w:r w:rsidR="0082376F" w:rsidRPr="000D1695">
        <w:rPr>
          <w:i/>
          <w:iCs/>
        </w:rPr>
        <w:t xml:space="preserve">Id. </w:t>
      </w:r>
      <w:r w:rsidR="0082376F" w:rsidRPr="000D1695">
        <w:t>at p. 75</w:t>
      </w:r>
      <w:r w:rsidR="003619A7">
        <w:t>, fn. omitted</w:t>
      </w:r>
      <w:r w:rsidR="0082376F" w:rsidRPr="000D1695">
        <w:t xml:space="preserve">.)  </w:t>
      </w:r>
      <w:r w:rsidR="009F36CA" w:rsidRPr="000D1695">
        <w:t>Although</w:t>
      </w:r>
      <w:r w:rsidR="0082376F" w:rsidRPr="000D1695">
        <w:t xml:space="preserve"> the information </w:t>
      </w:r>
      <w:r w:rsidR="00880E1B" w:rsidRPr="000D1695">
        <w:t>“</w:t>
      </w:r>
      <w:r w:rsidR="0082376F" w:rsidRPr="000D1695">
        <w:t xml:space="preserve">is </w:t>
      </w:r>
      <w:r w:rsidR="00880E1B" w:rsidRPr="000D1695">
        <w:t xml:space="preserve">clearly </w:t>
      </w:r>
      <w:r w:rsidR="0082376F" w:rsidRPr="000D1695">
        <w:t xml:space="preserve">hearsay, </w:t>
      </w:r>
      <w:r w:rsidR="007E6BF9" w:rsidRPr="000D1695">
        <w:t>it is the type of background information which has always been admissible under state evidentiary law</w:t>
      </w:r>
      <w:r w:rsidR="0082376F" w:rsidRPr="000D1695">
        <w:t>.”  (</w:t>
      </w:r>
      <w:r w:rsidR="0082376F" w:rsidRPr="000D1695">
        <w:rPr>
          <w:i/>
          <w:iCs/>
        </w:rPr>
        <w:t>Ibid.</w:t>
      </w:r>
      <w:r w:rsidR="003619A7">
        <w:rPr>
          <w:iCs/>
        </w:rPr>
        <w:t>, fn. omitted.</w:t>
      </w:r>
      <w:r w:rsidR="0082376F" w:rsidRPr="000D1695">
        <w:t>)</w:t>
      </w:r>
    </w:p>
    <w:p w14:paraId="5DBD4203" w14:textId="3C9A71B1" w:rsidR="00E57D59" w:rsidRPr="000D1695" w:rsidRDefault="004635CE" w:rsidP="001B318E">
      <w:r w:rsidRPr="000D1695">
        <w:tab/>
        <w:t xml:space="preserve">The Court of Appeal thus found that </w:t>
      </w:r>
      <w:r w:rsidR="001B7CC2" w:rsidRPr="000D1695">
        <w:t>R</w:t>
      </w:r>
      <w:r w:rsidR="00F4147D" w:rsidRPr="000D1695">
        <w:t>ie</w:t>
      </w:r>
      <w:r w:rsidR="001B7CC2" w:rsidRPr="000D1695">
        <w:t>nhardt’s testimony was properly admitted.</w:t>
      </w:r>
      <w:r w:rsidRPr="000D1695">
        <w:t xml:space="preserve">  In reaching this conclusion, the court expressly disagree</w:t>
      </w:r>
      <w:r w:rsidR="009A468C" w:rsidRPr="000D1695">
        <w:t>d</w:t>
      </w:r>
      <w:r w:rsidRPr="000D1695">
        <w:t xml:space="preserve"> with </w:t>
      </w:r>
      <w:r w:rsidR="003A057B" w:rsidRPr="000D1695">
        <w:rPr>
          <w:i/>
        </w:rPr>
        <w:t>People v. Stamps</w:t>
      </w:r>
      <w:r w:rsidR="003A057B" w:rsidRPr="000D1695">
        <w:t xml:space="preserve"> (2016) </w:t>
      </w:r>
      <w:r w:rsidR="003A057B" w:rsidRPr="000D1695">
        <w:lastRenderedPageBreak/>
        <w:t>3</w:t>
      </w:r>
      <w:r w:rsidR="00BF2AAF">
        <w:t> </w:t>
      </w:r>
      <w:r w:rsidR="003A057B" w:rsidRPr="000D1695">
        <w:t>Cal.App.5th 988 (</w:t>
      </w:r>
      <w:r w:rsidR="003A057B" w:rsidRPr="000D1695">
        <w:rPr>
          <w:i/>
        </w:rPr>
        <w:t>Stamps</w:t>
      </w:r>
      <w:r w:rsidR="003A057B" w:rsidRPr="000D1695">
        <w:t>)</w:t>
      </w:r>
      <w:r w:rsidR="003A057B" w:rsidRPr="000D1695">
        <w:rPr>
          <w:i/>
        </w:rPr>
        <w:t>,</w:t>
      </w:r>
      <w:r w:rsidR="00A4684E" w:rsidRPr="000D1695">
        <w:rPr>
          <w:i/>
        </w:rPr>
        <w:t xml:space="preserve"> </w:t>
      </w:r>
      <w:r w:rsidR="00A4684E" w:rsidRPr="000D1695">
        <w:t>“a factually similar cas</w:t>
      </w:r>
      <w:r w:rsidR="00C67FE3" w:rsidRPr="000D1695">
        <w:t>e</w:t>
      </w:r>
      <w:r w:rsidR="00A4684E" w:rsidRPr="000D1695">
        <w:t xml:space="preserve">” </w:t>
      </w:r>
      <w:r w:rsidR="00241E88" w:rsidRPr="000D1695">
        <w:t>in which</w:t>
      </w:r>
      <w:r w:rsidR="00A4684E" w:rsidRPr="000D1695">
        <w:t xml:space="preserve"> the court </w:t>
      </w:r>
      <w:r w:rsidR="00C26B98" w:rsidRPr="000D1695">
        <w:t xml:space="preserve">found that the expert’s testimony was inadmissible.  </w:t>
      </w:r>
      <w:r w:rsidR="00E5258B" w:rsidRPr="000D1695">
        <w:t>(</w:t>
      </w:r>
      <w:r w:rsidR="00E5258B" w:rsidRPr="000D1695">
        <w:rPr>
          <w:i/>
        </w:rPr>
        <w:t>Veamatahau</w:t>
      </w:r>
      <w:r w:rsidR="00E5258B" w:rsidRPr="000D1695">
        <w:t xml:space="preserve">, </w:t>
      </w:r>
      <w:r w:rsidR="00E5258B" w:rsidRPr="000D1695">
        <w:rPr>
          <w:i/>
        </w:rPr>
        <w:t>supra</w:t>
      </w:r>
      <w:r w:rsidR="00E5258B" w:rsidRPr="000D1695">
        <w:t>, 24 Cal.App.5th at p. 73.)</w:t>
      </w:r>
      <w:r w:rsidR="00AA5A7F" w:rsidRPr="000D1695">
        <w:t xml:space="preserve">  </w:t>
      </w:r>
      <w:r w:rsidR="008D2069" w:rsidRPr="000D1695">
        <w:t xml:space="preserve">In </w:t>
      </w:r>
      <w:r w:rsidR="00380152" w:rsidRPr="000D1695">
        <w:t>the</w:t>
      </w:r>
      <w:r w:rsidR="008D2069" w:rsidRPr="000D1695">
        <w:t xml:space="preserve"> unpublished portion of its opinion, the </w:t>
      </w:r>
      <w:r w:rsidR="003D7DCB" w:rsidRPr="000D1695">
        <w:rPr>
          <w:i/>
        </w:rPr>
        <w:t xml:space="preserve">Veamatahau </w:t>
      </w:r>
      <w:r w:rsidR="008D2069" w:rsidRPr="000D1695">
        <w:t xml:space="preserve">court also </w:t>
      </w:r>
      <w:r w:rsidR="00504388" w:rsidRPr="000D1695">
        <w:t>rejected defendant’s claim that insufficient evidence supported his conviction.</w:t>
      </w:r>
      <w:r w:rsidR="0064098F" w:rsidRPr="000D1695">
        <w:t xml:space="preserve">  </w:t>
      </w:r>
      <w:r w:rsidR="0090454E" w:rsidRPr="000D1695">
        <w:t>It</w:t>
      </w:r>
      <w:r w:rsidR="0064098F" w:rsidRPr="000D1695">
        <w:t xml:space="preserve"> </w:t>
      </w:r>
      <w:r w:rsidR="00ED7BB6" w:rsidRPr="000D1695">
        <w:t xml:space="preserve">therefore </w:t>
      </w:r>
      <w:r w:rsidR="0064098F" w:rsidRPr="000D1695">
        <w:t>affirmed defendant’s conviction for possession of alprazolam.</w:t>
      </w:r>
    </w:p>
    <w:p w14:paraId="445FE4A0" w14:textId="74E533A6" w:rsidR="008E1CA4" w:rsidRPr="000D1695" w:rsidRDefault="00E57D59" w:rsidP="001B318E">
      <w:r w:rsidRPr="000D1695">
        <w:tab/>
      </w:r>
      <w:r w:rsidR="00BF0ABD">
        <w:t>W</w:t>
      </w:r>
      <w:r w:rsidR="002D297A" w:rsidRPr="000D1695">
        <w:t xml:space="preserve">e granted review to </w:t>
      </w:r>
      <w:r w:rsidR="000803FA" w:rsidRPr="000D1695">
        <w:t>resolve the conflict betwee</w:t>
      </w:r>
      <w:r w:rsidR="008418C4" w:rsidRPr="000D1695">
        <w:t xml:space="preserve">n </w:t>
      </w:r>
      <w:r w:rsidR="00EE6C2C" w:rsidRPr="000D1695">
        <w:t>the decision</w:t>
      </w:r>
      <w:r w:rsidR="008418C4" w:rsidRPr="000D1695">
        <w:t xml:space="preserve"> </w:t>
      </w:r>
      <w:r w:rsidR="00E44827" w:rsidRPr="000D1695">
        <w:t xml:space="preserve">below </w:t>
      </w:r>
      <w:r w:rsidR="008418C4" w:rsidRPr="000D1695">
        <w:t xml:space="preserve">and </w:t>
      </w:r>
      <w:r w:rsidR="008418C4" w:rsidRPr="000D1695">
        <w:rPr>
          <w:i/>
        </w:rPr>
        <w:t>Stamps</w:t>
      </w:r>
      <w:r w:rsidR="008418C4" w:rsidRPr="000D1695">
        <w:t>.</w:t>
      </w:r>
    </w:p>
    <w:p w14:paraId="2CBAE3E1" w14:textId="77777777" w:rsidR="00AF1CBD" w:rsidRPr="000D1695" w:rsidRDefault="00AF1CBD" w:rsidP="001B318E">
      <w:pPr>
        <w:pStyle w:val="Heading1"/>
        <w:spacing w:line="400" w:lineRule="exact"/>
      </w:pPr>
      <w:r w:rsidRPr="000D1695">
        <w:t xml:space="preserve">II.  </w:t>
      </w:r>
      <w:r w:rsidR="005A2F1B" w:rsidRPr="000D1695">
        <w:t>Analysis</w:t>
      </w:r>
    </w:p>
    <w:p w14:paraId="18C4EBF5" w14:textId="343A0FD9" w:rsidR="00A6263A" w:rsidRPr="000D1695" w:rsidRDefault="00A6263A" w:rsidP="001B318E">
      <w:r w:rsidRPr="000D1695">
        <w:tab/>
      </w:r>
      <w:r w:rsidR="008B0D52" w:rsidRPr="000D1695">
        <w:t xml:space="preserve">Our analysis proceeds in two parts.  </w:t>
      </w:r>
      <w:r w:rsidR="00DE6E4D" w:rsidRPr="000D1695">
        <w:t xml:space="preserve">We </w:t>
      </w:r>
      <w:r w:rsidR="00050CA3" w:rsidRPr="000D1695">
        <w:t>begin by</w:t>
      </w:r>
      <w:r w:rsidR="008B0D52" w:rsidRPr="000D1695">
        <w:t xml:space="preserve"> </w:t>
      </w:r>
      <w:r w:rsidR="004C31F6" w:rsidRPr="000D1695">
        <w:t>examin</w:t>
      </w:r>
      <w:r w:rsidR="00050CA3" w:rsidRPr="000D1695">
        <w:t>ing</w:t>
      </w:r>
      <w:r w:rsidR="004C31F6" w:rsidRPr="000D1695">
        <w:t xml:space="preserve"> whether </w:t>
      </w:r>
      <w:r w:rsidR="00D60DA4" w:rsidRPr="000D1695">
        <w:t>the expert</w:t>
      </w:r>
      <w:r w:rsidR="004C31F6" w:rsidRPr="000D1695">
        <w:t xml:space="preserve"> </w:t>
      </w:r>
      <w:r w:rsidR="0097195F" w:rsidRPr="000D1695">
        <w:t xml:space="preserve">related inadmissible case-specific hearsay in testifying </w:t>
      </w:r>
      <w:r w:rsidR="007F6ED9">
        <w:t>to the contents of</w:t>
      </w:r>
      <w:r w:rsidR="0084417D" w:rsidRPr="000D1695">
        <w:t xml:space="preserve"> a database </w:t>
      </w:r>
      <w:r w:rsidR="00FD6829">
        <w:t xml:space="preserve">used </w:t>
      </w:r>
      <w:r w:rsidR="0084417D" w:rsidRPr="000D1695">
        <w:t xml:space="preserve">to identify the chemical composition of </w:t>
      </w:r>
      <w:r w:rsidR="00992507" w:rsidRPr="000D1695">
        <w:t xml:space="preserve">the </w:t>
      </w:r>
      <w:r w:rsidR="0084417D" w:rsidRPr="000D1695">
        <w:t xml:space="preserve">pills recovered from defendant.  </w:t>
      </w:r>
      <w:r w:rsidR="00720263" w:rsidRPr="000D1695">
        <w:t xml:space="preserve">After resolving this question, we </w:t>
      </w:r>
      <w:r w:rsidR="004C31F6" w:rsidRPr="000D1695">
        <w:t xml:space="preserve">consider whether </w:t>
      </w:r>
      <w:r w:rsidR="00AB447F" w:rsidRPr="000D1695">
        <w:t xml:space="preserve">substantial evidence </w:t>
      </w:r>
      <w:r w:rsidR="004C31F6" w:rsidRPr="000D1695">
        <w:t>support</w:t>
      </w:r>
      <w:r w:rsidR="00833FE3" w:rsidRPr="000D1695">
        <w:t>s</w:t>
      </w:r>
      <w:r w:rsidR="004C31F6" w:rsidRPr="000D1695">
        <w:t xml:space="preserve"> defendant’s conviction. </w:t>
      </w:r>
      <w:r w:rsidR="00ED05B4" w:rsidRPr="000D1695">
        <w:t xml:space="preserve"> </w:t>
      </w:r>
      <w:r w:rsidR="004C31F6" w:rsidRPr="000D1695">
        <w:t xml:space="preserve">For the reasons given below, we conclude </w:t>
      </w:r>
      <w:r w:rsidR="00484FC8" w:rsidRPr="000D1695">
        <w:t xml:space="preserve">that </w:t>
      </w:r>
      <w:r w:rsidR="004C31F6" w:rsidRPr="000D1695">
        <w:t>Ri</w:t>
      </w:r>
      <w:r w:rsidR="00475647" w:rsidRPr="000D1695">
        <w:t>e</w:t>
      </w:r>
      <w:r w:rsidR="004C31F6" w:rsidRPr="000D1695">
        <w:t xml:space="preserve">nhardt did not relate case-specific hearsay to the jury and </w:t>
      </w:r>
      <w:r w:rsidR="00996BAE" w:rsidRPr="000D1695">
        <w:t xml:space="preserve">that </w:t>
      </w:r>
      <w:r w:rsidR="004C31F6" w:rsidRPr="000D1695">
        <w:t xml:space="preserve">his testimony — along with other evidence — was </w:t>
      </w:r>
      <w:proofErr w:type="gramStart"/>
      <w:r w:rsidR="00AB447F" w:rsidRPr="000D1695">
        <w:t>sufficient</w:t>
      </w:r>
      <w:proofErr w:type="gramEnd"/>
      <w:r w:rsidR="00AB447F" w:rsidRPr="000D1695">
        <w:t xml:space="preserve"> to allow a rational jury </w:t>
      </w:r>
      <w:r w:rsidR="004C31F6" w:rsidRPr="000D1695">
        <w:t>to convict defendant of possession of alprazolam.</w:t>
      </w:r>
    </w:p>
    <w:p w14:paraId="559CD8D7" w14:textId="77777777" w:rsidR="005A2F1B" w:rsidRPr="000D1695" w:rsidRDefault="005A2F1B" w:rsidP="001B318E">
      <w:pPr>
        <w:pStyle w:val="Heading2"/>
        <w:spacing w:line="400" w:lineRule="exact"/>
      </w:pPr>
      <w:r w:rsidRPr="000D1695">
        <w:t>A.  Whether the Expert Related Inadmissible Case-Specific Hearsay</w:t>
      </w:r>
    </w:p>
    <w:p w14:paraId="14E39B8E" w14:textId="7276CB98" w:rsidR="00F43C0B" w:rsidRDefault="00F25AFC" w:rsidP="001B318E">
      <w:r w:rsidRPr="000D1695">
        <w:tab/>
      </w:r>
      <w:r w:rsidR="000D1B3F" w:rsidRPr="000D1695">
        <w:t xml:space="preserve">As a preliminary matter, </w:t>
      </w:r>
      <w:r w:rsidR="00446B69" w:rsidRPr="000D1695">
        <w:t xml:space="preserve">we note </w:t>
      </w:r>
      <w:r w:rsidR="004121E1" w:rsidRPr="000D1695">
        <w:t xml:space="preserve">that defendant did not </w:t>
      </w:r>
      <w:r w:rsidR="005535A6" w:rsidRPr="000D1695">
        <w:t xml:space="preserve">object at trial </w:t>
      </w:r>
      <w:r w:rsidR="00721528" w:rsidRPr="000D1695">
        <w:t xml:space="preserve">to the introduction of </w:t>
      </w:r>
      <w:r w:rsidR="00435E73" w:rsidRPr="000D1695">
        <w:t>Rienhardt’s testimony.</w:t>
      </w:r>
      <w:r w:rsidR="00F9065E">
        <w:t xml:space="preserve">  </w:t>
      </w:r>
      <w:r w:rsidR="00190F8E">
        <w:t>H</w:t>
      </w:r>
      <w:r w:rsidR="00190F8E" w:rsidRPr="00190F8E">
        <w:t xml:space="preserve">owever, defendant was convicted two days before we issued </w:t>
      </w:r>
      <w:r w:rsidR="00190F8E" w:rsidRPr="00190F8E">
        <w:rPr>
          <w:i/>
        </w:rPr>
        <w:t>Sanchez</w:t>
      </w:r>
      <w:r w:rsidR="00343B48">
        <w:t>, and</w:t>
      </w:r>
      <w:r w:rsidR="0067305C">
        <w:t>,</w:t>
      </w:r>
      <w:r w:rsidR="00343B48">
        <w:t xml:space="preserve"> a</w:t>
      </w:r>
      <w:r w:rsidR="0050532E">
        <w:t>s we have recently decided,</w:t>
      </w:r>
      <w:r w:rsidR="00190F8E">
        <w:t xml:space="preserve"> </w:t>
      </w:r>
      <w:r w:rsidR="00190F8E" w:rsidRPr="000D1695">
        <w:t xml:space="preserve">the failure to object in such circumstances </w:t>
      </w:r>
      <w:r w:rsidR="00C37BE1">
        <w:t xml:space="preserve">does not </w:t>
      </w:r>
      <w:r w:rsidR="00190F8E" w:rsidRPr="000D1695">
        <w:t xml:space="preserve">forfeit a defendant’s </w:t>
      </w:r>
      <w:r w:rsidR="00190F8E" w:rsidRPr="000D1695">
        <w:rPr>
          <w:i/>
        </w:rPr>
        <w:t xml:space="preserve">Sanchez </w:t>
      </w:r>
      <w:r w:rsidR="00190F8E" w:rsidRPr="000D1695">
        <w:t>claim</w:t>
      </w:r>
      <w:r w:rsidR="00C37BE1">
        <w:t>.</w:t>
      </w:r>
      <w:r w:rsidR="00190F8E">
        <w:t xml:space="preserve">  </w:t>
      </w:r>
      <w:r w:rsidR="007D5006">
        <w:t>(</w:t>
      </w:r>
      <w:r w:rsidR="007D5006">
        <w:rPr>
          <w:i/>
        </w:rPr>
        <w:t>People v. Perez</w:t>
      </w:r>
      <w:r w:rsidR="007D5006">
        <w:t xml:space="preserve"> </w:t>
      </w:r>
      <w:r w:rsidR="00D8127B" w:rsidRPr="00293C68">
        <w:rPr>
          <w:szCs w:val="26"/>
        </w:rPr>
        <w:t>(</w:t>
      </w:r>
      <w:r w:rsidR="003D7C4A">
        <w:rPr>
          <w:szCs w:val="26"/>
        </w:rPr>
        <w:t>Feb. 27</w:t>
      </w:r>
      <w:r w:rsidR="00D8127B">
        <w:rPr>
          <w:szCs w:val="26"/>
        </w:rPr>
        <w:t xml:space="preserve">, </w:t>
      </w:r>
      <w:r w:rsidR="00D8127B" w:rsidRPr="00293C68">
        <w:rPr>
          <w:szCs w:val="26"/>
        </w:rPr>
        <w:t>20</w:t>
      </w:r>
      <w:r w:rsidR="00F259C3">
        <w:rPr>
          <w:szCs w:val="26"/>
        </w:rPr>
        <w:t>20</w:t>
      </w:r>
      <w:r w:rsidR="00D8127B">
        <w:rPr>
          <w:szCs w:val="26"/>
        </w:rPr>
        <w:t>, S082101</w:t>
      </w:r>
      <w:r w:rsidR="00D8127B" w:rsidRPr="00293C68">
        <w:rPr>
          <w:szCs w:val="26"/>
        </w:rPr>
        <w:t>) __ Cal.5th __</w:t>
      </w:r>
      <w:r w:rsidR="007D5006">
        <w:t>.)</w:t>
      </w:r>
    </w:p>
    <w:p w14:paraId="06A1609D" w14:textId="055FC1FE" w:rsidR="00EB1889" w:rsidRPr="000D1695" w:rsidRDefault="00F43C0B" w:rsidP="001B318E">
      <w:r>
        <w:lastRenderedPageBreak/>
        <w:tab/>
      </w:r>
      <w:r w:rsidR="006114D5" w:rsidRPr="000D1695">
        <w:t xml:space="preserve">In </w:t>
      </w:r>
      <w:r w:rsidR="006114D5" w:rsidRPr="000D1695">
        <w:rPr>
          <w:i/>
          <w:iCs/>
        </w:rPr>
        <w:t>Sanchez</w:t>
      </w:r>
      <w:r w:rsidR="006114D5" w:rsidRPr="000D1695">
        <w:t xml:space="preserve">, </w:t>
      </w:r>
      <w:r w:rsidR="00704EDB" w:rsidRPr="000D1695">
        <w:t xml:space="preserve">we clarified </w:t>
      </w:r>
      <w:r w:rsidR="000C752E" w:rsidRPr="000D1695">
        <w:t xml:space="preserve">the </w:t>
      </w:r>
      <w:r w:rsidR="001303E0" w:rsidRPr="000D1695">
        <w:t xml:space="preserve">“proper application” </w:t>
      </w:r>
      <w:r w:rsidR="00885201" w:rsidRPr="000D1695">
        <w:t xml:space="preserve">of </w:t>
      </w:r>
      <w:r w:rsidR="004C0AF5" w:rsidRPr="000D1695">
        <w:t xml:space="preserve">our </w:t>
      </w:r>
      <w:r w:rsidR="001303E0" w:rsidRPr="000D1695">
        <w:t>evidentiary law as it relates</w:t>
      </w:r>
      <w:r w:rsidR="009B4CF8" w:rsidRPr="000D1695">
        <w:t xml:space="preserve"> to</w:t>
      </w:r>
      <w:r w:rsidR="007E76A0" w:rsidRPr="000D1695">
        <w:t xml:space="preserve"> </w:t>
      </w:r>
      <w:r w:rsidR="006D5754" w:rsidRPr="000D1695">
        <w:t xml:space="preserve">the intersection of </w:t>
      </w:r>
      <w:r w:rsidR="00F8029E" w:rsidRPr="000D1695">
        <w:t>hearsay</w:t>
      </w:r>
      <w:r w:rsidR="007E76A0" w:rsidRPr="000D1695">
        <w:t xml:space="preserve"> and expert testimony</w:t>
      </w:r>
      <w:r w:rsidR="009B4CF8" w:rsidRPr="000D1695">
        <w:t>.</w:t>
      </w:r>
      <w:r w:rsidR="001303E0" w:rsidRPr="000D1695">
        <w:t xml:space="preserve">  (</w:t>
      </w:r>
      <w:r w:rsidR="001303E0" w:rsidRPr="000D1695">
        <w:rPr>
          <w:i/>
        </w:rPr>
        <w:t>Sanchez</w:t>
      </w:r>
      <w:r w:rsidR="001303E0" w:rsidRPr="000D1695">
        <w:t xml:space="preserve">, </w:t>
      </w:r>
      <w:r w:rsidR="001303E0" w:rsidRPr="000D1695">
        <w:rPr>
          <w:i/>
        </w:rPr>
        <w:t>supra</w:t>
      </w:r>
      <w:r w:rsidR="001303E0" w:rsidRPr="000D1695">
        <w:t>, 63 Cal.4th at p. 670.)</w:t>
      </w:r>
      <w:r w:rsidR="009A1261" w:rsidRPr="000D1695">
        <w:t xml:space="preserve">  </w:t>
      </w:r>
      <w:r w:rsidR="00D43A95" w:rsidRPr="000D1695">
        <w:t>We began by explaining that</w:t>
      </w:r>
      <w:r w:rsidR="009A1261" w:rsidRPr="000D1695">
        <w:t xml:space="preserve"> </w:t>
      </w:r>
      <w:r w:rsidR="004239E7" w:rsidRPr="000D1695">
        <w:t>“[t]he hearsay rule has traditionally not barred an expert’s testimony regarding his general knowledge in his field of expertise.”  (</w:t>
      </w:r>
      <w:r w:rsidR="001303E0" w:rsidRPr="000D1695">
        <w:rPr>
          <w:i/>
        </w:rPr>
        <w:t>Id.</w:t>
      </w:r>
      <w:r w:rsidR="001303E0" w:rsidRPr="000D1695">
        <w:t xml:space="preserve"> at</w:t>
      </w:r>
      <w:r w:rsidR="004239E7" w:rsidRPr="000D1695">
        <w:t xml:space="preserve"> p. 676.)</w:t>
      </w:r>
      <w:r w:rsidR="003301F5" w:rsidRPr="000D1695">
        <w:t xml:space="preserve">  The reason </w:t>
      </w:r>
      <w:r w:rsidR="00535757" w:rsidRPr="000D1695">
        <w:t xml:space="preserve">for this is </w:t>
      </w:r>
      <w:r w:rsidR="00F23DE0" w:rsidRPr="000D1695">
        <w:t>pragmat</w:t>
      </w:r>
      <w:r w:rsidR="00630E51" w:rsidRPr="000D1695">
        <w:t>i</w:t>
      </w:r>
      <w:r w:rsidR="00BA3C61" w:rsidRPr="000D1695">
        <w:t>c</w:t>
      </w:r>
      <w:r w:rsidR="00B45D0F" w:rsidRPr="000D1695">
        <w:t xml:space="preserve">:  </w:t>
      </w:r>
      <w:r w:rsidR="004D419E" w:rsidRPr="000D1695">
        <w:t>because</w:t>
      </w:r>
      <w:r w:rsidR="0035571B" w:rsidRPr="000D1695">
        <w:t xml:space="preserve"> </w:t>
      </w:r>
      <w:proofErr w:type="gramStart"/>
      <w:r w:rsidR="00472734" w:rsidRPr="000D1695">
        <w:t>“</w:t>
      </w:r>
      <w:r w:rsidR="00851C6D" w:rsidRPr="000D1695">
        <w:t> </w:t>
      </w:r>
      <w:r w:rsidR="00472734" w:rsidRPr="000D1695">
        <w:t>‘</w:t>
      </w:r>
      <w:proofErr w:type="gramEnd"/>
      <w:r w:rsidR="00B45D0F" w:rsidRPr="000D1695">
        <w:t>e</w:t>
      </w:r>
      <w:r w:rsidR="00307DCC" w:rsidRPr="000D1695">
        <w:t>xperts frequently acquired their knowledge from hearsay,</w:t>
      </w:r>
      <w:r w:rsidR="0035571B" w:rsidRPr="000D1695">
        <w:t xml:space="preserve"> .</w:t>
      </w:r>
      <w:r w:rsidR="00050967">
        <w:t> </w:t>
      </w:r>
      <w:r w:rsidR="0035571B" w:rsidRPr="000D1695">
        <w:t>.</w:t>
      </w:r>
      <w:r w:rsidR="00050967">
        <w:t> </w:t>
      </w:r>
      <w:r w:rsidR="0035571B" w:rsidRPr="000D1695">
        <w:t>.</w:t>
      </w:r>
      <w:r w:rsidR="00307DCC" w:rsidRPr="000D1695">
        <w:t xml:space="preserve"> “to reject a professional physician or mathematician because the fact or some facts to which he testifies are known to him only upon the authority of others would be to ignore the accepted methods of professional work and to insist </w:t>
      </w:r>
      <w:proofErr w:type="gramStart"/>
      <w:r w:rsidR="00307DCC" w:rsidRPr="000D1695">
        <w:t xml:space="preserve">on </w:t>
      </w:r>
      <w:r w:rsidR="00AA4DE4" w:rsidRPr="000D1695">
        <w:t>.</w:t>
      </w:r>
      <w:proofErr w:type="gramEnd"/>
      <w:r w:rsidR="002A5F9D">
        <w:t> </w:t>
      </w:r>
      <w:r w:rsidR="00AA4DE4" w:rsidRPr="000D1695">
        <w:t>.</w:t>
      </w:r>
      <w:r w:rsidR="002A5F9D">
        <w:t> </w:t>
      </w:r>
      <w:r w:rsidR="00AA4DE4" w:rsidRPr="000D1695">
        <w:t>.</w:t>
      </w:r>
      <w:r w:rsidR="00307DCC" w:rsidRPr="000D1695">
        <w:t xml:space="preserve"> impossible standards.</w:t>
      </w:r>
      <w:proofErr w:type="gramStart"/>
      <w:r w:rsidR="00307DCC" w:rsidRPr="000D1695">
        <w:t>”</w:t>
      </w:r>
      <w:r w:rsidR="002A2EBF">
        <w:t> </w:t>
      </w:r>
      <w:r w:rsidR="00307DCC" w:rsidRPr="000D1695">
        <w:t>’</w:t>
      </w:r>
      <w:proofErr w:type="gramEnd"/>
      <w:r w:rsidR="002A2EBF">
        <w:t> </w:t>
      </w:r>
      <w:r w:rsidR="00307DCC" w:rsidRPr="000D1695">
        <w:t>”  (</w:t>
      </w:r>
      <w:r w:rsidR="00307DCC" w:rsidRPr="000D1695">
        <w:rPr>
          <w:i/>
        </w:rPr>
        <w:t>I</w:t>
      </w:r>
      <w:r w:rsidR="00F57675">
        <w:rPr>
          <w:i/>
        </w:rPr>
        <w:t>bid.</w:t>
      </w:r>
      <w:r w:rsidR="00D61CB1" w:rsidRPr="000D1695">
        <w:t xml:space="preserve">; </w:t>
      </w:r>
      <w:r w:rsidR="00623380" w:rsidRPr="000D1695">
        <w:t xml:space="preserve">accord, </w:t>
      </w:r>
      <w:r w:rsidR="00D84200" w:rsidRPr="000D1695">
        <w:t xml:space="preserve">e.g., </w:t>
      </w:r>
      <w:proofErr w:type="spellStart"/>
      <w:r w:rsidR="00D84200" w:rsidRPr="000D1695">
        <w:t>Imwinkelried</w:t>
      </w:r>
      <w:proofErr w:type="spellEnd"/>
      <w:r w:rsidR="00D84200" w:rsidRPr="000D1695">
        <w:t xml:space="preserve">, </w:t>
      </w:r>
      <w:r w:rsidR="00D84200" w:rsidRPr="000D1695">
        <w:rPr>
          <w:i/>
        </w:rPr>
        <w:t xml:space="preserve">The Bases of Expert Testimony:  The </w:t>
      </w:r>
      <w:r w:rsidR="00851C6D" w:rsidRPr="000D1695">
        <w:rPr>
          <w:i/>
        </w:rPr>
        <w:t>S</w:t>
      </w:r>
      <w:r w:rsidR="00D84200" w:rsidRPr="000D1695">
        <w:rPr>
          <w:i/>
        </w:rPr>
        <w:t xml:space="preserve">yllogistic Structure of Scientific Testimony </w:t>
      </w:r>
      <w:r w:rsidR="00D84200" w:rsidRPr="000D1695">
        <w:t xml:space="preserve">(1988) 67 N.C. </w:t>
      </w:r>
      <w:proofErr w:type="spellStart"/>
      <w:r w:rsidR="00D84200" w:rsidRPr="000D1695">
        <w:t>L.Rev</w:t>
      </w:r>
      <w:proofErr w:type="spellEnd"/>
      <w:r w:rsidR="00D84200" w:rsidRPr="000D1695">
        <w:t xml:space="preserve">. 1, 9 [“As one court has put it, it would be ‘virtually impossible’ for a scientist to avoid relying on hearsay sources of information. </w:t>
      </w:r>
      <w:r w:rsidR="00552B15" w:rsidRPr="000D1695">
        <w:t xml:space="preserve"> </w:t>
      </w:r>
      <w:r w:rsidR="00D84200" w:rsidRPr="000D1695">
        <w:t>That observation is an understatement”]</w:t>
      </w:r>
      <w:r w:rsidR="00E762D2" w:rsidRPr="000D1695">
        <w:t>.)</w:t>
      </w:r>
      <w:r w:rsidR="006A493A" w:rsidRPr="000D1695">
        <w:t xml:space="preserve">  Because experts rely on hearsay knowledge</w:t>
      </w:r>
      <w:r w:rsidR="008C35A2" w:rsidRPr="000D1695">
        <w:t xml:space="preserve"> and because a jury “must independently evaluate the probative value of an expert’s testimony,” including by</w:t>
      </w:r>
      <w:r w:rsidR="00904599" w:rsidRPr="000D1695">
        <w:t xml:space="preserve"> assessing the basis of the expert’s opinion, the expert is entitled to </w:t>
      </w:r>
      <w:r w:rsidR="00716E16" w:rsidRPr="000D1695">
        <w:t>tell the jury</w:t>
      </w:r>
      <w:r w:rsidR="00232310" w:rsidRPr="000D1695">
        <w:t xml:space="preserve"> the basis or </w:t>
      </w:r>
      <w:proofErr w:type="gramStart"/>
      <w:r w:rsidR="00232310" w:rsidRPr="000D1695">
        <w:t>“</w:t>
      </w:r>
      <w:r w:rsidR="008065E8" w:rsidRPr="000D1695">
        <w:t> </w:t>
      </w:r>
      <w:r w:rsidR="00232310" w:rsidRPr="000D1695">
        <w:t>‘</w:t>
      </w:r>
      <w:proofErr w:type="gramEnd"/>
      <w:r w:rsidR="00232310" w:rsidRPr="000D1695">
        <w:t>matter’ upon which his opinion rests.”</w:t>
      </w:r>
      <w:r w:rsidR="00904599" w:rsidRPr="000D1695">
        <w:t xml:space="preserve">  (</w:t>
      </w:r>
      <w:r w:rsidR="00904599" w:rsidRPr="000D1695">
        <w:rPr>
          <w:i/>
        </w:rPr>
        <w:t>Sanchez</w:t>
      </w:r>
      <w:r w:rsidR="00904599" w:rsidRPr="000D1695">
        <w:t xml:space="preserve">, </w:t>
      </w:r>
      <w:r w:rsidR="00904599" w:rsidRPr="000D1695">
        <w:rPr>
          <w:i/>
        </w:rPr>
        <w:t>supra</w:t>
      </w:r>
      <w:r w:rsidR="00904599" w:rsidRPr="000D1695">
        <w:t>, 63</w:t>
      </w:r>
      <w:r w:rsidR="00BF2AAF">
        <w:t> </w:t>
      </w:r>
      <w:r w:rsidR="00904599" w:rsidRPr="000D1695">
        <w:t>Cal.4th at pp. 685-686.)</w:t>
      </w:r>
      <w:r w:rsidR="00322A8E" w:rsidRPr="000D1695">
        <w:t xml:space="preserve">  </w:t>
      </w:r>
      <w:r w:rsidR="00B43C57" w:rsidRPr="000D1695">
        <w:t>Hence</w:t>
      </w:r>
      <w:r w:rsidR="00C543E7" w:rsidRPr="000D1695">
        <w:t xml:space="preserve">, </w:t>
      </w:r>
      <w:r w:rsidR="007F0E93" w:rsidRPr="000D1695">
        <w:t>“[i]n addition to matters within their own personal knowledge, experts may relate information acquired through their training and experience, even though that information may have been derived from conversations with others, lectures, study of learned treatises, etc.”  (</w:t>
      </w:r>
      <w:r w:rsidR="007F0E93" w:rsidRPr="000D1695">
        <w:rPr>
          <w:i/>
        </w:rPr>
        <w:t xml:space="preserve">Id. </w:t>
      </w:r>
      <w:r w:rsidR="007F0E93" w:rsidRPr="000D1695">
        <w:t>at p.</w:t>
      </w:r>
      <w:r w:rsidR="004345DB">
        <w:t> </w:t>
      </w:r>
      <w:r w:rsidR="00B74DD2" w:rsidRPr="000D1695">
        <w:t>675.)</w:t>
      </w:r>
    </w:p>
    <w:p w14:paraId="74111EA4" w14:textId="1D75CF5D" w:rsidR="00582284" w:rsidRPr="000D1695" w:rsidRDefault="004301B2" w:rsidP="001B318E">
      <w:r w:rsidRPr="000D1695">
        <w:lastRenderedPageBreak/>
        <w:tab/>
      </w:r>
      <w:r w:rsidR="00B42E89" w:rsidRPr="000D1695">
        <w:t>T</w:t>
      </w:r>
      <w:r w:rsidR="006D422D" w:rsidRPr="000D1695">
        <w:t>he Legislature</w:t>
      </w:r>
      <w:r w:rsidR="00403CDA" w:rsidRPr="000D1695">
        <w:t xml:space="preserve"> </w:t>
      </w:r>
      <w:r w:rsidR="00EF08B8" w:rsidRPr="000D1695">
        <w:t>codified</w:t>
      </w:r>
      <w:r w:rsidR="003F101C" w:rsidRPr="000D1695">
        <w:t xml:space="preserve"> this common law rule</w:t>
      </w:r>
      <w:r w:rsidR="00B42E89" w:rsidRPr="000D1695">
        <w:t xml:space="preserve"> when it enacted the Evidence Code</w:t>
      </w:r>
      <w:r w:rsidR="003F101C" w:rsidRPr="000D1695">
        <w:t>.</w:t>
      </w:r>
      <w:r w:rsidR="006210F2" w:rsidRPr="000D1695">
        <w:rPr>
          <w:rStyle w:val="FootnoteReference"/>
        </w:rPr>
        <w:footnoteReference w:id="2"/>
      </w:r>
      <w:r w:rsidR="00A97F3C" w:rsidRPr="000D1695">
        <w:t xml:space="preserve">  </w:t>
      </w:r>
      <w:r w:rsidR="00CC7209" w:rsidRPr="000D1695">
        <w:t>S</w:t>
      </w:r>
      <w:r w:rsidR="00EF08B8" w:rsidRPr="000D1695">
        <w:t xml:space="preserve">ection 801 </w:t>
      </w:r>
      <w:r w:rsidR="00CC7209" w:rsidRPr="000D1695">
        <w:t xml:space="preserve">of the Code </w:t>
      </w:r>
      <w:r w:rsidR="00003259" w:rsidRPr="000D1695">
        <w:t>allows an expert</w:t>
      </w:r>
      <w:r w:rsidR="00BC706C" w:rsidRPr="000D1695">
        <w:t xml:space="preserve"> witness</w:t>
      </w:r>
      <w:r w:rsidR="00003259" w:rsidRPr="000D1695">
        <w:t xml:space="preserve"> to render an opinion “</w:t>
      </w:r>
      <w:r w:rsidR="00EF08B8" w:rsidRPr="000D1695">
        <w:t>[b]</w:t>
      </w:r>
      <w:proofErr w:type="spellStart"/>
      <w:r w:rsidR="00EF08B8" w:rsidRPr="000D1695">
        <w:t>ased</w:t>
      </w:r>
      <w:proofErr w:type="spellEnd"/>
      <w:r w:rsidR="00EF08B8" w:rsidRPr="000D1695">
        <w:t xml:space="preserve"> on matter (including his special knowledge, skill, experience, training, and education) perceived by or personally known to the witness or made known to him at or before the hearing, </w:t>
      </w:r>
      <w:r w:rsidR="00EF08B8" w:rsidRPr="000D1695">
        <w:rPr>
          <w:i/>
        </w:rPr>
        <w:t>whether or not admissible, that is of a type that reasonably may be relied upon by an expert in forming an opinion upon the subject to which his testimony relates</w:t>
      </w:r>
      <w:r w:rsidR="00EF08B8" w:rsidRPr="000D1695">
        <w:t>, unless an expert is precluded by law from using such matter as a basis for his opinion.</w:t>
      </w:r>
      <w:r w:rsidR="00003259" w:rsidRPr="000D1695">
        <w:t>”</w:t>
      </w:r>
      <w:r w:rsidR="007D1473" w:rsidRPr="000D1695">
        <w:t xml:space="preserve">  </w:t>
      </w:r>
      <w:r w:rsidR="00A20586" w:rsidRPr="000D1695">
        <w:t>(§ 801, subd</w:t>
      </w:r>
      <w:proofErr w:type="gramStart"/>
      <w:r w:rsidR="00A20586" w:rsidRPr="000D1695">
        <w:t xml:space="preserve">. </w:t>
      </w:r>
      <w:proofErr w:type="gramEnd"/>
      <w:r w:rsidR="00A20586" w:rsidRPr="000D1695">
        <w:t xml:space="preserve">(b), italics added.)  </w:t>
      </w:r>
      <w:r w:rsidR="00BA6625" w:rsidRPr="000D1695">
        <w:t>S</w:t>
      </w:r>
      <w:r w:rsidR="007D1473" w:rsidRPr="000D1695">
        <w:t xml:space="preserve">ection 802 </w:t>
      </w:r>
      <w:r w:rsidR="000D4ED5" w:rsidRPr="000D1695">
        <w:t xml:space="preserve">further </w:t>
      </w:r>
      <w:r w:rsidR="007D1473" w:rsidRPr="000D1695">
        <w:t>permits the expert to “state on direct examination the reasons for his opinion and the matter (including, in the case of an expert, his special knowledge, skill, experience, training, and education) upon which it is based</w:t>
      </w:r>
      <w:r w:rsidR="00A20586" w:rsidRPr="000D1695">
        <w:t xml:space="preserve">.”  </w:t>
      </w:r>
      <w:r w:rsidR="00BA408D" w:rsidRPr="000D1695">
        <w:t>(See also § 721, subd</w:t>
      </w:r>
      <w:proofErr w:type="gramStart"/>
      <w:r w:rsidR="00BA408D" w:rsidRPr="000D1695">
        <w:t xml:space="preserve">. </w:t>
      </w:r>
      <w:proofErr w:type="gramEnd"/>
      <w:r w:rsidR="00BA408D" w:rsidRPr="000D1695">
        <w:t xml:space="preserve">(a) [providing </w:t>
      </w:r>
      <w:r w:rsidR="00A20586" w:rsidRPr="000D1695">
        <w:t>that “</w:t>
      </w:r>
      <w:r w:rsidR="00623380" w:rsidRPr="000D1695">
        <w:t xml:space="preserve">a witness testifying as an </w:t>
      </w:r>
      <w:proofErr w:type="gramStart"/>
      <w:r w:rsidR="00623380" w:rsidRPr="000D1695">
        <w:t xml:space="preserve">expert </w:t>
      </w:r>
      <w:r w:rsidR="004C7C57" w:rsidRPr="000D1695">
        <w:t>.</w:t>
      </w:r>
      <w:proofErr w:type="gramEnd"/>
      <w:r w:rsidR="00424692">
        <w:t> </w:t>
      </w:r>
      <w:r w:rsidR="004C7C57" w:rsidRPr="000D1695">
        <w:t>.</w:t>
      </w:r>
      <w:r w:rsidR="00424692">
        <w:t> </w:t>
      </w:r>
      <w:r w:rsidR="004C7C57" w:rsidRPr="000D1695">
        <w:t xml:space="preserve">. </w:t>
      </w:r>
      <w:r w:rsidR="00623380" w:rsidRPr="000D1695">
        <w:t xml:space="preserve">may be fully cross-examined as </w:t>
      </w:r>
      <w:proofErr w:type="gramStart"/>
      <w:r w:rsidR="00623380" w:rsidRPr="000D1695">
        <w:t>to .</w:t>
      </w:r>
      <w:proofErr w:type="gramEnd"/>
      <w:r w:rsidR="00424692">
        <w:t> </w:t>
      </w:r>
      <w:r w:rsidR="00623380" w:rsidRPr="000D1695">
        <w:t>.</w:t>
      </w:r>
      <w:r w:rsidR="00424692">
        <w:t> </w:t>
      </w:r>
      <w:r w:rsidR="00623380" w:rsidRPr="000D1695">
        <w:t>. the matter upon which his or her opinion is based and the reasons for his or her opinion”</w:t>
      </w:r>
      <w:r w:rsidR="00BA408D" w:rsidRPr="000D1695">
        <w:t>]</w:t>
      </w:r>
      <w:r w:rsidR="0086419E" w:rsidRPr="000D1695">
        <w:t>.</w:t>
      </w:r>
      <w:r w:rsidR="00BA408D" w:rsidRPr="000D1695">
        <w:t>)</w:t>
      </w:r>
      <w:r w:rsidR="00623380" w:rsidRPr="000D1695">
        <w:t xml:space="preserve">  </w:t>
      </w:r>
      <w:r w:rsidR="00D243A8" w:rsidRPr="000D1695">
        <w:t>In short, not only can an expert “</w:t>
      </w:r>
      <w:r w:rsidR="00D243A8" w:rsidRPr="000D1695">
        <w:rPr>
          <w:i/>
        </w:rPr>
        <w:t>rely</w:t>
      </w:r>
      <w:r w:rsidR="00D243A8" w:rsidRPr="000D1695">
        <w:t xml:space="preserve"> on hearsay in forming an opinion,” he “may tell the jury </w:t>
      </w:r>
      <w:r w:rsidR="00D243A8" w:rsidRPr="000D1695">
        <w:rPr>
          <w:i/>
        </w:rPr>
        <w:t>in general terms</w:t>
      </w:r>
      <w:r w:rsidR="00D243A8" w:rsidRPr="000D1695">
        <w:t xml:space="preserve"> that he did so.”  (</w:t>
      </w:r>
      <w:r w:rsidR="00D243A8" w:rsidRPr="000D1695">
        <w:rPr>
          <w:i/>
        </w:rPr>
        <w:t>Sanchez</w:t>
      </w:r>
      <w:r w:rsidR="00D243A8" w:rsidRPr="000D1695">
        <w:t xml:space="preserve">, </w:t>
      </w:r>
      <w:r w:rsidR="00D243A8" w:rsidRPr="000D1695">
        <w:rPr>
          <w:i/>
        </w:rPr>
        <w:t>supra</w:t>
      </w:r>
      <w:r w:rsidR="00D243A8" w:rsidRPr="000D1695">
        <w:t>, 63 Cal.4th at p. 685.)</w:t>
      </w:r>
    </w:p>
    <w:p w14:paraId="1F762433" w14:textId="4F257B46" w:rsidR="003F1BE4" w:rsidRPr="000D1695" w:rsidRDefault="003F1BE4" w:rsidP="001B318E">
      <w:pPr>
        <w:rPr>
          <w:u w:val="single"/>
        </w:rPr>
      </w:pPr>
      <w:r w:rsidRPr="000D1695">
        <w:tab/>
      </w:r>
      <w:r w:rsidR="00544D04" w:rsidRPr="000D1695">
        <w:t>By</w:t>
      </w:r>
      <w:r w:rsidRPr="000D1695">
        <w:t xml:space="preserve"> contrast, an expert may not relate </w:t>
      </w:r>
      <w:r w:rsidR="006B7A45">
        <w:t xml:space="preserve">inadmissible </w:t>
      </w:r>
      <w:r w:rsidRPr="000D1695">
        <w:t>“</w:t>
      </w:r>
      <w:r w:rsidRPr="000D1695">
        <w:rPr>
          <w:i/>
        </w:rPr>
        <w:t xml:space="preserve">case-specific </w:t>
      </w:r>
      <w:r w:rsidRPr="000D1695">
        <w:t>facts about which the expert has no independent knowledge.”  (</w:t>
      </w:r>
      <w:r w:rsidRPr="000D1695">
        <w:rPr>
          <w:i/>
        </w:rPr>
        <w:t>Sanchez</w:t>
      </w:r>
      <w:r w:rsidRPr="000D1695">
        <w:t xml:space="preserve">, </w:t>
      </w:r>
      <w:r w:rsidRPr="000D1695">
        <w:rPr>
          <w:i/>
        </w:rPr>
        <w:t>supra</w:t>
      </w:r>
      <w:r w:rsidRPr="000D1695">
        <w:t xml:space="preserve">, </w:t>
      </w:r>
      <w:r w:rsidR="00FD404B" w:rsidRPr="000D1695">
        <w:t>63 Cal.4th at p. 676.)</w:t>
      </w:r>
      <w:r w:rsidR="007F3CAD" w:rsidRPr="000D1695">
        <w:t xml:space="preserve">  </w:t>
      </w:r>
      <w:r w:rsidR="00EF31EE" w:rsidRPr="000D1695">
        <w:t xml:space="preserve">“Case-specific facts are those relating to the particular events and </w:t>
      </w:r>
      <w:r w:rsidR="00EF31EE" w:rsidRPr="000D1695">
        <w:lastRenderedPageBreak/>
        <w:t>participants alleged to have been involved in the case being tried.”  (</w:t>
      </w:r>
      <w:r w:rsidR="00EF31EE" w:rsidRPr="000D1695">
        <w:rPr>
          <w:i/>
        </w:rPr>
        <w:t>Ibid.</w:t>
      </w:r>
      <w:r w:rsidR="00EF31EE" w:rsidRPr="000D1695">
        <w:t xml:space="preserve">)  </w:t>
      </w:r>
      <w:r w:rsidR="00E11B33" w:rsidRPr="000D1695">
        <w:t xml:space="preserve">Testimony relating such facts, unlike testimony about non-case-specific </w:t>
      </w:r>
      <w:r w:rsidR="000E1AF1" w:rsidRPr="000D1695">
        <w:t>background</w:t>
      </w:r>
      <w:r w:rsidR="00E11B33" w:rsidRPr="000D1695">
        <w:t xml:space="preserve"> information, is subject to exclusion on hearsay grounds.  (</w:t>
      </w:r>
      <w:r w:rsidR="00E11B33" w:rsidRPr="000D1695">
        <w:rPr>
          <w:i/>
        </w:rPr>
        <w:t xml:space="preserve">Id. </w:t>
      </w:r>
      <w:r w:rsidR="00E11B33" w:rsidRPr="000D1695">
        <w:t>at p. 684</w:t>
      </w:r>
      <w:r w:rsidR="00CA0B93">
        <w:t>, fn. omitted</w:t>
      </w:r>
      <w:r w:rsidR="00E11B33" w:rsidRPr="000D1695">
        <w:t xml:space="preserve"> [“If an expert testifies to case-specific out-of-court statements to explain the bases for his opinion, those statements are necessarily considered by the jury for their truth, thus rendering them hearsay.  Like any other hearsay evidence, it must be properly admitted through an applicable hearsay exception”].)  The distinction between case-specific facts and </w:t>
      </w:r>
      <w:r w:rsidR="000B6452" w:rsidRPr="000D1695">
        <w:t>background</w:t>
      </w:r>
      <w:r w:rsidR="00E11B33" w:rsidRPr="000D1695">
        <w:t xml:space="preserve"> information thus</w:t>
      </w:r>
      <w:r w:rsidR="00AB34E6" w:rsidRPr="000D1695">
        <w:t xml:space="preserve"> </w:t>
      </w:r>
      <w:r w:rsidR="00E11B33" w:rsidRPr="000D1695">
        <w:t>is crucia</w:t>
      </w:r>
      <w:r w:rsidR="00AB34E6" w:rsidRPr="000D1695">
        <w:t>l</w:t>
      </w:r>
      <w:r w:rsidR="009341CE" w:rsidRPr="000D1695">
        <w:t xml:space="preserve"> — the former</w:t>
      </w:r>
      <w:r w:rsidR="00242DBD" w:rsidRPr="000D1695">
        <w:t xml:space="preserve"> may be excluded as </w:t>
      </w:r>
      <w:r w:rsidR="009341CE" w:rsidRPr="000D1695">
        <w:t>hearsay, the latter</w:t>
      </w:r>
      <w:r w:rsidR="003E0B17">
        <w:t xml:space="preserve"> may</w:t>
      </w:r>
      <w:r w:rsidR="009341CE" w:rsidRPr="000D1695">
        <w:t xml:space="preserve"> not.</w:t>
      </w:r>
    </w:p>
    <w:p w14:paraId="0E73652A" w14:textId="77777777" w:rsidR="00BA1463" w:rsidRDefault="00EA368C" w:rsidP="001B318E">
      <w:r w:rsidRPr="000D1695">
        <w:tab/>
        <w:t xml:space="preserve">Relying on </w:t>
      </w:r>
      <w:r w:rsidRPr="000D1695">
        <w:rPr>
          <w:i/>
        </w:rPr>
        <w:t>Sanchez</w:t>
      </w:r>
      <w:r w:rsidRPr="000D1695">
        <w:t>, defendant argues that</w:t>
      </w:r>
      <w:r w:rsidR="007B6852" w:rsidRPr="000D1695">
        <w:t xml:space="preserve"> his conviction must be reversed </w:t>
      </w:r>
      <w:r w:rsidR="002E1CC8" w:rsidRPr="000D1695">
        <w:t>because it was based on inadmissible hearsay “</w:t>
      </w:r>
      <w:r w:rsidR="007B6852" w:rsidRPr="000D1695">
        <w:t xml:space="preserve">conveyed through expert testimony.”  </w:t>
      </w:r>
      <w:r w:rsidR="008B03F1" w:rsidRPr="000D1695">
        <w:t xml:space="preserve">We </w:t>
      </w:r>
      <w:r w:rsidR="00090304" w:rsidRPr="000D1695">
        <w:t>disagree</w:t>
      </w:r>
      <w:r w:rsidR="008B03F1" w:rsidRPr="000D1695">
        <w:t xml:space="preserve">.  </w:t>
      </w:r>
      <w:r w:rsidR="00224EAD" w:rsidRPr="000D1695">
        <w:t xml:space="preserve">As </w:t>
      </w:r>
      <w:r w:rsidR="00224EAD" w:rsidRPr="000D1695">
        <w:rPr>
          <w:i/>
        </w:rPr>
        <w:t>Sanchez</w:t>
      </w:r>
      <w:r w:rsidR="00224EAD" w:rsidRPr="000D1695">
        <w:t xml:space="preserve"> made clear, the part of the expert’s testimony </w:t>
      </w:r>
      <w:r w:rsidR="004262D3" w:rsidRPr="000D1695">
        <w:t xml:space="preserve">that may be excluded on hearsay ground is </w:t>
      </w:r>
      <w:r w:rsidR="00A710B0" w:rsidRPr="000D1695">
        <w:t>that</w:t>
      </w:r>
      <w:r w:rsidR="004262D3" w:rsidRPr="000D1695">
        <w:t xml:space="preserve"> rela</w:t>
      </w:r>
      <w:r w:rsidR="00957F04" w:rsidRPr="000D1695">
        <w:t>ting</w:t>
      </w:r>
      <w:r w:rsidR="00224EAD" w:rsidRPr="000D1695">
        <w:t xml:space="preserve"> “</w:t>
      </w:r>
      <w:r w:rsidR="00224EAD" w:rsidRPr="000D1695">
        <w:rPr>
          <w:i/>
        </w:rPr>
        <w:t>case-specific</w:t>
      </w:r>
      <w:r w:rsidR="00224EAD" w:rsidRPr="000D1695">
        <w:t xml:space="preserve"> facts about which the expert has no independent knowledge</w:t>
      </w:r>
      <w:r w:rsidR="00ED6690" w:rsidRPr="000D1695">
        <w:t>.</w:t>
      </w:r>
      <w:r w:rsidR="004262D3" w:rsidRPr="000D1695">
        <w:t>”</w:t>
      </w:r>
      <w:r w:rsidR="00ED6690" w:rsidRPr="000D1695">
        <w:t xml:space="preserve">  (</w:t>
      </w:r>
      <w:r w:rsidR="00ED6690" w:rsidRPr="000D1695">
        <w:rPr>
          <w:i/>
        </w:rPr>
        <w:t>Sanchez</w:t>
      </w:r>
      <w:r w:rsidR="00ED6690" w:rsidRPr="000D1695">
        <w:t xml:space="preserve">, </w:t>
      </w:r>
      <w:r w:rsidR="00ED6690" w:rsidRPr="000D1695">
        <w:rPr>
          <w:i/>
        </w:rPr>
        <w:t>supra</w:t>
      </w:r>
      <w:r w:rsidR="00ED6690" w:rsidRPr="000D1695">
        <w:t>, 63 Cal.4th at p. 676.)</w:t>
      </w:r>
      <w:r w:rsidR="006C724D" w:rsidRPr="000D1695">
        <w:t xml:space="preserve">  </w:t>
      </w:r>
      <w:r w:rsidR="000A6430">
        <w:t>None of Rienhardt’s statements falls in this category of impermissible testimony.</w:t>
      </w:r>
    </w:p>
    <w:p w14:paraId="3CD76827" w14:textId="015FEFE4" w:rsidR="00B958EA" w:rsidRDefault="00BA1463" w:rsidP="001B318E">
      <w:r>
        <w:tab/>
      </w:r>
      <w:r w:rsidR="00B33ED0">
        <w:t xml:space="preserve">On direct examination, </w:t>
      </w:r>
      <w:r w:rsidR="00D53407">
        <w:t xml:space="preserve">Rienhardt </w:t>
      </w:r>
      <w:r w:rsidR="000E15B0">
        <w:t>testified that, in his field, it is standard practice to identify pharmaceutical pills by visual inspection</w:t>
      </w:r>
      <w:r w:rsidR="00E73356">
        <w:t xml:space="preserve">, </w:t>
      </w:r>
      <w:r w:rsidR="000E15B0">
        <w:t xml:space="preserve">whereby one compares markings </w:t>
      </w:r>
      <w:r w:rsidR="00E73356">
        <w:t>found on</w:t>
      </w:r>
      <w:r w:rsidR="000E15B0">
        <w:t xml:space="preserve"> the pills against a database </w:t>
      </w:r>
      <w:r w:rsidR="00E73356">
        <w:t xml:space="preserve">of </w:t>
      </w:r>
      <w:r w:rsidR="000E15B0">
        <w:t xml:space="preserve">imprints that the Food and Drug Administration requires </w:t>
      </w:r>
      <w:r w:rsidR="00E02CE9">
        <w:t>to be placed on tablets containing controlled substances</w:t>
      </w:r>
      <w:r w:rsidR="000E15B0">
        <w:t xml:space="preserve">.  </w:t>
      </w:r>
      <w:r w:rsidR="000A6430">
        <w:t>He then testified that he performed this visual inspection on the pills seized from defendant and formed the opinion that they contained alprazolam.</w:t>
      </w:r>
      <w:r w:rsidR="009C02E9">
        <w:t xml:space="preserve">  </w:t>
      </w:r>
      <w:r w:rsidR="000A6430">
        <w:t>Rienhardt’s opinion</w:t>
      </w:r>
      <w:r w:rsidR="00D53990">
        <w:t>, offered “while testifying at the hearing,”</w:t>
      </w:r>
      <w:r w:rsidR="000A6430">
        <w:t xml:space="preserve"> was not hearsay.  (</w:t>
      </w:r>
      <w:r w:rsidR="000A6430" w:rsidRPr="000D1695">
        <w:t>See §</w:t>
      </w:r>
      <w:r w:rsidR="000A6430">
        <w:t> </w:t>
      </w:r>
      <w:r w:rsidR="000A6430" w:rsidRPr="000D1695">
        <w:t>1200, subd</w:t>
      </w:r>
      <w:proofErr w:type="gramStart"/>
      <w:r w:rsidR="000A6430" w:rsidRPr="000D1695">
        <w:t xml:space="preserve">. </w:t>
      </w:r>
      <w:proofErr w:type="gramEnd"/>
      <w:r w:rsidR="000A6430" w:rsidRPr="000D1695">
        <w:t xml:space="preserve">(a) [defining hearsay as “evidence of a statement that was made other than by a witness while </w:t>
      </w:r>
      <w:r w:rsidR="000A6430" w:rsidRPr="000D1695">
        <w:lastRenderedPageBreak/>
        <w:t>testifying at the hearing and that is offered to prove the truth of the matter stated”]; § 805</w:t>
      </w:r>
      <w:r w:rsidR="000A6430">
        <w:t xml:space="preserve"> [“</w:t>
      </w:r>
      <w:r w:rsidR="000A6430" w:rsidRPr="000A6430">
        <w:t>Testimony in the form of an opinion that is otherwise admissible is not objectionable because it embraces the ultimate issue to be decided by the trier of fact</w:t>
      </w:r>
      <w:r w:rsidR="000A6430">
        <w:t xml:space="preserve">”].)  </w:t>
      </w:r>
      <w:r w:rsidR="00045992">
        <w:t xml:space="preserve">Likewise, </w:t>
      </w:r>
      <w:r w:rsidR="007C24DD">
        <w:t>Ri</w:t>
      </w:r>
      <w:r w:rsidR="0001510B">
        <w:t>e</w:t>
      </w:r>
      <w:r w:rsidR="007C24DD">
        <w:t>nhardt’s</w:t>
      </w:r>
      <w:r w:rsidR="000E15B0">
        <w:t xml:space="preserve"> testimony about the </w:t>
      </w:r>
      <w:r w:rsidR="00EE755D">
        <w:t xml:space="preserve">appearance of the </w:t>
      </w:r>
      <w:r w:rsidR="00601D64">
        <w:t xml:space="preserve">seized </w:t>
      </w:r>
      <w:r w:rsidR="00EE755D">
        <w:t>pills</w:t>
      </w:r>
      <w:r w:rsidR="004C4FFC">
        <w:t xml:space="preserve"> </w:t>
      </w:r>
      <w:r w:rsidR="0018745A">
        <w:t>was not hearsay</w:t>
      </w:r>
      <w:r w:rsidR="00D466AF">
        <w:t>,</w:t>
      </w:r>
      <w:r w:rsidR="0018745A">
        <w:t xml:space="preserve"> </w:t>
      </w:r>
      <w:r w:rsidR="00FB7D83">
        <w:t>because</w:t>
      </w:r>
      <w:r w:rsidR="00515ED1">
        <w:t xml:space="preserve"> Rienhardt personally examined the pills and saw the imprints on them</w:t>
      </w:r>
      <w:r w:rsidR="000E15B0">
        <w:t xml:space="preserve">.  </w:t>
      </w:r>
      <w:r w:rsidR="00732F03">
        <w:t>(</w:t>
      </w:r>
      <w:r w:rsidR="00A32E96" w:rsidRPr="000D1695" w:rsidDel="000A6430">
        <w:rPr>
          <w:i/>
        </w:rPr>
        <w:t>People v. Iraheta</w:t>
      </w:r>
      <w:r w:rsidR="00A32E96" w:rsidRPr="000D1695" w:rsidDel="000A6430">
        <w:t xml:space="preserve"> (2017) 14 Cal.App.5th 1228, 1248 </w:t>
      </w:r>
      <w:r w:rsidR="00644DFF" w:rsidRPr="000D1695" w:rsidDel="000A6430">
        <w:t>(</w:t>
      </w:r>
      <w:r w:rsidR="00644DFF" w:rsidRPr="000D1695" w:rsidDel="000A6430">
        <w:rPr>
          <w:i/>
        </w:rPr>
        <w:t>Iraheta</w:t>
      </w:r>
      <w:r w:rsidR="00644DFF" w:rsidRPr="000D1695" w:rsidDel="000A6430">
        <w:t xml:space="preserve">) </w:t>
      </w:r>
      <w:r w:rsidR="00A32E96" w:rsidRPr="000D1695" w:rsidDel="000A6430">
        <w:t xml:space="preserve">[“Personal observations by any officer of </w:t>
      </w:r>
      <w:proofErr w:type="spellStart"/>
      <w:r w:rsidR="00A32E96" w:rsidRPr="000D1695" w:rsidDel="000A6430">
        <w:t>Iraheta’s</w:t>
      </w:r>
      <w:proofErr w:type="spellEnd"/>
      <w:r w:rsidR="00A32E96" w:rsidRPr="000D1695" w:rsidDel="000A6430">
        <w:t xml:space="preserve"> or other subjects’ tattoos, attire, companions, and location were not hearsay”];</w:t>
      </w:r>
      <w:r w:rsidR="003F15BB" w:rsidRPr="000D1695" w:rsidDel="000A6430">
        <w:t xml:space="preserve"> </w:t>
      </w:r>
      <w:r w:rsidR="00736BF7" w:rsidRPr="000D1695" w:rsidDel="000A6430">
        <w:rPr>
          <w:i/>
        </w:rPr>
        <w:t xml:space="preserve">People v. Vega-Robles </w:t>
      </w:r>
      <w:r w:rsidR="00736BF7" w:rsidRPr="000D1695" w:rsidDel="000A6430">
        <w:t xml:space="preserve">(2017) 9 Cal.App.5th 382, 413 </w:t>
      </w:r>
      <w:r w:rsidR="005178E5" w:rsidRPr="000D1695" w:rsidDel="000A6430">
        <w:t>(</w:t>
      </w:r>
      <w:r w:rsidR="005178E5" w:rsidRPr="000D1695" w:rsidDel="000A6430">
        <w:rPr>
          <w:i/>
        </w:rPr>
        <w:t>Vega-Robles</w:t>
      </w:r>
      <w:r w:rsidR="005178E5" w:rsidRPr="000D1695" w:rsidDel="000A6430">
        <w:t xml:space="preserve">) </w:t>
      </w:r>
      <w:r w:rsidR="00736BF7" w:rsidRPr="000D1695" w:rsidDel="000A6430">
        <w:t>[“</w:t>
      </w:r>
      <w:r w:rsidR="00CD2DD2" w:rsidRPr="000D1695" w:rsidDel="000A6430">
        <w:t xml:space="preserve">As we read </w:t>
      </w:r>
      <w:r w:rsidR="00CD2DD2" w:rsidRPr="000D1695" w:rsidDel="000A6430">
        <w:rPr>
          <w:i/>
        </w:rPr>
        <w:t>Sanchez</w:t>
      </w:r>
      <w:r w:rsidR="00CD2DD2" w:rsidRPr="000D1695" w:rsidDel="000A6430">
        <w:t>, it is not error for a gang expert to testify about case-specific facts about which he has personal knowledge</w:t>
      </w:r>
      <w:r w:rsidR="00736BF7" w:rsidRPr="000D1695" w:rsidDel="000A6430">
        <w:t xml:space="preserve">”]; </w:t>
      </w:r>
      <w:r w:rsidR="003F15BB" w:rsidRPr="000D1695" w:rsidDel="000A6430">
        <w:rPr>
          <w:i/>
        </w:rPr>
        <w:t xml:space="preserve">People v. </w:t>
      </w:r>
      <w:proofErr w:type="spellStart"/>
      <w:r w:rsidR="003F15BB" w:rsidRPr="000D1695" w:rsidDel="000A6430">
        <w:rPr>
          <w:i/>
        </w:rPr>
        <w:t>Meraz</w:t>
      </w:r>
      <w:proofErr w:type="spellEnd"/>
      <w:r w:rsidR="003F15BB" w:rsidRPr="000D1695" w:rsidDel="000A6430">
        <w:t xml:space="preserve"> (2016) 6 Cal.App.5th 1162, 1174</w:t>
      </w:r>
      <w:r w:rsidR="00A32E96" w:rsidRPr="000D1695" w:rsidDel="000A6430">
        <w:t xml:space="preserve"> </w:t>
      </w:r>
      <w:r w:rsidR="00FA719E" w:rsidRPr="000D1695" w:rsidDel="000A6430">
        <w:t>(</w:t>
      </w:r>
      <w:proofErr w:type="spellStart"/>
      <w:r w:rsidR="00FA719E" w:rsidRPr="000D1695" w:rsidDel="000A6430">
        <w:rPr>
          <w:i/>
        </w:rPr>
        <w:t>Meraz</w:t>
      </w:r>
      <w:proofErr w:type="spellEnd"/>
      <w:r w:rsidR="00FA719E" w:rsidRPr="000D1695" w:rsidDel="000A6430">
        <w:t xml:space="preserve">) </w:t>
      </w:r>
      <w:r w:rsidR="00D21756" w:rsidRPr="000D1695" w:rsidDel="000A6430">
        <w:t>[</w:t>
      </w:r>
      <w:r w:rsidR="00FC583F" w:rsidRPr="000D1695" w:rsidDel="000A6430">
        <w:t>similar</w:t>
      </w:r>
      <w:r w:rsidR="00D21756" w:rsidRPr="000D1695" w:rsidDel="000A6430">
        <w:t>]</w:t>
      </w:r>
      <w:r w:rsidR="00BC4B78" w:rsidRPr="000D1695" w:rsidDel="000A6430">
        <w:t>.)</w:t>
      </w:r>
      <w:r w:rsidR="004F0DA1">
        <w:t xml:space="preserve">  A</w:t>
      </w:r>
      <w:r w:rsidR="00CB4203">
        <w:t>ccordingly</w:t>
      </w:r>
      <w:r w:rsidR="004F0DA1">
        <w:t>, Rienhardt conveyed no hearsay on direct examination.</w:t>
      </w:r>
    </w:p>
    <w:p w14:paraId="457AF8A8" w14:textId="74C1FA36" w:rsidR="00570D9F" w:rsidRDefault="00B958EA" w:rsidP="001B318E">
      <w:r>
        <w:tab/>
      </w:r>
      <w:r w:rsidR="00B718D9">
        <w:t xml:space="preserve">On the other hand, </w:t>
      </w:r>
      <w:r w:rsidR="00EB405A">
        <w:t xml:space="preserve">some of </w:t>
      </w:r>
      <w:r w:rsidR="009D005A">
        <w:t>Rienhardt’s testimony elicited</w:t>
      </w:r>
      <w:r w:rsidR="001111EF">
        <w:t xml:space="preserve"> on cross-examination</w:t>
      </w:r>
      <w:r w:rsidR="00AC7C86">
        <w:t xml:space="preserve"> </w:t>
      </w:r>
      <w:r w:rsidR="00BB036E">
        <w:t>constituted</w:t>
      </w:r>
      <w:r w:rsidR="00AC7C86">
        <w:t xml:space="preserve"> hearsay</w:t>
      </w:r>
      <w:r>
        <w:t xml:space="preserve">.  </w:t>
      </w:r>
      <w:r w:rsidR="001111EF">
        <w:t xml:space="preserve">In response to questioning by defense counsel, Rienhardt explained </w:t>
      </w:r>
      <w:r w:rsidR="00515ED1">
        <w:t xml:space="preserve">that </w:t>
      </w:r>
      <w:r w:rsidR="001111EF">
        <w:t xml:space="preserve">the database </w:t>
      </w:r>
      <w:r w:rsidR="00B13B65">
        <w:t xml:space="preserve">he used </w:t>
      </w:r>
      <w:r w:rsidR="001111EF">
        <w:t>“tell[s] you” that pills displaying a certain imprint “</w:t>
      </w:r>
      <w:proofErr w:type="gramStart"/>
      <w:r w:rsidR="001111EF">
        <w:t>contain[</w:t>
      </w:r>
      <w:proofErr w:type="gramEnd"/>
      <w:r w:rsidR="001111EF">
        <w:t xml:space="preserve">] alprazolam, 2 milligrams.”  </w:t>
      </w:r>
      <w:r w:rsidR="003B5830">
        <w:t>This information was hearsay but</w:t>
      </w:r>
      <w:r w:rsidR="00417F4D">
        <w:t>,</w:t>
      </w:r>
      <w:r w:rsidR="003B5830">
        <w:t xml:space="preserve"> crucially, not case</w:t>
      </w:r>
      <w:r w:rsidR="009C06DE">
        <w:t xml:space="preserve"> </w:t>
      </w:r>
      <w:r w:rsidR="003B5830">
        <w:t>specific.</w:t>
      </w:r>
      <w:r w:rsidR="00AE49E1">
        <w:rPr>
          <w:rStyle w:val="FootnoteReference"/>
        </w:rPr>
        <w:footnoteReference w:id="3"/>
      </w:r>
    </w:p>
    <w:p w14:paraId="7372A720" w14:textId="5910FFAA" w:rsidR="00232091" w:rsidRPr="000D1695" w:rsidRDefault="00570D9F" w:rsidP="001B318E">
      <w:r>
        <w:tab/>
      </w:r>
      <w:r w:rsidR="00294BEC">
        <w:t xml:space="preserve">Rienhardt’s statement </w:t>
      </w:r>
      <w:r w:rsidR="00282702">
        <w:t>concerning</w:t>
      </w:r>
      <w:r w:rsidR="00294BEC">
        <w:t xml:space="preserve"> what the database “tell[s] you”</w:t>
      </w:r>
      <w:r w:rsidR="00AC7C86">
        <w:t xml:space="preserve"> related general background information relied </w:t>
      </w:r>
      <w:r w:rsidR="00695351">
        <w:t>upon</w:t>
      </w:r>
      <w:r w:rsidR="00AC7C86">
        <w:t xml:space="preserve"> </w:t>
      </w:r>
      <w:r w:rsidR="00AC7C86">
        <w:lastRenderedPageBreak/>
        <w:t>in the criminalist’s field.</w:t>
      </w:r>
      <w:r w:rsidR="00B958EA">
        <w:t xml:space="preserve">  </w:t>
      </w:r>
      <w:r w:rsidR="000A7F41" w:rsidRPr="000D1695">
        <w:t>The facts disclosed by the database</w:t>
      </w:r>
      <w:r w:rsidR="008C3979">
        <w:t>, and conveyed by Rienhardt,</w:t>
      </w:r>
      <w:r w:rsidR="000A7F41" w:rsidRPr="000D1695">
        <w:t xml:space="preserve"> are </w:t>
      </w:r>
      <w:r w:rsidR="00A03CC6" w:rsidRPr="000D1695">
        <w:t xml:space="preserve">“about what </w:t>
      </w:r>
      <w:r w:rsidR="00C2005A" w:rsidRPr="000D1695">
        <w:t xml:space="preserve">[any generic] </w:t>
      </w:r>
      <w:r w:rsidR="00A03CC6" w:rsidRPr="000D1695">
        <w:t>pills containing certain chemicals look like</w:t>
      </w:r>
      <w:r w:rsidR="00EF022B" w:rsidRPr="000D1695">
        <w:t>.</w:t>
      </w:r>
      <w:r w:rsidR="00C2005A" w:rsidRPr="000D1695">
        <w:t xml:space="preserve">” </w:t>
      </w:r>
      <w:r w:rsidR="00EF022B" w:rsidRPr="000D1695">
        <w:t xml:space="preserve"> </w:t>
      </w:r>
      <w:r w:rsidR="008939A6" w:rsidRPr="000D1695">
        <w:t>(</w:t>
      </w:r>
      <w:proofErr w:type="spellStart"/>
      <w:r w:rsidR="008939A6" w:rsidRPr="000D1695">
        <w:rPr>
          <w:i/>
        </w:rPr>
        <w:t>Veamatahau</w:t>
      </w:r>
      <w:proofErr w:type="spellEnd"/>
      <w:r w:rsidR="008939A6" w:rsidRPr="000D1695">
        <w:t xml:space="preserve">, </w:t>
      </w:r>
      <w:r w:rsidR="008939A6" w:rsidRPr="000D1695">
        <w:rPr>
          <w:i/>
        </w:rPr>
        <w:t>supra</w:t>
      </w:r>
      <w:r w:rsidR="008939A6" w:rsidRPr="000D1695">
        <w:t>, 24</w:t>
      </w:r>
      <w:r w:rsidR="004345DB">
        <w:t> </w:t>
      </w:r>
      <w:r w:rsidR="008939A6" w:rsidRPr="000D1695">
        <w:t>Cal.App.5th at p. 75</w:t>
      </w:r>
      <w:r w:rsidR="002F0284">
        <w:t>, fn. omitted</w:t>
      </w:r>
      <w:r w:rsidR="00EF022B" w:rsidRPr="000D1695">
        <w:t xml:space="preserve">.)  </w:t>
      </w:r>
      <w:r w:rsidR="004E24E8" w:rsidRPr="000D1695">
        <w:t>T</w:t>
      </w:r>
      <w:r w:rsidR="00E37CB5" w:rsidRPr="000D1695">
        <w:t xml:space="preserve">he database </w:t>
      </w:r>
      <w:r w:rsidR="0089027A" w:rsidRPr="000D1695">
        <w:t>revealed</w:t>
      </w:r>
      <w:r w:rsidR="00071CB6" w:rsidRPr="000D1695">
        <w:t xml:space="preserve"> </w:t>
      </w:r>
      <w:r w:rsidR="008F1C5C" w:rsidRPr="000D1695">
        <w:t>nothing</w:t>
      </w:r>
      <w:r w:rsidR="00071CB6" w:rsidRPr="000D1695">
        <w:t xml:space="preserve"> about</w:t>
      </w:r>
      <w:r w:rsidR="00EF022B" w:rsidRPr="000D1695">
        <w:t xml:space="preserve"> </w:t>
      </w:r>
      <w:r w:rsidR="000A7F41" w:rsidRPr="000D1695">
        <w:t xml:space="preserve">“the particular </w:t>
      </w:r>
      <w:proofErr w:type="gramStart"/>
      <w:r w:rsidR="000A7F41" w:rsidRPr="000D1695">
        <w:t>events .</w:t>
      </w:r>
      <w:proofErr w:type="gramEnd"/>
      <w:r w:rsidR="00B16377">
        <w:t> </w:t>
      </w:r>
      <w:r w:rsidR="000A7F41" w:rsidRPr="000D1695">
        <w:t>.</w:t>
      </w:r>
      <w:r w:rsidR="00B16377">
        <w:t> </w:t>
      </w:r>
      <w:r w:rsidR="000A7F41" w:rsidRPr="000D1695">
        <w:t>. in the case being tried,” i.e.</w:t>
      </w:r>
      <w:r w:rsidR="00766872" w:rsidRPr="000D1695">
        <w:t>,</w:t>
      </w:r>
      <w:r w:rsidR="000A7F41" w:rsidRPr="000D1695">
        <w:t xml:space="preserve"> the particular pills that Sergeant Simmont seized from </w:t>
      </w:r>
      <w:r w:rsidR="008939A6" w:rsidRPr="000D1695">
        <w:t>defendant</w:t>
      </w:r>
      <w:r w:rsidR="00061BFC" w:rsidRPr="000D1695">
        <w:t>.  (</w:t>
      </w:r>
      <w:r w:rsidR="00061BFC" w:rsidRPr="000D1695">
        <w:rPr>
          <w:i/>
        </w:rPr>
        <w:t>Sanchez</w:t>
      </w:r>
      <w:r w:rsidR="00061BFC" w:rsidRPr="000D1695">
        <w:t xml:space="preserve">, </w:t>
      </w:r>
      <w:r w:rsidR="00061BFC" w:rsidRPr="000D1695">
        <w:rPr>
          <w:i/>
        </w:rPr>
        <w:t>supra</w:t>
      </w:r>
      <w:r w:rsidR="00061BFC" w:rsidRPr="000D1695">
        <w:t xml:space="preserve">, 63 Cal.4th at p. 676.)  </w:t>
      </w:r>
      <w:r w:rsidR="009078C1" w:rsidRPr="000D1695">
        <w:t>A</w:t>
      </w:r>
      <w:r w:rsidR="002562CD" w:rsidRPr="000D1695">
        <w:t xml:space="preserve">ny </w:t>
      </w:r>
      <w:r w:rsidR="00D10E71">
        <w:t>information</w:t>
      </w:r>
      <w:r w:rsidR="00D10E71" w:rsidRPr="000D1695">
        <w:t xml:space="preserve"> </w:t>
      </w:r>
      <w:r w:rsidR="002562CD" w:rsidRPr="000D1695">
        <w:t>about the specific pills seized from defendant</w:t>
      </w:r>
      <w:r w:rsidR="009D2B70" w:rsidRPr="000D1695">
        <w:t xml:space="preserve"> </w:t>
      </w:r>
      <w:r w:rsidR="0058233D" w:rsidRPr="000D1695">
        <w:t>came from Ri</w:t>
      </w:r>
      <w:r w:rsidR="00FA4717" w:rsidRPr="000D1695">
        <w:t>e</w:t>
      </w:r>
      <w:r w:rsidR="0058233D" w:rsidRPr="000D1695">
        <w:t xml:space="preserve">nhardt’s personal observation </w:t>
      </w:r>
      <w:r w:rsidR="00FE3F8C" w:rsidRPr="000D1695">
        <w:t xml:space="preserve">(that </w:t>
      </w:r>
      <w:r w:rsidR="00E17110" w:rsidRPr="000D1695">
        <w:t>they contained</w:t>
      </w:r>
      <w:r w:rsidR="00142903" w:rsidRPr="000D1695">
        <w:t xml:space="preserve"> the logos “</w:t>
      </w:r>
      <w:r w:rsidR="00007E80" w:rsidRPr="000D1695">
        <w:t xml:space="preserve">GG32 — or 249”) and his ultimate </w:t>
      </w:r>
      <w:r w:rsidR="00AF5421">
        <w:t>opinion</w:t>
      </w:r>
      <w:r w:rsidR="00AF5421" w:rsidRPr="000D1695">
        <w:t xml:space="preserve"> </w:t>
      </w:r>
      <w:r w:rsidR="00007E80" w:rsidRPr="000D1695">
        <w:t>(that the</w:t>
      </w:r>
      <w:r w:rsidR="00E17110" w:rsidRPr="000D1695">
        <w:t>y contained alprazolam)</w:t>
      </w:r>
      <w:r w:rsidR="008446B0" w:rsidRPr="000D1695">
        <w:t>,</w:t>
      </w:r>
      <w:r w:rsidR="009078C1" w:rsidRPr="000D1695">
        <w:t xml:space="preserve"> not </w:t>
      </w:r>
      <w:r w:rsidR="00017892">
        <w:t xml:space="preserve">from </w:t>
      </w:r>
      <w:r w:rsidR="009078C1" w:rsidRPr="000D1695">
        <w:t>the database</w:t>
      </w:r>
      <w:r w:rsidR="000A7F41" w:rsidRPr="000D1695">
        <w:t xml:space="preserve">. </w:t>
      </w:r>
      <w:r w:rsidR="00F50429" w:rsidRPr="000D1695">
        <w:t xml:space="preserve"> </w:t>
      </w:r>
      <w:r w:rsidR="00BE45B1" w:rsidRPr="000D1695">
        <w:t>In short,</w:t>
      </w:r>
      <w:r w:rsidR="00F50429" w:rsidRPr="000D1695">
        <w:t xml:space="preserve"> i</w:t>
      </w:r>
      <w:r w:rsidR="002D3CE9" w:rsidRPr="000D1695">
        <w:t xml:space="preserve">nformation from the database </w:t>
      </w:r>
      <w:r w:rsidR="00DC06EC" w:rsidRPr="000D1695">
        <w:t>is not case</w:t>
      </w:r>
      <w:r w:rsidR="0064413C">
        <w:t xml:space="preserve"> </w:t>
      </w:r>
      <w:r w:rsidR="00DC06EC" w:rsidRPr="000D1695">
        <w:t>specific but</w:t>
      </w:r>
      <w:r w:rsidR="00BE45B1" w:rsidRPr="000D1695">
        <w:t xml:space="preserve"> </w:t>
      </w:r>
      <w:r w:rsidR="00F132B0">
        <w:t xml:space="preserve">is </w:t>
      </w:r>
      <w:r w:rsidR="00FE3F8C" w:rsidRPr="000D1695">
        <w:t xml:space="preserve">the kind of background information </w:t>
      </w:r>
      <w:r w:rsidR="00EE76A7" w:rsidRPr="000D1695">
        <w:t>expert</w:t>
      </w:r>
      <w:r w:rsidR="008A49DD">
        <w:t>s</w:t>
      </w:r>
      <w:r w:rsidR="00EE76A7" w:rsidRPr="000D1695">
        <w:t xml:space="preserve"> </w:t>
      </w:r>
      <w:r w:rsidR="008A49DD">
        <w:t xml:space="preserve">have traditionally </w:t>
      </w:r>
      <w:r w:rsidR="0038265B" w:rsidRPr="000D1695">
        <w:t>been able to</w:t>
      </w:r>
      <w:r w:rsidR="00FE3F8C" w:rsidRPr="000D1695">
        <w:t xml:space="preserve"> rely on and relate to the jury</w:t>
      </w:r>
      <w:r w:rsidR="009D2B70" w:rsidRPr="000D1695">
        <w:t>.</w:t>
      </w:r>
      <w:r w:rsidR="00E271EC" w:rsidRPr="000D1695">
        <w:t xml:space="preserve">  (</w:t>
      </w:r>
      <w:r w:rsidR="00CE5174">
        <w:t xml:space="preserve">See </w:t>
      </w:r>
      <w:r w:rsidR="00E271EC" w:rsidRPr="000D1695">
        <w:rPr>
          <w:i/>
        </w:rPr>
        <w:t>Sanchez</w:t>
      </w:r>
      <w:r w:rsidR="00E271EC" w:rsidRPr="000D1695">
        <w:t xml:space="preserve">, </w:t>
      </w:r>
      <w:r w:rsidR="00E271EC" w:rsidRPr="000D1695">
        <w:rPr>
          <w:i/>
        </w:rPr>
        <w:t>supra</w:t>
      </w:r>
      <w:r w:rsidR="00E271EC" w:rsidRPr="000D1695">
        <w:t xml:space="preserve">, </w:t>
      </w:r>
      <w:r w:rsidR="007F547E" w:rsidRPr="000D1695">
        <w:t>63 Cal.4th at pp. 685-686</w:t>
      </w:r>
      <w:r w:rsidR="00AA07C4" w:rsidRPr="000D1695">
        <w:t xml:space="preserve">; </w:t>
      </w:r>
      <w:r w:rsidR="0070736D" w:rsidRPr="000D1695">
        <w:rPr>
          <w:i/>
        </w:rPr>
        <w:t>People v. Garton</w:t>
      </w:r>
      <w:r w:rsidR="0070736D" w:rsidRPr="000D1695">
        <w:t xml:space="preserve"> (2018) 4 Cal.5th 485, 506-507; </w:t>
      </w:r>
      <w:r w:rsidR="00310FD2" w:rsidRPr="000D1695">
        <w:rPr>
          <w:i/>
        </w:rPr>
        <w:t>People v. Anthony</w:t>
      </w:r>
      <w:r w:rsidR="00310FD2" w:rsidRPr="000D1695">
        <w:t xml:space="preserve"> (2019) 32 Cal.App.5th 1102, 1131; </w:t>
      </w:r>
      <w:r w:rsidR="00E32BEA" w:rsidRPr="000D1695">
        <w:rPr>
          <w:i/>
        </w:rPr>
        <w:t>People v. Espinoza</w:t>
      </w:r>
      <w:r w:rsidR="00E32BEA" w:rsidRPr="000D1695">
        <w:t xml:space="preserve"> (2018) 23 Cal.App.5th 317, 321 (</w:t>
      </w:r>
      <w:r w:rsidR="00E32BEA" w:rsidRPr="000D1695">
        <w:rPr>
          <w:i/>
        </w:rPr>
        <w:t>Espinoza</w:t>
      </w:r>
      <w:r w:rsidR="00E32BEA" w:rsidRPr="000D1695">
        <w:t xml:space="preserve">); </w:t>
      </w:r>
      <w:r w:rsidR="00D255E5" w:rsidRPr="000D1695">
        <w:rPr>
          <w:i/>
        </w:rPr>
        <w:t xml:space="preserve">People v. </w:t>
      </w:r>
      <w:proofErr w:type="spellStart"/>
      <w:r w:rsidR="00D255E5" w:rsidRPr="000D1695">
        <w:rPr>
          <w:i/>
        </w:rPr>
        <w:t>Blessett</w:t>
      </w:r>
      <w:proofErr w:type="spellEnd"/>
      <w:r w:rsidR="00D255E5" w:rsidRPr="000D1695">
        <w:t xml:space="preserve"> (2018) 22 Cal.App.5th 903, 943</w:t>
      </w:r>
      <w:r w:rsidR="008D7C72" w:rsidRPr="000D1695">
        <w:t xml:space="preserve">; </w:t>
      </w:r>
      <w:proofErr w:type="spellStart"/>
      <w:r w:rsidR="00973ACF" w:rsidRPr="000D1695">
        <w:rPr>
          <w:i/>
        </w:rPr>
        <w:t>Iraheta</w:t>
      </w:r>
      <w:proofErr w:type="spellEnd"/>
      <w:r w:rsidR="00973ACF" w:rsidRPr="000D1695">
        <w:t xml:space="preserve">, </w:t>
      </w:r>
      <w:r w:rsidR="00973ACF" w:rsidRPr="000D1695">
        <w:rPr>
          <w:i/>
        </w:rPr>
        <w:t>supra</w:t>
      </w:r>
      <w:r w:rsidR="00973ACF" w:rsidRPr="000D1695">
        <w:t>,</w:t>
      </w:r>
      <w:r w:rsidR="005178E5" w:rsidRPr="000D1695">
        <w:t xml:space="preserve"> 14</w:t>
      </w:r>
      <w:r w:rsidR="00BF2AAF">
        <w:t> </w:t>
      </w:r>
      <w:r w:rsidR="005178E5" w:rsidRPr="000D1695">
        <w:t>Cal.App.5th at p.1243</w:t>
      </w:r>
      <w:r w:rsidR="0013329D" w:rsidRPr="000D1695">
        <w:t xml:space="preserve">; </w:t>
      </w:r>
      <w:r w:rsidR="00FF6EE1" w:rsidRPr="000D1695">
        <w:rPr>
          <w:i/>
        </w:rPr>
        <w:t>Vega-Robles</w:t>
      </w:r>
      <w:r w:rsidR="00FF6EE1" w:rsidRPr="000D1695">
        <w:t xml:space="preserve">, </w:t>
      </w:r>
      <w:r w:rsidR="00FF6EE1" w:rsidRPr="000D1695">
        <w:rPr>
          <w:i/>
        </w:rPr>
        <w:t>supra</w:t>
      </w:r>
      <w:r w:rsidR="00FF6EE1" w:rsidRPr="000D1695">
        <w:t>, 9 Cal.App.5th at p.</w:t>
      </w:r>
      <w:r w:rsidR="004345DB">
        <w:t> </w:t>
      </w:r>
      <w:r w:rsidR="00FF6EE1" w:rsidRPr="000D1695">
        <w:t xml:space="preserve">408; </w:t>
      </w:r>
      <w:proofErr w:type="spellStart"/>
      <w:r w:rsidR="008633C3" w:rsidRPr="000D1695">
        <w:rPr>
          <w:i/>
        </w:rPr>
        <w:t>Meraz</w:t>
      </w:r>
      <w:proofErr w:type="spellEnd"/>
      <w:r w:rsidR="008633C3" w:rsidRPr="000D1695">
        <w:t xml:space="preserve">, </w:t>
      </w:r>
      <w:r w:rsidR="008633C3" w:rsidRPr="000D1695">
        <w:rPr>
          <w:i/>
        </w:rPr>
        <w:t>supra</w:t>
      </w:r>
      <w:r w:rsidR="008633C3" w:rsidRPr="000D1695">
        <w:t>, 6 Cal.App.5th at pp. 1174-1175</w:t>
      </w:r>
      <w:r w:rsidR="007F547E" w:rsidRPr="000D1695">
        <w:t>.)</w:t>
      </w:r>
    </w:p>
    <w:p w14:paraId="3B997AAF" w14:textId="06852CDC" w:rsidR="00962EF1" w:rsidRPr="000D1695" w:rsidRDefault="00232091" w:rsidP="001B318E">
      <w:r w:rsidRPr="000D1695">
        <w:tab/>
      </w:r>
      <w:r w:rsidR="00AE188F" w:rsidRPr="000D1695">
        <w:t>An example we gave</w:t>
      </w:r>
      <w:r w:rsidR="00EF10C5">
        <w:t xml:space="preserve"> in</w:t>
      </w:r>
      <w:r w:rsidR="00740988" w:rsidRPr="000D1695">
        <w:t xml:space="preserve"> </w:t>
      </w:r>
      <w:r w:rsidR="00740988" w:rsidRPr="000D1695">
        <w:rPr>
          <w:i/>
        </w:rPr>
        <w:t>Sanchez</w:t>
      </w:r>
      <w:r w:rsidR="00AE188F" w:rsidRPr="000D1695">
        <w:rPr>
          <w:i/>
        </w:rPr>
        <w:t xml:space="preserve"> </w:t>
      </w:r>
      <w:r w:rsidR="00634AB8" w:rsidRPr="000D1695">
        <w:t xml:space="preserve">illustrates </w:t>
      </w:r>
      <w:r w:rsidR="00292107" w:rsidRPr="000D1695">
        <w:t>this point</w:t>
      </w:r>
      <w:r w:rsidR="00740988" w:rsidRPr="000D1695">
        <w:t xml:space="preserve">.  </w:t>
      </w:r>
      <w:r w:rsidR="00390A35" w:rsidRPr="000D1695">
        <w:t xml:space="preserve">In </w:t>
      </w:r>
      <w:r w:rsidR="00390A35" w:rsidRPr="000D1695">
        <w:rPr>
          <w:i/>
        </w:rPr>
        <w:t>Sanchez</w:t>
      </w:r>
      <w:r w:rsidR="00740988" w:rsidRPr="000D1695">
        <w:t>, we said,</w:t>
      </w:r>
      <w:r w:rsidR="008737B0" w:rsidRPr="000D1695">
        <w:t xml:space="preserve"> </w:t>
      </w:r>
      <w:r w:rsidR="007212B1" w:rsidRPr="000D1695">
        <w:t xml:space="preserve">“[t]hat an associate of the defendant had a diamond tattooed on his arm would be a case-specific fact that could be established by a witness who saw the tattoo, or by an authenticated photograph.  That the diamond is a symbol adopted by a given street gang would be background information about which a gang expert could testify.  The expert could also be allowed to give an opinion that the presence of a diamond tattoo shows the person belongs to the gang.”  </w:t>
      </w:r>
      <w:r w:rsidR="007212B1" w:rsidRPr="000D1695">
        <w:lastRenderedPageBreak/>
        <w:t>(</w:t>
      </w:r>
      <w:r w:rsidR="00C85330" w:rsidRPr="000D1695">
        <w:rPr>
          <w:i/>
        </w:rPr>
        <w:t>Sanchez</w:t>
      </w:r>
      <w:r w:rsidR="00C85330" w:rsidRPr="000D1695">
        <w:t xml:space="preserve">, </w:t>
      </w:r>
      <w:r w:rsidR="00C85330" w:rsidRPr="000D1695">
        <w:rPr>
          <w:i/>
        </w:rPr>
        <w:t>supra</w:t>
      </w:r>
      <w:r w:rsidR="00C85330" w:rsidRPr="000D1695">
        <w:t xml:space="preserve">, </w:t>
      </w:r>
      <w:r w:rsidR="00D432EF" w:rsidRPr="000D1695">
        <w:t xml:space="preserve">63 Cal.4th at </w:t>
      </w:r>
      <w:r w:rsidR="007212B1" w:rsidRPr="000D1695">
        <w:t>p. 677.)</w:t>
      </w:r>
      <w:r w:rsidR="00335A77" w:rsidRPr="000D1695">
        <w:rPr>
          <w:rStyle w:val="FootnoteReference"/>
        </w:rPr>
        <w:footnoteReference w:id="4"/>
      </w:r>
      <w:r w:rsidR="0046788A" w:rsidRPr="000D1695">
        <w:t xml:space="preserve">  </w:t>
      </w:r>
      <w:r w:rsidR="0015675C" w:rsidRPr="000D1695">
        <w:t xml:space="preserve">The example may be readily analogized to the case at hand.  </w:t>
      </w:r>
      <w:r w:rsidR="00104DCE" w:rsidRPr="000D1695">
        <w:t>J</w:t>
      </w:r>
      <w:r w:rsidR="00C8672B" w:rsidRPr="000D1695">
        <w:t xml:space="preserve">ust as </w:t>
      </w:r>
      <w:r w:rsidR="00040782" w:rsidRPr="000D1695">
        <w:t xml:space="preserve">information that </w:t>
      </w:r>
      <w:r w:rsidR="00597CDD" w:rsidRPr="000D1695">
        <w:t xml:space="preserve">diamonds </w:t>
      </w:r>
      <w:r w:rsidR="00040782" w:rsidRPr="000D1695">
        <w:t>are</w:t>
      </w:r>
      <w:r w:rsidR="00597CDD" w:rsidRPr="000D1695">
        <w:t xml:space="preserve"> a symbol of a certain gang</w:t>
      </w:r>
      <w:r w:rsidR="00C85330" w:rsidRPr="000D1695">
        <w:t xml:space="preserve"> is </w:t>
      </w:r>
      <w:r w:rsidR="00C8672B" w:rsidRPr="000D1695">
        <w:t xml:space="preserve">background </w:t>
      </w:r>
      <w:r w:rsidR="00040782" w:rsidRPr="000D1695">
        <w:t>knowledge</w:t>
      </w:r>
      <w:r w:rsidR="00C85330" w:rsidRPr="000D1695">
        <w:t xml:space="preserve">, information that </w:t>
      </w:r>
      <w:r w:rsidR="003D1253" w:rsidRPr="000D1695">
        <w:t xml:space="preserve">the designation </w:t>
      </w:r>
      <w:r w:rsidR="00C85330" w:rsidRPr="000D1695">
        <w:t xml:space="preserve">“GG32 — or 249” </w:t>
      </w:r>
      <w:r w:rsidR="00220AF5" w:rsidRPr="000D1695">
        <w:t xml:space="preserve">engraved </w:t>
      </w:r>
      <w:r w:rsidR="0007012A" w:rsidRPr="000D1695">
        <w:t>on pharmaceutical tablets indicate</w:t>
      </w:r>
      <w:r w:rsidR="00444FA9" w:rsidRPr="000D1695">
        <w:t>s</w:t>
      </w:r>
      <w:r w:rsidR="0007012A" w:rsidRPr="000D1695">
        <w:t xml:space="preserve"> that the </w:t>
      </w:r>
      <w:r w:rsidR="00541446" w:rsidRPr="000D1695">
        <w:t>tablets contain</w:t>
      </w:r>
      <w:r w:rsidR="00C85330" w:rsidRPr="000D1695">
        <w:t xml:space="preserve"> alprazolam is “background </w:t>
      </w:r>
      <w:r w:rsidR="00C8672B" w:rsidRPr="000D1695">
        <w:t>information</w:t>
      </w:r>
      <w:r w:rsidR="00C85330" w:rsidRPr="000D1695">
        <w:t xml:space="preserve"> about which a[n</w:t>
      </w:r>
      <w:proofErr w:type="gramStart"/>
      <w:r w:rsidR="00C85330" w:rsidRPr="000D1695">
        <w:t>] .</w:t>
      </w:r>
      <w:proofErr w:type="gramEnd"/>
      <w:r w:rsidR="0007012A" w:rsidRPr="000D1695">
        <w:t> </w:t>
      </w:r>
      <w:r w:rsidR="00C85330" w:rsidRPr="000D1695">
        <w:t>.</w:t>
      </w:r>
      <w:r w:rsidR="0007012A" w:rsidRPr="000D1695">
        <w:t> </w:t>
      </w:r>
      <w:r w:rsidR="00C85330" w:rsidRPr="000D1695">
        <w:t xml:space="preserve">. expert could testify.”  </w:t>
      </w:r>
      <w:r w:rsidR="005536DF" w:rsidRPr="000D1695">
        <w:t>(</w:t>
      </w:r>
      <w:r w:rsidR="005536DF" w:rsidRPr="000D1695">
        <w:rPr>
          <w:i/>
        </w:rPr>
        <w:t>Ibid</w:t>
      </w:r>
      <w:r w:rsidR="005536DF" w:rsidRPr="000D1695">
        <w:t>.)</w:t>
      </w:r>
      <w:r w:rsidR="002E6181" w:rsidRPr="000D1695">
        <w:t xml:space="preserve">  To be sure,</w:t>
      </w:r>
      <w:r w:rsidR="00297FBA">
        <w:t xml:space="preserve"> </w:t>
      </w:r>
      <w:r w:rsidR="00530247" w:rsidRPr="000D1695">
        <w:t>street gangs and the symbols they use</w:t>
      </w:r>
      <w:r w:rsidR="002E6181" w:rsidRPr="000D1695">
        <w:t xml:space="preserve"> </w:t>
      </w:r>
      <w:r w:rsidR="006825B5" w:rsidRPr="000D1695">
        <w:t xml:space="preserve">might </w:t>
      </w:r>
      <w:r w:rsidR="00EF650E" w:rsidRPr="000D1695">
        <w:t xml:space="preserve">or might </w:t>
      </w:r>
      <w:r w:rsidR="006825B5" w:rsidRPr="000D1695">
        <w:t>not</w:t>
      </w:r>
      <w:r w:rsidR="00CE4923" w:rsidRPr="000D1695">
        <w:t xml:space="preserve"> be</w:t>
      </w:r>
      <w:r w:rsidR="00530247" w:rsidRPr="000D1695">
        <w:t xml:space="preserve"> the kind of information </w:t>
      </w:r>
      <w:r w:rsidR="001C14F4" w:rsidRPr="000D1695">
        <w:t>stored</w:t>
      </w:r>
      <w:r w:rsidR="00FB2E01" w:rsidRPr="000D1695">
        <w:t xml:space="preserve"> in a searchable database</w:t>
      </w:r>
      <w:r w:rsidR="000D5203" w:rsidRPr="000D1695">
        <w:t xml:space="preserve">.  </w:t>
      </w:r>
      <w:r w:rsidR="00E3494A" w:rsidRPr="000D1695">
        <w:t>Yet</w:t>
      </w:r>
      <w:r w:rsidR="000D5203" w:rsidRPr="000D1695">
        <w:t xml:space="preserve"> t</w:t>
      </w:r>
      <w:r w:rsidR="00EC5012" w:rsidRPr="000D1695">
        <w:t>he location of a piece of information cannot</w:t>
      </w:r>
      <w:r w:rsidR="008729B1" w:rsidRPr="000D1695">
        <w:t xml:space="preserve"> </w:t>
      </w:r>
      <w:r w:rsidR="00A866FE">
        <w:t>change</w:t>
      </w:r>
      <w:r w:rsidR="00A866FE" w:rsidRPr="000D1695">
        <w:t xml:space="preserve"> </w:t>
      </w:r>
      <w:r w:rsidR="000D5203" w:rsidRPr="000D1695">
        <w:t>its nature</w:t>
      </w:r>
      <w:r w:rsidR="00CC10F4" w:rsidRPr="000D1695">
        <w:t>.  S</w:t>
      </w:r>
      <w:r w:rsidR="008C2C2F" w:rsidRPr="000D1695">
        <w:t xml:space="preserve">imply because an expert </w:t>
      </w:r>
      <w:r w:rsidR="00AC049D" w:rsidRPr="000D1695">
        <w:t>obtained</w:t>
      </w:r>
      <w:r w:rsidR="008C2C2F" w:rsidRPr="000D1695">
        <w:t xml:space="preserve"> information from a database </w:t>
      </w:r>
      <w:r w:rsidR="00705890" w:rsidRPr="000D1695">
        <w:t>— instead of</w:t>
      </w:r>
      <w:r w:rsidR="00975898" w:rsidRPr="000D1695">
        <w:t>,</w:t>
      </w:r>
      <w:r w:rsidR="00705890" w:rsidRPr="000D1695">
        <w:t xml:space="preserve"> say, a list</w:t>
      </w:r>
      <w:r w:rsidR="00B7381B" w:rsidRPr="000D1695">
        <w:t xml:space="preserve"> of gang symbols</w:t>
      </w:r>
      <w:r w:rsidR="00705890" w:rsidRPr="000D1695">
        <w:t xml:space="preserve"> maintained by a law enforcement </w:t>
      </w:r>
      <w:r w:rsidR="00705890" w:rsidRPr="000D1695">
        <w:lastRenderedPageBreak/>
        <w:t xml:space="preserve">agency — </w:t>
      </w:r>
      <w:r w:rsidR="008C2C2F" w:rsidRPr="000D1695">
        <w:t xml:space="preserve">does not </w:t>
      </w:r>
      <w:r w:rsidR="006E32C1" w:rsidRPr="000D1695">
        <w:t xml:space="preserve">metamorphose </w:t>
      </w:r>
      <w:r w:rsidR="008C2C2F" w:rsidRPr="000D1695">
        <w:t>that information from</w:t>
      </w:r>
      <w:r w:rsidR="000D5203" w:rsidRPr="000D1695">
        <w:t xml:space="preserve"> background knowledge into case-specific facts.</w:t>
      </w:r>
    </w:p>
    <w:p w14:paraId="2404B570" w14:textId="14C34067" w:rsidR="00B77E87" w:rsidRPr="000D1695" w:rsidRDefault="00B77E87" w:rsidP="001B318E">
      <w:r w:rsidRPr="000D1695">
        <w:tab/>
        <w:t xml:space="preserve">Defendant resists this conclusion, arguing that </w:t>
      </w:r>
      <w:r w:rsidR="009D44C4" w:rsidRPr="000D1695">
        <w:t xml:space="preserve">information obtained from </w:t>
      </w:r>
      <w:r w:rsidR="003A12A4" w:rsidRPr="000D1695">
        <w:t>a specific</w:t>
      </w:r>
      <w:r w:rsidR="003B6C2F" w:rsidRPr="000D1695">
        <w:t xml:space="preserve"> </w:t>
      </w:r>
      <w:r w:rsidR="005045FD" w:rsidRPr="000D1695">
        <w:t>database</w:t>
      </w:r>
      <w:r w:rsidR="003B6C2F" w:rsidRPr="000D1695">
        <w:t xml:space="preserve"> cannot</w:t>
      </w:r>
      <w:r w:rsidR="00D41C80" w:rsidRPr="000D1695">
        <w:t xml:space="preserve"> be </w:t>
      </w:r>
      <w:r w:rsidR="00E62245" w:rsidRPr="000D1695">
        <w:t>background</w:t>
      </w:r>
      <w:r w:rsidR="00D41C80" w:rsidRPr="000D1695">
        <w:t xml:space="preserve"> knowledge.</w:t>
      </w:r>
      <w:r w:rsidR="009D44C4" w:rsidRPr="000D1695">
        <w:t xml:space="preserve">  According to defendant, </w:t>
      </w:r>
      <w:r w:rsidR="00E62245" w:rsidRPr="000D1695">
        <w:t>background or general</w:t>
      </w:r>
      <w:r w:rsidR="00F57D16" w:rsidRPr="000D1695">
        <w:t xml:space="preserve"> knowledge refers to “overall knowledge acquired from sources too numerous to distinguish and quantify.”  </w:t>
      </w:r>
      <w:r w:rsidR="00D43C08" w:rsidRPr="000D1695">
        <w:t xml:space="preserve">Because </w:t>
      </w:r>
      <w:r w:rsidR="001E351F" w:rsidRPr="000D1695">
        <w:t>“[a]n</w:t>
      </w:r>
      <w:r w:rsidR="00F86863" w:rsidRPr="000D1695">
        <w:t xml:space="preserve"> expert’s general background knowledge is the commingled result of experience and educational hearsay that is impracticable to </w:t>
      </w:r>
      <w:r w:rsidR="000F12E4" w:rsidRPr="000D1695">
        <w:t>disentangle</w:t>
      </w:r>
      <w:r w:rsidR="00F86863" w:rsidRPr="000D1695">
        <w:t xml:space="preserve">,” </w:t>
      </w:r>
      <w:r w:rsidR="000F12E4" w:rsidRPr="000D1695">
        <w:t xml:space="preserve">experts relating background knowledge “likely could not cite the specific </w:t>
      </w:r>
      <w:proofErr w:type="gramStart"/>
      <w:r w:rsidR="000F12E4" w:rsidRPr="000D1695">
        <w:t>textbook .</w:t>
      </w:r>
      <w:proofErr w:type="gramEnd"/>
      <w:r w:rsidR="00932DB8">
        <w:t> </w:t>
      </w:r>
      <w:r w:rsidR="000F12E4" w:rsidRPr="000D1695">
        <w:t>.</w:t>
      </w:r>
      <w:r w:rsidR="00932DB8">
        <w:t> </w:t>
      </w:r>
      <w:r w:rsidR="000F12E4" w:rsidRPr="000D1695">
        <w:t xml:space="preserve">. or the particular </w:t>
      </w:r>
      <w:proofErr w:type="gramStart"/>
      <w:r w:rsidR="000F12E4" w:rsidRPr="000D1695">
        <w:t>lecture .</w:t>
      </w:r>
      <w:proofErr w:type="gramEnd"/>
      <w:r w:rsidR="00CF2019">
        <w:t> </w:t>
      </w:r>
      <w:r w:rsidR="000F12E4" w:rsidRPr="000D1695">
        <w:t>.</w:t>
      </w:r>
      <w:r w:rsidR="00CF2019">
        <w:t> </w:t>
      </w:r>
      <w:r w:rsidR="000F12E4" w:rsidRPr="000D1695">
        <w:t xml:space="preserve">. from which they garnered their knowledge.”  </w:t>
      </w:r>
      <w:r w:rsidR="00742B6C" w:rsidRPr="000D1695">
        <w:t>Conversely</w:t>
      </w:r>
      <w:r w:rsidR="004B232A" w:rsidRPr="000D1695">
        <w:t xml:space="preserve">, </w:t>
      </w:r>
      <w:r w:rsidR="00EF593E">
        <w:t xml:space="preserve">defendant argues, </w:t>
      </w:r>
      <w:r w:rsidR="004B232A" w:rsidRPr="000D1695">
        <w:t xml:space="preserve">when experts </w:t>
      </w:r>
      <w:r w:rsidR="006B3E2C">
        <w:t>name</w:t>
      </w:r>
      <w:r w:rsidR="006B3E2C" w:rsidRPr="000D1695">
        <w:t xml:space="preserve"> </w:t>
      </w:r>
      <w:r w:rsidR="004B232A" w:rsidRPr="000D1695">
        <w:t xml:space="preserve">“specific sources </w:t>
      </w:r>
      <w:proofErr w:type="gramStart"/>
      <w:r w:rsidR="004B232A" w:rsidRPr="000D1695">
        <w:t>consulted .</w:t>
      </w:r>
      <w:proofErr w:type="gramEnd"/>
      <w:r w:rsidR="00932DB8">
        <w:t> </w:t>
      </w:r>
      <w:r w:rsidR="004B232A" w:rsidRPr="000D1695">
        <w:t>.</w:t>
      </w:r>
      <w:r w:rsidR="00932DB8">
        <w:t> </w:t>
      </w:r>
      <w:r w:rsidR="004B232A" w:rsidRPr="000D1695">
        <w:t xml:space="preserve">. for a </w:t>
      </w:r>
      <w:proofErr w:type="gramStart"/>
      <w:r w:rsidR="004B232A" w:rsidRPr="000D1695">
        <w:t>particular case</w:t>
      </w:r>
      <w:proofErr w:type="gramEnd"/>
      <w:r w:rsidR="004B232A" w:rsidRPr="000D1695">
        <w:t xml:space="preserve">,” </w:t>
      </w:r>
      <w:r w:rsidR="00B74DF1" w:rsidRPr="000D1695">
        <w:t>they</w:t>
      </w:r>
      <w:r w:rsidR="004B232A" w:rsidRPr="000D1695">
        <w:t xml:space="preserve"> </w:t>
      </w:r>
      <w:r w:rsidR="0017124C" w:rsidRPr="000D1695">
        <w:t>are</w:t>
      </w:r>
      <w:r w:rsidR="00302AF9" w:rsidRPr="000D1695">
        <w:t xml:space="preserve"> not </w:t>
      </w:r>
      <w:r w:rsidR="006B0675" w:rsidRPr="000D1695">
        <w:t>rela</w:t>
      </w:r>
      <w:r w:rsidR="008B10D5" w:rsidRPr="000D1695">
        <w:t>ting</w:t>
      </w:r>
      <w:r w:rsidR="006B0675" w:rsidRPr="000D1695">
        <w:t xml:space="preserve"> general knowledge</w:t>
      </w:r>
      <w:r w:rsidR="00B67080" w:rsidRPr="000D1695">
        <w:t xml:space="preserve"> but case-specific hearsay</w:t>
      </w:r>
      <w:r w:rsidR="006B0675" w:rsidRPr="000D1695">
        <w:t>.</w:t>
      </w:r>
    </w:p>
    <w:p w14:paraId="7644BFD3" w14:textId="2106D9B7" w:rsidR="000D11B8" w:rsidRPr="000D1695" w:rsidRDefault="0005439A" w:rsidP="001B318E">
      <w:r w:rsidRPr="000D1695">
        <w:tab/>
        <w:t xml:space="preserve">We </w:t>
      </w:r>
      <w:r w:rsidR="00C6566D" w:rsidRPr="000D1695">
        <w:t>reject</w:t>
      </w:r>
      <w:r w:rsidR="009B4E91" w:rsidRPr="000D1695">
        <w:t xml:space="preserve"> defendant’s crabbed view of expert </w:t>
      </w:r>
      <w:r w:rsidR="009A7456">
        <w:t>knowledge</w:t>
      </w:r>
      <w:r w:rsidR="009B4E91" w:rsidRPr="000D1695">
        <w:t>.</w:t>
      </w:r>
      <w:r w:rsidR="00EA758F">
        <w:t xml:space="preserve">  </w:t>
      </w:r>
      <w:r w:rsidR="00F224A2">
        <w:t xml:space="preserve">Defendant makes his assertion without any analysis of the relevant provisions of </w:t>
      </w:r>
      <w:r w:rsidR="0020769A">
        <w:t xml:space="preserve">the </w:t>
      </w:r>
      <w:r w:rsidR="00F224A2">
        <w:t xml:space="preserve">Evidence Code or the longstanding common law on which they are based.  (Cal. Law Revision Com. com., 29B </w:t>
      </w:r>
      <w:r w:rsidR="00BB511A">
        <w:t>p</w:t>
      </w:r>
      <w:r w:rsidR="00F224A2">
        <w:t>t. 3A West’s Ann. Evid</w:t>
      </w:r>
      <w:proofErr w:type="gramStart"/>
      <w:r w:rsidR="00F224A2">
        <w:t xml:space="preserve">. </w:t>
      </w:r>
      <w:proofErr w:type="gramEnd"/>
      <w:r w:rsidR="00F224A2">
        <w:t xml:space="preserve">Code (2009 ed.) </w:t>
      </w:r>
      <w:proofErr w:type="spellStart"/>
      <w:r w:rsidR="00F224A2">
        <w:t>foll</w:t>
      </w:r>
      <w:proofErr w:type="spellEnd"/>
      <w:proofErr w:type="gramStart"/>
      <w:r w:rsidR="00F224A2">
        <w:t xml:space="preserve">. </w:t>
      </w:r>
      <w:proofErr w:type="gramEnd"/>
      <w:r w:rsidR="00F224A2">
        <w:t xml:space="preserve">§ 801, pp. 25-26; </w:t>
      </w:r>
      <w:r w:rsidR="00F224A2" w:rsidRPr="002F4725">
        <w:rPr>
          <w:i/>
        </w:rPr>
        <w:t>id</w:t>
      </w:r>
      <w:r w:rsidR="00F224A2">
        <w:t xml:space="preserve">., </w:t>
      </w:r>
      <w:proofErr w:type="spellStart"/>
      <w:r w:rsidR="00F224A2">
        <w:t>foll</w:t>
      </w:r>
      <w:proofErr w:type="spellEnd"/>
      <w:proofErr w:type="gramStart"/>
      <w:r w:rsidR="00F224A2">
        <w:t xml:space="preserve">. </w:t>
      </w:r>
      <w:proofErr w:type="gramEnd"/>
      <w:r w:rsidR="00F224A2">
        <w:t>§ 802, pp. 142-143.)</w:t>
      </w:r>
      <w:r w:rsidR="00C02ED6" w:rsidRPr="000D1695">
        <w:t xml:space="preserve">  </w:t>
      </w:r>
      <w:r w:rsidR="006343DC">
        <w:t xml:space="preserve">More to the point, </w:t>
      </w:r>
      <w:r w:rsidR="00EE4F4B" w:rsidRPr="000D1695">
        <w:t xml:space="preserve">we do not see </w:t>
      </w:r>
      <w:r w:rsidR="00AC2226" w:rsidRPr="000D1695">
        <w:t xml:space="preserve">how </w:t>
      </w:r>
      <w:r w:rsidR="008F2FF8">
        <w:t xml:space="preserve">expert </w:t>
      </w:r>
      <w:r w:rsidR="00A469FA" w:rsidRPr="000D1695">
        <w:t>witness</w:t>
      </w:r>
      <w:r w:rsidR="00E27C8C" w:rsidRPr="000D1695">
        <w:t>es</w:t>
      </w:r>
      <w:r w:rsidR="00AC2226" w:rsidRPr="000D1695">
        <w:t xml:space="preserve"> </w:t>
      </w:r>
      <w:r w:rsidR="00E27C8C" w:rsidRPr="000D1695">
        <w:t>are</w:t>
      </w:r>
      <w:r w:rsidR="00AC2226" w:rsidRPr="000D1695">
        <w:t xml:space="preserve"> doing something</w:t>
      </w:r>
      <w:r w:rsidR="005C0AA8" w:rsidRPr="000D1695">
        <w:t xml:space="preserve"> </w:t>
      </w:r>
      <w:r w:rsidR="00371C74" w:rsidRPr="000D1695">
        <w:t>other</w:t>
      </w:r>
      <w:r w:rsidR="005C0AA8" w:rsidRPr="000D1695">
        <w:t xml:space="preserve"> </w:t>
      </w:r>
      <w:r w:rsidR="007723C8" w:rsidRPr="000D1695">
        <w:t>than</w:t>
      </w:r>
      <w:r w:rsidR="005C0AA8" w:rsidRPr="000D1695">
        <w:t xml:space="preserve"> </w:t>
      </w:r>
      <w:r w:rsidR="000666B3" w:rsidRPr="000D1695">
        <w:t>mak</w:t>
      </w:r>
      <w:r w:rsidR="00AD6452" w:rsidRPr="000D1695">
        <w:t>ing</w:t>
      </w:r>
      <w:r w:rsidR="000666B3" w:rsidRPr="000D1695">
        <w:t xml:space="preserve"> </w:t>
      </w:r>
      <w:r w:rsidR="005C0AA8" w:rsidRPr="000D1695">
        <w:t>use of</w:t>
      </w:r>
      <w:r w:rsidR="00E27C8C" w:rsidRPr="000D1695">
        <w:t xml:space="preserve"> their </w:t>
      </w:r>
      <w:r w:rsidR="00006090" w:rsidRPr="000D1695">
        <w:t xml:space="preserve">expertise </w:t>
      </w:r>
      <w:r w:rsidR="002820DD" w:rsidRPr="000D1695">
        <w:t xml:space="preserve">when </w:t>
      </w:r>
      <w:r w:rsidR="00E27C8C" w:rsidRPr="000D1695">
        <w:t xml:space="preserve">they </w:t>
      </w:r>
      <w:r w:rsidR="00FA2ACB" w:rsidRPr="000D1695">
        <w:t>rely on</w:t>
      </w:r>
      <w:r w:rsidR="00765433" w:rsidRPr="000D1695">
        <w:t xml:space="preserve"> their</w:t>
      </w:r>
      <w:r w:rsidR="002820DD" w:rsidRPr="000D1695">
        <w:t xml:space="preserve"> </w:t>
      </w:r>
      <w:r w:rsidR="00F4754C" w:rsidRPr="000D1695">
        <w:t>“special knowledge, skill, experience, training, and education”</w:t>
      </w:r>
      <w:r w:rsidR="002820DD" w:rsidRPr="000D1695">
        <w:t xml:space="preserve"> to </w:t>
      </w:r>
      <w:r w:rsidR="004640F5" w:rsidRPr="000D1695">
        <w:t>(1)</w:t>
      </w:r>
      <w:r w:rsidR="00BF2AAF">
        <w:t> </w:t>
      </w:r>
      <w:r w:rsidR="002820DD" w:rsidRPr="000D1695">
        <w:t xml:space="preserve">select a source to consult, </w:t>
      </w:r>
      <w:r w:rsidR="004640F5" w:rsidRPr="000D1695">
        <w:t xml:space="preserve">(2) </w:t>
      </w:r>
      <w:r w:rsidR="002820DD" w:rsidRPr="000D1695">
        <w:t xml:space="preserve">digest the information from that source, </w:t>
      </w:r>
      <w:r w:rsidR="004640F5" w:rsidRPr="000D1695">
        <w:t xml:space="preserve">(3) </w:t>
      </w:r>
      <w:r w:rsidR="002820DD" w:rsidRPr="000D1695">
        <w:t xml:space="preserve">form an opinion about the reliability of the source based on </w:t>
      </w:r>
      <w:r w:rsidR="006E131C" w:rsidRPr="000D1695">
        <w:t>their</w:t>
      </w:r>
      <w:r w:rsidR="002820DD" w:rsidRPr="000D1695">
        <w:t xml:space="preserve"> experience in the field,</w:t>
      </w:r>
      <w:r w:rsidR="004640F5" w:rsidRPr="000D1695">
        <w:t xml:space="preserve"> and (4) </w:t>
      </w:r>
      <w:r w:rsidR="002820DD" w:rsidRPr="000D1695">
        <w:t>apply the information garnered from the source to the (independently established) facts of a particular case.</w:t>
      </w:r>
      <w:r w:rsidR="001A7735" w:rsidRPr="000D1695">
        <w:t xml:space="preserve">  (§§</w:t>
      </w:r>
      <w:r w:rsidR="002820DD" w:rsidRPr="000D1695">
        <w:t> </w:t>
      </w:r>
      <w:r w:rsidR="001A7735" w:rsidRPr="000D1695">
        <w:t>801, 802.)</w:t>
      </w:r>
      <w:r w:rsidR="00BA17F2" w:rsidRPr="000D1695">
        <w:t xml:space="preserve">  </w:t>
      </w:r>
      <w:r w:rsidR="005D4E8E" w:rsidRPr="000D1695">
        <w:t xml:space="preserve">Without suggesting that this is </w:t>
      </w:r>
      <w:r w:rsidR="00CA39E8" w:rsidRPr="000D1695">
        <w:t>(</w:t>
      </w:r>
      <w:r w:rsidR="00A31C96" w:rsidRPr="000D1695">
        <w:t>or needs to be</w:t>
      </w:r>
      <w:r w:rsidR="00CA39E8" w:rsidRPr="000D1695">
        <w:t>)</w:t>
      </w:r>
      <w:r w:rsidR="00A31C96" w:rsidRPr="000D1695">
        <w:t xml:space="preserve"> </w:t>
      </w:r>
      <w:r w:rsidR="005D4E8E" w:rsidRPr="000D1695">
        <w:t xml:space="preserve">the process underlying every </w:t>
      </w:r>
      <w:r w:rsidR="005653A3">
        <w:t xml:space="preserve">instance of </w:t>
      </w:r>
      <w:r w:rsidR="005D4E8E" w:rsidRPr="000D1695">
        <w:t>expert testimony, we think that when expert</w:t>
      </w:r>
      <w:r w:rsidR="007A38E5" w:rsidRPr="000D1695">
        <w:t>s</w:t>
      </w:r>
      <w:r w:rsidR="005D4E8E" w:rsidRPr="000D1695">
        <w:t xml:space="preserve"> </w:t>
      </w:r>
      <w:r w:rsidR="005D4E8E" w:rsidRPr="000D1695">
        <w:lastRenderedPageBreak/>
        <w:t xml:space="preserve">engage in such </w:t>
      </w:r>
      <w:r w:rsidR="00C54F4D" w:rsidRPr="000D1695">
        <w:t>an inquiry</w:t>
      </w:r>
      <w:r w:rsidR="005D4E8E" w:rsidRPr="000D1695">
        <w:t xml:space="preserve">, </w:t>
      </w:r>
      <w:r w:rsidR="007A38E5" w:rsidRPr="000D1695">
        <w:t xml:space="preserve">they are </w:t>
      </w:r>
      <w:r w:rsidR="00353174" w:rsidRPr="000D1695">
        <w:t xml:space="preserve">drawing upon </w:t>
      </w:r>
      <w:r w:rsidR="007A38E5" w:rsidRPr="000D1695">
        <w:t>their</w:t>
      </w:r>
      <w:r w:rsidR="00353174" w:rsidRPr="000D1695">
        <w:t xml:space="preserve"> </w:t>
      </w:r>
      <w:r w:rsidR="008933B8" w:rsidRPr="000D1695">
        <w:t>“special knowledge, skill, experience, training, and education</w:t>
      </w:r>
      <w:r w:rsidR="00F21999" w:rsidRPr="000D1695">
        <w:t xml:space="preserve">” </w:t>
      </w:r>
      <w:r w:rsidR="006A5499" w:rsidRPr="000D1695">
        <w:t>to form</w:t>
      </w:r>
      <w:r w:rsidR="00BA29EF" w:rsidRPr="000D1695">
        <w:t xml:space="preserve"> an opinion about the case</w:t>
      </w:r>
      <w:r w:rsidR="00F21999" w:rsidRPr="000D1695">
        <w:t>.</w:t>
      </w:r>
      <w:r w:rsidR="005D4E8E" w:rsidRPr="000D1695">
        <w:t xml:space="preserve">  </w:t>
      </w:r>
      <w:r w:rsidR="008933B8" w:rsidRPr="000D1695">
        <w:t>(</w:t>
      </w:r>
      <w:r w:rsidR="008933B8" w:rsidRPr="000D1695">
        <w:rPr>
          <w:i/>
        </w:rPr>
        <w:t>Ibid.</w:t>
      </w:r>
      <w:r w:rsidR="008933B8" w:rsidRPr="000D1695">
        <w:t xml:space="preserve">)  </w:t>
      </w:r>
      <w:r w:rsidR="00AA0BBE" w:rsidRPr="000D1695">
        <w:t>Under our evidentiary law,</w:t>
      </w:r>
      <w:r w:rsidR="00263955" w:rsidRPr="000D1695">
        <w:t xml:space="preserve"> </w:t>
      </w:r>
      <w:r w:rsidR="00150E73" w:rsidRPr="000D1695">
        <w:t>experts</w:t>
      </w:r>
      <w:r w:rsidR="00263955" w:rsidRPr="000D1695">
        <w:t xml:space="preserve"> may make such use of </w:t>
      </w:r>
      <w:r w:rsidR="00150E73" w:rsidRPr="000D1695">
        <w:t xml:space="preserve">their </w:t>
      </w:r>
      <w:r w:rsidR="00263955" w:rsidRPr="000D1695">
        <w:t xml:space="preserve">knowledge— and </w:t>
      </w:r>
      <w:r w:rsidR="004F71E6">
        <w:t xml:space="preserve">may </w:t>
      </w:r>
      <w:r w:rsidR="00263955" w:rsidRPr="000D1695">
        <w:t xml:space="preserve">tell the jury </w:t>
      </w:r>
      <w:r w:rsidR="005C6DB3" w:rsidRPr="000D1695">
        <w:t xml:space="preserve">that </w:t>
      </w:r>
      <w:r w:rsidR="00150E73" w:rsidRPr="000D1695">
        <w:t>they</w:t>
      </w:r>
      <w:r w:rsidR="005C6DB3" w:rsidRPr="000D1695">
        <w:t xml:space="preserve"> did so</w:t>
      </w:r>
      <w:r w:rsidR="00AA0BBE" w:rsidRPr="000D1695">
        <w:t>.  (§§ 801</w:t>
      </w:r>
      <w:r w:rsidR="00091FFA">
        <w:t>,</w:t>
      </w:r>
      <w:r w:rsidR="00091FFA" w:rsidRPr="000D1695">
        <w:t xml:space="preserve"> </w:t>
      </w:r>
      <w:r w:rsidR="00AA0BBE" w:rsidRPr="000D1695">
        <w:t>802.)</w:t>
      </w:r>
      <w:r w:rsidR="000473EA" w:rsidRPr="000D1695">
        <w:t xml:space="preserve">  </w:t>
      </w:r>
      <w:r w:rsidR="003A664E" w:rsidRPr="000D1695">
        <w:t>In other words, it</w:t>
      </w:r>
      <w:r w:rsidR="000473EA" w:rsidRPr="000D1695">
        <w:t xml:space="preserve"> is not only when</w:t>
      </w:r>
      <w:r w:rsidR="008777C1" w:rsidRPr="000D1695">
        <w:t xml:space="preserve"> experts</w:t>
      </w:r>
      <w:r w:rsidR="000473EA" w:rsidRPr="000D1695">
        <w:t xml:space="preserve"> </w:t>
      </w:r>
      <w:r w:rsidR="00054870">
        <w:t>rely on</w:t>
      </w:r>
      <w:r w:rsidR="00054870" w:rsidRPr="000D1695">
        <w:t xml:space="preserve"> </w:t>
      </w:r>
      <w:r w:rsidR="000473EA" w:rsidRPr="000D1695">
        <w:t xml:space="preserve">the </w:t>
      </w:r>
      <w:r w:rsidR="00274C04" w:rsidRPr="000D1695">
        <w:t>“</w:t>
      </w:r>
      <w:r w:rsidR="000473EA" w:rsidRPr="000D1695">
        <w:t>amorphous</w:t>
      </w:r>
      <w:r w:rsidR="00274C04" w:rsidRPr="000D1695">
        <w:t>”</w:t>
      </w:r>
      <w:r w:rsidR="000473EA" w:rsidRPr="000D1695">
        <w:t xml:space="preserve"> “commingled result of experience and </w:t>
      </w:r>
      <w:proofErr w:type="gramStart"/>
      <w:r w:rsidR="000473EA" w:rsidRPr="000D1695">
        <w:t>education[</w:t>
      </w:r>
      <w:proofErr w:type="gramEnd"/>
      <w:r w:rsidR="000473EA" w:rsidRPr="000D1695">
        <w:t xml:space="preserve">]” </w:t>
      </w:r>
      <w:r w:rsidR="002D3936">
        <w:t xml:space="preserve">(to quote defendant) </w:t>
      </w:r>
      <w:r w:rsidR="000473EA" w:rsidRPr="000D1695">
        <w:t>that</w:t>
      </w:r>
      <w:r w:rsidR="00A038E4" w:rsidRPr="000D1695">
        <w:t xml:space="preserve"> the</w:t>
      </w:r>
      <w:r w:rsidR="000473EA" w:rsidRPr="000D1695">
        <w:t xml:space="preserve"> testimony is considered as supplying general knowledge.</w:t>
      </w:r>
    </w:p>
    <w:p w14:paraId="061C52A6" w14:textId="53E80ACE" w:rsidR="00E31F83" w:rsidRDefault="00025252" w:rsidP="00E31F83">
      <w:r w:rsidRPr="000D1695">
        <w:tab/>
        <w:t xml:space="preserve">Again, the examples we used in </w:t>
      </w:r>
      <w:r w:rsidRPr="000D1695">
        <w:rPr>
          <w:i/>
        </w:rPr>
        <w:t xml:space="preserve">Sanchez </w:t>
      </w:r>
      <w:r w:rsidRPr="000D1695">
        <w:t>shed light on the matter.  There we said that general background information encompasses the following</w:t>
      </w:r>
      <w:proofErr w:type="gramStart"/>
      <w:r w:rsidRPr="000D1695">
        <w:t xml:space="preserve">:  </w:t>
      </w:r>
      <w:r w:rsidR="00C537C6">
        <w:t>(</w:t>
      </w:r>
      <w:proofErr w:type="gramEnd"/>
      <w:r w:rsidR="00C537C6">
        <w:t>1) in a</w:t>
      </w:r>
      <w:r w:rsidR="00B00CCE">
        <w:t>n</w:t>
      </w:r>
      <w:r w:rsidR="00C537C6">
        <w:t xml:space="preserve"> </w:t>
      </w:r>
      <w:r w:rsidR="00B00CCE">
        <w:t xml:space="preserve">automobile accident case, </w:t>
      </w:r>
      <w:r w:rsidRPr="000D1695">
        <w:t xml:space="preserve">“that a given equation can be used to estimate speed based on [skid] marks”; </w:t>
      </w:r>
      <w:r w:rsidR="00FB5C6E">
        <w:t xml:space="preserve">(2) in </w:t>
      </w:r>
      <w:r w:rsidR="00AE56ED">
        <w:t xml:space="preserve">a </w:t>
      </w:r>
      <w:r w:rsidR="00FB5C6E">
        <w:t>case</w:t>
      </w:r>
      <w:r w:rsidR="00AE56ED">
        <w:t xml:space="preserve"> involving suspected foul play</w:t>
      </w:r>
      <w:r w:rsidR="00FB5C6E">
        <w:t xml:space="preserve">, </w:t>
      </w:r>
      <w:r w:rsidRPr="000D1695">
        <w:t>the “circumstances [that] might cause .</w:t>
      </w:r>
      <w:r w:rsidR="0010435C">
        <w:t> </w:t>
      </w:r>
      <w:r w:rsidRPr="000D1695">
        <w:t>.</w:t>
      </w:r>
      <w:r w:rsidR="0010435C">
        <w:t> </w:t>
      </w:r>
      <w:r w:rsidRPr="000D1695">
        <w:t xml:space="preserve">. hemorrhaging” in the eyes; and </w:t>
      </w:r>
      <w:r w:rsidR="00FB5C6E">
        <w:t xml:space="preserve">(3) </w:t>
      </w:r>
      <w:r w:rsidR="00AE56ED">
        <w:t xml:space="preserve">in a personal injury case, </w:t>
      </w:r>
      <w:r w:rsidRPr="000D1695">
        <w:t>the “potential long</w:t>
      </w:r>
      <w:r w:rsidR="008C4D1E">
        <w:t>-</w:t>
      </w:r>
      <w:r w:rsidRPr="000D1695">
        <w:t>term effects” of a serious head injury.  (</w:t>
      </w:r>
      <w:r w:rsidRPr="000D1695">
        <w:rPr>
          <w:i/>
        </w:rPr>
        <w:t>Sanchez</w:t>
      </w:r>
      <w:r w:rsidRPr="000D1695">
        <w:t xml:space="preserve">, </w:t>
      </w:r>
      <w:r w:rsidRPr="000D1695">
        <w:rPr>
          <w:i/>
        </w:rPr>
        <w:t>supra</w:t>
      </w:r>
      <w:r w:rsidRPr="000D1695">
        <w:t xml:space="preserve">, 63 Cal.4th at p. 677.)  Examining each of these types of information, we observe that the relevant equation and the fact that it can “be used to estimate speed” may be found in physics textbooks, circumstances causing hemorrhaging in medical treatises, and the </w:t>
      </w:r>
      <w:proofErr w:type="gramStart"/>
      <w:r w:rsidRPr="000D1695">
        <w:t>long term</w:t>
      </w:r>
      <w:proofErr w:type="gramEnd"/>
      <w:r w:rsidRPr="000D1695">
        <w:t xml:space="preserve"> effects of an injury in research papers.  (</w:t>
      </w:r>
      <w:r w:rsidRPr="000D1695">
        <w:rPr>
          <w:i/>
        </w:rPr>
        <w:t>Ibid.</w:t>
      </w:r>
      <w:r w:rsidRPr="000D1695">
        <w:t xml:space="preserve">)  </w:t>
      </w:r>
      <w:r w:rsidR="0000544A" w:rsidRPr="000D1695">
        <w:t xml:space="preserve">As these examples make clear, </w:t>
      </w:r>
      <w:r w:rsidRPr="000D1695">
        <w:t xml:space="preserve">an expert may consult </w:t>
      </w:r>
      <w:r w:rsidR="000353E9" w:rsidRPr="000D1695">
        <w:t xml:space="preserve">specific sources </w:t>
      </w:r>
      <w:r w:rsidRPr="000D1695">
        <w:t xml:space="preserve">in a case </w:t>
      </w:r>
      <w:r w:rsidR="000F6CB5" w:rsidRPr="000D1695">
        <w:t xml:space="preserve">— a textbook, a treatise, or an academic paper — </w:t>
      </w:r>
      <w:r w:rsidRPr="000D1695">
        <w:t>and supply t</w:t>
      </w:r>
      <w:r w:rsidR="000F6CB5" w:rsidRPr="000D1695">
        <w:t>he information found therein to</w:t>
      </w:r>
      <w:r w:rsidRPr="000D1695">
        <w:t xml:space="preserve"> the jury as background information</w:t>
      </w:r>
      <w:r w:rsidR="0078412A">
        <w:t xml:space="preserve"> without running afoul of the hearsay rules</w:t>
      </w:r>
      <w:r w:rsidRPr="000D1695">
        <w:t>.</w:t>
      </w:r>
    </w:p>
    <w:p w14:paraId="1BC17188" w14:textId="27681DC2" w:rsidR="00025252" w:rsidRPr="007138DD" w:rsidRDefault="00E31F83" w:rsidP="00E31F83">
      <w:r>
        <w:tab/>
      </w:r>
      <w:r w:rsidR="003E4F38">
        <w:t>S</w:t>
      </w:r>
      <w:r w:rsidR="00F84E00">
        <w:t xml:space="preserve">ubdivision (b) of section 721 reinforces this point.  Section 721 </w:t>
      </w:r>
      <w:r w:rsidR="00034B98">
        <w:t>sets forth</w:t>
      </w:r>
      <w:r w:rsidR="00F84E00">
        <w:t xml:space="preserve"> the scope of cross-examination of expert witness</w:t>
      </w:r>
      <w:r w:rsidR="00371992">
        <w:t>es</w:t>
      </w:r>
      <w:r w:rsidR="0036357A">
        <w:t xml:space="preserve">.  </w:t>
      </w:r>
      <w:r w:rsidR="00A01A3B">
        <w:t>I</w:t>
      </w:r>
      <w:r w:rsidR="00F84E00">
        <w:t>n pertinent part</w:t>
      </w:r>
      <w:r w:rsidR="00A01A3B">
        <w:t>, it provides</w:t>
      </w:r>
      <w:r w:rsidR="00F84E00">
        <w:t xml:space="preserve"> that “[i]</w:t>
      </w:r>
      <w:r w:rsidR="00F84E00" w:rsidRPr="00F84E00">
        <w:t>f a witness testifying as an expert testifies in the form of an opinion</w:t>
      </w:r>
      <w:r w:rsidR="00F84E00">
        <w:t xml:space="preserve">,” </w:t>
      </w:r>
      <w:r w:rsidR="00371992">
        <w:t>the witness</w:t>
      </w:r>
      <w:r w:rsidR="00F84E00">
        <w:t xml:space="preserve"> may “</w:t>
      </w:r>
      <w:r w:rsidR="00F84E00" w:rsidRPr="00F84E00">
        <w:t xml:space="preserve">be cross-examined in regard to the content or </w:t>
      </w:r>
      <w:r w:rsidR="00F84E00" w:rsidRPr="00F84E00">
        <w:lastRenderedPageBreak/>
        <w:t>tenor of any scientific, technical, or professional text, treatise, journal, or similar publication</w:t>
      </w:r>
      <w:r w:rsidR="00F84E00">
        <w:t>”</w:t>
      </w:r>
      <w:r w:rsidR="00D422D9">
        <w:t xml:space="preserve"> </w:t>
      </w:r>
      <w:r w:rsidR="0036357A">
        <w:t>so long as</w:t>
      </w:r>
      <w:r w:rsidR="00D422D9">
        <w:t xml:space="preserve"> “[t]</w:t>
      </w:r>
      <w:r w:rsidR="00D422D9" w:rsidRPr="00D422D9">
        <w:t>he witness referred to, considered, or relied upon such publication in arriving at or forming his or her opinion</w:t>
      </w:r>
      <w:r w:rsidR="00D422D9">
        <w:t>s.</w:t>
      </w:r>
      <w:r w:rsidR="003A500A">
        <w:t>”</w:t>
      </w:r>
      <w:r w:rsidR="00F84E00">
        <w:t xml:space="preserve">  (§ 721, subd</w:t>
      </w:r>
      <w:proofErr w:type="gramStart"/>
      <w:r w:rsidR="00F84E00">
        <w:t xml:space="preserve">. </w:t>
      </w:r>
      <w:proofErr w:type="gramEnd"/>
      <w:r w:rsidR="00F84E00">
        <w:t>(b).)</w:t>
      </w:r>
      <w:r w:rsidR="00B91CA0">
        <w:t xml:space="preserve">  Section 721 thus illuminates the kind of information </w:t>
      </w:r>
      <w:r w:rsidR="00080F3C">
        <w:t xml:space="preserve">that is admissible:  an expert witness may “refer[] to, consider[], or </w:t>
      </w:r>
      <w:proofErr w:type="spellStart"/>
      <w:r w:rsidR="00080F3C">
        <w:t>rel</w:t>
      </w:r>
      <w:proofErr w:type="spellEnd"/>
      <w:r w:rsidR="00080F3C">
        <w:t>[y] upon” “any scientific, technical, or professional text, treatise, journal, or similar publication” and may expect to be cross-e</w:t>
      </w:r>
      <w:r w:rsidR="009C2E5A">
        <w:t>xamined “in regard to the content or tenor” o</w:t>
      </w:r>
      <w:r w:rsidR="00FE28FE">
        <w:t>f</w:t>
      </w:r>
      <w:r w:rsidR="009C2E5A">
        <w:t xml:space="preserve"> any such publication.</w:t>
      </w:r>
      <w:r w:rsidR="003C1FA1">
        <w:t xml:space="preserve">  </w:t>
      </w:r>
      <w:r w:rsidR="002F16C0">
        <w:t>(</w:t>
      </w:r>
      <w:r w:rsidR="002F16C0">
        <w:rPr>
          <w:i/>
        </w:rPr>
        <w:t>Ibid.</w:t>
      </w:r>
      <w:r w:rsidR="002F16C0">
        <w:t xml:space="preserve">)  </w:t>
      </w:r>
      <w:r w:rsidR="00071652">
        <w:t>Accordingly, s</w:t>
      </w:r>
      <w:r w:rsidR="00035127">
        <w:t>pecific references and their “content or tenor” are not inadmissible merely because they are specific.</w:t>
      </w:r>
      <w:r w:rsidR="007138DD">
        <w:t xml:space="preserve">  (</w:t>
      </w:r>
      <w:r w:rsidR="007138DD">
        <w:rPr>
          <w:i/>
        </w:rPr>
        <w:t>Ibid.</w:t>
      </w:r>
      <w:r w:rsidR="007138DD">
        <w:t>)</w:t>
      </w:r>
    </w:p>
    <w:p w14:paraId="08E84B18" w14:textId="15A7D36A" w:rsidR="00377330" w:rsidRDefault="009E1AEA" w:rsidP="001B318E">
      <w:r w:rsidRPr="000D1695">
        <w:tab/>
        <w:t xml:space="preserve">Insofar as defendant argues that </w:t>
      </w:r>
      <w:r w:rsidR="003A77A3">
        <w:t xml:space="preserve">specific </w:t>
      </w:r>
      <w:r w:rsidR="009F290C">
        <w:t>reference</w:t>
      </w:r>
      <w:r w:rsidR="009F290C" w:rsidRPr="000D1695">
        <w:t xml:space="preserve"> </w:t>
      </w:r>
      <w:r w:rsidRPr="000D1695">
        <w:t xml:space="preserve">sources </w:t>
      </w:r>
      <w:r w:rsidR="00B768AE">
        <w:t>constitute</w:t>
      </w:r>
      <w:r w:rsidR="00B768AE" w:rsidRPr="000D1695">
        <w:t xml:space="preserve"> </w:t>
      </w:r>
      <w:r w:rsidRPr="000D1695">
        <w:t xml:space="preserve">background information only if the expert happened to know the information off-hand and did not </w:t>
      </w:r>
      <w:r w:rsidR="00AF5152" w:rsidRPr="000D1695">
        <w:t xml:space="preserve">review </w:t>
      </w:r>
      <w:r w:rsidR="008715A6" w:rsidRPr="000D1695">
        <w:t>the</w:t>
      </w:r>
      <w:r w:rsidR="002533EA" w:rsidRPr="000D1695">
        <w:t xml:space="preserve"> source materials</w:t>
      </w:r>
      <w:r w:rsidR="00191969" w:rsidRPr="000D1695">
        <w:t xml:space="preserve"> in preparing for a </w:t>
      </w:r>
      <w:proofErr w:type="gramStart"/>
      <w:r w:rsidR="00191969" w:rsidRPr="000D1695">
        <w:t>particular case</w:t>
      </w:r>
      <w:proofErr w:type="gramEnd"/>
      <w:r w:rsidRPr="000D1695">
        <w:t>, we reject th</w:t>
      </w:r>
      <w:r w:rsidR="008731B7" w:rsidRPr="000D1695">
        <w:t>e</w:t>
      </w:r>
      <w:r w:rsidRPr="000D1695">
        <w:t xml:space="preserve"> argument.  </w:t>
      </w:r>
      <w:r w:rsidR="00AA11C1" w:rsidRPr="000D1695">
        <w:t>It is untenable that the same information would be background knowledge when conveyed by one expert but case-specific information when provided by another</w:t>
      </w:r>
      <w:r w:rsidR="00356261" w:rsidRPr="000D1695">
        <w:t xml:space="preserve"> </w:t>
      </w:r>
      <w:r w:rsidR="00D50ECE" w:rsidRPr="000D1695">
        <w:t xml:space="preserve">solely because </w:t>
      </w:r>
      <w:r w:rsidR="009F4F35" w:rsidRPr="000D1695">
        <w:t>one</w:t>
      </w:r>
      <w:r w:rsidR="004E38AE" w:rsidRPr="000D1695">
        <w:t xml:space="preserve"> </w:t>
      </w:r>
      <w:r w:rsidR="00E00B34" w:rsidRPr="000D1695">
        <w:t xml:space="preserve">of the </w:t>
      </w:r>
      <w:r w:rsidR="004E38AE" w:rsidRPr="000D1695">
        <w:t>expert</w:t>
      </w:r>
      <w:r w:rsidR="00E00B34" w:rsidRPr="000D1695">
        <w:t>s</w:t>
      </w:r>
      <w:r w:rsidR="004E38AE" w:rsidRPr="000D1695">
        <w:t xml:space="preserve"> </w:t>
      </w:r>
      <w:r w:rsidR="00224034" w:rsidRPr="000D1695">
        <w:t>c</w:t>
      </w:r>
      <w:r w:rsidR="00AE7E58" w:rsidRPr="000D1695">
        <w:t>onsulted</w:t>
      </w:r>
      <w:r w:rsidR="00224034" w:rsidRPr="000D1695">
        <w:t xml:space="preserve"> a resource containing that information before testifying</w:t>
      </w:r>
      <w:r w:rsidR="00020434" w:rsidRPr="000D1695">
        <w:t>.</w:t>
      </w:r>
      <w:r w:rsidR="0021718C" w:rsidRPr="000D1695">
        <w:t xml:space="preserve">  </w:t>
      </w:r>
      <w:r w:rsidR="007E38E3" w:rsidRPr="000D1695">
        <w:t xml:space="preserve">We cannot accept </w:t>
      </w:r>
      <w:r w:rsidR="00920710" w:rsidRPr="000D1695">
        <w:t xml:space="preserve">a framework </w:t>
      </w:r>
      <w:r w:rsidR="00E7791A" w:rsidRPr="000D1695">
        <w:t>under which</w:t>
      </w:r>
      <w:r w:rsidR="00E57781" w:rsidRPr="000D1695">
        <w:t xml:space="preserve"> </w:t>
      </w:r>
      <w:r w:rsidR="00E256BD" w:rsidRPr="000D1695">
        <w:t>the</w:t>
      </w:r>
      <w:r w:rsidR="00ED4A9E" w:rsidRPr="000D1695">
        <w:t xml:space="preserve"> </w:t>
      </w:r>
      <w:r w:rsidR="00F06FB4" w:rsidRPr="000D1695">
        <w:t>standard for admitting</w:t>
      </w:r>
      <w:r w:rsidR="0021718C" w:rsidRPr="000D1695">
        <w:t xml:space="preserve"> expert testimony </w:t>
      </w:r>
      <w:r w:rsidR="00920710" w:rsidRPr="000D1695">
        <w:t>would</w:t>
      </w:r>
      <w:r w:rsidR="009420B0">
        <w:t>, as the Attorney General says,</w:t>
      </w:r>
      <w:r w:rsidR="00920710" w:rsidRPr="000D1695">
        <w:t xml:space="preserve"> </w:t>
      </w:r>
      <w:r w:rsidR="00ED4A9E" w:rsidRPr="000D1695">
        <w:t>“tu</w:t>
      </w:r>
      <w:r w:rsidR="002507FC" w:rsidRPr="000D1695">
        <w:t>rn</w:t>
      </w:r>
      <w:r w:rsidR="00ED4A9E" w:rsidRPr="000D1695">
        <w:t xml:space="preserve"> on the expert’s memory rather than on the reliability of the underlying material.”</w:t>
      </w:r>
    </w:p>
    <w:p w14:paraId="743FB967" w14:textId="63987002" w:rsidR="000D11B8" w:rsidRPr="00802EEB" w:rsidRDefault="00377330" w:rsidP="001B318E">
      <w:r>
        <w:tab/>
        <w:t>To reiterate, t</w:t>
      </w:r>
      <w:r w:rsidR="00802EEB">
        <w:t xml:space="preserve">he relevant </w:t>
      </w:r>
      <w:r w:rsidR="00C634B9">
        <w:t xml:space="preserve">hearsay </w:t>
      </w:r>
      <w:r w:rsidR="00802EEB">
        <w:t>analysis</w:t>
      </w:r>
      <w:r w:rsidR="003B6D30">
        <w:t xml:space="preserve"> </w:t>
      </w:r>
      <w:r w:rsidR="00FF2583">
        <w:t xml:space="preserve">under </w:t>
      </w:r>
      <w:r w:rsidR="00FF2583">
        <w:rPr>
          <w:i/>
        </w:rPr>
        <w:t>Sanchez</w:t>
      </w:r>
      <w:r w:rsidR="00025C38">
        <w:t xml:space="preserve"> </w:t>
      </w:r>
      <w:r w:rsidR="00802EEB">
        <w:t xml:space="preserve">is whether </w:t>
      </w:r>
      <w:r w:rsidR="00025C38">
        <w:t xml:space="preserve">the expert </w:t>
      </w:r>
      <w:r w:rsidR="00FA28BB">
        <w:t>is relating general</w:t>
      </w:r>
      <w:r w:rsidR="00A7070C">
        <w:t xml:space="preserve"> </w:t>
      </w:r>
      <w:r w:rsidR="00FA28BB">
        <w:t xml:space="preserve">or case-specific </w:t>
      </w:r>
      <w:r w:rsidR="00802EEB">
        <w:t>out-of-court statements</w:t>
      </w:r>
      <w:r w:rsidR="008D03B7">
        <w:t xml:space="preserve">.  </w:t>
      </w:r>
      <w:r w:rsidR="00FA56CD">
        <w:t xml:space="preserve">The focus </w:t>
      </w:r>
      <w:r w:rsidR="009105C7">
        <w:t xml:space="preserve">of the inquiry </w:t>
      </w:r>
      <w:r w:rsidR="00FA56CD">
        <w:t xml:space="preserve">is on the </w:t>
      </w:r>
      <w:r w:rsidR="00687839">
        <w:t xml:space="preserve">information </w:t>
      </w:r>
      <w:r w:rsidR="00F53EB7">
        <w:t xml:space="preserve">conveyed by the expert’s </w:t>
      </w:r>
      <w:r w:rsidR="00FA28BB">
        <w:t>testimony</w:t>
      </w:r>
      <w:r w:rsidR="00FA56CD">
        <w:t xml:space="preserve">, not </w:t>
      </w:r>
      <w:r w:rsidR="00802EEB">
        <w:t xml:space="preserve">how </w:t>
      </w:r>
      <w:r w:rsidR="00F53EB7">
        <w:t>the</w:t>
      </w:r>
      <w:r w:rsidR="00802EEB">
        <w:t xml:space="preserve"> expert c</w:t>
      </w:r>
      <w:r w:rsidR="001455C3">
        <w:t>am</w:t>
      </w:r>
      <w:r w:rsidR="009B45CE">
        <w:t>e</w:t>
      </w:r>
      <w:r w:rsidR="00802EEB">
        <w:t xml:space="preserve"> to learn of </w:t>
      </w:r>
      <w:r w:rsidR="00F53EB7">
        <w:t>such information</w:t>
      </w:r>
      <w:r w:rsidR="00802EEB">
        <w:t xml:space="preserve">.  </w:t>
      </w:r>
      <w:r w:rsidR="00F77D0D">
        <w:t>Thus, r</w:t>
      </w:r>
      <w:r w:rsidR="00802EEB">
        <w:t xml:space="preserve">egardless of whether an expert testified to </w:t>
      </w:r>
      <w:r w:rsidR="007214F5">
        <w:t>certain facts</w:t>
      </w:r>
      <w:r w:rsidR="00802EEB">
        <w:t xml:space="preserve"> based on</w:t>
      </w:r>
      <w:r w:rsidR="0058536D">
        <w:t xml:space="preserve"> composite knowledge “</w:t>
      </w:r>
      <w:r w:rsidR="0058536D" w:rsidRPr="0058536D">
        <w:t>acquired from sources too numerous to distinguish and quantify</w:t>
      </w:r>
      <w:r w:rsidR="0058536D">
        <w:t>” or if the expert simply look</w:t>
      </w:r>
      <w:r w:rsidR="001455C3">
        <w:t>ed</w:t>
      </w:r>
      <w:r w:rsidR="0058536D">
        <w:t xml:space="preserve"> up </w:t>
      </w:r>
      <w:r w:rsidR="004C61C1">
        <w:t xml:space="preserve">the </w:t>
      </w:r>
      <w:r w:rsidR="0058536D">
        <w:t xml:space="preserve">facts in a specific </w:t>
      </w:r>
      <w:r w:rsidR="0058536D">
        <w:lastRenderedPageBreak/>
        <w:t>reference as part of his</w:t>
      </w:r>
      <w:r w:rsidR="000020FC">
        <w:t xml:space="preserve"> or her</w:t>
      </w:r>
      <w:r w:rsidR="0058536D">
        <w:t xml:space="preserve"> duties in a </w:t>
      </w:r>
      <w:proofErr w:type="gramStart"/>
      <w:r w:rsidR="00285B7F">
        <w:t>particular</w:t>
      </w:r>
      <w:r w:rsidR="0058536D">
        <w:t xml:space="preserve"> case</w:t>
      </w:r>
      <w:proofErr w:type="gramEnd"/>
      <w:r w:rsidR="0058536D">
        <w:t xml:space="preserve">, the </w:t>
      </w:r>
      <w:r w:rsidR="00B159F5">
        <w:t>facts</w:t>
      </w:r>
      <w:r w:rsidR="00AF5B34">
        <w:t xml:space="preserve"> remai</w:t>
      </w:r>
      <w:r w:rsidR="00153EC8">
        <w:t>n</w:t>
      </w:r>
      <w:r w:rsidR="0065557D">
        <w:t xml:space="preserve"> the same</w:t>
      </w:r>
      <w:r w:rsidR="002005B4">
        <w:t xml:space="preserve">.  </w:t>
      </w:r>
      <w:r w:rsidR="00AF5B34">
        <w:t>The</w:t>
      </w:r>
      <w:r w:rsidR="002005B4">
        <w:t xml:space="preserve"> background </w:t>
      </w:r>
      <w:r w:rsidR="00C23695">
        <w:t xml:space="preserve">or case-specific </w:t>
      </w:r>
      <w:r w:rsidR="002005B4">
        <w:t>character</w:t>
      </w:r>
      <w:r w:rsidR="00896985">
        <w:t xml:space="preserve"> of </w:t>
      </w:r>
      <w:r w:rsidR="00A7070C">
        <w:t>the information</w:t>
      </w:r>
      <w:r w:rsidR="00896985">
        <w:t xml:space="preserve"> </w:t>
      </w:r>
      <w:r w:rsidR="002005B4">
        <w:t xml:space="preserve">does not change </w:t>
      </w:r>
      <w:r w:rsidR="00CB49E8">
        <w:t>because of</w:t>
      </w:r>
      <w:r w:rsidR="00053043">
        <w:t xml:space="preserve"> the source from which an expert acquire</w:t>
      </w:r>
      <w:r w:rsidR="00CB49E8">
        <w:t>d</w:t>
      </w:r>
      <w:r w:rsidR="00053043">
        <w:t xml:space="preserve"> his or her knowledge</w:t>
      </w:r>
      <w:r w:rsidR="002005B4">
        <w:t>.</w:t>
      </w:r>
    </w:p>
    <w:p w14:paraId="5E299F76" w14:textId="01C2D290" w:rsidR="004B2693" w:rsidRPr="000D1695" w:rsidRDefault="009D44C4" w:rsidP="001B318E">
      <w:r w:rsidRPr="000D1695">
        <w:tab/>
      </w:r>
      <w:r w:rsidR="00B37144" w:rsidRPr="000D1695">
        <w:t>D</w:t>
      </w:r>
      <w:r w:rsidR="00560D4E" w:rsidRPr="000D1695">
        <w:t xml:space="preserve">efendant </w:t>
      </w:r>
      <w:r w:rsidR="00B37144" w:rsidRPr="000D1695">
        <w:t xml:space="preserve">also </w:t>
      </w:r>
      <w:r w:rsidR="004E6D5E" w:rsidRPr="000D1695">
        <w:t xml:space="preserve">seeks to rely on </w:t>
      </w:r>
      <w:r w:rsidR="004E6D5E" w:rsidRPr="000D1695">
        <w:rPr>
          <w:i/>
        </w:rPr>
        <w:t>Stamps</w:t>
      </w:r>
      <w:r w:rsidR="004E6D5E" w:rsidRPr="000D1695">
        <w:t xml:space="preserve">, </w:t>
      </w:r>
      <w:r w:rsidR="004E6D5E" w:rsidRPr="000D1695">
        <w:rPr>
          <w:i/>
        </w:rPr>
        <w:t>supra</w:t>
      </w:r>
      <w:r w:rsidR="004E6D5E" w:rsidRPr="000D1695">
        <w:t xml:space="preserve">, </w:t>
      </w:r>
      <w:r w:rsidR="00766CC9" w:rsidRPr="000D1695">
        <w:t>3</w:t>
      </w:r>
      <w:r w:rsidR="004345DB">
        <w:t> </w:t>
      </w:r>
      <w:r w:rsidR="00766CC9" w:rsidRPr="000D1695">
        <w:t>Cal.App.5th 988</w:t>
      </w:r>
      <w:r w:rsidR="004E6D5E" w:rsidRPr="000D1695">
        <w:t>.</w:t>
      </w:r>
      <w:r w:rsidR="001236DE" w:rsidRPr="000D1695">
        <w:t xml:space="preserve">  In </w:t>
      </w:r>
      <w:r w:rsidR="0097705A" w:rsidRPr="000D1695">
        <w:t>that case</w:t>
      </w:r>
      <w:r w:rsidR="001236DE" w:rsidRPr="000D1695">
        <w:t xml:space="preserve">, </w:t>
      </w:r>
      <w:r w:rsidR="00396042" w:rsidRPr="000D1695">
        <w:t xml:space="preserve">the prosecution’s expert had </w:t>
      </w:r>
      <w:r w:rsidR="00BC1E97" w:rsidRPr="000D1695">
        <w:t>identified pills recovered from the defendant “</w:t>
      </w:r>
      <w:r w:rsidR="007533BD" w:rsidRPr="000D1695">
        <w:t xml:space="preserve">as oxycodone and dihydrocodeinone </w:t>
      </w:r>
      <w:r w:rsidR="00BC1E97" w:rsidRPr="000D1695">
        <w:t>based solely on a visual comparison of the seized pills to those displayed on the Ident-A-Drug Web site.”  (</w:t>
      </w:r>
      <w:r w:rsidR="00E41171" w:rsidRPr="000D1695">
        <w:rPr>
          <w:i/>
        </w:rPr>
        <w:t>Stamps</w:t>
      </w:r>
      <w:r w:rsidR="00E41171" w:rsidRPr="000D1695">
        <w:t xml:space="preserve">, </w:t>
      </w:r>
      <w:r w:rsidR="00E41171" w:rsidRPr="000D1695">
        <w:rPr>
          <w:i/>
        </w:rPr>
        <w:t>supra</w:t>
      </w:r>
      <w:r w:rsidR="00E41171" w:rsidRPr="000D1695">
        <w:t xml:space="preserve">, </w:t>
      </w:r>
      <w:r w:rsidR="00BC1E97" w:rsidRPr="000D1695">
        <w:t>3 Cal.App.5th at p. 991.)</w:t>
      </w:r>
      <w:r w:rsidR="007533BD" w:rsidRPr="000D1695">
        <w:t xml:space="preserve">  The Court of Appeal </w:t>
      </w:r>
      <w:r w:rsidR="00645091" w:rsidRPr="000D1695">
        <w:t>found</w:t>
      </w:r>
      <w:r w:rsidR="007533BD" w:rsidRPr="000D1695">
        <w:t xml:space="preserve"> that the expert’s testimony was inadmissible hearsay because the “Ident-A-Drug </w:t>
      </w:r>
      <w:proofErr w:type="gramStart"/>
      <w:r w:rsidR="007533BD" w:rsidRPr="000D1695">
        <w:t>content .</w:t>
      </w:r>
      <w:proofErr w:type="gramEnd"/>
      <w:r w:rsidR="003B24C3">
        <w:t> </w:t>
      </w:r>
      <w:r w:rsidR="007533BD" w:rsidRPr="000D1695">
        <w:t>.</w:t>
      </w:r>
      <w:r w:rsidR="003B24C3">
        <w:t> </w:t>
      </w:r>
      <w:r w:rsidR="007533BD" w:rsidRPr="000D1695">
        <w:t>. was case</w:t>
      </w:r>
      <w:r w:rsidR="00592B92">
        <w:t xml:space="preserve"> </w:t>
      </w:r>
      <w:r w:rsidR="007533BD" w:rsidRPr="000D1695">
        <w:t>specific.”  (</w:t>
      </w:r>
      <w:r w:rsidR="007533BD" w:rsidRPr="000D1695">
        <w:rPr>
          <w:i/>
        </w:rPr>
        <w:t xml:space="preserve">Id. </w:t>
      </w:r>
      <w:r w:rsidR="007533BD" w:rsidRPr="000D1695">
        <w:t xml:space="preserve">at p. </w:t>
      </w:r>
      <w:r w:rsidR="009E58C8" w:rsidRPr="000D1695">
        <w:t>997.)</w:t>
      </w:r>
      <w:r w:rsidR="00872997" w:rsidRPr="000D1695">
        <w:t xml:space="preserve">  </w:t>
      </w:r>
      <w:r w:rsidR="00395C23" w:rsidRPr="000D1695">
        <w:t xml:space="preserve">The court </w:t>
      </w:r>
      <w:r w:rsidR="00645091" w:rsidRPr="000D1695">
        <w:t xml:space="preserve">explained its </w:t>
      </w:r>
      <w:r w:rsidR="00A34619" w:rsidRPr="000D1695">
        <w:t xml:space="preserve">reasoning </w:t>
      </w:r>
      <w:r w:rsidR="00645091" w:rsidRPr="000D1695">
        <w:t>in succinct terms, stating</w:t>
      </w:r>
      <w:r w:rsidR="00910F3C">
        <w:t>,</w:t>
      </w:r>
      <w:r w:rsidR="00645091" w:rsidRPr="000D1695">
        <w:t xml:space="preserve"> “</w:t>
      </w:r>
      <w:r w:rsidR="00910F3C">
        <w:t>W</w:t>
      </w:r>
      <w:r w:rsidR="003174C3" w:rsidRPr="000D1695">
        <w:t>e think it undeniable that the chemical composition of the pills Stamps possessed must be considered case specific.  Indeed, the Ident-A-Drug hearsay was admitted as proof of the very gravamen of the crime with which she was charged</w:t>
      </w:r>
      <w:proofErr w:type="gramStart"/>
      <w:r w:rsidR="003174C3" w:rsidRPr="000D1695">
        <w:t xml:space="preserve">. </w:t>
      </w:r>
      <w:r w:rsidR="001B02CF" w:rsidRPr="000D1695">
        <w:t>.</w:t>
      </w:r>
      <w:proofErr w:type="gramEnd"/>
      <w:r w:rsidR="002C0DA4">
        <w:t> </w:t>
      </w:r>
      <w:r w:rsidR="001B02CF" w:rsidRPr="000D1695">
        <w:t>.</w:t>
      </w:r>
      <w:r w:rsidR="002C0DA4">
        <w:t> </w:t>
      </w:r>
      <w:r w:rsidR="001B02CF" w:rsidRPr="000D1695">
        <w:t xml:space="preserve">.  </w:t>
      </w:r>
      <w:r w:rsidR="003174C3" w:rsidRPr="000D1695">
        <w:t>That being true, our hearsay analysis is at an end.”  (</w:t>
      </w:r>
      <w:r w:rsidR="003174C3" w:rsidRPr="000D1695">
        <w:rPr>
          <w:i/>
        </w:rPr>
        <w:t>Ibid.</w:t>
      </w:r>
      <w:r w:rsidR="00185B2A" w:rsidRPr="000D1695">
        <w:t>)</w:t>
      </w:r>
    </w:p>
    <w:p w14:paraId="5AF4CE6C" w14:textId="4786E0E5" w:rsidR="00B03F82" w:rsidRPr="000D1695" w:rsidRDefault="004B2693" w:rsidP="001B318E">
      <w:r w:rsidRPr="000D1695">
        <w:tab/>
      </w:r>
      <w:r w:rsidR="00B14AF3" w:rsidRPr="000D1695">
        <w:t>We are not persuaded</w:t>
      </w:r>
      <w:r w:rsidRPr="000D1695">
        <w:t>.</w:t>
      </w:r>
      <w:r w:rsidR="00AE3BC2" w:rsidRPr="000D1695">
        <w:rPr>
          <w:rStyle w:val="FootnoteReference"/>
        </w:rPr>
        <w:footnoteReference w:id="5"/>
      </w:r>
      <w:r w:rsidRPr="000D1695">
        <w:t xml:space="preserve">  S</w:t>
      </w:r>
      <w:r w:rsidR="00E43C7E" w:rsidRPr="000D1695">
        <w:t xml:space="preserve">imply because the Ident-A-Drug web site served as the basis for the expert’s ultimate opinion does not make information from the site case-specific.  The expert’s opinion that the seized pills </w:t>
      </w:r>
      <w:r w:rsidR="00BD39DF">
        <w:t>were</w:t>
      </w:r>
      <w:r w:rsidR="00BD39DF" w:rsidRPr="000D1695">
        <w:t xml:space="preserve"> </w:t>
      </w:r>
      <w:r w:rsidR="00E43C7E" w:rsidRPr="000D1695">
        <w:t xml:space="preserve">prescription opioids was </w:t>
      </w:r>
      <w:r w:rsidR="000D613B" w:rsidRPr="000D1695">
        <w:t xml:space="preserve">not hearsay and not otherwise </w:t>
      </w:r>
      <w:r w:rsidR="00410EB8" w:rsidRPr="000D1695">
        <w:t>objectionable</w:t>
      </w:r>
      <w:r w:rsidR="00E43C7E" w:rsidRPr="000D1695">
        <w:t>.  (§ 805 [“Testimony in the form of an opinion that is otherwise admissible is not objectionable because it embraces the ultimate issue to be decided by the trier of fact”].)</w:t>
      </w:r>
      <w:r w:rsidR="00F80907" w:rsidRPr="000D1695">
        <w:t xml:space="preserve">  </w:t>
      </w:r>
      <w:r w:rsidR="00602A7D">
        <w:t>I</w:t>
      </w:r>
      <w:r w:rsidR="005866E5">
        <w:t xml:space="preserve">nformation from the Ident-A-Drug database — that pills matching a certain description contain opioids — </w:t>
      </w:r>
      <w:r w:rsidR="005866E5" w:rsidRPr="00BF062C">
        <w:rPr>
          <w:i/>
        </w:rPr>
        <w:t>was</w:t>
      </w:r>
      <w:r w:rsidR="005866E5">
        <w:t xml:space="preserve"> hearsay</w:t>
      </w:r>
      <w:r w:rsidR="00BF062C">
        <w:t xml:space="preserve"> but not case-specific</w:t>
      </w:r>
      <w:r w:rsidR="005866E5">
        <w:t xml:space="preserve">.  </w:t>
      </w:r>
      <w:r w:rsidR="00373673" w:rsidRPr="000D1695">
        <w:lastRenderedPageBreak/>
        <w:t>It is no more case-specific tha</w:t>
      </w:r>
      <w:r w:rsidR="002C4F52" w:rsidRPr="000D1695">
        <w:t>n</w:t>
      </w:r>
      <w:r w:rsidR="00373673" w:rsidRPr="000D1695">
        <w:t xml:space="preserve"> if</w:t>
      </w:r>
      <w:r w:rsidR="00165EAC" w:rsidRPr="000D1695">
        <w:t xml:space="preserve"> </w:t>
      </w:r>
      <w:r w:rsidR="00184EDE" w:rsidRPr="000D1695">
        <w:t xml:space="preserve">an expert </w:t>
      </w:r>
      <w:r w:rsidR="006A6C6B">
        <w:t>divulged</w:t>
      </w:r>
      <w:r w:rsidR="007F30BC">
        <w:t xml:space="preserve"> the equation </w:t>
      </w:r>
      <w:r w:rsidR="009D2413">
        <w:t xml:space="preserve">— </w:t>
      </w:r>
      <w:r w:rsidR="00667A80" w:rsidRPr="000D1695">
        <w:t xml:space="preserve">into which she entered the length of the skid marks she </w:t>
      </w:r>
      <w:r w:rsidR="00937E1D" w:rsidRPr="000D1695">
        <w:t>measured</w:t>
      </w:r>
      <w:r w:rsidR="00BF44C1" w:rsidRPr="000D1695">
        <w:t xml:space="preserve"> at the scene of the accident</w:t>
      </w:r>
      <w:r w:rsidR="009D2413">
        <w:t xml:space="preserve"> —</w:t>
      </w:r>
      <w:r w:rsidR="002F3895" w:rsidRPr="000D1695">
        <w:t xml:space="preserve"> </w:t>
      </w:r>
      <w:r w:rsidR="00615DDD" w:rsidRPr="000D1695">
        <w:t xml:space="preserve">to </w:t>
      </w:r>
      <w:proofErr w:type="gramStart"/>
      <w:r w:rsidR="00615DDD" w:rsidRPr="000D1695">
        <w:t>come to the conclusion</w:t>
      </w:r>
      <w:proofErr w:type="gramEnd"/>
      <w:r w:rsidR="00615DDD" w:rsidRPr="000D1695">
        <w:t xml:space="preserve"> </w:t>
      </w:r>
      <w:r w:rsidR="00FA2AD1" w:rsidRPr="000D1695">
        <w:t>that</w:t>
      </w:r>
      <w:r w:rsidR="0007683C" w:rsidRPr="000D1695">
        <w:t xml:space="preserve"> </w:t>
      </w:r>
      <w:r w:rsidR="00123C41" w:rsidRPr="000D1695">
        <w:t xml:space="preserve">a </w:t>
      </w:r>
      <w:r w:rsidR="0007683C" w:rsidRPr="000D1695">
        <w:t xml:space="preserve">defendant was traveling at the speed of </w:t>
      </w:r>
      <w:r w:rsidR="00882BD7" w:rsidRPr="000D1695">
        <w:t>1</w:t>
      </w:r>
      <w:r w:rsidR="0007683C" w:rsidRPr="000D1695">
        <w:t>00 miles per hour</w:t>
      </w:r>
      <w:r w:rsidR="00165EAC" w:rsidRPr="000D1695">
        <w:t xml:space="preserve"> before </w:t>
      </w:r>
      <w:r w:rsidR="00620B41" w:rsidRPr="000D1695">
        <w:t>the</w:t>
      </w:r>
      <w:r w:rsidR="00123C41" w:rsidRPr="000D1695">
        <w:t xml:space="preserve"> </w:t>
      </w:r>
      <w:r w:rsidR="00165EAC" w:rsidRPr="000D1695">
        <w:t>crash</w:t>
      </w:r>
      <w:r w:rsidR="00CC3CB2" w:rsidRPr="000D1695">
        <w:t>.</w:t>
      </w:r>
      <w:r w:rsidR="000E1327" w:rsidRPr="000D1695">
        <w:t xml:space="preserve">  (</w:t>
      </w:r>
      <w:r w:rsidR="00A739C5" w:rsidRPr="000D1695">
        <w:t xml:space="preserve">See </w:t>
      </w:r>
      <w:r w:rsidR="000E1327" w:rsidRPr="000D1695">
        <w:rPr>
          <w:i/>
        </w:rPr>
        <w:t>Sanchez</w:t>
      </w:r>
      <w:r w:rsidR="000E1327" w:rsidRPr="000D1695">
        <w:t xml:space="preserve">, </w:t>
      </w:r>
      <w:r w:rsidR="000E1327" w:rsidRPr="000D1695">
        <w:rPr>
          <w:i/>
        </w:rPr>
        <w:t>supra</w:t>
      </w:r>
      <w:r w:rsidR="000E1327" w:rsidRPr="000D1695">
        <w:t>, 63 Cal.4th at p. 677.)</w:t>
      </w:r>
    </w:p>
    <w:p w14:paraId="01EB9321" w14:textId="1AED49D7" w:rsidR="0027629B" w:rsidRPr="000D1695" w:rsidRDefault="00A15DB9" w:rsidP="001B318E">
      <w:r w:rsidRPr="000D1695">
        <w:tab/>
        <w:t xml:space="preserve">Defendant </w:t>
      </w:r>
      <w:r w:rsidR="00A94F45" w:rsidRPr="000D1695">
        <w:t>further contends</w:t>
      </w:r>
      <w:r w:rsidRPr="000D1695">
        <w:t xml:space="preserve"> that the existence of other statutory exceptions to the hearsay rule — specifically Evidence Code section 1340 — “suggests that [] information included in a database is not part of the expert’s general knowledge.”  Section 1340 </w:t>
      </w:r>
      <w:r w:rsidR="0073255C" w:rsidRPr="000D1695">
        <w:t xml:space="preserve">provides that </w:t>
      </w:r>
      <w:r w:rsidR="006D33B7" w:rsidRPr="000D1695">
        <w:t>a</w:t>
      </w:r>
      <w:r w:rsidRPr="000D1695">
        <w:t xml:space="preserve"> statement “contained in a tabulation, list, directory, register, or other published compilation</w:t>
      </w:r>
      <w:r w:rsidR="006D33B7" w:rsidRPr="000D1695">
        <w:t xml:space="preserve"> is not </w:t>
      </w:r>
      <w:r w:rsidRPr="000D1695">
        <w:t>made inadmissible by the hearsay rule if the compilation is generally used and relied upon as accurate in the course of a business.”  Because section 1340 arguably may cover Rienhardt’s testimony regarding the database, defendant contends that the existence of the section means that the testimony cannot qualify as permissible testimony under sections 801 and 802.</w:t>
      </w:r>
    </w:p>
    <w:p w14:paraId="0DE8FDE9" w14:textId="3293EA98" w:rsidR="00A15DB9" w:rsidRPr="000D1695" w:rsidRDefault="0027629B" w:rsidP="001B318E">
      <w:r w:rsidRPr="000D1695">
        <w:tab/>
      </w:r>
      <w:r w:rsidR="00F30547" w:rsidRPr="000D1695">
        <w:t>A</w:t>
      </w:r>
      <w:r w:rsidR="00551241" w:rsidRPr="000D1695">
        <w:t xml:space="preserve">s the Attorney General points out, </w:t>
      </w:r>
      <w:r w:rsidR="00F30547" w:rsidRPr="000D1695">
        <w:t xml:space="preserve">however, </w:t>
      </w:r>
      <w:r w:rsidR="00D37603" w:rsidRPr="000D1695">
        <w:t>“</w:t>
      </w:r>
      <w:r w:rsidR="00EB3323" w:rsidRPr="000D1695">
        <w:t>evidence is often admissible under more than one theory</w:t>
      </w:r>
      <w:r w:rsidR="00C71A78" w:rsidRPr="000D1695">
        <w:t>.</w:t>
      </w:r>
      <w:r w:rsidR="00EB3323" w:rsidRPr="000D1695">
        <w:t xml:space="preserve">”  </w:t>
      </w:r>
      <w:r w:rsidR="003907A0" w:rsidRPr="000D1695">
        <w:t>T</w:t>
      </w:r>
      <w:r w:rsidR="008A3601" w:rsidRPr="000D1695">
        <w:t>hus, t</w:t>
      </w:r>
      <w:r w:rsidR="00EB3323" w:rsidRPr="000D1695">
        <w:t>he existence of one s</w:t>
      </w:r>
      <w:r w:rsidR="00FF0965" w:rsidRPr="000D1695">
        <w:t>tatutory provision</w:t>
      </w:r>
      <w:r w:rsidR="005D11A5" w:rsidRPr="000D1695">
        <w:t xml:space="preserve"> allowing for admission of </w:t>
      </w:r>
      <w:r w:rsidR="00792230" w:rsidRPr="000D1695">
        <w:t xml:space="preserve">a piece of </w:t>
      </w:r>
      <w:r w:rsidR="005D11A5" w:rsidRPr="000D1695">
        <w:t>evidence</w:t>
      </w:r>
      <w:r w:rsidR="00FF0965" w:rsidRPr="000D1695">
        <w:t xml:space="preserve"> does not preclude th</w:t>
      </w:r>
      <w:r w:rsidR="001849FA" w:rsidRPr="000D1695">
        <w:t>at</w:t>
      </w:r>
      <w:r w:rsidR="00FF0965" w:rsidRPr="000D1695">
        <w:t xml:space="preserve"> evidence from being admitted under a different provision</w:t>
      </w:r>
      <w:r w:rsidR="00EB3323" w:rsidRPr="000D1695">
        <w:t>.</w:t>
      </w:r>
      <w:r w:rsidR="00247C2C" w:rsidRPr="000D1695">
        <w:t xml:space="preserve"> </w:t>
      </w:r>
      <w:r w:rsidR="00EB3323" w:rsidRPr="000D1695">
        <w:t xml:space="preserve"> </w:t>
      </w:r>
      <w:r w:rsidR="00247C2C" w:rsidRPr="000D1695">
        <w:t xml:space="preserve">(See, e.g., </w:t>
      </w:r>
      <w:r w:rsidR="00D179A4">
        <w:t xml:space="preserve">Cal. </w:t>
      </w:r>
      <w:r w:rsidR="008A1257" w:rsidRPr="000D1695">
        <w:t>Law Revision Com. com</w:t>
      </w:r>
      <w:r w:rsidR="00D179A4">
        <w:t>.,</w:t>
      </w:r>
      <w:r w:rsidR="008A1257" w:rsidRPr="000D1695">
        <w:t xml:space="preserve"> </w:t>
      </w:r>
      <w:r w:rsidR="00D179A4">
        <w:t xml:space="preserve">29B pt. 5 West’s Ann. </w:t>
      </w:r>
      <w:proofErr w:type="spellStart"/>
      <w:r w:rsidR="00D179A4">
        <w:t>Evid</w:t>
      </w:r>
      <w:proofErr w:type="spellEnd"/>
      <w:proofErr w:type="gramStart"/>
      <w:r w:rsidR="00D179A4">
        <w:t xml:space="preserve">. </w:t>
      </w:r>
      <w:proofErr w:type="gramEnd"/>
      <w:r w:rsidR="00D179A4">
        <w:t xml:space="preserve">Code (2015 ed.) </w:t>
      </w:r>
      <w:proofErr w:type="spellStart"/>
      <w:r w:rsidR="00D179A4">
        <w:t>foll</w:t>
      </w:r>
      <w:proofErr w:type="spellEnd"/>
      <w:proofErr w:type="gramStart"/>
      <w:r w:rsidR="00D179A4">
        <w:t xml:space="preserve">. </w:t>
      </w:r>
      <w:proofErr w:type="gramEnd"/>
      <w:r w:rsidR="008A1257" w:rsidRPr="000D1695">
        <w:t>§ 1280</w:t>
      </w:r>
      <w:r w:rsidR="00056218">
        <w:t>, p. 48</w:t>
      </w:r>
      <w:r w:rsidR="008A1257" w:rsidRPr="000D1695">
        <w:t xml:space="preserve"> [“The evidence that is admissible under this section is also admissible under Section 1271, the business records exception”]; </w:t>
      </w:r>
      <w:r w:rsidR="00CD5878" w:rsidRPr="000D1695">
        <w:rPr>
          <w:i/>
        </w:rPr>
        <w:t>People v. Clark</w:t>
      </w:r>
      <w:r w:rsidR="00CD5878" w:rsidRPr="000D1695">
        <w:t xml:space="preserve"> (2016) 63 Cal.4th 522, 563</w:t>
      </w:r>
      <w:r w:rsidR="00116297" w:rsidRPr="000D1695">
        <w:t xml:space="preserve"> [“defendant presupposes that the only basis for admitting any of Yancey’s statements was through Evidence Code section 1223, the coconspirator hearsay exception.  But defendant fails to appreciate the </w:t>
      </w:r>
      <w:proofErr w:type="gramStart"/>
      <w:r w:rsidR="00116297" w:rsidRPr="000D1695">
        <w:t>point</w:t>
      </w:r>
      <w:r w:rsidR="0061200A">
        <w:t xml:space="preserve"> .</w:t>
      </w:r>
      <w:proofErr w:type="gramEnd"/>
      <w:r w:rsidR="0061200A">
        <w:t> . .</w:t>
      </w:r>
      <w:r w:rsidR="00116297" w:rsidRPr="000D1695">
        <w:t xml:space="preserve"> that many, if not most, of Yancey’s </w:t>
      </w:r>
      <w:r w:rsidR="00116297" w:rsidRPr="000D1695">
        <w:lastRenderedPageBreak/>
        <w:t xml:space="preserve">statements were also admissible as </w:t>
      </w:r>
      <w:proofErr w:type="spellStart"/>
      <w:r w:rsidR="00116297" w:rsidRPr="000D1695">
        <w:t>nonhearsay</w:t>
      </w:r>
      <w:proofErr w:type="spellEnd"/>
      <w:r w:rsidR="004A7185" w:rsidRPr="000D1695">
        <w:t>.</w:t>
      </w:r>
      <w:r w:rsidR="00116297" w:rsidRPr="000D1695">
        <w:t xml:space="preserve">”]; </w:t>
      </w:r>
      <w:r w:rsidR="00116297" w:rsidRPr="000D1695">
        <w:rPr>
          <w:i/>
        </w:rPr>
        <w:t>People v. Karis</w:t>
      </w:r>
      <w:r w:rsidR="00116297" w:rsidRPr="000D1695">
        <w:t xml:space="preserve"> (1988) 46 Cal.3d 612, 635</w:t>
      </w:r>
      <w:r w:rsidR="002F3119" w:rsidRPr="000D1695">
        <w:t>, italics added</w:t>
      </w:r>
      <w:r w:rsidR="00116297" w:rsidRPr="000D1695">
        <w:t xml:space="preserve"> [“The ruling [to admit testimony] must be upheld if the evidence was admissible under </w:t>
      </w:r>
      <w:r w:rsidR="00116297" w:rsidRPr="000D1695">
        <w:rPr>
          <w:i/>
        </w:rPr>
        <w:t>any</w:t>
      </w:r>
      <w:r w:rsidR="00116297" w:rsidRPr="000D1695">
        <w:t xml:space="preserve"> hearsay exception”]</w:t>
      </w:r>
      <w:r w:rsidR="00A061DA" w:rsidRPr="000D1695">
        <w:t xml:space="preserve">; </w:t>
      </w:r>
      <w:r w:rsidR="00887398" w:rsidRPr="000D1695">
        <w:rPr>
          <w:i/>
        </w:rPr>
        <w:t xml:space="preserve">People v. Nelson </w:t>
      </w:r>
      <w:r w:rsidR="00887398" w:rsidRPr="000D1695">
        <w:t>(2012) 209 Cal.App.4th 698, 710</w:t>
      </w:r>
      <w:r w:rsidR="003E0980">
        <w:t>, fn. omitted</w:t>
      </w:r>
      <w:r w:rsidR="00887398" w:rsidRPr="000D1695">
        <w:t xml:space="preserve"> [“</w:t>
      </w:r>
      <w:r w:rsidR="00635FC4" w:rsidRPr="000D1695">
        <w:t xml:space="preserve"> ‘Hospital </w:t>
      </w:r>
      <w:r w:rsidR="00741ADB">
        <w:t xml:space="preserve">. . . </w:t>
      </w:r>
      <w:proofErr w:type="gramStart"/>
      <w:r w:rsidR="00635FC4" w:rsidRPr="000D1695">
        <w:t>records .</w:t>
      </w:r>
      <w:proofErr w:type="gramEnd"/>
      <w:r w:rsidR="00524B3F">
        <w:t> </w:t>
      </w:r>
      <w:r w:rsidR="00635FC4" w:rsidRPr="000D1695">
        <w:t>.</w:t>
      </w:r>
      <w:r w:rsidR="00524B3F">
        <w:t> </w:t>
      </w:r>
      <w:r w:rsidR="00635FC4" w:rsidRPr="000D1695">
        <w:t xml:space="preserve">. fall within the umbrella of the business record exception [of section 1271].’ </w:t>
      </w:r>
      <w:r w:rsidR="009D4B24">
        <w:t xml:space="preserve"> [Citations.]</w:t>
      </w:r>
      <w:r w:rsidR="00635FC4" w:rsidRPr="000D1695">
        <w:t xml:space="preserve">  [Such] records may also qualify as public records under section 1280</w:t>
      </w:r>
      <w:r w:rsidR="00887398" w:rsidRPr="000D1695">
        <w:t>”]</w:t>
      </w:r>
      <w:r w:rsidR="0022549B" w:rsidRPr="000D1695">
        <w:t>.)</w:t>
      </w:r>
      <w:r w:rsidRPr="000D1695">
        <w:t xml:space="preserve">  </w:t>
      </w:r>
      <w:r w:rsidR="00904638" w:rsidRPr="000D1695">
        <w:t>In this case</w:t>
      </w:r>
      <w:r w:rsidR="00990101" w:rsidRPr="000D1695">
        <w:t>, w</w:t>
      </w:r>
      <w:r w:rsidRPr="000D1695">
        <w:t xml:space="preserve">e are not persuaded </w:t>
      </w:r>
      <w:r w:rsidR="005D20A1" w:rsidRPr="000D1695">
        <w:t xml:space="preserve">that the existence of </w:t>
      </w:r>
      <w:r w:rsidRPr="000D1695">
        <w:t xml:space="preserve">section 1340 </w:t>
      </w:r>
      <w:r w:rsidR="0041346B">
        <w:t>bars</w:t>
      </w:r>
      <w:r w:rsidR="0041346B" w:rsidRPr="000D1695">
        <w:t xml:space="preserve"> </w:t>
      </w:r>
      <w:proofErr w:type="spellStart"/>
      <w:r w:rsidR="00696B05" w:rsidRPr="000D1695">
        <w:t>Ri</w:t>
      </w:r>
      <w:r w:rsidR="00CC7B83" w:rsidRPr="000D1695">
        <w:t>e</w:t>
      </w:r>
      <w:r w:rsidR="00696B05" w:rsidRPr="000D1695">
        <w:t>nhardt’s</w:t>
      </w:r>
      <w:proofErr w:type="spellEnd"/>
      <w:r w:rsidR="00696B05" w:rsidRPr="000D1695">
        <w:t xml:space="preserve"> statements</w:t>
      </w:r>
      <w:r w:rsidRPr="000D1695">
        <w:t xml:space="preserve"> </w:t>
      </w:r>
      <w:r w:rsidR="009810E8">
        <w:t>from being</w:t>
      </w:r>
      <w:r w:rsidRPr="000D1695">
        <w:t xml:space="preserve"> admitted under sections 801 and 802.</w:t>
      </w:r>
      <w:r w:rsidR="008749F9" w:rsidRPr="000D1695">
        <w:rPr>
          <w:rStyle w:val="FootnoteReference"/>
        </w:rPr>
        <w:footnoteReference w:id="6"/>
      </w:r>
    </w:p>
    <w:p w14:paraId="36C59483" w14:textId="416A3470" w:rsidR="009B4E91" w:rsidRPr="000D1695" w:rsidRDefault="004F1C81" w:rsidP="001B318E">
      <w:r w:rsidRPr="000D1695">
        <w:rPr>
          <w:i/>
        </w:rPr>
        <w:tab/>
      </w:r>
      <w:r w:rsidR="00BB03B8" w:rsidRPr="000D1695">
        <w:t xml:space="preserve">Finally, defendant cites policy reasons for treating </w:t>
      </w:r>
      <w:r w:rsidR="002F6021" w:rsidRPr="000D1695">
        <w:t xml:space="preserve">sources </w:t>
      </w:r>
      <w:r w:rsidR="00BB03B8" w:rsidRPr="000D1695">
        <w:t xml:space="preserve">“consulted by an expert as case-specific hearsay rather than as general background knowledge.”  </w:t>
      </w:r>
      <w:r w:rsidR="005E65CC" w:rsidRPr="000D1695">
        <w:t>Defendant asserts that</w:t>
      </w:r>
      <w:r w:rsidR="007A15BE" w:rsidRPr="000D1695">
        <w:t xml:space="preserve"> </w:t>
      </w:r>
      <w:r w:rsidR="008E748C" w:rsidRPr="000D1695">
        <w:t xml:space="preserve">only if </w:t>
      </w:r>
      <w:r w:rsidR="00E94098" w:rsidRPr="000D1695">
        <w:t xml:space="preserve">“the consulted sources </w:t>
      </w:r>
      <w:proofErr w:type="gramStart"/>
      <w:r w:rsidR="00E94098" w:rsidRPr="000D1695">
        <w:t>are .</w:t>
      </w:r>
      <w:proofErr w:type="gramEnd"/>
      <w:r w:rsidR="00E32B70">
        <w:t> </w:t>
      </w:r>
      <w:r w:rsidR="00E94098" w:rsidRPr="000D1695">
        <w:t>.</w:t>
      </w:r>
      <w:r w:rsidR="00E32B70">
        <w:t> </w:t>
      </w:r>
      <w:r w:rsidR="00E94098" w:rsidRPr="000D1695">
        <w:t xml:space="preserve">. treated as [case-specific] hearsay,” </w:t>
      </w:r>
      <w:r w:rsidR="008E748C" w:rsidRPr="000D1695">
        <w:t xml:space="preserve">would </w:t>
      </w:r>
      <w:r w:rsidR="00E94098" w:rsidRPr="000D1695">
        <w:t xml:space="preserve">“the trial </w:t>
      </w:r>
      <w:proofErr w:type="gramStart"/>
      <w:r w:rsidR="00E94098" w:rsidRPr="000D1695">
        <w:t xml:space="preserve">court </w:t>
      </w:r>
      <w:r w:rsidR="008E748C" w:rsidRPr="000D1695">
        <w:t>.</w:t>
      </w:r>
      <w:proofErr w:type="gramEnd"/>
      <w:r w:rsidR="005100F9">
        <w:t> </w:t>
      </w:r>
      <w:r w:rsidR="008E748C" w:rsidRPr="000D1695">
        <w:t>.</w:t>
      </w:r>
      <w:r w:rsidR="005100F9">
        <w:t> </w:t>
      </w:r>
      <w:r w:rsidR="008E748C" w:rsidRPr="000D1695">
        <w:t>.</w:t>
      </w:r>
      <w:r w:rsidR="00E94098" w:rsidRPr="000D1695">
        <w:t xml:space="preserve"> be able to vet the reliability of the sources before the hearsay is presented to the jury.”  </w:t>
      </w:r>
      <w:r w:rsidR="00562312" w:rsidRPr="000D1695">
        <w:t xml:space="preserve">If </w:t>
      </w:r>
      <w:r w:rsidR="006B211E" w:rsidRPr="000D1695">
        <w:t xml:space="preserve">the </w:t>
      </w:r>
      <w:r w:rsidR="00562312" w:rsidRPr="000D1695">
        <w:t xml:space="preserve">information is instead </w:t>
      </w:r>
      <w:r w:rsidR="008A605C" w:rsidRPr="000D1695">
        <w:t>considered</w:t>
      </w:r>
      <w:r w:rsidR="00F02425" w:rsidRPr="000D1695">
        <w:t xml:space="preserve"> a</w:t>
      </w:r>
      <w:r w:rsidR="00543D59" w:rsidRPr="000D1695">
        <w:t xml:space="preserve"> </w:t>
      </w:r>
      <w:r w:rsidR="008E748C" w:rsidRPr="000D1695">
        <w:t>“part of the expert’s general knowledge</w:t>
      </w:r>
      <w:r w:rsidR="006B211E" w:rsidRPr="000D1695">
        <w:t xml:space="preserve">,” </w:t>
      </w:r>
      <w:r w:rsidR="004D2552" w:rsidRPr="000D1695">
        <w:t>the</w:t>
      </w:r>
      <w:r w:rsidR="002A1EAF" w:rsidRPr="000D1695">
        <w:t xml:space="preserve"> </w:t>
      </w:r>
      <w:r w:rsidR="00DC6454" w:rsidRPr="000D1695">
        <w:t xml:space="preserve">vetting process would be “undercut” </w:t>
      </w:r>
      <w:r w:rsidR="00792230" w:rsidRPr="000D1695">
        <w:t>because</w:t>
      </w:r>
      <w:r w:rsidR="00DC6454" w:rsidRPr="000D1695">
        <w:t xml:space="preserve"> the </w:t>
      </w:r>
      <w:r w:rsidR="005256E4" w:rsidRPr="000D1695">
        <w:t xml:space="preserve">expert </w:t>
      </w:r>
      <w:r w:rsidR="001B5DC3" w:rsidRPr="000D1695">
        <w:t xml:space="preserve">would be permitted </w:t>
      </w:r>
      <w:r w:rsidR="002579D8" w:rsidRPr="000D1695">
        <w:t xml:space="preserve">to </w:t>
      </w:r>
      <w:r w:rsidR="008E748C" w:rsidRPr="000D1695">
        <w:t>“essentially vouch for the reliability of a source</w:t>
      </w:r>
      <w:r w:rsidR="00543D59" w:rsidRPr="000D1695">
        <w:t>.</w:t>
      </w:r>
      <w:r w:rsidR="00DC6454" w:rsidRPr="000D1695">
        <w:t>”</w:t>
      </w:r>
    </w:p>
    <w:p w14:paraId="1F0963CC" w14:textId="6F9BA2AE" w:rsidR="00813860" w:rsidRPr="00B87606" w:rsidRDefault="009B4E91" w:rsidP="001B318E">
      <w:pPr>
        <w:rPr>
          <w:sz w:val="28"/>
        </w:rPr>
      </w:pPr>
      <w:r w:rsidRPr="000D1695">
        <w:tab/>
      </w:r>
      <w:r w:rsidR="00874015" w:rsidRPr="000D1695">
        <w:t>Defendant’s argument paints a false dichotomy.</w:t>
      </w:r>
      <w:r w:rsidR="00F02893" w:rsidRPr="000D1695">
        <w:t xml:space="preserve">  </w:t>
      </w:r>
      <w:r w:rsidR="00E60F72" w:rsidRPr="000D1695">
        <w:t>In fact, in law, and in practice,</w:t>
      </w:r>
      <w:r w:rsidR="00F02893" w:rsidRPr="000D1695">
        <w:t xml:space="preserve"> </w:t>
      </w:r>
      <w:r w:rsidR="00934093" w:rsidRPr="000D1695">
        <w:t xml:space="preserve">testimony </w:t>
      </w:r>
      <w:r w:rsidR="00B47CCA" w:rsidRPr="000D1695">
        <w:t xml:space="preserve">admitted under sections 801 </w:t>
      </w:r>
      <w:r w:rsidR="00B47CCA" w:rsidRPr="000D1695">
        <w:lastRenderedPageBreak/>
        <w:t>or 802 of the Evidence</w:t>
      </w:r>
      <w:r w:rsidR="00AF78CC" w:rsidRPr="000D1695">
        <w:t xml:space="preserve"> Code </w:t>
      </w:r>
      <w:r w:rsidR="00723D3F" w:rsidRPr="000D1695">
        <w:t xml:space="preserve">is subject to </w:t>
      </w:r>
      <w:r w:rsidR="009B071C" w:rsidRPr="000D1695">
        <w:t>scrutiny on reliability grounds</w:t>
      </w:r>
      <w:r w:rsidR="00141D3B" w:rsidRPr="000D1695">
        <w:t xml:space="preserve"> by the court and opposing counsel</w:t>
      </w:r>
      <w:r w:rsidR="009B071C" w:rsidRPr="000D1695">
        <w:t>.</w:t>
      </w:r>
      <w:r w:rsidR="009A7145" w:rsidRPr="000D1695">
        <w:t xml:space="preserve">  Section </w:t>
      </w:r>
      <w:r w:rsidR="00DF0435" w:rsidRPr="000D1695">
        <w:t xml:space="preserve">801 specifies that </w:t>
      </w:r>
      <w:r w:rsidR="007504D6" w:rsidRPr="000D1695">
        <w:t xml:space="preserve">the “matter” on which an expert relies must be “of a type that reasonably may be relied upon by </w:t>
      </w:r>
      <w:r w:rsidR="00E4342C" w:rsidRPr="000D1695">
        <w:t xml:space="preserve">an </w:t>
      </w:r>
      <w:r w:rsidR="007504D6" w:rsidRPr="000D1695">
        <w:t>expert in forming an opinion upon the subject to which his testimony relates.”  (§</w:t>
      </w:r>
      <w:r w:rsidR="0095088D" w:rsidRPr="000D1695">
        <w:t> </w:t>
      </w:r>
      <w:r w:rsidR="007504D6" w:rsidRPr="000D1695">
        <w:t>801, subd</w:t>
      </w:r>
      <w:proofErr w:type="gramStart"/>
      <w:r w:rsidR="007504D6" w:rsidRPr="000D1695">
        <w:t xml:space="preserve">. </w:t>
      </w:r>
      <w:proofErr w:type="gramEnd"/>
      <w:r w:rsidR="007504D6" w:rsidRPr="000D1695">
        <w:t xml:space="preserve">(b).)  </w:t>
      </w:r>
      <w:r w:rsidR="00572F0B" w:rsidRPr="000D1695">
        <w:t xml:space="preserve">Thus, </w:t>
      </w:r>
      <w:r w:rsidR="007A175A" w:rsidRPr="000D1695">
        <w:t xml:space="preserve">an expert </w:t>
      </w:r>
      <w:r w:rsidR="00170525" w:rsidRPr="000D1695">
        <w:t>must</w:t>
      </w:r>
      <w:r w:rsidR="007A175A" w:rsidRPr="000D1695">
        <w:t xml:space="preserve"> establish that the basis for his</w:t>
      </w:r>
      <w:r w:rsidR="0048264D" w:rsidRPr="000D1695">
        <w:t xml:space="preserve"> or her</w:t>
      </w:r>
      <w:r w:rsidR="007A175A" w:rsidRPr="000D1695">
        <w:t xml:space="preserve"> opinion</w:t>
      </w:r>
      <w:r w:rsidR="007D06BE" w:rsidRPr="000D1695">
        <w:t xml:space="preserve"> is </w:t>
      </w:r>
      <w:r w:rsidR="005C2574" w:rsidRPr="000D1695">
        <w:t>sufficiently</w:t>
      </w:r>
      <w:r w:rsidR="000F5F5D" w:rsidRPr="000D1695">
        <w:t xml:space="preserve"> </w:t>
      </w:r>
      <w:r w:rsidR="007D06BE" w:rsidRPr="000D1695">
        <w:t xml:space="preserve">reliable such that it </w:t>
      </w:r>
      <w:r w:rsidR="00F919A3" w:rsidRPr="000D1695">
        <w:t xml:space="preserve">“reasonably </w:t>
      </w:r>
      <w:r w:rsidR="007D06BE" w:rsidRPr="000D1695">
        <w:t>may be relied upon” by experts testifyin</w:t>
      </w:r>
      <w:r w:rsidR="00913BC9" w:rsidRPr="000D1695">
        <w:t>g on</w:t>
      </w:r>
      <w:r w:rsidR="007D06BE" w:rsidRPr="000D1695">
        <w:t xml:space="preserve"> </w:t>
      </w:r>
      <w:r w:rsidR="003E5E73">
        <w:t xml:space="preserve">the </w:t>
      </w:r>
      <w:r w:rsidR="007D06BE" w:rsidRPr="000D1695">
        <w:t>same subject</w:t>
      </w:r>
      <w:r w:rsidR="007A175A" w:rsidRPr="000D1695">
        <w:t xml:space="preserve">.  </w:t>
      </w:r>
      <w:r w:rsidR="00DC6454" w:rsidRPr="000D1695">
        <w:t>(</w:t>
      </w:r>
      <w:r w:rsidR="00A75172" w:rsidRPr="000D1695">
        <w:t xml:space="preserve">See </w:t>
      </w:r>
      <w:r w:rsidR="003E5E73">
        <w:t xml:space="preserve">Cal. </w:t>
      </w:r>
      <w:r w:rsidR="004C02D2" w:rsidRPr="000D1695">
        <w:t>Law Revision Com. com</w:t>
      </w:r>
      <w:r w:rsidR="00CE6579">
        <w:t xml:space="preserve">., 29B pt. 3A West’s Ann. </w:t>
      </w:r>
      <w:proofErr w:type="spellStart"/>
      <w:r w:rsidR="00CE6579">
        <w:t>Evid</w:t>
      </w:r>
      <w:proofErr w:type="spellEnd"/>
      <w:proofErr w:type="gramStart"/>
      <w:r w:rsidR="00CE6579">
        <w:t xml:space="preserve">. </w:t>
      </w:r>
      <w:proofErr w:type="gramEnd"/>
      <w:r w:rsidR="00CE6579">
        <w:t xml:space="preserve">Code, </w:t>
      </w:r>
      <w:r w:rsidR="00CE6579">
        <w:rPr>
          <w:i/>
        </w:rPr>
        <w:t>supra</w:t>
      </w:r>
      <w:r w:rsidR="00CE6579">
        <w:t xml:space="preserve">, </w:t>
      </w:r>
      <w:proofErr w:type="spellStart"/>
      <w:r w:rsidR="00CE6579">
        <w:t>foll</w:t>
      </w:r>
      <w:proofErr w:type="spellEnd"/>
      <w:proofErr w:type="gramStart"/>
      <w:r w:rsidR="00CE6579">
        <w:t>.</w:t>
      </w:r>
      <w:r w:rsidR="004C02D2" w:rsidRPr="000D1695">
        <w:t xml:space="preserve"> </w:t>
      </w:r>
      <w:proofErr w:type="gramEnd"/>
      <w:r w:rsidR="004C02D2" w:rsidRPr="000D1695">
        <w:t>§ 801</w:t>
      </w:r>
      <w:r w:rsidR="00CE6579">
        <w:t>, p. 26</w:t>
      </w:r>
      <w:r w:rsidR="004C02D2" w:rsidRPr="000D1695">
        <w:t xml:space="preserve"> [</w:t>
      </w:r>
      <w:r w:rsidR="00C37650" w:rsidRPr="000D1695">
        <w:t xml:space="preserve">stating that this requirement </w:t>
      </w:r>
      <w:r w:rsidR="004C02D2" w:rsidRPr="000D1695">
        <w:t>“</w:t>
      </w:r>
      <w:r w:rsidR="006B7763" w:rsidRPr="000D1695">
        <w:t>assures the reliability and trustworthiness of the information used by experts in forming their opinions</w:t>
      </w:r>
      <w:r w:rsidR="004C02D2" w:rsidRPr="000D1695">
        <w:t>”]</w:t>
      </w:r>
      <w:r w:rsidR="00F80CCD" w:rsidRPr="000D1695">
        <w:t xml:space="preserve">; </w:t>
      </w:r>
      <w:r w:rsidR="00AF0208" w:rsidRPr="000D1695">
        <w:rPr>
          <w:i/>
        </w:rPr>
        <w:t>Sargon Enterprises, Inc. v. University of Southern California</w:t>
      </w:r>
      <w:r w:rsidR="00AF0208" w:rsidRPr="000D1695">
        <w:t xml:space="preserve"> (2012) 55 Cal.4th 747, 770 </w:t>
      </w:r>
      <w:r w:rsidR="00D7389D" w:rsidRPr="000D1695">
        <w:t>(</w:t>
      </w:r>
      <w:r w:rsidR="00D7389D" w:rsidRPr="000D1695">
        <w:rPr>
          <w:i/>
        </w:rPr>
        <w:t>Sargon</w:t>
      </w:r>
      <w:r w:rsidR="00D7389D" w:rsidRPr="000D1695">
        <w:t xml:space="preserve">) </w:t>
      </w:r>
      <w:r w:rsidR="00AF0208" w:rsidRPr="000D1695">
        <w:t>[“</w:t>
      </w:r>
      <w:r w:rsidR="00802BE1" w:rsidRPr="000D1695">
        <w:t>Comments of a commission that proposed a statute are entitled to substantial weight in construing the statute</w:t>
      </w:r>
      <w:r w:rsidR="00AF0208" w:rsidRPr="000D1695">
        <w:t>”]</w:t>
      </w:r>
      <w:r w:rsidR="00DC6454" w:rsidRPr="000D1695">
        <w:t>.)</w:t>
      </w:r>
      <w:r w:rsidR="00E92F02">
        <w:t xml:space="preserve">  </w:t>
      </w:r>
      <w:r w:rsidR="00E92F02" w:rsidRPr="00E92F02">
        <w:t>Rienhardt satisfied this requirement by averring that his use of the database was “the generally accepted method of testing for this kind of substance in the scientific community.”</w:t>
      </w:r>
    </w:p>
    <w:p w14:paraId="58D8A9DC" w14:textId="6FB16082" w:rsidR="00BC3DF5" w:rsidRPr="000D1695" w:rsidRDefault="00813860" w:rsidP="001B318E">
      <w:r w:rsidRPr="000D1695">
        <w:tab/>
      </w:r>
      <w:r w:rsidR="00B278E4">
        <w:t>Defendant could have objected to or otherwise challenge</w:t>
      </w:r>
      <w:r w:rsidR="00275EC8">
        <w:t>d</w:t>
      </w:r>
      <w:r w:rsidR="00B278E4">
        <w:t xml:space="preserve"> this assertion.  </w:t>
      </w:r>
      <w:r w:rsidR="00B278E4" w:rsidRPr="000D1695">
        <w:t>(</w:t>
      </w:r>
      <w:r w:rsidR="00B278E4">
        <w:t>S</w:t>
      </w:r>
      <w:r w:rsidR="00B278E4" w:rsidRPr="000D1695">
        <w:t>ee § 721, subd</w:t>
      </w:r>
      <w:proofErr w:type="gramStart"/>
      <w:r w:rsidR="00B278E4" w:rsidRPr="000D1695">
        <w:t xml:space="preserve">. </w:t>
      </w:r>
      <w:proofErr w:type="gramEnd"/>
      <w:r w:rsidR="00B278E4" w:rsidRPr="000D1695">
        <w:t>(a)</w:t>
      </w:r>
      <w:r w:rsidR="00B278E4">
        <w:t>.)  Had he done so, he could have subjected the testimony</w:t>
      </w:r>
      <w:r w:rsidR="00F56DF3">
        <w:t xml:space="preserve"> </w:t>
      </w:r>
      <w:r w:rsidR="00B278E4">
        <w:t xml:space="preserve">to </w:t>
      </w:r>
      <w:r w:rsidR="00A76F9C" w:rsidRPr="000D1695">
        <w:t>the trial court’s critical examination</w:t>
      </w:r>
      <w:r w:rsidR="002C667E" w:rsidRPr="000D1695">
        <w:t>.</w:t>
      </w:r>
      <w:r w:rsidR="00944D90" w:rsidRPr="000D1695">
        <w:t xml:space="preserve">  </w:t>
      </w:r>
      <w:r w:rsidR="00C44AFC" w:rsidRPr="000D1695">
        <w:t xml:space="preserve">Pursuant to </w:t>
      </w:r>
      <w:r w:rsidR="0047407F" w:rsidRPr="000D1695">
        <w:t xml:space="preserve">section 802, </w:t>
      </w:r>
      <w:r w:rsidR="007D06BE" w:rsidRPr="000D1695">
        <w:t xml:space="preserve">“[t]he </w:t>
      </w:r>
      <w:proofErr w:type="gramStart"/>
      <w:r w:rsidR="007D06BE" w:rsidRPr="000D1695">
        <w:t>court</w:t>
      </w:r>
      <w:proofErr w:type="gramEnd"/>
      <w:r w:rsidR="007D06BE" w:rsidRPr="000D1695">
        <w:t xml:space="preserve"> in its discretion may require that a witness before testifying in the form of an opinion be first examined concerning the matter upon which his opinion is based.” </w:t>
      </w:r>
      <w:r w:rsidR="00E54301" w:rsidRPr="000D1695">
        <w:t xml:space="preserve"> </w:t>
      </w:r>
      <w:r w:rsidR="003D2CD7" w:rsidRPr="000D1695">
        <w:t xml:space="preserve">Furthermore, </w:t>
      </w:r>
      <w:r w:rsidR="002A1518" w:rsidRPr="000D1695">
        <w:t>“[t]he court may, and upon objection shall, exclude testimony in the form of an opinion that is based in whole or in significant part on matter that is not a proper basis for such an opinion.”</w:t>
      </w:r>
      <w:r w:rsidR="003D2CD7" w:rsidRPr="000D1695">
        <w:t xml:space="preserve">  (§</w:t>
      </w:r>
      <w:r w:rsidR="00CD3F98" w:rsidRPr="000D1695">
        <w:t> </w:t>
      </w:r>
      <w:r w:rsidR="003D2CD7" w:rsidRPr="000D1695">
        <w:t>803</w:t>
      </w:r>
      <w:r w:rsidR="00D97109" w:rsidRPr="000D1695">
        <w:t xml:space="preserve">; see also </w:t>
      </w:r>
      <w:r w:rsidR="00BB609F" w:rsidRPr="000D1695">
        <w:t>§ 402</w:t>
      </w:r>
      <w:r w:rsidR="00CE6579">
        <w:t>, subd</w:t>
      </w:r>
      <w:proofErr w:type="gramStart"/>
      <w:r w:rsidR="00CE6579">
        <w:t xml:space="preserve">. </w:t>
      </w:r>
      <w:proofErr w:type="gramEnd"/>
      <w:r w:rsidR="00CE6579">
        <w:t>(b)</w:t>
      </w:r>
      <w:r w:rsidR="00510CEA" w:rsidRPr="000D1695">
        <w:t xml:space="preserve"> [providing </w:t>
      </w:r>
      <w:r w:rsidR="00822C24" w:rsidRPr="000D1695">
        <w:t>a procedure to determine “the question of the admissibility of evidence out of the presence or hearing of the jury</w:t>
      </w:r>
      <w:r w:rsidR="00611B8D" w:rsidRPr="000D1695">
        <w:t>”</w:t>
      </w:r>
      <w:r w:rsidR="00510CEA" w:rsidRPr="000D1695">
        <w:t>]</w:t>
      </w:r>
      <w:r w:rsidR="003D2CD7" w:rsidRPr="000D1695">
        <w:t>.)</w:t>
      </w:r>
      <w:r w:rsidR="00CD28B7" w:rsidRPr="000D1695">
        <w:t xml:space="preserve">  In short, </w:t>
      </w:r>
      <w:r w:rsidR="00A03AD0" w:rsidRPr="000D1695">
        <w:t xml:space="preserve">regardless of whether </w:t>
      </w:r>
      <w:r w:rsidR="00FD7DE5" w:rsidRPr="000D1695">
        <w:t xml:space="preserve">an expert’s testimony is </w:t>
      </w:r>
      <w:r w:rsidR="00FD7DE5" w:rsidRPr="000D1695">
        <w:lastRenderedPageBreak/>
        <w:t xml:space="preserve">treated as supplying general information or </w:t>
      </w:r>
      <w:r w:rsidR="00976DC8" w:rsidRPr="000D1695">
        <w:t>case-specific facts,</w:t>
      </w:r>
      <w:r w:rsidR="00FD7DE5" w:rsidRPr="000D1695">
        <w:t xml:space="preserve"> the courts are fully empowered to </w:t>
      </w:r>
      <w:r w:rsidR="007D4505" w:rsidRPr="000D1695">
        <w:t xml:space="preserve">“vet the reliability of the sources” underpinning that testimony.  </w:t>
      </w:r>
      <w:r w:rsidR="00BD6AED" w:rsidRPr="000D1695">
        <w:t>(</w:t>
      </w:r>
      <w:r w:rsidR="003F373A" w:rsidRPr="000D1695">
        <w:t xml:space="preserve">See </w:t>
      </w:r>
      <w:r w:rsidR="00BD6AED" w:rsidRPr="000D1695">
        <w:rPr>
          <w:i/>
        </w:rPr>
        <w:t>Sargon</w:t>
      </w:r>
      <w:r w:rsidR="00BD6AED" w:rsidRPr="000D1695">
        <w:t xml:space="preserve">, </w:t>
      </w:r>
      <w:r w:rsidR="00BD6AED" w:rsidRPr="000D1695">
        <w:rPr>
          <w:i/>
        </w:rPr>
        <w:t>supra</w:t>
      </w:r>
      <w:r w:rsidR="00BD6AED" w:rsidRPr="000D1695">
        <w:t>, 55</w:t>
      </w:r>
      <w:r w:rsidR="004345DB">
        <w:t> </w:t>
      </w:r>
      <w:r w:rsidR="00BD6AED" w:rsidRPr="000D1695">
        <w:t xml:space="preserve">Cal.4th at pp. </w:t>
      </w:r>
      <w:r w:rsidR="003F373A" w:rsidRPr="000D1695">
        <w:t>77</w:t>
      </w:r>
      <w:r w:rsidR="00C63AB2" w:rsidRPr="000D1695">
        <w:t>0</w:t>
      </w:r>
      <w:r w:rsidR="003F373A" w:rsidRPr="000D1695">
        <w:t>-772</w:t>
      </w:r>
      <w:r w:rsidR="00BD6AED" w:rsidRPr="000D1695">
        <w:t>.)</w:t>
      </w:r>
    </w:p>
    <w:p w14:paraId="5161E8AC" w14:textId="6987336A" w:rsidR="00C63966" w:rsidRPr="000D1695" w:rsidRDefault="00FD30AB" w:rsidP="001B318E">
      <w:r w:rsidRPr="000D1695">
        <w:tab/>
      </w:r>
      <w:r w:rsidR="00330F45" w:rsidRPr="000D1695">
        <w:t xml:space="preserve">Defendant </w:t>
      </w:r>
      <w:r w:rsidR="00132FDE" w:rsidRPr="000D1695">
        <w:t>glosses over the court’s gatekeeping power</w:t>
      </w:r>
      <w:r w:rsidR="00A227BE" w:rsidRPr="000D1695">
        <w:t>.</w:t>
      </w:r>
      <w:r w:rsidR="00CC730A" w:rsidRPr="000D1695">
        <w:t xml:space="preserve"> </w:t>
      </w:r>
      <w:r w:rsidR="00A227BE" w:rsidRPr="000D1695">
        <w:t xml:space="preserve"> </w:t>
      </w:r>
      <w:r w:rsidR="00F17D5B" w:rsidRPr="000D1695">
        <w:t>Instead</w:t>
      </w:r>
      <w:r w:rsidR="00A227BE" w:rsidRPr="000D1695">
        <w:t xml:space="preserve">, he </w:t>
      </w:r>
      <w:r w:rsidR="0073139E" w:rsidRPr="000D1695">
        <w:t>asserts</w:t>
      </w:r>
      <w:r w:rsidR="00F17D5B" w:rsidRPr="000D1695">
        <w:t xml:space="preserve"> </w:t>
      </w:r>
      <w:r w:rsidR="0073139E" w:rsidRPr="000D1695">
        <w:t xml:space="preserve">that </w:t>
      </w:r>
      <w:r w:rsidR="005331A3" w:rsidRPr="000D1695">
        <w:t xml:space="preserve">the reliability of “reference materials consulted by the expert for a particular </w:t>
      </w:r>
      <w:proofErr w:type="gramStart"/>
      <w:r w:rsidR="005331A3" w:rsidRPr="000D1695">
        <w:t>case .</w:t>
      </w:r>
      <w:proofErr w:type="gramEnd"/>
      <w:r w:rsidR="00FD2E89">
        <w:t> </w:t>
      </w:r>
      <w:r w:rsidR="005331A3" w:rsidRPr="000D1695">
        <w:t>.</w:t>
      </w:r>
      <w:r w:rsidR="00FD2E89">
        <w:t> </w:t>
      </w:r>
      <w:r w:rsidR="005331A3" w:rsidRPr="000D1695">
        <w:t>. cannot be tested” and</w:t>
      </w:r>
      <w:r w:rsidR="004263C3">
        <w:t>,</w:t>
      </w:r>
      <w:r w:rsidR="005331A3" w:rsidRPr="000D1695">
        <w:t xml:space="preserve"> therefore, </w:t>
      </w:r>
      <w:r w:rsidR="00B62C16" w:rsidRPr="000D1695">
        <w:t>testimony relying on such materials</w:t>
      </w:r>
      <w:r w:rsidR="005331A3" w:rsidRPr="000D1695">
        <w:t xml:space="preserve"> “cannot fall within the background knowledge exception.” </w:t>
      </w:r>
      <w:r w:rsidR="00B62C16" w:rsidRPr="000D1695">
        <w:t xml:space="preserve"> To build his case</w:t>
      </w:r>
      <w:r w:rsidR="00AC56E0" w:rsidRPr="000D1695">
        <w:t xml:space="preserve">, </w:t>
      </w:r>
      <w:r w:rsidR="00B62C16" w:rsidRPr="000D1695">
        <w:t xml:space="preserve">defendant </w:t>
      </w:r>
      <w:r w:rsidR="00D81704" w:rsidRPr="000D1695">
        <w:t>const</w:t>
      </w:r>
      <w:r w:rsidR="000C04C6" w:rsidRPr="000D1695">
        <w:t xml:space="preserve">ructs what he calls </w:t>
      </w:r>
      <w:r w:rsidR="00B01B7E" w:rsidRPr="000D1695">
        <w:t>the</w:t>
      </w:r>
      <w:r w:rsidR="000C04C6" w:rsidRPr="000D1695">
        <w:t xml:space="preserve"> “surrogate problem</w:t>
      </w:r>
      <w:r w:rsidR="0036394F" w:rsidRPr="000D1695">
        <w:t>.</w:t>
      </w:r>
      <w:r w:rsidR="000C04C6" w:rsidRPr="000D1695">
        <w:t xml:space="preserve">”  According to defendant, </w:t>
      </w:r>
      <w:r w:rsidR="0036394F" w:rsidRPr="000D1695">
        <w:t xml:space="preserve">when </w:t>
      </w:r>
      <w:r w:rsidR="007E70FE" w:rsidRPr="000D1695">
        <w:t xml:space="preserve">an </w:t>
      </w:r>
      <w:r w:rsidR="0036394F" w:rsidRPr="000D1695">
        <w:t xml:space="preserve">expert consults a reference guide, </w:t>
      </w:r>
      <w:r w:rsidR="00B62C16" w:rsidRPr="000D1695">
        <w:t xml:space="preserve">“the expert witness </w:t>
      </w:r>
      <w:r w:rsidR="00384EFD" w:rsidRPr="000D1695">
        <w:t xml:space="preserve">is </w:t>
      </w:r>
      <w:r w:rsidR="00B62C16" w:rsidRPr="000D1695">
        <w:t>not actually the expert providing the expertise</w:t>
      </w:r>
      <w:r w:rsidR="000C04C6" w:rsidRPr="000D1695">
        <w:t>.</w:t>
      </w:r>
      <w:r w:rsidR="0036394F" w:rsidRPr="000D1695">
        <w:t>”</w:t>
      </w:r>
      <w:r w:rsidR="000C04C6" w:rsidRPr="000D1695">
        <w:t xml:space="preserve">  </w:t>
      </w:r>
      <w:r w:rsidR="0003100E" w:rsidRPr="000D1695">
        <w:t>“</w:t>
      </w:r>
      <w:r w:rsidR="00B62C16" w:rsidRPr="000D1695">
        <w:t xml:space="preserve">Rather, the expert </w:t>
      </w:r>
      <w:r w:rsidR="00A55EB3" w:rsidRPr="000D1695">
        <w:t xml:space="preserve">[witness] </w:t>
      </w:r>
      <w:r w:rsidR="00B62C16" w:rsidRPr="000D1695">
        <w:t xml:space="preserve">is acting as a surrogate conveying the expertise of someone else — the author of the reference source.”  </w:t>
      </w:r>
      <w:r w:rsidR="00705B25" w:rsidRPr="000D1695">
        <w:t>As such</w:t>
      </w:r>
      <w:r w:rsidR="008C3A21" w:rsidRPr="000D1695">
        <w:t>, there can be no “assurance of the reliability” of th</w:t>
      </w:r>
      <w:r w:rsidR="00705B25" w:rsidRPr="000D1695">
        <w:t>e</w:t>
      </w:r>
      <w:r w:rsidR="008C3A21" w:rsidRPr="000D1695">
        <w:t xml:space="preserve"> surrogate statement.</w:t>
      </w:r>
    </w:p>
    <w:p w14:paraId="4AF93B71" w14:textId="5F752AAA" w:rsidR="003215A4" w:rsidRDefault="00C63966" w:rsidP="001B318E">
      <w:r w:rsidRPr="000D1695">
        <w:tab/>
      </w:r>
      <w:r w:rsidR="00B65C27" w:rsidRPr="000D1695">
        <w:t>We disagree.  S</w:t>
      </w:r>
      <w:r w:rsidR="0003100E" w:rsidRPr="000D1695">
        <w:t>imply because an expert is relying on information supplied by “someone else” does not mean t</w:t>
      </w:r>
      <w:r w:rsidR="00471873" w:rsidRPr="000D1695">
        <w:t>he trustworthiness of th</w:t>
      </w:r>
      <w:r w:rsidR="0022208F" w:rsidRPr="000D1695">
        <w:t>at</w:t>
      </w:r>
      <w:r w:rsidR="00471873" w:rsidRPr="000D1695">
        <w:t xml:space="preserve"> information cannot be explored </w:t>
      </w:r>
      <w:r w:rsidR="00F21AA7" w:rsidRPr="000D1695">
        <w:t>through</w:t>
      </w:r>
      <w:r w:rsidR="0022208F" w:rsidRPr="000D1695">
        <w:t xml:space="preserve"> examination</w:t>
      </w:r>
      <w:r w:rsidR="00471873" w:rsidRPr="000D1695">
        <w:t xml:space="preserve">.  </w:t>
      </w:r>
      <w:r w:rsidR="0022208F" w:rsidRPr="000D1695">
        <w:t>Most directly, that “someone else” “may be called and examined”</w:t>
      </w:r>
      <w:r w:rsidR="00611B8D" w:rsidRPr="000D1695">
        <w:t xml:space="preserve"> by the defendant if he so chooses.</w:t>
      </w:r>
      <w:r w:rsidR="0022208F" w:rsidRPr="000D1695">
        <w:t xml:space="preserve">  </w:t>
      </w:r>
      <w:r w:rsidR="00471873" w:rsidRPr="000D1695">
        <w:t>(§ 804</w:t>
      </w:r>
      <w:r w:rsidR="00BD51A2">
        <w:t>,</w:t>
      </w:r>
      <w:r w:rsidR="00471873" w:rsidRPr="000D1695">
        <w:t xml:space="preserve"> subd</w:t>
      </w:r>
      <w:proofErr w:type="gramStart"/>
      <w:r w:rsidR="00471873" w:rsidRPr="000D1695">
        <w:t xml:space="preserve">. </w:t>
      </w:r>
      <w:proofErr w:type="gramEnd"/>
      <w:r w:rsidR="00471873" w:rsidRPr="000D1695">
        <w:t xml:space="preserve">(a) [“If a witness testifying as an expert testifies that his opinion is based in whole or in part upon the opinion or statement of another person, such other person may be called and examined by any adverse party as if under cross-examination concerning the opinion or statement”]; </w:t>
      </w:r>
      <w:r w:rsidR="0022208F" w:rsidRPr="000D1695">
        <w:t xml:space="preserve">see also </w:t>
      </w:r>
      <w:r w:rsidR="00471873" w:rsidRPr="000D1695">
        <w:rPr>
          <w:i/>
        </w:rPr>
        <w:t>id.</w:t>
      </w:r>
      <w:r w:rsidR="00471873" w:rsidRPr="000D1695">
        <w:t>, subd</w:t>
      </w:r>
      <w:proofErr w:type="gramStart"/>
      <w:r w:rsidR="00471873" w:rsidRPr="000D1695">
        <w:t xml:space="preserve">. </w:t>
      </w:r>
      <w:proofErr w:type="gramEnd"/>
      <w:r w:rsidR="00471873" w:rsidRPr="000D1695">
        <w:t>(d) [“An expert opinion otherwise admissible is not made inadmissible by this section because it is based on the opinion or statement of a person who is unavailable for examination pursuant to this section”].)</w:t>
      </w:r>
      <w:r w:rsidR="009276C4" w:rsidRPr="000D1695">
        <w:t xml:space="preserve">  </w:t>
      </w:r>
      <w:r w:rsidR="00A57FEC" w:rsidRPr="000D1695">
        <w:t xml:space="preserve">More indirectly, </w:t>
      </w:r>
      <w:r w:rsidR="0036394F" w:rsidRPr="000D1695">
        <w:t>an</w:t>
      </w:r>
      <w:r w:rsidR="00850794" w:rsidRPr="000D1695">
        <w:t xml:space="preserve"> expert may be examined </w:t>
      </w:r>
      <w:r w:rsidR="00A37AF0" w:rsidRPr="000D1695">
        <w:t>regarding</w:t>
      </w:r>
      <w:r w:rsidR="00850794" w:rsidRPr="000D1695">
        <w:t xml:space="preserve"> h</w:t>
      </w:r>
      <w:r w:rsidR="0036394F" w:rsidRPr="000D1695">
        <w:t>er</w:t>
      </w:r>
      <w:r w:rsidR="00850794" w:rsidRPr="000D1695">
        <w:t xml:space="preserve"> belief about the reliability of the information </w:t>
      </w:r>
      <w:r w:rsidR="00CB5848" w:rsidRPr="000D1695">
        <w:t>upon</w:t>
      </w:r>
      <w:r w:rsidR="0036394F" w:rsidRPr="000D1695">
        <w:t xml:space="preserve"> </w:t>
      </w:r>
      <w:r w:rsidR="0036394F" w:rsidRPr="000D1695">
        <w:lastRenderedPageBreak/>
        <w:t>which she bases her opinion.  If the expert professes</w:t>
      </w:r>
      <w:r w:rsidR="00A94421" w:rsidRPr="000D1695">
        <w:t xml:space="preserve"> to know little about the </w:t>
      </w:r>
      <w:r w:rsidR="0055551B" w:rsidRPr="000D1695">
        <w:t xml:space="preserve">source </w:t>
      </w:r>
      <w:r w:rsidR="00846929" w:rsidRPr="000D1695">
        <w:t xml:space="preserve">material </w:t>
      </w:r>
      <w:r w:rsidR="0055551B" w:rsidRPr="000D1695">
        <w:t xml:space="preserve">or </w:t>
      </w:r>
      <w:r w:rsidR="00382121" w:rsidRPr="000D1695">
        <w:t xml:space="preserve">cannot </w:t>
      </w:r>
      <w:r w:rsidR="00B07EB2" w:rsidRPr="000D1695">
        <w:t xml:space="preserve">explain </w:t>
      </w:r>
      <w:r w:rsidR="00382121" w:rsidRPr="000D1695">
        <w:t xml:space="preserve">why </w:t>
      </w:r>
      <w:r w:rsidR="0055551B" w:rsidRPr="000D1695">
        <w:t xml:space="preserve">it is a credible </w:t>
      </w:r>
      <w:r w:rsidR="00853DF3" w:rsidRPr="000D1695">
        <w:t>fount</w:t>
      </w:r>
      <w:r w:rsidR="0055551B" w:rsidRPr="000D1695">
        <w:t xml:space="preserve"> on which to rest </w:t>
      </w:r>
      <w:r w:rsidR="00F77B47">
        <w:t xml:space="preserve">the proffered </w:t>
      </w:r>
      <w:r w:rsidR="0055551B" w:rsidRPr="000D1695">
        <w:t xml:space="preserve">testimony, </w:t>
      </w:r>
      <w:r w:rsidR="00FA2C3C" w:rsidRPr="000D1695">
        <w:t>that would be</w:t>
      </w:r>
      <w:r w:rsidR="0055551B" w:rsidRPr="000D1695">
        <w:t xml:space="preserve"> a basis for </w:t>
      </w:r>
      <w:r w:rsidR="009D5E5F" w:rsidRPr="000D1695">
        <w:t>the party opponent to discredit the testimony</w:t>
      </w:r>
      <w:r w:rsidR="00E8397F" w:rsidRPr="000D1695">
        <w:t xml:space="preserve"> </w:t>
      </w:r>
      <w:r w:rsidR="00533C0E">
        <w:t>(</w:t>
      </w:r>
      <w:r w:rsidR="00F51B4E">
        <w:t xml:space="preserve">via </w:t>
      </w:r>
      <w:r w:rsidR="00533C0E">
        <w:t xml:space="preserve">cross-examination or by offering its own </w:t>
      </w:r>
      <w:r w:rsidR="003B5A56">
        <w:t>expert</w:t>
      </w:r>
      <w:r w:rsidR="002863FA">
        <w:t>)</w:t>
      </w:r>
      <w:r w:rsidR="00533C0E">
        <w:t xml:space="preserve"> </w:t>
      </w:r>
      <w:r w:rsidR="003F50BD" w:rsidRPr="000D1695">
        <w:t>or</w:t>
      </w:r>
      <w:r w:rsidR="00E8397F" w:rsidRPr="000D1695">
        <w:t xml:space="preserve"> </w:t>
      </w:r>
      <w:r w:rsidR="007A69A8">
        <w:t xml:space="preserve">for </w:t>
      </w:r>
      <w:r w:rsidR="00E8397F" w:rsidRPr="000D1695">
        <w:t xml:space="preserve">the trial court to </w:t>
      </w:r>
      <w:r w:rsidR="00073A76">
        <w:t>exclude</w:t>
      </w:r>
      <w:r w:rsidR="00073A76" w:rsidRPr="000D1695">
        <w:t xml:space="preserve"> </w:t>
      </w:r>
      <w:r w:rsidR="00E8397F" w:rsidRPr="000D1695">
        <w:t>it</w:t>
      </w:r>
      <w:r w:rsidR="0055551B" w:rsidRPr="000D1695">
        <w:t>.</w:t>
      </w:r>
    </w:p>
    <w:p w14:paraId="5D2BBA72" w14:textId="0613DB17" w:rsidR="00617759" w:rsidRDefault="003215A4" w:rsidP="00D70E49">
      <w:r>
        <w:tab/>
      </w:r>
      <w:r w:rsidR="0047543E">
        <w:t>R</w:t>
      </w:r>
      <w:r w:rsidR="000F7220">
        <w:t xml:space="preserve">eliability </w:t>
      </w:r>
      <w:r w:rsidR="00D2584D">
        <w:t xml:space="preserve">probes are </w:t>
      </w:r>
      <w:r w:rsidR="0047543E">
        <w:t xml:space="preserve">also </w:t>
      </w:r>
      <w:r w:rsidR="000F7220">
        <w:t xml:space="preserve">not the only tool a </w:t>
      </w:r>
      <w:r w:rsidR="00F9207F">
        <w:t xml:space="preserve">trial </w:t>
      </w:r>
      <w:r w:rsidR="000F7220">
        <w:t>court has to exclude improper expert testimony</w:t>
      </w:r>
      <w:r w:rsidR="00AA66C7">
        <w:t xml:space="preserve">.  </w:t>
      </w:r>
      <w:r w:rsidR="009509F8">
        <w:t xml:space="preserve">Should an expert attempt to </w:t>
      </w:r>
      <w:r w:rsidR="000F7220">
        <w:t xml:space="preserve">take the stand and do nothing more than regurgitate </w:t>
      </w:r>
      <w:r w:rsidR="002237E9">
        <w:t>information from</w:t>
      </w:r>
      <w:r w:rsidR="000F7220">
        <w:t xml:space="preserve"> another </w:t>
      </w:r>
      <w:r w:rsidR="00FB137B">
        <w:t xml:space="preserve">source </w:t>
      </w:r>
      <w:r w:rsidR="000F7220">
        <w:t>without applying any of his or her own expertise, as defendant claims a “surrogate” expert may do, the court</w:t>
      </w:r>
      <w:r w:rsidR="003D18FA">
        <w:t xml:space="preserve"> </w:t>
      </w:r>
      <w:r w:rsidR="00233C1B">
        <w:t>need no</w:t>
      </w:r>
      <w:r w:rsidR="00753A96">
        <w:t>t</w:t>
      </w:r>
      <w:r w:rsidR="00233C1B">
        <w:t xml:space="preserve"> stand </w:t>
      </w:r>
      <w:r w:rsidR="00F93E97">
        <w:t>idly by</w:t>
      </w:r>
      <w:r w:rsidR="003B6A9B">
        <w:t xml:space="preserve">.  </w:t>
      </w:r>
      <w:r w:rsidR="00833FB5">
        <w:t>Instead,</w:t>
      </w:r>
      <w:r w:rsidR="003B6A9B">
        <w:t xml:space="preserve"> the court may subject the expert to a hearing, outside the presence of the jury, to preview his or her testimony.  (See § 402.)</w:t>
      </w:r>
      <w:r w:rsidR="00A4644B">
        <w:t xml:space="preserve">  </w:t>
      </w:r>
      <w:r w:rsidR="00FD6843">
        <w:t>During the</w:t>
      </w:r>
      <w:r w:rsidR="003D36B7">
        <w:t xml:space="preserve"> hearing</w:t>
      </w:r>
      <w:r w:rsidR="00A4644B">
        <w:t>, the court may probe the expert’s qualifications.  Under section 720,</w:t>
      </w:r>
      <w:r w:rsidR="00CC3744">
        <w:t xml:space="preserve"> “[a] </w:t>
      </w:r>
      <w:r w:rsidR="00CC3744" w:rsidRPr="00CC3744">
        <w:t>person is qualified to testify as an expert</w:t>
      </w:r>
      <w:r w:rsidR="00CC3744">
        <w:t>” only</w:t>
      </w:r>
      <w:r w:rsidR="00CC3744" w:rsidRPr="00CC3744">
        <w:t xml:space="preserve"> if he </w:t>
      </w:r>
      <w:r w:rsidR="00CC3744">
        <w:t>or she “</w:t>
      </w:r>
      <w:r w:rsidR="00CC3744" w:rsidRPr="00CC3744">
        <w:t>has special knowledge, skill, experience, training, or education sufficient to qualify him as an expert on the subject to which his testimony relates.</w:t>
      </w:r>
      <w:r w:rsidR="00E82EC3">
        <w:t>”</w:t>
      </w:r>
      <w:r w:rsidR="009B434B">
        <w:t xml:space="preserve">  (§ 720, subd</w:t>
      </w:r>
      <w:proofErr w:type="gramStart"/>
      <w:r w:rsidR="009B434B">
        <w:t xml:space="preserve">. </w:t>
      </w:r>
      <w:proofErr w:type="gramEnd"/>
      <w:r w:rsidR="009B434B">
        <w:t>(a)</w:t>
      </w:r>
      <w:r w:rsidR="00825936">
        <w:t>.</w:t>
      </w:r>
      <w:r w:rsidR="009B434B">
        <w:t>)</w:t>
      </w:r>
      <w:r w:rsidR="00C16A13">
        <w:t xml:space="preserve">  </w:t>
      </w:r>
      <w:r w:rsidR="00A47C36">
        <w:t>Accordingly, if an expert is merely parroting hearsay information without understanding the information or otherwise providing expl</w:t>
      </w:r>
      <w:r w:rsidR="00821A3D">
        <w:t>anation</w:t>
      </w:r>
      <w:r w:rsidR="00A47C36">
        <w:t xml:space="preserve"> </w:t>
      </w:r>
      <w:r w:rsidR="00821A3D">
        <w:t>to “assist the trier of fact</w:t>
      </w:r>
      <w:r w:rsidR="00131D6E">
        <w:t>,” the so-called expert can be prohibited from testifying altogether.  (§ 80</w:t>
      </w:r>
      <w:r w:rsidR="00D70E49">
        <w:t>1</w:t>
      </w:r>
      <w:r w:rsidR="0057135B">
        <w:t>, subd</w:t>
      </w:r>
      <w:proofErr w:type="gramStart"/>
      <w:r w:rsidR="0057135B">
        <w:t xml:space="preserve">. </w:t>
      </w:r>
      <w:proofErr w:type="gramEnd"/>
      <w:r w:rsidR="0057135B">
        <w:t>(a)</w:t>
      </w:r>
      <w:r w:rsidR="00D306DE">
        <w:t xml:space="preserve">; </w:t>
      </w:r>
      <w:r w:rsidR="00730963">
        <w:t xml:space="preserve">accord </w:t>
      </w:r>
      <w:r w:rsidR="000C496D" w:rsidRPr="000C496D">
        <w:rPr>
          <w:i/>
          <w:iCs/>
        </w:rPr>
        <w:t>Williams v. Illinois</w:t>
      </w:r>
      <w:r w:rsidR="000C496D" w:rsidRPr="000C496D">
        <w:t xml:space="preserve"> (2012) 567 U.S. 50, 80</w:t>
      </w:r>
      <w:r w:rsidR="000C496D">
        <w:t xml:space="preserve"> (</w:t>
      </w:r>
      <w:proofErr w:type="spellStart"/>
      <w:r w:rsidR="000C496D">
        <w:t>plur</w:t>
      </w:r>
      <w:proofErr w:type="spellEnd"/>
      <w:proofErr w:type="gramStart"/>
      <w:r w:rsidR="000C496D">
        <w:t xml:space="preserve">. </w:t>
      </w:r>
      <w:proofErr w:type="gramEnd"/>
      <w:r w:rsidR="000C496D">
        <w:t>opn.) [</w:t>
      </w:r>
      <w:r w:rsidR="00154A98">
        <w:t>“</w:t>
      </w:r>
      <w:r w:rsidR="00154A98" w:rsidRPr="00154A98">
        <w:t xml:space="preserve">trial courts can screen out experts who would act as mere conduits for hearsay by strictly enforcing the requirement that experts display some genuine </w:t>
      </w:r>
      <w:r w:rsidR="00154A98">
        <w:t>‘</w:t>
      </w:r>
      <w:r w:rsidR="00154A98" w:rsidRPr="00154A98">
        <w:t>scientific, technical, or other specialized knowledge [that] will help the trier of fact to understand the evidence or to determine a fact in issue</w:t>
      </w:r>
      <w:r w:rsidR="00154A98">
        <w:t>’ ”</w:t>
      </w:r>
      <w:r w:rsidR="000C496D">
        <w:t>]</w:t>
      </w:r>
      <w:r w:rsidR="002D0CE7">
        <w:t xml:space="preserve">; </w:t>
      </w:r>
      <w:proofErr w:type="spellStart"/>
      <w:r w:rsidR="005826D7" w:rsidRPr="005826D7">
        <w:rPr>
          <w:i/>
          <w:iCs/>
        </w:rPr>
        <w:t>Mosesian</w:t>
      </w:r>
      <w:proofErr w:type="spellEnd"/>
      <w:r w:rsidR="005826D7" w:rsidRPr="005826D7">
        <w:rPr>
          <w:i/>
          <w:iCs/>
        </w:rPr>
        <w:t xml:space="preserve"> v. Pennwalt Corp.</w:t>
      </w:r>
      <w:r w:rsidR="005826D7" w:rsidRPr="005826D7">
        <w:t xml:space="preserve"> (1987) 191 Cal.App.3d 851, 862</w:t>
      </w:r>
      <w:r w:rsidR="005826D7">
        <w:t xml:space="preserve"> [“T</w:t>
      </w:r>
      <w:r w:rsidR="005826D7" w:rsidRPr="005826D7">
        <w:t>here is a point</w:t>
      </w:r>
      <w:r w:rsidR="005826D7">
        <w:t xml:space="preserve"> . . .</w:t>
      </w:r>
      <w:r w:rsidR="005826D7" w:rsidRPr="005826D7">
        <w:t xml:space="preserve"> at </w:t>
      </w:r>
      <w:proofErr w:type="gramStart"/>
      <w:r w:rsidR="005826D7" w:rsidRPr="005826D7">
        <w:t>which</w:t>
      </w:r>
      <w:proofErr w:type="gramEnd"/>
      <w:r w:rsidR="005826D7" w:rsidRPr="005826D7">
        <w:t xml:space="preserve"> an expert</w:t>
      </w:r>
      <w:r w:rsidR="005826D7">
        <w:t>’</w:t>
      </w:r>
      <w:r w:rsidR="005826D7" w:rsidRPr="005826D7">
        <w:t xml:space="preserve">s opinion that is based entirely upon or </w:t>
      </w:r>
      <w:r w:rsidR="005826D7" w:rsidRPr="005826D7">
        <w:lastRenderedPageBreak/>
        <w:t xml:space="preserve">substantially upon other opinions would conceivably be worthless. </w:t>
      </w:r>
      <w:r w:rsidR="005826D7">
        <w:t xml:space="preserve"> </w:t>
      </w:r>
      <w:r w:rsidR="005826D7" w:rsidRPr="005826D7">
        <w:t>This would occur when, in effect, the expert begins to stray outside his or her subject area of expertise.</w:t>
      </w:r>
      <w:r w:rsidR="005826D7">
        <w:t>”]</w:t>
      </w:r>
      <w:r w:rsidR="00D70E49">
        <w:t>.)</w:t>
      </w:r>
    </w:p>
    <w:p w14:paraId="735ECB9E" w14:textId="70BDC72B" w:rsidR="003215A4" w:rsidRDefault="00617759" w:rsidP="00D70E49">
      <w:r>
        <w:tab/>
        <w:t>In addition</w:t>
      </w:r>
      <w:r w:rsidR="00D306DE">
        <w:t xml:space="preserve">, </w:t>
      </w:r>
      <w:r w:rsidR="00231B1C">
        <w:t xml:space="preserve">the court has authority under section 352 to impose </w:t>
      </w:r>
      <w:r w:rsidR="00403E0F">
        <w:t xml:space="preserve">reasonable </w:t>
      </w:r>
      <w:r w:rsidR="00231B1C">
        <w:t xml:space="preserve">limits on an expert’s testimony.  </w:t>
      </w:r>
      <w:r w:rsidR="0017139D">
        <w:t xml:space="preserve">(See, e.g., </w:t>
      </w:r>
      <w:r w:rsidR="0017139D" w:rsidRPr="00094F02">
        <w:rPr>
          <w:i/>
        </w:rPr>
        <w:t>People v. Richardson</w:t>
      </w:r>
      <w:r w:rsidR="0017139D" w:rsidRPr="00094F02">
        <w:t xml:space="preserve"> (2008) 43 Cal.4th 959, 1008</w:t>
      </w:r>
      <w:r w:rsidR="0017139D">
        <w:t xml:space="preserve"> [noting that the trial court’s authority under section 352 “</w:t>
      </w:r>
      <w:r w:rsidR="0017139D" w:rsidRPr="00F85D4A">
        <w:t>extends to the admission or exclusion of expert testimony</w:t>
      </w:r>
      <w:r w:rsidR="0017139D">
        <w:t xml:space="preserve">”].)  </w:t>
      </w:r>
      <w:r w:rsidR="00231B1C">
        <w:t>If the court believes an expert is unduly consuming time, improperly seeking to impress the jury with someone else’s expertise, or otherwise “</w:t>
      </w:r>
      <w:proofErr w:type="spellStart"/>
      <w:r w:rsidR="00231B1C">
        <w:t>creat</w:t>
      </w:r>
      <w:proofErr w:type="spellEnd"/>
      <w:r w:rsidR="00231B1C">
        <w:t>[</w:t>
      </w:r>
      <w:proofErr w:type="spellStart"/>
      <w:r w:rsidR="00231B1C">
        <w:t>ing</w:t>
      </w:r>
      <w:proofErr w:type="spellEnd"/>
      <w:r w:rsidR="00231B1C">
        <w:t xml:space="preserve">] substantial danger </w:t>
      </w:r>
      <w:proofErr w:type="gramStart"/>
      <w:r w:rsidR="00231B1C">
        <w:t>of .</w:t>
      </w:r>
      <w:proofErr w:type="gramEnd"/>
      <w:r w:rsidR="00231B1C">
        <w:t xml:space="preserve"> . . confusing the issues, or of misleading the jury,” the court may curtail an expert’s testimony — for instance, by </w:t>
      </w:r>
      <w:r w:rsidR="00D331A5">
        <w:t xml:space="preserve">limiting </w:t>
      </w:r>
      <w:r w:rsidR="001806E9">
        <w:t xml:space="preserve">how much of a hearsay source an expert can relate to </w:t>
      </w:r>
      <w:r w:rsidR="00C44641">
        <w:t>the</w:t>
      </w:r>
      <w:r w:rsidR="00533475">
        <w:t xml:space="preserve"> factfinder.</w:t>
      </w:r>
      <w:r w:rsidR="00212F5D">
        <w:t xml:space="preserve">  (§ 352.)</w:t>
      </w:r>
    </w:p>
    <w:p w14:paraId="37705FDC" w14:textId="67953CE0" w:rsidR="00B90794" w:rsidRDefault="003215A4" w:rsidP="001B318E">
      <w:r>
        <w:tab/>
      </w:r>
      <w:r w:rsidR="00747124">
        <w:t xml:space="preserve">Defendant in this case did not avail himself of any of these protections offered </w:t>
      </w:r>
      <w:r w:rsidR="007E3BBC">
        <w:t xml:space="preserve">by </w:t>
      </w:r>
      <w:r w:rsidR="00747124">
        <w:t xml:space="preserve">the Evidence Code, choosing instead to rely on </w:t>
      </w:r>
      <w:r w:rsidR="005A31F8">
        <w:t xml:space="preserve">his </w:t>
      </w:r>
      <w:r w:rsidR="00747124">
        <w:t>closing statement</w:t>
      </w:r>
      <w:r w:rsidR="00E743E4">
        <w:t>s</w:t>
      </w:r>
      <w:r w:rsidR="00747124">
        <w:t xml:space="preserve"> to cast doubt on </w:t>
      </w:r>
      <w:r w:rsidR="006A11EF">
        <w:t xml:space="preserve">the </w:t>
      </w:r>
      <w:r w:rsidR="00747124">
        <w:t>reliability of the drug identification procedure.</w:t>
      </w:r>
      <w:r w:rsidR="009564DC" w:rsidRPr="000D1695">
        <w:rPr>
          <w:rStyle w:val="FootnoteReference"/>
        </w:rPr>
        <w:footnoteReference w:id="7"/>
      </w:r>
      <w:r w:rsidR="00747124">
        <w:t xml:space="preserve">  Yet s</w:t>
      </w:r>
      <w:r w:rsidR="004125E0" w:rsidRPr="000D1695">
        <w:t xml:space="preserve">imply because </w:t>
      </w:r>
      <w:r w:rsidR="004125E0" w:rsidRPr="000D1695">
        <w:lastRenderedPageBreak/>
        <w:t xml:space="preserve">defendant </w:t>
      </w:r>
      <w:r w:rsidR="00C654C9">
        <w:t>did not</w:t>
      </w:r>
      <w:r w:rsidR="004125E0" w:rsidRPr="000D1695">
        <w:t xml:space="preserve"> </w:t>
      </w:r>
      <w:r w:rsidR="008F0CA4" w:rsidRPr="000D1695">
        <w:t>test Rienhardt’s testimony</w:t>
      </w:r>
      <w:r w:rsidR="004125E0" w:rsidRPr="000D1695">
        <w:t xml:space="preserve"> — offering </w:t>
      </w:r>
      <w:r w:rsidR="005D4E8E" w:rsidRPr="000D1695">
        <w:t xml:space="preserve">no voir dire of the expert, no </w:t>
      </w:r>
      <w:r w:rsidR="00503281" w:rsidRPr="000D1695">
        <w:t xml:space="preserve">probing question </w:t>
      </w:r>
      <w:r w:rsidR="00A104CA" w:rsidRPr="000D1695">
        <w:t>about t</w:t>
      </w:r>
      <w:r w:rsidR="00C5685D" w:rsidRPr="000D1695">
        <w:t>he acceptability of his methodology</w:t>
      </w:r>
      <w:r w:rsidR="005D4E8E" w:rsidRPr="000D1695">
        <w:t xml:space="preserve">, and </w:t>
      </w:r>
      <w:r w:rsidR="004125E0" w:rsidRPr="000D1695">
        <w:t>no cross-examination</w:t>
      </w:r>
      <w:r w:rsidR="00C5685D" w:rsidRPr="000D1695">
        <w:t xml:space="preserve"> regarding the reliability of the database itself </w:t>
      </w:r>
      <w:r w:rsidR="004125E0" w:rsidRPr="000D1695">
        <w:t>— does not mean the mechanism</w:t>
      </w:r>
      <w:r w:rsidR="008F0CA4" w:rsidRPr="000D1695">
        <w:t xml:space="preserve"> to do so is absent</w:t>
      </w:r>
      <w:r w:rsidR="004125E0" w:rsidRPr="000D1695">
        <w:t>.</w:t>
      </w:r>
    </w:p>
    <w:p w14:paraId="7293533B" w14:textId="2A3A9546" w:rsidR="003A3E26" w:rsidRPr="000D1695" w:rsidRDefault="00B90794" w:rsidP="001B318E">
      <w:r>
        <w:tab/>
      </w:r>
      <w:r w:rsidR="00D3493E" w:rsidRPr="000D1695">
        <w:t xml:space="preserve">In short, </w:t>
      </w:r>
      <w:r w:rsidR="00F21DEA" w:rsidRPr="000D1695">
        <w:t>the</w:t>
      </w:r>
      <w:r w:rsidR="00FA1C89" w:rsidRPr="000D1695">
        <w:t xml:space="preserve"> asserted</w:t>
      </w:r>
      <w:r w:rsidR="00F21DEA" w:rsidRPr="000D1695">
        <w:t xml:space="preserve"> “surrogate problem” </w:t>
      </w:r>
      <w:r w:rsidR="002F6136" w:rsidRPr="000D1695">
        <w:t xml:space="preserve">offers no reason for us to </w:t>
      </w:r>
      <w:r w:rsidR="0006402B" w:rsidRPr="000D1695">
        <w:t xml:space="preserve">treat </w:t>
      </w:r>
      <w:r w:rsidR="00BA032A" w:rsidRPr="000D1695">
        <w:t>general knowledge as anything but</w:t>
      </w:r>
      <w:r w:rsidR="00E91D15" w:rsidRPr="000D1695">
        <w:t xml:space="preserve"> what it is.</w:t>
      </w:r>
      <w:r w:rsidR="00785E6F">
        <w:t xml:space="preserve">  </w:t>
      </w:r>
      <w:r>
        <w:t xml:space="preserve">In the context of </w:t>
      </w:r>
      <w:r w:rsidR="001D1D8A">
        <w:t>cases such as this one</w:t>
      </w:r>
      <w:r>
        <w:t>, i</w:t>
      </w:r>
      <w:r w:rsidR="00785E6F">
        <w:t xml:space="preserve">f no chemical testing has been performed, the defense can poke holes in the prosecution’s case on that basis and argue reliability, or lack thereof, to the jury, as happened here.  </w:t>
      </w:r>
      <w:r w:rsidR="00C34646">
        <w:t xml:space="preserve">What the defense cannot do is </w:t>
      </w:r>
      <w:r w:rsidR="00D012D7">
        <w:t xml:space="preserve">claim </w:t>
      </w:r>
      <w:r w:rsidR="00785E6F">
        <w:t xml:space="preserve">that the expert’s testimony </w:t>
      </w:r>
      <w:r w:rsidR="00AA564D">
        <w:t>concerning</w:t>
      </w:r>
      <w:r w:rsidR="00C34646">
        <w:t xml:space="preserve"> the identification procedure </w:t>
      </w:r>
      <w:r w:rsidR="000B155C">
        <w:t xml:space="preserve">he </w:t>
      </w:r>
      <w:r w:rsidR="009564DC">
        <w:t>followed</w:t>
      </w:r>
      <w:r w:rsidR="00C34646">
        <w:t xml:space="preserve"> in lieu of chemical testing </w:t>
      </w:r>
      <w:r w:rsidR="00A95210">
        <w:t>should be excluded on hearsay ground</w:t>
      </w:r>
      <w:r w:rsidR="00F54E66">
        <w:t>s</w:t>
      </w:r>
      <w:r w:rsidR="0036287F">
        <w:t xml:space="preserve"> </w:t>
      </w:r>
      <w:r w:rsidR="00AC1EC4">
        <w:t>merely</w:t>
      </w:r>
      <w:r w:rsidR="00D36677">
        <w:t xml:space="preserve"> </w:t>
      </w:r>
      <w:r w:rsidR="0036287F">
        <w:t xml:space="preserve">because </w:t>
      </w:r>
      <w:r w:rsidR="00387898">
        <w:t xml:space="preserve">the defense did not scrutinize </w:t>
      </w:r>
      <w:r w:rsidR="00FB445C">
        <w:t xml:space="preserve">the reliability of </w:t>
      </w:r>
      <w:r w:rsidR="00884345">
        <w:t>said</w:t>
      </w:r>
      <w:r w:rsidR="00FB445C">
        <w:t xml:space="preserve"> procedure</w:t>
      </w:r>
      <w:r w:rsidR="008E7F06">
        <w:t>.</w:t>
      </w:r>
    </w:p>
    <w:p w14:paraId="0180B9F2" w14:textId="2A437C90" w:rsidR="006525B7" w:rsidRPr="000D1695" w:rsidRDefault="00DF1168" w:rsidP="001B318E">
      <w:r w:rsidRPr="000D1695">
        <w:tab/>
      </w:r>
      <w:r w:rsidR="001410B3" w:rsidRPr="000D1695">
        <w:t>For these reasons, we reject</w:t>
      </w:r>
      <w:r w:rsidR="00277793" w:rsidRPr="000D1695">
        <w:t xml:space="preserve"> defendant’s arguments</w:t>
      </w:r>
      <w:r w:rsidR="00944E21" w:rsidRPr="000D1695">
        <w:t>.  C</w:t>
      </w:r>
      <w:r w:rsidR="0049784C" w:rsidRPr="000D1695">
        <w:t>onsistent with our statutory rules of evidence and case</w:t>
      </w:r>
      <w:r w:rsidR="00A37AF0" w:rsidRPr="000D1695">
        <w:t xml:space="preserve"> </w:t>
      </w:r>
      <w:r w:rsidR="0049784C" w:rsidRPr="000D1695">
        <w:t xml:space="preserve">law, </w:t>
      </w:r>
      <w:r w:rsidR="00CF4B1B" w:rsidRPr="000D1695">
        <w:t xml:space="preserve">we </w:t>
      </w:r>
      <w:r w:rsidR="0049784C" w:rsidRPr="000D1695">
        <w:t xml:space="preserve">hold that Rienhardt </w:t>
      </w:r>
      <w:r w:rsidR="00630E97" w:rsidRPr="000D1695">
        <w:t xml:space="preserve">related no inadmissible case-specific hearsay in </w:t>
      </w:r>
      <w:r w:rsidR="00D54EC0">
        <w:t xml:space="preserve">testifying to </w:t>
      </w:r>
      <w:r w:rsidR="0055050E">
        <w:t>the contents of a drug identification database</w:t>
      </w:r>
      <w:r w:rsidR="00630E97" w:rsidRPr="000D1695">
        <w:t>.</w:t>
      </w:r>
    </w:p>
    <w:p w14:paraId="37D5A541" w14:textId="77777777" w:rsidR="005A2F1B" w:rsidRPr="000D1695" w:rsidRDefault="005A2F1B" w:rsidP="001B318E">
      <w:pPr>
        <w:pStyle w:val="Heading2"/>
        <w:spacing w:line="400" w:lineRule="exact"/>
      </w:pPr>
      <w:r w:rsidRPr="000D1695">
        <w:t>B.  Whether Substantial Evidence Supports Defendant’s Conviction</w:t>
      </w:r>
    </w:p>
    <w:p w14:paraId="487FFDE1" w14:textId="1A348E42" w:rsidR="00421795" w:rsidRPr="000D1695" w:rsidRDefault="00421B9C" w:rsidP="001B318E">
      <w:r w:rsidRPr="000D1695">
        <w:tab/>
      </w:r>
      <w:r w:rsidR="000C6A60" w:rsidRPr="000D1695">
        <w:t xml:space="preserve">Independent </w:t>
      </w:r>
      <w:r w:rsidR="0007288A" w:rsidRPr="000D1695">
        <w:t xml:space="preserve">of the admissibility of Rienhardt’s testimony, defendant claims </w:t>
      </w:r>
      <w:r w:rsidR="0045261B" w:rsidRPr="000D1695">
        <w:t xml:space="preserve">the trial court </w:t>
      </w:r>
      <w:r w:rsidR="003F38FC" w:rsidRPr="000D1695">
        <w:t>erred in denying his motion</w:t>
      </w:r>
      <w:r w:rsidR="004F56CC" w:rsidRPr="000D1695">
        <w:t xml:space="preserve"> for </w:t>
      </w:r>
      <w:r w:rsidR="004F56CC" w:rsidRPr="000D1695">
        <w:lastRenderedPageBreak/>
        <w:t xml:space="preserve">acquittal pursuant to </w:t>
      </w:r>
      <w:r w:rsidR="00A00D83" w:rsidRPr="000D1695">
        <w:t>Penal Code section 1118.1</w:t>
      </w:r>
      <w:r w:rsidR="00B823BC" w:rsidRPr="000D1695">
        <w:t xml:space="preserve">.  </w:t>
      </w:r>
      <w:r w:rsidR="003F38FC" w:rsidRPr="000D1695">
        <w:t>(See Pen</w:t>
      </w:r>
      <w:proofErr w:type="gramStart"/>
      <w:r w:rsidR="00C6153C" w:rsidRPr="000D1695">
        <w:t>.</w:t>
      </w:r>
      <w:r w:rsidR="003F38FC" w:rsidRPr="000D1695">
        <w:t xml:space="preserve"> </w:t>
      </w:r>
      <w:proofErr w:type="gramEnd"/>
      <w:r w:rsidR="003F38FC" w:rsidRPr="000D1695">
        <w:t>Code, §</w:t>
      </w:r>
      <w:r w:rsidR="000A1F3C">
        <w:t> </w:t>
      </w:r>
      <w:r w:rsidR="003F38FC" w:rsidRPr="000D1695">
        <w:t xml:space="preserve">1118.1 [“In a case tried before a jury, the court </w:t>
      </w:r>
      <w:r w:rsidR="004C44E9" w:rsidRPr="000D1695">
        <w:rPr>
          <w:rStyle w:val="ssparacontent"/>
        </w:rPr>
        <w:t xml:space="preserve">on motion of the defendant or on its own motion, at the close of the evidence on either side and before the case is submitted to the jury for decision, </w:t>
      </w:r>
      <w:r w:rsidR="003F38FC" w:rsidRPr="000D1695">
        <w:t>shall order the entry of a judgment of acquittal of one or more of the offenses charged .</w:t>
      </w:r>
      <w:r w:rsidR="00C75E62">
        <w:t> </w:t>
      </w:r>
      <w:r w:rsidR="003F38FC" w:rsidRPr="000D1695">
        <w:t>.</w:t>
      </w:r>
      <w:r w:rsidR="00C75E62">
        <w:t> </w:t>
      </w:r>
      <w:r w:rsidR="003F38FC" w:rsidRPr="000D1695">
        <w:t>. if the evidence then before the court is insufficient to sustain a conviction of such offense or offenses on appeal”].)</w:t>
      </w:r>
    </w:p>
    <w:p w14:paraId="121B7298" w14:textId="287A5D94" w:rsidR="00856BFA" w:rsidRPr="000D1695" w:rsidRDefault="00421795" w:rsidP="001B318E">
      <w:r w:rsidRPr="000D1695">
        <w:tab/>
      </w:r>
      <w:r w:rsidR="00EC2BE5" w:rsidRPr="000D1695">
        <w:t xml:space="preserve">We review the denial of a section 1118.1 motion </w:t>
      </w:r>
      <w:r w:rsidR="003F38FC" w:rsidRPr="000D1695">
        <w:t xml:space="preserve">using the same standard </w:t>
      </w:r>
      <w:r w:rsidR="00FE5C41" w:rsidRPr="000D1695">
        <w:t>“employed in reviewing the sufficiency of the evidence to support a conviction</w:t>
      </w:r>
      <w:r w:rsidR="005A2344" w:rsidRPr="000D1695">
        <w:t>.</w:t>
      </w:r>
      <w:r w:rsidR="00FE5C41" w:rsidRPr="000D1695">
        <w:t>”</w:t>
      </w:r>
      <w:r w:rsidR="005A2344" w:rsidRPr="000D1695">
        <w:t xml:space="preserve">  (</w:t>
      </w:r>
      <w:r w:rsidR="005A2344" w:rsidRPr="000D1695">
        <w:rPr>
          <w:i/>
        </w:rPr>
        <w:t>People v. Houston</w:t>
      </w:r>
      <w:r w:rsidR="005A2344" w:rsidRPr="000D1695">
        <w:t xml:space="preserve"> (2012) 54 Cal.4th 1186, 1215</w:t>
      </w:r>
      <w:r w:rsidR="004B7072" w:rsidRPr="000D1695">
        <w:t xml:space="preserve"> (</w:t>
      </w:r>
      <w:r w:rsidR="004B7072" w:rsidRPr="000D1695">
        <w:rPr>
          <w:i/>
        </w:rPr>
        <w:t>Houston</w:t>
      </w:r>
      <w:r w:rsidR="004B7072" w:rsidRPr="000D1695">
        <w:t>)</w:t>
      </w:r>
      <w:r w:rsidR="005A2344" w:rsidRPr="000D1695">
        <w:t>.)</w:t>
      </w:r>
      <w:r w:rsidR="00FE5C41" w:rsidRPr="000D1695">
        <w:t xml:space="preserve">  </w:t>
      </w:r>
      <w:r w:rsidR="006C3B62" w:rsidRPr="000D1695">
        <w:t>We thus</w:t>
      </w:r>
      <w:r w:rsidR="003048A5" w:rsidRPr="000D1695">
        <w:t xml:space="preserve"> examine</w:t>
      </w:r>
      <w:r w:rsidR="006C3B62" w:rsidRPr="000D1695">
        <w:t xml:space="preserve"> </w:t>
      </w:r>
      <w:proofErr w:type="gramStart"/>
      <w:r w:rsidR="00C515B5" w:rsidRPr="000D1695">
        <w:t>“</w:t>
      </w:r>
      <w:r w:rsidR="004C44E9" w:rsidRPr="000D1695">
        <w:t> </w:t>
      </w:r>
      <w:r w:rsidR="00C515B5" w:rsidRPr="000D1695">
        <w:t>‘</w:t>
      </w:r>
      <w:proofErr w:type="gramEnd"/>
      <w:r w:rsidR="00C515B5" w:rsidRPr="000D1695">
        <w:t>the entire record in the light most favorable to the judgment</w:t>
      </w:r>
      <w:r w:rsidR="007A5260" w:rsidRPr="000D1695">
        <w:t>’</w:t>
      </w:r>
      <w:r w:rsidR="00626797">
        <w:t> </w:t>
      </w:r>
      <w:r w:rsidR="007A5260" w:rsidRPr="000D1695">
        <w:t xml:space="preserve">” to determine whether it discloses </w:t>
      </w:r>
      <w:r w:rsidR="00372454" w:rsidRPr="000D1695">
        <w:t>substantial evidence —</w:t>
      </w:r>
      <w:r w:rsidR="00C515B5" w:rsidRPr="000D1695">
        <w:t xml:space="preserve"> </w:t>
      </w:r>
      <w:r w:rsidR="00372454" w:rsidRPr="000D1695">
        <w:t>“</w:t>
      </w:r>
      <w:r w:rsidR="00655C6B">
        <w:t> </w:t>
      </w:r>
      <w:r w:rsidR="00372454" w:rsidRPr="000D1695">
        <w:t>‘</w:t>
      </w:r>
      <w:r w:rsidR="00C515B5" w:rsidRPr="000D1695">
        <w:t>evidence that is reasonable, credible, and of solid value</w:t>
      </w:r>
      <w:r w:rsidR="00372454" w:rsidRPr="000D1695">
        <w:t>’</w:t>
      </w:r>
      <w:r w:rsidR="001C4D0A">
        <w:t> </w:t>
      </w:r>
      <w:r w:rsidR="00372454" w:rsidRPr="000D1695">
        <w:t>” — “</w:t>
      </w:r>
      <w:r w:rsidR="001C4D0A">
        <w:t> </w:t>
      </w:r>
      <w:r w:rsidR="00372454" w:rsidRPr="000D1695">
        <w:t>‘</w:t>
      </w:r>
      <w:r w:rsidR="00C515B5" w:rsidRPr="000D1695">
        <w:t>from which a reasonable trier of fact could find the defendant guilty beyond a reasonable doubt.</w:t>
      </w:r>
      <w:r w:rsidR="00366E1A" w:rsidRPr="000D1695">
        <w:t>’</w:t>
      </w:r>
      <w:r w:rsidR="00057372">
        <w:t> </w:t>
      </w:r>
      <w:r w:rsidR="00366E1A" w:rsidRPr="000D1695">
        <w:t>”  (</w:t>
      </w:r>
      <w:r w:rsidR="00366E1A" w:rsidRPr="000D1695">
        <w:rPr>
          <w:i/>
        </w:rPr>
        <w:t xml:space="preserve">People v. Gomez </w:t>
      </w:r>
      <w:r w:rsidR="00366E1A" w:rsidRPr="000D1695">
        <w:t>(2018) 6 Cal.5th 243, 278</w:t>
      </w:r>
      <w:r w:rsidR="002A2532" w:rsidRPr="000D1695">
        <w:t xml:space="preserve"> (</w:t>
      </w:r>
      <w:r w:rsidR="002A2532" w:rsidRPr="000D1695">
        <w:rPr>
          <w:i/>
        </w:rPr>
        <w:t>Gomez</w:t>
      </w:r>
      <w:r w:rsidR="002A2532" w:rsidRPr="000D1695">
        <w:t>)</w:t>
      </w:r>
      <w:r w:rsidR="00366E1A" w:rsidRPr="000D1695">
        <w:t xml:space="preserve">.)  </w:t>
      </w:r>
      <w:r w:rsidR="00C515B5" w:rsidRPr="000D1695">
        <w:t xml:space="preserve">Our review </w:t>
      </w:r>
      <w:proofErr w:type="gramStart"/>
      <w:r w:rsidR="00C515B5" w:rsidRPr="000D1695">
        <w:t>“</w:t>
      </w:r>
      <w:r w:rsidR="00E00760">
        <w:t> </w:t>
      </w:r>
      <w:r w:rsidR="00366E1A" w:rsidRPr="000D1695">
        <w:t>‘</w:t>
      </w:r>
      <w:proofErr w:type="gramEnd"/>
      <w:r w:rsidR="00E00760">
        <w:t> </w:t>
      </w:r>
      <w:r w:rsidR="00366E1A" w:rsidRPr="000D1695">
        <w:t>“</w:t>
      </w:r>
      <w:r w:rsidR="00C515B5" w:rsidRPr="000D1695">
        <w:t>presume</w:t>
      </w:r>
      <w:r w:rsidR="00366E1A" w:rsidRPr="000D1695">
        <w:t>[s]</w:t>
      </w:r>
      <w:r w:rsidR="00C515B5" w:rsidRPr="000D1695">
        <w:t xml:space="preserve"> in support of the judgment the existence of every fact the jury could reasonably have deduced from the evidence.</w:t>
      </w:r>
      <w:r w:rsidR="00366E1A" w:rsidRPr="000D1695">
        <w:t>”</w:t>
      </w:r>
      <w:r w:rsidR="00E00760">
        <w:t> </w:t>
      </w:r>
      <w:r w:rsidR="00366E1A" w:rsidRPr="000D1695">
        <w:t>’</w:t>
      </w:r>
      <w:r w:rsidR="00F86B97" w:rsidRPr="000D1695">
        <w:t xml:space="preserve"> </w:t>
      </w:r>
      <w:r w:rsidR="005103E3" w:rsidRPr="000D1695">
        <w:t xml:space="preserve"> </w:t>
      </w:r>
      <w:r w:rsidR="00151EA2" w:rsidRPr="000D1695">
        <w:t xml:space="preserve">[Citation.] </w:t>
      </w:r>
      <w:r w:rsidR="005103E3" w:rsidRPr="000D1695">
        <w:t xml:space="preserve"> </w:t>
      </w:r>
      <w:r w:rsidR="00151EA2" w:rsidRPr="000D1695">
        <w:t xml:space="preserve">Even where, as here, the evidence of guilt is largely circumstantial, our task is not to resolve credibility issues or evidentiary conflicts, nor is it to inquire whether the evidence </w:t>
      </w:r>
      <w:r w:rsidR="00871A6C">
        <w:t xml:space="preserve">might </w:t>
      </w:r>
      <w:proofErr w:type="gramStart"/>
      <w:r w:rsidR="004F69BE" w:rsidRPr="000D1695">
        <w:t>‘</w:t>
      </w:r>
      <w:r w:rsidR="00BE5AD0">
        <w:t> </w:t>
      </w:r>
      <w:r w:rsidR="004F69BE" w:rsidRPr="000D1695">
        <w:t>“</w:t>
      </w:r>
      <w:proofErr w:type="gramEnd"/>
      <w:r w:rsidR="00BE5AD0">
        <w:t> </w:t>
      </w:r>
      <w:r w:rsidR="004F69BE" w:rsidRPr="000D1695">
        <w:t>‘</w:t>
      </w:r>
      <w:r w:rsidR="00151EA2" w:rsidRPr="000D1695">
        <w:t>be reasonably reconciled with the defendant</w:t>
      </w:r>
      <w:r w:rsidR="007B7A27" w:rsidRPr="000D1695">
        <w:t>’</w:t>
      </w:r>
      <w:r w:rsidR="00151EA2" w:rsidRPr="000D1695">
        <w:t>s innocence.</w:t>
      </w:r>
      <w:r w:rsidR="004F69BE" w:rsidRPr="000D1695">
        <w:t>’</w:t>
      </w:r>
      <w:r w:rsidR="00BE5AD0">
        <w:t> </w:t>
      </w:r>
      <w:r w:rsidR="004F69BE" w:rsidRPr="000D1695">
        <w:t>”</w:t>
      </w:r>
      <w:r w:rsidR="00BE5AD0">
        <w:t> </w:t>
      </w:r>
      <w:r w:rsidR="004F69BE" w:rsidRPr="000D1695">
        <w:t>’</w:t>
      </w:r>
      <w:r w:rsidR="00BE5AD0">
        <w:t> </w:t>
      </w:r>
      <w:r w:rsidR="00C515B5" w:rsidRPr="000D1695">
        <w:t xml:space="preserve">” </w:t>
      </w:r>
      <w:r w:rsidR="00366E1A" w:rsidRPr="000D1695">
        <w:t xml:space="preserve"> </w:t>
      </w:r>
      <w:r w:rsidR="00E334A7" w:rsidRPr="000D1695">
        <w:t>(</w:t>
      </w:r>
      <w:r w:rsidR="00E334A7" w:rsidRPr="000D1695">
        <w:rPr>
          <w:i/>
        </w:rPr>
        <w:t>Ibid.</w:t>
      </w:r>
      <w:r w:rsidR="00E334A7" w:rsidRPr="000D1695">
        <w:t>)</w:t>
      </w:r>
      <w:r w:rsidR="001E5933" w:rsidRPr="000D1695">
        <w:t xml:space="preserve">  Instead, </w:t>
      </w:r>
      <w:r w:rsidR="006700AD" w:rsidRPr="000D1695">
        <w:t>we ask</w:t>
      </w:r>
      <w:r w:rsidR="00E96CA0" w:rsidRPr="000D1695">
        <w:t xml:space="preserve"> whether </w:t>
      </w:r>
      <w:r w:rsidR="00FF164B" w:rsidRPr="000D1695">
        <w:t xml:space="preserve">there is </w:t>
      </w:r>
      <w:proofErr w:type="gramStart"/>
      <w:r w:rsidR="00E96CA0" w:rsidRPr="000D1695">
        <w:t>“</w:t>
      </w:r>
      <w:r w:rsidR="0077670A" w:rsidRPr="000D1695">
        <w:t> </w:t>
      </w:r>
      <w:r w:rsidR="00FF164B" w:rsidRPr="000D1695">
        <w:t>‘</w:t>
      </w:r>
      <w:proofErr w:type="gramEnd"/>
      <w:r w:rsidR="00B71706" w:rsidRPr="000D1695">
        <w:t> </w:t>
      </w:r>
      <w:r w:rsidR="00FF164B" w:rsidRPr="000D1695">
        <w:t>“</w:t>
      </w:r>
      <w:r w:rsidR="00E96CA0" w:rsidRPr="000D1695">
        <w:t>substantial evidence of the existence of each element of the offense charged</w:t>
      </w:r>
      <w:r w:rsidR="00FF164B" w:rsidRPr="000D1695">
        <w:t>”</w:t>
      </w:r>
      <w:r w:rsidR="00377DE1" w:rsidRPr="000D1695">
        <w:t> </w:t>
      </w:r>
      <w:r w:rsidR="00FF164B" w:rsidRPr="000D1695">
        <w:t>’</w:t>
      </w:r>
      <w:r w:rsidR="00F4168D" w:rsidRPr="000D1695">
        <w:t> </w:t>
      </w:r>
      <w:r w:rsidR="00E96CA0" w:rsidRPr="000D1695">
        <w:t>”</w:t>
      </w:r>
      <w:r w:rsidR="00241514" w:rsidRPr="000D1695">
        <w:t xml:space="preserve"> such that </w:t>
      </w:r>
      <w:r w:rsidR="00185991" w:rsidRPr="000D1695">
        <w:t>any</w:t>
      </w:r>
      <w:r w:rsidR="00241514" w:rsidRPr="000D1695">
        <w:t xml:space="preserve"> rational jury may have convicted defendant.</w:t>
      </w:r>
      <w:r w:rsidR="00FF164B" w:rsidRPr="000D1695">
        <w:t xml:space="preserve">  (</w:t>
      </w:r>
      <w:r w:rsidR="00FF164B" w:rsidRPr="000D1695">
        <w:rPr>
          <w:i/>
        </w:rPr>
        <w:t xml:space="preserve">Id. </w:t>
      </w:r>
      <w:r w:rsidR="00FF164B" w:rsidRPr="000D1695">
        <w:t>at p.</w:t>
      </w:r>
      <w:r w:rsidR="00877D18">
        <w:t> </w:t>
      </w:r>
      <w:r w:rsidR="00FF164B" w:rsidRPr="000D1695">
        <w:t>307.)</w:t>
      </w:r>
    </w:p>
    <w:p w14:paraId="697F6519" w14:textId="7A0E6817" w:rsidR="00FF164B" w:rsidRPr="000D1695" w:rsidRDefault="00FF164B" w:rsidP="001B318E">
      <w:r w:rsidRPr="000D1695">
        <w:tab/>
      </w:r>
      <w:r w:rsidR="008275C2" w:rsidRPr="000D1695">
        <w:t xml:space="preserve">In this case, defendant contests only one element of the </w:t>
      </w:r>
      <w:r w:rsidR="005F1C49" w:rsidRPr="000D1695">
        <w:t xml:space="preserve">misdemeanor </w:t>
      </w:r>
      <w:r w:rsidR="008275C2" w:rsidRPr="000D1695">
        <w:t>possession charge</w:t>
      </w:r>
      <w:r w:rsidR="00FC5DDB" w:rsidRPr="000D1695">
        <w:t xml:space="preserve">:  </w:t>
      </w:r>
      <w:r w:rsidR="00F70FCE" w:rsidRPr="000D1695">
        <w:t>that</w:t>
      </w:r>
      <w:r w:rsidR="008275C2" w:rsidRPr="000D1695">
        <w:t xml:space="preserve"> the </w:t>
      </w:r>
      <w:r w:rsidR="00A6554D" w:rsidRPr="000D1695">
        <w:t xml:space="preserve">pills </w:t>
      </w:r>
      <w:r w:rsidR="00757AB8" w:rsidRPr="000D1695">
        <w:t xml:space="preserve">he possessed </w:t>
      </w:r>
      <w:proofErr w:type="gramStart"/>
      <w:r w:rsidR="00757AB8" w:rsidRPr="000D1695">
        <w:t>actually contained</w:t>
      </w:r>
      <w:proofErr w:type="gramEnd"/>
      <w:r w:rsidR="00757AB8" w:rsidRPr="000D1695">
        <w:t xml:space="preserve"> the controlled substance alprazolam</w:t>
      </w:r>
      <w:r w:rsidR="00A6554D" w:rsidRPr="000D1695">
        <w:t xml:space="preserve">.  </w:t>
      </w:r>
      <w:r w:rsidR="00AF5568">
        <w:t xml:space="preserve">We </w:t>
      </w:r>
      <w:r w:rsidR="00AF5568">
        <w:lastRenderedPageBreak/>
        <w:t xml:space="preserve">have concluded that </w:t>
      </w:r>
      <w:r w:rsidR="000E15B0">
        <w:t>Rienhardt</w:t>
      </w:r>
      <w:r w:rsidR="00AF5568">
        <w:t xml:space="preserve"> was properly allowed to give his </w:t>
      </w:r>
      <w:r w:rsidR="00222AB9">
        <w:t>opinion</w:t>
      </w:r>
      <w:r w:rsidR="00AF5568">
        <w:t xml:space="preserve"> to that effect.  In addition, o</w:t>
      </w:r>
      <w:r w:rsidR="000C0320" w:rsidRPr="000D1695">
        <w:t xml:space="preserve">ur case law is clear that </w:t>
      </w:r>
      <w:r w:rsidR="00526F8F" w:rsidRPr="000D1695">
        <w:t xml:space="preserve">the element </w:t>
      </w:r>
      <w:r w:rsidR="00F52076" w:rsidRPr="000D1695">
        <w:t>may be established by circumstantial evidence</w:t>
      </w:r>
      <w:r w:rsidR="00556B29" w:rsidRPr="000D1695">
        <w:t xml:space="preserve"> — that is, by evidence other than direct, chemical testing</w:t>
      </w:r>
      <w:r w:rsidR="000C0320" w:rsidRPr="000D1695">
        <w:t>.</w:t>
      </w:r>
      <w:r w:rsidR="00993326" w:rsidRPr="000D1695">
        <w:t xml:space="preserve">  (</w:t>
      </w:r>
      <w:r w:rsidR="00425169" w:rsidRPr="000D1695">
        <w:rPr>
          <w:i/>
        </w:rPr>
        <w:t>People v. Francis</w:t>
      </w:r>
      <w:r w:rsidR="00425169" w:rsidRPr="000D1695">
        <w:t xml:space="preserve"> (1969) 71 Cal.2d 66, 72 [“</w:t>
      </w:r>
      <w:r w:rsidR="00A667DE" w:rsidRPr="000D1695">
        <w:t>the narcotic character of a substance may, of course, be proved by circumstantial evidence</w:t>
      </w:r>
      <w:r w:rsidR="00425169" w:rsidRPr="000D1695">
        <w:t>”]</w:t>
      </w:r>
      <w:r w:rsidR="005A0D45" w:rsidRPr="000D1695">
        <w:t xml:space="preserve">; </w:t>
      </w:r>
      <w:r w:rsidR="00993326" w:rsidRPr="000D1695">
        <w:rPr>
          <w:i/>
        </w:rPr>
        <w:t>People v. Palaschak</w:t>
      </w:r>
      <w:r w:rsidR="00993326" w:rsidRPr="000D1695">
        <w:t xml:space="preserve"> (1995) 9 Cal.4th 1236, 1242</w:t>
      </w:r>
      <w:r w:rsidR="00EB7F0A" w:rsidRPr="000D1695">
        <w:t xml:space="preserve"> (</w:t>
      </w:r>
      <w:r w:rsidR="00EB7F0A" w:rsidRPr="000D1695">
        <w:rPr>
          <w:i/>
        </w:rPr>
        <w:t>Palaschak</w:t>
      </w:r>
      <w:r w:rsidR="00EB7F0A" w:rsidRPr="000D1695">
        <w:t>)</w:t>
      </w:r>
      <w:r w:rsidR="001D0C02" w:rsidRPr="000D1695">
        <w:t xml:space="preserve"> [similar]</w:t>
      </w:r>
      <w:r w:rsidR="00D66F36" w:rsidRPr="000D1695">
        <w:t xml:space="preserve">; </w:t>
      </w:r>
      <w:r w:rsidR="004E238A" w:rsidRPr="000D1695">
        <w:rPr>
          <w:i/>
        </w:rPr>
        <w:t>People v. Sonleitner</w:t>
      </w:r>
      <w:r w:rsidR="004E238A" w:rsidRPr="000D1695">
        <w:t xml:space="preserve"> (1986) 183 Cal.App.3d 364, 369 (</w:t>
      </w:r>
      <w:r w:rsidR="004E238A" w:rsidRPr="000D1695">
        <w:rPr>
          <w:i/>
        </w:rPr>
        <w:t>Sonleitner</w:t>
      </w:r>
      <w:r w:rsidR="004E238A" w:rsidRPr="000D1695">
        <w:t>) [</w:t>
      </w:r>
      <w:r w:rsidR="00DE3B52" w:rsidRPr="000D1695">
        <w:t>similar</w:t>
      </w:r>
      <w:r w:rsidR="004E238A" w:rsidRPr="000D1695">
        <w:t xml:space="preserve">]; </w:t>
      </w:r>
      <w:r w:rsidR="00BF73EE" w:rsidRPr="000D1695">
        <w:rPr>
          <w:i/>
        </w:rPr>
        <w:t>People v. Galfund</w:t>
      </w:r>
      <w:r w:rsidR="00BF73EE" w:rsidRPr="000D1695">
        <w:t xml:space="preserve"> (1968) 267 Cal.App.2d 317, 320 [</w:t>
      </w:r>
      <w:r w:rsidR="00DE3B52" w:rsidRPr="000D1695">
        <w:t>similar</w:t>
      </w:r>
      <w:r w:rsidR="00BF73EE" w:rsidRPr="000D1695">
        <w:t>]</w:t>
      </w:r>
      <w:r w:rsidR="00711225" w:rsidRPr="000D1695">
        <w:t>.)</w:t>
      </w:r>
      <w:bookmarkStart w:id="3" w:name="_Ref13735844"/>
      <w:r w:rsidR="00306DB7" w:rsidRPr="000D1695">
        <w:rPr>
          <w:rStyle w:val="FootnoteReference"/>
        </w:rPr>
        <w:footnoteReference w:id="8"/>
      </w:r>
      <w:bookmarkEnd w:id="3"/>
    </w:p>
    <w:p w14:paraId="33B86DB1" w14:textId="6672BC00" w:rsidR="000C0320" w:rsidRPr="000D1695" w:rsidRDefault="000C0320" w:rsidP="001B318E">
      <w:pPr>
        <w:rPr>
          <w:i/>
        </w:rPr>
      </w:pPr>
      <w:r w:rsidRPr="000D1695">
        <w:tab/>
        <w:t>We agree with the Court of Appeal that substantial circumstantial evidence supports defendant’s conviction.</w:t>
      </w:r>
      <w:r w:rsidR="00A56BCF" w:rsidRPr="000D1695">
        <w:t xml:space="preserve">  In addition to </w:t>
      </w:r>
      <w:r w:rsidR="004C7BFA" w:rsidRPr="000D1695">
        <w:t>Rienhardt’s testimony, the jury heard Sergeant Simmont</w:t>
      </w:r>
      <w:r w:rsidR="00FC5C98" w:rsidRPr="000D1695">
        <w:t>’s identification of the pills</w:t>
      </w:r>
      <w:r w:rsidR="004C7BFA" w:rsidRPr="000D1695">
        <w:t xml:space="preserve">.  </w:t>
      </w:r>
      <w:r w:rsidR="00141BFF" w:rsidRPr="000D1695">
        <w:t xml:space="preserve">The sergeant made this identification twice, once at trial when he referred to the pills </w:t>
      </w:r>
      <w:r w:rsidR="00A916B8" w:rsidRPr="000D1695">
        <w:t xml:space="preserve">by </w:t>
      </w:r>
      <w:r w:rsidR="00A916B8" w:rsidRPr="000D1695">
        <w:lastRenderedPageBreak/>
        <w:t>the</w:t>
      </w:r>
      <w:r w:rsidR="00C17996">
        <w:t xml:space="preserve"> brand</w:t>
      </w:r>
      <w:r w:rsidR="00A916B8" w:rsidRPr="000D1695">
        <w:t xml:space="preserve"> name of Xanax and once during the interrogation when he referred to the</w:t>
      </w:r>
      <w:r w:rsidR="005B1FDF" w:rsidRPr="000D1695">
        <w:t xml:space="preserve">m </w:t>
      </w:r>
      <w:r w:rsidR="007A788A" w:rsidRPr="000D1695">
        <w:t>as</w:t>
      </w:r>
      <w:r w:rsidR="001D03B6" w:rsidRPr="000D1695">
        <w:t xml:space="preserve"> </w:t>
      </w:r>
      <w:proofErr w:type="spellStart"/>
      <w:r w:rsidR="001D03B6" w:rsidRPr="000D1695">
        <w:t>Xanibar</w:t>
      </w:r>
      <w:r w:rsidR="007A788A" w:rsidRPr="000D1695">
        <w:t>s</w:t>
      </w:r>
      <w:proofErr w:type="spellEnd"/>
      <w:r w:rsidR="007A788A" w:rsidRPr="000D1695">
        <w:t>.</w:t>
      </w:r>
      <w:r w:rsidR="00364CC1" w:rsidRPr="000D1695">
        <w:t xml:space="preserve">  Sergeant Simmont is a</w:t>
      </w:r>
      <w:r w:rsidR="0056141F" w:rsidRPr="000D1695">
        <w:t>n experienced</w:t>
      </w:r>
      <w:r w:rsidR="00BB56C1" w:rsidRPr="000D1695">
        <w:t xml:space="preserve"> </w:t>
      </w:r>
      <w:r w:rsidR="00364CC1" w:rsidRPr="000D1695">
        <w:t xml:space="preserve">police officer, with experience </w:t>
      </w:r>
      <w:r w:rsidR="008018E1" w:rsidRPr="000D1695">
        <w:t>in narcotics investigation</w:t>
      </w:r>
      <w:r w:rsidR="00442817" w:rsidRPr="000D1695">
        <w:t>, and a</w:t>
      </w:r>
      <w:r w:rsidR="00A0090D" w:rsidRPr="000D1695">
        <w:t xml:space="preserve"> rational jury </w:t>
      </w:r>
      <w:r w:rsidR="001B507A" w:rsidRPr="000D1695">
        <w:t>could</w:t>
      </w:r>
      <w:r w:rsidR="00A0090D" w:rsidRPr="000D1695">
        <w:t xml:space="preserve"> </w:t>
      </w:r>
      <w:r w:rsidR="00111CAE" w:rsidRPr="000D1695">
        <w:t>credit his testimony that defendant possessed Xanax, or</w:t>
      </w:r>
      <w:r w:rsidR="00616248" w:rsidRPr="000D1695">
        <w:t xml:space="preserve"> more formally,</w:t>
      </w:r>
      <w:r w:rsidR="00111CAE" w:rsidRPr="000D1695">
        <w:t xml:space="preserve"> alprazolam.</w:t>
      </w:r>
      <w:r w:rsidR="00DE7204" w:rsidRPr="000D1695">
        <w:t xml:space="preserve">  (See </w:t>
      </w:r>
      <w:r w:rsidR="008759AA" w:rsidRPr="000D1695">
        <w:rPr>
          <w:i/>
        </w:rPr>
        <w:t>People v. Bailey</w:t>
      </w:r>
      <w:r w:rsidR="008759AA" w:rsidRPr="000D1695">
        <w:t xml:space="preserve"> (1991) 1 Cal.App.4th 459, 462-463 (</w:t>
      </w:r>
      <w:r w:rsidR="008759AA" w:rsidRPr="000D1695">
        <w:rPr>
          <w:i/>
        </w:rPr>
        <w:t>Bailey</w:t>
      </w:r>
      <w:r w:rsidR="008759AA" w:rsidRPr="000D1695">
        <w:t>) [</w:t>
      </w:r>
      <w:r w:rsidR="00943CC1" w:rsidRPr="000D1695">
        <w:t>concluding that a</w:t>
      </w:r>
      <w:r w:rsidR="00A15268" w:rsidRPr="000D1695">
        <w:t xml:space="preserve"> trained narcotics</w:t>
      </w:r>
      <w:r w:rsidR="00943CC1" w:rsidRPr="000D1695">
        <w:t xml:space="preserve"> officer’s “testimony establishes that the substance in question was cocaine base</w:t>
      </w:r>
      <w:r w:rsidR="00265F5E" w:rsidRPr="000D1695">
        <w:t>”</w:t>
      </w:r>
      <w:r w:rsidR="006111CE" w:rsidRPr="000D1695">
        <w:t xml:space="preserve">]; </w:t>
      </w:r>
      <w:r w:rsidR="003D7DB2" w:rsidRPr="000D1695">
        <w:rPr>
          <w:i/>
        </w:rPr>
        <w:t>Sonleitner</w:t>
      </w:r>
      <w:r w:rsidR="003D7DB2" w:rsidRPr="000D1695">
        <w:t xml:space="preserve">, </w:t>
      </w:r>
      <w:r w:rsidR="003D7DB2" w:rsidRPr="000D1695">
        <w:rPr>
          <w:i/>
        </w:rPr>
        <w:t>supra</w:t>
      </w:r>
      <w:r w:rsidR="003D7DB2" w:rsidRPr="000D1695">
        <w:t>, 183 Cal.App.3d at pp. 369-370</w:t>
      </w:r>
      <w:r w:rsidR="00F35BE0" w:rsidRPr="000D1695">
        <w:t xml:space="preserve"> [“the nature of a </w:t>
      </w:r>
      <w:proofErr w:type="gramStart"/>
      <w:r w:rsidR="00F35BE0" w:rsidRPr="000D1695">
        <w:t>substance .</w:t>
      </w:r>
      <w:proofErr w:type="gramEnd"/>
      <w:r w:rsidR="00773327">
        <w:t> </w:t>
      </w:r>
      <w:r w:rsidR="00F35BE0" w:rsidRPr="000D1695">
        <w:t>.</w:t>
      </w:r>
      <w:r w:rsidR="00773327">
        <w:t> </w:t>
      </w:r>
      <w:r w:rsidR="00F35BE0" w:rsidRPr="000D1695">
        <w:t xml:space="preserve">. </w:t>
      </w:r>
      <w:r w:rsidR="00DF783B" w:rsidRPr="000D1695">
        <w:t xml:space="preserve">may be </w:t>
      </w:r>
      <w:proofErr w:type="gramStart"/>
      <w:r w:rsidR="00DF783B" w:rsidRPr="000D1695">
        <w:t>proved</w:t>
      </w:r>
      <w:r w:rsidR="00A22EC5" w:rsidRPr="000D1695">
        <w:t xml:space="preserve"> </w:t>
      </w:r>
      <w:r w:rsidR="00DF783B" w:rsidRPr="000D1695">
        <w:t>.</w:t>
      </w:r>
      <w:proofErr w:type="gramEnd"/>
      <w:r w:rsidR="00AA1FC8">
        <w:t> </w:t>
      </w:r>
      <w:r w:rsidR="00DF783B" w:rsidRPr="000D1695">
        <w:t>.</w:t>
      </w:r>
      <w:r w:rsidR="00AA1FC8">
        <w:t> </w:t>
      </w:r>
      <w:r w:rsidR="00DF783B" w:rsidRPr="000D1695">
        <w:t>. by the expert opinion of the arresting officer</w:t>
      </w:r>
      <w:r w:rsidR="00F35BE0" w:rsidRPr="000D1695">
        <w:t>”]</w:t>
      </w:r>
      <w:r w:rsidR="003D7DB2" w:rsidRPr="000D1695">
        <w:t xml:space="preserve">; </w:t>
      </w:r>
      <w:r w:rsidR="00760015" w:rsidRPr="000D1695">
        <w:rPr>
          <w:i/>
        </w:rPr>
        <w:t xml:space="preserve">People v. </w:t>
      </w:r>
      <w:proofErr w:type="spellStart"/>
      <w:r w:rsidR="00760015" w:rsidRPr="000D1695">
        <w:rPr>
          <w:i/>
        </w:rPr>
        <w:t>Marinos</w:t>
      </w:r>
      <w:proofErr w:type="spellEnd"/>
      <w:r w:rsidR="00760015" w:rsidRPr="000D1695">
        <w:t xml:space="preserve"> (1968) 260 Cal.App.2d 735, 738-739 [“</w:t>
      </w:r>
      <w:r w:rsidR="0045753F" w:rsidRPr="000D1695">
        <w:t>In the case at bench the officer who testified had had many years of experience in the business, his testimony was not objected to, he said that in his opinion the cigarette smoked by appellant contained marijuana. .</w:t>
      </w:r>
      <w:r w:rsidR="00CE23BA">
        <w:t> </w:t>
      </w:r>
      <w:r w:rsidR="0045753F" w:rsidRPr="000D1695">
        <w:t>.</w:t>
      </w:r>
      <w:r w:rsidR="00CE23BA">
        <w:t> </w:t>
      </w:r>
      <w:r w:rsidR="0045753F" w:rsidRPr="000D1695">
        <w:t xml:space="preserve">. </w:t>
      </w:r>
      <w:r w:rsidR="00B86F8A">
        <w:t xml:space="preserve"> [¶]</w:t>
      </w:r>
      <w:r w:rsidR="0045753F" w:rsidRPr="000D1695">
        <w:t xml:space="preserve"> </w:t>
      </w:r>
      <w:r w:rsidR="00B86F8A">
        <w:t xml:space="preserve"> </w:t>
      </w:r>
      <w:r w:rsidR="00F672BB" w:rsidRPr="000D1695">
        <w:t>We cannot say as a matter of law that there was not substantial evidence to support the finding that appellant possessed marijuana</w:t>
      </w:r>
      <w:r w:rsidR="00760015" w:rsidRPr="000D1695">
        <w:t xml:space="preserve">”]; </w:t>
      </w:r>
      <w:r w:rsidR="00A04698" w:rsidRPr="000D1695">
        <w:rPr>
          <w:i/>
        </w:rPr>
        <w:t>State v. Carter</w:t>
      </w:r>
      <w:r w:rsidR="00A04698" w:rsidRPr="000D1695">
        <w:t xml:space="preserve"> (</w:t>
      </w:r>
      <w:proofErr w:type="spellStart"/>
      <w:r w:rsidR="00A04698" w:rsidRPr="000D1695">
        <w:t>La.Ct.App</w:t>
      </w:r>
      <w:proofErr w:type="spellEnd"/>
      <w:r w:rsidR="00A04698" w:rsidRPr="000D1695">
        <w:t>. 2008) 981 So.2d 734, 744</w:t>
      </w:r>
      <w:r w:rsidR="00773838" w:rsidRPr="000D1695">
        <w:t>-745</w:t>
      </w:r>
      <w:r w:rsidR="00A04698" w:rsidRPr="000D1695">
        <w:t xml:space="preserve"> </w:t>
      </w:r>
      <w:r w:rsidR="006B53D0" w:rsidRPr="000D1695">
        <w:t>(</w:t>
      </w:r>
      <w:r w:rsidR="006B53D0" w:rsidRPr="000D1695">
        <w:rPr>
          <w:i/>
        </w:rPr>
        <w:t>Carter</w:t>
      </w:r>
      <w:r w:rsidR="006B53D0" w:rsidRPr="000D1695">
        <w:t xml:space="preserve">) </w:t>
      </w:r>
      <w:r w:rsidR="00A04698" w:rsidRPr="000D1695">
        <w:t>[</w:t>
      </w:r>
      <w:r w:rsidR="00384770" w:rsidRPr="000D1695">
        <w:t>discerning</w:t>
      </w:r>
      <w:r w:rsidR="002701AB" w:rsidRPr="000D1695">
        <w:t xml:space="preserve"> sufficient </w:t>
      </w:r>
      <w:r w:rsidR="002B71A7" w:rsidRPr="000D1695">
        <w:t xml:space="preserve">evidence </w:t>
      </w:r>
      <w:r w:rsidR="00773838" w:rsidRPr="000D1695">
        <w:t xml:space="preserve">“from which the jury could find beyond a reasonable doubt that the pills at issue were identified as hydrocodone” when, along with a criminalist’s testimony, a detective testified </w:t>
      </w:r>
      <w:r w:rsidR="00394938" w:rsidRPr="000D1695">
        <w:t>“that he had seen similar pills in the past as part of his job and that the pills at issue were hydrocodone pills”</w:t>
      </w:r>
      <w:r w:rsidR="00A04698" w:rsidRPr="000D1695">
        <w:t>]</w:t>
      </w:r>
      <w:r w:rsidR="00A35866" w:rsidRPr="000D1695">
        <w:t>.)</w:t>
      </w:r>
    </w:p>
    <w:p w14:paraId="16FE2C4A" w14:textId="756114F0" w:rsidR="003245AB" w:rsidRPr="000D1695" w:rsidRDefault="00BB56C1" w:rsidP="001B318E">
      <w:r w:rsidRPr="000D1695">
        <w:tab/>
        <w:t xml:space="preserve">The jury also heard defendant’s admission.  </w:t>
      </w:r>
      <w:r w:rsidR="00BA2FEF" w:rsidRPr="000D1695">
        <w:t xml:space="preserve">When questioned about the </w:t>
      </w:r>
      <w:r w:rsidR="00BE270D" w:rsidRPr="000D1695">
        <w:t xml:space="preserve">“the pills that [he] had, the </w:t>
      </w:r>
      <w:proofErr w:type="gramStart"/>
      <w:r w:rsidR="00BE270D" w:rsidRPr="000D1695">
        <w:t>bars[</w:t>
      </w:r>
      <w:proofErr w:type="gramEnd"/>
      <w:r w:rsidR="00BE270D" w:rsidRPr="000D1695">
        <w:t xml:space="preserve">,] the </w:t>
      </w:r>
      <w:proofErr w:type="spellStart"/>
      <w:r w:rsidR="00BE270D" w:rsidRPr="000D1695">
        <w:t>Xanibars</w:t>
      </w:r>
      <w:proofErr w:type="spellEnd"/>
      <w:r w:rsidR="00BE270D" w:rsidRPr="000D1695">
        <w:t xml:space="preserve">,” </w:t>
      </w:r>
      <w:r w:rsidR="00BA2FEF" w:rsidRPr="000D1695">
        <w:t xml:space="preserve">defendant </w:t>
      </w:r>
      <w:r w:rsidR="00BC0E3F" w:rsidRPr="000D1695">
        <w:t>said</w:t>
      </w:r>
      <w:r w:rsidR="0005761C">
        <w:t>,</w:t>
      </w:r>
      <w:r w:rsidR="00BC0E3F" w:rsidRPr="000D1695">
        <w:t xml:space="preserve"> “I take those</w:t>
      </w:r>
      <w:r w:rsidR="00C7725C" w:rsidRPr="000D1695">
        <w:t>.</w:t>
      </w:r>
      <w:r w:rsidR="00BC0E3F" w:rsidRPr="000D1695">
        <w:t>”</w:t>
      </w:r>
      <w:r w:rsidR="009512E3" w:rsidRPr="000D1695">
        <w:t xml:space="preserve">  </w:t>
      </w:r>
      <w:r w:rsidR="006D36BE" w:rsidRPr="000D1695">
        <w:t>Defendant</w:t>
      </w:r>
      <w:r w:rsidR="009512E3" w:rsidRPr="000D1695">
        <w:t xml:space="preserve"> admitted that he </w:t>
      </w:r>
      <w:r w:rsidR="00C27726" w:rsidRPr="000D1695">
        <w:t>ha</w:t>
      </w:r>
      <w:r w:rsidR="00623E3E">
        <w:t>d</w:t>
      </w:r>
      <w:r w:rsidR="00A77C81" w:rsidRPr="000D1695">
        <w:t xml:space="preserve"> taken</w:t>
      </w:r>
      <w:r w:rsidR="00C27726" w:rsidRPr="000D1695">
        <w:t xml:space="preserve"> </w:t>
      </w:r>
      <w:r w:rsidR="006D36BE" w:rsidRPr="000D1695">
        <w:t>“a lot” of the pills</w:t>
      </w:r>
      <w:r w:rsidR="00C27726" w:rsidRPr="000D1695">
        <w:t xml:space="preserve"> and that they help</w:t>
      </w:r>
      <w:r w:rsidR="00C96580" w:rsidRPr="000D1695">
        <w:t>ed</w:t>
      </w:r>
      <w:r w:rsidR="00C27726" w:rsidRPr="000D1695">
        <w:t xml:space="preserve"> him “feel good.”  </w:t>
      </w:r>
      <w:r w:rsidR="006B73A5" w:rsidRPr="000D1695">
        <w:t xml:space="preserve">Defendant’s own statements </w:t>
      </w:r>
      <w:r w:rsidR="0029157D" w:rsidRPr="000D1695">
        <w:t>constituted</w:t>
      </w:r>
      <w:r w:rsidR="00911AEE" w:rsidRPr="000D1695">
        <w:t xml:space="preserve"> </w:t>
      </w:r>
      <w:proofErr w:type="gramStart"/>
      <w:r w:rsidR="006B73A5" w:rsidRPr="000D1695">
        <w:t>“</w:t>
      </w:r>
      <w:r w:rsidR="004759F0" w:rsidRPr="000D1695">
        <w:t> </w:t>
      </w:r>
      <w:r w:rsidR="006B73A5" w:rsidRPr="000D1695">
        <w:t>‘</w:t>
      </w:r>
      <w:proofErr w:type="gramEnd"/>
      <w:r w:rsidR="006B73A5" w:rsidRPr="000D1695">
        <w:t>reasonable, credible, and of solid value’</w:t>
      </w:r>
      <w:r w:rsidR="007A2D64">
        <w:t> </w:t>
      </w:r>
      <w:r w:rsidR="006B73A5" w:rsidRPr="000D1695">
        <w:t>”</w:t>
      </w:r>
      <w:r w:rsidR="001A6D66" w:rsidRPr="000D1695">
        <w:t xml:space="preserve"> evidence</w:t>
      </w:r>
      <w:r w:rsidR="006B73A5" w:rsidRPr="000D1695">
        <w:t xml:space="preserve"> that the pills are “Xanibars</w:t>
      </w:r>
      <w:r w:rsidR="007260DE" w:rsidRPr="000D1695">
        <w:t>,” or</w:t>
      </w:r>
      <w:r w:rsidR="006B73A5" w:rsidRPr="000D1695">
        <w:t xml:space="preserve"> the controlled substance alprazolam.  </w:t>
      </w:r>
      <w:r w:rsidR="005E556D" w:rsidRPr="000D1695">
        <w:lastRenderedPageBreak/>
        <w:t>(</w:t>
      </w:r>
      <w:r w:rsidR="00E26C31" w:rsidRPr="000D1695">
        <w:rPr>
          <w:i/>
        </w:rPr>
        <w:t>Gomez</w:t>
      </w:r>
      <w:r w:rsidR="00034B66" w:rsidRPr="000D1695">
        <w:t xml:space="preserve">, </w:t>
      </w:r>
      <w:r w:rsidR="00034B66" w:rsidRPr="000D1695">
        <w:rPr>
          <w:i/>
        </w:rPr>
        <w:t>supra</w:t>
      </w:r>
      <w:r w:rsidR="00034B66" w:rsidRPr="000D1695">
        <w:t xml:space="preserve">, </w:t>
      </w:r>
      <w:r w:rsidR="00E26C31" w:rsidRPr="000D1695">
        <w:t>6 Cal.5th at p. 278; s</w:t>
      </w:r>
      <w:r w:rsidR="00215522" w:rsidRPr="000D1695">
        <w:t xml:space="preserve">ee </w:t>
      </w:r>
      <w:proofErr w:type="spellStart"/>
      <w:r w:rsidR="00215522" w:rsidRPr="000D1695">
        <w:rPr>
          <w:i/>
        </w:rPr>
        <w:t>Palaschak</w:t>
      </w:r>
      <w:proofErr w:type="spellEnd"/>
      <w:r w:rsidR="00215522" w:rsidRPr="000D1695">
        <w:t xml:space="preserve">, </w:t>
      </w:r>
      <w:r w:rsidR="00215522" w:rsidRPr="000D1695">
        <w:rPr>
          <w:i/>
        </w:rPr>
        <w:t>supra</w:t>
      </w:r>
      <w:r w:rsidR="00215522" w:rsidRPr="000D1695">
        <w:t xml:space="preserve">, </w:t>
      </w:r>
      <w:r w:rsidR="00CA674A" w:rsidRPr="000D1695">
        <w:t>9</w:t>
      </w:r>
      <w:r w:rsidR="00BF2AAF">
        <w:t> </w:t>
      </w:r>
      <w:r w:rsidR="00CA674A" w:rsidRPr="000D1695">
        <w:t xml:space="preserve">Cal.4th at p. 1242 [crediting </w:t>
      </w:r>
      <w:r w:rsidR="001C7463" w:rsidRPr="000D1695">
        <w:t xml:space="preserve">as part of the evidence against </w:t>
      </w:r>
      <w:r w:rsidR="00B50967" w:rsidRPr="000D1695">
        <w:t xml:space="preserve">the </w:t>
      </w:r>
      <w:r w:rsidR="001C7463" w:rsidRPr="000D1695">
        <w:t>defendant the fact that</w:t>
      </w:r>
      <w:r w:rsidR="00CA674A" w:rsidRPr="000D1695">
        <w:t xml:space="preserve"> “[o]n being arrested, defendant readily admitted ingesting the drug [LSD]”]</w:t>
      </w:r>
      <w:r w:rsidR="00EE4C05" w:rsidRPr="000D1695">
        <w:t xml:space="preserve">; </w:t>
      </w:r>
      <w:r w:rsidR="001C1D1A" w:rsidRPr="000D1695">
        <w:rPr>
          <w:i/>
        </w:rPr>
        <w:t>People v. Williams</w:t>
      </w:r>
      <w:r w:rsidR="001C1D1A" w:rsidRPr="000D1695">
        <w:t xml:space="preserve"> (1971) 5 Cal.3d 211, 216 [“</w:t>
      </w:r>
      <w:r w:rsidR="00334731" w:rsidRPr="000D1695">
        <w:t>knowledge of the character of dangerous drugs or narcotics may be shown by acts or declarations of the accused</w:t>
      </w:r>
      <w:r w:rsidR="001C1D1A" w:rsidRPr="000D1695">
        <w:t>”]</w:t>
      </w:r>
      <w:r w:rsidR="005E556D" w:rsidRPr="000D1695">
        <w:t>.)</w:t>
      </w:r>
    </w:p>
    <w:p w14:paraId="6053EAC9" w14:textId="2B5DEB7C" w:rsidR="00950C4A" w:rsidRDefault="003245AB" w:rsidP="00322B2C">
      <w:r w:rsidRPr="000D1695">
        <w:tab/>
      </w:r>
      <w:r w:rsidR="006B73A5" w:rsidRPr="000D1695">
        <w:t>Defendant protests that th</w:t>
      </w:r>
      <w:r w:rsidR="00FB2B4A" w:rsidRPr="000D1695">
        <w:t>is</w:t>
      </w:r>
      <w:r w:rsidR="006B73A5" w:rsidRPr="000D1695">
        <w:t xml:space="preserve"> </w:t>
      </w:r>
      <w:r w:rsidR="00475884" w:rsidRPr="000D1695">
        <w:t xml:space="preserve">evidence shows </w:t>
      </w:r>
      <w:r w:rsidR="00F8660D" w:rsidRPr="000D1695">
        <w:t xml:space="preserve">only </w:t>
      </w:r>
      <w:r w:rsidR="00475884" w:rsidRPr="000D1695">
        <w:t>that defendant “believed he possessed ‘</w:t>
      </w:r>
      <w:proofErr w:type="spellStart"/>
      <w:r w:rsidR="00475884" w:rsidRPr="000D1695">
        <w:t>Xanibar</w:t>
      </w:r>
      <w:proofErr w:type="spellEnd"/>
      <w:r w:rsidR="00D848FE" w:rsidRPr="000D1695">
        <w:t>.</w:t>
      </w:r>
      <w:proofErr w:type="gramStart"/>
      <w:r w:rsidR="00475884" w:rsidRPr="000D1695">
        <w:t>’</w:t>
      </w:r>
      <w:r w:rsidR="002A4C74">
        <w:t> </w:t>
      </w:r>
      <w:r w:rsidR="00475884" w:rsidRPr="000D1695">
        <w:t>”</w:t>
      </w:r>
      <w:proofErr w:type="gramEnd"/>
      <w:r w:rsidR="00D848FE" w:rsidRPr="000D1695">
        <w:t xml:space="preserve">  </w:t>
      </w:r>
      <w:r w:rsidR="00E05BEE" w:rsidRPr="000D1695">
        <w:t>This is insubstantial</w:t>
      </w:r>
      <w:r w:rsidR="00D848FE" w:rsidRPr="000D1695">
        <w:t>,</w:t>
      </w:r>
      <w:r w:rsidR="00E05BEE" w:rsidRPr="000D1695">
        <w:t xml:space="preserve"> </w:t>
      </w:r>
      <w:r w:rsidR="0065708E" w:rsidRPr="000D1695">
        <w:t>accordin</w:t>
      </w:r>
      <w:r w:rsidR="000A1EA0" w:rsidRPr="000D1695">
        <w:t>g</w:t>
      </w:r>
      <w:r w:rsidR="0065708E" w:rsidRPr="000D1695">
        <w:t xml:space="preserve"> to defendant, because</w:t>
      </w:r>
      <w:r w:rsidR="00475884" w:rsidRPr="000D1695">
        <w:t xml:space="preserve"> “[t]her</w:t>
      </w:r>
      <w:r w:rsidR="00F36ECF" w:rsidRPr="000D1695">
        <w:t>e</w:t>
      </w:r>
      <w:r w:rsidR="00475884" w:rsidRPr="000D1695">
        <w:t xml:space="preserve"> was no testimony that Xanibar and Xanax are synonymous</w:t>
      </w:r>
      <w:r w:rsidR="00357A0F" w:rsidRPr="000D1695">
        <w:t>.</w:t>
      </w:r>
      <w:r w:rsidR="00475884" w:rsidRPr="000D1695">
        <w:t xml:space="preserve">” </w:t>
      </w:r>
      <w:r w:rsidR="00357A0F" w:rsidRPr="000D1695">
        <w:t xml:space="preserve"> </w:t>
      </w:r>
      <w:r w:rsidR="0088597A" w:rsidRPr="000D1695">
        <w:t>But</w:t>
      </w:r>
      <w:r w:rsidR="0019439B" w:rsidRPr="000D1695">
        <w:t xml:space="preserve"> o</w:t>
      </w:r>
      <w:r w:rsidR="00DE45A1" w:rsidRPr="000D1695">
        <w:t xml:space="preserve">n review of a sufficiency of the evidence claim, we draw every reasonable inference in support of the verdict.  </w:t>
      </w:r>
      <w:r w:rsidR="00816D1F" w:rsidRPr="000D1695">
        <w:t>(</w:t>
      </w:r>
      <w:r w:rsidR="00F702ED" w:rsidRPr="000D1695">
        <w:t>E.g.,</w:t>
      </w:r>
      <w:r w:rsidR="003A2233" w:rsidRPr="000D1695">
        <w:rPr>
          <w:i/>
        </w:rPr>
        <w:t xml:space="preserve"> </w:t>
      </w:r>
      <w:r w:rsidR="005E694D" w:rsidRPr="000D1695">
        <w:rPr>
          <w:i/>
        </w:rPr>
        <w:t>Houston</w:t>
      </w:r>
      <w:r w:rsidR="005E694D" w:rsidRPr="000D1695">
        <w:t xml:space="preserve">, </w:t>
      </w:r>
      <w:r w:rsidR="005E694D" w:rsidRPr="000D1695">
        <w:rPr>
          <w:i/>
        </w:rPr>
        <w:t>supra</w:t>
      </w:r>
      <w:r w:rsidR="005E694D" w:rsidRPr="000D1695">
        <w:t xml:space="preserve">, </w:t>
      </w:r>
      <w:r w:rsidR="00F73684" w:rsidRPr="000D1695">
        <w:t>54 Cal.4th at p. 1215</w:t>
      </w:r>
      <w:r w:rsidR="00816D1F" w:rsidRPr="000D1695">
        <w:t xml:space="preserve">.)  </w:t>
      </w:r>
      <w:proofErr w:type="gramStart"/>
      <w:r w:rsidR="00DE45A1" w:rsidRPr="000D1695">
        <w:t>In light of</w:t>
      </w:r>
      <w:proofErr w:type="gramEnd"/>
      <w:r w:rsidR="00DE45A1" w:rsidRPr="000D1695">
        <w:t xml:space="preserve"> Sergeant Simmont’s </w:t>
      </w:r>
      <w:r w:rsidR="00F47849" w:rsidRPr="000D1695">
        <w:t>use of the term</w:t>
      </w:r>
      <w:r w:rsidR="00DE45A1" w:rsidRPr="000D1695">
        <w:t xml:space="preserve"> “Xanibars” and “Xanax”</w:t>
      </w:r>
      <w:r w:rsidR="00F47849" w:rsidRPr="000D1695">
        <w:t xml:space="preserve"> to refer to the same pills</w:t>
      </w:r>
      <w:r w:rsidR="00DE45A1" w:rsidRPr="000D1695">
        <w:t xml:space="preserve">, </w:t>
      </w:r>
      <w:r w:rsidR="003C3044" w:rsidRPr="000D1695">
        <w:t>a rational</w:t>
      </w:r>
      <w:r w:rsidR="00DE45A1" w:rsidRPr="000D1695">
        <w:t xml:space="preserve"> jury could have drawn the inference that</w:t>
      </w:r>
      <w:r w:rsidR="001A761E" w:rsidRPr="000D1695">
        <w:t xml:space="preserve"> both are </w:t>
      </w:r>
      <w:r w:rsidR="00DE45A1" w:rsidRPr="000D1695">
        <w:t xml:space="preserve">names for </w:t>
      </w:r>
      <w:r w:rsidR="006200CE" w:rsidRPr="000D1695">
        <w:t xml:space="preserve">the controlled substance </w:t>
      </w:r>
      <w:r w:rsidR="00DE45A1" w:rsidRPr="000D1695">
        <w:t xml:space="preserve">alprazolam.  </w:t>
      </w:r>
      <w:r w:rsidR="00357A0F" w:rsidRPr="000D1695">
        <w:t>D</w:t>
      </w:r>
      <w:r w:rsidR="00475884" w:rsidRPr="000D1695">
        <w:t xml:space="preserve">efendant </w:t>
      </w:r>
      <w:r w:rsidR="00AF2DEE" w:rsidRPr="000D1695">
        <w:t>further</w:t>
      </w:r>
      <w:r w:rsidR="00357A0F" w:rsidRPr="000D1695">
        <w:t xml:space="preserve"> argue</w:t>
      </w:r>
      <w:r w:rsidR="00D848FE" w:rsidRPr="000D1695">
        <w:t>s</w:t>
      </w:r>
      <w:r w:rsidR="00357A0F" w:rsidRPr="000D1695">
        <w:t xml:space="preserve"> that he </w:t>
      </w:r>
      <w:r w:rsidR="00475884" w:rsidRPr="000D1695">
        <w:t xml:space="preserve">may have been mistaken in his belief </w:t>
      </w:r>
      <w:r w:rsidR="00DA1BA2" w:rsidRPr="000D1695">
        <w:t xml:space="preserve">that he had been </w:t>
      </w:r>
      <w:r w:rsidR="0065708E" w:rsidRPr="000D1695">
        <w:t>taking</w:t>
      </w:r>
      <w:r w:rsidR="00DA1BA2" w:rsidRPr="000D1695">
        <w:t xml:space="preserve"> </w:t>
      </w:r>
      <w:r w:rsidR="0065708E" w:rsidRPr="000D1695">
        <w:t>alprazolam</w:t>
      </w:r>
      <w:r w:rsidR="00EF0398" w:rsidRPr="000D1695">
        <w:t>,</w:t>
      </w:r>
      <w:r w:rsidR="00DA1BA2" w:rsidRPr="000D1695">
        <w:t xml:space="preserve"> </w:t>
      </w:r>
      <w:r w:rsidR="003532CF" w:rsidRPr="000D1695">
        <w:t xml:space="preserve">because </w:t>
      </w:r>
      <w:r w:rsidR="00475884" w:rsidRPr="000D1695">
        <w:t xml:space="preserve">“counterfeit drugs are typically sold on the street to unsuspecting users who believe they are real.” </w:t>
      </w:r>
      <w:r w:rsidR="001A761E" w:rsidRPr="000D1695">
        <w:t xml:space="preserve"> Although that </w:t>
      </w:r>
      <w:r w:rsidR="007775BB" w:rsidRPr="000D1695">
        <w:t>might have been</w:t>
      </w:r>
      <w:r w:rsidR="001A761E" w:rsidRPr="000D1695">
        <w:t xml:space="preserve"> possible, </w:t>
      </w:r>
      <w:r w:rsidR="00924A18" w:rsidRPr="000D1695">
        <w:t>such an argument “simply present[s] one interpretation of the evidence</w:t>
      </w:r>
      <w:proofErr w:type="gramStart"/>
      <w:r w:rsidR="00DF43C0" w:rsidRPr="000D1695">
        <w:t>”</w:t>
      </w:r>
      <w:r w:rsidR="00827168" w:rsidRPr="000D1695">
        <w:t>;</w:t>
      </w:r>
      <w:proofErr w:type="gramEnd"/>
      <w:r w:rsidR="00B547BD" w:rsidRPr="000D1695">
        <w:rPr>
          <w:rStyle w:val="FootnoteReference"/>
        </w:rPr>
        <w:footnoteReference w:id="9"/>
      </w:r>
      <w:r w:rsidR="00DF43C0" w:rsidRPr="000D1695">
        <w:t xml:space="preserve"> it does not suggest that </w:t>
      </w:r>
      <w:r w:rsidR="002E1C28" w:rsidRPr="000D1695">
        <w:t>a r</w:t>
      </w:r>
      <w:r w:rsidR="0033625F" w:rsidRPr="000D1695">
        <w:t>easonable</w:t>
      </w:r>
      <w:r w:rsidR="002E1C28" w:rsidRPr="000D1695">
        <w:t xml:space="preserve"> jury could not </w:t>
      </w:r>
      <w:r w:rsidR="00DF43C0" w:rsidRPr="000D1695">
        <w:t>“</w:t>
      </w:r>
      <w:r w:rsidR="00924A18" w:rsidRPr="000D1695">
        <w:t>draw the opposite inference from the evidence</w:t>
      </w:r>
      <w:r w:rsidR="00286972" w:rsidRPr="000D1695">
        <w:t>.</w:t>
      </w:r>
      <w:r w:rsidR="008C741D" w:rsidRPr="000D1695">
        <w:t>”</w:t>
      </w:r>
      <w:r w:rsidR="00286972" w:rsidRPr="000D1695">
        <w:t xml:space="preserve">  </w:t>
      </w:r>
      <w:r w:rsidR="00435A05" w:rsidRPr="000D1695">
        <w:t>(</w:t>
      </w:r>
      <w:r w:rsidR="009C5F6A" w:rsidRPr="000D1695">
        <w:rPr>
          <w:i/>
        </w:rPr>
        <w:t>Gomez</w:t>
      </w:r>
      <w:r w:rsidR="009C5F6A" w:rsidRPr="000D1695">
        <w:t xml:space="preserve">, </w:t>
      </w:r>
      <w:r w:rsidR="009C5F6A" w:rsidRPr="000D1695">
        <w:rPr>
          <w:i/>
        </w:rPr>
        <w:t>supra</w:t>
      </w:r>
      <w:r w:rsidR="009C5F6A" w:rsidRPr="000D1695">
        <w:t xml:space="preserve">, </w:t>
      </w:r>
      <w:r w:rsidR="00924A18" w:rsidRPr="000D1695">
        <w:t>6 Cal.5th at p. 308</w:t>
      </w:r>
      <w:r w:rsidR="00435A05" w:rsidRPr="000D1695">
        <w:t>.)</w:t>
      </w:r>
      <w:r w:rsidR="00AC31D2" w:rsidRPr="000D1695">
        <w:t xml:space="preserve">  </w:t>
      </w:r>
      <w:r w:rsidR="00ED15E6" w:rsidRPr="000D1695">
        <w:t>Put differently, a</w:t>
      </w:r>
      <w:r w:rsidR="002B5236" w:rsidRPr="000D1695">
        <w:t xml:space="preserve"> reasonable</w:t>
      </w:r>
      <w:r w:rsidR="00CC01EE" w:rsidRPr="000D1695">
        <w:t xml:space="preserve"> jury was not </w:t>
      </w:r>
      <w:r w:rsidR="00CC01EE" w:rsidRPr="000D1695">
        <w:lastRenderedPageBreak/>
        <w:t xml:space="preserve">precluded from taking </w:t>
      </w:r>
      <w:r w:rsidR="00AB5251" w:rsidRPr="000D1695">
        <w:t>defendant’s</w:t>
      </w:r>
      <w:r w:rsidR="004F52D2" w:rsidRPr="000D1695">
        <w:t xml:space="preserve"> candid confession at face value — that defendant acquired </w:t>
      </w:r>
      <w:r w:rsidR="00094AC3" w:rsidRPr="000D1695">
        <w:t xml:space="preserve">what he </w:t>
      </w:r>
      <w:r w:rsidR="00F335CA" w:rsidRPr="000D1695">
        <w:t>identified as</w:t>
      </w:r>
      <w:r w:rsidR="00094AC3" w:rsidRPr="000D1695">
        <w:t xml:space="preserve"> alprazolam</w:t>
      </w:r>
      <w:r w:rsidR="004F52D2" w:rsidRPr="000D1695">
        <w:t xml:space="preserve">, took it, and felt good because the drug was indeed alprazolam.  </w:t>
      </w:r>
      <w:r w:rsidR="00183E22" w:rsidRPr="000D1695">
        <w:t>In sum,</w:t>
      </w:r>
      <w:r w:rsidR="0067575C" w:rsidRPr="000D1695">
        <w:t xml:space="preserve"> defendant’s own statement — along with the testimony of an experienced police officer and a criminalist — provide</w:t>
      </w:r>
      <w:r w:rsidR="00283F38" w:rsidRPr="000D1695">
        <w:t>s</w:t>
      </w:r>
      <w:r w:rsidR="0067575C" w:rsidRPr="000D1695">
        <w:t xml:space="preserve"> substantial evidence </w:t>
      </w:r>
      <w:r w:rsidR="00DE1BFE" w:rsidRPr="000D1695">
        <w:t xml:space="preserve">that defendant possessed </w:t>
      </w:r>
      <w:r w:rsidR="007B3095" w:rsidRPr="000D1695">
        <w:t>the controlled substance alprazolam</w:t>
      </w:r>
      <w:r w:rsidR="00DE1BFE" w:rsidRPr="000D1695">
        <w:t>.</w:t>
      </w:r>
      <w:r w:rsidR="002F7EA7">
        <w:tab/>
      </w:r>
    </w:p>
    <w:p w14:paraId="2F96DA86" w14:textId="265B40CF" w:rsidR="00421877" w:rsidRDefault="00950C4A" w:rsidP="001B318E">
      <w:r>
        <w:tab/>
      </w:r>
      <w:r w:rsidR="00F442A7">
        <w:t xml:space="preserve">In </w:t>
      </w:r>
      <w:r w:rsidR="00566DFF">
        <w:t>contesting the above</w:t>
      </w:r>
      <w:r w:rsidR="00F442A7">
        <w:t>, defendant draws ou</w:t>
      </w:r>
      <w:r w:rsidR="00D31865">
        <w:t>r</w:t>
      </w:r>
      <w:r w:rsidR="00F442A7">
        <w:t xml:space="preserve"> attention to </w:t>
      </w:r>
      <w:r w:rsidR="009605AB">
        <w:t>an out-of-jurisdiction case,</w:t>
      </w:r>
      <w:r w:rsidR="00D12D5E" w:rsidRPr="00D12D5E">
        <w:rPr>
          <w:i/>
          <w:iCs/>
        </w:rPr>
        <w:t xml:space="preserve"> State v. Ward</w:t>
      </w:r>
      <w:r w:rsidR="00D12D5E" w:rsidRPr="00D12D5E">
        <w:t xml:space="preserve"> (2010) 364 N.C. 133 [694 S.E.2d 738]</w:t>
      </w:r>
      <w:r w:rsidR="00F442A7">
        <w:t>.</w:t>
      </w:r>
      <w:r w:rsidR="0093664B">
        <w:t xml:space="preserve">  </w:t>
      </w:r>
      <w:r w:rsidR="009605AB">
        <w:t xml:space="preserve">The court in </w:t>
      </w:r>
      <w:r w:rsidR="009605AB">
        <w:rPr>
          <w:i/>
        </w:rPr>
        <w:t xml:space="preserve">Ward </w:t>
      </w:r>
      <w:r w:rsidR="009605AB">
        <w:t xml:space="preserve">held that, under </w:t>
      </w:r>
      <w:r w:rsidR="00D31865">
        <w:t>North Carolina’s evidentiary rules, expert testimony relying solely on visual inspection for drug identification is insufficiently reliable to be admitted.  (</w:t>
      </w:r>
      <w:r w:rsidR="00E771BE">
        <w:rPr>
          <w:i/>
        </w:rPr>
        <w:t>Id.</w:t>
      </w:r>
      <w:r w:rsidR="00D9262E">
        <w:t xml:space="preserve"> </w:t>
      </w:r>
      <w:r w:rsidR="00D31865">
        <w:t>at p</w:t>
      </w:r>
      <w:r w:rsidR="00971ACF">
        <w:t xml:space="preserve">. </w:t>
      </w:r>
      <w:r w:rsidR="00CF1214">
        <w:t>739</w:t>
      </w:r>
      <w:r w:rsidR="00D31865">
        <w:t xml:space="preserve">.)  </w:t>
      </w:r>
      <w:r w:rsidR="00D31865">
        <w:rPr>
          <w:i/>
        </w:rPr>
        <w:t xml:space="preserve">Ward </w:t>
      </w:r>
      <w:r w:rsidR="00D31865">
        <w:t xml:space="preserve">is </w:t>
      </w:r>
      <w:r w:rsidR="00AF3761">
        <w:t xml:space="preserve">accordingly </w:t>
      </w:r>
      <w:r w:rsidR="00D31865">
        <w:t xml:space="preserve">a case about reliability, not sufficiency of the evidence.  As defendant never challenged Rienhardt’s testimony on reliability grounds under sections 801 </w:t>
      </w:r>
      <w:r w:rsidR="006D463F">
        <w:t>or</w:t>
      </w:r>
      <w:r w:rsidR="00D31865">
        <w:t xml:space="preserve"> 802 of the California Evidence Code, </w:t>
      </w:r>
      <w:r w:rsidR="00D31865">
        <w:rPr>
          <w:i/>
        </w:rPr>
        <w:t xml:space="preserve">Ward </w:t>
      </w:r>
      <w:r w:rsidR="00D31865">
        <w:t>is inapposite to the matter at hand.</w:t>
      </w:r>
    </w:p>
    <w:p w14:paraId="7544AA3D" w14:textId="141ED1A8" w:rsidR="00421B9C" w:rsidRPr="000D1695" w:rsidRDefault="00421877" w:rsidP="001B318E">
      <w:r>
        <w:tab/>
      </w:r>
      <w:r w:rsidR="00D7393A">
        <w:t>Although</w:t>
      </w:r>
      <w:r w:rsidR="00B77F0D">
        <w:t xml:space="preserve"> </w:t>
      </w:r>
      <w:r w:rsidR="00453A9B">
        <w:t>he attempts</w:t>
      </w:r>
      <w:r w:rsidR="00B77F0D">
        <w:t xml:space="preserve"> to rely on </w:t>
      </w:r>
      <w:r w:rsidR="00B77F0D">
        <w:rPr>
          <w:i/>
        </w:rPr>
        <w:t>Ward</w:t>
      </w:r>
      <w:r w:rsidR="00B77F0D">
        <w:t>, d</w:t>
      </w:r>
      <w:r w:rsidR="008F378F" w:rsidRPr="000D1695">
        <w:t xml:space="preserve">efendant </w:t>
      </w:r>
      <w:r w:rsidR="00CC60CF" w:rsidRPr="000D1695">
        <w:t>conced</w:t>
      </w:r>
      <w:r w:rsidR="00CC60CF">
        <w:t>es</w:t>
      </w:r>
      <w:r w:rsidR="00CC60CF" w:rsidRPr="000D1695">
        <w:t xml:space="preserve"> </w:t>
      </w:r>
      <w:r w:rsidR="004E6446" w:rsidRPr="000D1695">
        <w:t xml:space="preserve">that he does not “claim that chemical analysis is required in every case.”  </w:t>
      </w:r>
      <w:r w:rsidR="00A64F6A" w:rsidRPr="000D1695">
        <w:t>W</w:t>
      </w:r>
      <w:r w:rsidR="009E2D03" w:rsidRPr="000D1695">
        <w:t>he</w:t>
      </w:r>
      <w:r w:rsidR="0070633E" w:rsidRPr="000D1695">
        <w:t>n</w:t>
      </w:r>
      <w:r w:rsidR="009E2D03" w:rsidRPr="000D1695">
        <w:t xml:space="preserve"> a chemical analysis is not offered, </w:t>
      </w:r>
      <w:r w:rsidR="00A64F6A" w:rsidRPr="000D1695">
        <w:t>however,</w:t>
      </w:r>
      <w:r w:rsidR="00172BEB" w:rsidRPr="000D1695">
        <w:t xml:space="preserve"> defendant</w:t>
      </w:r>
      <w:r w:rsidR="00700E65" w:rsidRPr="000D1695">
        <w:t xml:space="preserve"> asserts that</w:t>
      </w:r>
      <w:r w:rsidR="00A64F6A" w:rsidRPr="000D1695">
        <w:t xml:space="preserve"> </w:t>
      </w:r>
      <w:r w:rsidR="009E2D03" w:rsidRPr="000D1695">
        <w:t>“</w:t>
      </w:r>
      <w:r w:rsidR="009D4D0D" w:rsidRPr="000D1695">
        <w:t>because of the prevalence of counterfeit drugs on the street that do not contain active ingredients,</w:t>
      </w:r>
      <w:r w:rsidR="00EB3EC9" w:rsidRPr="000D1695">
        <w:t>” “</w:t>
      </w:r>
      <w:r w:rsidR="009E2D03" w:rsidRPr="000D1695">
        <w:t>there must be some additional circumstantial evidence in the record that a particular pill is legitimate</w:t>
      </w:r>
      <w:r w:rsidR="009D4D0D" w:rsidRPr="000D1695">
        <w:t>.</w:t>
      </w:r>
      <w:r w:rsidR="009E2D03" w:rsidRPr="000D1695">
        <w:t xml:space="preserve">”  </w:t>
      </w:r>
      <w:r w:rsidR="00ED77AA" w:rsidRPr="000D1695">
        <w:t>According to defendant</w:t>
      </w:r>
      <w:r w:rsidR="009E2D03" w:rsidRPr="000D1695">
        <w:t>, had the pills been “found in a prescription bottle or in a container bearing information about the producer,</w:t>
      </w:r>
      <w:r w:rsidR="00493170" w:rsidRPr="000D1695">
        <w:t>”</w:t>
      </w:r>
      <w:r w:rsidR="009E2D03" w:rsidRPr="000D1695">
        <w:t xml:space="preserve"> then perhaps “a visual identification </w:t>
      </w:r>
      <w:r w:rsidR="005B2D34" w:rsidRPr="000D1695">
        <w:t>[would have been]</w:t>
      </w:r>
      <w:r w:rsidR="009E2D03" w:rsidRPr="000D1695">
        <w:t xml:space="preserve"> sufficient.”  </w:t>
      </w:r>
      <w:r w:rsidR="008708CE" w:rsidRPr="000D1695">
        <w:t>B</w:t>
      </w:r>
      <w:r w:rsidR="00144DB3" w:rsidRPr="000D1695">
        <w:t>ut b</w:t>
      </w:r>
      <w:r w:rsidR="008708CE" w:rsidRPr="000D1695">
        <w:t xml:space="preserve">ecause the pills were found wrapped in cellophane, defendant suggests that chemical testing </w:t>
      </w:r>
      <w:r w:rsidR="00920568" w:rsidRPr="000D1695">
        <w:t>was</w:t>
      </w:r>
      <w:r w:rsidR="008708CE" w:rsidRPr="000D1695">
        <w:t xml:space="preserve"> </w:t>
      </w:r>
      <w:r w:rsidR="00086498" w:rsidRPr="000D1695">
        <w:t>neede</w:t>
      </w:r>
      <w:r w:rsidR="00920568" w:rsidRPr="000D1695">
        <w:t>d</w:t>
      </w:r>
      <w:r w:rsidR="00086498" w:rsidRPr="000D1695">
        <w:t xml:space="preserve">.  </w:t>
      </w:r>
      <w:r w:rsidR="00921E2B">
        <w:t>Yet</w:t>
      </w:r>
      <w:r w:rsidR="00341E0B" w:rsidRPr="000D1695">
        <w:t>,</w:t>
      </w:r>
      <w:r w:rsidR="008262BD" w:rsidRPr="000D1695">
        <w:t xml:space="preserve"> it is unclear why a prescription bottle — which may be as </w:t>
      </w:r>
      <w:r w:rsidR="00BB43D0" w:rsidRPr="000D1695">
        <w:t>easily counterfeited as the drugs themselves</w:t>
      </w:r>
      <w:r w:rsidR="008262BD" w:rsidRPr="000D1695">
        <w:t xml:space="preserve"> — </w:t>
      </w:r>
      <w:r w:rsidR="002E0F40" w:rsidRPr="000D1695">
        <w:t>should serve</w:t>
      </w:r>
      <w:r w:rsidR="008262BD" w:rsidRPr="000D1695">
        <w:t xml:space="preserve"> as </w:t>
      </w:r>
      <w:proofErr w:type="gramStart"/>
      <w:r w:rsidR="008262BD" w:rsidRPr="000D1695">
        <w:lastRenderedPageBreak/>
        <w:t>sufficient</w:t>
      </w:r>
      <w:proofErr w:type="gramEnd"/>
      <w:r w:rsidR="008262BD" w:rsidRPr="000D1695">
        <w:t xml:space="preserve"> “additional circumstantial evidence” when defendant’s admission that the pills were “Xanibars” and made him feel good do</w:t>
      </w:r>
      <w:r w:rsidR="00387747" w:rsidRPr="000D1695">
        <w:t xml:space="preserve">es </w:t>
      </w:r>
      <w:r w:rsidR="008262BD" w:rsidRPr="000D1695">
        <w:t xml:space="preserve">not.  </w:t>
      </w:r>
      <w:r w:rsidR="00D10341" w:rsidRPr="000D1695">
        <w:t>Because</w:t>
      </w:r>
      <w:r w:rsidR="00003733" w:rsidRPr="000D1695">
        <w:t xml:space="preserve"> both</w:t>
      </w:r>
      <w:r w:rsidR="007B1568" w:rsidRPr="000D1695">
        <w:t xml:space="preserve"> circumstances</w:t>
      </w:r>
      <w:r w:rsidR="00BB43D0" w:rsidRPr="000D1695">
        <w:t xml:space="preserve"> </w:t>
      </w:r>
      <w:r w:rsidR="00DF6751" w:rsidRPr="000D1695">
        <w:t xml:space="preserve">tend to </w:t>
      </w:r>
      <w:r w:rsidR="00F450B4" w:rsidRPr="000D1695">
        <w:t>make it less likely</w:t>
      </w:r>
      <w:r w:rsidR="00DF6751" w:rsidRPr="000D1695">
        <w:t xml:space="preserve"> that the pills were “counterfeit </w:t>
      </w:r>
      <w:proofErr w:type="gramStart"/>
      <w:r w:rsidR="00DF6751" w:rsidRPr="000D1695">
        <w:t>drugs .</w:t>
      </w:r>
      <w:proofErr w:type="gramEnd"/>
      <w:r w:rsidR="00C239EE">
        <w:t> </w:t>
      </w:r>
      <w:r w:rsidR="00DF6751" w:rsidRPr="000D1695">
        <w:t>.</w:t>
      </w:r>
      <w:r w:rsidR="00C239EE">
        <w:t> </w:t>
      </w:r>
      <w:r w:rsidR="00DF6751" w:rsidRPr="000D1695">
        <w:t>. that do not contain active ingredients</w:t>
      </w:r>
      <w:r w:rsidR="00B16EF3" w:rsidRPr="000D1695">
        <w:t>,</w:t>
      </w:r>
      <w:r w:rsidR="007632C0" w:rsidRPr="000D1695">
        <w:t>”</w:t>
      </w:r>
      <w:r w:rsidR="00EB660A" w:rsidRPr="000D1695">
        <w:t xml:space="preserve"> </w:t>
      </w:r>
      <w:r w:rsidR="00B16EF3" w:rsidRPr="000D1695">
        <w:t xml:space="preserve">we reject defendant’s </w:t>
      </w:r>
      <w:r w:rsidR="00B43210" w:rsidRPr="000D1695">
        <w:t xml:space="preserve">attempt to draw </w:t>
      </w:r>
      <w:r w:rsidR="00694334" w:rsidRPr="000D1695">
        <w:t xml:space="preserve">a </w:t>
      </w:r>
      <w:r w:rsidR="001B1561" w:rsidRPr="000D1695">
        <w:t xml:space="preserve">rigid </w:t>
      </w:r>
      <w:r w:rsidR="00C541BB" w:rsidRPr="000D1695">
        <w:t>distinction between</w:t>
      </w:r>
      <w:r w:rsidR="00B43210" w:rsidRPr="000D1695">
        <w:t xml:space="preserve"> the two</w:t>
      </w:r>
      <w:r w:rsidR="00B16EF3" w:rsidRPr="000D1695">
        <w:t>.</w:t>
      </w:r>
    </w:p>
    <w:p w14:paraId="3386A426" w14:textId="247D71C1" w:rsidR="00323D01" w:rsidRDefault="004C57F8" w:rsidP="001B318E">
      <w:r w:rsidRPr="000D1695">
        <w:tab/>
      </w:r>
      <w:r w:rsidR="009757DA" w:rsidRPr="000D1695">
        <w:t>Finally, d</w:t>
      </w:r>
      <w:r w:rsidR="00447A15" w:rsidRPr="000D1695">
        <w:t>efendant faults</w:t>
      </w:r>
      <w:r w:rsidRPr="000D1695">
        <w:t xml:space="preserve"> </w:t>
      </w:r>
      <w:r w:rsidR="00A62F36" w:rsidRPr="000D1695">
        <w:t>R</w:t>
      </w:r>
      <w:r w:rsidR="000276B5" w:rsidRPr="000D1695">
        <w:t xml:space="preserve">ienhardt </w:t>
      </w:r>
      <w:r w:rsidR="00A62F36" w:rsidRPr="000D1695">
        <w:t>for not</w:t>
      </w:r>
      <w:r w:rsidR="00066632" w:rsidRPr="000D1695">
        <w:t xml:space="preserve"> </w:t>
      </w:r>
      <w:r w:rsidR="00B10070" w:rsidRPr="000D1695">
        <w:t xml:space="preserve">ruling out the </w:t>
      </w:r>
      <w:r w:rsidR="00066632" w:rsidRPr="000D1695">
        <w:t>possibility of counterfeits by</w:t>
      </w:r>
      <w:r w:rsidR="00A62F36" w:rsidRPr="000D1695">
        <w:t xml:space="preserve"> testifying</w:t>
      </w:r>
      <w:r w:rsidR="007F56BC" w:rsidRPr="000D1695">
        <w:t>, for example,</w:t>
      </w:r>
      <w:r w:rsidR="00A62F36" w:rsidRPr="000D1695">
        <w:t xml:space="preserve"> “that the pills had distinguishing characteristics that differentiated them from counterfeit pills.”  </w:t>
      </w:r>
      <w:r w:rsidR="00011CCF" w:rsidRPr="000D1695">
        <w:t xml:space="preserve">On direct examination, </w:t>
      </w:r>
      <w:r w:rsidR="00710478" w:rsidRPr="000D1695">
        <w:t xml:space="preserve">Rienhardt </w:t>
      </w:r>
      <w:r w:rsidR="004F210F" w:rsidRPr="000D1695">
        <w:t xml:space="preserve">stated his opinion </w:t>
      </w:r>
      <w:r w:rsidR="00011CCF" w:rsidRPr="000D1695">
        <w:t>that the pills contained alprazolam and the basis for his opinion</w:t>
      </w:r>
      <w:r w:rsidR="002E32EC" w:rsidRPr="000D1695">
        <w:t xml:space="preserve">. </w:t>
      </w:r>
      <w:r w:rsidR="009F35E9" w:rsidRPr="000D1695">
        <w:t xml:space="preserve"> </w:t>
      </w:r>
      <w:r w:rsidR="00E421E9" w:rsidRPr="000D1695">
        <w:t xml:space="preserve">He </w:t>
      </w:r>
      <w:r w:rsidR="008C68D7" w:rsidRPr="000D1695">
        <w:t xml:space="preserve">was </w:t>
      </w:r>
      <w:r w:rsidR="005420A0" w:rsidRPr="000D1695">
        <w:t xml:space="preserve">not </w:t>
      </w:r>
      <w:r w:rsidR="009F35E9" w:rsidRPr="000D1695">
        <w:t xml:space="preserve">required </w:t>
      </w:r>
      <w:r w:rsidR="00E421E9" w:rsidRPr="000D1695">
        <w:t xml:space="preserve">at that point </w:t>
      </w:r>
      <w:r w:rsidR="009F35E9" w:rsidRPr="000D1695">
        <w:t>to anticipate</w:t>
      </w:r>
      <w:r w:rsidR="00444446" w:rsidRPr="000D1695">
        <w:t xml:space="preserve"> and address possible </w:t>
      </w:r>
      <w:r w:rsidR="00FA2319" w:rsidRPr="000D1695">
        <w:t>challenges</w:t>
      </w:r>
      <w:r w:rsidR="00C05C92" w:rsidRPr="000D1695">
        <w:t xml:space="preserve"> to </w:t>
      </w:r>
      <w:r w:rsidR="00441D20" w:rsidRPr="000D1695">
        <w:t xml:space="preserve">the basis of </w:t>
      </w:r>
      <w:r w:rsidR="00C05C92" w:rsidRPr="000D1695">
        <w:t>his opinion.</w:t>
      </w:r>
      <w:r w:rsidR="00600170" w:rsidRPr="000D1695">
        <w:t xml:space="preserve">  In other words, </w:t>
      </w:r>
      <w:r w:rsidR="00136E27" w:rsidRPr="000D1695">
        <w:t>it was incumbent on defendant to elicit from Ri</w:t>
      </w:r>
      <w:r w:rsidR="00751565" w:rsidRPr="000D1695">
        <w:t>e</w:t>
      </w:r>
      <w:r w:rsidR="00136E27" w:rsidRPr="000D1695">
        <w:t>nhardt whether “the pills had distinguishing characteristics that differentiated them from counterfeit pills”</w:t>
      </w:r>
      <w:r w:rsidR="009608CD" w:rsidRPr="000D1695">
        <w:t xml:space="preserve"> if he wished the jury to draw the conclusion that the drugs were counterfeits.</w:t>
      </w:r>
      <w:r w:rsidR="00136E27" w:rsidRPr="000D1695">
        <w:t xml:space="preserve">  This defendant did not do.</w:t>
      </w:r>
    </w:p>
    <w:p w14:paraId="304D2C8C" w14:textId="4F542470" w:rsidR="001F7A4B" w:rsidRPr="000D1695" w:rsidRDefault="00323D01" w:rsidP="001B318E">
      <w:r>
        <w:tab/>
      </w:r>
      <w:r w:rsidR="005851A5" w:rsidRPr="000D1695">
        <w:t xml:space="preserve">Indeed, defendant did not argue a </w:t>
      </w:r>
      <w:r w:rsidR="007774BE" w:rsidRPr="000D1695">
        <w:t>counterfeit</w:t>
      </w:r>
      <w:r w:rsidR="005851A5" w:rsidRPr="000D1695">
        <w:t xml:space="preserve"> theory at trial.  </w:t>
      </w:r>
      <w:r w:rsidR="004B0FFE" w:rsidRPr="000D1695">
        <w:t xml:space="preserve">He did not question either Sergeant Simmont’s </w:t>
      </w:r>
      <w:r w:rsidR="00BE7B2F" w:rsidRPr="000D1695">
        <w:t>testimony</w:t>
      </w:r>
      <w:r w:rsidR="004B0FFE" w:rsidRPr="000D1695">
        <w:t xml:space="preserve"> or cast doubt on his own admission that he took “the </w:t>
      </w:r>
      <w:proofErr w:type="gramStart"/>
      <w:r w:rsidR="004B0FFE" w:rsidRPr="000D1695">
        <w:t>pills</w:t>
      </w:r>
      <w:r w:rsidR="0081111A" w:rsidRPr="000D1695">
        <w:t xml:space="preserve"> .</w:t>
      </w:r>
      <w:proofErr w:type="gramEnd"/>
      <w:r w:rsidR="00436417" w:rsidRPr="000D1695">
        <w:t> </w:t>
      </w:r>
      <w:r w:rsidR="0081111A" w:rsidRPr="000D1695">
        <w:t>.</w:t>
      </w:r>
      <w:r w:rsidR="0037623E" w:rsidRPr="000D1695">
        <w:t> </w:t>
      </w:r>
      <w:r w:rsidR="0081111A" w:rsidRPr="000D1695">
        <w:t>.</w:t>
      </w:r>
      <w:r w:rsidR="00774549" w:rsidRPr="000D1695">
        <w:t xml:space="preserve"> </w:t>
      </w:r>
      <w:r w:rsidR="004B0FFE" w:rsidRPr="000D1695">
        <w:t xml:space="preserve">, </w:t>
      </w:r>
      <w:r w:rsidR="00A055F8" w:rsidRPr="000D1695">
        <w:t xml:space="preserve">the bars[,] the Xanibars.”  </w:t>
      </w:r>
      <w:r w:rsidR="00AA75F2" w:rsidRPr="000D1695">
        <w:t>At most, he suggested to Ri</w:t>
      </w:r>
      <w:r w:rsidR="00751565" w:rsidRPr="000D1695">
        <w:t>e</w:t>
      </w:r>
      <w:r w:rsidR="00AA75F2" w:rsidRPr="000D1695">
        <w:t>nhardt that the pills “could be something else</w:t>
      </w:r>
      <w:r w:rsidR="004B1448" w:rsidRPr="000D1695">
        <w:t>,”</w:t>
      </w:r>
      <w:r w:rsidR="00AA75F2" w:rsidRPr="000D1695">
        <w:t xml:space="preserve"> and Ri</w:t>
      </w:r>
      <w:r w:rsidR="00751565" w:rsidRPr="000D1695">
        <w:t>e</w:t>
      </w:r>
      <w:r w:rsidR="00AA75F2" w:rsidRPr="000D1695">
        <w:t xml:space="preserve">nhardt </w:t>
      </w:r>
      <w:r w:rsidR="004B0FFE" w:rsidRPr="000D1695">
        <w:t xml:space="preserve">responded with a reason why he did not think the pills were other than what they appeared to be.  </w:t>
      </w:r>
      <w:r w:rsidR="0046080E" w:rsidRPr="000D1695">
        <w:t>Despite Ri</w:t>
      </w:r>
      <w:r w:rsidR="00E63A6C" w:rsidRPr="000D1695">
        <w:t>e</w:t>
      </w:r>
      <w:r w:rsidR="0046080E" w:rsidRPr="000D1695">
        <w:t xml:space="preserve">nhardt’s response, defendant never </w:t>
      </w:r>
      <w:r w:rsidR="00E2590A" w:rsidRPr="000D1695">
        <w:t>followed up by mentioning counterfeits, “the prevalence of counterfeit drugs on the street,” or even</w:t>
      </w:r>
      <w:r w:rsidR="000257D2" w:rsidRPr="000D1695">
        <w:t xml:space="preserve"> that</w:t>
      </w:r>
      <w:r w:rsidR="00E2590A" w:rsidRPr="000D1695">
        <w:t xml:space="preserve"> the </w:t>
      </w:r>
      <w:r w:rsidR="00366E8C" w:rsidRPr="000D1695">
        <w:t xml:space="preserve">pills </w:t>
      </w:r>
      <w:r w:rsidR="00D611BD" w:rsidRPr="000D1695">
        <w:t>may have been</w:t>
      </w:r>
      <w:r w:rsidR="00366E8C" w:rsidRPr="000D1695">
        <w:t xml:space="preserve"> purchased on the street</w:t>
      </w:r>
      <w:r w:rsidR="0046080E" w:rsidRPr="000D1695">
        <w:t xml:space="preserve">.  </w:t>
      </w:r>
      <w:r w:rsidR="008E1115" w:rsidRPr="000D1695">
        <w:t xml:space="preserve">On this record, </w:t>
      </w:r>
      <w:r w:rsidR="005A19DC" w:rsidRPr="000D1695">
        <w:t xml:space="preserve">the jury </w:t>
      </w:r>
      <w:r w:rsidR="009666F1" w:rsidRPr="000D1695">
        <w:t xml:space="preserve">evidently </w:t>
      </w:r>
      <w:r w:rsidR="005A19DC" w:rsidRPr="000D1695">
        <w:t xml:space="preserve">rejected the </w:t>
      </w:r>
      <w:r w:rsidR="00472E8D" w:rsidRPr="000D1695">
        <w:t xml:space="preserve">inference that the pills </w:t>
      </w:r>
      <w:r w:rsidR="00C474D6" w:rsidRPr="000D1695">
        <w:t xml:space="preserve">were something other than what </w:t>
      </w:r>
      <w:r w:rsidR="006052E2" w:rsidRPr="000D1695">
        <w:t>they appeared to be</w:t>
      </w:r>
      <w:r w:rsidR="00605239" w:rsidRPr="000D1695">
        <w:t>, and we</w:t>
      </w:r>
      <w:r w:rsidR="005A19DC" w:rsidRPr="000D1695">
        <w:t xml:space="preserve"> cannot say </w:t>
      </w:r>
      <w:r w:rsidR="00852F89" w:rsidRPr="000D1695">
        <w:t xml:space="preserve">as a matter of law </w:t>
      </w:r>
      <w:r w:rsidR="00213EEC" w:rsidRPr="000D1695">
        <w:t>th</w:t>
      </w:r>
      <w:r w:rsidR="007B47CE" w:rsidRPr="000D1695">
        <w:t>is</w:t>
      </w:r>
      <w:r w:rsidR="00213EEC" w:rsidRPr="000D1695">
        <w:t xml:space="preserve"> </w:t>
      </w:r>
      <w:r w:rsidR="00852F89" w:rsidRPr="000D1695">
        <w:t xml:space="preserve">was </w:t>
      </w:r>
      <w:r w:rsidR="00C474D6" w:rsidRPr="000D1695">
        <w:t>unreasonable</w:t>
      </w:r>
      <w:r w:rsidR="005A19DC" w:rsidRPr="000D1695">
        <w:t xml:space="preserve">.  </w:t>
      </w:r>
      <w:r w:rsidR="002D4FF1" w:rsidRPr="000D1695">
        <w:t xml:space="preserve">(Accord </w:t>
      </w:r>
      <w:r w:rsidR="002D4FF1" w:rsidRPr="000D1695">
        <w:rPr>
          <w:i/>
        </w:rPr>
        <w:lastRenderedPageBreak/>
        <w:t>Vest v. United States</w:t>
      </w:r>
      <w:r w:rsidR="002D4FF1" w:rsidRPr="000D1695">
        <w:t xml:space="preserve"> (D.C. 2006) 905 A.2d 263, 267-268 [“Appellant’s argument might be more persuasive if there had been some evidence that the substance </w:t>
      </w:r>
      <w:proofErr w:type="gramStart"/>
      <w:r w:rsidR="002D4FF1" w:rsidRPr="000D1695">
        <w:t>sold .</w:t>
      </w:r>
      <w:proofErr w:type="gramEnd"/>
      <w:r w:rsidR="00027261" w:rsidRPr="000D1695">
        <w:t> </w:t>
      </w:r>
      <w:r w:rsidR="002D4FF1" w:rsidRPr="000D1695">
        <w:t>.</w:t>
      </w:r>
      <w:r w:rsidR="00A1090F">
        <w:t> </w:t>
      </w:r>
      <w:r w:rsidR="002D4FF1" w:rsidRPr="000D1695">
        <w:t xml:space="preserve">. was not, in fact, what it was purported to be.  Here, there is not even a hint [of] that”]; </w:t>
      </w:r>
      <w:r w:rsidR="008E51F0" w:rsidRPr="000D1695">
        <w:rPr>
          <w:i/>
        </w:rPr>
        <w:t>Espinoza</w:t>
      </w:r>
      <w:r w:rsidR="008E51F0" w:rsidRPr="000D1695">
        <w:t xml:space="preserve">, </w:t>
      </w:r>
      <w:r w:rsidR="008E51F0" w:rsidRPr="000D1695">
        <w:rPr>
          <w:i/>
        </w:rPr>
        <w:t>supra</w:t>
      </w:r>
      <w:r w:rsidR="008E51F0" w:rsidRPr="000D1695">
        <w:t xml:space="preserve">, 23 Cal.App.5th at p. 323; </w:t>
      </w:r>
      <w:r w:rsidR="002D4FF1" w:rsidRPr="000D1695">
        <w:rPr>
          <w:i/>
        </w:rPr>
        <w:t>Bailey</w:t>
      </w:r>
      <w:r w:rsidR="002D4FF1" w:rsidRPr="000D1695">
        <w:t xml:space="preserve">, </w:t>
      </w:r>
      <w:r w:rsidR="002D4FF1" w:rsidRPr="000D1695">
        <w:rPr>
          <w:i/>
        </w:rPr>
        <w:t>supra</w:t>
      </w:r>
      <w:r w:rsidR="002D4FF1" w:rsidRPr="000D1695">
        <w:t>, Cal.App.4th at pp. 464-465 [“The reality of this case is the issue raised on appeal concerning whether this was base cocaine was not even the focus of dispute in the trial court”]</w:t>
      </w:r>
      <w:r w:rsidR="00980388" w:rsidRPr="000D1695">
        <w:t xml:space="preserve">; contra </w:t>
      </w:r>
      <w:r w:rsidR="00E76EF0" w:rsidRPr="000D1695">
        <w:rPr>
          <w:i/>
        </w:rPr>
        <w:t>People v. Wright</w:t>
      </w:r>
      <w:r w:rsidR="00E76EF0" w:rsidRPr="000D1695">
        <w:t xml:space="preserve"> (2016) 4 Cal.App.5th 537, 541-544</w:t>
      </w:r>
      <w:r w:rsidR="004D6E10" w:rsidRPr="000D1695">
        <w:t>, 5</w:t>
      </w:r>
      <w:r w:rsidR="00C263AF" w:rsidRPr="000D1695">
        <w:t>47</w:t>
      </w:r>
      <w:r w:rsidR="00E76EF0" w:rsidRPr="000D1695">
        <w:t xml:space="preserve"> [</w:t>
      </w:r>
      <w:r w:rsidR="00DD768C" w:rsidRPr="000D1695">
        <w:t>reversing a judgment for lack of substantial evidence whe</w:t>
      </w:r>
      <w:r w:rsidR="00AD7C46" w:rsidRPr="000D1695">
        <w:t>n</w:t>
      </w:r>
      <w:r w:rsidR="00DD768C" w:rsidRPr="000D1695">
        <w:t xml:space="preserve"> an expert’s testimony was the only evidence </w:t>
      </w:r>
      <w:r w:rsidR="00BE0EE8" w:rsidRPr="000D1695">
        <w:t>supporting the judgment</w:t>
      </w:r>
      <w:r w:rsidR="00DD768C" w:rsidRPr="000D1695">
        <w:t xml:space="preserve"> and the </w:t>
      </w:r>
      <w:r w:rsidR="003D73AA" w:rsidRPr="000D1695">
        <w:t xml:space="preserve">analytical gap between the </w:t>
      </w:r>
      <w:r w:rsidR="00FF7721" w:rsidRPr="000D1695">
        <w:t>material</w:t>
      </w:r>
      <w:r w:rsidR="003D73AA" w:rsidRPr="000D1695">
        <w:t xml:space="preserve"> </w:t>
      </w:r>
      <w:r w:rsidR="00FF7721" w:rsidRPr="000D1695">
        <w:t xml:space="preserve">the expert relied </w:t>
      </w:r>
      <w:r w:rsidR="0023128E" w:rsidRPr="000D1695">
        <w:t>upon</w:t>
      </w:r>
      <w:r w:rsidR="00FF7721" w:rsidRPr="000D1695">
        <w:t xml:space="preserve"> </w:t>
      </w:r>
      <w:r w:rsidR="003D73AA" w:rsidRPr="000D1695">
        <w:t xml:space="preserve">and </w:t>
      </w:r>
      <w:r w:rsidR="00046763" w:rsidRPr="000D1695">
        <w:t xml:space="preserve">the conclusion he drew </w:t>
      </w:r>
      <w:r w:rsidR="003D73AA" w:rsidRPr="000D1695">
        <w:t>was</w:t>
      </w:r>
      <w:r w:rsidR="00E60696" w:rsidRPr="000D1695">
        <w:t xml:space="preserve"> an issue</w:t>
      </w:r>
      <w:r w:rsidR="003D73AA" w:rsidRPr="000D1695">
        <w:t xml:space="preserve"> heavily litigated at trial</w:t>
      </w:r>
      <w:r w:rsidR="00E76EF0" w:rsidRPr="000D1695">
        <w:t>]</w:t>
      </w:r>
      <w:r w:rsidR="002D4FF1" w:rsidRPr="000D1695">
        <w:t>.)</w:t>
      </w:r>
    </w:p>
    <w:p w14:paraId="3A4DB84D" w14:textId="019082F3" w:rsidR="00275125" w:rsidRDefault="00C474D6" w:rsidP="002D5DB9">
      <w:r w:rsidRPr="000D1695">
        <w:tab/>
        <w:t xml:space="preserve">In sum, </w:t>
      </w:r>
      <w:r w:rsidR="009232B0" w:rsidRPr="000D1695">
        <w:t xml:space="preserve">having </w:t>
      </w:r>
      <w:r w:rsidRPr="000D1695">
        <w:t xml:space="preserve">found that </w:t>
      </w:r>
      <w:r w:rsidR="009232B0" w:rsidRPr="000D1695">
        <w:t>the trial court did not err in admitting the criminalist’s testimony, we further find that his testimony</w:t>
      </w:r>
      <w:r w:rsidR="000D32D3" w:rsidRPr="000D1695">
        <w:t xml:space="preserve"> and</w:t>
      </w:r>
      <w:r w:rsidR="009232B0" w:rsidRPr="000D1695">
        <w:t xml:space="preserve"> other circumstantial evidence </w:t>
      </w:r>
      <w:r w:rsidR="003E386D" w:rsidRPr="000D1695">
        <w:t xml:space="preserve">support defendant’s </w:t>
      </w:r>
      <w:r w:rsidR="0009175C" w:rsidRPr="000D1695">
        <w:t>conviction</w:t>
      </w:r>
      <w:r w:rsidR="009232B0" w:rsidRPr="000D1695">
        <w:t>.</w:t>
      </w:r>
    </w:p>
    <w:p w14:paraId="1FFC653E" w14:textId="30C4C182" w:rsidR="00C95910" w:rsidRDefault="00C95910">
      <w:pPr>
        <w:spacing w:after="0" w:line="240" w:lineRule="auto"/>
        <w:jc w:val="left"/>
      </w:pPr>
      <w:r>
        <w:br w:type="page"/>
      </w:r>
    </w:p>
    <w:p w14:paraId="0740703C" w14:textId="77777777" w:rsidR="00C95910" w:rsidRDefault="00C95910" w:rsidP="002D5DB9"/>
    <w:p w14:paraId="6643D534" w14:textId="77777777" w:rsidR="00773182" w:rsidRPr="000D1695" w:rsidRDefault="00773182" w:rsidP="001B318E">
      <w:pPr>
        <w:pStyle w:val="Heading1"/>
        <w:spacing w:line="400" w:lineRule="exact"/>
      </w:pPr>
      <w:r w:rsidRPr="000D1695">
        <w:t>III.  Disposition</w:t>
      </w:r>
    </w:p>
    <w:p w14:paraId="53570D39" w14:textId="7D5DCB08" w:rsidR="009E5BC1" w:rsidRDefault="00194C4E" w:rsidP="001B318E">
      <w:pPr>
        <w:ind w:firstLine="720"/>
      </w:pPr>
      <w:r w:rsidRPr="000D1695">
        <w:t xml:space="preserve">For </w:t>
      </w:r>
      <w:r w:rsidR="00D43222" w:rsidRPr="000D1695">
        <w:t>the</w:t>
      </w:r>
      <w:r w:rsidRPr="000D1695">
        <w:t xml:space="preserve"> reasons</w:t>
      </w:r>
      <w:r w:rsidR="00D43222" w:rsidRPr="000D1695">
        <w:t xml:space="preserve"> discussed herein</w:t>
      </w:r>
      <w:r w:rsidRPr="000D1695">
        <w:t xml:space="preserve">, </w:t>
      </w:r>
      <w:r w:rsidR="009E5BC1" w:rsidRPr="000D1695">
        <w:t xml:space="preserve">we affirm the </w:t>
      </w:r>
      <w:r w:rsidR="005D6A43" w:rsidRPr="000D1695">
        <w:t xml:space="preserve">judgment of </w:t>
      </w:r>
      <w:r w:rsidR="006B00B1" w:rsidRPr="000D1695">
        <w:t xml:space="preserve">the </w:t>
      </w:r>
      <w:r w:rsidR="009E5BC1" w:rsidRPr="000D1695">
        <w:t>Court of Appeal.</w:t>
      </w:r>
    </w:p>
    <w:p w14:paraId="418BB34D" w14:textId="77777777" w:rsidR="001E73CA" w:rsidRPr="0093774B" w:rsidRDefault="001E73CA" w:rsidP="00A857CF">
      <w:pPr>
        <w:tabs>
          <w:tab w:val="right" w:pos="7920"/>
        </w:tabs>
        <w:rPr>
          <w:b/>
        </w:rPr>
      </w:pPr>
      <w:r>
        <w:rPr>
          <w:b/>
        </w:rPr>
        <w:tab/>
      </w:r>
      <w:r w:rsidRPr="0093774B">
        <w:rPr>
          <w:b/>
        </w:rPr>
        <w:t>CANTIL-SAKAUYE, C. J.</w:t>
      </w:r>
    </w:p>
    <w:p w14:paraId="0D679455" w14:textId="77777777" w:rsidR="00275125" w:rsidRDefault="00275125" w:rsidP="001E73CA">
      <w:pPr>
        <w:tabs>
          <w:tab w:val="left" w:pos="1440"/>
        </w:tabs>
        <w:rPr>
          <w:b/>
        </w:rPr>
      </w:pPr>
    </w:p>
    <w:p w14:paraId="05320D22" w14:textId="028041C3" w:rsidR="00F1061A" w:rsidRDefault="001E73CA" w:rsidP="001E73CA">
      <w:pPr>
        <w:tabs>
          <w:tab w:val="left" w:pos="1440"/>
        </w:tabs>
        <w:rPr>
          <w:b/>
        </w:rPr>
      </w:pPr>
      <w:r w:rsidRPr="0093774B">
        <w:rPr>
          <w:b/>
        </w:rPr>
        <w:t>We Concur:</w:t>
      </w:r>
    </w:p>
    <w:p w14:paraId="047C2C52" w14:textId="1DC3B17E" w:rsidR="008026DA" w:rsidRDefault="008026DA" w:rsidP="00992CB8">
      <w:pPr>
        <w:tabs>
          <w:tab w:val="left" w:pos="1440"/>
        </w:tabs>
        <w:spacing w:after="0" w:line="240" w:lineRule="auto"/>
        <w:rPr>
          <w:b/>
        </w:rPr>
      </w:pPr>
      <w:r>
        <w:rPr>
          <w:b/>
        </w:rPr>
        <w:t>CHIN, J.</w:t>
      </w:r>
    </w:p>
    <w:p w14:paraId="777CF354" w14:textId="1006812A" w:rsidR="008026DA" w:rsidRDefault="008026DA" w:rsidP="00992CB8">
      <w:pPr>
        <w:tabs>
          <w:tab w:val="left" w:pos="1440"/>
        </w:tabs>
        <w:spacing w:after="0" w:line="240" w:lineRule="auto"/>
        <w:rPr>
          <w:b/>
        </w:rPr>
      </w:pPr>
      <w:r>
        <w:rPr>
          <w:b/>
        </w:rPr>
        <w:t>CORRIGAN, J.</w:t>
      </w:r>
    </w:p>
    <w:p w14:paraId="6495DF8E" w14:textId="0DA66E83" w:rsidR="008026DA" w:rsidRDefault="008026DA" w:rsidP="00992CB8">
      <w:pPr>
        <w:tabs>
          <w:tab w:val="left" w:pos="1440"/>
        </w:tabs>
        <w:spacing w:after="0" w:line="240" w:lineRule="auto"/>
        <w:rPr>
          <w:b/>
        </w:rPr>
      </w:pPr>
      <w:r>
        <w:rPr>
          <w:b/>
        </w:rPr>
        <w:t>LIU, J.</w:t>
      </w:r>
    </w:p>
    <w:p w14:paraId="44EA54CE" w14:textId="5A33522C" w:rsidR="008026DA" w:rsidRDefault="008026DA" w:rsidP="00992CB8">
      <w:pPr>
        <w:tabs>
          <w:tab w:val="left" w:pos="1440"/>
        </w:tabs>
        <w:spacing w:after="0" w:line="240" w:lineRule="auto"/>
        <w:rPr>
          <w:b/>
        </w:rPr>
      </w:pPr>
      <w:r>
        <w:rPr>
          <w:b/>
        </w:rPr>
        <w:t>CUÉLLAR, J.</w:t>
      </w:r>
    </w:p>
    <w:p w14:paraId="7DE4412D" w14:textId="3F3EFAD1" w:rsidR="008026DA" w:rsidRDefault="008026DA" w:rsidP="00992CB8">
      <w:pPr>
        <w:tabs>
          <w:tab w:val="left" w:pos="1440"/>
        </w:tabs>
        <w:spacing w:after="0" w:line="240" w:lineRule="auto"/>
        <w:rPr>
          <w:b/>
        </w:rPr>
      </w:pPr>
      <w:r>
        <w:rPr>
          <w:b/>
        </w:rPr>
        <w:t>KRUGER, J.</w:t>
      </w:r>
    </w:p>
    <w:p w14:paraId="6E28FBBD" w14:textId="7A59DA82" w:rsidR="008026DA" w:rsidRDefault="00992CB8" w:rsidP="00992CB8">
      <w:pPr>
        <w:tabs>
          <w:tab w:val="left" w:pos="1440"/>
        </w:tabs>
        <w:spacing w:after="0" w:line="240" w:lineRule="auto"/>
        <w:rPr>
          <w:b/>
        </w:rPr>
      </w:pPr>
      <w:r>
        <w:rPr>
          <w:b/>
        </w:rPr>
        <w:t>GROBAN, J.</w:t>
      </w:r>
    </w:p>
    <w:p w14:paraId="67703973" w14:textId="77777777" w:rsidR="006D122B" w:rsidRDefault="006D122B" w:rsidP="00992CB8">
      <w:pPr>
        <w:tabs>
          <w:tab w:val="left" w:pos="1440"/>
        </w:tabs>
        <w:spacing w:after="0" w:line="240" w:lineRule="auto"/>
        <w:sectPr w:rsidR="006D122B" w:rsidSect="0093664B">
          <w:footerReference w:type="first" r:id="rId9"/>
          <w:pgSz w:w="12240" w:h="15840"/>
          <w:pgMar w:top="1800" w:right="2160" w:bottom="1440" w:left="2160" w:header="720" w:footer="720" w:gutter="0"/>
          <w:pgNumType w:start="1"/>
          <w:cols w:space="720"/>
          <w:titlePg/>
          <w:docGrid w:linePitch="367"/>
        </w:sectPr>
      </w:pPr>
    </w:p>
    <w:p w14:paraId="2B86EA7D" w14:textId="77777777" w:rsidR="006D122B" w:rsidRPr="006D122B" w:rsidRDefault="006D122B" w:rsidP="006D122B">
      <w:pPr>
        <w:spacing w:after="0" w:line="240" w:lineRule="auto"/>
        <w:jc w:val="left"/>
        <w:rPr>
          <w:rFonts w:ascii="Times New Roman" w:hAnsi="Times New Roman"/>
          <w:i/>
          <w:sz w:val="20"/>
        </w:rPr>
      </w:pPr>
      <w:r w:rsidRPr="006D122B">
        <w:rPr>
          <w:rFonts w:ascii="Times New Roman" w:hAnsi="Times New Roman"/>
          <w:i/>
          <w:sz w:val="20"/>
        </w:rPr>
        <w:lastRenderedPageBreak/>
        <w:t>See next page for addresses and telephone numbers for counsel who argued in Supreme Court.</w:t>
      </w:r>
    </w:p>
    <w:p w14:paraId="71DE754E" w14:textId="77777777" w:rsidR="006D122B" w:rsidRPr="006D122B" w:rsidRDefault="006D122B" w:rsidP="006D122B">
      <w:pPr>
        <w:spacing w:after="0" w:line="240" w:lineRule="auto"/>
        <w:jc w:val="left"/>
        <w:rPr>
          <w:rFonts w:ascii="Times New Roman" w:hAnsi="Times New Roman"/>
          <w:i/>
          <w:sz w:val="20"/>
        </w:rPr>
      </w:pPr>
    </w:p>
    <w:p w14:paraId="7E471E81" w14:textId="77777777" w:rsidR="006D122B" w:rsidRPr="006D122B" w:rsidRDefault="006D122B" w:rsidP="006D122B">
      <w:pPr>
        <w:spacing w:after="0" w:line="240" w:lineRule="auto"/>
        <w:jc w:val="left"/>
        <w:rPr>
          <w:rFonts w:ascii="Times New Roman" w:hAnsi="Times New Roman"/>
          <w:b/>
          <w:sz w:val="20"/>
        </w:rPr>
      </w:pPr>
      <w:r w:rsidRPr="006D122B">
        <w:rPr>
          <w:rFonts w:ascii="Times New Roman" w:hAnsi="Times New Roman"/>
          <w:b/>
          <w:sz w:val="20"/>
        </w:rPr>
        <w:t xml:space="preserve">Name of Opinion </w:t>
      </w:r>
      <w:r w:rsidRPr="006D122B">
        <w:rPr>
          <w:rFonts w:ascii="Times New Roman" w:hAnsi="Times New Roman"/>
          <w:sz w:val="20"/>
        </w:rPr>
        <w:t xml:space="preserve">People v. </w:t>
      </w:r>
      <w:proofErr w:type="spellStart"/>
      <w:r w:rsidRPr="006D122B">
        <w:rPr>
          <w:rFonts w:ascii="Times New Roman" w:hAnsi="Times New Roman"/>
          <w:sz w:val="20"/>
        </w:rPr>
        <w:t>Veamatahau</w:t>
      </w:r>
      <w:proofErr w:type="spellEnd"/>
      <w:r w:rsidRPr="006D122B">
        <w:rPr>
          <w:rFonts w:ascii="Times New Roman" w:hAnsi="Times New Roman"/>
          <w:sz w:val="20"/>
        </w:rPr>
        <w:t xml:space="preserve"> </w:t>
      </w:r>
      <w:r w:rsidRPr="006D122B">
        <w:rPr>
          <w:rFonts w:ascii="Times New Roman" w:hAnsi="Times New Roman"/>
          <w:b/>
          <w:sz w:val="20"/>
        </w:rPr>
        <w:t>__________________________________________________________________________________</w:t>
      </w:r>
    </w:p>
    <w:p w14:paraId="096A2DBB" w14:textId="77777777" w:rsidR="006D122B" w:rsidRPr="006D122B" w:rsidRDefault="006D122B" w:rsidP="006D122B">
      <w:pPr>
        <w:spacing w:after="0" w:line="240" w:lineRule="auto"/>
        <w:jc w:val="left"/>
        <w:rPr>
          <w:rFonts w:ascii="Times New Roman" w:hAnsi="Times New Roman"/>
          <w:b/>
          <w:sz w:val="20"/>
        </w:rPr>
      </w:pPr>
    </w:p>
    <w:p w14:paraId="496923F1" w14:textId="77777777" w:rsidR="006D122B" w:rsidRPr="006D122B" w:rsidRDefault="006D122B" w:rsidP="006D122B">
      <w:pPr>
        <w:spacing w:after="0" w:line="240" w:lineRule="auto"/>
        <w:jc w:val="left"/>
        <w:rPr>
          <w:rFonts w:ascii="Times New Roman" w:hAnsi="Times New Roman"/>
          <w:bCs/>
          <w:sz w:val="20"/>
        </w:rPr>
      </w:pPr>
      <w:r w:rsidRPr="006D122B">
        <w:rPr>
          <w:rFonts w:ascii="Times New Roman" w:hAnsi="Times New Roman"/>
          <w:b/>
          <w:sz w:val="20"/>
        </w:rPr>
        <w:t>Unpublished Opinion</w:t>
      </w:r>
    </w:p>
    <w:p w14:paraId="6194B98D"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b/>
          <w:sz w:val="20"/>
        </w:rPr>
        <w:t>Original Appeal</w:t>
      </w:r>
    </w:p>
    <w:p w14:paraId="219F50BC"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b/>
          <w:sz w:val="20"/>
        </w:rPr>
        <w:t>Original Proceeding</w:t>
      </w:r>
    </w:p>
    <w:p w14:paraId="77E8EF18"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b/>
          <w:sz w:val="20"/>
        </w:rPr>
        <w:t xml:space="preserve">Review Granted </w:t>
      </w:r>
      <w:r w:rsidRPr="006D122B">
        <w:rPr>
          <w:rFonts w:ascii="Times New Roman" w:hAnsi="Times New Roman"/>
          <w:sz w:val="20"/>
        </w:rPr>
        <w:t>XXX 24 Cal.App.5th 68</w:t>
      </w:r>
    </w:p>
    <w:p w14:paraId="3E2971C4" w14:textId="77777777" w:rsidR="006D122B" w:rsidRPr="006D122B" w:rsidRDefault="006D122B" w:rsidP="006D122B">
      <w:pPr>
        <w:spacing w:after="0" w:line="240" w:lineRule="auto"/>
        <w:jc w:val="left"/>
        <w:rPr>
          <w:rFonts w:ascii="Times New Roman" w:hAnsi="Times New Roman"/>
          <w:b/>
          <w:sz w:val="20"/>
        </w:rPr>
      </w:pPr>
      <w:r w:rsidRPr="006D122B">
        <w:rPr>
          <w:rFonts w:ascii="Times New Roman" w:hAnsi="Times New Roman"/>
          <w:b/>
          <w:sz w:val="20"/>
        </w:rPr>
        <w:t>Rehearing Granted</w:t>
      </w:r>
    </w:p>
    <w:p w14:paraId="56FE4465" w14:textId="77777777" w:rsidR="006D122B" w:rsidRPr="006D122B" w:rsidRDefault="006D122B" w:rsidP="006D122B">
      <w:pPr>
        <w:spacing w:after="0" w:line="240" w:lineRule="auto"/>
        <w:jc w:val="left"/>
        <w:rPr>
          <w:rFonts w:ascii="Times New Roman" w:hAnsi="Times New Roman"/>
          <w:b/>
          <w:sz w:val="20"/>
        </w:rPr>
      </w:pPr>
    </w:p>
    <w:p w14:paraId="7392A883" w14:textId="77777777" w:rsidR="006D122B" w:rsidRPr="006D122B" w:rsidRDefault="006D122B" w:rsidP="006D122B">
      <w:pPr>
        <w:spacing w:after="0" w:line="240" w:lineRule="auto"/>
        <w:jc w:val="left"/>
        <w:rPr>
          <w:rFonts w:ascii="Times New Roman" w:hAnsi="Times New Roman"/>
          <w:b/>
          <w:sz w:val="20"/>
        </w:rPr>
      </w:pPr>
      <w:r w:rsidRPr="006D122B">
        <w:rPr>
          <w:rFonts w:ascii="Times New Roman" w:hAnsi="Times New Roman"/>
          <w:b/>
          <w:sz w:val="20"/>
        </w:rPr>
        <w:t>__________________________________________________________________________________</w:t>
      </w:r>
    </w:p>
    <w:p w14:paraId="5C5790EA" w14:textId="77777777" w:rsidR="006D122B" w:rsidRPr="006D122B" w:rsidRDefault="006D122B" w:rsidP="006D122B">
      <w:pPr>
        <w:spacing w:after="0" w:line="240" w:lineRule="auto"/>
        <w:jc w:val="left"/>
        <w:rPr>
          <w:rFonts w:ascii="Times New Roman" w:hAnsi="Times New Roman"/>
          <w:b/>
          <w:sz w:val="20"/>
        </w:rPr>
      </w:pPr>
    </w:p>
    <w:p w14:paraId="265F4D6E" w14:textId="77777777" w:rsidR="006D122B" w:rsidRPr="006D122B" w:rsidRDefault="006D122B" w:rsidP="006D122B">
      <w:pPr>
        <w:spacing w:after="0" w:line="240" w:lineRule="auto"/>
        <w:jc w:val="left"/>
        <w:rPr>
          <w:rFonts w:ascii="Times New Roman" w:hAnsi="Times New Roman"/>
          <w:bCs/>
          <w:sz w:val="20"/>
        </w:rPr>
      </w:pPr>
      <w:r w:rsidRPr="006D122B">
        <w:rPr>
          <w:rFonts w:ascii="Times New Roman" w:hAnsi="Times New Roman"/>
          <w:b/>
          <w:sz w:val="20"/>
        </w:rPr>
        <w:t>Opinion No.</w:t>
      </w:r>
      <w:r w:rsidRPr="006D122B">
        <w:rPr>
          <w:rFonts w:ascii="Times New Roman" w:hAnsi="Times New Roman"/>
          <w:sz w:val="20"/>
        </w:rPr>
        <w:t xml:space="preserve"> S249872</w:t>
      </w:r>
    </w:p>
    <w:p w14:paraId="312A486F" w14:textId="77777777" w:rsidR="006D122B" w:rsidRPr="006D122B" w:rsidRDefault="006D122B" w:rsidP="006D122B">
      <w:pPr>
        <w:spacing w:after="0" w:line="240" w:lineRule="auto"/>
        <w:jc w:val="left"/>
        <w:rPr>
          <w:rFonts w:ascii="Times New Roman" w:hAnsi="Times New Roman"/>
          <w:bCs/>
          <w:sz w:val="20"/>
        </w:rPr>
      </w:pPr>
      <w:r w:rsidRPr="006D122B">
        <w:rPr>
          <w:rFonts w:ascii="Times New Roman" w:hAnsi="Times New Roman"/>
          <w:b/>
          <w:sz w:val="20"/>
        </w:rPr>
        <w:t>Date Filed:</w:t>
      </w:r>
      <w:r w:rsidRPr="006D122B">
        <w:rPr>
          <w:rFonts w:ascii="Times New Roman" w:hAnsi="Times New Roman"/>
          <w:sz w:val="20"/>
        </w:rPr>
        <w:t xml:space="preserve"> February 27, 2020</w:t>
      </w:r>
    </w:p>
    <w:p w14:paraId="3E298B23" w14:textId="77777777" w:rsidR="006D122B" w:rsidRPr="006D122B" w:rsidRDefault="006D122B" w:rsidP="006D122B">
      <w:pPr>
        <w:spacing w:after="0" w:line="240" w:lineRule="auto"/>
        <w:jc w:val="left"/>
        <w:rPr>
          <w:rFonts w:ascii="Times New Roman" w:hAnsi="Times New Roman"/>
          <w:b/>
          <w:sz w:val="20"/>
        </w:rPr>
      </w:pPr>
      <w:r w:rsidRPr="006D122B">
        <w:rPr>
          <w:rFonts w:ascii="Times New Roman" w:hAnsi="Times New Roman"/>
          <w:b/>
          <w:sz w:val="20"/>
        </w:rPr>
        <w:t>__________________________________________________________________________________</w:t>
      </w:r>
    </w:p>
    <w:p w14:paraId="5ACB9C20" w14:textId="77777777" w:rsidR="006D122B" w:rsidRPr="006D122B" w:rsidRDefault="006D122B" w:rsidP="006D122B">
      <w:pPr>
        <w:spacing w:after="0" w:line="240" w:lineRule="auto"/>
        <w:jc w:val="left"/>
        <w:rPr>
          <w:rFonts w:ascii="Times New Roman" w:hAnsi="Times New Roman"/>
          <w:b/>
          <w:sz w:val="20"/>
        </w:rPr>
      </w:pPr>
    </w:p>
    <w:p w14:paraId="50314C5E" w14:textId="77777777" w:rsidR="006D122B" w:rsidRPr="006D122B" w:rsidRDefault="006D122B" w:rsidP="006D122B">
      <w:pPr>
        <w:spacing w:after="0" w:line="240" w:lineRule="auto"/>
        <w:jc w:val="left"/>
        <w:rPr>
          <w:rFonts w:ascii="Times New Roman" w:hAnsi="Times New Roman"/>
          <w:bCs/>
          <w:sz w:val="20"/>
        </w:rPr>
      </w:pPr>
      <w:r w:rsidRPr="006D122B">
        <w:rPr>
          <w:rFonts w:ascii="Times New Roman" w:hAnsi="Times New Roman"/>
          <w:b/>
          <w:sz w:val="20"/>
        </w:rPr>
        <w:t xml:space="preserve">Court:  </w:t>
      </w:r>
      <w:r w:rsidRPr="006D122B">
        <w:rPr>
          <w:rFonts w:ascii="Times New Roman" w:hAnsi="Times New Roman"/>
          <w:sz w:val="20"/>
        </w:rPr>
        <w:t>Superior</w:t>
      </w:r>
    </w:p>
    <w:p w14:paraId="0E4B9CB3" w14:textId="77777777" w:rsidR="006D122B" w:rsidRPr="006D122B" w:rsidRDefault="006D122B" w:rsidP="006D122B">
      <w:pPr>
        <w:spacing w:after="0" w:line="240" w:lineRule="auto"/>
        <w:jc w:val="left"/>
        <w:rPr>
          <w:rFonts w:ascii="Times New Roman" w:hAnsi="Times New Roman"/>
          <w:bCs/>
          <w:sz w:val="20"/>
        </w:rPr>
      </w:pPr>
      <w:r w:rsidRPr="006D122B">
        <w:rPr>
          <w:rFonts w:ascii="Times New Roman" w:hAnsi="Times New Roman"/>
          <w:b/>
          <w:sz w:val="20"/>
        </w:rPr>
        <w:t xml:space="preserve">County:  </w:t>
      </w:r>
      <w:r w:rsidRPr="006D122B">
        <w:rPr>
          <w:rFonts w:ascii="Times New Roman" w:hAnsi="Times New Roman"/>
          <w:sz w:val="20"/>
        </w:rPr>
        <w:t>San Mateo</w:t>
      </w:r>
    </w:p>
    <w:p w14:paraId="05C73DBF" w14:textId="77777777" w:rsidR="006D122B" w:rsidRPr="006D122B" w:rsidRDefault="006D122B" w:rsidP="006D122B">
      <w:pPr>
        <w:spacing w:after="0" w:line="240" w:lineRule="auto"/>
        <w:ind w:left="720" w:hanging="720"/>
        <w:jc w:val="left"/>
        <w:rPr>
          <w:rFonts w:ascii="Times New Roman" w:hAnsi="Times New Roman"/>
          <w:bCs/>
          <w:sz w:val="20"/>
        </w:rPr>
      </w:pPr>
      <w:r w:rsidRPr="006D122B">
        <w:rPr>
          <w:rFonts w:ascii="Times New Roman" w:hAnsi="Times New Roman"/>
          <w:b/>
          <w:sz w:val="20"/>
        </w:rPr>
        <w:t xml:space="preserve">Judge:  </w:t>
      </w:r>
      <w:r w:rsidRPr="006D122B">
        <w:rPr>
          <w:rFonts w:ascii="Times New Roman" w:hAnsi="Times New Roman"/>
          <w:sz w:val="20"/>
        </w:rPr>
        <w:t xml:space="preserve">Barbara J. </w:t>
      </w:r>
      <w:proofErr w:type="spellStart"/>
      <w:r w:rsidRPr="006D122B">
        <w:rPr>
          <w:rFonts w:ascii="Times New Roman" w:hAnsi="Times New Roman"/>
          <w:sz w:val="20"/>
        </w:rPr>
        <w:t>Mallach</w:t>
      </w:r>
      <w:proofErr w:type="spellEnd"/>
    </w:p>
    <w:p w14:paraId="47987D23" w14:textId="77777777" w:rsidR="006D122B" w:rsidRPr="006D122B" w:rsidRDefault="006D122B" w:rsidP="006D122B">
      <w:pPr>
        <w:spacing w:after="0" w:line="240" w:lineRule="auto"/>
        <w:jc w:val="left"/>
        <w:rPr>
          <w:rFonts w:ascii="Times New Roman" w:hAnsi="Times New Roman"/>
          <w:b/>
          <w:sz w:val="20"/>
        </w:rPr>
      </w:pPr>
    </w:p>
    <w:p w14:paraId="40057CC2" w14:textId="77777777" w:rsidR="006D122B" w:rsidRPr="006D122B" w:rsidRDefault="006D122B" w:rsidP="006D122B">
      <w:pPr>
        <w:spacing w:after="0" w:line="240" w:lineRule="auto"/>
        <w:jc w:val="left"/>
        <w:rPr>
          <w:rFonts w:ascii="Times New Roman" w:hAnsi="Times New Roman"/>
          <w:b/>
          <w:sz w:val="20"/>
        </w:rPr>
      </w:pPr>
      <w:r w:rsidRPr="006D122B">
        <w:rPr>
          <w:rFonts w:ascii="Times New Roman" w:hAnsi="Times New Roman"/>
          <w:b/>
          <w:sz w:val="20"/>
        </w:rPr>
        <w:t>__________________________________________________________________________________</w:t>
      </w:r>
    </w:p>
    <w:p w14:paraId="2D8FFE89" w14:textId="77777777" w:rsidR="006D122B" w:rsidRPr="006D122B" w:rsidRDefault="006D122B" w:rsidP="006D122B">
      <w:pPr>
        <w:spacing w:after="0" w:line="240" w:lineRule="auto"/>
        <w:jc w:val="left"/>
        <w:rPr>
          <w:rFonts w:ascii="Times New Roman" w:hAnsi="Times New Roman"/>
          <w:b/>
          <w:sz w:val="20"/>
        </w:rPr>
      </w:pPr>
    </w:p>
    <w:p w14:paraId="0824A25E" w14:textId="77777777" w:rsidR="006D122B" w:rsidRPr="006D122B" w:rsidRDefault="006D122B" w:rsidP="006D122B">
      <w:pPr>
        <w:spacing w:after="0" w:line="240" w:lineRule="auto"/>
        <w:jc w:val="left"/>
        <w:rPr>
          <w:rFonts w:ascii="Times New Roman" w:hAnsi="Times New Roman"/>
          <w:b/>
          <w:sz w:val="20"/>
        </w:rPr>
      </w:pPr>
      <w:r w:rsidRPr="006D122B">
        <w:rPr>
          <w:rFonts w:ascii="Times New Roman" w:hAnsi="Times New Roman"/>
          <w:b/>
          <w:sz w:val="20"/>
        </w:rPr>
        <w:t>Counsel:</w:t>
      </w:r>
    </w:p>
    <w:p w14:paraId="0075A667" w14:textId="77777777" w:rsidR="006D122B" w:rsidRPr="006D122B" w:rsidRDefault="006D122B" w:rsidP="006D122B">
      <w:pPr>
        <w:spacing w:after="0" w:line="240" w:lineRule="auto"/>
        <w:jc w:val="left"/>
        <w:rPr>
          <w:rFonts w:ascii="Times New Roman" w:hAnsi="Times New Roman"/>
          <w:b/>
          <w:sz w:val="20"/>
        </w:rPr>
      </w:pPr>
    </w:p>
    <w:p w14:paraId="3C7D5E03"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sz w:val="20"/>
        </w:rPr>
        <w:t xml:space="preserve">Cynthia M. Jones, under appointment by the Supreme Court, for Defendant and Appellant.  </w:t>
      </w:r>
      <w:r w:rsidRPr="006D122B">
        <w:rPr>
          <w:rFonts w:ascii="Times New Roman" w:hAnsi="Times New Roman"/>
          <w:sz w:val="20"/>
        </w:rPr>
        <w:br/>
      </w:r>
      <w:r w:rsidRPr="006D122B">
        <w:rPr>
          <w:rFonts w:ascii="Times New Roman" w:hAnsi="Times New Roman"/>
          <w:sz w:val="20"/>
        </w:rPr>
        <w:br/>
        <w:t xml:space="preserve">Mary K. </w:t>
      </w:r>
      <w:proofErr w:type="spellStart"/>
      <w:r w:rsidRPr="006D122B">
        <w:rPr>
          <w:rFonts w:ascii="Times New Roman" w:hAnsi="Times New Roman"/>
          <w:sz w:val="20"/>
        </w:rPr>
        <w:t>McComb</w:t>
      </w:r>
      <w:proofErr w:type="spellEnd"/>
      <w:r w:rsidRPr="006D122B">
        <w:rPr>
          <w:rFonts w:ascii="Times New Roman" w:hAnsi="Times New Roman"/>
          <w:sz w:val="20"/>
        </w:rPr>
        <w:t xml:space="preserve">, State Public Defender, Barry P. </w:t>
      </w:r>
      <w:proofErr w:type="spellStart"/>
      <w:r w:rsidRPr="006D122B">
        <w:rPr>
          <w:rFonts w:ascii="Times New Roman" w:hAnsi="Times New Roman"/>
          <w:sz w:val="20"/>
        </w:rPr>
        <w:t>Helft</w:t>
      </w:r>
      <w:proofErr w:type="spellEnd"/>
      <w:r w:rsidRPr="006D122B">
        <w:rPr>
          <w:rFonts w:ascii="Times New Roman" w:hAnsi="Times New Roman"/>
          <w:sz w:val="20"/>
        </w:rPr>
        <w:t>, Chief Deputy State Public Defender, and William Whaley, Deputy State Public Defender, for the Office of the State Public Defender as Amicus Curiae on behalf of Defendant and Appellant.</w:t>
      </w:r>
    </w:p>
    <w:p w14:paraId="308C7375" w14:textId="77777777" w:rsidR="006D122B" w:rsidRPr="006D122B" w:rsidRDefault="006D122B" w:rsidP="006D122B">
      <w:pPr>
        <w:spacing w:after="0" w:line="240" w:lineRule="auto"/>
        <w:jc w:val="left"/>
        <w:rPr>
          <w:rFonts w:ascii="Times New Roman" w:hAnsi="Times New Roman"/>
          <w:sz w:val="20"/>
        </w:rPr>
      </w:pPr>
    </w:p>
    <w:p w14:paraId="173610B2"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sz w:val="20"/>
        </w:rPr>
        <w:t xml:space="preserve">Xavier Becerra, Attorney General, Gerald A. Engler, Chief Assistant Attorney General, Jeffrey M. Laurence, Assistant Attorney General, Laurence K. Sullivan, Donna M. Provenzano, Eric D. Share and </w:t>
      </w:r>
      <w:proofErr w:type="spellStart"/>
      <w:r w:rsidRPr="006D122B">
        <w:rPr>
          <w:rFonts w:ascii="Times New Roman" w:hAnsi="Times New Roman"/>
          <w:sz w:val="20"/>
        </w:rPr>
        <w:t>Huy</w:t>
      </w:r>
      <w:proofErr w:type="spellEnd"/>
      <w:r w:rsidRPr="006D122B">
        <w:rPr>
          <w:rFonts w:ascii="Times New Roman" w:hAnsi="Times New Roman"/>
          <w:sz w:val="20"/>
        </w:rPr>
        <w:t xml:space="preserve"> T. Luong, Deputy Attorneys General, for Plaintiff and Respondent.</w:t>
      </w:r>
    </w:p>
    <w:p w14:paraId="102B3131" w14:textId="77777777" w:rsidR="006D122B" w:rsidRPr="006D122B" w:rsidRDefault="006D122B" w:rsidP="006D122B">
      <w:pPr>
        <w:spacing w:after="0" w:line="240" w:lineRule="auto"/>
        <w:jc w:val="left"/>
        <w:rPr>
          <w:rFonts w:ascii="Times New Roman" w:hAnsi="Times New Roman"/>
          <w:sz w:val="26"/>
        </w:rPr>
      </w:pPr>
    </w:p>
    <w:p w14:paraId="640AE4F0" w14:textId="77777777" w:rsidR="006D122B" w:rsidRPr="006D122B" w:rsidRDefault="006D122B" w:rsidP="006D122B">
      <w:pPr>
        <w:spacing w:after="0" w:line="240" w:lineRule="auto"/>
        <w:jc w:val="left"/>
        <w:rPr>
          <w:rFonts w:ascii="Times New Roman" w:hAnsi="Times New Roman"/>
          <w:sz w:val="20"/>
        </w:rPr>
      </w:pPr>
    </w:p>
    <w:p w14:paraId="10FDB79D" w14:textId="77777777" w:rsidR="006D122B" w:rsidRPr="006D122B" w:rsidRDefault="006D122B" w:rsidP="006D122B">
      <w:pPr>
        <w:spacing w:after="0" w:line="240" w:lineRule="auto"/>
        <w:jc w:val="left"/>
        <w:rPr>
          <w:rFonts w:ascii="Times New Roman" w:hAnsi="Times New Roman"/>
          <w:sz w:val="20"/>
        </w:rPr>
      </w:pPr>
    </w:p>
    <w:p w14:paraId="7079AF24" w14:textId="77777777" w:rsidR="006D122B" w:rsidRPr="006D122B" w:rsidRDefault="006D122B" w:rsidP="006D122B">
      <w:pPr>
        <w:spacing w:after="0" w:line="240" w:lineRule="auto"/>
        <w:jc w:val="left"/>
        <w:rPr>
          <w:rFonts w:ascii="Times New Roman" w:hAnsi="Times New Roman"/>
          <w:sz w:val="20"/>
        </w:rPr>
      </w:pPr>
    </w:p>
    <w:p w14:paraId="0740DF42" w14:textId="77777777" w:rsidR="006D122B" w:rsidRPr="006D122B" w:rsidRDefault="006D122B" w:rsidP="006D122B">
      <w:pPr>
        <w:spacing w:after="0" w:line="240" w:lineRule="auto"/>
        <w:jc w:val="left"/>
        <w:rPr>
          <w:rFonts w:ascii="Times New Roman" w:hAnsi="Times New Roman"/>
          <w:b/>
          <w:sz w:val="20"/>
        </w:rPr>
      </w:pPr>
    </w:p>
    <w:p w14:paraId="5EC19F19" w14:textId="77777777" w:rsidR="006D122B" w:rsidRPr="006D122B" w:rsidRDefault="006D122B" w:rsidP="006D122B">
      <w:pPr>
        <w:spacing w:after="0" w:line="240" w:lineRule="auto"/>
        <w:jc w:val="left"/>
        <w:rPr>
          <w:rFonts w:ascii="Times New Roman" w:hAnsi="Times New Roman"/>
          <w:b/>
          <w:sz w:val="20"/>
        </w:rPr>
      </w:pPr>
    </w:p>
    <w:p w14:paraId="45015DCB" w14:textId="77777777" w:rsidR="006D122B" w:rsidRPr="006D122B" w:rsidRDefault="006D122B" w:rsidP="006D122B">
      <w:pPr>
        <w:spacing w:after="0" w:line="240" w:lineRule="auto"/>
        <w:jc w:val="left"/>
        <w:rPr>
          <w:rFonts w:ascii="Times New Roman" w:hAnsi="Times New Roman"/>
          <w:b/>
          <w:sz w:val="20"/>
        </w:rPr>
      </w:pPr>
    </w:p>
    <w:p w14:paraId="60781B2C" w14:textId="77777777" w:rsidR="006D122B" w:rsidRPr="006D122B" w:rsidRDefault="006D122B" w:rsidP="006D122B">
      <w:pPr>
        <w:spacing w:after="0" w:line="240" w:lineRule="auto"/>
        <w:jc w:val="left"/>
        <w:rPr>
          <w:rFonts w:ascii="Times New Roman" w:hAnsi="Times New Roman"/>
          <w:b/>
          <w:sz w:val="20"/>
        </w:rPr>
      </w:pPr>
      <w:r w:rsidRPr="006D122B">
        <w:rPr>
          <w:rFonts w:ascii="Times New Roman" w:hAnsi="Times New Roman"/>
          <w:b/>
          <w:sz w:val="20"/>
        </w:rPr>
        <w:br w:type="page"/>
      </w:r>
    </w:p>
    <w:p w14:paraId="7AB74C6F" w14:textId="77777777" w:rsidR="006D122B" w:rsidRPr="006D122B" w:rsidRDefault="006D122B" w:rsidP="006D122B">
      <w:pPr>
        <w:spacing w:after="0" w:line="240" w:lineRule="auto"/>
        <w:jc w:val="left"/>
        <w:rPr>
          <w:rFonts w:ascii="Times New Roman" w:hAnsi="Times New Roman"/>
          <w:b/>
          <w:sz w:val="20"/>
        </w:rPr>
      </w:pPr>
    </w:p>
    <w:p w14:paraId="64FC3C47" w14:textId="77777777" w:rsidR="006D122B" w:rsidRPr="006D122B" w:rsidRDefault="006D122B" w:rsidP="006D122B">
      <w:pPr>
        <w:spacing w:after="0" w:line="240" w:lineRule="auto"/>
        <w:jc w:val="left"/>
        <w:rPr>
          <w:rFonts w:ascii="Times New Roman" w:hAnsi="Times New Roman"/>
          <w:b/>
          <w:sz w:val="20"/>
        </w:rPr>
      </w:pPr>
    </w:p>
    <w:p w14:paraId="3BA156AC" w14:textId="77777777" w:rsidR="006D122B" w:rsidRPr="006D122B" w:rsidRDefault="006D122B" w:rsidP="006D122B">
      <w:pPr>
        <w:spacing w:after="0" w:line="240" w:lineRule="auto"/>
        <w:jc w:val="left"/>
        <w:rPr>
          <w:rFonts w:ascii="Times New Roman" w:hAnsi="Times New Roman"/>
          <w:b/>
          <w:sz w:val="20"/>
        </w:rPr>
      </w:pPr>
    </w:p>
    <w:p w14:paraId="3786C706" w14:textId="77777777" w:rsidR="006D122B" w:rsidRPr="006D122B" w:rsidRDefault="006D122B" w:rsidP="006D122B">
      <w:pPr>
        <w:spacing w:after="0" w:line="240" w:lineRule="auto"/>
        <w:jc w:val="left"/>
        <w:rPr>
          <w:rFonts w:ascii="Times New Roman" w:hAnsi="Times New Roman"/>
          <w:b/>
          <w:sz w:val="20"/>
        </w:rPr>
      </w:pPr>
      <w:r w:rsidRPr="006D122B">
        <w:rPr>
          <w:rFonts w:ascii="Times New Roman" w:hAnsi="Times New Roman"/>
          <w:b/>
          <w:sz w:val="20"/>
        </w:rPr>
        <w:t>Counsel who argued in Supreme Court (not intended for publication with opinion):</w:t>
      </w:r>
    </w:p>
    <w:p w14:paraId="488DF00B" w14:textId="77777777" w:rsidR="006D122B" w:rsidRPr="006D122B" w:rsidRDefault="006D122B" w:rsidP="006D122B">
      <w:pPr>
        <w:spacing w:after="0" w:line="240" w:lineRule="auto"/>
        <w:jc w:val="left"/>
        <w:rPr>
          <w:rFonts w:ascii="Times New Roman" w:hAnsi="Times New Roman"/>
          <w:b/>
          <w:sz w:val="20"/>
        </w:rPr>
      </w:pPr>
    </w:p>
    <w:p w14:paraId="083EBF0D"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sz w:val="20"/>
        </w:rPr>
        <w:t>Cynthia M. Jones</w:t>
      </w:r>
    </w:p>
    <w:p w14:paraId="6A33FC29"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sz w:val="20"/>
        </w:rPr>
        <w:t>19363 Willamette Dr., #194</w:t>
      </w:r>
    </w:p>
    <w:p w14:paraId="675D91B3"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sz w:val="20"/>
        </w:rPr>
        <w:t>West Linn, OR 97068</w:t>
      </w:r>
    </w:p>
    <w:p w14:paraId="0BAB73F2"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sz w:val="20"/>
        </w:rPr>
        <w:t>(858) 793-9800</w:t>
      </w:r>
    </w:p>
    <w:p w14:paraId="4B8BBE51" w14:textId="77777777" w:rsidR="006D122B" w:rsidRPr="006D122B" w:rsidRDefault="006D122B" w:rsidP="006D122B">
      <w:pPr>
        <w:spacing w:after="0" w:line="240" w:lineRule="auto"/>
        <w:jc w:val="left"/>
        <w:rPr>
          <w:rFonts w:ascii="Times New Roman" w:hAnsi="Times New Roman"/>
          <w:sz w:val="20"/>
        </w:rPr>
      </w:pPr>
    </w:p>
    <w:p w14:paraId="4B10F421"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sz w:val="20"/>
        </w:rPr>
        <w:t>Donna M. Provenzano</w:t>
      </w:r>
    </w:p>
    <w:p w14:paraId="6472737F"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sz w:val="20"/>
        </w:rPr>
        <w:t>Supervising Deputy Attorney General</w:t>
      </w:r>
    </w:p>
    <w:p w14:paraId="15C5C35A"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sz w:val="20"/>
        </w:rPr>
        <w:t>455 Golden Gate Avenue, Suite 11000</w:t>
      </w:r>
    </w:p>
    <w:p w14:paraId="5EE422F8"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sz w:val="20"/>
        </w:rPr>
        <w:t>San Francisco, CA 94102-7004</w:t>
      </w:r>
    </w:p>
    <w:p w14:paraId="711E64AC" w14:textId="77777777" w:rsidR="006D122B" w:rsidRPr="006D122B" w:rsidRDefault="006D122B" w:rsidP="006D122B">
      <w:pPr>
        <w:spacing w:after="0" w:line="240" w:lineRule="auto"/>
        <w:jc w:val="left"/>
        <w:rPr>
          <w:rFonts w:ascii="Times New Roman" w:hAnsi="Times New Roman"/>
          <w:sz w:val="20"/>
        </w:rPr>
      </w:pPr>
      <w:r w:rsidRPr="006D122B">
        <w:rPr>
          <w:rFonts w:ascii="Times New Roman" w:hAnsi="Times New Roman"/>
          <w:sz w:val="20"/>
        </w:rPr>
        <w:t>(415) 510-3844</w:t>
      </w:r>
    </w:p>
    <w:p w14:paraId="6420ADBA" w14:textId="57B575AC" w:rsidR="006D122B" w:rsidRPr="00F32B24" w:rsidRDefault="006D122B" w:rsidP="00992CB8">
      <w:pPr>
        <w:tabs>
          <w:tab w:val="left" w:pos="1440"/>
        </w:tabs>
        <w:spacing w:after="0" w:line="240" w:lineRule="auto"/>
      </w:pPr>
    </w:p>
    <w:sectPr w:rsidR="006D122B" w:rsidRPr="00F32B24" w:rsidSect="006D122B">
      <w:headerReference w:type="default" r:id="rId10"/>
      <w:footerReference w:type="default" r:id="rId11"/>
      <w:footerReference w:type="first" r:id="rId12"/>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A77D4" w14:textId="77777777" w:rsidR="00AF1A2A" w:rsidRDefault="00AF1A2A">
      <w:r>
        <w:separator/>
      </w:r>
    </w:p>
  </w:endnote>
  <w:endnote w:type="continuationSeparator" w:id="0">
    <w:p w14:paraId="566AFDEB" w14:textId="77777777" w:rsidR="00AF1A2A" w:rsidRDefault="00AF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FB68" w14:textId="77777777" w:rsidR="0093664B" w:rsidRDefault="0093664B">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85592"/>
      <w:docPartObj>
        <w:docPartGallery w:val="Page Numbers (Bottom of Page)"/>
        <w:docPartUnique/>
      </w:docPartObj>
    </w:sdtPr>
    <w:sdtEndPr>
      <w:rPr>
        <w:noProof/>
      </w:rPr>
    </w:sdtEndPr>
    <w:sdtContent>
      <w:p w14:paraId="4291AB3C" w14:textId="77777777" w:rsidR="0093664B" w:rsidRDefault="0093664B">
        <w:pPr>
          <w:pStyle w:val="Footer"/>
        </w:pPr>
        <w:r>
          <w:fldChar w:fldCharType="begin"/>
        </w:r>
        <w:r>
          <w:instrText xml:space="preserve"> PAGE   \* MERGEFORMAT </w:instrText>
        </w:r>
        <w:r>
          <w:fldChar w:fldCharType="separate"/>
        </w:r>
        <w:r>
          <w:rPr>
            <w:noProof/>
          </w:rPr>
          <w:t>2</w:t>
        </w:r>
        <w:r>
          <w:rPr>
            <w:noProof/>
          </w:rPr>
          <w:fldChar w:fldCharType="end"/>
        </w:r>
      </w:p>
    </w:sdtContent>
  </w:sdt>
  <w:p w14:paraId="6962FA88" w14:textId="77777777" w:rsidR="0093664B" w:rsidRDefault="00936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5E1C" w14:textId="1DD411F2" w:rsidR="006D122B" w:rsidRDefault="006D12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9BCA" w14:textId="77777777" w:rsidR="006D122B" w:rsidRDefault="006D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E9ACA" w14:textId="77777777" w:rsidR="00AF1A2A" w:rsidRDefault="00AF1A2A">
      <w:r>
        <w:separator/>
      </w:r>
    </w:p>
  </w:footnote>
  <w:footnote w:type="continuationSeparator" w:id="0">
    <w:p w14:paraId="560BBA2D" w14:textId="77777777" w:rsidR="00AF1A2A" w:rsidRDefault="00AF1A2A">
      <w:pPr>
        <w:rPr>
          <w:sz w:val="22"/>
        </w:rPr>
      </w:pPr>
      <w:r>
        <w:continuationSeparator/>
      </w:r>
    </w:p>
  </w:footnote>
  <w:footnote w:type="continuationNotice" w:id="1">
    <w:p w14:paraId="56075398" w14:textId="77777777" w:rsidR="00AF1A2A" w:rsidRDefault="00AF1A2A">
      <w:pPr>
        <w:jc w:val="right"/>
        <w:rPr>
          <w:i/>
          <w:sz w:val="20"/>
        </w:rPr>
      </w:pPr>
    </w:p>
  </w:footnote>
  <w:footnote w:id="2">
    <w:p w14:paraId="6F452D51" w14:textId="0E8D3A11" w:rsidR="0093664B" w:rsidRPr="00BE523B" w:rsidRDefault="0093664B" w:rsidP="000D1695">
      <w:pPr>
        <w:pStyle w:val="FootnoteText"/>
      </w:pPr>
      <w:r>
        <w:rPr>
          <w:rStyle w:val="FootnoteReference"/>
        </w:rPr>
        <w:footnoteRef/>
      </w:r>
      <w:r>
        <w:t xml:space="preserve"> </w:t>
      </w:r>
      <w:r>
        <w:tab/>
        <w:t>Defendant asserts in his reply brief that the “expert’s background information hearsay exception is a common law hearsay exception rather than one defined by the Evidence [C]ode.”  The contention is without merit.  Although the rule allowing an expert to testify to general information finds its roots in common law, the rule is now codified.  (</w:t>
      </w:r>
      <w:r>
        <w:rPr>
          <w:i/>
        </w:rPr>
        <w:t>Sanchez</w:t>
      </w:r>
      <w:r>
        <w:t xml:space="preserve">, </w:t>
      </w:r>
      <w:r>
        <w:rPr>
          <w:i/>
        </w:rPr>
        <w:t>supra</w:t>
      </w:r>
      <w:r>
        <w:t xml:space="preserve">, </w:t>
      </w:r>
      <w:r w:rsidRPr="00FD404B">
        <w:t xml:space="preserve">63 Cal.4th </w:t>
      </w:r>
      <w:r>
        <w:t>at p. 678.)</w:t>
      </w:r>
    </w:p>
  </w:footnote>
  <w:footnote w:id="3">
    <w:p w14:paraId="2D6C0FBE" w14:textId="14914771" w:rsidR="0093664B" w:rsidRPr="00213CEB" w:rsidRDefault="0093664B" w:rsidP="00AE49E1">
      <w:pPr>
        <w:pStyle w:val="FootnoteText"/>
      </w:pPr>
      <w:r>
        <w:rPr>
          <w:rStyle w:val="FootnoteReference"/>
        </w:rPr>
        <w:footnoteRef/>
      </w:r>
      <w:r>
        <w:t xml:space="preserve"> </w:t>
      </w:r>
      <w:r>
        <w:tab/>
      </w:r>
      <w:r w:rsidRPr="00801CD6">
        <w:t>Seizing on the fact that this testimony was elicited by the defense, the Attorney General argues that even if the testimony r</w:t>
      </w:r>
      <w:r>
        <w:t>an</w:t>
      </w:r>
      <w:r w:rsidRPr="00801CD6">
        <w:t xml:space="preserve"> afoul of </w:t>
      </w:r>
      <w:r w:rsidRPr="00801CD6">
        <w:rPr>
          <w:i/>
        </w:rPr>
        <w:t>Sanchez</w:t>
      </w:r>
      <w:r w:rsidRPr="00801CD6">
        <w:t>, the defendant invited the error and cannot be heard now to complain.  We need not reach this argument because, as explained</w:t>
      </w:r>
      <w:r w:rsidR="00281B22">
        <w:t xml:space="preserve"> </w:t>
      </w:r>
      <w:r w:rsidR="00281B22">
        <w:rPr>
          <w:i/>
        </w:rPr>
        <w:t>post</w:t>
      </w:r>
      <w:r w:rsidRPr="00801CD6">
        <w:t>, Rienhardt</w:t>
      </w:r>
      <w:r>
        <w:t xml:space="preserve"> did not relate case-specific hearsa</w:t>
      </w:r>
      <w:r w:rsidR="00FA3C93">
        <w:t>y</w:t>
      </w:r>
      <w:r w:rsidR="00E82034">
        <w:t>, and, as such, there</w:t>
      </w:r>
      <w:r w:rsidR="00FA3C93">
        <w:t xml:space="preserve"> was </w:t>
      </w:r>
      <w:r w:rsidR="0049610E">
        <w:t xml:space="preserve">no </w:t>
      </w:r>
      <w:r>
        <w:rPr>
          <w:i/>
        </w:rPr>
        <w:t xml:space="preserve">Sanchez </w:t>
      </w:r>
      <w:r>
        <w:t>error.</w:t>
      </w:r>
    </w:p>
    <w:p w14:paraId="25A4C650" w14:textId="77777777" w:rsidR="0093664B" w:rsidRDefault="0093664B" w:rsidP="00AE49E1">
      <w:pPr>
        <w:pStyle w:val="FootnoteText"/>
      </w:pPr>
    </w:p>
  </w:footnote>
  <w:footnote w:id="4">
    <w:p w14:paraId="347D3BA9" w14:textId="328619B6" w:rsidR="0093664B" w:rsidRDefault="0093664B" w:rsidP="000D1695">
      <w:pPr>
        <w:spacing w:line="300" w:lineRule="exact"/>
      </w:pPr>
      <w:r>
        <w:rPr>
          <w:rStyle w:val="FootnoteReference"/>
        </w:rPr>
        <w:footnoteRef/>
      </w:r>
      <w:r>
        <w:t xml:space="preserve"> </w:t>
      </w:r>
      <w:r>
        <w:tab/>
        <w:t xml:space="preserve">Defendant contends that the examples we used in </w:t>
      </w:r>
      <w:r>
        <w:rPr>
          <w:i/>
        </w:rPr>
        <w:t xml:space="preserve">Sanchez </w:t>
      </w:r>
      <w:r>
        <w:t>were mere “dicta.”  He suggests that we disregard these examples, because, despite what we said, “</w:t>
      </w:r>
      <w:r w:rsidR="001142B1">
        <w:t>[I]</w:t>
      </w:r>
      <w:r>
        <w:t xml:space="preserve">t is not at all clear that the gang’s use of diamond tattoos can be defined as a non-case specific fact.”  Defendant is mistaken.  We meant what we said in </w:t>
      </w:r>
      <w:r>
        <w:rPr>
          <w:i/>
        </w:rPr>
        <w:t>Sanchez</w:t>
      </w:r>
      <w:r>
        <w:t xml:space="preserve">, including what we said in this </w:t>
      </w:r>
      <w:proofErr w:type="gramStart"/>
      <w:r>
        <w:t>particular example</w:t>
      </w:r>
      <w:proofErr w:type="gramEnd"/>
      <w:r>
        <w:t>:  the fact that a “</w:t>
      </w:r>
      <w:r w:rsidRPr="007A7215">
        <w:t xml:space="preserve">diamond is a symbol adopted by a given street gang </w:t>
      </w:r>
      <w:r>
        <w:t>[is]</w:t>
      </w:r>
      <w:r w:rsidRPr="007A7215">
        <w:t xml:space="preserve"> background information</w:t>
      </w:r>
      <w:r>
        <w:t>.”  (</w:t>
      </w:r>
      <w:r>
        <w:rPr>
          <w:i/>
        </w:rPr>
        <w:t>Sanchez</w:t>
      </w:r>
      <w:r>
        <w:t xml:space="preserve">, </w:t>
      </w:r>
      <w:r>
        <w:rPr>
          <w:i/>
        </w:rPr>
        <w:t>supra</w:t>
      </w:r>
      <w:r>
        <w:t xml:space="preserve">, </w:t>
      </w:r>
      <w:r w:rsidRPr="00D432EF">
        <w:t xml:space="preserve">63 Cal.4th </w:t>
      </w:r>
      <w:r>
        <w:t>at p. 677.)  Hence, it is necessarily not case</w:t>
      </w:r>
      <w:r w:rsidR="00D923C9">
        <w:t xml:space="preserve"> </w:t>
      </w:r>
      <w:r>
        <w:t>specific.  This is true regardless of whether the expert learned of the symbol</w:t>
      </w:r>
      <w:r w:rsidR="00C82F73">
        <w:t>, as defendant puts it,</w:t>
      </w:r>
      <w:r>
        <w:t xml:space="preserve"> by consulting a specific database, talking to “a single gang member,” or by “debrief[ing] seven members of the gang in question,” “interview[ing] [an unspecific number of] rival gang members,” and attending “gang seminars.”</w:t>
      </w:r>
    </w:p>
    <w:p w14:paraId="17731401" w14:textId="201499C5" w:rsidR="0093664B" w:rsidRPr="00566ABF" w:rsidRDefault="0093664B" w:rsidP="000D1695">
      <w:pPr>
        <w:spacing w:line="300" w:lineRule="exact"/>
      </w:pPr>
      <w:r>
        <w:tab/>
        <w:t>Of course, the type or number of sources that an expert relies on may affect the reliability of his testimony.</w:t>
      </w:r>
      <w:r w:rsidRPr="00256E6B">
        <w:t xml:space="preserve"> </w:t>
      </w:r>
      <w:r>
        <w:t xml:space="preserve"> However</w:t>
      </w:r>
      <w:r w:rsidRPr="00256E6B">
        <w:t xml:space="preserve">, </w:t>
      </w:r>
      <w:r>
        <w:t xml:space="preserve">as the Attorney General points out, </w:t>
      </w:r>
      <w:r w:rsidRPr="00256E6B">
        <w:t xml:space="preserve">concerns about “reliability and accuracy” are “a separate issue from whether the material constituted case-specific hearsay.”  We address defendant’s arguments about reliability </w:t>
      </w:r>
      <w:r w:rsidRPr="004C7FBF">
        <w:rPr>
          <w:i/>
        </w:rPr>
        <w:t>post</w:t>
      </w:r>
      <w:r w:rsidRPr="00256E6B">
        <w:t>.</w:t>
      </w:r>
    </w:p>
  </w:footnote>
  <w:footnote w:id="5">
    <w:p w14:paraId="33C4578E" w14:textId="60943A57" w:rsidR="0093664B" w:rsidRDefault="0093664B" w:rsidP="000D1695">
      <w:pPr>
        <w:pStyle w:val="FootnoteText"/>
      </w:pPr>
      <w:r>
        <w:rPr>
          <w:rStyle w:val="FootnoteReference"/>
        </w:rPr>
        <w:footnoteRef/>
      </w:r>
      <w:r>
        <w:t xml:space="preserve"> </w:t>
      </w:r>
      <w:r>
        <w:tab/>
        <w:t>W</w:t>
      </w:r>
      <w:r w:rsidRPr="004A1B24">
        <w:t xml:space="preserve">e disapprove </w:t>
      </w:r>
      <w:r>
        <w:t xml:space="preserve">of </w:t>
      </w:r>
      <w:r w:rsidRPr="004A1B24">
        <w:rPr>
          <w:i/>
        </w:rPr>
        <w:t>People v. Stamps</w:t>
      </w:r>
      <w:r w:rsidRPr="004A1B24">
        <w:t>, 3 Cal. App. 5th 988, to the extent it is inconsistent with our opinion.</w:t>
      </w:r>
    </w:p>
  </w:footnote>
  <w:footnote w:id="6">
    <w:p w14:paraId="74DD8B7F" w14:textId="507E7927" w:rsidR="0093664B" w:rsidRDefault="0093664B" w:rsidP="000D1695">
      <w:pPr>
        <w:pStyle w:val="FootnoteText"/>
      </w:pPr>
      <w:r>
        <w:rPr>
          <w:rStyle w:val="FootnoteReference"/>
        </w:rPr>
        <w:footnoteRef/>
      </w:r>
      <w:r>
        <w:t xml:space="preserve"> </w:t>
      </w:r>
      <w:r>
        <w:tab/>
      </w:r>
      <w:r w:rsidRPr="00705EBE">
        <w:t>Because we find that Rienhardt</w:t>
      </w:r>
      <w:r>
        <w:t xml:space="preserve"> did not relate </w:t>
      </w:r>
      <w:r w:rsidRPr="00705EBE">
        <w:t xml:space="preserve">  </w:t>
      </w:r>
      <w:r>
        <w:t xml:space="preserve">inadmissible </w:t>
      </w:r>
      <w:r w:rsidRPr="00705EBE">
        <w:t xml:space="preserve">case-specific hearsay, we do not reach the argument </w:t>
      </w:r>
      <w:r>
        <w:t>concerning</w:t>
      </w:r>
      <w:r w:rsidRPr="00705EBE">
        <w:t xml:space="preserve"> whether the testimony would </w:t>
      </w:r>
      <w:r>
        <w:t xml:space="preserve">also </w:t>
      </w:r>
      <w:r w:rsidRPr="00705EBE">
        <w:t>have been admissible under section 1340.</w:t>
      </w:r>
      <w:r w:rsidR="00190F5D">
        <w:t xml:space="preserve">  We thus</w:t>
      </w:r>
      <w:r w:rsidR="00190F5D" w:rsidRPr="00190F5D">
        <w:t xml:space="preserve"> take </w:t>
      </w:r>
      <w:r w:rsidR="00190F5D">
        <w:t>no</w:t>
      </w:r>
      <w:r w:rsidR="00190F5D" w:rsidRPr="00190F5D">
        <w:t xml:space="preserve"> position on </w:t>
      </w:r>
      <w:r w:rsidR="00190F5D">
        <w:t xml:space="preserve">cases that have </w:t>
      </w:r>
      <w:r w:rsidR="008C3586">
        <w:t>weighed in on this</w:t>
      </w:r>
      <w:r w:rsidR="00B543BA">
        <w:t xml:space="preserve"> issue</w:t>
      </w:r>
      <w:r w:rsidR="00190F5D" w:rsidRPr="00190F5D">
        <w:t>.  (See</w:t>
      </w:r>
      <w:r w:rsidR="00156307">
        <w:t xml:space="preserve"> </w:t>
      </w:r>
      <w:r w:rsidR="00156307" w:rsidRPr="00156307">
        <w:rPr>
          <w:i/>
        </w:rPr>
        <w:t xml:space="preserve">People v. Mooring </w:t>
      </w:r>
      <w:r w:rsidR="00156307" w:rsidRPr="00156307">
        <w:t>(2017) 15 Cal.App.5th 928, 941</w:t>
      </w:r>
      <w:r w:rsidR="00156307">
        <w:t xml:space="preserve"> [“</w:t>
      </w:r>
      <w:r w:rsidR="00156307" w:rsidRPr="00156307">
        <w:t>We conclude the Ident-A-Drug Web site comes within the published compilation exception to the hearsay rule codified in Evidence Code section 1340</w:t>
      </w:r>
      <w:r w:rsidR="00156307">
        <w:t xml:space="preserve">”]; </w:t>
      </w:r>
      <w:r w:rsidR="00156307" w:rsidRPr="00190F5D">
        <w:rPr>
          <w:i/>
        </w:rPr>
        <w:t>Espinoza</w:t>
      </w:r>
      <w:r w:rsidR="00004924">
        <w:t xml:space="preserve">, </w:t>
      </w:r>
      <w:r w:rsidR="00004924">
        <w:rPr>
          <w:i/>
        </w:rPr>
        <w:t>supra</w:t>
      </w:r>
      <w:r w:rsidR="00004924">
        <w:t xml:space="preserve">, </w:t>
      </w:r>
      <w:r w:rsidR="00156307" w:rsidRPr="00190F5D">
        <w:t xml:space="preserve">23 Cal.App.5th </w:t>
      </w:r>
      <w:r w:rsidR="00004924">
        <w:t>at p.</w:t>
      </w:r>
      <w:r w:rsidR="00FE3C64">
        <w:t xml:space="preserve"> </w:t>
      </w:r>
      <w:r w:rsidR="001B139B">
        <w:t xml:space="preserve">321 </w:t>
      </w:r>
      <w:r w:rsidR="00FE3C64">
        <w:t>[same]</w:t>
      </w:r>
      <w:r w:rsidR="00190F5D" w:rsidRPr="00190F5D">
        <w:t>.)</w:t>
      </w:r>
    </w:p>
  </w:footnote>
  <w:footnote w:id="7">
    <w:p w14:paraId="292A4AA4" w14:textId="77777777" w:rsidR="009564DC" w:rsidRDefault="009564DC" w:rsidP="009564DC">
      <w:pPr>
        <w:pStyle w:val="FootnoteText"/>
      </w:pPr>
      <w:r>
        <w:rPr>
          <w:rStyle w:val="FootnoteReference"/>
        </w:rPr>
        <w:footnoteRef/>
      </w:r>
      <w:r>
        <w:t xml:space="preserve"> </w:t>
      </w:r>
      <w:r>
        <w:tab/>
        <w:t>Defendant did request that the trial court instruct the jury with CALCRIM 332 concerning expert witness testimony, and the court did so.  Accordingly, the court told the jury</w:t>
      </w:r>
      <w:proofErr w:type="gramStart"/>
      <w:r>
        <w:t>:  “</w:t>
      </w:r>
      <w:proofErr w:type="gramEnd"/>
      <w:r>
        <w:t>You must consider the opinions, but you are not required to accept them as true or correct. . . .  You must decide whether information on which the expert relied was true and accurate.  You may disregard any opinion that you find unbelievable, unreasonable, or unsupported by the evidence.”  The jury was thus informed that it may disregard Rienhardt’s opinion if it found the opinion unreliable.</w:t>
      </w:r>
    </w:p>
    <w:p w14:paraId="567E40BB" w14:textId="7B81ABFC" w:rsidR="009564DC" w:rsidRPr="005105EE" w:rsidRDefault="009564DC" w:rsidP="009564DC">
      <w:pPr>
        <w:pStyle w:val="FootnoteText"/>
      </w:pPr>
      <w:r>
        <w:tab/>
        <w:t>As the above makes clear, it is the jury’s role to decide the weight to accord to the expert testimony and “</w:t>
      </w:r>
      <w:r w:rsidRPr="007B3173">
        <w:t xml:space="preserve">courts </w:t>
      </w:r>
      <w:proofErr w:type="gramStart"/>
      <w:r w:rsidRPr="007B3173">
        <w:t xml:space="preserve">must </w:t>
      </w:r>
      <w:r w:rsidR="00F72E53">
        <w:t>.</w:t>
      </w:r>
      <w:proofErr w:type="gramEnd"/>
      <w:r w:rsidR="00F72E53">
        <w:t> . .</w:t>
      </w:r>
      <w:r w:rsidRPr="007B3173">
        <w:t xml:space="preserve"> be cautious in excluding expert testimony</w:t>
      </w:r>
      <w:r>
        <w:t>” so as not to usurp that role.  (</w:t>
      </w:r>
      <w:r>
        <w:rPr>
          <w:i/>
        </w:rPr>
        <w:t>Sargon</w:t>
      </w:r>
      <w:r>
        <w:t xml:space="preserve">, </w:t>
      </w:r>
      <w:r>
        <w:rPr>
          <w:i/>
        </w:rPr>
        <w:t>supra</w:t>
      </w:r>
      <w:r>
        <w:t xml:space="preserve">, </w:t>
      </w:r>
      <w:r w:rsidRPr="000A2AD8">
        <w:t xml:space="preserve">55 Cal.4th </w:t>
      </w:r>
      <w:r>
        <w:t>at p.</w:t>
      </w:r>
      <w:r w:rsidRPr="000A2AD8">
        <w:t xml:space="preserve"> 772</w:t>
      </w:r>
      <w:r>
        <w:t xml:space="preserve">.)  Although </w:t>
      </w:r>
      <w:proofErr w:type="gramStart"/>
      <w:r>
        <w:t>“</w:t>
      </w:r>
      <w:r w:rsidR="00D45E59">
        <w:t> </w:t>
      </w:r>
      <w:r>
        <w:t>‘</w:t>
      </w:r>
      <w:proofErr w:type="gramEnd"/>
      <w:r>
        <w:t>[t]here i</w:t>
      </w:r>
      <w:r w:rsidRPr="00335595">
        <w:t>s no bright line that divides evidence worthy of consideration by a jury</w:t>
      </w:r>
      <w:r>
        <w:t xml:space="preserve"> . . .</w:t>
      </w:r>
      <w:r w:rsidRPr="00335595">
        <w:t xml:space="preserve"> from evidence that is not</w:t>
      </w:r>
      <w:r>
        <w:t>,</w:t>
      </w:r>
      <w:proofErr w:type="gramStart"/>
      <w:r>
        <w:t>’ ”</w:t>
      </w:r>
      <w:proofErr w:type="gramEnd"/>
      <w:r>
        <w:t xml:space="preserve"> </w:t>
      </w:r>
      <w:r w:rsidR="000F0E4C">
        <w:t xml:space="preserve">many </w:t>
      </w:r>
      <w:r>
        <w:t xml:space="preserve">of defendant’s arguments concerning reliability may be better understood </w:t>
      </w:r>
      <w:r w:rsidR="00E74E3A">
        <w:t xml:space="preserve">as </w:t>
      </w:r>
      <w:r>
        <w:t>directed at the weight of the expert testimony, not its admissibility.  (</w:t>
      </w:r>
      <w:r>
        <w:rPr>
          <w:i/>
        </w:rPr>
        <w:t xml:space="preserve">Id. </w:t>
      </w:r>
      <w:r>
        <w:t>at p. 7</w:t>
      </w:r>
      <w:r w:rsidR="00932B66">
        <w:t>69</w:t>
      </w:r>
      <w:r>
        <w:t>.)</w:t>
      </w:r>
    </w:p>
  </w:footnote>
  <w:footnote w:id="8">
    <w:p w14:paraId="7259576A" w14:textId="5CACE7F5" w:rsidR="0093664B" w:rsidRDefault="0093664B" w:rsidP="000D1695">
      <w:pPr>
        <w:pStyle w:val="FootnoteText"/>
      </w:pPr>
      <w:r>
        <w:rPr>
          <w:rStyle w:val="FootnoteReference"/>
        </w:rPr>
        <w:footnoteRef/>
      </w:r>
      <w:r>
        <w:t xml:space="preserve"> </w:t>
      </w:r>
      <w:r>
        <w:tab/>
        <w:t>The federal courts are of the same view.  (S</w:t>
      </w:r>
      <w:r w:rsidRPr="00306DB7">
        <w:t xml:space="preserve">ee </w:t>
      </w:r>
      <w:r w:rsidRPr="00306DB7">
        <w:rPr>
          <w:i/>
        </w:rPr>
        <w:t>United States v. Walters</w:t>
      </w:r>
      <w:r w:rsidRPr="00306DB7">
        <w:t xml:space="preserve"> (1st Cir. 1990) 904 F.2d 765, 770 [“Proof based on scientific analysis or expert testimony is not required to prove the illicit nature of a substance”]; </w:t>
      </w:r>
      <w:r w:rsidRPr="00306DB7">
        <w:rPr>
          <w:i/>
        </w:rPr>
        <w:t>United States v. Agueci</w:t>
      </w:r>
      <w:r w:rsidRPr="00306DB7">
        <w:t xml:space="preserve"> (2d Cir. 1962) 310 F.2d 817, 828; </w:t>
      </w:r>
      <w:r w:rsidRPr="00306DB7">
        <w:rPr>
          <w:i/>
        </w:rPr>
        <w:t>Griffin v. Spratt</w:t>
      </w:r>
      <w:r w:rsidRPr="00306DB7">
        <w:t xml:space="preserve"> (3d Cir. 1992) 969 F.2d 16, 22; </w:t>
      </w:r>
      <w:r w:rsidRPr="00306DB7">
        <w:rPr>
          <w:i/>
        </w:rPr>
        <w:t>United States v. Dolan</w:t>
      </w:r>
      <w:r w:rsidRPr="00306DB7">
        <w:t xml:space="preserve"> (4th Cir. 1976) 544 F.2d 1219, 1221; </w:t>
      </w:r>
      <w:r w:rsidRPr="00306DB7">
        <w:rPr>
          <w:i/>
        </w:rPr>
        <w:t>United States v. Osgood</w:t>
      </w:r>
      <w:r w:rsidRPr="00306DB7">
        <w:t xml:space="preserve"> (5th Cir. 1986) 794 F.2d 1087, 1095; </w:t>
      </w:r>
      <w:r w:rsidRPr="00306DB7">
        <w:rPr>
          <w:i/>
        </w:rPr>
        <w:t>United States v. Schrock</w:t>
      </w:r>
      <w:r w:rsidRPr="00306DB7">
        <w:t xml:space="preserve"> (6th Cir. 1988) 855 F.2d 327, 334; </w:t>
      </w:r>
      <w:r w:rsidRPr="00AA2F7A">
        <w:rPr>
          <w:i/>
        </w:rPr>
        <w:t>United States v. Coleman</w:t>
      </w:r>
      <w:r w:rsidRPr="00AA2F7A">
        <w:t xml:space="preserve"> (7th Cir. 1999) 179 F.3d 1056, 1060</w:t>
      </w:r>
      <w:r>
        <w:t xml:space="preserve">; </w:t>
      </w:r>
      <w:r w:rsidRPr="00306DB7">
        <w:rPr>
          <w:i/>
        </w:rPr>
        <w:t>United States v. Westbrook</w:t>
      </w:r>
      <w:r w:rsidRPr="00306DB7">
        <w:t xml:space="preserve"> (8th Cir. 1990) 896 F.2d 330, 336; </w:t>
      </w:r>
      <w:r w:rsidRPr="000F27D4">
        <w:rPr>
          <w:i/>
        </w:rPr>
        <w:t>United States v. Durham</w:t>
      </w:r>
      <w:r w:rsidRPr="00306DB7">
        <w:t xml:space="preserve"> (9th Cir. 2006) 464 F.3d 976, 984; </w:t>
      </w:r>
      <w:r w:rsidRPr="00306DB7">
        <w:rPr>
          <w:i/>
        </w:rPr>
        <w:t>United States v. Sanchez De Fundora</w:t>
      </w:r>
      <w:r w:rsidRPr="00306DB7">
        <w:t xml:space="preserve"> (10th Cir. 1990) 893 F.2d 1173, 1175; </w:t>
      </w:r>
      <w:r w:rsidRPr="00306DB7">
        <w:rPr>
          <w:i/>
        </w:rPr>
        <w:t>United States v. Harrell</w:t>
      </w:r>
      <w:r w:rsidRPr="00306DB7">
        <w:t xml:space="preserve"> (11th Cir. 1984) 737 F.2d 971, 978; </w:t>
      </w:r>
      <w:r w:rsidRPr="00306DB7">
        <w:rPr>
          <w:i/>
        </w:rPr>
        <w:t>Vest v. United States</w:t>
      </w:r>
      <w:r w:rsidRPr="00306DB7">
        <w:t xml:space="preserve"> (D.C. 2006) 905 A.2d 263, 267; </w:t>
      </w:r>
      <w:r>
        <w:t xml:space="preserve">see also </w:t>
      </w:r>
      <w:r w:rsidRPr="00306DB7">
        <w:rPr>
          <w:i/>
        </w:rPr>
        <w:t>Jones v. Commonwealth</w:t>
      </w:r>
      <w:r w:rsidRPr="00306DB7">
        <w:t xml:space="preserve"> (Ky. 2011) 331 S.W.3d 249, 253 [“</w:t>
      </w:r>
      <w:r w:rsidR="00743ECD">
        <w:t>c</w:t>
      </w:r>
      <w:r w:rsidRPr="00306DB7">
        <w:t xml:space="preserve">ourts around the nation have uniformly held that circumstantial evidence is enough to sustain a conviction for an offense involving a controlled substance”]; </w:t>
      </w:r>
      <w:bookmarkStart w:id="4" w:name="_Hlk11160192"/>
      <w:r w:rsidRPr="00306DB7">
        <w:rPr>
          <w:i/>
        </w:rPr>
        <w:t>State v. Harris</w:t>
      </w:r>
      <w:r w:rsidRPr="00306DB7">
        <w:t xml:space="preserve"> (La. 2003) 846 So.2d 709, 713 [similar]</w:t>
      </w:r>
      <w:bookmarkEnd w:id="4"/>
      <w:r w:rsidRPr="00306DB7">
        <w:t>.)</w:t>
      </w:r>
    </w:p>
  </w:footnote>
  <w:footnote w:id="9">
    <w:p w14:paraId="4C8E6FA5" w14:textId="120D24B5" w:rsidR="0093664B" w:rsidRPr="00B547BD" w:rsidRDefault="0093664B" w:rsidP="000D1695">
      <w:pPr>
        <w:pStyle w:val="FootnoteText"/>
      </w:pPr>
      <w:r>
        <w:rPr>
          <w:rStyle w:val="FootnoteReference"/>
        </w:rPr>
        <w:footnoteRef/>
      </w:r>
      <w:r>
        <w:t xml:space="preserve"> </w:t>
      </w:r>
      <w:r>
        <w:tab/>
        <w:t xml:space="preserve">As </w:t>
      </w:r>
      <w:proofErr w:type="gramStart"/>
      <w:r>
        <w:t>discussed</w:t>
      </w:r>
      <w:proofErr w:type="gramEnd"/>
      <w:r>
        <w:t xml:space="preserve"> further </w:t>
      </w:r>
      <w:r>
        <w:rPr>
          <w:i/>
        </w:rPr>
        <w:t>post</w:t>
      </w:r>
      <w:r>
        <w:t xml:space="preserve">, defendant did not urge such an interpretation at trial.  Defendant never mentioned “counterfeit drugs,” the typicality or frequency at which they are “sold on the street,” the ubiquity of “unsuspecting users who believe they are real,” or otherwise </w:t>
      </w:r>
      <w:r w:rsidR="008B1DFC">
        <w:t xml:space="preserve">attempted to negate </w:t>
      </w:r>
      <w:r>
        <w:t>his adoptive admission before the jury.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64F2" w14:textId="25859B78" w:rsidR="0093664B" w:rsidRDefault="0093664B" w:rsidP="000F75DB">
    <w:pPr>
      <w:pStyle w:val="Header"/>
    </w:pPr>
    <w:r>
      <w:t>PEOPLE v. VEAMATAHAU</w:t>
    </w:r>
  </w:p>
  <w:p w14:paraId="28CB58E1" w14:textId="77777777" w:rsidR="0093664B" w:rsidRDefault="0093664B" w:rsidP="000F75DB">
    <w:pPr>
      <w:pStyle w:val="Header"/>
    </w:pPr>
    <w:r>
      <w:t>Opinion of the Court by Cantil-Sakauye, C. J.</w:t>
    </w:r>
  </w:p>
  <w:p w14:paraId="0CC791C2" w14:textId="77777777" w:rsidR="0093664B" w:rsidRDefault="00936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9171" w14:textId="77777777" w:rsidR="006D122B" w:rsidRPr="006D122B" w:rsidRDefault="006D122B" w:rsidP="006D1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7"/>
  <w:removePersonalInformation/>
  <w:removeDateAndTime/>
  <w:printFractionalCharacterWidth/>
  <w:activeWritingStyle w:appName="MSWord" w:lang="en-US" w:vendorID="64" w:dllVersion="5"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F3"/>
    <w:rsid w:val="00000348"/>
    <w:rsid w:val="00000858"/>
    <w:rsid w:val="000020FC"/>
    <w:rsid w:val="00002A06"/>
    <w:rsid w:val="00002EBC"/>
    <w:rsid w:val="00003259"/>
    <w:rsid w:val="00003733"/>
    <w:rsid w:val="00004924"/>
    <w:rsid w:val="0000544A"/>
    <w:rsid w:val="00005638"/>
    <w:rsid w:val="00005D9A"/>
    <w:rsid w:val="00006090"/>
    <w:rsid w:val="0000641C"/>
    <w:rsid w:val="00006C97"/>
    <w:rsid w:val="0000714D"/>
    <w:rsid w:val="00007A00"/>
    <w:rsid w:val="00007E80"/>
    <w:rsid w:val="00010373"/>
    <w:rsid w:val="00010EE7"/>
    <w:rsid w:val="00011C82"/>
    <w:rsid w:val="00011CCF"/>
    <w:rsid w:val="00011D9C"/>
    <w:rsid w:val="000121B1"/>
    <w:rsid w:val="00012498"/>
    <w:rsid w:val="000130F4"/>
    <w:rsid w:val="00014634"/>
    <w:rsid w:val="0001510B"/>
    <w:rsid w:val="00017661"/>
    <w:rsid w:val="00017892"/>
    <w:rsid w:val="00017972"/>
    <w:rsid w:val="00020309"/>
    <w:rsid w:val="00020434"/>
    <w:rsid w:val="00020C16"/>
    <w:rsid w:val="000213F1"/>
    <w:rsid w:val="000221FC"/>
    <w:rsid w:val="000238A0"/>
    <w:rsid w:val="00023E0E"/>
    <w:rsid w:val="00024352"/>
    <w:rsid w:val="000243D8"/>
    <w:rsid w:val="00024B12"/>
    <w:rsid w:val="00025252"/>
    <w:rsid w:val="00025489"/>
    <w:rsid w:val="000257D2"/>
    <w:rsid w:val="00025C38"/>
    <w:rsid w:val="00026409"/>
    <w:rsid w:val="00027261"/>
    <w:rsid w:val="000276B5"/>
    <w:rsid w:val="0002788A"/>
    <w:rsid w:val="00027B94"/>
    <w:rsid w:val="00030D51"/>
    <w:rsid w:val="0003100E"/>
    <w:rsid w:val="00032132"/>
    <w:rsid w:val="000327FB"/>
    <w:rsid w:val="0003363A"/>
    <w:rsid w:val="00034B66"/>
    <w:rsid w:val="00034B98"/>
    <w:rsid w:val="00035127"/>
    <w:rsid w:val="000353E9"/>
    <w:rsid w:val="00035DE0"/>
    <w:rsid w:val="000363AC"/>
    <w:rsid w:val="00036419"/>
    <w:rsid w:val="0003771A"/>
    <w:rsid w:val="00037EAE"/>
    <w:rsid w:val="00040782"/>
    <w:rsid w:val="000408D8"/>
    <w:rsid w:val="0004147B"/>
    <w:rsid w:val="00041542"/>
    <w:rsid w:val="00042CA9"/>
    <w:rsid w:val="00042CD1"/>
    <w:rsid w:val="000433AE"/>
    <w:rsid w:val="0004390A"/>
    <w:rsid w:val="00044374"/>
    <w:rsid w:val="00045992"/>
    <w:rsid w:val="00045E34"/>
    <w:rsid w:val="0004675D"/>
    <w:rsid w:val="00046763"/>
    <w:rsid w:val="00046B2D"/>
    <w:rsid w:val="0004730D"/>
    <w:rsid w:val="000473EA"/>
    <w:rsid w:val="00050156"/>
    <w:rsid w:val="00050967"/>
    <w:rsid w:val="00050CA3"/>
    <w:rsid w:val="000514D4"/>
    <w:rsid w:val="00051572"/>
    <w:rsid w:val="00051D98"/>
    <w:rsid w:val="00051DC0"/>
    <w:rsid w:val="00053043"/>
    <w:rsid w:val="00053D32"/>
    <w:rsid w:val="0005439A"/>
    <w:rsid w:val="000547D4"/>
    <w:rsid w:val="00054870"/>
    <w:rsid w:val="0005489A"/>
    <w:rsid w:val="00056218"/>
    <w:rsid w:val="00056FEB"/>
    <w:rsid w:val="0005728B"/>
    <w:rsid w:val="00057372"/>
    <w:rsid w:val="0005761C"/>
    <w:rsid w:val="0006108B"/>
    <w:rsid w:val="000611ED"/>
    <w:rsid w:val="000613EF"/>
    <w:rsid w:val="000615D5"/>
    <w:rsid w:val="000615E6"/>
    <w:rsid w:val="000616FF"/>
    <w:rsid w:val="0006198A"/>
    <w:rsid w:val="00061AEA"/>
    <w:rsid w:val="00061BFC"/>
    <w:rsid w:val="0006342E"/>
    <w:rsid w:val="0006402B"/>
    <w:rsid w:val="0006420A"/>
    <w:rsid w:val="000654EF"/>
    <w:rsid w:val="00065926"/>
    <w:rsid w:val="00065D8A"/>
    <w:rsid w:val="00066632"/>
    <w:rsid w:val="000666B3"/>
    <w:rsid w:val="0007012A"/>
    <w:rsid w:val="00071165"/>
    <w:rsid w:val="00071652"/>
    <w:rsid w:val="00071CB6"/>
    <w:rsid w:val="00071D4D"/>
    <w:rsid w:val="00072012"/>
    <w:rsid w:val="00072059"/>
    <w:rsid w:val="0007212F"/>
    <w:rsid w:val="00072595"/>
    <w:rsid w:val="0007288A"/>
    <w:rsid w:val="00072E95"/>
    <w:rsid w:val="00073A76"/>
    <w:rsid w:val="000747E5"/>
    <w:rsid w:val="000753C0"/>
    <w:rsid w:val="00075E11"/>
    <w:rsid w:val="00076412"/>
    <w:rsid w:val="0007683C"/>
    <w:rsid w:val="00076C18"/>
    <w:rsid w:val="00076E2E"/>
    <w:rsid w:val="0007775E"/>
    <w:rsid w:val="00077E16"/>
    <w:rsid w:val="000803FA"/>
    <w:rsid w:val="00080D1B"/>
    <w:rsid w:val="00080F3C"/>
    <w:rsid w:val="00082A9B"/>
    <w:rsid w:val="00082F66"/>
    <w:rsid w:val="000837AB"/>
    <w:rsid w:val="000850FD"/>
    <w:rsid w:val="00085A75"/>
    <w:rsid w:val="00086498"/>
    <w:rsid w:val="000864CF"/>
    <w:rsid w:val="00086ACB"/>
    <w:rsid w:val="00087221"/>
    <w:rsid w:val="000877DA"/>
    <w:rsid w:val="000902F7"/>
    <w:rsid w:val="00090304"/>
    <w:rsid w:val="00090373"/>
    <w:rsid w:val="00090845"/>
    <w:rsid w:val="00090FF6"/>
    <w:rsid w:val="0009175C"/>
    <w:rsid w:val="00091981"/>
    <w:rsid w:val="00091FFA"/>
    <w:rsid w:val="0009259C"/>
    <w:rsid w:val="00092651"/>
    <w:rsid w:val="00092ABF"/>
    <w:rsid w:val="000938F8"/>
    <w:rsid w:val="00094207"/>
    <w:rsid w:val="00094AC3"/>
    <w:rsid w:val="00094F02"/>
    <w:rsid w:val="00095162"/>
    <w:rsid w:val="00096373"/>
    <w:rsid w:val="00096ED1"/>
    <w:rsid w:val="000970A4"/>
    <w:rsid w:val="00097B34"/>
    <w:rsid w:val="000A0042"/>
    <w:rsid w:val="000A06B6"/>
    <w:rsid w:val="000A0ED6"/>
    <w:rsid w:val="000A1A31"/>
    <w:rsid w:val="000A1EA0"/>
    <w:rsid w:val="000A1F3C"/>
    <w:rsid w:val="000A20D3"/>
    <w:rsid w:val="000A2AD8"/>
    <w:rsid w:val="000A3340"/>
    <w:rsid w:val="000A3DA9"/>
    <w:rsid w:val="000A4DC0"/>
    <w:rsid w:val="000A6430"/>
    <w:rsid w:val="000A6C91"/>
    <w:rsid w:val="000A799D"/>
    <w:rsid w:val="000A79D3"/>
    <w:rsid w:val="000A7D86"/>
    <w:rsid w:val="000A7F41"/>
    <w:rsid w:val="000B0005"/>
    <w:rsid w:val="000B143D"/>
    <w:rsid w:val="000B155C"/>
    <w:rsid w:val="000B32C9"/>
    <w:rsid w:val="000B358D"/>
    <w:rsid w:val="000B3826"/>
    <w:rsid w:val="000B3DF8"/>
    <w:rsid w:val="000B4085"/>
    <w:rsid w:val="000B588E"/>
    <w:rsid w:val="000B5E0C"/>
    <w:rsid w:val="000B6452"/>
    <w:rsid w:val="000B7ECE"/>
    <w:rsid w:val="000C0320"/>
    <w:rsid w:val="000C04C6"/>
    <w:rsid w:val="000C0E77"/>
    <w:rsid w:val="000C1EF2"/>
    <w:rsid w:val="000C284D"/>
    <w:rsid w:val="000C3103"/>
    <w:rsid w:val="000C3E18"/>
    <w:rsid w:val="000C447D"/>
    <w:rsid w:val="000C4912"/>
    <w:rsid w:val="000C496D"/>
    <w:rsid w:val="000C4ACF"/>
    <w:rsid w:val="000C5CB3"/>
    <w:rsid w:val="000C6A60"/>
    <w:rsid w:val="000C6F4D"/>
    <w:rsid w:val="000C74F8"/>
    <w:rsid w:val="000C752E"/>
    <w:rsid w:val="000D11B8"/>
    <w:rsid w:val="000D1695"/>
    <w:rsid w:val="000D1ACC"/>
    <w:rsid w:val="000D1B3F"/>
    <w:rsid w:val="000D2432"/>
    <w:rsid w:val="000D32D3"/>
    <w:rsid w:val="000D3CDE"/>
    <w:rsid w:val="000D4C88"/>
    <w:rsid w:val="000D4ED5"/>
    <w:rsid w:val="000D50D2"/>
    <w:rsid w:val="000D5203"/>
    <w:rsid w:val="000D5A88"/>
    <w:rsid w:val="000D5F1E"/>
    <w:rsid w:val="000D613B"/>
    <w:rsid w:val="000D665A"/>
    <w:rsid w:val="000D672E"/>
    <w:rsid w:val="000D67E5"/>
    <w:rsid w:val="000D6C18"/>
    <w:rsid w:val="000D6D9C"/>
    <w:rsid w:val="000D731B"/>
    <w:rsid w:val="000E0172"/>
    <w:rsid w:val="000E066F"/>
    <w:rsid w:val="000E0926"/>
    <w:rsid w:val="000E1327"/>
    <w:rsid w:val="000E147D"/>
    <w:rsid w:val="000E15B0"/>
    <w:rsid w:val="000E1AD5"/>
    <w:rsid w:val="000E1AF1"/>
    <w:rsid w:val="000E1EE2"/>
    <w:rsid w:val="000E25C3"/>
    <w:rsid w:val="000E2A97"/>
    <w:rsid w:val="000E3318"/>
    <w:rsid w:val="000E341A"/>
    <w:rsid w:val="000E3C1D"/>
    <w:rsid w:val="000E3DEE"/>
    <w:rsid w:val="000E621C"/>
    <w:rsid w:val="000E7441"/>
    <w:rsid w:val="000F0251"/>
    <w:rsid w:val="000F0E4C"/>
    <w:rsid w:val="000F12E4"/>
    <w:rsid w:val="000F1DA3"/>
    <w:rsid w:val="000F1EF4"/>
    <w:rsid w:val="000F27D4"/>
    <w:rsid w:val="000F2B0E"/>
    <w:rsid w:val="000F2C6E"/>
    <w:rsid w:val="000F2EED"/>
    <w:rsid w:val="000F3325"/>
    <w:rsid w:val="000F45F8"/>
    <w:rsid w:val="000F5A89"/>
    <w:rsid w:val="000F5F5D"/>
    <w:rsid w:val="000F6CB5"/>
    <w:rsid w:val="000F7220"/>
    <w:rsid w:val="000F75DB"/>
    <w:rsid w:val="000F7631"/>
    <w:rsid w:val="000F7B40"/>
    <w:rsid w:val="000F7D14"/>
    <w:rsid w:val="00100208"/>
    <w:rsid w:val="0010038A"/>
    <w:rsid w:val="0010051B"/>
    <w:rsid w:val="001006FC"/>
    <w:rsid w:val="0010184A"/>
    <w:rsid w:val="00101B5D"/>
    <w:rsid w:val="0010207E"/>
    <w:rsid w:val="00103349"/>
    <w:rsid w:val="00103357"/>
    <w:rsid w:val="001041B0"/>
    <w:rsid w:val="0010435C"/>
    <w:rsid w:val="00104DC3"/>
    <w:rsid w:val="00104DCE"/>
    <w:rsid w:val="001061CF"/>
    <w:rsid w:val="00107AA9"/>
    <w:rsid w:val="00110ACC"/>
    <w:rsid w:val="001111EF"/>
    <w:rsid w:val="00111CAE"/>
    <w:rsid w:val="001142B1"/>
    <w:rsid w:val="00114877"/>
    <w:rsid w:val="00115B22"/>
    <w:rsid w:val="00116297"/>
    <w:rsid w:val="00116AAB"/>
    <w:rsid w:val="001214DD"/>
    <w:rsid w:val="00121818"/>
    <w:rsid w:val="00121A09"/>
    <w:rsid w:val="00121A68"/>
    <w:rsid w:val="00121A8A"/>
    <w:rsid w:val="001236DE"/>
    <w:rsid w:val="00123C41"/>
    <w:rsid w:val="00124326"/>
    <w:rsid w:val="00125273"/>
    <w:rsid w:val="0012546A"/>
    <w:rsid w:val="00125D09"/>
    <w:rsid w:val="001260AF"/>
    <w:rsid w:val="001278EB"/>
    <w:rsid w:val="001303E0"/>
    <w:rsid w:val="00130489"/>
    <w:rsid w:val="001306B1"/>
    <w:rsid w:val="00131046"/>
    <w:rsid w:val="00131D6E"/>
    <w:rsid w:val="00132133"/>
    <w:rsid w:val="00132FAA"/>
    <w:rsid w:val="00132FDE"/>
    <w:rsid w:val="0013329D"/>
    <w:rsid w:val="00133421"/>
    <w:rsid w:val="001343D2"/>
    <w:rsid w:val="00134415"/>
    <w:rsid w:val="00135ACD"/>
    <w:rsid w:val="00135B50"/>
    <w:rsid w:val="00136D6A"/>
    <w:rsid w:val="00136E27"/>
    <w:rsid w:val="00137550"/>
    <w:rsid w:val="001377A7"/>
    <w:rsid w:val="00137C1C"/>
    <w:rsid w:val="00140CE1"/>
    <w:rsid w:val="001410B3"/>
    <w:rsid w:val="001412F5"/>
    <w:rsid w:val="00141BFF"/>
    <w:rsid w:val="00141D3B"/>
    <w:rsid w:val="00142903"/>
    <w:rsid w:val="0014327F"/>
    <w:rsid w:val="001442E0"/>
    <w:rsid w:val="00144DB3"/>
    <w:rsid w:val="00144E40"/>
    <w:rsid w:val="001455C3"/>
    <w:rsid w:val="0014604E"/>
    <w:rsid w:val="001464B2"/>
    <w:rsid w:val="00146DBD"/>
    <w:rsid w:val="00146F52"/>
    <w:rsid w:val="0014752C"/>
    <w:rsid w:val="00147599"/>
    <w:rsid w:val="00147A92"/>
    <w:rsid w:val="00147C7B"/>
    <w:rsid w:val="0015036B"/>
    <w:rsid w:val="00150E73"/>
    <w:rsid w:val="00151C31"/>
    <w:rsid w:val="00151CBB"/>
    <w:rsid w:val="00151D61"/>
    <w:rsid w:val="00151EA2"/>
    <w:rsid w:val="00152AB8"/>
    <w:rsid w:val="00152D2B"/>
    <w:rsid w:val="00153C74"/>
    <w:rsid w:val="00153EC8"/>
    <w:rsid w:val="00154A98"/>
    <w:rsid w:val="00154BCD"/>
    <w:rsid w:val="00154CE3"/>
    <w:rsid w:val="00155603"/>
    <w:rsid w:val="00156307"/>
    <w:rsid w:val="0015675C"/>
    <w:rsid w:val="00157AD7"/>
    <w:rsid w:val="00161167"/>
    <w:rsid w:val="00162304"/>
    <w:rsid w:val="00163BA2"/>
    <w:rsid w:val="00163C74"/>
    <w:rsid w:val="00164601"/>
    <w:rsid w:val="00164AA4"/>
    <w:rsid w:val="00164DFA"/>
    <w:rsid w:val="001654FD"/>
    <w:rsid w:val="00165A4A"/>
    <w:rsid w:val="00165BF9"/>
    <w:rsid w:val="00165EAC"/>
    <w:rsid w:val="00166677"/>
    <w:rsid w:val="0016743F"/>
    <w:rsid w:val="00167AC4"/>
    <w:rsid w:val="00167D7E"/>
    <w:rsid w:val="00170191"/>
    <w:rsid w:val="001702ED"/>
    <w:rsid w:val="0017031E"/>
    <w:rsid w:val="00170525"/>
    <w:rsid w:val="00170B6A"/>
    <w:rsid w:val="00170EDF"/>
    <w:rsid w:val="0017124C"/>
    <w:rsid w:val="0017139D"/>
    <w:rsid w:val="0017226A"/>
    <w:rsid w:val="00172670"/>
    <w:rsid w:val="00172BEB"/>
    <w:rsid w:val="001737D4"/>
    <w:rsid w:val="00173AA0"/>
    <w:rsid w:val="0017494F"/>
    <w:rsid w:val="001766CA"/>
    <w:rsid w:val="00176DF2"/>
    <w:rsid w:val="00176E92"/>
    <w:rsid w:val="00177EEA"/>
    <w:rsid w:val="0018010E"/>
    <w:rsid w:val="001806E9"/>
    <w:rsid w:val="0018290C"/>
    <w:rsid w:val="00183B55"/>
    <w:rsid w:val="00183E22"/>
    <w:rsid w:val="00184082"/>
    <w:rsid w:val="001848CF"/>
    <w:rsid w:val="001849FA"/>
    <w:rsid w:val="00184EDE"/>
    <w:rsid w:val="0018572C"/>
    <w:rsid w:val="00185991"/>
    <w:rsid w:val="00185B2A"/>
    <w:rsid w:val="00185C37"/>
    <w:rsid w:val="001871F1"/>
    <w:rsid w:val="0018745A"/>
    <w:rsid w:val="00187D7A"/>
    <w:rsid w:val="00187F7E"/>
    <w:rsid w:val="00190F5D"/>
    <w:rsid w:val="00190F8E"/>
    <w:rsid w:val="00191969"/>
    <w:rsid w:val="0019276D"/>
    <w:rsid w:val="00192E5B"/>
    <w:rsid w:val="00193D60"/>
    <w:rsid w:val="0019439B"/>
    <w:rsid w:val="00194C4E"/>
    <w:rsid w:val="00195A3F"/>
    <w:rsid w:val="00195C3E"/>
    <w:rsid w:val="00196922"/>
    <w:rsid w:val="00196D6E"/>
    <w:rsid w:val="00196EA9"/>
    <w:rsid w:val="001A0023"/>
    <w:rsid w:val="001A0ABA"/>
    <w:rsid w:val="001A0E8F"/>
    <w:rsid w:val="001A129A"/>
    <w:rsid w:val="001A1483"/>
    <w:rsid w:val="001A242A"/>
    <w:rsid w:val="001A3750"/>
    <w:rsid w:val="001A3C28"/>
    <w:rsid w:val="001A3E4A"/>
    <w:rsid w:val="001A457C"/>
    <w:rsid w:val="001A5009"/>
    <w:rsid w:val="001A6D66"/>
    <w:rsid w:val="001A6F30"/>
    <w:rsid w:val="001A761E"/>
    <w:rsid w:val="001A7735"/>
    <w:rsid w:val="001B02CF"/>
    <w:rsid w:val="001B139B"/>
    <w:rsid w:val="001B1561"/>
    <w:rsid w:val="001B2097"/>
    <w:rsid w:val="001B2553"/>
    <w:rsid w:val="001B2649"/>
    <w:rsid w:val="001B2A47"/>
    <w:rsid w:val="001B318E"/>
    <w:rsid w:val="001B4B53"/>
    <w:rsid w:val="001B507A"/>
    <w:rsid w:val="001B5DC3"/>
    <w:rsid w:val="001B5E23"/>
    <w:rsid w:val="001B63B5"/>
    <w:rsid w:val="001B64DA"/>
    <w:rsid w:val="001B68D6"/>
    <w:rsid w:val="001B6B1F"/>
    <w:rsid w:val="001B6F36"/>
    <w:rsid w:val="001B7634"/>
    <w:rsid w:val="001B7CC2"/>
    <w:rsid w:val="001B7DAF"/>
    <w:rsid w:val="001C07CE"/>
    <w:rsid w:val="001C0DA1"/>
    <w:rsid w:val="001C14F4"/>
    <w:rsid w:val="001C1D1A"/>
    <w:rsid w:val="001C2003"/>
    <w:rsid w:val="001C4D0A"/>
    <w:rsid w:val="001C530A"/>
    <w:rsid w:val="001C6C4C"/>
    <w:rsid w:val="001C6D42"/>
    <w:rsid w:val="001C7138"/>
    <w:rsid w:val="001C7452"/>
    <w:rsid w:val="001C7463"/>
    <w:rsid w:val="001C7873"/>
    <w:rsid w:val="001D03B6"/>
    <w:rsid w:val="001D0C02"/>
    <w:rsid w:val="001D1992"/>
    <w:rsid w:val="001D1A0E"/>
    <w:rsid w:val="001D1B33"/>
    <w:rsid w:val="001D1D8A"/>
    <w:rsid w:val="001D322E"/>
    <w:rsid w:val="001D331E"/>
    <w:rsid w:val="001D399D"/>
    <w:rsid w:val="001D3E66"/>
    <w:rsid w:val="001D5FA5"/>
    <w:rsid w:val="001D7257"/>
    <w:rsid w:val="001E0B05"/>
    <w:rsid w:val="001E0F5D"/>
    <w:rsid w:val="001E2210"/>
    <w:rsid w:val="001E298A"/>
    <w:rsid w:val="001E351F"/>
    <w:rsid w:val="001E370A"/>
    <w:rsid w:val="001E3A8E"/>
    <w:rsid w:val="001E3B94"/>
    <w:rsid w:val="001E4073"/>
    <w:rsid w:val="001E44DD"/>
    <w:rsid w:val="001E4A15"/>
    <w:rsid w:val="001E5933"/>
    <w:rsid w:val="001E5EA7"/>
    <w:rsid w:val="001E67AA"/>
    <w:rsid w:val="001E73CA"/>
    <w:rsid w:val="001F07CB"/>
    <w:rsid w:val="001F2200"/>
    <w:rsid w:val="001F243A"/>
    <w:rsid w:val="001F284F"/>
    <w:rsid w:val="001F31FB"/>
    <w:rsid w:val="001F3952"/>
    <w:rsid w:val="001F410A"/>
    <w:rsid w:val="001F4DF2"/>
    <w:rsid w:val="001F5217"/>
    <w:rsid w:val="001F693D"/>
    <w:rsid w:val="001F75D3"/>
    <w:rsid w:val="001F7A02"/>
    <w:rsid w:val="001F7A4B"/>
    <w:rsid w:val="002005B4"/>
    <w:rsid w:val="002012D7"/>
    <w:rsid w:val="00201321"/>
    <w:rsid w:val="0020135C"/>
    <w:rsid w:val="00204009"/>
    <w:rsid w:val="0020459D"/>
    <w:rsid w:val="002046FE"/>
    <w:rsid w:val="00204CFC"/>
    <w:rsid w:val="0020748A"/>
    <w:rsid w:val="0020769A"/>
    <w:rsid w:val="002076E3"/>
    <w:rsid w:val="0021038F"/>
    <w:rsid w:val="0021121A"/>
    <w:rsid w:val="00211361"/>
    <w:rsid w:val="00211E34"/>
    <w:rsid w:val="002120ED"/>
    <w:rsid w:val="002123A7"/>
    <w:rsid w:val="00212616"/>
    <w:rsid w:val="00212AD1"/>
    <w:rsid w:val="00212F5D"/>
    <w:rsid w:val="00213CEB"/>
    <w:rsid w:val="00213EEC"/>
    <w:rsid w:val="00215522"/>
    <w:rsid w:val="00215E87"/>
    <w:rsid w:val="00216A3E"/>
    <w:rsid w:val="00216E9B"/>
    <w:rsid w:val="0021704D"/>
    <w:rsid w:val="0021718C"/>
    <w:rsid w:val="0021737A"/>
    <w:rsid w:val="00217AE9"/>
    <w:rsid w:val="00217BD1"/>
    <w:rsid w:val="00220AF5"/>
    <w:rsid w:val="00220D07"/>
    <w:rsid w:val="00221046"/>
    <w:rsid w:val="002216F3"/>
    <w:rsid w:val="002217F2"/>
    <w:rsid w:val="00221F4D"/>
    <w:rsid w:val="0022202B"/>
    <w:rsid w:val="0022208F"/>
    <w:rsid w:val="002220FE"/>
    <w:rsid w:val="00222424"/>
    <w:rsid w:val="00222AB9"/>
    <w:rsid w:val="00222B21"/>
    <w:rsid w:val="00222F87"/>
    <w:rsid w:val="002237E9"/>
    <w:rsid w:val="00223F0D"/>
    <w:rsid w:val="00224034"/>
    <w:rsid w:val="002242C8"/>
    <w:rsid w:val="002243AA"/>
    <w:rsid w:val="00224C43"/>
    <w:rsid w:val="00224EAD"/>
    <w:rsid w:val="0022549B"/>
    <w:rsid w:val="00225C5F"/>
    <w:rsid w:val="00225F0B"/>
    <w:rsid w:val="00226295"/>
    <w:rsid w:val="00226325"/>
    <w:rsid w:val="00226C8D"/>
    <w:rsid w:val="00226DBD"/>
    <w:rsid w:val="00227039"/>
    <w:rsid w:val="00230A8A"/>
    <w:rsid w:val="00230BF7"/>
    <w:rsid w:val="0023128E"/>
    <w:rsid w:val="00231705"/>
    <w:rsid w:val="00231B1C"/>
    <w:rsid w:val="00232091"/>
    <w:rsid w:val="00232310"/>
    <w:rsid w:val="002339AF"/>
    <w:rsid w:val="00233B66"/>
    <w:rsid w:val="00233C1B"/>
    <w:rsid w:val="00234773"/>
    <w:rsid w:val="00234A06"/>
    <w:rsid w:val="0023647C"/>
    <w:rsid w:val="0023678F"/>
    <w:rsid w:val="00237345"/>
    <w:rsid w:val="00240D5E"/>
    <w:rsid w:val="00240E5F"/>
    <w:rsid w:val="0024135E"/>
    <w:rsid w:val="00241514"/>
    <w:rsid w:val="00241E88"/>
    <w:rsid w:val="00242492"/>
    <w:rsid w:val="0024289E"/>
    <w:rsid w:val="00242CDB"/>
    <w:rsid w:val="00242DBD"/>
    <w:rsid w:val="0024375B"/>
    <w:rsid w:val="00245A90"/>
    <w:rsid w:val="00247C2C"/>
    <w:rsid w:val="00250256"/>
    <w:rsid w:val="002507FC"/>
    <w:rsid w:val="00251C55"/>
    <w:rsid w:val="0025264C"/>
    <w:rsid w:val="002533EA"/>
    <w:rsid w:val="00253FD0"/>
    <w:rsid w:val="002562CD"/>
    <w:rsid w:val="00256E6B"/>
    <w:rsid w:val="00257430"/>
    <w:rsid w:val="00257761"/>
    <w:rsid w:val="002579D8"/>
    <w:rsid w:val="00260620"/>
    <w:rsid w:val="00261ADC"/>
    <w:rsid w:val="00261D9C"/>
    <w:rsid w:val="00261FB3"/>
    <w:rsid w:val="002620A1"/>
    <w:rsid w:val="0026290C"/>
    <w:rsid w:val="00263537"/>
    <w:rsid w:val="0026370C"/>
    <w:rsid w:val="00263955"/>
    <w:rsid w:val="00263FAD"/>
    <w:rsid w:val="00264120"/>
    <w:rsid w:val="002651F8"/>
    <w:rsid w:val="0026528F"/>
    <w:rsid w:val="00265D55"/>
    <w:rsid w:val="00265F5E"/>
    <w:rsid w:val="0026725A"/>
    <w:rsid w:val="002701AB"/>
    <w:rsid w:val="00270DB5"/>
    <w:rsid w:val="0027149B"/>
    <w:rsid w:val="00271B4F"/>
    <w:rsid w:val="00271F2E"/>
    <w:rsid w:val="00272704"/>
    <w:rsid w:val="00272924"/>
    <w:rsid w:val="0027363E"/>
    <w:rsid w:val="00274C04"/>
    <w:rsid w:val="00275125"/>
    <w:rsid w:val="002757FF"/>
    <w:rsid w:val="00275B55"/>
    <w:rsid w:val="00275EC8"/>
    <w:rsid w:val="00275F56"/>
    <w:rsid w:val="0027629B"/>
    <w:rsid w:val="00277793"/>
    <w:rsid w:val="00277A31"/>
    <w:rsid w:val="0028007B"/>
    <w:rsid w:val="00281B22"/>
    <w:rsid w:val="00281BB7"/>
    <w:rsid w:val="00281FEF"/>
    <w:rsid w:val="002820DD"/>
    <w:rsid w:val="00282702"/>
    <w:rsid w:val="00282C06"/>
    <w:rsid w:val="002831B0"/>
    <w:rsid w:val="00283F38"/>
    <w:rsid w:val="0028530F"/>
    <w:rsid w:val="00285A04"/>
    <w:rsid w:val="00285B7F"/>
    <w:rsid w:val="002863FA"/>
    <w:rsid w:val="00286972"/>
    <w:rsid w:val="0028702F"/>
    <w:rsid w:val="00287563"/>
    <w:rsid w:val="0028782F"/>
    <w:rsid w:val="00290B37"/>
    <w:rsid w:val="0029157D"/>
    <w:rsid w:val="00291E2B"/>
    <w:rsid w:val="00292107"/>
    <w:rsid w:val="00292897"/>
    <w:rsid w:val="002928E4"/>
    <w:rsid w:val="00293073"/>
    <w:rsid w:val="00293D8F"/>
    <w:rsid w:val="00294BC6"/>
    <w:rsid w:val="00294BEC"/>
    <w:rsid w:val="002969A4"/>
    <w:rsid w:val="00297173"/>
    <w:rsid w:val="00297751"/>
    <w:rsid w:val="00297CA2"/>
    <w:rsid w:val="00297FBA"/>
    <w:rsid w:val="002A04D5"/>
    <w:rsid w:val="002A08F2"/>
    <w:rsid w:val="002A1491"/>
    <w:rsid w:val="002A1518"/>
    <w:rsid w:val="002A1A6B"/>
    <w:rsid w:val="002A1EAF"/>
    <w:rsid w:val="002A21E9"/>
    <w:rsid w:val="002A2532"/>
    <w:rsid w:val="002A2EBF"/>
    <w:rsid w:val="002A30D8"/>
    <w:rsid w:val="002A46C7"/>
    <w:rsid w:val="002A4C74"/>
    <w:rsid w:val="002A4D0F"/>
    <w:rsid w:val="002A5F9D"/>
    <w:rsid w:val="002A7576"/>
    <w:rsid w:val="002A75FE"/>
    <w:rsid w:val="002A7A76"/>
    <w:rsid w:val="002A7A8C"/>
    <w:rsid w:val="002B0339"/>
    <w:rsid w:val="002B0FCF"/>
    <w:rsid w:val="002B1BA7"/>
    <w:rsid w:val="002B25EA"/>
    <w:rsid w:val="002B3A31"/>
    <w:rsid w:val="002B3F13"/>
    <w:rsid w:val="002B5236"/>
    <w:rsid w:val="002B5493"/>
    <w:rsid w:val="002B570C"/>
    <w:rsid w:val="002B71A7"/>
    <w:rsid w:val="002B7AC8"/>
    <w:rsid w:val="002C0940"/>
    <w:rsid w:val="002C0DA4"/>
    <w:rsid w:val="002C191F"/>
    <w:rsid w:val="002C4DAD"/>
    <w:rsid w:val="002C4DDC"/>
    <w:rsid w:val="002C4F52"/>
    <w:rsid w:val="002C501C"/>
    <w:rsid w:val="002C5525"/>
    <w:rsid w:val="002C667E"/>
    <w:rsid w:val="002C668B"/>
    <w:rsid w:val="002C6E19"/>
    <w:rsid w:val="002C6ECC"/>
    <w:rsid w:val="002D0CE7"/>
    <w:rsid w:val="002D160D"/>
    <w:rsid w:val="002D240F"/>
    <w:rsid w:val="002D2544"/>
    <w:rsid w:val="002D297A"/>
    <w:rsid w:val="002D2C15"/>
    <w:rsid w:val="002D3936"/>
    <w:rsid w:val="002D3A5C"/>
    <w:rsid w:val="002D3CE9"/>
    <w:rsid w:val="002D4909"/>
    <w:rsid w:val="002D4FF1"/>
    <w:rsid w:val="002D5DB9"/>
    <w:rsid w:val="002D74CA"/>
    <w:rsid w:val="002E045E"/>
    <w:rsid w:val="002E0F40"/>
    <w:rsid w:val="002E10B3"/>
    <w:rsid w:val="002E1601"/>
    <w:rsid w:val="002E1C28"/>
    <w:rsid w:val="002E1CC8"/>
    <w:rsid w:val="002E2B09"/>
    <w:rsid w:val="002E2E04"/>
    <w:rsid w:val="002E2F51"/>
    <w:rsid w:val="002E32EC"/>
    <w:rsid w:val="002E36FC"/>
    <w:rsid w:val="002E39CB"/>
    <w:rsid w:val="002E45E3"/>
    <w:rsid w:val="002E4E64"/>
    <w:rsid w:val="002E575C"/>
    <w:rsid w:val="002E6181"/>
    <w:rsid w:val="002E7906"/>
    <w:rsid w:val="002F0025"/>
    <w:rsid w:val="002F0284"/>
    <w:rsid w:val="002F068D"/>
    <w:rsid w:val="002F0EB5"/>
    <w:rsid w:val="002F16C0"/>
    <w:rsid w:val="002F1CB4"/>
    <w:rsid w:val="002F20A5"/>
    <w:rsid w:val="002F218B"/>
    <w:rsid w:val="002F278D"/>
    <w:rsid w:val="002F2B1F"/>
    <w:rsid w:val="002F2C9A"/>
    <w:rsid w:val="002F3119"/>
    <w:rsid w:val="002F3850"/>
    <w:rsid w:val="002F3891"/>
    <w:rsid w:val="002F3895"/>
    <w:rsid w:val="002F3974"/>
    <w:rsid w:val="002F40B8"/>
    <w:rsid w:val="002F49E0"/>
    <w:rsid w:val="002F4CEB"/>
    <w:rsid w:val="002F4ECB"/>
    <w:rsid w:val="002F4EF0"/>
    <w:rsid w:val="002F524E"/>
    <w:rsid w:val="002F59B1"/>
    <w:rsid w:val="002F6021"/>
    <w:rsid w:val="002F6136"/>
    <w:rsid w:val="002F678B"/>
    <w:rsid w:val="002F6EC1"/>
    <w:rsid w:val="002F7EA7"/>
    <w:rsid w:val="0030079C"/>
    <w:rsid w:val="00300DEE"/>
    <w:rsid w:val="003019EF"/>
    <w:rsid w:val="00301DCA"/>
    <w:rsid w:val="00302AF9"/>
    <w:rsid w:val="003048A5"/>
    <w:rsid w:val="00304AF4"/>
    <w:rsid w:val="00304DF4"/>
    <w:rsid w:val="00305C82"/>
    <w:rsid w:val="003067E5"/>
    <w:rsid w:val="00306DB7"/>
    <w:rsid w:val="0030721D"/>
    <w:rsid w:val="00307DCC"/>
    <w:rsid w:val="00310AB5"/>
    <w:rsid w:val="00310D81"/>
    <w:rsid w:val="00310FD2"/>
    <w:rsid w:val="00311222"/>
    <w:rsid w:val="00311AA1"/>
    <w:rsid w:val="003131FE"/>
    <w:rsid w:val="00313671"/>
    <w:rsid w:val="00314138"/>
    <w:rsid w:val="003141A6"/>
    <w:rsid w:val="00314E94"/>
    <w:rsid w:val="00315CE0"/>
    <w:rsid w:val="00315D81"/>
    <w:rsid w:val="0031601C"/>
    <w:rsid w:val="003174C3"/>
    <w:rsid w:val="00317CE4"/>
    <w:rsid w:val="00320760"/>
    <w:rsid w:val="003211F3"/>
    <w:rsid w:val="003215A4"/>
    <w:rsid w:val="00321859"/>
    <w:rsid w:val="00321A2D"/>
    <w:rsid w:val="00322862"/>
    <w:rsid w:val="00322A8E"/>
    <w:rsid w:val="00322B2C"/>
    <w:rsid w:val="00322C41"/>
    <w:rsid w:val="00323112"/>
    <w:rsid w:val="00323D01"/>
    <w:rsid w:val="00323F92"/>
    <w:rsid w:val="003245AB"/>
    <w:rsid w:val="0032725A"/>
    <w:rsid w:val="003301F5"/>
    <w:rsid w:val="00330F45"/>
    <w:rsid w:val="00333166"/>
    <w:rsid w:val="00333611"/>
    <w:rsid w:val="003336C6"/>
    <w:rsid w:val="00333BF5"/>
    <w:rsid w:val="00334456"/>
    <w:rsid w:val="00334731"/>
    <w:rsid w:val="00335595"/>
    <w:rsid w:val="00335A77"/>
    <w:rsid w:val="0033625F"/>
    <w:rsid w:val="00336F5C"/>
    <w:rsid w:val="00337576"/>
    <w:rsid w:val="00340129"/>
    <w:rsid w:val="00340262"/>
    <w:rsid w:val="003414E7"/>
    <w:rsid w:val="00341E0B"/>
    <w:rsid w:val="003421C3"/>
    <w:rsid w:val="0034224F"/>
    <w:rsid w:val="0034293F"/>
    <w:rsid w:val="00343273"/>
    <w:rsid w:val="00343B48"/>
    <w:rsid w:val="00343CF9"/>
    <w:rsid w:val="00344ADC"/>
    <w:rsid w:val="003455ED"/>
    <w:rsid w:val="00345C86"/>
    <w:rsid w:val="003464DE"/>
    <w:rsid w:val="003464FC"/>
    <w:rsid w:val="00346661"/>
    <w:rsid w:val="00346CE4"/>
    <w:rsid w:val="0034718B"/>
    <w:rsid w:val="003500B2"/>
    <w:rsid w:val="0035011A"/>
    <w:rsid w:val="003508EA"/>
    <w:rsid w:val="00350CBC"/>
    <w:rsid w:val="00351573"/>
    <w:rsid w:val="00353174"/>
    <w:rsid w:val="003532CF"/>
    <w:rsid w:val="00354E2F"/>
    <w:rsid w:val="00355308"/>
    <w:rsid w:val="0035571B"/>
    <w:rsid w:val="00355BA4"/>
    <w:rsid w:val="00355ED1"/>
    <w:rsid w:val="00356261"/>
    <w:rsid w:val="003566C3"/>
    <w:rsid w:val="00356876"/>
    <w:rsid w:val="00356CC5"/>
    <w:rsid w:val="00357A0F"/>
    <w:rsid w:val="00357C38"/>
    <w:rsid w:val="00360AFA"/>
    <w:rsid w:val="00360C9E"/>
    <w:rsid w:val="00360CE5"/>
    <w:rsid w:val="00360F09"/>
    <w:rsid w:val="0036102B"/>
    <w:rsid w:val="003611A0"/>
    <w:rsid w:val="003619A7"/>
    <w:rsid w:val="00361AE6"/>
    <w:rsid w:val="003626B8"/>
    <w:rsid w:val="0036287F"/>
    <w:rsid w:val="00362BE5"/>
    <w:rsid w:val="0036357A"/>
    <w:rsid w:val="003638E2"/>
    <w:rsid w:val="0036394F"/>
    <w:rsid w:val="00363AED"/>
    <w:rsid w:val="00363C03"/>
    <w:rsid w:val="00364058"/>
    <w:rsid w:val="003640A4"/>
    <w:rsid w:val="00364B16"/>
    <w:rsid w:val="00364CC1"/>
    <w:rsid w:val="0036590B"/>
    <w:rsid w:val="00365FC9"/>
    <w:rsid w:val="00366408"/>
    <w:rsid w:val="00366830"/>
    <w:rsid w:val="00366E1A"/>
    <w:rsid w:val="00366E8C"/>
    <w:rsid w:val="00367979"/>
    <w:rsid w:val="00367BD6"/>
    <w:rsid w:val="00370381"/>
    <w:rsid w:val="00370410"/>
    <w:rsid w:val="00371992"/>
    <w:rsid w:val="00371C74"/>
    <w:rsid w:val="00372454"/>
    <w:rsid w:val="0037252D"/>
    <w:rsid w:val="0037255D"/>
    <w:rsid w:val="00372E85"/>
    <w:rsid w:val="00373673"/>
    <w:rsid w:val="0037623E"/>
    <w:rsid w:val="0037643A"/>
    <w:rsid w:val="00376EC0"/>
    <w:rsid w:val="00377330"/>
    <w:rsid w:val="00377551"/>
    <w:rsid w:val="00377A52"/>
    <w:rsid w:val="00377DE1"/>
    <w:rsid w:val="00380152"/>
    <w:rsid w:val="003806C4"/>
    <w:rsid w:val="00382121"/>
    <w:rsid w:val="0038265B"/>
    <w:rsid w:val="003839F2"/>
    <w:rsid w:val="00383B11"/>
    <w:rsid w:val="00384302"/>
    <w:rsid w:val="00384770"/>
    <w:rsid w:val="003847A7"/>
    <w:rsid w:val="003849FF"/>
    <w:rsid w:val="00384EFD"/>
    <w:rsid w:val="00386825"/>
    <w:rsid w:val="00387171"/>
    <w:rsid w:val="00387747"/>
    <w:rsid w:val="00387898"/>
    <w:rsid w:val="00387C8B"/>
    <w:rsid w:val="00390305"/>
    <w:rsid w:val="003907A0"/>
    <w:rsid w:val="00390A35"/>
    <w:rsid w:val="00390D88"/>
    <w:rsid w:val="00390DF5"/>
    <w:rsid w:val="00391F03"/>
    <w:rsid w:val="0039382D"/>
    <w:rsid w:val="00393BE1"/>
    <w:rsid w:val="00394235"/>
    <w:rsid w:val="0039423D"/>
    <w:rsid w:val="00394938"/>
    <w:rsid w:val="00395A4E"/>
    <w:rsid w:val="00395C23"/>
    <w:rsid w:val="00396042"/>
    <w:rsid w:val="00396934"/>
    <w:rsid w:val="00396BCF"/>
    <w:rsid w:val="00396C88"/>
    <w:rsid w:val="00396C99"/>
    <w:rsid w:val="00397223"/>
    <w:rsid w:val="003979B7"/>
    <w:rsid w:val="003A0138"/>
    <w:rsid w:val="003A057B"/>
    <w:rsid w:val="003A0917"/>
    <w:rsid w:val="003A12A4"/>
    <w:rsid w:val="003A17C9"/>
    <w:rsid w:val="003A1E6B"/>
    <w:rsid w:val="003A2233"/>
    <w:rsid w:val="003A2848"/>
    <w:rsid w:val="003A2975"/>
    <w:rsid w:val="003A3024"/>
    <w:rsid w:val="003A320B"/>
    <w:rsid w:val="003A3E26"/>
    <w:rsid w:val="003A4190"/>
    <w:rsid w:val="003A433F"/>
    <w:rsid w:val="003A500A"/>
    <w:rsid w:val="003A51C3"/>
    <w:rsid w:val="003A55AD"/>
    <w:rsid w:val="003A664E"/>
    <w:rsid w:val="003A6BF1"/>
    <w:rsid w:val="003A71E3"/>
    <w:rsid w:val="003A77A3"/>
    <w:rsid w:val="003A7E75"/>
    <w:rsid w:val="003B16C4"/>
    <w:rsid w:val="003B24C3"/>
    <w:rsid w:val="003B32E8"/>
    <w:rsid w:val="003B3782"/>
    <w:rsid w:val="003B5274"/>
    <w:rsid w:val="003B5516"/>
    <w:rsid w:val="003B5626"/>
    <w:rsid w:val="003B562A"/>
    <w:rsid w:val="003B5830"/>
    <w:rsid w:val="003B5A56"/>
    <w:rsid w:val="003B6A9B"/>
    <w:rsid w:val="003B6B74"/>
    <w:rsid w:val="003B6C2F"/>
    <w:rsid w:val="003B6D30"/>
    <w:rsid w:val="003B6F21"/>
    <w:rsid w:val="003B7DB4"/>
    <w:rsid w:val="003B7E55"/>
    <w:rsid w:val="003C1079"/>
    <w:rsid w:val="003C119B"/>
    <w:rsid w:val="003C15B4"/>
    <w:rsid w:val="003C15DC"/>
    <w:rsid w:val="003C1FA1"/>
    <w:rsid w:val="003C2C84"/>
    <w:rsid w:val="003C3044"/>
    <w:rsid w:val="003C3165"/>
    <w:rsid w:val="003C45F2"/>
    <w:rsid w:val="003C4ACB"/>
    <w:rsid w:val="003C5050"/>
    <w:rsid w:val="003C66F8"/>
    <w:rsid w:val="003C692C"/>
    <w:rsid w:val="003C6ABD"/>
    <w:rsid w:val="003C7984"/>
    <w:rsid w:val="003D08FE"/>
    <w:rsid w:val="003D0914"/>
    <w:rsid w:val="003D1253"/>
    <w:rsid w:val="003D12FE"/>
    <w:rsid w:val="003D13B7"/>
    <w:rsid w:val="003D13ED"/>
    <w:rsid w:val="003D18FA"/>
    <w:rsid w:val="003D2CD7"/>
    <w:rsid w:val="003D33CD"/>
    <w:rsid w:val="003D36B7"/>
    <w:rsid w:val="003D37F4"/>
    <w:rsid w:val="003D3AA6"/>
    <w:rsid w:val="003D3EC3"/>
    <w:rsid w:val="003D630D"/>
    <w:rsid w:val="003D73AA"/>
    <w:rsid w:val="003D7C4A"/>
    <w:rsid w:val="003D7DB2"/>
    <w:rsid w:val="003D7DCB"/>
    <w:rsid w:val="003E0980"/>
    <w:rsid w:val="003E0B17"/>
    <w:rsid w:val="003E313C"/>
    <w:rsid w:val="003E386D"/>
    <w:rsid w:val="003E42E6"/>
    <w:rsid w:val="003E4975"/>
    <w:rsid w:val="003E4F38"/>
    <w:rsid w:val="003E50E5"/>
    <w:rsid w:val="003E5E73"/>
    <w:rsid w:val="003E68B3"/>
    <w:rsid w:val="003F0422"/>
    <w:rsid w:val="003F065D"/>
    <w:rsid w:val="003F101C"/>
    <w:rsid w:val="003F15BB"/>
    <w:rsid w:val="003F17C2"/>
    <w:rsid w:val="003F1BE4"/>
    <w:rsid w:val="003F215C"/>
    <w:rsid w:val="003F2DE1"/>
    <w:rsid w:val="003F373A"/>
    <w:rsid w:val="003F38FC"/>
    <w:rsid w:val="003F3A77"/>
    <w:rsid w:val="003F43BA"/>
    <w:rsid w:val="003F44F1"/>
    <w:rsid w:val="003F4756"/>
    <w:rsid w:val="003F4BCD"/>
    <w:rsid w:val="003F50BD"/>
    <w:rsid w:val="003F557B"/>
    <w:rsid w:val="003F5C60"/>
    <w:rsid w:val="003F5D5E"/>
    <w:rsid w:val="003F714E"/>
    <w:rsid w:val="003F7E6A"/>
    <w:rsid w:val="004016E7"/>
    <w:rsid w:val="00402EA5"/>
    <w:rsid w:val="00403CDA"/>
    <w:rsid w:val="00403E0F"/>
    <w:rsid w:val="00404090"/>
    <w:rsid w:val="004049FC"/>
    <w:rsid w:val="00404F21"/>
    <w:rsid w:val="00406190"/>
    <w:rsid w:val="004062EA"/>
    <w:rsid w:val="004106C6"/>
    <w:rsid w:val="00410EB8"/>
    <w:rsid w:val="00410FF4"/>
    <w:rsid w:val="004121E1"/>
    <w:rsid w:val="004125E0"/>
    <w:rsid w:val="00412643"/>
    <w:rsid w:val="0041346B"/>
    <w:rsid w:val="00415101"/>
    <w:rsid w:val="00415D70"/>
    <w:rsid w:val="004171C3"/>
    <w:rsid w:val="00417306"/>
    <w:rsid w:val="00417B00"/>
    <w:rsid w:val="00417F4D"/>
    <w:rsid w:val="00421795"/>
    <w:rsid w:val="00421877"/>
    <w:rsid w:val="00421B9C"/>
    <w:rsid w:val="00421EE2"/>
    <w:rsid w:val="00422529"/>
    <w:rsid w:val="00422866"/>
    <w:rsid w:val="00422C0C"/>
    <w:rsid w:val="00423930"/>
    <w:rsid w:val="004239E7"/>
    <w:rsid w:val="00424692"/>
    <w:rsid w:val="00424AE6"/>
    <w:rsid w:val="00425169"/>
    <w:rsid w:val="00425BF4"/>
    <w:rsid w:val="00425C2B"/>
    <w:rsid w:val="004262D3"/>
    <w:rsid w:val="004263C3"/>
    <w:rsid w:val="004272A4"/>
    <w:rsid w:val="00427BBD"/>
    <w:rsid w:val="00430012"/>
    <w:rsid w:val="004301B2"/>
    <w:rsid w:val="00431179"/>
    <w:rsid w:val="00431525"/>
    <w:rsid w:val="00431AB7"/>
    <w:rsid w:val="00432A0A"/>
    <w:rsid w:val="004337B1"/>
    <w:rsid w:val="004344FD"/>
    <w:rsid w:val="004345DB"/>
    <w:rsid w:val="0043466C"/>
    <w:rsid w:val="00434BEC"/>
    <w:rsid w:val="004355F2"/>
    <w:rsid w:val="00435A05"/>
    <w:rsid w:val="00435E73"/>
    <w:rsid w:val="00435F97"/>
    <w:rsid w:val="00436417"/>
    <w:rsid w:val="004370B8"/>
    <w:rsid w:val="00437374"/>
    <w:rsid w:val="00440D15"/>
    <w:rsid w:val="00441533"/>
    <w:rsid w:val="00441D20"/>
    <w:rsid w:val="00442817"/>
    <w:rsid w:val="00443A1F"/>
    <w:rsid w:val="00444446"/>
    <w:rsid w:val="00444955"/>
    <w:rsid w:val="00444FA9"/>
    <w:rsid w:val="004454BD"/>
    <w:rsid w:val="00446862"/>
    <w:rsid w:val="00446974"/>
    <w:rsid w:val="00446B69"/>
    <w:rsid w:val="0044768B"/>
    <w:rsid w:val="00447A15"/>
    <w:rsid w:val="00450808"/>
    <w:rsid w:val="00450CB0"/>
    <w:rsid w:val="004511FD"/>
    <w:rsid w:val="0045237B"/>
    <w:rsid w:val="0045261B"/>
    <w:rsid w:val="004527BD"/>
    <w:rsid w:val="00452B58"/>
    <w:rsid w:val="00453A94"/>
    <w:rsid w:val="00453A9B"/>
    <w:rsid w:val="00453DE0"/>
    <w:rsid w:val="00455B43"/>
    <w:rsid w:val="0045606B"/>
    <w:rsid w:val="004564F2"/>
    <w:rsid w:val="004569D2"/>
    <w:rsid w:val="00456F10"/>
    <w:rsid w:val="0045753F"/>
    <w:rsid w:val="004576E2"/>
    <w:rsid w:val="00457B76"/>
    <w:rsid w:val="00457E0D"/>
    <w:rsid w:val="0046080E"/>
    <w:rsid w:val="00460F74"/>
    <w:rsid w:val="004612CB"/>
    <w:rsid w:val="0046189F"/>
    <w:rsid w:val="004619AE"/>
    <w:rsid w:val="00462335"/>
    <w:rsid w:val="00462D75"/>
    <w:rsid w:val="00462F38"/>
    <w:rsid w:val="004635CE"/>
    <w:rsid w:val="00463F1B"/>
    <w:rsid w:val="004640F5"/>
    <w:rsid w:val="0046488F"/>
    <w:rsid w:val="00466004"/>
    <w:rsid w:val="0046677E"/>
    <w:rsid w:val="0046788A"/>
    <w:rsid w:val="004700C4"/>
    <w:rsid w:val="0047091C"/>
    <w:rsid w:val="00471710"/>
    <w:rsid w:val="00471873"/>
    <w:rsid w:val="004718CA"/>
    <w:rsid w:val="00471DE3"/>
    <w:rsid w:val="00472734"/>
    <w:rsid w:val="00472E8D"/>
    <w:rsid w:val="00473554"/>
    <w:rsid w:val="0047407F"/>
    <w:rsid w:val="00474BCF"/>
    <w:rsid w:val="0047543E"/>
    <w:rsid w:val="00475647"/>
    <w:rsid w:val="00475884"/>
    <w:rsid w:val="004759F0"/>
    <w:rsid w:val="004775DF"/>
    <w:rsid w:val="00477705"/>
    <w:rsid w:val="0048264D"/>
    <w:rsid w:val="004828BE"/>
    <w:rsid w:val="00483369"/>
    <w:rsid w:val="004833F3"/>
    <w:rsid w:val="00484FC8"/>
    <w:rsid w:val="0048599B"/>
    <w:rsid w:val="00485A0B"/>
    <w:rsid w:val="00486244"/>
    <w:rsid w:val="004865DA"/>
    <w:rsid w:val="00487D11"/>
    <w:rsid w:val="004922D9"/>
    <w:rsid w:val="004928A0"/>
    <w:rsid w:val="004928B8"/>
    <w:rsid w:val="00493170"/>
    <w:rsid w:val="00493B67"/>
    <w:rsid w:val="00495449"/>
    <w:rsid w:val="0049610E"/>
    <w:rsid w:val="004962C7"/>
    <w:rsid w:val="00496497"/>
    <w:rsid w:val="0049784C"/>
    <w:rsid w:val="00497B5A"/>
    <w:rsid w:val="004A003D"/>
    <w:rsid w:val="004A1279"/>
    <w:rsid w:val="004A1B24"/>
    <w:rsid w:val="004A44E3"/>
    <w:rsid w:val="004A5CCB"/>
    <w:rsid w:val="004A608B"/>
    <w:rsid w:val="004A7185"/>
    <w:rsid w:val="004A72D4"/>
    <w:rsid w:val="004B0FFE"/>
    <w:rsid w:val="004B1448"/>
    <w:rsid w:val="004B19D2"/>
    <w:rsid w:val="004B1D9F"/>
    <w:rsid w:val="004B232A"/>
    <w:rsid w:val="004B2693"/>
    <w:rsid w:val="004B28A2"/>
    <w:rsid w:val="004B2B32"/>
    <w:rsid w:val="004B2D01"/>
    <w:rsid w:val="004B3E39"/>
    <w:rsid w:val="004B478C"/>
    <w:rsid w:val="004B488C"/>
    <w:rsid w:val="004B57B5"/>
    <w:rsid w:val="004B59ED"/>
    <w:rsid w:val="004B6BB4"/>
    <w:rsid w:val="004B7072"/>
    <w:rsid w:val="004C0084"/>
    <w:rsid w:val="004C02D2"/>
    <w:rsid w:val="004C04D9"/>
    <w:rsid w:val="004C07D6"/>
    <w:rsid w:val="004C0880"/>
    <w:rsid w:val="004C0AF5"/>
    <w:rsid w:val="004C1EBD"/>
    <w:rsid w:val="004C2653"/>
    <w:rsid w:val="004C276E"/>
    <w:rsid w:val="004C2F8C"/>
    <w:rsid w:val="004C31F6"/>
    <w:rsid w:val="004C38AC"/>
    <w:rsid w:val="004C394E"/>
    <w:rsid w:val="004C39EB"/>
    <w:rsid w:val="004C3F6F"/>
    <w:rsid w:val="004C44E9"/>
    <w:rsid w:val="004C44F1"/>
    <w:rsid w:val="004C4FFC"/>
    <w:rsid w:val="004C57F8"/>
    <w:rsid w:val="004C5F4B"/>
    <w:rsid w:val="004C61C1"/>
    <w:rsid w:val="004C6A6D"/>
    <w:rsid w:val="004C6E86"/>
    <w:rsid w:val="004C7BFA"/>
    <w:rsid w:val="004C7C57"/>
    <w:rsid w:val="004C7F3C"/>
    <w:rsid w:val="004C7FAF"/>
    <w:rsid w:val="004C7FBF"/>
    <w:rsid w:val="004D1271"/>
    <w:rsid w:val="004D1894"/>
    <w:rsid w:val="004D2552"/>
    <w:rsid w:val="004D26F6"/>
    <w:rsid w:val="004D2762"/>
    <w:rsid w:val="004D419E"/>
    <w:rsid w:val="004D420B"/>
    <w:rsid w:val="004D4212"/>
    <w:rsid w:val="004D42B0"/>
    <w:rsid w:val="004D509C"/>
    <w:rsid w:val="004D63DF"/>
    <w:rsid w:val="004D653F"/>
    <w:rsid w:val="004D6E10"/>
    <w:rsid w:val="004D7AEA"/>
    <w:rsid w:val="004E0286"/>
    <w:rsid w:val="004E139D"/>
    <w:rsid w:val="004E13A6"/>
    <w:rsid w:val="004E1960"/>
    <w:rsid w:val="004E1DA9"/>
    <w:rsid w:val="004E238A"/>
    <w:rsid w:val="004E24E8"/>
    <w:rsid w:val="004E26D3"/>
    <w:rsid w:val="004E2E2B"/>
    <w:rsid w:val="004E34BC"/>
    <w:rsid w:val="004E34C6"/>
    <w:rsid w:val="004E38AE"/>
    <w:rsid w:val="004E3AF2"/>
    <w:rsid w:val="004E3BAC"/>
    <w:rsid w:val="004E4587"/>
    <w:rsid w:val="004E49DB"/>
    <w:rsid w:val="004E51DB"/>
    <w:rsid w:val="004E5FAA"/>
    <w:rsid w:val="004E6446"/>
    <w:rsid w:val="004E6989"/>
    <w:rsid w:val="004E6D5E"/>
    <w:rsid w:val="004E70F5"/>
    <w:rsid w:val="004E7C39"/>
    <w:rsid w:val="004F04F6"/>
    <w:rsid w:val="004F0BA7"/>
    <w:rsid w:val="004F0DA1"/>
    <w:rsid w:val="004F1446"/>
    <w:rsid w:val="004F1C81"/>
    <w:rsid w:val="004F210F"/>
    <w:rsid w:val="004F2D2B"/>
    <w:rsid w:val="004F464F"/>
    <w:rsid w:val="004F52D2"/>
    <w:rsid w:val="004F5360"/>
    <w:rsid w:val="004F544E"/>
    <w:rsid w:val="004F56CC"/>
    <w:rsid w:val="004F5852"/>
    <w:rsid w:val="004F69BE"/>
    <w:rsid w:val="004F71E6"/>
    <w:rsid w:val="00500AB7"/>
    <w:rsid w:val="0050167B"/>
    <w:rsid w:val="005017C6"/>
    <w:rsid w:val="005020F5"/>
    <w:rsid w:val="005025AC"/>
    <w:rsid w:val="00503281"/>
    <w:rsid w:val="0050328B"/>
    <w:rsid w:val="0050349C"/>
    <w:rsid w:val="00504388"/>
    <w:rsid w:val="005045F8"/>
    <w:rsid w:val="005045FD"/>
    <w:rsid w:val="0050463A"/>
    <w:rsid w:val="0050532E"/>
    <w:rsid w:val="005054B0"/>
    <w:rsid w:val="00505AE6"/>
    <w:rsid w:val="00505D28"/>
    <w:rsid w:val="00507AB2"/>
    <w:rsid w:val="005100F9"/>
    <w:rsid w:val="005103E3"/>
    <w:rsid w:val="005105EE"/>
    <w:rsid w:val="005107AF"/>
    <w:rsid w:val="00510CEA"/>
    <w:rsid w:val="00510EEA"/>
    <w:rsid w:val="00511286"/>
    <w:rsid w:val="00511FCD"/>
    <w:rsid w:val="0051207B"/>
    <w:rsid w:val="005120B4"/>
    <w:rsid w:val="00512E61"/>
    <w:rsid w:val="00513284"/>
    <w:rsid w:val="00515EC4"/>
    <w:rsid w:val="00515ED1"/>
    <w:rsid w:val="00516311"/>
    <w:rsid w:val="0051774D"/>
    <w:rsid w:val="005178E5"/>
    <w:rsid w:val="0051796A"/>
    <w:rsid w:val="0052299E"/>
    <w:rsid w:val="00523D7E"/>
    <w:rsid w:val="00524658"/>
    <w:rsid w:val="00524B3F"/>
    <w:rsid w:val="005256E4"/>
    <w:rsid w:val="00525C76"/>
    <w:rsid w:val="00526F8F"/>
    <w:rsid w:val="00527EC5"/>
    <w:rsid w:val="00530247"/>
    <w:rsid w:val="00530577"/>
    <w:rsid w:val="005311AF"/>
    <w:rsid w:val="005317A3"/>
    <w:rsid w:val="00531C75"/>
    <w:rsid w:val="00532743"/>
    <w:rsid w:val="00532C04"/>
    <w:rsid w:val="005331A3"/>
    <w:rsid w:val="00533475"/>
    <w:rsid w:val="0053360F"/>
    <w:rsid w:val="005339B9"/>
    <w:rsid w:val="00533C0E"/>
    <w:rsid w:val="00533D64"/>
    <w:rsid w:val="0053411F"/>
    <w:rsid w:val="00534884"/>
    <w:rsid w:val="00534BB7"/>
    <w:rsid w:val="00534D6F"/>
    <w:rsid w:val="0053536A"/>
    <w:rsid w:val="00535502"/>
    <w:rsid w:val="00535757"/>
    <w:rsid w:val="005359DE"/>
    <w:rsid w:val="00537790"/>
    <w:rsid w:val="005402EB"/>
    <w:rsid w:val="0054054C"/>
    <w:rsid w:val="005413C0"/>
    <w:rsid w:val="00541446"/>
    <w:rsid w:val="005420A0"/>
    <w:rsid w:val="00542493"/>
    <w:rsid w:val="00542EE9"/>
    <w:rsid w:val="00543D59"/>
    <w:rsid w:val="00543FD0"/>
    <w:rsid w:val="005448BF"/>
    <w:rsid w:val="00544D04"/>
    <w:rsid w:val="00544DDF"/>
    <w:rsid w:val="005456FC"/>
    <w:rsid w:val="00547293"/>
    <w:rsid w:val="00547747"/>
    <w:rsid w:val="00547B72"/>
    <w:rsid w:val="0055050E"/>
    <w:rsid w:val="00550830"/>
    <w:rsid w:val="00550F1D"/>
    <w:rsid w:val="00551241"/>
    <w:rsid w:val="00551AC3"/>
    <w:rsid w:val="00552256"/>
    <w:rsid w:val="005523A4"/>
    <w:rsid w:val="00552724"/>
    <w:rsid w:val="00552B15"/>
    <w:rsid w:val="005535A6"/>
    <w:rsid w:val="005536DF"/>
    <w:rsid w:val="0055551B"/>
    <w:rsid w:val="0055630D"/>
    <w:rsid w:val="00556662"/>
    <w:rsid w:val="00556B29"/>
    <w:rsid w:val="00557E4B"/>
    <w:rsid w:val="00557FD3"/>
    <w:rsid w:val="0056044D"/>
    <w:rsid w:val="00560D4E"/>
    <w:rsid w:val="0056141F"/>
    <w:rsid w:val="00561928"/>
    <w:rsid w:val="005619C2"/>
    <w:rsid w:val="00562312"/>
    <w:rsid w:val="0056279E"/>
    <w:rsid w:val="00563FF3"/>
    <w:rsid w:val="00564105"/>
    <w:rsid w:val="00564156"/>
    <w:rsid w:val="005649E0"/>
    <w:rsid w:val="005653A3"/>
    <w:rsid w:val="0056548A"/>
    <w:rsid w:val="005657FB"/>
    <w:rsid w:val="00565998"/>
    <w:rsid w:val="00566ABF"/>
    <w:rsid w:val="00566DFF"/>
    <w:rsid w:val="0056701B"/>
    <w:rsid w:val="005676B1"/>
    <w:rsid w:val="00567BCA"/>
    <w:rsid w:val="005702D4"/>
    <w:rsid w:val="00570A0A"/>
    <w:rsid w:val="00570D9F"/>
    <w:rsid w:val="0057135B"/>
    <w:rsid w:val="005715A9"/>
    <w:rsid w:val="00571874"/>
    <w:rsid w:val="00571E93"/>
    <w:rsid w:val="005725D4"/>
    <w:rsid w:val="00572F0B"/>
    <w:rsid w:val="00573581"/>
    <w:rsid w:val="0057381F"/>
    <w:rsid w:val="005744E1"/>
    <w:rsid w:val="00575301"/>
    <w:rsid w:val="0057535F"/>
    <w:rsid w:val="005761E9"/>
    <w:rsid w:val="00577054"/>
    <w:rsid w:val="005805D3"/>
    <w:rsid w:val="00580C31"/>
    <w:rsid w:val="005819E2"/>
    <w:rsid w:val="00582284"/>
    <w:rsid w:val="0058233D"/>
    <w:rsid w:val="005826D7"/>
    <w:rsid w:val="0058320F"/>
    <w:rsid w:val="00583289"/>
    <w:rsid w:val="00583EDA"/>
    <w:rsid w:val="0058485F"/>
    <w:rsid w:val="00584EB0"/>
    <w:rsid w:val="005851A5"/>
    <w:rsid w:val="0058536D"/>
    <w:rsid w:val="005859AA"/>
    <w:rsid w:val="005866E5"/>
    <w:rsid w:val="00587129"/>
    <w:rsid w:val="00587450"/>
    <w:rsid w:val="00587ABF"/>
    <w:rsid w:val="0059187A"/>
    <w:rsid w:val="00592B92"/>
    <w:rsid w:val="00592D17"/>
    <w:rsid w:val="005930A5"/>
    <w:rsid w:val="0059337C"/>
    <w:rsid w:val="00593555"/>
    <w:rsid w:val="00594317"/>
    <w:rsid w:val="00595042"/>
    <w:rsid w:val="00595E90"/>
    <w:rsid w:val="00597199"/>
    <w:rsid w:val="00597CDD"/>
    <w:rsid w:val="005A0BAA"/>
    <w:rsid w:val="005A0D45"/>
    <w:rsid w:val="005A114F"/>
    <w:rsid w:val="005A16D4"/>
    <w:rsid w:val="005A19DC"/>
    <w:rsid w:val="005A2344"/>
    <w:rsid w:val="005A2F1B"/>
    <w:rsid w:val="005A31F8"/>
    <w:rsid w:val="005A3369"/>
    <w:rsid w:val="005A406D"/>
    <w:rsid w:val="005A4389"/>
    <w:rsid w:val="005A7DF4"/>
    <w:rsid w:val="005B1FA3"/>
    <w:rsid w:val="005B1FDF"/>
    <w:rsid w:val="005B27C7"/>
    <w:rsid w:val="005B2C06"/>
    <w:rsid w:val="005B2D34"/>
    <w:rsid w:val="005B3115"/>
    <w:rsid w:val="005B35A7"/>
    <w:rsid w:val="005B3E5E"/>
    <w:rsid w:val="005B450D"/>
    <w:rsid w:val="005B4DC8"/>
    <w:rsid w:val="005B5F9F"/>
    <w:rsid w:val="005B605A"/>
    <w:rsid w:val="005B64A2"/>
    <w:rsid w:val="005B6A80"/>
    <w:rsid w:val="005B6B8E"/>
    <w:rsid w:val="005B6CF4"/>
    <w:rsid w:val="005B6F20"/>
    <w:rsid w:val="005C0AA8"/>
    <w:rsid w:val="005C1007"/>
    <w:rsid w:val="005C147A"/>
    <w:rsid w:val="005C1714"/>
    <w:rsid w:val="005C1D8A"/>
    <w:rsid w:val="005C2298"/>
    <w:rsid w:val="005C2574"/>
    <w:rsid w:val="005C32EB"/>
    <w:rsid w:val="005C332D"/>
    <w:rsid w:val="005C3438"/>
    <w:rsid w:val="005C3B77"/>
    <w:rsid w:val="005C3C52"/>
    <w:rsid w:val="005C4899"/>
    <w:rsid w:val="005C49F0"/>
    <w:rsid w:val="005C4B88"/>
    <w:rsid w:val="005C5146"/>
    <w:rsid w:val="005C5C4D"/>
    <w:rsid w:val="005C5CAF"/>
    <w:rsid w:val="005C5E82"/>
    <w:rsid w:val="005C6397"/>
    <w:rsid w:val="005C64BE"/>
    <w:rsid w:val="005C6DB3"/>
    <w:rsid w:val="005C7233"/>
    <w:rsid w:val="005D005A"/>
    <w:rsid w:val="005D0C76"/>
    <w:rsid w:val="005D11A5"/>
    <w:rsid w:val="005D20A1"/>
    <w:rsid w:val="005D3227"/>
    <w:rsid w:val="005D34D1"/>
    <w:rsid w:val="005D38E4"/>
    <w:rsid w:val="005D4E8E"/>
    <w:rsid w:val="005D59D6"/>
    <w:rsid w:val="005D64BC"/>
    <w:rsid w:val="005D6983"/>
    <w:rsid w:val="005D6A43"/>
    <w:rsid w:val="005D7661"/>
    <w:rsid w:val="005D7A1F"/>
    <w:rsid w:val="005E07FB"/>
    <w:rsid w:val="005E2AB2"/>
    <w:rsid w:val="005E31B7"/>
    <w:rsid w:val="005E419B"/>
    <w:rsid w:val="005E49F6"/>
    <w:rsid w:val="005E5364"/>
    <w:rsid w:val="005E556D"/>
    <w:rsid w:val="005E61CD"/>
    <w:rsid w:val="005E6514"/>
    <w:rsid w:val="005E65CC"/>
    <w:rsid w:val="005E663C"/>
    <w:rsid w:val="005E694D"/>
    <w:rsid w:val="005E6BB8"/>
    <w:rsid w:val="005F08E6"/>
    <w:rsid w:val="005F152C"/>
    <w:rsid w:val="005F1C49"/>
    <w:rsid w:val="005F276C"/>
    <w:rsid w:val="005F2DAC"/>
    <w:rsid w:val="005F3586"/>
    <w:rsid w:val="005F492B"/>
    <w:rsid w:val="005F5B6B"/>
    <w:rsid w:val="005F5EAE"/>
    <w:rsid w:val="005F68C1"/>
    <w:rsid w:val="005F766D"/>
    <w:rsid w:val="005F7839"/>
    <w:rsid w:val="00600170"/>
    <w:rsid w:val="00601512"/>
    <w:rsid w:val="00601793"/>
    <w:rsid w:val="00601D64"/>
    <w:rsid w:val="00601E7B"/>
    <w:rsid w:val="0060246E"/>
    <w:rsid w:val="0060295C"/>
    <w:rsid w:val="00602A7D"/>
    <w:rsid w:val="006050CC"/>
    <w:rsid w:val="00605239"/>
    <w:rsid w:val="006052E2"/>
    <w:rsid w:val="00605F63"/>
    <w:rsid w:val="00606480"/>
    <w:rsid w:val="00606AC6"/>
    <w:rsid w:val="00607152"/>
    <w:rsid w:val="00610916"/>
    <w:rsid w:val="00611118"/>
    <w:rsid w:val="006111CE"/>
    <w:rsid w:val="006114D5"/>
    <w:rsid w:val="00611794"/>
    <w:rsid w:val="00611B8D"/>
    <w:rsid w:val="00611FAA"/>
    <w:rsid w:val="0061200A"/>
    <w:rsid w:val="00612DFB"/>
    <w:rsid w:val="00614AE4"/>
    <w:rsid w:val="0061567E"/>
    <w:rsid w:val="0061585D"/>
    <w:rsid w:val="00615A7F"/>
    <w:rsid w:val="00615DDD"/>
    <w:rsid w:val="00616248"/>
    <w:rsid w:val="00616796"/>
    <w:rsid w:val="00616BCA"/>
    <w:rsid w:val="006172EA"/>
    <w:rsid w:val="00617759"/>
    <w:rsid w:val="006200CE"/>
    <w:rsid w:val="00620B41"/>
    <w:rsid w:val="006210F2"/>
    <w:rsid w:val="00622918"/>
    <w:rsid w:val="00622DF9"/>
    <w:rsid w:val="00623380"/>
    <w:rsid w:val="0062397E"/>
    <w:rsid w:val="00623E3E"/>
    <w:rsid w:val="0062409F"/>
    <w:rsid w:val="00626686"/>
    <w:rsid w:val="00626797"/>
    <w:rsid w:val="00627409"/>
    <w:rsid w:val="006279FB"/>
    <w:rsid w:val="00627DA9"/>
    <w:rsid w:val="00627E29"/>
    <w:rsid w:val="00630E51"/>
    <w:rsid w:val="00630E97"/>
    <w:rsid w:val="00631107"/>
    <w:rsid w:val="0063153C"/>
    <w:rsid w:val="00631DB1"/>
    <w:rsid w:val="00631E04"/>
    <w:rsid w:val="006343DC"/>
    <w:rsid w:val="00634AB8"/>
    <w:rsid w:val="006353DF"/>
    <w:rsid w:val="00635747"/>
    <w:rsid w:val="00635FC4"/>
    <w:rsid w:val="006364D4"/>
    <w:rsid w:val="00636678"/>
    <w:rsid w:val="00636983"/>
    <w:rsid w:val="00636C95"/>
    <w:rsid w:val="00637859"/>
    <w:rsid w:val="0064098F"/>
    <w:rsid w:val="00640E84"/>
    <w:rsid w:val="00641815"/>
    <w:rsid w:val="00641B0E"/>
    <w:rsid w:val="00641E55"/>
    <w:rsid w:val="00643435"/>
    <w:rsid w:val="0064413C"/>
    <w:rsid w:val="0064457F"/>
    <w:rsid w:val="006447EC"/>
    <w:rsid w:val="00644825"/>
    <w:rsid w:val="00644DFF"/>
    <w:rsid w:val="00645091"/>
    <w:rsid w:val="00646034"/>
    <w:rsid w:val="00646102"/>
    <w:rsid w:val="00646FF9"/>
    <w:rsid w:val="0064785F"/>
    <w:rsid w:val="00647C6C"/>
    <w:rsid w:val="006525B7"/>
    <w:rsid w:val="0065315D"/>
    <w:rsid w:val="006548A9"/>
    <w:rsid w:val="00654DD2"/>
    <w:rsid w:val="00655417"/>
    <w:rsid w:val="0065557D"/>
    <w:rsid w:val="006559C3"/>
    <w:rsid w:val="00655A46"/>
    <w:rsid w:val="00655C6B"/>
    <w:rsid w:val="00656D4B"/>
    <w:rsid w:val="00656E05"/>
    <w:rsid w:val="0065708E"/>
    <w:rsid w:val="006575DB"/>
    <w:rsid w:val="0065782D"/>
    <w:rsid w:val="006604A3"/>
    <w:rsid w:val="00660BFB"/>
    <w:rsid w:val="00661724"/>
    <w:rsid w:val="0066262F"/>
    <w:rsid w:val="0066380F"/>
    <w:rsid w:val="00663876"/>
    <w:rsid w:val="00663883"/>
    <w:rsid w:val="00663C0A"/>
    <w:rsid w:val="00663E64"/>
    <w:rsid w:val="006643D3"/>
    <w:rsid w:val="006643E0"/>
    <w:rsid w:val="00666CEB"/>
    <w:rsid w:val="00667092"/>
    <w:rsid w:val="00667360"/>
    <w:rsid w:val="00667611"/>
    <w:rsid w:val="00667953"/>
    <w:rsid w:val="00667A80"/>
    <w:rsid w:val="006700AD"/>
    <w:rsid w:val="00670360"/>
    <w:rsid w:val="006705B2"/>
    <w:rsid w:val="00672403"/>
    <w:rsid w:val="0067305C"/>
    <w:rsid w:val="00673BBE"/>
    <w:rsid w:val="00673C58"/>
    <w:rsid w:val="00674B97"/>
    <w:rsid w:val="0067575C"/>
    <w:rsid w:val="00676A04"/>
    <w:rsid w:val="006770E9"/>
    <w:rsid w:val="00677B3F"/>
    <w:rsid w:val="006820E8"/>
    <w:rsid w:val="006825B5"/>
    <w:rsid w:val="00685AB5"/>
    <w:rsid w:val="00685EBB"/>
    <w:rsid w:val="006865B2"/>
    <w:rsid w:val="00687839"/>
    <w:rsid w:val="006910D2"/>
    <w:rsid w:val="006923C4"/>
    <w:rsid w:val="00692727"/>
    <w:rsid w:val="00692949"/>
    <w:rsid w:val="00693BC8"/>
    <w:rsid w:val="00694044"/>
    <w:rsid w:val="00694334"/>
    <w:rsid w:val="006943E3"/>
    <w:rsid w:val="00694954"/>
    <w:rsid w:val="00695351"/>
    <w:rsid w:val="00695618"/>
    <w:rsid w:val="00696B05"/>
    <w:rsid w:val="00696B08"/>
    <w:rsid w:val="006A0245"/>
    <w:rsid w:val="006A11EF"/>
    <w:rsid w:val="006A28DE"/>
    <w:rsid w:val="006A3C06"/>
    <w:rsid w:val="006A493A"/>
    <w:rsid w:val="006A4D24"/>
    <w:rsid w:val="006A5499"/>
    <w:rsid w:val="006A564A"/>
    <w:rsid w:val="006A575B"/>
    <w:rsid w:val="006A6C6B"/>
    <w:rsid w:val="006A7828"/>
    <w:rsid w:val="006A7D99"/>
    <w:rsid w:val="006B00B1"/>
    <w:rsid w:val="006B0213"/>
    <w:rsid w:val="006B0675"/>
    <w:rsid w:val="006B0BB7"/>
    <w:rsid w:val="006B16B3"/>
    <w:rsid w:val="006B1ACD"/>
    <w:rsid w:val="006B211E"/>
    <w:rsid w:val="006B23FB"/>
    <w:rsid w:val="006B3E2C"/>
    <w:rsid w:val="006B53D0"/>
    <w:rsid w:val="006B5936"/>
    <w:rsid w:val="006B70F1"/>
    <w:rsid w:val="006B71EA"/>
    <w:rsid w:val="006B7313"/>
    <w:rsid w:val="006B73A5"/>
    <w:rsid w:val="006B73FF"/>
    <w:rsid w:val="006B7763"/>
    <w:rsid w:val="006B7A45"/>
    <w:rsid w:val="006C0709"/>
    <w:rsid w:val="006C094E"/>
    <w:rsid w:val="006C0C72"/>
    <w:rsid w:val="006C232A"/>
    <w:rsid w:val="006C2334"/>
    <w:rsid w:val="006C2514"/>
    <w:rsid w:val="006C2ACB"/>
    <w:rsid w:val="006C3186"/>
    <w:rsid w:val="006C3B62"/>
    <w:rsid w:val="006C41A9"/>
    <w:rsid w:val="006C55D4"/>
    <w:rsid w:val="006C5A11"/>
    <w:rsid w:val="006C5B85"/>
    <w:rsid w:val="006C678A"/>
    <w:rsid w:val="006C71CE"/>
    <w:rsid w:val="006C724D"/>
    <w:rsid w:val="006C7AAB"/>
    <w:rsid w:val="006D040D"/>
    <w:rsid w:val="006D1000"/>
    <w:rsid w:val="006D122B"/>
    <w:rsid w:val="006D1F0C"/>
    <w:rsid w:val="006D210A"/>
    <w:rsid w:val="006D28F2"/>
    <w:rsid w:val="006D33B7"/>
    <w:rsid w:val="006D363D"/>
    <w:rsid w:val="006D36BE"/>
    <w:rsid w:val="006D422D"/>
    <w:rsid w:val="006D463F"/>
    <w:rsid w:val="006D4C23"/>
    <w:rsid w:val="006D5233"/>
    <w:rsid w:val="006D5754"/>
    <w:rsid w:val="006D6CF3"/>
    <w:rsid w:val="006D73EC"/>
    <w:rsid w:val="006E002D"/>
    <w:rsid w:val="006E0411"/>
    <w:rsid w:val="006E131C"/>
    <w:rsid w:val="006E32C1"/>
    <w:rsid w:val="006E6454"/>
    <w:rsid w:val="006E7024"/>
    <w:rsid w:val="006E7126"/>
    <w:rsid w:val="006F0E51"/>
    <w:rsid w:val="006F1036"/>
    <w:rsid w:val="006F1439"/>
    <w:rsid w:val="006F1DB5"/>
    <w:rsid w:val="006F204E"/>
    <w:rsid w:val="006F21A3"/>
    <w:rsid w:val="006F348C"/>
    <w:rsid w:val="006F4C21"/>
    <w:rsid w:val="006F59AA"/>
    <w:rsid w:val="006F7892"/>
    <w:rsid w:val="006F7961"/>
    <w:rsid w:val="006F7DCF"/>
    <w:rsid w:val="006F7F20"/>
    <w:rsid w:val="00700E65"/>
    <w:rsid w:val="00700FCF"/>
    <w:rsid w:val="007023CE"/>
    <w:rsid w:val="00702FF2"/>
    <w:rsid w:val="00703B79"/>
    <w:rsid w:val="00703C04"/>
    <w:rsid w:val="00703FB5"/>
    <w:rsid w:val="00704EDB"/>
    <w:rsid w:val="00705890"/>
    <w:rsid w:val="00705B25"/>
    <w:rsid w:val="00705EBE"/>
    <w:rsid w:val="0070633E"/>
    <w:rsid w:val="00706469"/>
    <w:rsid w:val="00706541"/>
    <w:rsid w:val="007068B8"/>
    <w:rsid w:val="007068C9"/>
    <w:rsid w:val="00706E8C"/>
    <w:rsid w:val="0070736D"/>
    <w:rsid w:val="00710478"/>
    <w:rsid w:val="00710D17"/>
    <w:rsid w:val="00711225"/>
    <w:rsid w:val="00713780"/>
    <w:rsid w:val="007138DD"/>
    <w:rsid w:val="00714448"/>
    <w:rsid w:val="00715EF9"/>
    <w:rsid w:val="00716E16"/>
    <w:rsid w:val="0071774B"/>
    <w:rsid w:val="00720263"/>
    <w:rsid w:val="007202A0"/>
    <w:rsid w:val="007212B1"/>
    <w:rsid w:val="007214F5"/>
    <w:rsid w:val="00721528"/>
    <w:rsid w:val="0072167C"/>
    <w:rsid w:val="00721A25"/>
    <w:rsid w:val="00723D3F"/>
    <w:rsid w:val="00725113"/>
    <w:rsid w:val="007258C1"/>
    <w:rsid w:val="0072606C"/>
    <w:rsid w:val="007260DE"/>
    <w:rsid w:val="00726141"/>
    <w:rsid w:val="007269FB"/>
    <w:rsid w:val="007306EA"/>
    <w:rsid w:val="00730963"/>
    <w:rsid w:val="00730E09"/>
    <w:rsid w:val="0073139E"/>
    <w:rsid w:val="0073157A"/>
    <w:rsid w:val="00731C11"/>
    <w:rsid w:val="00731E29"/>
    <w:rsid w:val="0073255C"/>
    <w:rsid w:val="00732F03"/>
    <w:rsid w:val="0073341E"/>
    <w:rsid w:val="00734773"/>
    <w:rsid w:val="00736BF7"/>
    <w:rsid w:val="00737C9F"/>
    <w:rsid w:val="00740988"/>
    <w:rsid w:val="007411C0"/>
    <w:rsid w:val="00741ADB"/>
    <w:rsid w:val="00742B6C"/>
    <w:rsid w:val="00743516"/>
    <w:rsid w:val="00743606"/>
    <w:rsid w:val="00743ECD"/>
    <w:rsid w:val="0074478F"/>
    <w:rsid w:val="0074499D"/>
    <w:rsid w:val="00744FC7"/>
    <w:rsid w:val="00745564"/>
    <w:rsid w:val="007464E9"/>
    <w:rsid w:val="007465AF"/>
    <w:rsid w:val="00747124"/>
    <w:rsid w:val="007504D6"/>
    <w:rsid w:val="00751330"/>
    <w:rsid w:val="00751565"/>
    <w:rsid w:val="00751868"/>
    <w:rsid w:val="007524AC"/>
    <w:rsid w:val="007532E6"/>
    <w:rsid w:val="007533BD"/>
    <w:rsid w:val="00753A62"/>
    <w:rsid w:val="00753A96"/>
    <w:rsid w:val="00754F98"/>
    <w:rsid w:val="0075500B"/>
    <w:rsid w:val="0075524D"/>
    <w:rsid w:val="00755FC6"/>
    <w:rsid w:val="00757369"/>
    <w:rsid w:val="00757AB8"/>
    <w:rsid w:val="00757D81"/>
    <w:rsid w:val="00760015"/>
    <w:rsid w:val="00763009"/>
    <w:rsid w:val="007632C0"/>
    <w:rsid w:val="0076338B"/>
    <w:rsid w:val="00764D71"/>
    <w:rsid w:val="00765427"/>
    <w:rsid w:val="00765433"/>
    <w:rsid w:val="00765E3D"/>
    <w:rsid w:val="00766508"/>
    <w:rsid w:val="00766872"/>
    <w:rsid w:val="00766CC9"/>
    <w:rsid w:val="0076743C"/>
    <w:rsid w:val="007723C8"/>
    <w:rsid w:val="00773182"/>
    <w:rsid w:val="00773327"/>
    <w:rsid w:val="00773838"/>
    <w:rsid w:val="007742DA"/>
    <w:rsid w:val="00774549"/>
    <w:rsid w:val="00774869"/>
    <w:rsid w:val="0077527A"/>
    <w:rsid w:val="00776324"/>
    <w:rsid w:val="0077670A"/>
    <w:rsid w:val="00777259"/>
    <w:rsid w:val="007773EE"/>
    <w:rsid w:val="007774BE"/>
    <w:rsid w:val="007775BB"/>
    <w:rsid w:val="00780B0C"/>
    <w:rsid w:val="00781767"/>
    <w:rsid w:val="00781A23"/>
    <w:rsid w:val="00781CE2"/>
    <w:rsid w:val="00782BA7"/>
    <w:rsid w:val="007834B9"/>
    <w:rsid w:val="00783FEA"/>
    <w:rsid w:val="0078412A"/>
    <w:rsid w:val="007846FC"/>
    <w:rsid w:val="00784944"/>
    <w:rsid w:val="00785E6F"/>
    <w:rsid w:val="00785EB0"/>
    <w:rsid w:val="007872F8"/>
    <w:rsid w:val="00787857"/>
    <w:rsid w:val="00791367"/>
    <w:rsid w:val="0079198C"/>
    <w:rsid w:val="00791CD6"/>
    <w:rsid w:val="00792230"/>
    <w:rsid w:val="00792C32"/>
    <w:rsid w:val="007931A9"/>
    <w:rsid w:val="007935C3"/>
    <w:rsid w:val="00793786"/>
    <w:rsid w:val="00793D09"/>
    <w:rsid w:val="0079444C"/>
    <w:rsid w:val="00794982"/>
    <w:rsid w:val="00795103"/>
    <w:rsid w:val="00795567"/>
    <w:rsid w:val="007971AD"/>
    <w:rsid w:val="007975C7"/>
    <w:rsid w:val="00797BC1"/>
    <w:rsid w:val="00797F4E"/>
    <w:rsid w:val="007A0455"/>
    <w:rsid w:val="007A0A41"/>
    <w:rsid w:val="007A0CC8"/>
    <w:rsid w:val="007A0D0E"/>
    <w:rsid w:val="007A15BE"/>
    <w:rsid w:val="007A175A"/>
    <w:rsid w:val="007A2D64"/>
    <w:rsid w:val="007A38E5"/>
    <w:rsid w:val="007A3E3B"/>
    <w:rsid w:val="007A3F18"/>
    <w:rsid w:val="007A5260"/>
    <w:rsid w:val="007A5535"/>
    <w:rsid w:val="007A558D"/>
    <w:rsid w:val="007A58C1"/>
    <w:rsid w:val="007A5A2A"/>
    <w:rsid w:val="007A5BB2"/>
    <w:rsid w:val="007A5CF8"/>
    <w:rsid w:val="007A68D5"/>
    <w:rsid w:val="007A69A8"/>
    <w:rsid w:val="007A7215"/>
    <w:rsid w:val="007A788A"/>
    <w:rsid w:val="007B1568"/>
    <w:rsid w:val="007B2B83"/>
    <w:rsid w:val="007B2DF8"/>
    <w:rsid w:val="007B2E20"/>
    <w:rsid w:val="007B3095"/>
    <w:rsid w:val="007B3173"/>
    <w:rsid w:val="007B3EAF"/>
    <w:rsid w:val="007B4128"/>
    <w:rsid w:val="007B47CE"/>
    <w:rsid w:val="007B579F"/>
    <w:rsid w:val="007B67DF"/>
    <w:rsid w:val="007B6852"/>
    <w:rsid w:val="007B6EE5"/>
    <w:rsid w:val="007B7377"/>
    <w:rsid w:val="007B7A27"/>
    <w:rsid w:val="007C0B51"/>
    <w:rsid w:val="007C1DFC"/>
    <w:rsid w:val="007C233A"/>
    <w:rsid w:val="007C24DD"/>
    <w:rsid w:val="007C2594"/>
    <w:rsid w:val="007C2CDF"/>
    <w:rsid w:val="007C3756"/>
    <w:rsid w:val="007C3956"/>
    <w:rsid w:val="007C4C06"/>
    <w:rsid w:val="007C5119"/>
    <w:rsid w:val="007C5400"/>
    <w:rsid w:val="007C59DB"/>
    <w:rsid w:val="007C5BD3"/>
    <w:rsid w:val="007C5CAA"/>
    <w:rsid w:val="007C6998"/>
    <w:rsid w:val="007C6B89"/>
    <w:rsid w:val="007C6E19"/>
    <w:rsid w:val="007C6F89"/>
    <w:rsid w:val="007C73B3"/>
    <w:rsid w:val="007C76A1"/>
    <w:rsid w:val="007D00DD"/>
    <w:rsid w:val="007D016C"/>
    <w:rsid w:val="007D06BE"/>
    <w:rsid w:val="007D0942"/>
    <w:rsid w:val="007D1473"/>
    <w:rsid w:val="007D1FF1"/>
    <w:rsid w:val="007D249B"/>
    <w:rsid w:val="007D2725"/>
    <w:rsid w:val="007D2C4E"/>
    <w:rsid w:val="007D38ED"/>
    <w:rsid w:val="007D4505"/>
    <w:rsid w:val="007D4E0A"/>
    <w:rsid w:val="007D5006"/>
    <w:rsid w:val="007D7598"/>
    <w:rsid w:val="007D7E9C"/>
    <w:rsid w:val="007E02EC"/>
    <w:rsid w:val="007E15B7"/>
    <w:rsid w:val="007E2C9D"/>
    <w:rsid w:val="007E2D94"/>
    <w:rsid w:val="007E38C4"/>
    <w:rsid w:val="007E38E3"/>
    <w:rsid w:val="007E3BBC"/>
    <w:rsid w:val="007E4078"/>
    <w:rsid w:val="007E5033"/>
    <w:rsid w:val="007E55BE"/>
    <w:rsid w:val="007E6515"/>
    <w:rsid w:val="007E6BF9"/>
    <w:rsid w:val="007E70C4"/>
    <w:rsid w:val="007E70FE"/>
    <w:rsid w:val="007E7562"/>
    <w:rsid w:val="007E76A0"/>
    <w:rsid w:val="007E79AD"/>
    <w:rsid w:val="007F043F"/>
    <w:rsid w:val="007F094B"/>
    <w:rsid w:val="007F09D1"/>
    <w:rsid w:val="007F0E93"/>
    <w:rsid w:val="007F124B"/>
    <w:rsid w:val="007F2182"/>
    <w:rsid w:val="007F221C"/>
    <w:rsid w:val="007F30B4"/>
    <w:rsid w:val="007F30BC"/>
    <w:rsid w:val="007F37E6"/>
    <w:rsid w:val="007F3CAD"/>
    <w:rsid w:val="007F4712"/>
    <w:rsid w:val="007F47C0"/>
    <w:rsid w:val="007F4E42"/>
    <w:rsid w:val="007F547E"/>
    <w:rsid w:val="007F55CE"/>
    <w:rsid w:val="007F56BC"/>
    <w:rsid w:val="007F5E70"/>
    <w:rsid w:val="007F6179"/>
    <w:rsid w:val="007F622C"/>
    <w:rsid w:val="007F6ED9"/>
    <w:rsid w:val="007F7599"/>
    <w:rsid w:val="007F7AD2"/>
    <w:rsid w:val="00800C39"/>
    <w:rsid w:val="008018E1"/>
    <w:rsid w:val="00801CD6"/>
    <w:rsid w:val="00801EB0"/>
    <w:rsid w:val="008025D6"/>
    <w:rsid w:val="008026DA"/>
    <w:rsid w:val="008028F7"/>
    <w:rsid w:val="008029A8"/>
    <w:rsid w:val="00802BE1"/>
    <w:rsid w:val="00802BFD"/>
    <w:rsid w:val="00802EEB"/>
    <w:rsid w:val="008045EB"/>
    <w:rsid w:val="00804996"/>
    <w:rsid w:val="00805D72"/>
    <w:rsid w:val="00805FE2"/>
    <w:rsid w:val="008065E8"/>
    <w:rsid w:val="00806631"/>
    <w:rsid w:val="00806A45"/>
    <w:rsid w:val="00806F21"/>
    <w:rsid w:val="00807A18"/>
    <w:rsid w:val="00810180"/>
    <w:rsid w:val="0081018B"/>
    <w:rsid w:val="00810B98"/>
    <w:rsid w:val="008110FE"/>
    <w:rsid w:val="0081111A"/>
    <w:rsid w:val="0081313D"/>
    <w:rsid w:val="008132D3"/>
    <w:rsid w:val="00813860"/>
    <w:rsid w:val="008140F6"/>
    <w:rsid w:val="008145C1"/>
    <w:rsid w:val="00814EC1"/>
    <w:rsid w:val="008151FF"/>
    <w:rsid w:val="00815609"/>
    <w:rsid w:val="008156A0"/>
    <w:rsid w:val="00815E5E"/>
    <w:rsid w:val="008160A7"/>
    <w:rsid w:val="00816844"/>
    <w:rsid w:val="00816D1F"/>
    <w:rsid w:val="00816E20"/>
    <w:rsid w:val="0081748A"/>
    <w:rsid w:val="0081759F"/>
    <w:rsid w:val="00817765"/>
    <w:rsid w:val="00817D75"/>
    <w:rsid w:val="00820017"/>
    <w:rsid w:val="00820202"/>
    <w:rsid w:val="00820457"/>
    <w:rsid w:val="00821A3D"/>
    <w:rsid w:val="00821D34"/>
    <w:rsid w:val="0082241E"/>
    <w:rsid w:val="00822C24"/>
    <w:rsid w:val="0082376F"/>
    <w:rsid w:val="00823F11"/>
    <w:rsid w:val="00825936"/>
    <w:rsid w:val="008262BD"/>
    <w:rsid w:val="00826487"/>
    <w:rsid w:val="0082663A"/>
    <w:rsid w:val="0082694B"/>
    <w:rsid w:val="00826B61"/>
    <w:rsid w:val="00827168"/>
    <w:rsid w:val="008275C2"/>
    <w:rsid w:val="00830624"/>
    <w:rsid w:val="00830E2A"/>
    <w:rsid w:val="00830FF5"/>
    <w:rsid w:val="0083107F"/>
    <w:rsid w:val="008316FA"/>
    <w:rsid w:val="00831E4A"/>
    <w:rsid w:val="00833FB5"/>
    <w:rsid w:val="00833FE3"/>
    <w:rsid w:val="00835200"/>
    <w:rsid w:val="008358A9"/>
    <w:rsid w:val="0083607F"/>
    <w:rsid w:val="008362F7"/>
    <w:rsid w:val="00836702"/>
    <w:rsid w:val="008377EC"/>
    <w:rsid w:val="00840687"/>
    <w:rsid w:val="00840DC2"/>
    <w:rsid w:val="008418C4"/>
    <w:rsid w:val="00843C97"/>
    <w:rsid w:val="00843FF9"/>
    <w:rsid w:val="0084417D"/>
    <w:rsid w:val="008446B0"/>
    <w:rsid w:val="00844E90"/>
    <w:rsid w:val="00846193"/>
    <w:rsid w:val="008462E5"/>
    <w:rsid w:val="00846929"/>
    <w:rsid w:val="0084697C"/>
    <w:rsid w:val="008469A5"/>
    <w:rsid w:val="008471AB"/>
    <w:rsid w:val="00850794"/>
    <w:rsid w:val="0085094F"/>
    <w:rsid w:val="00851016"/>
    <w:rsid w:val="008512D7"/>
    <w:rsid w:val="00851A50"/>
    <w:rsid w:val="00851B2E"/>
    <w:rsid w:val="00851C6D"/>
    <w:rsid w:val="00851F6E"/>
    <w:rsid w:val="008528F2"/>
    <w:rsid w:val="00852F89"/>
    <w:rsid w:val="008532CB"/>
    <w:rsid w:val="00853DF3"/>
    <w:rsid w:val="00854CBC"/>
    <w:rsid w:val="008556CC"/>
    <w:rsid w:val="00855835"/>
    <w:rsid w:val="00855FA4"/>
    <w:rsid w:val="008561C0"/>
    <w:rsid w:val="00856BFA"/>
    <w:rsid w:val="008579C6"/>
    <w:rsid w:val="00857C30"/>
    <w:rsid w:val="00862096"/>
    <w:rsid w:val="008624CA"/>
    <w:rsid w:val="00862671"/>
    <w:rsid w:val="008628CD"/>
    <w:rsid w:val="00863283"/>
    <w:rsid w:val="008633C3"/>
    <w:rsid w:val="008633CA"/>
    <w:rsid w:val="0086419E"/>
    <w:rsid w:val="0086504F"/>
    <w:rsid w:val="008654C2"/>
    <w:rsid w:val="008658C6"/>
    <w:rsid w:val="00865EF0"/>
    <w:rsid w:val="008661C9"/>
    <w:rsid w:val="00866C47"/>
    <w:rsid w:val="008708CE"/>
    <w:rsid w:val="0087133F"/>
    <w:rsid w:val="008713D5"/>
    <w:rsid w:val="008715A6"/>
    <w:rsid w:val="00871A6C"/>
    <w:rsid w:val="00872997"/>
    <w:rsid w:val="008729B1"/>
    <w:rsid w:val="008731AC"/>
    <w:rsid w:val="008731B7"/>
    <w:rsid w:val="00873425"/>
    <w:rsid w:val="00873762"/>
    <w:rsid w:val="00873776"/>
    <w:rsid w:val="008737B0"/>
    <w:rsid w:val="00873B7C"/>
    <w:rsid w:val="00874015"/>
    <w:rsid w:val="008740DB"/>
    <w:rsid w:val="008749F9"/>
    <w:rsid w:val="008752F2"/>
    <w:rsid w:val="00875772"/>
    <w:rsid w:val="008758DB"/>
    <w:rsid w:val="00875973"/>
    <w:rsid w:val="008759AA"/>
    <w:rsid w:val="00876A4C"/>
    <w:rsid w:val="00877076"/>
    <w:rsid w:val="008773AE"/>
    <w:rsid w:val="008777C1"/>
    <w:rsid w:val="00877D18"/>
    <w:rsid w:val="0088042E"/>
    <w:rsid w:val="00880E1B"/>
    <w:rsid w:val="0088151C"/>
    <w:rsid w:val="00882BD7"/>
    <w:rsid w:val="0088301E"/>
    <w:rsid w:val="008830B6"/>
    <w:rsid w:val="00883DCF"/>
    <w:rsid w:val="00883E13"/>
    <w:rsid w:val="00884345"/>
    <w:rsid w:val="00884868"/>
    <w:rsid w:val="00884F72"/>
    <w:rsid w:val="00885201"/>
    <w:rsid w:val="008858B2"/>
    <w:rsid w:val="0088597A"/>
    <w:rsid w:val="00885AB2"/>
    <w:rsid w:val="00885FD8"/>
    <w:rsid w:val="0088651C"/>
    <w:rsid w:val="008871BC"/>
    <w:rsid w:val="00887398"/>
    <w:rsid w:val="008873DD"/>
    <w:rsid w:val="0089027A"/>
    <w:rsid w:val="00890C8B"/>
    <w:rsid w:val="0089159F"/>
    <w:rsid w:val="00891EC5"/>
    <w:rsid w:val="008933B8"/>
    <w:rsid w:val="00893470"/>
    <w:rsid w:val="008939A6"/>
    <w:rsid w:val="008946A7"/>
    <w:rsid w:val="00896985"/>
    <w:rsid w:val="00896BB7"/>
    <w:rsid w:val="00897C51"/>
    <w:rsid w:val="008A071C"/>
    <w:rsid w:val="008A1052"/>
    <w:rsid w:val="008A1257"/>
    <w:rsid w:val="008A14F7"/>
    <w:rsid w:val="008A158C"/>
    <w:rsid w:val="008A162E"/>
    <w:rsid w:val="008A2846"/>
    <w:rsid w:val="008A2E78"/>
    <w:rsid w:val="008A305A"/>
    <w:rsid w:val="008A3601"/>
    <w:rsid w:val="008A440D"/>
    <w:rsid w:val="008A49DD"/>
    <w:rsid w:val="008A605C"/>
    <w:rsid w:val="008A7032"/>
    <w:rsid w:val="008A72A9"/>
    <w:rsid w:val="008A72D7"/>
    <w:rsid w:val="008A7C9B"/>
    <w:rsid w:val="008B03F1"/>
    <w:rsid w:val="008B06E6"/>
    <w:rsid w:val="008B0888"/>
    <w:rsid w:val="008B0D52"/>
    <w:rsid w:val="008B0F04"/>
    <w:rsid w:val="008B105C"/>
    <w:rsid w:val="008B10D2"/>
    <w:rsid w:val="008B10D5"/>
    <w:rsid w:val="008B170E"/>
    <w:rsid w:val="008B1DFC"/>
    <w:rsid w:val="008B243F"/>
    <w:rsid w:val="008B2583"/>
    <w:rsid w:val="008B5F13"/>
    <w:rsid w:val="008B600A"/>
    <w:rsid w:val="008B6A02"/>
    <w:rsid w:val="008B7157"/>
    <w:rsid w:val="008B746D"/>
    <w:rsid w:val="008C2C2F"/>
    <w:rsid w:val="008C2D89"/>
    <w:rsid w:val="008C3586"/>
    <w:rsid w:val="008C35A2"/>
    <w:rsid w:val="008C3979"/>
    <w:rsid w:val="008C3A21"/>
    <w:rsid w:val="008C4D1E"/>
    <w:rsid w:val="008C68D7"/>
    <w:rsid w:val="008C6A1C"/>
    <w:rsid w:val="008C741D"/>
    <w:rsid w:val="008D03B7"/>
    <w:rsid w:val="008D0A0A"/>
    <w:rsid w:val="008D1393"/>
    <w:rsid w:val="008D1727"/>
    <w:rsid w:val="008D2069"/>
    <w:rsid w:val="008D242F"/>
    <w:rsid w:val="008D2F63"/>
    <w:rsid w:val="008D39CB"/>
    <w:rsid w:val="008D42F3"/>
    <w:rsid w:val="008D6C52"/>
    <w:rsid w:val="008D73DB"/>
    <w:rsid w:val="008D74D5"/>
    <w:rsid w:val="008D7C72"/>
    <w:rsid w:val="008E046D"/>
    <w:rsid w:val="008E1115"/>
    <w:rsid w:val="008E1CA4"/>
    <w:rsid w:val="008E29AF"/>
    <w:rsid w:val="008E2B97"/>
    <w:rsid w:val="008E4895"/>
    <w:rsid w:val="008E51F0"/>
    <w:rsid w:val="008E5E72"/>
    <w:rsid w:val="008E66A6"/>
    <w:rsid w:val="008E748C"/>
    <w:rsid w:val="008E750F"/>
    <w:rsid w:val="008E7F06"/>
    <w:rsid w:val="008F0176"/>
    <w:rsid w:val="008F0CA4"/>
    <w:rsid w:val="008F1C5C"/>
    <w:rsid w:val="008F2366"/>
    <w:rsid w:val="008F2A06"/>
    <w:rsid w:val="008F2BF9"/>
    <w:rsid w:val="008F2FF8"/>
    <w:rsid w:val="008F3083"/>
    <w:rsid w:val="008F378F"/>
    <w:rsid w:val="008F47FD"/>
    <w:rsid w:val="008F4A96"/>
    <w:rsid w:val="008F5B16"/>
    <w:rsid w:val="008F5DE5"/>
    <w:rsid w:val="008F6A38"/>
    <w:rsid w:val="008F7033"/>
    <w:rsid w:val="0090077B"/>
    <w:rsid w:val="00900978"/>
    <w:rsid w:val="00901349"/>
    <w:rsid w:val="00902090"/>
    <w:rsid w:val="00902199"/>
    <w:rsid w:val="00902B6E"/>
    <w:rsid w:val="00903BE7"/>
    <w:rsid w:val="00903D57"/>
    <w:rsid w:val="0090417B"/>
    <w:rsid w:val="0090454E"/>
    <w:rsid w:val="00904599"/>
    <w:rsid w:val="00904638"/>
    <w:rsid w:val="00904E9B"/>
    <w:rsid w:val="0090539B"/>
    <w:rsid w:val="00905BD7"/>
    <w:rsid w:val="009078C1"/>
    <w:rsid w:val="009105C7"/>
    <w:rsid w:val="00910745"/>
    <w:rsid w:val="00910F3C"/>
    <w:rsid w:val="00911086"/>
    <w:rsid w:val="0091150F"/>
    <w:rsid w:val="009118AE"/>
    <w:rsid w:val="00911AEE"/>
    <w:rsid w:val="00912835"/>
    <w:rsid w:val="00913552"/>
    <w:rsid w:val="00913BC9"/>
    <w:rsid w:val="00914D3B"/>
    <w:rsid w:val="00915A90"/>
    <w:rsid w:val="00916C30"/>
    <w:rsid w:val="00916E39"/>
    <w:rsid w:val="009175D4"/>
    <w:rsid w:val="00920568"/>
    <w:rsid w:val="00920710"/>
    <w:rsid w:val="00920919"/>
    <w:rsid w:val="00920C21"/>
    <w:rsid w:val="00921B1B"/>
    <w:rsid w:val="00921E2B"/>
    <w:rsid w:val="00921F6A"/>
    <w:rsid w:val="00922A9A"/>
    <w:rsid w:val="009232B0"/>
    <w:rsid w:val="009247A7"/>
    <w:rsid w:val="00924A18"/>
    <w:rsid w:val="00925A07"/>
    <w:rsid w:val="00925B3D"/>
    <w:rsid w:val="00926B17"/>
    <w:rsid w:val="009276C4"/>
    <w:rsid w:val="00927995"/>
    <w:rsid w:val="00930D23"/>
    <w:rsid w:val="00930D9C"/>
    <w:rsid w:val="00931E61"/>
    <w:rsid w:val="00932144"/>
    <w:rsid w:val="00932B66"/>
    <w:rsid w:val="00932DB8"/>
    <w:rsid w:val="0093317B"/>
    <w:rsid w:val="0093323A"/>
    <w:rsid w:val="00933574"/>
    <w:rsid w:val="00934093"/>
    <w:rsid w:val="009341CE"/>
    <w:rsid w:val="00934E76"/>
    <w:rsid w:val="00934F0D"/>
    <w:rsid w:val="0093510C"/>
    <w:rsid w:val="00935B90"/>
    <w:rsid w:val="0093664B"/>
    <w:rsid w:val="009375A7"/>
    <w:rsid w:val="00937A19"/>
    <w:rsid w:val="00937E1D"/>
    <w:rsid w:val="0094019A"/>
    <w:rsid w:val="00941693"/>
    <w:rsid w:val="0094195A"/>
    <w:rsid w:val="0094198A"/>
    <w:rsid w:val="009420B0"/>
    <w:rsid w:val="00943389"/>
    <w:rsid w:val="0094338A"/>
    <w:rsid w:val="00943CC1"/>
    <w:rsid w:val="0094467C"/>
    <w:rsid w:val="00944D90"/>
    <w:rsid w:val="00944E21"/>
    <w:rsid w:val="00946446"/>
    <w:rsid w:val="009464A4"/>
    <w:rsid w:val="00947995"/>
    <w:rsid w:val="00947FAD"/>
    <w:rsid w:val="0095088D"/>
    <w:rsid w:val="009509F8"/>
    <w:rsid w:val="00950C4A"/>
    <w:rsid w:val="00950D24"/>
    <w:rsid w:val="009512E3"/>
    <w:rsid w:val="00951366"/>
    <w:rsid w:val="00951DF6"/>
    <w:rsid w:val="009528D3"/>
    <w:rsid w:val="00952A07"/>
    <w:rsid w:val="009545E5"/>
    <w:rsid w:val="0095483E"/>
    <w:rsid w:val="00954972"/>
    <w:rsid w:val="009561FC"/>
    <w:rsid w:val="009564DC"/>
    <w:rsid w:val="009566C1"/>
    <w:rsid w:val="00957413"/>
    <w:rsid w:val="00957F04"/>
    <w:rsid w:val="00960378"/>
    <w:rsid w:val="009605AB"/>
    <w:rsid w:val="0096071B"/>
    <w:rsid w:val="009608CD"/>
    <w:rsid w:val="00961403"/>
    <w:rsid w:val="00961F41"/>
    <w:rsid w:val="0096289F"/>
    <w:rsid w:val="009629D3"/>
    <w:rsid w:val="00962EF1"/>
    <w:rsid w:val="00965149"/>
    <w:rsid w:val="009658CF"/>
    <w:rsid w:val="00965A2E"/>
    <w:rsid w:val="009666F1"/>
    <w:rsid w:val="00966E0F"/>
    <w:rsid w:val="0096743B"/>
    <w:rsid w:val="00967A26"/>
    <w:rsid w:val="00967BF3"/>
    <w:rsid w:val="0097195F"/>
    <w:rsid w:val="00971ACF"/>
    <w:rsid w:val="00971E30"/>
    <w:rsid w:val="00972DC0"/>
    <w:rsid w:val="00972E5A"/>
    <w:rsid w:val="00973601"/>
    <w:rsid w:val="00973ACF"/>
    <w:rsid w:val="009743F4"/>
    <w:rsid w:val="00974665"/>
    <w:rsid w:val="0097488D"/>
    <w:rsid w:val="009749A4"/>
    <w:rsid w:val="009757DA"/>
    <w:rsid w:val="00975898"/>
    <w:rsid w:val="00976DC8"/>
    <w:rsid w:val="0097705A"/>
    <w:rsid w:val="00977AD0"/>
    <w:rsid w:val="00977DA5"/>
    <w:rsid w:val="00980388"/>
    <w:rsid w:val="0098086C"/>
    <w:rsid w:val="009808F4"/>
    <w:rsid w:val="009810E8"/>
    <w:rsid w:val="009822DC"/>
    <w:rsid w:val="00982913"/>
    <w:rsid w:val="00986283"/>
    <w:rsid w:val="009864D1"/>
    <w:rsid w:val="0098674B"/>
    <w:rsid w:val="00986D0F"/>
    <w:rsid w:val="0098794B"/>
    <w:rsid w:val="00987AA5"/>
    <w:rsid w:val="00990101"/>
    <w:rsid w:val="0099132F"/>
    <w:rsid w:val="00991664"/>
    <w:rsid w:val="00991740"/>
    <w:rsid w:val="00991F01"/>
    <w:rsid w:val="00992507"/>
    <w:rsid w:val="00992CB8"/>
    <w:rsid w:val="00993326"/>
    <w:rsid w:val="0099392B"/>
    <w:rsid w:val="00993DB1"/>
    <w:rsid w:val="00995134"/>
    <w:rsid w:val="009960B2"/>
    <w:rsid w:val="00996260"/>
    <w:rsid w:val="00996402"/>
    <w:rsid w:val="00996B0F"/>
    <w:rsid w:val="00996BAE"/>
    <w:rsid w:val="009975B1"/>
    <w:rsid w:val="009A00E9"/>
    <w:rsid w:val="009A1261"/>
    <w:rsid w:val="009A34B8"/>
    <w:rsid w:val="009A3E90"/>
    <w:rsid w:val="009A3FCF"/>
    <w:rsid w:val="009A4290"/>
    <w:rsid w:val="009A468C"/>
    <w:rsid w:val="009A6515"/>
    <w:rsid w:val="009A7145"/>
    <w:rsid w:val="009A7456"/>
    <w:rsid w:val="009A7D61"/>
    <w:rsid w:val="009B0190"/>
    <w:rsid w:val="009B071C"/>
    <w:rsid w:val="009B146F"/>
    <w:rsid w:val="009B2C22"/>
    <w:rsid w:val="009B3360"/>
    <w:rsid w:val="009B3D7D"/>
    <w:rsid w:val="009B434B"/>
    <w:rsid w:val="009B45CE"/>
    <w:rsid w:val="009B4CF8"/>
    <w:rsid w:val="009B4D84"/>
    <w:rsid w:val="009B4E91"/>
    <w:rsid w:val="009B59B4"/>
    <w:rsid w:val="009B61D4"/>
    <w:rsid w:val="009B671F"/>
    <w:rsid w:val="009B6E4A"/>
    <w:rsid w:val="009B7323"/>
    <w:rsid w:val="009C02E9"/>
    <w:rsid w:val="009C06DE"/>
    <w:rsid w:val="009C0742"/>
    <w:rsid w:val="009C0C1E"/>
    <w:rsid w:val="009C184D"/>
    <w:rsid w:val="009C1D2E"/>
    <w:rsid w:val="009C1DED"/>
    <w:rsid w:val="009C21E3"/>
    <w:rsid w:val="009C2894"/>
    <w:rsid w:val="009C2B12"/>
    <w:rsid w:val="009C2E5A"/>
    <w:rsid w:val="009C2EE9"/>
    <w:rsid w:val="009C3163"/>
    <w:rsid w:val="009C393E"/>
    <w:rsid w:val="009C52DD"/>
    <w:rsid w:val="009C5F6A"/>
    <w:rsid w:val="009C63EE"/>
    <w:rsid w:val="009C7339"/>
    <w:rsid w:val="009D005A"/>
    <w:rsid w:val="009D0A92"/>
    <w:rsid w:val="009D0EC8"/>
    <w:rsid w:val="009D1BC4"/>
    <w:rsid w:val="009D2413"/>
    <w:rsid w:val="009D2B70"/>
    <w:rsid w:val="009D2D85"/>
    <w:rsid w:val="009D3555"/>
    <w:rsid w:val="009D35D4"/>
    <w:rsid w:val="009D3F50"/>
    <w:rsid w:val="009D4082"/>
    <w:rsid w:val="009D44C4"/>
    <w:rsid w:val="009D4B24"/>
    <w:rsid w:val="009D4D0D"/>
    <w:rsid w:val="009D4E05"/>
    <w:rsid w:val="009D517F"/>
    <w:rsid w:val="009D5E5F"/>
    <w:rsid w:val="009D6C74"/>
    <w:rsid w:val="009D720F"/>
    <w:rsid w:val="009D7729"/>
    <w:rsid w:val="009D785D"/>
    <w:rsid w:val="009D79AE"/>
    <w:rsid w:val="009E0AF9"/>
    <w:rsid w:val="009E0E84"/>
    <w:rsid w:val="009E104E"/>
    <w:rsid w:val="009E1AEA"/>
    <w:rsid w:val="009E2133"/>
    <w:rsid w:val="009E2D03"/>
    <w:rsid w:val="009E33C6"/>
    <w:rsid w:val="009E41C2"/>
    <w:rsid w:val="009E4410"/>
    <w:rsid w:val="009E4762"/>
    <w:rsid w:val="009E55E5"/>
    <w:rsid w:val="009E58C8"/>
    <w:rsid w:val="009E5BC1"/>
    <w:rsid w:val="009E702C"/>
    <w:rsid w:val="009E70C7"/>
    <w:rsid w:val="009E74AC"/>
    <w:rsid w:val="009E783B"/>
    <w:rsid w:val="009F0527"/>
    <w:rsid w:val="009F0BBA"/>
    <w:rsid w:val="009F116A"/>
    <w:rsid w:val="009F15CF"/>
    <w:rsid w:val="009F258B"/>
    <w:rsid w:val="009F290C"/>
    <w:rsid w:val="009F35CD"/>
    <w:rsid w:val="009F35E9"/>
    <w:rsid w:val="009F36CA"/>
    <w:rsid w:val="009F48C8"/>
    <w:rsid w:val="009F49C2"/>
    <w:rsid w:val="009F49F5"/>
    <w:rsid w:val="009F4D23"/>
    <w:rsid w:val="009F4F35"/>
    <w:rsid w:val="009F5032"/>
    <w:rsid w:val="009F54E4"/>
    <w:rsid w:val="009F59CE"/>
    <w:rsid w:val="009F5AAB"/>
    <w:rsid w:val="009F5AEE"/>
    <w:rsid w:val="009F617E"/>
    <w:rsid w:val="009F76BC"/>
    <w:rsid w:val="00A0090D"/>
    <w:rsid w:val="00A00AFE"/>
    <w:rsid w:val="00A00D83"/>
    <w:rsid w:val="00A019E8"/>
    <w:rsid w:val="00A01A3B"/>
    <w:rsid w:val="00A02D00"/>
    <w:rsid w:val="00A038E4"/>
    <w:rsid w:val="00A03AD0"/>
    <w:rsid w:val="00A03CC6"/>
    <w:rsid w:val="00A04698"/>
    <w:rsid w:val="00A047E2"/>
    <w:rsid w:val="00A04844"/>
    <w:rsid w:val="00A055F8"/>
    <w:rsid w:val="00A061DA"/>
    <w:rsid w:val="00A0738D"/>
    <w:rsid w:val="00A1010E"/>
    <w:rsid w:val="00A1019C"/>
    <w:rsid w:val="00A104CA"/>
    <w:rsid w:val="00A1090F"/>
    <w:rsid w:val="00A113AB"/>
    <w:rsid w:val="00A114D9"/>
    <w:rsid w:val="00A11E82"/>
    <w:rsid w:val="00A13D37"/>
    <w:rsid w:val="00A141E8"/>
    <w:rsid w:val="00A14292"/>
    <w:rsid w:val="00A15102"/>
    <w:rsid w:val="00A1510C"/>
    <w:rsid w:val="00A15268"/>
    <w:rsid w:val="00A15DB9"/>
    <w:rsid w:val="00A163B1"/>
    <w:rsid w:val="00A164F9"/>
    <w:rsid w:val="00A16B71"/>
    <w:rsid w:val="00A16E55"/>
    <w:rsid w:val="00A17497"/>
    <w:rsid w:val="00A20586"/>
    <w:rsid w:val="00A20C85"/>
    <w:rsid w:val="00A20D0B"/>
    <w:rsid w:val="00A211B8"/>
    <w:rsid w:val="00A22347"/>
    <w:rsid w:val="00A227BE"/>
    <w:rsid w:val="00A22EC5"/>
    <w:rsid w:val="00A23CC9"/>
    <w:rsid w:val="00A254E8"/>
    <w:rsid w:val="00A269ED"/>
    <w:rsid w:val="00A2709D"/>
    <w:rsid w:val="00A27183"/>
    <w:rsid w:val="00A2797F"/>
    <w:rsid w:val="00A3063D"/>
    <w:rsid w:val="00A30CDE"/>
    <w:rsid w:val="00A31C96"/>
    <w:rsid w:val="00A31EE3"/>
    <w:rsid w:val="00A32AFF"/>
    <w:rsid w:val="00A32E96"/>
    <w:rsid w:val="00A337D1"/>
    <w:rsid w:val="00A33C09"/>
    <w:rsid w:val="00A33D7A"/>
    <w:rsid w:val="00A34619"/>
    <w:rsid w:val="00A35866"/>
    <w:rsid w:val="00A37AF0"/>
    <w:rsid w:val="00A400F9"/>
    <w:rsid w:val="00A40C4A"/>
    <w:rsid w:val="00A41071"/>
    <w:rsid w:val="00A41755"/>
    <w:rsid w:val="00A4290F"/>
    <w:rsid w:val="00A43104"/>
    <w:rsid w:val="00A4350A"/>
    <w:rsid w:val="00A43E4A"/>
    <w:rsid w:val="00A4428D"/>
    <w:rsid w:val="00A44D7A"/>
    <w:rsid w:val="00A44E9C"/>
    <w:rsid w:val="00A4644B"/>
    <w:rsid w:val="00A4684E"/>
    <w:rsid w:val="00A469FA"/>
    <w:rsid w:val="00A47357"/>
    <w:rsid w:val="00A47C36"/>
    <w:rsid w:val="00A514D9"/>
    <w:rsid w:val="00A51DE8"/>
    <w:rsid w:val="00A53E3E"/>
    <w:rsid w:val="00A544D0"/>
    <w:rsid w:val="00A545E8"/>
    <w:rsid w:val="00A55283"/>
    <w:rsid w:val="00A55D2F"/>
    <w:rsid w:val="00A55EB3"/>
    <w:rsid w:val="00A56BCF"/>
    <w:rsid w:val="00A56FBA"/>
    <w:rsid w:val="00A57346"/>
    <w:rsid w:val="00A57FEC"/>
    <w:rsid w:val="00A605E2"/>
    <w:rsid w:val="00A606B9"/>
    <w:rsid w:val="00A60AC8"/>
    <w:rsid w:val="00A60DA1"/>
    <w:rsid w:val="00A61169"/>
    <w:rsid w:val="00A612F5"/>
    <w:rsid w:val="00A6263A"/>
    <w:rsid w:val="00A62727"/>
    <w:rsid w:val="00A62F36"/>
    <w:rsid w:val="00A6334A"/>
    <w:rsid w:val="00A646F3"/>
    <w:rsid w:val="00A6472B"/>
    <w:rsid w:val="00A6488F"/>
    <w:rsid w:val="00A64F6A"/>
    <w:rsid w:val="00A652A4"/>
    <w:rsid w:val="00A65345"/>
    <w:rsid w:val="00A65419"/>
    <w:rsid w:val="00A6554D"/>
    <w:rsid w:val="00A65B31"/>
    <w:rsid w:val="00A66129"/>
    <w:rsid w:val="00A667DE"/>
    <w:rsid w:val="00A6685E"/>
    <w:rsid w:val="00A66F28"/>
    <w:rsid w:val="00A67749"/>
    <w:rsid w:val="00A7067C"/>
    <w:rsid w:val="00A7070C"/>
    <w:rsid w:val="00A710B0"/>
    <w:rsid w:val="00A711CD"/>
    <w:rsid w:val="00A73318"/>
    <w:rsid w:val="00A739C5"/>
    <w:rsid w:val="00A74843"/>
    <w:rsid w:val="00A74D95"/>
    <w:rsid w:val="00A7516E"/>
    <w:rsid w:val="00A75172"/>
    <w:rsid w:val="00A75723"/>
    <w:rsid w:val="00A75DBE"/>
    <w:rsid w:val="00A76F9C"/>
    <w:rsid w:val="00A77901"/>
    <w:rsid w:val="00A77C81"/>
    <w:rsid w:val="00A80668"/>
    <w:rsid w:val="00A80936"/>
    <w:rsid w:val="00A80D9D"/>
    <w:rsid w:val="00A80ECF"/>
    <w:rsid w:val="00A821CA"/>
    <w:rsid w:val="00A84CA2"/>
    <w:rsid w:val="00A84CB9"/>
    <w:rsid w:val="00A857CF"/>
    <w:rsid w:val="00A86298"/>
    <w:rsid w:val="00A866FE"/>
    <w:rsid w:val="00A86E65"/>
    <w:rsid w:val="00A87A27"/>
    <w:rsid w:val="00A903B2"/>
    <w:rsid w:val="00A905AA"/>
    <w:rsid w:val="00A90C7B"/>
    <w:rsid w:val="00A91237"/>
    <w:rsid w:val="00A916B8"/>
    <w:rsid w:val="00A9240A"/>
    <w:rsid w:val="00A927D9"/>
    <w:rsid w:val="00A929F6"/>
    <w:rsid w:val="00A92ADC"/>
    <w:rsid w:val="00A93903"/>
    <w:rsid w:val="00A94421"/>
    <w:rsid w:val="00A94627"/>
    <w:rsid w:val="00A94B69"/>
    <w:rsid w:val="00A94F45"/>
    <w:rsid w:val="00A95210"/>
    <w:rsid w:val="00A95587"/>
    <w:rsid w:val="00A965D7"/>
    <w:rsid w:val="00A97DD1"/>
    <w:rsid w:val="00A97F3C"/>
    <w:rsid w:val="00AA022B"/>
    <w:rsid w:val="00AA03F9"/>
    <w:rsid w:val="00AA07C4"/>
    <w:rsid w:val="00AA0BBE"/>
    <w:rsid w:val="00AA11C1"/>
    <w:rsid w:val="00AA1EC8"/>
    <w:rsid w:val="00AA1FC8"/>
    <w:rsid w:val="00AA23F7"/>
    <w:rsid w:val="00AA2F7A"/>
    <w:rsid w:val="00AA3E4C"/>
    <w:rsid w:val="00AA40F5"/>
    <w:rsid w:val="00AA4828"/>
    <w:rsid w:val="00AA4DE4"/>
    <w:rsid w:val="00AA4F1D"/>
    <w:rsid w:val="00AA5465"/>
    <w:rsid w:val="00AA564D"/>
    <w:rsid w:val="00AA5A7F"/>
    <w:rsid w:val="00AA64C7"/>
    <w:rsid w:val="00AA66C7"/>
    <w:rsid w:val="00AA75F2"/>
    <w:rsid w:val="00AA7755"/>
    <w:rsid w:val="00AB0649"/>
    <w:rsid w:val="00AB1A18"/>
    <w:rsid w:val="00AB2473"/>
    <w:rsid w:val="00AB299E"/>
    <w:rsid w:val="00AB34E6"/>
    <w:rsid w:val="00AB39F4"/>
    <w:rsid w:val="00AB447F"/>
    <w:rsid w:val="00AB4EF4"/>
    <w:rsid w:val="00AB5164"/>
    <w:rsid w:val="00AB5251"/>
    <w:rsid w:val="00AB55E3"/>
    <w:rsid w:val="00AB5B3C"/>
    <w:rsid w:val="00AB5DE1"/>
    <w:rsid w:val="00AB6BA3"/>
    <w:rsid w:val="00AC049D"/>
    <w:rsid w:val="00AC09B1"/>
    <w:rsid w:val="00AC1EC4"/>
    <w:rsid w:val="00AC2226"/>
    <w:rsid w:val="00AC2B2B"/>
    <w:rsid w:val="00AC2F65"/>
    <w:rsid w:val="00AC31D2"/>
    <w:rsid w:val="00AC333B"/>
    <w:rsid w:val="00AC3FA2"/>
    <w:rsid w:val="00AC436A"/>
    <w:rsid w:val="00AC44EA"/>
    <w:rsid w:val="00AC4E32"/>
    <w:rsid w:val="00AC56CB"/>
    <w:rsid w:val="00AC56E0"/>
    <w:rsid w:val="00AC6A3C"/>
    <w:rsid w:val="00AC6CAD"/>
    <w:rsid w:val="00AC73D3"/>
    <w:rsid w:val="00AC7694"/>
    <w:rsid w:val="00AC7C86"/>
    <w:rsid w:val="00AD0704"/>
    <w:rsid w:val="00AD0AAC"/>
    <w:rsid w:val="00AD23C0"/>
    <w:rsid w:val="00AD2A44"/>
    <w:rsid w:val="00AD30C3"/>
    <w:rsid w:val="00AD30F3"/>
    <w:rsid w:val="00AD3C8A"/>
    <w:rsid w:val="00AD3CA2"/>
    <w:rsid w:val="00AD4037"/>
    <w:rsid w:val="00AD6452"/>
    <w:rsid w:val="00AD67F9"/>
    <w:rsid w:val="00AD69E1"/>
    <w:rsid w:val="00AD6D3B"/>
    <w:rsid w:val="00AD77C0"/>
    <w:rsid w:val="00AD78B2"/>
    <w:rsid w:val="00AD7C46"/>
    <w:rsid w:val="00AE17B1"/>
    <w:rsid w:val="00AE188F"/>
    <w:rsid w:val="00AE1D20"/>
    <w:rsid w:val="00AE3BC2"/>
    <w:rsid w:val="00AE40DA"/>
    <w:rsid w:val="00AE41FC"/>
    <w:rsid w:val="00AE435B"/>
    <w:rsid w:val="00AE49E1"/>
    <w:rsid w:val="00AE4C36"/>
    <w:rsid w:val="00AE56ED"/>
    <w:rsid w:val="00AE5A86"/>
    <w:rsid w:val="00AE5B7A"/>
    <w:rsid w:val="00AE5F1E"/>
    <w:rsid w:val="00AE5F3C"/>
    <w:rsid w:val="00AE6D5B"/>
    <w:rsid w:val="00AE7C51"/>
    <w:rsid w:val="00AE7E58"/>
    <w:rsid w:val="00AE7E97"/>
    <w:rsid w:val="00AF0208"/>
    <w:rsid w:val="00AF1A2A"/>
    <w:rsid w:val="00AF1A66"/>
    <w:rsid w:val="00AF1B63"/>
    <w:rsid w:val="00AF1CBD"/>
    <w:rsid w:val="00AF2B76"/>
    <w:rsid w:val="00AF2DDF"/>
    <w:rsid w:val="00AF2DEE"/>
    <w:rsid w:val="00AF3761"/>
    <w:rsid w:val="00AF3A86"/>
    <w:rsid w:val="00AF5152"/>
    <w:rsid w:val="00AF52A6"/>
    <w:rsid w:val="00AF5421"/>
    <w:rsid w:val="00AF5568"/>
    <w:rsid w:val="00AF584E"/>
    <w:rsid w:val="00AF5B34"/>
    <w:rsid w:val="00AF6EE1"/>
    <w:rsid w:val="00AF6F28"/>
    <w:rsid w:val="00AF7554"/>
    <w:rsid w:val="00AF7772"/>
    <w:rsid w:val="00AF78CC"/>
    <w:rsid w:val="00AF7AE7"/>
    <w:rsid w:val="00B00281"/>
    <w:rsid w:val="00B00CCE"/>
    <w:rsid w:val="00B017FE"/>
    <w:rsid w:val="00B01B7E"/>
    <w:rsid w:val="00B02021"/>
    <w:rsid w:val="00B02A5E"/>
    <w:rsid w:val="00B03F82"/>
    <w:rsid w:val="00B0691F"/>
    <w:rsid w:val="00B06DD9"/>
    <w:rsid w:val="00B07B3A"/>
    <w:rsid w:val="00B07BE0"/>
    <w:rsid w:val="00B07EB2"/>
    <w:rsid w:val="00B10070"/>
    <w:rsid w:val="00B11D1D"/>
    <w:rsid w:val="00B11E6F"/>
    <w:rsid w:val="00B132A8"/>
    <w:rsid w:val="00B13510"/>
    <w:rsid w:val="00B13714"/>
    <w:rsid w:val="00B1394E"/>
    <w:rsid w:val="00B13B65"/>
    <w:rsid w:val="00B13C2A"/>
    <w:rsid w:val="00B13E40"/>
    <w:rsid w:val="00B14AF3"/>
    <w:rsid w:val="00B14B85"/>
    <w:rsid w:val="00B159F5"/>
    <w:rsid w:val="00B16377"/>
    <w:rsid w:val="00B16EF3"/>
    <w:rsid w:val="00B17408"/>
    <w:rsid w:val="00B17E0C"/>
    <w:rsid w:val="00B22188"/>
    <w:rsid w:val="00B22880"/>
    <w:rsid w:val="00B24576"/>
    <w:rsid w:val="00B2470E"/>
    <w:rsid w:val="00B251F6"/>
    <w:rsid w:val="00B2599B"/>
    <w:rsid w:val="00B26871"/>
    <w:rsid w:val="00B2709B"/>
    <w:rsid w:val="00B278E4"/>
    <w:rsid w:val="00B27C39"/>
    <w:rsid w:val="00B30408"/>
    <w:rsid w:val="00B30717"/>
    <w:rsid w:val="00B31DF4"/>
    <w:rsid w:val="00B33ED0"/>
    <w:rsid w:val="00B33F75"/>
    <w:rsid w:val="00B3475E"/>
    <w:rsid w:val="00B3491B"/>
    <w:rsid w:val="00B34CD0"/>
    <w:rsid w:val="00B34CE3"/>
    <w:rsid w:val="00B35877"/>
    <w:rsid w:val="00B359A9"/>
    <w:rsid w:val="00B35D98"/>
    <w:rsid w:val="00B368F7"/>
    <w:rsid w:val="00B36C08"/>
    <w:rsid w:val="00B37144"/>
    <w:rsid w:val="00B37D72"/>
    <w:rsid w:val="00B40F53"/>
    <w:rsid w:val="00B41D3A"/>
    <w:rsid w:val="00B4288E"/>
    <w:rsid w:val="00B42E89"/>
    <w:rsid w:val="00B43210"/>
    <w:rsid w:val="00B435C8"/>
    <w:rsid w:val="00B43B33"/>
    <w:rsid w:val="00B43C57"/>
    <w:rsid w:val="00B45D0F"/>
    <w:rsid w:val="00B46EEC"/>
    <w:rsid w:val="00B4721D"/>
    <w:rsid w:val="00B47CCA"/>
    <w:rsid w:val="00B50967"/>
    <w:rsid w:val="00B50AAC"/>
    <w:rsid w:val="00B51584"/>
    <w:rsid w:val="00B51F25"/>
    <w:rsid w:val="00B52927"/>
    <w:rsid w:val="00B543BA"/>
    <w:rsid w:val="00B547BD"/>
    <w:rsid w:val="00B55005"/>
    <w:rsid w:val="00B555E2"/>
    <w:rsid w:val="00B55E76"/>
    <w:rsid w:val="00B57D7E"/>
    <w:rsid w:val="00B6004A"/>
    <w:rsid w:val="00B6117F"/>
    <w:rsid w:val="00B62534"/>
    <w:rsid w:val="00B62C16"/>
    <w:rsid w:val="00B62E57"/>
    <w:rsid w:val="00B63039"/>
    <w:rsid w:val="00B643DC"/>
    <w:rsid w:val="00B65225"/>
    <w:rsid w:val="00B65C27"/>
    <w:rsid w:val="00B6659A"/>
    <w:rsid w:val="00B66CCA"/>
    <w:rsid w:val="00B67080"/>
    <w:rsid w:val="00B673B1"/>
    <w:rsid w:val="00B67D25"/>
    <w:rsid w:val="00B71706"/>
    <w:rsid w:val="00B71762"/>
    <w:rsid w:val="00B718D9"/>
    <w:rsid w:val="00B71910"/>
    <w:rsid w:val="00B722B4"/>
    <w:rsid w:val="00B72758"/>
    <w:rsid w:val="00B727F0"/>
    <w:rsid w:val="00B72A7C"/>
    <w:rsid w:val="00B733F8"/>
    <w:rsid w:val="00B7381B"/>
    <w:rsid w:val="00B74DD2"/>
    <w:rsid w:val="00B74DF1"/>
    <w:rsid w:val="00B75F84"/>
    <w:rsid w:val="00B7601A"/>
    <w:rsid w:val="00B76142"/>
    <w:rsid w:val="00B768AE"/>
    <w:rsid w:val="00B77E87"/>
    <w:rsid w:val="00B77EE9"/>
    <w:rsid w:val="00B77F0D"/>
    <w:rsid w:val="00B80AC4"/>
    <w:rsid w:val="00B814A7"/>
    <w:rsid w:val="00B81576"/>
    <w:rsid w:val="00B82177"/>
    <w:rsid w:val="00B823BC"/>
    <w:rsid w:val="00B83A45"/>
    <w:rsid w:val="00B845EA"/>
    <w:rsid w:val="00B847DC"/>
    <w:rsid w:val="00B84E5F"/>
    <w:rsid w:val="00B8592C"/>
    <w:rsid w:val="00B86DC3"/>
    <w:rsid w:val="00B86F8A"/>
    <w:rsid w:val="00B87237"/>
    <w:rsid w:val="00B87606"/>
    <w:rsid w:val="00B87E1D"/>
    <w:rsid w:val="00B90794"/>
    <w:rsid w:val="00B90878"/>
    <w:rsid w:val="00B91CA0"/>
    <w:rsid w:val="00B9260F"/>
    <w:rsid w:val="00B933F9"/>
    <w:rsid w:val="00B947C5"/>
    <w:rsid w:val="00B94A1B"/>
    <w:rsid w:val="00B958EA"/>
    <w:rsid w:val="00B965BF"/>
    <w:rsid w:val="00BA032A"/>
    <w:rsid w:val="00BA04DF"/>
    <w:rsid w:val="00BA1463"/>
    <w:rsid w:val="00BA17F2"/>
    <w:rsid w:val="00BA29EF"/>
    <w:rsid w:val="00BA2FEF"/>
    <w:rsid w:val="00BA3A11"/>
    <w:rsid w:val="00BA3C61"/>
    <w:rsid w:val="00BA408D"/>
    <w:rsid w:val="00BA4DB4"/>
    <w:rsid w:val="00BA60CA"/>
    <w:rsid w:val="00BA6485"/>
    <w:rsid w:val="00BA6625"/>
    <w:rsid w:val="00BA676E"/>
    <w:rsid w:val="00BA72DF"/>
    <w:rsid w:val="00BA7633"/>
    <w:rsid w:val="00BB01CF"/>
    <w:rsid w:val="00BB036E"/>
    <w:rsid w:val="00BB0399"/>
    <w:rsid w:val="00BB03B8"/>
    <w:rsid w:val="00BB0EC0"/>
    <w:rsid w:val="00BB1620"/>
    <w:rsid w:val="00BB2A06"/>
    <w:rsid w:val="00BB2A9A"/>
    <w:rsid w:val="00BB2DB4"/>
    <w:rsid w:val="00BB2FB3"/>
    <w:rsid w:val="00BB3B71"/>
    <w:rsid w:val="00BB3CC4"/>
    <w:rsid w:val="00BB3FB9"/>
    <w:rsid w:val="00BB43D0"/>
    <w:rsid w:val="00BB511A"/>
    <w:rsid w:val="00BB56C1"/>
    <w:rsid w:val="00BB5D90"/>
    <w:rsid w:val="00BB5F14"/>
    <w:rsid w:val="00BB609F"/>
    <w:rsid w:val="00BB6BE9"/>
    <w:rsid w:val="00BB6FE0"/>
    <w:rsid w:val="00BB7A38"/>
    <w:rsid w:val="00BC0532"/>
    <w:rsid w:val="00BC0621"/>
    <w:rsid w:val="00BC0E3F"/>
    <w:rsid w:val="00BC1E97"/>
    <w:rsid w:val="00BC2E17"/>
    <w:rsid w:val="00BC3DF5"/>
    <w:rsid w:val="00BC40EC"/>
    <w:rsid w:val="00BC4B78"/>
    <w:rsid w:val="00BC5B72"/>
    <w:rsid w:val="00BC5C9C"/>
    <w:rsid w:val="00BC6540"/>
    <w:rsid w:val="00BC6830"/>
    <w:rsid w:val="00BC6F92"/>
    <w:rsid w:val="00BC706C"/>
    <w:rsid w:val="00BC7AB1"/>
    <w:rsid w:val="00BD0BF7"/>
    <w:rsid w:val="00BD1085"/>
    <w:rsid w:val="00BD2303"/>
    <w:rsid w:val="00BD24A7"/>
    <w:rsid w:val="00BD28C1"/>
    <w:rsid w:val="00BD2C98"/>
    <w:rsid w:val="00BD319A"/>
    <w:rsid w:val="00BD334B"/>
    <w:rsid w:val="00BD39DF"/>
    <w:rsid w:val="00BD3CB3"/>
    <w:rsid w:val="00BD495C"/>
    <w:rsid w:val="00BD51A2"/>
    <w:rsid w:val="00BD59C4"/>
    <w:rsid w:val="00BD698C"/>
    <w:rsid w:val="00BD6AED"/>
    <w:rsid w:val="00BD6CF8"/>
    <w:rsid w:val="00BD6F7F"/>
    <w:rsid w:val="00BD76C1"/>
    <w:rsid w:val="00BE04AF"/>
    <w:rsid w:val="00BE092F"/>
    <w:rsid w:val="00BE0EE8"/>
    <w:rsid w:val="00BE270D"/>
    <w:rsid w:val="00BE4311"/>
    <w:rsid w:val="00BE45B1"/>
    <w:rsid w:val="00BE523B"/>
    <w:rsid w:val="00BE5AD0"/>
    <w:rsid w:val="00BE5B6D"/>
    <w:rsid w:val="00BE5B7F"/>
    <w:rsid w:val="00BE7B2F"/>
    <w:rsid w:val="00BE7BE3"/>
    <w:rsid w:val="00BE7E18"/>
    <w:rsid w:val="00BF062C"/>
    <w:rsid w:val="00BF0ABD"/>
    <w:rsid w:val="00BF23B7"/>
    <w:rsid w:val="00BF2AAF"/>
    <w:rsid w:val="00BF3B7A"/>
    <w:rsid w:val="00BF3C20"/>
    <w:rsid w:val="00BF3EBE"/>
    <w:rsid w:val="00BF3F2C"/>
    <w:rsid w:val="00BF4315"/>
    <w:rsid w:val="00BF44C1"/>
    <w:rsid w:val="00BF4DAB"/>
    <w:rsid w:val="00BF4EDF"/>
    <w:rsid w:val="00BF6941"/>
    <w:rsid w:val="00BF700D"/>
    <w:rsid w:val="00BF73EE"/>
    <w:rsid w:val="00BF76C4"/>
    <w:rsid w:val="00C00179"/>
    <w:rsid w:val="00C0078D"/>
    <w:rsid w:val="00C01806"/>
    <w:rsid w:val="00C01B97"/>
    <w:rsid w:val="00C01EDE"/>
    <w:rsid w:val="00C020F3"/>
    <w:rsid w:val="00C02ED6"/>
    <w:rsid w:val="00C03B61"/>
    <w:rsid w:val="00C04FA8"/>
    <w:rsid w:val="00C05BDA"/>
    <w:rsid w:val="00C05C92"/>
    <w:rsid w:val="00C07077"/>
    <w:rsid w:val="00C10550"/>
    <w:rsid w:val="00C1095E"/>
    <w:rsid w:val="00C1117F"/>
    <w:rsid w:val="00C115F8"/>
    <w:rsid w:val="00C11B1C"/>
    <w:rsid w:val="00C129D6"/>
    <w:rsid w:val="00C13E68"/>
    <w:rsid w:val="00C143E9"/>
    <w:rsid w:val="00C15E56"/>
    <w:rsid w:val="00C16A13"/>
    <w:rsid w:val="00C17415"/>
    <w:rsid w:val="00C1741A"/>
    <w:rsid w:val="00C17996"/>
    <w:rsid w:val="00C17BF7"/>
    <w:rsid w:val="00C2005A"/>
    <w:rsid w:val="00C20911"/>
    <w:rsid w:val="00C21B06"/>
    <w:rsid w:val="00C21F34"/>
    <w:rsid w:val="00C2287D"/>
    <w:rsid w:val="00C22F54"/>
    <w:rsid w:val="00C232AB"/>
    <w:rsid w:val="00C23612"/>
    <w:rsid w:val="00C23641"/>
    <w:rsid w:val="00C23695"/>
    <w:rsid w:val="00C239EE"/>
    <w:rsid w:val="00C239FC"/>
    <w:rsid w:val="00C240EF"/>
    <w:rsid w:val="00C2429C"/>
    <w:rsid w:val="00C24C59"/>
    <w:rsid w:val="00C24F09"/>
    <w:rsid w:val="00C2521C"/>
    <w:rsid w:val="00C252CB"/>
    <w:rsid w:val="00C25932"/>
    <w:rsid w:val="00C25D8F"/>
    <w:rsid w:val="00C25E36"/>
    <w:rsid w:val="00C263AF"/>
    <w:rsid w:val="00C26B98"/>
    <w:rsid w:val="00C26CD0"/>
    <w:rsid w:val="00C276AA"/>
    <w:rsid w:val="00C27726"/>
    <w:rsid w:val="00C27AFE"/>
    <w:rsid w:val="00C31002"/>
    <w:rsid w:val="00C31640"/>
    <w:rsid w:val="00C3176A"/>
    <w:rsid w:val="00C31F1F"/>
    <w:rsid w:val="00C325EA"/>
    <w:rsid w:val="00C3390D"/>
    <w:rsid w:val="00C33924"/>
    <w:rsid w:val="00C33A34"/>
    <w:rsid w:val="00C33FA1"/>
    <w:rsid w:val="00C34646"/>
    <w:rsid w:val="00C367F4"/>
    <w:rsid w:val="00C3749E"/>
    <w:rsid w:val="00C37650"/>
    <w:rsid w:val="00C37BE1"/>
    <w:rsid w:val="00C37C6A"/>
    <w:rsid w:val="00C4040E"/>
    <w:rsid w:val="00C41006"/>
    <w:rsid w:val="00C4103A"/>
    <w:rsid w:val="00C43856"/>
    <w:rsid w:val="00C44641"/>
    <w:rsid w:val="00C44AFC"/>
    <w:rsid w:val="00C45541"/>
    <w:rsid w:val="00C459F8"/>
    <w:rsid w:val="00C474D6"/>
    <w:rsid w:val="00C50BCD"/>
    <w:rsid w:val="00C515B5"/>
    <w:rsid w:val="00C51C89"/>
    <w:rsid w:val="00C5377F"/>
    <w:rsid w:val="00C537C6"/>
    <w:rsid w:val="00C53C54"/>
    <w:rsid w:val="00C53C9F"/>
    <w:rsid w:val="00C541BB"/>
    <w:rsid w:val="00C543E7"/>
    <w:rsid w:val="00C5445A"/>
    <w:rsid w:val="00C54F4D"/>
    <w:rsid w:val="00C55033"/>
    <w:rsid w:val="00C55371"/>
    <w:rsid w:val="00C5632E"/>
    <w:rsid w:val="00C5685D"/>
    <w:rsid w:val="00C57F1F"/>
    <w:rsid w:val="00C60569"/>
    <w:rsid w:val="00C60997"/>
    <w:rsid w:val="00C6153C"/>
    <w:rsid w:val="00C62806"/>
    <w:rsid w:val="00C62F2B"/>
    <w:rsid w:val="00C63063"/>
    <w:rsid w:val="00C63151"/>
    <w:rsid w:val="00C634B9"/>
    <w:rsid w:val="00C63966"/>
    <w:rsid w:val="00C63AB2"/>
    <w:rsid w:val="00C65232"/>
    <w:rsid w:val="00C654C9"/>
    <w:rsid w:val="00C6566D"/>
    <w:rsid w:val="00C672CA"/>
    <w:rsid w:val="00C67FE3"/>
    <w:rsid w:val="00C7023A"/>
    <w:rsid w:val="00C709D9"/>
    <w:rsid w:val="00C7116C"/>
    <w:rsid w:val="00C712A1"/>
    <w:rsid w:val="00C71A78"/>
    <w:rsid w:val="00C724F1"/>
    <w:rsid w:val="00C749A3"/>
    <w:rsid w:val="00C75205"/>
    <w:rsid w:val="00C758BF"/>
    <w:rsid w:val="00C75E62"/>
    <w:rsid w:val="00C760CC"/>
    <w:rsid w:val="00C76E7F"/>
    <w:rsid w:val="00C7725C"/>
    <w:rsid w:val="00C77546"/>
    <w:rsid w:val="00C77D2B"/>
    <w:rsid w:val="00C809AE"/>
    <w:rsid w:val="00C82F73"/>
    <w:rsid w:val="00C8343A"/>
    <w:rsid w:val="00C84C78"/>
    <w:rsid w:val="00C85026"/>
    <w:rsid w:val="00C85330"/>
    <w:rsid w:val="00C85F20"/>
    <w:rsid w:val="00C8672B"/>
    <w:rsid w:val="00C86DD5"/>
    <w:rsid w:val="00C876EA"/>
    <w:rsid w:val="00C90F5C"/>
    <w:rsid w:val="00C92262"/>
    <w:rsid w:val="00C92BA0"/>
    <w:rsid w:val="00C93354"/>
    <w:rsid w:val="00C936E8"/>
    <w:rsid w:val="00C93BBF"/>
    <w:rsid w:val="00C942EA"/>
    <w:rsid w:val="00C94381"/>
    <w:rsid w:val="00C95910"/>
    <w:rsid w:val="00C96580"/>
    <w:rsid w:val="00C97101"/>
    <w:rsid w:val="00CA0B93"/>
    <w:rsid w:val="00CA0EF8"/>
    <w:rsid w:val="00CA1B0D"/>
    <w:rsid w:val="00CA29D7"/>
    <w:rsid w:val="00CA30AA"/>
    <w:rsid w:val="00CA39E8"/>
    <w:rsid w:val="00CA568C"/>
    <w:rsid w:val="00CA6127"/>
    <w:rsid w:val="00CA674A"/>
    <w:rsid w:val="00CA69BA"/>
    <w:rsid w:val="00CA6F49"/>
    <w:rsid w:val="00CA73C9"/>
    <w:rsid w:val="00CA75D5"/>
    <w:rsid w:val="00CA7901"/>
    <w:rsid w:val="00CB0180"/>
    <w:rsid w:val="00CB108D"/>
    <w:rsid w:val="00CB1AF1"/>
    <w:rsid w:val="00CB1EFE"/>
    <w:rsid w:val="00CB3E8F"/>
    <w:rsid w:val="00CB4203"/>
    <w:rsid w:val="00CB49E8"/>
    <w:rsid w:val="00CB5848"/>
    <w:rsid w:val="00CB5F22"/>
    <w:rsid w:val="00CB67B3"/>
    <w:rsid w:val="00CB6EC5"/>
    <w:rsid w:val="00CB75E9"/>
    <w:rsid w:val="00CC01EE"/>
    <w:rsid w:val="00CC0905"/>
    <w:rsid w:val="00CC0C13"/>
    <w:rsid w:val="00CC10F4"/>
    <w:rsid w:val="00CC17E5"/>
    <w:rsid w:val="00CC2EEB"/>
    <w:rsid w:val="00CC3744"/>
    <w:rsid w:val="00CC3CB2"/>
    <w:rsid w:val="00CC50B4"/>
    <w:rsid w:val="00CC5818"/>
    <w:rsid w:val="00CC60CF"/>
    <w:rsid w:val="00CC7209"/>
    <w:rsid w:val="00CC730A"/>
    <w:rsid w:val="00CC7638"/>
    <w:rsid w:val="00CC7B83"/>
    <w:rsid w:val="00CC7CBA"/>
    <w:rsid w:val="00CD1B88"/>
    <w:rsid w:val="00CD28B7"/>
    <w:rsid w:val="00CD28CD"/>
    <w:rsid w:val="00CD2A97"/>
    <w:rsid w:val="00CD2BE2"/>
    <w:rsid w:val="00CD2DD2"/>
    <w:rsid w:val="00CD3233"/>
    <w:rsid w:val="00CD3D3A"/>
    <w:rsid w:val="00CD3F98"/>
    <w:rsid w:val="00CD4AF9"/>
    <w:rsid w:val="00CD5878"/>
    <w:rsid w:val="00CD7C0E"/>
    <w:rsid w:val="00CD7C67"/>
    <w:rsid w:val="00CE23BA"/>
    <w:rsid w:val="00CE27CB"/>
    <w:rsid w:val="00CE3A43"/>
    <w:rsid w:val="00CE3C4F"/>
    <w:rsid w:val="00CE46CA"/>
    <w:rsid w:val="00CE4923"/>
    <w:rsid w:val="00CE4FEA"/>
    <w:rsid w:val="00CE5174"/>
    <w:rsid w:val="00CE5A34"/>
    <w:rsid w:val="00CE5D59"/>
    <w:rsid w:val="00CE60EB"/>
    <w:rsid w:val="00CE6579"/>
    <w:rsid w:val="00CE65DB"/>
    <w:rsid w:val="00CE6A9E"/>
    <w:rsid w:val="00CE6D20"/>
    <w:rsid w:val="00CF11C0"/>
    <w:rsid w:val="00CF1214"/>
    <w:rsid w:val="00CF2019"/>
    <w:rsid w:val="00CF270E"/>
    <w:rsid w:val="00CF2C31"/>
    <w:rsid w:val="00CF2E35"/>
    <w:rsid w:val="00CF34B5"/>
    <w:rsid w:val="00CF3E5E"/>
    <w:rsid w:val="00CF449C"/>
    <w:rsid w:val="00CF4B1B"/>
    <w:rsid w:val="00CF4D85"/>
    <w:rsid w:val="00CF5735"/>
    <w:rsid w:val="00CF683E"/>
    <w:rsid w:val="00CF71AF"/>
    <w:rsid w:val="00CF7DF4"/>
    <w:rsid w:val="00D005CA"/>
    <w:rsid w:val="00D012D7"/>
    <w:rsid w:val="00D01B8B"/>
    <w:rsid w:val="00D026B2"/>
    <w:rsid w:val="00D036C1"/>
    <w:rsid w:val="00D05BB7"/>
    <w:rsid w:val="00D05FEF"/>
    <w:rsid w:val="00D06C80"/>
    <w:rsid w:val="00D070DA"/>
    <w:rsid w:val="00D0727A"/>
    <w:rsid w:val="00D07C57"/>
    <w:rsid w:val="00D10341"/>
    <w:rsid w:val="00D10D2E"/>
    <w:rsid w:val="00D10E71"/>
    <w:rsid w:val="00D1104C"/>
    <w:rsid w:val="00D11383"/>
    <w:rsid w:val="00D11D0F"/>
    <w:rsid w:val="00D1200A"/>
    <w:rsid w:val="00D1202B"/>
    <w:rsid w:val="00D12A65"/>
    <w:rsid w:val="00D12D5E"/>
    <w:rsid w:val="00D1334C"/>
    <w:rsid w:val="00D1335C"/>
    <w:rsid w:val="00D13624"/>
    <w:rsid w:val="00D15654"/>
    <w:rsid w:val="00D15B15"/>
    <w:rsid w:val="00D15E89"/>
    <w:rsid w:val="00D16187"/>
    <w:rsid w:val="00D1715E"/>
    <w:rsid w:val="00D176F2"/>
    <w:rsid w:val="00D179A4"/>
    <w:rsid w:val="00D21756"/>
    <w:rsid w:val="00D2207B"/>
    <w:rsid w:val="00D2233F"/>
    <w:rsid w:val="00D22345"/>
    <w:rsid w:val="00D23BDB"/>
    <w:rsid w:val="00D23D37"/>
    <w:rsid w:val="00D2401A"/>
    <w:rsid w:val="00D243A8"/>
    <w:rsid w:val="00D24616"/>
    <w:rsid w:val="00D24B52"/>
    <w:rsid w:val="00D255E5"/>
    <w:rsid w:val="00D2584D"/>
    <w:rsid w:val="00D25F22"/>
    <w:rsid w:val="00D264A5"/>
    <w:rsid w:val="00D27A72"/>
    <w:rsid w:val="00D30228"/>
    <w:rsid w:val="00D3069D"/>
    <w:rsid w:val="00D306DE"/>
    <w:rsid w:val="00D307C0"/>
    <w:rsid w:val="00D3129D"/>
    <w:rsid w:val="00D31865"/>
    <w:rsid w:val="00D31D9C"/>
    <w:rsid w:val="00D31E5F"/>
    <w:rsid w:val="00D331A5"/>
    <w:rsid w:val="00D336A4"/>
    <w:rsid w:val="00D3493E"/>
    <w:rsid w:val="00D36422"/>
    <w:rsid w:val="00D36677"/>
    <w:rsid w:val="00D37261"/>
    <w:rsid w:val="00D37603"/>
    <w:rsid w:val="00D404AD"/>
    <w:rsid w:val="00D4072B"/>
    <w:rsid w:val="00D4087D"/>
    <w:rsid w:val="00D40976"/>
    <w:rsid w:val="00D40F8E"/>
    <w:rsid w:val="00D410E7"/>
    <w:rsid w:val="00D41463"/>
    <w:rsid w:val="00D41C80"/>
    <w:rsid w:val="00D41F2C"/>
    <w:rsid w:val="00D422D9"/>
    <w:rsid w:val="00D42550"/>
    <w:rsid w:val="00D4293A"/>
    <w:rsid w:val="00D42C4F"/>
    <w:rsid w:val="00D43222"/>
    <w:rsid w:val="00D432EF"/>
    <w:rsid w:val="00D43A95"/>
    <w:rsid w:val="00D43C08"/>
    <w:rsid w:val="00D45E59"/>
    <w:rsid w:val="00D4605C"/>
    <w:rsid w:val="00D46348"/>
    <w:rsid w:val="00D46405"/>
    <w:rsid w:val="00D466AF"/>
    <w:rsid w:val="00D46D0F"/>
    <w:rsid w:val="00D47515"/>
    <w:rsid w:val="00D4766C"/>
    <w:rsid w:val="00D50ECE"/>
    <w:rsid w:val="00D53407"/>
    <w:rsid w:val="00D5344C"/>
    <w:rsid w:val="00D53990"/>
    <w:rsid w:val="00D539D0"/>
    <w:rsid w:val="00D54EC0"/>
    <w:rsid w:val="00D56D98"/>
    <w:rsid w:val="00D60360"/>
    <w:rsid w:val="00D60DA4"/>
    <w:rsid w:val="00D60F0A"/>
    <w:rsid w:val="00D611BD"/>
    <w:rsid w:val="00D61307"/>
    <w:rsid w:val="00D61C60"/>
    <w:rsid w:val="00D61CB1"/>
    <w:rsid w:val="00D61D18"/>
    <w:rsid w:val="00D62568"/>
    <w:rsid w:val="00D628B9"/>
    <w:rsid w:val="00D63FDB"/>
    <w:rsid w:val="00D651B8"/>
    <w:rsid w:val="00D6578F"/>
    <w:rsid w:val="00D65864"/>
    <w:rsid w:val="00D665D0"/>
    <w:rsid w:val="00D66926"/>
    <w:rsid w:val="00D66E69"/>
    <w:rsid w:val="00D66F36"/>
    <w:rsid w:val="00D66FC3"/>
    <w:rsid w:val="00D70E49"/>
    <w:rsid w:val="00D710B1"/>
    <w:rsid w:val="00D71AA9"/>
    <w:rsid w:val="00D72869"/>
    <w:rsid w:val="00D7389D"/>
    <w:rsid w:val="00D73916"/>
    <w:rsid w:val="00D7393A"/>
    <w:rsid w:val="00D74ABE"/>
    <w:rsid w:val="00D74EDC"/>
    <w:rsid w:val="00D7547A"/>
    <w:rsid w:val="00D75B6C"/>
    <w:rsid w:val="00D75C26"/>
    <w:rsid w:val="00D75F08"/>
    <w:rsid w:val="00D76A7A"/>
    <w:rsid w:val="00D776B2"/>
    <w:rsid w:val="00D805AF"/>
    <w:rsid w:val="00D80BFE"/>
    <w:rsid w:val="00D8127B"/>
    <w:rsid w:val="00D81488"/>
    <w:rsid w:val="00D81704"/>
    <w:rsid w:val="00D81F98"/>
    <w:rsid w:val="00D829BD"/>
    <w:rsid w:val="00D82B74"/>
    <w:rsid w:val="00D82BFB"/>
    <w:rsid w:val="00D82FB0"/>
    <w:rsid w:val="00D8408A"/>
    <w:rsid w:val="00D84200"/>
    <w:rsid w:val="00D848FE"/>
    <w:rsid w:val="00D84C22"/>
    <w:rsid w:val="00D86452"/>
    <w:rsid w:val="00D90554"/>
    <w:rsid w:val="00D91207"/>
    <w:rsid w:val="00D91F27"/>
    <w:rsid w:val="00D9223B"/>
    <w:rsid w:val="00D923C9"/>
    <w:rsid w:val="00D9248F"/>
    <w:rsid w:val="00D92529"/>
    <w:rsid w:val="00D9262E"/>
    <w:rsid w:val="00D935C5"/>
    <w:rsid w:val="00D936A4"/>
    <w:rsid w:val="00D94C9F"/>
    <w:rsid w:val="00D95089"/>
    <w:rsid w:val="00D95811"/>
    <w:rsid w:val="00D96290"/>
    <w:rsid w:val="00D96929"/>
    <w:rsid w:val="00D97109"/>
    <w:rsid w:val="00D97745"/>
    <w:rsid w:val="00D97E31"/>
    <w:rsid w:val="00DA1BA2"/>
    <w:rsid w:val="00DA1EB9"/>
    <w:rsid w:val="00DA279B"/>
    <w:rsid w:val="00DA2D85"/>
    <w:rsid w:val="00DA3806"/>
    <w:rsid w:val="00DA408E"/>
    <w:rsid w:val="00DA60F7"/>
    <w:rsid w:val="00DA7597"/>
    <w:rsid w:val="00DA7BE4"/>
    <w:rsid w:val="00DB07DB"/>
    <w:rsid w:val="00DB12FC"/>
    <w:rsid w:val="00DB2A1A"/>
    <w:rsid w:val="00DB2D73"/>
    <w:rsid w:val="00DB48E0"/>
    <w:rsid w:val="00DB52B1"/>
    <w:rsid w:val="00DB557B"/>
    <w:rsid w:val="00DB68CE"/>
    <w:rsid w:val="00DB699D"/>
    <w:rsid w:val="00DC06EC"/>
    <w:rsid w:val="00DC2448"/>
    <w:rsid w:val="00DC2509"/>
    <w:rsid w:val="00DC2B7F"/>
    <w:rsid w:val="00DC4A68"/>
    <w:rsid w:val="00DC4D0E"/>
    <w:rsid w:val="00DC4F55"/>
    <w:rsid w:val="00DC562C"/>
    <w:rsid w:val="00DC5AB9"/>
    <w:rsid w:val="00DC5DE9"/>
    <w:rsid w:val="00DC5F22"/>
    <w:rsid w:val="00DC5FD4"/>
    <w:rsid w:val="00DC60AB"/>
    <w:rsid w:val="00DC6454"/>
    <w:rsid w:val="00DC75DF"/>
    <w:rsid w:val="00DD0095"/>
    <w:rsid w:val="00DD11AD"/>
    <w:rsid w:val="00DD11B7"/>
    <w:rsid w:val="00DD266A"/>
    <w:rsid w:val="00DD2773"/>
    <w:rsid w:val="00DD2BD3"/>
    <w:rsid w:val="00DD504F"/>
    <w:rsid w:val="00DD55AD"/>
    <w:rsid w:val="00DD5C0A"/>
    <w:rsid w:val="00DD6581"/>
    <w:rsid w:val="00DD673A"/>
    <w:rsid w:val="00DD71CD"/>
    <w:rsid w:val="00DD768C"/>
    <w:rsid w:val="00DD7A32"/>
    <w:rsid w:val="00DE0278"/>
    <w:rsid w:val="00DE060F"/>
    <w:rsid w:val="00DE0E76"/>
    <w:rsid w:val="00DE15C4"/>
    <w:rsid w:val="00DE15D4"/>
    <w:rsid w:val="00DE1BFE"/>
    <w:rsid w:val="00DE2204"/>
    <w:rsid w:val="00DE2DD2"/>
    <w:rsid w:val="00DE354A"/>
    <w:rsid w:val="00DE38E1"/>
    <w:rsid w:val="00DE3B52"/>
    <w:rsid w:val="00DE45A1"/>
    <w:rsid w:val="00DE45BC"/>
    <w:rsid w:val="00DE4884"/>
    <w:rsid w:val="00DE60B6"/>
    <w:rsid w:val="00DE6C2A"/>
    <w:rsid w:val="00DE6E4D"/>
    <w:rsid w:val="00DE7204"/>
    <w:rsid w:val="00DE7514"/>
    <w:rsid w:val="00DE7692"/>
    <w:rsid w:val="00DF0435"/>
    <w:rsid w:val="00DF1086"/>
    <w:rsid w:val="00DF1168"/>
    <w:rsid w:val="00DF1867"/>
    <w:rsid w:val="00DF238C"/>
    <w:rsid w:val="00DF2CBE"/>
    <w:rsid w:val="00DF43C0"/>
    <w:rsid w:val="00DF4F57"/>
    <w:rsid w:val="00DF4F9A"/>
    <w:rsid w:val="00DF5A11"/>
    <w:rsid w:val="00DF5AB2"/>
    <w:rsid w:val="00DF5EF5"/>
    <w:rsid w:val="00DF6751"/>
    <w:rsid w:val="00DF6E24"/>
    <w:rsid w:val="00DF7189"/>
    <w:rsid w:val="00DF7832"/>
    <w:rsid w:val="00DF783B"/>
    <w:rsid w:val="00DF7B72"/>
    <w:rsid w:val="00DF7F4B"/>
    <w:rsid w:val="00E0051F"/>
    <w:rsid w:val="00E00760"/>
    <w:rsid w:val="00E0078B"/>
    <w:rsid w:val="00E00B34"/>
    <w:rsid w:val="00E0194E"/>
    <w:rsid w:val="00E022CB"/>
    <w:rsid w:val="00E025AA"/>
    <w:rsid w:val="00E02B44"/>
    <w:rsid w:val="00E02CE9"/>
    <w:rsid w:val="00E03E58"/>
    <w:rsid w:val="00E04582"/>
    <w:rsid w:val="00E055A6"/>
    <w:rsid w:val="00E05BEE"/>
    <w:rsid w:val="00E06923"/>
    <w:rsid w:val="00E10199"/>
    <w:rsid w:val="00E10568"/>
    <w:rsid w:val="00E11B33"/>
    <w:rsid w:val="00E1248E"/>
    <w:rsid w:val="00E12ABE"/>
    <w:rsid w:val="00E14526"/>
    <w:rsid w:val="00E14A95"/>
    <w:rsid w:val="00E14CFE"/>
    <w:rsid w:val="00E14FDB"/>
    <w:rsid w:val="00E160F8"/>
    <w:rsid w:val="00E16BCD"/>
    <w:rsid w:val="00E17110"/>
    <w:rsid w:val="00E1749B"/>
    <w:rsid w:val="00E17B86"/>
    <w:rsid w:val="00E2032D"/>
    <w:rsid w:val="00E20423"/>
    <w:rsid w:val="00E20693"/>
    <w:rsid w:val="00E21FD8"/>
    <w:rsid w:val="00E22150"/>
    <w:rsid w:val="00E22F99"/>
    <w:rsid w:val="00E23049"/>
    <w:rsid w:val="00E23135"/>
    <w:rsid w:val="00E23BA4"/>
    <w:rsid w:val="00E23CB1"/>
    <w:rsid w:val="00E24570"/>
    <w:rsid w:val="00E256BD"/>
    <w:rsid w:val="00E2573B"/>
    <w:rsid w:val="00E2590A"/>
    <w:rsid w:val="00E25A94"/>
    <w:rsid w:val="00E2626D"/>
    <w:rsid w:val="00E26927"/>
    <w:rsid w:val="00E26C31"/>
    <w:rsid w:val="00E26F4F"/>
    <w:rsid w:val="00E271EC"/>
    <w:rsid w:val="00E273B1"/>
    <w:rsid w:val="00E27C8C"/>
    <w:rsid w:val="00E27E1F"/>
    <w:rsid w:val="00E3036E"/>
    <w:rsid w:val="00E30984"/>
    <w:rsid w:val="00E30A10"/>
    <w:rsid w:val="00E30B1F"/>
    <w:rsid w:val="00E30F4D"/>
    <w:rsid w:val="00E31BB1"/>
    <w:rsid w:val="00E31E6F"/>
    <w:rsid w:val="00E31F83"/>
    <w:rsid w:val="00E32AE1"/>
    <w:rsid w:val="00E32B70"/>
    <w:rsid w:val="00E32BEA"/>
    <w:rsid w:val="00E32D3A"/>
    <w:rsid w:val="00E32E5E"/>
    <w:rsid w:val="00E334A7"/>
    <w:rsid w:val="00E334E3"/>
    <w:rsid w:val="00E3352D"/>
    <w:rsid w:val="00E33ACE"/>
    <w:rsid w:val="00E33D5D"/>
    <w:rsid w:val="00E3494A"/>
    <w:rsid w:val="00E36518"/>
    <w:rsid w:val="00E36E00"/>
    <w:rsid w:val="00E3701A"/>
    <w:rsid w:val="00E37A44"/>
    <w:rsid w:val="00E37CB5"/>
    <w:rsid w:val="00E4022E"/>
    <w:rsid w:val="00E40D0B"/>
    <w:rsid w:val="00E40EAB"/>
    <w:rsid w:val="00E4110D"/>
    <w:rsid w:val="00E41171"/>
    <w:rsid w:val="00E41DFF"/>
    <w:rsid w:val="00E420E7"/>
    <w:rsid w:val="00E421E9"/>
    <w:rsid w:val="00E42630"/>
    <w:rsid w:val="00E42E2F"/>
    <w:rsid w:val="00E4342C"/>
    <w:rsid w:val="00E437A9"/>
    <w:rsid w:val="00E43C7E"/>
    <w:rsid w:val="00E442E2"/>
    <w:rsid w:val="00E44827"/>
    <w:rsid w:val="00E45320"/>
    <w:rsid w:val="00E4552A"/>
    <w:rsid w:val="00E45B2D"/>
    <w:rsid w:val="00E46326"/>
    <w:rsid w:val="00E46480"/>
    <w:rsid w:val="00E46E8C"/>
    <w:rsid w:val="00E470B0"/>
    <w:rsid w:val="00E50D13"/>
    <w:rsid w:val="00E5258B"/>
    <w:rsid w:val="00E54301"/>
    <w:rsid w:val="00E57781"/>
    <w:rsid w:val="00E57C19"/>
    <w:rsid w:val="00E57D59"/>
    <w:rsid w:val="00E603A8"/>
    <w:rsid w:val="00E60696"/>
    <w:rsid w:val="00E60F72"/>
    <w:rsid w:val="00E62245"/>
    <w:rsid w:val="00E63A6C"/>
    <w:rsid w:val="00E63B6B"/>
    <w:rsid w:val="00E64003"/>
    <w:rsid w:val="00E646AE"/>
    <w:rsid w:val="00E647FA"/>
    <w:rsid w:val="00E655A8"/>
    <w:rsid w:val="00E65743"/>
    <w:rsid w:val="00E6588D"/>
    <w:rsid w:val="00E66269"/>
    <w:rsid w:val="00E6707C"/>
    <w:rsid w:val="00E67D6C"/>
    <w:rsid w:val="00E67EED"/>
    <w:rsid w:val="00E70E40"/>
    <w:rsid w:val="00E71411"/>
    <w:rsid w:val="00E71B65"/>
    <w:rsid w:val="00E71BD9"/>
    <w:rsid w:val="00E71D1F"/>
    <w:rsid w:val="00E72191"/>
    <w:rsid w:val="00E72F66"/>
    <w:rsid w:val="00E73356"/>
    <w:rsid w:val="00E739F7"/>
    <w:rsid w:val="00E743E4"/>
    <w:rsid w:val="00E74C30"/>
    <w:rsid w:val="00E74E3A"/>
    <w:rsid w:val="00E75EA7"/>
    <w:rsid w:val="00E76205"/>
    <w:rsid w:val="00E762D2"/>
    <w:rsid w:val="00E76427"/>
    <w:rsid w:val="00E76EF0"/>
    <w:rsid w:val="00E76F0A"/>
    <w:rsid w:val="00E771BE"/>
    <w:rsid w:val="00E77470"/>
    <w:rsid w:val="00E7791A"/>
    <w:rsid w:val="00E77F26"/>
    <w:rsid w:val="00E77F6C"/>
    <w:rsid w:val="00E77FC3"/>
    <w:rsid w:val="00E81D22"/>
    <w:rsid w:val="00E82034"/>
    <w:rsid w:val="00E82646"/>
    <w:rsid w:val="00E82EC3"/>
    <w:rsid w:val="00E8397F"/>
    <w:rsid w:val="00E84667"/>
    <w:rsid w:val="00E870B9"/>
    <w:rsid w:val="00E91B03"/>
    <w:rsid w:val="00E91C8B"/>
    <w:rsid w:val="00E91D15"/>
    <w:rsid w:val="00E92F02"/>
    <w:rsid w:val="00E93271"/>
    <w:rsid w:val="00E93321"/>
    <w:rsid w:val="00E94098"/>
    <w:rsid w:val="00E96021"/>
    <w:rsid w:val="00E967F5"/>
    <w:rsid w:val="00E96CA0"/>
    <w:rsid w:val="00E97A91"/>
    <w:rsid w:val="00EA059E"/>
    <w:rsid w:val="00EA0659"/>
    <w:rsid w:val="00EA33F2"/>
    <w:rsid w:val="00EA34C4"/>
    <w:rsid w:val="00EA368C"/>
    <w:rsid w:val="00EA3714"/>
    <w:rsid w:val="00EA51B3"/>
    <w:rsid w:val="00EA5730"/>
    <w:rsid w:val="00EA5774"/>
    <w:rsid w:val="00EA6897"/>
    <w:rsid w:val="00EA758F"/>
    <w:rsid w:val="00EB06C6"/>
    <w:rsid w:val="00EB0A38"/>
    <w:rsid w:val="00EB127E"/>
    <w:rsid w:val="00EB1323"/>
    <w:rsid w:val="00EB1889"/>
    <w:rsid w:val="00EB1B57"/>
    <w:rsid w:val="00EB2461"/>
    <w:rsid w:val="00EB3323"/>
    <w:rsid w:val="00EB333D"/>
    <w:rsid w:val="00EB3D51"/>
    <w:rsid w:val="00EB3EC9"/>
    <w:rsid w:val="00EB405A"/>
    <w:rsid w:val="00EB4FB0"/>
    <w:rsid w:val="00EB660A"/>
    <w:rsid w:val="00EB7F0A"/>
    <w:rsid w:val="00EC0FEA"/>
    <w:rsid w:val="00EC1BEE"/>
    <w:rsid w:val="00EC1E8F"/>
    <w:rsid w:val="00EC2BE5"/>
    <w:rsid w:val="00EC3262"/>
    <w:rsid w:val="00EC3DDD"/>
    <w:rsid w:val="00EC41D5"/>
    <w:rsid w:val="00EC4E50"/>
    <w:rsid w:val="00EC5012"/>
    <w:rsid w:val="00EC5402"/>
    <w:rsid w:val="00EC5C79"/>
    <w:rsid w:val="00EC6665"/>
    <w:rsid w:val="00EC71F2"/>
    <w:rsid w:val="00EC7459"/>
    <w:rsid w:val="00ED01C3"/>
    <w:rsid w:val="00ED05B4"/>
    <w:rsid w:val="00ED15E6"/>
    <w:rsid w:val="00ED2D9E"/>
    <w:rsid w:val="00ED327B"/>
    <w:rsid w:val="00ED3EFA"/>
    <w:rsid w:val="00ED48BE"/>
    <w:rsid w:val="00ED4A9E"/>
    <w:rsid w:val="00ED5050"/>
    <w:rsid w:val="00ED50BB"/>
    <w:rsid w:val="00ED5277"/>
    <w:rsid w:val="00ED581A"/>
    <w:rsid w:val="00ED5C3F"/>
    <w:rsid w:val="00ED61FD"/>
    <w:rsid w:val="00ED6690"/>
    <w:rsid w:val="00ED6A80"/>
    <w:rsid w:val="00ED7593"/>
    <w:rsid w:val="00ED77AA"/>
    <w:rsid w:val="00ED7B1C"/>
    <w:rsid w:val="00ED7BB6"/>
    <w:rsid w:val="00EE1563"/>
    <w:rsid w:val="00EE1911"/>
    <w:rsid w:val="00EE1F87"/>
    <w:rsid w:val="00EE305F"/>
    <w:rsid w:val="00EE3B74"/>
    <w:rsid w:val="00EE48B4"/>
    <w:rsid w:val="00EE4C05"/>
    <w:rsid w:val="00EE4F4B"/>
    <w:rsid w:val="00EE5DFC"/>
    <w:rsid w:val="00EE68F2"/>
    <w:rsid w:val="00EE6C2C"/>
    <w:rsid w:val="00EE6C6B"/>
    <w:rsid w:val="00EE755D"/>
    <w:rsid w:val="00EE76A7"/>
    <w:rsid w:val="00EF022B"/>
    <w:rsid w:val="00EF0398"/>
    <w:rsid w:val="00EF08B8"/>
    <w:rsid w:val="00EF10C5"/>
    <w:rsid w:val="00EF1226"/>
    <w:rsid w:val="00EF1A4F"/>
    <w:rsid w:val="00EF29CD"/>
    <w:rsid w:val="00EF29DD"/>
    <w:rsid w:val="00EF31EE"/>
    <w:rsid w:val="00EF3D07"/>
    <w:rsid w:val="00EF4C92"/>
    <w:rsid w:val="00EF4E70"/>
    <w:rsid w:val="00EF4F61"/>
    <w:rsid w:val="00EF54EB"/>
    <w:rsid w:val="00EF593E"/>
    <w:rsid w:val="00EF59AF"/>
    <w:rsid w:val="00EF5C6A"/>
    <w:rsid w:val="00EF5CF3"/>
    <w:rsid w:val="00EF5D4D"/>
    <w:rsid w:val="00EF650E"/>
    <w:rsid w:val="00EF70FE"/>
    <w:rsid w:val="00F00B9F"/>
    <w:rsid w:val="00F02425"/>
    <w:rsid w:val="00F02893"/>
    <w:rsid w:val="00F0298D"/>
    <w:rsid w:val="00F03B91"/>
    <w:rsid w:val="00F055A7"/>
    <w:rsid w:val="00F05CE9"/>
    <w:rsid w:val="00F06030"/>
    <w:rsid w:val="00F06404"/>
    <w:rsid w:val="00F06FB4"/>
    <w:rsid w:val="00F07A08"/>
    <w:rsid w:val="00F10443"/>
    <w:rsid w:val="00F1057E"/>
    <w:rsid w:val="00F1061A"/>
    <w:rsid w:val="00F10DFC"/>
    <w:rsid w:val="00F10EA1"/>
    <w:rsid w:val="00F11388"/>
    <w:rsid w:val="00F11EF4"/>
    <w:rsid w:val="00F1244F"/>
    <w:rsid w:val="00F132B0"/>
    <w:rsid w:val="00F13760"/>
    <w:rsid w:val="00F14A2D"/>
    <w:rsid w:val="00F14CD7"/>
    <w:rsid w:val="00F156EC"/>
    <w:rsid w:val="00F16664"/>
    <w:rsid w:val="00F16B32"/>
    <w:rsid w:val="00F17D5B"/>
    <w:rsid w:val="00F20114"/>
    <w:rsid w:val="00F2019D"/>
    <w:rsid w:val="00F21999"/>
    <w:rsid w:val="00F21AA7"/>
    <w:rsid w:val="00F21DEA"/>
    <w:rsid w:val="00F224A2"/>
    <w:rsid w:val="00F22664"/>
    <w:rsid w:val="00F23DE0"/>
    <w:rsid w:val="00F23FE7"/>
    <w:rsid w:val="00F259C3"/>
    <w:rsid w:val="00F25AFC"/>
    <w:rsid w:val="00F25F17"/>
    <w:rsid w:val="00F26798"/>
    <w:rsid w:val="00F26E86"/>
    <w:rsid w:val="00F26EFD"/>
    <w:rsid w:val="00F303B8"/>
    <w:rsid w:val="00F30547"/>
    <w:rsid w:val="00F324A4"/>
    <w:rsid w:val="00F32B24"/>
    <w:rsid w:val="00F335CA"/>
    <w:rsid w:val="00F33C77"/>
    <w:rsid w:val="00F33D94"/>
    <w:rsid w:val="00F35BE0"/>
    <w:rsid w:val="00F360B6"/>
    <w:rsid w:val="00F36ECF"/>
    <w:rsid w:val="00F3715A"/>
    <w:rsid w:val="00F40708"/>
    <w:rsid w:val="00F40AB1"/>
    <w:rsid w:val="00F4147D"/>
    <w:rsid w:val="00F4168D"/>
    <w:rsid w:val="00F430D4"/>
    <w:rsid w:val="00F43C0B"/>
    <w:rsid w:val="00F43F3E"/>
    <w:rsid w:val="00F442A7"/>
    <w:rsid w:val="00F44C7B"/>
    <w:rsid w:val="00F450B4"/>
    <w:rsid w:val="00F45EEA"/>
    <w:rsid w:val="00F4754C"/>
    <w:rsid w:val="00F47849"/>
    <w:rsid w:val="00F50350"/>
    <w:rsid w:val="00F50429"/>
    <w:rsid w:val="00F50DF4"/>
    <w:rsid w:val="00F51B4E"/>
    <w:rsid w:val="00F51C4B"/>
    <w:rsid w:val="00F51DE2"/>
    <w:rsid w:val="00F51E7E"/>
    <w:rsid w:val="00F52076"/>
    <w:rsid w:val="00F53C86"/>
    <w:rsid w:val="00F53EB7"/>
    <w:rsid w:val="00F542EB"/>
    <w:rsid w:val="00F5447D"/>
    <w:rsid w:val="00F54E66"/>
    <w:rsid w:val="00F551E7"/>
    <w:rsid w:val="00F552C8"/>
    <w:rsid w:val="00F5615C"/>
    <w:rsid w:val="00F56ADF"/>
    <w:rsid w:val="00F56DF3"/>
    <w:rsid w:val="00F57675"/>
    <w:rsid w:val="00F57847"/>
    <w:rsid w:val="00F57D16"/>
    <w:rsid w:val="00F601D2"/>
    <w:rsid w:val="00F609A3"/>
    <w:rsid w:val="00F609D9"/>
    <w:rsid w:val="00F60B98"/>
    <w:rsid w:val="00F6148C"/>
    <w:rsid w:val="00F61B28"/>
    <w:rsid w:val="00F61CE2"/>
    <w:rsid w:val="00F63339"/>
    <w:rsid w:val="00F63444"/>
    <w:rsid w:val="00F636F7"/>
    <w:rsid w:val="00F637D6"/>
    <w:rsid w:val="00F64770"/>
    <w:rsid w:val="00F64AD0"/>
    <w:rsid w:val="00F64D97"/>
    <w:rsid w:val="00F65E94"/>
    <w:rsid w:val="00F661B7"/>
    <w:rsid w:val="00F668C9"/>
    <w:rsid w:val="00F672BB"/>
    <w:rsid w:val="00F6781F"/>
    <w:rsid w:val="00F67886"/>
    <w:rsid w:val="00F67E2F"/>
    <w:rsid w:val="00F67EC8"/>
    <w:rsid w:val="00F702ED"/>
    <w:rsid w:val="00F70997"/>
    <w:rsid w:val="00F70FCE"/>
    <w:rsid w:val="00F71391"/>
    <w:rsid w:val="00F7168D"/>
    <w:rsid w:val="00F71972"/>
    <w:rsid w:val="00F71D2D"/>
    <w:rsid w:val="00F7269F"/>
    <w:rsid w:val="00F72E53"/>
    <w:rsid w:val="00F732A2"/>
    <w:rsid w:val="00F73684"/>
    <w:rsid w:val="00F73B1C"/>
    <w:rsid w:val="00F740E4"/>
    <w:rsid w:val="00F76A2A"/>
    <w:rsid w:val="00F76E3D"/>
    <w:rsid w:val="00F778BF"/>
    <w:rsid w:val="00F77B47"/>
    <w:rsid w:val="00F77D0D"/>
    <w:rsid w:val="00F8029E"/>
    <w:rsid w:val="00F80907"/>
    <w:rsid w:val="00F80CCD"/>
    <w:rsid w:val="00F81849"/>
    <w:rsid w:val="00F81F01"/>
    <w:rsid w:val="00F826D0"/>
    <w:rsid w:val="00F832F5"/>
    <w:rsid w:val="00F841A7"/>
    <w:rsid w:val="00F84CAC"/>
    <w:rsid w:val="00F84E00"/>
    <w:rsid w:val="00F851D5"/>
    <w:rsid w:val="00F85D4A"/>
    <w:rsid w:val="00F8660D"/>
    <w:rsid w:val="00F86863"/>
    <w:rsid w:val="00F86B97"/>
    <w:rsid w:val="00F87C9F"/>
    <w:rsid w:val="00F90477"/>
    <w:rsid w:val="00F9065E"/>
    <w:rsid w:val="00F90F73"/>
    <w:rsid w:val="00F9186D"/>
    <w:rsid w:val="00F918CD"/>
    <w:rsid w:val="00F919A3"/>
    <w:rsid w:val="00F9207F"/>
    <w:rsid w:val="00F921E9"/>
    <w:rsid w:val="00F932F8"/>
    <w:rsid w:val="00F93A4D"/>
    <w:rsid w:val="00F93B1E"/>
    <w:rsid w:val="00F93E97"/>
    <w:rsid w:val="00F947B4"/>
    <w:rsid w:val="00F9568B"/>
    <w:rsid w:val="00F95D94"/>
    <w:rsid w:val="00F965AF"/>
    <w:rsid w:val="00F972A9"/>
    <w:rsid w:val="00F97B8B"/>
    <w:rsid w:val="00FA00C6"/>
    <w:rsid w:val="00FA0791"/>
    <w:rsid w:val="00FA09F0"/>
    <w:rsid w:val="00FA13A3"/>
    <w:rsid w:val="00FA1C89"/>
    <w:rsid w:val="00FA2319"/>
    <w:rsid w:val="00FA28BB"/>
    <w:rsid w:val="00FA2ACB"/>
    <w:rsid w:val="00FA2AD1"/>
    <w:rsid w:val="00FA2B7E"/>
    <w:rsid w:val="00FA2C3C"/>
    <w:rsid w:val="00FA3C93"/>
    <w:rsid w:val="00FA3FCD"/>
    <w:rsid w:val="00FA4585"/>
    <w:rsid w:val="00FA4717"/>
    <w:rsid w:val="00FA4922"/>
    <w:rsid w:val="00FA4B05"/>
    <w:rsid w:val="00FA522A"/>
    <w:rsid w:val="00FA56CD"/>
    <w:rsid w:val="00FA5D8B"/>
    <w:rsid w:val="00FA6724"/>
    <w:rsid w:val="00FA6FAF"/>
    <w:rsid w:val="00FA7086"/>
    <w:rsid w:val="00FA719E"/>
    <w:rsid w:val="00FA75E2"/>
    <w:rsid w:val="00FA79A6"/>
    <w:rsid w:val="00FA7D43"/>
    <w:rsid w:val="00FB0685"/>
    <w:rsid w:val="00FB137B"/>
    <w:rsid w:val="00FB1462"/>
    <w:rsid w:val="00FB1A01"/>
    <w:rsid w:val="00FB2B4A"/>
    <w:rsid w:val="00FB2D8C"/>
    <w:rsid w:val="00FB2E01"/>
    <w:rsid w:val="00FB4127"/>
    <w:rsid w:val="00FB445C"/>
    <w:rsid w:val="00FB450B"/>
    <w:rsid w:val="00FB556D"/>
    <w:rsid w:val="00FB5C6E"/>
    <w:rsid w:val="00FB5E5D"/>
    <w:rsid w:val="00FB67A3"/>
    <w:rsid w:val="00FB7D83"/>
    <w:rsid w:val="00FB7F6D"/>
    <w:rsid w:val="00FC07A9"/>
    <w:rsid w:val="00FC0E1C"/>
    <w:rsid w:val="00FC2521"/>
    <w:rsid w:val="00FC305D"/>
    <w:rsid w:val="00FC32C3"/>
    <w:rsid w:val="00FC583F"/>
    <w:rsid w:val="00FC59E5"/>
    <w:rsid w:val="00FC5C98"/>
    <w:rsid w:val="00FC5DDB"/>
    <w:rsid w:val="00FC70A9"/>
    <w:rsid w:val="00FC7112"/>
    <w:rsid w:val="00FC7B5F"/>
    <w:rsid w:val="00FC7BD1"/>
    <w:rsid w:val="00FD141D"/>
    <w:rsid w:val="00FD1AD4"/>
    <w:rsid w:val="00FD20FE"/>
    <w:rsid w:val="00FD2E89"/>
    <w:rsid w:val="00FD30AB"/>
    <w:rsid w:val="00FD3F98"/>
    <w:rsid w:val="00FD404B"/>
    <w:rsid w:val="00FD430A"/>
    <w:rsid w:val="00FD5A8D"/>
    <w:rsid w:val="00FD6829"/>
    <w:rsid w:val="00FD6843"/>
    <w:rsid w:val="00FD6D35"/>
    <w:rsid w:val="00FD6ED6"/>
    <w:rsid w:val="00FD7DE5"/>
    <w:rsid w:val="00FE0169"/>
    <w:rsid w:val="00FE257C"/>
    <w:rsid w:val="00FE25CE"/>
    <w:rsid w:val="00FE2644"/>
    <w:rsid w:val="00FE28FE"/>
    <w:rsid w:val="00FE2A19"/>
    <w:rsid w:val="00FE2C5E"/>
    <w:rsid w:val="00FE3364"/>
    <w:rsid w:val="00FE3730"/>
    <w:rsid w:val="00FE3AF5"/>
    <w:rsid w:val="00FE3B3F"/>
    <w:rsid w:val="00FE3C64"/>
    <w:rsid w:val="00FE3F8C"/>
    <w:rsid w:val="00FE442A"/>
    <w:rsid w:val="00FE4697"/>
    <w:rsid w:val="00FE5C41"/>
    <w:rsid w:val="00FE5EAB"/>
    <w:rsid w:val="00FE7D57"/>
    <w:rsid w:val="00FF0965"/>
    <w:rsid w:val="00FF0F6A"/>
    <w:rsid w:val="00FF164B"/>
    <w:rsid w:val="00FF2583"/>
    <w:rsid w:val="00FF368D"/>
    <w:rsid w:val="00FF398B"/>
    <w:rsid w:val="00FF3BA7"/>
    <w:rsid w:val="00FF486F"/>
    <w:rsid w:val="00FF54B4"/>
    <w:rsid w:val="00FF6EE1"/>
    <w:rsid w:val="00FF7721"/>
    <w:rsid w:val="00FF7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A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695"/>
    <w:pPr>
      <w:spacing w:after="100" w:line="400" w:lineRule="exact"/>
      <w:jc w:val="both"/>
    </w:pPr>
    <w:rPr>
      <w:rFonts w:ascii="Century Schoolbook" w:hAnsi="Century Schoolbook"/>
      <w:sz w:val="27"/>
    </w:rPr>
  </w:style>
  <w:style w:type="paragraph" w:styleId="Heading1">
    <w:name w:val="heading 1"/>
    <w:basedOn w:val="Normal"/>
    <w:next w:val="Normal"/>
    <w:qFormat/>
    <w:rsid w:val="000D1695"/>
    <w:pPr>
      <w:keepNext/>
      <w:spacing w:before="140" w:line="240" w:lineRule="atLeast"/>
      <w:jc w:val="center"/>
      <w:outlineLvl w:val="0"/>
    </w:pPr>
    <w:rPr>
      <w:b/>
      <w:smallCaps/>
    </w:rPr>
  </w:style>
  <w:style w:type="paragraph" w:styleId="Heading2">
    <w:name w:val="heading 2"/>
    <w:basedOn w:val="Normal"/>
    <w:next w:val="Normal"/>
    <w:qFormat/>
    <w:rsid w:val="000D169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0D1695"/>
    <w:pPr>
      <w:keepNext/>
      <w:tabs>
        <w:tab w:val="left" w:pos="1584"/>
      </w:tabs>
      <w:spacing w:before="140" w:line="240" w:lineRule="atLeast"/>
      <w:ind w:left="1584" w:hanging="432"/>
      <w:jc w:val="left"/>
      <w:outlineLvl w:val="2"/>
    </w:pPr>
    <w:rPr>
      <w:i/>
    </w:rPr>
  </w:style>
  <w:style w:type="paragraph" w:styleId="Heading4">
    <w:name w:val="heading 4"/>
    <w:basedOn w:val="Normal"/>
    <w:rsid w:val="000D1695"/>
    <w:pPr>
      <w:keepNext/>
      <w:tabs>
        <w:tab w:val="left" w:pos="2016"/>
      </w:tabs>
      <w:spacing w:before="140" w:line="240" w:lineRule="atLeast"/>
      <w:ind w:left="2016" w:hanging="432"/>
      <w:jc w:val="left"/>
      <w:outlineLvl w:val="3"/>
    </w:pPr>
    <w:rPr>
      <w:i/>
    </w:rPr>
  </w:style>
  <w:style w:type="paragraph" w:styleId="Heading5">
    <w:name w:val="heading 5"/>
    <w:basedOn w:val="Normal"/>
    <w:rsid w:val="000D169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D1695"/>
    <w:pPr>
      <w:ind w:left="720"/>
    </w:pPr>
  </w:style>
  <w:style w:type="paragraph" w:styleId="Footer">
    <w:name w:val="footer"/>
    <w:basedOn w:val="Normal"/>
    <w:link w:val="FooterChar"/>
    <w:uiPriority w:val="99"/>
    <w:qFormat/>
    <w:rsid w:val="000D1695"/>
    <w:pPr>
      <w:tabs>
        <w:tab w:val="center" w:pos="3960"/>
        <w:tab w:val="right" w:pos="10080"/>
      </w:tabs>
      <w:spacing w:after="0" w:line="240" w:lineRule="auto"/>
      <w:jc w:val="center"/>
    </w:pPr>
    <w:rPr>
      <w:sz w:val="22"/>
    </w:rPr>
  </w:style>
  <w:style w:type="paragraph" w:styleId="Header">
    <w:name w:val="header"/>
    <w:basedOn w:val="Normal"/>
    <w:link w:val="HeaderChar"/>
    <w:qFormat/>
    <w:rsid w:val="000D169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0D1695"/>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0D1695"/>
    <w:pPr>
      <w:spacing w:line="300" w:lineRule="exact"/>
    </w:pPr>
  </w:style>
  <w:style w:type="paragraph" w:customStyle="1" w:styleId="Title1">
    <w:name w:val="Title1"/>
    <w:basedOn w:val="Normal"/>
    <w:rsid w:val="000D1695"/>
    <w:pPr>
      <w:tabs>
        <w:tab w:val="left" w:pos="5760"/>
        <w:tab w:val="left" w:pos="6480"/>
      </w:tabs>
      <w:spacing w:line="240" w:lineRule="atLeast"/>
    </w:pPr>
  </w:style>
  <w:style w:type="paragraph" w:customStyle="1" w:styleId="Recommend">
    <w:name w:val="Recommend"/>
    <w:basedOn w:val="Normal"/>
    <w:rsid w:val="000D1695"/>
  </w:style>
  <w:style w:type="paragraph" w:customStyle="1" w:styleId="Summary">
    <w:name w:val="Summary"/>
    <w:basedOn w:val="Normal"/>
    <w:rsid w:val="000D1695"/>
    <w:pPr>
      <w:ind w:left="2160" w:hanging="2160"/>
    </w:pPr>
  </w:style>
  <w:style w:type="paragraph" w:customStyle="1" w:styleId="Text">
    <w:name w:val="Text"/>
    <w:basedOn w:val="Normal"/>
    <w:rsid w:val="000D1695"/>
    <w:pPr>
      <w:tabs>
        <w:tab w:val="left" w:pos="720"/>
        <w:tab w:val="left" w:pos="1440"/>
        <w:tab w:val="left" w:pos="2160"/>
        <w:tab w:val="center" w:pos="4320"/>
      </w:tabs>
      <w:spacing w:line="480" w:lineRule="atLeast"/>
      <w:ind w:firstLine="540"/>
    </w:pPr>
  </w:style>
  <w:style w:type="paragraph" w:styleId="Date">
    <w:name w:val="Date"/>
    <w:basedOn w:val="Normal"/>
    <w:semiHidden/>
    <w:rsid w:val="000D1695"/>
    <w:pPr>
      <w:jc w:val="right"/>
    </w:pPr>
  </w:style>
  <w:style w:type="character" w:styleId="PageNumber">
    <w:name w:val="page number"/>
    <w:basedOn w:val="DefaultParagraphFont"/>
    <w:semiHidden/>
    <w:rsid w:val="000D1695"/>
  </w:style>
  <w:style w:type="paragraph" w:customStyle="1" w:styleId="subject">
    <w:name w:val="subject"/>
    <w:basedOn w:val="Normal"/>
    <w:rsid w:val="000D1695"/>
    <w:pPr>
      <w:tabs>
        <w:tab w:val="left" w:pos="1008"/>
      </w:tabs>
      <w:ind w:left="990" w:hanging="990"/>
    </w:pPr>
    <w:rPr>
      <w:b/>
    </w:rPr>
  </w:style>
  <w:style w:type="paragraph" w:customStyle="1" w:styleId="Titles">
    <w:name w:val="Titles"/>
    <w:basedOn w:val="Normal"/>
    <w:rsid w:val="000D1695"/>
    <w:pPr>
      <w:tabs>
        <w:tab w:val="left" w:pos="2160"/>
      </w:tabs>
      <w:ind w:left="2160" w:hanging="2160"/>
    </w:pPr>
    <w:rPr>
      <w:b/>
    </w:rPr>
  </w:style>
  <w:style w:type="paragraph" w:styleId="TOAHeading">
    <w:name w:val="toa heading"/>
    <w:basedOn w:val="Normal"/>
    <w:next w:val="Normal"/>
    <w:semiHidden/>
    <w:rsid w:val="000D1695"/>
    <w:pPr>
      <w:spacing w:before="120"/>
    </w:pPr>
    <w:rPr>
      <w:b/>
    </w:rPr>
  </w:style>
  <w:style w:type="paragraph" w:styleId="TOC1">
    <w:name w:val="toc 1"/>
    <w:basedOn w:val="Normal"/>
    <w:next w:val="Normal"/>
    <w:autoRedefine/>
    <w:semiHidden/>
    <w:rsid w:val="000D1695"/>
  </w:style>
  <w:style w:type="paragraph" w:styleId="TOC2">
    <w:name w:val="toc 2"/>
    <w:basedOn w:val="Normal"/>
    <w:next w:val="Normal"/>
    <w:autoRedefine/>
    <w:semiHidden/>
    <w:rsid w:val="000D1695"/>
    <w:pPr>
      <w:ind w:left="259"/>
    </w:pPr>
  </w:style>
  <w:style w:type="paragraph" w:styleId="TOC3">
    <w:name w:val="toc 3"/>
    <w:basedOn w:val="Normal"/>
    <w:next w:val="Normal"/>
    <w:autoRedefine/>
    <w:semiHidden/>
    <w:rsid w:val="000D1695"/>
    <w:pPr>
      <w:ind w:left="520"/>
    </w:pPr>
  </w:style>
  <w:style w:type="paragraph" w:styleId="TOC4">
    <w:name w:val="toc 4"/>
    <w:basedOn w:val="Normal"/>
    <w:next w:val="Normal"/>
    <w:autoRedefine/>
    <w:semiHidden/>
    <w:rsid w:val="000D1695"/>
    <w:pPr>
      <w:ind w:left="780"/>
    </w:pPr>
  </w:style>
  <w:style w:type="paragraph" w:styleId="TOC5">
    <w:name w:val="toc 5"/>
    <w:basedOn w:val="Normal"/>
    <w:next w:val="Normal"/>
    <w:autoRedefine/>
    <w:semiHidden/>
    <w:rsid w:val="000D1695"/>
    <w:pPr>
      <w:ind w:left="1040"/>
    </w:pPr>
  </w:style>
  <w:style w:type="paragraph" w:styleId="TOC6">
    <w:name w:val="toc 6"/>
    <w:basedOn w:val="Normal"/>
    <w:next w:val="Normal"/>
    <w:autoRedefine/>
    <w:semiHidden/>
    <w:rsid w:val="000D1695"/>
    <w:pPr>
      <w:ind w:left="1300"/>
    </w:pPr>
  </w:style>
  <w:style w:type="paragraph" w:styleId="TOC7">
    <w:name w:val="toc 7"/>
    <w:basedOn w:val="Normal"/>
    <w:next w:val="Normal"/>
    <w:autoRedefine/>
    <w:semiHidden/>
    <w:rsid w:val="000D1695"/>
    <w:pPr>
      <w:ind w:left="1560"/>
    </w:pPr>
  </w:style>
  <w:style w:type="paragraph" w:styleId="TOC8">
    <w:name w:val="toc 8"/>
    <w:basedOn w:val="Normal"/>
    <w:next w:val="Normal"/>
    <w:autoRedefine/>
    <w:semiHidden/>
    <w:rsid w:val="000D1695"/>
    <w:pPr>
      <w:ind w:left="1820"/>
    </w:pPr>
  </w:style>
  <w:style w:type="paragraph" w:styleId="TOC9">
    <w:name w:val="toc 9"/>
    <w:basedOn w:val="Normal"/>
    <w:next w:val="Normal"/>
    <w:autoRedefine/>
    <w:semiHidden/>
    <w:rsid w:val="000D1695"/>
    <w:pPr>
      <w:ind w:left="2080"/>
    </w:pPr>
  </w:style>
  <w:style w:type="paragraph" w:customStyle="1" w:styleId="Contents">
    <w:name w:val="Contents"/>
    <w:basedOn w:val="Normal"/>
    <w:rsid w:val="000D1695"/>
    <w:pPr>
      <w:jc w:val="center"/>
    </w:pPr>
    <w:rPr>
      <w:b/>
      <w:spacing w:val="100"/>
    </w:rPr>
  </w:style>
  <w:style w:type="character" w:customStyle="1" w:styleId="ssparacontent">
    <w:name w:val="ss_paracontent"/>
    <w:basedOn w:val="DefaultParagraphFont"/>
    <w:rsid w:val="004C44E9"/>
  </w:style>
  <w:style w:type="paragraph" w:styleId="BalloonText">
    <w:name w:val="Balloon Text"/>
    <w:basedOn w:val="Normal"/>
    <w:link w:val="BalloonTextChar"/>
    <w:uiPriority w:val="99"/>
    <w:semiHidden/>
    <w:unhideWhenUsed/>
    <w:rsid w:val="000D3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2D3"/>
    <w:rPr>
      <w:rFonts w:ascii="Segoe UI" w:hAnsi="Segoe UI" w:cs="Segoe UI"/>
      <w:sz w:val="18"/>
      <w:szCs w:val="18"/>
    </w:rPr>
  </w:style>
  <w:style w:type="character" w:styleId="CommentReference">
    <w:name w:val="annotation reference"/>
    <w:basedOn w:val="DefaultParagraphFont"/>
    <w:uiPriority w:val="99"/>
    <w:semiHidden/>
    <w:unhideWhenUsed/>
    <w:rsid w:val="005A7DF4"/>
    <w:rPr>
      <w:sz w:val="16"/>
      <w:szCs w:val="16"/>
    </w:rPr>
  </w:style>
  <w:style w:type="paragraph" w:styleId="CommentText">
    <w:name w:val="annotation text"/>
    <w:basedOn w:val="Normal"/>
    <w:link w:val="CommentTextChar"/>
    <w:uiPriority w:val="99"/>
    <w:semiHidden/>
    <w:unhideWhenUsed/>
    <w:rsid w:val="005A7DF4"/>
    <w:rPr>
      <w:sz w:val="20"/>
    </w:rPr>
  </w:style>
  <w:style w:type="character" w:customStyle="1" w:styleId="CommentTextChar">
    <w:name w:val="Comment Text Char"/>
    <w:basedOn w:val="DefaultParagraphFont"/>
    <w:link w:val="CommentText"/>
    <w:uiPriority w:val="99"/>
    <w:semiHidden/>
    <w:rsid w:val="005A7DF4"/>
  </w:style>
  <w:style w:type="paragraph" w:styleId="CommentSubject">
    <w:name w:val="annotation subject"/>
    <w:basedOn w:val="CommentText"/>
    <w:next w:val="CommentText"/>
    <w:link w:val="CommentSubjectChar"/>
    <w:uiPriority w:val="99"/>
    <w:semiHidden/>
    <w:unhideWhenUsed/>
    <w:rsid w:val="005A7DF4"/>
    <w:rPr>
      <w:b/>
      <w:bCs/>
    </w:rPr>
  </w:style>
  <w:style w:type="character" w:customStyle="1" w:styleId="CommentSubjectChar">
    <w:name w:val="Comment Subject Char"/>
    <w:basedOn w:val="CommentTextChar"/>
    <w:link w:val="CommentSubject"/>
    <w:uiPriority w:val="99"/>
    <w:semiHidden/>
    <w:rsid w:val="005A7DF4"/>
    <w:rPr>
      <w:b/>
      <w:bCs/>
    </w:rPr>
  </w:style>
  <w:style w:type="paragraph" w:styleId="BodyText">
    <w:name w:val="Body Text"/>
    <w:basedOn w:val="Normal"/>
    <w:link w:val="BodyTextChar"/>
    <w:qFormat/>
    <w:rsid w:val="000D1695"/>
  </w:style>
  <w:style w:type="character" w:customStyle="1" w:styleId="BodyTextChar">
    <w:name w:val="Body Text Char"/>
    <w:basedOn w:val="DefaultParagraphFont"/>
    <w:link w:val="BodyText"/>
    <w:rsid w:val="000D1695"/>
    <w:rPr>
      <w:rFonts w:ascii="Century Schoolbook" w:hAnsi="Century Schoolbook"/>
      <w:sz w:val="27"/>
    </w:rPr>
  </w:style>
  <w:style w:type="character" w:customStyle="1" w:styleId="HeaderChar">
    <w:name w:val="Header Char"/>
    <w:link w:val="Header"/>
    <w:rsid w:val="000F75DB"/>
    <w:rPr>
      <w:rFonts w:ascii="Century Schoolbook" w:hAnsi="Century Schoolbook"/>
      <w:sz w:val="22"/>
    </w:rPr>
  </w:style>
  <w:style w:type="character" w:customStyle="1" w:styleId="FooterChar">
    <w:name w:val="Footer Char"/>
    <w:basedOn w:val="DefaultParagraphFont"/>
    <w:link w:val="Footer"/>
    <w:uiPriority w:val="99"/>
    <w:rsid w:val="00511286"/>
    <w:rPr>
      <w:rFonts w:ascii="Century Schoolbook" w:hAnsi="Century Schoolbook"/>
      <w:sz w:val="22"/>
    </w:rPr>
  </w:style>
  <w:style w:type="character" w:customStyle="1" w:styleId="FootnoteTextChar">
    <w:name w:val="Footnote Text Char"/>
    <w:basedOn w:val="DefaultParagraphFont"/>
    <w:link w:val="FootnoteText"/>
    <w:uiPriority w:val="99"/>
    <w:rsid w:val="00516311"/>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49620">
      <w:bodyDiv w:val="1"/>
      <w:marLeft w:val="0"/>
      <w:marRight w:val="0"/>
      <w:marTop w:val="0"/>
      <w:marBottom w:val="0"/>
      <w:divBdr>
        <w:top w:val="none" w:sz="0" w:space="0" w:color="auto"/>
        <w:left w:val="none" w:sz="0" w:space="0" w:color="auto"/>
        <w:bottom w:val="none" w:sz="0" w:space="0" w:color="auto"/>
        <w:right w:val="none" w:sz="0" w:space="0" w:color="auto"/>
      </w:divBdr>
    </w:div>
    <w:div w:id="510527048">
      <w:bodyDiv w:val="1"/>
      <w:marLeft w:val="0"/>
      <w:marRight w:val="0"/>
      <w:marTop w:val="0"/>
      <w:marBottom w:val="0"/>
      <w:divBdr>
        <w:top w:val="none" w:sz="0" w:space="0" w:color="auto"/>
        <w:left w:val="none" w:sz="0" w:space="0" w:color="auto"/>
        <w:bottom w:val="none" w:sz="0" w:space="0" w:color="auto"/>
        <w:right w:val="none" w:sz="0" w:space="0" w:color="auto"/>
      </w:divBdr>
    </w:div>
    <w:div w:id="1735934050">
      <w:bodyDiv w:val="1"/>
      <w:marLeft w:val="0"/>
      <w:marRight w:val="0"/>
      <w:marTop w:val="0"/>
      <w:marBottom w:val="0"/>
      <w:divBdr>
        <w:top w:val="none" w:sz="0" w:space="0" w:color="auto"/>
        <w:left w:val="none" w:sz="0" w:space="0" w:color="auto"/>
        <w:bottom w:val="none" w:sz="0" w:space="0" w:color="auto"/>
        <w:right w:val="none" w:sz="0" w:space="0" w:color="auto"/>
      </w:divBdr>
      <w:divsChild>
        <w:div w:id="974992577">
          <w:marLeft w:val="0"/>
          <w:marRight w:val="0"/>
          <w:marTop w:val="0"/>
          <w:marBottom w:val="0"/>
          <w:divBdr>
            <w:top w:val="none" w:sz="0" w:space="0" w:color="auto"/>
            <w:left w:val="none" w:sz="0" w:space="0" w:color="auto"/>
            <w:bottom w:val="none" w:sz="0" w:space="0" w:color="auto"/>
            <w:right w:val="none" w:sz="0" w:space="0" w:color="auto"/>
          </w:divBdr>
        </w:div>
      </w:divsChild>
    </w:div>
    <w:div w:id="19930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FFDE-6625-427F-B1EE-6743FE30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7681</Words>
  <Characters>43785</Characters>
  <Application>Microsoft Office Word</Application>
  <DocSecurity>0</DocSecurity>
  <Lines>364</Lines>
  <Paragraphs>102</Paragraphs>
  <ScaleCrop>false</ScaleCrop>
  <Company/>
  <LinksUpToDate>false</LinksUpToDate>
  <CharactersWithSpaces>51364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2020-02-26T19:26:00Z</dcterms:created>
  <dcterms:modified xsi:type="dcterms:W3CDTF">2020-02-26T19:37:00Z</dcterms:modified>
</cp:coreProperties>
</file>