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EDB4" w14:textId="02849C69" w:rsidR="00D20E35" w:rsidRDefault="00723852" w:rsidP="00723852">
      <w:pPr>
        <w:tabs>
          <w:tab w:val="left" w:pos="1440"/>
          <w:tab w:val="left" w:pos="4680"/>
          <w:tab w:val="center" w:pos="7200"/>
        </w:tabs>
        <w:spacing w:after="0"/>
        <w:jc w:val="center"/>
        <w:rPr>
          <w:sz w:val="36"/>
        </w:rPr>
      </w:pPr>
      <w:bookmarkStart w:id="0" w:name="_Hlk23496548"/>
      <w:bookmarkStart w:id="1" w:name="_Hlk44320980"/>
      <w:r>
        <w:rPr>
          <w:b/>
          <w:sz w:val="36"/>
        </w:rPr>
        <w:t>IN THE SUPREME COURT OF CALIFORNIA</w:t>
      </w:r>
    </w:p>
    <w:p w14:paraId="649EEDB5" w14:textId="77777777" w:rsidR="00723852" w:rsidRDefault="00723852" w:rsidP="00723852">
      <w:pPr>
        <w:tabs>
          <w:tab w:val="left" w:pos="1440"/>
          <w:tab w:val="left" w:pos="4680"/>
          <w:tab w:val="center" w:pos="7200"/>
        </w:tabs>
        <w:spacing w:after="0"/>
        <w:jc w:val="center"/>
      </w:pPr>
    </w:p>
    <w:p w14:paraId="649EEDB6" w14:textId="67F2D55B" w:rsidR="00723852" w:rsidRDefault="003239AE" w:rsidP="00723852">
      <w:pPr>
        <w:tabs>
          <w:tab w:val="left" w:pos="1440"/>
          <w:tab w:val="left" w:pos="4680"/>
          <w:tab w:val="center" w:pos="7200"/>
        </w:tabs>
        <w:spacing w:after="0"/>
        <w:jc w:val="center"/>
      </w:pPr>
      <w:r>
        <w:rPr>
          <w:rFonts w:cs="Cambria"/>
          <w:caps/>
          <w:szCs w:val="26"/>
        </w:rPr>
        <w:t xml:space="preserve">B.B., </w:t>
      </w:r>
      <w:r w:rsidR="009D7914" w:rsidRPr="00771443">
        <w:rPr>
          <w:rFonts w:cs="Cambria"/>
          <w:szCs w:val="26"/>
        </w:rPr>
        <w:t>a</w:t>
      </w:r>
      <w:r w:rsidR="009D7914">
        <w:rPr>
          <w:rFonts w:cs="Cambria"/>
          <w:szCs w:val="26"/>
        </w:rPr>
        <w:t xml:space="preserve"> Minor</w:t>
      </w:r>
      <w:r>
        <w:rPr>
          <w:rFonts w:cs="Cambria"/>
          <w:caps/>
          <w:szCs w:val="26"/>
        </w:rPr>
        <w:t xml:space="preserve">, </w:t>
      </w:r>
      <w:proofErr w:type="gramStart"/>
      <w:r>
        <w:rPr>
          <w:rFonts w:cs="Cambria"/>
          <w:szCs w:val="26"/>
        </w:rPr>
        <w:t>etc</w:t>
      </w:r>
      <w:r w:rsidRPr="00771443">
        <w:rPr>
          <w:rFonts w:cs="Cambria"/>
          <w:szCs w:val="26"/>
        </w:rPr>
        <w:t>.</w:t>
      </w:r>
      <w:proofErr w:type="gramEnd"/>
      <w:r w:rsidR="009D7914">
        <w:rPr>
          <w:rFonts w:cs="Cambria"/>
          <w:szCs w:val="26"/>
        </w:rPr>
        <w:t>,</w:t>
      </w:r>
      <w:r w:rsidRPr="00771443">
        <w:rPr>
          <w:rFonts w:cs="Cambria"/>
          <w:szCs w:val="26"/>
        </w:rPr>
        <w:t xml:space="preserve"> et al.</w:t>
      </w:r>
      <w:r w:rsidR="0049676B">
        <w:t>,</w:t>
      </w:r>
    </w:p>
    <w:p w14:paraId="649EEDB7" w14:textId="6F4B0E50" w:rsidR="00723852" w:rsidRDefault="00723852" w:rsidP="00723852">
      <w:pPr>
        <w:tabs>
          <w:tab w:val="left" w:pos="1440"/>
          <w:tab w:val="left" w:pos="4680"/>
          <w:tab w:val="center" w:pos="7200"/>
        </w:tabs>
        <w:spacing w:after="0"/>
        <w:jc w:val="center"/>
      </w:pPr>
      <w:r>
        <w:t>Plaintiff</w:t>
      </w:r>
      <w:r w:rsidR="009D7914">
        <w:t>s</w:t>
      </w:r>
      <w:r>
        <w:t xml:space="preserve"> and</w:t>
      </w:r>
      <w:r w:rsidR="00F3067E">
        <w:t xml:space="preserve"> Appellant</w:t>
      </w:r>
      <w:r w:rsidR="009D7914">
        <w:t>s</w:t>
      </w:r>
      <w:r w:rsidR="00440816">
        <w:t>,</w:t>
      </w:r>
    </w:p>
    <w:p w14:paraId="649EEDB8" w14:textId="0FC96539" w:rsidR="00723852" w:rsidRDefault="00723852" w:rsidP="00723852">
      <w:pPr>
        <w:tabs>
          <w:tab w:val="left" w:pos="1440"/>
          <w:tab w:val="left" w:pos="4680"/>
          <w:tab w:val="center" w:pos="7200"/>
        </w:tabs>
        <w:spacing w:after="0"/>
        <w:jc w:val="center"/>
      </w:pPr>
      <w:r>
        <w:t>v.</w:t>
      </w:r>
    </w:p>
    <w:p w14:paraId="649EEDB9" w14:textId="026FE2F7" w:rsidR="00723852" w:rsidRDefault="006749E9" w:rsidP="00723852">
      <w:pPr>
        <w:tabs>
          <w:tab w:val="left" w:pos="1440"/>
          <w:tab w:val="left" w:pos="4680"/>
          <w:tab w:val="center" w:pos="7200"/>
        </w:tabs>
        <w:spacing w:after="0"/>
        <w:jc w:val="center"/>
      </w:pPr>
      <w:r>
        <w:rPr>
          <w:rFonts w:cs="Cambria"/>
          <w:caps/>
          <w:szCs w:val="26"/>
        </w:rPr>
        <w:t xml:space="preserve">County of Los Angeles </w:t>
      </w:r>
      <w:r>
        <w:rPr>
          <w:rFonts w:cs="Cambria"/>
          <w:szCs w:val="26"/>
        </w:rPr>
        <w:t>et al.</w:t>
      </w:r>
      <w:r w:rsidR="0049676B">
        <w:t>,</w:t>
      </w:r>
    </w:p>
    <w:p w14:paraId="649EEDBA" w14:textId="6F2044C5" w:rsidR="00723852" w:rsidRDefault="00723852" w:rsidP="00723852">
      <w:pPr>
        <w:tabs>
          <w:tab w:val="left" w:pos="1440"/>
          <w:tab w:val="left" w:pos="4680"/>
          <w:tab w:val="center" w:pos="7200"/>
        </w:tabs>
        <w:spacing w:after="0"/>
        <w:jc w:val="center"/>
      </w:pPr>
      <w:r>
        <w:t>Defendant</w:t>
      </w:r>
      <w:r w:rsidR="009D7914">
        <w:t>s</w:t>
      </w:r>
      <w:r>
        <w:t xml:space="preserve"> and</w:t>
      </w:r>
      <w:r w:rsidR="006E4640">
        <w:t xml:space="preserve"> Respondent</w:t>
      </w:r>
      <w:r w:rsidR="009D7914">
        <w:t>s</w:t>
      </w:r>
      <w:r w:rsidR="00752FF3">
        <w:t>.</w:t>
      </w:r>
    </w:p>
    <w:p w14:paraId="26C216FC" w14:textId="22E937D3" w:rsidR="009D7914" w:rsidRDefault="009D7914" w:rsidP="00E8409E">
      <w:pPr>
        <w:tabs>
          <w:tab w:val="left" w:pos="1440"/>
          <w:tab w:val="left" w:pos="4680"/>
          <w:tab w:val="center" w:pos="7200"/>
        </w:tabs>
        <w:spacing w:after="0"/>
        <w:jc w:val="center"/>
      </w:pPr>
    </w:p>
    <w:p w14:paraId="6989938D" w14:textId="3C3A7E8B" w:rsidR="009D7914" w:rsidRDefault="009D7914" w:rsidP="009D7914">
      <w:pPr>
        <w:tabs>
          <w:tab w:val="left" w:pos="1440"/>
          <w:tab w:val="left" w:pos="4680"/>
          <w:tab w:val="center" w:pos="7200"/>
        </w:tabs>
        <w:spacing w:after="0"/>
        <w:jc w:val="center"/>
      </w:pPr>
      <w:r>
        <w:t xml:space="preserve">T.E., a Minor, </w:t>
      </w:r>
      <w:proofErr w:type="gramStart"/>
      <w:r>
        <w:t>etc.</w:t>
      </w:r>
      <w:proofErr w:type="gramEnd"/>
      <w:r>
        <w:t>, et al.,</w:t>
      </w:r>
    </w:p>
    <w:p w14:paraId="5DEE704C" w14:textId="0475F8F5" w:rsidR="009D7914" w:rsidRDefault="009D7914" w:rsidP="009D7914">
      <w:pPr>
        <w:tabs>
          <w:tab w:val="left" w:pos="1440"/>
          <w:tab w:val="left" w:pos="4680"/>
          <w:tab w:val="center" w:pos="7200"/>
        </w:tabs>
        <w:spacing w:after="0"/>
        <w:jc w:val="center"/>
      </w:pPr>
      <w:r>
        <w:t>Plaintiffs and Appellants,</w:t>
      </w:r>
    </w:p>
    <w:p w14:paraId="1F56F8EA" w14:textId="31184E3D" w:rsidR="009D7914" w:rsidRDefault="009D7914" w:rsidP="009D7914">
      <w:pPr>
        <w:tabs>
          <w:tab w:val="left" w:pos="1440"/>
          <w:tab w:val="left" w:pos="4680"/>
          <w:tab w:val="center" w:pos="7200"/>
        </w:tabs>
        <w:spacing w:after="0"/>
        <w:jc w:val="center"/>
      </w:pPr>
      <w:r>
        <w:t>v.</w:t>
      </w:r>
    </w:p>
    <w:p w14:paraId="6697F2A9" w14:textId="77777777" w:rsidR="009D7914" w:rsidRDefault="009D7914" w:rsidP="009D7914">
      <w:pPr>
        <w:tabs>
          <w:tab w:val="left" w:pos="1440"/>
          <w:tab w:val="left" w:pos="4680"/>
          <w:tab w:val="center" w:pos="7200"/>
        </w:tabs>
        <w:spacing w:after="0"/>
        <w:jc w:val="center"/>
      </w:pPr>
      <w:r>
        <w:t>COUNTY OF LOS ANGELES et al.,</w:t>
      </w:r>
    </w:p>
    <w:p w14:paraId="6E452C70" w14:textId="73864ED8" w:rsidR="009D7914" w:rsidRDefault="009D7914" w:rsidP="009D7914">
      <w:pPr>
        <w:tabs>
          <w:tab w:val="left" w:pos="1440"/>
          <w:tab w:val="left" w:pos="4680"/>
          <w:tab w:val="center" w:pos="7200"/>
        </w:tabs>
        <w:spacing w:after="0"/>
        <w:jc w:val="center"/>
      </w:pPr>
      <w:r>
        <w:t>Defendants and Appellants.</w:t>
      </w:r>
    </w:p>
    <w:p w14:paraId="20A20B55" w14:textId="77777777" w:rsidR="009D7914" w:rsidRDefault="009D7914" w:rsidP="00E8409E">
      <w:pPr>
        <w:tabs>
          <w:tab w:val="left" w:pos="1440"/>
          <w:tab w:val="left" w:pos="4680"/>
          <w:tab w:val="center" w:pos="7200"/>
        </w:tabs>
        <w:spacing w:after="0"/>
        <w:jc w:val="center"/>
      </w:pPr>
    </w:p>
    <w:p w14:paraId="5AACC9DE" w14:textId="77777777" w:rsidR="009D7914" w:rsidRDefault="009D7914" w:rsidP="009D7914">
      <w:pPr>
        <w:tabs>
          <w:tab w:val="left" w:pos="1440"/>
          <w:tab w:val="left" w:pos="4680"/>
          <w:tab w:val="center" w:pos="7200"/>
        </w:tabs>
        <w:spacing w:after="0"/>
        <w:jc w:val="center"/>
      </w:pPr>
      <w:r>
        <w:t xml:space="preserve">D.B., a Minor, </w:t>
      </w:r>
      <w:proofErr w:type="gramStart"/>
      <w:r>
        <w:t>etc.</w:t>
      </w:r>
      <w:proofErr w:type="gramEnd"/>
      <w:r>
        <w:t>, et al.,</w:t>
      </w:r>
    </w:p>
    <w:p w14:paraId="31C9382B" w14:textId="4154C233" w:rsidR="009D7914" w:rsidRDefault="009D7914" w:rsidP="009D7914">
      <w:pPr>
        <w:tabs>
          <w:tab w:val="left" w:pos="1440"/>
          <w:tab w:val="left" w:pos="4680"/>
          <w:tab w:val="center" w:pos="7200"/>
        </w:tabs>
        <w:spacing w:after="0"/>
        <w:jc w:val="center"/>
      </w:pPr>
      <w:r>
        <w:t>Plaintiffs and Respondents,</w:t>
      </w:r>
    </w:p>
    <w:p w14:paraId="0F7CA064" w14:textId="0C7E53ED" w:rsidR="009D7914" w:rsidRDefault="009D7914" w:rsidP="009D7914">
      <w:pPr>
        <w:tabs>
          <w:tab w:val="left" w:pos="1440"/>
          <w:tab w:val="left" w:pos="4680"/>
          <w:tab w:val="center" w:pos="7200"/>
        </w:tabs>
        <w:spacing w:after="0"/>
        <w:jc w:val="center"/>
      </w:pPr>
      <w:r>
        <w:t>v.</w:t>
      </w:r>
    </w:p>
    <w:p w14:paraId="3B21DCD8" w14:textId="77777777" w:rsidR="009D7914" w:rsidRDefault="009D7914" w:rsidP="009D7914">
      <w:pPr>
        <w:tabs>
          <w:tab w:val="left" w:pos="1440"/>
          <w:tab w:val="left" w:pos="4680"/>
          <w:tab w:val="center" w:pos="7200"/>
        </w:tabs>
        <w:spacing w:after="0"/>
        <w:jc w:val="center"/>
      </w:pPr>
      <w:r>
        <w:t>COUNTY OF LOS ANGELES et al.,</w:t>
      </w:r>
    </w:p>
    <w:p w14:paraId="2EC10336" w14:textId="18074256" w:rsidR="009D7914" w:rsidRDefault="009D7914" w:rsidP="009D7914">
      <w:pPr>
        <w:tabs>
          <w:tab w:val="left" w:pos="1440"/>
          <w:tab w:val="left" w:pos="4680"/>
          <w:tab w:val="center" w:pos="7200"/>
        </w:tabs>
        <w:spacing w:after="0"/>
        <w:jc w:val="center"/>
      </w:pPr>
      <w:r>
        <w:t>Defendants and Appellants.</w:t>
      </w:r>
    </w:p>
    <w:p w14:paraId="649EEDBB" w14:textId="77777777" w:rsidR="00723852" w:rsidRDefault="00723852" w:rsidP="00723852">
      <w:pPr>
        <w:tabs>
          <w:tab w:val="left" w:pos="1440"/>
          <w:tab w:val="left" w:pos="4680"/>
          <w:tab w:val="center" w:pos="7200"/>
        </w:tabs>
        <w:spacing w:after="0"/>
        <w:jc w:val="center"/>
      </w:pPr>
    </w:p>
    <w:p w14:paraId="649EEDBF" w14:textId="035CC515" w:rsidR="00723852" w:rsidRDefault="00723852" w:rsidP="00723852">
      <w:pPr>
        <w:tabs>
          <w:tab w:val="left" w:pos="1440"/>
          <w:tab w:val="left" w:pos="4680"/>
          <w:tab w:val="center" w:pos="7200"/>
        </w:tabs>
        <w:spacing w:after="0"/>
        <w:jc w:val="center"/>
      </w:pPr>
      <w:r>
        <w:t>S2</w:t>
      </w:r>
      <w:r w:rsidR="00794AD3">
        <w:t>5</w:t>
      </w:r>
      <w:r w:rsidR="00594C4C">
        <w:t>0734</w:t>
      </w:r>
    </w:p>
    <w:p w14:paraId="649EEDC0" w14:textId="77777777" w:rsidR="00723852" w:rsidRDefault="00723852" w:rsidP="00723852">
      <w:pPr>
        <w:tabs>
          <w:tab w:val="left" w:pos="1440"/>
          <w:tab w:val="left" w:pos="4680"/>
          <w:tab w:val="center" w:pos="7200"/>
        </w:tabs>
        <w:spacing w:after="0"/>
        <w:jc w:val="center"/>
      </w:pPr>
    </w:p>
    <w:p w14:paraId="649EEDC1" w14:textId="1DCAFA15" w:rsidR="00723852" w:rsidRDefault="002D2EA9" w:rsidP="00723852">
      <w:pPr>
        <w:tabs>
          <w:tab w:val="left" w:pos="1440"/>
          <w:tab w:val="left" w:pos="4680"/>
          <w:tab w:val="center" w:pos="7200"/>
        </w:tabs>
        <w:spacing w:after="0"/>
        <w:jc w:val="center"/>
      </w:pPr>
      <w:r>
        <w:t xml:space="preserve">Second </w:t>
      </w:r>
      <w:r w:rsidR="00723852">
        <w:t>Appellate District</w:t>
      </w:r>
      <w:r>
        <w:t xml:space="preserve">, Division </w:t>
      </w:r>
      <w:r w:rsidR="00F67F5D">
        <w:t>Three</w:t>
      </w:r>
    </w:p>
    <w:p w14:paraId="649EEDC3" w14:textId="5D8D3A59" w:rsidR="00723852" w:rsidRDefault="005947BB" w:rsidP="00723852">
      <w:pPr>
        <w:tabs>
          <w:tab w:val="left" w:pos="1440"/>
          <w:tab w:val="left" w:pos="4680"/>
          <w:tab w:val="center" w:pos="7200"/>
        </w:tabs>
        <w:spacing w:after="0"/>
        <w:jc w:val="center"/>
      </w:pPr>
      <w:r w:rsidRPr="00802090">
        <w:rPr>
          <w:color w:val="000000" w:themeColor="text1"/>
        </w:rPr>
        <w:t>B264946</w:t>
      </w:r>
    </w:p>
    <w:p w14:paraId="60F8436D" w14:textId="77777777" w:rsidR="00D17F2E" w:rsidRDefault="00D17F2E" w:rsidP="00723852">
      <w:pPr>
        <w:tabs>
          <w:tab w:val="left" w:pos="1440"/>
          <w:tab w:val="left" w:pos="4680"/>
          <w:tab w:val="center" w:pos="7200"/>
        </w:tabs>
        <w:spacing w:after="0"/>
        <w:jc w:val="center"/>
      </w:pPr>
    </w:p>
    <w:p w14:paraId="649EEDC4" w14:textId="48E51713" w:rsidR="00723852" w:rsidRDefault="00DF6D91" w:rsidP="00723852">
      <w:pPr>
        <w:tabs>
          <w:tab w:val="left" w:pos="1440"/>
          <w:tab w:val="left" w:pos="4680"/>
          <w:tab w:val="center" w:pos="7200"/>
        </w:tabs>
        <w:spacing w:after="0"/>
        <w:jc w:val="center"/>
      </w:pPr>
      <w:r>
        <w:t xml:space="preserve">Los Angeles </w:t>
      </w:r>
      <w:r w:rsidR="00723852">
        <w:t>County</w:t>
      </w:r>
      <w:r w:rsidR="00440816">
        <w:t xml:space="preserve"> Superior Court</w:t>
      </w:r>
    </w:p>
    <w:p w14:paraId="649EEDC5" w14:textId="74DDBAB9" w:rsidR="0020638F" w:rsidRDefault="00ED6716" w:rsidP="00723852">
      <w:pPr>
        <w:tabs>
          <w:tab w:val="left" w:pos="1440"/>
          <w:tab w:val="left" w:pos="4680"/>
          <w:tab w:val="center" w:pos="7200"/>
        </w:tabs>
        <w:spacing w:after="0"/>
        <w:jc w:val="center"/>
        <w:rPr>
          <w:rFonts w:cs="Cambria"/>
          <w:szCs w:val="26"/>
        </w:rPr>
      </w:pPr>
      <w:r w:rsidRPr="00802090">
        <w:rPr>
          <w:color w:val="000000" w:themeColor="text1"/>
        </w:rPr>
        <w:t>TC027341</w:t>
      </w:r>
      <w:r w:rsidR="004E08EE">
        <w:t xml:space="preserve">, </w:t>
      </w:r>
      <w:r w:rsidR="00A92E9B">
        <w:rPr>
          <w:rFonts w:cs="Cambria"/>
          <w:szCs w:val="26"/>
        </w:rPr>
        <w:t>TC027438</w:t>
      </w:r>
      <w:r w:rsidR="00A27E7D">
        <w:t xml:space="preserve"> and </w:t>
      </w:r>
      <w:r w:rsidR="00423557">
        <w:rPr>
          <w:rFonts w:cs="Cambria"/>
          <w:szCs w:val="26"/>
        </w:rPr>
        <w:t>BC505918</w:t>
      </w:r>
    </w:p>
    <w:p w14:paraId="51C58569" w14:textId="14C4CAD2" w:rsidR="000D6345" w:rsidRDefault="000D6345" w:rsidP="00723852">
      <w:pPr>
        <w:pBdr>
          <w:bottom w:val="single" w:sz="4" w:space="1" w:color="auto"/>
        </w:pBdr>
        <w:tabs>
          <w:tab w:val="left" w:pos="1440"/>
          <w:tab w:val="left" w:pos="4680"/>
          <w:tab w:val="center" w:pos="7200"/>
        </w:tabs>
        <w:spacing w:after="0"/>
        <w:jc w:val="center"/>
      </w:pPr>
    </w:p>
    <w:p w14:paraId="5CA5A91D" w14:textId="5A559AAB" w:rsidR="00715120" w:rsidRDefault="00715120" w:rsidP="00723852">
      <w:pPr>
        <w:pBdr>
          <w:bottom w:val="single" w:sz="4" w:space="1" w:color="auto"/>
        </w:pBdr>
        <w:tabs>
          <w:tab w:val="left" w:pos="1440"/>
          <w:tab w:val="left" w:pos="4680"/>
          <w:tab w:val="center" w:pos="7200"/>
        </w:tabs>
        <w:spacing w:after="0"/>
        <w:jc w:val="center"/>
      </w:pPr>
    </w:p>
    <w:p w14:paraId="211B89DC" w14:textId="38847A70" w:rsidR="00715120" w:rsidRDefault="00715120" w:rsidP="00723852">
      <w:pPr>
        <w:pBdr>
          <w:bottom w:val="single" w:sz="4" w:space="1" w:color="auto"/>
        </w:pBdr>
        <w:tabs>
          <w:tab w:val="left" w:pos="1440"/>
          <w:tab w:val="left" w:pos="4680"/>
          <w:tab w:val="center" w:pos="7200"/>
        </w:tabs>
        <w:spacing w:after="0"/>
        <w:jc w:val="center"/>
      </w:pPr>
    </w:p>
    <w:p w14:paraId="4D59F965" w14:textId="77777777" w:rsidR="00715120" w:rsidRDefault="00715120" w:rsidP="00723852">
      <w:pPr>
        <w:pBdr>
          <w:bottom w:val="single" w:sz="4" w:space="1" w:color="auto"/>
        </w:pBdr>
        <w:tabs>
          <w:tab w:val="left" w:pos="1440"/>
          <w:tab w:val="left" w:pos="4680"/>
          <w:tab w:val="center" w:pos="7200"/>
        </w:tabs>
        <w:spacing w:after="0"/>
        <w:jc w:val="center"/>
      </w:pPr>
    </w:p>
    <w:p w14:paraId="649EEDC7" w14:textId="77777777" w:rsidR="00723852" w:rsidRDefault="00723852" w:rsidP="00723852">
      <w:pPr>
        <w:tabs>
          <w:tab w:val="left" w:pos="1440"/>
          <w:tab w:val="left" w:pos="4680"/>
          <w:tab w:val="center" w:pos="7200"/>
        </w:tabs>
        <w:spacing w:after="0"/>
        <w:jc w:val="center"/>
      </w:pPr>
    </w:p>
    <w:p w14:paraId="649EEDC8" w14:textId="13F76D85" w:rsidR="00723852" w:rsidRDefault="00161A0E" w:rsidP="00723852">
      <w:pPr>
        <w:tabs>
          <w:tab w:val="left" w:pos="1440"/>
          <w:tab w:val="left" w:pos="4680"/>
          <w:tab w:val="center" w:pos="7200"/>
        </w:tabs>
        <w:spacing w:after="0"/>
        <w:jc w:val="center"/>
      </w:pPr>
      <w:r>
        <w:t xml:space="preserve">August </w:t>
      </w:r>
      <w:r w:rsidR="003C3292">
        <w:t>10</w:t>
      </w:r>
      <w:r w:rsidR="00723852">
        <w:t>, 20</w:t>
      </w:r>
      <w:r w:rsidR="00E63A6B">
        <w:t>20</w:t>
      </w:r>
    </w:p>
    <w:p w14:paraId="649EEDC9" w14:textId="77777777" w:rsidR="00723852" w:rsidRDefault="00723852" w:rsidP="00723852">
      <w:pPr>
        <w:tabs>
          <w:tab w:val="left" w:pos="1440"/>
          <w:tab w:val="left" w:pos="4680"/>
          <w:tab w:val="center" w:pos="7200"/>
        </w:tabs>
        <w:spacing w:after="0"/>
        <w:jc w:val="center"/>
      </w:pPr>
    </w:p>
    <w:p w14:paraId="0FD08D83" w14:textId="1316C25B" w:rsidR="003C3292" w:rsidRDefault="003C3292" w:rsidP="003C3292">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14:paraId="6B2AE1EA" w14:textId="2B07C510" w:rsidR="007A1A35" w:rsidRDefault="007A1A35" w:rsidP="003C3292">
      <w:pPr>
        <w:tabs>
          <w:tab w:val="left" w:pos="1440"/>
          <w:tab w:val="left" w:pos="4680"/>
          <w:tab w:val="center" w:pos="7200"/>
        </w:tabs>
        <w:spacing w:after="0"/>
        <w:jc w:val="left"/>
      </w:pPr>
    </w:p>
    <w:p w14:paraId="2E86E28A" w14:textId="35309643" w:rsidR="007A1A35" w:rsidRDefault="007A1A35" w:rsidP="007A1A35">
      <w:pPr>
        <w:rPr>
          <w:rFonts w:ascii="Calibri" w:hAnsi="Calibri"/>
          <w:sz w:val="22"/>
        </w:rPr>
      </w:pPr>
      <w:r>
        <w:t>Justice Liu filed a concurring opinion, in which Justice Cuéllar concurred.</w:t>
      </w:r>
    </w:p>
    <w:p w14:paraId="649EEDCB" w14:textId="77777777" w:rsidR="00723852" w:rsidRDefault="00723852" w:rsidP="00723852">
      <w:pPr>
        <w:pBdr>
          <w:bottom w:val="single" w:sz="4" w:space="1" w:color="auto"/>
        </w:pBdr>
        <w:tabs>
          <w:tab w:val="left" w:pos="1440"/>
          <w:tab w:val="left" w:pos="4680"/>
          <w:tab w:val="center" w:pos="7200"/>
        </w:tabs>
        <w:spacing w:after="0"/>
        <w:jc w:val="left"/>
      </w:pPr>
    </w:p>
    <w:p w14:paraId="649EEDCD" w14:textId="0FC18850" w:rsidR="00723852" w:rsidRDefault="00723852" w:rsidP="00D20E35">
      <w:pPr>
        <w:tabs>
          <w:tab w:val="left" w:pos="1440"/>
          <w:tab w:val="left" w:pos="4680"/>
          <w:tab w:val="center" w:pos="7200"/>
        </w:tabs>
        <w:sectPr w:rsidR="00723852" w:rsidSect="00723852">
          <w:headerReference w:type="even" r:id="rId8"/>
          <w:headerReference w:type="default" r:id="rId9"/>
          <w:footnotePr>
            <w:numRestart w:val="eachSect"/>
          </w:footnotePr>
          <w:pgSz w:w="12240" w:h="15840"/>
          <w:pgMar w:top="1800" w:right="2160" w:bottom="1440" w:left="2160" w:header="720" w:footer="720" w:gutter="0"/>
          <w:cols w:space="720"/>
          <w:titlePg/>
          <w:docGrid w:linePitch="367"/>
        </w:sectPr>
      </w:pPr>
      <w:bookmarkStart w:id="2" w:name="Return"/>
      <w:bookmarkEnd w:id="2"/>
    </w:p>
    <w:p w14:paraId="649EEDCE" w14:textId="07A172C1" w:rsidR="00723852" w:rsidRDefault="00440ACB" w:rsidP="00723852">
      <w:pPr>
        <w:tabs>
          <w:tab w:val="left" w:pos="1440"/>
          <w:tab w:val="left" w:pos="4680"/>
          <w:tab w:val="center" w:pos="7200"/>
        </w:tabs>
        <w:jc w:val="center"/>
      </w:pPr>
      <w:r>
        <w:lastRenderedPageBreak/>
        <w:t>B.B. v. COUNTY OF LOS ANGELES</w:t>
      </w:r>
    </w:p>
    <w:p w14:paraId="649EEDCF" w14:textId="7F7E8EDE" w:rsidR="00723852" w:rsidRDefault="00723852" w:rsidP="00723852">
      <w:pPr>
        <w:tabs>
          <w:tab w:val="left" w:pos="1440"/>
          <w:tab w:val="left" w:pos="4680"/>
          <w:tab w:val="center" w:pos="7200"/>
        </w:tabs>
        <w:jc w:val="center"/>
      </w:pPr>
      <w:r>
        <w:t>S2</w:t>
      </w:r>
      <w:r w:rsidR="00C21F20">
        <w:t>5</w:t>
      </w:r>
      <w:r w:rsidR="00CE484E">
        <w:t>0734</w:t>
      </w:r>
    </w:p>
    <w:p w14:paraId="649EEDD0" w14:textId="77777777" w:rsidR="00723852" w:rsidRDefault="00723852" w:rsidP="00723852">
      <w:pPr>
        <w:tabs>
          <w:tab w:val="left" w:pos="1440"/>
          <w:tab w:val="left" w:pos="4680"/>
          <w:tab w:val="center" w:pos="7200"/>
        </w:tabs>
        <w:jc w:val="center"/>
      </w:pPr>
    </w:p>
    <w:p w14:paraId="649EEDD1" w14:textId="300B59D9" w:rsidR="00723852" w:rsidRDefault="00723852" w:rsidP="00723852">
      <w:pPr>
        <w:tabs>
          <w:tab w:val="left" w:pos="1440"/>
          <w:tab w:val="left" w:pos="4680"/>
          <w:tab w:val="center" w:pos="7200"/>
        </w:tabs>
        <w:jc w:val="center"/>
      </w:pPr>
      <w:r>
        <w:t>Opinion of the Court by</w:t>
      </w:r>
      <w:r w:rsidR="001F4D85">
        <w:t xml:space="preserve"> Chin</w:t>
      </w:r>
      <w:r w:rsidR="00440816">
        <w:t>, J.</w:t>
      </w:r>
    </w:p>
    <w:p w14:paraId="649EEDD2" w14:textId="77777777" w:rsidR="00723852" w:rsidRPr="00723852" w:rsidRDefault="00723852" w:rsidP="00723852">
      <w:pPr>
        <w:tabs>
          <w:tab w:val="left" w:pos="1440"/>
          <w:tab w:val="left" w:pos="4680"/>
          <w:tab w:val="center" w:pos="7200"/>
        </w:tabs>
        <w:jc w:val="center"/>
      </w:pPr>
    </w:p>
    <w:p w14:paraId="7F6CD50A" w14:textId="169E8A28" w:rsidR="00097203" w:rsidRDefault="00646E31" w:rsidP="00097203">
      <w:pPr>
        <w:spacing w:line="360" w:lineRule="auto"/>
        <w:rPr>
          <w:bCs/>
        </w:rPr>
      </w:pPr>
      <w:bookmarkStart w:id="3" w:name="mainstory"/>
      <w:bookmarkStart w:id="4" w:name="_Hlk17726708"/>
      <w:bookmarkEnd w:id="0"/>
      <w:bookmarkEnd w:id="3"/>
      <w:r>
        <w:tab/>
      </w:r>
      <w:r w:rsidR="00D11A0B" w:rsidRPr="005039CA">
        <w:t>In this case, we consider the application of Civil Code section 1431.2</w:t>
      </w:r>
      <w:r w:rsidR="00D11A0B">
        <w:rPr>
          <w:rStyle w:val="FootnoteReference"/>
        </w:rPr>
        <w:footnoteReference w:id="1"/>
      </w:r>
      <w:r w:rsidR="00D11A0B" w:rsidRPr="005039CA">
        <w:t xml:space="preserve"> to tortfeasors held liable for injuries based on the commission of an intentional tort.  Here, the intentional tort was a battery that</w:t>
      </w:r>
      <w:r w:rsidR="00D11A0B">
        <w:t xml:space="preserve">, combined with other factors, </w:t>
      </w:r>
      <w:r w:rsidR="00D11A0B" w:rsidRPr="005039CA">
        <w:t xml:space="preserve">tragically </w:t>
      </w:r>
      <w:r w:rsidR="00D11A0B">
        <w:t xml:space="preserve">led </w:t>
      </w:r>
      <w:r w:rsidR="00D11A0B" w:rsidRPr="005039CA">
        <w:t>to the death of Darren Burley.</w:t>
      </w:r>
      <w:r w:rsidR="00D11A0B">
        <w:t xml:space="preserve">  </w:t>
      </w:r>
      <w:r w:rsidR="00097203">
        <w:t xml:space="preserve">While attempting to subdue Burley, deputies from the </w:t>
      </w:r>
      <w:r w:rsidR="00097203">
        <w:rPr>
          <w:bCs/>
        </w:rPr>
        <w:t xml:space="preserve">Los Angeles County Sheriff’s Department, after getting </w:t>
      </w:r>
      <w:r w:rsidR="00097203" w:rsidRPr="00EC2025">
        <w:rPr>
          <w:bCs/>
        </w:rPr>
        <w:t xml:space="preserve">Burley </w:t>
      </w:r>
      <w:proofErr w:type="spellStart"/>
      <w:r w:rsidR="00097203" w:rsidRPr="00EC2025">
        <w:rPr>
          <w:bCs/>
        </w:rPr>
        <w:t>face</w:t>
      </w:r>
      <w:r w:rsidR="00F3769E">
        <w:rPr>
          <w:bCs/>
        </w:rPr>
        <w:t>down</w:t>
      </w:r>
      <w:proofErr w:type="spellEnd"/>
      <w:r w:rsidR="00D25540">
        <w:rPr>
          <w:bCs/>
        </w:rPr>
        <w:t xml:space="preserve"> </w:t>
      </w:r>
      <w:r w:rsidR="00097203" w:rsidRPr="00EC2025">
        <w:rPr>
          <w:bCs/>
        </w:rPr>
        <w:t>on</w:t>
      </w:r>
      <w:r w:rsidR="00D25540">
        <w:rPr>
          <w:bCs/>
        </w:rPr>
        <w:t xml:space="preserve"> pavement</w:t>
      </w:r>
      <w:r w:rsidR="00097203">
        <w:rPr>
          <w:bCs/>
        </w:rPr>
        <w:t xml:space="preserve">, used their knees to pin him to the ground </w:t>
      </w:r>
      <w:r w:rsidR="00097203" w:rsidRPr="00EC2025">
        <w:rPr>
          <w:bCs/>
        </w:rPr>
        <w:t xml:space="preserve">with as </w:t>
      </w:r>
      <w:proofErr w:type="gramStart"/>
      <w:r w:rsidR="00097203" w:rsidRPr="00EC2025">
        <w:rPr>
          <w:bCs/>
        </w:rPr>
        <w:t>much</w:t>
      </w:r>
      <w:proofErr w:type="gramEnd"/>
      <w:r w:rsidR="00097203" w:rsidRPr="00EC2025">
        <w:rPr>
          <w:bCs/>
        </w:rPr>
        <w:t xml:space="preserve"> body weight as possible.  </w:t>
      </w:r>
      <w:r w:rsidR="00097203">
        <w:rPr>
          <w:bCs/>
        </w:rPr>
        <w:t xml:space="preserve">One of the deputies — defendant David Aviles — </w:t>
      </w:r>
      <w:r w:rsidR="00097203" w:rsidRPr="00E12413">
        <w:rPr>
          <w:bCs/>
        </w:rPr>
        <w:t xml:space="preserve">pressed </w:t>
      </w:r>
      <w:r w:rsidR="00063076">
        <w:rPr>
          <w:bCs/>
        </w:rPr>
        <w:t>one</w:t>
      </w:r>
      <w:r w:rsidR="00097203">
        <w:rPr>
          <w:bCs/>
        </w:rPr>
        <w:t xml:space="preserve"> </w:t>
      </w:r>
      <w:r w:rsidR="00097203" w:rsidRPr="00E12413">
        <w:rPr>
          <w:bCs/>
        </w:rPr>
        <w:t xml:space="preserve">knee into the center of Burley’s back </w:t>
      </w:r>
      <w:r w:rsidR="00097203">
        <w:rPr>
          <w:bCs/>
        </w:rPr>
        <w:t xml:space="preserve">and another </w:t>
      </w:r>
      <w:r w:rsidR="00097203" w:rsidRPr="00E12413">
        <w:rPr>
          <w:bCs/>
        </w:rPr>
        <w:t>on</w:t>
      </w:r>
      <w:r w:rsidR="00097203">
        <w:rPr>
          <w:bCs/>
        </w:rPr>
        <w:t xml:space="preserve">to </w:t>
      </w:r>
      <w:r w:rsidR="00097203" w:rsidRPr="00E12413">
        <w:rPr>
          <w:bCs/>
        </w:rPr>
        <w:t>the back of Burley’s head, near the neck.</w:t>
      </w:r>
      <w:r w:rsidR="00097203">
        <w:rPr>
          <w:bCs/>
        </w:rPr>
        <w:t xml:space="preserve">  Aviles disengaged after Burley</w:t>
      </w:r>
      <w:r w:rsidR="00164E4E">
        <w:rPr>
          <w:bCs/>
        </w:rPr>
        <w:t xml:space="preserve">’s hands were </w:t>
      </w:r>
      <w:r w:rsidR="00097203" w:rsidRPr="00026414">
        <w:rPr>
          <w:bCs/>
        </w:rPr>
        <w:t xml:space="preserve">cuffed </w:t>
      </w:r>
      <w:r w:rsidR="00164E4E">
        <w:rPr>
          <w:bCs/>
        </w:rPr>
        <w:t xml:space="preserve">behind his back </w:t>
      </w:r>
      <w:r w:rsidR="00097203" w:rsidRPr="00026414">
        <w:rPr>
          <w:bCs/>
        </w:rPr>
        <w:t xml:space="preserve">and </w:t>
      </w:r>
      <w:r w:rsidR="006605CB">
        <w:rPr>
          <w:bCs/>
        </w:rPr>
        <w:t>his ankles tightly cinched together with a nylon cord</w:t>
      </w:r>
      <w:r w:rsidR="00097203">
        <w:rPr>
          <w:bCs/>
        </w:rPr>
        <w:t xml:space="preserve">.  But </w:t>
      </w:r>
      <w:r w:rsidR="003E6520">
        <w:rPr>
          <w:bCs/>
        </w:rPr>
        <w:t>when paramedics arrived</w:t>
      </w:r>
      <w:r w:rsidR="00AF790C">
        <w:rPr>
          <w:bCs/>
        </w:rPr>
        <w:t>,</w:t>
      </w:r>
      <w:r w:rsidR="003E6520">
        <w:rPr>
          <w:bCs/>
        </w:rPr>
        <w:t xml:space="preserve"> they </w:t>
      </w:r>
      <w:r w:rsidR="006D53F5">
        <w:rPr>
          <w:bCs/>
        </w:rPr>
        <w:t xml:space="preserve">found </w:t>
      </w:r>
      <w:r w:rsidR="00274660">
        <w:rPr>
          <w:bCs/>
        </w:rPr>
        <w:t xml:space="preserve">Burley, </w:t>
      </w:r>
      <w:r w:rsidR="009B0206">
        <w:rPr>
          <w:bCs/>
        </w:rPr>
        <w:t xml:space="preserve">still cuffed and </w:t>
      </w:r>
      <w:proofErr w:type="spellStart"/>
      <w:r w:rsidR="009B0206">
        <w:rPr>
          <w:bCs/>
        </w:rPr>
        <w:t>facedown</w:t>
      </w:r>
      <w:proofErr w:type="spellEnd"/>
      <w:r w:rsidR="009B0206">
        <w:rPr>
          <w:bCs/>
        </w:rPr>
        <w:t xml:space="preserve"> on the pavement, </w:t>
      </w:r>
      <w:r w:rsidR="00C110EC">
        <w:rPr>
          <w:bCs/>
        </w:rPr>
        <w:t xml:space="preserve">with a different </w:t>
      </w:r>
      <w:r w:rsidR="00097203">
        <w:rPr>
          <w:bCs/>
        </w:rPr>
        <w:t xml:space="preserve">deputy  </w:t>
      </w:r>
      <w:r w:rsidR="00097203" w:rsidRPr="00026414">
        <w:rPr>
          <w:bCs/>
        </w:rPr>
        <w:t xml:space="preserve">pressing </w:t>
      </w:r>
      <w:r w:rsidR="00097203">
        <w:rPr>
          <w:bCs/>
        </w:rPr>
        <w:t xml:space="preserve">a </w:t>
      </w:r>
      <w:r w:rsidR="00097203" w:rsidRPr="00026414">
        <w:rPr>
          <w:bCs/>
        </w:rPr>
        <w:t xml:space="preserve">knee into the small of </w:t>
      </w:r>
      <w:r w:rsidR="00C9077A">
        <w:rPr>
          <w:bCs/>
        </w:rPr>
        <w:t xml:space="preserve">his </w:t>
      </w:r>
      <w:r w:rsidR="00097203" w:rsidRPr="00026414">
        <w:rPr>
          <w:bCs/>
        </w:rPr>
        <w:t>back</w:t>
      </w:r>
      <w:r w:rsidR="006B186C">
        <w:rPr>
          <w:bCs/>
        </w:rPr>
        <w:t xml:space="preserve"> and </w:t>
      </w:r>
      <w:r w:rsidR="00A246B0">
        <w:rPr>
          <w:bCs/>
        </w:rPr>
        <w:t xml:space="preserve">with </w:t>
      </w:r>
      <w:r w:rsidR="006B186C">
        <w:rPr>
          <w:bCs/>
        </w:rPr>
        <w:t>no pulse</w:t>
      </w:r>
      <w:r w:rsidR="00C9077A">
        <w:rPr>
          <w:bCs/>
        </w:rPr>
        <w:t>.</w:t>
      </w:r>
      <w:r w:rsidR="00621031">
        <w:rPr>
          <w:bCs/>
        </w:rPr>
        <w:t xml:space="preserve">  </w:t>
      </w:r>
      <w:r w:rsidR="005C0ECC">
        <w:rPr>
          <w:bCs/>
        </w:rPr>
        <w:t xml:space="preserve">They </w:t>
      </w:r>
      <w:r w:rsidR="00097203" w:rsidRPr="00455110">
        <w:rPr>
          <w:bCs/>
        </w:rPr>
        <w:t xml:space="preserve">restored </w:t>
      </w:r>
      <w:r w:rsidR="004910C2">
        <w:rPr>
          <w:bCs/>
        </w:rPr>
        <w:t xml:space="preserve">Burley’s </w:t>
      </w:r>
      <w:r w:rsidR="00097203">
        <w:rPr>
          <w:bCs/>
        </w:rPr>
        <w:lastRenderedPageBreak/>
        <w:t xml:space="preserve">pulse through </w:t>
      </w:r>
      <w:r w:rsidR="00097203" w:rsidRPr="00455110">
        <w:rPr>
          <w:bCs/>
        </w:rPr>
        <w:t xml:space="preserve">resuscitation efforts, </w:t>
      </w:r>
      <w:r w:rsidR="00097203">
        <w:rPr>
          <w:bCs/>
        </w:rPr>
        <w:t xml:space="preserve">but he </w:t>
      </w:r>
      <w:r w:rsidR="00097203" w:rsidRPr="00455110">
        <w:rPr>
          <w:bCs/>
        </w:rPr>
        <w:t>never regained</w:t>
      </w:r>
      <w:r w:rsidR="00097203">
        <w:rPr>
          <w:bCs/>
        </w:rPr>
        <w:t xml:space="preserve"> </w:t>
      </w:r>
      <w:r w:rsidR="00097203" w:rsidRPr="00455110">
        <w:rPr>
          <w:bCs/>
        </w:rPr>
        <w:t>consciousness and died 10 days later.</w:t>
      </w:r>
      <w:r w:rsidR="00D11A0B">
        <w:rPr>
          <w:rStyle w:val="FootnoteReference"/>
        </w:rPr>
        <w:footnoteReference w:id="2"/>
      </w:r>
    </w:p>
    <w:p w14:paraId="0D35DD18" w14:textId="68774E83" w:rsidR="00097203" w:rsidRDefault="00097203" w:rsidP="00097203">
      <w:pPr>
        <w:spacing w:line="360" w:lineRule="auto"/>
        <w:rPr>
          <w:bCs/>
        </w:rPr>
      </w:pPr>
      <w:r>
        <w:rPr>
          <w:bCs/>
        </w:rPr>
        <w:tab/>
        <w:t>A jury found that Aviles had committed battery</w:t>
      </w:r>
      <w:r w:rsidR="00621031">
        <w:rPr>
          <w:bCs/>
        </w:rPr>
        <w:t xml:space="preserve"> by</w:t>
      </w:r>
      <w:r>
        <w:rPr>
          <w:bCs/>
        </w:rPr>
        <w:t xml:space="preserve"> using unreasonable force against Burley.  The court later entered a judgment against Aviles for the entire amount of the non</w:t>
      </w:r>
      <w:r w:rsidR="00F3769E">
        <w:rPr>
          <w:bCs/>
        </w:rPr>
        <w:t>eco</w:t>
      </w:r>
      <w:r w:rsidR="00AC2093">
        <w:rPr>
          <w:bCs/>
        </w:rPr>
        <w:t xml:space="preserve">nomic </w:t>
      </w:r>
      <w:r>
        <w:rPr>
          <w:bCs/>
        </w:rPr>
        <w:t xml:space="preserve">damages the jury awarded — $8 million — even though the jury also found that only 20 </w:t>
      </w:r>
      <w:r w:rsidRPr="00D24EFC">
        <w:rPr>
          <w:bCs/>
        </w:rPr>
        <w:t xml:space="preserve">percent of </w:t>
      </w:r>
      <w:r>
        <w:rPr>
          <w:bCs/>
        </w:rPr>
        <w:t xml:space="preserve">the responsibility for Burley’s death was “attributable to” Aviles’s actions.  </w:t>
      </w:r>
    </w:p>
    <w:p w14:paraId="666F89F4" w14:textId="2F86E79F" w:rsidR="00097203" w:rsidRPr="00FC41A8" w:rsidRDefault="00097203" w:rsidP="00097203">
      <w:pPr>
        <w:spacing w:line="360" w:lineRule="auto"/>
        <w:rPr>
          <w:bCs/>
        </w:rPr>
      </w:pPr>
      <w:r>
        <w:rPr>
          <w:bCs/>
        </w:rPr>
        <w:tab/>
        <w:t xml:space="preserve">On review, the Court of Appeal held that the judgment against Aviles had to be reduced in accordance with the jury’s allocation of responsibility to him.  </w:t>
      </w:r>
      <w:r w:rsidR="00DB471A">
        <w:t>(</w:t>
      </w:r>
      <w:bookmarkStart w:id="5" w:name="Psych_Cite_2"/>
      <w:r w:rsidR="00DB471A" w:rsidRPr="00EF4BC6">
        <w:rPr>
          <w:i/>
        </w:rPr>
        <w:t>B.B. v. County of Los Angeles</w:t>
      </w:r>
      <w:r w:rsidR="00DB471A">
        <w:t xml:space="preserve"> (2019) </w:t>
      </w:r>
      <w:r w:rsidR="00DB471A" w:rsidRPr="00EF4BC6">
        <w:t>25 Cal.App.5th 115</w:t>
      </w:r>
      <w:bookmarkEnd w:id="5"/>
      <w:r w:rsidR="00DB471A">
        <w:t>.</w:t>
      </w:r>
      <w:r w:rsidR="005D7C78">
        <w:t>)</w:t>
      </w:r>
      <w:r w:rsidR="00DB471A">
        <w:t xml:space="preserve">  </w:t>
      </w:r>
      <w:r w:rsidR="002B1AD5">
        <w:rPr>
          <w:bCs/>
        </w:rPr>
        <w:t xml:space="preserve">It </w:t>
      </w:r>
      <w:r>
        <w:rPr>
          <w:bCs/>
        </w:rPr>
        <w:t xml:space="preserve">relied on </w:t>
      </w:r>
      <w:bookmarkStart w:id="6" w:name="_Hlk44329884"/>
      <w:bookmarkStart w:id="7" w:name="Psych_Cite_1"/>
      <w:r w:rsidRPr="009D765B">
        <w:t xml:space="preserve">section </w:t>
      </w:r>
      <w:bookmarkEnd w:id="6"/>
      <w:r w:rsidRPr="009D765B">
        <w:t>1431.2</w:t>
      </w:r>
      <w:bookmarkEnd w:id="7"/>
      <w:r>
        <w:t>, which provides in relevant part</w:t>
      </w:r>
      <w:r w:rsidRPr="005F5CD1">
        <w:t xml:space="preserve">:  “In any action </w:t>
      </w:r>
      <w:bookmarkStart w:id="8" w:name="_Hlk43818154"/>
      <w:r w:rsidRPr="005F5CD1">
        <w:t>for personal injury, property damage, or wrongful death</w:t>
      </w:r>
      <w:bookmarkEnd w:id="8"/>
      <w:r w:rsidRPr="005F5CD1">
        <w:t xml:space="preserve">, based upon principles of comparative fault, the liability of each defendant for non-economic damages shall be several only and shall not be joint.  Each defendant shall be liable only </w:t>
      </w:r>
      <w:proofErr w:type="gramStart"/>
      <w:r w:rsidRPr="005F5CD1">
        <w:t>for the amount of</w:t>
      </w:r>
      <w:proofErr w:type="gramEnd"/>
      <w:r w:rsidRPr="005F5CD1">
        <w:t xml:space="preserve"> non-</w:t>
      </w:r>
      <w:r w:rsidRPr="005F5CD1">
        <w:lastRenderedPageBreak/>
        <w:t>economic damages allocated to that defendant in direct proportion to that defendant</w:t>
      </w:r>
      <w:r>
        <w:t>’</w:t>
      </w:r>
      <w:r w:rsidRPr="005F5CD1">
        <w:t xml:space="preserve">s percentage of fault, and a separate judgment shall be rendered against that defendant for that amount.”  </w:t>
      </w:r>
      <w:r>
        <w:t xml:space="preserve">(§ 1431.2, </w:t>
      </w:r>
      <w:proofErr w:type="spellStart"/>
      <w:r>
        <w:t>subd</w:t>
      </w:r>
      <w:proofErr w:type="spellEnd"/>
      <w:r>
        <w:t xml:space="preserve">. (a).)  This statute, the Court of Appeal held, requires reduction of an intentional tortfeasor’s liability for noneconomic damages to the extent </w:t>
      </w:r>
      <w:r w:rsidR="00BF61D2">
        <w:t xml:space="preserve">that </w:t>
      </w:r>
      <w:r>
        <w:t xml:space="preserve">the negligence of other actors — including the </w:t>
      </w:r>
      <w:r w:rsidRPr="00292171">
        <w:t>plaintiff</w:t>
      </w:r>
      <w:r>
        <w:t xml:space="preserve">s, any </w:t>
      </w:r>
      <w:r w:rsidRPr="00292171">
        <w:t>codefendants</w:t>
      </w:r>
      <w:r>
        <w:t xml:space="preserve">, injured parties, and nonparties — contributed to injury.  In reaching this conclusion, the court expressly disagreed with the holding in </w:t>
      </w:r>
      <w:bookmarkStart w:id="9" w:name="Psych_Cite_3"/>
      <w:bookmarkStart w:id="10" w:name="_Hlk44332326"/>
      <w:r w:rsidRPr="00181AE4">
        <w:rPr>
          <w:i/>
          <w:iCs/>
        </w:rPr>
        <w:t xml:space="preserve">Thomas v. </w:t>
      </w:r>
      <w:proofErr w:type="spellStart"/>
      <w:r w:rsidRPr="00181AE4">
        <w:rPr>
          <w:i/>
          <w:iCs/>
        </w:rPr>
        <w:t>Duggins</w:t>
      </w:r>
      <w:proofErr w:type="spellEnd"/>
      <w:r w:rsidRPr="00181AE4">
        <w:rPr>
          <w:i/>
          <w:iCs/>
        </w:rPr>
        <w:t xml:space="preserve"> Construction Co., Inc.</w:t>
      </w:r>
      <w:r w:rsidRPr="0080619B">
        <w:t xml:space="preserve"> (2006) 139 Cal.App.4th 1105</w:t>
      </w:r>
      <w:r>
        <w:t>, 1108</w:t>
      </w:r>
      <w:r w:rsidRPr="0080619B">
        <w:t xml:space="preserve"> (</w:t>
      </w:r>
      <w:r w:rsidRPr="00181AE4">
        <w:rPr>
          <w:i/>
          <w:iCs/>
        </w:rPr>
        <w:t>Thoma</w:t>
      </w:r>
      <w:bookmarkEnd w:id="9"/>
      <w:r w:rsidRPr="00181AE4">
        <w:rPr>
          <w:i/>
          <w:iCs/>
        </w:rPr>
        <w:t>s</w:t>
      </w:r>
      <w:r>
        <w:t>),</w:t>
      </w:r>
      <w:bookmarkEnd w:id="10"/>
      <w:r>
        <w:t xml:space="preserve"> that “</w:t>
      </w:r>
      <w:r w:rsidRPr="00931BAA">
        <w:t xml:space="preserve">an intentional tortfeasor is </w:t>
      </w:r>
      <w:r>
        <w:t xml:space="preserve">[not] </w:t>
      </w:r>
      <w:r w:rsidRPr="00931BAA">
        <w:t>entitled to a reduction or apportionment of noneconomic damages under</w:t>
      </w:r>
      <w:r>
        <w:t xml:space="preserve">” </w:t>
      </w:r>
      <w:bookmarkStart w:id="11" w:name="Psych_Cite_4"/>
      <w:r>
        <w:t>section 1431.2, subdivision (</w:t>
      </w:r>
      <w:bookmarkEnd w:id="11"/>
      <w:r>
        <w:t xml:space="preserve">a).  </w:t>
      </w:r>
    </w:p>
    <w:p w14:paraId="600C443C" w14:textId="563E95A1" w:rsidR="00097203" w:rsidRPr="00802090" w:rsidRDefault="00097203" w:rsidP="00097203">
      <w:pPr>
        <w:spacing w:line="360" w:lineRule="auto"/>
      </w:pPr>
      <w:r>
        <w:tab/>
        <w:t xml:space="preserve">We granted review to address this split of authority and to consider </w:t>
      </w:r>
      <w:bookmarkStart w:id="12" w:name="Psych_Cite_5"/>
      <w:r>
        <w:t>section 1431.2</w:t>
      </w:r>
      <w:bookmarkEnd w:id="12"/>
      <w:r>
        <w:t xml:space="preserve">’s application to intentional tortfeasors.  For reasons that follow, we agree with </w:t>
      </w:r>
      <w:r>
        <w:rPr>
          <w:i/>
          <w:iCs/>
        </w:rPr>
        <w:t>Thomas</w:t>
      </w:r>
      <w:r w:rsidR="00BA66D4">
        <w:rPr>
          <w:i/>
          <w:iCs/>
        </w:rPr>
        <w:t xml:space="preserve"> </w:t>
      </w:r>
      <w:r>
        <w:t xml:space="preserve">and reverse the judgment of the Court of Appeal in this case.  </w:t>
      </w:r>
    </w:p>
    <w:p w14:paraId="51A28F88" w14:textId="77777777" w:rsidR="00097203" w:rsidRPr="00270627" w:rsidRDefault="00097203" w:rsidP="00097203">
      <w:pPr>
        <w:pStyle w:val="ListParagraph"/>
        <w:tabs>
          <w:tab w:val="left" w:pos="720"/>
        </w:tabs>
        <w:spacing w:line="360" w:lineRule="auto"/>
        <w:ind w:left="0"/>
        <w:jc w:val="center"/>
        <w:rPr>
          <w:b/>
        </w:rPr>
      </w:pPr>
      <w:r>
        <w:rPr>
          <w:b/>
        </w:rPr>
        <w:t>I.  FACTUAL AND PROCEDURAL HISTORY</w:t>
      </w:r>
    </w:p>
    <w:p w14:paraId="2363DD85" w14:textId="02D398F3" w:rsidR="006F678E" w:rsidRPr="00A419C6" w:rsidRDefault="00097203" w:rsidP="006F678E">
      <w:pPr>
        <w:spacing w:line="360" w:lineRule="auto"/>
      </w:pPr>
      <w:r>
        <w:rPr>
          <w:b/>
        </w:rPr>
        <w:tab/>
      </w:r>
      <w:r w:rsidRPr="00144EC0">
        <w:rPr>
          <w:bCs/>
        </w:rPr>
        <w:t>On the evening of August 3, 2012,</w:t>
      </w:r>
      <w:r>
        <w:rPr>
          <w:bCs/>
        </w:rPr>
        <w:t xml:space="preserve"> the Los Angeles County Sheriff’s Department received a report of an ongoing assault in Compton, California.  Upon arriving at the scene, </w:t>
      </w:r>
      <w:r w:rsidRPr="00547482">
        <w:rPr>
          <w:bCs/>
        </w:rPr>
        <w:t xml:space="preserve">Deputies David Aviles and </w:t>
      </w:r>
      <w:bookmarkStart w:id="13" w:name="_Hlk44398769"/>
      <w:r w:rsidRPr="00547482">
        <w:rPr>
          <w:bCs/>
        </w:rPr>
        <w:t xml:space="preserve">Steve Fernandez </w:t>
      </w:r>
      <w:bookmarkEnd w:id="13"/>
      <w:r>
        <w:rPr>
          <w:bCs/>
        </w:rPr>
        <w:t xml:space="preserve">observed </w:t>
      </w:r>
      <w:r>
        <w:t xml:space="preserve">Darren Burley approach </w:t>
      </w:r>
      <w:r w:rsidR="006F678E">
        <w:t xml:space="preserve">them </w:t>
      </w:r>
      <w:r w:rsidR="006F678E" w:rsidRPr="00547482">
        <w:rPr>
          <w:bCs/>
        </w:rPr>
        <w:t>in slow, stiff, exaggerated robotic movements</w:t>
      </w:r>
      <w:r w:rsidR="006F678E" w:rsidRPr="00575FE4">
        <w:t xml:space="preserve"> </w:t>
      </w:r>
      <w:r w:rsidR="006F678E">
        <w:t xml:space="preserve">with </w:t>
      </w:r>
      <w:r w:rsidR="006F678E" w:rsidRPr="00575FE4">
        <w:rPr>
          <w:bCs/>
        </w:rPr>
        <w:t>his fists clenched at his sides and a blank stare on his face</w:t>
      </w:r>
      <w:r w:rsidR="006F678E">
        <w:rPr>
          <w:bCs/>
        </w:rPr>
        <w:t xml:space="preserve">.  </w:t>
      </w:r>
      <w:r w:rsidR="006F678E">
        <w:rPr>
          <w:bCs/>
        </w:rPr>
        <w:lastRenderedPageBreak/>
        <w:t xml:space="preserve">He was </w:t>
      </w:r>
      <w:proofErr w:type="gramStart"/>
      <w:r w:rsidR="006F678E">
        <w:rPr>
          <w:bCs/>
        </w:rPr>
        <w:t>foaming at the mouth</w:t>
      </w:r>
      <w:proofErr w:type="gramEnd"/>
      <w:r w:rsidR="006F678E">
        <w:rPr>
          <w:bCs/>
        </w:rPr>
        <w:t xml:space="preserve"> and </w:t>
      </w:r>
      <w:r w:rsidR="006F678E" w:rsidRPr="00547482">
        <w:rPr>
          <w:bCs/>
        </w:rPr>
        <w:t>making grunting</w:t>
      </w:r>
      <w:r w:rsidR="006F678E">
        <w:rPr>
          <w:bCs/>
        </w:rPr>
        <w:t xml:space="preserve"> and growling noises.  Based on these observations, </w:t>
      </w:r>
      <w:r w:rsidR="006F678E" w:rsidRPr="00547482">
        <w:rPr>
          <w:bCs/>
        </w:rPr>
        <w:t xml:space="preserve">the deputies </w:t>
      </w:r>
      <w:r w:rsidR="006F678E">
        <w:rPr>
          <w:bCs/>
        </w:rPr>
        <w:t xml:space="preserve">suspected Burley </w:t>
      </w:r>
      <w:r w:rsidR="006F678E" w:rsidRPr="00547482">
        <w:rPr>
          <w:bCs/>
        </w:rPr>
        <w:t xml:space="preserve">might be under the influence of PCP. </w:t>
      </w:r>
      <w:r w:rsidR="006F678E">
        <w:rPr>
          <w:bCs/>
        </w:rPr>
        <w:t xml:space="preserve"> </w:t>
      </w:r>
      <w:r w:rsidR="006F678E">
        <w:t xml:space="preserve">The deputies </w:t>
      </w:r>
      <w:r w:rsidR="006F678E" w:rsidRPr="00547482">
        <w:rPr>
          <w:bCs/>
        </w:rPr>
        <w:t xml:space="preserve">ordered Burley to get on his knees facing away from </w:t>
      </w:r>
      <w:r w:rsidR="006F678E">
        <w:rPr>
          <w:bCs/>
        </w:rPr>
        <w:t xml:space="preserve">them.  </w:t>
      </w:r>
      <w:r w:rsidR="006F678E" w:rsidRPr="00547482">
        <w:rPr>
          <w:bCs/>
        </w:rPr>
        <w:t>Burley did not respond.</w:t>
      </w:r>
      <w:r w:rsidR="006F678E">
        <w:rPr>
          <w:bCs/>
        </w:rPr>
        <w:t xml:space="preserve"> </w:t>
      </w:r>
    </w:p>
    <w:p w14:paraId="4935FD99" w14:textId="7CC23D87" w:rsidR="006F678E" w:rsidRDefault="006F678E" w:rsidP="006F678E">
      <w:pPr>
        <w:spacing w:line="360" w:lineRule="auto"/>
        <w:rPr>
          <w:bCs/>
        </w:rPr>
      </w:pPr>
      <w:r>
        <w:rPr>
          <w:bCs/>
        </w:rPr>
        <w:tab/>
        <w:t>A</w:t>
      </w:r>
      <w:r w:rsidRPr="00E12413">
        <w:rPr>
          <w:bCs/>
        </w:rPr>
        <w:t xml:space="preserve"> distraught woman </w:t>
      </w:r>
      <w:r>
        <w:rPr>
          <w:bCs/>
        </w:rPr>
        <w:t>suddenly appeared in the street</w:t>
      </w:r>
      <w:r w:rsidRPr="00E12413">
        <w:rPr>
          <w:bCs/>
        </w:rPr>
        <w:t xml:space="preserve">, pointed at </w:t>
      </w:r>
      <w:proofErr w:type="gramStart"/>
      <w:r w:rsidRPr="00E12413">
        <w:rPr>
          <w:bCs/>
        </w:rPr>
        <w:t>Burley</w:t>
      </w:r>
      <w:proofErr w:type="gramEnd"/>
      <w:r>
        <w:rPr>
          <w:bCs/>
        </w:rPr>
        <w:t xml:space="preserve"> and </w:t>
      </w:r>
      <w:r w:rsidRPr="00E12413">
        <w:rPr>
          <w:bCs/>
        </w:rPr>
        <w:t>yelled, “He tried to kill me!”</w:t>
      </w:r>
      <w:r>
        <w:rPr>
          <w:bCs/>
        </w:rPr>
        <w:t xml:space="preserve">  She began to flee, and </w:t>
      </w:r>
      <w:r w:rsidRPr="00E12413">
        <w:rPr>
          <w:bCs/>
        </w:rPr>
        <w:t>Burley</w:t>
      </w:r>
      <w:r>
        <w:rPr>
          <w:bCs/>
        </w:rPr>
        <w:t xml:space="preserve"> ran after her.  Fernandez, </w:t>
      </w:r>
      <w:proofErr w:type="gramStart"/>
      <w:r>
        <w:rPr>
          <w:bCs/>
        </w:rPr>
        <w:t>in an effort to</w:t>
      </w:r>
      <w:proofErr w:type="gramEnd"/>
      <w:r>
        <w:rPr>
          <w:bCs/>
        </w:rPr>
        <w:t xml:space="preserve"> stop Burley’s pursuit and knock him down, </w:t>
      </w:r>
      <w:r w:rsidRPr="00E12413">
        <w:rPr>
          <w:bCs/>
        </w:rPr>
        <w:t>“hockey checked”</w:t>
      </w:r>
      <w:r>
        <w:rPr>
          <w:bCs/>
        </w:rPr>
        <w:t xml:space="preserve"> Burley, ramming a shoulder into Burley’s side.  Burley lost balance and fell, </w:t>
      </w:r>
      <w:r w:rsidRPr="00E12413">
        <w:rPr>
          <w:bCs/>
        </w:rPr>
        <w:t>hit</w:t>
      </w:r>
      <w:r>
        <w:rPr>
          <w:bCs/>
        </w:rPr>
        <w:t>ting</w:t>
      </w:r>
      <w:r w:rsidRPr="00E12413">
        <w:rPr>
          <w:bCs/>
        </w:rPr>
        <w:t xml:space="preserve"> his head on a parked truck</w:t>
      </w:r>
      <w:r>
        <w:rPr>
          <w:bCs/>
        </w:rPr>
        <w:t xml:space="preserve"> and then landing </w:t>
      </w:r>
      <w:proofErr w:type="spellStart"/>
      <w:r>
        <w:rPr>
          <w:bCs/>
        </w:rPr>
        <w:t>facedown</w:t>
      </w:r>
      <w:proofErr w:type="spellEnd"/>
      <w:r>
        <w:rPr>
          <w:bCs/>
        </w:rPr>
        <w:t xml:space="preserve"> on the pavement</w:t>
      </w:r>
      <w:r w:rsidRPr="00E12413">
        <w:rPr>
          <w:bCs/>
        </w:rPr>
        <w:t>.</w:t>
      </w:r>
      <w:r>
        <w:rPr>
          <w:bCs/>
        </w:rPr>
        <w:t xml:space="preserve">  Aviles attempted to handcuff Burley, but Burley resisted.  A</w:t>
      </w:r>
      <w:r w:rsidRPr="002F589D">
        <w:rPr>
          <w:bCs/>
        </w:rPr>
        <w:t xml:space="preserve"> struggle ensued</w:t>
      </w:r>
      <w:r>
        <w:rPr>
          <w:bCs/>
        </w:rPr>
        <w:t xml:space="preserve">, during which Burley punched </w:t>
      </w:r>
      <w:r w:rsidRPr="002F589D">
        <w:rPr>
          <w:bCs/>
        </w:rPr>
        <w:t>Aviles</w:t>
      </w:r>
      <w:r>
        <w:rPr>
          <w:bCs/>
        </w:rPr>
        <w:t> — who was wearing a bulletproof vest —</w:t>
      </w:r>
      <w:r w:rsidRPr="002F589D">
        <w:rPr>
          <w:bCs/>
        </w:rPr>
        <w:t xml:space="preserve"> </w:t>
      </w:r>
      <w:r>
        <w:rPr>
          <w:bCs/>
        </w:rPr>
        <w:t xml:space="preserve">in the chest and Aviles </w:t>
      </w:r>
      <w:r w:rsidRPr="002F589D">
        <w:rPr>
          <w:bCs/>
        </w:rPr>
        <w:t>punch</w:t>
      </w:r>
      <w:r>
        <w:rPr>
          <w:bCs/>
        </w:rPr>
        <w:t>ed</w:t>
      </w:r>
      <w:r w:rsidRPr="002F589D">
        <w:rPr>
          <w:bCs/>
        </w:rPr>
        <w:t xml:space="preserve"> Burley in the face </w:t>
      </w:r>
      <w:proofErr w:type="gramStart"/>
      <w:r>
        <w:rPr>
          <w:bCs/>
        </w:rPr>
        <w:t xml:space="preserve">approximately </w:t>
      </w:r>
      <w:r w:rsidRPr="002F589D">
        <w:rPr>
          <w:bCs/>
        </w:rPr>
        <w:t>five</w:t>
      </w:r>
      <w:proofErr w:type="gramEnd"/>
      <w:r w:rsidRPr="002F589D">
        <w:rPr>
          <w:bCs/>
        </w:rPr>
        <w:t xml:space="preserve"> times</w:t>
      </w:r>
      <w:r>
        <w:rPr>
          <w:bCs/>
        </w:rPr>
        <w:t xml:space="preserve">.  </w:t>
      </w:r>
      <w:r w:rsidRPr="002F589D">
        <w:rPr>
          <w:bCs/>
        </w:rPr>
        <w:t xml:space="preserve">Fernandez </w:t>
      </w:r>
      <w:r>
        <w:rPr>
          <w:bCs/>
        </w:rPr>
        <w:t xml:space="preserve">came to Aviles’s aid, and the two deputies wrestled Burley to the pavement, facedown.  As Burley continued to struggle, </w:t>
      </w:r>
      <w:r w:rsidRPr="00E12413">
        <w:rPr>
          <w:bCs/>
        </w:rPr>
        <w:t xml:space="preserve">Fernandez </w:t>
      </w:r>
      <w:r>
        <w:rPr>
          <w:bCs/>
        </w:rPr>
        <w:t>tried “to get [</w:t>
      </w:r>
      <w:r w:rsidR="00A01ACB">
        <w:rPr>
          <w:bCs/>
        </w:rPr>
        <w:t xml:space="preserve">Burley’s </w:t>
      </w:r>
      <w:r>
        <w:rPr>
          <w:bCs/>
        </w:rPr>
        <w:t>lower body] pinned to the ground” by kneeling “with all [his] weight on [</w:t>
      </w:r>
      <w:r w:rsidRPr="00E12413">
        <w:rPr>
          <w:bCs/>
        </w:rPr>
        <w:t>Burley’s</w:t>
      </w:r>
      <w:r>
        <w:rPr>
          <w:bCs/>
        </w:rPr>
        <w:t>]</w:t>
      </w:r>
      <w:r w:rsidRPr="00E12413">
        <w:rPr>
          <w:bCs/>
        </w:rPr>
        <w:t xml:space="preserve"> </w:t>
      </w:r>
      <w:r>
        <w:rPr>
          <w:bCs/>
        </w:rPr>
        <w:t xml:space="preserve">hamstring area.”  Meanwhile, </w:t>
      </w:r>
      <w:r w:rsidRPr="00E12413">
        <w:rPr>
          <w:bCs/>
        </w:rPr>
        <w:t xml:space="preserve">Aviles </w:t>
      </w:r>
      <w:r>
        <w:rPr>
          <w:bCs/>
        </w:rPr>
        <w:t xml:space="preserve">tried “to pin” Burley’s upper body to the ground by </w:t>
      </w:r>
      <w:r w:rsidRPr="0062343C">
        <w:rPr>
          <w:bCs/>
        </w:rPr>
        <w:t>mount</w:t>
      </w:r>
      <w:r>
        <w:rPr>
          <w:bCs/>
        </w:rPr>
        <w:t xml:space="preserve">ing </w:t>
      </w:r>
      <w:r w:rsidR="003638C8">
        <w:rPr>
          <w:bCs/>
        </w:rPr>
        <w:t xml:space="preserve">Burley </w:t>
      </w:r>
      <w:r>
        <w:rPr>
          <w:bCs/>
        </w:rPr>
        <w:t xml:space="preserve">and </w:t>
      </w:r>
      <w:r w:rsidRPr="00E12413">
        <w:rPr>
          <w:bCs/>
        </w:rPr>
        <w:t>press</w:t>
      </w:r>
      <w:r>
        <w:rPr>
          <w:bCs/>
        </w:rPr>
        <w:t xml:space="preserve">ing one </w:t>
      </w:r>
      <w:r w:rsidRPr="00E12413">
        <w:rPr>
          <w:bCs/>
        </w:rPr>
        <w:t xml:space="preserve">knee into the center of </w:t>
      </w:r>
      <w:r>
        <w:rPr>
          <w:bCs/>
        </w:rPr>
        <w:t xml:space="preserve">his back, at the top of his diaphragm, and another knee down </w:t>
      </w:r>
      <w:r w:rsidRPr="00E12413">
        <w:rPr>
          <w:bCs/>
        </w:rPr>
        <w:t xml:space="preserve">on the back of </w:t>
      </w:r>
      <w:r w:rsidR="00727869">
        <w:rPr>
          <w:bCs/>
        </w:rPr>
        <w:t xml:space="preserve">his </w:t>
      </w:r>
      <w:r w:rsidRPr="00E12413">
        <w:rPr>
          <w:bCs/>
        </w:rPr>
        <w:t xml:space="preserve">head, near the </w:t>
      </w:r>
      <w:r>
        <w:rPr>
          <w:bCs/>
        </w:rPr>
        <w:t xml:space="preserve">back of his </w:t>
      </w:r>
      <w:r w:rsidRPr="00E12413">
        <w:rPr>
          <w:bCs/>
        </w:rPr>
        <w:t>neck.</w:t>
      </w:r>
      <w:r>
        <w:rPr>
          <w:bCs/>
        </w:rPr>
        <w:t xml:space="preserve"> </w:t>
      </w:r>
      <w:r w:rsidRPr="00E12413">
        <w:rPr>
          <w:bCs/>
        </w:rPr>
        <w:t xml:space="preserve"> </w:t>
      </w:r>
      <w:r>
        <w:rPr>
          <w:bCs/>
        </w:rPr>
        <w:t>Aviles, who weighed 200 pounds, used “</w:t>
      </w:r>
      <w:r w:rsidRPr="0062343C">
        <w:rPr>
          <w:bCs/>
        </w:rPr>
        <w:t xml:space="preserve">as much </w:t>
      </w:r>
      <w:r>
        <w:rPr>
          <w:bCs/>
        </w:rPr>
        <w:t>[</w:t>
      </w:r>
      <w:r w:rsidRPr="0062343C">
        <w:rPr>
          <w:bCs/>
        </w:rPr>
        <w:t>body</w:t>
      </w:r>
      <w:r>
        <w:rPr>
          <w:bCs/>
        </w:rPr>
        <w:t>]</w:t>
      </w:r>
      <w:r w:rsidRPr="0062343C">
        <w:rPr>
          <w:bCs/>
        </w:rPr>
        <w:t xml:space="preserve"> weight </w:t>
      </w:r>
      <w:r>
        <w:rPr>
          <w:bCs/>
        </w:rPr>
        <w:t>[</w:t>
      </w:r>
      <w:r w:rsidRPr="0062343C">
        <w:rPr>
          <w:bCs/>
        </w:rPr>
        <w:t>as</w:t>
      </w:r>
      <w:r>
        <w:rPr>
          <w:bCs/>
        </w:rPr>
        <w:t xml:space="preserve"> he] was able to apply.”  </w:t>
      </w:r>
      <w:r w:rsidRPr="00E12413">
        <w:rPr>
          <w:bCs/>
        </w:rPr>
        <w:t>Burley struggled, trying to raise his chest from the ground.</w:t>
      </w:r>
      <w:r>
        <w:rPr>
          <w:bCs/>
        </w:rPr>
        <w:t xml:space="preserve">  According </w:t>
      </w:r>
      <w:r>
        <w:rPr>
          <w:bCs/>
        </w:rPr>
        <w:lastRenderedPageBreak/>
        <w:t xml:space="preserve">to a witness, one of the deputies — who, from the witness’s description, appeared to be Aviles — held Burley in “some type of head-lock” </w:t>
      </w:r>
      <w:r w:rsidRPr="00796CD2">
        <w:rPr>
          <w:bCs/>
        </w:rPr>
        <w:t>during most of the struggle</w:t>
      </w:r>
      <w:r>
        <w:rPr>
          <w:bCs/>
        </w:rPr>
        <w:t xml:space="preserve"> and was “choking” him. </w:t>
      </w:r>
    </w:p>
    <w:p w14:paraId="374EBEF5" w14:textId="43C9D727" w:rsidR="006F678E" w:rsidRDefault="006F678E" w:rsidP="006F678E">
      <w:pPr>
        <w:spacing w:line="360" w:lineRule="auto"/>
        <w:rPr>
          <w:bCs/>
        </w:rPr>
      </w:pPr>
      <w:r>
        <w:rPr>
          <w:bCs/>
        </w:rPr>
        <w:tab/>
        <w:t xml:space="preserve">More deputies </w:t>
      </w:r>
      <w:r w:rsidRPr="00796CD2">
        <w:rPr>
          <w:bCs/>
        </w:rPr>
        <w:t>arrived</w:t>
      </w:r>
      <w:r>
        <w:rPr>
          <w:bCs/>
        </w:rPr>
        <w:t xml:space="preserve"> on scene and found </w:t>
      </w:r>
      <w:r w:rsidRPr="00796CD2">
        <w:rPr>
          <w:bCs/>
        </w:rPr>
        <w:t xml:space="preserve">Burley facedown </w:t>
      </w:r>
      <w:r>
        <w:rPr>
          <w:bCs/>
        </w:rPr>
        <w:t xml:space="preserve">with </w:t>
      </w:r>
      <w:r w:rsidRPr="00796CD2">
        <w:rPr>
          <w:bCs/>
        </w:rPr>
        <w:t xml:space="preserve">Aviles and Fernandez trying to restrain him. </w:t>
      </w:r>
      <w:r>
        <w:rPr>
          <w:bCs/>
        </w:rPr>
        <w:t xml:space="preserve"> Deputy Paul </w:t>
      </w:r>
      <w:proofErr w:type="spellStart"/>
      <w:r w:rsidRPr="00796CD2">
        <w:rPr>
          <w:bCs/>
        </w:rPr>
        <w:t>Beserra</w:t>
      </w:r>
      <w:proofErr w:type="spellEnd"/>
      <w:r w:rsidRPr="00796CD2">
        <w:rPr>
          <w:bCs/>
        </w:rPr>
        <w:t xml:space="preserve"> attempted to restrain Burley’s left arm, while </w:t>
      </w:r>
      <w:r>
        <w:rPr>
          <w:bCs/>
        </w:rPr>
        <w:t xml:space="preserve">Deputy Timothy </w:t>
      </w:r>
      <w:r w:rsidRPr="00796CD2">
        <w:rPr>
          <w:bCs/>
        </w:rPr>
        <w:t xml:space="preserve">Lee assisted on the right and </w:t>
      </w:r>
      <w:r>
        <w:rPr>
          <w:bCs/>
        </w:rPr>
        <w:t xml:space="preserve">Deputy Ernest </w:t>
      </w:r>
      <w:r w:rsidRPr="00796CD2">
        <w:rPr>
          <w:bCs/>
        </w:rPr>
        <w:t xml:space="preserve">Celaya held Burley’s feet. </w:t>
      </w:r>
      <w:r>
        <w:rPr>
          <w:bCs/>
        </w:rPr>
        <w:t xml:space="preserve"> </w:t>
      </w:r>
      <w:bookmarkStart w:id="14" w:name="_Hlk46487816"/>
      <w:r w:rsidRPr="00796CD2">
        <w:rPr>
          <w:bCs/>
        </w:rPr>
        <w:t xml:space="preserve">Celaya </w:t>
      </w:r>
      <w:r w:rsidR="00AF790C">
        <w:rPr>
          <w:bCs/>
        </w:rPr>
        <w:t>“T</w:t>
      </w:r>
      <w:r w:rsidR="00D909CB">
        <w:rPr>
          <w:bCs/>
        </w:rPr>
        <w:t>asered</w:t>
      </w:r>
      <w:r w:rsidR="00AF790C">
        <w:rPr>
          <w:bCs/>
        </w:rPr>
        <w:t>”</w:t>
      </w:r>
      <w:r w:rsidR="00D909CB">
        <w:rPr>
          <w:bCs/>
        </w:rPr>
        <w:t xml:space="preserve"> </w:t>
      </w:r>
      <w:r w:rsidRPr="00796CD2">
        <w:rPr>
          <w:bCs/>
        </w:rPr>
        <w:t>Burley multiple times</w:t>
      </w:r>
      <w:r>
        <w:rPr>
          <w:bCs/>
        </w:rPr>
        <w:t xml:space="preserve"> in the calf area, and Lee </w:t>
      </w:r>
      <w:r w:rsidR="00AF790C">
        <w:rPr>
          <w:bCs/>
        </w:rPr>
        <w:t>“T</w:t>
      </w:r>
      <w:r w:rsidR="00D909CB">
        <w:rPr>
          <w:bCs/>
        </w:rPr>
        <w:t>asered</w:t>
      </w:r>
      <w:r w:rsidR="00AF790C">
        <w:rPr>
          <w:bCs/>
        </w:rPr>
        <w:t>”</w:t>
      </w:r>
      <w:r w:rsidR="00D909CB">
        <w:rPr>
          <w:bCs/>
        </w:rPr>
        <w:t xml:space="preserve"> </w:t>
      </w:r>
      <w:r>
        <w:rPr>
          <w:bCs/>
        </w:rPr>
        <w:t>him once in the rib cage area, all</w:t>
      </w:r>
      <w:r w:rsidRPr="00796CD2">
        <w:rPr>
          <w:bCs/>
        </w:rPr>
        <w:t xml:space="preserve"> without apparent effect.</w:t>
      </w:r>
      <w:bookmarkEnd w:id="14"/>
      <w:r w:rsidRPr="00796CD2">
        <w:rPr>
          <w:bCs/>
        </w:rPr>
        <w:t xml:space="preserve"> </w:t>
      </w:r>
      <w:r>
        <w:rPr>
          <w:bCs/>
        </w:rPr>
        <w:t xml:space="preserve"> T</w:t>
      </w:r>
      <w:r w:rsidRPr="00796CD2">
        <w:rPr>
          <w:bCs/>
        </w:rPr>
        <w:t xml:space="preserve">he deputies </w:t>
      </w:r>
      <w:r>
        <w:rPr>
          <w:bCs/>
        </w:rPr>
        <w:t xml:space="preserve">eventually maneuvered </w:t>
      </w:r>
      <w:r w:rsidRPr="00796CD2">
        <w:rPr>
          <w:bCs/>
        </w:rPr>
        <w:t>Burley</w:t>
      </w:r>
      <w:r>
        <w:rPr>
          <w:bCs/>
        </w:rPr>
        <w:t xml:space="preserve">’s hands behind his back and cuffed him.  Even though </w:t>
      </w:r>
      <w:r w:rsidR="00A7686D">
        <w:rPr>
          <w:bCs/>
        </w:rPr>
        <w:t xml:space="preserve">restrained, </w:t>
      </w:r>
      <w:r>
        <w:rPr>
          <w:bCs/>
        </w:rPr>
        <w:t>Burley was still “flinging” and “twisting” his upper body, so Aviles remained on Burley’s back, using his “upper body weight” to push down on Burley and “keep him in place.”  Other deputies applied a “hobble restraint” to Burley’s legs by wrapping a nylon cord around his ankles and “cinch[</w:t>
      </w:r>
      <w:proofErr w:type="spellStart"/>
      <w:r>
        <w:rPr>
          <w:bCs/>
        </w:rPr>
        <w:t>ing</w:t>
      </w:r>
      <w:proofErr w:type="spellEnd"/>
      <w:r>
        <w:rPr>
          <w:bCs/>
        </w:rPr>
        <w:t xml:space="preserve">] it tight.”  A witness testified that one of the deputies </w:t>
      </w:r>
      <w:r w:rsidRPr="00796CD2">
        <w:rPr>
          <w:bCs/>
        </w:rPr>
        <w:t xml:space="preserve">hit </w:t>
      </w:r>
      <w:r>
        <w:rPr>
          <w:bCs/>
        </w:rPr>
        <w:t xml:space="preserve">Burley </w:t>
      </w:r>
      <w:r w:rsidRPr="00796CD2">
        <w:rPr>
          <w:bCs/>
        </w:rPr>
        <w:t xml:space="preserve">in the head </w:t>
      </w:r>
      <w:r>
        <w:rPr>
          <w:bCs/>
        </w:rPr>
        <w:t xml:space="preserve">“at least seven to ten times” </w:t>
      </w:r>
      <w:r w:rsidRPr="00796CD2">
        <w:rPr>
          <w:bCs/>
        </w:rPr>
        <w:t>with a flashlight</w:t>
      </w:r>
      <w:r>
        <w:rPr>
          <w:bCs/>
        </w:rPr>
        <w:t xml:space="preserve">, and that Burley appeared to be </w:t>
      </w:r>
      <w:r w:rsidRPr="00796CD2">
        <w:rPr>
          <w:bCs/>
        </w:rPr>
        <w:t>gasping for air.</w:t>
      </w:r>
      <w:r>
        <w:rPr>
          <w:bCs/>
        </w:rPr>
        <w:t xml:space="preserve"> </w:t>
      </w:r>
    </w:p>
    <w:p w14:paraId="630097D1" w14:textId="5B26D475" w:rsidR="006F678E" w:rsidRDefault="006F678E" w:rsidP="006F678E">
      <w:pPr>
        <w:spacing w:line="360" w:lineRule="auto"/>
        <w:rPr>
          <w:bCs/>
        </w:rPr>
      </w:pPr>
      <w:r>
        <w:rPr>
          <w:bCs/>
        </w:rPr>
        <w:tab/>
        <w:t xml:space="preserve">After Burley was handcuffed and hobbled, </w:t>
      </w:r>
      <w:proofErr w:type="gramStart"/>
      <w:r>
        <w:rPr>
          <w:bCs/>
        </w:rPr>
        <w:t>all of</w:t>
      </w:r>
      <w:proofErr w:type="gramEnd"/>
      <w:r>
        <w:rPr>
          <w:bCs/>
        </w:rPr>
        <w:t xml:space="preserve"> the </w:t>
      </w:r>
      <w:r w:rsidRPr="00796CD2">
        <w:rPr>
          <w:bCs/>
        </w:rPr>
        <w:t>deputies disengaged</w:t>
      </w:r>
      <w:r>
        <w:rPr>
          <w:bCs/>
        </w:rPr>
        <w:t xml:space="preserve"> except</w:t>
      </w:r>
      <w:r w:rsidRPr="00796CD2">
        <w:rPr>
          <w:bCs/>
        </w:rPr>
        <w:t xml:space="preserve"> </w:t>
      </w:r>
      <w:proofErr w:type="spellStart"/>
      <w:r w:rsidRPr="00796CD2">
        <w:rPr>
          <w:bCs/>
        </w:rPr>
        <w:t>Beserra</w:t>
      </w:r>
      <w:proofErr w:type="spellEnd"/>
      <w:r>
        <w:rPr>
          <w:bCs/>
        </w:rPr>
        <w:t>,</w:t>
      </w:r>
      <w:r w:rsidRPr="00796CD2">
        <w:rPr>
          <w:bCs/>
        </w:rPr>
        <w:t xml:space="preserve"> </w:t>
      </w:r>
      <w:r>
        <w:rPr>
          <w:bCs/>
        </w:rPr>
        <w:t xml:space="preserve">who “took over” from Aviles and “relieve[d]” him of “attempting to control [Burley’s] upper body.”  From that point forward, </w:t>
      </w:r>
      <w:proofErr w:type="spellStart"/>
      <w:r>
        <w:rPr>
          <w:bCs/>
        </w:rPr>
        <w:t>Beserra</w:t>
      </w:r>
      <w:proofErr w:type="spellEnd"/>
      <w:r>
        <w:rPr>
          <w:bCs/>
        </w:rPr>
        <w:t xml:space="preserve"> was the only deputy to “touch[]” Burley.  According to </w:t>
      </w:r>
      <w:proofErr w:type="spellStart"/>
      <w:r>
        <w:rPr>
          <w:bCs/>
        </w:rPr>
        <w:t>Beserra</w:t>
      </w:r>
      <w:proofErr w:type="spellEnd"/>
      <w:r>
        <w:rPr>
          <w:bCs/>
        </w:rPr>
        <w:t xml:space="preserve">, he continued to keep Burley “restrained” </w:t>
      </w:r>
      <w:proofErr w:type="spellStart"/>
      <w:r>
        <w:rPr>
          <w:bCs/>
        </w:rPr>
        <w:t>facedown</w:t>
      </w:r>
      <w:proofErr w:type="spellEnd"/>
      <w:r>
        <w:rPr>
          <w:bCs/>
        </w:rPr>
        <w:t xml:space="preserve"> on the ground because Burley, </w:t>
      </w:r>
      <w:r>
        <w:rPr>
          <w:bCs/>
        </w:rPr>
        <w:lastRenderedPageBreak/>
        <w:t>though “handcuffed and hobbled,” was “still violently fighting against the restraints” and thus posed “</w:t>
      </w:r>
      <w:r w:rsidRPr="00EF09CC">
        <w:rPr>
          <w:bCs/>
        </w:rPr>
        <w:t>a threat to himself and to”</w:t>
      </w:r>
      <w:r>
        <w:rPr>
          <w:bCs/>
        </w:rPr>
        <w:t xml:space="preserve"> the officers.  During this time, </w:t>
      </w:r>
      <w:proofErr w:type="spellStart"/>
      <w:r>
        <w:rPr>
          <w:bCs/>
        </w:rPr>
        <w:t>Beserra</w:t>
      </w:r>
      <w:proofErr w:type="spellEnd"/>
      <w:r>
        <w:rPr>
          <w:bCs/>
        </w:rPr>
        <w:t xml:space="preserve"> did not use “any more force” or place any of his weight “on top of” Burley.  “After about 30 seconds,” </w:t>
      </w:r>
      <w:proofErr w:type="spellStart"/>
      <w:r>
        <w:rPr>
          <w:bCs/>
        </w:rPr>
        <w:t>Beserra</w:t>
      </w:r>
      <w:proofErr w:type="spellEnd"/>
      <w:r>
        <w:rPr>
          <w:bCs/>
        </w:rPr>
        <w:t xml:space="preserve"> “felt that [Burley] was no longer fighting against the restraints,” so he “placed [Burley] on his left side in order to put him in a recovery position” and “to facilitate . . . medical monitoring.”  About 90 seconds later — or “approximately two minutes” after Burley was handcuffed and hobbled — </w:t>
      </w:r>
      <w:proofErr w:type="spellStart"/>
      <w:r>
        <w:rPr>
          <w:bCs/>
        </w:rPr>
        <w:t>Beserra</w:t>
      </w:r>
      <w:proofErr w:type="spellEnd"/>
      <w:r>
        <w:rPr>
          <w:bCs/>
        </w:rPr>
        <w:t xml:space="preserve"> heard Burley’s breathing become labored.  </w:t>
      </w:r>
      <w:proofErr w:type="spellStart"/>
      <w:r>
        <w:rPr>
          <w:bCs/>
        </w:rPr>
        <w:t>Beserra</w:t>
      </w:r>
      <w:proofErr w:type="spellEnd"/>
      <w:r>
        <w:rPr>
          <w:bCs/>
        </w:rPr>
        <w:t xml:space="preserve"> then “motioned” for the other deputies “to bring . . . over” paramedics, who were already on scene and “about 10 to 20 feet away . . . rendering aid to” the woman Burley had earlier chased.  The paramedics responded “immediately,” but as they were “walking over to render aid,” </w:t>
      </w:r>
      <w:proofErr w:type="spellStart"/>
      <w:r>
        <w:rPr>
          <w:bCs/>
        </w:rPr>
        <w:t>Beserra</w:t>
      </w:r>
      <w:proofErr w:type="spellEnd"/>
      <w:r>
        <w:rPr>
          <w:bCs/>
        </w:rPr>
        <w:t xml:space="preserve"> felt Burley’s body “go limp” and “motionless.”  This occurred “approximately . . . a minute after [</w:t>
      </w:r>
      <w:proofErr w:type="spellStart"/>
      <w:r>
        <w:rPr>
          <w:bCs/>
        </w:rPr>
        <w:t>Beserra</w:t>
      </w:r>
      <w:proofErr w:type="spellEnd"/>
      <w:r>
        <w:rPr>
          <w:bCs/>
        </w:rPr>
        <w:t>] placed [Burley] on his side and after [</w:t>
      </w:r>
      <w:proofErr w:type="spellStart"/>
      <w:r>
        <w:rPr>
          <w:bCs/>
        </w:rPr>
        <w:t>Beserra</w:t>
      </w:r>
      <w:proofErr w:type="spellEnd"/>
      <w:r>
        <w:rPr>
          <w:bCs/>
        </w:rPr>
        <w:t xml:space="preserve">] heard [Burley’s] breathing become shallow.” </w:t>
      </w:r>
    </w:p>
    <w:p w14:paraId="07816516" w14:textId="0246CCD9" w:rsidR="00C56963" w:rsidRDefault="006F678E" w:rsidP="006F678E">
      <w:pPr>
        <w:spacing w:line="360" w:lineRule="auto"/>
        <w:rPr>
          <w:bCs/>
        </w:rPr>
      </w:pPr>
      <w:r>
        <w:rPr>
          <w:bCs/>
        </w:rPr>
        <w:tab/>
      </w:r>
      <w:proofErr w:type="spellStart"/>
      <w:r>
        <w:rPr>
          <w:bCs/>
        </w:rPr>
        <w:t>Baserra’s</w:t>
      </w:r>
      <w:proofErr w:type="spellEnd"/>
      <w:r>
        <w:rPr>
          <w:bCs/>
        </w:rPr>
        <w:t xml:space="preserve"> account was sharply contradicted at trial by Jason Henderson, Sr., a </w:t>
      </w:r>
      <w:r w:rsidR="00AF790C">
        <w:rPr>
          <w:bCs/>
        </w:rPr>
        <w:t>f</w:t>
      </w:r>
      <w:r>
        <w:rPr>
          <w:bCs/>
        </w:rPr>
        <w:t xml:space="preserve">ire </w:t>
      </w:r>
      <w:proofErr w:type="gramStart"/>
      <w:r w:rsidR="00AF790C">
        <w:rPr>
          <w:bCs/>
        </w:rPr>
        <w:t>c</w:t>
      </w:r>
      <w:r>
        <w:rPr>
          <w:bCs/>
        </w:rPr>
        <w:t>aptain</w:t>
      </w:r>
      <w:proofErr w:type="gramEnd"/>
      <w:r>
        <w:rPr>
          <w:bCs/>
        </w:rPr>
        <w:t xml:space="preserve"> and paramedic with the Compton Fire Department.  Henderson testified that when he and other paramedics arrived at the scene, they “got out of [their] rigs and then [immediately] started moving towards where [Burley] was.”  Henderson did not recall any of the deputies calling them over or indicating that Burley needed help, or any medical personnel treating the woman Burley had </w:t>
      </w:r>
      <w:r>
        <w:rPr>
          <w:bCs/>
        </w:rPr>
        <w:lastRenderedPageBreak/>
        <w:t xml:space="preserve">chased; she was already in one of the deputy’s vehicle when they arrived.  When they reached Burley, he was not “on his side,” but was “face down” on the pavement with his hands cuffed behind his back and a deputy “leaning on” him and applying “weight” with a “knee in the small of [his] back.”  Burley “appeared to be unresponsive,” so Henderson “asked the deputy to get off [Burley] and to unhook him” so Burley could be assessed.  After Burley was “uncuffed,” the paramedics “rolled him over” and “checked his pulse,” but could find none.  They restored his </w:t>
      </w:r>
      <w:r w:rsidRPr="00796CD2">
        <w:rPr>
          <w:bCs/>
        </w:rPr>
        <w:t>pulse</w:t>
      </w:r>
      <w:r>
        <w:rPr>
          <w:bCs/>
        </w:rPr>
        <w:t xml:space="preserve"> after five minutes of resuscitation efforts, but he </w:t>
      </w:r>
      <w:r w:rsidRPr="005727F4">
        <w:rPr>
          <w:bCs/>
        </w:rPr>
        <w:t>never regained consciousness and died 10 days later.</w:t>
      </w:r>
      <w:r>
        <w:rPr>
          <w:bCs/>
        </w:rPr>
        <w:t xml:space="preserve">  </w:t>
      </w:r>
      <w:r w:rsidR="00097203">
        <w:rPr>
          <w:bCs/>
        </w:rPr>
        <w:t xml:space="preserve">According to the </w:t>
      </w:r>
      <w:r w:rsidR="00097203" w:rsidRPr="005727F4">
        <w:rPr>
          <w:bCs/>
        </w:rPr>
        <w:t>autopsy report</w:t>
      </w:r>
      <w:r w:rsidR="00097203">
        <w:rPr>
          <w:bCs/>
        </w:rPr>
        <w:t xml:space="preserve">, </w:t>
      </w:r>
      <w:r w:rsidR="00097203" w:rsidRPr="005727F4">
        <w:rPr>
          <w:bCs/>
        </w:rPr>
        <w:t xml:space="preserve">the cause of death </w:t>
      </w:r>
      <w:r w:rsidR="00097203">
        <w:rPr>
          <w:bCs/>
        </w:rPr>
        <w:t>w</w:t>
      </w:r>
      <w:r w:rsidR="00097203" w:rsidRPr="005727F4">
        <w:rPr>
          <w:bCs/>
        </w:rPr>
        <w:t xml:space="preserve">as brain death and swelling from lack of oxygen following a cardiac arrest “due to status post-restraint maneuvers or behavior associated with cocaine, </w:t>
      </w:r>
      <w:r w:rsidR="000D13AF">
        <w:rPr>
          <w:bCs/>
        </w:rPr>
        <w:t>[PCP]</w:t>
      </w:r>
      <w:r w:rsidR="000D13AF" w:rsidRPr="005727F4">
        <w:rPr>
          <w:bCs/>
        </w:rPr>
        <w:t xml:space="preserve"> </w:t>
      </w:r>
      <w:r w:rsidR="00097203" w:rsidRPr="005727F4">
        <w:rPr>
          <w:bCs/>
        </w:rPr>
        <w:t>and cannabinoids intake.”</w:t>
      </w:r>
    </w:p>
    <w:p w14:paraId="67178D6A" w14:textId="6EC28765" w:rsidR="002449BB" w:rsidRDefault="00097203" w:rsidP="00097203">
      <w:pPr>
        <w:spacing w:line="360" w:lineRule="auto"/>
      </w:pPr>
      <w:r w:rsidRPr="005727F4">
        <w:rPr>
          <w:bCs/>
        </w:rPr>
        <w:t xml:space="preserve"> </w:t>
      </w:r>
      <w:r>
        <w:rPr>
          <w:bCs/>
        </w:rPr>
        <w:tab/>
        <w:t xml:space="preserve">Burley’s children and </w:t>
      </w:r>
      <w:r w:rsidRPr="00D24EFC">
        <w:rPr>
          <w:bCs/>
        </w:rPr>
        <w:t>estranged wife</w:t>
      </w:r>
      <w:r>
        <w:rPr>
          <w:bCs/>
        </w:rPr>
        <w:t>, on behalf of themselves and Burley, sued the County of Los Angeles (County) and the deputies,</w:t>
      </w:r>
      <w:r w:rsidR="00526735">
        <w:rPr>
          <w:bCs/>
        </w:rPr>
        <w:t xml:space="preserve"> asserting</w:t>
      </w:r>
      <w:r>
        <w:rPr>
          <w:bCs/>
        </w:rPr>
        <w:t xml:space="preserve">, as here relevant, claims </w:t>
      </w:r>
      <w:r w:rsidRPr="00D24EFC">
        <w:rPr>
          <w:bCs/>
        </w:rPr>
        <w:t>for battery</w:t>
      </w:r>
      <w:r>
        <w:rPr>
          <w:bCs/>
        </w:rPr>
        <w:t xml:space="preserve">, </w:t>
      </w:r>
      <w:r w:rsidRPr="00D24EFC">
        <w:rPr>
          <w:bCs/>
        </w:rPr>
        <w:t>negligence</w:t>
      </w:r>
      <w:r>
        <w:rPr>
          <w:bCs/>
        </w:rPr>
        <w:t>, and wrongful death (based on the alleged acts of battery and negligence).  Regarding Aviles, t</w:t>
      </w:r>
      <w:r w:rsidRPr="00D24EFC">
        <w:rPr>
          <w:bCs/>
        </w:rPr>
        <w:t xml:space="preserve">he jury </w:t>
      </w:r>
      <w:r>
        <w:rPr>
          <w:bCs/>
        </w:rPr>
        <w:t xml:space="preserve">found in a special verdict that he had committed battery by using unreasonable force against Burley, and that 20 </w:t>
      </w:r>
      <w:r w:rsidRPr="00D24EFC">
        <w:rPr>
          <w:bCs/>
        </w:rPr>
        <w:t xml:space="preserve">percent of </w:t>
      </w:r>
      <w:r>
        <w:rPr>
          <w:bCs/>
        </w:rPr>
        <w:t xml:space="preserve">the responsibility for Burley’s death was “attributable to” Aviles’s use of unreasonable force.  The jury also found that Burley himself had been negligent and that he bore 40 percent of the responsibility for his own death.  The jury attributed the </w:t>
      </w:r>
      <w:r>
        <w:rPr>
          <w:bCs/>
        </w:rPr>
        <w:lastRenderedPageBreak/>
        <w:t xml:space="preserve">remaining 40 percent of the responsibility to the other deputies.  Despite this allocation, the </w:t>
      </w:r>
      <w:r>
        <w:t xml:space="preserve">trial court entered a judgment against Aviles for 100 percent of the </w:t>
      </w:r>
      <w:r w:rsidR="00526735">
        <w:t>noneconomic</w:t>
      </w:r>
      <w:r w:rsidR="008344C9">
        <w:t xml:space="preserve"> </w:t>
      </w:r>
      <w:r>
        <w:t>damages — set by the jury at $8 million — because his liability was based on commission of an intentional tort:  battery.</w:t>
      </w:r>
      <w:r w:rsidRPr="00E92257">
        <w:t xml:space="preserve"> </w:t>
      </w:r>
      <w:r>
        <w:tab/>
      </w:r>
    </w:p>
    <w:p w14:paraId="12C2A2F7" w14:textId="715BDFA4" w:rsidR="00097203" w:rsidRPr="00AD1D27" w:rsidRDefault="002449BB" w:rsidP="00097203">
      <w:pPr>
        <w:spacing w:line="360" w:lineRule="auto"/>
        <w:rPr>
          <w:bCs/>
        </w:rPr>
      </w:pPr>
      <w:r>
        <w:tab/>
      </w:r>
      <w:r w:rsidR="00097203">
        <w:t xml:space="preserve">The Court of Appeal reversed the judgment, holding that </w:t>
      </w:r>
      <w:bookmarkStart w:id="15" w:name="Psych_Cite_8"/>
      <w:r w:rsidR="00097203" w:rsidRPr="003A05F7">
        <w:rPr>
          <w:bCs/>
        </w:rPr>
        <w:t>section 1431.2</w:t>
      </w:r>
      <w:bookmarkEnd w:id="15"/>
      <w:r w:rsidR="00097203" w:rsidRPr="003A05F7">
        <w:rPr>
          <w:bCs/>
        </w:rPr>
        <w:t xml:space="preserve"> </w:t>
      </w:r>
      <w:r w:rsidR="00097203">
        <w:rPr>
          <w:bCs/>
        </w:rPr>
        <w:t xml:space="preserve">limits the liability for </w:t>
      </w:r>
      <w:r w:rsidR="00526735">
        <w:rPr>
          <w:bCs/>
        </w:rPr>
        <w:t>noneconomic</w:t>
      </w:r>
      <w:r w:rsidR="008344C9">
        <w:rPr>
          <w:bCs/>
        </w:rPr>
        <w:t xml:space="preserve"> </w:t>
      </w:r>
      <w:r w:rsidR="00097203" w:rsidRPr="003A05F7">
        <w:rPr>
          <w:bCs/>
        </w:rPr>
        <w:t xml:space="preserve">damage </w:t>
      </w:r>
      <w:r w:rsidR="00097203">
        <w:rPr>
          <w:bCs/>
        </w:rPr>
        <w:t xml:space="preserve">of </w:t>
      </w:r>
      <w:r w:rsidR="00097203">
        <w:rPr>
          <w:bCs/>
          <w:i/>
          <w:iCs/>
        </w:rPr>
        <w:t xml:space="preserve">all </w:t>
      </w:r>
      <w:r w:rsidR="00097203">
        <w:rPr>
          <w:bCs/>
        </w:rPr>
        <w:t>defendants —</w:t>
      </w:r>
      <w:r>
        <w:rPr>
          <w:bCs/>
        </w:rPr>
        <w:t xml:space="preserve"> </w:t>
      </w:r>
      <w:r w:rsidR="00097203">
        <w:rPr>
          <w:bCs/>
        </w:rPr>
        <w:t>including intentional tortfeasors </w:t>
      </w:r>
      <w:bookmarkStart w:id="16" w:name="Psych_Cite_7"/>
      <w:r w:rsidR="00097203">
        <w:rPr>
          <w:bCs/>
        </w:rPr>
        <w:t xml:space="preserve">— to their proportionate share of fault.  </w:t>
      </w:r>
      <w:r w:rsidR="00097203">
        <w:t>(</w:t>
      </w:r>
      <w:r w:rsidR="00097203" w:rsidRPr="00EF4BC6">
        <w:rPr>
          <w:i/>
        </w:rPr>
        <w:t>B.B. v. County of Los Angeles</w:t>
      </w:r>
      <w:r w:rsidR="008C4918">
        <w:rPr>
          <w:iCs/>
        </w:rPr>
        <w:t xml:space="preserve">, </w:t>
      </w:r>
      <w:r w:rsidR="008C4918" w:rsidRPr="008C4918">
        <w:rPr>
          <w:i/>
          <w:iCs/>
        </w:rPr>
        <w:t>supra</w:t>
      </w:r>
      <w:r w:rsidR="008C4918" w:rsidRPr="008C4918">
        <w:rPr>
          <w:iCs/>
        </w:rPr>
        <w:t>,</w:t>
      </w:r>
      <w:r w:rsidR="008C4918">
        <w:rPr>
          <w:iCs/>
        </w:rPr>
        <w:t xml:space="preserve"> 25 </w:t>
      </w:r>
      <w:bookmarkEnd w:id="16"/>
      <w:r w:rsidR="00097203" w:rsidRPr="00EF4BC6">
        <w:t>Cal.App.5th 115</w:t>
      </w:r>
      <w:r w:rsidR="00097203">
        <w:t>, 123</w:t>
      </w:r>
      <w:r w:rsidR="00AF790C">
        <w:t>–</w:t>
      </w:r>
      <w:r w:rsidR="008C4918">
        <w:t>128</w:t>
      </w:r>
      <w:r w:rsidR="003A6962">
        <w:t>.</w:t>
      </w:r>
      <w:r w:rsidR="00097203">
        <w:t>)</w:t>
      </w:r>
      <w:r w:rsidR="00097203" w:rsidRPr="0080619B">
        <w:t xml:space="preserve"> </w:t>
      </w:r>
      <w:r w:rsidR="00097203">
        <w:t xml:space="preserve"> The court expressly disagreed with the contrary holding in </w:t>
      </w:r>
      <w:r w:rsidR="00097203" w:rsidRPr="00181AE4">
        <w:rPr>
          <w:i/>
          <w:iCs/>
        </w:rPr>
        <w:t>Thomas</w:t>
      </w:r>
      <w:r w:rsidR="00097203">
        <w:t xml:space="preserve">.    </w:t>
      </w:r>
    </w:p>
    <w:p w14:paraId="4FF2860B" w14:textId="77777777" w:rsidR="00097203" w:rsidRPr="00243140" w:rsidRDefault="00097203" w:rsidP="00097203">
      <w:pPr>
        <w:tabs>
          <w:tab w:val="left" w:pos="720"/>
        </w:tabs>
        <w:spacing w:line="480" w:lineRule="atLeast"/>
        <w:jc w:val="center"/>
        <w:rPr>
          <w:b/>
        </w:rPr>
      </w:pPr>
      <w:r w:rsidRPr="00243140">
        <w:rPr>
          <w:b/>
        </w:rPr>
        <w:t>II.</w:t>
      </w:r>
      <w:r>
        <w:rPr>
          <w:b/>
        </w:rPr>
        <w:tab/>
      </w:r>
      <w:r w:rsidRPr="00243140">
        <w:rPr>
          <w:b/>
        </w:rPr>
        <w:t>DISCUSSION</w:t>
      </w:r>
    </w:p>
    <w:p w14:paraId="260D2332" w14:textId="60EE506C" w:rsidR="00097203" w:rsidRDefault="00097203" w:rsidP="00097203">
      <w:pPr>
        <w:tabs>
          <w:tab w:val="left" w:pos="720"/>
        </w:tabs>
        <w:spacing w:line="480" w:lineRule="atLeast"/>
      </w:pPr>
      <w:r>
        <w:tab/>
        <w:t xml:space="preserve">The issue here is the extent of Aviles’s liability for </w:t>
      </w:r>
      <w:r w:rsidR="00E85466">
        <w:t>“</w:t>
      </w:r>
      <w:r w:rsidR="00DF28EF">
        <w:t> ‘</w:t>
      </w:r>
      <w:r>
        <w:t>non-economic damages,</w:t>
      </w:r>
      <w:r w:rsidR="00DF28EF">
        <w:t>’ </w:t>
      </w:r>
      <w:r w:rsidR="00E85466">
        <w:t>”</w:t>
      </w:r>
      <w:r>
        <w:t xml:space="preserve"> </w:t>
      </w:r>
      <w:r w:rsidR="00E85466">
        <w:t>which</w:t>
      </w:r>
      <w:r w:rsidR="00FF0A5A">
        <w:t xml:space="preserve">, for purposes of applying </w:t>
      </w:r>
      <w:bookmarkStart w:id="17" w:name="Psych_Cite_9"/>
      <w:r w:rsidR="00FF0A5A">
        <w:t>section 1431.2</w:t>
      </w:r>
      <w:bookmarkEnd w:id="17"/>
      <w:r w:rsidR="00FF0A5A">
        <w:t xml:space="preserve">, </w:t>
      </w:r>
      <w:r w:rsidR="00533AC0">
        <w:t xml:space="preserve">are defined as </w:t>
      </w:r>
      <w:r>
        <w:t>“</w:t>
      </w:r>
      <w:r w:rsidRPr="006A55CB">
        <w:t>subjective, non-monetary losses including, but not limited to, pain, suffering, inconvenience, mental suffering, emotional distress, loss of society and companionship, loss of consortium, injury to reputation and humiliation.</w:t>
      </w:r>
      <w:r>
        <w:t xml:space="preserve">”  (§ 1431.2, </w:t>
      </w:r>
      <w:proofErr w:type="spellStart"/>
      <w:r>
        <w:t>subd</w:t>
      </w:r>
      <w:proofErr w:type="spellEnd"/>
      <w:r>
        <w:t xml:space="preserve">. (b)(2).)  </w:t>
      </w:r>
      <w:bookmarkStart w:id="18" w:name="_Hlk33708673"/>
      <w:r>
        <w:t xml:space="preserve">As set forth above, </w:t>
      </w:r>
      <w:bookmarkStart w:id="19" w:name="Psych_Cite_10"/>
      <w:r>
        <w:t>section 1431.2, subdivision (a)</w:t>
      </w:r>
      <w:bookmarkEnd w:id="19"/>
      <w:r>
        <w:t>, provides:  “I</w:t>
      </w:r>
      <w:r w:rsidRPr="006B20E4">
        <w:t xml:space="preserve">n any </w:t>
      </w:r>
      <w:bookmarkStart w:id="20" w:name="_Hlk24965107"/>
      <w:r w:rsidRPr="006B20E4">
        <w:t>action for personal injury, property damage, or wrongful death</w:t>
      </w:r>
      <w:bookmarkEnd w:id="20"/>
      <w:r w:rsidRPr="006B20E4">
        <w:t xml:space="preserve">, based upon principles of comparative fault, the liability of </w:t>
      </w:r>
      <w:bookmarkStart w:id="21" w:name="_Hlk24549503"/>
      <w:r w:rsidRPr="006B20E4">
        <w:t xml:space="preserve">each defendant </w:t>
      </w:r>
      <w:bookmarkEnd w:id="21"/>
      <w:r w:rsidRPr="006B20E4">
        <w:t xml:space="preserve">for non-economic damages shall be several only and shall not be joint. </w:t>
      </w:r>
      <w:r>
        <w:t xml:space="preserve"> </w:t>
      </w:r>
      <w:r w:rsidRPr="006B20E4">
        <w:t xml:space="preserve">Each defendant shall be liable only </w:t>
      </w:r>
      <w:proofErr w:type="gramStart"/>
      <w:r w:rsidRPr="006B20E4">
        <w:t>for the amount of</w:t>
      </w:r>
      <w:proofErr w:type="gramEnd"/>
      <w:r w:rsidRPr="006B20E4">
        <w:t xml:space="preserve"> non-economic damages allocated to that defendant in </w:t>
      </w:r>
      <w:r w:rsidRPr="006E35DC">
        <w:t xml:space="preserve">direct </w:t>
      </w:r>
      <w:r w:rsidRPr="006E35DC">
        <w:lastRenderedPageBreak/>
        <w:t>proportion to that defendant's percentage of fault</w:t>
      </w:r>
      <w:r w:rsidRPr="006B20E4">
        <w:t>, and a separate judgment shall be rendered against that defendant for that amount.</w:t>
      </w:r>
      <w:r>
        <w:t xml:space="preserve">”  </w:t>
      </w:r>
      <w:bookmarkEnd w:id="18"/>
      <w:r>
        <w:t>The question before us is how, if at all, this section applies to intentional tortfeasors like Aviles.</w:t>
      </w:r>
    </w:p>
    <w:p w14:paraId="610C0EC7" w14:textId="3262093B" w:rsidR="00097203" w:rsidRDefault="00097203" w:rsidP="000D6345">
      <w:pPr>
        <w:tabs>
          <w:tab w:val="left" w:pos="720"/>
        </w:tabs>
        <w:spacing w:line="480" w:lineRule="atLeast"/>
      </w:pPr>
      <w:r>
        <w:tab/>
        <w:t xml:space="preserve">A.  </w:t>
      </w:r>
      <w:r w:rsidRPr="00D25540">
        <w:rPr>
          <w:i/>
          <w:iCs/>
        </w:rPr>
        <w:t>The Statute’s</w:t>
      </w:r>
      <w:r w:rsidR="005D7A34">
        <w:rPr>
          <w:i/>
          <w:iCs/>
        </w:rPr>
        <w:t xml:space="preserve"> Meaning</w:t>
      </w:r>
    </w:p>
    <w:p w14:paraId="269FCB6D" w14:textId="639D3D5F" w:rsidR="00097203" w:rsidRDefault="00097203" w:rsidP="000D6345">
      <w:pPr>
        <w:tabs>
          <w:tab w:val="left" w:pos="720"/>
        </w:tabs>
        <w:spacing w:line="480" w:lineRule="atLeast"/>
      </w:pPr>
      <w:r>
        <w:tab/>
      </w:r>
      <w:bookmarkStart w:id="22" w:name="Psych_Cite_12"/>
      <w:r>
        <w:t>Section 1431.2</w:t>
      </w:r>
      <w:bookmarkEnd w:id="22"/>
      <w:r>
        <w:t xml:space="preserve"> became part of the Civil Code in June 1986, through the electorate’s adoption of Proposition 51, </w:t>
      </w:r>
      <w:r w:rsidRPr="00EB351C">
        <w:t>an initiative measure</w:t>
      </w:r>
      <w:r>
        <w:t xml:space="preserve"> entitled </w:t>
      </w:r>
      <w:r w:rsidRPr="008D512E">
        <w:t>the Fair Responsibility Act of 1986.</w:t>
      </w:r>
      <w:r>
        <w:t xml:space="preserve">  </w:t>
      </w:r>
      <w:r w:rsidRPr="00F157A7">
        <w:t xml:space="preserve">To interpret a statute enacted by initiative, we apply the same principles we apply to interpret statutes </w:t>
      </w:r>
      <w:r>
        <w:t xml:space="preserve">enacted </w:t>
      </w:r>
      <w:r w:rsidRPr="00F157A7">
        <w:t xml:space="preserve">by the Legislature.  “We first consider the initiative’s language, giving the words their ordinary meaning and construing </w:t>
      </w:r>
      <w:r>
        <w:t xml:space="preserve">[them] </w:t>
      </w:r>
      <w:r w:rsidRPr="00F157A7">
        <w:t xml:space="preserve">in the context of the statute and </w:t>
      </w:r>
      <w:proofErr w:type="gramStart"/>
      <w:r w:rsidRPr="00F157A7">
        <w:t>initiative as a whole</w:t>
      </w:r>
      <w:proofErr w:type="gramEnd"/>
      <w:r w:rsidRPr="00F157A7">
        <w:t xml:space="preserve">.  If the language is not ambiguous, </w:t>
      </w:r>
      <w:r>
        <w:t xml:space="preserve">[then] </w:t>
      </w:r>
      <w:r w:rsidRPr="00F157A7">
        <w:t>we presume the voters intended the meaning apparent from that language, and we may not add to the statute or rewrite it to conform to some assumed intent not apparent from that language.  If the language is ambiguous, [then we] may consider ballot summaries and arguments in determining the voters’ intent and understanding of [the] ballot measure.”  (</w:t>
      </w:r>
      <w:bookmarkStart w:id="23" w:name="Psych_Cite_11"/>
      <w:r w:rsidRPr="001515E3">
        <w:rPr>
          <w:i/>
          <w:iCs/>
        </w:rPr>
        <w:t>People v. Superior Court</w:t>
      </w:r>
      <w:r w:rsidRPr="00F157A7">
        <w:t xml:space="preserve"> (</w:t>
      </w:r>
      <w:r w:rsidRPr="001515E3">
        <w:rPr>
          <w:i/>
          <w:iCs/>
        </w:rPr>
        <w:t>Pearson</w:t>
      </w:r>
      <w:r w:rsidRPr="00F157A7">
        <w:t>) (2010) 48 Cal.4th 564, 571</w:t>
      </w:r>
      <w:bookmarkEnd w:id="23"/>
      <w:r w:rsidRPr="00F157A7">
        <w:t xml:space="preserve">.)  </w:t>
      </w:r>
    </w:p>
    <w:p w14:paraId="133424AE" w14:textId="6E82A6AA" w:rsidR="00481942" w:rsidRDefault="00097203" w:rsidP="00097203">
      <w:pPr>
        <w:tabs>
          <w:tab w:val="left" w:pos="720"/>
        </w:tabs>
        <w:spacing w:line="480" w:lineRule="atLeast"/>
      </w:pPr>
      <w:r>
        <w:tab/>
      </w:r>
      <w:r w:rsidR="00764558">
        <w:t xml:space="preserve">Plaintiffs argue that the key </w:t>
      </w:r>
      <w:r w:rsidR="007E2704">
        <w:t xml:space="preserve">language for determining the statute’s </w:t>
      </w:r>
      <w:r w:rsidR="00481942">
        <w:t xml:space="preserve">applicability to intentional tortfeasors is the phrase, “based upon principles of comparative fault.”  (§ 1431.2, </w:t>
      </w:r>
      <w:proofErr w:type="spellStart"/>
      <w:r w:rsidR="00481942">
        <w:t>subd</w:t>
      </w:r>
      <w:proofErr w:type="spellEnd"/>
      <w:r w:rsidR="00481942">
        <w:t xml:space="preserve">. (a).)  </w:t>
      </w:r>
      <w:r w:rsidR="001D2256">
        <w:t xml:space="preserve">This phrase, they assert, establishes that </w:t>
      </w:r>
      <w:r w:rsidR="004E0274">
        <w:t xml:space="preserve">the statute, “by </w:t>
      </w:r>
      <w:r w:rsidR="004E0274">
        <w:lastRenderedPageBreak/>
        <w:t xml:space="preserve">its own terms, . . . requires </w:t>
      </w:r>
      <w:proofErr w:type="gramStart"/>
      <w:r w:rsidR="004E0274">
        <w:t>several</w:t>
      </w:r>
      <w:proofErr w:type="gramEnd"/>
      <w:r w:rsidR="004E0274">
        <w:t xml:space="preserve"> liability for non-economic damages only</w:t>
      </w:r>
      <w:r w:rsidR="00C82599">
        <w:t xml:space="preserve"> . . . </w:t>
      </w:r>
      <w:r w:rsidR="004E0274">
        <w:t>in an action in which comparative fault principles apply.”  “</w:t>
      </w:r>
      <w:r w:rsidR="00957DE4">
        <w:t>[W]</w:t>
      </w:r>
      <w:r w:rsidR="004E0274" w:rsidRPr="00276A2F">
        <w:t xml:space="preserve">hen </w:t>
      </w:r>
      <w:bookmarkStart w:id="24" w:name="Psych_Cite_13"/>
      <w:r w:rsidR="004E0274" w:rsidRPr="00276A2F">
        <w:t>section 1431.2</w:t>
      </w:r>
      <w:bookmarkEnd w:id="24"/>
      <w:r w:rsidR="004E0274" w:rsidRPr="00276A2F">
        <w:t xml:space="preserve"> was enacted</w:t>
      </w:r>
      <w:r w:rsidR="004E0274">
        <w:t xml:space="preserve">,” </w:t>
      </w:r>
      <w:r w:rsidR="00957DE4">
        <w:t xml:space="preserve">plaintiffs further assert, </w:t>
      </w:r>
      <w:r w:rsidR="004E0274">
        <w:t>comparative fault principles “</w:t>
      </w:r>
      <w:proofErr w:type="spellStart"/>
      <w:r w:rsidR="004E0274">
        <w:t>preclud</w:t>
      </w:r>
      <w:proofErr w:type="spellEnd"/>
      <w:r w:rsidR="004E0274">
        <w:t xml:space="preserve">[ed] intentional tortfeasors from reducing their liability based on </w:t>
      </w:r>
      <w:r w:rsidR="00D11A0B">
        <w:t>[an</w:t>
      </w:r>
      <w:r w:rsidR="004E0274">
        <w:t>other’s</w:t>
      </w:r>
      <w:r w:rsidR="00D11A0B">
        <w:t>]</w:t>
      </w:r>
      <w:r w:rsidR="004E0274">
        <w:t xml:space="preserve"> negligence,” and “nothing in </w:t>
      </w:r>
      <w:bookmarkStart w:id="25" w:name="Psych_Cite_14"/>
      <w:r w:rsidR="004E0274">
        <w:t>section 1431.2</w:t>
      </w:r>
      <w:bookmarkEnd w:id="25"/>
      <w:r w:rsidR="004E0274">
        <w:t xml:space="preserve"> purports to change [that] </w:t>
      </w:r>
      <w:r w:rsidR="004E0274" w:rsidRPr="009A256E">
        <w:t>long established</w:t>
      </w:r>
      <w:r w:rsidR="004E0274">
        <w:t xml:space="preserve">” rule.  Thus, because of the phrase “based upon principles of comparative fault” (§ 1431.2, </w:t>
      </w:r>
      <w:proofErr w:type="spellStart"/>
      <w:r w:rsidR="004E0274">
        <w:t>subd</w:t>
      </w:r>
      <w:proofErr w:type="spellEnd"/>
      <w:r w:rsidR="004E0274">
        <w:t xml:space="preserve">. (a)), the statute should be read “as excluding intentional tortfeasors from profiting from the statute’s limitation on damages liability amongst negligent parties.” </w:t>
      </w:r>
    </w:p>
    <w:p w14:paraId="5B4BD3FC" w14:textId="375BA055" w:rsidR="00097203" w:rsidRDefault="00481942" w:rsidP="003374A9">
      <w:pPr>
        <w:tabs>
          <w:tab w:val="left" w:pos="720"/>
        </w:tabs>
        <w:spacing w:line="480" w:lineRule="atLeast"/>
      </w:pPr>
      <w:r>
        <w:tab/>
      </w:r>
      <w:r w:rsidR="00097203">
        <w:t>Defendants</w:t>
      </w:r>
      <w:r w:rsidR="00957DE4">
        <w:t>, by contrast,</w:t>
      </w:r>
      <w:r w:rsidR="00097203">
        <w:t xml:space="preserve"> assert that </w:t>
      </w:r>
      <w:r w:rsidR="002B417B">
        <w:t xml:space="preserve">the key language </w:t>
      </w:r>
      <w:r w:rsidR="00D576BF">
        <w:t>in the statute is the phrase, “</w:t>
      </w:r>
      <w:r w:rsidR="005D6936">
        <w:t xml:space="preserve">the liability of </w:t>
      </w:r>
      <w:r w:rsidR="00D576BF" w:rsidRPr="005D6936">
        <w:rPr>
          <w:i/>
          <w:iCs/>
        </w:rPr>
        <w:t>each defendant</w:t>
      </w:r>
      <w:r w:rsidR="00D576BF">
        <w:t xml:space="preserve">.”  (§ 1431.2, </w:t>
      </w:r>
      <w:proofErr w:type="spellStart"/>
      <w:r w:rsidR="00D576BF">
        <w:t>subd</w:t>
      </w:r>
      <w:proofErr w:type="spellEnd"/>
      <w:r w:rsidR="00D576BF">
        <w:t>. (a)</w:t>
      </w:r>
      <w:r w:rsidR="00DE101F">
        <w:t>, italics added</w:t>
      </w:r>
      <w:r w:rsidR="00D576BF">
        <w:t xml:space="preserve">.)  </w:t>
      </w:r>
      <w:r w:rsidR="00BB3849">
        <w:t>The “plain,” “clear and unambiguous” meaning of this phrase, they</w:t>
      </w:r>
      <w:r w:rsidR="00D57038">
        <w:t xml:space="preserve"> argue</w:t>
      </w:r>
      <w:r w:rsidR="00BB3849">
        <w:t xml:space="preserve">, is that </w:t>
      </w:r>
      <w:r w:rsidR="00C37F8A">
        <w:t xml:space="preserve">the statute “guarantees apportionment to every defendant in a wrongful death case, without exception” and </w:t>
      </w:r>
      <w:r w:rsidR="009A33F6">
        <w:t>“</w:t>
      </w:r>
      <w:r w:rsidR="009A33F6" w:rsidRPr="009A33F6">
        <w:t xml:space="preserve">regardless of </w:t>
      </w:r>
      <w:r w:rsidR="00EF61FF">
        <w:t xml:space="preserve">the nature of </w:t>
      </w:r>
      <w:r w:rsidR="00C04203">
        <w:t>the defendant’s wrongdoing</w:t>
      </w:r>
      <w:r w:rsidR="00C37F8A">
        <w:t>.</w:t>
      </w:r>
      <w:r w:rsidR="009A33F6">
        <w:t xml:space="preserve">”  </w:t>
      </w:r>
      <w:r w:rsidR="00244C15">
        <w:t xml:space="preserve">In </w:t>
      </w:r>
      <w:r w:rsidR="0031559B">
        <w:t xml:space="preserve">defendants’ </w:t>
      </w:r>
      <w:r w:rsidR="00244C15">
        <w:t xml:space="preserve">view, </w:t>
      </w:r>
      <w:r w:rsidR="00CF3CC3">
        <w:t xml:space="preserve">under canons </w:t>
      </w:r>
      <w:r w:rsidR="00097203">
        <w:t xml:space="preserve">of statutory construction, the phrase </w:t>
      </w:r>
      <w:r w:rsidR="00A328F2">
        <w:t xml:space="preserve">on which plaintiffs rely — </w:t>
      </w:r>
      <w:r w:rsidR="00097203">
        <w:t xml:space="preserve">“based </w:t>
      </w:r>
      <w:r w:rsidR="005D7A34">
        <w:t>up</w:t>
      </w:r>
      <w:r w:rsidR="00097203">
        <w:t>on principles of comparative fault”</w:t>
      </w:r>
      <w:r w:rsidR="00A328F2">
        <w:t> (§ </w:t>
      </w:r>
      <w:r w:rsidR="00A2183C">
        <w:t xml:space="preserve">1431.2, </w:t>
      </w:r>
      <w:proofErr w:type="spellStart"/>
      <w:r w:rsidR="00A2183C">
        <w:t>subd</w:t>
      </w:r>
      <w:proofErr w:type="spellEnd"/>
      <w:r w:rsidR="00A2183C">
        <w:t>. (a)) —</w:t>
      </w:r>
      <w:r w:rsidR="00097203">
        <w:t xml:space="preserve"> </w:t>
      </w:r>
      <w:bookmarkStart w:id="26" w:name="_Hlk43105514"/>
      <w:r w:rsidR="00097203">
        <w:t>“modifies the subject of the sentence — ‘the liability of each defendant</w:t>
      </w:r>
      <w:r w:rsidR="00E43E7E">
        <w:t>’</w:t>
      </w:r>
      <w:r w:rsidR="006933DD">
        <w:t xml:space="preserve"> — </w:t>
      </w:r>
      <w:r w:rsidR="006933DD" w:rsidRPr="006933DD">
        <w:t xml:space="preserve">not </w:t>
      </w:r>
      <w:r w:rsidR="006933DD">
        <w:t>[the]</w:t>
      </w:r>
      <w:r w:rsidR="006933DD" w:rsidRPr="006933DD">
        <w:t xml:space="preserve"> term </w:t>
      </w:r>
      <w:r w:rsidR="006933DD">
        <w:t>‘</w:t>
      </w:r>
      <w:r w:rsidR="006933DD" w:rsidRPr="006933DD">
        <w:t>action</w:t>
      </w:r>
      <w:r w:rsidR="006933DD">
        <w:t>’</w:t>
      </w:r>
      <w:r w:rsidR="006933DD" w:rsidRPr="006933DD">
        <w:t xml:space="preserve"> in the preceding clause</w:t>
      </w:r>
      <w:r w:rsidR="00097203">
        <w:t>”</w:t>
      </w:r>
      <w:r w:rsidR="006933DD">
        <w:t xml:space="preserve"> of the sentence.</w:t>
      </w:r>
      <w:r w:rsidR="00097203">
        <w:t xml:space="preserve"> </w:t>
      </w:r>
      <w:bookmarkEnd w:id="26"/>
      <w:r w:rsidR="00097203">
        <w:t>As such, it functions, not “</w:t>
      </w:r>
      <w:r w:rsidR="00097203" w:rsidRPr="00C67711">
        <w:t>as a limitation</w:t>
      </w:r>
      <w:r w:rsidR="00097203">
        <w:t>” on the statute’s applicability, but</w:t>
      </w:r>
      <w:r w:rsidR="00097203" w:rsidRPr="00C67711">
        <w:t xml:space="preserve"> </w:t>
      </w:r>
      <w:r w:rsidR="00097203">
        <w:t>“</w:t>
      </w:r>
      <w:r w:rsidR="00097203" w:rsidRPr="00C67711">
        <w:t>as an instruction</w:t>
      </w:r>
      <w:r w:rsidR="00097203">
        <w:t xml:space="preserve">” on “how a defendant’s liability should be calculated under the statute — i.e., ‘based </w:t>
      </w:r>
      <w:r w:rsidR="00462AE1">
        <w:t>[up]</w:t>
      </w:r>
      <w:r w:rsidR="00097203">
        <w:t xml:space="preserve">on principles of </w:t>
      </w:r>
      <w:r w:rsidR="00097203">
        <w:lastRenderedPageBreak/>
        <w:t>comparative fault.</w:t>
      </w:r>
      <w:r w:rsidR="00E43E7E">
        <w:t>’ </w:t>
      </w:r>
      <w:r w:rsidR="00097203">
        <w:t xml:space="preserve">”  In other words, defendants alternatively assert, it “instructs courts how the percentage of fault should be calculated — i.e., according to the proportion of fault determined by the fact-finder.”  </w:t>
      </w:r>
      <w:r w:rsidR="00A63CB5">
        <w:t xml:space="preserve">In short, defendants assert, </w:t>
      </w:r>
      <w:r w:rsidR="00C22425">
        <w:t>under the “</w:t>
      </w:r>
      <w:r w:rsidR="00120BE9">
        <w:t xml:space="preserve">plain </w:t>
      </w:r>
      <w:r w:rsidR="00FD0458">
        <w:t xml:space="preserve">and commonsense meaning” of the </w:t>
      </w:r>
      <w:r w:rsidR="0084479C">
        <w:t>statute, intentional tortfeasors like Aviles are entitled to reduce their liability based on the negligent acts of others.</w:t>
      </w:r>
    </w:p>
    <w:p w14:paraId="07105E04" w14:textId="1225108F" w:rsidR="00097203" w:rsidRDefault="00097203" w:rsidP="00097203">
      <w:pPr>
        <w:tabs>
          <w:tab w:val="left" w:pos="720"/>
        </w:tabs>
        <w:spacing w:line="480" w:lineRule="atLeast"/>
      </w:pPr>
      <w:r>
        <w:tab/>
      </w:r>
      <w:r w:rsidR="004A106C">
        <w:t xml:space="preserve">We agree with </w:t>
      </w:r>
      <w:r w:rsidR="00021CBF">
        <w:t xml:space="preserve">plaintiffs </w:t>
      </w:r>
      <w:r w:rsidR="004A106C">
        <w:t xml:space="preserve">that </w:t>
      </w:r>
      <w:r>
        <w:t xml:space="preserve">there are </w:t>
      </w:r>
      <w:proofErr w:type="gramStart"/>
      <w:r>
        <w:t>several</w:t>
      </w:r>
      <w:proofErr w:type="gramEnd"/>
      <w:r>
        <w:t xml:space="preserve"> problems with defendants’ </w:t>
      </w:r>
      <w:r w:rsidR="00B40B4B">
        <w:t xml:space="preserve">textual </w:t>
      </w:r>
      <w:r>
        <w:t>analysis.  First, defendants’ assertion that “</w:t>
      </w:r>
      <w:bookmarkStart w:id="27" w:name="QUOTE_BOOKMARK_IS_CONFIRMED_1"/>
      <w:r w:rsidR="00F30C27">
        <w:t>[t]he statutory text mandates its application to ‘each defendant’ without exception</w:t>
      </w:r>
      <w:bookmarkEnd w:id="27"/>
      <w:r>
        <w:t xml:space="preserve">” is inconsistent with our precedent.  In </w:t>
      </w:r>
      <w:bookmarkStart w:id="28" w:name="Psych_Cite_18"/>
      <w:bookmarkStart w:id="29" w:name="_Hlk44332571"/>
      <w:r w:rsidRPr="00B65A76">
        <w:rPr>
          <w:i/>
          <w:iCs/>
        </w:rPr>
        <w:t xml:space="preserve">Diaz v. </w:t>
      </w:r>
      <w:proofErr w:type="spellStart"/>
      <w:r w:rsidRPr="00B65A76">
        <w:rPr>
          <w:i/>
          <w:iCs/>
        </w:rPr>
        <w:t>Carcamo</w:t>
      </w:r>
      <w:proofErr w:type="spellEnd"/>
      <w:r>
        <w:t xml:space="preserve"> (2011) 51 Cal.4th 1148, 1156 (</w:t>
      </w:r>
      <w:r>
        <w:rPr>
          <w:i/>
          <w:iCs/>
        </w:rPr>
        <w:t>Diaz</w:t>
      </w:r>
      <w:r>
        <w:t>)</w:t>
      </w:r>
      <w:bookmarkEnd w:id="28"/>
      <w:r>
        <w:t xml:space="preserve">, </w:t>
      </w:r>
      <w:bookmarkEnd w:id="29"/>
      <w:r>
        <w:t xml:space="preserve">we considered the statute’s application to a defendant </w:t>
      </w:r>
      <w:r w:rsidR="005A320B">
        <w:t>who was</w:t>
      </w:r>
      <w:r>
        <w:t xml:space="preserve"> liable both vicariously for the actions of its employee and in its own right for </w:t>
      </w:r>
      <w:r w:rsidR="0011760F">
        <w:t xml:space="preserve">its </w:t>
      </w:r>
      <w:r>
        <w:t xml:space="preserve">negligence in hiring and retaining the employee.  We </w:t>
      </w:r>
      <w:r w:rsidR="00414F8E">
        <w:t xml:space="preserve">first </w:t>
      </w:r>
      <w:r>
        <w:t>explain</w:t>
      </w:r>
      <w:r w:rsidR="00414F8E">
        <w:t>ed</w:t>
      </w:r>
      <w:r>
        <w:t xml:space="preserve"> that, under case law, certain “</w:t>
      </w:r>
      <w:bookmarkStart w:id="30" w:name="QUOTE_BOOKMARK_IS_CONFIRMED_2"/>
      <w:r w:rsidR="00F30C27">
        <w:t>type[s] of defendant[s] [are] excluded from allocations of fault under Proposition 51.</w:t>
      </w:r>
      <w:bookmarkEnd w:id="30"/>
      <w:r>
        <w:t>”  (</w:t>
      </w:r>
      <w:bookmarkStart w:id="31" w:name="Psych_Cite_15"/>
      <w:r w:rsidRPr="00BA559A">
        <w:rPr>
          <w:i/>
          <w:iCs/>
        </w:rPr>
        <w:t>Id.</w:t>
      </w:r>
      <w:r>
        <w:t xml:space="preserve"> at p.</w:t>
      </w:r>
      <w:r w:rsidR="004D639E">
        <w:t xml:space="preserve"> 1158</w:t>
      </w:r>
      <w:bookmarkEnd w:id="31"/>
      <w:r>
        <w:t>.)  “One [such] type,” we</w:t>
      </w:r>
      <w:r w:rsidR="00BE7591">
        <w:t xml:space="preserve"> stated</w:t>
      </w:r>
      <w:r>
        <w:t xml:space="preserve">, is </w:t>
      </w:r>
      <w:bookmarkStart w:id="32" w:name="QUOTE_BOOKMARK_IS_CONFIRMED_3"/>
      <w:r w:rsidR="00F30C27">
        <w:t xml:space="preserve">“an employer who faces only vicarious liability under the </w:t>
      </w:r>
      <w:proofErr w:type="spellStart"/>
      <w:r w:rsidR="00F30C27">
        <w:t>respondeat</w:t>
      </w:r>
      <w:proofErr w:type="spellEnd"/>
      <w:r w:rsidR="00F30C27">
        <w:t xml:space="preserve"> superior doctrine for torts committed by its employees in the scope of employment.  [Citation.]  In a case involving such an employer-defendant, the ‘</w:t>
      </w:r>
      <w:r w:rsidR="006A1342">
        <w:t> </w:t>
      </w:r>
      <w:r w:rsidR="00F30C27">
        <w:t>“</w:t>
      </w:r>
      <w:r w:rsidR="006A1342">
        <w:t> </w:t>
      </w:r>
      <w:r w:rsidR="00F30C27">
        <w:t>‘universe’ of tortfeasors”</w:t>
      </w:r>
      <w:r w:rsidR="006A1342">
        <w:t> </w:t>
      </w:r>
      <w:r w:rsidR="00F30C27">
        <w:t>’ among whom the jury must apportion fault [citation] does not include the employer.  Instead, the employer’s share of liability for the plaintiff’s damages corresponds to the share of fault that the jury allocates to the employee.</w:t>
      </w:r>
      <w:bookmarkEnd w:id="32"/>
      <w:r>
        <w:t>”  (</w:t>
      </w:r>
      <w:bookmarkStart w:id="33" w:name="Psych_Cite_16"/>
      <w:r w:rsidR="0088053B">
        <w:rPr>
          <w:i/>
          <w:iCs/>
        </w:rPr>
        <w:t>Ibid</w:t>
      </w:r>
      <w:r w:rsidR="003B7AFE">
        <w:rPr>
          <w:i/>
          <w:iCs/>
        </w:rPr>
        <w:t>.</w:t>
      </w:r>
      <w:r w:rsidR="003B7AFE">
        <w:t>)</w:t>
      </w:r>
      <w:bookmarkEnd w:id="33"/>
      <w:r>
        <w:t xml:space="preserve">  </w:t>
      </w:r>
      <w:r>
        <w:lastRenderedPageBreak/>
        <w:t xml:space="preserve">This rule, we </w:t>
      </w:r>
      <w:r w:rsidR="00593051">
        <w:t xml:space="preserve">then </w:t>
      </w:r>
      <w:r>
        <w:t xml:space="preserve">held in </w:t>
      </w:r>
      <w:r w:rsidRPr="000C74C7">
        <w:rPr>
          <w:i/>
          <w:iCs/>
        </w:rPr>
        <w:t>Diaz</w:t>
      </w:r>
      <w:r>
        <w:t xml:space="preserve">, applies even where the </w:t>
      </w:r>
      <w:bookmarkStart w:id="34" w:name="QUOTE_BOOKMARK_IS_CONFIRMED_4"/>
      <w:r w:rsidR="00F30C27">
        <w:t>employer’s “own</w:t>
      </w:r>
      <w:r w:rsidR="005A5406">
        <w:t>” separate act of</w:t>
      </w:r>
      <w:r w:rsidR="00F30C27">
        <w:t xml:space="preserve"> </w:t>
      </w:r>
      <w:r w:rsidR="005A5406">
        <w:t>“</w:t>
      </w:r>
      <w:r w:rsidR="00F30C27">
        <w:t>negligence</w:t>
      </w:r>
      <w:bookmarkEnd w:id="34"/>
      <w:r>
        <w:t>”</w:t>
      </w:r>
      <w:r w:rsidR="004B5A1F">
        <w:t> </w:t>
      </w:r>
      <w:r>
        <w:t>— such as “negligent entrustment” of a vehicle — contributes to the plaintiff’s injury, if “the employer admits vicarious liability for” the employee’s “negligent driving.”  (</w:t>
      </w:r>
      <w:bookmarkStart w:id="35" w:name="Psych_Cite_17"/>
      <w:r w:rsidRPr="000C74C7">
        <w:rPr>
          <w:i/>
          <w:iCs/>
        </w:rPr>
        <w:t>Id.</w:t>
      </w:r>
      <w:r>
        <w:t xml:space="preserve"> at p. 1</w:t>
      </w:r>
      <w:bookmarkEnd w:id="35"/>
      <w:r>
        <w:t xml:space="preserve">152.)  </w:t>
      </w:r>
      <w:r w:rsidR="00A4254F">
        <w:rPr>
          <w:i/>
          <w:iCs/>
        </w:rPr>
        <w:t>Diaz</w:t>
      </w:r>
      <w:r w:rsidR="00DA471D">
        <w:t xml:space="preserve"> </w:t>
      </w:r>
      <w:r>
        <w:t>establishe</w:t>
      </w:r>
      <w:r w:rsidR="00A4254F">
        <w:t>s</w:t>
      </w:r>
      <w:r>
        <w:t xml:space="preserve"> that, contrary to defendants’ assertions, </w:t>
      </w:r>
      <w:bookmarkStart w:id="36" w:name="_Hlk43817242"/>
      <w:r>
        <w:t xml:space="preserve">the phrase “each defendant” in </w:t>
      </w:r>
      <w:bookmarkStart w:id="37" w:name="Psych_Cite_19"/>
      <w:r>
        <w:t xml:space="preserve">section 1431.2, subdivision </w:t>
      </w:r>
      <w:bookmarkEnd w:id="37"/>
      <w:r>
        <w:t>(a), does not mean “</w:t>
      </w:r>
      <w:bookmarkStart w:id="38" w:name="QUOTE_BOOKMARK_IS_CONFIRMED_5"/>
      <w:r w:rsidR="00F30C27">
        <w:t>all defendants, without exception,</w:t>
      </w:r>
      <w:bookmarkEnd w:id="38"/>
      <w:r>
        <w:t>” and the statute’s application may, in fact, depend on the basis of the defendant’s liability.</w:t>
      </w:r>
      <w:bookmarkEnd w:id="36"/>
      <w:r>
        <w:t xml:space="preserve">  </w:t>
      </w:r>
    </w:p>
    <w:p w14:paraId="19F36F69" w14:textId="7BB1619E" w:rsidR="00097203" w:rsidRDefault="00097203" w:rsidP="00097203">
      <w:pPr>
        <w:tabs>
          <w:tab w:val="left" w:pos="720"/>
        </w:tabs>
        <w:spacing w:line="480" w:lineRule="atLeast"/>
      </w:pPr>
      <w:r>
        <w:tab/>
        <w:t xml:space="preserve">In arguing otherwise, defendants ignore </w:t>
      </w:r>
      <w:r>
        <w:rPr>
          <w:i/>
          <w:iCs/>
        </w:rPr>
        <w:t xml:space="preserve">Diaz </w:t>
      </w:r>
      <w:r>
        <w:t xml:space="preserve">and rely principally on </w:t>
      </w:r>
      <w:bookmarkStart w:id="39" w:name="Psych_Cite_24"/>
      <w:bookmarkStart w:id="40" w:name="_Hlk44333101"/>
      <w:proofErr w:type="spellStart"/>
      <w:r w:rsidRPr="005D317C">
        <w:rPr>
          <w:i/>
          <w:iCs/>
        </w:rPr>
        <w:t>DaFonte</w:t>
      </w:r>
      <w:proofErr w:type="spellEnd"/>
      <w:r w:rsidRPr="005D317C">
        <w:rPr>
          <w:i/>
          <w:iCs/>
        </w:rPr>
        <w:t xml:space="preserve"> v. Up-Right</w:t>
      </w:r>
      <w:r w:rsidR="00551950">
        <w:rPr>
          <w:i/>
          <w:iCs/>
        </w:rPr>
        <w:t>, Inc.</w:t>
      </w:r>
      <w:r w:rsidRPr="005D317C">
        <w:t xml:space="preserve"> (1992)</w:t>
      </w:r>
      <w:r w:rsidR="005D78A6">
        <w:rPr>
          <w:vertAlign w:val="superscript"/>
        </w:rPr>
        <w:t xml:space="preserve"> </w:t>
      </w:r>
      <w:r w:rsidR="005D78A6">
        <w:t xml:space="preserve">2 Cal.4th </w:t>
      </w:r>
      <w:r w:rsidR="003B7AFE">
        <w:t>593</w:t>
      </w:r>
      <w:r w:rsidRPr="005D317C">
        <w:t xml:space="preserve">, </w:t>
      </w:r>
      <w:r>
        <w:t>600 (</w:t>
      </w:r>
      <w:proofErr w:type="spellStart"/>
      <w:r>
        <w:rPr>
          <w:i/>
          <w:iCs/>
        </w:rPr>
        <w:t>DaFonte</w:t>
      </w:r>
      <w:proofErr w:type="spellEnd"/>
      <w:r>
        <w:t>)</w:t>
      </w:r>
      <w:bookmarkEnd w:id="39"/>
      <w:r>
        <w:t xml:space="preserve">, </w:t>
      </w:r>
      <w:bookmarkEnd w:id="40"/>
      <w:r>
        <w:t>which pre</w:t>
      </w:r>
      <w:r w:rsidR="0096050C">
        <w:t xml:space="preserve">dated </w:t>
      </w:r>
      <w:r>
        <w:rPr>
          <w:i/>
          <w:iCs/>
        </w:rPr>
        <w:t>Diaz</w:t>
      </w:r>
      <w:r>
        <w:t xml:space="preserve">.  The plaintiff in </w:t>
      </w:r>
      <w:proofErr w:type="spellStart"/>
      <w:r>
        <w:rPr>
          <w:i/>
          <w:iCs/>
        </w:rPr>
        <w:t>DaFonte</w:t>
      </w:r>
      <w:proofErr w:type="spellEnd"/>
      <w:r>
        <w:rPr>
          <w:i/>
          <w:iCs/>
        </w:rPr>
        <w:t xml:space="preserve"> </w:t>
      </w:r>
      <w:r>
        <w:t xml:space="preserve">was injured by a machine he was using while performing his job, and we held that </w:t>
      </w:r>
      <w:bookmarkStart w:id="41" w:name="Psych_Cite_27"/>
      <w:r>
        <w:t>section 1431.</w:t>
      </w:r>
      <w:bookmarkEnd w:id="41"/>
      <w:r>
        <w:t>2 required reduction of the product manufacturer’s liability by the proportion of fault attributable to the negligence of the plaintiff’s employer, even though the employer could not be sued for negligence and its liability to the plaintiff was limited to workers compensation benefits.  (</w:t>
      </w:r>
      <w:bookmarkStart w:id="42" w:name="Psych_Cite_25"/>
      <w:proofErr w:type="spellStart"/>
      <w:r w:rsidRPr="009667D6">
        <w:rPr>
          <w:i/>
          <w:iCs/>
        </w:rPr>
        <w:t>DaFonte</w:t>
      </w:r>
      <w:proofErr w:type="spellEnd"/>
      <w:r>
        <w:t>, at p. 59</w:t>
      </w:r>
      <w:bookmarkEnd w:id="42"/>
      <w:r>
        <w:t>6.)  As relevant to defendants’ argument, in reaching this conclusion, we stated:  “</w:t>
      </w:r>
      <w:bookmarkStart w:id="43" w:name="Psych_Cite_28"/>
      <w:r>
        <w:t>Section 1431.</w:t>
      </w:r>
      <w:bookmarkEnd w:id="43"/>
      <w:r>
        <w:t>2 declares plainly and clearly that in tort suits for personal harm or property damage, no ‘defendant’ shall have ‘joint’ liability for ‘non-economic’ damages, and ‘[e]ach defendant’ shall be liable ‘only’ for those ‘non-economic’ damages directly attributable to his or her own ‘percentage of fault.’</w:t>
      </w:r>
      <w:r w:rsidR="006A1342">
        <w:t> </w:t>
      </w:r>
      <w:r>
        <w:t>”  (</w:t>
      </w:r>
      <w:bookmarkStart w:id="44" w:name="Psych_Cite_26"/>
      <w:proofErr w:type="spellStart"/>
      <w:r w:rsidRPr="009667D6">
        <w:rPr>
          <w:i/>
          <w:iCs/>
        </w:rPr>
        <w:t>DaFonte</w:t>
      </w:r>
      <w:proofErr w:type="spellEnd"/>
      <w:r>
        <w:t xml:space="preserve">, </w:t>
      </w:r>
      <w:r>
        <w:lastRenderedPageBreak/>
        <w:t>at p. 60</w:t>
      </w:r>
      <w:bookmarkEnd w:id="44"/>
      <w:r>
        <w:t xml:space="preserve">1.)  </w:t>
      </w:r>
      <w:r w:rsidR="0096050C">
        <w:t>It</w:t>
      </w:r>
      <w:bookmarkStart w:id="45" w:name="QUOTE_BOOKMARK_IS_CONFIRMED_6"/>
      <w:r w:rsidR="0096050C">
        <w:t xml:space="preserve"> </w:t>
      </w:r>
      <w:r w:rsidR="00F30C27">
        <w:t>“expressly affords relief to every tortfeasor who is a liable ‘defendant,’ and who formerly would have had full joint liability.</w:t>
      </w:r>
      <w:bookmarkEnd w:id="45"/>
      <w:r>
        <w:t>”  (</w:t>
      </w:r>
      <w:bookmarkStart w:id="46" w:name="Psych_Cite_20"/>
      <w:r w:rsidRPr="009667D6">
        <w:rPr>
          <w:i/>
          <w:iCs/>
        </w:rPr>
        <w:t>Ibid.</w:t>
      </w:r>
      <w:r w:rsidR="004F2854">
        <w:t>, italics omitted</w:t>
      </w:r>
      <w:bookmarkEnd w:id="46"/>
      <w:r w:rsidR="00D135D3">
        <w:t>.</w:t>
      </w:r>
      <w:r>
        <w:t>)  It “contains no ambiguity [that] would permit resort to . . . extrinsic constructional aids,” such as “ballot materials.”  (</w:t>
      </w:r>
      <w:bookmarkStart w:id="47" w:name="Psych_Cite_21"/>
      <w:r w:rsidRPr="009667D6">
        <w:rPr>
          <w:i/>
          <w:iCs/>
        </w:rPr>
        <w:t>Id.</w:t>
      </w:r>
      <w:r>
        <w:t xml:space="preserve"> at p. 6</w:t>
      </w:r>
      <w:bookmarkEnd w:id="47"/>
      <w:r>
        <w:t xml:space="preserve">02.)  It “plainly attacks the issue of joint liability for noneconomic tort damages root and branch.  In every case, </w:t>
      </w:r>
      <w:r w:rsidRPr="009A68FC">
        <w:t>it</w:t>
      </w:r>
      <w:r>
        <w:t xml:space="preserve"> limits the joint liability of every ‘defendant’ to economic damages, and it shields every ‘defendant’ from any share of noneconomic damages beyond that attributable to his or her own comparative fault.”  (</w:t>
      </w:r>
      <w:bookmarkStart w:id="48" w:name="Psych_Cite_22"/>
      <w:r w:rsidRPr="009667D6">
        <w:rPr>
          <w:i/>
          <w:iCs/>
        </w:rPr>
        <w:t>Ibi</w:t>
      </w:r>
      <w:bookmarkEnd w:id="48"/>
      <w:r w:rsidRPr="009667D6">
        <w:rPr>
          <w:i/>
          <w:iCs/>
        </w:rPr>
        <w:t>d.</w:t>
      </w:r>
      <w:r>
        <w:t xml:space="preserve">)  </w:t>
      </w:r>
      <w:r w:rsidR="00D135D3">
        <w:t>It “plainly</w:t>
      </w:r>
      <w:r w:rsidR="008344C9">
        <w:t xml:space="preserve"> </w:t>
      </w:r>
      <w:r>
        <w:t>limits a defendant’s share of noneconomic damages to his or her own proportionate share of comparative fault.”  (</w:t>
      </w:r>
      <w:bookmarkStart w:id="49" w:name="Psych_Cite_23"/>
      <w:r w:rsidRPr="009667D6">
        <w:rPr>
          <w:i/>
          <w:iCs/>
        </w:rPr>
        <w:t>Id.</w:t>
      </w:r>
      <w:r>
        <w:t xml:space="preserve"> at p. </w:t>
      </w:r>
      <w:bookmarkEnd w:id="49"/>
      <w:r>
        <w:t xml:space="preserve">604.)  </w:t>
      </w:r>
    </w:p>
    <w:p w14:paraId="2B05CC36" w14:textId="273A151F" w:rsidR="00097203" w:rsidRDefault="00097203" w:rsidP="00097203">
      <w:pPr>
        <w:tabs>
          <w:tab w:val="left" w:pos="720"/>
        </w:tabs>
        <w:spacing w:line="480" w:lineRule="atLeast"/>
      </w:pPr>
      <w:r>
        <w:tab/>
        <w:t xml:space="preserve">Notwithstanding these statements, for </w:t>
      </w:r>
      <w:proofErr w:type="gramStart"/>
      <w:r>
        <w:t>several</w:t>
      </w:r>
      <w:proofErr w:type="gramEnd"/>
      <w:r>
        <w:t xml:space="preserve"> reasons, </w:t>
      </w:r>
      <w:proofErr w:type="spellStart"/>
      <w:r w:rsidRPr="00182210">
        <w:rPr>
          <w:i/>
          <w:iCs/>
        </w:rPr>
        <w:t>DaFonte</w:t>
      </w:r>
      <w:proofErr w:type="spellEnd"/>
      <w:r>
        <w:t xml:space="preserve"> does not require </w:t>
      </w:r>
      <w:r w:rsidR="007B0297">
        <w:t xml:space="preserve">reduction </w:t>
      </w:r>
      <w:r w:rsidR="00595082">
        <w:t xml:space="preserve">under the statute </w:t>
      </w:r>
      <w:r w:rsidR="007B0297">
        <w:t xml:space="preserve">of defendants’ liability </w:t>
      </w:r>
      <w:r>
        <w:t xml:space="preserve">in the case now before us.  First, </w:t>
      </w:r>
      <w:proofErr w:type="spellStart"/>
      <w:r w:rsidRPr="00FD4743">
        <w:rPr>
          <w:i/>
          <w:iCs/>
        </w:rPr>
        <w:t>DaFonte</w:t>
      </w:r>
      <w:proofErr w:type="spellEnd"/>
      <w:r>
        <w:t xml:space="preserve"> did not involve an intentional tortfeasor, did not examine the purpose and effect of the phrase “based upon principles of comparative fault” in </w:t>
      </w:r>
      <w:bookmarkStart w:id="50" w:name="Psych_Cite_30"/>
      <w:r>
        <w:t>section 1431.2, subdivision (a)</w:t>
      </w:r>
      <w:bookmarkEnd w:id="50"/>
      <w:r>
        <w:t xml:space="preserve">, and did not even quote that phrase.  Indeed, there was no need in </w:t>
      </w:r>
      <w:proofErr w:type="spellStart"/>
      <w:r w:rsidRPr="00FD4743">
        <w:rPr>
          <w:i/>
          <w:iCs/>
        </w:rPr>
        <w:t>DaFonte</w:t>
      </w:r>
      <w:proofErr w:type="spellEnd"/>
      <w:r>
        <w:t xml:space="preserve"> to focus on or examine </w:t>
      </w:r>
      <w:r w:rsidR="00595082">
        <w:t xml:space="preserve">this </w:t>
      </w:r>
      <w:r>
        <w:t>phrase, because that case involved the statute’s application to a quintessential comparative fault tortfeasor:  a negligent actor.  As we have repeatedly observed, “</w:t>
      </w:r>
      <w:bookmarkStart w:id="51" w:name="QUOTE_BOOKMARK_IS_CONFIRMED_7"/>
      <w:r w:rsidR="00F05CCC">
        <w:t> </w:t>
      </w:r>
      <w:r w:rsidR="00F30C27">
        <w:t>‘cases are not authority for propositions not considered.’</w:t>
      </w:r>
      <w:bookmarkEnd w:id="51"/>
      <w:r w:rsidR="00F05CCC">
        <w:t> </w:t>
      </w:r>
      <w:r>
        <w:t>”  (</w:t>
      </w:r>
      <w:bookmarkStart w:id="52" w:name="Psych_Cite_29"/>
      <w:r w:rsidRPr="00081A98">
        <w:rPr>
          <w:i/>
          <w:iCs/>
        </w:rPr>
        <w:t>American Federation of Labor v. Unemployment Ins. Appeals Bd.</w:t>
      </w:r>
      <w:r>
        <w:t xml:space="preserve"> (1996) 13 Cal.4th 1017, 1039</w:t>
      </w:r>
      <w:bookmarkEnd w:id="52"/>
      <w:r>
        <w:t xml:space="preserve">.)  </w:t>
      </w:r>
    </w:p>
    <w:p w14:paraId="18780EE2" w14:textId="75FE3BEC" w:rsidR="00097203" w:rsidRDefault="00097203" w:rsidP="00097203">
      <w:pPr>
        <w:tabs>
          <w:tab w:val="left" w:pos="720"/>
        </w:tabs>
        <w:spacing w:line="480" w:lineRule="atLeast"/>
      </w:pPr>
      <w:r>
        <w:lastRenderedPageBreak/>
        <w:tab/>
        <w:t xml:space="preserve">Second, close examination of </w:t>
      </w:r>
      <w:r w:rsidR="00F47848">
        <w:t xml:space="preserve">our </w:t>
      </w:r>
      <w:proofErr w:type="spellStart"/>
      <w:r w:rsidRPr="007E6385">
        <w:rPr>
          <w:i/>
          <w:iCs/>
        </w:rPr>
        <w:t>DaFonte</w:t>
      </w:r>
      <w:proofErr w:type="spellEnd"/>
      <w:r>
        <w:t xml:space="preserve"> opinion suggests that defendants overstate the breadth of its scope and effect.  </w:t>
      </w:r>
      <w:r w:rsidR="00F47848">
        <w:t>We rested o</w:t>
      </w:r>
      <w:r>
        <w:t>ur analysis there in part on the fact that, “[l]</w:t>
      </w:r>
      <w:proofErr w:type="spellStart"/>
      <w:r>
        <w:t>ong</w:t>
      </w:r>
      <w:proofErr w:type="spellEnd"/>
      <w:r>
        <w:t xml:space="preserve"> before” the statute’s enactment, we had held in </w:t>
      </w:r>
      <w:bookmarkStart w:id="53" w:name="Psych_Cite_31"/>
      <w:bookmarkStart w:id="54" w:name="_Hlk44333398"/>
      <w:r w:rsidRPr="00182210">
        <w:rPr>
          <w:i/>
          <w:iCs/>
        </w:rPr>
        <w:t>American Motorcycle Assn. v. Superior Court</w:t>
      </w:r>
      <w:r>
        <w:t xml:space="preserve"> (1978) 20 Cal.3d 578 (</w:t>
      </w:r>
      <w:r w:rsidRPr="00182210">
        <w:rPr>
          <w:i/>
          <w:iCs/>
        </w:rPr>
        <w:t>American Motorcycle</w:t>
      </w:r>
      <w:r>
        <w:t>)</w:t>
      </w:r>
      <w:bookmarkEnd w:id="53"/>
      <w:r>
        <w:t xml:space="preserve">, </w:t>
      </w:r>
      <w:bookmarkEnd w:id="54"/>
      <w:r>
        <w:t>that “</w:t>
      </w:r>
      <w:bookmarkStart w:id="55" w:name="QUOTE_BOOKMARK_IS_CONFIRMED_8"/>
      <w:r w:rsidR="00F30C27">
        <w:t>[n]either the allocation of fault, nor the amount of a joint and several damage award, ‘var[</w:t>
      </w:r>
      <w:proofErr w:type="spellStart"/>
      <w:r w:rsidR="00F30C27">
        <w:t>ied</w:t>
      </w:r>
      <w:proofErr w:type="spellEnd"/>
      <w:r w:rsidR="00F30C27">
        <w:t>] by virtue of the particular defendants who happen[ed] to be before the court.’</w:t>
      </w:r>
      <w:bookmarkEnd w:id="55"/>
      <w:r w:rsidR="00A10C9F">
        <w:t> </w:t>
      </w:r>
      <w:r>
        <w:t>”  (</w:t>
      </w:r>
      <w:bookmarkStart w:id="56" w:name="Psych_Cite_32"/>
      <w:proofErr w:type="spellStart"/>
      <w:r w:rsidRPr="00182210">
        <w:rPr>
          <w:i/>
          <w:iCs/>
        </w:rPr>
        <w:t>DaFonte</w:t>
      </w:r>
      <w:proofErr w:type="spellEnd"/>
      <w:r>
        <w:t xml:space="preserve">, </w:t>
      </w:r>
      <w:r w:rsidRPr="00B30014">
        <w:rPr>
          <w:i/>
          <w:iCs/>
        </w:rPr>
        <w:t>supra</w:t>
      </w:r>
      <w:r>
        <w:t>, 2 Cal.4th at pp. 602</w:t>
      </w:r>
      <w:r w:rsidR="00AF790C">
        <w:t>–</w:t>
      </w:r>
      <w:r w:rsidR="00840E93">
        <w:t xml:space="preserve">603, quoting </w:t>
      </w:r>
      <w:r w:rsidR="00840E93">
        <w:rPr>
          <w:i/>
          <w:iCs/>
        </w:rPr>
        <w:t>American Motorcycle</w:t>
      </w:r>
      <w:r w:rsidR="003811D1">
        <w:t>, at p. 589, fn. 2.)</w:t>
      </w:r>
      <w:bookmarkEnd w:id="56"/>
      <w:r w:rsidR="00BE450A">
        <w:t xml:space="preserve"> </w:t>
      </w:r>
      <w:r w:rsidR="00820854">
        <w:t xml:space="preserve">The holding </w:t>
      </w:r>
      <w:r w:rsidR="006E13D3">
        <w:t>i</w:t>
      </w:r>
      <w:r>
        <w:t xml:space="preserve">n </w:t>
      </w:r>
      <w:r w:rsidRPr="00B30014">
        <w:rPr>
          <w:i/>
          <w:iCs/>
        </w:rPr>
        <w:t>American Motorcycle</w:t>
      </w:r>
      <w:r w:rsidR="006E13D3">
        <w:rPr>
          <w:i/>
          <w:iCs/>
        </w:rPr>
        <w:t xml:space="preserve"> </w:t>
      </w:r>
      <w:r w:rsidR="006E13D3">
        <w:t>we were referencing was</w:t>
      </w:r>
      <w:r w:rsidR="003811D1">
        <w:t xml:space="preserve"> that </w:t>
      </w:r>
      <w:r>
        <w:t>“</w:t>
      </w:r>
      <w:r w:rsidR="006A1342">
        <w:t> </w:t>
      </w:r>
      <w:r>
        <w:t xml:space="preserve">‘the contributory </w:t>
      </w:r>
      <w:r w:rsidRPr="00D25540">
        <w:rPr>
          <w:i/>
          <w:iCs/>
        </w:rPr>
        <w:t>negligence</w:t>
      </w:r>
      <w:r>
        <w:t xml:space="preserve"> of the plaintiff must be proportioned to the combined </w:t>
      </w:r>
      <w:r w:rsidRPr="00D25540">
        <w:rPr>
          <w:i/>
          <w:iCs/>
        </w:rPr>
        <w:t>negligence</w:t>
      </w:r>
      <w:r>
        <w:t xml:space="preserve"> of plaintiff and of all the tort</w:t>
      </w:r>
      <w:r w:rsidR="00094D94">
        <w:t>-</w:t>
      </w:r>
      <w:proofErr w:type="spellStart"/>
      <w:r>
        <w:t>feasors</w:t>
      </w:r>
      <w:proofErr w:type="spellEnd"/>
      <w:r>
        <w:t>, whether or not joined as parties . . . whose negligence proximately caused or contributed to plaintiff’s injury.’</w:t>
      </w:r>
      <w:r w:rsidR="00E73E64">
        <w:t> </w:t>
      </w:r>
      <w:r>
        <w:t>”  (</w:t>
      </w:r>
      <w:bookmarkStart w:id="57" w:name="Psych_Cite_34"/>
      <w:r w:rsidRPr="00B30014">
        <w:rPr>
          <w:i/>
          <w:iCs/>
        </w:rPr>
        <w:t>American Motorcycle</w:t>
      </w:r>
      <w:r>
        <w:t>, at p. 589, fn.</w:t>
      </w:r>
      <w:bookmarkEnd w:id="57"/>
      <w:r>
        <w:t xml:space="preserve"> 2</w:t>
      </w:r>
      <w:r w:rsidR="003811D1">
        <w:t xml:space="preserve"> italics added</w:t>
      </w:r>
      <w:r w:rsidR="006D53A8">
        <w:t xml:space="preserve">.)  </w:t>
      </w:r>
      <w:r>
        <w:t>“</w:t>
      </w:r>
      <w:bookmarkStart w:id="58" w:name="QUOTE_BOOKMARK_IS_CONFIRMED_9"/>
      <w:r w:rsidR="00F30C27">
        <w:t>In this context,</w:t>
      </w:r>
      <w:bookmarkEnd w:id="58"/>
      <w:r>
        <w:t xml:space="preserve">” we stated in </w:t>
      </w:r>
      <w:proofErr w:type="spellStart"/>
      <w:r w:rsidRPr="00B30014">
        <w:rPr>
          <w:i/>
          <w:iCs/>
        </w:rPr>
        <w:t>DaFonte</w:t>
      </w:r>
      <w:proofErr w:type="spellEnd"/>
      <w:r>
        <w:t xml:space="preserve">, “the only reasonable construction of </w:t>
      </w:r>
      <w:bookmarkStart w:id="59" w:name="Psych_Cite_37"/>
      <w:r>
        <w:t>section 143</w:t>
      </w:r>
      <w:bookmarkEnd w:id="59"/>
      <w:r>
        <w:t>1.2 is that a ‘defendant[’s]’ liability for noneconomic damages cannot exceed his or her proportionate share of fault as compared with all fault responsible for the plaintiff’s injuries, not merely that of ‘defendant[s]’ present in the lawsuit.”  (</w:t>
      </w:r>
      <w:bookmarkStart w:id="60" w:name="Psych_Cite_35"/>
      <w:proofErr w:type="spellStart"/>
      <w:r w:rsidRPr="00B30014">
        <w:rPr>
          <w:i/>
          <w:iCs/>
        </w:rPr>
        <w:t>DaFonte</w:t>
      </w:r>
      <w:proofErr w:type="spellEnd"/>
      <w:r>
        <w:t xml:space="preserve">, at p. </w:t>
      </w:r>
      <w:bookmarkEnd w:id="60"/>
      <w:r>
        <w:t>603</w:t>
      </w:r>
      <w:r w:rsidR="006D53A8">
        <w:t>, italics omitted.</w:t>
      </w:r>
      <w:r>
        <w:t xml:space="preserve">)  Given this analysis, </w:t>
      </w:r>
      <w:proofErr w:type="spellStart"/>
      <w:r w:rsidRPr="00B30014">
        <w:rPr>
          <w:i/>
          <w:iCs/>
        </w:rPr>
        <w:t>DaFonte</w:t>
      </w:r>
      <w:proofErr w:type="spellEnd"/>
      <w:r>
        <w:t xml:space="preserve"> does not establish the statute’s applicability in the </w:t>
      </w:r>
      <w:proofErr w:type="gramStart"/>
      <w:r>
        <w:t>very different</w:t>
      </w:r>
      <w:proofErr w:type="gramEnd"/>
      <w:r>
        <w:t xml:space="preserve"> context now before us, involving an intentional, rather than negligent, tortfeasor.  On the contrary, </w:t>
      </w:r>
      <w:proofErr w:type="spellStart"/>
      <w:r>
        <w:rPr>
          <w:i/>
          <w:iCs/>
        </w:rPr>
        <w:t>DaFonte</w:t>
      </w:r>
      <w:r>
        <w:t>’s</w:t>
      </w:r>
      <w:proofErr w:type="spellEnd"/>
      <w:r>
        <w:t xml:space="preserve"> analysis</w:t>
      </w:r>
      <w:r>
        <w:rPr>
          <w:i/>
          <w:iCs/>
        </w:rPr>
        <w:t xml:space="preserve"> </w:t>
      </w:r>
      <w:r>
        <w:t>suggests that the law’s treatment of intentional tortfeasors “</w:t>
      </w:r>
      <w:bookmarkStart w:id="61" w:name="QUOTE_BOOKMARK_IS_CONFIRMED_10"/>
      <w:r w:rsidR="00F30C27">
        <w:t xml:space="preserve">before the </w:t>
      </w:r>
      <w:r w:rsidR="00F30C27">
        <w:lastRenderedPageBreak/>
        <w:t>enactment of Proposition 51</w:t>
      </w:r>
      <w:bookmarkEnd w:id="61"/>
      <w:r>
        <w:t xml:space="preserve">” — i.e., the legal “context” at the time of the measure’s adoption — is relevant in determining </w:t>
      </w:r>
      <w:bookmarkStart w:id="62" w:name="Psych_Cite_38"/>
      <w:r>
        <w:t>section 143</w:t>
      </w:r>
      <w:bookmarkEnd w:id="62"/>
      <w:r>
        <w:t>1.2’s meaning in the context at issue.  (</w:t>
      </w:r>
      <w:bookmarkStart w:id="63" w:name="Psych_Cite_36"/>
      <w:proofErr w:type="spellStart"/>
      <w:r w:rsidRPr="00B30014">
        <w:rPr>
          <w:i/>
          <w:iCs/>
        </w:rPr>
        <w:t>DaFonte</w:t>
      </w:r>
      <w:proofErr w:type="spellEnd"/>
      <w:r>
        <w:t>, at p</w:t>
      </w:r>
      <w:r w:rsidR="006D53A8">
        <w:t>p.</w:t>
      </w:r>
      <w:r>
        <w:t xml:space="preserve"> 602</w:t>
      </w:r>
      <w:r w:rsidR="00AF790C">
        <w:t>–</w:t>
      </w:r>
      <w:r w:rsidR="00954940">
        <w:t>603</w:t>
      </w:r>
      <w:bookmarkEnd w:id="63"/>
      <w:r>
        <w:t xml:space="preserve">.)  </w:t>
      </w:r>
    </w:p>
    <w:p w14:paraId="50DFB0B8" w14:textId="03D30F7D" w:rsidR="00097203" w:rsidRDefault="00097203" w:rsidP="00097203">
      <w:pPr>
        <w:tabs>
          <w:tab w:val="left" w:pos="720"/>
        </w:tabs>
        <w:spacing w:line="480" w:lineRule="atLeast"/>
      </w:pPr>
      <w:r>
        <w:tab/>
        <w:t xml:space="preserve">Finally, in our subsequent </w:t>
      </w:r>
      <w:r>
        <w:rPr>
          <w:i/>
          <w:iCs/>
        </w:rPr>
        <w:t xml:space="preserve">Diaz </w:t>
      </w:r>
      <w:r>
        <w:t xml:space="preserve">decision, </w:t>
      </w:r>
      <w:r w:rsidRPr="0002731F">
        <w:t>we</w:t>
      </w:r>
      <w:r>
        <w:t xml:space="preserve"> effectively rejected defendants’ expansive reading of </w:t>
      </w:r>
      <w:proofErr w:type="spellStart"/>
      <w:r>
        <w:rPr>
          <w:i/>
          <w:iCs/>
        </w:rPr>
        <w:t>DaFonte</w:t>
      </w:r>
      <w:proofErr w:type="spellEnd"/>
      <w:r>
        <w:t xml:space="preserve">.  The plaintiff in </w:t>
      </w:r>
      <w:r>
        <w:rPr>
          <w:i/>
          <w:iCs/>
        </w:rPr>
        <w:t xml:space="preserve">Diaz </w:t>
      </w:r>
      <w:r>
        <w:t xml:space="preserve">argued that </w:t>
      </w:r>
      <w:bookmarkStart w:id="64" w:name="Psych_Cite_42"/>
      <w:r>
        <w:t>section 1431.2</w:t>
      </w:r>
      <w:bookmarkEnd w:id="64"/>
      <w:r>
        <w:t xml:space="preserve">, as construed in </w:t>
      </w:r>
      <w:proofErr w:type="spellStart"/>
      <w:r w:rsidRPr="00315128">
        <w:rPr>
          <w:i/>
          <w:iCs/>
        </w:rPr>
        <w:t>DaFonte</w:t>
      </w:r>
      <w:proofErr w:type="spellEnd"/>
      <w:r>
        <w:t xml:space="preserve">, </w:t>
      </w:r>
      <w:r w:rsidRPr="00C02771">
        <w:t>required</w:t>
      </w:r>
      <w:r>
        <w:t xml:space="preserve"> “</w:t>
      </w:r>
      <w:proofErr w:type="spellStart"/>
      <w:r>
        <w:t>inclu</w:t>
      </w:r>
      <w:proofErr w:type="spellEnd"/>
      <w:r>
        <w:t>[</w:t>
      </w:r>
      <w:proofErr w:type="spellStart"/>
      <w:r>
        <w:t>sion</w:t>
      </w:r>
      <w:proofErr w:type="spellEnd"/>
      <w:r>
        <w:t>]” of a negligent employer “</w:t>
      </w:r>
      <w:bookmarkStart w:id="65" w:name="QUOTE_BOOKMARK_IS_CONFIRMED_11"/>
      <w:r w:rsidR="00F30C27">
        <w:t>in the ‘</w:t>
      </w:r>
      <w:r w:rsidR="006A1342">
        <w:t> </w:t>
      </w:r>
      <w:r w:rsidR="00F30C27">
        <w:t>“</w:t>
      </w:r>
      <w:r w:rsidR="006A1342">
        <w:t> </w:t>
      </w:r>
      <w:r w:rsidR="00F30C27">
        <w:t>‘universe’ of tortfeasors”</w:t>
      </w:r>
      <w:r w:rsidR="006A1342">
        <w:t> </w:t>
      </w:r>
      <w:r w:rsidR="00F30C27">
        <w:t>’ to whom the jury will allocate fault,</w:t>
      </w:r>
      <w:bookmarkEnd w:id="65"/>
      <w:r>
        <w:t>” even if the employer is also vicariously liable for the act of its employee.  (</w:t>
      </w:r>
      <w:bookmarkStart w:id="66" w:name="Psych_Cite_39"/>
      <w:r w:rsidRPr="00086365">
        <w:rPr>
          <w:i/>
          <w:iCs/>
        </w:rPr>
        <w:t>Diaz</w:t>
      </w:r>
      <w:r>
        <w:t xml:space="preserve">, </w:t>
      </w:r>
      <w:r w:rsidRPr="00086365">
        <w:rPr>
          <w:i/>
          <w:iCs/>
        </w:rPr>
        <w:t>supra,</w:t>
      </w:r>
      <w:r>
        <w:rPr>
          <w:i/>
          <w:iCs/>
        </w:rPr>
        <w:t xml:space="preserve"> </w:t>
      </w:r>
      <w:r>
        <w:t>51 Cal.4th at p. 1158</w:t>
      </w:r>
      <w:bookmarkEnd w:id="66"/>
      <w:r>
        <w:t xml:space="preserve">.)  We disagreed, holding, as noted above, that </w:t>
      </w:r>
      <w:bookmarkStart w:id="67" w:name="Psych_Cite_43"/>
      <w:r>
        <w:t>section 1431.2</w:t>
      </w:r>
      <w:bookmarkEnd w:id="67"/>
      <w:r>
        <w:t xml:space="preserve"> does not require, or even permit, a share of liability to be allocated to a negligent employer for its own negligent act if the employer admits vicarious liability for the negligent act of its employee.  (</w:t>
      </w:r>
      <w:bookmarkStart w:id="68" w:name="Psych_Cite_40"/>
      <w:r w:rsidRPr="00CF6D02">
        <w:rPr>
          <w:i/>
          <w:iCs/>
        </w:rPr>
        <w:t>Diaz</w:t>
      </w:r>
      <w:r>
        <w:t>, at pp. 1159</w:t>
      </w:r>
      <w:r w:rsidR="00AF790C">
        <w:t>–</w:t>
      </w:r>
      <w:r>
        <w:t>1160</w:t>
      </w:r>
      <w:bookmarkEnd w:id="68"/>
      <w:r>
        <w:t xml:space="preserve">.)  Notably, we quoted </w:t>
      </w:r>
      <w:proofErr w:type="spellStart"/>
      <w:r>
        <w:rPr>
          <w:i/>
          <w:iCs/>
        </w:rPr>
        <w:t>DaFonte</w:t>
      </w:r>
      <w:proofErr w:type="spellEnd"/>
      <w:r>
        <w:rPr>
          <w:i/>
          <w:iCs/>
        </w:rPr>
        <w:t xml:space="preserve"> </w:t>
      </w:r>
      <w:r>
        <w:t xml:space="preserve">in explaining that </w:t>
      </w:r>
      <w:r w:rsidRPr="00194EE7">
        <w:t>the “</w:t>
      </w:r>
      <w:r w:rsidR="006A1342">
        <w:t> </w:t>
      </w:r>
      <w:r w:rsidRPr="00194EE7">
        <w:t>‘</w:t>
      </w:r>
      <w:r w:rsidR="006A1342">
        <w:t> </w:t>
      </w:r>
      <w:r w:rsidRPr="00194EE7">
        <w:t>“</w:t>
      </w:r>
      <w:r w:rsidR="006A1342">
        <w:t> </w:t>
      </w:r>
      <w:r>
        <w:t>‘</w:t>
      </w:r>
      <w:r w:rsidRPr="00194EE7">
        <w:t>universe</w:t>
      </w:r>
      <w:r>
        <w:t>’</w:t>
      </w:r>
      <w:r w:rsidRPr="00194EE7">
        <w:t xml:space="preserve"> of tortfeasors</w:t>
      </w:r>
      <w:r>
        <w:t>” ’</w:t>
      </w:r>
      <w:r w:rsidRPr="00194EE7">
        <w:t xml:space="preserve"> among whom the jury must apportion fault </w:t>
      </w:r>
      <w:r>
        <w:t xml:space="preserve">[citation] </w:t>
      </w:r>
      <w:r w:rsidRPr="00194EE7">
        <w:t xml:space="preserve">does </w:t>
      </w:r>
      <w:r w:rsidRPr="00812A7A">
        <w:rPr>
          <w:i/>
          <w:iCs/>
        </w:rPr>
        <w:t>not</w:t>
      </w:r>
      <w:r w:rsidRPr="00194EE7">
        <w:t xml:space="preserve"> include the employer.</w:t>
      </w:r>
      <w:r>
        <w:t>”  (</w:t>
      </w:r>
      <w:bookmarkStart w:id="69" w:name="Psych_Cite_41"/>
      <w:r>
        <w:rPr>
          <w:i/>
          <w:iCs/>
        </w:rPr>
        <w:t>Diaz</w:t>
      </w:r>
      <w:r>
        <w:t>, at p. 1157</w:t>
      </w:r>
      <w:bookmarkEnd w:id="69"/>
      <w:r>
        <w:t xml:space="preserve">, italics added.)  Thus, </w:t>
      </w:r>
      <w:r w:rsidRPr="00CF6D02">
        <w:rPr>
          <w:i/>
          <w:iCs/>
        </w:rPr>
        <w:t>Diaz</w:t>
      </w:r>
      <w:r w:rsidR="00B92FA2">
        <w:t xml:space="preserve"> </w:t>
      </w:r>
      <w:r>
        <w:t xml:space="preserve">makes clear that defendants overstate </w:t>
      </w:r>
      <w:proofErr w:type="spellStart"/>
      <w:r w:rsidR="00703917">
        <w:rPr>
          <w:i/>
          <w:iCs/>
        </w:rPr>
        <w:t>DaFonte</w:t>
      </w:r>
      <w:r w:rsidR="00703917">
        <w:t>’s</w:t>
      </w:r>
      <w:proofErr w:type="spellEnd"/>
      <w:r w:rsidR="00703917">
        <w:rPr>
          <w:i/>
          <w:iCs/>
        </w:rPr>
        <w:t xml:space="preserve"> </w:t>
      </w:r>
      <w:r>
        <w:t xml:space="preserve">scope and </w:t>
      </w:r>
      <w:r w:rsidR="00703917">
        <w:t>effect</w:t>
      </w:r>
      <w:r>
        <w:t>.</w:t>
      </w:r>
    </w:p>
    <w:p w14:paraId="308B5AA9" w14:textId="2BB54F42" w:rsidR="00097203" w:rsidRDefault="00155B5B" w:rsidP="00097203">
      <w:pPr>
        <w:tabs>
          <w:tab w:val="left" w:pos="720"/>
        </w:tabs>
        <w:spacing w:line="480" w:lineRule="atLeast"/>
      </w:pPr>
      <w:r>
        <w:tab/>
      </w:r>
      <w:r w:rsidR="00097203">
        <w:t>The second problem with defendants’ plain language analysis is its treatment of the phrase “</w:t>
      </w:r>
      <w:r w:rsidR="00097203" w:rsidRPr="005A1F88">
        <w:t>based upon principles of comparative fault</w:t>
      </w:r>
      <w:r w:rsidR="00097203">
        <w:t>”</w:t>
      </w:r>
      <w:r w:rsidR="00954940">
        <w:t xml:space="preserve"> </w:t>
      </w:r>
      <w:r w:rsidR="00AE1E7D">
        <w:t>i</w:t>
      </w:r>
      <w:r w:rsidR="00954940">
        <w:t>n section 1431.2</w:t>
      </w:r>
      <w:r w:rsidR="00703917">
        <w:t>,</w:t>
      </w:r>
      <w:r w:rsidR="00954940">
        <w:t xml:space="preserve"> subdivision (a).</w:t>
      </w:r>
      <w:r w:rsidR="00097203">
        <w:t xml:space="preserve">  As noted above, defendants</w:t>
      </w:r>
      <w:r w:rsidR="007170F2">
        <w:t xml:space="preserve"> insist that</w:t>
      </w:r>
      <w:r w:rsidR="00097203">
        <w:t xml:space="preserve">, </w:t>
      </w:r>
      <w:r w:rsidR="007170F2">
        <w:t xml:space="preserve">under canons </w:t>
      </w:r>
      <w:r w:rsidR="00097203">
        <w:t xml:space="preserve">of statutory construction, the phrase </w:t>
      </w:r>
      <w:r w:rsidR="00097203" w:rsidRPr="00F35C2B">
        <w:t>“modifies</w:t>
      </w:r>
      <w:r w:rsidR="00097203">
        <w:t xml:space="preserve">” the phrase that follows it:  </w:t>
      </w:r>
      <w:r w:rsidR="00097203">
        <w:lastRenderedPageBreak/>
        <w:t>“</w:t>
      </w:r>
      <w:bookmarkStart w:id="70" w:name="QUOTE_BOOKMARK_IS_CONFIRMED_12"/>
      <w:r w:rsidR="00F30C27">
        <w:t>the liability of each defendant for non-economic damages.</w:t>
      </w:r>
      <w:bookmarkEnd w:id="70"/>
      <w:r w:rsidR="00097203">
        <w:t xml:space="preserve">”  (§ 1431.2, </w:t>
      </w:r>
      <w:proofErr w:type="spellStart"/>
      <w:r w:rsidR="00097203">
        <w:t>subd</w:t>
      </w:r>
      <w:proofErr w:type="spellEnd"/>
      <w:r w:rsidR="00097203">
        <w:t>. (a).)  However, plaintiffs argue that under the same canon</w:t>
      </w:r>
      <w:r w:rsidR="007170F2">
        <w:t>s</w:t>
      </w:r>
      <w:r w:rsidR="00097203">
        <w:t xml:space="preserve"> of statutory interpretation, it is “</w:t>
      </w:r>
      <w:bookmarkStart w:id="71" w:name="QUOTE_BOOKMARK_IS_CONFIRMED_13"/>
      <w:r w:rsidR="00F30C27">
        <w:t>at least as reasonable</w:t>
      </w:r>
      <w:bookmarkEnd w:id="71"/>
      <w:r w:rsidR="00097203">
        <w:t xml:space="preserve">” to conclude that the phrase instead </w:t>
      </w:r>
      <w:r w:rsidR="00535F61">
        <w:t xml:space="preserve">modifies </w:t>
      </w:r>
      <w:r w:rsidR="00097203">
        <w:t>“</w:t>
      </w:r>
      <w:bookmarkStart w:id="72" w:name="QUOTE_BOOKMARK_IS_CONFIRMED_14"/>
      <w:r w:rsidR="00F30C27">
        <w:t>what precedes it, ‘any action for personal injury, property damage, or wrongful death.’</w:t>
      </w:r>
      <w:bookmarkEnd w:id="72"/>
      <w:r w:rsidR="00535F61">
        <w:t> </w:t>
      </w:r>
      <w:r w:rsidR="00097203">
        <w:t>”  In support of their argument, plaintiffs note that “</w:t>
      </w:r>
      <w:bookmarkStart w:id="73" w:name="QUOTE_BOOKMARK_IS_CONFIRMED_15"/>
      <w:r w:rsidR="00F30C27">
        <w:t>[t]his Court . . . has used [the latter] construction</w:t>
      </w:r>
      <w:bookmarkEnd w:id="73"/>
      <w:r w:rsidR="00097203">
        <w:t>” in several opinions.  (</w:t>
      </w:r>
      <w:bookmarkStart w:id="74" w:name="Psych_Cite_44"/>
      <w:r w:rsidR="00B01FBB">
        <w:t xml:space="preserve">See </w:t>
      </w:r>
      <w:r w:rsidR="00097203" w:rsidRPr="000F2FDE">
        <w:rPr>
          <w:i/>
          <w:iCs/>
        </w:rPr>
        <w:t>Diaz</w:t>
      </w:r>
      <w:r w:rsidR="00097203">
        <w:t xml:space="preserve">, </w:t>
      </w:r>
      <w:r w:rsidR="00097203" w:rsidRPr="000F2FDE">
        <w:rPr>
          <w:i/>
          <w:iCs/>
        </w:rPr>
        <w:t>supra,</w:t>
      </w:r>
      <w:r w:rsidR="00097203">
        <w:rPr>
          <w:i/>
          <w:iCs/>
        </w:rPr>
        <w:t xml:space="preserve"> </w:t>
      </w:r>
      <w:r w:rsidR="00097203" w:rsidRPr="005E02C0">
        <w:t xml:space="preserve">51 Cal.4th </w:t>
      </w:r>
      <w:r w:rsidR="00097203">
        <w:t xml:space="preserve">at p. </w:t>
      </w:r>
      <w:r w:rsidR="00097203" w:rsidRPr="005E02C0">
        <w:t>1156</w:t>
      </w:r>
      <w:r w:rsidR="00097203">
        <w:t xml:space="preserve"> [discussing effect of § </w:t>
      </w:r>
      <w:r w:rsidR="00097203" w:rsidRPr="005E02C0">
        <w:t>1431.2 “</w:t>
      </w:r>
      <w:bookmarkStart w:id="75" w:name="QUOTE_BOOKMARK_IS_CONFIRMED_16"/>
      <w:r w:rsidR="00F30C27">
        <w:t>[</w:t>
      </w:r>
      <w:proofErr w:type="spellStart"/>
      <w:r w:rsidR="00F30C27">
        <w:t>i</w:t>
      </w:r>
      <w:proofErr w:type="spellEnd"/>
      <w:r w:rsidR="00F30C27">
        <w:t>]n cases ‘based upon principles of comparative fault’</w:t>
      </w:r>
      <w:bookmarkEnd w:id="75"/>
      <w:r w:rsidR="00097203">
        <w:t>”]</w:t>
      </w:r>
      <w:bookmarkEnd w:id="74"/>
      <w:r w:rsidR="00097203">
        <w:t xml:space="preserve">; </w:t>
      </w:r>
      <w:bookmarkStart w:id="76" w:name="Psych_Cite_45"/>
      <w:proofErr w:type="spellStart"/>
      <w:r w:rsidR="00097203" w:rsidRPr="005E02C0">
        <w:rPr>
          <w:i/>
          <w:iCs/>
        </w:rPr>
        <w:t>Buttram</w:t>
      </w:r>
      <w:proofErr w:type="spellEnd"/>
      <w:r w:rsidR="00097203" w:rsidRPr="005E02C0">
        <w:rPr>
          <w:i/>
          <w:iCs/>
        </w:rPr>
        <w:t xml:space="preserve"> v. Owens-Corning Fiberglas Corp.</w:t>
      </w:r>
      <w:r w:rsidR="00097203" w:rsidRPr="005E02C0">
        <w:t xml:space="preserve"> (1997) 16 Cal.4th 520, 5</w:t>
      </w:r>
      <w:r w:rsidR="004A6BCB">
        <w:t xml:space="preserve">39 </w:t>
      </w:r>
      <w:r w:rsidR="00097203">
        <w:t xml:space="preserve"> [finding § </w:t>
      </w:r>
      <w:r w:rsidR="00097203" w:rsidRPr="005E02C0">
        <w:t xml:space="preserve">1431.2 </w:t>
      </w:r>
      <w:r w:rsidR="00097203">
        <w:t>applicable because the plaintiff’s “</w:t>
      </w:r>
      <w:bookmarkStart w:id="77" w:name="QUOTE_BOOKMARK_IS_CONFIRMED_17"/>
      <w:r w:rsidR="00F30C27">
        <w:t>cause of action . . . [was] based upon ‘principles of comparative fault’</w:t>
      </w:r>
      <w:bookmarkEnd w:id="77"/>
      <w:r w:rsidR="003C71F1">
        <w:t> </w:t>
      </w:r>
      <w:r w:rsidR="00097203" w:rsidRPr="005E02C0">
        <w:t>”</w:t>
      </w:r>
      <w:r w:rsidR="00097203">
        <w:t>]</w:t>
      </w:r>
      <w:bookmarkEnd w:id="76"/>
      <w:r w:rsidR="00097203">
        <w:t>;</w:t>
      </w:r>
      <w:r w:rsidR="00097203" w:rsidRPr="005E02C0">
        <w:t xml:space="preserve"> </w:t>
      </w:r>
      <w:bookmarkStart w:id="78" w:name="Psych_Cite_47"/>
      <w:r w:rsidR="00097203" w:rsidRPr="00176B66">
        <w:rPr>
          <w:i/>
          <w:iCs/>
        </w:rPr>
        <w:t>Rutherford v. Owens-Illinois, Inc.</w:t>
      </w:r>
      <w:r w:rsidR="00097203" w:rsidRPr="005E02C0">
        <w:t xml:space="preserve"> (1997) 16 Cal.4th 953, 959, fn. 1</w:t>
      </w:r>
      <w:r w:rsidR="00097203" w:rsidRPr="00310AC7">
        <w:t xml:space="preserve"> </w:t>
      </w:r>
      <w:r w:rsidR="00097203">
        <w:t>[§ </w:t>
      </w:r>
      <w:r w:rsidR="00097203" w:rsidRPr="005E02C0">
        <w:t>1431.2 “provides” for proportionate liability as to non</w:t>
      </w:r>
      <w:r w:rsidR="00903EFE">
        <w:t>economic</w:t>
      </w:r>
      <w:r w:rsidR="00097203" w:rsidRPr="005E02C0">
        <w:t xml:space="preserve"> damages “in a tort action governed by principles of comparative fau</w:t>
      </w:r>
      <w:bookmarkEnd w:id="78"/>
      <w:r w:rsidR="00097203" w:rsidRPr="005E02C0">
        <w:t>lt”</w:t>
      </w:r>
      <w:r w:rsidR="00097203">
        <w:t xml:space="preserve">); </w:t>
      </w:r>
      <w:bookmarkStart w:id="79" w:name="Psych_Cite_48"/>
      <w:r w:rsidR="00097203" w:rsidRPr="00812BF7">
        <w:rPr>
          <w:i/>
          <w:iCs/>
        </w:rPr>
        <w:t>Richards v. Owens-Illinois, Inc.</w:t>
      </w:r>
      <w:r w:rsidR="00097203" w:rsidRPr="005E02C0">
        <w:t xml:space="preserve"> (1997) 14 Cal.4th 985, 988</w:t>
      </w:r>
      <w:r w:rsidR="00097203">
        <w:t xml:space="preserve"> [sa</w:t>
      </w:r>
      <w:bookmarkEnd w:id="79"/>
      <w:r w:rsidR="00097203">
        <w:t>me]</w:t>
      </w:r>
      <w:r w:rsidR="00484E31">
        <w:t xml:space="preserve">; </w:t>
      </w:r>
      <w:proofErr w:type="spellStart"/>
      <w:r w:rsidR="00484E31" w:rsidRPr="00C831CB">
        <w:rPr>
          <w:i/>
          <w:iCs/>
        </w:rPr>
        <w:t>DaFonte</w:t>
      </w:r>
      <w:proofErr w:type="spellEnd"/>
      <w:r w:rsidR="00484E31">
        <w:t xml:space="preserve">, </w:t>
      </w:r>
      <w:r w:rsidR="00484E31" w:rsidRPr="007D09FA">
        <w:rPr>
          <w:i/>
          <w:iCs/>
        </w:rPr>
        <w:t>supra</w:t>
      </w:r>
      <w:r w:rsidR="00484E31" w:rsidRPr="007D09FA">
        <w:t>,</w:t>
      </w:r>
      <w:r w:rsidR="00484E31">
        <w:rPr>
          <w:i/>
          <w:iCs/>
        </w:rPr>
        <w:t xml:space="preserve"> </w:t>
      </w:r>
      <w:r w:rsidR="00484E31" w:rsidRPr="005E02C0">
        <w:t xml:space="preserve">2 Cal.4th </w:t>
      </w:r>
      <w:r w:rsidR="00484E31">
        <w:t>at p.</w:t>
      </w:r>
      <w:r w:rsidR="00484E31" w:rsidRPr="005E02C0">
        <w:t xml:space="preserve"> 600 </w:t>
      </w:r>
      <w:r w:rsidR="00484E31">
        <w:t>[</w:t>
      </w:r>
      <w:r w:rsidR="00484E31" w:rsidRPr="005E02C0">
        <w:t>“section 1431.2 declares that in actions for wrongful death, personal injury, or property damage based on comparative fault, ‘the liability of each defendant for non-economic damages shall be several only and shall not be</w:t>
      </w:r>
      <w:r w:rsidR="00484E31">
        <w:t xml:space="preserve"> joint</w:t>
      </w:r>
      <w:r w:rsidR="00D11A0B">
        <w:t>’ </w:t>
      </w:r>
      <w:r w:rsidR="00484E31" w:rsidRPr="005E02C0">
        <w:t>”</w:t>
      </w:r>
      <w:r w:rsidR="00484E31">
        <w:t>]</w:t>
      </w:r>
      <w:r w:rsidR="00097203">
        <w:t>.</w:t>
      </w:r>
      <w:r w:rsidR="00097203" w:rsidRPr="005E02C0">
        <w:t>)</w:t>
      </w:r>
      <w:r w:rsidR="00097203">
        <w:t xml:space="preserve">  </w:t>
      </w:r>
      <w:r w:rsidR="00097203" w:rsidRPr="00644F7A">
        <w:t xml:space="preserve">Under this construction, plaintiffs </w:t>
      </w:r>
      <w:r w:rsidR="00097203">
        <w:t xml:space="preserve">further </w:t>
      </w:r>
      <w:r w:rsidR="00097203" w:rsidRPr="00644F7A">
        <w:t>argue, the statute does not apply to intentional tortfeasors because intentional tort actions “</w:t>
      </w:r>
      <w:bookmarkStart w:id="80" w:name="QUOTE_BOOKMARK_IS_CONFIRMED_18"/>
      <w:r w:rsidR="00F30C27">
        <w:t>are not based on principles of comparative fault.</w:t>
      </w:r>
      <w:bookmarkEnd w:id="80"/>
      <w:r w:rsidR="00097203" w:rsidRPr="00644F7A">
        <w:t xml:space="preserve">”  </w:t>
      </w:r>
    </w:p>
    <w:p w14:paraId="6D21DABC" w14:textId="6BC6BB10" w:rsidR="00097203" w:rsidRDefault="00097203" w:rsidP="00097203">
      <w:pPr>
        <w:tabs>
          <w:tab w:val="left" w:pos="720"/>
        </w:tabs>
        <w:spacing w:line="480" w:lineRule="atLeast"/>
      </w:pPr>
      <w:r>
        <w:lastRenderedPageBreak/>
        <w:tab/>
        <w:t xml:space="preserve">Ultimately, we need not decide whether defendants’ parsing of the statutory language is correct because </w:t>
      </w:r>
      <w:r w:rsidR="00213FBA">
        <w:t xml:space="preserve">their </w:t>
      </w:r>
      <w:r>
        <w:t xml:space="preserve">view of </w:t>
      </w:r>
      <w:r w:rsidR="00583748">
        <w:t xml:space="preserve">the statute’s </w:t>
      </w:r>
      <w:r>
        <w:t>meaning is problematic even if, as they assert, the phrase “based upon principles of comparative fault” (</w:t>
      </w:r>
      <w:bookmarkStart w:id="81" w:name="Psych_Cite_52"/>
      <w:r>
        <w:t xml:space="preserve">§ 1431.2, </w:t>
      </w:r>
      <w:proofErr w:type="spellStart"/>
      <w:r>
        <w:t>subd</w:t>
      </w:r>
      <w:proofErr w:type="spellEnd"/>
      <w:r>
        <w:t>. (a)</w:t>
      </w:r>
      <w:bookmarkEnd w:id="81"/>
      <w:r>
        <w:t>) modifies what</w:t>
      </w:r>
      <w:r w:rsidR="0005670F">
        <w:t xml:space="preserve"> follows</w:t>
      </w:r>
      <w:r>
        <w:t xml:space="preserve">.  As noted above, according to defendants, that phrase “supplies only the manner for calculating percentages”; its sole function is to “instruct[] courts how the percentage of fault should be calculated — i.e., according to the proportion of fault determined by the fact-finder.”  However, as plaintiffs point out, under that reading, the phrase would serve no purpose given that (1) the immediately following clause specifies that “the </w:t>
      </w:r>
      <w:r w:rsidRPr="009E7EF2">
        <w:t>liability of each defendant for non-economic damages shall be several only and shall not be joint</w:t>
      </w:r>
      <w:r>
        <w:t>,” and (2) the next sentence sets forth detailed instructions for calculating each defendant’s share, stating that “</w:t>
      </w:r>
      <w:bookmarkStart w:id="82" w:name="QUOTE_BOOKMARK_IS_CONFIRMED_19"/>
      <w:r w:rsidR="00F30C27">
        <w:t>[e]ach defendant shall be liable only for the amount of non-economic damages allocated to that defendant in direct proportion to that defendant's percentage of fault . . . .</w:t>
      </w:r>
      <w:bookmarkEnd w:id="82"/>
      <w:r>
        <w:t>”  (</w:t>
      </w:r>
      <w:bookmarkStart w:id="83" w:name="Psych_Cite_53"/>
      <w:r>
        <w:t>§</w:t>
      </w:r>
      <w:r w:rsidR="002C3C8F">
        <w:t> </w:t>
      </w:r>
      <w:r>
        <w:t xml:space="preserve">1431.2, </w:t>
      </w:r>
      <w:proofErr w:type="spellStart"/>
      <w:r>
        <w:t>subd</w:t>
      </w:r>
      <w:proofErr w:type="spellEnd"/>
      <w:r>
        <w:t>. (a)</w:t>
      </w:r>
      <w:bookmarkEnd w:id="83"/>
      <w:r>
        <w:t>.)  Because defendants’ construction renders the phrase “</w:t>
      </w:r>
      <w:bookmarkStart w:id="84" w:name="QUOTE_BOOKMARK_IS_CONFIRMED_20"/>
      <w:r w:rsidR="00F30C27">
        <w:t>wholly without . . . effect,</w:t>
      </w:r>
      <w:bookmarkEnd w:id="84"/>
      <w:r>
        <w:t>” adopting it would be</w:t>
      </w:r>
      <w:r w:rsidRPr="00984E56">
        <w:t xml:space="preserve"> </w:t>
      </w:r>
      <w:r>
        <w:t xml:space="preserve">inconsistent </w:t>
      </w:r>
      <w:r w:rsidRPr="00984E56">
        <w:t>with the well-established principle that courts should, if possible, give meaning to every word of a statute and avoid constructions that make any word surplusage.  (</w:t>
      </w:r>
      <w:bookmarkStart w:id="85" w:name="Psych_Cite_51"/>
      <w:r w:rsidRPr="0013237B">
        <w:rPr>
          <w:i/>
          <w:iCs/>
        </w:rPr>
        <w:t>People v. Franco</w:t>
      </w:r>
      <w:r w:rsidRPr="00984E56">
        <w:t xml:space="preserve"> (2018) 6 Cal.5th 433, 437</w:t>
      </w:r>
      <w:bookmarkEnd w:id="85"/>
      <w:r w:rsidRPr="00984E56">
        <w:t>.)</w:t>
      </w:r>
    </w:p>
    <w:p w14:paraId="687F4DB1" w14:textId="5B2D05D9" w:rsidR="00097203" w:rsidRDefault="00097203" w:rsidP="00097203">
      <w:pPr>
        <w:tabs>
          <w:tab w:val="left" w:pos="720"/>
        </w:tabs>
        <w:spacing w:line="480" w:lineRule="atLeast"/>
      </w:pPr>
      <w:r>
        <w:tab/>
        <w:t xml:space="preserve">On the other hand, as plaintiffs further argue, there </w:t>
      </w:r>
      <w:r w:rsidRPr="00C20A01">
        <w:rPr>
          <w:i/>
          <w:iCs/>
        </w:rPr>
        <w:t>is</w:t>
      </w:r>
      <w:r>
        <w:t xml:space="preserve"> a construction of the statute, even under defendants’ parsing of its </w:t>
      </w:r>
      <w:r>
        <w:lastRenderedPageBreak/>
        <w:t>language, that is both reasonable and does not render the phrase “based upon principles of comparative fault” superfluous.  (</w:t>
      </w:r>
      <w:bookmarkStart w:id="86" w:name="Psych_Cite_54"/>
      <w:r>
        <w:t xml:space="preserve">See </w:t>
      </w:r>
      <w:proofErr w:type="spellStart"/>
      <w:r w:rsidRPr="006D19FC">
        <w:rPr>
          <w:i/>
          <w:iCs/>
        </w:rPr>
        <w:t>Rumetsch</w:t>
      </w:r>
      <w:proofErr w:type="spellEnd"/>
      <w:r w:rsidRPr="006D19FC">
        <w:rPr>
          <w:i/>
          <w:iCs/>
        </w:rPr>
        <w:t xml:space="preserve"> v. City of Oakland </w:t>
      </w:r>
      <w:r>
        <w:t xml:space="preserve"> (1933) 135 </w:t>
      </w:r>
      <w:proofErr w:type="spellStart"/>
      <w:r>
        <w:t>Cal.App</w:t>
      </w:r>
      <w:proofErr w:type="spellEnd"/>
      <w:r>
        <w:t>. 267</w:t>
      </w:r>
      <w:r w:rsidR="009313C7">
        <w:t xml:space="preserve">, </w:t>
      </w:r>
      <w:r>
        <w:t>269 [courts should not construe “[w]</w:t>
      </w:r>
      <w:proofErr w:type="spellStart"/>
      <w:r>
        <w:t>ords</w:t>
      </w:r>
      <w:proofErr w:type="spellEnd"/>
      <w:r>
        <w:t xml:space="preserve"> in a statute . . . as surplusage if a reasonable construction can be given them which will give them some force and</w:t>
      </w:r>
      <w:r w:rsidR="009D7754">
        <w:t xml:space="preserve"> meaning”</w:t>
      </w:r>
      <w:r>
        <w:t>]</w:t>
      </w:r>
      <w:bookmarkEnd w:id="86"/>
      <w:r>
        <w:t xml:space="preserve">.)  Under </w:t>
      </w:r>
      <w:r w:rsidR="009D7754">
        <w:t xml:space="preserve">plaintiffs’ </w:t>
      </w:r>
      <w:r>
        <w:t>construction, the phrase functions to “incorporate[]” otherwise “existing ‘principles of comparative fault’ ” into the statute, such that a defendant’s liability is “several and not joint” — and subject to apportionment based on percentage of</w:t>
      </w:r>
      <w:r w:rsidR="0077259B">
        <w:t xml:space="preserve"> responsibility</w:t>
      </w:r>
      <w:r>
        <w:t> — only in cases where the extent of that defendant’s liability is otherwise determined according to “principles of comparative fault.”  (</w:t>
      </w:r>
      <w:bookmarkStart w:id="87" w:name="Psych_Cite_55"/>
      <w:r>
        <w:t xml:space="preserve">§ 1431.2, </w:t>
      </w:r>
      <w:proofErr w:type="spellStart"/>
      <w:r>
        <w:t>subd</w:t>
      </w:r>
      <w:proofErr w:type="spellEnd"/>
      <w:r>
        <w:t>. (a</w:t>
      </w:r>
      <w:bookmarkEnd w:id="87"/>
      <w:r>
        <w:t>).)  In the end, then, we agree with plaintiffs that for purposes of deciding this case, “</w:t>
      </w:r>
      <w:bookmarkStart w:id="88" w:name="QUOTE_BOOKMARK_IS_CONFIRMED_21"/>
      <w:r w:rsidR="00F30C27">
        <w:t>it is irrelevant whether the phrase ‘based upon principles of comparative fault’ modifies the word ‘actions’ or ‘liability.’  Whatever the referent,</w:t>
      </w:r>
      <w:bookmarkEnd w:id="88"/>
      <w:r>
        <w:t xml:space="preserve">” the key question is the extent, if any, to which </w:t>
      </w:r>
      <w:r w:rsidR="003A2148">
        <w:t xml:space="preserve">existing </w:t>
      </w:r>
      <w:r>
        <w:t xml:space="preserve">principles of comparative fault otherwise apply under the law to intentional tortfeasors.    </w:t>
      </w:r>
    </w:p>
    <w:p w14:paraId="76D46B58" w14:textId="77777777" w:rsidR="00097203" w:rsidRDefault="00097203" w:rsidP="00097203">
      <w:pPr>
        <w:tabs>
          <w:tab w:val="left" w:pos="720"/>
        </w:tabs>
        <w:spacing w:line="480" w:lineRule="atLeast"/>
      </w:pPr>
      <w:r>
        <w:tab/>
        <w:t>To that question, we now turn.</w:t>
      </w:r>
    </w:p>
    <w:p w14:paraId="4E270C53" w14:textId="5CF74C5E" w:rsidR="00097203" w:rsidRDefault="00097203" w:rsidP="00097203">
      <w:pPr>
        <w:tabs>
          <w:tab w:val="left" w:pos="720"/>
        </w:tabs>
        <w:spacing w:line="480" w:lineRule="atLeast"/>
      </w:pPr>
      <w:r>
        <w:tab/>
        <w:t xml:space="preserve">B.  </w:t>
      </w:r>
      <w:r w:rsidRPr="00D25540">
        <w:rPr>
          <w:i/>
          <w:iCs/>
        </w:rPr>
        <w:t xml:space="preserve">Comparative Fault Principles and Intentional </w:t>
      </w:r>
      <w:r w:rsidR="000C5E1E" w:rsidRPr="000C5E1E">
        <w:rPr>
          <w:i/>
          <w:iCs/>
        </w:rPr>
        <w:t>Tortfeasors</w:t>
      </w:r>
    </w:p>
    <w:p w14:paraId="58161A72" w14:textId="3F1EA500" w:rsidR="00097203" w:rsidRDefault="00097203" w:rsidP="00097203">
      <w:pPr>
        <w:tabs>
          <w:tab w:val="left" w:pos="720"/>
        </w:tabs>
        <w:spacing w:line="480" w:lineRule="atLeast"/>
      </w:pPr>
      <w:r>
        <w:tab/>
        <w:t xml:space="preserve">Not surprisingly, the parties disagree as to whether, under </w:t>
      </w:r>
      <w:r w:rsidR="00373F25">
        <w:t xml:space="preserve">existing </w:t>
      </w:r>
      <w:r>
        <w:t>principles of comparative fault</w:t>
      </w:r>
      <w:r w:rsidR="0028285C">
        <w:t xml:space="preserve">, intentional tortfeasors are entitled to a reduction of liability based on the negligent acts </w:t>
      </w:r>
      <w:r w:rsidR="0028285C">
        <w:lastRenderedPageBreak/>
        <w:t>of others</w:t>
      </w:r>
      <w:r>
        <w:t>.  Plaintiffs assert that California law has never sanctioned application of</w:t>
      </w:r>
      <w:r w:rsidR="00D3267E">
        <w:t xml:space="preserve"> “principles of comparative fault” </w:t>
      </w:r>
      <w:r w:rsidR="00AF0B4C">
        <w:t>in this</w:t>
      </w:r>
      <w:r w:rsidR="00BF4DCC">
        <w:t xml:space="preserve"> manner.  </w:t>
      </w:r>
      <w:r>
        <w:t xml:space="preserve">Defendants, on the other hand, assert that “[n]o rule in California excludes intentional tortfeasors from a comparative fault analysis,” and that no court “had held” before Proposition 51’s adoption “that intentional tortfeasors were excluded from the comparative fault doctrine.”  Therefore, defendants argue, “the language referencing comparative fault principles in </w:t>
      </w:r>
      <w:bookmarkStart w:id="89" w:name="Psych_Cite_56"/>
      <w:r>
        <w:t>section 1431.2, subdivision (a)</w:t>
      </w:r>
      <w:bookmarkEnd w:id="89"/>
      <w:r>
        <w:t xml:space="preserve"> cannot be read to exclude intentional tortfeasors from its scope.”  As shown below, plaintiffs have the better of the argument.  </w:t>
      </w:r>
    </w:p>
    <w:p w14:paraId="630169A5" w14:textId="49970B49" w:rsidR="00097203" w:rsidRPr="009F3FFC" w:rsidRDefault="00097203" w:rsidP="00097203">
      <w:pPr>
        <w:tabs>
          <w:tab w:val="left" w:pos="720"/>
        </w:tabs>
        <w:spacing w:line="480" w:lineRule="atLeast"/>
      </w:pPr>
      <w:r>
        <w:tab/>
        <w:t>Since</w:t>
      </w:r>
      <w:r w:rsidR="00BF4DCC">
        <w:t xml:space="preserve"> 1872</w:t>
      </w:r>
      <w:r>
        <w:t>, California law has provided that “[e]</w:t>
      </w:r>
      <w:proofErr w:type="spellStart"/>
      <w:r w:rsidRPr="00287271">
        <w:t>veryone</w:t>
      </w:r>
      <w:proofErr w:type="spellEnd"/>
      <w:r w:rsidRPr="00287271">
        <w:t xml:space="preserve"> is</w:t>
      </w:r>
      <w:r>
        <w:t xml:space="preserve"> </w:t>
      </w:r>
      <w:r w:rsidRPr="00287271">
        <w:t>responsible, not only for the result of his or her willful acts, but also for an injury occasioned to another by his or her want of ordinary care or skill in the management of his or her property or person</w:t>
      </w:r>
      <w:r w:rsidR="00BF4DCC">
        <w:t> . . . .</w:t>
      </w:r>
      <w:r w:rsidR="00826052">
        <w:t>”</w:t>
      </w:r>
      <w:r>
        <w:t xml:space="preserve">  (</w:t>
      </w:r>
      <w:bookmarkStart w:id="90" w:name="_Hlk44502465"/>
      <w:r>
        <w:t>§</w:t>
      </w:r>
      <w:bookmarkEnd w:id="90"/>
      <w:r>
        <w:t xml:space="preserve"> 1714, </w:t>
      </w:r>
      <w:proofErr w:type="spellStart"/>
      <w:r>
        <w:t>subd</w:t>
      </w:r>
      <w:proofErr w:type="spellEnd"/>
      <w:r>
        <w:t>. (a)</w:t>
      </w:r>
      <w:r w:rsidR="00826052">
        <w:t>, as enacted 1872</w:t>
      </w:r>
      <w:r>
        <w:t xml:space="preserve">.)  Until 1975, this broad principle was significantly limited by the contributory negligence doctrine, which </w:t>
      </w:r>
      <w:r w:rsidRPr="00DC4F88">
        <w:t>barred</w:t>
      </w:r>
      <w:r w:rsidRPr="00DC4F88">
        <w:rPr>
          <w:i/>
          <w:iCs/>
        </w:rPr>
        <w:t xml:space="preserve"> all </w:t>
      </w:r>
      <w:r w:rsidRPr="00DC4F88">
        <w:t>recovery</w:t>
      </w:r>
      <w:r>
        <w:t xml:space="preserve"> if </w:t>
      </w:r>
      <w:r w:rsidRPr="00051934">
        <w:rPr>
          <w:i/>
          <w:iCs/>
        </w:rPr>
        <w:t>any</w:t>
      </w:r>
      <w:r>
        <w:t xml:space="preserve"> negligent conduct of the injured plaintiff “</w:t>
      </w:r>
      <w:r w:rsidRPr="00D47A17">
        <w:t>contributed as a legal cause in any degree to the harm suffered</w:t>
      </w:r>
      <w:bookmarkStart w:id="91" w:name="_Hlk44336758"/>
      <w:r>
        <w:t>.”  (</w:t>
      </w:r>
      <w:bookmarkStart w:id="92" w:name="Psych_Cite_58"/>
      <w:r w:rsidRPr="00236D5E">
        <w:rPr>
          <w:i/>
          <w:iCs/>
        </w:rPr>
        <w:t>Li v. Yellow Cab Co.</w:t>
      </w:r>
      <w:r>
        <w:t xml:space="preserve"> (1975) </w:t>
      </w:r>
      <w:bookmarkStart w:id="93" w:name="_Hlk26184698"/>
      <w:r>
        <w:t>13 Cal.3d 804</w:t>
      </w:r>
      <w:bookmarkEnd w:id="93"/>
      <w:r>
        <w:t>, 808 (</w:t>
      </w:r>
      <w:r>
        <w:rPr>
          <w:i/>
          <w:iCs/>
        </w:rPr>
        <w:t>Li</w:t>
      </w:r>
      <w:r>
        <w:t>)</w:t>
      </w:r>
      <w:bookmarkEnd w:id="92"/>
      <w:r>
        <w:t xml:space="preserve">.)  </w:t>
      </w:r>
      <w:bookmarkStart w:id="94" w:name="_Hlk44503171"/>
      <w:bookmarkEnd w:id="91"/>
      <w:r>
        <w:t>This “</w:t>
      </w:r>
      <w:r w:rsidR="00F9074B">
        <w:t> ‘</w:t>
      </w:r>
      <w:r>
        <w:t>all-or-nothing rule</w:t>
      </w:r>
      <w:r w:rsidR="00F9074B">
        <w:t>’ </w:t>
      </w:r>
      <w:r>
        <w:t xml:space="preserve">” came </w:t>
      </w:r>
      <w:bookmarkEnd w:id="94"/>
      <w:r>
        <w:t>to be viewed as unjustifiably harsh, because it “</w:t>
      </w:r>
      <w:r w:rsidR="00F9074B">
        <w:t> ‘</w:t>
      </w:r>
      <w:r w:rsidRPr="006251E2">
        <w:t>exonerate</w:t>
      </w:r>
      <w:r>
        <w:t>[d]</w:t>
      </w:r>
      <w:r w:rsidR="00F9074B">
        <w:t>’ </w:t>
      </w:r>
      <w:r>
        <w:t>” even “</w:t>
      </w:r>
      <w:r w:rsidR="00F9074B">
        <w:t> ‘</w:t>
      </w:r>
      <w:r w:rsidRPr="009049D9">
        <w:t>very</w:t>
      </w:r>
      <w:r w:rsidRPr="006251E2">
        <w:t xml:space="preserve"> </w:t>
      </w:r>
      <w:proofErr w:type="spellStart"/>
      <w:r w:rsidRPr="006251E2">
        <w:t>negligen</w:t>
      </w:r>
      <w:proofErr w:type="spellEnd"/>
      <w:r w:rsidR="00F9074B">
        <w:t>[t]’ ”</w:t>
      </w:r>
      <w:r w:rsidRPr="006251E2">
        <w:t xml:space="preserve"> defendant</w:t>
      </w:r>
      <w:r>
        <w:t>s</w:t>
      </w:r>
      <w:r w:rsidRPr="006251E2">
        <w:t xml:space="preserve"> </w:t>
      </w:r>
      <w:r>
        <w:t>“</w:t>
      </w:r>
      <w:r w:rsidR="00F418C3">
        <w:t> ‘</w:t>
      </w:r>
      <w:r w:rsidRPr="006251E2">
        <w:t xml:space="preserve">for even the </w:t>
      </w:r>
      <w:r w:rsidRPr="009049D9">
        <w:t>slight</w:t>
      </w:r>
      <w:r w:rsidRPr="006251E2">
        <w:t xml:space="preserve"> fault of </w:t>
      </w:r>
      <w:r>
        <w:t xml:space="preserve">[their] </w:t>
      </w:r>
      <w:r w:rsidRPr="006251E2">
        <w:t>victim</w:t>
      </w:r>
      <w:r>
        <w:t>.</w:t>
      </w:r>
      <w:r w:rsidR="00ED2327">
        <w:t>’ </w:t>
      </w:r>
      <w:r>
        <w:t>”  (</w:t>
      </w:r>
      <w:bookmarkStart w:id="95" w:name="Psych_Cite_57"/>
      <w:r>
        <w:rPr>
          <w:i/>
          <w:iCs/>
        </w:rPr>
        <w:t xml:space="preserve">Id. </w:t>
      </w:r>
      <w:r>
        <w:t>at p. 810, fn.</w:t>
      </w:r>
      <w:r w:rsidR="00ED2327">
        <w:t xml:space="preserve"> 3</w:t>
      </w:r>
      <w:bookmarkEnd w:id="95"/>
      <w:r>
        <w:t xml:space="preserve">.)  </w:t>
      </w:r>
    </w:p>
    <w:p w14:paraId="483EBDCD" w14:textId="5EFAF7C9" w:rsidR="00097203" w:rsidRDefault="00097203" w:rsidP="00097203">
      <w:pPr>
        <w:tabs>
          <w:tab w:val="left" w:pos="720"/>
        </w:tabs>
        <w:spacing w:line="480" w:lineRule="atLeast"/>
      </w:pPr>
      <w:r>
        <w:lastRenderedPageBreak/>
        <w:tab/>
        <w:t xml:space="preserve">To address this harshness, courts developed </w:t>
      </w:r>
      <w:proofErr w:type="gramStart"/>
      <w:r>
        <w:t>several</w:t>
      </w:r>
      <w:proofErr w:type="gramEnd"/>
      <w:r>
        <w:t xml:space="preserve"> limitations on the contributory negligence doctrine.  One relevant limitation was that the doctrine applied only where the defendant was liable on the basis of </w:t>
      </w:r>
      <w:r>
        <w:rPr>
          <w:i/>
          <w:iCs/>
        </w:rPr>
        <w:t>negligence</w:t>
      </w:r>
      <w:r>
        <w:t>, and was inapplicable where the defendant was liable on the basis of “willful misconduct” (</w:t>
      </w:r>
      <w:bookmarkStart w:id="96" w:name="Psych_Cite_60"/>
      <w:r>
        <w:rPr>
          <w:i/>
          <w:iCs/>
        </w:rPr>
        <w:t>Li</w:t>
      </w:r>
      <w:r>
        <w:t xml:space="preserve">, </w:t>
      </w:r>
      <w:r w:rsidRPr="007D09FA">
        <w:rPr>
          <w:i/>
          <w:iCs/>
        </w:rPr>
        <w:t>supra</w:t>
      </w:r>
      <w:r w:rsidRPr="007D09FA">
        <w:t>,</w:t>
      </w:r>
      <w:r>
        <w:t xml:space="preserve"> 13 Cal.3d at p. 825</w:t>
      </w:r>
      <w:bookmarkEnd w:id="96"/>
      <w:r>
        <w:t>) or “an intentional wrong” (</w:t>
      </w:r>
      <w:bookmarkStart w:id="97" w:name="Psych_Cite_61"/>
      <w:r w:rsidRPr="000E3281">
        <w:rPr>
          <w:i/>
          <w:iCs/>
        </w:rPr>
        <w:t>Security-First</w:t>
      </w:r>
      <w:r w:rsidR="00466E76">
        <w:rPr>
          <w:i/>
          <w:iCs/>
        </w:rPr>
        <w:t xml:space="preserve"> Nat.</w:t>
      </w:r>
      <w:r w:rsidRPr="000E3281">
        <w:rPr>
          <w:i/>
          <w:iCs/>
        </w:rPr>
        <w:t xml:space="preserve"> Bank of Los Angeles v. Earp</w:t>
      </w:r>
      <w:r>
        <w:rPr>
          <w:i/>
          <w:iCs/>
        </w:rPr>
        <w:t xml:space="preserve"> </w:t>
      </w:r>
      <w:r>
        <w:t>(1942) 19 Cal.2d 774, 777</w:t>
      </w:r>
      <w:bookmarkEnd w:id="97"/>
      <w:r>
        <w:t xml:space="preserve">).  And because battery is an “intentional tort[],” courts held that the contributory negligence defense was “unavailable” to defendants in actions for battery,  </w:t>
      </w:r>
      <w:bookmarkStart w:id="98" w:name="_Hlk44336906"/>
      <w:r>
        <w:t>(</w:t>
      </w:r>
      <w:bookmarkStart w:id="99" w:name="Psych_Cite_62"/>
      <w:proofErr w:type="spellStart"/>
      <w:r>
        <w:rPr>
          <w:i/>
          <w:iCs/>
        </w:rPr>
        <w:t>Bartosh</w:t>
      </w:r>
      <w:proofErr w:type="spellEnd"/>
      <w:r>
        <w:rPr>
          <w:i/>
          <w:iCs/>
        </w:rPr>
        <w:t xml:space="preserve"> v. Banning </w:t>
      </w:r>
      <w:r>
        <w:t>(1967) 251 Cal.App.2d 378, 385</w:t>
      </w:r>
      <w:bookmarkEnd w:id="99"/>
      <w:r>
        <w:t>.)</w:t>
      </w:r>
      <w:bookmarkEnd w:id="98"/>
      <w:r>
        <w:t xml:space="preserve">  “</w:t>
      </w:r>
      <w:r w:rsidRPr="00265330">
        <w:t xml:space="preserve">As between the guilty aggressor and the person attacked the former </w:t>
      </w:r>
      <w:r>
        <w:t xml:space="preserve">[could] </w:t>
      </w:r>
      <w:r w:rsidRPr="00265330">
        <w:t>not shield himself behind the charge that his victim may have been guilty of contributory negligence</w:t>
      </w:r>
      <w:r w:rsidR="00572805">
        <w:t> . . . .</w:t>
      </w:r>
      <w:r>
        <w:t>”  (</w:t>
      </w:r>
      <w:bookmarkStart w:id="100" w:name="Psych_Cite_59"/>
      <w:r>
        <w:rPr>
          <w:i/>
          <w:iCs/>
        </w:rPr>
        <w:t>Ibi</w:t>
      </w:r>
      <w:bookmarkEnd w:id="100"/>
      <w:r>
        <w:rPr>
          <w:i/>
          <w:iCs/>
        </w:rPr>
        <w:t>d.</w:t>
      </w:r>
      <w:r>
        <w:t>)</w:t>
      </w:r>
    </w:p>
    <w:p w14:paraId="2A0439AA" w14:textId="2ABD2BBF" w:rsidR="00097203" w:rsidRDefault="00097203" w:rsidP="00097203">
      <w:pPr>
        <w:tabs>
          <w:tab w:val="left" w:pos="720"/>
        </w:tabs>
        <w:spacing w:line="480" w:lineRule="atLeast"/>
      </w:pPr>
      <w:r>
        <w:tab/>
        <w:t xml:space="preserve">In 1975, in </w:t>
      </w:r>
      <w:bookmarkStart w:id="101" w:name="Psych_Cite_67"/>
      <w:r>
        <w:rPr>
          <w:i/>
          <w:iCs/>
        </w:rPr>
        <w:t>Li</w:t>
      </w:r>
      <w:r>
        <w:t xml:space="preserve">, </w:t>
      </w:r>
      <w:r w:rsidRPr="007D09FA">
        <w:rPr>
          <w:i/>
          <w:iCs/>
        </w:rPr>
        <w:t>supra</w:t>
      </w:r>
      <w:r w:rsidRPr="007D09FA">
        <w:t>,</w:t>
      </w:r>
      <w:r>
        <w:t xml:space="preserve"> 13 Cal.3d at page 829</w:t>
      </w:r>
      <w:bookmarkEnd w:id="101"/>
      <w:r>
        <w:t xml:space="preserve">, we </w:t>
      </w:r>
      <w:r w:rsidRPr="00DC65D1">
        <w:t>abolished</w:t>
      </w:r>
      <w:r>
        <w:t xml:space="preserve"> the contributory negligence defense and replaced it with “</w:t>
      </w:r>
      <w:r w:rsidRPr="007D2C08">
        <w:t xml:space="preserve">a system of </w:t>
      </w:r>
      <w:r>
        <w:t xml:space="preserve">‘pure’ </w:t>
      </w:r>
      <w:r w:rsidRPr="007D2C08">
        <w:t>comparative negligence</w:t>
      </w:r>
      <w:r>
        <w:t>” that “</w:t>
      </w:r>
      <w:r w:rsidRPr="00123F74">
        <w:t>assess</w:t>
      </w:r>
      <w:r>
        <w:t>[</w:t>
      </w:r>
      <w:r w:rsidRPr="00123F74">
        <w:t>es</w:t>
      </w:r>
      <w:r>
        <w:t>]</w:t>
      </w:r>
      <w:r w:rsidRPr="00123F74">
        <w:t xml:space="preserve"> liability in proportion to</w:t>
      </w:r>
      <w:r>
        <w:t xml:space="preserve"> negligence.”  Under that system, we explained, “</w:t>
      </w:r>
      <w:bookmarkStart w:id="102" w:name="QUOTE_BOOKMARK_IS_CONFIRMED_22"/>
      <w:r w:rsidR="00F30C27">
        <w:t>liability for damage will be borne by those whose negligence caused it in direct proportion to their respective fault</w:t>
      </w:r>
      <w:bookmarkEnd w:id="102"/>
      <w:r>
        <w:t>” (</w:t>
      </w:r>
      <w:bookmarkStart w:id="103" w:name="Psych_Cite_63"/>
      <w:r>
        <w:rPr>
          <w:i/>
          <w:iCs/>
        </w:rPr>
        <w:t>id.</w:t>
      </w:r>
      <w:r>
        <w:t xml:space="preserve"> at p. 813</w:t>
      </w:r>
      <w:bookmarkEnd w:id="103"/>
      <w:r>
        <w:t>), meaning “</w:t>
      </w:r>
      <w:bookmarkStart w:id="104" w:name="QUOTE_BOOKMARK_IS_CONFIRMED_23"/>
      <w:r w:rsidR="00F30C27">
        <w:t>the amount of [their] negligence</w:t>
      </w:r>
      <w:bookmarkEnd w:id="104"/>
      <w:r>
        <w:t>” (</w:t>
      </w:r>
      <w:bookmarkStart w:id="105" w:name="Psych_Cite_64"/>
      <w:r>
        <w:rPr>
          <w:i/>
          <w:iCs/>
        </w:rPr>
        <w:t xml:space="preserve">id. </w:t>
      </w:r>
      <w:r>
        <w:t>at p. 829</w:t>
      </w:r>
      <w:bookmarkEnd w:id="105"/>
      <w:r>
        <w:t>).  In setting forth th</w:t>
      </w:r>
      <w:r w:rsidR="00F708FC">
        <w:t>is</w:t>
      </w:r>
      <w:r>
        <w:t xml:space="preserve"> rule, we also explained</w:t>
      </w:r>
      <w:r w:rsidR="00327BEC">
        <w:t xml:space="preserve"> that</w:t>
      </w:r>
      <w:r>
        <w:t xml:space="preserve"> the terms “fault” and “negligence” are interchangeable, the latter “</w:t>
      </w:r>
      <w:r w:rsidRPr="00A54FDB">
        <w:t>import</w:t>
      </w:r>
      <w:r>
        <w:t>[</w:t>
      </w:r>
      <w:proofErr w:type="spellStart"/>
      <w:r>
        <w:t>ing</w:t>
      </w:r>
      <w:proofErr w:type="spellEnd"/>
      <w:r>
        <w:t>]</w:t>
      </w:r>
      <w:r w:rsidRPr="00A54FDB">
        <w:t xml:space="preserve"> nothing more than </w:t>
      </w:r>
      <w:r>
        <w:t>‘</w:t>
      </w:r>
      <w:r w:rsidRPr="00A54FDB">
        <w:t>negligence</w:t>
      </w:r>
      <w:r>
        <w:t>’</w:t>
      </w:r>
      <w:r w:rsidRPr="00A54FDB">
        <w:t xml:space="preserve"> in the </w:t>
      </w:r>
      <w:r w:rsidRPr="00A54FDB">
        <w:lastRenderedPageBreak/>
        <w:t>accepted legal sense</w:t>
      </w:r>
      <w:r>
        <w:t>.”</w:t>
      </w:r>
      <w:r>
        <w:rPr>
          <w:rStyle w:val="FootnoteReference"/>
        </w:rPr>
        <w:footnoteReference w:id="3"/>
      </w:r>
      <w:r>
        <w:t xml:space="preserve">  (</w:t>
      </w:r>
      <w:r w:rsidR="00522A5F" w:rsidRPr="00D11A0B">
        <w:rPr>
          <w:i/>
          <w:iCs/>
        </w:rPr>
        <w:t>Li</w:t>
      </w:r>
      <w:r w:rsidR="00522A5F">
        <w:t>,</w:t>
      </w:r>
      <w:r>
        <w:rPr>
          <w:i/>
          <w:iCs/>
        </w:rPr>
        <w:t xml:space="preserve"> </w:t>
      </w:r>
      <w:r>
        <w:t>at p. 813, fn.</w:t>
      </w:r>
      <w:r w:rsidR="00522A5F">
        <w:t xml:space="preserve"> 6.</w:t>
      </w:r>
      <w:r>
        <w:t>)  Thus, the new rule of proportionate liability, we said, applies “</w:t>
      </w:r>
      <w:bookmarkStart w:id="109" w:name="QUOTE_BOOKMARK_IS_CONFIRMED_24"/>
      <w:r w:rsidR="00F30C27">
        <w:t>in all actions for negligence.</w:t>
      </w:r>
      <w:bookmarkEnd w:id="109"/>
      <w:r>
        <w:t>”  (</w:t>
      </w:r>
      <w:bookmarkStart w:id="110" w:name="Psych_Cite_65"/>
      <w:r>
        <w:rPr>
          <w:i/>
          <w:iCs/>
        </w:rPr>
        <w:t>I</w:t>
      </w:r>
      <w:r w:rsidR="005805F2">
        <w:rPr>
          <w:i/>
          <w:iCs/>
        </w:rPr>
        <w:t>d.</w:t>
      </w:r>
      <w:r w:rsidR="005805F2">
        <w:t xml:space="preserve"> at p. 829.)</w:t>
      </w:r>
      <w:bookmarkEnd w:id="110"/>
      <w:r>
        <w:t xml:space="preserve">  We expressly declined to address the rule’s applicability in actions based on willful or intentional misconduct.  (</w:t>
      </w:r>
      <w:bookmarkStart w:id="111" w:name="Psych_Cite_66"/>
      <w:r>
        <w:rPr>
          <w:i/>
          <w:iCs/>
        </w:rPr>
        <w:t xml:space="preserve">Id. </w:t>
      </w:r>
      <w:r>
        <w:t>at p. 826</w:t>
      </w:r>
      <w:bookmarkEnd w:id="111"/>
      <w:r>
        <w:t>.)</w:t>
      </w:r>
    </w:p>
    <w:p w14:paraId="7F250093" w14:textId="0142311A" w:rsidR="00097203" w:rsidRDefault="00097203" w:rsidP="00097203">
      <w:pPr>
        <w:tabs>
          <w:tab w:val="left" w:pos="720"/>
        </w:tabs>
        <w:spacing w:line="480" w:lineRule="atLeast"/>
      </w:pPr>
      <w:r>
        <w:tab/>
        <w:t xml:space="preserve">Three years later, in </w:t>
      </w:r>
      <w:r w:rsidRPr="00431F77">
        <w:rPr>
          <w:i/>
          <w:iCs/>
        </w:rPr>
        <w:t>American Motorcycle</w:t>
      </w:r>
      <w:r>
        <w:t xml:space="preserve">, we considered </w:t>
      </w:r>
      <w:r>
        <w:rPr>
          <w:i/>
          <w:iCs/>
        </w:rPr>
        <w:t>Li</w:t>
      </w:r>
      <w:r>
        <w:t>’s impact on a tort principle that would later become the target of Proposition 51:  the rule of “joint and several liability” for concurrent tortfeasors “who have negligently inflicted the harm.”  (</w:t>
      </w:r>
      <w:bookmarkStart w:id="112" w:name="Psych_Cite_72"/>
      <w:r>
        <w:rPr>
          <w:i/>
          <w:iCs/>
        </w:rPr>
        <w:t>American Motorcycle</w:t>
      </w:r>
      <w:r>
        <w:t>,</w:t>
      </w:r>
      <w:r>
        <w:rPr>
          <w:i/>
          <w:iCs/>
        </w:rPr>
        <w:t xml:space="preserve"> </w:t>
      </w:r>
      <w:r w:rsidRPr="007D09FA">
        <w:rPr>
          <w:i/>
          <w:iCs/>
        </w:rPr>
        <w:t>supra</w:t>
      </w:r>
      <w:r>
        <w:t>, 20 Cal.3d at p. 583</w:t>
      </w:r>
      <w:bookmarkEnd w:id="112"/>
      <w:r>
        <w:t>.)  Under this rule, “</w:t>
      </w:r>
      <w:r w:rsidRPr="00C0106A">
        <w:t>each tortfeasor whose negligence is a proximate cause of an indivisible injury remains individually liable for all compensable damages attributable to that injury</w:t>
      </w:r>
      <w:r>
        <w:t>” (</w:t>
      </w:r>
      <w:bookmarkStart w:id="113" w:name="Psych_Cite_69"/>
      <w:r>
        <w:rPr>
          <w:i/>
          <w:iCs/>
        </w:rPr>
        <w:t>id.</w:t>
      </w:r>
      <w:r>
        <w:t xml:space="preserve"> at p.</w:t>
      </w:r>
      <w:r w:rsidR="004230DE">
        <w:t xml:space="preserve"> 582</w:t>
      </w:r>
      <w:bookmarkEnd w:id="113"/>
      <w:r>
        <w:t>), “</w:t>
      </w:r>
      <w:r w:rsidRPr="00CA6BD5">
        <w:t xml:space="preserve">and the injured person may sue one or all of the tortfeasors to obtain a </w:t>
      </w:r>
      <w:r>
        <w:t xml:space="preserve">[full] </w:t>
      </w:r>
      <w:r w:rsidRPr="00CA6BD5">
        <w:t>recovery</w:t>
      </w:r>
      <w:r>
        <w:t xml:space="preserve"> for his </w:t>
      </w:r>
      <w:r w:rsidR="00621031">
        <w:t xml:space="preserve">[or her] </w:t>
      </w:r>
      <w:r>
        <w:t>injuries”</w:t>
      </w:r>
      <w:r w:rsidR="00B841B9">
        <w:t xml:space="preserve"> </w:t>
      </w:r>
      <w:r>
        <w:t>(</w:t>
      </w:r>
      <w:bookmarkStart w:id="114" w:name="Psych_Cite_70"/>
      <w:r w:rsidR="00B841B9">
        <w:rPr>
          <w:i/>
          <w:iCs/>
        </w:rPr>
        <w:t>i</w:t>
      </w:r>
      <w:r>
        <w:rPr>
          <w:i/>
          <w:iCs/>
        </w:rPr>
        <w:t xml:space="preserve">d. </w:t>
      </w:r>
      <w:r>
        <w:t>at p. 587</w:t>
      </w:r>
      <w:bookmarkEnd w:id="114"/>
      <w:r>
        <w:t>)</w:t>
      </w:r>
      <w:r w:rsidR="00B841B9">
        <w:t>.</w:t>
      </w:r>
      <w:r>
        <w:t xml:space="preserve">  The defendant in </w:t>
      </w:r>
      <w:r>
        <w:rPr>
          <w:i/>
          <w:iCs/>
        </w:rPr>
        <w:t xml:space="preserve">American Motorcycle </w:t>
      </w:r>
      <w:r>
        <w:t xml:space="preserve">argued that </w:t>
      </w:r>
      <w:r>
        <w:rPr>
          <w:i/>
          <w:iCs/>
        </w:rPr>
        <w:t xml:space="preserve">Li </w:t>
      </w:r>
      <w:r>
        <w:t>compelled replacement of the joint and several liability rule with “</w:t>
      </w:r>
      <w:r w:rsidRPr="00F27190">
        <w:t xml:space="preserve">a new rule of </w:t>
      </w:r>
      <w:r>
        <w:t>‘</w:t>
      </w:r>
      <w:r w:rsidRPr="00F27190">
        <w:t>proportionate liability,</w:t>
      </w:r>
      <w:r>
        <w:t>’</w:t>
      </w:r>
      <w:r w:rsidRPr="00F27190">
        <w:t xml:space="preserve"> under which each concurrent tortfeasor who has proximately caused an indivisible </w:t>
      </w:r>
      <w:r w:rsidRPr="00F27190">
        <w:lastRenderedPageBreak/>
        <w:t>harm may be held liable only for a portion of plaintiff’s recovery, determined on a comparative fault basis.</w:t>
      </w:r>
      <w:r>
        <w:t>”  (</w:t>
      </w:r>
      <w:bookmarkStart w:id="115" w:name="Psych_Cite_73"/>
      <w:r>
        <w:rPr>
          <w:i/>
          <w:iCs/>
        </w:rPr>
        <w:t>American Motorcycle</w:t>
      </w:r>
      <w:r>
        <w:t>,</w:t>
      </w:r>
      <w:r>
        <w:rPr>
          <w:i/>
          <w:iCs/>
        </w:rPr>
        <w:t xml:space="preserve"> </w:t>
      </w:r>
      <w:r>
        <w:t>at pp. 585</w:t>
      </w:r>
      <w:r w:rsidR="00AF790C">
        <w:t>–</w:t>
      </w:r>
      <w:r>
        <w:t>586</w:t>
      </w:r>
      <w:bookmarkEnd w:id="115"/>
      <w:r w:rsidR="004230DE">
        <w:t>, italics omitted</w:t>
      </w:r>
      <w:r>
        <w:t>.)  We disagreed, holding that “</w:t>
      </w:r>
      <w:r w:rsidRPr="00161CEF">
        <w:t xml:space="preserve">after </w:t>
      </w:r>
      <w:r w:rsidRPr="0036063E">
        <w:rPr>
          <w:i/>
          <w:iCs/>
        </w:rPr>
        <w:t>Li</w:t>
      </w:r>
      <w:r w:rsidRPr="00161CEF">
        <w:t xml:space="preserve">, a concurrent tortfeasor whose negligence is a proximate cause of an indivisible injury remains liable for the total amount of damages, diminished only </w:t>
      </w:r>
      <w:r>
        <w:t>‘</w:t>
      </w:r>
      <w:r w:rsidRPr="00161CEF">
        <w:t>in proportion to the amount of negligence attributable to the person recovering.</w:t>
      </w:r>
      <w:r>
        <w:t>’ </w:t>
      </w:r>
      <w:r w:rsidRPr="00161CEF">
        <w:t>”</w:t>
      </w:r>
      <w:r>
        <w:t xml:space="preserve">  </w:t>
      </w:r>
      <w:r w:rsidR="004230DE">
        <w:t>(</w:t>
      </w:r>
      <w:r w:rsidR="004230DE">
        <w:rPr>
          <w:i/>
          <w:iCs/>
        </w:rPr>
        <w:t>Id.</w:t>
      </w:r>
      <w:r w:rsidR="004230DE">
        <w:t xml:space="preserve"> at p. 590.)</w:t>
      </w:r>
    </w:p>
    <w:p w14:paraId="49941517" w14:textId="3B41D1FE" w:rsidR="00097203" w:rsidRDefault="00097203" w:rsidP="00D25540">
      <w:pPr>
        <w:tabs>
          <w:tab w:val="left" w:pos="720"/>
        </w:tabs>
        <w:spacing w:before="240" w:line="480" w:lineRule="atLeast"/>
      </w:pPr>
      <w:r>
        <w:tab/>
        <w:t xml:space="preserve">We further held, however, that “the principles underlying </w:t>
      </w:r>
      <w:r>
        <w:rPr>
          <w:i/>
          <w:iCs/>
        </w:rPr>
        <w:t>Li</w:t>
      </w:r>
      <w:r>
        <w:t xml:space="preserve">” warranted “modification” of a separate common law principle that </w:t>
      </w:r>
      <w:r w:rsidRPr="00253ED1">
        <w:t>govern</w:t>
      </w:r>
      <w:r>
        <w:t>ed</w:t>
      </w:r>
      <w:r w:rsidRPr="00253ED1">
        <w:t xml:space="preserve"> the allocation of loss</w:t>
      </w:r>
      <w:r>
        <w:t xml:space="preserve">, not </w:t>
      </w:r>
      <w:r w:rsidRPr="00A5481E">
        <w:t xml:space="preserve">vis-à-vis </w:t>
      </w:r>
      <w:r>
        <w:t xml:space="preserve">the plaintiff, but </w:t>
      </w:r>
      <w:r w:rsidRPr="004D1A09">
        <w:t>among</w:t>
      </w:r>
      <w:r w:rsidRPr="00253ED1">
        <w:t xml:space="preserve"> multiple tortfeasors</w:t>
      </w:r>
      <w:r>
        <w:t>:  the “</w:t>
      </w:r>
      <w:r w:rsidRPr="00C249EF">
        <w:t>equitable indemnity doctrine</w:t>
      </w:r>
      <w:r>
        <w:t>.”  (</w:t>
      </w:r>
      <w:bookmarkStart w:id="116" w:name="Psych_Cite_81"/>
      <w:r>
        <w:rPr>
          <w:i/>
          <w:iCs/>
        </w:rPr>
        <w:t>American Motorcycle</w:t>
      </w:r>
      <w:r>
        <w:t>,</w:t>
      </w:r>
      <w:r>
        <w:rPr>
          <w:i/>
          <w:iCs/>
        </w:rPr>
        <w:t xml:space="preserve"> </w:t>
      </w:r>
      <w:r w:rsidRPr="007D09FA">
        <w:rPr>
          <w:i/>
          <w:iCs/>
        </w:rPr>
        <w:t>supra</w:t>
      </w:r>
      <w:r w:rsidRPr="007D09FA">
        <w:t>,</w:t>
      </w:r>
      <w:r>
        <w:t xml:space="preserve"> 20 Cal.3d at p. 591</w:t>
      </w:r>
      <w:bookmarkEnd w:id="116"/>
      <w:r>
        <w:t>.)  Under “[e]</w:t>
      </w:r>
      <w:proofErr w:type="spellStart"/>
      <w:r w:rsidRPr="00285DEB">
        <w:t>arly</w:t>
      </w:r>
      <w:proofErr w:type="spellEnd"/>
      <w:r w:rsidRPr="00285DEB">
        <w:t xml:space="preserve"> California decisions,</w:t>
      </w:r>
      <w:r>
        <w:t xml:space="preserve">” we explained, a </w:t>
      </w:r>
      <w:r w:rsidRPr="00285DEB">
        <w:t xml:space="preserve">tortfeasor </w:t>
      </w:r>
      <w:r>
        <w:t>held liable for all of the plaintiff’s damages had no “</w:t>
      </w:r>
      <w:r w:rsidRPr="00285DEB">
        <w:t>right to contribution</w:t>
      </w:r>
      <w:r>
        <w:t>” from other tortfeasors</w:t>
      </w:r>
      <w:r w:rsidRPr="00285DEB">
        <w:t xml:space="preserve"> </w:t>
      </w:r>
      <w:r>
        <w:t>who had contributed to the plaintiff’s injury.  (</w:t>
      </w:r>
      <w:bookmarkStart w:id="117" w:name="Psych_Cite_74"/>
      <w:r>
        <w:rPr>
          <w:i/>
          <w:iCs/>
        </w:rPr>
        <w:t>Id.</w:t>
      </w:r>
      <w:r w:rsidR="0074485D">
        <w:t xml:space="preserve"> </w:t>
      </w:r>
      <w:r>
        <w:t>at p.</w:t>
      </w:r>
      <w:r w:rsidR="0074485D">
        <w:t xml:space="preserve"> 592</w:t>
      </w:r>
      <w:bookmarkEnd w:id="117"/>
      <w:r>
        <w:t>.)  In later years, out of concern about the “</w:t>
      </w:r>
      <w:r w:rsidRPr="007D724E">
        <w:t xml:space="preserve">injustice of </w:t>
      </w:r>
      <w:r>
        <w:t xml:space="preserve">requiring </w:t>
      </w:r>
      <w:r w:rsidRPr="00A6433B">
        <w:t>one tortfeasor</w:t>
      </w:r>
      <w:r>
        <w:t xml:space="preserve"> to </w:t>
      </w:r>
      <w:r w:rsidRPr="00A6433B">
        <w:t>bear an entire loss while another more culpable tortfeasor escaped with impunity</w:t>
      </w:r>
      <w:r>
        <w:t>,” courts “</w:t>
      </w:r>
      <w:r w:rsidRPr="007D724E">
        <w:t>develop</w:t>
      </w:r>
      <w:r>
        <w:t>[ed]</w:t>
      </w:r>
      <w:r w:rsidRPr="007D724E">
        <w:t xml:space="preserve"> an equitable exception to the no contribution rule</w:t>
      </w:r>
      <w:r>
        <w:t>” (</w:t>
      </w:r>
      <w:bookmarkStart w:id="118" w:name="Psych_Cite_75"/>
      <w:r>
        <w:rPr>
          <w:i/>
          <w:iCs/>
        </w:rPr>
        <w:t>i</w:t>
      </w:r>
      <w:r w:rsidR="0074485D">
        <w:rPr>
          <w:i/>
          <w:iCs/>
        </w:rPr>
        <w:t>bid</w:t>
      </w:r>
      <w:r w:rsidR="003D5101">
        <w:rPr>
          <w:i/>
          <w:iCs/>
        </w:rPr>
        <w:t>.</w:t>
      </w:r>
      <w:r w:rsidR="003D5101">
        <w:t>)</w:t>
      </w:r>
      <w:bookmarkEnd w:id="118"/>
      <w:r w:rsidR="00EC47AD">
        <w:t>,</w:t>
      </w:r>
      <w:r>
        <w:t xml:space="preserve"> </w:t>
      </w:r>
      <w:r w:rsidR="00EC47AD">
        <w:t xml:space="preserve">which </w:t>
      </w:r>
      <w:r>
        <w:t>allowed “</w:t>
      </w:r>
      <w:r w:rsidRPr="0021700C">
        <w:t xml:space="preserve">a </w:t>
      </w:r>
      <w:r>
        <w:t>‘</w:t>
      </w:r>
      <w:r w:rsidRPr="0021700C">
        <w:t>passively</w:t>
      </w:r>
      <w:r>
        <w:t>’</w:t>
      </w:r>
      <w:r w:rsidRPr="0021700C">
        <w:t xml:space="preserve"> or </w:t>
      </w:r>
      <w:r>
        <w:t>‘</w:t>
      </w:r>
      <w:r w:rsidRPr="0021700C">
        <w:t>secondarily</w:t>
      </w:r>
      <w:r>
        <w:t>’</w:t>
      </w:r>
      <w:r w:rsidRPr="0021700C">
        <w:t xml:space="preserve"> negligent tortfeasor to shift his </w:t>
      </w:r>
      <w:r w:rsidR="00621031">
        <w:t xml:space="preserve">[or her] </w:t>
      </w:r>
      <w:r w:rsidRPr="0021700C">
        <w:t>liability completely to a more directly culpable party</w:t>
      </w:r>
      <w:r>
        <w:t>” (</w:t>
      </w:r>
      <w:bookmarkStart w:id="119" w:name="Psych_Cite_76"/>
      <w:r>
        <w:rPr>
          <w:i/>
          <w:iCs/>
        </w:rPr>
        <w:t xml:space="preserve">id. </w:t>
      </w:r>
      <w:r>
        <w:t>at p. 583</w:t>
      </w:r>
      <w:bookmarkEnd w:id="119"/>
      <w:r>
        <w:t>).  But the “</w:t>
      </w:r>
      <w:r w:rsidRPr="00772E83">
        <w:t>all-or-nothing aspect of</w:t>
      </w:r>
      <w:r>
        <w:t>” this supposedly equitable exception “</w:t>
      </w:r>
      <w:r w:rsidRPr="00772E83">
        <w:t>ha</w:t>
      </w:r>
      <w:r>
        <w:t>[d]</w:t>
      </w:r>
      <w:r w:rsidRPr="00772E83">
        <w:t xml:space="preserve"> precluded courts from reaching a just </w:t>
      </w:r>
      <w:r w:rsidRPr="00772E83">
        <w:lastRenderedPageBreak/>
        <w:t>solution in the great majority of cases in which equity and fairness call</w:t>
      </w:r>
      <w:r>
        <w:t>[ed]</w:t>
      </w:r>
      <w:r w:rsidRPr="00772E83">
        <w:t xml:space="preserve"> for an apportionment of loss between the wrongdoers in proportion to their relative culpability, rather than the imposition of the entire loss upon one or the other tortfeasor.</w:t>
      </w:r>
      <w:r>
        <w:t>”  (</w:t>
      </w:r>
      <w:bookmarkStart w:id="120" w:name="Psych_Cite_77"/>
      <w:r>
        <w:rPr>
          <w:i/>
          <w:iCs/>
        </w:rPr>
        <w:t xml:space="preserve">Id. </w:t>
      </w:r>
      <w:r>
        <w:t>at p. 595</w:t>
      </w:r>
      <w:bookmarkEnd w:id="120"/>
      <w:r>
        <w:t>.)  “</w:t>
      </w:r>
      <w:bookmarkStart w:id="121" w:name="QUOTE_BOOKMARK_IS_CONFIRMED_25"/>
      <w:r w:rsidR="00B26904">
        <w:t> </w:t>
      </w:r>
      <w:r w:rsidR="00F30C27">
        <w:t>‘[T]here is obvious lack of sense and justice,’</w:t>
      </w:r>
      <w:bookmarkEnd w:id="121"/>
      <w:r w:rsidR="00B26904">
        <w:t> </w:t>
      </w:r>
      <w:r>
        <w:t>” we</w:t>
      </w:r>
      <w:r w:rsidR="004D4EF5">
        <w:t xml:space="preserve"> said</w:t>
      </w:r>
      <w:r>
        <w:t>, “</w:t>
      </w:r>
      <w:bookmarkStart w:id="122" w:name="QUOTE_BOOKMARK_IS_CONFIRMED_26"/>
      <w:r w:rsidR="00B26904">
        <w:t> </w:t>
      </w:r>
      <w:r w:rsidR="006A1342">
        <w:t>‘in a rule [that] permits the entire burden of a loss, for which two defendants were . . . unintentionally responsible, to be shouldered onto one alone, . . . while the latter goes scot free.’</w:t>
      </w:r>
      <w:bookmarkEnd w:id="122"/>
      <w:r w:rsidR="00B26904">
        <w:t> </w:t>
      </w:r>
      <w:r w:rsidRPr="00A60049">
        <w:t>”</w:t>
      </w:r>
      <w:r>
        <w:t xml:space="preserve">  (</w:t>
      </w:r>
      <w:bookmarkStart w:id="123" w:name="Psych_Cite_78"/>
      <w:r>
        <w:rPr>
          <w:i/>
          <w:iCs/>
        </w:rPr>
        <w:t xml:space="preserve">Id. </w:t>
      </w:r>
      <w:r>
        <w:t>at pp. 607</w:t>
      </w:r>
      <w:r w:rsidR="00AF790C">
        <w:t>–</w:t>
      </w:r>
      <w:r>
        <w:t xml:space="preserve">608, </w:t>
      </w:r>
      <w:r w:rsidR="00A756E1">
        <w:t xml:space="preserve">quoting Prosser, Law of Torts (4th ed. 1971) </w:t>
      </w:r>
      <w:r w:rsidR="00A756E1" w:rsidRPr="00AB34CA">
        <w:t>§</w:t>
      </w:r>
      <w:r w:rsidR="00A756E1">
        <w:t xml:space="preserve"> 50, p. 307, </w:t>
      </w:r>
      <w:r>
        <w:t>italics added</w:t>
      </w:r>
      <w:bookmarkEnd w:id="123"/>
      <w:r>
        <w:t xml:space="preserve">.)  Therefore, we concluded, in order to “attain” the system that </w:t>
      </w:r>
      <w:r>
        <w:rPr>
          <w:i/>
          <w:iCs/>
        </w:rPr>
        <w:t xml:space="preserve">Li </w:t>
      </w:r>
      <w:r>
        <w:t>envisioned — “</w:t>
      </w:r>
      <w:bookmarkStart w:id="124" w:name="QUOTE_BOOKMARK_IS_CONFIRMED_27"/>
      <w:r w:rsidR="00C02189">
        <w:t> </w:t>
      </w:r>
      <w:r w:rsidR="006A1342">
        <w:t>‘under which liability for damage will be borne by those whose negligence caused it in direct proportion to their respective fault’</w:t>
      </w:r>
      <w:bookmarkEnd w:id="124"/>
      <w:r w:rsidR="002926E7">
        <w:t> </w:t>
      </w:r>
      <w:r w:rsidRPr="004B1473">
        <w:t>”</w:t>
      </w:r>
      <w:r>
        <w:t> (</w:t>
      </w:r>
      <w:bookmarkStart w:id="125" w:name="Psych_Cite_79"/>
      <w:r>
        <w:rPr>
          <w:i/>
          <w:iCs/>
        </w:rPr>
        <w:t xml:space="preserve">id. </w:t>
      </w:r>
      <w:r>
        <w:t>at p. 598</w:t>
      </w:r>
      <w:bookmarkEnd w:id="125"/>
      <w:r>
        <w:t>) — “</w:t>
      </w:r>
      <w:r w:rsidRPr="00074309">
        <w:t xml:space="preserve">the long-recognized common law equitable indemnity doctrine should be modified to permit, in appropriate cases, a right of partial indemnity, under which liability among multiple tortfeasors may be apportioned on a comparative </w:t>
      </w:r>
      <w:r w:rsidRPr="0051564D">
        <w:t>negligence</w:t>
      </w:r>
      <w:r w:rsidRPr="00074309">
        <w:t xml:space="preserve"> basis</w:t>
      </w:r>
      <w:r>
        <w:t>” (</w:t>
      </w:r>
      <w:bookmarkStart w:id="126" w:name="Psych_Cite_80"/>
      <w:r>
        <w:rPr>
          <w:i/>
          <w:iCs/>
        </w:rPr>
        <w:t xml:space="preserve">id. </w:t>
      </w:r>
      <w:r>
        <w:t>at p. 583</w:t>
      </w:r>
      <w:bookmarkEnd w:id="126"/>
      <w:r>
        <w:t>).</w:t>
      </w:r>
      <w:r w:rsidRPr="008E72F0">
        <w:rPr>
          <w:highlight w:val="yellow"/>
        </w:rPr>
        <w:t xml:space="preserve"> </w:t>
      </w:r>
    </w:p>
    <w:p w14:paraId="50F9FFC7" w14:textId="66A193F2" w:rsidR="00097203" w:rsidRDefault="00097203" w:rsidP="00097203">
      <w:pPr>
        <w:tabs>
          <w:tab w:val="left" w:pos="720"/>
        </w:tabs>
        <w:spacing w:line="480" w:lineRule="atLeast"/>
      </w:pPr>
      <w:r>
        <w:tab/>
        <w:t xml:space="preserve">In considering our authority to modify the rule of equitable indemnity, we discussed in </w:t>
      </w:r>
      <w:r>
        <w:rPr>
          <w:i/>
          <w:iCs/>
        </w:rPr>
        <w:t xml:space="preserve">American </w:t>
      </w:r>
      <w:r w:rsidRPr="00945E4C">
        <w:rPr>
          <w:i/>
          <w:iCs/>
        </w:rPr>
        <w:t>Motorcycle</w:t>
      </w:r>
      <w:r>
        <w:t xml:space="preserve"> a separate but related doctrine:  “</w:t>
      </w:r>
      <w:bookmarkStart w:id="127" w:name="QUOTE_BOOKMARK_IS_CONFIRMED_28"/>
      <w:r w:rsidR="006A1342">
        <w:t>contribution among tortfeasors.</w:t>
      </w:r>
      <w:bookmarkEnd w:id="127"/>
      <w:r>
        <w:t>”  (</w:t>
      </w:r>
      <w:bookmarkStart w:id="128" w:name="Psych_Cite_87"/>
      <w:r>
        <w:rPr>
          <w:i/>
          <w:iCs/>
        </w:rPr>
        <w:t>American Motorcycle</w:t>
      </w:r>
      <w:r>
        <w:t xml:space="preserve">, </w:t>
      </w:r>
      <w:r>
        <w:rPr>
          <w:i/>
          <w:iCs/>
        </w:rPr>
        <w:t>supra</w:t>
      </w:r>
      <w:r>
        <w:t>, 20 Cal. 3d at p. 596</w:t>
      </w:r>
      <w:bookmarkEnd w:id="128"/>
      <w:r>
        <w:t>.)  “In traditional terms,” we explained, the difference between the two doctrines is that indemnity involves the complete “shift[</w:t>
      </w:r>
      <w:proofErr w:type="spellStart"/>
      <w:r>
        <w:t>ing</w:t>
      </w:r>
      <w:proofErr w:type="spellEnd"/>
      <w:r>
        <w:t>]” of loss “from one tortfeasor to another</w:t>
      </w:r>
      <w:r w:rsidR="002926E7">
        <w:t>,</w:t>
      </w:r>
      <w:r>
        <w:t>” whereas contribution involves only the pro rata “shar[</w:t>
      </w:r>
      <w:proofErr w:type="spellStart"/>
      <w:r>
        <w:t>ing</w:t>
      </w:r>
      <w:proofErr w:type="spellEnd"/>
      <w:r>
        <w:t>]” — or “apportionment” — of loss.  (</w:t>
      </w:r>
      <w:bookmarkStart w:id="129" w:name="Psych_Cite_84"/>
      <w:r>
        <w:rPr>
          <w:i/>
          <w:iCs/>
        </w:rPr>
        <w:t xml:space="preserve">Id. </w:t>
      </w:r>
      <w:r>
        <w:t xml:space="preserve">at p. </w:t>
      </w:r>
      <w:r>
        <w:lastRenderedPageBreak/>
        <w:t>591</w:t>
      </w:r>
      <w:bookmarkEnd w:id="129"/>
      <w:r>
        <w:t>.)  Until 1957, California followed the common law rule “</w:t>
      </w:r>
      <w:r w:rsidRPr="004F3E01">
        <w:t>denying a tortfeasor any right to contribution whatsoever</w:t>
      </w:r>
      <w:r>
        <w:t>.”  (</w:t>
      </w:r>
      <w:bookmarkStart w:id="130" w:name="Psych_Cite_85"/>
      <w:r>
        <w:rPr>
          <w:i/>
          <w:iCs/>
        </w:rPr>
        <w:t>Id.</w:t>
      </w:r>
      <w:r w:rsidR="001B1224">
        <w:t xml:space="preserve"> </w:t>
      </w:r>
      <w:r>
        <w:t>at p.</w:t>
      </w:r>
      <w:r w:rsidR="001B1224">
        <w:t xml:space="preserve"> 592</w:t>
      </w:r>
      <w:bookmarkEnd w:id="130"/>
      <w:r>
        <w:t xml:space="preserve">.)  In that year, the Legislature established a statutory “right of contribution </w:t>
      </w:r>
      <w:bookmarkStart w:id="131" w:name="_Hlk43289576"/>
      <w:r>
        <w:t>among” multiple “</w:t>
      </w:r>
      <w:r w:rsidRPr="00E1756E">
        <w:t>defendants in a tort action</w:t>
      </w:r>
      <w:r>
        <w:t>” against whom “</w:t>
      </w:r>
      <w:r w:rsidRPr="00E1756E">
        <w:t>a money judgment has been rendered jointly</w:t>
      </w:r>
      <w:r>
        <w:t>.”  (</w:t>
      </w:r>
      <w:bookmarkStart w:id="132" w:name="Psych_Cite_82"/>
      <w:r>
        <w:t>Code Civ.</w:t>
      </w:r>
      <w:r w:rsidR="009D7914">
        <w:t xml:space="preserve"> </w:t>
      </w:r>
      <w:r>
        <w:t xml:space="preserve">Proc., § 875, </w:t>
      </w:r>
      <w:proofErr w:type="spellStart"/>
      <w:r>
        <w:t>subd</w:t>
      </w:r>
      <w:proofErr w:type="spellEnd"/>
      <w:r>
        <w:t xml:space="preserve">. </w:t>
      </w:r>
      <w:r w:rsidR="00E335F2">
        <w:t xml:space="preserve">(a), added by Stats. 1957, </w:t>
      </w:r>
      <w:proofErr w:type="spellStart"/>
      <w:r w:rsidR="00E335F2">
        <w:t>ch.</w:t>
      </w:r>
      <w:proofErr w:type="spellEnd"/>
      <w:r w:rsidR="008C4DDB">
        <w:t xml:space="preserve"> </w:t>
      </w:r>
      <w:r w:rsidR="00E335F2">
        <w:t xml:space="preserve">1700, § 1, </w:t>
      </w:r>
      <w:r w:rsidR="0004059F">
        <w:t xml:space="preserve">p. </w:t>
      </w:r>
      <w:r w:rsidR="002954F0">
        <w:t>3076</w:t>
      </w:r>
      <w:bookmarkEnd w:id="132"/>
      <w:r>
        <w:t>.)</w:t>
      </w:r>
      <w:bookmarkEnd w:id="131"/>
      <w:r>
        <w:t xml:space="preserve">  According to the statute’s legislative history, t</w:t>
      </w:r>
      <w:r w:rsidRPr="003A15C8">
        <w:t>he</w:t>
      </w:r>
      <w:r>
        <w:t xml:space="preserve"> “ ‘purpose’ ” of this change was “</w:t>
      </w:r>
      <w:bookmarkStart w:id="133" w:name="QUOTE_BOOKMARK_IS_CONFIRMED_29"/>
      <w:r w:rsidR="00FC49FE">
        <w:t> </w:t>
      </w:r>
      <w:r w:rsidR="006A1342">
        <w:t>‘to lessen the harshness of</w:t>
      </w:r>
      <w:r w:rsidR="00FC49FE">
        <w:t>’ ”</w:t>
      </w:r>
      <w:bookmarkEnd w:id="133"/>
      <w:r>
        <w:t xml:space="preserve"> the rule prohibiting contribution, which precluded a tortfeasor “ ‘</w:t>
      </w:r>
      <w:r w:rsidR="004D1DF0">
        <w:t>f</w:t>
      </w:r>
      <w:r>
        <w:t xml:space="preserve">orced </w:t>
      </w:r>
      <w:r w:rsidRPr="00B9593A">
        <w:t xml:space="preserve">to pay the </w:t>
      </w:r>
      <w:r>
        <w:t xml:space="preserve">[plaintiff’s] </w:t>
      </w:r>
      <w:r w:rsidRPr="00B9593A">
        <w:t>whole claim for</w:t>
      </w:r>
      <w:r>
        <w:t xml:space="preserve"> . . . </w:t>
      </w:r>
      <w:r w:rsidRPr="00B9593A">
        <w:t>damages</w:t>
      </w:r>
      <w:r>
        <w:t>’ ” from “</w:t>
      </w:r>
      <w:bookmarkStart w:id="134" w:name="QUOTE_BOOKMARK_IS_CONFIRMED_30"/>
      <w:r w:rsidR="00FC49FE">
        <w:t> </w:t>
      </w:r>
      <w:r w:rsidR="006A1342">
        <w:t>‘recover[</w:t>
      </w:r>
      <w:proofErr w:type="spellStart"/>
      <w:r w:rsidR="006A1342">
        <w:t>ing</w:t>
      </w:r>
      <w:proofErr w:type="spellEnd"/>
      <w:r w:rsidR="006A1342">
        <w:t>] . . . [a] pro rata share’</w:t>
      </w:r>
      <w:bookmarkEnd w:id="134"/>
      <w:r w:rsidR="00FC49FE">
        <w:t> </w:t>
      </w:r>
      <w:r>
        <w:t xml:space="preserve">” from other tortfeasors who had contributed to the injuries.  </w:t>
      </w:r>
      <w:r w:rsidRPr="007A57C5">
        <w:t>(</w:t>
      </w:r>
      <w:bookmarkStart w:id="135" w:name="Psych_Cite_88"/>
      <w:r>
        <w:rPr>
          <w:i/>
          <w:iCs/>
        </w:rPr>
        <w:t>American Motorcycle</w:t>
      </w:r>
      <w:r>
        <w:t>, at p. 601, fn.</w:t>
      </w:r>
      <w:bookmarkEnd w:id="135"/>
      <w:r>
        <w:t xml:space="preserve"> 7</w:t>
      </w:r>
      <w:r w:rsidR="004D1DF0">
        <w:t>, italics omitted</w:t>
      </w:r>
      <w:r>
        <w:t xml:space="preserve">.)  Among other things, the legislative history explained, the common law rule “ ‘ignore[d] . . . the fact that most tort liability results from </w:t>
      </w:r>
      <w:r>
        <w:rPr>
          <w:i/>
          <w:iCs/>
        </w:rPr>
        <w:t xml:space="preserve">inadvertently </w:t>
      </w:r>
      <w:r>
        <w:t xml:space="preserve">caused damage and leads to the punishment of one wrongdoer by permitting another wrongdoer to profit at his expense.’ ”  </w:t>
      </w:r>
      <w:r w:rsidRPr="007A57C5">
        <w:t>(</w:t>
      </w:r>
      <w:bookmarkStart w:id="136" w:name="Psych_Cite_86"/>
      <w:r>
        <w:rPr>
          <w:i/>
          <w:iCs/>
        </w:rPr>
        <w:t>Ibid.</w:t>
      </w:r>
      <w:r>
        <w:t>, italics ad</w:t>
      </w:r>
      <w:bookmarkEnd w:id="136"/>
      <w:r>
        <w:t>ded.)  Consistent with this explanation, the Legislature expressly denied the “</w:t>
      </w:r>
      <w:r w:rsidRPr="00976FB4">
        <w:t>right of contribution</w:t>
      </w:r>
      <w:r>
        <w:t xml:space="preserve">” to </w:t>
      </w:r>
      <w:r w:rsidRPr="00976FB4">
        <w:t>tortfeasor</w:t>
      </w:r>
      <w:r>
        <w:t>s</w:t>
      </w:r>
      <w:r w:rsidRPr="00976FB4">
        <w:t xml:space="preserve"> who </w:t>
      </w:r>
      <w:r>
        <w:t>have “</w:t>
      </w:r>
      <w:r w:rsidRPr="00976FB4">
        <w:t>intentionally injured the injured person</w:t>
      </w:r>
      <w:r>
        <w:t>.”  (</w:t>
      </w:r>
      <w:bookmarkStart w:id="137" w:name="Psych_Cite_83"/>
      <w:r>
        <w:t>Code Civ.</w:t>
      </w:r>
      <w:r w:rsidR="004D1DF0">
        <w:t xml:space="preserve"> </w:t>
      </w:r>
      <w:r>
        <w:t xml:space="preserve">Proc., § 875, </w:t>
      </w:r>
      <w:proofErr w:type="spellStart"/>
      <w:r>
        <w:t>subd</w:t>
      </w:r>
      <w:proofErr w:type="spellEnd"/>
      <w:r>
        <w:t>.</w:t>
      </w:r>
      <w:r w:rsidR="004D1DF0">
        <w:t xml:space="preserve"> (d)</w:t>
      </w:r>
      <w:bookmarkEnd w:id="137"/>
      <w:r>
        <w:t xml:space="preserve">.)  As </w:t>
      </w:r>
      <w:proofErr w:type="gramStart"/>
      <w:r>
        <w:t>several</w:t>
      </w:r>
      <w:proofErr w:type="gramEnd"/>
      <w:r>
        <w:t xml:space="preserve"> appellate courts later observed, this “</w:t>
      </w:r>
      <w:r w:rsidRPr="00781A69">
        <w:t>unequivocal</w:t>
      </w:r>
      <w:r>
        <w:t>” exclusion of intentional tortfeasors followed “</w:t>
      </w:r>
      <w:bookmarkStart w:id="138" w:name="QUOTE_BOOKMARK_IS_CONFIRMED_31"/>
      <w:r w:rsidR="006A1342">
        <w:t>the rule . . . [that] ha[d] been recognized uniformly in all jurisdictions.</w:t>
      </w:r>
      <w:bookmarkEnd w:id="138"/>
      <w:r>
        <w:t>”  (</w:t>
      </w:r>
      <w:bookmarkStart w:id="139" w:name="Psych_Cite_89"/>
      <w:proofErr w:type="spellStart"/>
      <w:r w:rsidRPr="00AE4E74">
        <w:rPr>
          <w:i/>
          <w:iCs/>
        </w:rPr>
        <w:t>Bartneck</w:t>
      </w:r>
      <w:proofErr w:type="spellEnd"/>
      <w:r w:rsidRPr="00AE4E74">
        <w:rPr>
          <w:i/>
          <w:iCs/>
        </w:rPr>
        <w:t xml:space="preserve"> v. Dunkin</w:t>
      </w:r>
      <w:r>
        <w:t xml:space="preserve"> (1969) 1 Cal.App.3d 58,</w:t>
      </w:r>
      <w:bookmarkEnd w:id="139"/>
      <w:r>
        <w:t xml:space="preserve"> 61; </w:t>
      </w:r>
      <w:bookmarkStart w:id="140" w:name="Psych_Cite_90"/>
      <w:r w:rsidR="004D1DF0">
        <w:t xml:space="preserve">see </w:t>
      </w:r>
      <w:r w:rsidRPr="00D14995">
        <w:rPr>
          <w:i/>
          <w:iCs/>
        </w:rPr>
        <w:t>Martinez v. De Los Rios</w:t>
      </w:r>
      <w:r w:rsidRPr="00C92E7C">
        <w:t xml:space="preserve"> (1960) 187 Cal.App.2d 28,</w:t>
      </w:r>
      <w:bookmarkEnd w:id="140"/>
      <w:r w:rsidRPr="00C92E7C">
        <w:t xml:space="preserve"> 34</w:t>
      </w:r>
      <w:r>
        <w:t xml:space="preserve">.)    </w:t>
      </w:r>
    </w:p>
    <w:p w14:paraId="21D648C4" w14:textId="66C86247" w:rsidR="00097203" w:rsidRDefault="00097203" w:rsidP="00097203">
      <w:pPr>
        <w:tabs>
          <w:tab w:val="left" w:pos="720"/>
        </w:tabs>
        <w:spacing w:line="480" w:lineRule="atLeast"/>
      </w:pPr>
      <w:r>
        <w:lastRenderedPageBreak/>
        <w:tab/>
        <w:t xml:space="preserve">About a month after </w:t>
      </w:r>
      <w:bookmarkStart w:id="141" w:name="Psych_Cite_94"/>
      <w:r>
        <w:rPr>
          <w:i/>
          <w:iCs/>
        </w:rPr>
        <w:t>American Motorcycle</w:t>
      </w:r>
      <w:r>
        <w:t xml:space="preserve">, in </w:t>
      </w:r>
      <w:bookmarkStart w:id="142" w:name="_Hlk44337407"/>
      <w:r>
        <w:rPr>
          <w:i/>
          <w:iCs/>
        </w:rPr>
        <w:t>Daly v. General Motors Corp.</w:t>
      </w:r>
      <w:r>
        <w:t xml:space="preserve"> (1978) 20 Cal.3d 725, 730 (</w:t>
      </w:r>
      <w:r>
        <w:rPr>
          <w:i/>
          <w:iCs/>
        </w:rPr>
        <w:t>Daly</w:t>
      </w:r>
      <w:r>
        <w:t>)</w:t>
      </w:r>
      <w:bookmarkEnd w:id="141"/>
      <w:r>
        <w:t xml:space="preserve">, </w:t>
      </w:r>
      <w:bookmarkEnd w:id="142"/>
      <w:r>
        <w:t xml:space="preserve">we extended </w:t>
      </w:r>
      <w:r w:rsidRPr="00EC5ACF">
        <w:rPr>
          <w:i/>
          <w:iCs/>
        </w:rPr>
        <w:t>Li</w:t>
      </w:r>
      <w:r>
        <w:t>’s “comparative negligence” principles to “</w:t>
      </w:r>
      <w:r w:rsidRPr="003F4749">
        <w:t>actions founded on strict products liability</w:t>
      </w:r>
      <w:r>
        <w:t xml:space="preserve">.”  In reaching this conclusion, we rejected the argument that because </w:t>
      </w:r>
      <w:r w:rsidRPr="00AB2318">
        <w:t>strict liability</w:t>
      </w:r>
      <w:r>
        <w:t xml:space="preserve"> “</w:t>
      </w:r>
      <w:bookmarkStart w:id="143" w:name="QUOTE_BOOKMARK_IS_CONFIRMED_32"/>
      <w:r w:rsidR="006A1342">
        <w:t>is not founded on negligence or fault, [it] is inhospitable to comparative principles.</w:t>
      </w:r>
      <w:bookmarkEnd w:id="143"/>
      <w:r>
        <w:t>”  (</w:t>
      </w:r>
      <w:r w:rsidR="006327A6" w:rsidRPr="00715120">
        <w:rPr>
          <w:i/>
          <w:iCs/>
        </w:rPr>
        <w:t>Daly</w:t>
      </w:r>
      <w:r w:rsidR="006327A6">
        <w:t xml:space="preserve">, </w:t>
      </w:r>
      <w:r>
        <w:t xml:space="preserve">at p. 734.)  We relied in part on the </w:t>
      </w:r>
      <w:r w:rsidRPr="006035CB">
        <w:t>Uniform Comparative Fault</w:t>
      </w:r>
      <w:r w:rsidR="006327A6">
        <w:t xml:space="preserve"> Act</w:t>
      </w:r>
      <w:r>
        <w:t xml:space="preserve">, which made comparative liability principles applicable in actions </w:t>
      </w:r>
      <w:bookmarkStart w:id="144" w:name="QUOTE_BOOKMARK_IS_CONFIRMED_33"/>
      <w:r w:rsidR="006A1342">
        <w:t>“ ‘based on fault’ ” and defined the term “ ‘</w:t>
      </w:r>
      <w:r w:rsidR="005B65AE">
        <w:t> “</w:t>
      </w:r>
      <w:r w:rsidR="006A1342">
        <w:t>Fault</w:t>
      </w:r>
      <w:r w:rsidR="005B65AE">
        <w:t>”</w:t>
      </w:r>
      <w:r w:rsidR="006A1342">
        <w:t xml:space="preserve"> [to] include[] acts or omissions that are in any measure negligent or reckless toward the person or property of the actor or others, or that subject a person to strict tort liability.’</w:t>
      </w:r>
      <w:bookmarkEnd w:id="144"/>
      <w:r w:rsidR="00274D97">
        <w:t> </w:t>
      </w:r>
      <w:r w:rsidRPr="00305CBA">
        <w:t>”</w:t>
      </w:r>
      <w:r>
        <w:t xml:space="preserve">  (</w:t>
      </w:r>
      <w:bookmarkStart w:id="145" w:name="Psych_Cite_92"/>
      <w:r>
        <w:rPr>
          <w:i/>
          <w:iCs/>
        </w:rPr>
        <w:t>Id.</w:t>
      </w:r>
      <w:r>
        <w:t xml:space="preserve"> at p. 741,</w:t>
      </w:r>
      <w:r w:rsidR="006327A6">
        <w:t xml:space="preserve"> quoting § 1 of the act</w:t>
      </w:r>
      <w:bookmarkEnd w:id="145"/>
      <w:r w:rsidR="006327A6">
        <w:t>,</w:t>
      </w:r>
      <w:r w:rsidR="00D605B3">
        <w:t xml:space="preserve"> </w:t>
      </w:r>
      <w:r>
        <w:t xml:space="preserve">italics omitted.)  </w:t>
      </w:r>
      <w:r w:rsidR="00D11A0B">
        <w:t xml:space="preserve">Among the “notable” features of these provisions, we explained, was their use of a term — </w:t>
      </w:r>
      <w:bookmarkStart w:id="146" w:name="QUOTE_BOOKMARK_IS_CONFIRMED_34"/>
      <w:r w:rsidR="00D11A0B">
        <w:t>“ ‘fault[]’ ” — that was expressly defined to encompass “negligence and strict liability.</w:t>
      </w:r>
      <w:bookmarkEnd w:id="146"/>
      <w:r w:rsidR="00D11A0B">
        <w:t>”  (</w:t>
      </w:r>
      <w:bookmarkStart w:id="147" w:name="Psych_Cite_93"/>
      <w:r w:rsidR="00D11A0B">
        <w:rPr>
          <w:i/>
          <w:iCs/>
        </w:rPr>
        <w:t>Id</w:t>
      </w:r>
      <w:r w:rsidR="00D11A0B">
        <w:t>. at p. 7</w:t>
      </w:r>
      <w:bookmarkEnd w:id="147"/>
      <w:r w:rsidR="00D11A0B">
        <w:t xml:space="preserve">42.)  </w:t>
      </w:r>
      <w:r>
        <w:t xml:space="preserve">To reflect this usage and our expansion of </w:t>
      </w:r>
      <w:r w:rsidRPr="00AB4A74">
        <w:rPr>
          <w:i/>
          <w:iCs/>
        </w:rPr>
        <w:t>Li</w:t>
      </w:r>
      <w:r>
        <w:t xml:space="preserve"> to both negligence actions and “actions founded on strict liability,” we adopted “the term ‘comparative fault’ ” to describe the doctrine.  (</w:t>
      </w:r>
      <w:bookmarkStart w:id="148" w:name="Psych_Cite_96"/>
      <w:r>
        <w:rPr>
          <w:i/>
          <w:iCs/>
        </w:rPr>
        <w:t>Daly</w:t>
      </w:r>
      <w:r>
        <w:t>, at p. 7</w:t>
      </w:r>
      <w:bookmarkEnd w:id="148"/>
      <w:r>
        <w:t xml:space="preserve">42.)    </w:t>
      </w:r>
    </w:p>
    <w:p w14:paraId="34B24804" w14:textId="6DB5EC81" w:rsidR="00097203" w:rsidRDefault="00097203" w:rsidP="00097203">
      <w:pPr>
        <w:tabs>
          <w:tab w:val="left" w:pos="720"/>
        </w:tabs>
        <w:spacing w:line="480" w:lineRule="atLeast"/>
      </w:pPr>
      <w:r>
        <w:tab/>
        <w:t xml:space="preserve">Two months after </w:t>
      </w:r>
      <w:bookmarkStart w:id="149" w:name="Psych_Cite_102"/>
      <w:r>
        <w:rPr>
          <w:i/>
          <w:iCs/>
        </w:rPr>
        <w:t>Daly</w:t>
      </w:r>
      <w:r>
        <w:t xml:space="preserve">, in </w:t>
      </w:r>
      <w:bookmarkStart w:id="150" w:name="_Hlk44337560"/>
      <w:r w:rsidRPr="00AE56C8">
        <w:rPr>
          <w:i/>
          <w:iCs/>
        </w:rPr>
        <w:t>Safeway Stores, Inc. v. Nest-Kart</w:t>
      </w:r>
      <w:r>
        <w:t xml:space="preserve"> (1978) 21 Cal.3d 322, 325 </w:t>
      </w:r>
      <w:r w:rsidRPr="00CF413B">
        <w:t>(</w:t>
      </w:r>
      <w:r>
        <w:rPr>
          <w:i/>
          <w:iCs/>
        </w:rPr>
        <w:t>Safeway</w:t>
      </w:r>
      <w:r>
        <w:t>)</w:t>
      </w:r>
      <w:bookmarkEnd w:id="149"/>
      <w:r>
        <w:t xml:space="preserve">, </w:t>
      </w:r>
      <w:bookmarkEnd w:id="150"/>
      <w:r>
        <w:t xml:space="preserve">we extended </w:t>
      </w:r>
      <w:r>
        <w:rPr>
          <w:i/>
          <w:iCs/>
        </w:rPr>
        <w:t>American Motorcycle</w:t>
      </w:r>
      <w:r>
        <w:t xml:space="preserve">’s comparative indemnity doctrine “for apportioning liability among multiple </w:t>
      </w:r>
      <w:r w:rsidRPr="00065D0E">
        <w:t>negligent</w:t>
      </w:r>
      <w:r>
        <w:t xml:space="preserve"> tortfeasors” to actions where the liability of some tortfeasors “rests” on “</w:t>
      </w:r>
      <w:r w:rsidRPr="00965651">
        <w:t>strict product liability</w:t>
      </w:r>
      <w:r>
        <w:t xml:space="preserve">.”  We reasoned in part that the social policy underlying </w:t>
      </w:r>
      <w:r>
        <w:lastRenderedPageBreak/>
        <w:t>strict liability — “</w:t>
      </w:r>
      <w:r w:rsidRPr="007C0C6D">
        <w:t>assign</w:t>
      </w:r>
      <w:r>
        <w:t>[</w:t>
      </w:r>
      <w:proofErr w:type="spellStart"/>
      <w:r>
        <w:t>ing</w:t>
      </w:r>
      <w:proofErr w:type="spellEnd"/>
      <w:r>
        <w:t>]</w:t>
      </w:r>
      <w:r w:rsidRPr="007C0C6D">
        <w:t xml:space="preserve"> liability to a party who possesses the ability to distribute losses over an appropriate segment of society</w:t>
      </w:r>
      <w:r>
        <w:t>” — “</w:t>
      </w:r>
      <w:r w:rsidRPr="00441B63">
        <w:t>ha</w:t>
      </w:r>
      <w:r>
        <w:t>[d]</w:t>
      </w:r>
      <w:r w:rsidRPr="00441B63">
        <w:t xml:space="preserve"> never been viewed as so absolute as to require, or indeed as to permit, negligent tortfeasors who have also contributed to the injury to escape all liability whatsoever</w:t>
      </w:r>
      <w:r>
        <w:t xml:space="preserve">.  </w:t>
      </w:r>
      <w:r w:rsidRPr="00000A59">
        <w:t>Instead, from the initial adoption of strict product liability in</w:t>
      </w:r>
      <w:r>
        <w:t xml:space="preserve"> [California]</w:t>
      </w:r>
      <w:r w:rsidRPr="00000A59">
        <w:t xml:space="preserve">, the propriety of awarding contribution between strictly liable and negligent defendants </w:t>
      </w:r>
      <w:r>
        <w:t xml:space="preserve">ha[d] </w:t>
      </w:r>
      <w:r w:rsidRPr="00000A59">
        <w:t>been uniformly recognized.</w:t>
      </w:r>
      <w:r>
        <w:t>”  (</w:t>
      </w:r>
      <w:bookmarkStart w:id="151" w:name="Psych_Cite_103"/>
      <w:r>
        <w:rPr>
          <w:i/>
          <w:iCs/>
        </w:rPr>
        <w:t>Safeway</w:t>
      </w:r>
      <w:r>
        <w:t>, at p. 330</w:t>
      </w:r>
      <w:bookmarkEnd w:id="151"/>
      <w:r>
        <w:t xml:space="preserve">.)  Applying </w:t>
      </w:r>
      <w:r w:rsidRPr="00AD0DBB">
        <w:rPr>
          <w:i/>
          <w:iCs/>
        </w:rPr>
        <w:t>American Motorcycle</w:t>
      </w:r>
      <w:r>
        <w:t>’s comparative indemnity doctrine in this context would simply “</w:t>
      </w:r>
      <w:r w:rsidRPr="00AD0DBB">
        <w:t>achieve a more precise apportionment of liability</w:t>
      </w:r>
      <w:r>
        <w:t xml:space="preserve"> . . . </w:t>
      </w:r>
      <w:r w:rsidRPr="00AD0DBB">
        <w:t>by allocating damages on a comparative fault or a comparative responsibility basis, rather than by fixing an inflexible pro rata apportionment pursuant to the contribution statutes</w:t>
      </w:r>
      <w:r>
        <w:t>.”  (</w:t>
      </w:r>
      <w:bookmarkStart w:id="152" w:name="Psych_Cite_98"/>
      <w:r>
        <w:rPr>
          <w:i/>
          <w:iCs/>
        </w:rPr>
        <w:t>I</w:t>
      </w:r>
      <w:r w:rsidR="006327A6">
        <w:rPr>
          <w:i/>
          <w:iCs/>
        </w:rPr>
        <w:t xml:space="preserve">d. </w:t>
      </w:r>
      <w:r w:rsidR="006327A6">
        <w:t>at p. 331.)</w:t>
      </w:r>
      <w:bookmarkEnd w:id="152"/>
      <w:r>
        <w:t xml:space="preserve">  We also reasoned that a contrary conclusion “would </w:t>
      </w:r>
      <w:r w:rsidRPr="004D1A4E">
        <w:t>lead to bizarre, and indeed irrational, consequences.</w:t>
      </w:r>
      <w:r>
        <w:t>”  (</w:t>
      </w:r>
      <w:bookmarkStart w:id="153" w:name="Psych_Cite_99"/>
      <w:r>
        <w:rPr>
          <w:i/>
          <w:iCs/>
        </w:rPr>
        <w:t>Id</w:t>
      </w:r>
      <w:r>
        <w:t>. at p. 332</w:t>
      </w:r>
      <w:bookmarkEnd w:id="153"/>
      <w:r>
        <w:t>.)  If “only” the “</w:t>
      </w:r>
      <w:r w:rsidRPr="004D1A4E">
        <w:t>negligent defendant</w:t>
      </w:r>
      <w:r>
        <w:t xml:space="preserve">” may invoke </w:t>
      </w:r>
      <w:r w:rsidRPr="004D1A4E">
        <w:t>the comparative indemnity doctrine</w:t>
      </w:r>
      <w:r>
        <w:t>,</w:t>
      </w:r>
      <w:r w:rsidRPr="004D1A4E">
        <w:t xml:space="preserve"> </w:t>
      </w:r>
      <w:r>
        <w:t>then “</w:t>
      </w:r>
      <w:r w:rsidRPr="004D1A4E">
        <w:t>a manufacturer who was actually negligent in producing a product would frequently be placed in a better position than a manufacturer who was free from negligence but who happened to produce a defective product, for the negligent manufacturer would be permitted to shift the bulk of liability to more negligent cotortfeasors, while the strictly liable defendant would be denied the benefit of such apportionment.</w:t>
      </w:r>
      <w:r>
        <w:t>”  (</w:t>
      </w:r>
      <w:bookmarkStart w:id="154" w:name="Psych_Cite_100"/>
      <w:r>
        <w:rPr>
          <w:i/>
          <w:iCs/>
        </w:rPr>
        <w:t>Ibid.</w:t>
      </w:r>
      <w:bookmarkEnd w:id="154"/>
      <w:r>
        <w:t>)  “[N]</w:t>
      </w:r>
      <w:r w:rsidRPr="0012257B">
        <w:t>o policy considerations</w:t>
      </w:r>
      <w:r>
        <w:t xml:space="preserve"> . . . </w:t>
      </w:r>
      <w:r w:rsidRPr="0012257B">
        <w:t>demand or justify such a result</w:t>
      </w:r>
      <w:r w:rsidR="00C002D8">
        <w:t> . . . .</w:t>
      </w:r>
      <w:r>
        <w:t>”  (</w:t>
      </w:r>
      <w:bookmarkStart w:id="155" w:name="Psych_Cite_101"/>
      <w:r>
        <w:rPr>
          <w:i/>
          <w:iCs/>
        </w:rPr>
        <w:t>Ibid.</w:t>
      </w:r>
      <w:bookmarkEnd w:id="155"/>
      <w:r>
        <w:t>)</w:t>
      </w:r>
    </w:p>
    <w:p w14:paraId="36819FDD" w14:textId="75AA9416" w:rsidR="00097203" w:rsidRDefault="00097203" w:rsidP="00097203">
      <w:pPr>
        <w:tabs>
          <w:tab w:val="left" w:pos="720"/>
        </w:tabs>
        <w:spacing w:line="480" w:lineRule="atLeast"/>
      </w:pPr>
      <w:r>
        <w:lastRenderedPageBreak/>
        <w:tab/>
        <w:t xml:space="preserve">In the years between our 1975 decision in </w:t>
      </w:r>
      <w:r>
        <w:rPr>
          <w:i/>
          <w:iCs/>
        </w:rPr>
        <w:t xml:space="preserve">Li </w:t>
      </w:r>
      <w:r>
        <w:t xml:space="preserve">and Proposition 51’s adoption in 1986, several published court of appeal decisions addressed the comparative fault doctrine’s applicability to willful conduct.  In 1976, the Third District Court of Appeal held that </w:t>
      </w:r>
      <w:r>
        <w:rPr>
          <w:i/>
          <w:iCs/>
        </w:rPr>
        <w:t>Li</w:t>
      </w:r>
      <w:r>
        <w:t>’s “</w:t>
      </w:r>
      <w:r w:rsidRPr="001F60AF">
        <w:t>comparative negligence doctrine</w:t>
      </w:r>
      <w:r>
        <w:t> . . .</w:t>
      </w:r>
      <w:r w:rsidRPr="001F60AF">
        <w:t xml:space="preserve"> does not apply to willful misconduct</w:t>
      </w:r>
      <w:r>
        <w:t xml:space="preserve">.”  </w:t>
      </w:r>
      <w:bookmarkStart w:id="156" w:name="_Hlk44338429"/>
      <w:r>
        <w:t>(</w:t>
      </w:r>
      <w:bookmarkStart w:id="157" w:name="Psych_Cite_105"/>
      <w:proofErr w:type="spellStart"/>
      <w:r w:rsidRPr="00A22D32">
        <w:rPr>
          <w:i/>
          <w:iCs/>
        </w:rPr>
        <w:t>Kindt</w:t>
      </w:r>
      <w:proofErr w:type="spellEnd"/>
      <w:r w:rsidRPr="00A22D32">
        <w:rPr>
          <w:i/>
          <w:iCs/>
        </w:rPr>
        <w:t xml:space="preserve"> v. Kauffman</w:t>
      </w:r>
      <w:r w:rsidRPr="0079043B">
        <w:t xml:space="preserve"> (1976) 57 Cal.App.3d 845</w:t>
      </w:r>
      <w:r>
        <w:t>, 855</w:t>
      </w:r>
      <w:bookmarkEnd w:id="157"/>
      <w:r>
        <w:t xml:space="preserve">.) </w:t>
      </w:r>
      <w:bookmarkEnd w:id="156"/>
      <w:r>
        <w:t xml:space="preserve"> But courts in the First, Second, and Fifth </w:t>
      </w:r>
      <w:r w:rsidR="00C002D8">
        <w:t>A</w:t>
      </w:r>
      <w:r>
        <w:t>ppellate</w:t>
      </w:r>
      <w:r w:rsidR="00C002D8">
        <w:t xml:space="preserve"> Districts</w:t>
      </w:r>
      <w:r>
        <w:t>, and one federal appellate court, later held otherwise, extending comparative fault principles to tortfeasors liable for</w:t>
      </w:r>
      <w:r w:rsidR="00891FD7">
        <w:t xml:space="preserve"> willful</w:t>
      </w:r>
      <w:r w:rsidRPr="004930A5">
        <w:t xml:space="preserve"> </w:t>
      </w:r>
      <w:r>
        <w:t>and wanton conduct.  (</w:t>
      </w:r>
      <w:bookmarkStart w:id="158" w:name="Psych_Cite_106"/>
      <w:r w:rsidRPr="00B1633B">
        <w:rPr>
          <w:i/>
          <w:iCs/>
        </w:rPr>
        <w:t>Blake v</w:t>
      </w:r>
      <w:r>
        <w:rPr>
          <w:i/>
          <w:iCs/>
        </w:rPr>
        <w:t>.</w:t>
      </w:r>
      <w:r w:rsidRPr="00B1633B">
        <w:rPr>
          <w:i/>
          <w:iCs/>
        </w:rPr>
        <w:t xml:space="preserve"> </w:t>
      </w:r>
      <w:r>
        <w:rPr>
          <w:i/>
          <w:iCs/>
        </w:rPr>
        <w:t>M</w:t>
      </w:r>
      <w:r w:rsidRPr="00B1633B">
        <w:rPr>
          <w:i/>
          <w:iCs/>
        </w:rPr>
        <w:t>oore</w:t>
      </w:r>
      <w:r>
        <w:t xml:space="preserve"> (1984) 162 Cal.App.3d 700, 7</w:t>
      </w:r>
      <w:bookmarkEnd w:id="158"/>
      <w:r>
        <w:t xml:space="preserve">07; </w:t>
      </w:r>
      <w:bookmarkStart w:id="159" w:name="Psych_Cite_107"/>
      <w:bookmarkStart w:id="160" w:name="_Hlk44339025"/>
      <w:r w:rsidRPr="00154EDB">
        <w:rPr>
          <w:i/>
          <w:iCs/>
        </w:rPr>
        <w:t xml:space="preserve">Allen v. </w:t>
      </w:r>
      <w:proofErr w:type="spellStart"/>
      <w:r w:rsidRPr="00154EDB">
        <w:rPr>
          <w:i/>
          <w:iCs/>
        </w:rPr>
        <w:t>Sundean</w:t>
      </w:r>
      <w:proofErr w:type="spellEnd"/>
      <w:r>
        <w:t xml:space="preserve"> (1982) 137 Cal.App.3d 216, 226 (</w:t>
      </w:r>
      <w:r>
        <w:rPr>
          <w:i/>
          <w:iCs/>
        </w:rPr>
        <w:t>Alle</w:t>
      </w:r>
      <w:bookmarkEnd w:id="159"/>
      <w:r>
        <w:rPr>
          <w:i/>
          <w:iCs/>
        </w:rPr>
        <w:t>n</w:t>
      </w:r>
      <w:r>
        <w:t xml:space="preserve">); </w:t>
      </w:r>
      <w:bookmarkStart w:id="161" w:name="Psych_Cite_108"/>
      <w:bookmarkEnd w:id="160"/>
      <w:r w:rsidRPr="00C21C01">
        <w:rPr>
          <w:i/>
          <w:iCs/>
        </w:rPr>
        <w:t>Zavala v. Regents of University of California</w:t>
      </w:r>
      <w:r>
        <w:t xml:space="preserve"> (1981) 125 Cal.App.3d 646, 6</w:t>
      </w:r>
      <w:bookmarkEnd w:id="161"/>
      <w:r>
        <w:t xml:space="preserve">50; </w:t>
      </w:r>
      <w:bookmarkStart w:id="162" w:name="Psych_Cite_109"/>
      <w:bookmarkStart w:id="163" w:name="_Hlk44339108"/>
      <w:r w:rsidRPr="00C97C5C">
        <w:rPr>
          <w:i/>
          <w:iCs/>
        </w:rPr>
        <w:t>Southern Pac. Transportation Co. v. State of California</w:t>
      </w:r>
      <w:r w:rsidRPr="00C97C5C">
        <w:t xml:space="preserve"> (1981) 115 Cal.App.3d 116</w:t>
      </w:r>
      <w:r>
        <w:t>, 118</w:t>
      </w:r>
      <w:bookmarkEnd w:id="162"/>
      <w:r>
        <w:t>;</w:t>
      </w:r>
      <w:r w:rsidRPr="00E64C3B">
        <w:rPr>
          <w:i/>
          <w:iCs/>
        </w:rPr>
        <w:t xml:space="preserve"> </w:t>
      </w:r>
      <w:bookmarkStart w:id="164" w:name="Psych_Cite_110"/>
      <w:r w:rsidRPr="00E64C3B">
        <w:rPr>
          <w:i/>
          <w:iCs/>
        </w:rPr>
        <w:t>Sorensen v. Allred</w:t>
      </w:r>
      <w:r w:rsidRPr="00E64C3B">
        <w:t xml:space="preserve"> (1980) 112 Cal.App.3d 717, </w:t>
      </w:r>
      <w:r>
        <w:t>726</w:t>
      </w:r>
      <w:bookmarkEnd w:id="164"/>
      <w:r>
        <w:t xml:space="preserve">; </w:t>
      </w:r>
      <w:bookmarkStart w:id="165" w:name="Psych_Cite_111"/>
      <w:bookmarkEnd w:id="163"/>
      <w:r w:rsidRPr="00237148">
        <w:rPr>
          <w:i/>
          <w:iCs/>
        </w:rPr>
        <w:t>Plyler v. Wheaton Van Lines</w:t>
      </w:r>
      <w:r>
        <w:t xml:space="preserve"> (9th Cir. 1981) 640 F.2d 1091, </w:t>
      </w:r>
      <w:bookmarkEnd w:id="165"/>
      <w:r>
        <w:t xml:space="preserve">1093.)  In the earliest of these decisions — </w:t>
      </w:r>
      <w:r>
        <w:rPr>
          <w:i/>
          <w:iCs/>
        </w:rPr>
        <w:t xml:space="preserve">Sorensen — </w:t>
      </w:r>
      <w:r>
        <w:t>which the later decisions largely followed, the court reasoned that</w:t>
      </w:r>
      <w:r w:rsidR="0026163C">
        <w:t xml:space="preserve"> willful</w:t>
      </w:r>
      <w:r>
        <w:t xml:space="preserve"> and wanton conduct is simply an aggravated </w:t>
      </w:r>
      <w:bookmarkStart w:id="166" w:name="QUOTE_BOOKMARK_IS_CONFIRMED_35"/>
      <w:r w:rsidR="006A1342">
        <w:t>“type[] of negligence,” which is “suitable for comparison with any other kind of negligence.”  (</w:t>
      </w:r>
      <w:r w:rsidR="006A1342" w:rsidRPr="00715120">
        <w:rPr>
          <w:i/>
          <w:iCs/>
        </w:rPr>
        <w:t>Sorenson</w:t>
      </w:r>
      <w:r w:rsidR="006A1342">
        <w:t xml:space="preserve">, at p. 725.)  As relevant to the issue before us, </w:t>
      </w:r>
      <w:r w:rsidR="00550038">
        <w:t xml:space="preserve">the </w:t>
      </w:r>
      <w:r w:rsidR="00550038">
        <w:rPr>
          <w:i/>
          <w:iCs/>
        </w:rPr>
        <w:t xml:space="preserve">Sorenson </w:t>
      </w:r>
      <w:r w:rsidR="00550038">
        <w:t xml:space="preserve">court </w:t>
      </w:r>
      <w:r w:rsidR="006A1342">
        <w:t xml:space="preserve">also relied on the following:  (1) our statement in </w:t>
      </w:r>
      <w:r w:rsidR="006A1342" w:rsidRPr="00D11A0B">
        <w:rPr>
          <w:i/>
          <w:iCs/>
        </w:rPr>
        <w:t>Li</w:t>
      </w:r>
      <w:r w:rsidR="006A1342">
        <w:t xml:space="preserve">, which had been endorsed by “[t]he most comprehensive historical and analytical treatise on the subject of comparative negligence,” that “ ‘a comprehensive system of comparative negligence should allow </w:t>
      </w:r>
      <w:r w:rsidR="006A1342">
        <w:lastRenderedPageBreak/>
        <w:t>for the apportionment of damages in all cases involving misconduct which falls short of being intentional’</w:t>
      </w:r>
      <w:bookmarkEnd w:id="166"/>
      <w:r w:rsidR="00C342E5">
        <w:t> </w:t>
      </w:r>
      <w:r>
        <w:t>” (</w:t>
      </w:r>
      <w:bookmarkStart w:id="167" w:name="Psych_Cite_113"/>
      <w:r>
        <w:rPr>
          <w:i/>
          <w:iCs/>
        </w:rPr>
        <w:t>Sorensen</w:t>
      </w:r>
      <w:r>
        <w:t>, at p</w:t>
      </w:r>
      <w:bookmarkEnd w:id="167"/>
      <w:r>
        <w:t>. 722, italics</w:t>
      </w:r>
      <w:r w:rsidR="0026163C">
        <w:t xml:space="preserve"> added</w:t>
      </w:r>
      <w:r>
        <w:t xml:space="preserve">); (2) our observation in </w:t>
      </w:r>
      <w:r>
        <w:rPr>
          <w:i/>
          <w:iCs/>
        </w:rPr>
        <w:t>Daly</w:t>
      </w:r>
      <w:r>
        <w:t xml:space="preserve"> that </w:t>
      </w:r>
      <w:r w:rsidRPr="00AB5764">
        <w:t>“</w:t>
      </w:r>
      <w:r>
        <w:t> </w:t>
      </w:r>
      <w:r w:rsidRPr="00AB5764">
        <w:t>‘</w:t>
      </w:r>
      <w:r>
        <w:t> “</w:t>
      </w:r>
      <w:r w:rsidRPr="00AB5764">
        <w:t>[</w:t>
      </w:r>
      <w:r>
        <w:t>t</w:t>
      </w:r>
      <w:r w:rsidRPr="00AB5764">
        <w:t xml:space="preserve">]here is obvious lack of sense and justice in a rule [that] permits the entire burden of a loss, for which two defendants were . . . </w:t>
      </w:r>
      <w:r w:rsidRPr="004A56EF">
        <w:rPr>
          <w:i/>
          <w:iCs/>
        </w:rPr>
        <w:t>unintentionally</w:t>
      </w:r>
      <w:r w:rsidRPr="00AB5764">
        <w:t xml:space="preserve"> responsible, to be shouldered onto one alone,</w:t>
      </w:r>
      <w:r w:rsidR="00C342E5">
        <w:t xml:space="preserve"> </w:t>
      </w:r>
      <w:r w:rsidR="00C342E5">
        <w:rPr>
          <w:sz w:val="28"/>
          <w:szCs w:val="22"/>
        </w:rPr>
        <w:t xml:space="preserve"> </w:t>
      </w:r>
      <w:r w:rsidR="003D157E">
        <w:rPr>
          <w:sz w:val="32"/>
          <w:szCs w:val="24"/>
        </w:rPr>
        <w:t xml:space="preserve">. . . </w:t>
      </w:r>
      <w:r w:rsidRPr="00AB5764">
        <w:t xml:space="preserve">while the latter goes </w:t>
      </w:r>
      <w:r w:rsidRPr="00AC7B38">
        <w:t>scot</w:t>
      </w:r>
      <w:r w:rsidRPr="00AB5764">
        <w:t xml:space="preserve"> free</w:t>
      </w:r>
      <w:r>
        <w:t>” </w:t>
      </w:r>
      <w:r w:rsidRPr="00AB5764">
        <w:t>’</w:t>
      </w:r>
      <w:r w:rsidR="00E73E64">
        <w:t> </w:t>
      </w:r>
      <w:r w:rsidRPr="00AB5764">
        <w:t>” (</w:t>
      </w:r>
      <w:bookmarkStart w:id="168" w:name="Psych_Cite_114"/>
      <w:r>
        <w:rPr>
          <w:i/>
          <w:iCs/>
        </w:rPr>
        <w:t>Sorensen</w:t>
      </w:r>
      <w:r>
        <w:t xml:space="preserve">, at </w:t>
      </w:r>
      <w:bookmarkEnd w:id="168"/>
      <w:r>
        <w:t xml:space="preserve">p. 724, </w:t>
      </w:r>
      <w:r w:rsidRPr="00AB5764">
        <w:t>italics added)</w:t>
      </w:r>
      <w:r>
        <w:t>; and (3) a “</w:t>
      </w:r>
      <w:r w:rsidRPr="00976A5B">
        <w:t>legislative study</w:t>
      </w:r>
      <w:r>
        <w:t> . . .</w:t>
      </w:r>
      <w:r w:rsidR="00C42E9E">
        <w:t xml:space="preserve"> </w:t>
      </w:r>
      <w:r w:rsidRPr="00976A5B">
        <w:t>recommend</w:t>
      </w:r>
      <w:r>
        <w:t>[</w:t>
      </w:r>
      <w:proofErr w:type="spellStart"/>
      <w:r>
        <w:t>ing</w:t>
      </w:r>
      <w:proofErr w:type="spellEnd"/>
      <w:r>
        <w:t>]</w:t>
      </w:r>
      <w:r w:rsidRPr="00976A5B">
        <w:t xml:space="preserve"> that the Legislature include recklessness and </w:t>
      </w:r>
      <w:proofErr w:type="spellStart"/>
      <w:r w:rsidRPr="00976A5B">
        <w:t>wilful</w:t>
      </w:r>
      <w:proofErr w:type="spellEnd"/>
      <w:r w:rsidRPr="00976A5B">
        <w:t xml:space="preserve"> misconduct </w:t>
      </w:r>
      <w:r w:rsidRPr="006820DA">
        <w:rPr>
          <w:i/>
          <w:iCs/>
        </w:rPr>
        <w:t>short of intentional injury</w:t>
      </w:r>
      <w:r w:rsidRPr="00976A5B">
        <w:t xml:space="preserve"> among the kinds of fault capable of reducing, but no longer necessarily</w:t>
      </w:r>
      <w:r>
        <w:t xml:space="preserve"> </w:t>
      </w:r>
      <w:r w:rsidRPr="00976A5B">
        <w:t>barring recover</w:t>
      </w:r>
      <w:r>
        <w:t>y” (</w:t>
      </w:r>
      <w:bookmarkStart w:id="169" w:name="Psych_Cite_104"/>
      <w:r>
        <w:rPr>
          <w:i/>
          <w:iCs/>
        </w:rPr>
        <w:t>ibid.</w:t>
      </w:r>
      <w:r>
        <w:t>, italics</w:t>
      </w:r>
      <w:bookmarkEnd w:id="169"/>
      <w:r>
        <w:t xml:space="preserve"> added).  In one of the decisions that later adopted </w:t>
      </w:r>
      <w:r>
        <w:rPr>
          <w:i/>
          <w:iCs/>
        </w:rPr>
        <w:t>Sorensen</w:t>
      </w:r>
      <w:r>
        <w:t xml:space="preserve">’s analysis and conclusion, the court declared that allocation under principles of comparative fault is necessary </w:t>
      </w:r>
      <w:r w:rsidRPr="004074C0">
        <w:t>“[u]</w:t>
      </w:r>
      <w:proofErr w:type="spellStart"/>
      <w:r w:rsidRPr="004074C0">
        <w:t>nless</w:t>
      </w:r>
      <w:proofErr w:type="spellEnd"/>
      <w:r w:rsidRPr="004074C0">
        <w:t xml:space="preserve"> a defendant has intentionally injured a plaintiff.”</w:t>
      </w:r>
      <w:r>
        <w:t xml:space="preserve">  (</w:t>
      </w:r>
      <w:bookmarkStart w:id="170" w:name="Psych_Cite_115"/>
      <w:r w:rsidRPr="00C97C5C">
        <w:rPr>
          <w:i/>
          <w:iCs/>
        </w:rPr>
        <w:t>Southern</w:t>
      </w:r>
      <w:r>
        <w:t xml:space="preserve">, at </w:t>
      </w:r>
      <w:bookmarkEnd w:id="170"/>
      <w:r>
        <w:t xml:space="preserve">p. 121.) </w:t>
      </w:r>
    </w:p>
    <w:p w14:paraId="25DEB608" w14:textId="59C6B680" w:rsidR="00097203" w:rsidRDefault="00097203" w:rsidP="00097203">
      <w:pPr>
        <w:tabs>
          <w:tab w:val="left" w:pos="720"/>
        </w:tabs>
        <w:spacing w:line="480" w:lineRule="atLeast"/>
      </w:pPr>
      <w:r>
        <w:tab/>
        <w:t xml:space="preserve">Consistent with this declaration, decisions before Proposition 51’s adoption uniformly held that </w:t>
      </w:r>
      <w:r w:rsidR="007C7D19">
        <w:t xml:space="preserve">reduced liability </w:t>
      </w:r>
      <w:r>
        <w:t xml:space="preserve">under principles of comparative fault </w:t>
      </w:r>
      <w:r w:rsidR="007C7D19">
        <w:t xml:space="preserve">is </w:t>
      </w:r>
      <w:r w:rsidR="007C7D19" w:rsidRPr="007C7D19">
        <w:rPr>
          <w:i/>
          <w:iCs/>
        </w:rPr>
        <w:t>not</w:t>
      </w:r>
      <w:r w:rsidR="007C7D19">
        <w:t xml:space="preserve"> available </w:t>
      </w:r>
      <w:r w:rsidR="0053612B">
        <w:t xml:space="preserve">to </w:t>
      </w:r>
      <w:r>
        <w:t>defendant</w:t>
      </w:r>
      <w:r w:rsidR="0053612B">
        <w:t>s</w:t>
      </w:r>
      <w:r>
        <w:t xml:space="preserve"> liable for intentional tort</w:t>
      </w:r>
      <w:r w:rsidR="0053612B">
        <w:t>s</w:t>
      </w:r>
      <w:r>
        <w:t xml:space="preserve">.  In </w:t>
      </w:r>
      <w:bookmarkStart w:id="171" w:name="Psych_Cite_120"/>
      <w:r w:rsidRPr="00154EDB">
        <w:rPr>
          <w:i/>
          <w:iCs/>
        </w:rPr>
        <w:t>Allen</w:t>
      </w:r>
      <w:r>
        <w:t xml:space="preserve">, </w:t>
      </w:r>
      <w:bookmarkStart w:id="172" w:name="_Hlk25143866"/>
      <w:r w:rsidRPr="00D25540">
        <w:rPr>
          <w:i/>
          <w:iCs/>
        </w:rPr>
        <w:t>supra</w:t>
      </w:r>
      <w:r>
        <w:t>, 137 Cal.App.3d at page</w:t>
      </w:r>
      <w:bookmarkEnd w:id="172"/>
      <w:r>
        <w:t xml:space="preserve"> 226</w:t>
      </w:r>
      <w:bookmarkEnd w:id="171"/>
      <w:r>
        <w:t>, the court held that although “comparative fault principles” apply to willful conduct, they do not apply to “</w:t>
      </w:r>
      <w:r w:rsidRPr="00926A83">
        <w:t>the intentional tort of fraudulent concealment</w:t>
      </w:r>
      <w:r>
        <w:t xml:space="preserve">.”  The plaintiff in </w:t>
      </w:r>
      <w:r w:rsidR="0053612B">
        <w:rPr>
          <w:i/>
          <w:iCs/>
        </w:rPr>
        <w:t xml:space="preserve">Allen </w:t>
      </w:r>
      <w:r>
        <w:t xml:space="preserve">sought recovery for </w:t>
      </w:r>
      <w:r w:rsidRPr="008F5E5C">
        <w:t xml:space="preserve">property damage caused by a </w:t>
      </w:r>
      <w:r>
        <w:t xml:space="preserve">landslide, and the trial court, as trier of fact, found that the defendant property developer had committed both </w:t>
      </w:r>
      <w:r>
        <w:lastRenderedPageBreak/>
        <w:t>“</w:t>
      </w:r>
      <w:proofErr w:type="spellStart"/>
      <w:r w:rsidRPr="004E5602">
        <w:t>wilful</w:t>
      </w:r>
      <w:proofErr w:type="spellEnd"/>
      <w:r w:rsidRPr="004E5602">
        <w:t xml:space="preserve"> misconduct</w:t>
      </w:r>
      <w:r>
        <w:t>” and “</w:t>
      </w:r>
      <w:r w:rsidRPr="004E5602">
        <w:t>fraudulent concealment</w:t>
      </w:r>
      <w:r>
        <w:t>.”  (</w:t>
      </w:r>
      <w:bookmarkStart w:id="173" w:name="Psych_Cite_117"/>
      <w:r>
        <w:rPr>
          <w:i/>
          <w:iCs/>
        </w:rPr>
        <w:t xml:space="preserve">Id. </w:t>
      </w:r>
      <w:r>
        <w:t>at p. 220</w:t>
      </w:r>
      <w:bookmarkEnd w:id="173"/>
      <w:r>
        <w:t>.)  The trial court, based on “</w:t>
      </w:r>
      <w:r w:rsidRPr="006410CE">
        <w:t>doubt as to whether comparative fault principles apply</w:t>
      </w:r>
      <w:r>
        <w:t xml:space="preserve">” to such conduct, “declined to </w:t>
      </w:r>
      <w:r w:rsidRPr="006410CE">
        <w:t>allocate any portion of the judgment</w:t>
      </w:r>
      <w:r>
        <w:t>”</w:t>
      </w:r>
      <w:r w:rsidRPr="006410CE">
        <w:t xml:space="preserve"> </w:t>
      </w:r>
      <w:r>
        <w:t>to a negligent co</w:t>
      </w:r>
      <w:r w:rsidR="00ED70C5">
        <w:t>defendant</w:t>
      </w:r>
      <w:r>
        <w:t>.  (</w:t>
      </w:r>
      <w:bookmarkStart w:id="174" w:name="Psych_Cite_118"/>
      <w:r>
        <w:rPr>
          <w:i/>
          <w:iCs/>
        </w:rPr>
        <w:t>Ibid</w:t>
      </w:r>
      <w:bookmarkEnd w:id="174"/>
      <w:r>
        <w:rPr>
          <w:i/>
          <w:iCs/>
        </w:rPr>
        <w:t>.</w:t>
      </w:r>
      <w:r>
        <w:t>)  The appellate court held that the trial court had erred as to the developer’s liability for “</w:t>
      </w:r>
      <w:proofErr w:type="spellStart"/>
      <w:r w:rsidRPr="00273D83">
        <w:t>wilful</w:t>
      </w:r>
      <w:proofErr w:type="spellEnd"/>
      <w:r w:rsidRPr="00273D83">
        <w:t xml:space="preserve"> misconduct</w:t>
      </w:r>
      <w:r>
        <w:t>,” but had acted correctly regarding “</w:t>
      </w:r>
      <w:r w:rsidRPr="00901ACB">
        <w:t xml:space="preserve">damages attributable to </w:t>
      </w:r>
      <w:r>
        <w:t xml:space="preserve">[the developer’s] </w:t>
      </w:r>
      <w:r w:rsidRPr="00901ACB">
        <w:t>fraudulent concealment</w:t>
      </w:r>
      <w:r>
        <w:t>.”  (</w:t>
      </w:r>
      <w:bookmarkStart w:id="175" w:name="Psych_Cite_119"/>
      <w:r>
        <w:rPr>
          <w:i/>
          <w:iCs/>
        </w:rPr>
        <w:t>Id.</w:t>
      </w:r>
      <w:r>
        <w:t xml:space="preserve"> at p. 22</w:t>
      </w:r>
      <w:bookmarkEnd w:id="175"/>
      <w:r>
        <w:t xml:space="preserve">7.) </w:t>
      </w:r>
      <w:r w:rsidRPr="00273D83">
        <w:t xml:space="preserve"> </w:t>
      </w:r>
      <w:r>
        <w:t>Regarding the latter conclusion, the appellate court explained:  “[T]</w:t>
      </w:r>
      <w:r w:rsidRPr="00D7765F">
        <w:t xml:space="preserve">he Supreme Court in </w:t>
      </w:r>
      <w:r w:rsidRPr="00435108">
        <w:rPr>
          <w:i/>
          <w:iCs/>
        </w:rPr>
        <w:t>Li</w:t>
      </w:r>
      <w:r w:rsidRPr="00D7765F">
        <w:t>,</w:t>
      </w:r>
      <w:r>
        <w:t xml:space="preserve"> </w:t>
      </w:r>
      <w:r w:rsidRPr="00D7765F">
        <w:t xml:space="preserve">and again in </w:t>
      </w:r>
      <w:r w:rsidRPr="00435108">
        <w:rPr>
          <w:i/>
          <w:iCs/>
        </w:rPr>
        <w:t>American Motorcycle</w:t>
      </w:r>
      <w:r w:rsidRPr="00D7765F">
        <w:t xml:space="preserve">, </w:t>
      </w:r>
      <w:r w:rsidRPr="00366EC1">
        <w:rPr>
          <w:i/>
          <w:iCs/>
        </w:rPr>
        <w:t xml:space="preserve">used language which </w:t>
      </w:r>
      <w:proofErr w:type="gramStart"/>
      <w:r w:rsidRPr="00366EC1">
        <w:rPr>
          <w:i/>
          <w:iCs/>
        </w:rPr>
        <w:t>appears to exclude</w:t>
      </w:r>
      <w:proofErr w:type="gramEnd"/>
      <w:r w:rsidRPr="00366EC1">
        <w:rPr>
          <w:i/>
          <w:iCs/>
        </w:rPr>
        <w:t xml:space="preserve"> intentional torts from the comparative fault system</w:t>
      </w:r>
      <w:r w:rsidRPr="00D7765F">
        <w:t>.</w:t>
      </w:r>
      <w:r>
        <w:t xml:space="preserve">  </w:t>
      </w:r>
      <w:r w:rsidRPr="00D7765F">
        <w:t xml:space="preserve">Nor has there been support for an extension of comparative fault principles to intentional torts, as there was to </w:t>
      </w:r>
      <w:proofErr w:type="spellStart"/>
      <w:r w:rsidRPr="00D7765F">
        <w:t>wilful</w:t>
      </w:r>
      <w:proofErr w:type="spellEnd"/>
      <w:r w:rsidRPr="00D7765F">
        <w:t xml:space="preserve"> misconduct or to strict liability, in other states, among the commentators </w:t>
      </w:r>
      <w:proofErr w:type="gramStart"/>
      <w:r w:rsidRPr="00D7765F">
        <w:t>generally, or</w:t>
      </w:r>
      <w:proofErr w:type="gramEnd"/>
      <w:r w:rsidRPr="00D7765F">
        <w:t xml:space="preserve"> in the Uniform Comparative Fault Act.</w:t>
      </w:r>
      <w:r>
        <w:t xml:space="preserve"> </w:t>
      </w:r>
      <w:r w:rsidRPr="00D7765F">
        <w:t xml:space="preserve"> Finally, </w:t>
      </w:r>
      <w:bookmarkStart w:id="176" w:name="Psych_Cite_116"/>
      <w:r w:rsidRPr="00D7765F">
        <w:t>Code of Civil Procedure section 875, subdivision (d</w:t>
      </w:r>
      <w:bookmarkEnd w:id="176"/>
      <w:r w:rsidRPr="00D7765F">
        <w:t>), still provides:</w:t>
      </w:r>
      <w:r>
        <w:t xml:space="preserve"> </w:t>
      </w:r>
      <w:r w:rsidRPr="00D7765F">
        <w:t xml:space="preserve"> </w:t>
      </w:r>
      <w:r>
        <w:t>‘</w:t>
      </w:r>
      <w:r w:rsidRPr="00D7765F">
        <w:t>There shall be no right of contribution in favor of any tortfeasor who has intentionally injured the injured person.</w:t>
      </w:r>
      <w:r>
        <w:t xml:space="preserve">’  </w:t>
      </w:r>
      <w:r w:rsidRPr="00D7765F">
        <w:t xml:space="preserve">Thus, while there may be sound policy arguments for extending comparative fault principles to intentional tortfeasors </w:t>
      </w:r>
      <w:r>
        <w:t>[citation]</w:t>
      </w:r>
      <w:r w:rsidRPr="00D7765F">
        <w:t xml:space="preserve">, there is </w:t>
      </w:r>
      <w:proofErr w:type="gramStart"/>
      <w:r w:rsidRPr="00D7765F">
        <w:t>as yet</w:t>
      </w:r>
      <w:proofErr w:type="gramEnd"/>
      <w:r w:rsidRPr="00D7765F">
        <w:t xml:space="preserve"> no authority to support such an extension.</w:t>
      </w:r>
      <w:r>
        <w:t>”  (</w:t>
      </w:r>
      <w:bookmarkStart w:id="177" w:name="Psych_Cite_121"/>
      <w:r>
        <w:rPr>
          <w:i/>
          <w:iCs/>
        </w:rPr>
        <w:t>Allen</w:t>
      </w:r>
      <w:r>
        <w:t>, at pp. 226</w:t>
      </w:r>
      <w:r w:rsidR="00AF790C">
        <w:t>–</w:t>
      </w:r>
      <w:r>
        <w:t>22</w:t>
      </w:r>
      <w:bookmarkEnd w:id="177"/>
      <w:r>
        <w:t xml:space="preserve">7, italics added, </w:t>
      </w:r>
      <w:proofErr w:type="spellStart"/>
      <w:r>
        <w:t>fns</w:t>
      </w:r>
      <w:proofErr w:type="spellEnd"/>
      <w:r>
        <w:t xml:space="preserve">. omitted.)  </w:t>
      </w:r>
    </w:p>
    <w:p w14:paraId="6BFA1517" w14:textId="2C0013B8" w:rsidR="00097203" w:rsidRDefault="00097203" w:rsidP="00097203">
      <w:pPr>
        <w:tabs>
          <w:tab w:val="left" w:pos="720"/>
        </w:tabs>
        <w:spacing w:line="480" w:lineRule="atLeast"/>
      </w:pPr>
      <w:r>
        <w:tab/>
        <w:t xml:space="preserve">In another 1982 decision, </w:t>
      </w:r>
      <w:bookmarkStart w:id="178" w:name="Psych_Cite_123"/>
      <w:bookmarkStart w:id="179" w:name="_Hlk44339453"/>
      <w:r w:rsidRPr="00C808D3">
        <w:rPr>
          <w:i/>
          <w:iCs/>
        </w:rPr>
        <w:t xml:space="preserve">Godfrey v. </w:t>
      </w:r>
      <w:proofErr w:type="spellStart"/>
      <w:r w:rsidRPr="00C808D3">
        <w:rPr>
          <w:i/>
          <w:iCs/>
        </w:rPr>
        <w:t>Steinpress</w:t>
      </w:r>
      <w:proofErr w:type="spellEnd"/>
      <w:r w:rsidRPr="002F46D8">
        <w:t xml:space="preserve"> (1982) 128 Cal.App.3d 154</w:t>
      </w:r>
      <w:r>
        <w:t>, 176 (</w:t>
      </w:r>
      <w:r>
        <w:rPr>
          <w:i/>
          <w:iCs/>
        </w:rPr>
        <w:t>Godfrey</w:t>
      </w:r>
      <w:r>
        <w:t>)</w:t>
      </w:r>
      <w:bookmarkEnd w:id="178"/>
      <w:r>
        <w:t xml:space="preserve">, </w:t>
      </w:r>
      <w:bookmarkEnd w:id="179"/>
      <w:r>
        <w:t xml:space="preserve">the appellate court affirmed the trial court’s refusal to instruct the jury that an award of damages for </w:t>
      </w:r>
      <w:r w:rsidRPr="009E424B">
        <w:t xml:space="preserve">infliction of emotional distress </w:t>
      </w:r>
      <w:r>
        <w:t xml:space="preserve">and </w:t>
      </w:r>
      <w:r w:rsidRPr="009E424B">
        <w:t xml:space="preserve">fraud by </w:t>
      </w:r>
      <w:r w:rsidRPr="009E424B">
        <w:lastRenderedPageBreak/>
        <w:t>concealment</w:t>
      </w:r>
      <w:r>
        <w:t xml:space="preserve"> could be reduced based on the plaintiffs’ negligence.  The appellate court explained in part:  “</w:t>
      </w:r>
      <w:r w:rsidRPr="00C535E4">
        <w:t xml:space="preserve">We do not see how contributory negligence could have any application to fraud by concealment. </w:t>
      </w:r>
      <w:r>
        <w:t xml:space="preserve"> </w:t>
      </w:r>
      <w:r w:rsidRPr="00C535E4">
        <w:t>The concealment alleged by the amendment and proved by the evidence was a deliberate, calculated act by</w:t>
      </w:r>
      <w:r>
        <w:t xml:space="preserve"> [the defendant].”  (</w:t>
      </w:r>
      <w:bookmarkStart w:id="180" w:name="Psych_Cite_122"/>
      <w:r>
        <w:rPr>
          <w:i/>
          <w:iCs/>
        </w:rPr>
        <w:t>Ibid.</w:t>
      </w:r>
      <w:bookmarkEnd w:id="180"/>
      <w:r>
        <w:t>)</w:t>
      </w:r>
    </w:p>
    <w:p w14:paraId="7407F86E" w14:textId="349A0EE5" w:rsidR="00097203" w:rsidRDefault="00097203" w:rsidP="00097203">
      <w:pPr>
        <w:tabs>
          <w:tab w:val="left" w:pos="720"/>
        </w:tabs>
        <w:spacing w:line="480" w:lineRule="atLeast"/>
      </w:pPr>
      <w:r>
        <w:tab/>
        <w:t xml:space="preserve">In a third 1982 decision — </w:t>
      </w:r>
      <w:bookmarkStart w:id="181" w:name="Psych_Cite_132"/>
      <w:r>
        <w:rPr>
          <w:i/>
          <w:iCs/>
        </w:rPr>
        <w:t xml:space="preserve">Phelps v. Superior Court </w:t>
      </w:r>
      <w:r>
        <w:t>(1982) 136 Cal.App.3d 802, 815</w:t>
      </w:r>
      <w:bookmarkEnd w:id="181"/>
      <w:r>
        <w:t> — the court held that “</w:t>
      </w:r>
      <w:r w:rsidRPr="00D73400">
        <w:t>damages resulting from intentional torts</w:t>
      </w:r>
      <w:r>
        <w:t>,” including “</w:t>
      </w:r>
      <w:r w:rsidRPr="00D73400">
        <w:t>battery</w:t>
      </w:r>
      <w:r>
        <w:t xml:space="preserve">,” are not “subject to apportionment” based on the jury’s allocation of fault among a plaintiff and defendants.  The jury in </w:t>
      </w:r>
      <w:r>
        <w:rPr>
          <w:i/>
          <w:iCs/>
        </w:rPr>
        <w:t xml:space="preserve">Phelps </w:t>
      </w:r>
      <w:r>
        <w:t>found the defendants liable for the plaintiff’s injuries on “</w:t>
      </w:r>
      <w:r w:rsidRPr="006A6553">
        <w:t xml:space="preserve">theories of </w:t>
      </w:r>
      <w:r>
        <w:t xml:space="preserve">[both] </w:t>
      </w:r>
      <w:r w:rsidRPr="006A6553">
        <w:t>negligence and battery</w:t>
      </w:r>
      <w:r>
        <w:t>.”  (</w:t>
      </w:r>
      <w:bookmarkStart w:id="182" w:name="Psych_Cite_124"/>
      <w:r>
        <w:rPr>
          <w:i/>
          <w:iCs/>
        </w:rPr>
        <w:t xml:space="preserve">Id. </w:t>
      </w:r>
      <w:r>
        <w:t>at p. 805</w:t>
      </w:r>
      <w:bookmarkEnd w:id="182"/>
      <w:r>
        <w:t>.)  The trial court declared a mistrial because of “</w:t>
      </w:r>
      <w:r w:rsidRPr="007D1B53">
        <w:t>inconsistency in the voting of jurors on issues pertaining to the comparative negligence issues</w:t>
      </w:r>
      <w:r>
        <w:t>” (</w:t>
      </w:r>
      <w:bookmarkStart w:id="183" w:name="Psych_Cite_125"/>
      <w:r>
        <w:rPr>
          <w:i/>
          <w:iCs/>
        </w:rPr>
        <w:t xml:space="preserve">id. </w:t>
      </w:r>
      <w:r>
        <w:t>at p. 804</w:t>
      </w:r>
      <w:bookmarkEnd w:id="183"/>
      <w:r>
        <w:t>), specifically regarding the “</w:t>
      </w:r>
      <w:r w:rsidRPr="003F5FDD">
        <w:t>apportionment of fault as between</w:t>
      </w:r>
      <w:r>
        <w:t>” the plaintiff and the defendants (</w:t>
      </w:r>
      <w:bookmarkStart w:id="184" w:name="Psych_Cite_126"/>
      <w:r>
        <w:rPr>
          <w:i/>
          <w:iCs/>
        </w:rPr>
        <w:t>id.</w:t>
      </w:r>
      <w:r>
        <w:t xml:space="preserve"> at p. 807</w:t>
      </w:r>
      <w:bookmarkEnd w:id="184"/>
      <w:r>
        <w:t xml:space="preserve">).  The plaintiff moved for entry of “a partial interlocutory judgment” regarding the defendants’ liability for battery, arguing (1) there was no inconsistency in the </w:t>
      </w:r>
      <w:r w:rsidRPr="00366C7C">
        <w:t xml:space="preserve">special verdicts </w:t>
      </w:r>
      <w:r>
        <w:t>regarding the</w:t>
      </w:r>
      <w:r w:rsidRPr="00366C7C">
        <w:t xml:space="preserve"> defendants</w:t>
      </w:r>
      <w:r>
        <w:t>’ commission of “</w:t>
      </w:r>
      <w:r w:rsidRPr="00366C7C">
        <w:t>intentionally tortious</w:t>
      </w:r>
      <w:r>
        <w:t xml:space="preserve">” acts, and (2) the </w:t>
      </w:r>
      <w:r w:rsidRPr="00366C7C">
        <w:t xml:space="preserve">inconsistency </w:t>
      </w:r>
      <w:r>
        <w:t>“</w:t>
      </w:r>
      <w:r w:rsidRPr="00366C7C">
        <w:t xml:space="preserve">concerning contributory negligence </w:t>
      </w:r>
      <w:r>
        <w:t xml:space="preserve">[was] </w:t>
      </w:r>
      <w:r w:rsidRPr="00366C7C">
        <w:t xml:space="preserve">irrelevant to </w:t>
      </w:r>
      <w:r>
        <w:t xml:space="preserve">[that] </w:t>
      </w:r>
      <w:r w:rsidRPr="00366C7C">
        <w:t>finding of liability because contributory negligence is no defense to an intentional tort.</w:t>
      </w:r>
      <w:r>
        <w:t>”  (</w:t>
      </w:r>
      <w:bookmarkStart w:id="185" w:name="Psych_Cite_127"/>
      <w:r>
        <w:rPr>
          <w:i/>
          <w:iCs/>
        </w:rPr>
        <w:t>I</w:t>
      </w:r>
      <w:r w:rsidR="00ED70C5">
        <w:rPr>
          <w:i/>
          <w:iCs/>
        </w:rPr>
        <w:t>bid.</w:t>
      </w:r>
      <w:bookmarkEnd w:id="185"/>
      <w:r>
        <w:t xml:space="preserve">) </w:t>
      </w:r>
      <w:r w:rsidRPr="00366C7C">
        <w:t xml:space="preserve"> </w:t>
      </w:r>
      <w:r>
        <w:t>The trial court denied the motion.  (</w:t>
      </w:r>
      <w:bookmarkStart w:id="186" w:name="Psych_Cite_128"/>
      <w:r>
        <w:rPr>
          <w:i/>
          <w:iCs/>
        </w:rPr>
        <w:t xml:space="preserve">Id. </w:t>
      </w:r>
      <w:r>
        <w:t>at p. 808</w:t>
      </w:r>
      <w:bookmarkEnd w:id="186"/>
      <w:r>
        <w:t xml:space="preserve">.)  Upon a challenge to the trial court’s ruling, the appellate court, retroactively applying </w:t>
      </w:r>
      <w:r>
        <w:lastRenderedPageBreak/>
        <w:t xml:space="preserve">new precedent, held that the liability verdicts on </w:t>
      </w:r>
      <w:r w:rsidRPr="002E5C41">
        <w:rPr>
          <w:i/>
          <w:iCs/>
        </w:rPr>
        <w:t>both</w:t>
      </w:r>
      <w:r>
        <w:t xml:space="preserve"> the negligence and intentional tort theories were valid, notwithstanding the inconsistency in the verdicts regarding </w:t>
      </w:r>
      <w:r w:rsidRPr="005B62CD">
        <w:t>comparative negligence issues</w:t>
      </w:r>
      <w:r>
        <w:t>.  (</w:t>
      </w:r>
      <w:bookmarkStart w:id="187" w:name="Psych_Cite_129"/>
      <w:r>
        <w:rPr>
          <w:i/>
          <w:iCs/>
        </w:rPr>
        <w:t xml:space="preserve">Id. </w:t>
      </w:r>
      <w:r>
        <w:t>at pp. 809</w:t>
      </w:r>
      <w:r w:rsidR="00AF790C">
        <w:t>–</w:t>
      </w:r>
      <w:r>
        <w:t>812</w:t>
      </w:r>
      <w:bookmarkEnd w:id="187"/>
      <w:r>
        <w:t xml:space="preserve">.)  However, the court further held that the damage award was problematic because </w:t>
      </w:r>
      <w:r w:rsidRPr="00C77C55">
        <w:t xml:space="preserve">the special verdicts </w:t>
      </w:r>
      <w:r>
        <w:t>failed to “</w:t>
      </w:r>
      <w:r w:rsidRPr="00C77C55">
        <w:t>include a break-down of general damages as between damages resulting from intentional torts (conversion and battery) and damages resulting from negligence.</w:t>
      </w:r>
      <w:r>
        <w:t>”  (</w:t>
      </w:r>
      <w:bookmarkStart w:id="188" w:name="Psych_Cite_130"/>
      <w:r>
        <w:rPr>
          <w:i/>
          <w:iCs/>
        </w:rPr>
        <w:t xml:space="preserve">Id. </w:t>
      </w:r>
      <w:r>
        <w:t>at p. 815</w:t>
      </w:r>
      <w:bookmarkEnd w:id="188"/>
      <w:r>
        <w:t xml:space="preserve">.)  </w:t>
      </w:r>
      <w:r w:rsidRPr="00C77C55">
        <w:t>The</w:t>
      </w:r>
      <w:r>
        <w:t> </w:t>
      </w:r>
      <w:r w:rsidRPr="00C77C55">
        <w:t>damages</w:t>
      </w:r>
      <w:r>
        <w:t xml:space="preserve"> resulting from negligence, the court explained, “</w:t>
      </w:r>
      <w:bookmarkStart w:id="189" w:name="QUOTE_BOOKMARK_IS_CONFIRMED_36"/>
      <w:r w:rsidR="006A1342">
        <w:t>are subject to apportionment, . . . while [the damages resulting from intentional torts] are not.  Accordingly, upon retrial . . . , the trier of fact should . . . determine what portion of the total general damages . . . is subject to apportionment of fault and what portion is not.</w:t>
      </w:r>
      <w:bookmarkEnd w:id="189"/>
      <w:r>
        <w:t>”  (</w:t>
      </w:r>
      <w:bookmarkStart w:id="190" w:name="Psych_Cite_131"/>
      <w:r>
        <w:rPr>
          <w:i/>
          <w:iCs/>
        </w:rPr>
        <w:t>Ibid.</w:t>
      </w:r>
      <w:bookmarkEnd w:id="190"/>
      <w:r>
        <w:t>)</w:t>
      </w:r>
    </w:p>
    <w:p w14:paraId="70D29582" w14:textId="5318CA61" w:rsidR="00097203" w:rsidRDefault="00097203" w:rsidP="00097203">
      <w:pPr>
        <w:tabs>
          <w:tab w:val="left" w:pos="720"/>
        </w:tabs>
        <w:spacing w:line="480" w:lineRule="atLeast"/>
      </w:pPr>
      <w:r>
        <w:tab/>
        <w:t>In sum, by June 1986, when the electorate adopted Proposition 51, the state of the law in California was as follows:  This court</w:t>
      </w:r>
      <w:r w:rsidR="0057610A">
        <w:t xml:space="preserve">’s precedents established </w:t>
      </w:r>
      <w:r>
        <w:t>that (1) for purposes of allocating liability under “principles of comparative fault,” the term “fault” includes both negligence and strict liability (</w:t>
      </w:r>
      <w:bookmarkStart w:id="191" w:name="Psych_Cite_136"/>
      <w:r>
        <w:rPr>
          <w:i/>
          <w:iCs/>
        </w:rPr>
        <w:t>Daly</w:t>
      </w:r>
      <w:r>
        <w:t xml:space="preserve">, </w:t>
      </w:r>
      <w:r w:rsidRPr="00926972">
        <w:rPr>
          <w:i/>
          <w:iCs/>
        </w:rPr>
        <w:t>supra,</w:t>
      </w:r>
      <w:r>
        <w:t xml:space="preserve"> 20 Cal.3d at p. 744</w:t>
      </w:r>
      <w:bookmarkEnd w:id="191"/>
      <w:r>
        <w:t>)</w:t>
      </w:r>
      <w:r w:rsidR="008F1F1B">
        <w:t>;</w:t>
      </w:r>
      <w:r>
        <w:t xml:space="preserve"> (2) even where comparative fault principles apply, the liability of co</w:t>
      </w:r>
      <w:r w:rsidR="00B33454">
        <w:t>defendants</w:t>
      </w:r>
      <w:r>
        <w:t xml:space="preserve"> vis-à-vis the plaintiff remains joint and several, subject to reduction based on the plaintiff’s conduct (</w:t>
      </w:r>
      <w:bookmarkStart w:id="192" w:name="Psych_Cite_137"/>
      <w:r>
        <w:rPr>
          <w:i/>
          <w:iCs/>
        </w:rPr>
        <w:t>American Motorcycle</w:t>
      </w:r>
      <w:r w:rsidR="008F1F1B">
        <w:t xml:space="preserve">, </w:t>
      </w:r>
      <w:r w:rsidR="008F1F1B" w:rsidRPr="007D09FA">
        <w:rPr>
          <w:i/>
          <w:iCs/>
        </w:rPr>
        <w:t>supra</w:t>
      </w:r>
      <w:r w:rsidR="008F1F1B" w:rsidRPr="007D09FA">
        <w:t>,</w:t>
      </w:r>
      <w:r w:rsidR="008F1F1B">
        <w:t xml:space="preserve"> 20 Cal.3d at p. </w:t>
      </w:r>
      <w:r w:rsidR="00922EA0">
        <w:t>582</w:t>
      </w:r>
      <w:bookmarkEnd w:id="192"/>
      <w:r>
        <w:t>)</w:t>
      </w:r>
      <w:r w:rsidR="008F1F1B">
        <w:t>;</w:t>
      </w:r>
      <w:r>
        <w:t xml:space="preserve"> and (3) under “</w:t>
      </w:r>
      <w:bookmarkStart w:id="193" w:name="QUOTE_BOOKMARK_IS_CONFIRMED_37"/>
      <w:r w:rsidR="006A1342">
        <w:t>comparative fault principles,</w:t>
      </w:r>
      <w:bookmarkEnd w:id="193"/>
      <w:r>
        <w:t>”</w:t>
      </w:r>
      <w:r w:rsidRPr="006F5055">
        <w:t xml:space="preserve"> </w:t>
      </w:r>
      <w:r>
        <w:t xml:space="preserve">a right of partial indemnity exists as to the defendants in actions based on </w:t>
      </w:r>
      <w:r>
        <w:lastRenderedPageBreak/>
        <w:t xml:space="preserve">negligence and strict liability, such that they may recover from each other </w:t>
      </w:r>
      <w:r w:rsidRPr="00074309">
        <w:t xml:space="preserve">on a comparative </w:t>
      </w:r>
      <w:r>
        <w:t xml:space="preserve">responsibility </w:t>
      </w:r>
      <w:r w:rsidRPr="00074309">
        <w:t>basis</w:t>
      </w:r>
      <w:r>
        <w:t xml:space="preserve"> (</w:t>
      </w:r>
      <w:bookmarkStart w:id="194" w:name="Psych_Cite_138"/>
      <w:r>
        <w:rPr>
          <w:i/>
          <w:iCs/>
        </w:rPr>
        <w:t>Safeway</w:t>
      </w:r>
      <w:r>
        <w:t xml:space="preserve">, </w:t>
      </w:r>
      <w:r w:rsidRPr="007D09FA">
        <w:rPr>
          <w:i/>
          <w:iCs/>
        </w:rPr>
        <w:t>supra</w:t>
      </w:r>
      <w:r w:rsidRPr="007D09FA">
        <w:t>,</w:t>
      </w:r>
      <w:r>
        <w:t xml:space="preserve"> 21 Cal.3d at p.</w:t>
      </w:r>
      <w:r w:rsidR="00704387">
        <w:t xml:space="preserve"> 325</w:t>
      </w:r>
      <w:bookmarkEnd w:id="194"/>
      <w:r>
        <w:t xml:space="preserve">).  </w:t>
      </w:r>
      <w:r w:rsidR="002D2464">
        <w:t>O</w:t>
      </w:r>
      <w:r w:rsidR="00665F13">
        <w:t xml:space="preserve">ur Courts of Appeal </w:t>
      </w:r>
      <w:r w:rsidR="002D2464">
        <w:t xml:space="preserve">uniformly held </w:t>
      </w:r>
      <w:r>
        <w:t xml:space="preserve">that </w:t>
      </w:r>
      <w:r w:rsidR="00A51E60">
        <w:t xml:space="preserve">intentional tortfeasors may not, under </w:t>
      </w:r>
      <w:r>
        <w:t>comparative fault principles</w:t>
      </w:r>
      <w:r w:rsidR="00A51E60">
        <w:t xml:space="preserve">, reduce their liability based on the negligent acts of others.  And </w:t>
      </w:r>
      <w:bookmarkStart w:id="195" w:name="Psych_Cite_133"/>
      <w:r w:rsidR="00A51E60">
        <w:t>s</w:t>
      </w:r>
      <w:r w:rsidR="002D2464">
        <w:t>ection 875 of the Code of Civil Procedur</w:t>
      </w:r>
      <w:bookmarkEnd w:id="195"/>
      <w:r w:rsidR="002D2464">
        <w:t xml:space="preserve">e authorized pro rata contribution among the defendants held liable </w:t>
      </w:r>
      <w:bookmarkStart w:id="196" w:name="QUOTE_BOOKMARK_IS_CONFIRMED_38"/>
      <w:r w:rsidR="006A1342">
        <w:t>“in a tort action</w:t>
      </w:r>
      <w:bookmarkEnd w:id="196"/>
      <w:r w:rsidR="002D2464" w:rsidRPr="000E6685">
        <w:t>” (</w:t>
      </w:r>
      <w:bookmarkStart w:id="197" w:name="Psych_Cite_134"/>
      <w:r w:rsidR="002D2464">
        <w:rPr>
          <w:i/>
          <w:iCs/>
        </w:rPr>
        <w:t>id.</w:t>
      </w:r>
      <w:r w:rsidR="002D2464">
        <w:t xml:space="preserve">, </w:t>
      </w:r>
      <w:proofErr w:type="spellStart"/>
      <w:r w:rsidR="002D2464" w:rsidRPr="000E6685">
        <w:t>su</w:t>
      </w:r>
      <w:bookmarkEnd w:id="197"/>
      <w:r w:rsidR="002D2464" w:rsidRPr="000E6685">
        <w:t>bd</w:t>
      </w:r>
      <w:proofErr w:type="spellEnd"/>
      <w:r w:rsidR="002D2464" w:rsidRPr="000E6685">
        <w:t>. (a))</w:t>
      </w:r>
      <w:r w:rsidR="002D2464">
        <w:t>, but expressly precluded “</w:t>
      </w:r>
      <w:r w:rsidR="002D2464" w:rsidRPr="001A1F79">
        <w:t>contribution in favor of any tortfeasor who has intentionally injured the injured person”</w:t>
      </w:r>
      <w:r w:rsidR="002D2464">
        <w:t xml:space="preserve"> (</w:t>
      </w:r>
      <w:bookmarkStart w:id="198" w:name="Psych_Cite_135"/>
      <w:r w:rsidR="002D2464">
        <w:rPr>
          <w:i/>
          <w:iCs/>
        </w:rPr>
        <w:t>id.</w:t>
      </w:r>
      <w:r w:rsidR="002D2464">
        <w:t xml:space="preserve">, </w:t>
      </w:r>
      <w:proofErr w:type="spellStart"/>
      <w:r w:rsidR="002D2464">
        <w:t>su</w:t>
      </w:r>
      <w:bookmarkEnd w:id="198"/>
      <w:r w:rsidR="002D2464">
        <w:t>bd</w:t>
      </w:r>
      <w:proofErr w:type="spellEnd"/>
      <w:r w:rsidR="002D2464">
        <w:t xml:space="preserve">. (d)).  </w:t>
      </w:r>
    </w:p>
    <w:p w14:paraId="59BE9EAD" w14:textId="01430E92" w:rsidR="00097203" w:rsidRDefault="00097203" w:rsidP="00097203">
      <w:pPr>
        <w:tabs>
          <w:tab w:val="left" w:pos="720"/>
        </w:tabs>
        <w:spacing w:line="480" w:lineRule="atLeast"/>
      </w:pPr>
      <w:r>
        <w:tab/>
        <w:t xml:space="preserve">Published appellate authority after Proposition 51’s adoption similarly </w:t>
      </w:r>
      <w:r w:rsidR="007732B1">
        <w:t xml:space="preserve">held </w:t>
      </w:r>
      <w:r>
        <w:t xml:space="preserve">that intentional tortfeasors may not obtain reduction of their liability under principles of comparative fault.  As noted at the outset, almost 15 years ago, in </w:t>
      </w:r>
      <w:bookmarkStart w:id="199" w:name="Psych_Cite_140"/>
      <w:r>
        <w:rPr>
          <w:i/>
          <w:iCs/>
        </w:rPr>
        <w:t>Thomas</w:t>
      </w:r>
      <w:r>
        <w:t xml:space="preserve">, </w:t>
      </w:r>
      <w:r w:rsidRPr="007D09FA">
        <w:rPr>
          <w:i/>
          <w:iCs/>
        </w:rPr>
        <w:t>supra</w:t>
      </w:r>
      <w:r w:rsidRPr="007D09FA">
        <w:t>,</w:t>
      </w:r>
      <w:r>
        <w:t xml:space="preserve"> </w:t>
      </w:r>
      <w:r w:rsidRPr="007325EA">
        <w:t>139</w:t>
      </w:r>
      <w:r>
        <w:t xml:space="preserve"> Cal.App.4th at page 1108, the court confronted the precise issue now before us and held that “</w:t>
      </w:r>
      <w:r w:rsidRPr="005A0A09">
        <w:t xml:space="preserve">an intentional tortfeasor is </w:t>
      </w:r>
      <w:r>
        <w:t xml:space="preserve">[not] </w:t>
      </w:r>
      <w:r w:rsidRPr="005A0A09">
        <w:t>entitled to a reduction or apportionment of noneconomic damages under Proposition 51</w:t>
      </w:r>
      <w:r>
        <w:t xml:space="preserve">.”  Citing </w:t>
      </w:r>
      <w:r>
        <w:rPr>
          <w:i/>
          <w:iCs/>
        </w:rPr>
        <w:t xml:space="preserve">Allen </w:t>
      </w:r>
      <w:r>
        <w:t xml:space="preserve">and </w:t>
      </w:r>
      <w:r>
        <w:rPr>
          <w:i/>
          <w:iCs/>
        </w:rPr>
        <w:t>Godfrey</w:t>
      </w:r>
      <w:r>
        <w:t>, the court first explained that “[a]t the time Proposition 51 was adopted, the law was well established</w:t>
      </w:r>
      <w:r w:rsidR="00B5543F">
        <w:t xml:space="preserve">” that </w:t>
      </w:r>
      <w:r w:rsidR="00D11A0B">
        <w:t>“</w:t>
      </w:r>
      <w:r>
        <w:t>a</w:t>
      </w:r>
      <w:r w:rsidR="00B5543F">
        <w:t xml:space="preserve"> defendant </w:t>
      </w:r>
      <w:r>
        <w:t>who committed an intentional tort against the plaintiff was not entitled to a reduction of the judgment because the plaintiff’s injuries also resulted from his or her own negligence or the negligence of a third party.”  (</w:t>
      </w:r>
      <w:r>
        <w:rPr>
          <w:i/>
          <w:iCs/>
        </w:rPr>
        <w:t>Thomas</w:t>
      </w:r>
      <w:r>
        <w:t>, at p. 1111</w:t>
      </w:r>
      <w:bookmarkEnd w:id="199"/>
      <w:r>
        <w:t>.)  The court then held that “Proposition 51 did not alter” this principle.  (</w:t>
      </w:r>
      <w:bookmarkStart w:id="200" w:name="Psych_Cite_139"/>
      <w:r>
        <w:rPr>
          <w:i/>
          <w:iCs/>
        </w:rPr>
        <w:t>Ibid.</w:t>
      </w:r>
      <w:bookmarkEnd w:id="200"/>
      <w:r>
        <w:t xml:space="preserve">)    </w:t>
      </w:r>
    </w:p>
    <w:p w14:paraId="00DA35D5" w14:textId="2CA8B97F" w:rsidR="00097203" w:rsidRDefault="00097203" w:rsidP="00097203">
      <w:pPr>
        <w:tabs>
          <w:tab w:val="left" w:pos="720"/>
        </w:tabs>
        <w:spacing w:line="480" w:lineRule="atLeast"/>
      </w:pPr>
      <w:r>
        <w:lastRenderedPageBreak/>
        <w:tab/>
        <w:t xml:space="preserve">The </w:t>
      </w:r>
      <w:r>
        <w:rPr>
          <w:i/>
          <w:iCs/>
        </w:rPr>
        <w:t xml:space="preserve">Thomas </w:t>
      </w:r>
      <w:r>
        <w:t xml:space="preserve">court relied in part on </w:t>
      </w:r>
      <w:bookmarkStart w:id="201" w:name="Psych_Cite_145"/>
      <w:r w:rsidRPr="004D490E">
        <w:rPr>
          <w:i/>
          <w:iCs/>
        </w:rPr>
        <w:t>Heiner v. Kmart Corp.</w:t>
      </w:r>
      <w:r w:rsidRPr="004D490E">
        <w:t xml:space="preserve"> (2000) 84 Cal.App.4th 335</w:t>
      </w:r>
      <w:r>
        <w:t>, 337</w:t>
      </w:r>
      <w:bookmarkEnd w:id="201"/>
      <w:r>
        <w:t>, which</w:t>
      </w:r>
      <w:r>
        <w:rPr>
          <w:i/>
          <w:iCs/>
        </w:rPr>
        <w:t xml:space="preserve"> </w:t>
      </w:r>
      <w:r>
        <w:t xml:space="preserve">involved the extent of the defendant’s liability for a battery committed by its employee — a security guard — against the plaintiff.  The defendant in </w:t>
      </w:r>
      <w:r>
        <w:rPr>
          <w:i/>
          <w:iCs/>
        </w:rPr>
        <w:t xml:space="preserve">Heiner </w:t>
      </w:r>
      <w:r>
        <w:t>argued on appeal that the trial court had erred by “</w:t>
      </w:r>
      <w:r w:rsidRPr="00ED0382">
        <w:t>declining to apply principles of comparative fault</w:t>
      </w:r>
      <w:r>
        <w:t xml:space="preserve"> </w:t>
      </w:r>
      <w:r w:rsidRPr="00ED0382">
        <w:t>to allocate the damages resulting from the battery</w:t>
      </w:r>
      <w:r>
        <w:t>” (</w:t>
      </w:r>
      <w:bookmarkStart w:id="202" w:name="Psych_Cite_142"/>
      <w:r>
        <w:rPr>
          <w:i/>
          <w:iCs/>
        </w:rPr>
        <w:t>ibid.</w:t>
      </w:r>
      <w:bookmarkEnd w:id="202"/>
      <w:r>
        <w:t>) “based on [the plaintiff’s] ‘contributory negligence’ ” (</w:t>
      </w:r>
      <w:bookmarkStart w:id="203" w:name="Psych_Cite_143"/>
      <w:r>
        <w:rPr>
          <w:i/>
          <w:iCs/>
        </w:rPr>
        <w:t xml:space="preserve">id. </w:t>
      </w:r>
      <w:r>
        <w:t>at p. 348</w:t>
      </w:r>
      <w:bookmarkEnd w:id="203"/>
      <w:r>
        <w:t xml:space="preserve">).  The Court of Appeal disagreed, </w:t>
      </w:r>
      <w:r w:rsidR="004C47AB">
        <w:t xml:space="preserve">finding </w:t>
      </w:r>
      <w:r>
        <w:t xml:space="preserve">it </w:t>
      </w:r>
      <w:r w:rsidR="004C47AB">
        <w:t>“</w:t>
      </w:r>
      <w:r>
        <w:t>reasonably clear” under California law “</w:t>
      </w:r>
      <w:bookmarkStart w:id="204" w:name="QUOTE_BOOKMARK_IS_CONFIRMED_39"/>
      <w:r w:rsidR="006A1342">
        <w:t>that apportionment of fault for injuries inflicted in the course of an intentional tort — such as the battery in this case — would have been improper.</w:t>
      </w:r>
      <w:bookmarkEnd w:id="204"/>
      <w:r>
        <w:t>”  (</w:t>
      </w:r>
      <w:bookmarkStart w:id="205" w:name="Psych_Cite_144"/>
      <w:r>
        <w:rPr>
          <w:i/>
          <w:iCs/>
        </w:rPr>
        <w:t>Id.</w:t>
      </w:r>
      <w:r w:rsidR="00FA0323">
        <w:t xml:space="preserve"> </w:t>
      </w:r>
      <w:r>
        <w:t>at p.</w:t>
      </w:r>
      <w:r w:rsidR="00FA0323">
        <w:t xml:space="preserve"> 349</w:t>
      </w:r>
      <w:bookmarkEnd w:id="205"/>
      <w:r>
        <w:t xml:space="preserve">.)  The court reasoned that </w:t>
      </w:r>
      <w:r w:rsidRPr="00F20270">
        <w:rPr>
          <w:i/>
          <w:iCs/>
        </w:rPr>
        <w:t>Li</w:t>
      </w:r>
      <w:r>
        <w:t>’s “</w:t>
      </w:r>
      <w:r w:rsidRPr="00442353">
        <w:t xml:space="preserve">adoption of a regime of </w:t>
      </w:r>
      <w:r>
        <w:t>‘</w:t>
      </w:r>
      <w:r w:rsidRPr="00442353">
        <w:t>comparative fault</w:t>
      </w:r>
      <w:r>
        <w:t>’ </w:t>
      </w:r>
      <w:r w:rsidRPr="00442353">
        <w:t xml:space="preserve">” </w:t>
      </w:r>
      <w:r>
        <w:t>had not abrogated this rule.  (</w:t>
      </w:r>
      <w:bookmarkStart w:id="206" w:name="Psych_Cite_146"/>
      <w:r w:rsidR="001D20BB" w:rsidRPr="001D20BB">
        <w:rPr>
          <w:i/>
          <w:iCs/>
        </w:rPr>
        <w:t>Heiner</w:t>
      </w:r>
      <w:r w:rsidR="001D20BB">
        <w:t xml:space="preserve">, </w:t>
      </w:r>
      <w:r>
        <w:t>at p. 349</w:t>
      </w:r>
      <w:bookmarkEnd w:id="206"/>
      <w:r>
        <w:t xml:space="preserve">.)  On the contrary, the court stated, </w:t>
      </w:r>
      <w:r>
        <w:rPr>
          <w:i/>
          <w:iCs/>
        </w:rPr>
        <w:t>Li</w:t>
      </w:r>
      <w:r>
        <w:t xml:space="preserve">, “along with” </w:t>
      </w:r>
      <w:r w:rsidRPr="00C33E1B">
        <w:rPr>
          <w:i/>
          <w:iCs/>
        </w:rPr>
        <w:t>American Motorcycle</w:t>
      </w:r>
      <w:r>
        <w:t xml:space="preserve">, </w:t>
      </w:r>
      <w:r w:rsidRPr="00C33E1B">
        <w:rPr>
          <w:i/>
          <w:iCs/>
        </w:rPr>
        <w:t>Allen</w:t>
      </w:r>
      <w:r w:rsidRPr="00C33E1B">
        <w:t xml:space="preserve"> and </w:t>
      </w:r>
      <w:r w:rsidRPr="00C33E1B">
        <w:rPr>
          <w:i/>
          <w:iCs/>
        </w:rPr>
        <w:t>Godfrey</w:t>
      </w:r>
      <w:r>
        <w:t>,</w:t>
      </w:r>
      <w:r>
        <w:rPr>
          <w:i/>
          <w:iCs/>
        </w:rPr>
        <w:t xml:space="preserve"> </w:t>
      </w:r>
      <w:r>
        <w:t>“</w:t>
      </w:r>
      <w:r w:rsidRPr="00C33E1B">
        <w:t>constitute an unbroken line of authority barring apportionment where, as here, the defendant has committed an intentional tort and the injured plaintiff was merely negligent.</w:t>
      </w:r>
      <w:r>
        <w:t>”  (</w:t>
      </w:r>
      <w:bookmarkStart w:id="207" w:name="Psych_Cite_147"/>
      <w:r>
        <w:rPr>
          <w:i/>
          <w:iCs/>
        </w:rPr>
        <w:t>Heiner</w:t>
      </w:r>
      <w:r>
        <w:t>, at p. 35</w:t>
      </w:r>
      <w:bookmarkEnd w:id="207"/>
      <w:r>
        <w:t xml:space="preserve">0.)  </w:t>
      </w:r>
    </w:p>
    <w:p w14:paraId="4E4FDDD5" w14:textId="5D8BA2F2" w:rsidR="00097203" w:rsidRDefault="00097203" w:rsidP="00097203">
      <w:pPr>
        <w:tabs>
          <w:tab w:val="left" w:pos="720"/>
        </w:tabs>
        <w:spacing w:line="480" w:lineRule="atLeast"/>
      </w:pPr>
      <w:r>
        <w:tab/>
        <w:t xml:space="preserve">In support of their contrary view of California law, defendants rely on a single, post-Proposition 51 decision:  </w:t>
      </w:r>
      <w:bookmarkStart w:id="208" w:name="Psych_Cite_148"/>
      <w:bookmarkStart w:id="209" w:name="_Hlk44357671"/>
      <w:proofErr w:type="spellStart"/>
      <w:r w:rsidRPr="000E6239">
        <w:rPr>
          <w:i/>
          <w:iCs/>
        </w:rPr>
        <w:t>Weidenfeller</w:t>
      </w:r>
      <w:proofErr w:type="spellEnd"/>
      <w:r w:rsidRPr="000E6239">
        <w:rPr>
          <w:i/>
          <w:iCs/>
        </w:rPr>
        <w:t xml:space="preserve"> v. Star &amp; Garter</w:t>
      </w:r>
      <w:r>
        <w:t xml:space="preserve"> (1991) 1 Cal.App.4th 1 (</w:t>
      </w:r>
      <w:proofErr w:type="spellStart"/>
      <w:r w:rsidRPr="008F252C">
        <w:rPr>
          <w:i/>
          <w:iCs/>
        </w:rPr>
        <w:t>Weidenfeller</w:t>
      </w:r>
      <w:proofErr w:type="spellEnd"/>
      <w:r>
        <w:t>)</w:t>
      </w:r>
      <w:bookmarkEnd w:id="208"/>
      <w:r>
        <w:t xml:space="preserve">.  </w:t>
      </w:r>
      <w:bookmarkEnd w:id="209"/>
      <w:r>
        <w:t xml:space="preserve">According to defendants, the </w:t>
      </w:r>
      <w:proofErr w:type="spellStart"/>
      <w:r>
        <w:rPr>
          <w:i/>
          <w:iCs/>
        </w:rPr>
        <w:t>Weidenfeller</w:t>
      </w:r>
      <w:proofErr w:type="spellEnd"/>
      <w:r>
        <w:rPr>
          <w:i/>
          <w:iCs/>
        </w:rPr>
        <w:t xml:space="preserve"> </w:t>
      </w:r>
      <w:r>
        <w:t xml:space="preserve">court, in the course of holding that “a negligent defendant was entitled to apportionment under </w:t>
      </w:r>
      <w:bookmarkStart w:id="210" w:name="Psych_Cite_149"/>
      <w:r>
        <w:t>section 1431.2</w:t>
      </w:r>
      <w:bookmarkEnd w:id="210"/>
      <w:r>
        <w:t xml:space="preserve"> when a plaintiff’s harm was also caused by a non-party who acted intentionally,” </w:t>
      </w:r>
      <w:r>
        <w:lastRenderedPageBreak/>
        <w:t xml:space="preserve">“acknowledged that no authority excluded intentional tortfeasors from the comparative fault doctrine.”  This decision, defendants assert, “suggests that </w:t>
      </w:r>
      <w:bookmarkStart w:id="211" w:name="Psych_Cite_150"/>
      <w:r>
        <w:t>section 1431.2</w:t>
      </w:r>
      <w:bookmarkEnd w:id="211"/>
      <w:r>
        <w:t xml:space="preserve"> should apply to intentional tortfeasors.”  </w:t>
      </w:r>
    </w:p>
    <w:p w14:paraId="68FE09B9" w14:textId="2045D045" w:rsidR="00097203" w:rsidRDefault="00097203" w:rsidP="00097203">
      <w:pPr>
        <w:tabs>
          <w:tab w:val="left" w:pos="720"/>
        </w:tabs>
        <w:spacing w:line="480" w:lineRule="atLeast"/>
      </w:pPr>
      <w:r>
        <w:tab/>
        <w:t xml:space="preserve">Defendants’ reliance on </w:t>
      </w:r>
      <w:proofErr w:type="spellStart"/>
      <w:r>
        <w:rPr>
          <w:i/>
          <w:iCs/>
        </w:rPr>
        <w:t>Weidenfeller</w:t>
      </w:r>
      <w:proofErr w:type="spellEnd"/>
      <w:r>
        <w:rPr>
          <w:i/>
          <w:iCs/>
        </w:rPr>
        <w:t xml:space="preserve"> </w:t>
      </w:r>
      <w:r>
        <w:t xml:space="preserve">is misplaced.  As defendants acknowledge, because the party who acted intentionally in that case “was not named as a defendant,” </w:t>
      </w:r>
      <w:proofErr w:type="spellStart"/>
      <w:r>
        <w:rPr>
          <w:i/>
          <w:iCs/>
        </w:rPr>
        <w:t>Weidenfeller</w:t>
      </w:r>
      <w:proofErr w:type="spellEnd"/>
      <w:r>
        <w:rPr>
          <w:i/>
          <w:iCs/>
        </w:rPr>
        <w:t xml:space="preserve"> </w:t>
      </w:r>
      <w:r>
        <w:t xml:space="preserve">“did not address” whether an intentional tortfeasor “is entitled to apportionment” under the law.  The plaintiff in </w:t>
      </w:r>
      <w:proofErr w:type="spellStart"/>
      <w:r>
        <w:rPr>
          <w:i/>
          <w:iCs/>
        </w:rPr>
        <w:t>Weidenfeller</w:t>
      </w:r>
      <w:proofErr w:type="spellEnd"/>
      <w:r>
        <w:t>, after being injured during an unprovoked assault in a bar parking lot, sued — and obtained a verdict against —</w:t>
      </w:r>
      <w:r w:rsidR="002C1297">
        <w:t> </w:t>
      </w:r>
      <w:r>
        <w:t>the bar and its owners based on their “</w:t>
      </w:r>
      <w:r w:rsidRPr="004D1C78">
        <w:t>negligence</w:t>
      </w:r>
      <w:r>
        <w:t>”</w:t>
      </w:r>
      <w:r w:rsidRPr="004D1C78">
        <w:t xml:space="preserve"> in </w:t>
      </w:r>
      <w:r>
        <w:t xml:space="preserve">failing “to </w:t>
      </w:r>
      <w:r w:rsidRPr="00773A39">
        <w:t>provide adequate lighting and a security presence</w:t>
      </w:r>
      <w:r>
        <w:t>.”  (</w:t>
      </w:r>
      <w:bookmarkStart w:id="212" w:name="Psych_Cite_151"/>
      <w:proofErr w:type="spellStart"/>
      <w:r>
        <w:rPr>
          <w:i/>
          <w:iCs/>
        </w:rPr>
        <w:t>Weidenfeller</w:t>
      </w:r>
      <w:proofErr w:type="spellEnd"/>
      <w:r>
        <w:t>,</w:t>
      </w:r>
      <w:r w:rsidR="001D20BB">
        <w:t xml:space="preserve"> </w:t>
      </w:r>
      <w:r w:rsidR="00617B90" w:rsidRPr="007D09FA">
        <w:rPr>
          <w:i/>
          <w:iCs/>
        </w:rPr>
        <w:t>supra</w:t>
      </w:r>
      <w:r w:rsidR="00617B90" w:rsidRPr="007D09FA">
        <w:t>,</w:t>
      </w:r>
      <w:r w:rsidR="00617B90">
        <w:t xml:space="preserve"> </w:t>
      </w:r>
      <w:r w:rsidR="001D20BB">
        <w:t xml:space="preserve">1 </w:t>
      </w:r>
      <w:proofErr w:type="spellStart"/>
      <w:r w:rsidR="001D20BB">
        <w:t>Cal.App</w:t>
      </w:r>
      <w:proofErr w:type="spellEnd"/>
      <w:r w:rsidR="001D20BB">
        <w:t xml:space="preserve">. 4th </w:t>
      </w:r>
      <w:r w:rsidR="00F1633B">
        <w:t xml:space="preserve"> </w:t>
      </w:r>
      <w:r>
        <w:t>at p.</w:t>
      </w:r>
      <w:r w:rsidR="00617B90">
        <w:t xml:space="preserve"> 4</w:t>
      </w:r>
      <w:bookmarkEnd w:id="212"/>
      <w:r>
        <w:t xml:space="preserve">.)  Thus, as here relevant, the sole issue before the appellate court was whether the judgment against the </w:t>
      </w:r>
      <w:r w:rsidRPr="002D09EB">
        <w:rPr>
          <w:i/>
          <w:iCs/>
        </w:rPr>
        <w:t>negligent</w:t>
      </w:r>
      <w:r>
        <w:t xml:space="preserve"> defendants for non</w:t>
      </w:r>
      <w:r w:rsidR="00BA1D86">
        <w:t>economic</w:t>
      </w:r>
      <w:r>
        <w:t xml:space="preserve"> damage</w:t>
      </w:r>
      <w:r w:rsidR="0089706D">
        <w:t xml:space="preserve">s </w:t>
      </w:r>
      <w:r>
        <w:t xml:space="preserve">should be reduced pursuant to </w:t>
      </w:r>
      <w:bookmarkStart w:id="213" w:name="Psych_Cite_153"/>
      <w:r>
        <w:t>section 1431.</w:t>
      </w:r>
      <w:bookmarkEnd w:id="213"/>
      <w:r>
        <w:t>2 based on the percentage of fault the jury attributed to the assailant’s intentional acts.  (</w:t>
      </w:r>
      <w:proofErr w:type="spellStart"/>
      <w:r w:rsidR="001429B4" w:rsidRPr="001429B4">
        <w:rPr>
          <w:i/>
          <w:iCs/>
        </w:rPr>
        <w:t>Weidenfeller</w:t>
      </w:r>
      <w:proofErr w:type="spellEnd"/>
      <w:r w:rsidR="001429B4">
        <w:t>, at p. 4.)</w:t>
      </w:r>
      <w:r>
        <w:t xml:space="preserve">  The court’s affirmative answer to </w:t>
      </w:r>
      <w:r w:rsidR="000146EB">
        <w:t xml:space="preserve">that </w:t>
      </w:r>
      <w:r>
        <w:t xml:space="preserve">question </w:t>
      </w:r>
      <w:r w:rsidR="003C4A7E">
        <w:t xml:space="preserve">did </w:t>
      </w:r>
      <w:r>
        <w:t xml:space="preserve">not, as defendants assert, “suggest[]” the converse, i.e., that intentional tortfeasors are entitled to reduce their liability based on the negligent acts of the plaintiff or other actors.  This is clear from the fact that the court expressly distinguished </w:t>
      </w:r>
      <w:r>
        <w:rPr>
          <w:i/>
          <w:iCs/>
        </w:rPr>
        <w:t xml:space="preserve">Godfrey </w:t>
      </w:r>
      <w:r>
        <w:t xml:space="preserve">and </w:t>
      </w:r>
      <w:r>
        <w:rPr>
          <w:i/>
          <w:iCs/>
        </w:rPr>
        <w:t xml:space="preserve">Allen </w:t>
      </w:r>
      <w:r>
        <w:t>on the ground that they precluded “</w:t>
      </w:r>
      <w:r w:rsidRPr="009937B5">
        <w:t>intentional actor</w:t>
      </w:r>
      <w:r w:rsidR="001429B4">
        <w:t>[s]</w:t>
      </w:r>
      <w:r>
        <w:t>” from “</w:t>
      </w:r>
      <w:r w:rsidRPr="009937B5">
        <w:t>shift</w:t>
      </w:r>
      <w:r>
        <w:t>[</w:t>
      </w:r>
      <w:proofErr w:type="spellStart"/>
      <w:r>
        <w:t>ing</w:t>
      </w:r>
      <w:proofErr w:type="spellEnd"/>
      <w:r>
        <w:t>]</w:t>
      </w:r>
      <w:r w:rsidRPr="009937B5">
        <w:t xml:space="preserve"> </w:t>
      </w:r>
      <w:r>
        <w:t xml:space="preserve">[their] </w:t>
      </w:r>
      <w:r w:rsidRPr="009937B5">
        <w:t>financial burden to a negligent party</w:t>
      </w:r>
      <w:r>
        <w:t xml:space="preserve">,” and </w:t>
      </w:r>
      <w:r w:rsidR="001960F5">
        <w:t xml:space="preserve">did </w:t>
      </w:r>
      <w:r>
        <w:t>not involve “</w:t>
      </w:r>
      <w:r w:rsidRPr="009937B5">
        <w:t xml:space="preserve">the </w:t>
      </w:r>
      <w:r w:rsidRPr="009937B5">
        <w:lastRenderedPageBreak/>
        <w:t>converse situation</w:t>
      </w:r>
      <w:r>
        <w:t xml:space="preserve">” — at issue in </w:t>
      </w:r>
      <w:proofErr w:type="spellStart"/>
      <w:r>
        <w:rPr>
          <w:i/>
          <w:iCs/>
        </w:rPr>
        <w:t>Weidenfeller</w:t>
      </w:r>
      <w:proofErr w:type="spellEnd"/>
      <w:r>
        <w:t xml:space="preserve"> — where </w:t>
      </w:r>
      <w:r w:rsidR="00EB2D95">
        <w:t>“</w:t>
      </w:r>
      <w:r w:rsidRPr="009937B5">
        <w:t xml:space="preserve">transfer </w:t>
      </w:r>
      <w:r w:rsidR="00EB2D95">
        <w:t xml:space="preserve">[of[ </w:t>
      </w:r>
      <w:r w:rsidRPr="009937B5">
        <w:t>the intentional actor’s responsibility to the negligent tortfeasor</w:t>
      </w:r>
      <w:r>
        <w:t>”</w:t>
      </w:r>
      <w:r w:rsidR="00EB2D95">
        <w:t xml:space="preserve"> is sought.</w:t>
      </w:r>
      <w:r>
        <w:t xml:space="preserve">  (</w:t>
      </w:r>
      <w:bookmarkStart w:id="214" w:name="Psych_Cite_152"/>
      <w:proofErr w:type="spellStart"/>
      <w:r>
        <w:rPr>
          <w:i/>
          <w:iCs/>
        </w:rPr>
        <w:t>Weidenfeller</w:t>
      </w:r>
      <w:proofErr w:type="spellEnd"/>
      <w:r>
        <w:t>, at p.</w:t>
      </w:r>
      <w:bookmarkEnd w:id="214"/>
      <w:r>
        <w:t xml:space="preserve"> 7.)  </w:t>
      </w:r>
    </w:p>
    <w:p w14:paraId="74C7DF3C" w14:textId="0492B349" w:rsidR="00097203" w:rsidRDefault="00097203" w:rsidP="00097203">
      <w:pPr>
        <w:tabs>
          <w:tab w:val="left" w:pos="720"/>
        </w:tabs>
        <w:spacing w:line="480" w:lineRule="atLeast"/>
      </w:pPr>
      <w:r>
        <w:tab/>
        <w:t xml:space="preserve">But the </w:t>
      </w:r>
      <w:proofErr w:type="spellStart"/>
      <w:r>
        <w:rPr>
          <w:i/>
          <w:iCs/>
        </w:rPr>
        <w:t>Weidenfeller</w:t>
      </w:r>
      <w:proofErr w:type="spellEnd"/>
      <w:r>
        <w:rPr>
          <w:i/>
          <w:iCs/>
        </w:rPr>
        <w:t xml:space="preserve"> </w:t>
      </w:r>
      <w:r>
        <w:t xml:space="preserve">court did not merely distinguish </w:t>
      </w:r>
      <w:r>
        <w:rPr>
          <w:i/>
          <w:iCs/>
        </w:rPr>
        <w:t xml:space="preserve">Godfrey </w:t>
      </w:r>
      <w:r>
        <w:t xml:space="preserve">and </w:t>
      </w:r>
      <w:r>
        <w:rPr>
          <w:i/>
          <w:iCs/>
        </w:rPr>
        <w:t>Allen</w:t>
      </w:r>
      <w:r>
        <w:t>,</w:t>
      </w:r>
      <w:r>
        <w:rPr>
          <w:i/>
          <w:iCs/>
        </w:rPr>
        <w:t xml:space="preserve"> </w:t>
      </w:r>
      <w:r>
        <w:t xml:space="preserve">it endorsed and </w:t>
      </w:r>
      <w:proofErr w:type="gramStart"/>
      <w:r>
        <w:t>ultimately relied</w:t>
      </w:r>
      <w:proofErr w:type="gramEnd"/>
      <w:r>
        <w:t xml:space="preserve"> on their holding that intentional tortfeasors may not shift liability to negligent actors.  In seeking to preclude reduction of the negligent defendants’ liability under </w:t>
      </w:r>
      <w:bookmarkStart w:id="215" w:name="Psych_Cite_162"/>
      <w:r>
        <w:t>section 1431.2</w:t>
      </w:r>
      <w:bookmarkEnd w:id="215"/>
      <w:r>
        <w:t xml:space="preserve">, the plaintiff in </w:t>
      </w:r>
      <w:proofErr w:type="spellStart"/>
      <w:r>
        <w:rPr>
          <w:i/>
          <w:iCs/>
        </w:rPr>
        <w:t>Weidenfeller</w:t>
      </w:r>
      <w:proofErr w:type="spellEnd"/>
      <w:r>
        <w:rPr>
          <w:i/>
          <w:iCs/>
        </w:rPr>
        <w:t xml:space="preserve"> </w:t>
      </w:r>
      <w:r>
        <w:t>argued that the statute did not apply because (1) “[c]</w:t>
      </w:r>
      <w:proofErr w:type="spellStart"/>
      <w:r>
        <w:t>omparative</w:t>
      </w:r>
      <w:proofErr w:type="spellEnd"/>
      <w:r>
        <w:t xml:space="preserve"> fault principles . . . are inapplicable whenever one party . . . acted intentionally,” (2) his assailant’s “conduct was intentional,” and (3) his lawsuit therefore was “not an action ‘</w:t>
      </w:r>
      <w:r w:rsidRPr="001F2DE4">
        <w:rPr>
          <w:i/>
          <w:iCs/>
        </w:rPr>
        <w:t>based upon principles of comparative fault</w:t>
      </w:r>
      <w:r>
        <w:t>’ ” within the meaning of the statute.  (</w:t>
      </w:r>
      <w:bookmarkStart w:id="216" w:name="Psych_Cite_159"/>
      <w:proofErr w:type="spellStart"/>
      <w:r>
        <w:rPr>
          <w:i/>
          <w:iCs/>
        </w:rPr>
        <w:t>Weidenfeller</w:t>
      </w:r>
      <w:proofErr w:type="spellEnd"/>
      <w:r>
        <w:t xml:space="preserve">, </w:t>
      </w:r>
      <w:r w:rsidRPr="008A3F54">
        <w:rPr>
          <w:i/>
          <w:iCs/>
        </w:rPr>
        <w:t>supra,</w:t>
      </w:r>
      <w:r>
        <w:rPr>
          <w:i/>
          <w:iCs/>
        </w:rPr>
        <w:t xml:space="preserve"> </w:t>
      </w:r>
      <w:r>
        <w:t>1</w:t>
      </w:r>
      <w:bookmarkEnd w:id="216"/>
      <w:r>
        <w:t xml:space="preserve"> Cal.App.4th at p. 5.)  In rejecting this argument, the Court of Appeal reasoned in part that the plaintiff’s interpretation would “distort[] the meaning” of the statute by precluding “a negligent tortfeasor” from invoking its benefits “where the other tortfeasors act intentionally.”  (</w:t>
      </w:r>
      <w:bookmarkStart w:id="217" w:name="Psych_Cite_155"/>
      <w:r>
        <w:rPr>
          <w:i/>
          <w:iCs/>
        </w:rPr>
        <w:t xml:space="preserve">Id. </w:t>
      </w:r>
      <w:r>
        <w:t>at p. 6</w:t>
      </w:r>
      <w:bookmarkEnd w:id="217"/>
      <w:r>
        <w:t xml:space="preserve">.)  This “absurd[]” result, the court </w:t>
      </w:r>
      <w:r w:rsidR="009277EE">
        <w:t>explained</w:t>
      </w:r>
      <w:r>
        <w:t>, would “violate[] the commonsense notion” that</w:t>
      </w:r>
      <w:r w:rsidR="00E43F8C">
        <w:t xml:space="preserve"> an “intentional </w:t>
      </w:r>
      <w:r>
        <w:t>actor [should] bear full responsibility for its act” (</w:t>
      </w:r>
      <w:bookmarkStart w:id="218" w:name="Psych_Cite_156"/>
      <w:r>
        <w:rPr>
          <w:i/>
          <w:iCs/>
        </w:rPr>
        <w:t>ibid.</w:t>
      </w:r>
      <w:bookmarkEnd w:id="218"/>
      <w:r>
        <w:t xml:space="preserve">) and “the common law determination that </w:t>
      </w:r>
      <w:r w:rsidRPr="005F652A">
        <w:t xml:space="preserve">a party who commits intentional misconduct should not be entitled to escape </w:t>
      </w:r>
      <w:r>
        <w:t>r</w:t>
      </w:r>
      <w:r w:rsidRPr="005F652A">
        <w:t>esponsibility for damages based upon the negligence of the victim or a joint tortfeasor</w:t>
      </w:r>
      <w:r>
        <w:t>” (</w:t>
      </w:r>
      <w:bookmarkStart w:id="219" w:name="Psych_Cite_157"/>
      <w:r>
        <w:rPr>
          <w:i/>
          <w:iCs/>
        </w:rPr>
        <w:t>id.</w:t>
      </w:r>
      <w:r>
        <w:t xml:space="preserve"> at p.</w:t>
      </w:r>
      <w:r w:rsidR="001F1BAC">
        <w:t xml:space="preserve"> 7</w:t>
      </w:r>
      <w:bookmarkEnd w:id="219"/>
      <w:r>
        <w:t>).  These principles, the court</w:t>
      </w:r>
      <w:r w:rsidR="0001073F">
        <w:t xml:space="preserve"> stated</w:t>
      </w:r>
      <w:r>
        <w:t xml:space="preserve">, are “reflected in </w:t>
      </w:r>
      <w:r w:rsidRPr="004B283B">
        <w:t>the Legislature’s enactment of</w:t>
      </w:r>
      <w:r>
        <w:t xml:space="preserve"> </w:t>
      </w:r>
      <w:bookmarkStart w:id="220" w:name="Psych_Cite_154"/>
      <w:r w:rsidRPr="004B283B">
        <w:lastRenderedPageBreak/>
        <w:t>Code of Civil Procedure section 875</w:t>
      </w:r>
      <w:bookmarkEnd w:id="220"/>
      <w:r>
        <w:t>,” which expressly “</w:t>
      </w:r>
      <w:proofErr w:type="spellStart"/>
      <w:r>
        <w:t>preclud</w:t>
      </w:r>
      <w:proofErr w:type="spellEnd"/>
      <w:r>
        <w:t>[es]</w:t>
      </w:r>
      <w:r w:rsidRPr="004B283B">
        <w:t xml:space="preserve"> contribution for </w:t>
      </w:r>
      <w:r>
        <w:t>‘</w:t>
      </w:r>
      <w:r w:rsidRPr="004B283B">
        <w:t>any tortfeasor who has intentionally injured the injured person</w:t>
      </w:r>
      <w:r>
        <w:t>’ ” (</w:t>
      </w:r>
      <w:bookmarkStart w:id="221" w:name="Psych_Cite_160"/>
      <w:proofErr w:type="spellStart"/>
      <w:r>
        <w:rPr>
          <w:i/>
          <w:iCs/>
        </w:rPr>
        <w:t>Weidenfeller</w:t>
      </w:r>
      <w:proofErr w:type="spellEnd"/>
      <w:r>
        <w:t>, at p. 6</w:t>
      </w:r>
      <w:bookmarkEnd w:id="221"/>
      <w:r>
        <w:t xml:space="preserve">), and in </w:t>
      </w:r>
      <w:r w:rsidRPr="00493C15">
        <w:rPr>
          <w:i/>
          <w:iCs/>
        </w:rPr>
        <w:t>Godfrey</w:t>
      </w:r>
      <w:r w:rsidRPr="00493C15">
        <w:t xml:space="preserve"> and </w:t>
      </w:r>
      <w:r w:rsidRPr="00493C15">
        <w:rPr>
          <w:i/>
          <w:iCs/>
        </w:rPr>
        <w:t>Allen</w:t>
      </w:r>
      <w:r w:rsidRPr="00493C15">
        <w:t>,</w:t>
      </w:r>
      <w:r>
        <w:t xml:space="preserve"> which held “</w:t>
      </w:r>
      <w:r w:rsidRPr="00A967F9">
        <w:t>that an intentional actor cannot rely on someone else’s negligence to shift responsibility for his</w:t>
      </w:r>
      <w:r>
        <w:t xml:space="preserve"> </w:t>
      </w:r>
      <w:r w:rsidRPr="00A967F9">
        <w:t>or her own conduct</w:t>
      </w:r>
      <w:r>
        <w:t>” (</w:t>
      </w:r>
      <w:proofErr w:type="spellStart"/>
      <w:r w:rsidR="001F1BAC">
        <w:rPr>
          <w:i/>
          <w:iCs/>
        </w:rPr>
        <w:t>Weidenfeller</w:t>
      </w:r>
      <w:proofErr w:type="spellEnd"/>
      <w:r w:rsidR="001F1BAC">
        <w:t xml:space="preserve">, </w:t>
      </w:r>
      <w:r>
        <w:t>at pp. 6</w:t>
      </w:r>
      <w:r w:rsidR="00AF790C">
        <w:t>–</w:t>
      </w:r>
      <w:r>
        <w:t>7).  Given these authorities, the court concluded, “[t]</w:t>
      </w:r>
      <w:r w:rsidRPr="007049AF">
        <w:t>here is no principled basis</w:t>
      </w:r>
      <w:r>
        <w:t>” for construing the statute to allow an “</w:t>
      </w:r>
      <w:r w:rsidRPr="0098471F">
        <w:t>injured party</w:t>
      </w:r>
      <w:r>
        <w:t> . . . </w:t>
      </w:r>
      <w:r w:rsidRPr="0098471F">
        <w:t>to transfer the intentional actor’s responsibility to the negligent tortfeasor.</w:t>
      </w:r>
      <w:r>
        <w:t>”  (</w:t>
      </w:r>
      <w:bookmarkStart w:id="222" w:name="Psych_Cite_158"/>
      <w:r>
        <w:rPr>
          <w:i/>
          <w:iCs/>
        </w:rPr>
        <w:t>Id.</w:t>
      </w:r>
      <w:r>
        <w:t xml:space="preserve"> at p. 7</w:t>
      </w:r>
      <w:bookmarkEnd w:id="222"/>
      <w:r>
        <w:t xml:space="preserve">.)  As this analysis shows, </w:t>
      </w:r>
      <w:proofErr w:type="spellStart"/>
      <w:r>
        <w:rPr>
          <w:i/>
          <w:iCs/>
        </w:rPr>
        <w:t>Weidenfeller</w:t>
      </w:r>
      <w:proofErr w:type="spellEnd"/>
      <w:r>
        <w:t xml:space="preserve"> </w:t>
      </w:r>
      <w:proofErr w:type="gramStart"/>
      <w:r>
        <w:t>actually provides</w:t>
      </w:r>
      <w:proofErr w:type="gramEnd"/>
      <w:r>
        <w:t xml:space="preserve"> further support for the view that, under </w:t>
      </w:r>
      <w:r w:rsidR="00B353E9">
        <w:t xml:space="preserve">existing </w:t>
      </w:r>
      <w:r>
        <w:t xml:space="preserve">principles of comparative fault, intentional tortfeasors are not entitled to reduction of their liability based on the negligent acts of others.  </w:t>
      </w:r>
    </w:p>
    <w:p w14:paraId="32CC099E" w14:textId="34E341E9" w:rsidR="00097203" w:rsidRDefault="00097203" w:rsidP="00097203">
      <w:pPr>
        <w:tabs>
          <w:tab w:val="left" w:pos="720"/>
        </w:tabs>
        <w:spacing w:line="480" w:lineRule="atLeast"/>
      </w:pPr>
      <w:r>
        <w:tab/>
        <w:t>For similar reasons, the post-Proposition 51 decisions cited by amici curiae on behalf of defendants — the Association of Southern California Defense Counsel and the Association of Defense Counsel of Northern California and Nevada — do not constitute contrary authority.  As amici</w:t>
      </w:r>
      <w:r w:rsidR="00354FCB">
        <w:t xml:space="preserve"> curiae</w:t>
      </w:r>
      <w:r w:rsidR="00920FBD">
        <w:t xml:space="preserve"> </w:t>
      </w:r>
      <w:r>
        <w:t xml:space="preserve">note, in </w:t>
      </w:r>
      <w:bookmarkStart w:id="223" w:name="Psych_Cite_163"/>
      <w:r w:rsidRPr="008A32E9">
        <w:rPr>
          <w:i/>
          <w:iCs/>
        </w:rPr>
        <w:t>Rosh v. Cave Imaging Sys</w:t>
      </w:r>
      <w:r w:rsidR="00354FCB">
        <w:rPr>
          <w:i/>
          <w:iCs/>
        </w:rPr>
        <w:t>tems</w:t>
      </w:r>
      <w:r w:rsidRPr="008A32E9">
        <w:rPr>
          <w:i/>
          <w:iCs/>
        </w:rPr>
        <w:t>, Inc.</w:t>
      </w:r>
      <w:r w:rsidR="00EA63F9">
        <w:rPr>
          <w:i/>
          <w:iCs/>
        </w:rPr>
        <w:t xml:space="preserve"> </w:t>
      </w:r>
      <w:r w:rsidR="00EA63F9">
        <w:t xml:space="preserve">(1994) </w:t>
      </w:r>
      <w:r>
        <w:t>26 Cal.App.4th 1225, 123</w:t>
      </w:r>
      <w:bookmarkEnd w:id="223"/>
      <w:r>
        <w:t>3</w:t>
      </w:r>
      <w:r w:rsidR="00EA63F9">
        <w:t xml:space="preserve"> (</w:t>
      </w:r>
      <w:r w:rsidR="00EA63F9">
        <w:rPr>
          <w:i/>
          <w:iCs/>
        </w:rPr>
        <w:t>Rosh</w:t>
      </w:r>
      <w:r w:rsidR="00EA63F9">
        <w:t>)</w:t>
      </w:r>
      <w:r>
        <w:t>, the court stated that “</w:t>
      </w:r>
      <w:r w:rsidRPr="00645338">
        <w:t>the comparative fault doctrine</w:t>
      </w:r>
      <w:r>
        <w:t xml:space="preserve"> . . . </w:t>
      </w:r>
      <w:r w:rsidRPr="00456E68">
        <w:t>is designed to permit the trier of fact to consider all relevant criteria in apportioning liability</w:t>
      </w:r>
      <w:r>
        <w:t>” and allows jurors to “ ‘</w:t>
      </w:r>
      <w:r w:rsidRPr="004B4274">
        <w:t>evaluate the relative responsibility of various parties for an injury (whether their responsibility for the injury rests on negligence, strict liability, or other theories of</w:t>
      </w:r>
      <w:r>
        <w:t xml:space="preserve"> </w:t>
      </w:r>
      <w:r w:rsidRPr="004B4274">
        <w:t>responsibility</w:t>
      </w:r>
      <w:r>
        <w:t>).’ ”  (</w:t>
      </w:r>
      <w:bookmarkStart w:id="224" w:name="Psych_Cite_164"/>
      <w:r>
        <w:rPr>
          <w:i/>
          <w:iCs/>
        </w:rPr>
        <w:t>Rosh</w:t>
      </w:r>
      <w:r>
        <w:t xml:space="preserve">, at p. </w:t>
      </w:r>
      <w:r>
        <w:lastRenderedPageBreak/>
        <w:t>123</w:t>
      </w:r>
      <w:bookmarkEnd w:id="224"/>
      <w:r>
        <w:t xml:space="preserve">3.)  As amici </w:t>
      </w:r>
      <w:r w:rsidR="00EA63F9">
        <w:t>curiae</w:t>
      </w:r>
      <w:r w:rsidR="00920FBD">
        <w:t xml:space="preserve"> </w:t>
      </w:r>
      <w:r>
        <w:t xml:space="preserve">also note, in </w:t>
      </w:r>
      <w:bookmarkStart w:id="225" w:name="Psych_Cite_165"/>
      <w:bookmarkStart w:id="226" w:name="_Hlk44358510"/>
      <w:r w:rsidRPr="00006200">
        <w:rPr>
          <w:i/>
          <w:iCs/>
        </w:rPr>
        <w:t>Scott v. County of Los Angeles</w:t>
      </w:r>
      <w:r w:rsidRPr="00397296">
        <w:t xml:space="preserve"> (1994) 27 Cal.App.4th 125</w:t>
      </w:r>
      <w:r>
        <w:t>, 151</w:t>
      </w:r>
      <w:r w:rsidRPr="00397296">
        <w:t xml:space="preserve"> (</w:t>
      </w:r>
      <w:r w:rsidRPr="002B73AF">
        <w:rPr>
          <w:i/>
          <w:iCs/>
        </w:rPr>
        <w:t>Scott</w:t>
      </w:r>
      <w:bookmarkEnd w:id="225"/>
      <w:r w:rsidRPr="00397296">
        <w:t>)</w:t>
      </w:r>
      <w:r>
        <w:t xml:space="preserve">, </w:t>
      </w:r>
      <w:bookmarkEnd w:id="226"/>
      <w:r>
        <w:t>the court, after declaring itself to be “</w:t>
      </w:r>
      <w:r w:rsidRPr="00CF00AC">
        <w:t>in accord with</w:t>
      </w:r>
      <w:r>
        <w:t xml:space="preserve">” </w:t>
      </w:r>
      <w:proofErr w:type="spellStart"/>
      <w:r>
        <w:rPr>
          <w:i/>
          <w:iCs/>
        </w:rPr>
        <w:t>Weidenfeller</w:t>
      </w:r>
      <w:proofErr w:type="spellEnd"/>
      <w:r>
        <w:t>, stated:  “It follows that i</w:t>
      </w:r>
      <w:r w:rsidRPr="009940EA">
        <w:t xml:space="preserve">n </w:t>
      </w:r>
      <w:r w:rsidRPr="00084E96">
        <w:rPr>
          <w:i/>
          <w:iCs/>
        </w:rPr>
        <w:t>all</w:t>
      </w:r>
      <w:r w:rsidRPr="009940EA">
        <w:t xml:space="preserve"> cases in which a negligent actor and one or more others jointly caused the plaintiff’s injury, the jury should be instructed that, assuming 100 percent represents the total causes of the plaintiff</w:t>
      </w:r>
      <w:r>
        <w:t>’</w:t>
      </w:r>
      <w:r w:rsidRPr="009940EA">
        <w:t xml:space="preserve">s injury, liability must be apportioned to each actor who caused the harm in direct proportion to </w:t>
      </w:r>
      <w:r w:rsidRPr="00E44D8A">
        <w:rPr>
          <w:i/>
          <w:iCs/>
        </w:rPr>
        <w:t>such actor’s respective fault</w:t>
      </w:r>
      <w:r w:rsidRPr="009940EA">
        <w:t>, whether each acted</w:t>
      </w:r>
      <w:r>
        <w:t xml:space="preserve"> </w:t>
      </w:r>
      <w:r w:rsidRPr="009940EA">
        <w:t xml:space="preserve">intentionally or negligently or was strictly liable </w:t>
      </w:r>
      <w:r>
        <w:t>[citations]</w:t>
      </w:r>
      <w:r w:rsidRPr="009940EA">
        <w:t>, and whether or not each actor is a defendant in the lawsuit</w:t>
      </w:r>
      <w:r w:rsidR="00EA63F9">
        <w:t> . . . .”  (</w:t>
      </w:r>
      <w:proofErr w:type="gramStart"/>
      <w:r w:rsidR="00EA63F9">
        <w:t>Some</w:t>
      </w:r>
      <w:proofErr w:type="gramEnd"/>
      <w:r w:rsidR="00EA63F9">
        <w:t xml:space="preserve"> italics omitted.)</w:t>
      </w:r>
    </w:p>
    <w:p w14:paraId="35EDF6D0" w14:textId="34F061BF" w:rsidR="00254FE8" w:rsidRPr="00621C15" w:rsidRDefault="00097203" w:rsidP="00323A9D">
      <w:pPr>
        <w:tabs>
          <w:tab w:val="left" w:pos="720"/>
        </w:tabs>
        <w:spacing w:line="480" w:lineRule="atLeast"/>
      </w:pPr>
      <w:r>
        <w:tab/>
        <w:t xml:space="preserve">But </w:t>
      </w:r>
      <w:r>
        <w:rPr>
          <w:i/>
          <w:iCs/>
        </w:rPr>
        <w:t xml:space="preserve">Rosh </w:t>
      </w:r>
      <w:r>
        <w:t xml:space="preserve">and </w:t>
      </w:r>
      <w:r>
        <w:rPr>
          <w:i/>
          <w:iCs/>
        </w:rPr>
        <w:t>Scott</w:t>
      </w:r>
      <w:r>
        <w:t xml:space="preserve">, like </w:t>
      </w:r>
      <w:proofErr w:type="spellStart"/>
      <w:r>
        <w:rPr>
          <w:i/>
          <w:iCs/>
        </w:rPr>
        <w:t>Weidenfeller</w:t>
      </w:r>
      <w:proofErr w:type="spellEnd"/>
      <w:r>
        <w:t>,</w:t>
      </w:r>
      <w:r>
        <w:rPr>
          <w:i/>
          <w:iCs/>
        </w:rPr>
        <w:t xml:space="preserve"> </w:t>
      </w:r>
      <w:r>
        <w:t xml:space="preserve">involved </w:t>
      </w:r>
      <w:r>
        <w:rPr>
          <w:i/>
          <w:iCs/>
        </w:rPr>
        <w:t xml:space="preserve">negligent </w:t>
      </w:r>
      <w:r>
        <w:t>tortfeasors seeking to reduce their liability based on the intentional acts of a third party.  (</w:t>
      </w:r>
      <w:bookmarkStart w:id="227" w:name="Psych_Cite_167"/>
      <w:r>
        <w:rPr>
          <w:i/>
          <w:iCs/>
        </w:rPr>
        <w:t>Scott</w:t>
      </w:r>
      <w:r>
        <w:t xml:space="preserve">, </w:t>
      </w:r>
      <w:r w:rsidRPr="00B11E53">
        <w:rPr>
          <w:i/>
          <w:iCs/>
        </w:rPr>
        <w:t>supra,</w:t>
      </w:r>
      <w:r>
        <w:rPr>
          <w:i/>
          <w:iCs/>
        </w:rPr>
        <w:t xml:space="preserve"> </w:t>
      </w:r>
      <w:r>
        <w:t>27 Cal.App.4th at pp. 133</w:t>
      </w:r>
      <w:r w:rsidR="00AF790C">
        <w:t>–</w:t>
      </w:r>
      <w:r>
        <w:t>134</w:t>
      </w:r>
      <w:bookmarkEnd w:id="227"/>
      <w:r>
        <w:t xml:space="preserve">; </w:t>
      </w:r>
      <w:r w:rsidRPr="00D85862">
        <w:rPr>
          <w:i/>
          <w:iCs/>
        </w:rPr>
        <w:t>Rosh</w:t>
      </w:r>
      <w:r w:rsidR="00EA63F9">
        <w:t xml:space="preserve">, </w:t>
      </w:r>
      <w:r w:rsidR="00EA63F9" w:rsidRPr="007D09FA">
        <w:rPr>
          <w:i/>
          <w:iCs/>
        </w:rPr>
        <w:t>supra</w:t>
      </w:r>
      <w:r w:rsidR="00EA63F9" w:rsidRPr="007D09FA">
        <w:t>,</w:t>
      </w:r>
      <w:r w:rsidR="00EA63F9">
        <w:t xml:space="preserve"> </w:t>
      </w:r>
      <w:bookmarkStart w:id="228" w:name="Psych_Cite_168"/>
      <w:r>
        <w:t>26 Cal.App.4th at pp. 1229, 1232</w:t>
      </w:r>
      <w:r w:rsidR="00AF790C">
        <w:t>–</w:t>
      </w:r>
      <w:r>
        <w:t>1233</w:t>
      </w:r>
      <w:bookmarkEnd w:id="228"/>
      <w:r>
        <w:t xml:space="preserve">.)  Given this context, </w:t>
      </w:r>
      <w:r w:rsidR="00DA2EB0">
        <w:t xml:space="preserve">and the rule that </w:t>
      </w:r>
      <w:r w:rsidR="00DA2EB0" w:rsidRPr="007E44C1">
        <w:t>“</w:t>
      </w:r>
      <w:r w:rsidR="006A1342">
        <w:t> </w:t>
      </w:r>
      <w:r w:rsidR="00DA2EB0" w:rsidRPr="007E44C1">
        <w:t>‘cases are not authority for propositions not considered’</w:t>
      </w:r>
      <w:r w:rsidR="00E73E64">
        <w:t> </w:t>
      </w:r>
      <w:r w:rsidR="00DA2EB0" w:rsidRPr="007E44C1">
        <w:t>”</w:t>
      </w:r>
      <w:r w:rsidR="00DA2EB0">
        <w:t xml:space="preserve"> </w:t>
      </w:r>
      <w:r w:rsidR="00DA2EB0" w:rsidRPr="007E44C1">
        <w:t>(</w:t>
      </w:r>
      <w:bookmarkStart w:id="229" w:name="Psych_Cite_169"/>
      <w:r w:rsidR="00DA2EB0" w:rsidRPr="00A27892">
        <w:rPr>
          <w:i/>
          <w:iCs/>
        </w:rPr>
        <w:t>American Federation of Labor v. Unemployment Ins. Appeals Bd.</w:t>
      </w:r>
      <w:r w:rsidR="00DA2EB0">
        <w:t xml:space="preserve">, </w:t>
      </w:r>
      <w:r w:rsidR="00DA2EB0" w:rsidRPr="007D09FA">
        <w:rPr>
          <w:i/>
          <w:iCs/>
        </w:rPr>
        <w:t>supra</w:t>
      </w:r>
      <w:r w:rsidR="00DA2EB0" w:rsidRPr="007D09FA">
        <w:t>,</w:t>
      </w:r>
      <w:r w:rsidR="00DA2EB0">
        <w:t xml:space="preserve"> 13</w:t>
      </w:r>
      <w:r w:rsidR="00DA2EB0" w:rsidRPr="007E44C1">
        <w:t xml:space="preserve"> Cal.4th </w:t>
      </w:r>
      <w:r w:rsidR="00DA2EB0">
        <w:t xml:space="preserve">at p. </w:t>
      </w:r>
      <w:r w:rsidR="00DA2EB0" w:rsidRPr="007E44C1">
        <w:t>1039</w:t>
      </w:r>
      <w:bookmarkEnd w:id="229"/>
      <w:r w:rsidR="00DA2EB0" w:rsidRPr="007E44C1">
        <w:t>)</w:t>
      </w:r>
      <w:r w:rsidR="00DA2EB0">
        <w:t xml:space="preserve">, </w:t>
      </w:r>
      <w:r>
        <w:t xml:space="preserve">the statements on which amici </w:t>
      </w:r>
      <w:r w:rsidR="00EA63F9">
        <w:t xml:space="preserve">curiae </w:t>
      </w:r>
      <w:r>
        <w:t xml:space="preserve">rely are not authority for the proposition that </w:t>
      </w:r>
      <w:r w:rsidRPr="008F2F40">
        <w:rPr>
          <w:i/>
          <w:iCs/>
        </w:rPr>
        <w:t>intentional</w:t>
      </w:r>
      <w:r w:rsidRPr="009A4D3C">
        <w:t xml:space="preserve"> tortfeasor</w:t>
      </w:r>
      <w:r>
        <w:t>s</w:t>
      </w:r>
      <w:r w:rsidRPr="009A4D3C">
        <w:t xml:space="preserve"> </w:t>
      </w:r>
      <w:r>
        <w:t xml:space="preserve">may, under </w:t>
      </w:r>
      <w:r w:rsidR="00DA2EB0">
        <w:t xml:space="preserve">existing </w:t>
      </w:r>
      <w:r>
        <w:t xml:space="preserve">principles of comparative fault, </w:t>
      </w:r>
      <w:r w:rsidRPr="009A4D3C">
        <w:t xml:space="preserve">shift </w:t>
      </w:r>
      <w:r>
        <w:t xml:space="preserve">liability </w:t>
      </w:r>
      <w:r w:rsidRPr="009A4D3C">
        <w:t>to negligent actors</w:t>
      </w:r>
      <w:r w:rsidR="00751416">
        <w:t>.</w:t>
      </w:r>
      <w:r>
        <w:t xml:space="preserve">  Indeed, to view </w:t>
      </w:r>
      <w:r>
        <w:rPr>
          <w:i/>
          <w:iCs/>
        </w:rPr>
        <w:t xml:space="preserve">Scott </w:t>
      </w:r>
      <w:r>
        <w:t xml:space="preserve">more broadly would be to ignore </w:t>
      </w:r>
      <w:r w:rsidR="00D31CF6">
        <w:t xml:space="preserve">the fact that </w:t>
      </w:r>
      <w:r w:rsidR="000F6CC9">
        <w:t xml:space="preserve">the </w:t>
      </w:r>
      <w:r w:rsidR="000F6CC9">
        <w:rPr>
          <w:i/>
          <w:iCs/>
        </w:rPr>
        <w:t xml:space="preserve">Scott </w:t>
      </w:r>
      <w:r w:rsidR="000F6CC9">
        <w:t xml:space="preserve">court </w:t>
      </w:r>
      <w:r>
        <w:t>primar</w:t>
      </w:r>
      <w:r w:rsidR="000F6CC9">
        <w:t>ily</w:t>
      </w:r>
      <w:r>
        <w:t xml:space="preserve"> </w:t>
      </w:r>
      <w:r w:rsidR="000F6CC9">
        <w:t xml:space="preserve">relied </w:t>
      </w:r>
      <w:r>
        <w:t xml:space="preserve">on </w:t>
      </w:r>
      <w:proofErr w:type="spellStart"/>
      <w:r>
        <w:rPr>
          <w:i/>
          <w:iCs/>
        </w:rPr>
        <w:t>Weidenfeller</w:t>
      </w:r>
      <w:proofErr w:type="spellEnd"/>
      <w:r>
        <w:t xml:space="preserve"> and that </w:t>
      </w:r>
      <w:proofErr w:type="spellStart"/>
      <w:r>
        <w:rPr>
          <w:i/>
          <w:iCs/>
        </w:rPr>
        <w:t>Weidenfeller</w:t>
      </w:r>
      <w:proofErr w:type="spellEnd"/>
      <w:r>
        <w:t xml:space="preserve">, for reasons explained above, actually supports the conclusion that under </w:t>
      </w:r>
      <w:r w:rsidR="00751416">
        <w:t xml:space="preserve">existing </w:t>
      </w:r>
      <w:r>
        <w:lastRenderedPageBreak/>
        <w:t xml:space="preserve">California principles of comparative fault, intentional tortfeasors are not entitled to reduce their liability based on the negligent acts of others.  Finally, </w:t>
      </w:r>
      <w:r>
        <w:rPr>
          <w:i/>
          <w:iCs/>
        </w:rPr>
        <w:t>Scott</w:t>
      </w:r>
      <w:r>
        <w:t>’s statement that “</w:t>
      </w:r>
      <w:r w:rsidRPr="00AF1993">
        <w:t>the jury should be instructed</w:t>
      </w:r>
      <w:r>
        <w:t>” to make an allocation of responsibility as to “</w:t>
      </w:r>
      <w:r w:rsidRPr="00AF1993">
        <w:t>each actor who caused the harm in direct proportion to such actor’s respective fault</w:t>
      </w:r>
      <w:r>
        <w:t xml:space="preserve"> (</w:t>
      </w:r>
      <w:bookmarkStart w:id="230" w:name="Psych_Cite_170"/>
      <w:r>
        <w:rPr>
          <w:i/>
          <w:iCs/>
        </w:rPr>
        <w:t>Scott</w:t>
      </w:r>
      <w:r>
        <w:t>, at p. 151</w:t>
      </w:r>
      <w:bookmarkEnd w:id="230"/>
      <w:r w:rsidR="00EA63F9">
        <w:t>, italics omitted</w:t>
      </w:r>
      <w:r>
        <w:t xml:space="preserve">) says nothing about whether </w:t>
      </w:r>
      <w:r w:rsidRPr="008364BD">
        <w:rPr>
          <w:i/>
          <w:iCs/>
        </w:rPr>
        <w:t>the judgment</w:t>
      </w:r>
      <w:r>
        <w:t xml:space="preserve"> the court later enters against an intentional actor should be in the amount of the plaintiff’s entire damages — i.e., joint and several — or in an amount reduced to reflect the jury’s allocation.  </w:t>
      </w:r>
      <w:r w:rsidR="00741A43">
        <w:t xml:space="preserve">Under </w:t>
      </w:r>
      <w:r>
        <w:rPr>
          <w:i/>
          <w:iCs/>
        </w:rPr>
        <w:t>Scott</w:t>
      </w:r>
      <w:r w:rsidR="00741A43">
        <w:t>’s holding tha</w:t>
      </w:r>
      <w:r w:rsidR="009627CE">
        <w:t>t</w:t>
      </w:r>
      <w:r>
        <w:t xml:space="preserve"> “a negligent actor” is entitled to have its liability reduced based on the acts of intentional tortfeasors (</w:t>
      </w:r>
      <w:bookmarkStart w:id="231" w:name="Psych_Cite_166"/>
      <w:r>
        <w:rPr>
          <w:i/>
          <w:iCs/>
        </w:rPr>
        <w:t>ibid.</w:t>
      </w:r>
      <w:bookmarkEnd w:id="231"/>
      <w:r>
        <w:t xml:space="preserve">), the jury </w:t>
      </w:r>
      <w:r w:rsidRPr="00405576">
        <w:rPr>
          <w:i/>
          <w:iCs/>
        </w:rPr>
        <w:t>must</w:t>
      </w:r>
      <w:r>
        <w:t xml:space="preserve"> make an allocation of responsibility as to those intentional tortfeasors, or there would be no basis for making the reduction</w:t>
      </w:r>
      <w:r w:rsidR="004C3245">
        <w:t xml:space="preserve"> </w:t>
      </w:r>
      <w:r w:rsidR="00370A64">
        <w:t xml:space="preserve">of the </w:t>
      </w:r>
      <w:r w:rsidR="00370A64" w:rsidRPr="00715120">
        <w:rPr>
          <w:i/>
          <w:iCs/>
        </w:rPr>
        <w:t>negligent</w:t>
      </w:r>
      <w:r w:rsidR="00370A64">
        <w:t xml:space="preserve"> defendant’s </w:t>
      </w:r>
      <w:r w:rsidR="005A320B">
        <w:t>liability</w:t>
      </w:r>
      <w:r>
        <w:t xml:space="preserve">.  </w:t>
      </w:r>
      <w:r w:rsidRPr="00082CB9">
        <w:rPr>
          <w:i/>
          <w:iCs/>
        </w:rPr>
        <w:t>Scott</w:t>
      </w:r>
      <w:r>
        <w:t>’</w:t>
      </w:r>
      <w:r w:rsidRPr="00ED6561">
        <w:t>s</w:t>
      </w:r>
      <w:r>
        <w:rPr>
          <w:i/>
          <w:iCs/>
        </w:rPr>
        <w:t xml:space="preserve"> </w:t>
      </w:r>
      <w:r>
        <w:t xml:space="preserve">direction that juries be instructed to make such allocations therefore does </w:t>
      </w:r>
      <w:r>
        <w:rPr>
          <w:i/>
          <w:iCs/>
        </w:rPr>
        <w:t xml:space="preserve">not </w:t>
      </w:r>
      <w:r>
        <w:t xml:space="preserve">imply that the eventual judgment </w:t>
      </w:r>
      <w:r w:rsidR="00747DEA">
        <w:t xml:space="preserve">the court later enters </w:t>
      </w:r>
      <w:r w:rsidRPr="00ED6561">
        <w:rPr>
          <w:i/>
          <w:iCs/>
        </w:rPr>
        <w:t>against any intentional tortfeasors</w:t>
      </w:r>
      <w:r>
        <w:t xml:space="preserve"> should also be reduced in accordance with the jury’s allocation.  </w:t>
      </w:r>
    </w:p>
    <w:p w14:paraId="1D65A70B" w14:textId="6721C67A" w:rsidR="00DE2A58" w:rsidRDefault="00097203" w:rsidP="00DE2A58">
      <w:pPr>
        <w:tabs>
          <w:tab w:val="left" w:pos="720"/>
        </w:tabs>
        <w:spacing w:line="480" w:lineRule="atLeast"/>
      </w:pPr>
      <w:r>
        <w:tab/>
      </w:r>
      <w:r w:rsidRPr="00DE2A58">
        <w:t>The preceding discussion demonstrates that</w:t>
      </w:r>
      <w:r w:rsidR="008578A5" w:rsidRPr="00DE2A58">
        <w:t xml:space="preserve"> California principles of comparative fault have never </w:t>
      </w:r>
      <w:r w:rsidR="00E87600" w:rsidRPr="00DE2A58">
        <w:t xml:space="preserve">required or authorized </w:t>
      </w:r>
      <w:r w:rsidR="00D11A0B">
        <w:t xml:space="preserve">the </w:t>
      </w:r>
      <w:r w:rsidR="00E87600" w:rsidRPr="00DE2A58">
        <w:t>reduc</w:t>
      </w:r>
      <w:r w:rsidR="00D11A0B">
        <w:t xml:space="preserve">tion of an </w:t>
      </w:r>
      <w:r w:rsidR="00D11A0B" w:rsidRPr="00DE2A58">
        <w:t>intentional tortfeasor</w:t>
      </w:r>
      <w:r w:rsidR="00D11A0B">
        <w:t xml:space="preserve">’s </w:t>
      </w:r>
      <w:r w:rsidR="00E87600" w:rsidRPr="00DE2A58">
        <w:t xml:space="preserve">liability based on the acts of others.  </w:t>
      </w:r>
      <w:r w:rsidR="008B5270" w:rsidRPr="00DE2A58">
        <w:t xml:space="preserve">Because </w:t>
      </w:r>
      <w:bookmarkStart w:id="232" w:name="Psych_Cite_171"/>
      <w:r w:rsidR="008B5270" w:rsidRPr="00DE2A58">
        <w:t>section 1431.2, subdivision (a)</w:t>
      </w:r>
      <w:bookmarkEnd w:id="232"/>
      <w:r w:rsidR="008B5270" w:rsidRPr="00DE2A58">
        <w:t xml:space="preserve">, </w:t>
      </w:r>
      <w:r w:rsidR="003A1847" w:rsidRPr="00DE2A58">
        <w:t>incorporate</w:t>
      </w:r>
      <w:r w:rsidR="00C21378">
        <w:t>s</w:t>
      </w:r>
      <w:r w:rsidR="003A1847" w:rsidRPr="00DE2A58">
        <w:t xml:space="preserve"> those </w:t>
      </w:r>
      <w:r w:rsidR="00A46E4B" w:rsidRPr="00DE2A58">
        <w:t>“</w:t>
      </w:r>
      <w:r w:rsidR="003A1847" w:rsidRPr="00DE2A58">
        <w:t>principles</w:t>
      </w:r>
      <w:r w:rsidR="00A46E4B" w:rsidRPr="00DE2A58">
        <w:t xml:space="preserve"> of comparative fault,”</w:t>
      </w:r>
      <w:r w:rsidR="003A1847" w:rsidRPr="00DE2A58">
        <w:t xml:space="preserve"> we agree with plaintiffs that </w:t>
      </w:r>
      <w:r w:rsidR="00A46E4B" w:rsidRPr="00DE2A58">
        <w:t xml:space="preserve">the statute does </w:t>
      </w:r>
      <w:r w:rsidR="00DE2A58" w:rsidRPr="00DE2A58">
        <w:t xml:space="preserve">not entitle </w:t>
      </w:r>
      <w:r w:rsidR="003A1847" w:rsidRPr="00DE2A58">
        <w:t xml:space="preserve">Aviles </w:t>
      </w:r>
      <w:r w:rsidR="00DE2A58" w:rsidRPr="00DE2A58">
        <w:t xml:space="preserve">to </w:t>
      </w:r>
      <w:r w:rsidR="003A1847" w:rsidRPr="00DE2A58">
        <w:lastRenderedPageBreak/>
        <w:t xml:space="preserve">reduce his liability </w:t>
      </w:r>
      <w:r w:rsidR="00DE2A58" w:rsidRPr="00DE2A58">
        <w:t xml:space="preserve">based on the acts of </w:t>
      </w:r>
      <w:r w:rsidR="00451166">
        <w:t>Burley or</w:t>
      </w:r>
      <w:r w:rsidR="00C22306">
        <w:t xml:space="preserve"> </w:t>
      </w:r>
      <w:r w:rsidR="00DE2A58" w:rsidRPr="00DE2A58">
        <w:t>the other defendants</w:t>
      </w:r>
      <w:r w:rsidR="00451166">
        <w:t>.</w:t>
      </w:r>
      <w:r w:rsidR="00DE2A58" w:rsidRPr="00DE2A58">
        <w:t xml:space="preserve">  </w:t>
      </w:r>
    </w:p>
    <w:p w14:paraId="4E217F8A" w14:textId="194CDBFC" w:rsidR="00097203" w:rsidRDefault="00097203" w:rsidP="00097203">
      <w:pPr>
        <w:tabs>
          <w:tab w:val="left" w:pos="720"/>
        </w:tabs>
        <w:spacing w:line="480" w:lineRule="atLeast"/>
      </w:pPr>
      <w:r>
        <w:t xml:space="preserve">  </w:t>
      </w:r>
      <w:r w:rsidR="00DE2A58">
        <w:tab/>
      </w:r>
      <w:r>
        <w:t xml:space="preserve">C.  </w:t>
      </w:r>
      <w:r w:rsidRPr="00D25540">
        <w:rPr>
          <w:i/>
          <w:iCs/>
        </w:rPr>
        <w:t>Other Indicia of</w:t>
      </w:r>
      <w:r w:rsidR="00EC4725">
        <w:rPr>
          <w:i/>
          <w:iCs/>
        </w:rPr>
        <w:t xml:space="preserve"> Intent</w:t>
      </w:r>
    </w:p>
    <w:p w14:paraId="76269EFB" w14:textId="7D7ADEAA" w:rsidR="00097203" w:rsidRDefault="00097203" w:rsidP="00097203">
      <w:pPr>
        <w:tabs>
          <w:tab w:val="left" w:pos="720"/>
        </w:tabs>
        <w:spacing w:line="480" w:lineRule="atLeast"/>
      </w:pPr>
      <w:r>
        <w:tab/>
      </w:r>
      <w:r w:rsidR="00627E79">
        <w:t>I</w:t>
      </w:r>
      <w:r>
        <w:t xml:space="preserve">n addition to the language of </w:t>
      </w:r>
      <w:bookmarkStart w:id="233" w:name="Psych_Cite_172"/>
      <w:r>
        <w:t>section 1431.2</w:t>
      </w:r>
      <w:bookmarkEnd w:id="233"/>
      <w:r>
        <w:t xml:space="preserve"> itself, </w:t>
      </w:r>
      <w:r w:rsidR="00627E79">
        <w:t xml:space="preserve">defendants rely on </w:t>
      </w:r>
      <w:proofErr w:type="gramStart"/>
      <w:r>
        <w:t>several</w:t>
      </w:r>
      <w:proofErr w:type="gramEnd"/>
      <w:r>
        <w:t xml:space="preserve"> other sources </w:t>
      </w:r>
      <w:r w:rsidR="00627E79">
        <w:t xml:space="preserve">to </w:t>
      </w:r>
      <w:r w:rsidRPr="006F6A2A">
        <w:t xml:space="preserve">support </w:t>
      </w:r>
      <w:r w:rsidR="00B86095">
        <w:t xml:space="preserve">their view that </w:t>
      </w:r>
      <w:bookmarkStart w:id="234" w:name="Psych_Cite_173"/>
      <w:r w:rsidRPr="006F6A2A">
        <w:t>section 1431.2</w:t>
      </w:r>
      <w:bookmarkEnd w:id="234"/>
      <w:r w:rsidRPr="006F6A2A">
        <w:t xml:space="preserve"> </w:t>
      </w:r>
      <w:r>
        <w:t xml:space="preserve">provides for reduction of an </w:t>
      </w:r>
      <w:r w:rsidRPr="006F6A2A">
        <w:t>intentional tortfeasor</w:t>
      </w:r>
      <w:r>
        <w:t>’s liability based on the negligent acts of others.</w:t>
      </w:r>
      <w:r w:rsidRPr="006F6A2A">
        <w:t xml:space="preserve">  </w:t>
      </w:r>
      <w:r>
        <w:t xml:space="preserve">For reasons explained below, </w:t>
      </w:r>
      <w:r w:rsidR="003346A9">
        <w:t>we disagree</w:t>
      </w:r>
      <w:r>
        <w:t>.</w:t>
      </w:r>
    </w:p>
    <w:p w14:paraId="42ADF8D2" w14:textId="0846F729" w:rsidR="00097203" w:rsidRDefault="00097203" w:rsidP="00D25540">
      <w:pPr>
        <w:keepNext/>
        <w:tabs>
          <w:tab w:val="left" w:pos="720"/>
        </w:tabs>
        <w:spacing w:line="480" w:lineRule="atLeast"/>
      </w:pPr>
      <w:r>
        <w:tab/>
        <w:t xml:space="preserve">1.  </w:t>
      </w:r>
      <w:bookmarkStart w:id="235" w:name="Psych_Cite_174"/>
      <w:r w:rsidRPr="00D25540">
        <w:rPr>
          <w:i/>
          <w:iCs/>
        </w:rPr>
        <w:t>Section 1431.</w:t>
      </w:r>
      <w:r w:rsidR="00B059CE">
        <w:rPr>
          <w:i/>
          <w:iCs/>
        </w:rPr>
        <w:t>1</w:t>
      </w:r>
      <w:bookmarkEnd w:id="235"/>
    </w:p>
    <w:p w14:paraId="272F7106" w14:textId="3C24BF7A" w:rsidR="00097203" w:rsidRDefault="00097203" w:rsidP="00D25540">
      <w:pPr>
        <w:keepNext/>
        <w:tabs>
          <w:tab w:val="left" w:pos="720"/>
        </w:tabs>
        <w:spacing w:line="480" w:lineRule="atLeast"/>
      </w:pPr>
      <w:r>
        <w:tab/>
        <w:t>Invoking the principle that courts should construe a statute’s language, not “in isolation, but in the context of the statutory framework as a whole” (</w:t>
      </w:r>
      <w:bookmarkStart w:id="236" w:name="Psych_Cite_176"/>
      <w:r w:rsidRPr="006E4122">
        <w:rPr>
          <w:i/>
          <w:iCs/>
        </w:rPr>
        <w:t>Sierra Club v. Superior Court</w:t>
      </w:r>
      <w:r>
        <w:t xml:space="preserve"> (2013) 57 Cal.4th 157, 165</w:t>
      </w:r>
      <w:bookmarkEnd w:id="236"/>
      <w:r>
        <w:t xml:space="preserve">), defendants argue that the findings and declarations the voters codified in </w:t>
      </w:r>
      <w:bookmarkStart w:id="237" w:name="Psych_Cite_177"/>
      <w:r>
        <w:t>section 1431.1</w:t>
      </w:r>
      <w:bookmarkEnd w:id="237"/>
      <w:r>
        <w:t xml:space="preserve"> when they adopted Proposition 51 “confirm</w:t>
      </w:r>
      <w:r w:rsidR="00851BF7">
        <w:t>[]</w:t>
      </w:r>
      <w:r>
        <w:t xml:space="preserve">” </w:t>
      </w:r>
      <w:bookmarkStart w:id="238" w:name="Psych_Cite_178"/>
      <w:r>
        <w:t>section 1431.2</w:t>
      </w:r>
      <w:bookmarkEnd w:id="238"/>
      <w:r>
        <w:t xml:space="preserve">’s “application to all defendants no matter the nature of their fault.”  The former section, defendants argue, “makes no exception for any category of defendants, declaring in relevant part:  ‘The legal doctrine of joint and </w:t>
      </w:r>
      <w:proofErr w:type="gramStart"/>
      <w:r>
        <w:t>several</w:t>
      </w:r>
      <w:proofErr w:type="gramEnd"/>
      <w:r>
        <w:t xml:space="preserve"> liability . . . has resulted in a system of inequity and injustice’; </w:t>
      </w:r>
      <w:proofErr w:type="gramStart"/>
      <w:r>
        <w:t>it</w:t>
      </w:r>
      <w:proofErr w:type="gramEnd"/>
      <w:r>
        <w:t xml:space="preserve"> further states that ‘to remedy these inequities, </w:t>
      </w:r>
      <w:r w:rsidRPr="00462ABE">
        <w:t>defendants in tort actions</w:t>
      </w:r>
      <w:r>
        <w:t xml:space="preserve"> shall be held financially liable in closer proportion to their degree of fault.  To treat them differently is unfair and inequitable.’</w:t>
      </w:r>
      <w:r w:rsidR="00E73E64">
        <w:t> </w:t>
      </w:r>
      <w:r>
        <w:t xml:space="preserve">”  According to defendants, “[t]he only way to fulfill Proposition 51’s purpose of ensuring that ‘defendants in tort actions shall be held </w:t>
      </w:r>
      <w:r>
        <w:lastRenderedPageBreak/>
        <w:t>financially liable in closer proportion to their degree of fault’ (</w:t>
      </w:r>
      <w:bookmarkStart w:id="239" w:name="Psych_Cite_175"/>
      <w:r>
        <w:t>Civ. Code,</w:t>
      </w:r>
      <w:r w:rsidR="00F1633B">
        <w:t xml:space="preserve"> </w:t>
      </w:r>
      <w:r>
        <w:t>§ 1431.1</w:t>
      </w:r>
      <w:bookmarkEnd w:id="239"/>
      <w:r>
        <w:t>) is to treat intentional and negligent tortfeasors equally.”</w:t>
      </w:r>
    </w:p>
    <w:p w14:paraId="620FB9C3" w14:textId="65588CFF" w:rsidR="00097203" w:rsidRDefault="00097203" w:rsidP="00097203">
      <w:pPr>
        <w:tabs>
          <w:tab w:val="left" w:pos="720"/>
        </w:tabs>
        <w:spacing w:line="480" w:lineRule="atLeast"/>
      </w:pPr>
      <w:r>
        <w:tab/>
        <w:t xml:space="preserve">For </w:t>
      </w:r>
      <w:proofErr w:type="gramStart"/>
      <w:r>
        <w:t>several</w:t>
      </w:r>
      <w:proofErr w:type="gramEnd"/>
      <w:r>
        <w:t xml:space="preserve"> reasons, defendants’ argument </w:t>
      </w:r>
      <w:r w:rsidR="005F662D">
        <w:t xml:space="preserve">is </w:t>
      </w:r>
      <w:r>
        <w:t xml:space="preserve">unpersuasive.  First, </w:t>
      </w:r>
      <w:r w:rsidR="005F662D">
        <w:t xml:space="preserve">it </w:t>
      </w:r>
      <w:r>
        <w:t>presume</w:t>
      </w:r>
      <w:r w:rsidR="005F662D">
        <w:t>s</w:t>
      </w:r>
      <w:r w:rsidR="00177F01">
        <w:t xml:space="preserve"> that</w:t>
      </w:r>
      <w:r>
        <w:t xml:space="preserve"> the word “fault” in </w:t>
      </w:r>
      <w:bookmarkStart w:id="240" w:name="Psych_Cite_179"/>
      <w:r>
        <w:t>section 1431.1</w:t>
      </w:r>
      <w:bookmarkEnd w:id="240"/>
      <w:r>
        <w:t xml:space="preserve"> includes intentional conduct.  However, as explained above, at the time the voters considered Proposition 51, the word “fault” in tort law generally — and in the comparative fault context in particular — included negligent (even willful) conduct and liability based on strict liability, but not intentional conduct.  And </w:t>
      </w:r>
      <w:bookmarkStart w:id="241" w:name="Psych_Cite_180"/>
      <w:r>
        <w:t>section 1431.1</w:t>
      </w:r>
      <w:bookmarkEnd w:id="241"/>
      <w:r>
        <w:t xml:space="preserve">, like </w:t>
      </w:r>
      <w:bookmarkStart w:id="242" w:name="Psych_Cite_181"/>
      <w:r>
        <w:t>section 1431.2</w:t>
      </w:r>
      <w:bookmarkEnd w:id="242"/>
      <w:r>
        <w:t xml:space="preserve">, contains no reference to intentional conduct.  </w:t>
      </w:r>
    </w:p>
    <w:p w14:paraId="10564BBA" w14:textId="4864A50C" w:rsidR="00097203" w:rsidRDefault="00097203" w:rsidP="00097203">
      <w:pPr>
        <w:tabs>
          <w:tab w:val="left" w:pos="720"/>
        </w:tabs>
        <w:spacing w:line="480" w:lineRule="atLeast"/>
      </w:pPr>
      <w:r>
        <w:tab/>
        <w:t>Second, defendants</w:t>
      </w:r>
      <w:r w:rsidR="0019419C">
        <w:t xml:space="preserve"> </w:t>
      </w:r>
      <w:r>
        <w:t>fail to explain how or why it would be</w:t>
      </w:r>
      <w:r w:rsidR="00BF6857">
        <w:t xml:space="preserve"> </w:t>
      </w:r>
      <w:r>
        <w:t xml:space="preserve">“ ‘unfair’ ” or “ ‘inequitable’ ” to treat those who </w:t>
      </w:r>
      <w:r w:rsidRPr="0043432A">
        <w:rPr>
          <w:i/>
          <w:iCs/>
        </w:rPr>
        <w:t>intentionally</w:t>
      </w:r>
      <w:r>
        <w:t xml:space="preserve"> commit tortious acts different</w:t>
      </w:r>
      <w:r w:rsidR="002E7FA7">
        <w:t>ly</w:t>
      </w:r>
      <w:r>
        <w:t xml:space="preserve"> from those who act negligently or whose responsibility arises from principles of strict liability.  As previously explained, </w:t>
      </w:r>
      <w:r w:rsidR="007236A4">
        <w:t xml:space="preserve">before </w:t>
      </w:r>
      <w:r w:rsidR="000A6A4D">
        <w:t xml:space="preserve">and after </w:t>
      </w:r>
      <w:r w:rsidR="007236A4">
        <w:t xml:space="preserve">Proposition 51’s passage, </w:t>
      </w:r>
      <w:r>
        <w:t>California law</w:t>
      </w:r>
      <w:r w:rsidR="00355DAF">
        <w:t xml:space="preserve">, both common and statutory, </w:t>
      </w:r>
      <w:r w:rsidR="000A6A4D">
        <w:t xml:space="preserve">has </w:t>
      </w:r>
      <w:r>
        <w:t>treated intentional tortfeasors different</w:t>
      </w:r>
      <w:r w:rsidR="00D24092">
        <w:t>ly</w:t>
      </w:r>
      <w:r>
        <w:t xml:space="preserve"> from negligent and strictly liable tortfeasors with respect to the doctrines of contributory negligence and contribution.  In this regard, it is notable that Proposition 51 did not even mention </w:t>
      </w:r>
      <w:bookmarkStart w:id="243" w:name="Psych_Cite_182"/>
      <w:r>
        <w:t>Code of Civil Procedure section 87</w:t>
      </w:r>
      <w:bookmarkEnd w:id="243"/>
      <w:r>
        <w:t xml:space="preserve">5, which since 1957 </w:t>
      </w:r>
      <w:r w:rsidR="00201E53">
        <w:t xml:space="preserve">has </w:t>
      </w:r>
      <w:r>
        <w:t xml:space="preserve">established “a right of contribution </w:t>
      </w:r>
      <w:r w:rsidRPr="00F0689B">
        <w:t xml:space="preserve">among” multiple “defendants in a tort action” </w:t>
      </w:r>
      <w:r w:rsidRPr="00F0689B">
        <w:lastRenderedPageBreak/>
        <w:t>(</w:t>
      </w:r>
      <w:bookmarkStart w:id="244" w:name="Psych_Cite_183"/>
      <w:r>
        <w:rPr>
          <w:i/>
          <w:iCs/>
        </w:rPr>
        <w:t>id.</w:t>
      </w:r>
      <w:r w:rsidRPr="00F0689B">
        <w:t xml:space="preserve">, </w:t>
      </w:r>
      <w:proofErr w:type="spellStart"/>
      <w:r w:rsidRPr="00F0689B">
        <w:t>sub</w:t>
      </w:r>
      <w:bookmarkEnd w:id="244"/>
      <w:r w:rsidRPr="00F0689B">
        <w:t>d</w:t>
      </w:r>
      <w:proofErr w:type="spellEnd"/>
      <w:r w:rsidRPr="00F0689B">
        <w:t>. (a)</w:t>
      </w:r>
      <w:proofErr w:type="gramStart"/>
      <w:r w:rsidRPr="00F0689B">
        <w:t>)</w:t>
      </w:r>
      <w:r>
        <w:t>, but</w:t>
      </w:r>
      <w:proofErr w:type="gramEnd"/>
      <w:r>
        <w:t xml:space="preserve"> </w:t>
      </w:r>
      <w:r w:rsidR="00651AA3">
        <w:t xml:space="preserve">has </w:t>
      </w:r>
      <w:r>
        <w:t xml:space="preserve">expressly </w:t>
      </w:r>
      <w:r w:rsidRPr="00A07297">
        <w:rPr>
          <w:i/>
          <w:iCs/>
        </w:rPr>
        <w:t>denie</w:t>
      </w:r>
      <w:r w:rsidR="00651AA3">
        <w:rPr>
          <w:i/>
          <w:iCs/>
        </w:rPr>
        <w:t>d</w:t>
      </w:r>
      <w:r w:rsidRPr="00F0689B">
        <w:t xml:space="preserve"> </w:t>
      </w:r>
      <w:r>
        <w:t xml:space="preserve">that right to intentional </w:t>
      </w:r>
      <w:r w:rsidRPr="00F0689B">
        <w:t>tortfeasors</w:t>
      </w:r>
      <w:r>
        <w:t xml:space="preserve"> (</w:t>
      </w:r>
      <w:bookmarkStart w:id="245" w:name="Psych_Cite_184"/>
      <w:r>
        <w:rPr>
          <w:i/>
          <w:iCs/>
        </w:rPr>
        <w:t>id.</w:t>
      </w:r>
      <w:r>
        <w:t xml:space="preserve">, </w:t>
      </w:r>
      <w:proofErr w:type="spellStart"/>
      <w:r w:rsidRPr="00F0689B">
        <w:t>sub</w:t>
      </w:r>
      <w:bookmarkEnd w:id="245"/>
      <w:r w:rsidRPr="00F0689B">
        <w:t>d</w:t>
      </w:r>
      <w:proofErr w:type="spellEnd"/>
      <w:r w:rsidRPr="00F0689B">
        <w:t>. (d))</w:t>
      </w:r>
      <w:r>
        <w:t xml:space="preserve">.    </w:t>
      </w:r>
    </w:p>
    <w:p w14:paraId="59A3E8E6" w14:textId="6398AAD9" w:rsidR="00097203" w:rsidRDefault="00097203" w:rsidP="00097203">
      <w:pPr>
        <w:tabs>
          <w:tab w:val="left" w:pos="720"/>
        </w:tabs>
        <w:spacing w:line="480" w:lineRule="atLeast"/>
      </w:pPr>
      <w:r>
        <w:tab/>
        <w:t xml:space="preserve">Third, defendants also fail to explain how intentional tortfeasors fit within the category of defendants that </w:t>
      </w:r>
      <w:bookmarkStart w:id="246" w:name="Psych_Cite_194"/>
      <w:r>
        <w:t>section 1431.1</w:t>
      </w:r>
      <w:bookmarkEnd w:id="246"/>
      <w:r>
        <w:t xml:space="preserve"> identifie</w:t>
      </w:r>
      <w:r w:rsidR="00096E98">
        <w:t>s</w:t>
      </w:r>
      <w:r>
        <w:t xml:space="preserve"> as needing relief:  “ ‘deep pocket’ ” entities and individuals (</w:t>
      </w:r>
      <w:bookmarkStart w:id="247" w:name="Psych_Cite_190"/>
      <w:r w:rsidRPr="00E8543E">
        <w:rPr>
          <w:i/>
          <w:iCs/>
        </w:rPr>
        <w:t>id.</w:t>
      </w:r>
      <w:r>
        <w:t xml:space="preserve">, </w:t>
      </w:r>
      <w:proofErr w:type="spellStart"/>
      <w:r>
        <w:t>subd</w:t>
      </w:r>
      <w:bookmarkEnd w:id="247"/>
      <w:proofErr w:type="spellEnd"/>
      <w:r>
        <w:t>. (a)) “</w:t>
      </w:r>
      <w:r w:rsidRPr="00D526C3">
        <w:t xml:space="preserve">included in lawsuits even though there </w:t>
      </w:r>
      <w:r w:rsidR="00096E98">
        <w:t xml:space="preserve">[is] </w:t>
      </w:r>
      <w:r w:rsidRPr="00D526C3">
        <w:t>little or no basis for finding them at fault</w:t>
      </w:r>
      <w:r>
        <w:t xml:space="preserve">,” simply because they </w:t>
      </w:r>
      <w:r w:rsidR="00096E98">
        <w:t xml:space="preserve">are </w:t>
      </w:r>
      <w:r>
        <w:t>“</w:t>
      </w:r>
      <w:r w:rsidRPr="002C2B45">
        <w:t>perceived to have substantial financial resources or insurance coverage</w:t>
      </w:r>
      <w:r>
        <w:t>” (</w:t>
      </w:r>
      <w:bookmarkStart w:id="248" w:name="Psych_Cite_191"/>
      <w:r>
        <w:rPr>
          <w:i/>
          <w:iCs/>
        </w:rPr>
        <w:t>id.</w:t>
      </w:r>
      <w:r>
        <w:t xml:space="preserve">, </w:t>
      </w:r>
      <w:proofErr w:type="spellStart"/>
      <w:r>
        <w:t>subd</w:t>
      </w:r>
      <w:bookmarkEnd w:id="248"/>
      <w:proofErr w:type="spellEnd"/>
      <w:r>
        <w:t>. (b)).  As to those committing intentionally tortious conduct that inflicts injury, it can hardly be said there is “</w:t>
      </w:r>
      <w:r w:rsidRPr="00D526C3">
        <w:t>little or no basis for finding them at fault</w:t>
      </w:r>
      <w:r>
        <w:t>.”  (</w:t>
      </w:r>
      <w:bookmarkStart w:id="249" w:name="Psych_Cite_192"/>
      <w:r>
        <w:rPr>
          <w:i/>
          <w:iCs/>
        </w:rPr>
        <w:t>Ibid.</w:t>
      </w:r>
      <w:bookmarkEnd w:id="249"/>
      <w:r>
        <w:t>)  As for the financial ability of such defendants to pay damages, when Proposition 51 was adopted, California law, as it does today, precluded insurance coverage “for loss intentionally caused by the insured.”  (</w:t>
      </w:r>
      <w:bookmarkStart w:id="250" w:name="Psych_Cite_193"/>
      <w:r>
        <w:rPr>
          <w:i/>
          <w:iCs/>
        </w:rPr>
        <w:t>Taylor v. Superior Court</w:t>
      </w:r>
      <w:r>
        <w:t xml:space="preserve"> (1979) 24 Cal.3d 890, 904</w:t>
      </w:r>
      <w:r w:rsidR="006317EB">
        <w:t xml:space="preserve">, </w:t>
      </w:r>
      <w:r>
        <w:t xml:space="preserve">citing </w:t>
      </w:r>
      <w:r w:rsidRPr="00E5538E">
        <w:t>Ins.</w:t>
      </w:r>
      <w:r w:rsidR="00343333">
        <w:t xml:space="preserve"> Code</w:t>
      </w:r>
      <w:r w:rsidRPr="00E5538E">
        <w:t xml:space="preserve">, </w:t>
      </w:r>
      <w:r>
        <w:t>§ </w:t>
      </w:r>
      <w:r w:rsidRPr="00E5538E">
        <w:t>533</w:t>
      </w:r>
      <w:r>
        <w:t xml:space="preserve"> [insurers are “</w:t>
      </w:r>
      <w:r w:rsidRPr="00995F5E">
        <w:t xml:space="preserve">not liable for a loss caused by the </w:t>
      </w:r>
      <w:proofErr w:type="spellStart"/>
      <w:r w:rsidRPr="00995F5E">
        <w:t>wilful</w:t>
      </w:r>
      <w:proofErr w:type="spellEnd"/>
      <w:r w:rsidRPr="00995F5E">
        <w:t xml:space="preserve"> act of the insured</w:t>
      </w:r>
      <w:r>
        <w:t>”]</w:t>
      </w:r>
      <w:bookmarkEnd w:id="250"/>
      <w:r w:rsidR="006317EB">
        <w:t xml:space="preserve">, and </w:t>
      </w:r>
      <w:bookmarkStart w:id="251" w:name="Psych_Cite_189"/>
      <w:r w:rsidRPr="00E5538E">
        <w:t>Civ.</w:t>
      </w:r>
      <w:r w:rsidR="00343333">
        <w:t xml:space="preserve"> Code</w:t>
      </w:r>
      <w:r w:rsidRPr="00E5538E">
        <w:t xml:space="preserve">, </w:t>
      </w:r>
      <w:r>
        <w:t>§ </w:t>
      </w:r>
      <w:r w:rsidRPr="00E5538E">
        <w:t>1668</w:t>
      </w:r>
      <w:r>
        <w:t xml:space="preserve"> [“</w:t>
      </w:r>
      <w:r w:rsidRPr="00FA2216">
        <w:t xml:space="preserve">contracts </w:t>
      </w:r>
      <w:r>
        <w:t xml:space="preserve">which </w:t>
      </w:r>
      <w:r w:rsidRPr="00FA2216">
        <w:t>have for their object, directly or indirectly, to exempt anyone from responsibility for</w:t>
      </w:r>
      <w:r>
        <w:t xml:space="preserve"> . . . </w:t>
      </w:r>
      <w:r w:rsidRPr="00FA2216">
        <w:t>willful injury to the person</w:t>
      </w:r>
      <w:r>
        <w:t xml:space="preserve"> . . . </w:t>
      </w:r>
      <w:r w:rsidRPr="00FA2216">
        <w:t>of another</w:t>
      </w:r>
      <w:r>
        <w:t xml:space="preserve"> . . . </w:t>
      </w:r>
      <w:r w:rsidRPr="00FA2216">
        <w:t>are against the policy of the law</w:t>
      </w:r>
      <w:r>
        <w:t>”]</w:t>
      </w:r>
      <w:bookmarkEnd w:id="251"/>
      <w:r>
        <w:t xml:space="preserve">.)  For these reasons, we </w:t>
      </w:r>
      <w:r w:rsidR="006F7BE3">
        <w:t xml:space="preserve">see </w:t>
      </w:r>
      <w:r>
        <w:t xml:space="preserve">nothing in the findings and declarations set forth in </w:t>
      </w:r>
      <w:bookmarkStart w:id="252" w:name="Psych_Cite_195"/>
      <w:r>
        <w:t>section 1431</w:t>
      </w:r>
      <w:bookmarkEnd w:id="252"/>
      <w:r>
        <w:t xml:space="preserve">.1 that signals an intent to change long-standing law regarding intentional tortfeasors or that convinces us to alter our construction, based on that long-standing law, of </w:t>
      </w:r>
      <w:bookmarkStart w:id="253" w:name="Psych_Cite_196"/>
      <w:r>
        <w:t>section 1431.</w:t>
      </w:r>
      <w:bookmarkEnd w:id="253"/>
      <w:r>
        <w:t>2’s language.</w:t>
      </w:r>
    </w:p>
    <w:p w14:paraId="7E5F7CF2" w14:textId="404A0E03" w:rsidR="00097203" w:rsidRDefault="00097203" w:rsidP="003140C9">
      <w:pPr>
        <w:tabs>
          <w:tab w:val="left" w:pos="720"/>
        </w:tabs>
        <w:spacing w:line="480" w:lineRule="atLeast"/>
      </w:pPr>
      <w:r>
        <w:lastRenderedPageBreak/>
        <w:tab/>
        <w:t xml:space="preserve">2.  </w:t>
      </w:r>
      <w:r w:rsidRPr="00D25540">
        <w:rPr>
          <w:i/>
          <w:iCs/>
        </w:rPr>
        <w:t>Unpassed</w:t>
      </w:r>
      <w:r w:rsidR="00343333">
        <w:rPr>
          <w:i/>
          <w:iCs/>
        </w:rPr>
        <w:t xml:space="preserve"> Bill</w:t>
      </w:r>
    </w:p>
    <w:p w14:paraId="304943AE" w14:textId="21EC516B" w:rsidR="00097203" w:rsidRDefault="00097203" w:rsidP="003140C9">
      <w:pPr>
        <w:tabs>
          <w:tab w:val="left" w:pos="720"/>
        </w:tabs>
        <w:spacing w:line="480" w:lineRule="atLeast"/>
      </w:pPr>
      <w:r>
        <w:tab/>
        <w:t xml:space="preserve">Defendants also base their reading of </w:t>
      </w:r>
      <w:bookmarkStart w:id="254" w:name="Psych_Cite_197"/>
      <w:r>
        <w:t>section 1431.2</w:t>
      </w:r>
      <w:bookmarkEnd w:id="254"/>
      <w:r>
        <w:t xml:space="preserve"> on the difference between its language and that of </w:t>
      </w:r>
      <w:r w:rsidR="00B15EA0">
        <w:t>a</w:t>
      </w:r>
      <w:r w:rsidR="001B0ED8">
        <w:t>n unpassed</w:t>
      </w:r>
      <w:r w:rsidR="00296351">
        <w:t xml:space="preserve"> statute</w:t>
      </w:r>
      <w:r w:rsidR="001B0ED8">
        <w:t xml:space="preserve">, </w:t>
      </w:r>
      <w:r>
        <w:t xml:space="preserve">introduced in the Legislature </w:t>
      </w:r>
      <w:r w:rsidR="00296351">
        <w:t xml:space="preserve">about </w:t>
      </w:r>
      <w:r>
        <w:t>four months before Proposition 51</w:t>
      </w:r>
      <w:r w:rsidR="001B0ED8">
        <w:t xml:space="preserve">’s passage, </w:t>
      </w:r>
      <w:proofErr w:type="gramStart"/>
      <w:r w:rsidR="001B0ED8">
        <w:t>that</w:t>
      </w:r>
      <w:proofErr w:type="gramEnd"/>
      <w:r w:rsidR="001B0ED8">
        <w:t xml:space="preserve"> addressed apportionment of non</w:t>
      </w:r>
      <w:r w:rsidR="00343333">
        <w:t>economic</w:t>
      </w:r>
      <w:r w:rsidR="001B0ED8">
        <w:t xml:space="preserve"> damages.  </w:t>
      </w:r>
      <w:r w:rsidR="00676AE3">
        <w:t>T</w:t>
      </w:r>
      <w:r>
        <w:t xml:space="preserve">he </w:t>
      </w:r>
      <w:r w:rsidR="004C5EEF">
        <w:t xml:space="preserve">proposed </w:t>
      </w:r>
      <w:r>
        <w:t>statute, defendants</w:t>
      </w:r>
      <w:r w:rsidR="00AF073F">
        <w:t xml:space="preserve"> emphasize</w:t>
      </w:r>
      <w:r>
        <w:t xml:space="preserve">, contained </w:t>
      </w:r>
      <w:r w:rsidR="00DA71FD">
        <w:t xml:space="preserve">the following </w:t>
      </w:r>
      <w:r w:rsidR="00FE769F">
        <w:t>“</w:t>
      </w:r>
      <w:r>
        <w:t>exception for intentional tortfeasors</w:t>
      </w:r>
      <w:r w:rsidR="00B90157">
        <w:t>:  ‘</w:t>
      </w:r>
      <w:r>
        <w:t>The allocation provided for by this section shall not apply to any person who intentionally injures another.</w:t>
      </w:r>
      <w:r w:rsidR="00B90157">
        <w:t>’ </w:t>
      </w:r>
      <w:r>
        <w:t xml:space="preserve">”  </w:t>
      </w:r>
      <w:r w:rsidR="001B0ED8">
        <w:t>(</w:t>
      </w:r>
      <w:r w:rsidR="00B90157">
        <w:t xml:space="preserve">See </w:t>
      </w:r>
      <w:r w:rsidR="001B0ED8">
        <w:t>Assem. Bill No. 4271 (1985</w:t>
      </w:r>
      <w:r w:rsidR="00AF790C">
        <w:t>–</w:t>
      </w:r>
      <w:r w:rsidR="001B0ED8">
        <w:t>1986 Reg. Sess.) </w:t>
      </w:r>
      <w:r w:rsidR="00F933AF">
        <w:t xml:space="preserve">as introduced Feb. 21, 1985, </w:t>
      </w:r>
      <w:r w:rsidR="001B0ED8">
        <w:t>§ </w:t>
      </w:r>
      <w:r w:rsidR="005A406A">
        <w:t>2</w:t>
      </w:r>
      <w:r w:rsidR="00922A29">
        <w:t xml:space="preserve">.)  </w:t>
      </w:r>
      <w:r>
        <w:t>“[B]y contrast,” defendants assert, “[n]</w:t>
      </w:r>
      <w:proofErr w:type="spellStart"/>
      <w:r>
        <w:t>othing</w:t>
      </w:r>
      <w:proofErr w:type="spellEnd"/>
      <w:r>
        <w:t xml:space="preserve"> in the text of </w:t>
      </w:r>
      <w:bookmarkStart w:id="255" w:name="Psych_Cite_198"/>
      <w:r>
        <w:t>section 1431.2, subdivision (a)</w:t>
      </w:r>
      <w:bookmarkEnd w:id="255"/>
      <w:r>
        <w:t xml:space="preserve"> qualifies or modifies the phrase ‘each defendant’ in a manner that excludes defendants found liable for an intentional tort.”</w:t>
      </w:r>
      <w:r w:rsidR="00D11A0B">
        <w:t xml:space="preserve"> </w:t>
      </w:r>
      <w:r w:rsidR="008C4DDB">
        <w:t xml:space="preserve"> </w:t>
      </w:r>
      <w:r>
        <w:t>Thus, the drafters of Proposition 51 “included,” and the voters “approved,</w:t>
      </w:r>
      <w:r w:rsidR="003140C9">
        <w:t>”</w:t>
      </w:r>
      <w:r>
        <w:t xml:space="preserve"> “no exception” for intentional tortfeasors, and this court “ ‘cannot create’ ” one absent “ ‘an explicit legislative intention to do so.’ ”  </w:t>
      </w:r>
    </w:p>
    <w:p w14:paraId="05B64481" w14:textId="0879C95D" w:rsidR="00097203" w:rsidRDefault="00097203" w:rsidP="00097203">
      <w:pPr>
        <w:tabs>
          <w:tab w:val="left" w:pos="720"/>
        </w:tabs>
        <w:spacing w:line="480" w:lineRule="atLeast"/>
      </w:pPr>
      <w:r>
        <w:tab/>
        <w:t>Defendants’ argument is unpersuasive.  As we have stated, “ ‘</w:t>
      </w:r>
      <w:r w:rsidRPr="008133FC">
        <w:t>legislative antecedents</w:t>
      </w:r>
      <w:r>
        <w:t xml:space="preserve">’ ” of an initiative statute that </w:t>
      </w:r>
      <w:r w:rsidRPr="00FE5B86">
        <w:t xml:space="preserve">were </w:t>
      </w:r>
      <w:r>
        <w:t>“ ‘</w:t>
      </w:r>
      <w:r w:rsidRPr="00FE5B86">
        <w:t>not directly presented to the voters</w:t>
      </w:r>
      <w:r>
        <w:t xml:space="preserve"> . . . are </w:t>
      </w:r>
      <w:r w:rsidRPr="00FE5B86">
        <w:t>not relevant</w:t>
      </w:r>
      <w:r>
        <w:t>’ ” in construing the statute.  (</w:t>
      </w:r>
      <w:bookmarkStart w:id="256" w:name="Psych_Cite_200"/>
      <w:r w:rsidRPr="00D25540">
        <w:rPr>
          <w:i/>
          <w:iCs/>
        </w:rPr>
        <w:t xml:space="preserve">Robert L. v. Superior </w:t>
      </w:r>
      <w:r w:rsidR="00B16F72">
        <w:rPr>
          <w:i/>
          <w:iCs/>
        </w:rPr>
        <w:t>Court</w:t>
      </w:r>
      <w:r>
        <w:t xml:space="preserve"> (2003) 30 Cal.4th 894, 904</w:t>
      </w:r>
      <w:r w:rsidR="00AF790C">
        <w:t>–</w:t>
      </w:r>
      <w:r>
        <w:t>905</w:t>
      </w:r>
      <w:bookmarkEnd w:id="256"/>
      <w:r>
        <w:t xml:space="preserve">.)  </w:t>
      </w:r>
      <w:r w:rsidR="00991005">
        <w:t xml:space="preserve">Nor is </w:t>
      </w:r>
      <w:r w:rsidR="005F2960">
        <w:t>the</w:t>
      </w:r>
      <w:r w:rsidR="00935BED">
        <w:t xml:space="preserve"> “ ‘</w:t>
      </w:r>
      <w:r w:rsidR="00782E40">
        <w:t>mot</w:t>
      </w:r>
      <w:r w:rsidR="000A370E">
        <w:t>ive or purpose</w:t>
      </w:r>
      <w:r w:rsidR="005F2960">
        <w:t xml:space="preserve"> of </w:t>
      </w:r>
      <w:r w:rsidR="00935BED">
        <w:t>[</w:t>
      </w:r>
      <w:r w:rsidR="005F2960">
        <w:t>an initiative’s</w:t>
      </w:r>
      <w:r w:rsidR="00935BED">
        <w:t>]</w:t>
      </w:r>
      <w:r w:rsidR="005F2960">
        <w:t xml:space="preserve"> drafters</w:t>
      </w:r>
      <w:r w:rsidR="00935BED">
        <w:t xml:space="preserve"> . . . </w:t>
      </w:r>
      <w:r w:rsidR="005F2960">
        <w:t>relevant</w:t>
      </w:r>
      <w:r w:rsidR="00C20BB3">
        <w:t xml:space="preserve"> to its construction, </w:t>
      </w:r>
      <w:r w:rsidR="00235E3A" w:rsidRPr="00235E3A">
        <w:t xml:space="preserve">absent reason to conclude that the </w:t>
      </w:r>
      <w:r w:rsidR="00125F03">
        <w:t xml:space="preserve">[voters were]  </w:t>
      </w:r>
      <w:r w:rsidR="00235E3A" w:rsidRPr="00235E3A">
        <w:t xml:space="preserve">aware of that </w:t>
      </w:r>
      <w:r w:rsidR="00935BED">
        <w:t xml:space="preserve">purpose </w:t>
      </w:r>
      <w:r w:rsidR="00235E3A" w:rsidRPr="00235E3A">
        <w:lastRenderedPageBreak/>
        <w:t>and believed the language of the proposal would accomplish it.’</w:t>
      </w:r>
      <w:r w:rsidR="00E73E64">
        <w:t> </w:t>
      </w:r>
      <w:r w:rsidR="00235E3A" w:rsidRPr="00235E3A">
        <w:t>”</w:t>
      </w:r>
      <w:r w:rsidR="00235E3A">
        <w:t xml:space="preserve">  </w:t>
      </w:r>
      <w:r w:rsidR="00B35152">
        <w:t>(</w:t>
      </w:r>
      <w:bookmarkStart w:id="257" w:name="Psych_Cite_199"/>
      <w:r w:rsidR="00C940E0">
        <w:rPr>
          <w:i/>
          <w:iCs/>
        </w:rPr>
        <w:t xml:space="preserve">Id. </w:t>
      </w:r>
      <w:r w:rsidR="00635B73">
        <w:t>at p. 904.)</w:t>
      </w:r>
      <w:bookmarkEnd w:id="257"/>
      <w:r w:rsidR="00B35152">
        <w:rPr>
          <w:i/>
          <w:iCs/>
        </w:rPr>
        <w:t xml:space="preserve"> </w:t>
      </w:r>
      <w:r w:rsidR="005C6349">
        <w:t xml:space="preserve">Moreover, defendants’ </w:t>
      </w:r>
      <w:r w:rsidR="0058797B">
        <w:t xml:space="preserve">argument </w:t>
      </w:r>
      <w:r w:rsidR="005C6349">
        <w:t xml:space="preserve">ignores </w:t>
      </w:r>
      <w:r>
        <w:t xml:space="preserve">a significant textual difference between </w:t>
      </w:r>
      <w:bookmarkStart w:id="258" w:name="Psych_Cite_201"/>
      <w:r>
        <w:t>section 1431.</w:t>
      </w:r>
      <w:bookmarkEnd w:id="258"/>
      <w:r>
        <w:t>2</w:t>
      </w:r>
      <w:r w:rsidR="0058797B">
        <w:t xml:space="preserve"> and the unpassed statute</w:t>
      </w:r>
      <w:r>
        <w:t>.  The latter did not contain the qualifying phrase in the former that is at the heart of this case — “</w:t>
      </w:r>
      <w:r w:rsidRPr="006B20E4">
        <w:t>based upon principles of comparative fault</w:t>
      </w:r>
      <w:r>
        <w:t xml:space="preserve">” (§ 1431.2, </w:t>
      </w:r>
      <w:proofErr w:type="spellStart"/>
      <w:r>
        <w:t>subd</w:t>
      </w:r>
      <w:proofErr w:type="spellEnd"/>
      <w:r>
        <w:t xml:space="preserve">. (a)) — but instead broadly provided, without qualification, for allocation of noneconomic damages </w:t>
      </w:r>
      <w:r w:rsidRPr="00B86ACF">
        <w:t>“[</w:t>
      </w:r>
      <w:proofErr w:type="spellStart"/>
      <w:r w:rsidRPr="00B86ACF">
        <w:t>i</w:t>
      </w:r>
      <w:proofErr w:type="spellEnd"/>
      <w:r w:rsidRPr="00B86ACF">
        <w:t>]n an action for personal injury, property damage or wrongful death</w:t>
      </w:r>
      <w:r>
        <w:t xml:space="preserve"> where an indivisible injury has been sustained by the plaintiff as a proximate result of the wrongful conduct of two or more</w:t>
      </w:r>
      <w:r w:rsidR="000D0966">
        <w:t xml:space="preserve"> persons</w:t>
      </w:r>
      <w:r>
        <w:t>” (Assem</w:t>
      </w:r>
      <w:r w:rsidR="005E49CB">
        <w:t>.</w:t>
      </w:r>
      <w:r>
        <w:t xml:space="preserve"> Bill No. 4271 (1985</w:t>
      </w:r>
      <w:r w:rsidR="00AF790C">
        <w:t>–</w:t>
      </w:r>
      <w:r>
        <w:t xml:space="preserve">1986 Reg. Sess.) as introduced Feb 21, 1986, § 2).  As plaintiffs argue, in light of the proposed statute’s broad and unqualified language, a provision “specifically refer[ring] to intentional tortfeasors” would have been called for </w:t>
      </w:r>
      <w:r w:rsidR="00D01690">
        <w:t xml:space="preserve">were </w:t>
      </w:r>
      <w:r>
        <w:t xml:space="preserve">the intent “to exclude them from benefiting from apportionment.”  As our prior analysis demonstrates, because </w:t>
      </w:r>
      <w:bookmarkStart w:id="259" w:name="Psych_Cite_202"/>
      <w:r>
        <w:t>section 1431.2, subdivision (</w:t>
      </w:r>
      <w:bookmarkEnd w:id="259"/>
      <w:r>
        <w:t xml:space="preserve">a), calls for apportionment “based upon principles of comparative fault,” the absence of an express exclusion for intentional tortfeasors does not have the significance defendants assert.  As our prior analysis also demonstrates, </w:t>
      </w:r>
      <w:r w:rsidR="00131010">
        <w:t xml:space="preserve">adopting </w:t>
      </w:r>
      <w:r>
        <w:t xml:space="preserve">defendants’ construction </w:t>
      </w:r>
      <w:r w:rsidR="003F4502">
        <w:t>would render this additional phrase without meaning</w:t>
      </w:r>
      <w:r>
        <w:t xml:space="preserve">.  </w:t>
      </w:r>
    </w:p>
    <w:p w14:paraId="3C6EB79E" w14:textId="724CE93D" w:rsidR="00097203" w:rsidRDefault="00097203" w:rsidP="00097203">
      <w:pPr>
        <w:tabs>
          <w:tab w:val="left" w:pos="720"/>
        </w:tabs>
        <w:spacing w:line="480" w:lineRule="atLeast"/>
      </w:pPr>
      <w:r>
        <w:tab/>
        <w:t xml:space="preserve">Moreover, defendants’ argument is inconsistent with </w:t>
      </w:r>
      <w:proofErr w:type="gramStart"/>
      <w:r>
        <w:t>several</w:t>
      </w:r>
      <w:proofErr w:type="gramEnd"/>
      <w:r>
        <w:t xml:space="preserve"> California decisions involving </w:t>
      </w:r>
      <w:bookmarkStart w:id="260" w:name="Psych_Cite_207"/>
      <w:r>
        <w:t>section 1431.2, subdivision (a)</w:t>
      </w:r>
      <w:bookmarkEnd w:id="260"/>
      <w:r>
        <w:t xml:space="preserve">.  For example, although that section is silent </w:t>
      </w:r>
      <w:r>
        <w:lastRenderedPageBreak/>
        <w:t xml:space="preserve">regarding defendants who are liable both vicariously and based on their own negligence, in </w:t>
      </w:r>
      <w:bookmarkStart w:id="261" w:name="Psych_Cite_204"/>
      <w:r>
        <w:rPr>
          <w:i/>
          <w:iCs/>
        </w:rPr>
        <w:t>Diaz</w:t>
      </w:r>
      <w:r>
        <w:t>,</w:t>
      </w:r>
      <w:r>
        <w:rPr>
          <w:i/>
          <w:iCs/>
        </w:rPr>
        <w:t xml:space="preserve"> </w:t>
      </w:r>
      <w:r w:rsidRPr="007D09FA">
        <w:rPr>
          <w:i/>
          <w:iCs/>
        </w:rPr>
        <w:t>supra</w:t>
      </w:r>
      <w:r w:rsidRPr="007D09FA">
        <w:t>,</w:t>
      </w:r>
      <w:r>
        <w:t xml:space="preserve"> 51 Cal.4th at pages 11</w:t>
      </w:r>
      <w:r w:rsidRPr="000B196B">
        <w:t>59</w:t>
      </w:r>
      <w:r w:rsidR="00AF790C">
        <w:t>–</w:t>
      </w:r>
      <w:r>
        <w:t>1160</w:t>
      </w:r>
      <w:bookmarkEnd w:id="261"/>
      <w:r>
        <w:t xml:space="preserve">, we construed the statute, consistent with an express provision of </w:t>
      </w:r>
      <w:r w:rsidRPr="00C660E3">
        <w:rPr>
          <w:i/>
          <w:iCs/>
        </w:rPr>
        <w:t>the same unpassed bill</w:t>
      </w:r>
      <w:r>
        <w:t> </w:t>
      </w:r>
      <w:r w:rsidR="005819DE">
        <w:t>o</w:t>
      </w:r>
      <w:r w:rsidR="00ED700E">
        <w:t>n which defendants here rely</w:t>
      </w:r>
      <w:r w:rsidR="005C0732">
        <w:t>,</w:t>
      </w:r>
      <w:r w:rsidR="00ED700E">
        <w:t> </w:t>
      </w:r>
      <w:r>
        <w:t xml:space="preserve">to preclude allocation of a share of liability based on the defendant’s negligence, where the defendant admits to vicarious liability for negligent acts of its employee.  And in </w:t>
      </w:r>
      <w:bookmarkStart w:id="262" w:name="Psych_Cite_205"/>
      <w:r>
        <w:rPr>
          <w:i/>
          <w:iCs/>
        </w:rPr>
        <w:t xml:space="preserve">Wilson v. John Crane, Inc. </w:t>
      </w:r>
      <w:r>
        <w:t>(2000) 81 Cal.App.4th 847, 856</w:t>
      </w:r>
      <w:bookmarkEnd w:id="262"/>
      <w:r>
        <w:t xml:space="preserve">, the court, in holding that apportionment under </w:t>
      </w:r>
      <w:bookmarkStart w:id="263" w:name="Psych_Cite_208"/>
      <w:r>
        <w:t>section 1431.2</w:t>
      </w:r>
      <w:bookmarkEnd w:id="263"/>
      <w:r>
        <w:t xml:space="preserve"> applies to strict liability claims, rejected the plaintiff’s reliance on the fact that the statute makes no express reference to such claims, unlike proposed but “unenacted” statutes that “</w:t>
      </w:r>
      <w:r w:rsidRPr="006F52FE">
        <w:t>explicitly prescribed the application of comparative fault principles to claims sounding in strict products liability</w:t>
      </w:r>
      <w:r>
        <w:t>.”  Such claims, the court reasoned, “</w:t>
      </w:r>
      <w:r w:rsidRPr="004747C9">
        <w:t xml:space="preserve">are of a type clearly understood at the time of </w:t>
      </w:r>
      <w:r>
        <w:t xml:space="preserve">[Proposition 51’s] </w:t>
      </w:r>
      <w:r w:rsidRPr="004747C9">
        <w:t>enactment to fall within the description chosen</w:t>
      </w:r>
      <w:r>
        <w:t>,” i.e., an “ ‘</w:t>
      </w:r>
      <w:r w:rsidRPr="007E0D7A">
        <w:t>action for personal injury, property damage, or wrongful death, based upon principles of comparative fault</w:t>
      </w:r>
      <w:r>
        <w:t>.’ </w:t>
      </w:r>
      <w:r w:rsidRPr="007E0D7A">
        <w:t>”</w:t>
      </w:r>
      <w:r>
        <w:t xml:space="preserve">  (</w:t>
      </w:r>
      <w:bookmarkStart w:id="264" w:name="Psych_Cite_206"/>
      <w:r w:rsidR="005E49CB">
        <w:rPr>
          <w:i/>
          <w:iCs/>
        </w:rPr>
        <w:t>Wilson</w:t>
      </w:r>
      <w:r w:rsidR="005E49CB">
        <w:t xml:space="preserve">, at p. 586, quoting § 1431.2, </w:t>
      </w:r>
      <w:proofErr w:type="spellStart"/>
      <w:r w:rsidR="005E49CB">
        <w:t>subd</w:t>
      </w:r>
      <w:proofErr w:type="spellEnd"/>
      <w:r w:rsidR="005E49CB">
        <w:t>. (a)</w:t>
      </w:r>
      <w:bookmarkEnd w:id="264"/>
      <w:r>
        <w:t xml:space="preserve">)  </w:t>
      </w:r>
      <w:r w:rsidR="004D14F0" w:rsidRPr="0065539E">
        <w:t xml:space="preserve">By contrast, as we have demonstrated, </w:t>
      </w:r>
      <w:r w:rsidR="008C12A8" w:rsidRPr="0065539E">
        <w:t xml:space="preserve">an intentional tort claim clearly is </w:t>
      </w:r>
      <w:r w:rsidR="008C12A8" w:rsidRPr="00D25540">
        <w:t xml:space="preserve">not </w:t>
      </w:r>
      <w:r w:rsidR="00647F9F" w:rsidRPr="0065539E">
        <w:t>of such a type</w:t>
      </w:r>
      <w:r w:rsidR="00647F9F" w:rsidRPr="00D25540">
        <w:rPr>
          <w:i/>
          <w:iCs/>
        </w:rPr>
        <w:t>.</w:t>
      </w:r>
      <w:r w:rsidR="00647F9F">
        <w:t xml:space="preserve">  </w:t>
      </w:r>
      <w:r>
        <w:t xml:space="preserve">For </w:t>
      </w:r>
      <w:proofErr w:type="gramStart"/>
      <w:r>
        <w:t>all of</w:t>
      </w:r>
      <w:proofErr w:type="gramEnd"/>
      <w:r>
        <w:t xml:space="preserve"> these reasons, defendants’ reliance on the fact that </w:t>
      </w:r>
      <w:bookmarkStart w:id="265" w:name="Psych_Cite_210"/>
      <w:r>
        <w:t>section 1431.</w:t>
      </w:r>
      <w:bookmarkEnd w:id="265"/>
      <w:r>
        <w:t xml:space="preserve">2, unlike </w:t>
      </w:r>
      <w:r w:rsidR="00E14F07">
        <w:t>the unpassed</w:t>
      </w:r>
      <w:r w:rsidR="00300EAF">
        <w:t xml:space="preserve"> statute</w:t>
      </w:r>
      <w:r>
        <w:t xml:space="preserve">, does not </w:t>
      </w:r>
      <w:r w:rsidR="00E14F07">
        <w:t xml:space="preserve">contain an </w:t>
      </w:r>
      <w:r>
        <w:t>express</w:t>
      </w:r>
      <w:r w:rsidR="00E14F07">
        <w:t xml:space="preserve"> exclusion for </w:t>
      </w:r>
      <w:r>
        <w:t>intentional tortfeasors, is unpersuasive.</w:t>
      </w:r>
    </w:p>
    <w:p w14:paraId="7E870F6C" w14:textId="49558EC8" w:rsidR="00097203" w:rsidRPr="00D25540" w:rsidRDefault="00097203" w:rsidP="00534121">
      <w:pPr>
        <w:keepNext/>
        <w:tabs>
          <w:tab w:val="left" w:pos="720"/>
        </w:tabs>
        <w:spacing w:line="480" w:lineRule="atLeast"/>
        <w:rPr>
          <w:i/>
          <w:iCs/>
        </w:rPr>
      </w:pPr>
      <w:r>
        <w:lastRenderedPageBreak/>
        <w:tab/>
        <w:t xml:space="preserve">3.  </w:t>
      </w:r>
      <w:r w:rsidRPr="00D25540">
        <w:rPr>
          <w:i/>
          <w:iCs/>
        </w:rPr>
        <w:t xml:space="preserve">Ballot </w:t>
      </w:r>
      <w:r w:rsidR="0065539E">
        <w:rPr>
          <w:i/>
          <w:iCs/>
        </w:rPr>
        <w:t>Materials</w:t>
      </w:r>
    </w:p>
    <w:p w14:paraId="4153D238" w14:textId="29024C7F" w:rsidR="00097203" w:rsidRDefault="00097203" w:rsidP="003140C9">
      <w:pPr>
        <w:tabs>
          <w:tab w:val="left" w:pos="720"/>
        </w:tabs>
        <w:spacing w:line="480" w:lineRule="atLeast"/>
      </w:pPr>
      <w:r>
        <w:tab/>
        <w:t xml:space="preserve">Defendants also argue that, to the extent </w:t>
      </w:r>
      <w:bookmarkStart w:id="266" w:name="Psych_Cite_211"/>
      <w:r>
        <w:t>section 1431.2</w:t>
      </w:r>
      <w:bookmarkEnd w:id="266"/>
      <w:r>
        <w:t xml:space="preserve">’s text is ambiguous, “[t]he official Proposition 51 ballot materials confirm that the voters intended [the statute] to apply to all defendants, without exception.”  Defendants base their argument </w:t>
      </w:r>
      <w:r w:rsidR="006C3732">
        <w:t xml:space="preserve">principally </w:t>
      </w:r>
      <w:r>
        <w:t xml:space="preserve">on the following:  (1) the statement of the Legislative Analyst that “[t]his measure . . . limits the liability of each responsible party in a lawsuit to that portion of non-economic damages that is equal to the responsible party’s share of fault” (Ballot </w:t>
      </w:r>
      <w:proofErr w:type="spellStart"/>
      <w:r>
        <w:t>Pamp</w:t>
      </w:r>
      <w:proofErr w:type="spellEnd"/>
      <w:r w:rsidR="0065539E">
        <w:t>.</w:t>
      </w:r>
      <w:r w:rsidR="00860631">
        <w:t>,</w:t>
      </w:r>
      <w:r w:rsidR="000C3C33">
        <w:t xml:space="preserve"> </w:t>
      </w:r>
      <w:r w:rsidR="00860631">
        <w:t>Primary</w:t>
      </w:r>
      <w:r>
        <w:t xml:space="preserve"> </w:t>
      </w:r>
      <w:r w:rsidRPr="00630D47">
        <w:t>Elec. (</w:t>
      </w:r>
      <w:r>
        <w:t>June 3, 1986)</w:t>
      </w:r>
      <w:r w:rsidRPr="00630D47">
        <w:t xml:space="preserve"> </w:t>
      </w:r>
      <w:r w:rsidR="00860631">
        <w:t>a</w:t>
      </w:r>
      <w:r w:rsidRPr="00630D47">
        <w:t xml:space="preserve">nalysis of Prop. </w:t>
      </w:r>
      <w:r>
        <w:t>51</w:t>
      </w:r>
      <w:r w:rsidRPr="00630D47">
        <w:t xml:space="preserve"> by Legis. Analyst, p. </w:t>
      </w:r>
      <w:r>
        <w:t xml:space="preserve">32 (Ballot Pamphlet)); and (2) the </w:t>
      </w:r>
      <w:r>
        <w:rPr>
          <w:i/>
          <w:iCs/>
        </w:rPr>
        <w:t xml:space="preserve">absence </w:t>
      </w:r>
      <w:r>
        <w:t xml:space="preserve">“in the ballot materials” of “the terms ‘intent’ or ‘intentional’ ” or of any “mention” that there were “exceptions to Proposition 51’s applicability” or that “the actions subject to Proposition 51 were limited to only those ‘based upon’ principles of comparative fault.” </w:t>
      </w:r>
    </w:p>
    <w:p w14:paraId="47B49239" w14:textId="0C3CBEEA" w:rsidR="00097203" w:rsidRDefault="00097203" w:rsidP="00097203">
      <w:pPr>
        <w:tabs>
          <w:tab w:val="left" w:pos="720"/>
        </w:tabs>
        <w:spacing w:line="480" w:lineRule="atLeast"/>
      </w:pPr>
      <w:r>
        <w:tab/>
        <w:t xml:space="preserve">Again, for </w:t>
      </w:r>
      <w:proofErr w:type="gramStart"/>
      <w:r>
        <w:t>several</w:t>
      </w:r>
      <w:proofErr w:type="gramEnd"/>
      <w:r>
        <w:t xml:space="preserve"> reasons, defendants’ arguments are unpersuasive.  First, as explained earlier, we have previously rejected the argument that, </w:t>
      </w:r>
      <w:proofErr w:type="gramStart"/>
      <w:r>
        <w:t>in light of</w:t>
      </w:r>
      <w:proofErr w:type="gramEnd"/>
      <w:r>
        <w:t xml:space="preserve"> </w:t>
      </w:r>
      <w:r w:rsidRPr="00315A5D">
        <w:t xml:space="preserve">the </w:t>
      </w:r>
      <w:r>
        <w:t xml:space="preserve">statutory language, the statute makes reduction of liability available to </w:t>
      </w:r>
      <w:r w:rsidRPr="00315A5D">
        <w:t>all</w:t>
      </w:r>
      <w:r>
        <w:t xml:space="preserve"> </w:t>
      </w:r>
      <w:r w:rsidRPr="00315A5D">
        <w:t>defendants, without exception</w:t>
      </w:r>
      <w:r>
        <w:t>.  (</w:t>
      </w:r>
      <w:bookmarkStart w:id="267" w:name="Psych_Cite_212"/>
      <w:r w:rsidRPr="00002F0A">
        <w:rPr>
          <w:i/>
          <w:iCs/>
        </w:rPr>
        <w:t>Diaz</w:t>
      </w:r>
      <w:r>
        <w:t xml:space="preserve">, </w:t>
      </w:r>
      <w:r w:rsidRPr="007D09FA">
        <w:rPr>
          <w:i/>
          <w:iCs/>
        </w:rPr>
        <w:t>supra</w:t>
      </w:r>
      <w:r w:rsidRPr="007D09FA">
        <w:t>,</w:t>
      </w:r>
      <w:r>
        <w:t xml:space="preserve"> </w:t>
      </w:r>
      <w:r w:rsidRPr="00157574">
        <w:t xml:space="preserve">51 Cal.4th </w:t>
      </w:r>
      <w:r>
        <w:t xml:space="preserve">at p. </w:t>
      </w:r>
      <w:r w:rsidRPr="00157574">
        <w:t>1156</w:t>
      </w:r>
      <w:r w:rsidR="00AF790C">
        <w:t>–</w:t>
      </w:r>
      <w:r>
        <w:t>1150</w:t>
      </w:r>
      <w:bookmarkEnd w:id="267"/>
      <w:r>
        <w:t xml:space="preserve">.)  The broad and general statement of the Legislative Analyst on which defendants rely does not convince us we should now hold otherwise.  In this regard, we note that that statement is also overbroad </w:t>
      </w:r>
      <w:proofErr w:type="gramStart"/>
      <w:r>
        <w:t>insofar as</w:t>
      </w:r>
      <w:proofErr w:type="gramEnd"/>
      <w:r>
        <w:t xml:space="preserve"> it refers to limiting </w:t>
      </w:r>
      <w:r>
        <w:lastRenderedPageBreak/>
        <w:t xml:space="preserve">liability of responsible parties “in a lawsuit.”  (Ballot </w:t>
      </w:r>
      <w:bookmarkStart w:id="268" w:name="Psych_Cite_215"/>
      <w:proofErr w:type="spellStart"/>
      <w:r>
        <w:t>Pamp</w:t>
      </w:r>
      <w:proofErr w:type="spellEnd"/>
      <w:r w:rsidR="00860631">
        <w:t>.,</w:t>
      </w:r>
      <w:r>
        <w:t xml:space="preserve"> </w:t>
      </w:r>
      <w:r w:rsidRPr="007D09FA">
        <w:rPr>
          <w:i/>
          <w:iCs/>
        </w:rPr>
        <w:t>supra</w:t>
      </w:r>
      <w:bookmarkEnd w:id="268"/>
      <w:r w:rsidRPr="007D09FA">
        <w:t>,</w:t>
      </w:r>
      <w:r>
        <w:t xml:space="preserve"> </w:t>
      </w:r>
      <w:r w:rsidR="00860631">
        <w:t>a</w:t>
      </w:r>
      <w:r w:rsidRPr="00630D47">
        <w:t xml:space="preserve">nalysis of Prop. </w:t>
      </w:r>
      <w:r>
        <w:t>51</w:t>
      </w:r>
      <w:r w:rsidRPr="00630D47">
        <w:t xml:space="preserve"> by Legis. Analyst, p. </w:t>
      </w:r>
      <w:r>
        <w:t xml:space="preserve">32.)  By its terms, </w:t>
      </w:r>
      <w:bookmarkStart w:id="269" w:name="Psych_Cite_214"/>
      <w:r>
        <w:t>section 1431.2, subdivision (a)</w:t>
      </w:r>
      <w:bookmarkEnd w:id="269"/>
      <w:r>
        <w:t xml:space="preserve"> applies, not in any lawsuit, </w:t>
      </w:r>
      <w:r w:rsidR="00E208E6">
        <w:t xml:space="preserve">but </w:t>
      </w:r>
      <w:r>
        <w:t xml:space="preserve">only in “action[s] </w:t>
      </w:r>
      <w:r w:rsidRPr="001C03B2">
        <w:t>for personal injury, property damage, or wrongful death</w:t>
      </w:r>
      <w:r>
        <w:t xml:space="preserve">.”  “[T]he </w:t>
      </w:r>
      <w:r w:rsidRPr="00565426">
        <w:t>generality and brevity of the Legislative Analyst</w:t>
      </w:r>
      <w:r>
        <w:t>’</w:t>
      </w:r>
      <w:r w:rsidRPr="00565426">
        <w:t>s commentary</w:t>
      </w:r>
      <w:r>
        <w:t xml:space="preserve"> . . . </w:t>
      </w:r>
      <w:r w:rsidRPr="00565426">
        <w:t xml:space="preserve">cannot plausibly be viewed as implicitly </w:t>
      </w:r>
      <w:r>
        <w:t xml:space="preserve">[expanding] </w:t>
      </w:r>
      <w:r w:rsidRPr="00565426">
        <w:t>the scope of the statute in the manner advocated by defendants</w:t>
      </w:r>
      <w:r>
        <w:t>.”  (</w:t>
      </w:r>
      <w:bookmarkStart w:id="270" w:name="Psych_Cite_213"/>
      <w:r w:rsidRPr="004C1F1F">
        <w:rPr>
          <w:i/>
          <w:iCs/>
        </w:rPr>
        <w:t>People ex rel. Lungren v. Superior Court</w:t>
      </w:r>
      <w:r>
        <w:t xml:space="preserve"> (1996) 14 Cal.4th 294, 308 [construing Health </w:t>
      </w:r>
      <w:r w:rsidR="00FC0FE5">
        <w:t xml:space="preserve">&amp; </w:t>
      </w:r>
      <w:r>
        <w:t>Saf</w:t>
      </w:r>
      <w:r w:rsidR="00FC0FE5">
        <w:t>ety</w:t>
      </w:r>
      <w:r>
        <w:t xml:space="preserve"> Code provisions enacted through</w:t>
      </w:r>
      <w:r w:rsidR="00FC0FE5">
        <w:t xml:space="preserve"> initiative</w:t>
      </w:r>
      <w:bookmarkEnd w:id="270"/>
      <w:r>
        <w:t xml:space="preserve">.)  </w:t>
      </w:r>
    </w:p>
    <w:p w14:paraId="755A736A" w14:textId="6C6142A3" w:rsidR="00097203" w:rsidRDefault="00097203" w:rsidP="00097203">
      <w:pPr>
        <w:tabs>
          <w:tab w:val="left" w:pos="720"/>
        </w:tabs>
        <w:spacing w:line="480" w:lineRule="atLeast"/>
      </w:pPr>
      <w:r>
        <w:tab/>
        <w:t xml:space="preserve">Second, contrary to defendants’ argument, the ballot materials did, in fact, inform voters that application of </w:t>
      </w:r>
      <w:bookmarkStart w:id="271" w:name="Psych_Cite_217"/>
      <w:r>
        <w:t>section 1431.2, subdivision (a)</w:t>
      </w:r>
      <w:bookmarkEnd w:id="271"/>
      <w:r>
        <w:t xml:space="preserve">, was subject to “principles of comparative fault.”  Those materials included the text of the proposed statute itself, </w:t>
      </w:r>
      <w:r w:rsidR="0044146A">
        <w:t xml:space="preserve">including </w:t>
      </w:r>
      <w:r>
        <w:t>the phrase “based upon principles of comparative fault.”  (</w:t>
      </w:r>
      <w:bookmarkStart w:id="272" w:name="Psych_Cite_218"/>
      <w:r>
        <w:t xml:space="preserve">See Ballot </w:t>
      </w:r>
      <w:proofErr w:type="spellStart"/>
      <w:r>
        <w:t>Pamp</w:t>
      </w:r>
      <w:proofErr w:type="spellEnd"/>
      <w:r w:rsidR="00920FBD">
        <w:t>.</w:t>
      </w:r>
      <w:r>
        <w:t xml:space="preserve">, </w:t>
      </w:r>
      <w:r w:rsidRPr="007D09FA">
        <w:rPr>
          <w:i/>
          <w:iCs/>
        </w:rPr>
        <w:t>supra</w:t>
      </w:r>
      <w:bookmarkEnd w:id="272"/>
      <w:r w:rsidRPr="007D09FA">
        <w:t>,</w:t>
      </w:r>
      <w:r>
        <w:t xml:space="preserve"> </w:t>
      </w:r>
      <w:r w:rsidR="00FC0FE5">
        <w:t>t</w:t>
      </w:r>
      <w:r>
        <w:t>ext of Prop</w:t>
      </w:r>
      <w:r w:rsidR="00FC0FE5">
        <w:t>. 51</w:t>
      </w:r>
      <w:r>
        <w:t>, § 4, p. 33.)  That the phrase was not mentioned in any of the accompanying commentary or arguments is not a basis for expanding the statute’s application.  (</w:t>
      </w:r>
      <w:bookmarkStart w:id="273" w:name="Psych_Cite_216"/>
      <w:r>
        <w:t xml:space="preserve">See </w:t>
      </w:r>
      <w:proofErr w:type="spellStart"/>
      <w:r w:rsidRPr="00110465">
        <w:rPr>
          <w:i/>
          <w:iCs/>
        </w:rPr>
        <w:t>DaFonte</w:t>
      </w:r>
      <w:proofErr w:type="spellEnd"/>
      <w:r>
        <w:t xml:space="preserve">, </w:t>
      </w:r>
      <w:r w:rsidRPr="00110465">
        <w:rPr>
          <w:i/>
          <w:iCs/>
        </w:rPr>
        <w:t>supra</w:t>
      </w:r>
      <w:r>
        <w:t>, 2 Cal.4th at p. 602 [ballot arguments and analyses, though sometimes helpful in resolving ambiguities in an initiative measure, “cannot vary its plain import”]</w:t>
      </w:r>
      <w:bookmarkEnd w:id="273"/>
      <w:r>
        <w:t>.)</w:t>
      </w:r>
    </w:p>
    <w:p w14:paraId="2A0A9A20" w14:textId="69E0D069" w:rsidR="00097203" w:rsidRDefault="00097203" w:rsidP="00097203">
      <w:pPr>
        <w:tabs>
          <w:tab w:val="left" w:pos="720"/>
        </w:tabs>
        <w:spacing w:line="480" w:lineRule="atLeast"/>
      </w:pPr>
      <w:r>
        <w:tab/>
        <w:t xml:space="preserve">Third, in </w:t>
      </w:r>
      <w:proofErr w:type="gramStart"/>
      <w:r>
        <w:t>several</w:t>
      </w:r>
      <w:proofErr w:type="gramEnd"/>
      <w:r>
        <w:t xml:space="preserve"> respects, the comments in the ballot materials, though not expressly referring to liability for intentional torts, suggest that Proposition 51 was </w:t>
      </w:r>
      <w:r w:rsidR="00F21C87">
        <w:t xml:space="preserve">directed at </w:t>
      </w:r>
      <w:r>
        <w:lastRenderedPageBreak/>
        <w:t>other types of tort liability.  The Attorney General’s “Official Title and Summary” stated that (1) “[u]</w:t>
      </w:r>
      <w:proofErr w:type="spellStart"/>
      <w:r>
        <w:t>nder</w:t>
      </w:r>
      <w:proofErr w:type="spellEnd"/>
      <w:r>
        <w:t xml:space="preserve"> existing law,”  where a plaintiff obtains a damage award “</w:t>
      </w:r>
      <w:r w:rsidRPr="00D76FB9">
        <w:t>against multiple defendants</w:t>
      </w:r>
      <w:r>
        <w:t xml:space="preserve">,” “[a] </w:t>
      </w:r>
      <w:r w:rsidRPr="00A05559">
        <w:t>defendant paying all the damages may seek equitable reimbursement from other defendants</w:t>
      </w:r>
      <w:r>
        <w:t>,” and (2) “[u]</w:t>
      </w:r>
      <w:proofErr w:type="spellStart"/>
      <w:r>
        <w:t>nder</w:t>
      </w:r>
      <w:proofErr w:type="spellEnd"/>
      <w:r>
        <w:t>” the proposed law, “this rule” would “[c]</w:t>
      </w:r>
      <w:proofErr w:type="spellStart"/>
      <w:r>
        <w:t>ontinue</w:t>
      </w:r>
      <w:proofErr w:type="spellEnd"/>
      <w:r w:rsidR="005E6A05">
        <w:t>[]</w:t>
      </w:r>
      <w:r>
        <w:t xml:space="preserve"> to apply to ‘economic damages.’ ”  (Ballot </w:t>
      </w:r>
      <w:bookmarkStart w:id="274" w:name="Psych_Cite_219"/>
      <w:proofErr w:type="spellStart"/>
      <w:r>
        <w:t>Pamp</w:t>
      </w:r>
      <w:proofErr w:type="spellEnd"/>
      <w:r w:rsidR="00011536">
        <w:t>.</w:t>
      </w:r>
      <w:r>
        <w:t xml:space="preserve">, </w:t>
      </w:r>
      <w:r w:rsidRPr="007D09FA">
        <w:rPr>
          <w:i/>
          <w:iCs/>
        </w:rPr>
        <w:t>supra</w:t>
      </w:r>
      <w:bookmarkEnd w:id="274"/>
      <w:r w:rsidRPr="007D09FA">
        <w:t>,</w:t>
      </w:r>
      <w:r>
        <w:t xml:space="preserve"> Official Title and Summary of Prop. 51, p. 32.)  These comments describe the state of </w:t>
      </w:r>
      <w:r w:rsidR="000F5B94">
        <w:t xml:space="preserve">California </w:t>
      </w:r>
      <w:r>
        <w:t xml:space="preserve">law, both before and after Proposition 51’s adoption, only with respect to liability for </w:t>
      </w:r>
      <w:r w:rsidRPr="00FD19DE">
        <w:rPr>
          <w:i/>
          <w:iCs/>
        </w:rPr>
        <w:t>non</w:t>
      </w:r>
      <w:r>
        <w:t xml:space="preserve">intentional torts.  As we have previously explained, at the time of Proposition 51’s adoption, both statutory and common law </w:t>
      </w:r>
      <w:r w:rsidRPr="00B81A67">
        <w:rPr>
          <w:i/>
          <w:iCs/>
        </w:rPr>
        <w:t>precluded</w:t>
      </w:r>
      <w:r>
        <w:t xml:space="preserve"> intentional tortfeasors from “</w:t>
      </w:r>
      <w:r w:rsidRPr="00A05559">
        <w:t>seek</w:t>
      </w:r>
      <w:r>
        <w:t>[</w:t>
      </w:r>
      <w:proofErr w:type="spellStart"/>
      <w:r>
        <w:t>ing</w:t>
      </w:r>
      <w:proofErr w:type="spellEnd"/>
      <w:r>
        <w:t>]</w:t>
      </w:r>
      <w:r w:rsidRPr="00A05559">
        <w:t xml:space="preserve"> equitable reimbursement from other defendants</w:t>
      </w:r>
      <w:r>
        <w:t>.”  (</w:t>
      </w:r>
      <w:r w:rsidR="00811B3B">
        <w:t xml:space="preserve">Ballot </w:t>
      </w:r>
      <w:proofErr w:type="spellStart"/>
      <w:r w:rsidR="00811B3B">
        <w:t>Pamp</w:t>
      </w:r>
      <w:proofErr w:type="spellEnd"/>
      <w:r w:rsidR="00811B3B">
        <w:t xml:space="preserve">., </w:t>
      </w:r>
      <w:r w:rsidR="00811B3B" w:rsidRPr="007D09FA">
        <w:rPr>
          <w:i/>
          <w:iCs/>
        </w:rPr>
        <w:t>supra</w:t>
      </w:r>
      <w:r w:rsidR="00811B3B" w:rsidRPr="007D09FA">
        <w:t>,</w:t>
      </w:r>
      <w:r w:rsidR="00811B3B">
        <w:t xml:space="preserve"> Official Title and Summary of Prop. 51, p. 32</w:t>
      </w:r>
      <w:r>
        <w:rPr>
          <w:i/>
          <w:iCs/>
        </w:rPr>
        <w:t>.</w:t>
      </w:r>
      <w:r>
        <w:t xml:space="preserve">)  And Proposition 51 did nothing to alter that </w:t>
      </w:r>
      <w:r w:rsidR="00974675">
        <w:t xml:space="preserve">preclusion </w:t>
      </w:r>
      <w:r>
        <w:t xml:space="preserve">and allow intentional tortfeasors to seek equitable indemnity for economic damages.  </w:t>
      </w:r>
    </w:p>
    <w:p w14:paraId="73C797C3" w14:textId="29D7C72C" w:rsidR="00097203" w:rsidRDefault="00097203" w:rsidP="00097203">
      <w:pPr>
        <w:tabs>
          <w:tab w:val="left" w:pos="720"/>
        </w:tabs>
        <w:spacing w:line="480" w:lineRule="atLeast"/>
      </w:pPr>
      <w:r>
        <w:tab/>
        <w:t xml:space="preserve">Comments in the Legislative Analyst’s analysis similarly </w:t>
      </w:r>
      <w:r w:rsidR="00974675">
        <w:t xml:space="preserve">refer to </w:t>
      </w:r>
      <w:r w:rsidR="000F5B94">
        <w:t xml:space="preserve">California </w:t>
      </w:r>
      <w:r w:rsidR="00974675">
        <w:t>law as it applied only to non</w:t>
      </w:r>
      <w:r w:rsidR="00811B3B">
        <w:t xml:space="preserve">intentional </w:t>
      </w:r>
      <w:r>
        <w:t>torts.  In explaining the measure’s background, the analysis stated that in “a lawsuit” by “</w:t>
      </w:r>
      <w:r w:rsidRPr="00462E44">
        <w:t xml:space="preserve">someone </w:t>
      </w:r>
      <w:r>
        <w:t xml:space="preserve">[who] </w:t>
      </w:r>
      <w:r w:rsidRPr="00462E44">
        <w:t>is injured or killed, or suffers property damage,</w:t>
      </w:r>
      <w:r>
        <w:t>” “[</w:t>
      </w:r>
      <w:proofErr w:type="spellStart"/>
      <w:r>
        <w:t>i</w:t>
      </w:r>
      <w:proofErr w:type="spellEnd"/>
      <w:r>
        <w:t>]</w:t>
      </w:r>
      <w:r w:rsidRPr="00462E44">
        <w:t>f the court finds that the in</w:t>
      </w:r>
      <w:r>
        <w:t>j</w:t>
      </w:r>
      <w:r w:rsidRPr="00462E44">
        <w:t>ured party was partly responsible for the injury, the responsibility of the other party is reduced accordingly.</w:t>
      </w:r>
      <w:r>
        <w:t xml:space="preserve">”  (Ballot </w:t>
      </w:r>
      <w:bookmarkStart w:id="275" w:name="Psych_Cite_221"/>
      <w:proofErr w:type="spellStart"/>
      <w:r>
        <w:t>Pamp</w:t>
      </w:r>
      <w:proofErr w:type="spellEnd"/>
      <w:r w:rsidR="00811B3B">
        <w:t>.</w:t>
      </w:r>
      <w:r>
        <w:t xml:space="preserve">, </w:t>
      </w:r>
      <w:r w:rsidRPr="007D09FA">
        <w:rPr>
          <w:i/>
          <w:iCs/>
        </w:rPr>
        <w:t>supra</w:t>
      </w:r>
      <w:bookmarkEnd w:id="275"/>
      <w:r w:rsidRPr="007D09FA">
        <w:t>,</w:t>
      </w:r>
      <w:r>
        <w:t xml:space="preserve"> </w:t>
      </w:r>
      <w:r w:rsidR="00811B3B">
        <w:t>a</w:t>
      </w:r>
      <w:r w:rsidRPr="00630D47">
        <w:t xml:space="preserve">nalysis of Prop. </w:t>
      </w:r>
      <w:r>
        <w:t>51</w:t>
      </w:r>
      <w:r w:rsidRPr="00630D47">
        <w:t xml:space="preserve"> by Legis. Analyst, p. </w:t>
      </w:r>
      <w:r>
        <w:t xml:space="preserve">32.)  As previously explained, under </w:t>
      </w:r>
      <w:r w:rsidR="00093BA1">
        <w:t xml:space="preserve">California </w:t>
      </w:r>
      <w:r>
        <w:t xml:space="preserve">law as it existed when the voters </w:t>
      </w:r>
      <w:r>
        <w:lastRenderedPageBreak/>
        <w:t xml:space="preserve">adopted Proposition 51, </w:t>
      </w:r>
      <w:r w:rsidR="007748E6">
        <w:t xml:space="preserve">this </w:t>
      </w:r>
      <w:r w:rsidR="00DC5C55">
        <w:t xml:space="preserve">accurately described </w:t>
      </w:r>
      <w:r w:rsidR="007748E6">
        <w:t xml:space="preserve">the </w:t>
      </w:r>
      <w:r w:rsidR="00DC5C55">
        <w:t xml:space="preserve">rule </w:t>
      </w:r>
      <w:r w:rsidR="007E398E">
        <w:t xml:space="preserve">in cases involving negligence </w:t>
      </w:r>
      <w:r>
        <w:t>and strict liab</w:t>
      </w:r>
      <w:r w:rsidR="007E398E">
        <w:t xml:space="preserve">ility, </w:t>
      </w:r>
      <w:r w:rsidR="0081350A">
        <w:t xml:space="preserve">but </w:t>
      </w:r>
      <w:r w:rsidR="00D509F0" w:rsidRPr="00B4020E">
        <w:rPr>
          <w:i/>
          <w:iCs/>
        </w:rPr>
        <w:t>not</w:t>
      </w:r>
      <w:r w:rsidR="00D509F0">
        <w:t xml:space="preserve"> in cases involving </w:t>
      </w:r>
      <w:r>
        <w:t>intentional tort</w:t>
      </w:r>
      <w:r w:rsidR="00CD030B">
        <w:t>s</w:t>
      </w:r>
      <w:r w:rsidR="0081350A">
        <w:t xml:space="preserve">; in the latter context, the law </w:t>
      </w:r>
      <w:r w:rsidR="00B4020E">
        <w:t xml:space="preserve">precluded </w:t>
      </w:r>
      <w:r w:rsidR="00CD030B">
        <w:t xml:space="preserve">intentional tortfeasors from reducing their liability based on the </w:t>
      </w:r>
      <w:r w:rsidR="00236580">
        <w:t>injured party’s conduct</w:t>
      </w:r>
      <w:r>
        <w:t xml:space="preserve">.  In this respect, the comments of the Legislative Analyst, like those of the Attorney General, suggest that Proposition 51 was directed at liability </w:t>
      </w:r>
      <w:r w:rsidR="005B17ED">
        <w:t>for non</w:t>
      </w:r>
      <w:r w:rsidR="00811B3B">
        <w:t xml:space="preserve">intentional </w:t>
      </w:r>
      <w:r>
        <w:t>tort</w:t>
      </w:r>
      <w:r w:rsidR="005B17ED">
        <w:t>s</w:t>
      </w:r>
      <w:r>
        <w:t>.</w:t>
      </w:r>
    </w:p>
    <w:p w14:paraId="4B160162" w14:textId="5600A811" w:rsidR="00097203" w:rsidRDefault="00097203" w:rsidP="00097203">
      <w:pPr>
        <w:tabs>
          <w:tab w:val="left" w:pos="720"/>
        </w:tabs>
        <w:spacing w:line="480" w:lineRule="atLeast"/>
      </w:pPr>
      <w:r>
        <w:tab/>
        <w:t>Nothing in the ballot arguments — either pro or con — persuades us that Proposition 51</w:t>
      </w:r>
      <w:r w:rsidR="003033FC">
        <w:t xml:space="preserve">’s scope is, </w:t>
      </w:r>
      <w:r w:rsidR="007D7520">
        <w:t xml:space="preserve">or </w:t>
      </w:r>
      <w:r>
        <w:t>was intended to</w:t>
      </w:r>
      <w:r w:rsidR="003033FC">
        <w:t xml:space="preserve"> be,</w:t>
      </w:r>
      <w:r>
        <w:t xml:space="preserve"> broader.  In arguing that </w:t>
      </w:r>
      <w:bookmarkStart w:id="276" w:name="Psych_Cite_225"/>
      <w:r>
        <w:t>section 1431.2</w:t>
      </w:r>
      <w:bookmarkEnd w:id="276"/>
      <w:r>
        <w:t xml:space="preserve"> makes reduction of liability available to </w:t>
      </w:r>
      <w:r w:rsidRPr="00315A5D">
        <w:t>all</w:t>
      </w:r>
      <w:r>
        <w:t xml:space="preserve"> </w:t>
      </w:r>
      <w:r w:rsidRPr="00315A5D">
        <w:t xml:space="preserve">defendants </w:t>
      </w:r>
      <w:r>
        <w:t xml:space="preserve">regardless of the basis </w:t>
      </w:r>
      <w:r w:rsidR="00C31B78">
        <w:t xml:space="preserve">for </w:t>
      </w:r>
      <w:r>
        <w:t xml:space="preserve">liability, defendants cite the statement in the argument in favor </w:t>
      </w:r>
      <w:r w:rsidR="00430C05">
        <w:t xml:space="preserve">of </w:t>
      </w:r>
      <w:r>
        <w:t>the measure that taxpayers and consumers ultimately pay the costs of “huge ‘deep pocket’ court awards” — “</w:t>
      </w:r>
      <w:r w:rsidRPr="00B850C6">
        <w:t>through high taxes</w:t>
      </w:r>
      <w:r>
        <w:t xml:space="preserve">, </w:t>
      </w:r>
      <w:r w:rsidRPr="00B850C6">
        <w:t xml:space="preserve">increased costs of goods and services, and reduced </w:t>
      </w:r>
      <w:r>
        <w:t xml:space="preserve">governmental </w:t>
      </w:r>
      <w:r w:rsidRPr="00B850C6">
        <w:t>services</w:t>
      </w:r>
      <w:r>
        <w:t>” — “[r]</w:t>
      </w:r>
      <w:proofErr w:type="spellStart"/>
      <w:r w:rsidRPr="000D74F1">
        <w:t>egardless</w:t>
      </w:r>
      <w:proofErr w:type="spellEnd"/>
      <w:r w:rsidRPr="000D74F1">
        <w:t xml:space="preserve"> of whether it is a city, county or private enterprise</w:t>
      </w:r>
      <w:r>
        <w:t>.”  (</w:t>
      </w:r>
      <w:bookmarkStart w:id="277" w:name="Psych_Cite_226"/>
      <w:r w:rsidR="00811B3B">
        <w:t xml:space="preserve">Ballot </w:t>
      </w:r>
      <w:proofErr w:type="spellStart"/>
      <w:r>
        <w:t>Pamp</w:t>
      </w:r>
      <w:proofErr w:type="spellEnd"/>
      <w:r w:rsidR="00811B3B">
        <w:t>.</w:t>
      </w:r>
      <w:r>
        <w:t xml:space="preserve">, </w:t>
      </w:r>
      <w:r w:rsidRPr="007D09FA">
        <w:rPr>
          <w:i/>
          <w:iCs/>
        </w:rPr>
        <w:t>supra</w:t>
      </w:r>
      <w:bookmarkEnd w:id="277"/>
      <w:r w:rsidRPr="007D09FA">
        <w:t>,</w:t>
      </w:r>
      <w:r>
        <w:t xml:space="preserve"> argument in favor of Prop. 51, p. 34.)  But this statement merely suggests that the universe of defendants to which the statute </w:t>
      </w:r>
      <w:r w:rsidRPr="00715120">
        <w:rPr>
          <w:i/>
          <w:iCs/>
        </w:rPr>
        <w:t>may</w:t>
      </w:r>
      <w:r>
        <w:t xml:space="preserve"> apply includes cities, counties, and private enterprises; it does not suggest that such defendants may invoke the statute even when they commit intentionally tortious conduct.  Notably, immediately after the statement defendants cite, the argument in favor of the measure, in explaining “[h]ow . . . the ‘deep pocket’ law work[s],” discussed a hypothetical “</w:t>
      </w:r>
      <w:r>
        <w:rPr>
          <w:i/>
          <w:iCs/>
        </w:rPr>
        <w:t>ACCIDENT VICTIM</w:t>
      </w:r>
      <w:r>
        <w:t xml:space="preserve">” </w:t>
      </w:r>
      <w:r>
        <w:lastRenderedPageBreak/>
        <w:t>who, after being injured when a drunk driver runs a red light and hits another car, seeks recovery from a city for having a “faulty” stop light.  (</w:t>
      </w:r>
      <w:bookmarkStart w:id="278" w:name="Psych_Cite_222"/>
      <w:r>
        <w:rPr>
          <w:i/>
          <w:iCs/>
        </w:rPr>
        <w:t>Ibid.</w:t>
      </w:r>
      <w:bookmarkEnd w:id="278"/>
      <w:r>
        <w:t xml:space="preserve">)  Similarly, the argument against the measure explained that Proposition 51 would “scrap[]” the existing system for allocating fault among “everyone found guilty [of having] caused [an] </w:t>
      </w:r>
      <w:r w:rsidRPr="00BD30E2">
        <w:rPr>
          <w:i/>
          <w:iCs/>
        </w:rPr>
        <w:t>accident</w:t>
      </w:r>
      <w:r>
        <w:t xml:space="preserve"> to occur,” which “</w:t>
      </w:r>
      <w:r w:rsidRPr="00190C04">
        <w:t>put</w:t>
      </w:r>
      <w:r w:rsidR="009407D2">
        <w:t>[s]</w:t>
      </w:r>
      <w:r w:rsidRPr="00190C04">
        <w:t xml:space="preserve"> the responsibility where it belongs: </w:t>
      </w:r>
      <w:r>
        <w:t xml:space="preserve"> </w:t>
      </w:r>
      <w:r w:rsidRPr="00190C04">
        <w:t>not on innocent victims, but on drunk drivers, manufacturers of dangerous products or toxic waste and unsafe roads and highw</w:t>
      </w:r>
      <w:r>
        <w:t>ays.”  (</w:t>
      </w:r>
      <w:bookmarkStart w:id="279" w:name="Psych_Cite_227"/>
      <w:r w:rsidR="00811B3B">
        <w:t xml:space="preserve">Ballot </w:t>
      </w:r>
      <w:proofErr w:type="spellStart"/>
      <w:r>
        <w:t>Pamp</w:t>
      </w:r>
      <w:proofErr w:type="spellEnd"/>
      <w:r w:rsidR="00811B3B">
        <w:t>.</w:t>
      </w:r>
      <w:r>
        <w:t xml:space="preserve">, </w:t>
      </w:r>
      <w:r w:rsidRPr="007D09FA">
        <w:rPr>
          <w:i/>
          <w:iCs/>
        </w:rPr>
        <w:t>supra</w:t>
      </w:r>
      <w:bookmarkEnd w:id="279"/>
      <w:r w:rsidRPr="007D09FA">
        <w:t>,</w:t>
      </w:r>
      <w:r>
        <w:t xml:space="preserve"> argument against Prop. 51, p. 35, italics added.)  These statements do not suggest that the measure’s scope included liability for intentionally tortious conduct, or hinted to voters that if they were injured in a criminal attack, and either they or someone else negligently contributed to their injury, they would no longer be able to </w:t>
      </w:r>
      <w:r w:rsidRPr="00DD2ED2">
        <w:t xml:space="preserve">fully recover </w:t>
      </w:r>
      <w:r>
        <w:t>from the perpetrator.  “</w:t>
      </w:r>
      <w:r w:rsidRPr="00D47749">
        <w:t xml:space="preserve">One could reasonably expect </w:t>
      </w:r>
      <w:r w:rsidR="008A5975">
        <w:t xml:space="preserve">[that] </w:t>
      </w:r>
      <w:r w:rsidRPr="00D47749">
        <w:t xml:space="preserve">a change </w:t>
      </w:r>
      <w:r>
        <w:t xml:space="preserve">[in the law] </w:t>
      </w:r>
      <w:r w:rsidRPr="00D47749">
        <w:t>of this magnitude would be made clear in both legal text and ballot argument.</w:t>
      </w:r>
      <w:r>
        <w:t>”  (</w:t>
      </w:r>
      <w:bookmarkStart w:id="280" w:name="Psych_Cite_223"/>
      <w:r w:rsidRPr="00871B6A">
        <w:rPr>
          <w:i/>
          <w:iCs/>
        </w:rPr>
        <w:t>People v. Anderson</w:t>
      </w:r>
      <w:r w:rsidRPr="00CD3289">
        <w:t xml:space="preserve"> (1987) 43 Cal.3d 1104</w:t>
      </w:r>
      <w:r>
        <w:t>, 1161</w:t>
      </w:r>
      <w:bookmarkEnd w:id="280"/>
      <w:r>
        <w:t xml:space="preserve">; </w:t>
      </w:r>
      <w:bookmarkStart w:id="281" w:name="Psych_Cite_224"/>
      <w:r>
        <w:t xml:space="preserve">see </w:t>
      </w:r>
      <w:r w:rsidRPr="003E4BD5">
        <w:rPr>
          <w:i/>
          <w:iCs/>
        </w:rPr>
        <w:t>People v Valencia</w:t>
      </w:r>
      <w:r>
        <w:t xml:space="preserve"> (2017) 3 Cal.5th 347, 364 [“ ‘</w:t>
      </w:r>
      <w:r w:rsidRPr="00C84464">
        <w:t>We cannot presume</w:t>
      </w:r>
      <w:r>
        <w:t xml:space="preserve">. . . </w:t>
      </w:r>
      <w:r w:rsidRPr="00C84464">
        <w:t>the voters intended the initiative to effect a change in law that was not expressed or strongly implied in either the text of the initiative or the analyses and arguments in the official ballot pamphlet</w:t>
      </w:r>
      <w:r w:rsidR="003F0623">
        <w:t>.</w:t>
      </w:r>
      <w:r>
        <w:t>’ </w:t>
      </w:r>
      <w:r w:rsidRPr="00C84464">
        <w:t>”</w:t>
      </w:r>
      <w:r>
        <w:t>]</w:t>
      </w:r>
      <w:bookmarkEnd w:id="281"/>
      <w:r>
        <w:t xml:space="preserve">.)  For </w:t>
      </w:r>
      <w:r w:rsidR="00146A08">
        <w:t xml:space="preserve">this </w:t>
      </w:r>
      <w:r>
        <w:t xml:space="preserve">reason, we are not persuaded that the failure of the ballot materials to expressly </w:t>
      </w:r>
      <w:r w:rsidR="00012F43">
        <w:t xml:space="preserve">mention </w:t>
      </w:r>
      <w:r>
        <w:t>the measure’s effect on intentional tortfeasors supports defendants’ position.</w:t>
      </w:r>
    </w:p>
    <w:p w14:paraId="263FFC06" w14:textId="203195DB" w:rsidR="00F11380" w:rsidRDefault="00097203" w:rsidP="00097203">
      <w:pPr>
        <w:tabs>
          <w:tab w:val="left" w:pos="720"/>
        </w:tabs>
        <w:spacing w:line="480" w:lineRule="atLeast"/>
      </w:pPr>
      <w:r>
        <w:lastRenderedPageBreak/>
        <w:tab/>
        <w:t xml:space="preserve">Based on the preceding analysis, we hold that </w:t>
      </w:r>
      <w:bookmarkStart w:id="282" w:name="Psych_Cite_228"/>
      <w:r>
        <w:t>section 1431.2, subdivision (a)</w:t>
      </w:r>
      <w:bookmarkEnd w:id="282"/>
      <w:r w:rsidR="00670146">
        <w:t>,</w:t>
      </w:r>
      <w:r>
        <w:t xml:space="preserve"> does not authorize a reduction in the liability of intentional tortfeasors for non</w:t>
      </w:r>
      <w:r w:rsidR="00811B3B">
        <w:t>economic</w:t>
      </w:r>
      <w:r w:rsidR="000C3C33">
        <w:t xml:space="preserve"> </w:t>
      </w:r>
      <w:r>
        <w:t>damages based on the extent to which the negligence of other actors</w:t>
      </w:r>
      <w:r w:rsidR="00D11A0B">
        <w:t xml:space="preserve"> — including the </w:t>
      </w:r>
      <w:r w:rsidR="00D11A0B" w:rsidRPr="00292171">
        <w:t>plaintiff</w:t>
      </w:r>
      <w:r w:rsidR="00D11A0B">
        <w:t xml:space="preserve">s, any </w:t>
      </w:r>
      <w:r w:rsidR="00D11A0B" w:rsidRPr="00292171">
        <w:t>codefendants</w:t>
      </w:r>
      <w:r w:rsidR="00D11A0B">
        <w:t>, injured parties, and nonparties — </w:t>
      </w:r>
      <w:r>
        <w:t> contributed to the injuries</w:t>
      </w:r>
      <w:r w:rsidR="00D11A0B">
        <w:t xml:space="preserve"> in question</w:t>
      </w:r>
      <w:r>
        <w:t>.</w:t>
      </w:r>
      <w:r>
        <w:rPr>
          <w:rStyle w:val="FootnoteReference"/>
        </w:rPr>
        <w:footnoteReference w:id="4"/>
      </w:r>
      <w:r>
        <w:t xml:space="preserve">  </w:t>
      </w:r>
    </w:p>
    <w:p w14:paraId="7FB42979" w14:textId="724D3F5C" w:rsidR="00097203" w:rsidRPr="00AC042F" w:rsidRDefault="00097203" w:rsidP="00097203">
      <w:pPr>
        <w:tabs>
          <w:tab w:val="left" w:pos="720"/>
        </w:tabs>
        <w:spacing w:line="480" w:lineRule="atLeast"/>
        <w:jc w:val="center"/>
        <w:rPr>
          <w:b/>
          <w:bCs/>
        </w:rPr>
      </w:pPr>
      <w:r w:rsidRPr="00AC042F">
        <w:rPr>
          <w:b/>
          <w:bCs/>
        </w:rPr>
        <w:t xml:space="preserve">III.  </w:t>
      </w:r>
      <w:r w:rsidR="00F11380">
        <w:rPr>
          <w:b/>
          <w:bCs/>
        </w:rPr>
        <w:t>DISPOSITION</w:t>
      </w:r>
    </w:p>
    <w:p w14:paraId="39B93164" w14:textId="77777777" w:rsidR="003C3292" w:rsidRPr="00E360E5" w:rsidRDefault="00097203" w:rsidP="003C3292">
      <w:pPr>
        <w:tabs>
          <w:tab w:val="left" w:pos="1440"/>
        </w:tabs>
        <w:ind w:firstLine="720"/>
      </w:pPr>
      <w:r>
        <w:t>For the reasons set forth above, we reverse the judgment of the Court of Appeal and remand for further proceedings consistent with this opinion.</w:t>
      </w:r>
      <w:r w:rsidR="0061201F" w:rsidRPr="0061201F">
        <w:t xml:space="preserve"> </w:t>
      </w:r>
      <w:bookmarkEnd w:id="1"/>
      <w:bookmarkEnd w:id="4"/>
    </w:p>
    <w:p w14:paraId="10A89AC7" w14:textId="77777777" w:rsidR="003C3292" w:rsidRPr="001574EF" w:rsidRDefault="003C3292" w:rsidP="003C3292">
      <w:pPr>
        <w:keepNext/>
        <w:keepLines/>
        <w:tabs>
          <w:tab w:val="left" w:pos="5760"/>
        </w:tabs>
        <w:ind w:firstLine="5760"/>
        <w:rPr>
          <w:b/>
        </w:rPr>
      </w:pPr>
      <w:r w:rsidRPr="001574EF">
        <w:rPr>
          <w:b/>
        </w:rPr>
        <w:t>CHIN, J.</w:t>
      </w:r>
    </w:p>
    <w:p w14:paraId="2F4688C7" w14:textId="77777777" w:rsidR="003C3292" w:rsidRDefault="003C3292" w:rsidP="003E4FBD">
      <w:pPr>
        <w:pStyle w:val="NormalIndent"/>
        <w:spacing w:before="120"/>
        <w:ind w:left="0"/>
        <w:rPr>
          <w:b/>
        </w:rPr>
      </w:pPr>
      <w:r w:rsidRPr="00EF3B82">
        <w:rPr>
          <w:b/>
        </w:rPr>
        <w:t>We Concur:</w:t>
      </w:r>
    </w:p>
    <w:p w14:paraId="3FFA14E2" w14:textId="77777777" w:rsidR="003C3292" w:rsidRDefault="003C3292" w:rsidP="003C3292">
      <w:pPr>
        <w:pStyle w:val="NormalIndent"/>
        <w:spacing w:after="0" w:line="240" w:lineRule="auto"/>
        <w:ind w:left="0"/>
        <w:rPr>
          <w:b/>
        </w:rPr>
      </w:pPr>
      <w:r>
        <w:rPr>
          <w:b/>
        </w:rPr>
        <w:t>CANTIL-SAKAUYE, C. J.</w:t>
      </w:r>
    </w:p>
    <w:p w14:paraId="77FFECBA" w14:textId="77777777" w:rsidR="003C3292" w:rsidRDefault="003C3292" w:rsidP="003C3292">
      <w:pPr>
        <w:pStyle w:val="NormalIndent"/>
        <w:spacing w:after="0" w:line="240" w:lineRule="auto"/>
        <w:ind w:left="0"/>
        <w:rPr>
          <w:b/>
        </w:rPr>
      </w:pPr>
      <w:r>
        <w:rPr>
          <w:b/>
        </w:rPr>
        <w:t xml:space="preserve">CORRIGAN, J. </w:t>
      </w:r>
    </w:p>
    <w:p w14:paraId="3029987A" w14:textId="77777777" w:rsidR="003C3292" w:rsidRDefault="003C3292" w:rsidP="003C3292">
      <w:pPr>
        <w:pStyle w:val="NormalIndent"/>
        <w:spacing w:after="0" w:line="240" w:lineRule="auto"/>
        <w:ind w:left="0"/>
        <w:rPr>
          <w:b/>
        </w:rPr>
      </w:pPr>
      <w:r>
        <w:rPr>
          <w:b/>
        </w:rPr>
        <w:t>LIU, J.</w:t>
      </w:r>
    </w:p>
    <w:p w14:paraId="46CB525E" w14:textId="77777777" w:rsidR="003C3292" w:rsidRDefault="003C3292" w:rsidP="003C3292">
      <w:pPr>
        <w:pStyle w:val="NormalIndent"/>
        <w:spacing w:after="0" w:line="240" w:lineRule="auto"/>
        <w:ind w:left="0"/>
        <w:rPr>
          <w:b/>
        </w:rPr>
      </w:pPr>
      <w:r>
        <w:rPr>
          <w:b/>
        </w:rPr>
        <w:t xml:space="preserve">CUÉLLAR, J. </w:t>
      </w:r>
    </w:p>
    <w:p w14:paraId="0123B605" w14:textId="77777777" w:rsidR="003C3292" w:rsidRDefault="003C3292" w:rsidP="003C3292">
      <w:pPr>
        <w:pStyle w:val="NormalIndent"/>
        <w:spacing w:after="0" w:line="240" w:lineRule="auto"/>
        <w:ind w:left="0"/>
        <w:rPr>
          <w:b/>
        </w:rPr>
      </w:pPr>
      <w:r>
        <w:rPr>
          <w:b/>
        </w:rPr>
        <w:t xml:space="preserve">KRUGER, J. </w:t>
      </w:r>
    </w:p>
    <w:p w14:paraId="520A976F" w14:textId="77777777" w:rsidR="003C3292" w:rsidRPr="00EF3B82" w:rsidRDefault="003C3292" w:rsidP="003C3292">
      <w:pPr>
        <w:pStyle w:val="NormalIndent"/>
        <w:spacing w:after="0" w:line="240" w:lineRule="auto"/>
        <w:ind w:left="0"/>
        <w:rPr>
          <w:b/>
        </w:rPr>
      </w:pPr>
      <w:r>
        <w:rPr>
          <w:b/>
        </w:rPr>
        <w:t xml:space="preserve">GROBAN, J. </w:t>
      </w:r>
    </w:p>
    <w:p w14:paraId="04FB45C0" w14:textId="77777777" w:rsidR="00BD11B7" w:rsidRDefault="00BD11B7" w:rsidP="00BD11B7">
      <w:pPr>
        <w:tabs>
          <w:tab w:val="left" w:pos="1440"/>
        </w:tabs>
        <w:rPr>
          <w:b/>
        </w:rPr>
        <w:sectPr w:rsidR="00BD11B7" w:rsidSect="00304393">
          <w:headerReference w:type="default" r:id="rId10"/>
          <w:foot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67"/>
        </w:sectPr>
      </w:pPr>
    </w:p>
    <w:p w14:paraId="1BD01E41" w14:textId="77777777" w:rsidR="00D72FB3" w:rsidRPr="00D72FB3" w:rsidRDefault="00D72FB3" w:rsidP="00D72FB3">
      <w:pPr>
        <w:spacing w:line="480" w:lineRule="exact"/>
        <w:jc w:val="center"/>
        <w:rPr>
          <w:szCs w:val="26"/>
        </w:rPr>
      </w:pPr>
      <w:r w:rsidRPr="00D72FB3">
        <w:rPr>
          <w:szCs w:val="26"/>
        </w:rPr>
        <w:lastRenderedPageBreak/>
        <w:t>B.B. v. COUNTY OF LOS ANGELES</w:t>
      </w:r>
    </w:p>
    <w:p w14:paraId="1A256747" w14:textId="77777777" w:rsidR="00D72FB3" w:rsidRPr="00D72FB3" w:rsidRDefault="00D72FB3" w:rsidP="00D72FB3">
      <w:pPr>
        <w:spacing w:line="480" w:lineRule="exact"/>
        <w:jc w:val="center"/>
        <w:rPr>
          <w:szCs w:val="26"/>
        </w:rPr>
      </w:pPr>
      <w:r w:rsidRPr="00D72FB3">
        <w:rPr>
          <w:szCs w:val="26"/>
        </w:rPr>
        <w:t>S250734</w:t>
      </w:r>
    </w:p>
    <w:p w14:paraId="27F7C318" w14:textId="77777777" w:rsidR="00D72FB3" w:rsidRPr="00D72FB3" w:rsidRDefault="00D72FB3" w:rsidP="00D72FB3">
      <w:pPr>
        <w:spacing w:line="480" w:lineRule="exact"/>
        <w:jc w:val="center"/>
        <w:rPr>
          <w:szCs w:val="26"/>
        </w:rPr>
      </w:pPr>
    </w:p>
    <w:p w14:paraId="67044150" w14:textId="77777777" w:rsidR="00D72FB3" w:rsidRPr="00D72FB3" w:rsidRDefault="00D72FB3" w:rsidP="00D72FB3">
      <w:pPr>
        <w:spacing w:line="480" w:lineRule="exact"/>
        <w:jc w:val="center"/>
        <w:rPr>
          <w:szCs w:val="26"/>
        </w:rPr>
      </w:pPr>
      <w:r w:rsidRPr="00D72FB3">
        <w:rPr>
          <w:szCs w:val="26"/>
        </w:rPr>
        <w:t>Concurring Opinion by Justice Liu</w:t>
      </w:r>
    </w:p>
    <w:p w14:paraId="294A92D9" w14:textId="77777777" w:rsidR="00D72FB3" w:rsidRPr="00D72FB3" w:rsidRDefault="00D72FB3" w:rsidP="00D72FB3">
      <w:pPr>
        <w:spacing w:line="480" w:lineRule="exact"/>
        <w:jc w:val="center"/>
        <w:rPr>
          <w:szCs w:val="26"/>
        </w:rPr>
      </w:pPr>
    </w:p>
    <w:p w14:paraId="2CF0612E" w14:textId="77777777" w:rsidR="00D72FB3" w:rsidRPr="00D72FB3" w:rsidRDefault="00D72FB3" w:rsidP="00D72FB3">
      <w:pPr>
        <w:ind w:firstLine="720"/>
      </w:pPr>
      <w:r w:rsidRPr="00D72FB3">
        <w:t xml:space="preserve">In Compton, on the evening of August 3, 2012, </w:t>
      </w:r>
      <w:proofErr w:type="gramStart"/>
      <w:r w:rsidRPr="00D72FB3">
        <w:t>several</w:t>
      </w:r>
      <w:proofErr w:type="gramEnd"/>
      <w:r w:rsidRPr="00D72FB3">
        <w:t xml:space="preserve"> witnesses called the police after they saw Darren Burley attacking a woman in the street.  When police arrived and attempted to stop him, Burley resisted arrest; the police suspected that Burley was under the influence of drugs.  Deputy David Aviles then pinned Burley to the ground while other officers beat him with a flashlight and tasered him repeatedly.  Deputy Aviles pressed his knees on Burley’s neck and back with the full weight of his 200-pound body.  A witness saw Burley gasping for air.  When Burley lost consciousness, none of the officers rendered aid.  Burley never regained consciousness and died 10 days later.</w:t>
      </w:r>
    </w:p>
    <w:p w14:paraId="1CCCED17" w14:textId="77777777" w:rsidR="00D72FB3" w:rsidRPr="00D72FB3" w:rsidRDefault="00D72FB3" w:rsidP="00D72FB3">
      <w:pPr>
        <w:ind w:firstLine="720"/>
      </w:pPr>
      <w:r w:rsidRPr="00D72FB3">
        <w:t xml:space="preserve">Darren Burley was Black.  By happenstance, we heard oral argument in this case one week after another Black man, George Floyd, was killed by a Minneapolis police officer who pressed his knee into Floyd’s neck with the full weight of his body for 8 minutes and 46 seconds — an incident that galvanized protests in every state across the country and throughout the world.  (Burch et al., </w:t>
      </w:r>
      <w:r w:rsidRPr="00D72FB3">
        <w:rPr>
          <w:i/>
        </w:rPr>
        <w:t>How Black Lives Matter Reached Every Corner of America</w:t>
      </w:r>
      <w:r w:rsidRPr="00D72FB3">
        <w:t xml:space="preserve">, N.Y. Times (June 13, 2020); Bender &amp; Winning, </w:t>
      </w:r>
      <w:r w:rsidRPr="00D72FB3">
        <w:rPr>
          <w:i/>
        </w:rPr>
        <w:t>Antiracism Protests Erupt Around the World in Wake of George Floyd Killing</w:t>
      </w:r>
      <w:r w:rsidRPr="00D72FB3">
        <w:t xml:space="preserve">, Wall Street Journal (June 7, 2020).)  </w:t>
      </w:r>
      <w:proofErr w:type="gramStart"/>
      <w:r w:rsidRPr="00D72FB3">
        <w:t>In all likelihood</w:t>
      </w:r>
      <w:proofErr w:type="gramEnd"/>
      <w:r w:rsidRPr="00D72FB3">
        <w:t xml:space="preserve">, the only reason Darren Burley is not a household </w:t>
      </w:r>
      <w:r w:rsidRPr="00D72FB3">
        <w:lastRenderedPageBreak/>
        <w:t>name is that his killing was not caught on videotape as Floyd’s was.</w:t>
      </w:r>
    </w:p>
    <w:p w14:paraId="7CB05ADA" w14:textId="77777777" w:rsidR="00D72FB3" w:rsidRPr="00D72FB3" w:rsidRDefault="00D72FB3" w:rsidP="00D72FB3">
      <w:pPr>
        <w:ind w:firstLine="720"/>
      </w:pPr>
      <w:r w:rsidRPr="00D72FB3">
        <w:t xml:space="preserve">Sadly, what happened to these men is not happenstance.  Variants of this fact pattern have occurred with distressing frequency throughout the country and here in California.  </w:t>
      </w:r>
      <w:r w:rsidRPr="00D72FB3">
        <w:rPr>
          <w:szCs w:val="26"/>
        </w:rPr>
        <w:t xml:space="preserve">(See, e.g., </w:t>
      </w:r>
      <w:r w:rsidRPr="00D72FB3">
        <w:rPr>
          <w:i/>
          <w:iCs/>
          <w:szCs w:val="26"/>
        </w:rPr>
        <w:t xml:space="preserve">People v. </w:t>
      </w:r>
      <w:proofErr w:type="spellStart"/>
      <w:r w:rsidRPr="00D72FB3">
        <w:rPr>
          <w:i/>
          <w:iCs/>
          <w:szCs w:val="26"/>
        </w:rPr>
        <w:t>Mehserle</w:t>
      </w:r>
      <w:proofErr w:type="spellEnd"/>
      <w:r w:rsidRPr="00D72FB3">
        <w:rPr>
          <w:i/>
          <w:iCs/>
          <w:szCs w:val="26"/>
        </w:rPr>
        <w:t xml:space="preserve"> </w:t>
      </w:r>
      <w:r w:rsidRPr="00D72FB3">
        <w:rPr>
          <w:szCs w:val="26"/>
        </w:rPr>
        <w:t xml:space="preserve">(2012) 206 Cal.App.4th 1125, 1133 [“[Oscar] Grant protested, ‘I can’t breathe.  Just get </w:t>
      </w:r>
      <w:proofErr w:type="gramStart"/>
      <w:r w:rsidRPr="00D72FB3">
        <w:rPr>
          <w:szCs w:val="26"/>
        </w:rPr>
        <w:t>off of</w:t>
      </w:r>
      <w:proofErr w:type="gramEnd"/>
      <w:r w:rsidRPr="00D72FB3">
        <w:rPr>
          <w:szCs w:val="26"/>
        </w:rPr>
        <w:t xml:space="preserve"> me.  I can’t breathe.  I quit.  I surrender.  I quit.’ ”]; </w:t>
      </w:r>
      <w:r w:rsidRPr="00D72FB3">
        <w:rPr>
          <w:i/>
          <w:iCs/>
          <w:szCs w:val="26"/>
        </w:rPr>
        <w:t xml:space="preserve">Garlick v. County of Kern </w:t>
      </w:r>
      <w:r w:rsidRPr="00D72FB3">
        <w:rPr>
          <w:szCs w:val="26"/>
        </w:rPr>
        <w:t>(</w:t>
      </w:r>
      <w:proofErr w:type="spellStart"/>
      <w:r w:rsidRPr="00D72FB3">
        <w:rPr>
          <w:szCs w:val="26"/>
        </w:rPr>
        <w:t>E.D.Cal</w:t>
      </w:r>
      <w:proofErr w:type="spellEnd"/>
      <w:r w:rsidRPr="00D72FB3">
        <w:rPr>
          <w:szCs w:val="26"/>
        </w:rPr>
        <w:t>. 2016) 167 F.Supp.3d 1117, 1134 [“[David] Silva was chest-down with weight on his back. . . .  [T]</w:t>
      </w:r>
      <w:proofErr w:type="spellStart"/>
      <w:r w:rsidRPr="00D72FB3">
        <w:rPr>
          <w:szCs w:val="26"/>
        </w:rPr>
        <w:t>hroughout</w:t>
      </w:r>
      <w:proofErr w:type="spellEnd"/>
      <w:r w:rsidRPr="00D72FB3">
        <w:rPr>
          <w:szCs w:val="26"/>
        </w:rPr>
        <w:t xml:space="preserve"> the altercation, Silva was . . . yelling out ‘help,’ and ‘help me.’ ”]; </w:t>
      </w:r>
      <w:r w:rsidRPr="00D72FB3">
        <w:rPr>
          <w:i/>
          <w:iCs/>
          <w:szCs w:val="26"/>
        </w:rPr>
        <w:t xml:space="preserve">Martinez v. City of Pittsburg </w:t>
      </w:r>
      <w:r w:rsidRPr="00D72FB3">
        <w:rPr>
          <w:szCs w:val="26"/>
        </w:rPr>
        <w:t>(</w:t>
      </w:r>
      <w:proofErr w:type="spellStart"/>
      <w:r w:rsidRPr="00D72FB3">
        <w:rPr>
          <w:szCs w:val="26"/>
        </w:rPr>
        <w:t>N.D.Cal</w:t>
      </w:r>
      <w:proofErr w:type="spellEnd"/>
      <w:r w:rsidRPr="00D72FB3">
        <w:rPr>
          <w:szCs w:val="26"/>
        </w:rPr>
        <w:t xml:space="preserve">., Mar. 8, 2019, No. 17-cv-04246-RS) 2019 WL 1102375, p. *3 [“Once [Humberto] Martinez was secured, Elmore . . . continued to apply pressure to the side of Martinez’s head and kept his knee on Martinez’s upper back for </w:t>
      </w:r>
      <w:proofErr w:type="gramStart"/>
      <w:r w:rsidRPr="00D72FB3">
        <w:rPr>
          <w:szCs w:val="26"/>
        </w:rPr>
        <w:t>approximately 30</w:t>
      </w:r>
      <w:proofErr w:type="gramEnd"/>
      <w:r w:rsidRPr="00D72FB3">
        <w:rPr>
          <w:szCs w:val="26"/>
        </w:rPr>
        <w:t xml:space="preserve"> seconds. . . .  Eventually, one of the officers noticed that Martinez was turning purple, at which point they rolled him to his side and removed the handcuffs.”]; </w:t>
      </w:r>
      <w:r w:rsidRPr="00D72FB3">
        <w:rPr>
          <w:i/>
          <w:iCs/>
        </w:rPr>
        <w:t xml:space="preserve">People v. O’Callaghan </w:t>
      </w:r>
      <w:r w:rsidRPr="00D72FB3">
        <w:t>(Mar. 13, 2017, B265928) 2017 WL 958396, p. *1 [</w:t>
      </w:r>
      <w:proofErr w:type="spellStart"/>
      <w:r w:rsidRPr="00D72FB3">
        <w:t>nonpub</w:t>
      </w:r>
      <w:proofErr w:type="spellEnd"/>
      <w:r w:rsidRPr="00D72FB3">
        <w:t xml:space="preserve">. </w:t>
      </w:r>
      <w:proofErr w:type="spellStart"/>
      <w:r w:rsidRPr="00D72FB3">
        <w:t>opn</w:t>
      </w:r>
      <w:proofErr w:type="spellEnd"/>
      <w:r w:rsidRPr="00D72FB3">
        <w:t xml:space="preserve">.] [“[Alesia] Thomas remarked, ‘I can’t move’ and ‘I can’t breathe’ ” and officer “proceeded to kick Thomas three times in her lower abdomen”]; </w:t>
      </w:r>
      <w:r w:rsidRPr="00D72FB3">
        <w:rPr>
          <w:i/>
          <w:iCs/>
          <w:szCs w:val="26"/>
        </w:rPr>
        <w:t xml:space="preserve">C.R. v. City of Antioch </w:t>
      </w:r>
      <w:r w:rsidRPr="00D72FB3">
        <w:rPr>
          <w:szCs w:val="26"/>
        </w:rPr>
        <w:t>(</w:t>
      </w:r>
      <w:proofErr w:type="spellStart"/>
      <w:r w:rsidRPr="00D72FB3">
        <w:rPr>
          <w:szCs w:val="26"/>
        </w:rPr>
        <w:t>N.D.Cal</w:t>
      </w:r>
      <w:proofErr w:type="spellEnd"/>
      <w:r w:rsidRPr="00D72FB3">
        <w:rPr>
          <w:szCs w:val="26"/>
        </w:rPr>
        <w:t>., June 25, 2018, No. 16-cv-03742-JST) 2018 WL 3108982, p. *2 [witness “testified that he heard [Rakeem] Rucks say at some point while he was on the ground, ‘Get me up out of the dirt.  I’m breathing dirt.  It’s hard to breathe.’ ”].)</w:t>
      </w:r>
    </w:p>
    <w:p w14:paraId="149A52B0" w14:textId="77777777" w:rsidR="00D72FB3" w:rsidRPr="00D72FB3" w:rsidRDefault="00D72FB3" w:rsidP="00D72FB3">
      <w:pPr>
        <w:ind w:firstLine="720"/>
      </w:pPr>
      <w:r w:rsidRPr="00D72FB3">
        <w:t xml:space="preserve">Today’s opinion holds that Civil Code section 1431.2 does not permit an intentional tortfeasor to offset liability for noneconomic damages based on the negligence of other actors.  (Maj. </w:t>
      </w:r>
      <w:proofErr w:type="spellStart"/>
      <w:r w:rsidRPr="00D72FB3">
        <w:t>opn</w:t>
      </w:r>
      <w:proofErr w:type="spellEnd"/>
      <w:r w:rsidRPr="00D72FB3">
        <w:t xml:space="preserve">., </w:t>
      </w:r>
      <w:r w:rsidRPr="00D72FB3">
        <w:rPr>
          <w:i/>
        </w:rPr>
        <w:t>ante</w:t>
      </w:r>
      <w:r w:rsidRPr="00D72FB3">
        <w:t xml:space="preserve">, at pp. 3–7, 49.)  Thus, Burley’s family may </w:t>
      </w:r>
      <w:r w:rsidRPr="00D72FB3">
        <w:lastRenderedPageBreak/>
        <w:t>recover the full amount of their noneconomic damages.  But even as the wrongful death judgment here affords a measure of monetary relief to Burley’s family, it does not acknowledge the troubling racial dynamics that have resulted in state-sanctioned violence, including lethal violence, against Black people throughout our history to this very day.  (See Felker-Cantor, Policing Los Angeles:  Race, Resistance, and the Rise of the LAPD (2018); Coates, Between the World and Me (2015); Baldwin, The Fire Next Time (1963).)</w:t>
      </w:r>
    </w:p>
    <w:p w14:paraId="7F62D637" w14:textId="77777777" w:rsidR="00D72FB3" w:rsidRPr="00D72FB3" w:rsidRDefault="00D72FB3" w:rsidP="00D72FB3">
      <w:pPr>
        <w:ind w:firstLine="720"/>
      </w:pPr>
      <w:r w:rsidRPr="00D72FB3">
        <w:t xml:space="preserve">Wrongful death statutes trace their origins to the 19th century, when state legislatures, alarmed at the increasing rate of fatal workplace accidents, attempted to force corporations to compensate the family members of accident victims.  (Malone, </w:t>
      </w:r>
      <w:r w:rsidRPr="00D72FB3">
        <w:rPr>
          <w:i/>
        </w:rPr>
        <w:t>The Genesis of Wrongful Death</w:t>
      </w:r>
      <w:r w:rsidRPr="00D72FB3">
        <w:t xml:space="preserve"> (1965) 17 Stan. </w:t>
      </w:r>
      <w:proofErr w:type="spellStart"/>
      <w:r w:rsidRPr="00D72FB3">
        <w:t>L.Rev</w:t>
      </w:r>
      <w:proofErr w:type="spellEnd"/>
      <w:r w:rsidRPr="00D72FB3">
        <w:t xml:space="preserve">. 1043, 1043; see </w:t>
      </w:r>
      <w:proofErr w:type="spellStart"/>
      <w:r w:rsidRPr="00D72FB3">
        <w:rPr>
          <w:i/>
          <w:iCs/>
        </w:rPr>
        <w:t>Hillbrand</w:t>
      </w:r>
      <w:proofErr w:type="spellEnd"/>
      <w:r w:rsidRPr="00D72FB3">
        <w:rPr>
          <w:i/>
          <w:iCs/>
        </w:rPr>
        <w:t xml:space="preserve"> v. Standard Biscuit Co. </w:t>
      </w:r>
      <w:r w:rsidRPr="00D72FB3">
        <w:t xml:space="preserve">(1903) 139 Cal. 233 [wrongful death action by father and mother for death of their daughter while employed at biscuit factory]; </w:t>
      </w:r>
      <w:proofErr w:type="spellStart"/>
      <w:r w:rsidRPr="00D72FB3">
        <w:rPr>
          <w:i/>
          <w:iCs/>
        </w:rPr>
        <w:t>Daves</w:t>
      </w:r>
      <w:proofErr w:type="spellEnd"/>
      <w:r w:rsidRPr="00D72FB3">
        <w:rPr>
          <w:i/>
          <w:iCs/>
        </w:rPr>
        <w:t xml:space="preserve"> v. Southern Pac. Co. </w:t>
      </w:r>
      <w:r w:rsidRPr="00D72FB3">
        <w:t xml:space="preserve">(1893) 98 Cal. 19 [wrongful death action for death of husband while repairing railroad].)  The elements of a wrongful death action are the underlying tort (in this case, battery), a resulting death, and damages.  (Code Civ. Proc., § 377.60; see </w:t>
      </w:r>
      <w:r w:rsidRPr="00D72FB3">
        <w:rPr>
          <w:i/>
        </w:rPr>
        <w:t>Lattimore v. Dickey</w:t>
      </w:r>
      <w:r w:rsidRPr="00D72FB3">
        <w:t xml:space="preserve"> (2015) 239 Cal.App.4th 959, 968.)  Although this tort encompasses the wrong inflicted on Burley and provides compensation to his family, it gives no hint that what happened here has a history.  And reckoning with that history is necessary if we are to prevent the wrongful deaths of more African Americans in the future.</w:t>
      </w:r>
    </w:p>
    <w:p w14:paraId="0DC10999" w14:textId="77777777" w:rsidR="00D72FB3" w:rsidRPr="00D72FB3" w:rsidRDefault="00D72FB3" w:rsidP="00D72FB3">
      <w:pPr>
        <w:ind w:firstLine="720"/>
      </w:pPr>
      <w:r w:rsidRPr="00D72FB3">
        <w:t xml:space="preserve">The Legislature has at times attempted to redress the specific harm of violence against African Americans.  Burley’s family has also sought relief under the Tom Bane Civil Rights </w:t>
      </w:r>
      <w:r w:rsidRPr="00D72FB3">
        <w:lastRenderedPageBreak/>
        <w:t xml:space="preserve">Act (Bane Act), which provides a right of action against a person who, whether or not acting under the color of law, violates “by threat, intimidation, or coercion” another person’s federal or state rights.  (Civ. Code, § 52.1, </w:t>
      </w:r>
      <w:proofErr w:type="spellStart"/>
      <w:r w:rsidRPr="00D72FB3">
        <w:t>subd</w:t>
      </w:r>
      <w:proofErr w:type="spellEnd"/>
      <w:r w:rsidRPr="00D72FB3">
        <w:t>. (b).)  The Bane Act was passed to “ ‘stem a tide of hate crimes’ ” against minorities in the 1980s.  (</w:t>
      </w:r>
      <w:bookmarkStart w:id="284" w:name="_Hlk45626803"/>
      <w:r w:rsidRPr="00D72FB3">
        <w:rPr>
          <w:i/>
          <w:iCs/>
        </w:rPr>
        <w:t xml:space="preserve">Venegas v. County of Los Angeles </w:t>
      </w:r>
      <w:r w:rsidRPr="00D72FB3">
        <w:t>(2004) 32 Cal.4th 820, 843.)</w:t>
      </w:r>
      <w:bookmarkEnd w:id="284"/>
      <w:r w:rsidRPr="00D72FB3">
        <w:t xml:space="preserve">  In addition, the Ralph Civil Rights Act of 1976 (Ralph Act) forbids violence or intimidation “on account of” certain protected characteristics, including race.  (Civ. Code, § 51.7, </w:t>
      </w:r>
      <w:proofErr w:type="spellStart"/>
      <w:r w:rsidRPr="00D72FB3">
        <w:t>subd</w:t>
      </w:r>
      <w:proofErr w:type="spellEnd"/>
      <w:r w:rsidRPr="00D72FB3">
        <w:t>. (b).)  These laws acknowledge the racial dimensions of acts of violence against African Americans.  But in the excessive force context, applying the coercion element of a Bane Act claim has not been straightforward, as the Burley family’s litigation in the Court of Appeal demonstrates.  (</w:t>
      </w:r>
      <w:r w:rsidRPr="00D72FB3">
        <w:rPr>
          <w:i/>
          <w:iCs/>
        </w:rPr>
        <w:t xml:space="preserve">B.B. v. County of Los Angeles </w:t>
      </w:r>
      <w:r w:rsidRPr="00D72FB3">
        <w:t>(2018) 25 Cal.App.5th 115, 129–134.)  And although the Ralph Act provides liability for intentional discrimination (</w:t>
      </w:r>
      <w:r w:rsidRPr="00D72FB3">
        <w:rPr>
          <w:i/>
        </w:rPr>
        <w:t>Gabrielle A. v. County of Orange</w:t>
      </w:r>
      <w:r w:rsidRPr="00D72FB3">
        <w:t xml:space="preserve"> (2017) 10 Cal.App.5th 1268, 1291), one may ask what other measures are necessary given what we know about unconscious bias.  (See Banks, Eberhardt &amp; Ross, </w:t>
      </w:r>
      <w:proofErr w:type="gramStart"/>
      <w:r w:rsidRPr="00D72FB3">
        <w:rPr>
          <w:i/>
          <w:iCs/>
        </w:rPr>
        <w:t>Discrimination</w:t>
      </w:r>
      <w:proofErr w:type="gramEnd"/>
      <w:r w:rsidRPr="00D72FB3">
        <w:rPr>
          <w:i/>
          <w:iCs/>
        </w:rPr>
        <w:t xml:space="preserve"> and Implicit Bias in a Racially Unequal Society </w:t>
      </w:r>
      <w:r w:rsidRPr="00D72FB3">
        <w:t xml:space="preserve">(2006) 94 Calif. </w:t>
      </w:r>
      <w:proofErr w:type="spellStart"/>
      <w:r w:rsidRPr="00D72FB3">
        <w:t>L.Rev</w:t>
      </w:r>
      <w:proofErr w:type="spellEnd"/>
      <w:r w:rsidRPr="00D72FB3">
        <w:t>. 1169, 1182–1189.)</w:t>
      </w:r>
    </w:p>
    <w:p w14:paraId="4199F1BF" w14:textId="77777777" w:rsidR="00D72FB3" w:rsidRPr="00D72FB3" w:rsidRDefault="00D72FB3" w:rsidP="00D72FB3">
      <w:pPr>
        <w:ind w:firstLine="720"/>
      </w:pPr>
      <w:r w:rsidRPr="00D72FB3">
        <w:t xml:space="preserve">Moreover, the efficacy of these laws has sometimes been undermined by the very racial disparities they were meant to correct.  When litigants have recovered damages, verdicts have often reflected racial disparities in income and health outcomes.  Until the Legislature prohibited the practice this year, California juries routinely consulted tables estimating earning potential based on race and gender when awarding economic damages to prevailing plaintiffs.  (Civ. Code, § 3361, added by Stats. 2019, </w:t>
      </w:r>
      <w:proofErr w:type="spellStart"/>
      <w:r w:rsidRPr="00D72FB3">
        <w:t>ch.</w:t>
      </w:r>
      <w:proofErr w:type="spellEnd"/>
      <w:r w:rsidRPr="00D72FB3">
        <w:t xml:space="preserve"> 136, § 2.)  This “perpetuate[d] systemic </w:t>
      </w:r>
      <w:r w:rsidRPr="00D72FB3">
        <w:lastRenderedPageBreak/>
        <w:t xml:space="preserve">inequalities” and “disproportionately injure[d] women and minority individuals,” who on average earn less than white men.  (Stats. 2019, </w:t>
      </w:r>
      <w:proofErr w:type="spellStart"/>
      <w:r w:rsidRPr="00D72FB3">
        <w:t>ch.</w:t>
      </w:r>
      <w:proofErr w:type="spellEnd"/>
      <w:r w:rsidRPr="00D72FB3">
        <w:t xml:space="preserve"> 136, § 1; see Avraham &amp; </w:t>
      </w:r>
      <w:proofErr w:type="spellStart"/>
      <w:r w:rsidRPr="00D72FB3">
        <w:t>Yuracko</w:t>
      </w:r>
      <w:proofErr w:type="spellEnd"/>
      <w:r w:rsidRPr="00D72FB3">
        <w:t xml:space="preserve">, </w:t>
      </w:r>
      <w:r w:rsidRPr="00D72FB3">
        <w:rPr>
          <w:i/>
        </w:rPr>
        <w:t>Torts and Discrimination</w:t>
      </w:r>
      <w:r w:rsidRPr="00D72FB3">
        <w:t xml:space="preserve"> (2017) 78 Ohio St. L.J. 661, 664.)</w:t>
      </w:r>
    </w:p>
    <w:p w14:paraId="49DC0AF2" w14:textId="77777777" w:rsidR="00D72FB3" w:rsidRPr="00D72FB3" w:rsidRDefault="00D72FB3" w:rsidP="00D72FB3">
      <w:pPr>
        <w:ind w:firstLine="720"/>
      </w:pPr>
      <w:r w:rsidRPr="00D72FB3">
        <w:t xml:space="preserve">Nor should we assume that damages are enough to reliably deter police misconduct.  Local jurisdictions must indemnify officers for any nonpunitive damages judgments or settlements in suits brought against them (with few exceptions), which effectively means that </w:t>
      </w:r>
      <w:proofErr w:type="gramStart"/>
      <w:r w:rsidRPr="00D72FB3">
        <w:t>taxpayers</w:t>
      </w:r>
      <w:proofErr w:type="gramEnd"/>
      <w:r w:rsidRPr="00D72FB3">
        <w:t xml:space="preserve"> foot the bill.  (Gov. Code, §§ 825, </w:t>
      </w:r>
      <w:proofErr w:type="spellStart"/>
      <w:r w:rsidRPr="00D72FB3">
        <w:t>subd</w:t>
      </w:r>
      <w:proofErr w:type="spellEnd"/>
      <w:r w:rsidRPr="00D72FB3">
        <w:t xml:space="preserve">. (a), 825.2.)  And these payouts often come from law enforcement budgets specifically set aside for such purposes or from the local jurisdiction’s general funds.  (See Schwartz, </w:t>
      </w:r>
      <w:r w:rsidRPr="00D72FB3">
        <w:rPr>
          <w:i/>
          <w:iCs/>
        </w:rPr>
        <w:t>How Governments Pay:  Lawsuits, Budgets, and Police Reform</w:t>
      </w:r>
      <w:r w:rsidRPr="00D72FB3">
        <w:t xml:space="preserve"> (2016) 63 UCLA </w:t>
      </w:r>
      <w:proofErr w:type="spellStart"/>
      <w:r w:rsidRPr="00D72FB3">
        <w:t>L.Rev</w:t>
      </w:r>
      <w:proofErr w:type="spellEnd"/>
      <w:r w:rsidRPr="00D72FB3">
        <w:t xml:space="preserve">. 1144, 1165; </w:t>
      </w:r>
      <w:r w:rsidRPr="00D72FB3">
        <w:rPr>
          <w:i/>
          <w:iCs/>
        </w:rPr>
        <w:t>id.</w:t>
      </w:r>
      <w:r w:rsidRPr="00D72FB3">
        <w:t xml:space="preserve"> at p. 1241 [Los Angeles Sheriff’s Department budgeted more than $35 million for lawsuit payouts annually between 2012 and 2014].)  As a result, officers and their departments are often insulated from the financial consequences of their actions.  (See Schwartz, </w:t>
      </w:r>
      <w:r w:rsidRPr="00D72FB3">
        <w:rPr>
          <w:i/>
          <w:iCs/>
        </w:rPr>
        <w:t>Police Indemnification</w:t>
      </w:r>
      <w:r w:rsidRPr="00D72FB3">
        <w:t xml:space="preserve"> (2014) 89 N.Y.U. </w:t>
      </w:r>
      <w:proofErr w:type="spellStart"/>
      <w:r w:rsidRPr="00D72FB3">
        <w:t>L.Rev</w:t>
      </w:r>
      <w:proofErr w:type="spellEnd"/>
      <w:r w:rsidRPr="00D72FB3">
        <w:t>. 885, 953.)</w:t>
      </w:r>
    </w:p>
    <w:p w14:paraId="199CC899" w14:textId="77777777" w:rsidR="00D72FB3" w:rsidRPr="00D72FB3" w:rsidRDefault="00D72FB3" w:rsidP="00D72FB3">
      <w:pPr>
        <w:ind w:firstLine="720"/>
      </w:pPr>
      <w:r w:rsidRPr="00D72FB3">
        <w:t>Separate from this action, Burley’s family also sought redress under federal law, specifically 42 United States Code section 1983 (section 1983).  (</w:t>
      </w:r>
      <w:r w:rsidRPr="00D72FB3">
        <w:rPr>
          <w:i/>
        </w:rPr>
        <w:t>T.E. v. County of Los Angeles</w:t>
      </w:r>
      <w:r w:rsidRPr="00D72FB3">
        <w:t xml:space="preserve"> (</w:t>
      </w:r>
      <w:proofErr w:type="spellStart"/>
      <w:r w:rsidRPr="00D72FB3">
        <w:t>C.D.Cal</w:t>
      </w:r>
      <w:proofErr w:type="spellEnd"/>
      <w:r w:rsidRPr="00D72FB3">
        <w:t xml:space="preserve">., Feb. 25, 2016, No. 15-cv-5826).)  On </w:t>
      </w:r>
      <w:proofErr w:type="gramStart"/>
      <w:r w:rsidRPr="00D72FB3">
        <w:t>several</w:t>
      </w:r>
      <w:proofErr w:type="gramEnd"/>
      <w:r w:rsidRPr="00D72FB3">
        <w:t xml:space="preserve"> occasions, Congress has enacted civil rights statutes in response to law enforcement violence against African Americans.  Although these laws, including section 1983, provide a measure of recognition that the police officer’s knee on Darren Burley’s neck is part of a legacy of anti-Black violence, their efficacy has been much debated.  The Burley family’s federal suit was dismissed because the statute of limitations had run (</w:t>
      </w:r>
      <w:r w:rsidRPr="00D72FB3">
        <w:rPr>
          <w:i/>
        </w:rPr>
        <w:t>T.E.</w:t>
      </w:r>
      <w:r w:rsidRPr="00D72FB3">
        <w:t xml:space="preserve">, at p. *1), but </w:t>
      </w:r>
      <w:r w:rsidRPr="00D72FB3">
        <w:lastRenderedPageBreak/>
        <w:t>even if the suit had gone forward, the family would have needed to overcome a number of hurdles in order to obtain relief.</w:t>
      </w:r>
    </w:p>
    <w:p w14:paraId="2EC85187" w14:textId="77777777" w:rsidR="00D72FB3" w:rsidRPr="00D72FB3" w:rsidRDefault="00D72FB3" w:rsidP="00D72FB3">
      <w:pPr>
        <w:ind w:firstLine="720"/>
        <w:rPr>
          <w:szCs w:val="26"/>
        </w:rPr>
      </w:pPr>
      <w:r w:rsidRPr="00D72FB3">
        <w:rPr>
          <w:szCs w:val="26"/>
        </w:rPr>
        <w:t xml:space="preserve">Section 1983 provides a cause of action against state and local officials who violate individual constitutional and statutory rights while acting “under color of” state law.  (42 U.S.C. § 1983.)  After the Civil War, the Ku Klux Klan continued to terrorize African Americans in the South.  Beatings, </w:t>
      </w:r>
      <w:proofErr w:type="spellStart"/>
      <w:r w:rsidRPr="00D72FB3">
        <w:rPr>
          <w:szCs w:val="26"/>
        </w:rPr>
        <w:t>lynchings</w:t>
      </w:r>
      <w:proofErr w:type="spellEnd"/>
      <w:r w:rsidRPr="00D72FB3">
        <w:rPr>
          <w:szCs w:val="26"/>
        </w:rPr>
        <w:t>, and destruction of Black-owned property were common, and local authorities and courts routinely refused to enforce state criminal laws against perpetrators and often participated in the violence themselves.  (See</w:t>
      </w:r>
      <w:r w:rsidRPr="00D72FB3">
        <w:rPr>
          <w:i/>
          <w:szCs w:val="26"/>
        </w:rPr>
        <w:t xml:space="preserve"> Monroe v. Pape</w:t>
      </w:r>
      <w:r w:rsidRPr="00D72FB3">
        <w:rPr>
          <w:szCs w:val="26"/>
        </w:rPr>
        <w:t xml:space="preserve"> (1961) 365 U.S. 167, 171, overruled in part by</w:t>
      </w:r>
      <w:r w:rsidRPr="00D72FB3">
        <w:rPr>
          <w:i/>
          <w:szCs w:val="26"/>
        </w:rPr>
        <w:t xml:space="preserve"> </w:t>
      </w:r>
      <w:proofErr w:type="spellStart"/>
      <w:r w:rsidRPr="00D72FB3">
        <w:rPr>
          <w:i/>
          <w:szCs w:val="26"/>
        </w:rPr>
        <w:t>Monell</w:t>
      </w:r>
      <w:proofErr w:type="spellEnd"/>
      <w:r w:rsidRPr="00D72FB3">
        <w:rPr>
          <w:i/>
          <w:szCs w:val="26"/>
        </w:rPr>
        <w:t xml:space="preserve"> v. New York City Dept. of Social Services </w:t>
      </w:r>
      <w:r w:rsidRPr="00D72FB3">
        <w:rPr>
          <w:szCs w:val="26"/>
        </w:rPr>
        <w:t xml:space="preserve">(1978) 436 U.S. 658; Gilles, </w:t>
      </w:r>
      <w:r w:rsidRPr="00D72FB3">
        <w:rPr>
          <w:i/>
          <w:szCs w:val="26"/>
        </w:rPr>
        <w:t>Breaking the Code of Silence:  Rediscovering “Custom” in Section 1983 Municipal Liability</w:t>
      </w:r>
      <w:r w:rsidRPr="00D72FB3">
        <w:rPr>
          <w:szCs w:val="26"/>
        </w:rPr>
        <w:t xml:space="preserve"> (2000) 80 B.U. </w:t>
      </w:r>
      <w:proofErr w:type="spellStart"/>
      <w:r w:rsidRPr="00D72FB3">
        <w:rPr>
          <w:szCs w:val="26"/>
        </w:rPr>
        <w:t>L.Rev</w:t>
      </w:r>
      <w:proofErr w:type="spellEnd"/>
      <w:r w:rsidRPr="00D72FB3">
        <w:rPr>
          <w:szCs w:val="26"/>
        </w:rPr>
        <w:t>. 17, 55.)  Congress enacted section 1983 to “interpose the federal courts between the States and the people,” providing African Americans redress when the very officials sworn to protect them from violence were its perpetrators.  (</w:t>
      </w:r>
      <w:proofErr w:type="spellStart"/>
      <w:r w:rsidRPr="00D72FB3">
        <w:rPr>
          <w:i/>
          <w:szCs w:val="26"/>
        </w:rPr>
        <w:t>Mitchum</w:t>
      </w:r>
      <w:proofErr w:type="spellEnd"/>
      <w:r w:rsidRPr="00D72FB3">
        <w:rPr>
          <w:i/>
          <w:szCs w:val="26"/>
        </w:rPr>
        <w:t xml:space="preserve"> v. Foster</w:t>
      </w:r>
      <w:r w:rsidRPr="00D72FB3">
        <w:rPr>
          <w:szCs w:val="26"/>
        </w:rPr>
        <w:t xml:space="preserve"> (1972) 407 U.S. 225, 242; see </w:t>
      </w:r>
      <w:r w:rsidRPr="00D72FB3">
        <w:rPr>
          <w:color w:val="000000"/>
          <w:szCs w:val="26"/>
          <w:shd w:val="clear" w:color="auto" w:fill="FFFFFF"/>
        </w:rPr>
        <w:t xml:space="preserve">Civil Rights Act of 1871, </w:t>
      </w:r>
      <w:proofErr w:type="spellStart"/>
      <w:r w:rsidRPr="00D72FB3">
        <w:rPr>
          <w:color w:val="000000"/>
          <w:szCs w:val="26"/>
          <w:shd w:val="clear" w:color="auto" w:fill="FFFFFF"/>
        </w:rPr>
        <w:t>ch.</w:t>
      </w:r>
      <w:proofErr w:type="spellEnd"/>
      <w:r w:rsidRPr="00D72FB3">
        <w:rPr>
          <w:color w:val="000000"/>
          <w:szCs w:val="26"/>
          <w:shd w:val="clear" w:color="auto" w:fill="FFFFFF"/>
        </w:rPr>
        <w:t xml:space="preserve"> 22, § 1, 17 Stat. 13, as amended, 42 U.S.C. § 1983)</w:t>
      </w:r>
      <w:r w:rsidRPr="00D72FB3">
        <w:rPr>
          <w:szCs w:val="26"/>
        </w:rPr>
        <w:t>.)</w:t>
      </w:r>
    </w:p>
    <w:p w14:paraId="55EC6782" w14:textId="77777777" w:rsidR="00D72FB3" w:rsidRPr="00D72FB3" w:rsidRDefault="00D72FB3" w:rsidP="00D72FB3">
      <w:pPr>
        <w:ind w:firstLine="720"/>
        <w:rPr>
          <w:rFonts w:ascii="Calibri" w:hAnsi="Calibri"/>
          <w:sz w:val="22"/>
        </w:rPr>
      </w:pPr>
      <w:r w:rsidRPr="00D72FB3">
        <w:rPr>
          <w:szCs w:val="26"/>
        </w:rPr>
        <w:t>But the doctrine of qualified immunity shields officials from liability under section 1983 so long as their “conduct does not violate clearly established statutory or constitutional rights of which a reasonable person would have known.”  (</w:t>
      </w:r>
      <w:r w:rsidRPr="00D72FB3">
        <w:rPr>
          <w:i/>
        </w:rPr>
        <w:t>Harlow v. Fitzgerald</w:t>
      </w:r>
      <w:r w:rsidRPr="00D72FB3">
        <w:t xml:space="preserve"> (1982) 457 U.S. 800, 818.)</w:t>
      </w:r>
      <w:r w:rsidRPr="00D72FB3">
        <w:rPr>
          <w:szCs w:val="26"/>
        </w:rPr>
        <w:t xml:space="preserve">  To show that a right was clearly established at the time of the conduct, a plaintiff must identify precedent governing “the specific facts at issue” that has “ ‘placed the statutory or constitutional question beyond debate.’ ”  (</w:t>
      </w:r>
      <w:proofErr w:type="spellStart"/>
      <w:r w:rsidRPr="00D72FB3">
        <w:rPr>
          <w:i/>
          <w:szCs w:val="26"/>
        </w:rPr>
        <w:t>Kisela</w:t>
      </w:r>
      <w:proofErr w:type="spellEnd"/>
      <w:r w:rsidRPr="00D72FB3">
        <w:rPr>
          <w:i/>
          <w:szCs w:val="26"/>
        </w:rPr>
        <w:t xml:space="preserve"> v. Hughes</w:t>
      </w:r>
      <w:r w:rsidRPr="00D72FB3">
        <w:rPr>
          <w:szCs w:val="26"/>
        </w:rPr>
        <w:t xml:space="preserve"> (2018) 584 U.S. __, __, __ [138 </w:t>
      </w:r>
      <w:proofErr w:type="spellStart"/>
      <w:r w:rsidRPr="00D72FB3">
        <w:rPr>
          <w:szCs w:val="26"/>
        </w:rPr>
        <w:t>S.Ct</w:t>
      </w:r>
      <w:proofErr w:type="spellEnd"/>
      <w:r w:rsidRPr="00D72FB3">
        <w:rPr>
          <w:szCs w:val="26"/>
        </w:rPr>
        <w:t xml:space="preserve">. </w:t>
      </w:r>
      <w:r w:rsidRPr="00D72FB3">
        <w:rPr>
          <w:szCs w:val="26"/>
        </w:rPr>
        <w:lastRenderedPageBreak/>
        <w:t xml:space="preserve">1148, 1153, 1152].)  </w:t>
      </w:r>
      <w:r w:rsidRPr="00D72FB3">
        <w:t xml:space="preserve">Applying this standard, a federal appeals court has concluded that even if binding authority has held it is excessive force to unleash a police dog on a surrendering suspect in a canal in the woods, it is not necessarily clearly established that unleashing a police dog on a motionless suspect in a bushy ravine is excessive force.  (Compare </w:t>
      </w:r>
      <w:r w:rsidRPr="00D72FB3">
        <w:rPr>
          <w:i/>
        </w:rPr>
        <w:t>Priester v. City of Riviera Beach</w:t>
      </w:r>
      <w:r w:rsidRPr="00D72FB3">
        <w:t xml:space="preserve"> (11th Cir. 2000) 208 F.3d 919, 927, with </w:t>
      </w:r>
      <w:r w:rsidRPr="00D72FB3">
        <w:rPr>
          <w:i/>
        </w:rPr>
        <w:t xml:space="preserve">Jones v. </w:t>
      </w:r>
      <w:proofErr w:type="spellStart"/>
      <w:r w:rsidRPr="00D72FB3">
        <w:rPr>
          <w:i/>
        </w:rPr>
        <w:t>Fransen</w:t>
      </w:r>
      <w:proofErr w:type="spellEnd"/>
      <w:r w:rsidRPr="00D72FB3">
        <w:t xml:space="preserve"> (11th Cir. 2017) 857 F.3d 843, 854.)</w:t>
      </w:r>
      <w:r w:rsidRPr="00D72FB3">
        <w:rPr>
          <w:szCs w:val="26"/>
        </w:rPr>
        <w:t xml:space="preserve">  Such examples have led one federal judge to observe that qualified immunity has </w:t>
      </w:r>
      <w:r w:rsidRPr="00D72FB3">
        <w:t>allowed “public officials [to] duck consequences for bad behavior — no matter how palpably unreasonable — as long as they were the first to behave badly.”  (</w:t>
      </w:r>
      <w:r w:rsidRPr="00D72FB3">
        <w:rPr>
          <w:i/>
          <w:iCs/>
        </w:rPr>
        <w:t>Zadeh v. Robinson</w:t>
      </w:r>
      <w:r w:rsidRPr="00D72FB3">
        <w:t xml:space="preserve"> (5th Cir. 2019) 928 F.3d 457, 479 (conc. &amp; dis. </w:t>
      </w:r>
      <w:proofErr w:type="spellStart"/>
      <w:r w:rsidRPr="00D72FB3">
        <w:t>opn</w:t>
      </w:r>
      <w:proofErr w:type="spellEnd"/>
      <w:r w:rsidRPr="00D72FB3">
        <w:t>. of Willett, J.), italics omitted.)  Another federal judge, in a powerful and extensive account of the racial history of section 1983 and the continuing lack of accountability for police harassment and violence against African Americans, has noted that qualified immunity in its present form is “extraordinary and unsustainable.”   (</w:t>
      </w:r>
      <w:r w:rsidRPr="00D72FB3">
        <w:rPr>
          <w:i/>
          <w:iCs/>
        </w:rPr>
        <w:t xml:space="preserve">Jamison v. McClendon </w:t>
      </w:r>
      <w:r w:rsidRPr="00D72FB3">
        <w:t>(</w:t>
      </w:r>
      <w:proofErr w:type="spellStart"/>
      <w:r w:rsidRPr="00D72FB3">
        <w:t>S.D.Miss</w:t>
      </w:r>
      <w:proofErr w:type="spellEnd"/>
      <w:r w:rsidRPr="00D72FB3">
        <w:t xml:space="preserve">., Aug. 4, 2020, No. 3:16-cv-00595-CWR-LRA) 2020 WL 4497723, p. *29.)  Today there are </w:t>
      </w:r>
      <w:proofErr w:type="gramStart"/>
      <w:r w:rsidRPr="00D72FB3">
        <w:t>numerous</w:t>
      </w:r>
      <w:proofErr w:type="gramEnd"/>
      <w:r w:rsidRPr="00D72FB3">
        <w:t xml:space="preserve"> proposals to narrow or eliminate this judicially created limitation on section 1983 liability.  (H.R. No. 7085, 116th Cong., 2d Sess. (2020); H.R. No. 7115, 116th Cong., 2d Sess. (2020); H.R. No. 7120, 116th Cong., 2d Sess. (2020); Sen. No. 4036, 116th Cong., 2d Sess. (2020); Sen. No. 4142, 116th Cong., 2d Sess. (2020); Sen. No. 3912, 116th Cong., 2d Sess. (2020).)</w:t>
      </w:r>
    </w:p>
    <w:p w14:paraId="694BBA4B" w14:textId="77777777" w:rsidR="00D72FB3" w:rsidRPr="00D72FB3" w:rsidRDefault="00D72FB3" w:rsidP="00D72FB3">
      <w:pPr>
        <w:ind w:firstLine="720"/>
        <w:rPr>
          <w:szCs w:val="26"/>
        </w:rPr>
      </w:pPr>
      <w:r w:rsidRPr="00D72FB3">
        <w:rPr>
          <w:szCs w:val="26"/>
        </w:rPr>
        <w:t xml:space="preserve">With respect to injunctions, high court precedent has constrained substantive review of police misconduct claims.  </w:t>
      </w:r>
      <w:r w:rsidRPr="00D72FB3">
        <w:t xml:space="preserve">In </w:t>
      </w:r>
      <w:r w:rsidRPr="00D72FB3">
        <w:rPr>
          <w:i/>
        </w:rPr>
        <w:t>City of Los Angeles v. Lyons</w:t>
      </w:r>
      <w:r w:rsidRPr="00D72FB3">
        <w:t xml:space="preserve"> (1983) 461 U.S. 95, the high court held that Adolph Lyons, a Black man pulled over and put in a </w:t>
      </w:r>
      <w:r w:rsidRPr="00D72FB3">
        <w:lastRenderedPageBreak/>
        <w:t>chokehold by Los Angeles police officers, did not have standing to seek an injunction against the use of chokeholds because he could not establish that he would again be subject to the same abuse.</w:t>
      </w:r>
      <w:r w:rsidRPr="00D72FB3">
        <w:rPr>
          <w:szCs w:val="26"/>
        </w:rPr>
        <w:t xml:space="preserve">  (</w:t>
      </w:r>
      <w:r w:rsidRPr="00D72FB3">
        <w:rPr>
          <w:i/>
          <w:szCs w:val="26"/>
        </w:rPr>
        <w:t>Id</w:t>
      </w:r>
      <w:r w:rsidRPr="00D72FB3">
        <w:rPr>
          <w:szCs w:val="26"/>
        </w:rPr>
        <w:t xml:space="preserve">. at p. 105.)  </w:t>
      </w:r>
      <w:r w:rsidRPr="00D72FB3">
        <w:t>Moreover, in order to hold municipalities liable for failure to train or supervise officers (often a necessary component of structural reform), the high court has held that a plaintiff must show that the department’s conduct amounted to “deliberate indifference to the rights of persons.”  (</w:t>
      </w:r>
      <w:r w:rsidRPr="00D72FB3">
        <w:rPr>
          <w:i/>
        </w:rPr>
        <w:t>City of Canton v. Harris</w:t>
      </w:r>
      <w:r w:rsidRPr="00D72FB3">
        <w:t xml:space="preserve"> (1989) 489 U.S. 378, 388.)</w:t>
      </w:r>
    </w:p>
    <w:p w14:paraId="1936C7CF" w14:textId="77777777" w:rsidR="00D72FB3" w:rsidRPr="00D72FB3" w:rsidRDefault="00D72FB3" w:rsidP="00D72FB3">
      <w:pPr>
        <w:ind w:firstLine="720"/>
        <w:rPr>
          <w:szCs w:val="26"/>
        </w:rPr>
      </w:pPr>
      <w:r w:rsidRPr="00D72FB3">
        <w:rPr>
          <w:szCs w:val="26"/>
        </w:rPr>
        <w:t xml:space="preserve">Another federal law allows the United States Department of Justice </w:t>
      </w:r>
      <w:r w:rsidRPr="00D72FB3">
        <w:t>to sue police departments for engaging in a pattern and practice of constitutional rights violations.  (34 U.S.C. § 12601, former 42 U.S.C. § 14141.)</w:t>
      </w:r>
      <w:r w:rsidRPr="00D72FB3">
        <w:rPr>
          <w:szCs w:val="26"/>
        </w:rPr>
        <w:t xml:space="preserve">  </w:t>
      </w:r>
      <w:r w:rsidRPr="00D72FB3">
        <w:t>Enacted in 1994 as part of the Violent Crime Control and Law Enforcement Act (</w:t>
      </w:r>
      <w:proofErr w:type="spellStart"/>
      <w:r w:rsidRPr="00D72FB3">
        <w:t>Pub.L</w:t>
      </w:r>
      <w:proofErr w:type="spellEnd"/>
      <w:r w:rsidRPr="00D72FB3">
        <w:t xml:space="preserve">. No. 103–322, 108 Stat. 1796), section 12601 revived a bill that was introduced in the aftermath of the police beating of Rodney King in Los Angeles.  (See Gilles, </w:t>
      </w:r>
      <w:r w:rsidRPr="00D72FB3">
        <w:rPr>
          <w:i/>
        </w:rPr>
        <w:t>Reinventing Structural Reform Litigation:  Deputizing Private Citizens in the Enforcement of Civil Rights</w:t>
      </w:r>
      <w:r w:rsidRPr="00D72FB3">
        <w:t xml:space="preserve"> (2000) 100 Colum. </w:t>
      </w:r>
      <w:proofErr w:type="spellStart"/>
      <w:r w:rsidRPr="00D72FB3">
        <w:t>L.Rev</w:t>
      </w:r>
      <w:proofErr w:type="spellEnd"/>
      <w:r w:rsidRPr="00D72FB3">
        <w:t>. 1384, 1401; compare 34 U.S.C. § 12601 with H.R. No. 2972, 102d Cong., 1st Sess., § 2 (1991).)</w:t>
      </w:r>
    </w:p>
    <w:p w14:paraId="659C0DA3" w14:textId="04DCFFFD" w:rsidR="00D72FB3" w:rsidRPr="00D72FB3" w:rsidRDefault="00D72FB3" w:rsidP="00D72FB3">
      <w:pPr>
        <w:ind w:firstLine="720"/>
      </w:pPr>
      <w:r w:rsidRPr="00D72FB3">
        <w:rPr>
          <w:szCs w:val="26"/>
        </w:rPr>
        <w:t>Since 1994</w:t>
      </w:r>
      <w:r w:rsidRPr="00D72FB3">
        <w:t xml:space="preserve">, the United States Department of Justice has formally investigated 70 police departments and reached more than 40 agreements requiring departments to overhaul internal oversight measures, officer training, and disciplinary procedures.  (Childress et al., </w:t>
      </w:r>
      <w:r w:rsidRPr="00D72FB3">
        <w:rPr>
          <w:i/>
        </w:rPr>
        <w:t>Fixing the Force</w:t>
      </w:r>
      <w:r w:rsidRPr="00D72FB3">
        <w:t xml:space="preserve">, Frontline PBS (2018), </w:t>
      </w:r>
      <w:r w:rsidR="00342329">
        <w:t>&lt;</w:t>
      </w:r>
      <w:r w:rsidR="004E63C4" w:rsidRPr="00D26A03">
        <w:t>https://www.pbs.org/wgbh/frontline/interactive/</w:t>
      </w:r>
      <w:r w:rsidR="004E63C4" w:rsidRPr="00D26A03">
        <w:rPr>
          <w:rFonts w:ascii="Times New Roman" w:hAnsi="Times New Roman"/>
        </w:rPr>
        <w:t>‌</w:t>
      </w:r>
      <w:r w:rsidR="004E63C4" w:rsidRPr="00D26A03">
        <w:t>fixingtheforce/</w:t>
      </w:r>
      <w:r w:rsidR="00342329">
        <w:t>&gt;</w:t>
      </w:r>
      <w:bookmarkStart w:id="285" w:name="_GoBack"/>
      <w:bookmarkEnd w:id="285"/>
      <w:r w:rsidR="004E63C4">
        <w:t xml:space="preserve"> [</w:t>
      </w:r>
      <w:r w:rsidR="00D26A03">
        <w:t>as of Aug</w:t>
      </w:r>
      <w:r w:rsidR="00342329">
        <w:t xml:space="preserve">. </w:t>
      </w:r>
      <w:r w:rsidR="00D26A03">
        <w:t>7, 2020]</w:t>
      </w:r>
      <w:r w:rsidRPr="00D72FB3">
        <w:t>.</w:t>
      </w:r>
      <w:r w:rsidR="00777222">
        <w:t xml:space="preserve">  </w:t>
      </w:r>
      <w:r w:rsidR="00777222" w:rsidRPr="004340DC">
        <w:t xml:space="preserve">All </w:t>
      </w:r>
      <w:r w:rsidR="00D26A03">
        <w:t>I</w:t>
      </w:r>
      <w:r w:rsidR="00777222" w:rsidRPr="004340DC">
        <w:t xml:space="preserve">nternet citations in this opinion are archived by year, docket number, and case name at </w:t>
      </w:r>
      <w:r w:rsidR="00777222">
        <w:t>&lt;</w:t>
      </w:r>
      <w:r w:rsidR="00777222" w:rsidRPr="004340DC">
        <w:t>http://www.courts.ca.gov/38324.htm</w:t>
      </w:r>
      <w:r w:rsidR="00777222">
        <w:t>&gt;.</w:t>
      </w:r>
      <w:r w:rsidRPr="00D72FB3">
        <w:t xml:space="preserve">)  The structural </w:t>
      </w:r>
      <w:r w:rsidRPr="00D72FB3">
        <w:lastRenderedPageBreak/>
        <w:t>reforms resulting from federal intervention have shown signs of effectively “</w:t>
      </w:r>
      <w:proofErr w:type="spellStart"/>
      <w:r w:rsidRPr="00D72FB3">
        <w:t>reduc</w:t>
      </w:r>
      <w:proofErr w:type="spellEnd"/>
      <w:r w:rsidRPr="00D72FB3">
        <w:t>[</w:t>
      </w:r>
      <w:proofErr w:type="spellStart"/>
      <w:r w:rsidRPr="00D72FB3">
        <w:t>ing</w:t>
      </w:r>
      <w:proofErr w:type="spellEnd"/>
      <w:r w:rsidRPr="00D72FB3">
        <w:t xml:space="preserve">] officer uses of force, </w:t>
      </w:r>
      <w:proofErr w:type="spellStart"/>
      <w:r w:rsidRPr="00D72FB3">
        <w:t>reduc</w:t>
      </w:r>
      <w:proofErr w:type="spellEnd"/>
      <w:r w:rsidRPr="00D72FB3">
        <w:t>[</w:t>
      </w:r>
      <w:proofErr w:type="spellStart"/>
      <w:r w:rsidRPr="00D72FB3">
        <w:t>ing</w:t>
      </w:r>
      <w:proofErr w:type="spellEnd"/>
      <w:r w:rsidRPr="00D72FB3">
        <w:t xml:space="preserve">] civil liability for police misconduct, </w:t>
      </w:r>
      <w:proofErr w:type="spellStart"/>
      <w:r w:rsidRPr="00D72FB3">
        <w:t>increas</w:t>
      </w:r>
      <w:proofErr w:type="spellEnd"/>
      <w:r w:rsidRPr="00D72FB3">
        <w:t>[</w:t>
      </w:r>
      <w:proofErr w:type="spellStart"/>
      <w:r w:rsidRPr="00D72FB3">
        <w:t>ing</w:t>
      </w:r>
      <w:proofErr w:type="spellEnd"/>
      <w:r w:rsidRPr="00D72FB3">
        <w:t xml:space="preserve">] citizen satisfaction, and </w:t>
      </w:r>
      <w:proofErr w:type="spellStart"/>
      <w:r w:rsidRPr="00D72FB3">
        <w:t>increas</w:t>
      </w:r>
      <w:proofErr w:type="spellEnd"/>
      <w:r w:rsidRPr="00D72FB3">
        <w:t>[</w:t>
      </w:r>
      <w:proofErr w:type="spellStart"/>
      <w:r w:rsidRPr="00D72FB3">
        <w:t>ing</w:t>
      </w:r>
      <w:proofErr w:type="spellEnd"/>
      <w:r w:rsidRPr="00D72FB3">
        <w:t>] apparent compliance with legal norms.”  (</w:t>
      </w:r>
      <w:proofErr w:type="spellStart"/>
      <w:r w:rsidRPr="00D72FB3">
        <w:t>Rushin</w:t>
      </w:r>
      <w:proofErr w:type="spellEnd"/>
      <w:r w:rsidRPr="00D72FB3">
        <w:t xml:space="preserve"> &amp; Garnett, </w:t>
      </w:r>
      <w:r w:rsidRPr="00D72FB3">
        <w:rPr>
          <w:i/>
        </w:rPr>
        <w:t>State Labor Law and Federal Police Reform</w:t>
      </w:r>
      <w:r w:rsidRPr="00D72FB3">
        <w:t xml:space="preserve"> (2017) 51 Ga. </w:t>
      </w:r>
      <w:proofErr w:type="spellStart"/>
      <w:r w:rsidRPr="00D72FB3">
        <w:t>L.Rev</w:t>
      </w:r>
      <w:proofErr w:type="spellEnd"/>
      <w:r w:rsidRPr="00D72FB3">
        <w:t>. 1209, 1213 [collecting empirical studies].)</w:t>
      </w:r>
      <w:r w:rsidRPr="00D72FB3">
        <w:rPr>
          <w:szCs w:val="26"/>
        </w:rPr>
        <w:t xml:space="preserve">  </w:t>
      </w:r>
      <w:r w:rsidRPr="00D72FB3">
        <w:t xml:space="preserve">But such investigations and settlements are costly and depend on the political will of the governing federal administration.  (See Bell, </w:t>
      </w:r>
      <w:r w:rsidRPr="00D72FB3">
        <w:rPr>
          <w:i/>
        </w:rPr>
        <w:t xml:space="preserve">Police </w:t>
      </w:r>
      <w:proofErr w:type="gramStart"/>
      <w:r w:rsidRPr="00D72FB3">
        <w:rPr>
          <w:i/>
        </w:rPr>
        <w:t>Reform</w:t>
      </w:r>
      <w:proofErr w:type="gramEnd"/>
      <w:r w:rsidRPr="00D72FB3">
        <w:rPr>
          <w:i/>
        </w:rPr>
        <w:t xml:space="preserve"> and the Dismantling of Legal Estrangement</w:t>
      </w:r>
      <w:r w:rsidRPr="00D72FB3">
        <w:t xml:space="preserve"> (2017) 126 Yale L.J. 2054, 2129.)  Under the current administration, the number of formal investigations launched by the Department of Justice has declined to just one, and the Department has sharply curbed enforcement of existing agreements.  (See Childress, </w:t>
      </w:r>
      <w:r w:rsidRPr="00D72FB3">
        <w:rPr>
          <w:i/>
        </w:rPr>
        <w:t>supra</w:t>
      </w:r>
      <w:r w:rsidRPr="00D72FB3">
        <w:t xml:space="preserve">; Mazzone &amp; </w:t>
      </w:r>
      <w:proofErr w:type="spellStart"/>
      <w:r w:rsidRPr="00D72FB3">
        <w:t>Rushin</w:t>
      </w:r>
      <w:proofErr w:type="spellEnd"/>
      <w:r w:rsidRPr="00D72FB3">
        <w:t xml:space="preserve">, </w:t>
      </w:r>
      <w:r w:rsidRPr="00D72FB3">
        <w:rPr>
          <w:i/>
        </w:rPr>
        <w:t>State Attorneys General As Agents of Police Reform</w:t>
      </w:r>
      <w:r w:rsidRPr="00D72FB3">
        <w:t xml:space="preserve"> (2020) 69 Duke L.J. 999, 1028–1029.)</w:t>
      </w:r>
    </w:p>
    <w:p w14:paraId="2EC42452" w14:textId="77777777" w:rsidR="00D72FB3" w:rsidRPr="00D72FB3" w:rsidRDefault="00D72FB3" w:rsidP="00D72FB3">
      <w:pPr>
        <w:ind w:firstLine="720"/>
      </w:pPr>
      <w:r w:rsidRPr="00D72FB3">
        <w:t xml:space="preserve">A wrongful death judgment with substantial damages is one way of affirming the worth and dignity of Darren Burley’s life, and I join today’s opinion.  But the racial dimensions of this case should not escape our notice.  How are we to ensure that “the promise of equal justice under law is, for all our people, a living truth”?  (Cal. Supreme Ct., Statement on </w:t>
      </w:r>
      <w:proofErr w:type="gramStart"/>
      <w:r w:rsidRPr="00D72FB3">
        <w:t>Equality</w:t>
      </w:r>
      <w:proofErr w:type="gramEnd"/>
      <w:r w:rsidRPr="00D72FB3">
        <w:t xml:space="preserve"> and Inclusion (June 11, 2020), &lt;https://newsroom.courts.ca.gov/</w:t>
      </w:r>
      <w:r w:rsidRPr="00D72FB3">
        <w:rPr>
          <w:rFonts w:ascii="Times New Roman" w:hAnsi="Times New Roman"/>
        </w:rPr>
        <w:t>‌</w:t>
      </w:r>
      <w:r w:rsidRPr="00D72FB3">
        <w:t>news/supreme-court-of-california-issues-statement-on-equality-and-inclusion&gt;.)  Whatever the answer, it must involve acknowledging that Darren Burley</w:t>
      </w:r>
      <w:r w:rsidRPr="00D72FB3">
        <w:rPr>
          <w:rFonts w:cs="Century Schoolbook"/>
        </w:rPr>
        <w:t>’</w:t>
      </w:r>
      <w:r w:rsidRPr="00D72FB3">
        <w:t>s death at the hands of law enforcement is not a singular incident unmoored from our racial history.</w:t>
      </w:r>
      <w:r w:rsidRPr="00D72FB3">
        <w:rPr>
          <w:szCs w:val="26"/>
        </w:rPr>
        <w:t xml:space="preserve">  With that acknowledgment must come a serious effort to </w:t>
      </w:r>
      <w:r w:rsidRPr="00D72FB3">
        <w:t xml:space="preserve">rethink what racial discrimination is, how it manifests in law enforcement and the justice system, and how the law can </w:t>
      </w:r>
      <w:r w:rsidRPr="00D72FB3">
        <w:lastRenderedPageBreak/>
        <w:t>provide effective safeguards and redress for our neighbors, friends, and citizens who continue to bear the cruel weight of racism’s stubborn legacy.</w:t>
      </w:r>
    </w:p>
    <w:p w14:paraId="35B22C2A" w14:textId="77777777" w:rsidR="00D72FB3" w:rsidRPr="00D72FB3" w:rsidRDefault="00D72FB3" w:rsidP="00D72FB3"/>
    <w:p w14:paraId="0F5520F3" w14:textId="77777777" w:rsidR="00D72FB3" w:rsidRPr="00D72FB3" w:rsidRDefault="00D72FB3" w:rsidP="00D72FB3">
      <w:pPr>
        <w:ind w:left="4320" w:firstLine="720"/>
        <w:rPr>
          <w:b/>
        </w:rPr>
      </w:pPr>
      <w:r w:rsidRPr="00D72FB3">
        <w:rPr>
          <w:b/>
        </w:rPr>
        <w:t>LIU, J.</w:t>
      </w:r>
    </w:p>
    <w:p w14:paraId="4FDDCE03" w14:textId="77777777" w:rsidR="00D72FB3" w:rsidRPr="00D72FB3" w:rsidRDefault="00D72FB3" w:rsidP="00D72FB3">
      <w:pPr>
        <w:ind w:left="4320" w:firstLine="720"/>
        <w:rPr>
          <w:b/>
        </w:rPr>
      </w:pPr>
    </w:p>
    <w:p w14:paraId="0B352ABA" w14:textId="77777777" w:rsidR="00D72FB3" w:rsidRPr="00D72FB3" w:rsidRDefault="00D72FB3" w:rsidP="00D72FB3">
      <w:pPr>
        <w:rPr>
          <w:b/>
        </w:rPr>
      </w:pPr>
      <w:r w:rsidRPr="00D72FB3">
        <w:rPr>
          <w:b/>
        </w:rPr>
        <w:t xml:space="preserve">I Concur: </w:t>
      </w:r>
    </w:p>
    <w:p w14:paraId="08036A6B" w14:textId="77777777" w:rsidR="007903F3" w:rsidRDefault="00D72FB3" w:rsidP="00D72FB3">
      <w:pPr>
        <w:spacing w:after="0" w:line="240" w:lineRule="auto"/>
        <w:rPr>
          <w:b/>
        </w:rPr>
        <w:sectPr w:rsidR="007903F3" w:rsidSect="00076662">
          <w:headerReference w:type="default" r:id="rId13"/>
          <w:headerReference w:type="first" r:id="rId14"/>
          <w:footerReference w:type="first" r:id="rId15"/>
          <w:footnotePr>
            <w:numRestart w:val="eachSect"/>
          </w:footnotePr>
          <w:pgSz w:w="12240" w:h="15840"/>
          <w:pgMar w:top="1800" w:right="2160" w:bottom="1584" w:left="2160" w:header="720" w:footer="720" w:gutter="0"/>
          <w:pgNumType w:start="1"/>
          <w:cols w:space="720"/>
          <w:titlePg/>
          <w:docGrid w:linePitch="367"/>
        </w:sectPr>
      </w:pPr>
      <w:r w:rsidRPr="00D72FB3">
        <w:rPr>
          <w:b/>
        </w:rPr>
        <w:t>CUÉLLAR, J.</w:t>
      </w:r>
    </w:p>
    <w:p w14:paraId="1ED8D76B" w14:textId="77777777" w:rsidR="00B230CB" w:rsidRPr="00B230CB" w:rsidRDefault="00B230CB" w:rsidP="00B230CB">
      <w:pPr>
        <w:spacing w:after="0" w:line="240" w:lineRule="auto"/>
        <w:jc w:val="left"/>
        <w:rPr>
          <w:rFonts w:ascii="Times New Roman" w:hAnsi="Times New Roman"/>
          <w:i/>
          <w:sz w:val="20"/>
        </w:rPr>
      </w:pPr>
      <w:r w:rsidRPr="00B230CB">
        <w:rPr>
          <w:rFonts w:ascii="Times New Roman" w:hAnsi="Times New Roman"/>
          <w:i/>
          <w:sz w:val="20"/>
        </w:rPr>
        <w:lastRenderedPageBreak/>
        <w:t>See next page for addresses and telephone numbers for counsel who argued in Supreme Court.</w:t>
      </w:r>
    </w:p>
    <w:p w14:paraId="7FCCE1AF" w14:textId="77777777" w:rsidR="00B230CB" w:rsidRPr="00B230CB" w:rsidRDefault="00B230CB" w:rsidP="00B230CB">
      <w:pPr>
        <w:spacing w:after="0" w:line="240" w:lineRule="auto"/>
        <w:jc w:val="left"/>
        <w:rPr>
          <w:rFonts w:ascii="Times New Roman" w:hAnsi="Times New Roman"/>
          <w:i/>
          <w:sz w:val="20"/>
        </w:rPr>
      </w:pPr>
    </w:p>
    <w:p w14:paraId="71FAF127"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 xml:space="preserve">Name of Opinion  </w:t>
      </w:r>
      <w:r w:rsidRPr="00B230CB">
        <w:rPr>
          <w:rFonts w:ascii="Times New Roman" w:hAnsi="Times New Roman"/>
          <w:bCs/>
          <w:sz w:val="20"/>
        </w:rPr>
        <w:t>B.B. v. County of Los Angeles</w:t>
      </w:r>
    </w:p>
    <w:p w14:paraId="43026BAA"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__________________________________________________________________________________</w:t>
      </w:r>
    </w:p>
    <w:p w14:paraId="4EE93465" w14:textId="77777777" w:rsidR="00B230CB" w:rsidRPr="00B230CB" w:rsidRDefault="00B230CB" w:rsidP="00B230CB">
      <w:pPr>
        <w:spacing w:after="0" w:line="240" w:lineRule="auto"/>
        <w:jc w:val="left"/>
        <w:rPr>
          <w:rFonts w:ascii="Times New Roman" w:hAnsi="Times New Roman"/>
          <w:b/>
          <w:sz w:val="20"/>
        </w:rPr>
      </w:pPr>
    </w:p>
    <w:p w14:paraId="638BE626"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Unpublished Opinion</w:t>
      </w:r>
    </w:p>
    <w:p w14:paraId="09092962"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b/>
          <w:sz w:val="20"/>
        </w:rPr>
        <w:t>Original Appeal</w:t>
      </w:r>
    </w:p>
    <w:p w14:paraId="3F854575"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 xml:space="preserve">Original Proceeding </w:t>
      </w:r>
    </w:p>
    <w:p w14:paraId="76C65D76"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 xml:space="preserve">Review Granted </w:t>
      </w:r>
      <w:r w:rsidRPr="00B230CB">
        <w:rPr>
          <w:rFonts w:ascii="Times New Roman" w:hAnsi="Times New Roman"/>
          <w:bCs/>
          <w:sz w:val="20"/>
        </w:rPr>
        <w:t xml:space="preserve">XX 25 Cal.App.5th 115  </w:t>
      </w:r>
    </w:p>
    <w:p w14:paraId="32FC6E68"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Rehearing Granted</w:t>
      </w:r>
    </w:p>
    <w:p w14:paraId="19244D0C" w14:textId="77777777" w:rsidR="00B230CB" w:rsidRPr="00B230CB" w:rsidRDefault="00B230CB" w:rsidP="00B230CB">
      <w:pPr>
        <w:spacing w:after="0" w:line="240" w:lineRule="auto"/>
        <w:jc w:val="left"/>
        <w:rPr>
          <w:rFonts w:ascii="Times New Roman" w:hAnsi="Times New Roman"/>
          <w:b/>
          <w:sz w:val="20"/>
        </w:rPr>
      </w:pPr>
    </w:p>
    <w:p w14:paraId="20AC80DB"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__________________________________________________________________________________</w:t>
      </w:r>
    </w:p>
    <w:p w14:paraId="14D80D94" w14:textId="77777777" w:rsidR="00B230CB" w:rsidRPr="00B230CB" w:rsidRDefault="00B230CB" w:rsidP="00B230CB">
      <w:pPr>
        <w:spacing w:after="0" w:line="240" w:lineRule="auto"/>
        <w:jc w:val="left"/>
        <w:rPr>
          <w:rFonts w:ascii="Times New Roman" w:hAnsi="Times New Roman"/>
          <w:b/>
          <w:sz w:val="20"/>
        </w:rPr>
      </w:pPr>
    </w:p>
    <w:p w14:paraId="3F8DAD33"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Opinion No.</w:t>
      </w:r>
      <w:r w:rsidRPr="00B230CB">
        <w:rPr>
          <w:rFonts w:ascii="Times New Roman" w:hAnsi="Times New Roman"/>
          <w:sz w:val="20"/>
        </w:rPr>
        <w:t xml:space="preserve"> S250734 </w:t>
      </w:r>
    </w:p>
    <w:p w14:paraId="393A4D7A"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Date Filed:</w:t>
      </w:r>
      <w:r w:rsidRPr="00B230CB">
        <w:rPr>
          <w:rFonts w:ascii="Times New Roman" w:hAnsi="Times New Roman"/>
          <w:sz w:val="20"/>
        </w:rPr>
        <w:t xml:space="preserve">  August 10, 2020</w:t>
      </w:r>
    </w:p>
    <w:p w14:paraId="0CBB13E5"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__________________________________________________________________________________</w:t>
      </w:r>
    </w:p>
    <w:p w14:paraId="7FF6F21B" w14:textId="77777777" w:rsidR="00B230CB" w:rsidRPr="00B230CB" w:rsidRDefault="00B230CB" w:rsidP="00B230CB">
      <w:pPr>
        <w:spacing w:after="0" w:line="240" w:lineRule="auto"/>
        <w:jc w:val="left"/>
        <w:rPr>
          <w:rFonts w:ascii="Times New Roman" w:hAnsi="Times New Roman"/>
          <w:b/>
          <w:sz w:val="20"/>
        </w:rPr>
      </w:pPr>
    </w:p>
    <w:p w14:paraId="3FB305AC"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 xml:space="preserve">Court:  </w:t>
      </w:r>
      <w:r w:rsidRPr="00B230CB">
        <w:rPr>
          <w:rFonts w:ascii="Times New Roman" w:hAnsi="Times New Roman"/>
          <w:bCs/>
          <w:sz w:val="20"/>
        </w:rPr>
        <w:t>Superior</w:t>
      </w:r>
    </w:p>
    <w:p w14:paraId="51ED67BB"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
          <w:sz w:val="20"/>
        </w:rPr>
        <w:t xml:space="preserve">County:  </w:t>
      </w:r>
      <w:r w:rsidRPr="00B230CB">
        <w:rPr>
          <w:rFonts w:ascii="Times New Roman" w:hAnsi="Times New Roman"/>
          <w:bCs/>
          <w:sz w:val="20"/>
        </w:rPr>
        <w:t>Los Angeles</w:t>
      </w:r>
      <w:r w:rsidRPr="00B230CB">
        <w:rPr>
          <w:rFonts w:ascii="Times New Roman" w:hAnsi="Times New Roman"/>
          <w:b/>
          <w:sz w:val="20"/>
        </w:rPr>
        <w:t xml:space="preserve">  </w:t>
      </w:r>
      <w:r w:rsidRPr="00B230CB">
        <w:rPr>
          <w:rFonts w:ascii="Times New Roman" w:hAnsi="Times New Roman"/>
          <w:bCs/>
          <w:sz w:val="20"/>
        </w:rPr>
        <w:t xml:space="preserve"> </w:t>
      </w:r>
    </w:p>
    <w:p w14:paraId="1BB15F61" w14:textId="77777777" w:rsidR="00B230CB" w:rsidRPr="00B230CB" w:rsidRDefault="00B230CB" w:rsidP="00B230CB">
      <w:pPr>
        <w:spacing w:after="0" w:line="240" w:lineRule="auto"/>
        <w:ind w:left="720" w:hanging="720"/>
        <w:jc w:val="left"/>
        <w:rPr>
          <w:rFonts w:ascii="Times New Roman" w:hAnsi="Times New Roman"/>
          <w:bCs/>
          <w:sz w:val="20"/>
        </w:rPr>
      </w:pPr>
      <w:r w:rsidRPr="00B230CB">
        <w:rPr>
          <w:rFonts w:ascii="Times New Roman" w:hAnsi="Times New Roman"/>
          <w:b/>
          <w:sz w:val="20"/>
        </w:rPr>
        <w:t xml:space="preserve">Judge:  </w:t>
      </w:r>
      <w:r w:rsidRPr="00B230CB">
        <w:rPr>
          <w:rFonts w:ascii="Times New Roman" w:hAnsi="Times New Roman"/>
          <w:bCs/>
          <w:sz w:val="20"/>
        </w:rPr>
        <w:t>Ross M. Klein</w:t>
      </w:r>
      <w:r w:rsidRPr="00B230CB">
        <w:rPr>
          <w:rFonts w:ascii="Times New Roman" w:hAnsi="Times New Roman"/>
          <w:b/>
          <w:sz w:val="20"/>
        </w:rPr>
        <w:t xml:space="preserve">  </w:t>
      </w:r>
      <w:r w:rsidRPr="00B230CB">
        <w:rPr>
          <w:rFonts w:ascii="Times New Roman" w:hAnsi="Times New Roman"/>
          <w:bCs/>
          <w:sz w:val="20"/>
        </w:rPr>
        <w:t xml:space="preserve"> </w:t>
      </w:r>
    </w:p>
    <w:p w14:paraId="7EA4DC09" w14:textId="77777777" w:rsidR="00B230CB" w:rsidRPr="00B230CB" w:rsidRDefault="00B230CB" w:rsidP="00B230CB">
      <w:pPr>
        <w:spacing w:after="0" w:line="240" w:lineRule="auto"/>
        <w:jc w:val="left"/>
        <w:rPr>
          <w:rFonts w:ascii="Times New Roman" w:hAnsi="Times New Roman"/>
          <w:b/>
          <w:sz w:val="20"/>
        </w:rPr>
      </w:pPr>
    </w:p>
    <w:p w14:paraId="159A3045"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__________________________________________________________________________________</w:t>
      </w:r>
    </w:p>
    <w:p w14:paraId="573A893A" w14:textId="77777777" w:rsidR="00B230CB" w:rsidRPr="00B230CB" w:rsidRDefault="00B230CB" w:rsidP="00B230CB">
      <w:pPr>
        <w:spacing w:after="0" w:line="240" w:lineRule="auto"/>
        <w:jc w:val="left"/>
        <w:rPr>
          <w:rFonts w:ascii="Times New Roman" w:hAnsi="Times New Roman"/>
          <w:b/>
          <w:sz w:val="20"/>
        </w:rPr>
      </w:pPr>
    </w:p>
    <w:p w14:paraId="7BAF5ED1" w14:textId="77777777" w:rsidR="00B230CB" w:rsidRPr="00B230CB" w:rsidRDefault="00B230CB" w:rsidP="00B230CB">
      <w:pPr>
        <w:spacing w:after="0" w:line="240" w:lineRule="auto"/>
        <w:jc w:val="left"/>
        <w:rPr>
          <w:rFonts w:ascii="Times New Roman" w:hAnsi="Times New Roman"/>
          <w:b/>
          <w:sz w:val="20"/>
        </w:rPr>
      </w:pPr>
      <w:r w:rsidRPr="00B230CB">
        <w:rPr>
          <w:rFonts w:ascii="Times New Roman" w:hAnsi="Times New Roman"/>
          <w:b/>
          <w:sz w:val="20"/>
        </w:rPr>
        <w:t>Counsel:</w:t>
      </w:r>
    </w:p>
    <w:p w14:paraId="11D57595" w14:textId="77777777" w:rsidR="00B230CB" w:rsidRPr="00B230CB" w:rsidRDefault="00B230CB" w:rsidP="00B230CB">
      <w:pPr>
        <w:spacing w:after="0" w:line="240" w:lineRule="auto"/>
        <w:jc w:val="left"/>
        <w:rPr>
          <w:rFonts w:ascii="Times New Roman" w:hAnsi="Times New Roman"/>
          <w:b/>
          <w:sz w:val="20"/>
        </w:rPr>
      </w:pPr>
    </w:p>
    <w:p w14:paraId="450CA022" w14:textId="77777777" w:rsidR="00B230CB" w:rsidRPr="00B230CB" w:rsidRDefault="00B230CB" w:rsidP="00B230CB">
      <w:pPr>
        <w:spacing w:after="0" w:line="240" w:lineRule="auto"/>
        <w:jc w:val="left"/>
        <w:rPr>
          <w:rFonts w:ascii="Times New Roman" w:hAnsi="Times New Roman"/>
          <w:bCs/>
          <w:sz w:val="20"/>
        </w:rPr>
      </w:pPr>
      <w:r w:rsidRPr="00B230CB">
        <w:rPr>
          <w:rFonts w:ascii="Times New Roman" w:hAnsi="Times New Roman"/>
          <w:bCs/>
          <w:sz w:val="20"/>
        </w:rPr>
        <w:t xml:space="preserve">Pine </w:t>
      </w:r>
      <w:proofErr w:type="spellStart"/>
      <w:r w:rsidRPr="00B230CB">
        <w:rPr>
          <w:rFonts w:ascii="Times New Roman" w:hAnsi="Times New Roman"/>
          <w:bCs/>
          <w:sz w:val="20"/>
        </w:rPr>
        <w:t>Tillet</w:t>
      </w:r>
      <w:proofErr w:type="spellEnd"/>
      <w:r w:rsidRPr="00B230CB">
        <w:rPr>
          <w:rFonts w:ascii="Times New Roman" w:hAnsi="Times New Roman"/>
          <w:bCs/>
          <w:sz w:val="20"/>
        </w:rPr>
        <w:t xml:space="preserve"> Pine, Norman Pine, Stacy Freeman, Scott Tillett, Chaya M. </w:t>
      </w:r>
      <w:proofErr w:type="spellStart"/>
      <w:r w:rsidRPr="00B230CB">
        <w:rPr>
          <w:rFonts w:ascii="Times New Roman" w:hAnsi="Times New Roman"/>
          <w:bCs/>
          <w:sz w:val="20"/>
        </w:rPr>
        <w:t>Citrin</w:t>
      </w:r>
      <w:proofErr w:type="spellEnd"/>
      <w:r w:rsidRPr="00B230CB">
        <w:rPr>
          <w:rFonts w:ascii="Times New Roman" w:hAnsi="Times New Roman"/>
          <w:bCs/>
          <w:sz w:val="20"/>
        </w:rPr>
        <w:t>; The Sweeney Firm and John E. Sweeney for Plaintiffs and Appellants B.B. and B.B.</w:t>
      </w:r>
    </w:p>
    <w:p w14:paraId="10680B60" w14:textId="77777777" w:rsidR="00B230CB" w:rsidRPr="00B230CB" w:rsidRDefault="00B230CB" w:rsidP="00B230CB">
      <w:pPr>
        <w:spacing w:after="0" w:line="240" w:lineRule="auto"/>
        <w:jc w:val="left"/>
        <w:rPr>
          <w:rFonts w:ascii="Times New Roman" w:hAnsi="Times New Roman"/>
          <w:sz w:val="20"/>
          <w:shd w:val="clear" w:color="auto" w:fill="F0F2F4"/>
        </w:rPr>
      </w:pPr>
    </w:p>
    <w:p w14:paraId="02891F3F" w14:textId="77777777" w:rsidR="00B230CB" w:rsidRPr="00B230CB" w:rsidRDefault="00B230CB" w:rsidP="00B230CB">
      <w:pPr>
        <w:spacing w:after="0" w:line="240" w:lineRule="auto"/>
        <w:jc w:val="left"/>
        <w:rPr>
          <w:rFonts w:ascii="Times New Roman" w:hAnsi="Times New Roman"/>
          <w:sz w:val="20"/>
          <w:shd w:val="clear" w:color="auto" w:fill="F0F2F4"/>
        </w:rPr>
      </w:pPr>
      <w:proofErr w:type="spellStart"/>
      <w:r w:rsidRPr="00B230CB">
        <w:rPr>
          <w:rFonts w:ascii="Times New Roman" w:hAnsi="Times New Roman"/>
          <w:sz w:val="20"/>
          <w:bdr w:val="none" w:sz="0" w:space="0" w:color="auto" w:frame="1"/>
        </w:rPr>
        <w:t>Schonbrun</w:t>
      </w:r>
      <w:proofErr w:type="spellEnd"/>
      <w:r w:rsidRPr="00B230CB">
        <w:rPr>
          <w:rFonts w:ascii="Times New Roman" w:hAnsi="Times New Roman"/>
          <w:sz w:val="20"/>
          <w:bdr w:val="none" w:sz="0" w:space="0" w:color="auto" w:frame="1"/>
        </w:rPr>
        <w:t xml:space="preserve"> </w:t>
      </w:r>
      <w:proofErr w:type="spellStart"/>
      <w:r w:rsidRPr="00B230CB">
        <w:rPr>
          <w:rFonts w:ascii="Times New Roman" w:hAnsi="Times New Roman"/>
          <w:sz w:val="20"/>
          <w:bdr w:val="none" w:sz="0" w:space="0" w:color="auto" w:frame="1"/>
        </w:rPr>
        <w:t>Seplow</w:t>
      </w:r>
      <w:proofErr w:type="spellEnd"/>
      <w:r w:rsidRPr="00B230CB">
        <w:rPr>
          <w:rFonts w:ascii="Times New Roman" w:hAnsi="Times New Roman"/>
          <w:sz w:val="20"/>
          <w:bdr w:val="none" w:sz="0" w:space="0" w:color="auto" w:frame="1"/>
        </w:rPr>
        <w:t xml:space="preserve"> Harris &amp; Hoffman, Michael D. </w:t>
      </w:r>
      <w:proofErr w:type="spellStart"/>
      <w:r w:rsidRPr="00B230CB">
        <w:rPr>
          <w:rFonts w:ascii="Times New Roman" w:hAnsi="Times New Roman"/>
          <w:sz w:val="20"/>
          <w:bdr w:val="none" w:sz="0" w:space="0" w:color="auto" w:frame="1"/>
        </w:rPr>
        <w:t>Seplow</w:t>
      </w:r>
      <w:proofErr w:type="spellEnd"/>
      <w:r w:rsidRPr="00B230CB">
        <w:rPr>
          <w:rFonts w:ascii="Times New Roman" w:hAnsi="Times New Roman"/>
          <w:sz w:val="20"/>
          <w:bdr w:val="none" w:sz="0" w:space="0" w:color="auto" w:frame="1"/>
        </w:rPr>
        <w:t xml:space="preserve">, Paul L. Hoffman, Aidan C. </w:t>
      </w:r>
      <w:proofErr w:type="spellStart"/>
      <w:r w:rsidRPr="00B230CB">
        <w:rPr>
          <w:rFonts w:ascii="Times New Roman" w:hAnsi="Times New Roman"/>
          <w:sz w:val="20"/>
          <w:bdr w:val="none" w:sz="0" w:space="0" w:color="auto" w:frame="1"/>
        </w:rPr>
        <w:t>McGlaze</w:t>
      </w:r>
      <w:proofErr w:type="spellEnd"/>
      <w:r w:rsidRPr="00B230CB">
        <w:rPr>
          <w:rFonts w:ascii="Times New Roman" w:hAnsi="Times New Roman"/>
          <w:sz w:val="20"/>
          <w:bdr w:val="none" w:sz="0" w:space="0" w:color="auto" w:frame="1"/>
        </w:rPr>
        <w:t xml:space="preserve">, John Washington; Orange Law Offices, </w:t>
      </w:r>
      <w:proofErr w:type="spellStart"/>
      <w:r w:rsidRPr="00B230CB">
        <w:rPr>
          <w:rFonts w:ascii="Times New Roman" w:hAnsi="Times New Roman"/>
          <w:sz w:val="20"/>
          <w:bdr w:val="none" w:sz="0" w:space="0" w:color="auto" w:frame="1"/>
        </w:rPr>
        <w:t>Olu</w:t>
      </w:r>
      <w:proofErr w:type="spellEnd"/>
      <w:r w:rsidRPr="00B230CB">
        <w:rPr>
          <w:rFonts w:ascii="Times New Roman" w:hAnsi="Times New Roman"/>
          <w:sz w:val="20"/>
          <w:bdr w:val="none" w:sz="0" w:space="0" w:color="auto" w:frame="1"/>
        </w:rPr>
        <w:t xml:space="preserve"> Orange; </w:t>
      </w:r>
      <w:proofErr w:type="spellStart"/>
      <w:r w:rsidRPr="00B230CB">
        <w:rPr>
          <w:rFonts w:ascii="Times New Roman" w:hAnsi="Times New Roman"/>
          <w:sz w:val="20"/>
          <w:bdr w:val="none" w:sz="0" w:space="0" w:color="auto" w:frame="1"/>
        </w:rPr>
        <w:t>Antablin</w:t>
      </w:r>
      <w:proofErr w:type="spellEnd"/>
      <w:r w:rsidRPr="00B230CB">
        <w:rPr>
          <w:rFonts w:ascii="Times New Roman" w:hAnsi="Times New Roman"/>
          <w:sz w:val="20"/>
          <w:bdr w:val="none" w:sz="0" w:space="0" w:color="auto" w:frame="1"/>
        </w:rPr>
        <w:t xml:space="preserve"> &amp; Bruce, </w:t>
      </w:r>
      <w:r w:rsidRPr="00B230CB">
        <w:rPr>
          <w:rFonts w:ascii="Times New Roman" w:hAnsi="Times New Roman"/>
          <w:sz w:val="20"/>
        </w:rPr>
        <w:t xml:space="preserve">Drew </w:t>
      </w:r>
      <w:proofErr w:type="spellStart"/>
      <w:r w:rsidRPr="00B230CB">
        <w:rPr>
          <w:rFonts w:ascii="Times New Roman" w:hAnsi="Times New Roman"/>
          <w:sz w:val="20"/>
        </w:rPr>
        <w:t>Antablin</w:t>
      </w:r>
      <w:proofErr w:type="spellEnd"/>
      <w:r w:rsidRPr="00B230CB">
        <w:rPr>
          <w:rFonts w:ascii="Times New Roman" w:hAnsi="Times New Roman"/>
          <w:sz w:val="20"/>
        </w:rPr>
        <w:t xml:space="preserve">; </w:t>
      </w:r>
      <w:r w:rsidRPr="00B230CB">
        <w:rPr>
          <w:rFonts w:ascii="Times New Roman" w:hAnsi="Times New Roman"/>
          <w:sz w:val="20"/>
          <w:bdr w:val="none" w:sz="0" w:space="0" w:color="auto" w:frame="1"/>
        </w:rPr>
        <w:t xml:space="preserve">Douglas / Hicks Law,  Carl E. Douglas and </w:t>
      </w:r>
      <w:proofErr w:type="spellStart"/>
      <w:r w:rsidRPr="00B230CB">
        <w:rPr>
          <w:rFonts w:ascii="Times New Roman" w:hAnsi="Times New Roman"/>
          <w:sz w:val="20"/>
          <w:bdr w:val="none" w:sz="0" w:space="0" w:color="auto" w:frame="1"/>
        </w:rPr>
        <w:t>Jamon</w:t>
      </w:r>
      <w:proofErr w:type="spellEnd"/>
      <w:r w:rsidRPr="00B230CB">
        <w:rPr>
          <w:rFonts w:ascii="Times New Roman" w:hAnsi="Times New Roman"/>
          <w:sz w:val="20"/>
          <w:bdr w:val="none" w:sz="0" w:space="0" w:color="auto" w:frame="1"/>
        </w:rPr>
        <w:t xml:space="preserve"> Hicks for Plaintiff and Appellant T.E. and for Plaintiffs and Respondents.</w:t>
      </w:r>
      <w:r w:rsidRPr="00B230CB">
        <w:rPr>
          <w:rFonts w:ascii="Times New Roman" w:hAnsi="Times New Roman"/>
          <w:sz w:val="20"/>
          <w:shd w:val="clear" w:color="auto" w:fill="F0F2F4"/>
        </w:rPr>
        <w:t xml:space="preserve"> </w:t>
      </w:r>
    </w:p>
    <w:p w14:paraId="61805E4B" w14:textId="77777777" w:rsidR="00B230CB" w:rsidRPr="00B230CB" w:rsidRDefault="00B230CB" w:rsidP="00B230CB">
      <w:pPr>
        <w:spacing w:after="0" w:line="240" w:lineRule="auto"/>
        <w:jc w:val="left"/>
        <w:rPr>
          <w:rFonts w:ascii="Times New Roman" w:hAnsi="Times New Roman"/>
          <w:sz w:val="20"/>
          <w:shd w:val="clear" w:color="auto" w:fill="F0F2F4"/>
        </w:rPr>
      </w:pPr>
    </w:p>
    <w:p w14:paraId="14AE5C1C"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sz w:val="20"/>
          <w:bdr w:val="none" w:sz="0" w:space="0" w:color="auto" w:frame="1"/>
        </w:rPr>
        <w:t>O'Melveny &amp; Myers</w:t>
      </w:r>
      <w:r w:rsidRPr="00B230CB">
        <w:rPr>
          <w:rFonts w:ascii="Times New Roman" w:hAnsi="Times New Roman"/>
          <w:color w:val="373739"/>
          <w:sz w:val="20"/>
          <w:shd w:val="clear" w:color="auto" w:fill="FFFFFF"/>
        </w:rPr>
        <w:t xml:space="preserve">, </w:t>
      </w:r>
      <w:r w:rsidRPr="00B230CB">
        <w:rPr>
          <w:rFonts w:ascii="Times New Roman" w:hAnsi="Times New Roman"/>
          <w:sz w:val="20"/>
          <w:bdr w:val="none" w:sz="0" w:space="0" w:color="auto" w:frame="1"/>
        </w:rPr>
        <w:t xml:space="preserve">Sabrina Heron Strong, Dimitri D. </w:t>
      </w:r>
      <w:proofErr w:type="spellStart"/>
      <w:r w:rsidRPr="00B230CB">
        <w:rPr>
          <w:rFonts w:ascii="Times New Roman" w:hAnsi="Times New Roman"/>
          <w:sz w:val="20"/>
          <w:bdr w:val="none" w:sz="0" w:space="0" w:color="auto" w:frame="1"/>
        </w:rPr>
        <w:t>Portnoi</w:t>
      </w:r>
      <w:proofErr w:type="spellEnd"/>
      <w:r w:rsidRPr="00B230CB">
        <w:rPr>
          <w:rFonts w:ascii="Times New Roman" w:hAnsi="Times New Roman"/>
          <w:sz w:val="20"/>
          <w:bdr w:val="none" w:sz="0" w:space="0" w:color="auto" w:frame="1"/>
        </w:rPr>
        <w:t>, Jefferson J. Harwell</w:t>
      </w:r>
      <w:r w:rsidRPr="00B230CB">
        <w:rPr>
          <w:rFonts w:ascii="Times New Roman" w:hAnsi="Times New Roman"/>
          <w:color w:val="373739"/>
          <w:sz w:val="20"/>
          <w:shd w:val="clear" w:color="auto" w:fill="FFFFFF"/>
        </w:rPr>
        <w:t xml:space="preserve">; </w:t>
      </w:r>
      <w:r w:rsidRPr="00B230CB">
        <w:rPr>
          <w:rFonts w:ascii="Times New Roman" w:hAnsi="Times New Roman"/>
          <w:sz w:val="20"/>
          <w:bdr w:val="none" w:sz="0" w:space="0" w:color="auto" w:frame="1"/>
        </w:rPr>
        <w:t xml:space="preserve">Manning &amp; </w:t>
      </w:r>
      <w:proofErr w:type="spellStart"/>
      <w:r w:rsidRPr="00B230CB">
        <w:rPr>
          <w:rFonts w:ascii="Times New Roman" w:hAnsi="Times New Roman"/>
          <w:sz w:val="20"/>
          <w:bdr w:val="none" w:sz="0" w:space="0" w:color="auto" w:frame="1"/>
        </w:rPr>
        <w:t>Kass</w:t>
      </w:r>
      <w:proofErr w:type="spellEnd"/>
      <w:r w:rsidRPr="00B230CB">
        <w:rPr>
          <w:rFonts w:ascii="Times New Roman" w:hAnsi="Times New Roman"/>
          <w:sz w:val="20"/>
          <w:bdr w:val="none" w:sz="0" w:space="0" w:color="auto" w:frame="1"/>
        </w:rPr>
        <w:t xml:space="preserve">, </w:t>
      </w:r>
      <w:proofErr w:type="spellStart"/>
      <w:r w:rsidRPr="00B230CB">
        <w:rPr>
          <w:rFonts w:ascii="Times New Roman" w:hAnsi="Times New Roman"/>
          <w:sz w:val="20"/>
          <w:bdr w:val="none" w:sz="0" w:space="0" w:color="auto" w:frame="1"/>
        </w:rPr>
        <w:t>Ellrod</w:t>
      </w:r>
      <w:proofErr w:type="spellEnd"/>
      <w:r w:rsidRPr="00B230CB">
        <w:rPr>
          <w:rFonts w:ascii="Times New Roman" w:hAnsi="Times New Roman"/>
          <w:sz w:val="20"/>
          <w:bdr w:val="none" w:sz="0" w:space="0" w:color="auto" w:frame="1"/>
        </w:rPr>
        <w:t xml:space="preserve">, Ramirez, </w:t>
      </w:r>
      <w:proofErr w:type="spellStart"/>
      <w:r w:rsidRPr="00B230CB">
        <w:rPr>
          <w:rFonts w:ascii="Times New Roman" w:hAnsi="Times New Roman"/>
          <w:sz w:val="20"/>
          <w:bdr w:val="none" w:sz="0" w:space="0" w:color="auto" w:frame="1"/>
        </w:rPr>
        <w:t>Trester</w:t>
      </w:r>
      <w:proofErr w:type="spellEnd"/>
      <w:r w:rsidRPr="00B230CB">
        <w:rPr>
          <w:rFonts w:ascii="Times New Roman" w:hAnsi="Times New Roman"/>
          <w:color w:val="373739"/>
          <w:sz w:val="20"/>
          <w:shd w:val="clear" w:color="auto" w:fill="FFFFFF"/>
        </w:rPr>
        <w:t xml:space="preserve">, </w:t>
      </w:r>
      <w:r w:rsidRPr="00B230CB">
        <w:rPr>
          <w:rFonts w:ascii="Times New Roman" w:hAnsi="Times New Roman"/>
          <w:sz w:val="20"/>
          <w:bdr w:val="none" w:sz="0" w:space="0" w:color="auto" w:frame="1"/>
        </w:rPr>
        <w:t>Eugene P. Ramirez</w:t>
      </w:r>
      <w:r w:rsidRPr="00B230CB">
        <w:rPr>
          <w:rFonts w:ascii="Times New Roman" w:hAnsi="Times New Roman"/>
          <w:color w:val="373739"/>
          <w:sz w:val="20"/>
          <w:shd w:val="clear" w:color="auto" w:fill="FFFFFF"/>
        </w:rPr>
        <w:t xml:space="preserve">, </w:t>
      </w:r>
      <w:r w:rsidRPr="00B230CB">
        <w:rPr>
          <w:rFonts w:ascii="Times New Roman" w:hAnsi="Times New Roman"/>
          <w:sz w:val="20"/>
          <w:bdr w:val="none" w:sz="0" w:space="0" w:color="auto" w:frame="1"/>
        </w:rPr>
        <w:t>Louis W. Pappas</w:t>
      </w:r>
      <w:r w:rsidRPr="00B230CB">
        <w:rPr>
          <w:rFonts w:ascii="Times New Roman" w:hAnsi="Times New Roman"/>
          <w:color w:val="373739"/>
          <w:sz w:val="20"/>
          <w:shd w:val="clear" w:color="auto" w:fill="FFFFFF"/>
        </w:rPr>
        <w:t xml:space="preserve">, </w:t>
      </w:r>
      <w:r w:rsidRPr="00B230CB">
        <w:rPr>
          <w:rFonts w:ascii="Times New Roman" w:hAnsi="Times New Roman"/>
          <w:sz w:val="20"/>
          <w:bdr w:val="none" w:sz="0" w:space="0" w:color="auto" w:frame="1"/>
        </w:rPr>
        <w:t>Steven J. Renick</w:t>
      </w:r>
      <w:r w:rsidRPr="00B230CB">
        <w:rPr>
          <w:rFonts w:ascii="Times New Roman" w:hAnsi="Times New Roman"/>
          <w:color w:val="373739"/>
          <w:sz w:val="20"/>
          <w:shd w:val="clear" w:color="auto" w:fill="FFFFFF"/>
        </w:rPr>
        <w:t xml:space="preserve">, </w:t>
      </w:r>
      <w:r w:rsidRPr="00B230CB">
        <w:rPr>
          <w:rFonts w:ascii="Times New Roman" w:hAnsi="Times New Roman"/>
          <w:sz w:val="20"/>
          <w:bdr w:val="none" w:sz="0" w:space="0" w:color="auto" w:frame="1"/>
        </w:rPr>
        <w:t>Julie M. Fleming</w:t>
      </w:r>
      <w:r w:rsidRPr="00B230CB">
        <w:rPr>
          <w:rFonts w:ascii="Times New Roman" w:hAnsi="Times New Roman"/>
          <w:color w:val="373739"/>
          <w:sz w:val="20"/>
          <w:shd w:val="clear" w:color="auto" w:fill="FFFFFF"/>
        </w:rPr>
        <w:t xml:space="preserve"> and </w:t>
      </w:r>
      <w:r w:rsidRPr="00B230CB">
        <w:rPr>
          <w:rFonts w:ascii="Times New Roman" w:hAnsi="Times New Roman"/>
          <w:sz w:val="20"/>
          <w:bdr w:val="none" w:sz="0" w:space="0" w:color="auto" w:frame="1"/>
        </w:rPr>
        <w:t>Angela M. Powell</w:t>
      </w:r>
      <w:r w:rsidRPr="00B230CB">
        <w:rPr>
          <w:rFonts w:ascii="Times New Roman" w:hAnsi="Times New Roman"/>
          <w:color w:val="373739"/>
          <w:sz w:val="20"/>
          <w:shd w:val="clear" w:color="auto" w:fill="FFFFFF"/>
        </w:rPr>
        <w:t xml:space="preserve"> for Defendants and Appellants.</w:t>
      </w:r>
    </w:p>
    <w:p w14:paraId="00106821"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1077782F"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t xml:space="preserve">Fred J. </w:t>
      </w:r>
      <w:proofErr w:type="spellStart"/>
      <w:r w:rsidRPr="00B230CB">
        <w:rPr>
          <w:rFonts w:ascii="Times New Roman" w:hAnsi="Times New Roman"/>
          <w:color w:val="373739"/>
          <w:sz w:val="20"/>
          <w:shd w:val="clear" w:color="auto" w:fill="FFFFFF"/>
        </w:rPr>
        <w:t>Hiestand</w:t>
      </w:r>
      <w:proofErr w:type="spellEnd"/>
      <w:r w:rsidRPr="00B230CB">
        <w:rPr>
          <w:rFonts w:ascii="Times New Roman" w:hAnsi="Times New Roman"/>
          <w:color w:val="373739"/>
          <w:sz w:val="20"/>
          <w:shd w:val="clear" w:color="auto" w:fill="FFFFFF"/>
        </w:rPr>
        <w:t xml:space="preserve"> for The Civil Justice Association of California as Amicus Curiae on behalf of Defendants and Appellants.</w:t>
      </w:r>
    </w:p>
    <w:p w14:paraId="524A4D69"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07888E55"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t>Cole Huber and Derek P. Cole for League of California Cities and California State Association of Counties as Amici Curiae on behalf of Defendants and Appellants.</w:t>
      </w:r>
    </w:p>
    <w:p w14:paraId="1CC90456"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66B80638"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t xml:space="preserve">Polsinelli, David K. Schultz, J. Alan Warfield; </w:t>
      </w:r>
      <w:proofErr w:type="spellStart"/>
      <w:r w:rsidRPr="00B230CB">
        <w:rPr>
          <w:rFonts w:ascii="Times New Roman" w:hAnsi="Times New Roman"/>
          <w:color w:val="373739"/>
          <w:sz w:val="20"/>
          <w:shd w:val="clear" w:color="auto" w:fill="FFFFFF"/>
        </w:rPr>
        <w:t>Mansukhani</w:t>
      </w:r>
      <w:proofErr w:type="spellEnd"/>
      <w:r w:rsidRPr="00B230CB">
        <w:rPr>
          <w:rFonts w:ascii="Times New Roman" w:hAnsi="Times New Roman"/>
          <w:color w:val="373739"/>
          <w:sz w:val="20"/>
          <w:shd w:val="clear" w:color="auto" w:fill="FFFFFF"/>
        </w:rPr>
        <w:t xml:space="preserve">, Don </w:t>
      </w:r>
      <w:proofErr w:type="spellStart"/>
      <w:r w:rsidRPr="00B230CB">
        <w:rPr>
          <w:rFonts w:ascii="Times New Roman" w:hAnsi="Times New Roman"/>
          <w:color w:val="373739"/>
          <w:sz w:val="20"/>
          <w:shd w:val="clear" w:color="auto" w:fill="FFFFFF"/>
        </w:rPr>
        <w:t>Willenburg</w:t>
      </w:r>
      <w:proofErr w:type="spellEnd"/>
      <w:r w:rsidRPr="00B230CB">
        <w:rPr>
          <w:rFonts w:ascii="Times New Roman" w:hAnsi="Times New Roman"/>
          <w:color w:val="373739"/>
          <w:sz w:val="20"/>
          <w:shd w:val="clear" w:color="auto" w:fill="FFFFFF"/>
        </w:rPr>
        <w:t xml:space="preserve"> and Gordon Rees Scully for the Association of Southern California Defense Counsel and Association of Defense Counsel of Northern California and Nevada as Amici Curiae on behalf of Defendants and Appellants.</w:t>
      </w:r>
    </w:p>
    <w:p w14:paraId="3CD38E47"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1B05FDE8"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t>Shook, Hardy &amp; Bacon, Mark A. Behrens, Cary Silverman and Patrick Gregory for Coalition for Litigation Justice, Inc. as Amicus Curiae on behalf of Defendants and Appellants.</w:t>
      </w:r>
    </w:p>
    <w:p w14:paraId="4FEA6507"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6E329CC6"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t>Cole Pedroza, Curtis A. Cole, Cassidy C. Davenport and Bethany J. Peak for California Medical Association, California Dental Association and California Hospital Association as Amici Curiae on behalf of Defendants and Appellants.</w:t>
      </w:r>
    </w:p>
    <w:p w14:paraId="26B552F7"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153C8B1A"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t>The Arkin Law Firm and Sharon J. Arkin for Consumer Attorneys of California as Amicus Curiae on behalf of Plaintiffs and Respondents.</w:t>
      </w:r>
    </w:p>
    <w:p w14:paraId="4EB10EDB"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p>
    <w:p w14:paraId="7993BA0D" w14:textId="77777777" w:rsidR="00B230CB" w:rsidRPr="00B230CB" w:rsidRDefault="00B230CB" w:rsidP="00B230CB">
      <w:pPr>
        <w:spacing w:after="0" w:line="240" w:lineRule="auto"/>
        <w:jc w:val="left"/>
        <w:rPr>
          <w:rFonts w:ascii="Times New Roman" w:hAnsi="Times New Roman"/>
          <w:sz w:val="20"/>
          <w:shd w:val="clear" w:color="auto" w:fill="F0F2F4"/>
        </w:rPr>
      </w:pPr>
      <w:r w:rsidRPr="00B230CB">
        <w:rPr>
          <w:rFonts w:ascii="Times New Roman" w:hAnsi="Times New Roman"/>
          <w:color w:val="373739"/>
          <w:sz w:val="20"/>
          <w:shd w:val="clear" w:color="auto" w:fill="FFFFFF"/>
        </w:rPr>
        <w:lastRenderedPageBreak/>
        <w:t xml:space="preserve">Kazan, McClain, </w:t>
      </w:r>
      <w:proofErr w:type="spellStart"/>
      <w:r w:rsidRPr="00B230CB">
        <w:rPr>
          <w:rFonts w:ascii="Times New Roman" w:hAnsi="Times New Roman"/>
          <w:color w:val="373739"/>
          <w:sz w:val="20"/>
          <w:shd w:val="clear" w:color="auto" w:fill="FFFFFF"/>
        </w:rPr>
        <w:t>Satterly</w:t>
      </w:r>
      <w:proofErr w:type="spellEnd"/>
      <w:r w:rsidRPr="00B230CB">
        <w:rPr>
          <w:rFonts w:ascii="Times New Roman" w:hAnsi="Times New Roman"/>
          <w:color w:val="373739"/>
          <w:sz w:val="20"/>
          <w:shd w:val="clear" w:color="auto" w:fill="FFFFFF"/>
        </w:rPr>
        <w:t xml:space="preserve"> &amp; Greenwood and Ted W. Pelletier for Michael and Cindy Burch as Amici Curiae on behalf of Plaintiffs and Respondents.</w:t>
      </w:r>
    </w:p>
    <w:p w14:paraId="33558467" w14:textId="77777777" w:rsidR="00B230CB" w:rsidRPr="00B230CB" w:rsidRDefault="00B230CB" w:rsidP="00B230CB">
      <w:pPr>
        <w:spacing w:after="0" w:line="240" w:lineRule="auto"/>
        <w:jc w:val="left"/>
        <w:rPr>
          <w:rFonts w:ascii="Times New Roman" w:hAnsi="Times New Roman"/>
          <w:sz w:val="20"/>
          <w:shd w:val="clear" w:color="auto" w:fill="F0F2F4"/>
        </w:rPr>
      </w:pPr>
    </w:p>
    <w:p w14:paraId="72C52AAC" w14:textId="77777777" w:rsidR="00B230CB" w:rsidRPr="00B230CB" w:rsidRDefault="00B230CB" w:rsidP="00B230CB">
      <w:pPr>
        <w:spacing w:after="0" w:line="240" w:lineRule="auto"/>
        <w:jc w:val="left"/>
        <w:rPr>
          <w:rFonts w:ascii="Times New Roman" w:hAnsi="Times New Roman"/>
          <w:color w:val="373739"/>
          <w:sz w:val="20"/>
          <w:shd w:val="clear" w:color="auto" w:fill="FFFFFF"/>
        </w:rPr>
      </w:pPr>
      <w:r w:rsidRPr="00B230CB">
        <w:rPr>
          <w:rFonts w:ascii="Times New Roman" w:hAnsi="Times New Roman"/>
          <w:color w:val="373739"/>
          <w:sz w:val="20"/>
          <w:shd w:val="clear" w:color="auto" w:fill="FFFFFF"/>
        </w:rPr>
        <w:br w:type="page"/>
      </w:r>
    </w:p>
    <w:p w14:paraId="1102FEB9" w14:textId="77777777" w:rsidR="00B230CB" w:rsidRPr="00B230CB" w:rsidRDefault="00B230CB" w:rsidP="00B230CB">
      <w:pPr>
        <w:spacing w:after="0" w:line="240" w:lineRule="auto"/>
        <w:jc w:val="left"/>
        <w:rPr>
          <w:rFonts w:ascii="Times New Roman" w:hAnsi="Times New Roman"/>
          <w:color w:val="373739"/>
          <w:sz w:val="20"/>
        </w:rPr>
      </w:pPr>
    </w:p>
    <w:p w14:paraId="3AF2CAF6" w14:textId="77777777" w:rsidR="00B230CB" w:rsidRPr="00B230CB" w:rsidRDefault="00B230CB" w:rsidP="00B230CB">
      <w:pPr>
        <w:spacing w:after="0" w:line="240" w:lineRule="auto"/>
        <w:jc w:val="left"/>
        <w:rPr>
          <w:rFonts w:ascii="Times New Roman" w:hAnsi="Times New Roman"/>
          <w:color w:val="373739"/>
          <w:sz w:val="20"/>
        </w:rPr>
      </w:pPr>
      <w:r w:rsidRPr="00B230CB">
        <w:rPr>
          <w:rFonts w:ascii="Times New Roman" w:hAnsi="Times New Roman"/>
          <w:b/>
          <w:sz w:val="20"/>
        </w:rPr>
        <w:t>Counsel who argued in Supreme Court (not intended for publication with opinion):</w:t>
      </w:r>
    </w:p>
    <w:p w14:paraId="0F610B59" w14:textId="77777777" w:rsidR="00B230CB" w:rsidRPr="00B230CB" w:rsidRDefault="00B230CB" w:rsidP="00B230CB">
      <w:pPr>
        <w:spacing w:after="0" w:line="240" w:lineRule="auto"/>
        <w:jc w:val="left"/>
        <w:rPr>
          <w:rFonts w:ascii="Times New Roman" w:hAnsi="Times New Roman"/>
          <w:b/>
          <w:sz w:val="20"/>
        </w:rPr>
      </w:pPr>
    </w:p>
    <w:p w14:paraId="18FD0FDB" w14:textId="77777777" w:rsidR="00B230CB" w:rsidRPr="00B230CB" w:rsidRDefault="00B230CB" w:rsidP="00B230CB">
      <w:pPr>
        <w:spacing w:after="0" w:line="240" w:lineRule="auto"/>
        <w:jc w:val="left"/>
        <w:rPr>
          <w:rFonts w:ascii="Times New Roman" w:hAnsi="Times New Roman"/>
          <w:sz w:val="20"/>
        </w:rPr>
      </w:pPr>
      <w:proofErr w:type="spellStart"/>
      <w:r w:rsidRPr="00B230CB">
        <w:rPr>
          <w:rFonts w:ascii="Times New Roman" w:hAnsi="Times New Roman"/>
          <w:sz w:val="20"/>
        </w:rPr>
        <w:t>Olu</w:t>
      </w:r>
      <w:proofErr w:type="spellEnd"/>
      <w:r w:rsidRPr="00B230CB">
        <w:rPr>
          <w:rFonts w:ascii="Times New Roman" w:hAnsi="Times New Roman"/>
          <w:sz w:val="20"/>
        </w:rPr>
        <w:t xml:space="preserve"> Orange</w:t>
      </w:r>
    </w:p>
    <w:p w14:paraId="3F55F2B7"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Orange Law Offices, P.C.</w:t>
      </w:r>
    </w:p>
    <w:p w14:paraId="5F4D2C1F"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3435 Wilshire Blvd., Suite 2910</w:t>
      </w:r>
    </w:p>
    <w:p w14:paraId="2EA292B4"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Los Angeles, CA 90010</w:t>
      </w:r>
    </w:p>
    <w:p w14:paraId="2DE2DD62"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(213) 736-9900, ext. 103</w:t>
      </w:r>
    </w:p>
    <w:p w14:paraId="7353B1D8" w14:textId="77777777" w:rsidR="00B230CB" w:rsidRPr="00B230CB" w:rsidRDefault="00B230CB" w:rsidP="00B230CB">
      <w:pPr>
        <w:spacing w:after="0" w:line="240" w:lineRule="auto"/>
        <w:jc w:val="left"/>
        <w:rPr>
          <w:rFonts w:ascii="Times New Roman" w:hAnsi="Times New Roman"/>
          <w:sz w:val="20"/>
        </w:rPr>
      </w:pPr>
    </w:p>
    <w:p w14:paraId="6CDAA2FA"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Norman Pine</w:t>
      </w:r>
    </w:p>
    <w:p w14:paraId="1AAB463C"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Pine Tillett Pine LLP</w:t>
      </w:r>
    </w:p>
    <w:p w14:paraId="37B2378D"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14156 Magnolia Blvd., Ste. 200</w:t>
      </w:r>
    </w:p>
    <w:p w14:paraId="4B09E833"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Sherman Oaks, CA 91423-1182</w:t>
      </w:r>
    </w:p>
    <w:p w14:paraId="561DCD69"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(818) 379-9710</w:t>
      </w:r>
    </w:p>
    <w:p w14:paraId="505E09AA" w14:textId="77777777" w:rsidR="00B230CB" w:rsidRPr="00B230CB" w:rsidRDefault="00B230CB" w:rsidP="00B230CB">
      <w:pPr>
        <w:spacing w:after="0" w:line="240" w:lineRule="auto"/>
        <w:jc w:val="left"/>
        <w:rPr>
          <w:rFonts w:ascii="Times New Roman" w:hAnsi="Times New Roman"/>
          <w:sz w:val="20"/>
        </w:rPr>
      </w:pPr>
    </w:p>
    <w:p w14:paraId="42A59467"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Sabrina H. Strong</w:t>
      </w:r>
    </w:p>
    <w:p w14:paraId="653AFE7F"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O’Melveny &amp; Myers, LLP</w:t>
      </w:r>
    </w:p>
    <w:p w14:paraId="23422821"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400 South Hope Street, 18</w:t>
      </w:r>
      <w:r w:rsidRPr="00B230CB">
        <w:rPr>
          <w:rFonts w:ascii="Times New Roman" w:hAnsi="Times New Roman"/>
          <w:sz w:val="20"/>
          <w:vertAlign w:val="superscript"/>
        </w:rPr>
        <w:t>th</w:t>
      </w:r>
      <w:r w:rsidRPr="00B230CB">
        <w:rPr>
          <w:rFonts w:ascii="Times New Roman" w:hAnsi="Times New Roman"/>
          <w:sz w:val="20"/>
        </w:rPr>
        <w:t xml:space="preserve"> Floor</w:t>
      </w:r>
    </w:p>
    <w:p w14:paraId="3C0A333C"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Los Angeles, CA 90071-2899</w:t>
      </w:r>
    </w:p>
    <w:p w14:paraId="6E5C55F1" w14:textId="77777777" w:rsidR="00B230CB" w:rsidRPr="00B230CB" w:rsidRDefault="00B230CB" w:rsidP="00B230CB">
      <w:pPr>
        <w:spacing w:after="0" w:line="240" w:lineRule="auto"/>
        <w:jc w:val="left"/>
        <w:rPr>
          <w:rFonts w:ascii="Times New Roman" w:hAnsi="Times New Roman"/>
          <w:sz w:val="20"/>
        </w:rPr>
      </w:pPr>
      <w:r w:rsidRPr="00B230CB">
        <w:rPr>
          <w:rFonts w:ascii="Times New Roman" w:hAnsi="Times New Roman"/>
          <w:sz w:val="20"/>
        </w:rPr>
        <w:t>(213) 430-6000</w:t>
      </w:r>
    </w:p>
    <w:p w14:paraId="0332F4D1" w14:textId="5693F3C2" w:rsidR="0061201F" w:rsidRPr="00EF3B82" w:rsidRDefault="0061201F" w:rsidP="00BD11B7">
      <w:pPr>
        <w:tabs>
          <w:tab w:val="left" w:pos="1440"/>
        </w:tabs>
        <w:rPr>
          <w:b/>
        </w:rPr>
      </w:pPr>
    </w:p>
    <w:sectPr w:rsidR="0061201F" w:rsidRPr="00EF3B82" w:rsidSect="007903F3">
      <w:headerReference w:type="default" r:id="rId16"/>
      <w:footerReference w:type="default" r:id="rId17"/>
      <w:headerReference w:type="first" r:id="rId18"/>
      <w:footerReference w:type="first" r:id="rId19"/>
      <w:footnotePr>
        <w:numRestart w:val="eachSect"/>
      </w:footnotePr>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1848" w14:textId="77777777" w:rsidR="00BE518F" w:rsidRDefault="00BE518F">
      <w:r>
        <w:separator/>
      </w:r>
    </w:p>
    <w:p w14:paraId="7F544F07" w14:textId="77777777" w:rsidR="00BE518F" w:rsidRDefault="00BE518F"/>
    <w:p w14:paraId="6068CDAE" w14:textId="77777777" w:rsidR="00BE518F" w:rsidRDefault="00BE518F" w:rsidP="004826D3"/>
    <w:p w14:paraId="2FA77C15" w14:textId="77777777" w:rsidR="00BE518F" w:rsidRDefault="00BE518F" w:rsidP="004826D3"/>
  </w:endnote>
  <w:endnote w:type="continuationSeparator" w:id="0">
    <w:p w14:paraId="602BE1EF" w14:textId="77777777" w:rsidR="00BE518F" w:rsidRDefault="00BE518F">
      <w:r>
        <w:continuationSeparator/>
      </w:r>
    </w:p>
    <w:p w14:paraId="0E877D79" w14:textId="77777777" w:rsidR="00BE518F" w:rsidRDefault="00BE518F"/>
    <w:p w14:paraId="7EE530CB" w14:textId="77777777" w:rsidR="00BE518F" w:rsidRDefault="00BE518F" w:rsidP="004826D3"/>
    <w:p w14:paraId="398DD189" w14:textId="77777777" w:rsidR="00BE518F" w:rsidRDefault="00BE518F" w:rsidP="0048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10965"/>
      <w:docPartObj>
        <w:docPartGallery w:val="Page Numbers (Bottom of Page)"/>
        <w:docPartUnique/>
      </w:docPartObj>
    </w:sdtPr>
    <w:sdtEndPr>
      <w:rPr>
        <w:noProof/>
      </w:rPr>
    </w:sdtEndPr>
    <w:sdtContent>
      <w:p w14:paraId="405A0955" w14:textId="77777777" w:rsidR="00715120" w:rsidRDefault="0071512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4" w14:textId="77777777" w:rsidR="00723852" w:rsidRDefault="0072385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84D6" w14:textId="2458807D" w:rsidR="00BD11B7" w:rsidRDefault="00BD11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295A" w14:textId="64E09F75" w:rsidR="00B230CB" w:rsidRDefault="00B230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C9C0" w14:textId="77777777" w:rsidR="007903F3" w:rsidRPr="007903F3" w:rsidRDefault="007903F3" w:rsidP="007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CE6C" w14:textId="77777777" w:rsidR="00BE518F" w:rsidRDefault="00BE518F" w:rsidP="004826D3">
      <w:r>
        <w:separator/>
      </w:r>
    </w:p>
  </w:footnote>
  <w:footnote w:type="continuationSeparator" w:id="0">
    <w:p w14:paraId="4FFCD1D7" w14:textId="77777777" w:rsidR="00BE518F" w:rsidRDefault="00BE518F">
      <w:r>
        <w:continuationSeparator/>
      </w:r>
    </w:p>
  </w:footnote>
  <w:footnote w:id="1">
    <w:p w14:paraId="551CD274" w14:textId="77777777" w:rsidR="00D11A0B" w:rsidRDefault="00D11A0B" w:rsidP="00D11A0B">
      <w:pPr>
        <w:pStyle w:val="FootnoteText"/>
      </w:pPr>
      <w:r>
        <w:rPr>
          <w:rStyle w:val="FootnoteReference"/>
        </w:rPr>
        <w:footnoteRef/>
      </w:r>
      <w:r>
        <w:t xml:space="preserve"> </w:t>
      </w:r>
      <w:r>
        <w:tab/>
        <w:t>All further unlabeled statutory references are to the Civil Code.</w:t>
      </w:r>
    </w:p>
  </w:footnote>
  <w:footnote w:id="2">
    <w:p w14:paraId="5086252F" w14:textId="77777777" w:rsidR="00D11A0B" w:rsidRDefault="00D11A0B" w:rsidP="00D11A0B">
      <w:pPr>
        <w:pStyle w:val="FootnoteText"/>
      </w:pPr>
      <w:r>
        <w:rPr>
          <w:rStyle w:val="FootnoteReference"/>
        </w:rPr>
        <w:footnoteRef/>
      </w:r>
      <w:r>
        <w:t xml:space="preserve"> </w:t>
      </w:r>
      <w:r>
        <w:tab/>
      </w:r>
      <w:r w:rsidRPr="005039CA">
        <w:t xml:space="preserve">Burley was African American.  We are cognizant that the facts of this case bear similarities to well-publicized incidents in which African Americans have died during encounters with police.  These incidents raise </w:t>
      </w:r>
      <w:r>
        <w:t xml:space="preserve">deeply </w:t>
      </w:r>
      <w:r w:rsidRPr="005039CA">
        <w:t>troubling and difficult issues involving race and the use of police force</w:t>
      </w:r>
      <w:r>
        <w:t xml:space="preserve">.  But the question plaintiffs raise in this case — whether </w:t>
      </w:r>
      <w:r w:rsidRPr="005039CA">
        <w:t>and how section 1431.2 applies to intentional tortfeasors —</w:t>
      </w:r>
      <w:r>
        <w:t> </w:t>
      </w:r>
      <w:r w:rsidRPr="005039CA">
        <w:t xml:space="preserve">does not turn upon </w:t>
      </w:r>
      <w:r>
        <w:t xml:space="preserve">either </w:t>
      </w:r>
      <w:r w:rsidRPr="005039CA">
        <w:t>the decedent’s race or the fact that a law enforcement officer</w:t>
      </w:r>
      <w:r>
        <w:t>, rather than a civilian,</w:t>
      </w:r>
      <w:r w:rsidRPr="005039CA">
        <w:t xml:space="preserve"> committed the intentional tort.</w:t>
      </w:r>
    </w:p>
  </w:footnote>
  <w:footnote w:id="3">
    <w:p w14:paraId="23CC1218" w14:textId="7F4B7BD2" w:rsidR="00097203" w:rsidRDefault="00097203" w:rsidP="00521F52">
      <w:pPr>
        <w:spacing w:line="240" w:lineRule="auto"/>
      </w:pPr>
      <w:r>
        <w:rPr>
          <w:rStyle w:val="FootnoteReference"/>
        </w:rPr>
        <w:footnoteRef/>
      </w:r>
      <w:r>
        <w:tab/>
        <w:t xml:space="preserve">Long before </w:t>
      </w:r>
      <w:r w:rsidRPr="00E565C3">
        <w:rPr>
          <w:i/>
          <w:iCs/>
        </w:rPr>
        <w:t>Li</w:t>
      </w:r>
      <w:r>
        <w:t>, California precedent held in the tort context that the terms “fault” and “negligence” were “synonymous.”  (</w:t>
      </w:r>
      <w:bookmarkStart w:id="106" w:name="Psych_Cite_231"/>
      <w:r w:rsidRPr="00951383">
        <w:rPr>
          <w:i/>
          <w:iCs/>
        </w:rPr>
        <w:t>Cahill Bros., Inc. v. Clementina Co.</w:t>
      </w:r>
      <w:r>
        <w:t xml:space="preserve"> (1962) 208 Cal.App.2d 367, 380</w:t>
      </w:r>
      <w:bookmarkEnd w:id="106"/>
      <w:r>
        <w:t xml:space="preserve">; </w:t>
      </w:r>
      <w:bookmarkStart w:id="107" w:name="Psych_Cite_232"/>
      <w:r w:rsidRPr="00F84B9B">
        <w:rPr>
          <w:i/>
          <w:iCs/>
        </w:rPr>
        <w:t>Marston v. Pickwick Stages</w:t>
      </w:r>
      <w:r>
        <w:t xml:space="preserve"> (1926) 78 </w:t>
      </w:r>
      <w:r>
        <w:t>Cal.App. 526, 534</w:t>
      </w:r>
      <w:bookmarkEnd w:id="107"/>
      <w:r>
        <w:t xml:space="preserve">; </w:t>
      </w:r>
      <w:bookmarkStart w:id="108" w:name="Psych_Cite_233"/>
      <w:r>
        <w:t xml:space="preserve">see </w:t>
      </w:r>
      <w:r w:rsidRPr="008346D7">
        <w:rPr>
          <w:i/>
          <w:iCs/>
        </w:rPr>
        <w:t>Gackstetter v. Market St. Ry. Co.</w:t>
      </w:r>
      <w:r>
        <w:t xml:space="preserve"> (1933) 130 Cal.App. 316, 323 [“The word ‘fault’ in the instruction was the equivalent of negligence”].)</w:t>
      </w:r>
      <w:bookmarkEnd w:id="108"/>
    </w:p>
  </w:footnote>
  <w:footnote w:id="4">
    <w:p w14:paraId="66DEF690" w14:textId="0DDA1DFB" w:rsidR="00097203" w:rsidRDefault="00097203" w:rsidP="00097203">
      <w:pPr>
        <w:pStyle w:val="FootnoteText"/>
      </w:pPr>
      <w:r>
        <w:rPr>
          <w:rStyle w:val="FootnoteReference"/>
        </w:rPr>
        <w:footnoteRef/>
      </w:r>
      <w:r>
        <w:tab/>
        <w:t xml:space="preserve">We express no opinion </w:t>
      </w:r>
      <w:r w:rsidR="0072128F">
        <w:t xml:space="preserve">on </w:t>
      </w:r>
      <w:r>
        <w:t xml:space="preserve">whether negligent tortfeasors may, under </w:t>
      </w:r>
      <w:bookmarkStart w:id="283" w:name="Psych_Cite_234"/>
      <w:r>
        <w:t xml:space="preserve">section 1431.2, subdivision (a), </w:t>
      </w:r>
      <w:bookmarkEnd w:id="283"/>
      <w:r>
        <w:t>obtain a reduction in their liability for noneconomic damages based on the extent to which an intentional tortfeasor contributed to the injured party’s injuries.</w:t>
      </w:r>
      <w:r w:rsidR="00892815">
        <w:t xml:space="preserve">  We also express no opinion on whether</w:t>
      </w:r>
      <w:r w:rsidR="00A37747">
        <w:t>, for policy reasons,</w:t>
      </w:r>
      <w:r w:rsidR="00892815">
        <w:t xml:space="preserve"> </w:t>
      </w:r>
      <w:r w:rsidR="00A37747">
        <w:t xml:space="preserve">existing </w:t>
      </w:r>
      <w:r w:rsidR="000D0480">
        <w:t xml:space="preserve">common law </w:t>
      </w:r>
      <w:r w:rsidR="00A37747">
        <w:t xml:space="preserve">principles of comparative fault should be changed vis-à-vis intentional </w:t>
      </w:r>
      <w:r w:rsidR="000C33B4">
        <w:t xml:space="preserve">tortfeasors.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2D" w14:textId="77777777" w:rsidR="000E5987" w:rsidRDefault="000E5987"/>
  <w:p w14:paraId="649EEE2E" w14:textId="77777777" w:rsidR="000E5987" w:rsidRDefault="000E5987"/>
  <w:p w14:paraId="649EEE2F" w14:textId="77777777" w:rsidR="000E5987" w:rsidRDefault="000E5987" w:rsidP="00482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1" w14:textId="136900BC" w:rsidR="00723852" w:rsidRDefault="00723852">
    <w:pPr>
      <w:pStyle w:val="Header"/>
    </w:pPr>
  </w:p>
  <w:p w14:paraId="649EEE32" w14:textId="77777777" w:rsidR="00723852" w:rsidRDefault="00723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6331" w14:textId="77777777" w:rsidR="0020638F" w:rsidRDefault="0020638F">
    <w:pPr>
      <w:pStyle w:val="Header"/>
    </w:pPr>
    <w:r>
      <w:t>B.B. v. COUNTY OF LOS ANGELES</w:t>
    </w:r>
  </w:p>
  <w:p w14:paraId="797C0D83" w14:textId="77777777" w:rsidR="0020638F" w:rsidRDefault="0020638F">
    <w:pPr>
      <w:pStyle w:val="Header"/>
    </w:pPr>
    <w:r>
      <w:t>Opinion of the Court by Chin, J.</w:t>
    </w:r>
  </w:p>
  <w:p w14:paraId="271F5C11" w14:textId="77777777" w:rsidR="0020638F" w:rsidRDefault="00206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575" w14:textId="77777777" w:rsidR="00D72FB3" w:rsidRDefault="00D72FB3">
    <w:pPr>
      <w:pStyle w:val="Header"/>
    </w:pPr>
    <w:r>
      <w:t>B.B. v. COUNTY OF LOS ANGELES</w:t>
    </w:r>
  </w:p>
  <w:p w14:paraId="43EA4BE3" w14:textId="469E67AB" w:rsidR="00D72FB3" w:rsidRDefault="005A476E">
    <w:pPr>
      <w:pStyle w:val="Header"/>
    </w:pPr>
    <w:r>
      <w:t>Liu, J.</w:t>
    </w:r>
    <w:r w:rsidR="00631E43">
      <w:t>,</w:t>
    </w:r>
    <w:r>
      <w:t xml:space="preserve"> concurring</w:t>
    </w:r>
  </w:p>
  <w:p w14:paraId="0E6E09E7" w14:textId="77777777" w:rsidR="00D72FB3" w:rsidRDefault="00D72F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3E0D" w14:textId="77777777" w:rsidR="00BD11B7" w:rsidRDefault="00BD11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831E" w14:textId="77777777" w:rsidR="00B230CB" w:rsidRPr="00B230CB" w:rsidRDefault="00B230CB" w:rsidP="00B230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FA2F" w14:textId="77777777" w:rsidR="007903F3" w:rsidRPr="007903F3" w:rsidRDefault="007903F3" w:rsidP="0079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0671"/>
    <w:multiLevelType w:val="hybridMultilevel"/>
    <w:tmpl w:val="D4F0B674"/>
    <w:lvl w:ilvl="0" w:tplc="58260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61D0E"/>
    <w:multiLevelType w:val="hybridMultilevel"/>
    <w:tmpl w:val="9B32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7035A"/>
    <w:multiLevelType w:val="multilevel"/>
    <w:tmpl w:val="9B4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9045E9"/>
    <w:multiLevelType w:val="hybridMultilevel"/>
    <w:tmpl w:val="7020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F27A3"/>
    <w:multiLevelType w:val="hybridMultilevel"/>
    <w:tmpl w:val="8AA8C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0F94AB9"/>
    <w:multiLevelType w:val="hybridMultilevel"/>
    <w:tmpl w:val="20048440"/>
    <w:lvl w:ilvl="0" w:tplc="A15E29E8">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6B9"/>
    <w:rsid w:val="00001140"/>
    <w:rsid w:val="00001346"/>
    <w:rsid w:val="00001380"/>
    <w:rsid w:val="00001A40"/>
    <w:rsid w:val="00001EF8"/>
    <w:rsid w:val="00002F0A"/>
    <w:rsid w:val="000038C0"/>
    <w:rsid w:val="00004260"/>
    <w:rsid w:val="000053B4"/>
    <w:rsid w:val="00006058"/>
    <w:rsid w:val="00006602"/>
    <w:rsid w:val="0000686B"/>
    <w:rsid w:val="000069ED"/>
    <w:rsid w:val="00006A74"/>
    <w:rsid w:val="00007792"/>
    <w:rsid w:val="00007B61"/>
    <w:rsid w:val="00010624"/>
    <w:rsid w:val="0001073F"/>
    <w:rsid w:val="00010793"/>
    <w:rsid w:val="00011268"/>
    <w:rsid w:val="00011536"/>
    <w:rsid w:val="00011AD1"/>
    <w:rsid w:val="00012068"/>
    <w:rsid w:val="0001255F"/>
    <w:rsid w:val="000125CE"/>
    <w:rsid w:val="000126E4"/>
    <w:rsid w:val="000128C0"/>
    <w:rsid w:val="00012A72"/>
    <w:rsid w:val="00012A92"/>
    <w:rsid w:val="00012BC8"/>
    <w:rsid w:val="00012F43"/>
    <w:rsid w:val="00013100"/>
    <w:rsid w:val="0001380C"/>
    <w:rsid w:val="000142C4"/>
    <w:rsid w:val="00014591"/>
    <w:rsid w:val="000146EB"/>
    <w:rsid w:val="000149E7"/>
    <w:rsid w:val="00014ED1"/>
    <w:rsid w:val="00014EFD"/>
    <w:rsid w:val="000154EE"/>
    <w:rsid w:val="00015534"/>
    <w:rsid w:val="0001597C"/>
    <w:rsid w:val="00015B99"/>
    <w:rsid w:val="00015CFF"/>
    <w:rsid w:val="00015F64"/>
    <w:rsid w:val="00016282"/>
    <w:rsid w:val="00016FF7"/>
    <w:rsid w:val="00017093"/>
    <w:rsid w:val="000171A9"/>
    <w:rsid w:val="00017228"/>
    <w:rsid w:val="00017390"/>
    <w:rsid w:val="00017A77"/>
    <w:rsid w:val="00017FAB"/>
    <w:rsid w:val="00020076"/>
    <w:rsid w:val="000200C0"/>
    <w:rsid w:val="00020391"/>
    <w:rsid w:val="00020C68"/>
    <w:rsid w:val="00020E6E"/>
    <w:rsid w:val="00021263"/>
    <w:rsid w:val="00021AB9"/>
    <w:rsid w:val="00021C35"/>
    <w:rsid w:val="00021CBF"/>
    <w:rsid w:val="000225C0"/>
    <w:rsid w:val="000226F0"/>
    <w:rsid w:val="00022ECC"/>
    <w:rsid w:val="0002315D"/>
    <w:rsid w:val="0002354E"/>
    <w:rsid w:val="0002361A"/>
    <w:rsid w:val="00023F34"/>
    <w:rsid w:val="000242D4"/>
    <w:rsid w:val="000242E7"/>
    <w:rsid w:val="00024579"/>
    <w:rsid w:val="00024754"/>
    <w:rsid w:val="00024774"/>
    <w:rsid w:val="00024D07"/>
    <w:rsid w:val="00024D18"/>
    <w:rsid w:val="00024F92"/>
    <w:rsid w:val="00025080"/>
    <w:rsid w:val="00025243"/>
    <w:rsid w:val="00025624"/>
    <w:rsid w:val="0002608E"/>
    <w:rsid w:val="00026234"/>
    <w:rsid w:val="00026552"/>
    <w:rsid w:val="0002720C"/>
    <w:rsid w:val="000275F9"/>
    <w:rsid w:val="000276B8"/>
    <w:rsid w:val="00027782"/>
    <w:rsid w:val="000304BD"/>
    <w:rsid w:val="00030574"/>
    <w:rsid w:val="0003083A"/>
    <w:rsid w:val="00030DF9"/>
    <w:rsid w:val="00030F0C"/>
    <w:rsid w:val="000311E6"/>
    <w:rsid w:val="00031258"/>
    <w:rsid w:val="00031851"/>
    <w:rsid w:val="00031B16"/>
    <w:rsid w:val="00031EAF"/>
    <w:rsid w:val="00032519"/>
    <w:rsid w:val="000326F3"/>
    <w:rsid w:val="0003296C"/>
    <w:rsid w:val="000330E9"/>
    <w:rsid w:val="000335ED"/>
    <w:rsid w:val="000339A8"/>
    <w:rsid w:val="00034122"/>
    <w:rsid w:val="00034153"/>
    <w:rsid w:val="00035705"/>
    <w:rsid w:val="00035847"/>
    <w:rsid w:val="00035951"/>
    <w:rsid w:val="00035BA6"/>
    <w:rsid w:val="00035C7B"/>
    <w:rsid w:val="00036290"/>
    <w:rsid w:val="00036405"/>
    <w:rsid w:val="000370DA"/>
    <w:rsid w:val="00037B0A"/>
    <w:rsid w:val="00037C63"/>
    <w:rsid w:val="00037E7E"/>
    <w:rsid w:val="00037F7F"/>
    <w:rsid w:val="0004054F"/>
    <w:rsid w:val="0004059F"/>
    <w:rsid w:val="00040B23"/>
    <w:rsid w:val="00040F2F"/>
    <w:rsid w:val="00041305"/>
    <w:rsid w:val="00041380"/>
    <w:rsid w:val="0004259C"/>
    <w:rsid w:val="000428DB"/>
    <w:rsid w:val="00042CB3"/>
    <w:rsid w:val="000433A1"/>
    <w:rsid w:val="000434B3"/>
    <w:rsid w:val="0004357B"/>
    <w:rsid w:val="00043D44"/>
    <w:rsid w:val="0004457C"/>
    <w:rsid w:val="000446A0"/>
    <w:rsid w:val="00047A48"/>
    <w:rsid w:val="0005068A"/>
    <w:rsid w:val="000506D0"/>
    <w:rsid w:val="000507A1"/>
    <w:rsid w:val="00050D27"/>
    <w:rsid w:val="00051760"/>
    <w:rsid w:val="00051A21"/>
    <w:rsid w:val="00051E6B"/>
    <w:rsid w:val="000529E2"/>
    <w:rsid w:val="00052D22"/>
    <w:rsid w:val="00053042"/>
    <w:rsid w:val="0005316A"/>
    <w:rsid w:val="00053744"/>
    <w:rsid w:val="00053862"/>
    <w:rsid w:val="00053886"/>
    <w:rsid w:val="00053D38"/>
    <w:rsid w:val="0005433F"/>
    <w:rsid w:val="00054E7A"/>
    <w:rsid w:val="00055217"/>
    <w:rsid w:val="00055DAB"/>
    <w:rsid w:val="000562B9"/>
    <w:rsid w:val="00056523"/>
    <w:rsid w:val="0005670F"/>
    <w:rsid w:val="0005691F"/>
    <w:rsid w:val="000569FF"/>
    <w:rsid w:val="00057FFB"/>
    <w:rsid w:val="00060007"/>
    <w:rsid w:val="00060405"/>
    <w:rsid w:val="0006046B"/>
    <w:rsid w:val="000605C9"/>
    <w:rsid w:val="00060AF0"/>
    <w:rsid w:val="000619D6"/>
    <w:rsid w:val="00061B7E"/>
    <w:rsid w:val="00061C5D"/>
    <w:rsid w:val="00063076"/>
    <w:rsid w:val="0006396A"/>
    <w:rsid w:val="0006414D"/>
    <w:rsid w:val="000645F5"/>
    <w:rsid w:val="00064A91"/>
    <w:rsid w:val="00064EC3"/>
    <w:rsid w:val="00065A0F"/>
    <w:rsid w:val="00065C38"/>
    <w:rsid w:val="00065D4E"/>
    <w:rsid w:val="00065EB0"/>
    <w:rsid w:val="000662D2"/>
    <w:rsid w:val="000665E2"/>
    <w:rsid w:val="0006674A"/>
    <w:rsid w:val="000670D7"/>
    <w:rsid w:val="00067128"/>
    <w:rsid w:val="000672E2"/>
    <w:rsid w:val="00067765"/>
    <w:rsid w:val="000678B2"/>
    <w:rsid w:val="000679AD"/>
    <w:rsid w:val="00067AB0"/>
    <w:rsid w:val="00067E92"/>
    <w:rsid w:val="00070CAF"/>
    <w:rsid w:val="00070DB6"/>
    <w:rsid w:val="000718BB"/>
    <w:rsid w:val="00071910"/>
    <w:rsid w:val="00071B79"/>
    <w:rsid w:val="00071BE8"/>
    <w:rsid w:val="00071EBF"/>
    <w:rsid w:val="0007230D"/>
    <w:rsid w:val="00072D4A"/>
    <w:rsid w:val="0007484C"/>
    <w:rsid w:val="00074AD4"/>
    <w:rsid w:val="00075082"/>
    <w:rsid w:val="00075A47"/>
    <w:rsid w:val="00075D02"/>
    <w:rsid w:val="0007634E"/>
    <w:rsid w:val="00076610"/>
    <w:rsid w:val="00076662"/>
    <w:rsid w:val="000774C8"/>
    <w:rsid w:val="0007783A"/>
    <w:rsid w:val="000779AF"/>
    <w:rsid w:val="00077A93"/>
    <w:rsid w:val="00077C44"/>
    <w:rsid w:val="000801BE"/>
    <w:rsid w:val="00080227"/>
    <w:rsid w:val="0008033C"/>
    <w:rsid w:val="00080419"/>
    <w:rsid w:val="00080A44"/>
    <w:rsid w:val="00080E1A"/>
    <w:rsid w:val="00080F00"/>
    <w:rsid w:val="00080F62"/>
    <w:rsid w:val="00081700"/>
    <w:rsid w:val="000817BA"/>
    <w:rsid w:val="00081AB0"/>
    <w:rsid w:val="00081BC3"/>
    <w:rsid w:val="00081C38"/>
    <w:rsid w:val="00081DDD"/>
    <w:rsid w:val="00081E7A"/>
    <w:rsid w:val="00081F84"/>
    <w:rsid w:val="00083D69"/>
    <w:rsid w:val="00084CE6"/>
    <w:rsid w:val="00085353"/>
    <w:rsid w:val="000857B5"/>
    <w:rsid w:val="00085FFA"/>
    <w:rsid w:val="000864ED"/>
    <w:rsid w:val="000865E7"/>
    <w:rsid w:val="00086FD0"/>
    <w:rsid w:val="000909B3"/>
    <w:rsid w:val="00090C15"/>
    <w:rsid w:val="00090C2B"/>
    <w:rsid w:val="00090F57"/>
    <w:rsid w:val="000913E7"/>
    <w:rsid w:val="0009154A"/>
    <w:rsid w:val="000917E0"/>
    <w:rsid w:val="00091BD1"/>
    <w:rsid w:val="00092303"/>
    <w:rsid w:val="000924F4"/>
    <w:rsid w:val="000929CA"/>
    <w:rsid w:val="0009316D"/>
    <w:rsid w:val="0009377A"/>
    <w:rsid w:val="000937C7"/>
    <w:rsid w:val="00093AD6"/>
    <w:rsid w:val="00093BA1"/>
    <w:rsid w:val="00093D63"/>
    <w:rsid w:val="00094429"/>
    <w:rsid w:val="000944A1"/>
    <w:rsid w:val="00094D94"/>
    <w:rsid w:val="00094F06"/>
    <w:rsid w:val="000951C8"/>
    <w:rsid w:val="0009541B"/>
    <w:rsid w:val="000955F4"/>
    <w:rsid w:val="00095962"/>
    <w:rsid w:val="0009628A"/>
    <w:rsid w:val="00096E66"/>
    <w:rsid w:val="00096E8C"/>
    <w:rsid w:val="00096E98"/>
    <w:rsid w:val="00097203"/>
    <w:rsid w:val="00097248"/>
    <w:rsid w:val="00097A51"/>
    <w:rsid w:val="000A0345"/>
    <w:rsid w:val="000A0DF6"/>
    <w:rsid w:val="000A0FDA"/>
    <w:rsid w:val="000A1567"/>
    <w:rsid w:val="000A186C"/>
    <w:rsid w:val="000A1B68"/>
    <w:rsid w:val="000A1ED4"/>
    <w:rsid w:val="000A2469"/>
    <w:rsid w:val="000A2B30"/>
    <w:rsid w:val="000A2BC6"/>
    <w:rsid w:val="000A30B4"/>
    <w:rsid w:val="000A3271"/>
    <w:rsid w:val="000A369D"/>
    <w:rsid w:val="000A370E"/>
    <w:rsid w:val="000A3D58"/>
    <w:rsid w:val="000A4072"/>
    <w:rsid w:val="000A41B5"/>
    <w:rsid w:val="000A4743"/>
    <w:rsid w:val="000A4A16"/>
    <w:rsid w:val="000A4F3D"/>
    <w:rsid w:val="000A5873"/>
    <w:rsid w:val="000A5903"/>
    <w:rsid w:val="000A5FA9"/>
    <w:rsid w:val="000A61AD"/>
    <w:rsid w:val="000A6353"/>
    <w:rsid w:val="000A63F4"/>
    <w:rsid w:val="000A644B"/>
    <w:rsid w:val="000A693D"/>
    <w:rsid w:val="000A6A4D"/>
    <w:rsid w:val="000A6E6A"/>
    <w:rsid w:val="000A767B"/>
    <w:rsid w:val="000A78B3"/>
    <w:rsid w:val="000A7960"/>
    <w:rsid w:val="000A79CD"/>
    <w:rsid w:val="000A7D65"/>
    <w:rsid w:val="000B006E"/>
    <w:rsid w:val="000B03F5"/>
    <w:rsid w:val="000B0AA9"/>
    <w:rsid w:val="000B0D39"/>
    <w:rsid w:val="000B1AE4"/>
    <w:rsid w:val="000B1D79"/>
    <w:rsid w:val="000B1FB8"/>
    <w:rsid w:val="000B205A"/>
    <w:rsid w:val="000B2400"/>
    <w:rsid w:val="000B248B"/>
    <w:rsid w:val="000B2CF7"/>
    <w:rsid w:val="000B3FAB"/>
    <w:rsid w:val="000B41C9"/>
    <w:rsid w:val="000B4847"/>
    <w:rsid w:val="000B4BB4"/>
    <w:rsid w:val="000B5B76"/>
    <w:rsid w:val="000B5B7E"/>
    <w:rsid w:val="000B5E76"/>
    <w:rsid w:val="000B6FE0"/>
    <w:rsid w:val="000B7023"/>
    <w:rsid w:val="000B7266"/>
    <w:rsid w:val="000B72B4"/>
    <w:rsid w:val="000B7336"/>
    <w:rsid w:val="000B76B2"/>
    <w:rsid w:val="000C04F5"/>
    <w:rsid w:val="000C07D7"/>
    <w:rsid w:val="000C08F1"/>
    <w:rsid w:val="000C0B25"/>
    <w:rsid w:val="000C0FE2"/>
    <w:rsid w:val="000C1178"/>
    <w:rsid w:val="000C1236"/>
    <w:rsid w:val="000C1F0C"/>
    <w:rsid w:val="000C282C"/>
    <w:rsid w:val="000C2963"/>
    <w:rsid w:val="000C2B72"/>
    <w:rsid w:val="000C33B4"/>
    <w:rsid w:val="000C395C"/>
    <w:rsid w:val="000C3BCC"/>
    <w:rsid w:val="000C3C33"/>
    <w:rsid w:val="000C3F8F"/>
    <w:rsid w:val="000C4579"/>
    <w:rsid w:val="000C461C"/>
    <w:rsid w:val="000C4A01"/>
    <w:rsid w:val="000C4D1D"/>
    <w:rsid w:val="000C4D9D"/>
    <w:rsid w:val="000C566B"/>
    <w:rsid w:val="000C5E1E"/>
    <w:rsid w:val="000C61EB"/>
    <w:rsid w:val="000C6E42"/>
    <w:rsid w:val="000C7E04"/>
    <w:rsid w:val="000C7E06"/>
    <w:rsid w:val="000D0480"/>
    <w:rsid w:val="000D0951"/>
    <w:rsid w:val="000D0966"/>
    <w:rsid w:val="000D0F00"/>
    <w:rsid w:val="000D0F37"/>
    <w:rsid w:val="000D13AF"/>
    <w:rsid w:val="000D19DF"/>
    <w:rsid w:val="000D1F1F"/>
    <w:rsid w:val="000D23E6"/>
    <w:rsid w:val="000D2C70"/>
    <w:rsid w:val="000D31EE"/>
    <w:rsid w:val="000D32E9"/>
    <w:rsid w:val="000D3A26"/>
    <w:rsid w:val="000D3C57"/>
    <w:rsid w:val="000D3C71"/>
    <w:rsid w:val="000D3CA5"/>
    <w:rsid w:val="000D3E6E"/>
    <w:rsid w:val="000D41BC"/>
    <w:rsid w:val="000D4203"/>
    <w:rsid w:val="000D42FA"/>
    <w:rsid w:val="000D4C41"/>
    <w:rsid w:val="000D4CE0"/>
    <w:rsid w:val="000D530A"/>
    <w:rsid w:val="000D54CE"/>
    <w:rsid w:val="000D55AE"/>
    <w:rsid w:val="000D5E69"/>
    <w:rsid w:val="000D6345"/>
    <w:rsid w:val="000D718B"/>
    <w:rsid w:val="000D7723"/>
    <w:rsid w:val="000D79C6"/>
    <w:rsid w:val="000E0032"/>
    <w:rsid w:val="000E00C8"/>
    <w:rsid w:val="000E03EF"/>
    <w:rsid w:val="000E0D5B"/>
    <w:rsid w:val="000E0E39"/>
    <w:rsid w:val="000E1459"/>
    <w:rsid w:val="000E19D6"/>
    <w:rsid w:val="000E1AED"/>
    <w:rsid w:val="000E27F0"/>
    <w:rsid w:val="000E36AF"/>
    <w:rsid w:val="000E3E13"/>
    <w:rsid w:val="000E4E42"/>
    <w:rsid w:val="000E5987"/>
    <w:rsid w:val="000E5C66"/>
    <w:rsid w:val="000E680E"/>
    <w:rsid w:val="000E6F68"/>
    <w:rsid w:val="000E7C6E"/>
    <w:rsid w:val="000F05D0"/>
    <w:rsid w:val="000F078E"/>
    <w:rsid w:val="000F0795"/>
    <w:rsid w:val="000F080F"/>
    <w:rsid w:val="000F08A7"/>
    <w:rsid w:val="000F09A0"/>
    <w:rsid w:val="000F0D2E"/>
    <w:rsid w:val="000F10AA"/>
    <w:rsid w:val="000F15DF"/>
    <w:rsid w:val="000F1DE2"/>
    <w:rsid w:val="000F1E95"/>
    <w:rsid w:val="000F2291"/>
    <w:rsid w:val="000F231A"/>
    <w:rsid w:val="000F247E"/>
    <w:rsid w:val="000F28BA"/>
    <w:rsid w:val="000F29CB"/>
    <w:rsid w:val="000F2C00"/>
    <w:rsid w:val="000F2CEB"/>
    <w:rsid w:val="000F3441"/>
    <w:rsid w:val="000F3816"/>
    <w:rsid w:val="000F3966"/>
    <w:rsid w:val="000F4155"/>
    <w:rsid w:val="000F4899"/>
    <w:rsid w:val="000F4CBC"/>
    <w:rsid w:val="000F4F58"/>
    <w:rsid w:val="000F5010"/>
    <w:rsid w:val="000F5094"/>
    <w:rsid w:val="000F5130"/>
    <w:rsid w:val="000F51FF"/>
    <w:rsid w:val="000F53D5"/>
    <w:rsid w:val="000F5B94"/>
    <w:rsid w:val="000F69B1"/>
    <w:rsid w:val="000F6BC4"/>
    <w:rsid w:val="000F6CC9"/>
    <w:rsid w:val="000F6F34"/>
    <w:rsid w:val="000F76F8"/>
    <w:rsid w:val="000F7BC3"/>
    <w:rsid w:val="001002D9"/>
    <w:rsid w:val="0010070E"/>
    <w:rsid w:val="00100772"/>
    <w:rsid w:val="00101380"/>
    <w:rsid w:val="00101D36"/>
    <w:rsid w:val="001026F7"/>
    <w:rsid w:val="001029C0"/>
    <w:rsid w:val="00102E22"/>
    <w:rsid w:val="00102F90"/>
    <w:rsid w:val="00103006"/>
    <w:rsid w:val="00103101"/>
    <w:rsid w:val="00103216"/>
    <w:rsid w:val="00103B20"/>
    <w:rsid w:val="00104283"/>
    <w:rsid w:val="001043E3"/>
    <w:rsid w:val="00104579"/>
    <w:rsid w:val="001046AE"/>
    <w:rsid w:val="00104E40"/>
    <w:rsid w:val="0010552D"/>
    <w:rsid w:val="0010587C"/>
    <w:rsid w:val="001058D6"/>
    <w:rsid w:val="00105C04"/>
    <w:rsid w:val="0010617F"/>
    <w:rsid w:val="00107FD0"/>
    <w:rsid w:val="0011058C"/>
    <w:rsid w:val="001107D7"/>
    <w:rsid w:val="001109AF"/>
    <w:rsid w:val="00110A56"/>
    <w:rsid w:val="00110BDB"/>
    <w:rsid w:val="00110DBC"/>
    <w:rsid w:val="00111033"/>
    <w:rsid w:val="001116AF"/>
    <w:rsid w:val="00111D6A"/>
    <w:rsid w:val="0011200A"/>
    <w:rsid w:val="00112ABE"/>
    <w:rsid w:val="00112CB5"/>
    <w:rsid w:val="00112D37"/>
    <w:rsid w:val="00113338"/>
    <w:rsid w:val="001136B1"/>
    <w:rsid w:val="00113F27"/>
    <w:rsid w:val="001144B4"/>
    <w:rsid w:val="00114659"/>
    <w:rsid w:val="0011481D"/>
    <w:rsid w:val="00114F4F"/>
    <w:rsid w:val="0011513E"/>
    <w:rsid w:val="00115B90"/>
    <w:rsid w:val="00115C10"/>
    <w:rsid w:val="00115E9D"/>
    <w:rsid w:val="00116331"/>
    <w:rsid w:val="00116430"/>
    <w:rsid w:val="001166C8"/>
    <w:rsid w:val="00116AEC"/>
    <w:rsid w:val="00116E43"/>
    <w:rsid w:val="001170D3"/>
    <w:rsid w:val="00117261"/>
    <w:rsid w:val="0011760F"/>
    <w:rsid w:val="00117B0F"/>
    <w:rsid w:val="001209B6"/>
    <w:rsid w:val="00120BE9"/>
    <w:rsid w:val="00120DE2"/>
    <w:rsid w:val="00121DDD"/>
    <w:rsid w:val="001227CE"/>
    <w:rsid w:val="00122A51"/>
    <w:rsid w:val="00122A55"/>
    <w:rsid w:val="001231BE"/>
    <w:rsid w:val="001232C8"/>
    <w:rsid w:val="001235A2"/>
    <w:rsid w:val="0012377C"/>
    <w:rsid w:val="00123E3D"/>
    <w:rsid w:val="00123ECA"/>
    <w:rsid w:val="001244A5"/>
    <w:rsid w:val="00124CDA"/>
    <w:rsid w:val="001258D5"/>
    <w:rsid w:val="00125C2D"/>
    <w:rsid w:val="00125F03"/>
    <w:rsid w:val="00125FF1"/>
    <w:rsid w:val="001268E7"/>
    <w:rsid w:val="00126DD6"/>
    <w:rsid w:val="00126FA5"/>
    <w:rsid w:val="0012704B"/>
    <w:rsid w:val="001272E6"/>
    <w:rsid w:val="0012783A"/>
    <w:rsid w:val="00127BA3"/>
    <w:rsid w:val="00127E68"/>
    <w:rsid w:val="00130133"/>
    <w:rsid w:val="00130C70"/>
    <w:rsid w:val="00131010"/>
    <w:rsid w:val="00131210"/>
    <w:rsid w:val="00131391"/>
    <w:rsid w:val="0013173E"/>
    <w:rsid w:val="001318B2"/>
    <w:rsid w:val="00131DE4"/>
    <w:rsid w:val="00132BCB"/>
    <w:rsid w:val="00133116"/>
    <w:rsid w:val="001343FD"/>
    <w:rsid w:val="001348B0"/>
    <w:rsid w:val="00134C46"/>
    <w:rsid w:val="00135153"/>
    <w:rsid w:val="0013557A"/>
    <w:rsid w:val="0013564B"/>
    <w:rsid w:val="00135662"/>
    <w:rsid w:val="001356DD"/>
    <w:rsid w:val="00135DCA"/>
    <w:rsid w:val="00135E42"/>
    <w:rsid w:val="001365C6"/>
    <w:rsid w:val="00136982"/>
    <w:rsid w:val="001369FF"/>
    <w:rsid w:val="00136A52"/>
    <w:rsid w:val="00136B13"/>
    <w:rsid w:val="0013737A"/>
    <w:rsid w:val="00137AB2"/>
    <w:rsid w:val="00140104"/>
    <w:rsid w:val="00140BBE"/>
    <w:rsid w:val="00141456"/>
    <w:rsid w:val="00141679"/>
    <w:rsid w:val="001416B5"/>
    <w:rsid w:val="0014187D"/>
    <w:rsid w:val="0014272F"/>
    <w:rsid w:val="001428E4"/>
    <w:rsid w:val="001429B4"/>
    <w:rsid w:val="00142F46"/>
    <w:rsid w:val="001431A9"/>
    <w:rsid w:val="001431FD"/>
    <w:rsid w:val="00143932"/>
    <w:rsid w:val="00143D39"/>
    <w:rsid w:val="0014403C"/>
    <w:rsid w:val="001440A4"/>
    <w:rsid w:val="001441DA"/>
    <w:rsid w:val="00144E12"/>
    <w:rsid w:val="0014533B"/>
    <w:rsid w:val="001454BF"/>
    <w:rsid w:val="00145740"/>
    <w:rsid w:val="00145E7F"/>
    <w:rsid w:val="001460F9"/>
    <w:rsid w:val="0014631C"/>
    <w:rsid w:val="0014637F"/>
    <w:rsid w:val="00146436"/>
    <w:rsid w:val="00146745"/>
    <w:rsid w:val="00146A08"/>
    <w:rsid w:val="00146A22"/>
    <w:rsid w:val="001472CE"/>
    <w:rsid w:val="00147D82"/>
    <w:rsid w:val="0015031D"/>
    <w:rsid w:val="001504CA"/>
    <w:rsid w:val="00150683"/>
    <w:rsid w:val="001507B7"/>
    <w:rsid w:val="00150A7E"/>
    <w:rsid w:val="001511F7"/>
    <w:rsid w:val="00151E5D"/>
    <w:rsid w:val="001522A9"/>
    <w:rsid w:val="001525A7"/>
    <w:rsid w:val="001526D0"/>
    <w:rsid w:val="00153403"/>
    <w:rsid w:val="00153496"/>
    <w:rsid w:val="001538CC"/>
    <w:rsid w:val="00153CBA"/>
    <w:rsid w:val="00153DA8"/>
    <w:rsid w:val="00153E21"/>
    <w:rsid w:val="00154106"/>
    <w:rsid w:val="0015464A"/>
    <w:rsid w:val="001548D0"/>
    <w:rsid w:val="00154A10"/>
    <w:rsid w:val="00154BDD"/>
    <w:rsid w:val="001559A4"/>
    <w:rsid w:val="00155B5B"/>
    <w:rsid w:val="00155F61"/>
    <w:rsid w:val="001560B1"/>
    <w:rsid w:val="001560F7"/>
    <w:rsid w:val="001566A8"/>
    <w:rsid w:val="00156758"/>
    <w:rsid w:val="00156D0E"/>
    <w:rsid w:val="00157300"/>
    <w:rsid w:val="00157936"/>
    <w:rsid w:val="00157B03"/>
    <w:rsid w:val="00157E8A"/>
    <w:rsid w:val="00160282"/>
    <w:rsid w:val="001604B9"/>
    <w:rsid w:val="001605F5"/>
    <w:rsid w:val="00160D97"/>
    <w:rsid w:val="00161A0E"/>
    <w:rsid w:val="001622D6"/>
    <w:rsid w:val="00162D2C"/>
    <w:rsid w:val="00162D50"/>
    <w:rsid w:val="00163214"/>
    <w:rsid w:val="00163FC9"/>
    <w:rsid w:val="0016475E"/>
    <w:rsid w:val="001647AD"/>
    <w:rsid w:val="00164B2F"/>
    <w:rsid w:val="00164BF3"/>
    <w:rsid w:val="00164E4E"/>
    <w:rsid w:val="00165591"/>
    <w:rsid w:val="001655EF"/>
    <w:rsid w:val="0016575B"/>
    <w:rsid w:val="00165BA1"/>
    <w:rsid w:val="00166939"/>
    <w:rsid w:val="001669E9"/>
    <w:rsid w:val="001669FC"/>
    <w:rsid w:val="001674EC"/>
    <w:rsid w:val="001676A5"/>
    <w:rsid w:val="00167CA0"/>
    <w:rsid w:val="00167E38"/>
    <w:rsid w:val="0017062B"/>
    <w:rsid w:val="00170812"/>
    <w:rsid w:val="00170C97"/>
    <w:rsid w:val="00170D5D"/>
    <w:rsid w:val="00171A0A"/>
    <w:rsid w:val="00171C20"/>
    <w:rsid w:val="00171EBE"/>
    <w:rsid w:val="00172224"/>
    <w:rsid w:val="00172953"/>
    <w:rsid w:val="00172BC9"/>
    <w:rsid w:val="001730F6"/>
    <w:rsid w:val="0017342D"/>
    <w:rsid w:val="001746CA"/>
    <w:rsid w:val="00174764"/>
    <w:rsid w:val="00174B79"/>
    <w:rsid w:val="00175204"/>
    <w:rsid w:val="0017559C"/>
    <w:rsid w:val="00175935"/>
    <w:rsid w:val="00176433"/>
    <w:rsid w:val="00176767"/>
    <w:rsid w:val="00176D5A"/>
    <w:rsid w:val="00176E0B"/>
    <w:rsid w:val="00177035"/>
    <w:rsid w:val="0017746C"/>
    <w:rsid w:val="00177553"/>
    <w:rsid w:val="00177AEB"/>
    <w:rsid w:val="00177F01"/>
    <w:rsid w:val="001801F7"/>
    <w:rsid w:val="00180840"/>
    <w:rsid w:val="00181166"/>
    <w:rsid w:val="00181A81"/>
    <w:rsid w:val="00182145"/>
    <w:rsid w:val="001825F5"/>
    <w:rsid w:val="001827DE"/>
    <w:rsid w:val="00183250"/>
    <w:rsid w:val="00183477"/>
    <w:rsid w:val="0018385C"/>
    <w:rsid w:val="00183B2F"/>
    <w:rsid w:val="00183CBD"/>
    <w:rsid w:val="00183D34"/>
    <w:rsid w:val="00183FCF"/>
    <w:rsid w:val="00184142"/>
    <w:rsid w:val="00184162"/>
    <w:rsid w:val="00184566"/>
    <w:rsid w:val="00184BFF"/>
    <w:rsid w:val="00184F62"/>
    <w:rsid w:val="0018516E"/>
    <w:rsid w:val="001856C5"/>
    <w:rsid w:val="00185A50"/>
    <w:rsid w:val="00185D26"/>
    <w:rsid w:val="00186156"/>
    <w:rsid w:val="001862E8"/>
    <w:rsid w:val="0018660A"/>
    <w:rsid w:val="00186632"/>
    <w:rsid w:val="00186ACF"/>
    <w:rsid w:val="00186E27"/>
    <w:rsid w:val="00186EF3"/>
    <w:rsid w:val="001873D9"/>
    <w:rsid w:val="0018777A"/>
    <w:rsid w:val="00190297"/>
    <w:rsid w:val="001905B1"/>
    <w:rsid w:val="00190B29"/>
    <w:rsid w:val="00190E01"/>
    <w:rsid w:val="00190F5B"/>
    <w:rsid w:val="00190F6C"/>
    <w:rsid w:val="001910CC"/>
    <w:rsid w:val="00191B68"/>
    <w:rsid w:val="001920E6"/>
    <w:rsid w:val="001923EB"/>
    <w:rsid w:val="00192497"/>
    <w:rsid w:val="00192589"/>
    <w:rsid w:val="00192600"/>
    <w:rsid w:val="0019269A"/>
    <w:rsid w:val="00192C5F"/>
    <w:rsid w:val="001933A4"/>
    <w:rsid w:val="00193D12"/>
    <w:rsid w:val="0019419C"/>
    <w:rsid w:val="001948B1"/>
    <w:rsid w:val="00195054"/>
    <w:rsid w:val="00195683"/>
    <w:rsid w:val="001956F5"/>
    <w:rsid w:val="00196033"/>
    <w:rsid w:val="001960F5"/>
    <w:rsid w:val="00196292"/>
    <w:rsid w:val="0019664D"/>
    <w:rsid w:val="00196D95"/>
    <w:rsid w:val="00196F44"/>
    <w:rsid w:val="00197103"/>
    <w:rsid w:val="001971B9"/>
    <w:rsid w:val="001972B1"/>
    <w:rsid w:val="001973D6"/>
    <w:rsid w:val="0019741F"/>
    <w:rsid w:val="00197CBC"/>
    <w:rsid w:val="00197CEF"/>
    <w:rsid w:val="001A003A"/>
    <w:rsid w:val="001A0317"/>
    <w:rsid w:val="001A0491"/>
    <w:rsid w:val="001A067F"/>
    <w:rsid w:val="001A0A3B"/>
    <w:rsid w:val="001A0DD9"/>
    <w:rsid w:val="001A0ED0"/>
    <w:rsid w:val="001A0F4A"/>
    <w:rsid w:val="001A12DC"/>
    <w:rsid w:val="001A1842"/>
    <w:rsid w:val="001A1CF5"/>
    <w:rsid w:val="001A1E69"/>
    <w:rsid w:val="001A20D2"/>
    <w:rsid w:val="001A2AB6"/>
    <w:rsid w:val="001A2C4D"/>
    <w:rsid w:val="001A2DA2"/>
    <w:rsid w:val="001A3419"/>
    <w:rsid w:val="001A3427"/>
    <w:rsid w:val="001A3480"/>
    <w:rsid w:val="001A3534"/>
    <w:rsid w:val="001A4058"/>
    <w:rsid w:val="001A40B3"/>
    <w:rsid w:val="001A4DC4"/>
    <w:rsid w:val="001A4EAC"/>
    <w:rsid w:val="001A5E42"/>
    <w:rsid w:val="001A6356"/>
    <w:rsid w:val="001A6438"/>
    <w:rsid w:val="001A7162"/>
    <w:rsid w:val="001A71D9"/>
    <w:rsid w:val="001A76B9"/>
    <w:rsid w:val="001A7D08"/>
    <w:rsid w:val="001B0ED8"/>
    <w:rsid w:val="001B1224"/>
    <w:rsid w:val="001B143A"/>
    <w:rsid w:val="001B14B6"/>
    <w:rsid w:val="001B1694"/>
    <w:rsid w:val="001B1D47"/>
    <w:rsid w:val="001B2523"/>
    <w:rsid w:val="001B29DD"/>
    <w:rsid w:val="001B3592"/>
    <w:rsid w:val="001B37C2"/>
    <w:rsid w:val="001B3B7A"/>
    <w:rsid w:val="001B3CFA"/>
    <w:rsid w:val="001B3D85"/>
    <w:rsid w:val="001B3E5B"/>
    <w:rsid w:val="001B50CA"/>
    <w:rsid w:val="001B51ED"/>
    <w:rsid w:val="001B5C4B"/>
    <w:rsid w:val="001B6952"/>
    <w:rsid w:val="001B6C5A"/>
    <w:rsid w:val="001B72DD"/>
    <w:rsid w:val="001B7656"/>
    <w:rsid w:val="001B7A8A"/>
    <w:rsid w:val="001B7BCC"/>
    <w:rsid w:val="001B7F06"/>
    <w:rsid w:val="001B7F18"/>
    <w:rsid w:val="001C029B"/>
    <w:rsid w:val="001C0362"/>
    <w:rsid w:val="001C06FD"/>
    <w:rsid w:val="001C0A04"/>
    <w:rsid w:val="001C0AC9"/>
    <w:rsid w:val="001C0C06"/>
    <w:rsid w:val="001C13A6"/>
    <w:rsid w:val="001C25FE"/>
    <w:rsid w:val="001C2AB6"/>
    <w:rsid w:val="001C2E6C"/>
    <w:rsid w:val="001C30E8"/>
    <w:rsid w:val="001C31E1"/>
    <w:rsid w:val="001C39ED"/>
    <w:rsid w:val="001C3AF8"/>
    <w:rsid w:val="001C3B36"/>
    <w:rsid w:val="001C3E99"/>
    <w:rsid w:val="001C4271"/>
    <w:rsid w:val="001C4512"/>
    <w:rsid w:val="001C46A9"/>
    <w:rsid w:val="001C4802"/>
    <w:rsid w:val="001C49E7"/>
    <w:rsid w:val="001C4EB8"/>
    <w:rsid w:val="001C4EFF"/>
    <w:rsid w:val="001C53D1"/>
    <w:rsid w:val="001C578C"/>
    <w:rsid w:val="001C57A7"/>
    <w:rsid w:val="001C57AB"/>
    <w:rsid w:val="001C5D76"/>
    <w:rsid w:val="001C6A8F"/>
    <w:rsid w:val="001C6BF5"/>
    <w:rsid w:val="001C6DC9"/>
    <w:rsid w:val="001D0A66"/>
    <w:rsid w:val="001D0F50"/>
    <w:rsid w:val="001D1751"/>
    <w:rsid w:val="001D1A15"/>
    <w:rsid w:val="001D1A6A"/>
    <w:rsid w:val="001D1B01"/>
    <w:rsid w:val="001D1C09"/>
    <w:rsid w:val="001D1E96"/>
    <w:rsid w:val="001D205E"/>
    <w:rsid w:val="001D20BB"/>
    <w:rsid w:val="001D2139"/>
    <w:rsid w:val="001D2256"/>
    <w:rsid w:val="001D273A"/>
    <w:rsid w:val="001D295D"/>
    <w:rsid w:val="001D2CDE"/>
    <w:rsid w:val="001D3799"/>
    <w:rsid w:val="001D40E0"/>
    <w:rsid w:val="001D538B"/>
    <w:rsid w:val="001D5461"/>
    <w:rsid w:val="001D54B8"/>
    <w:rsid w:val="001D5ABA"/>
    <w:rsid w:val="001D5E32"/>
    <w:rsid w:val="001D66DD"/>
    <w:rsid w:val="001D7104"/>
    <w:rsid w:val="001D72C7"/>
    <w:rsid w:val="001D7A9B"/>
    <w:rsid w:val="001D7B7F"/>
    <w:rsid w:val="001D7CEA"/>
    <w:rsid w:val="001E08DD"/>
    <w:rsid w:val="001E0A3C"/>
    <w:rsid w:val="001E0D7B"/>
    <w:rsid w:val="001E1119"/>
    <w:rsid w:val="001E11D8"/>
    <w:rsid w:val="001E1408"/>
    <w:rsid w:val="001E157E"/>
    <w:rsid w:val="001E18D0"/>
    <w:rsid w:val="001E1AF2"/>
    <w:rsid w:val="001E1E65"/>
    <w:rsid w:val="001E2030"/>
    <w:rsid w:val="001E24DA"/>
    <w:rsid w:val="001E336D"/>
    <w:rsid w:val="001E3461"/>
    <w:rsid w:val="001E3825"/>
    <w:rsid w:val="001E3878"/>
    <w:rsid w:val="001E3985"/>
    <w:rsid w:val="001E39E8"/>
    <w:rsid w:val="001E3D01"/>
    <w:rsid w:val="001E4144"/>
    <w:rsid w:val="001E41D7"/>
    <w:rsid w:val="001E44B2"/>
    <w:rsid w:val="001E4718"/>
    <w:rsid w:val="001E47C5"/>
    <w:rsid w:val="001E4CB5"/>
    <w:rsid w:val="001E548C"/>
    <w:rsid w:val="001E5590"/>
    <w:rsid w:val="001E55A3"/>
    <w:rsid w:val="001E55DC"/>
    <w:rsid w:val="001E5E9B"/>
    <w:rsid w:val="001E6250"/>
    <w:rsid w:val="001E68B2"/>
    <w:rsid w:val="001E6B26"/>
    <w:rsid w:val="001E715F"/>
    <w:rsid w:val="001E7332"/>
    <w:rsid w:val="001E74CD"/>
    <w:rsid w:val="001E78D4"/>
    <w:rsid w:val="001E797C"/>
    <w:rsid w:val="001E7ADA"/>
    <w:rsid w:val="001E7ADF"/>
    <w:rsid w:val="001E7E70"/>
    <w:rsid w:val="001F01C0"/>
    <w:rsid w:val="001F020F"/>
    <w:rsid w:val="001F036F"/>
    <w:rsid w:val="001F124B"/>
    <w:rsid w:val="001F1899"/>
    <w:rsid w:val="001F1970"/>
    <w:rsid w:val="001F1BAC"/>
    <w:rsid w:val="001F1EF9"/>
    <w:rsid w:val="001F252D"/>
    <w:rsid w:val="001F2550"/>
    <w:rsid w:val="001F28AC"/>
    <w:rsid w:val="001F2DDF"/>
    <w:rsid w:val="001F2FA4"/>
    <w:rsid w:val="001F2FF3"/>
    <w:rsid w:val="001F355C"/>
    <w:rsid w:val="001F3761"/>
    <w:rsid w:val="001F3B2B"/>
    <w:rsid w:val="001F3BA4"/>
    <w:rsid w:val="001F4422"/>
    <w:rsid w:val="001F4610"/>
    <w:rsid w:val="001F4D85"/>
    <w:rsid w:val="001F506B"/>
    <w:rsid w:val="001F5D9F"/>
    <w:rsid w:val="001F5E51"/>
    <w:rsid w:val="001F6154"/>
    <w:rsid w:val="001F61BA"/>
    <w:rsid w:val="001F6386"/>
    <w:rsid w:val="001F65C2"/>
    <w:rsid w:val="001F669F"/>
    <w:rsid w:val="001F6839"/>
    <w:rsid w:val="001F6CE4"/>
    <w:rsid w:val="001F6D89"/>
    <w:rsid w:val="001F6E83"/>
    <w:rsid w:val="001F719F"/>
    <w:rsid w:val="001F7780"/>
    <w:rsid w:val="001F786B"/>
    <w:rsid w:val="001F7A94"/>
    <w:rsid w:val="001F7DC3"/>
    <w:rsid w:val="00200007"/>
    <w:rsid w:val="0020001F"/>
    <w:rsid w:val="002004CD"/>
    <w:rsid w:val="00201C92"/>
    <w:rsid w:val="00201E53"/>
    <w:rsid w:val="00202251"/>
    <w:rsid w:val="00202EA7"/>
    <w:rsid w:val="00203156"/>
    <w:rsid w:val="002032A2"/>
    <w:rsid w:val="00203377"/>
    <w:rsid w:val="00203450"/>
    <w:rsid w:val="002037BF"/>
    <w:rsid w:val="002039AC"/>
    <w:rsid w:val="00203BA6"/>
    <w:rsid w:val="00204084"/>
    <w:rsid w:val="0020415A"/>
    <w:rsid w:val="002046ED"/>
    <w:rsid w:val="002046FD"/>
    <w:rsid w:val="00204AA4"/>
    <w:rsid w:val="002051F5"/>
    <w:rsid w:val="0020529B"/>
    <w:rsid w:val="002052A0"/>
    <w:rsid w:val="0020566C"/>
    <w:rsid w:val="00205793"/>
    <w:rsid w:val="0020638F"/>
    <w:rsid w:val="00206660"/>
    <w:rsid w:val="00206BBE"/>
    <w:rsid w:val="00206E5C"/>
    <w:rsid w:val="0020712F"/>
    <w:rsid w:val="00207855"/>
    <w:rsid w:val="0021094C"/>
    <w:rsid w:val="00210F2F"/>
    <w:rsid w:val="00211363"/>
    <w:rsid w:val="0021137A"/>
    <w:rsid w:val="002113C0"/>
    <w:rsid w:val="002117B7"/>
    <w:rsid w:val="00211CE2"/>
    <w:rsid w:val="002123DE"/>
    <w:rsid w:val="0021249A"/>
    <w:rsid w:val="002125F6"/>
    <w:rsid w:val="00212D41"/>
    <w:rsid w:val="00213133"/>
    <w:rsid w:val="00213609"/>
    <w:rsid w:val="00213620"/>
    <w:rsid w:val="00213CB8"/>
    <w:rsid w:val="00213FBA"/>
    <w:rsid w:val="00214633"/>
    <w:rsid w:val="002147B1"/>
    <w:rsid w:val="00214B67"/>
    <w:rsid w:val="00215970"/>
    <w:rsid w:val="002162F0"/>
    <w:rsid w:val="002164D6"/>
    <w:rsid w:val="002165B8"/>
    <w:rsid w:val="00216DD6"/>
    <w:rsid w:val="0021711D"/>
    <w:rsid w:val="002174E3"/>
    <w:rsid w:val="0021772C"/>
    <w:rsid w:val="00217754"/>
    <w:rsid w:val="00217FE3"/>
    <w:rsid w:val="0022097D"/>
    <w:rsid w:val="00220A75"/>
    <w:rsid w:val="00220D63"/>
    <w:rsid w:val="00221804"/>
    <w:rsid w:val="00221E37"/>
    <w:rsid w:val="00222CDC"/>
    <w:rsid w:val="00222D53"/>
    <w:rsid w:val="00223347"/>
    <w:rsid w:val="00223A60"/>
    <w:rsid w:val="00223C8B"/>
    <w:rsid w:val="00224581"/>
    <w:rsid w:val="002246B3"/>
    <w:rsid w:val="00224E6A"/>
    <w:rsid w:val="00224F9B"/>
    <w:rsid w:val="0022522D"/>
    <w:rsid w:val="002262B6"/>
    <w:rsid w:val="0022662C"/>
    <w:rsid w:val="00226D31"/>
    <w:rsid w:val="0022759E"/>
    <w:rsid w:val="00227CFA"/>
    <w:rsid w:val="00227E59"/>
    <w:rsid w:val="00230079"/>
    <w:rsid w:val="00230241"/>
    <w:rsid w:val="002306D0"/>
    <w:rsid w:val="002307EA"/>
    <w:rsid w:val="002309FD"/>
    <w:rsid w:val="00231130"/>
    <w:rsid w:val="002311AD"/>
    <w:rsid w:val="002316F8"/>
    <w:rsid w:val="00231DF9"/>
    <w:rsid w:val="00231E87"/>
    <w:rsid w:val="002325E3"/>
    <w:rsid w:val="00232AA2"/>
    <w:rsid w:val="00232F68"/>
    <w:rsid w:val="00232FF7"/>
    <w:rsid w:val="00233AA9"/>
    <w:rsid w:val="00233C05"/>
    <w:rsid w:val="00234149"/>
    <w:rsid w:val="00234273"/>
    <w:rsid w:val="00234340"/>
    <w:rsid w:val="002349F0"/>
    <w:rsid w:val="00234C4A"/>
    <w:rsid w:val="00235211"/>
    <w:rsid w:val="00235420"/>
    <w:rsid w:val="002358BA"/>
    <w:rsid w:val="00235E3A"/>
    <w:rsid w:val="002364F8"/>
    <w:rsid w:val="00236580"/>
    <w:rsid w:val="00236A07"/>
    <w:rsid w:val="00236FE9"/>
    <w:rsid w:val="0023785E"/>
    <w:rsid w:val="002378C7"/>
    <w:rsid w:val="002400A2"/>
    <w:rsid w:val="002407E9"/>
    <w:rsid w:val="00240AD1"/>
    <w:rsid w:val="00240FF2"/>
    <w:rsid w:val="0024114F"/>
    <w:rsid w:val="0024122C"/>
    <w:rsid w:val="00241E9C"/>
    <w:rsid w:val="00241EB7"/>
    <w:rsid w:val="00242253"/>
    <w:rsid w:val="00242A2E"/>
    <w:rsid w:val="0024309B"/>
    <w:rsid w:val="0024315E"/>
    <w:rsid w:val="0024413C"/>
    <w:rsid w:val="002441B2"/>
    <w:rsid w:val="002442D4"/>
    <w:rsid w:val="002449BB"/>
    <w:rsid w:val="00244C15"/>
    <w:rsid w:val="00245015"/>
    <w:rsid w:val="00245739"/>
    <w:rsid w:val="0024606F"/>
    <w:rsid w:val="00246FA6"/>
    <w:rsid w:val="00247D9F"/>
    <w:rsid w:val="0025002A"/>
    <w:rsid w:val="0025008F"/>
    <w:rsid w:val="002501EB"/>
    <w:rsid w:val="0025051C"/>
    <w:rsid w:val="00250696"/>
    <w:rsid w:val="00250CE0"/>
    <w:rsid w:val="00251965"/>
    <w:rsid w:val="002519F2"/>
    <w:rsid w:val="00251C71"/>
    <w:rsid w:val="002525DF"/>
    <w:rsid w:val="00252984"/>
    <w:rsid w:val="00252F40"/>
    <w:rsid w:val="00253464"/>
    <w:rsid w:val="00253853"/>
    <w:rsid w:val="00253C00"/>
    <w:rsid w:val="0025467C"/>
    <w:rsid w:val="00254E0D"/>
    <w:rsid w:val="00254FA5"/>
    <w:rsid w:val="00254FE8"/>
    <w:rsid w:val="0025527E"/>
    <w:rsid w:val="00255927"/>
    <w:rsid w:val="00255B0B"/>
    <w:rsid w:val="00255FE4"/>
    <w:rsid w:val="0025644D"/>
    <w:rsid w:val="002565A2"/>
    <w:rsid w:val="00256DA6"/>
    <w:rsid w:val="00256E1D"/>
    <w:rsid w:val="0025775F"/>
    <w:rsid w:val="00257A2C"/>
    <w:rsid w:val="00257FD0"/>
    <w:rsid w:val="00260A3D"/>
    <w:rsid w:val="002614EE"/>
    <w:rsid w:val="0026163C"/>
    <w:rsid w:val="00261DEE"/>
    <w:rsid w:val="0026204D"/>
    <w:rsid w:val="0026219B"/>
    <w:rsid w:val="002621DE"/>
    <w:rsid w:val="002626B3"/>
    <w:rsid w:val="002629A7"/>
    <w:rsid w:val="00262BCD"/>
    <w:rsid w:val="00262DEA"/>
    <w:rsid w:val="00262E79"/>
    <w:rsid w:val="00262F23"/>
    <w:rsid w:val="00263072"/>
    <w:rsid w:val="00263394"/>
    <w:rsid w:val="0026352B"/>
    <w:rsid w:val="0026365C"/>
    <w:rsid w:val="00263BC3"/>
    <w:rsid w:val="00263C5E"/>
    <w:rsid w:val="00263D44"/>
    <w:rsid w:val="002645BE"/>
    <w:rsid w:val="00264D81"/>
    <w:rsid w:val="002657E8"/>
    <w:rsid w:val="00265A60"/>
    <w:rsid w:val="00265C58"/>
    <w:rsid w:val="0026666A"/>
    <w:rsid w:val="00266C53"/>
    <w:rsid w:val="002703FB"/>
    <w:rsid w:val="00270CCD"/>
    <w:rsid w:val="00270DCC"/>
    <w:rsid w:val="002710D9"/>
    <w:rsid w:val="002716AF"/>
    <w:rsid w:val="00271D33"/>
    <w:rsid w:val="00271D79"/>
    <w:rsid w:val="00272287"/>
    <w:rsid w:val="00272660"/>
    <w:rsid w:val="0027271A"/>
    <w:rsid w:val="00273232"/>
    <w:rsid w:val="00273BDA"/>
    <w:rsid w:val="00274007"/>
    <w:rsid w:val="00274009"/>
    <w:rsid w:val="00274660"/>
    <w:rsid w:val="002747DB"/>
    <w:rsid w:val="00274D97"/>
    <w:rsid w:val="00275165"/>
    <w:rsid w:val="00275221"/>
    <w:rsid w:val="00275346"/>
    <w:rsid w:val="00275C30"/>
    <w:rsid w:val="002769B2"/>
    <w:rsid w:val="00276A9E"/>
    <w:rsid w:val="0028038F"/>
    <w:rsid w:val="00280EFD"/>
    <w:rsid w:val="0028137D"/>
    <w:rsid w:val="002819D1"/>
    <w:rsid w:val="002819F4"/>
    <w:rsid w:val="00281A17"/>
    <w:rsid w:val="00281B34"/>
    <w:rsid w:val="0028285C"/>
    <w:rsid w:val="00282D4E"/>
    <w:rsid w:val="00283566"/>
    <w:rsid w:val="002838EE"/>
    <w:rsid w:val="00283DF9"/>
    <w:rsid w:val="00284964"/>
    <w:rsid w:val="002849E4"/>
    <w:rsid w:val="00284E05"/>
    <w:rsid w:val="002857CB"/>
    <w:rsid w:val="0028586B"/>
    <w:rsid w:val="00286295"/>
    <w:rsid w:val="00287075"/>
    <w:rsid w:val="002875E9"/>
    <w:rsid w:val="00287683"/>
    <w:rsid w:val="00287B3F"/>
    <w:rsid w:val="002901D3"/>
    <w:rsid w:val="00290346"/>
    <w:rsid w:val="00290607"/>
    <w:rsid w:val="002909E6"/>
    <w:rsid w:val="00290A93"/>
    <w:rsid w:val="00290D9E"/>
    <w:rsid w:val="00290E35"/>
    <w:rsid w:val="00291009"/>
    <w:rsid w:val="00291473"/>
    <w:rsid w:val="0029183A"/>
    <w:rsid w:val="002919C7"/>
    <w:rsid w:val="00291EB3"/>
    <w:rsid w:val="00291FC7"/>
    <w:rsid w:val="00292209"/>
    <w:rsid w:val="00292442"/>
    <w:rsid w:val="002926E7"/>
    <w:rsid w:val="00292920"/>
    <w:rsid w:val="00292B6D"/>
    <w:rsid w:val="00292DAF"/>
    <w:rsid w:val="002931ED"/>
    <w:rsid w:val="00293A4E"/>
    <w:rsid w:val="00293C72"/>
    <w:rsid w:val="00293C75"/>
    <w:rsid w:val="00294899"/>
    <w:rsid w:val="00294D33"/>
    <w:rsid w:val="0029539A"/>
    <w:rsid w:val="002954F0"/>
    <w:rsid w:val="002956EC"/>
    <w:rsid w:val="002958D7"/>
    <w:rsid w:val="00296351"/>
    <w:rsid w:val="00296574"/>
    <w:rsid w:val="00296628"/>
    <w:rsid w:val="00296709"/>
    <w:rsid w:val="00296F2B"/>
    <w:rsid w:val="002975A2"/>
    <w:rsid w:val="00297A1F"/>
    <w:rsid w:val="00297E4B"/>
    <w:rsid w:val="00297F1B"/>
    <w:rsid w:val="002A03FE"/>
    <w:rsid w:val="002A0595"/>
    <w:rsid w:val="002A0850"/>
    <w:rsid w:val="002A0B28"/>
    <w:rsid w:val="002A1385"/>
    <w:rsid w:val="002A16F6"/>
    <w:rsid w:val="002A18FA"/>
    <w:rsid w:val="002A1A65"/>
    <w:rsid w:val="002A2236"/>
    <w:rsid w:val="002A260F"/>
    <w:rsid w:val="002A2812"/>
    <w:rsid w:val="002A2B51"/>
    <w:rsid w:val="002A2D93"/>
    <w:rsid w:val="002A3595"/>
    <w:rsid w:val="002A3FE3"/>
    <w:rsid w:val="002A497B"/>
    <w:rsid w:val="002A4DFF"/>
    <w:rsid w:val="002A5071"/>
    <w:rsid w:val="002A5186"/>
    <w:rsid w:val="002A5290"/>
    <w:rsid w:val="002A5453"/>
    <w:rsid w:val="002A547B"/>
    <w:rsid w:val="002A5643"/>
    <w:rsid w:val="002A65B8"/>
    <w:rsid w:val="002A67D7"/>
    <w:rsid w:val="002A76D3"/>
    <w:rsid w:val="002A7ACD"/>
    <w:rsid w:val="002B03F7"/>
    <w:rsid w:val="002B0CF9"/>
    <w:rsid w:val="002B1231"/>
    <w:rsid w:val="002B1440"/>
    <w:rsid w:val="002B1AB1"/>
    <w:rsid w:val="002B1AD5"/>
    <w:rsid w:val="002B22CF"/>
    <w:rsid w:val="002B253A"/>
    <w:rsid w:val="002B253F"/>
    <w:rsid w:val="002B2ABB"/>
    <w:rsid w:val="002B2EF2"/>
    <w:rsid w:val="002B32A1"/>
    <w:rsid w:val="002B3A45"/>
    <w:rsid w:val="002B406B"/>
    <w:rsid w:val="002B417B"/>
    <w:rsid w:val="002B4BCC"/>
    <w:rsid w:val="002B59AE"/>
    <w:rsid w:val="002B5B3F"/>
    <w:rsid w:val="002B609A"/>
    <w:rsid w:val="002B62A0"/>
    <w:rsid w:val="002B62ED"/>
    <w:rsid w:val="002B66AC"/>
    <w:rsid w:val="002B6A57"/>
    <w:rsid w:val="002C05C3"/>
    <w:rsid w:val="002C0A95"/>
    <w:rsid w:val="002C0B48"/>
    <w:rsid w:val="002C1297"/>
    <w:rsid w:val="002C1326"/>
    <w:rsid w:val="002C13CB"/>
    <w:rsid w:val="002C183C"/>
    <w:rsid w:val="002C1857"/>
    <w:rsid w:val="002C1E31"/>
    <w:rsid w:val="002C22A4"/>
    <w:rsid w:val="002C2377"/>
    <w:rsid w:val="002C24E5"/>
    <w:rsid w:val="002C267E"/>
    <w:rsid w:val="002C2865"/>
    <w:rsid w:val="002C33B2"/>
    <w:rsid w:val="002C377D"/>
    <w:rsid w:val="002C3B53"/>
    <w:rsid w:val="002C3C8F"/>
    <w:rsid w:val="002C3FB1"/>
    <w:rsid w:val="002C4B32"/>
    <w:rsid w:val="002C547E"/>
    <w:rsid w:val="002C5974"/>
    <w:rsid w:val="002C6041"/>
    <w:rsid w:val="002C6535"/>
    <w:rsid w:val="002C66F2"/>
    <w:rsid w:val="002C6949"/>
    <w:rsid w:val="002C6E69"/>
    <w:rsid w:val="002C77A5"/>
    <w:rsid w:val="002C7B37"/>
    <w:rsid w:val="002D08BB"/>
    <w:rsid w:val="002D0E97"/>
    <w:rsid w:val="002D1A0B"/>
    <w:rsid w:val="002D1B1F"/>
    <w:rsid w:val="002D2464"/>
    <w:rsid w:val="002D2E89"/>
    <w:rsid w:val="002D2EA9"/>
    <w:rsid w:val="002D35AE"/>
    <w:rsid w:val="002D37F5"/>
    <w:rsid w:val="002D438B"/>
    <w:rsid w:val="002D457A"/>
    <w:rsid w:val="002D4E08"/>
    <w:rsid w:val="002D4F37"/>
    <w:rsid w:val="002D54B3"/>
    <w:rsid w:val="002D55A7"/>
    <w:rsid w:val="002D55DF"/>
    <w:rsid w:val="002D63FB"/>
    <w:rsid w:val="002D6963"/>
    <w:rsid w:val="002D6CE1"/>
    <w:rsid w:val="002D6DA3"/>
    <w:rsid w:val="002D78CA"/>
    <w:rsid w:val="002D7AC7"/>
    <w:rsid w:val="002E05F5"/>
    <w:rsid w:val="002E09EF"/>
    <w:rsid w:val="002E0B13"/>
    <w:rsid w:val="002E0B60"/>
    <w:rsid w:val="002E0F8D"/>
    <w:rsid w:val="002E1038"/>
    <w:rsid w:val="002E19D9"/>
    <w:rsid w:val="002E1C21"/>
    <w:rsid w:val="002E1DF3"/>
    <w:rsid w:val="002E1E28"/>
    <w:rsid w:val="002E291B"/>
    <w:rsid w:val="002E2978"/>
    <w:rsid w:val="002E29A9"/>
    <w:rsid w:val="002E2AAD"/>
    <w:rsid w:val="002E3669"/>
    <w:rsid w:val="002E39A4"/>
    <w:rsid w:val="002E3FCD"/>
    <w:rsid w:val="002E4302"/>
    <w:rsid w:val="002E485B"/>
    <w:rsid w:val="002E5586"/>
    <w:rsid w:val="002E56F6"/>
    <w:rsid w:val="002E5C52"/>
    <w:rsid w:val="002E624E"/>
    <w:rsid w:val="002E6B31"/>
    <w:rsid w:val="002E6C92"/>
    <w:rsid w:val="002E6F51"/>
    <w:rsid w:val="002E73B9"/>
    <w:rsid w:val="002E76F9"/>
    <w:rsid w:val="002E7FA7"/>
    <w:rsid w:val="002E7FC3"/>
    <w:rsid w:val="002F087C"/>
    <w:rsid w:val="002F10C8"/>
    <w:rsid w:val="002F142D"/>
    <w:rsid w:val="002F15D3"/>
    <w:rsid w:val="002F162B"/>
    <w:rsid w:val="002F1B13"/>
    <w:rsid w:val="002F1D56"/>
    <w:rsid w:val="002F1D9E"/>
    <w:rsid w:val="002F1FD3"/>
    <w:rsid w:val="002F2190"/>
    <w:rsid w:val="002F22C1"/>
    <w:rsid w:val="002F23FA"/>
    <w:rsid w:val="002F26D2"/>
    <w:rsid w:val="002F2991"/>
    <w:rsid w:val="002F3EAB"/>
    <w:rsid w:val="002F40CD"/>
    <w:rsid w:val="002F43D0"/>
    <w:rsid w:val="002F5473"/>
    <w:rsid w:val="002F56D3"/>
    <w:rsid w:val="002F584D"/>
    <w:rsid w:val="002F5997"/>
    <w:rsid w:val="002F59BA"/>
    <w:rsid w:val="002F5D12"/>
    <w:rsid w:val="002F5E6F"/>
    <w:rsid w:val="002F6014"/>
    <w:rsid w:val="002F6360"/>
    <w:rsid w:val="002F64F2"/>
    <w:rsid w:val="002F6882"/>
    <w:rsid w:val="002F694F"/>
    <w:rsid w:val="002F6B10"/>
    <w:rsid w:val="002F6B97"/>
    <w:rsid w:val="002F6C34"/>
    <w:rsid w:val="002F71D1"/>
    <w:rsid w:val="002F7714"/>
    <w:rsid w:val="002F7999"/>
    <w:rsid w:val="00300960"/>
    <w:rsid w:val="00300EAF"/>
    <w:rsid w:val="00301053"/>
    <w:rsid w:val="00301945"/>
    <w:rsid w:val="00301E4C"/>
    <w:rsid w:val="0030224C"/>
    <w:rsid w:val="003022EE"/>
    <w:rsid w:val="003023BD"/>
    <w:rsid w:val="00302A57"/>
    <w:rsid w:val="003031EF"/>
    <w:rsid w:val="003033FC"/>
    <w:rsid w:val="003036CB"/>
    <w:rsid w:val="003038DC"/>
    <w:rsid w:val="00303E1A"/>
    <w:rsid w:val="00304393"/>
    <w:rsid w:val="00304408"/>
    <w:rsid w:val="00304491"/>
    <w:rsid w:val="00304C3D"/>
    <w:rsid w:val="00304C93"/>
    <w:rsid w:val="00304D77"/>
    <w:rsid w:val="003052C2"/>
    <w:rsid w:val="00305378"/>
    <w:rsid w:val="00305513"/>
    <w:rsid w:val="0030559F"/>
    <w:rsid w:val="00305682"/>
    <w:rsid w:val="00305741"/>
    <w:rsid w:val="00306065"/>
    <w:rsid w:val="00306EB3"/>
    <w:rsid w:val="0030716B"/>
    <w:rsid w:val="003074B2"/>
    <w:rsid w:val="00307E6F"/>
    <w:rsid w:val="00310306"/>
    <w:rsid w:val="003104ED"/>
    <w:rsid w:val="003105DB"/>
    <w:rsid w:val="00310874"/>
    <w:rsid w:val="00310E95"/>
    <w:rsid w:val="00311099"/>
    <w:rsid w:val="00311375"/>
    <w:rsid w:val="00311397"/>
    <w:rsid w:val="00311B9D"/>
    <w:rsid w:val="00311E87"/>
    <w:rsid w:val="00312372"/>
    <w:rsid w:val="003125A2"/>
    <w:rsid w:val="0031294F"/>
    <w:rsid w:val="00312B60"/>
    <w:rsid w:val="00312E61"/>
    <w:rsid w:val="0031336A"/>
    <w:rsid w:val="003134D0"/>
    <w:rsid w:val="0031353C"/>
    <w:rsid w:val="00313AF8"/>
    <w:rsid w:val="00313BEC"/>
    <w:rsid w:val="00313E6C"/>
    <w:rsid w:val="003140C9"/>
    <w:rsid w:val="00314C3E"/>
    <w:rsid w:val="00315247"/>
    <w:rsid w:val="0031559B"/>
    <w:rsid w:val="003157D9"/>
    <w:rsid w:val="00315C51"/>
    <w:rsid w:val="00316BC3"/>
    <w:rsid w:val="00317462"/>
    <w:rsid w:val="003175B3"/>
    <w:rsid w:val="003179A0"/>
    <w:rsid w:val="00317E9E"/>
    <w:rsid w:val="00320315"/>
    <w:rsid w:val="0032053A"/>
    <w:rsid w:val="00320642"/>
    <w:rsid w:val="003207F5"/>
    <w:rsid w:val="0032113E"/>
    <w:rsid w:val="0032114B"/>
    <w:rsid w:val="00321C8C"/>
    <w:rsid w:val="00322499"/>
    <w:rsid w:val="0032250B"/>
    <w:rsid w:val="003226A0"/>
    <w:rsid w:val="00322DF4"/>
    <w:rsid w:val="003230EB"/>
    <w:rsid w:val="003239AE"/>
    <w:rsid w:val="00323A9D"/>
    <w:rsid w:val="00323B09"/>
    <w:rsid w:val="00323EB7"/>
    <w:rsid w:val="0032401E"/>
    <w:rsid w:val="003240B3"/>
    <w:rsid w:val="003247D3"/>
    <w:rsid w:val="00324A9B"/>
    <w:rsid w:val="003250E3"/>
    <w:rsid w:val="003252DA"/>
    <w:rsid w:val="0032574C"/>
    <w:rsid w:val="00325FCF"/>
    <w:rsid w:val="00326103"/>
    <w:rsid w:val="0032640B"/>
    <w:rsid w:val="003266BF"/>
    <w:rsid w:val="003267BD"/>
    <w:rsid w:val="003271D8"/>
    <w:rsid w:val="00327664"/>
    <w:rsid w:val="003278AA"/>
    <w:rsid w:val="00327AE6"/>
    <w:rsid w:val="00327BEC"/>
    <w:rsid w:val="00327E08"/>
    <w:rsid w:val="00327E73"/>
    <w:rsid w:val="00330616"/>
    <w:rsid w:val="0033143E"/>
    <w:rsid w:val="00331915"/>
    <w:rsid w:val="00331D11"/>
    <w:rsid w:val="00332267"/>
    <w:rsid w:val="00332F67"/>
    <w:rsid w:val="003334FA"/>
    <w:rsid w:val="00333707"/>
    <w:rsid w:val="00333B94"/>
    <w:rsid w:val="00333F24"/>
    <w:rsid w:val="003346A9"/>
    <w:rsid w:val="00334804"/>
    <w:rsid w:val="00334D5D"/>
    <w:rsid w:val="0033557A"/>
    <w:rsid w:val="003356E9"/>
    <w:rsid w:val="003358FD"/>
    <w:rsid w:val="003359C2"/>
    <w:rsid w:val="00335A23"/>
    <w:rsid w:val="00335C28"/>
    <w:rsid w:val="00336290"/>
    <w:rsid w:val="003362FC"/>
    <w:rsid w:val="003369A6"/>
    <w:rsid w:val="00336B22"/>
    <w:rsid w:val="00337134"/>
    <w:rsid w:val="00337393"/>
    <w:rsid w:val="003374A9"/>
    <w:rsid w:val="00337A77"/>
    <w:rsid w:val="00340250"/>
    <w:rsid w:val="00340738"/>
    <w:rsid w:val="003408F7"/>
    <w:rsid w:val="00340A09"/>
    <w:rsid w:val="00341199"/>
    <w:rsid w:val="003412B8"/>
    <w:rsid w:val="00341ADB"/>
    <w:rsid w:val="00341DBB"/>
    <w:rsid w:val="00342329"/>
    <w:rsid w:val="00343333"/>
    <w:rsid w:val="0034376D"/>
    <w:rsid w:val="00343FA7"/>
    <w:rsid w:val="003443AF"/>
    <w:rsid w:val="00344D3D"/>
    <w:rsid w:val="0034558E"/>
    <w:rsid w:val="003458CD"/>
    <w:rsid w:val="00346762"/>
    <w:rsid w:val="003469D9"/>
    <w:rsid w:val="00346DC2"/>
    <w:rsid w:val="00346FF6"/>
    <w:rsid w:val="00347854"/>
    <w:rsid w:val="00347BCE"/>
    <w:rsid w:val="00347C86"/>
    <w:rsid w:val="003501E4"/>
    <w:rsid w:val="00350827"/>
    <w:rsid w:val="00350CBD"/>
    <w:rsid w:val="00350D9C"/>
    <w:rsid w:val="00350E0C"/>
    <w:rsid w:val="00352635"/>
    <w:rsid w:val="00352703"/>
    <w:rsid w:val="00352930"/>
    <w:rsid w:val="00352BE2"/>
    <w:rsid w:val="0035314B"/>
    <w:rsid w:val="003532B5"/>
    <w:rsid w:val="003542D2"/>
    <w:rsid w:val="0035448B"/>
    <w:rsid w:val="00354820"/>
    <w:rsid w:val="00354835"/>
    <w:rsid w:val="00354906"/>
    <w:rsid w:val="00354AF9"/>
    <w:rsid w:val="00354AFE"/>
    <w:rsid w:val="00354DC1"/>
    <w:rsid w:val="00354FCB"/>
    <w:rsid w:val="00355854"/>
    <w:rsid w:val="00355DAF"/>
    <w:rsid w:val="0035641F"/>
    <w:rsid w:val="003565DB"/>
    <w:rsid w:val="003568FB"/>
    <w:rsid w:val="00356AC6"/>
    <w:rsid w:val="003572C4"/>
    <w:rsid w:val="003573B3"/>
    <w:rsid w:val="003603D0"/>
    <w:rsid w:val="003605F3"/>
    <w:rsid w:val="00360ABD"/>
    <w:rsid w:val="00361158"/>
    <w:rsid w:val="003612D3"/>
    <w:rsid w:val="003619F0"/>
    <w:rsid w:val="00361AC3"/>
    <w:rsid w:val="003628C9"/>
    <w:rsid w:val="00362CAD"/>
    <w:rsid w:val="003638C8"/>
    <w:rsid w:val="00363C23"/>
    <w:rsid w:val="00364080"/>
    <w:rsid w:val="00364304"/>
    <w:rsid w:val="003647F5"/>
    <w:rsid w:val="0036507A"/>
    <w:rsid w:val="00365602"/>
    <w:rsid w:val="0036562B"/>
    <w:rsid w:val="003656BC"/>
    <w:rsid w:val="0036633F"/>
    <w:rsid w:val="00367B30"/>
    <w:rsid w:val="00367F73"/>
    <w:rsid w:val="00370A64"/>
    <w:rsid w:val="003713A5"/>
    <w:rsid w:val="00371ECA"/>
    <w:rsid w:val="0037236E"/>
    <w:rsid w:val="00372CA1"/>
    <w:rsid w:val="00372D5A"/>
    <w:rsid w:val="00373A77"/>
    <w:rsid w:val="00373C48"/>
    <w:rsid w:val="00373D73"/>
    <w:rsid w:val="00373F25"/>
    <w:rsid w:val="00373F45"/>
    <w:rsid w:val="0037443E"/>
    <w:rsid w:val="0037457A"/>
    <w:rsid w:val="003749F3"/>
    <w:rsid w:val="00374BAB"/>
    <w:rsid w:val="00374E33"/>
    <w:rsid w:val="0037503B"/>
    <w:rsid w:val="003759FA"/>
    <w:rsid w:val="00375C67"/>
    <w:rsid w:val="00376D71"/>
    <w:rsid w:val="00376F4B"/>
    <w:rsid w:val="003772D8"/>
    <w:rsid w:val="00377AEA"/>
    <w:rsid w:val="003809D8"/>
    <w:rsid w:val="003811D1"/>
    <w:rsid w:val="00381D2C"/>
    <w:rsid w:val="003820BF"/>
    <w:rsid w:val="00382128"/>
    <w:rsid w:val="003825D6"/>
    <w:rsid w:val="00382839"/>
    <w:rsid w:val="00382894"/>
    <w:rsid w:val="00382B2C"/>
    <w:rsid w:val="00382D73"/>
    <w:rsid w:val="00382E96"/>
    <w:rsid w:val="003832AE"/>
    <w:rsid w:val="00383350"/>
    <w:rsid w:val="00383890"/>
    <w:rsid w:val="00383E80"/>
    <w:rsid w:val="003843DE"/>
    <w:rsid w:val="00384C72"/>
    <w:rsid w:val="00384FAE"/>
    <w:rsid w:val="0038541A"/>
    <w:rsid w:val="0038553F"/>
    <w:rsid w:val="003856BB"/>
    <w:rsid w:val="00385C63"/>
    <w:rsid w:val="00386043"/>
    <w:rsid w:val="003860DD"/>
    <w:rsid w:val="0038627E"/>
    <w:rsid w:val="00386401"/>
    <w:rsid w:val="003864AE"/>
    <w:rsid w:val="00386B4F"/>
    <w:rsid w:val="00386F32"/>
    <w:rsid w:val="00390022"/>
    <w:rsid w:val="003906FA"/>
    <w:rsid w:val="0039121F"/>
    <w:rsid w:val="00391404"/>
    <w:rsid w:val="00391413"/>
    <w:rsid w:val="00391726"/>
    <w:rsid w:val="00391919"/>
    <w:rsid w:val="00391A5E"/>
    <w:rsid w:val="00392C06"/>
    <w:rsid w:val="003935E7"/>
    <w:rsid w:val="00393ADF"/>
    <w:rsid w:val="003945A5"/>
    <w:rsid w:val="003945F8"/>
    <w:rsid w:val="003946AA"/>
    <w:rsid w:val="00394860"/>
    <w:rsid w:val="00394E27"/>
    <w:rsid w:val="00394F48"/>
    <w:rsid w:val="0039557C"/>
    <w:rsid w:val="003959AF"/>
    <w:rsid w:val="00395BC1"/>
    <w:rsid w:val="00397119"/>
    <w:rsid w:val="00397A98"/>
    <w:rsid w:val="00397AE8"/>
    <w:rsid w:val="003A0394"/>
    <w:rsid w:val="003A09E3"/>
    <w:rsid w:val="003A0C96"/>
    <w:rsid w:val="003A115C"/>
    <w:rsid w:val="003A136D"/>
    <w:rsid w:val="003A154C"/>
    <w:rsid w:val="003A175A"/>
    <w:rsid w:val="003A1847"/>
    <w:rsid w:val="003A1C9E"/>
    <w:rsid w:val="003A1CBE"/>
    <w:rsid w:val="003A2148"/>
    <w:rsid w:val="003A286A"/>
    <w:rsid w:val="003A2D92"/>
    <w:rsid w:val="003A32B0"/>
    <w:rsid w:val="003A3332"/>
    <w:rsid w:val="003A3E6E"/>
    <w:rsid w:val="003A3FFC"/>
    <w:rsid w:val="003A42F6"/>
    <w:rsid w:val="003A4444"/>
    <w:rsid w:val="003A464C"/>
    <w:rsid w:val="003A4F5B"/>
    <w:rsid w:val="003A5349"/>
    <w:rsid w:val="003A5389"/>
    <w:rsid w:val="003A6170"/>
    <w:rsid w:val="003A671E"/>
    <w:rsid w:val="003A6962"/>
    <w:rsid w:val="003A6A4E"/>
    <w:rsid w:val="003A6CDC"/>
    <w:rsid w:val="003A6F3A"/>
    <w:rsid w:val="003A704C"/>
    <w:rsid w:val="003A74E5"/>
    <w:rsid w:val="003A75BA"/>
    <w:rsid w:val="003A78DD"/>
    <w:rsid w:val="003A7BAA"/>
    <w:rsid w:val="003A7F4B"/>
    <w:rsid w:val="003B0245"/>
    <w:rsid w:val="003B0419"/>
    <w:rsid w:val="003B043D"/>
    <w:rsid w:val="003B1199"/>
    <w:rsid w:val="003B1862"/>
    <w:rsid w:val="003B2699"/>
    <w:rsid w:val="003B3187"/>
    <w:rsid w:val="003B4049"/>
    <w:rsid w:val="003B40D4"/>
    <w:rsid w:val="003B4112"/>
    <w:rsid w:val="003B46E8"/>
    <w:rsid w:val="003B49DE"/>
    <w:rsid w:val="003B54E8"/>
    <w:rsid w:val="003B5824"/>
    <w:rsid w:val="003B5A9B"/>
    <w:rsid w:val="003B680D"/>
    <w:rsid w:val="003B6EA0"/>
    <w:rsid w:val="003B710F"/>
    <w:rsid w:val="003B72F8"/>
    <w:rsid w:val="003B7A8E"/>
    <w:rsid w:val="003B7AFE"/>
    <w:rsid w:val="003B7B77"/>
    <w:rsid w:val="003C031E"/>
    <w:rsid w:val="003C03E2"/>
    <w:rsid w:val="003C0441"/>
    <w:rsid w:val="003C169D"/>
    <w:rsid w:val="003C2492"/>
    <w:rsid w:val="003C2638"/>
    <w:rsid w:val="003C292D"/>
    <w:rsid w:val="003C2C86"/>
    <w:rsid w:val="003C2DF8"/>
    <w:rsid w:val="003C2E48"/>
    <w:rsid w:val="003C3292"/>
    <w:rsid w:val="003C3779"/>
    <w:rsid w:val="003C3A9B"/>
    <w:rsid w:val="003C3CE1"/>
    <w:rsid w:val="003C419E"/>
    <w:rsid w:val="003C41F5"/>
    <w:rsid w:val="003C4A7E"/>
    <w:rsid w:val="003C4E84"/>
    <w:rsid w:val="003C502F"/>
    <w:rsid w:val="003C5183"/>
    <w:rsid w:val="003C5C9E"/>
    <w:rsid w:val="003C5E37"/>
    <w:rsid w:val="003C63D3"/>
    <w:rsid w:val="003C66EA"/>
    <w:rsid w:val="003C6706"/>
    <w:rsid w:val="003C6A06"/>
    <w:rsid w:val="003C6FAF"/>
    <w:rsid w:val="003C71F1"/>
    <w:rsid w:val="003C746B"/>
    <w:rsid w:val="003C7F5F"/>
    <w:rsid w:val="003C7FDB"/>
    <w:rsid w:val="003D0085"/>
    <w:rsid w:val="003D0209"/>
    <w:rsid w:val="003D12AB"/>
    <w:rsid w:val="003D157E"/>
    <w:rsid w:val="003D2000"/>
    <w:rsid w:val="003D2ED2"/>
    <w:rsid w:val="003D348A"/>
    <w:rsid w:val="003D3547"/>
    <w:rsid w:val="003D370D"/>
    <w:rsid w:val="003D372A"/>
    <w:rsid w:val="003D3A02"/>
    <w:rsid w:val="003D3AE2"/>
    <w:rsid w:val="003D3AE6"/>
    <w:rsid w:val="003D3BFE"/>
    <w:rsid w:val="003D41BC"/>
    <w:rsid w:val="003D41C9"/>
    <w:rsid w:val="003D446A"/>
    <w:rsid w:val="003D4550"/>
    <w:rsid w:val="003D5101"/>
    <w:rsid w:val="003D54AA"/>
    <w:rsid w:val="003D5E1F"/>
    <w:rsid w:val="003D5E4F"/>
    <w:rsid w:val="003D5F1F"/>
    <w:rsid w:val="003D6112"/>
    <w:rsid w:val="003D6747"/>
    <w:rsid w:val="003D70F9"/>
    <w:rsid w:val="003D7306"/>
    <w:rsid w:val="003D77A8"/>
    <w:rsid w:val="003D77DD"/>
    <w:rsid w:val="003D790C"/>
    <w:rsid w:val="003D7E40"/>
    <w:rsid w:val="003D7F95"/>
    <w:rsid w:val="003E1561"/>
    <w:rsid w:val="003E18B9"/>
    <w:rsid w:val="003E1F35"/>
    <w:rsid w:val="003E2750"/>
    <w:rsid w:val="003E28CB"/>
    <w:rsid w:val="003E28CC"/>
    <w:rsid w:val="003E2D65"/>
    <w:rsid w:val="003E2E04"/>
    <w:rsid w:val="003E2E35"/>
    <w:rsid w:val="003E3656"/>
    <w:rsid w:val="003E38BC"/>
    <w:rsid w:val="003E4067"/>
    <w:rsid w:val="003E48AC"/>
    <w:rsid w:val="003E4CB1"/>
    <w:rsid w:val="003E4F2C"/>
    <w:rsid w:val="003E4FBD"/>
    <w:rsid w:val="003E5025"/>
    <w:rsid w:val="003E5740"/>
    <w:rsid w:val="003E59F4"/>
    <w:rsid w:val="003E5B6B"/>
    <w:rsid w:val="003E6071"/>
    <w:rsid w:val="003E6520"/>
    <w:rsid w:val="003E667F"/>
    <w:rsid w:val="003E6CC1"/>
    <w:rsid w:val="003E6D2F"/>
    <w:rsid w:val="003E6FC1"/>
    <w:rsid w:val="003E70A4"/>
    <w:rsid w:val="003E74CF"/>
    <w:rsid w:val="003E7AE3"/>
    <w:rsid w:val="003F0623"/>
    <w:rsid w:val="003F14A4"/>
    <w:rsid w:val="003F1656"/>
    <w:rsid w:val="003F18CB"/>
    <w:rsid w:val="003F208D"/>
    <w:rsid w:val="003F2440"/>
    <w:rsid w:val="003F247E"/>
    <w:rsid w:val="003F27FC"/>
    <w:rsid w:val="003F2833"/>
    <w:rsid w:val="003F2BE9"/>
    <w:rsid w:val="003F2EE2"/>
    <w:rsid w:val="003F3100"/>
    <w:rsid w:val="003F3AAA"/>
    <w:rsid w:val="003F3F08"/>
    <w:rsid w:val="003F4502"/>
    <w:rsid w:val="003F45E4"/>
    <w:rsid w:val="003F4799"/>
    <w:rsid w:val="003F4B65"/>
    <w:rsid w:val="003F5723"/>
    <w:rsid w:val="003F5C83"/>
    <w:rsid w:val="003F5D7E"/>
    <w:rsid w:val="003F5EFA"/>
    <w:rsid w:val="003F5F7C"/>
    <w:rsid w:val="003F6991"/>
    <w:rsid w:val="003F6F28"/>
    <w:rsid w:val="003F725F"/>
    <w:rsid w:val="003F7DEC"/>
    <w:rsid w:val="00400D09"/>
    <w:rsid w:val="00400E54"/>
    <w:rsid w:val="0040151D"/>
    <w:rsid w:val="0040298F"/>
    <w:rsid w:val="00402DB3"/>
    <w:rsid w:val="0040357A"/>
    <w:rsid w:val="004035EB"/>
    <w:rsid w:val="004037BD"/>
    <w:rsid w:val="00403A88"/>
    <w:rsid w:val="00404132"/>
    <w:rsid w:val="0040464A"/>
    <w:rsid w:val="00404C60"/>
    <w:rsid w:val="00404DAD"/>
    <w:rsid w:val="004053FE"/>
    <w:rsid w:val="00405B18"/>
    <w:rsid w:val="00405EEF"/>
    <w:rsid w:val="00406339"/>
    <w:rsid w:val="0040686C"/>
    <w:rsid w:val="004069B1"/>
    <w:rsid w:val="00407058"/>
    <w:rsid w:val="004070BF"/>
    <w:rsid w:val="00407377"/>
    <w:rsid w:val="00407983"/>
    <w:rsid w:val="00407C5D"/>
    <w:rsid w:val="004100EC"/>
    <w:rsid w:val="00410931"/>
    <w:rsid w:val="00410945"/>
    <w:rsid w:val="00410C51"/>
    <w:rsid w:val="00411C51"/>
    <w:rsid w:val="00411F39"/>
    <w:rsid w:val="00412401"/>
    <w:rsid w:val="0041251E"/>
    <w:rsid w:val="004132C9"/>
    <w:rsid w:val="00413E62"/>
    <w:rsid w:val="004143DB"/>
    <w:rsid w:val="00414CAC"/>
    <w:rsid w:val="00414F8E"/>
    <w:rsid w:val="00415210"/>
    <w:rsid w:val="00415666"/>
    <w:rsid w:val="00415844"/>
    <w:rsid w:val="00415875"/>
    <w:rsid w:val="004158AE"/>
    <w:rsid w:val="00415C76"/>
    <w:rsid w:val="00415D17"/>
    <w:rsid w:val="004160CC"/>
    <w:rsid w:val="00416141"/>
    <w:rsid w:val="004163FE"/>
    <w:rsid w:val="004164BA"/>
    <w:rsid w:val="00416B92"/>
    <w:rsid w:val="00416F1D"/>
    <w:rsid w:val="0041717C"/>
    <w:rsid w:val="004172B2"/>
    <w:rsid w:val="00417BD1"/>
    <w:rsid w:val="0042029A"/>
    <w:rsid w:val="0042096F"/>
    <w:rsid w:val="00420D35"/>
    <w:rsid w:val="00421840"/>
    <w:rsid w:val="00421F0A"/>
    <w:rsid w:val="00421FD7"/>
    <w:rsid w:val="00422192"/>
    <w:rsid w:val="004229C4"/>
    <w:rsid w:val="00422A49"/>
    <w:rsid w:val="00422B2E"/>
    <w:rsid w:val="00422F50"/>
    <w:rsid w:val="004230DE"/>
    <w:rsid w:val="00423109"/>
    <w:rsid w:val="004231E5"/>
    <w:rsid w:val="004232D3"/>
    <w:rsid w:val="00423557"/>
    <w:rsid w:val="0042360E"/>
    <w:rsid w:val="00423976"/>
    <w:rsid w:val="00423C11"/>
    <w:rsid w:val="0042406D"/>
    <w:rsid w:val="004241F2"/>
    <w:rsid w:val="0042437E"/>
    <w:rsid w:val="0042460C"/>
    <w:rsid w:val="004247C4"/>
    <w:rsid w:val="00424A72"/>
    <w:rsid w:val="00425014"/>
    <w:rsid w:val="004250B5"/>
    <w:rsid w:val="004251BB"/>
    <w:rsid w:val="00425D99"/>
    <w:rsid w:val="00425FDF"/>
    <w:rsid w:val="00426560"/>
    <w:rsid w:val="00426FCF"/>
    <w:rsid w:val="004274A6"/>
    <w:rsid w:val="00427670"/>
    <w:rsid w:val="00427B1A"/>
    <w:rsid w:val="004301FB"/>
    <w:rsid w:val="0043066B"/>
    <w:rsid w:val="00430C05"/>
    <w:rsid w:val="00430D79"/>
    <w:rsid w:val="00430EA1"/>
    <w:rsid w:val="0043105D"/>
    <w:rsid w:val="004315E9"/>
    <w:rsid w:val="00431984"/>
    <w:rsid w:val="00432770"/>
    <w:rsid w:val="00432A33"/>
    <w:rsid w:val="0043419E"/>
    <w:rsid w:val="004343FE"/>
    <w:rsid w:val="00434F25"/>
    <w:rsid w:val="00435AEA"/>
    <w:rsid w:val="00435E69"/>
    <w:rsid w:val="004362C9"/>
    <w:rsid w:val="004362DD"/>
    <w:rsid w:val="0043682E"/>
    <w:rsid w:val="00436A83"/>
    <w:rsid w:val="00437367"/>
    <w:rsid w:val="00437542"/>
    <w:rsid w:val="00437588"/>
    <w:rsid w:val="00437641"/>
    <w:rsid w:val="0043767E"/>
    <w:rsid w:val="004379CE"/>
    <w:rsid w:val="00437B09"/>
    <w:rsid w:val="00437D7B"/>
    <w:rsid w:val="00440816"/>
    <w:rsid w:val="00440ACB"/>
    <w:rsid w:val="00440C05"/>
    <w:rsid w:val="0044146A"/>
    <w:rsid w:val="00441ADF"/>
    <w:rsid w:val="00442DAA"/>
    <w:rsid w:val="00442E01"/>
    <w:rsid w:val="004438C9"/>
    <w:rsid w:val="00444153"/>
    <w:rsid w:val="00444425"/>
    <w:rsid w:val="00444592"/>
    <w:rsid w:val="0044463F"/>
    <w:rsid w:val="0044480C"/>
    <w:rsid w:val="00444A96"/>
    <w:rsid w:val="00444D11"/>
    <w:rsid w:val="00444FA6"/>
    <w:rsid w:val="00445E77"/>
    <w:rsid w:val="0044666B"/>
    <w:rsid w:val="004474F4"/>
    <w:rsid w:val="004478C4"/>
    <w:rsid w:val="00447AE4"/>
    <w:rsid w:val="0045036D"/>
    <w:rsid w:val="00450731"/>
    <w:rsid w:val="0045094A"/>
    <w:rsid w:val="0045096A"/>
    <w:rsid w:val="00451166"/>
    <w:rsid w:val="00451C54"/>
    <w:rsid w:val="00451C8E"/>
    <w:rsid w:val="00451E8B"/>
    <w:rsid w:val="00452614"/>
    <w:rsid w:val="004529DE"/>
    <w:rsid w:val="00452A24"/>
    <w:rsid w:val="00452B5E"/>
    <w:rsid w:val="00452D49"/>
    <w:rsid w:val="00453160"/>
    <w:rsid w:val="0045333A"/>
    <w:rsid w:val="00453443"/>
    <w:rsid w:val="00453500"/>
    <w:rsid w:val="004539BE"/>
    <w:rsid w:val="00453E65"/>
    <w:rsid w:val="004548D7"/>
    <w:rsid w:val="00454D71"/>
    <w:rsid w:val="00454F2F"/>
    <w:rsid w:val="0045503B"/>
    <w:rsid w:val="004551C8"/>
    <w:rsid w:val="004552CA"/>
    <w:rsid w:val="004554F7"/>
    <w:rsid w:val="004555A6"/>
    <w:rsid w:val="00455863"/>
    <w:rsid w:val="0045595A"/>
    <w:rsid w:val="0045672E"/>
    <w:rsid w:val="0045679D"/>
    <w:rsid w:val="00456943"/>
    <w:rsid w:val="00456A88"/>
    <w:rsid w:val="004574BD"/>
    <w:rsid w:val="004574C3"/>
    <w:rsid w:val="004579D7"/>
    <w:rsid w:val="00457C52"/>
    <w:rsid w:val="00460529"/>
    <w:rsid w:val="00460AF7"/>
    <w:rsid w:val="004612B8"/>
    <w:rsid w:val="00461CFC"/>
    <w:rsid w:val="00462537"/>
    <w:rsid w:val="00462AE1"/>
    <w:rsid w:val="00463267"/>
    <w:rsid w:val="00463370"/>
    <w:rsid w:val="00463460"/>
    <w:rsid w:val="0046419F"/>
    <w:rsid w:val="0046522D"/>
    <w:rsid w:val="00465995"/>
    <w:rsid w:val="00465A11"/>
    <w:rsid w:val="00465B0C"/>
    <w:rsid w:val="00465D30"/>
    <w:rsid w:val="00465E97"/>
    <w:rsid w:val="00465F78"/>
    <w:rsid w:val="0046637F"/>
    <w:rsid w:val="004665B9"/>
    <w:rsid w:val="00466E76"/>
    <w:rsid w:val="004670F9"/>
    <w:rsid w:val="0046746A"/>
    <w:rsid w:val="004675C4"/>
    <w:rsid w:val="0046774B"/>
    <w:rsid w:val="00467CB9"/>
    <w:rsid w:val="00470685"/>
    <w:rsid w:val="004709A3"/>
    <w:rsid w:val="00470E08"/>
    <w:rsid w:val="004718D8"/>
    <w:rsid w:val="00471CAD"/>
    <w:rsid w:val="004724D8"/>
    <w:rsid w:val="00472502"/>
    <w:rsid w:val="004727FE"/>
    <w:rsid w:val="00472ABE"/>
    <w:rsid w:val="0047306E"/>
    <w:rsid w:val="0047344F"/>
    <w:rsid w:val="004739F6"/>
    <w:rsid w:val="00473DEC"/>
    <w:rsid w:val="00473F5E"/>
    <w:rsid w:val="0047438B"/>
    <w:rsid w:val="00474B2D"/>
    <w:rsid w:val="004762BA"/>
    <w:rsid w:val="004765AE"/>
    <w:rsid w:val="00476BC2"/>
    <w:rsid w:val="00476C8F"/>
    <w:rsid w:val="00476DD9"/>
    <w:rsid w:val="00476EBB"/>
    <w:rsid w:val="0047720A"/>
    <w:rsid w:val="00477331"/>
    <w:rsid w:val="004775C9"/>
    <w:rsid w:val="00477987"/>
    <w:rsid w:val="0047799E"/>
    <w:rsid w:val="00477AAD"/>
    <w:rsid w:val="00477DEF"/>
    <w:rsid w:val="00477E8D"/>
    <w:rsid w:val="00477FBC"/>
    <w:rsid w:val="004800B0"/>
    <w:rsid w:val="004801B4"/>
    <w:rsid w:val="0048034F"/>
    <w:rsid w:val="004817C8"/>
    <w:rsid w:val="00481942"/>
    <w:rsid w:val="00481D93"/>
    <w:rsid w:val="004820C9"/>
    <w:rsid w:val="0048248A"/>
    <w:rsid w:val="004826D3"/>
    <w:rsid w:val="0048278A"/>
    <w:rsid w:val="00482A5E"/>
    <w:rsid w:val="0048324A"/>
    <w:rsid w:val="0048338E"/>
    <w:rsid w:val="00483D70"/>
    <w:rsid w:val="004842DA"/>
    <w:rsid w:val="00484C08"/>
    <w:rsid w:val="00484E31"/>
    <w:rsid w:val="00484FBF"/>
    <w:rsid w:val="004853DD"/>
    <w:rsid w:val="004853F9"/>
    <w:rsid w:val="00485659"/>
    <w:rsid w:val="0048567D"/>
    <w:rsid w:val="004859A4"/>
    <w:rsid w:val="00485A87"/>
    <w:rsid w:val="00485C27"/>
    <w:rsid w:val="004861AA"/>
    <w:rsid w:val="00486750"/>
    <w:rsid w:val="004869DE"/>
    <w:rsid w:val="00486BD2"/>
    <w:rsid w:val="00486C0E"/>
    <w:rsid w:val="00486E79"/>
    <w:rsid w:val="00486E98"/>
    <w:rsid w:val="00486F69"/>
    <w:rsid w:val="00486F8B"/>
    <w:rsid w:val="00487A3B"/>
    <w:rsid w:val="00487EBC"/>
    <w:rsid w:val="00487EF8"/>
    <w:rsid w:val="00487FBB"/>
    <w:rsid w:val="00490FAD"/>
    <w:rsid w:val="004910C2"/>
    <w:rsid w:val="00491222"/>
    <w:rsid w:val="00491332"/>
    <w:rsid w:val="004918E7"/>
    <w:rsid w:val="00491DF7"/>
    <w:rsid w:val="0049290A"/>
    <w:rsid w:val="00492D9D"/>
    <w:rsid w:val="00493794"/>
    <w:rsid w:val="00494226"/>
    <w:rsid w:val="00494279"/>
    <w:rsid w:val="00494584"/>
    <w:rsid w:val="00494CAE"/>
    <w:rsid w:val="00494CF8"/>
    <w:rsid w:val="00494DF4"/>
    <w:rsid w:val="00495584"/>
    <w:rsid w:val="004955FE"/>
    <w:rsid w:val="0049581F"/>
    <w:rsid w:val="00495D0D"/>
    <w:rsid w:val="00495DB9"/>
    <w:rsid w:val="004960AC"/>
    <w:rsid w:val="0049676B"/>
    <w:rsid w:val="00496CC6"/>
    <w:rsid w:val="00496FA0"/>
    <w:rsid w:val="004970C5"/>
    <w:rsid w:val="00497D4C"/>
    <w:rsid w:val="00497DA4"/>
    <w:rsid w:val="00497E3A"/>
    <w:rsid w:val="004A106C"/>
    <w:rsid w:val="004A1DBC"/>
    <w:rsid w:val="004A2F58"/>
    <w:rsid w:val="004A350D"/>
    <w:rsid w:val="004A3FB4"/>
    <w:rsid w:val="004A43FC"/>
    <w:rsid w:val="004A4713"/>
    <w:rsid w:val="004A47EC"/>
    <w:rsid w:val="004A4FE1"/>
    <w:rsid w:val="004A525E"/>
    <w:rsid w:val="004A5F63"/>
    <w:rsid w:val="004A5FE2"/>
    <w:rsid w:val="004A662B"/>
    <w:rsid w:val="004A686E"/>
    <w:rsid w:val="004A692A"/>
    <w:rsid w:val="004A6B0A"/>
    <w:rsid w:val="004A6BCB"/>
    <w:rsid w:val="004A7182"/>
    <w:rsid w:val="004B0166"/>
    <w:rsid w:val="004B0388"/>
    <w:rsid w:val="004B0419"/>
    <w:rsid w:val="004B0470"/>
    <w:rsid w:val="004B0592"/>
    <w:rsid w:val="004B08B5"/>
    <w:rsid w:val="004B1486"/>
    <w:rsid w:val="004B1C65"/>
    <w:rsid w:val="004B2AC1"/>
    <w:rsid w:val="004B33D1"/>
    <w:rsid w:val="004B4204"/>
    <w:rsid w:val="004B43A4"/>
    <w:rsid w:val="004B460D"/>
    <w:rsid w:val="004B46BA"/>
    <w:rsid w:val="004B4AE5"/>
    <w:rsid w:val="004B4E0B"/>
    <w:rsid w:val="004B55DB"/>
    <w:rsid w:val="004B56BC"/>
    <w:rsid w:val="004B5829"/>
    <w:rsid w:val="004B5A1F"/>
    <w:rsid w:val="004B5D00"/>
    <w:rsid w:val="004B63B7"/>
    <w:rsid w:val="004B6E6F"/>
    <w:rsid w:val="004B713E"/>
    <w:rsid w:val="004B72FB"/>
    <w:rsid w:val="004B7649"/>
    <w:rsid w:val="004B76E0"/>
    <w:rsid w:val="004B7849"/>
    <w:rsid w:val="004B7A62"/>
    <w:rsid w:val="004C0133"/>
    <w:rsid w:val="004C03E1"/>
    <w:rsid w:val="004C048B"/>
    <w:rsid w:val="004C09B7"/>
    <w:rsid w:val="004C0A6D"/>
    <w:rsid w:val="004C0C03"/>
    <w:rsid w:val="004C0E72"/>
    <w:rsid w:val="004C0ECF"/>
    <w:rsid w:val="004C1485"/>
    <w:rsid w:val="004C19CC"/>
    <w:rsid w:val="004C246F"/>
    <w:rsid w:val="004C265B"/>
    <w:rsid w:val="004C2C62"/>
    <w:rsid w:val="004C2D22"/>
    <w:rsid w:val="004C2F08"/>
    <w:rsid w:val="004C31DC"/>
    <w:rsid w:val="004C3245"/>
    <w:rsid w:val="004C33D0"/>
    <w:rsid w:val="004C3A4D"/>
    <w:rsid w:val="004C4339"/>
    <w:rsid w:val="004C47A0"/>
    <w:rsid w:val="004C47AB"/>
    <w:rsid w:val="004C480D"/>
    <w:rsid w:val="004C4B23"/>
    <w:rsid w:val="004C4D5A"/>
    <w:rsid w:val="004C56C1"/>
    <w:rsid w:val="004C5815"/>
    <w:rsid w:val="004C5EEF"/>
    <w:rsid w:val="004C6EF4"/>
    <w:rsid w:val="004C6F47"/>
    <w:rsid w:val="004C75A3"/>
    <w:rsid w:val="004C7961"/>
    <w:rsid w:val="004D047E"/>
    <w:rsid w:val="004D0839"/>
    <w:rsid w:val="004D0A7D"/>
    <w:rsid w:val="004D1057"/>
    <w:rsid w:val="004D14F0"/>
    <w:rsid w:val="004D189A"/>
    <w:rsid w:val="004D18BA"/>
    <w:rsid w:val="004D1991"/>
    <w:rsid w:val="004D19A1"/>
    <w:rsid w:val="004D1A09"/>
    <w:rsid w:val="004D1DF0"/>
    <w:rsid w:val="004D2874"/>
    <w:rsid w:val="004D290D"/>
    <w:rsid w:val="004D2C49"/>
    <w:rsid w:val="004D384B"/>
    <w:rsid w:val="004D387E"/>
    <w:rsid w:val="004D39C8"/>
    <w:rsid w:val="004D3C4B"/>
    <w:rsid w:val="004D3EC1"/>
    <w:rsid w:val="004D4EF5"/>
    <w:rsid w:val="004D56ED"/>
    <w:rsid w:val="004D595B"/>
    <w:rsid w:val="004D598B"/>
    <w:rsid w:val="004D5FFE"/>
    <w:rsid w:val="004D639E"/>
    <w:rsid w:val="004D64CD"/>
    <w:rsid w:val="004D70BE"/>
    <w:rsid w:val="004D74DF"/>
    <w:rsid w:val="004D7595"/>
    <w:rsid w:val="004D7769"/>
    <w:rsid w:val="004D7A73"/>
    <w:rsid w:val="004D7B86"/>
    <w:rsid w:val="004D7C03"/>
    <w:rsid w:val="004E0274"/>
    <w:rsid w:val="004E08EE"/>
    <w:rsid w:val="004E1024"/>
    <w:rsid w:val="004E18BC"/>
    <w:rsid w:val="004E3426"/>
    <w:rsid w:val="004E35D9"/>
    <w:rsid w:val="004E3C37"/>
    <w:rsid w:val="004E43D9"/>
    <w:rsid w:val="004E530E"/>
    <w:rsid w:val="004E61DB"/>
    <w:rsid w:val="004E63C4"/>
    <w:rsid w:val="004E65C7"/>
    <w:rsid w:val="004E68A5"/>
    <w:rsid w:val="004E6FEB"/>
    <w:rsid w:val="004E756D"/>
    <w:rsid w:val="004E7742"/>
    <w:rsid w:val="004F0022"/>
    <w:rsid w:val="004F0650"/>
    <w:rsid w:val="004F11BF"/>
    <w:rsid w:val="004F1258"/>
    <w:rsid w:val="004F189B"/>
    <w:rsid w:val="004F1A7C"/>
    <w:rsid w:val="004F1C69"/>
    <w:rsid w:val="004F2854"/>
    <w:rsid w:val="004F2D6E"/>
    <w:rsid w:val="004F2FCE"/>
    <w:rsid w:val="004F35D0"/>
    <w:rsid w:val="004F3D05"/>
    <w:rsid w:val="004F48D5"/>
    <w:rsid w:val="004F4963"/>
    <w:rsid w:val="004F4ED4"/>
    <w:rsid w:val="004F524D"/>
    <w:rsid w:val="004F5551"/>
    <w:rsid w:val="004F5659"/>
    <w:rsid w:val="004F5FF0"/>
    <w:rsid w:val="004F64C4"/>
    <w:rsid w:val="004F6945"/>
    <w:rsid w:val="004F6F38"/>
    <w:rsid w:val="004F7183"/>
    <w:rsid w:val="004F73C0"/>
    <w:rsid w:val="00500F9C"/>
    <w:rsid w:val="00501283"/>
    <w:rsid w:val="005012E8"/>
    <w:rsid w:val="0050133E"/>
    <w:rsid w:val="00501C6B"/>
    <w:rsid w:val="00501EA8"/>
    <w:rsid w:val="0050316F"/>
    <w:rsid w:val="00503252"/>
    <w:rsid w:val="00503A9E"/>
    <w:rsid w:val="005044D9"/>
    <w:rsid w:val="00504EBA"/>
    <w:rsid w:val="0050595D"/>
    <w:rsid w:val="00506212"/>
    <w:rsid w:val="00506800"/>
    <w:rsid w:val="00506856"/>
    <w:rsid w:val="00506E15"/>
    <w:rsid w:val="005075E4"/>
    <w:rsid w:val="00507F50"/>
    <w:rsid w:val="00510012"/>
    <w:rsid w:val="005102D3"/>
    <w:rsid w:val="0051085D"/>
    <w:rsid w:val="0051098B"/>
    <w:rsid w:val="00510BCE"/>
    <w:rsid w:val="00510C41"/>
    <w:rsid w:val="00511076"/>
    <w:rsid w:val="00511383"/>
    <w:rsid w:val="00511703"/>
    <w:rsid w:val="00511C56"/>
    <w:rsid w:val="00511EF9"/>
    <w:rsid w:val="005121A0"/>
    <w:rsid w:val="0051225D"/>
    <w:rsid w:val="0051284D"/>
    <w:rsid w:val="005129D8"/>
    <w:rsid w:val="00513842"/>
    <w:rsid w:val="0051397B"/>
    <w:rsid w:val="00513E2F"/>
    <w:rsid w:val="005142BE"/>
    <w:rsid w:val="00515098"/>
    <w:rsid w:val="00515384"/>
    <w:rsid w:val="005157E1"/>
    <w:rsid w:val="005158D5"/>
    <w:rsid w:val="00515EF6"/>
    <w:rsid w:val="005177C1"/>
    <w:rsid w:val="00517C98"/>
    <w:rsid w:val="00520583"/>
    <w:rsid w:val="00520620"/>
    <w:rsid w:val="00520B75"/>
    <w:rsid w:val="00520FBD"/>
    <w:rsid w:val="005211FA"/>
    <w:rsid w:val="00521501"/>
    <w:rsid w:val="005219D1"/>
    <w:rsid w:val="00521C8F"/>
    <w:rsid w:val="00521EF4"/>
    <w:rsid w:val="00521F52"/>
    <w:rsid w:val="005220A5"/>
    <w:rsid w:val="005222D1"/>
    <w:rsid w:val="00522A5F"/>
    <w:rsid w:val="00522BD6"/>
    <w:rsid w:val="00522CEB"/>
    <w:rsid w:val="00522EBB"/>
    <w:rsid w:val="00523435"/>
    <w:rsid w:val="00523444"/>
    <w:rsid w:val="005235ED"/>
    <w:rsid w:val="00523619"/>
    <w:rsid w:val="00523656"/>
    <w:rsid w:val="00523719"/>
    <w:rsid w:val="00523756"/>
    <w:rsid w:val="00524106"/>
    <w:rsid w:val="0052413F"/>
    <w:rsid w:val="00524492"/>
    <w:rsid w:val="00525155"/>
    <w:rsid w:val="0052528C"/>
    <w:rsid w:val="00525599"/>
    <w:rsid w:val="0052577A"/>
    <w:rsid w:val="00525A0E"/>
    <w:rsid w:val="00526055"/>
    <w:rsid w:val="00526735"/>
    <w:rsid w:val="00526A59"/>
    <w:rsid w:val="0052728C"/>
    <w:rsid w:val="005272D5"/>
    <w:rsid w:val="00527B31"/>
    <w:rsid w:val="00527DF3"/>
    <w:rsid w:val="00527EB8"/>
    <w:rsid w:val="005305A7"/>
    <w:rsid w:val="00530CF8"/>
    <w:rsid w:val="00530EB6"/>
    <w:rsid w:val="00530ED7"/>
    <w:rsid w:val="005317DE"/>
    <w:rsid w:val="00532D9D"/>
    <w:rsid w:val="005339CE"/>
    <w:rsid w:val="00533AC0"/>
    <w:rsid w:val="00534121"/>
    <w:rsid w:val="0053412A"/>
    <w:rsid w:val="00534D8D"/>
    <w:rsid w:val="0053521D"/>
    <w:rsid w:val="00535339"/>
    <w:rsid w:val="00535443"/>
    <w:rsid w:val="005354E3"/>
    <w:rsid w:val="00535AD6"/>
    <w:rsid w:val="00535ADC"/>
    <w:rsid w:val="00535C01"/>
    <w:rsid w:val="00535E6E"/>
    <w:rsid w:val="00535E6F"/>
    <w:rsid w:val="00535F61"/>
    <w:rsid w:val="0053612B"/>
    <w:rsid w:val="005365A1"/>
    <w:rsid w:val="00536942"/>
    <w:rsid w:val="00536D74"/>
    <w:rsid w:val="00537084"/>
    <w:rsid w:val="00537273"/>
    <w:rsid w:val="005373A6"/>
    <w:rsid w:val="00537BAE"/>
    <w:rsid w:val="00537E8D"/>
    <w:rsid w:val="00540491"/>
    <w:rsid w:val="0054068E"/>
    <w:rsid w:val="005416F4"/>
    <w:rsid w:val="00541C31"/>
    <w:rsid w:val="00542251"/>
    <w:rsid w:val="005422F8"/>
    <w:rsid w:val="005429E6"/>
    <w:rsid w:val="0054369F"/>
    <w:rsid w:val="00543D28"/>
    <w:rsid w:val="00543DBF"/>
    <w:rsid w:val="00544160"/>
    <w:rsid w:val="0054562E"/>
    <w:rsid w:val="00545A0E"/>
    <w:rsid w:val="00545AE0"/>
    <w:rsid w:val="00545FFF"/>
    <w:rsid w:val="0054618E"/>
    <w:rsid w:val="0054622F"/>
    <w:rsid w:val="00546D2F"/>
    <w:rsid w:val="00550038"/>
    <w:rsid w:val="005513B7"/>
    <w:rsid w:val="00551797"/>
    <w:rsid w:val="00551950"/>
    <w:rsid w:val="00552800"/>
    <w:rsid w:val="00553455"/>
    <w:rsid w:val="005544A4"/>
    <w:rsid w:val="0055544B"/>
    <w:rsid w:val="0055684C"/>
    <w:rsid w:val="00556A88"/>
    <w:rsid w:val="00556D27"/>
    <w:rsid w:val="00556F1E"/>
    <w:rsid w:val="00557EF6"/>
    <w:rsid w:val="00560077"/>
    <w:rsid w:val="005604D9"/>
    <w:rsid w:val="0056097C"/>
    <w:rsid w:val="005609B4"/>
    <w:rsid w:val="00560A5C"/>
    <w:rsid w:val="00560BCC"/>
    <w:rsid w:val="00560F66"/>
    <w:rsid w:val="00561012"/>
    <w:rsid w:val="005610EB"/>
    <w:rsid w:val="005610F5"/>
    <w:rsid w:val="00561685"/>
    <w:rsid w:val="0056191E"/>
    <w:rsid w:val="0056209D"/>
    <w:rsid w:val="00562BDE"/>
    <w:rsid w:val="00562CFA"/>
    <w:rsid w:val="00563807"/>
    <w:rsid w:val="005639B1"/>
    <w:rsid w:val="0056443F"/>
    <w:rsid w:val="00564762"/>
    <w:rsid w:val="005648A4"/>
    <w:rsid w:val="00564D4C"/>
    <w:rsid w:val="00565BBF"/>
    <w:rsid w:val="00565FD3"/>
    <w:rsid w:val="00566D52"/>
    <w:rsid w:val="00567094"/>
    <w:rsid w:val="005671E6"/>
    <w:rsid w:val="005674CC"/>
    <w:rsid w:val="0056772D"/>
    <w:rsid w:val="00567CAE"/>
    <w:rsid w:val="00567EC0"/>
    <w:rsid w:val="00570251"/>
    <w:rsid w:val="00570C2D"/>
    <w:rsid w:val="00571030"/>
    <w:rsid w:val="005711A9"/>
    <w:rsid w:val="00571601"/>
    <w:rsid w:val="00571620"/>
    <w:rsid w:val="0057190D"/>
    <w:rsid w:val="00571DA2"/>
    <w:rsid w:val="00571DDF"/>
    <w:rsid w:val="00572089"/>
    <w:rsid w:val="00572805"/>
    <w:rsid w:val="00572EF4"/>
    <w:rsid w:val="00573105"/>
    <w:rsid w:val="005733F9"/>
    <w:rsid w:val="0057342D"/>
    <w:rsid w:val="0057367B"/>
    <w:rsid w:val="00573E81"/>
    <w:rsid w:val="005743E7"/>
    <w:rsid w:val="00574485"/>
    <w:rsid w:val="005746E5"/>
    <w:rsid w:val="00575499"/>
    <w:rsid w:val="0057610A"/>
    <w:rsid w:val="00576467"/>
    <w:rsid w:val="00576874"/>
    <w:rsid w:val="00576BF4"/>
    <w:rsid w:val="00576EDA"/>
    <w:rsid w:val="00577ACF"/>
    <w:rsid w:val="00580099"/>
    <w:rsid w:val="00580510"/>
    <w:rsid w:val="00580552"/>
    <w:rsid w:val="005805F2"/>
    <w:rsid w:val="00580980"/>
    <w:rsid w:val="00580B34"/>
    <w:rsid w:val="00580D16"/>
    <w:rsid w:val="00580D51"/>
    <w:rsid w:val="00581708"/>
    <w:rsid w:val="00581902"/>
    <w:rsid w:val="00581970"/>
    <w:rsid w:val="005819DE"/>
    <w:rsid w:val="00581A9F"/>
    <w:rsid w:val="00581BDA"/>
    <w:rsid w:val="00581E56"/>
    <w:rsid w:val="00582188"/>
    <w:rsid w:val="005821D4"/>
    <w:rsid w:val="005824FA"/>
    <w:rsid w:val="00582FF1"/>
    <w:rsid w:val="0058326E"/>
    <w:rsid w:val="0058328D"/>
    <w:rsid w:val="00583748"/>
    <w:rsid w:val="0058400B"/>
    <w:rsid w:val="005843D7"/>
    <w:rsid w:val="0058440A"/>
    <w:rsid w:val="0058449F"/>
    <w:rsid w:val="00584504"/>
    <w:rsid w:val="0058540D"/>
    <w:rsid w:val="00585799"/>
    <w:rsid w:val="005857D4"/>
    <w:rsid w:val="00585AA5"/>
    <w:rsid w:val="00585B04"/>
    <w:rsid w:val="00585EEE"/>
    <w:rsid w:val="00586485"/>
    <w:rsid w:val="005867A2"/>
    <w:rsid w:val="005868A9"/>
    <w:rsid w:val="00586AC8"/>
    <w:rsid w:val="00586B26"/>
    <w:rsid w:val="00586BB7"/>
    <w:rsid w:val="005873DE"/>
    <w:rsid w:val="00587729"/>
    <w:rsid w:val="0058797B"/>
    <w:rsid w:val="00587C67"/>
    <w:rsid w:val="005902F3"/>
    <w:rsid w:val="00590808"/>
    <w:rsid w:val="00590B4D"/>
    <w:rsid w:val="00591096"/>
    <w:rsid w:val="00591283"/>
    <w:rsid w:val="0059136C"/>
    <w:rsid w:val="005913A6"/>
    <w:rsid w:val="0059198F"/>
    <w:rsid w:val="0059199B"/>
    <w:rsid w:val="00591E95"/>
    <w:rsid w:val="00592290"/>
    <w:rsid w:val="00592B47"/>
    <w:rsid w:val="00592BEA"/>
    <w:rsid w:val="00593051"/>
    <w:rsid w:val="005931A1"/>
    <w:rsid w:val="0059419C"/>
    <w:rsid w:val="00594616"/>
    <w:rsid w:val="005947BB"/>
    <w:rsid w:val="00594AF9"/>
    <w:rsid w:val="00594C4C"/>
    <w:rsid w:val="00595082"/>
    <w:rsid w:val="00595421"/>
    <w:rsid w:val="00595EDD"/>
    <w:rsid w:val="00596099"/>
    <w:rsid w:val="00597286"/>
    <w:rsid w:val="00597369"/>
    <w:rsid w:val="00597536"/>
    <w:rsid w:val="005976B0"/>
    <w:rsid w:val="005A016F"/>
    <w:rsid w:val="005A090E"/>
    <w:rsid w:val="005A0D15"/>
    <w:rsid w:val="005A10B7"/>
    <w:rsid w:val="005A13DB"/>
    <w:rsid w:val="005A1C3F"/>
    <w:rsid w:val="005A2FEF"/>
    <w:rsid w:val="005A3084"/>
    <w:rsid w:val="005A320B"/>
    <w:rsid w:val="005A34C6"/>
    <w:rsid w:val="005A3768"/>
    <w:rsid w:val="005A3BF2"/>
    <w:rsid w:val="005A406A"/>
    <w:rsid w:val="005A476E"/>
    <w:rsid w:val="005A4819"/>
    <w:rsid w:val="005A4863"/>
    <w:rsid w:val="005A509F"/>
    <w:rsid w:val="005A5406"/>
    <w:rsid w:val="005A5802"/>
    <w:rsid w:val="005A5C4B"/>
    <w:rsid w:val="005A5D4E"/>
    <w:rsid w:val="005A6A43"/>
    <w:rsid w:val="005A6AE7"/>
    <w:rsid w:val="005A7142"/>
    <w:rsid w:val="005A7204"/>
    <w:rsid w:val="005A7233"/>
    <w:rsid w:val="005A7562"/>
    <w:rsid w:val="005B0A78"/>
    <w:rsid w:val="005B0B69"/>
    <w:rsid w:val="005B0CCB"/>
    <w:rsid w:val="005B0F93"/>
    <w:rsid w:val="005B11AF"/>
    <w:rsid w:val="005B11E6"/>
    <w:rsid w:val="005B1685"/>
    <w:rsid w:val="005B17D6"/>
    <w:rsid w:val="005B17ED"/>
    <w:rsid w:val="005B18E9"/>
    <w:rsid w:val="005B24EA"/>
    <w:rsid w:val="005B290C"/>
    <w:rsid w:val="005B3780"/>
    <w:rsid w:val="005B3B14"/>
    <w:rsid w:val="005B3C1F"/>
    <w:rsid w:val="005B43EA"/>
    <w:rsid w:val="005B4788"/>
    <w:rsid w:val="005B4C60"/>
    <w:rsid w:val="005B4D1F"/>
    <w:rsid w:val="005B4E65"/>
    <w:rsid w:val="005B5264"/>
    <w:rsid w:val="005B60B2"/>
    <w:rsid w:val="005B65AE"/>
    <w:rsid w:val="005B65BB"/>
    <w:rsid w:val="005B66BB"/>
    <w:rsid w:val="005B6A34"/>
    <w:rsid w:val="005B7049"/>
    <w:rsid w:val="005B7380"/>
    <w:rsid w:val="005B7410"/>
    <w:rsid w:val="005B759E"/>
    <w:rsid w:val="005B75F2"/>
    <w:rsid w:val="005B7683"/>
    <w:rsid w:val="005B79EB"/>
    <w:rsid w:val="005B7A4C"/>
    <w:rsid w:val="005B7B67"/>
    <w:rsid w:val="005C0369"/>
    <w:rsid w:val="005C0580"/>
    <w:rsid w:val="005C0732"/>
    <w:rsid w:val="005C07EF"/>
    <w:rsid w:val="005C0ECC"/>
    <w:rsid w:val="005C0F9A"/>
    <w:rsid w:val="005C0FF2"/>
    <w:rsid w:val="005C1F0C"/>
    <w:rsid w:val="005C1F76"/>
    <w:rsid w:val="005C256A"/>
    <w:rsid w:val="005C27D3"/>
    <w:rsid w:val="005C2FCB"/>
    <w:rsid w:val="005C34BE"/>
    <w:rsid w:val="005C3B24"/>
    <w:rsid w:val="005C3D7D"/>
    <w:rsid w:val="005C491B"/>
    <w:rsid w:val="005C506C"/>
    <w:rsid w:val="005C5D83"/>
    <w:rsid w:val="005C6349"/>
    <w:rsid w:val="005C6693"/>
    <w:rsid w:val="005C71DA"/>
    <w:rsid w:val="005C740C"/>
    <w:rsid w:val="005C77A9"/>
    <w:rsid w:val="005D0810"/>
    <w:rsid w:val="005D159C"/>
    <w:rsid w:val="005D17BC"/>
    <w:rsid w:val="005D1837"/>
    <w:rsid w:val="005D19A8"/>
    <w:rsid w:val="005D2808"/>
    <w:rsid w:val="005D354D"/>
    <w:rsid w:val="005D38C8"/>
    <w:rsid w:val="005D3E58"/>
    <w:rsid w:val="005D3F33"/>
    <w:rsid w:val="005D4691"/>
    <w:rsid w:val="005D57E8"/>
    <w:rsid w:val="005D6201"/>
    <w:rsid w:val="005D622A"/>
    <w:rsid w:val="005D65EE"/>
    <w:rsid w:val="005D680C"/>
    <w:rsid w:val="005D6845"/>
    <w:rsid w:val="005D6936"/>
    <w:rsid w:val="005D695E"/>
    <w:rsid w:val="005D6C84"/>
    <w:rsid w:val="005D6EA3"/>
    <w:rsid w:val="005D7364"/>
    <w:rsid w:val="005D75C3"/>
    <w:rsid w:val="005D7623"/>
    <w:rsid w:val="005D76A3"/>
    <w:rsid w:val="005D78A6"/>
    <w:rsid w:val="005D7A34"/>
    <w:rsid w:val="005D7C78"/>
    <w:rsid w:val="005D7C87"/>
    <w:rsid w:val="005D7F8D"/>
    <w:rsid w:val="005E02A2"/>
    <w:rsid w:val="005E0392"/>
    <w:rsid w:val="005E0404"/>
    <w:rsid w:val="005E0A83"/>
    <w:rsid w:val="005E0EEA"/>
    <w:rsid w:val="005E0F35"/>
    <w:rsid w:val="005E241E"/>
    <w:rsid w:val="005E243F"/>
    <w:rsid w:val="005E258E"/>
    <w:rsid w:val="005E28AB"/>
    <w:rsid w:val="005E295E"/>
    <w:rsid w:val="005E2DCC"/>
    <w:rsid w:val="005E31B3"/>
    <w:rsid w:val="005E345E"/>
    <w:rsid w:val="005E3A20"/>
    <w:rsid w:val="005E4299"/>
    <w:rsid w:val="005E49CB"/>
    <w:rsid w:val="005E4B3F"/>
    <w:rsid w:val="005E4FA0"/>
    <w:rsid w:val="005E53DA"/>
    <w:rsid w:val="005E554D"/>
    <w:rsid w:val="005E559B"/>
    <w:rsid w:val="005E5C13"/>
    <w:rsid w:val="005E5C2E"/>
    <w:rsid w:val="005E5D23"/>
    <w:rsid w:val="005E605B"/>
    <w:rsid w:val="005E6418"/>
    <w:rsid w:val="005E6538"/>
    <w:rsid w:val="005E6701"/>
    <w:rsid w:val="005E6748"/>
    <w:rsid w:val="005E6A05"/>
    <w:rsid w:val="005E6BEA"/>
    <w:rsid w:val="005E6E48"/>
    <w:rsid w:val="005E7410"/>
    <w:rsid w:val="005E7AE2"/>
    <w:rsid w:val="005E7DF4"/>
    <w:rsid w:val="005F010B"/>
    <w:rsid w:val="005F0644"/>
    <w:rsid w:val="005F0CDB"/>
    <w:rsid w:val="005F0D4E"/>
    <w:rsid w:val="005F1338"/>
    <w:rsid w:val="005F1465"/>
    <w:rsid w:val="005F14AA"/>
    <w:rsid w:val="005F21D8"/>
    <w:rsid w:val="005F222E"/>
    <w:rsid w:val="005F26A7"/>
    <w:rsid w:val="005F26D2"/>
    <w:rsid w:val="005F2960"/>
    <w:rsid w:val="005F29B6"/>
    <w:rsid w:val="005F29E3"/>
    <w:rsid w:val="005F2CC1"/>
    <w:rsid w:val="005F2D7F"/>
    <w:rsid w:val="005F3262"/>
    <w:rsid w:val="005F361D"/>
    <w:rsid w:val="005F3945"/>
    <w:rsid w:val="005F4319"/>
    <w:rsid w:val="005F43F1"/>
    <w:rsid w:val="005F4E6E"/>
    <w:rsid w:val="005F56D2"/>
    <w:rsid w:val="005F5752"/>
    <w:rsid w:val="005F5D46"/>
    <w:rsid w:val="005F5E42"/>
    <w:rsid w:val="005F62B1"/>
    <w:rsid w:val="005F6315"/>
    <w:rsid w:val="005F6440"/>
    <w:rsid w:val="005F6491"/>
    <w:rsid w:val="005F662D"/>
    <w:rsid w:val="005F6786"/>
    <w:rsid w:val="005F67DC"/>
    <w:rsid w:val="005F72CB"/>
    <w:rsid w:val="005F774A"/>
    <w:rsid w:val="005F7999"/>
    <w:rsid w:val="005F7F24"/>
    <w:rsid w:val="006001F1"/>
    <w:rsid w:val="0060087F"/>
    <w:rsid w:val="00601874"/>
    <w:rsid w:val="00601C63"/>
    <w:rsid w:val="00602296"/>
    <w:rsid w:val="0060307D"/>
    <w:rsid w:val="0060336A"/>
    <w:rsid w:val="00603815"/>
    <w:rsid w:val="0060395C"/>
    <w:rsid w:val="006039A2"/>
    <w:rsid w:val="006040F3"/>
    <w:rsid w:val="00604435"/>
    <w:rsid w:val="00604DA9"/>
    <w:rsid w:val="006051D3"/>
    <w:rsid w:val="00605BB0"/>
    <w:rsid w:val="00606009"/>
    <w:rsid w:val="006067D4"/>
    <w:rsid w:val="0060705E"/>
    <w:rsid w:val="00607434"/>
    <w:rsid w:val="00610C34"/>
    <w:rsid w:val="00610DC6"/>
    <w:rsid w:val="00610E03"/>
    <w:rsid w:val="00610E4D"/>
    <w:rsid w:val="00611270"/>
    <w:rsid w:val="00611D6A"/>
    <w:rsid w:val="0061201F"/>
    <w:rsid w:val="00612331"/>
    <w:rsid w:val="00612450"/>
    <w:rsid w:val="006124EF"/>
    <w:rsid w:val="006128C3"/>
    <w:rsid w:val="006129F5"/>
    <w:rsid w:val="00613365"/>
    <w:rsid w:val="006133A4"/>
    <w:rsid w:val="006133B5"/>
    <w:rsid w:val="00613C60"/>
    <w:rsid w:val="00614679"/>
    <w:rsid w:val="0061502F"/>
    <w:rsid w:val="00615741"/>
    <w:rsid w:val="00615B6B"/>
    <w:rsid w:val="00615EB9"/>
    <w:rsid w:val="00615F7D"/>
    <w:rsid w:val="0061615A"/>
    <w:rsid w:val="00616C00"/>
    <w:rsid w:val="00617A1D"/>
    <w:rsid w:val="00617B90"/>
    <w:rsid w:val="00617F3B"/>
    <w:rsid w:val="006202CB"/>
    <w:rsid w:val="0062042E"/>
    <w:rsid w:val="0062091E"/>
    <w:rsid w:val="00620A0E"/>
    <w:rsid w:val="00620F48"/>
    <w:rsid w:val="00621031"/>
    <w:rsid w:val="006210FA"/>
    <w:rsid w:val="00621440"/>
    <w:rsid w:val="00621E38"/>
    <w:rsid w:val="00621E9C"/>
    <w:rsid w:val="00621EAF"/>
    <w:rsid w:val="00621F48"/>
    <w:rsid w:val="0062278F"/>
    <w:rsid w:val="00622E40"/>
    <w:rsid w:val="006231BF"/>
    <w:rsid w:val="0062343B"/>
    <w:rsid w:val="00623935"/>
    <w:rsid w:val="0062394A"/>
    <w:rsid w:val="00623B2D"/>
    <w:rsid w:val="00623C87"/>
    <w:rsid w:val="00623D61"/>
    <w:rsid w:val="00623D74"/>
    <w:rsid w:val="00624E89"/>
    <w:rsid w:val="00624F3C"/>
    <w:rsid w:val="0062500F"/>
    <w:rsid w:val="006251E2"/>
    <w:rsid w:val="00625290"/>
    <w:rsid w:val="00627678"/>
    <w:rsid w:val="0062770A"/>
    <w:rsid w:val="00627E79"/>
    <w:rsid w:val="00630AA2"/>
    <w:rsid w:val="00630F9E"/>
    <w:rsid w:val="00631585"/>
    <w:rsid w:val="00631630"/>
    <w:rsid w:val="006317EB"/>
    <w:rsid w:val="00631C28"/>
    <w:rsid w:val="00631E43"/>
    <w:rsid w:val="00631F90"/>
    <w:rsid w:val="006327A6"/>
    <w:rsid w:val="00632B12"/>
    <w:rsid w:val="00632D81"/>
    <w:rsid w:val="00632DAB"/>
    <w:rsid w:val="0063345E"/>
    <w:rsid w:val="00633C65"/>
    <w:rsid w:val="006342EC"/>
    <w:rsid w:val="006343F7"/>
    <w:rsid w:val="00634699"/>
    <w:rsid w:val="00634A72"/>
    <w:rsid w:val="00634B33"/>
    <w:rsid w:val="006350CF"/>
    <w:rsid w:val="00635168"/>
    <w:rsid w:val="0063538F"/>
    <w:rsid w:val="00635809"/>
    <w:rsid w:val="00635B73"/>
    <w:rsid w:val="00635B79"/>
    <w:rsid w:val="006364AE"/>
    <w:rsid w:val="00636611"/>
    <w:rsid w:val="00637825"/>
    <w:rsid w:val="006378F5"/>
    <w:rsid w:val="00637A60"/>
    <w:rsid w:val="0064023B"/>
    <w:rsid w:val="006409BB"/>
    <w:rsid w:val="00640CE8"/>
    <w:rsid w:val="006410BA"/>
    <w:rsid w:val="00641202"/>
    <w:rsid w:val="00641772"/>
    <w:rsid w:val="0064200E"/>
    <w:rsid w:val="00642A06"/>
    <w:rsid w:val="00642A65"/>
    <w:rsid w:val="00643408"/>
    <w:rsid w:val="00643A0B"/>
    <w:rsid w:val="00643B4B"/>
    <w:rsid w:val="00643D1A"/>
    <w:rsid w:val="00644861"/>
    <w:rsid w:val="00644DE8"/>
    <w:rsid w:val="00645700"/>
    <w:rsid w:val="00645BF4"/>
    <w:rsid w:val="00646A5A"/>
    <w:rsid w:val="00646E31"/>
    <w:rsid w:val="0064741C"/>
    <w:rsid w:val="006474D0"/>
    <w:rsid w:val="00647722"/>
    <w:rsid w:val="0064785C"/>
    <w:rsid w:val="00647B8C"/>
    <w:rsid w:val="00647F9F"/>
    <w:rsid w:val="006500E4"/>
    <w:rsid w:val="00650298"/>
    <w:rsid w:val="006504BB"/>
    <w:rsid w:val="00650632"/>
    <w:rsid w:val="006506E3"/>
    <w:rsid w:val="00650E50"/>
    <w:rsid w:val="00651142"/>
    <w:rsid w:val="00651324"/>
    <w:rsid w:val="00651396"/>
    <w:rsid w:val="00651488"/>
    <w:rsid w:val="00651622"/>
    <w:rsid w:val="00651824"/>
    <w:rsid w:val="00651AA3"/>
    <w:rsid w:val="00651B8D"/>
    <w:rsid w:val="00651DA2"/>
    <w:rsid w:val="0065245C"/>
    <w:rsid w:val="00652F82"/>
    <w:rsid w:val="006537C4"/>
    <w:rsid w:val="00653DF5"/>
    <w:rsid w:val="00653F65"/>
    <w:rsid w:val="0065481A"/>
    <w:rsid w:val="00655353"/>
    <w:rsid w:val="0065539E"/>
    <w:rsid w:val="00655CEC"/>
    <w:rsid w:val="00656134"/>
    <w:rsid w:val="0065663B"/>
    <w:rsid w:val="00656D02"/>
    <w:rsid w:val="00656FA0"/>
    <w:rsid w:val="006572A5"/>
    <w:rsid w:val="00657358"/>
    <w:rsid w:val="00657C41"/>
    <w:rsid w:val="00657C88"/>
    <w:rsid w:val="00657E3F"/>
    <w:rsid w:val="006601A9"/>
    <w:rsid w:val="006604F4"/>
    <w:rsid w:val="006605CB"/>
    <w:rsid w:val="00660BD0"/>
    <w:rsid w:val="00660C8A"/>
    <w:rsid w:val="00660F2E"/>
    <w:rsid w:val="006610BC"/>
    <w:rsid w:val="00661243"/>
    <w:rsid w:val="00661405"/>
    <w:rsid w:val="00661682"/>
    <w:rsid w:val="006617F1"/>
    <w:rsid w:val="006618A4"/>
    <w:rsid w:val="00661C0B"/>
    <w:rsid w:val="00661E71"/>
    <w:rsid w:val="00661FB5"/>
    <w:rsid w:val="00663078"/>
    <w:rsid w:val="00663B20"/>
    <w:rsid w:val="006640C9"/>
    <w:rsid w:val="00664252"/>
    <w:rsid w:val="00664602"/>
    <w:rsid w:val="00664865"/>
    <w:rsid w:val="00664BBF"/>
    <w:rsid w:val="00664DFE"/>
    <w:rsid w:val="00665D7B"/>
    <w:rsid w:val="00665F13"/>
    <w:rsid w:val="0066673A"/>
    <w:rsid w:val="00670146"/>
    <w:rsid w:val="0067028F"/>
    <w:rsid w:val="0067036D"/>
    <w:rsid w:val="00670797"/>
    <w:rsid w:val="006716F1"/>
    <w:rsid w:val="0067190F"/>
    <w:rsid w:val="00671AE1"/>
    <w:rsid w:val="00671BD6"/>
    <w:rsid w:val="006721DB"/>
    <w:rsid w:val="00672752"/>
    <w:rsid w:val="00672EF8"/>
    <w:rsid w:val="00673021"/>
    <w:rsid w:val="006733FA"/>
    <w:rsid w:val="00673437"/>
    <w:rsid w:val="00673563"/>
    <w:rsid w:val="0067359D"/>
    <w:rsid w:val="00673894"/>
    <w:rsid w:val="00673904"/>
    <w:rsid w:val="00673A2F"/>
    <w:rsid w:val="00673F32"/>
    <w:rsid w:val="0067472B"/>
    <w:rsid w:val="006748BD"/>
    <w:rsid w:val="006749E9"/>
    <w:rsid w:val="00674A6A"/>
    <w:rsid w:val="0067512A"/>
    <w:rsid w:val="0067550E"/>
    <w:rsid w:val="00675B21"/>
    <w:rsid w:val="00675C9F"/>
    <w:rsid w:val="006760AD"/>
    <w:rsid w:val="0067626C"/>
    <w:rsid w:val="00676524"/>
    <w:rsid w:val="00676697"/>
    <w:rsid w:val="006767CF"/>
    <w:rsid w:val="00676842"/>
    <w:rsid w:val="00676AE3"/>
    <w:rsid w:val="00676D6C"/>
    <w:rsid w:val="0067785A"/>
    <w:rsid w:val="006779C7"/>
    <w:rsid w:val="0068032C"/>
    <w:rsid w:val="00680998"/>
    <w:rsid w:val="00680A3F"/>
    <w:rsid w:val="00680B69"/>
    <w:rsid w:val="00680BBC"/>
    <w:rsid w:val="00681A28"/>
    <w:rsid w:val="006830AE"/>
    <w:rsid w:val="006831F3"/>
    <w:rsid w:val="006833AD"/>
    <w:rsid w:val="00683466"/>
    <w:rsid w:val="006837C4"/>
    <w:rsid w:val="006837D5"/>
    <w:rsid w:val="00683CF4"/>
    <w:rsid w:val="00683F48"/>
    <w:rsid w:val="00684D5D"/>
    <w:rsid w:val="006852A9"/>
    <w:rsid w:val="006853F6"/>
    <w:rsid w:val="00685766"/>
    <w:rsid w:val="00685A08"/>
    <w:rsid w:val="00685C41"/>
    <w:rsid w:val="00685D51"/>
    <w:rsid w:val="00685F55"/>
    <w:rsid w:val="00685F87"/>
    <w:rsid w:val="00686472"/>
    <w:rsid w:val="006864D4"/>
    <w:rsid w:val="006867E4"/>
    <w:rsid w:val="00686903"/>
    <w:rsid w:val="00686BA6"/>
    <w:rsid w:val="006871A6"/>
    <w:rsid w:val="006872DF"/>
    <w:rsid w:val="00687307"/>
    <w:rsid w:val="00687828"/>
    <w:rsid w:val="00687BC6"/>
    <w:rsid w:val="00687C8A"/>
    <w:rsid w:val="00687CE7"/>
    <w:rsid w:val="00690A3D"/>
    <w:rsid w:val="00690C2D"/>
    <w:rsid w:val="00690D75"/>
    <w:rsid w:val="00691315"/>
    <w:rsid w:val="00691BA1"/>
    <w:rsid w:val="00691C76"/>
    <w:rsid w:val="00692915"/>
    <w:rsid w:val="00692C11"/>
    <w:rsid w:val="00693000"/>
    <w:rsid w:val="006933DD"/>
    <w:rsid w:val="006934BE"/>
    <w:rsid w:val="00693FA7"/>
    <w:rsid w:val="006941B4"/>
    <w:rsid w:val="00694619"/>
    <w:rsid w:val="006947A2"/>
    <w:rsid w:val="00695079"/>
    <w:rsid w:val="006955B0"/>
    <w:rsid w:val="00695892"/>
    <w:rsid w:val="00695E62"/>
    <w:rsid w:val="00695F94"/>
    <w:rsid w:val="0069695B"/>
    <w:rsid w:val="00696F63"/>
    <w:rsid w:val="006973DE"/>
    <w:rsid w:val="006978DC"/>
    <w:rsid w:val="006A02E4"/>
    <w:rsid w:val="006A0327"/>
    <w:rsid w:val="006A06F9"/>
    <w:rsid w:val="006A070B"/>
    <w:rsid w:val="006A1342"/>
    <w:rsid w:val="006A1600"/>
    <w:rsid w:val="006A1DDE"/>
    <w:rsid w:val="006A1E98"/>
    <w:rsid w:val="006A271F"/>
    <w:rsid w:val="006A2D03"/>
    <w:rsid w:val="006A309F"/>
    <w:rsid w:val="006A31B4"/>
    <w:rsid w:val="006A38AE"/>
    <w:rsid w:val="006A4A2A"/>
    <w:rsid w:val="006A4A4B"/>
    <w:rsid w:val="006A50AE"/>
    <w:rsid w:val="006A5199"/>
    <w:rsid w:val="006A53B5"/>
    <w:rsid w:val="006A54A5"/>
    <w:rsid w:val="006A5792"/>
    <w:rsid w:val="006A591E"/>
    <w:rsid w:val="006A5EFE"/>
    <w:rsid w:val="006A6443"/>
    <w:rsid w:val="006A68B9"/>
    <w:rsid w:val="006A723A"/>
    <w:rsid w:val="006A73B5"/>
    <w:rsid w:val="006A7971"/>
    <w:rsid w:val="006A7B2B"/>
    <w:rsid w:val="006A7CD9"/>
    <w:rsid w:val="006B0203"/>
    <w:rsid w:val="006B0B59"/>
    <w:rsid w:val="006B125D"/>
    <w:rsid w:val="006B159F"/>
    <w:rsid w:val="006B186C"/>
    <w:rsid w:val="006B192C"/>
    <w:rsid w:val="006B1E61"/>
    <w:rsid w:val="006B2399"/>
    <w:rsid w:val="006B2564"/>
    <w:rsid w:val="006B418D"/>
    <w:rsid w:val="006B432A"/>
    <w:rsid w:val="006B4A5E"/>
    <w:rsid w:val="006B4B51"/>
    <w:rsid w:val="006B55E6"/>
    <w:rsid w:val="006B5816"/>
    <w:rsid w:val="006B5E5A"/>
    <w:rsid w:val="006B60E0"/>
    <w:rsid w:val="006B6426"/>
    <w:rsid w:val="006B7BB7"/>
    <w:rsid w:val="006C0092"/>
    <w:rsid w:val="006C02AC"/>
    <w:rsid w:val="006C059C"/>
    <w:rsid w:val="006C06E7"/>
    <w:rsid w:val="006C0AF5"/>
    <w:rsid w:val="006C0F5E"/>
    <w:rsid w:val="006C142B"/>
    <w:rsid w:val="006C1AF2"/>
    <w:rsid w:val="006C1F6A"/>
    <w:rsid w:val="006C260A"/>
    <w:rsid w:val="006C2A43"/>
    <w:rsid w:val="006C2C60"/>
    <w:rsid w:val="006C2D6D"/>
    <w:rsid w:val="006C2F3B"/>
    <w:rsid w:val="006C3103"/>
    <w:rsid w:val="006C3732"/>
    <w:rsid w:val="006C4024"/>
    <w:rsid w:val="006C5141"/>
    <w:rsid w:val="006C5683"/>
    <w:rsid w:val="006C5CA7"/>
    <w:rsid w:val="006C699B"/>
    <w:rsid w:val="006C6A06"/>
    <w:rsid w:val="006C6BFD"/>
    <w:rsid w:val="006C735A"/>
    <w:rsid w:val="006C7771"/>
    <w:rsid w:val="006C7EA3"/>
    <w:rsid w:val="006D03DD"/>
    <w:rsid w:val="006D048D"/>
    <w:rsid w:val="006D06EF"/>
    <w:rsid w:val="006D08F7"/>
    <w:rsid w:val="006D09F6"/>
    <w:rsid w:val="006D0BAE"/>
    <w:rsid w:val="006D0CC2"/>
    <w:rsid w:val="006D10E8"/>
    <w:rsid w:val="006D146E"/>
    <w:rsid w:val="006D19FC"/>
    <w:rsid w:val="006D1F7B"/>
    <w:rsid w:val="006D1F91"/>
    <w:rsid w:val="006D28AE"/>
    <w:rsid w:val="006D2DBF"/>
    <w:rsid w:val="006D3086"/>
    <w:rsid w:val="006D3377"/>
    <w:rsid w:val="006D354A"/>
    <w:rsid w:val="006D37A0"/>
    <w:rsid w:val="006D3BD2"/>
    <w:rsid w:val="006D4F99"/>
    <w:rsid w:val="006D53A8"/>
    <w:rsid w:val="006D53F5"/>
    <w:rsid w:val="006D587B"/>
    <w:rsid w:val="006D6928"/>
    <w:rsid w:val="006D7530"/>
    <w:rsid w:val="006D77FA"/>
    <w:rsid w:val="006D784D"/>
    <w:rsid w:val="006D78D9"/>
    <w:rsid w:val="006D7F1A"/>
    <w:rsid w:val="006E04E8"/>
    <w:rsid w:val="006E0A2D"/>
    <w:rsid w:val="006E0DCF"/>
    <w:rsid w:val="006E132B"/>
    <w:rsid w:val="006E13D3"/>
    <w:rsid w:val="006E1D62"/>
    <w:rsid w:val="006E215A"/>
    <w:rsid w:val="006E2367"/>
    <w:rsid w:val="006E26C3"/>
    <w:rsid w:val="006E2A29"/>
    <w:rsid w:val="006E3448"/>
    <w:rsid w:val="006E381E"/>
    <w:rsid w:val="006E3BA0"/>
    <w:rsid w:val="006E3D47"/>
    <w:rsid w:val="006E4125"/>
    <w:rsid w:val="006E4283"/>
    <w:rsid w:val="006E45E2"/>
    <w:rsid w:val="006E4640"/>
    <w:rsid w:val="006E4DDB"/>
    <w:rsid w:val="006E609A"/>
    <w:rsid w:val="006E6836"/>
    <w:rsid w:val="006E688B"/>
    <w:rsid w:val="006E6922"/>
    <w:rsid w:val="006E6A75"/>
    <w:rsid w:val="006E6C46"/>
    <w:rsid w:val="006E6DFB"/>
    <w:rsid w:val="006E77FB"/>
    <w:rsid w:val="006F0171"/>
    <w:rsid w:val="006F07A8"/>
    <w:rsid w:val="006F1368"/>
    <w:rsid w:val="006F154A"/>
    <w:rsid w:val="006F1E0A"/>
    <w:rsid w:val="006F1E84"/>
    <w:rsid w:val="006F21DC"/>
    <w:rsid w:val="006F2399"/>
    <w:rsid w:val="006F2765"/>
    <w:rsid w:val="006F2E7D"/>
    <w:rsid w:val="006F2FB7"/>
    <w:rsid w:val="006F313C"/>
    <w:rsid w:val="006F3775"/>
    <w:rsid w:val="006F413A"/>
    <w:rsid w:val="006F4538"/>
    <w:rsid w:val="006F4A2C"/>
    <w:rsid w:val="006F4C8C"/>
    <w:rsid w:val="006F5795"/>
    <w:rsid w:val="006F5C72"/>
    <w:rsid w:val="006F678E"/>
    <w:rsid w:val="006F6A64"/>
    <w:rsid w:val="006F7BE3"/>
    <w:rsid w:val="006F7CDA"/>
    <w:rsid w:val="00700D1B"/>
    <w:rsid w:val="00700DEE"/>
    <w:rsid w:val="007012C4"/>
    <w:rsid w:val="007018E2"/>
    <w:rsid w:val="00701A4A"/>
    <w:rsid w:val="007025DC"/>
    <w:rsid w:val="0070277D"/>
    <w:rsid w:val="0070297D"/>
    <w:rsid w:val="00702ACC"/>
    <w:rsid w:val="00702BB0"/>
    <w:rsid w:val="0070300B"/>
    <w:rsid w:val="007035CC"/>
    <w:rsid w:val="0070367F"/>
    <w:rsid w:val="00703917"/>
    <w:rsid w:val="00703DB4"/>
    <w:rsid w:val="00704387"/>
    <w:rsid w:val="00704886"/>
    <w:rsid w:val="00704D7E"/>
    <w:rsid w:val="00704E8B"/>
    <w:rsid w:val="00704FC1"/>
    <w:rsid w:val="0070525D"/>
    <w:rsid w:val="007052C3"/>
    <w:rsid w:val="00705A46"/>
    <w:rsid w:val="00705F5E"/>
    <w:rsid w:val="00706647"/>
    <w:rsid w:val="0070673D"/>
    <w:rsid w:val="00706861"/>
    <w:rsid w:val="00706977"/>
    <w:rsid w:val="00706AD0"/>
    <w:rsid w:val="00706DB2"/>
    <w:rsid w:val="00706F57"/>
    <w:rsid w:val="00706F76"/>
    <w:rsid w:val="00707350"/>
    <w:rsid w:val="007075BB"/>
    <w:rsid w:val="00707F08"/>
    <w:rsid w:val="007101FE"/>
    <w:rsid w:val="007102F2"/>
    <w:rsid w:val="00710563"/>
    <w:rsid w:val="00710DA2"/>
    <w:rsid w:val="0071141B"/>
    <w:rsid w:val="00711A2C"/>
    <w:rsid w:val="00711CCE"/>
    <w:rsid w:val="00711E15"/>
    <w:rsid w:val="00712736"/>
    <w:rsid w:val="00712757"/>
    <w:rsid w:val="007128E4"/>
    <w:rsid w:val="00712B9A"/>
    <w:rsid w:val="00712BF5"/>
    <w:rsid w:val="00713013"/>
    <w:rsid w:val="007137B6"/>
    <w:rsid w:val="00713A1F"/>
    <w:rsid w:val="007147D0"/>
    <w:rsid w:val="00714813"/>
    <w:rsid w:val="0071484C"/>
    <w:rsid w:val="00715120"/>
    <w:rsid w:val="0071583E"/>
    <w:rsid w:val="00715CFF"/>
    <w:rsid w:val="00716F74"/>
    <w:rsid w:val="00716FEA"/>
    <w:rsid w:val="007170F2"/>
    <w:rsid w:val="00720205"/>
    <w:rsid w:val="00720626"/>
    <w:rsid w:val="00720767"/>
    <w:rsid w:val="00720CCF"/>
    <w:rsid w:val="00720DF0"/>
    <w:rsid w:val="0072128F"/>
    <w:rsid w:val="007217CD"/>
    <w:rsid w:val="00721B35"/>
    <w:rsid w:val="00721C70"/>
    <w:rsid w:val="007222BF"/>
    <w:rsid w:val="007226FA"/>
    <w:rsid w:val="007227B5"/>
    <w:rsid w:val="0072282E"/>
    <w:rsid w:val="007228C3"/>
    <w:rsid w:val="00722B37"/>
    <w:rsid w:val="00722C60"/>
    <w:rsid w:val="00722CD9"/>
    <w:rsid w:val="007236A4"/>
    <w:rsid w:val="00723852"/>
    <w:rsid w:val="00723A06"/>
    <w:rsid w:val="00723DAB"/>
    <w:rsid w:val="00723DBA"/>
    <w:rsid w:val="00724FD9"/>
    <w:rsid w:val="00725233"/>
    <w:rsid w:val="00725ED8"/>
    <w:rsid w:val="007260DC"/>
    <w:rsid w:val="00726907"/>
    <w:rsid w:val="0072696C"/>
    <w:rsid w:val="007269E4"/>
    <w:rsid w:val="00726CC2"/>
    <w:rsid w:val="00726D18"/>
    <w:rsid w:val="007270E2"/>
    <w:rsid w:val="007274A3"/>
    <w:rsid w:val="00727869"/>
    <w:rsid w:val="0072791A"/>
    <w:rsid w:val="00727B7A"/>
    <w:rsid w:val="00730120"/>
    <w:rsid w:val="00730663"/>
    <w:rsid w:val="00730C2E"/>
    <w:rsid w:val="00730E47"/>
    <w:rsid w:val="007317DC"/>
    <w:rsid w:val="00731F78"/>
    <w:rsid w:val="00731FC8"/>
    <w:rsid w:val="00732910"/>
    <w:rsid w:val="007339C9"/>
    <w:rsid w:val="00733A04"/>
    <w:rsid w:val="00733ADE"/>
    <w:rsid w:val="00733E1F"/>
    <w:rsid w:val="00733E74"/>
    <w:rsid w:val="00733FA3"/>
    <w:rsid w:val="00734093"/>
    <w:rsid w:val="00734A79"/>
    <w:rsid w:val="00734BEF"/>
    <w:rsid w:val="00734D4A"/>
    <w:rsid w:val="0073552F"/>
    <w:rsid w:val="00735FEF"/>
    <w:rsid w:val="00736489"/>
    <w:rsid w:val="00736B4C"/>
    <w:rsid w:val="00737906"/>
    <w:rsid w:val="007379EF"/>
    <w:rsid w:val="00737EBF"/>
    <w:rsid w:val="00740A0D"/>
    <w:rsid w:val="00740E34"/>
    <w:rsid w:val="00741012"/>
    <w:rsid w:val="007417C0"/>
    <w:rsid w:val="007418B4"/>
    <w:rsid w:val="00741A43"/>
    <w:rsid w:val="007421EF"/>
    <w:rsid w:val="007424B4"/>
    <w:rsid w:val="0074266E"/>
    <w:rsid w:val="00742FD8"/>
    <w:rsid w:val="0074386A"/>
    <w:rsid w:val="007439EE"/>
    <w:rsid w:val="00743CBB"/>
    <w:rsid w:val="00743E3D"/>
    <w:rsid w:val="0074485D"/>
    <w:rsid w:val="00744910"/>
    <w:rsid w:val="0074496F"/>
    <w:rsid w:val="0074539B"/>
    <w:rsid w:val="00745B72"/>
    <w:rsid w:val="00745E50"/>
    <w:rsid w:val="00745F47"/>
    <w:rsid w:val="007460B1"/>
    <w:rsid w:val="007466AF"/>
    <w:rsid w:val="007466C4"/>
    <w:rsid w:val="007468E0"/>
    <w:rsid w:val="00746903"/>
    <w:rsid w:val="007473C9"/>
    <w:rsid w:val="007475B8"/>
    <w:rsid w:val="00747BB9"/>
    <w:rsid w:val="00747DEA"/>
    <w:rsid w:val="00747FC8"/>
    <w:rsid w:val="00750473"/>
    <w:rsid w:val="00750A2B"/>
    <w:rsid w:val="00750BD8"/>
    <w:rsid w:val="00750C64"/>
    <w:rsid w:val="00750EDD"/>
    <w:rsid w:val="00750F8E"/>
    <w:rsid w:val="00751044"/>
    <w:rsid w:val="00751118"/>
    <w:rsid w:val="00751416"/>
    <w:rsid w:val="00752043"/>
    <w:rsid w:val="00752045"/>
    <w:rsid w:val="0075242C"/>
    <w:rsid w:val="0075274F"/>
    <w:rsid w:val="00752FF3"/>
    <w:rsid w:val="00753069"/>
    <w:rsid w:val="0075330D"/>
    <w:rsid w:val="0075335F"/>
    <w:rsid w:val="0075413E"/>
    <w:rsid w:val="0075462F"/>
    <w:rsid w:val="0075470D"/>
    <w:rsid w:val="007551B1"/>
    <w:rsid w:val="00755733"/>
    <w:rsid w:val="00755F7E"/>
    <w:rsid w:val="00756785"/>
    <w:rsid w:val="00756AA9"/>
    <w:rsid w:val="00756DED"/>
    <w:rsid w:val="00756E04"/>
    <w:rsid w:val="00756FEE"/>
    <w:rsid w:val="007579F4"/>
    <w:rsid w:val="007605C6"/>
    <w:rsid w:val="00760724"/>
    <w:rsid w:val="00761197"/>
    <w:rsid w:val="00761523"/>
    <w:rsid w:val="00761D79"/>
    <w:rsid w:val="00763004"/>
    <w:rsid w:val="00763904"/>
    <w:rsid w:val="00764053"/>
    <w:rsid w:val="00764209"/>
    <w:rsid w:val="00764344"/>
    <w:rsid w:val="00764558"/>
    <w:rsid w:val="007649C6"/>
    <w:rsid w:val="00764B8C"/>
    <w:rsid w:val="00764E8E"/>
    <w:rsid w:val="00765109"/>
    <w:rsid w:val="00765519"/>
    <w:rsid w:val="00765B2C"/>
    <w:rsid w:val="00765BA9"/>
    <w:rsid w:val="00766201"/>
    <w:rsid w:val="00766E87"/>
    <w:rsid w:val="0076700D"/>
    <w:rsid w:val="007670EC"/>
    <w:rsid w:val="00767A45"/>
    <w:rsid w:val="00767A48"/>
    <w:rsid w:val="00767D19"/>
    <w:rsid w:val="00770A5C"/>
    <w:rsid w:val="00771071"/>
    <w:rsid w:val="0077172F"/>
    <w:rsid w:val="00771F2D"/>
    <w:rsid w:val="0077259B"/>
    <w:rsid w:val="007726A6"/>
    <w:rsid w:val="00772AF6"/>
    <w:rsid w:val="00772FDF"/>
    <w:rsid w:val="007732B1"/>
    <w:rsid w:val="00773E30"/>
    <w:rsid w:val="007742FD"/>
    <w:rsid w:val="007744B6"/>
    <w:rsid w:val="007748E6"/>
    <w:rsid w:val="00774DBB"/>
    <w:rsid w:val="00774DF5"/>
    <w:rsid w:val="007756CB"/>
    <w:rsid w:val="007757DE"/>
    <w:rsid w:val="00775E06"/>
    <w:rsid w:val="007762D7"/>
    <w:rsid w:val="0077649F"/>
    <w:rsid w:val="0077699D"/>
    <w:rsid w:val="00776A54"/>
    <w:rsid w:val="00776D7E"/>
    <w:rsid w:val="00776D9A"/>
    <w:rsid w:val="00777222"/>
    <w:rsid w:val="00777235"/>
    <w:rsid w:val="00777CD9"/>
    <w:rsid w:val="0078016A"/>
    <w:rsid w:val="0078031B"/>
    <w:rsid w:val="007804DB"/>
    <w:rsid w:val="0078070C"/>
    <w:rsid w:val="007807DC"/>
    <w:rsid w:val="00781B30"/>
    <w:rsid w:val="00781CA6"/>
    <w:rsid w:val="00781D1D"/>
    <w:rsid w:val="00782061"/>
    <w:rsid w:val="0078221A"/>
    <w:rsid w:val="0078233A"/>
    <w:rsid w:val="007826D5"/>
    <w:rsid w:val="0078293C"/>
    <w:rsid w:val="00782E40"/>
    <w:rsid w:val="00782FF4"/>
    <w:rsid w:val="00783267"/>
    <w:rsid w:val="0078346A"/>
    <w:rsid w:val="00784318"/>
    <w:rsid w:val="00784A5D"/>
    <w:rsid w:val="00784A69"/>
    <w:rsid w:val="00784E02"/>
    <w:rsid w:val="00784F42"/>
    <w:rsid w:val="007854E6"/>
    <w:rsid w:val="0078569D"/>
    <w:rsid w:val="00785C18"/>
    <w:rsid w:val="00785C3E"/>
    <w:rsid w:val="00785CE9"/>
    <w:rsid w:val="00786B93"/>
    <w:rsid w:val="00787933"/>
    <w:rsid w:val="00787BC4"/>
    <w:rsid w:val="00787CE6"/>
    <w:rsid w:val="00787CF8"/>
    <w:rsid w:val="007903F3"/>
    <w:rsid w:val="00790CAA"/>
    <w:rsid w:val="00790FA9"/>
    <w:rsid w:val="007912B6"/>
    <w:rsid w:val="00791932"/>
    <w:rsid w:val="007919BF"/>
    <w:rsid w:val="007920B2"/>
    <w:rsid w:val="007923A2"/>
    <w:rsid w:val="0079263C"/>
    <w:rsid w:val="00792641"/>
    <w:rsid w:val="00792D28"/>
    <w:rsid w:val="0079341B"/>
    <w:rsid w:val="00793941"/>
    <w:rsid w:val="00793F50"/>
    <w:rsid w:val="00794725"/>
    <w:rsid w:val="0079497B"/>
    <w:rsid w:val="007949E6"/>
    <w:rsid w:val="00794AD3"/>
    <w:rsid w:val="00794E61"/>
    <w:rsid w:val="007954A9"/>
    <w:rsid w:val="00795F63"/>
    <w:rsid w:val="00796792"/>
    <w:rsid w:val="00796B51"/>
    <w:rsid w:val="00796C4C"/>
    <w:rsid w:val="00796E23"/>
    <w:rsid w:val="007978A4"/>
    <w:rsid w:val="00797AD7"/>
    <w:rsid w:val="007A078A"/>
    <w:rsid w:val="007A0E11"/>
    <w:rsid w:val="007A1154"/>
    <w:rsid w:val="007A16EF"/>
    <w:rsid w:val="007A18F3"/>
    <w:rsid w:val="007A1A35"/>
    <w:rsid w:val="007A2EAE"/>
    <w:rsid w:val="007A2F21"/>
    <w:rsid w:val="007A35F3"/>
    <w:rsid w:val="007A3BEE"/>
    <w:rsid w:val="007A3F3B"/>
    <w:rsid w:val="007A415C"/>
    <w:rsid w:val="007A42A8"/>
    <w:rsid w:val="007A4366"/>
    <w:rsid w:val="007A468C"/>
    <w:rsid w:val="007A475D"/>
    <w:rsid w:val="007A4E2B"/>
    <w:rsid w:val="007A4F12"/>
    <w:rsid w:val="007A4F54"/>
    <w:rsid w:val="007A50EC"/>
    <w:rsid w:val="007A52F3"/>
    <w:rsid w:val="007A55EE"/>
    <w:rsid w:val="007A57AF"/>
    <w:rsid w:val="007A5E77"/>
    <w:rsid w:val="007A6954"/>
    <w:rsid w:val="007A6F00"/>
    <w:rsid w:val="007A71B3"/>
    <w:rsid w:val="007A7305"/>
    <w:rsid w:val="007A7DA1"/>
    <w:rsid w:val="007B0071"/>
    <w:rsid w:val="007B0297"/>
    <w:rsid w:val="007B10AD"/>
    <w:rsid w:val="007B112B"/>
    <w:rsid w:val="007B1453"/>
    <w:rsid w:val="007B169C"/>
    <w:rsid w:val="007B172B"/>
    <w:rsid w:val="007B1B71"/>
    <w:rsid w:val="007B1CD8"/>
    <w:rsid w:val="007B1D79"/>
    <w:rsid w:val="007B22A7"/>
    <w:rsid w:val="007B2AAD"/>
    <w:rsid w:val="007B4473"/>
    <w:rsid w:val="007B47D0"/>
    <w:rsid w:val="007B50B3"/>
    <w:rsid w:val="007B53AF"/>
    <w:rsid w:val="007B554A"/>
    <w:rsid w:val="007B5911"/>
    <w:rsid w:val="007B595E"/>
    <w:rsid w:val="007B5BCD"/>
    <w:rsid w:val="007B5D96"/>
    <w:rsid w:val="007B65C5"/>
    <w:rsid w:val="007B6845"/>
    <w:rsid w:val="007B7A7B"/>
    <w:rsid w:val="007B7AE4"/>
    <w:rsid w:val="007C1CFB"/>
    <w:rsid w:val="007C1D6F"/>
    <w:rsid w:val="007C2423"/>
    <w:rsid w:val="007C24CE"/>
    <w:rsid w:val="007C2546"/>
    <w:rsid w:val="007C2DF4"/>
    <w:rsid w:val="007C3641"/>
    <w:rsid w:val="007C3777"/>
    <w:rsid w:val="007C37E3"/>
    <w:rsid w:val="007C3E3F"/>
    <w:rsid w:val="007C40E8"/>
    <w:rsid w:val="007C4443"/>
    <w:rsid w:val="007C44FB"/>
    <w:rsid w:val="007C4591"/>
    <w:rsid w:val="007C4883"/>
    <w:rsid w:val="007C5729"/>
    <w:rsid w:val="007C5C92"/>
    <w:rsid w:val="007C61B8"/>
    <w:rsid w:val="007C6EAD"/>
    <w:rsid w:val="007C70BC"/>
    <w:rsid w:val="007C7906"/>
    <w:rsid w:val="007C7D19"/>
    <w:rsid w:val="007C7E79"/>
    <w:rsid w:val="007D0753"/>
    <w:rsid w:val="007D0986"/>
    <w:rsid w:val="007D0C7A"/>
    <w:rsid w:val="007D0DD1"/>
    <w:rsid w:val="007D113A"/>
    <w:rsid w:val="007D222C"/>
    <w:rsid w:val="007D289C"/>
    <w:rsid w:val="007D32BF"/>
    <w:rsid w:val="007D3AB6"/>
    <w:rsid w:val="007D3D46"/>
    <w:rsid w:val="007D411D"/>
    <w:rsid w:val="007D44BE"/>
    <w:rsid w:val="007D4A3F"/>
    <w:rsid w:val="007D4C4F"/>
    <w:rsid w:val="007D59D3"/>
    <w:rsid w:val="007D5F98"/>
    <w:rsid w:val="007D6060"/>
    <w:rsid w:val="007D6774"/>
    <w:rsid w:val="007D6887"/>
    <w:rsid w:val="007D6D69"/>
    <w:rsid w:val="007D6DD5"/>
    <w:rsid w:val="007D7520"/>
    <w:rsid w:val="007D75E3"/>
    <w:rsid w:val="007D789F"/>
    <w:rsid w:val="007D7D98"/>
    <w:rsid w:val="007E02E6"/>
    <w:rsid w:val="007E0B36"/>
    <w:rsid w:val="007E0E8C"/>
    <w:rsid w:val="007E1118"/>
    <w:rsid w:val="007E12AE"/>
    <w:rsid w:val="007E1620"/>
    <w:rsid w:val="007E1C77"/>
    <w:rsid w:val="007E1D18"/>
    <w:rsid w:val="007E2704"/>
    <w:rsid w:val="007E2B52"/>
    <w:rsid w:val="007E2FF4"/>
    <w:rsid w:val="007E385F"/>
    <w:rsid w:val="007E3961"/>
    <w:rsid w:val="007E398E"/>
    <w:rsid w:val="007E3AC7"/>
    <w:rsid w:val="007E3C8D"/>
    <w:rsid w:val="007E3C90"/>
    <w:rsid w:val="007E4371"/>
    <w:rsid w:val="007E44E9"/>
    <w:rsid w:val="007E4671"/>
    <w:rsid w:val="007E4F8F"/>
    <w:rsid w:val="007E531D"/>
    <w:rsid w:val="007E5BC8"/>
    <w:rsid w:val="007E640E"/>
    <w:rsid w:val="007E7065"/>
    <w:rsid w:val="007E7310"/>
    <w:rsid w:val="007E7AC8"/>
    <w:rsid w:val="007E7D07"/>
    <w:rsid w:val="007E7DD7"/>
    <w:rsid w:val="007F02F2"/>
    <w:rsid w:val="007F02FB"/>
    <w:rsid w:val="007F034C"/>
    <w:rsid w:val="007F0888"/>
    <w:rsid w:val="007F1408"/>
    <w:rsid w:val="007F2420"/>
    <w:rsid w:val="007F2B48"/>
    <w:rsid w:val="007F2CF4"/>
    <w:rsid w:val="007F2EFD"/>
    <w:rsid w:val="007F33DA"/>
    <w:rsid w:val="007F3472"/>
    <w:rsid w:val="007F34D4"/>
    <w:rsid w:val="007F387A"/>
    <w:rsid w:val="007F3D7C"/>
    <w:rsid w:val="007F4029"/>
    <w:rsid w:val="007F464F"/>
    <w:rsid w:val="007F4D47"/>
    <w:rsid w:val="007F58C0"/>
    <w:rsid w:val="007F590B"/>
    <w:rsid w:val="007F5ECF"/>
    <w:rsid w:val="007F62A5"/>
    <w:rsid w:val="007F63CC"/>
    <w:rsid w:val="007F6ACC"/>
    <w:rsid w:val="007F6AFD"/>
    <w:rsid w:val="007F6D95"/>
    <w:rsid w:val="007F7314"/>
    <w:rsid w:val="007F784C"/>
    <w:rsid w:val="007F78B6"/>
    <w:rsid w:val="007F7951"/>
    <w:rsid w:val="007F7DF5"/>
    <w:rsid w:val="0080055D"/>
    <w:rsid w:val="00800DA2"/>
    <w:rsid w:val="00800F95"/>
    <w:rsid w:val="00801801"/>
    <w:rsid w:val="00801F35"/>
    <w:rsid w:val="00802029"/>
    <w:rsid w:val="0080205F"/>
    <w:rsid w:val="0080228A"/>
    <w:rsid w:val="00802973"/>
    <w:rsid w:val="00802D8F"/>
    <w:rsid w:val="008030C1"/>
    <w:rsid w:val="0080310A"/>
    <w:rsid w:val="008038E3"/>
    <w:rsid w:val="00803A22"/>
    <w:rsid w:val="00803BE0"/>
    <w:rsid w:val="00804E4C"/>
    <w:rsid w:val="00805976"/>
    <w:rsid w:val="00806847"/>
    <w:rsid w:val="00807AE2"/>
    <w:rsid w:val="00807D54"/>
    <w:rsid w:val="00807DD6"/>
    <w:rsid w:val="0081036D"/>
    <w:rsid w:val="00810B0A"/>
    <w:rsid w:val="00811233"/>
    <w:rsid w:val="00811B3B"/>
    <w:rsid w:val="00811FB2"/>
    <w:rsid w:val="0081210E"/>
    <w:rsid w:val="008126D6"/>
    <w:rsid w:val="0081295C"/>
    <w:rsid w:val="008129F4"/>
    <w:rsid w:val="00812B9E"/>
    <w:rsid w:val="008131A2"/>
    <w:rsid w:val="00813282"/>
    <w:rsid w:val="0081350A"/>
    <w:rsid w:val="00813A57"/>
    <w:rsid w:val="00813D3C"/>
    <w:rsid w:val="00815267"/>
    <w:rsid w:val="00815390"/>
    <w:rsid w:val="00815BBE"/>
    <w:rsid w:val="00815E75"/>
    <w:rsid w:val="0081611A"/>
    <w:rsid w:val="00816CD7"/>
    <w:rsid w:val="008171A7"/>
    <w:rsid w:val="0081790C"/>
    <w:rsid w:val="00817F49"/>
    <w:rsid w:val="00820412"/>
    <w:rsid w:val="0082052E"/>
    <w:rsid w:val="00820651"/>
    <w:rsid w:val="00820854"/>
    <w:rsid w:val="00820A0C"/>
    <w:rsid w:val="00820E7D"/>
    <w:rsid w:val="00820EBF"/>
    <w:rsid w:val="00822089"/>
    <w:rsid w:val="008221A6"/>
    <w:rsid w:val="00822309"/>
    <w:rsid w:val="00822B07"/>
    <w:rsid w:val="00822F9D"/>
    <w:rsid w:val="00823077"/>
    <w:rsid w:val="008230B4"/>
    <w:rsid w:val="008234C7"/>
    <w:rsid w:val="008236FB"/>
    <w:rsid w:val="00823AA9"/>
    <w:rsid w:val="00823B2B"/>
    <w:rsid w:val="00823C37"/>
    <w:rsid w:val="00823E05"/>
    <w:rsid w:val="008244B9"/>
    <w:rsid w:val="00824923"/>
    <w:rsid w:val="00824BA6"/>
    <w:rsid w:val="00825249"/>
    <w:rsid w:val="00826052"/>
    <w:rsid w:val="00826220"/>
    <w:rsid w:val="0082661D"/>
    <w:rsid w:val="00827047"/>
    <w:rsid w:val="00827325"/>
    <w:rsid w:val="0082744F"/>
    <w:rsid w:val="0082799F"/>
    <w:rsid w:val="00827B0C"/>
    <w:rsid w:val="00827C12"/>
    <w:rsid w:val="00827CC2"/>
    <w:rsid w:val="00827EA2"/>
    <w:rsid w:val="00830513"/>
    <w:rsid w:val="00830B30"/>
    <w:rsid w:val="00830F40"/>
    <w:rsid w:val="0083131D"/>
    <w:rsid w:val="00831332"/>
    <w:rsid w:val="0083133A"/>
    <w:rsid w:val="008315FF"/>
    <w:rsid w:val="00831990"/>
    <w:rsid w:val="00831A17"/>
    <w:rsid w:val="00831AEC"/>
    <w:rsid w:val="00831C73"/>
    <w:rsid w:val="00832134"/>
    <w:rsid w:val="0083242B"/>
    <w:rsid w:val="00832BF0"/>
    <w:rsid w:val="00832E65"/>
    <w:rsid w:val="00833079"/>
    <w:rsid w:val="008332E4"/>
    <w:rsid w:val="00833A25"/>
    <w:rsid w:val="00833A82"/>
    <w:rsid w:val="00833E7D"/>
    <w:rsid w:val="0083428B"/>
    <w:rsid w:val="008344C9"/>
    <w:rsid w:val="00834C60"/>
    <w:rsid w:val="00834DBE"/>
    <w:rsid w:val="008355FB"/>
    <w:rsid w:val="00835A51"/>
    <w:rsid w:val="008365A8"/>
    <w:rsid w:val="008365F9"/>
    <w:rsid w:val="008366A0"/>
    <w:rsid w:val="00836741"/>
    <w:rsid w:val="00837569"/>
    <w:rsid w:val="0083790A"/>
    <w:rsid w:val="008379EA"/>
    <w:rsid w:val="00837C6A"/>
    <w:rsid w:val="00837EBD"/>
    <w:rsid w:val="0084012A"/>
    <w:rsid w:val="00840E93"/>
    <w:rsid w:val="00841CB1"/>
    <w:rsid w:val="00842188"/>
    <w:rsid w:val="00842453"/>
    <w:rsid w:val="0084253C"/>
    <w:rsid w:val="00842B08"/>
    <w:rsid w:val="00842BE0"/>
    <w:rsid w:val="00842D13"/>
    <w:rsid w:val="00842DF2"/>
    <w:rsid w:val="00843047"/>
    <w:rsid w:val="008435F8"/>
    <w:rsid w:val="00843B17"/>
    <w:rsid w:val="00843B83"/>
    <w:rsid w:val="00843C7D"/>
    <w:rsid w:val="00843DA5"/>
    <w:rsid w:val="008445C7"/>
    <w:rsid w:val="0084479C"/>
    <w:rsid w:val="0084485D"/>
    <w:rsid w:val="00844DC7"/>
    <w:rsid w:val="00845D21"/>
    <w:rsid w:val="00846000"/>
    <w:rsid w:val="0084607B"/>
    <w:rsid w:val="008460CD"/>
    <w:rsid w:val="008460CE"/>
    <w:rsid w:val="00846497"/>
    <w:rsid w:val="00846BA5"/>
    <w:rsid w:val="00846F59"/>
    <w:rsid w:val="00847601"/>
    <w:rsid w:val="008479B4"/>
    <w:rsid w:val="00847A1A"/>
    <w:rsid w:val="00847DED"/>
    <w:rsid w:val="008501D0"/>
    <w:rsid w:val="0085022B"/>
    <w:rsid w:val="00850820"/>
    <w:rsid w:val="00851BF7"/>
    <w:rsid w:val="00852032"/>
    <w:rsid w:val="00852071"/>
    <w:rsid w:val="008520D4"/>
    <w:rsid w:val="008524B2"/>
    <w:rsid w:val="00852807"/>
    <w:rsid w:val="008528FA"/>
    <w:rsid w:val="00852907"/>
    <w:rsid w:val="00852DCA"/>
    <w:rsid w:val="0085316C"/>
    <w:rsid w:val="00853A42"/>
    <w:rsid w:val="008541FC"/>
    <w:rsid w:val="008544CB"/>
    <w:rsid w:val="008548A0"/>
    <w:rsid w:val="00854ADD"/>
    <w:rsid w:val="00854FDF"/>
    <w:rsid w:val="008555DC"/>
    <w:rsid w:val="008559C7"/>
    <w:rsid w:val="00855C8B"/>
    <w:rsid w:val="0085634E"/>
    <w:rsid w:val="00856454"/>
    <w:rsid w:val="00856F52"/>
    <w:rsid w:val="00857428"/>
    <w:rsid w:val="008578A5"/>
    <w:rsid w:val="00857C31"/>
    <w:rsid w:val="00857C6F"/>
    <w:rsid w:val="00857F4A"/>
    <w:rsid w:val="0086029F"/>
    <w:rsid w:val="00860631"/>
    <w:rsid w:val="0086098C"/>
    <w:rsid w:val="00860C17"/>
    <w:rsid w:val="008610CB"/>
    <w:rsid w:val="0086128A"/>
    <w:rsid w:val="008612D1"/>
    <w:rsid w:val="008613B8"/>
    <w:rsid w:val="00861590"/>
    <w:rsid w:val="00861B86"/>
    <w:rsid w:val="00861DB8"/>
    <w:rsid w:val="0086202C"/>
    <w:rsid w:val="0086364C"/>
    <w:rsid w:val="00863852"/>
    <w:rsid w:val="00863CBB"/>
    <w:rsid w:val="00863D71"/>
    <w:rsid w:val="00863EDB"/>
    <w:rsid w:val="00864014"/>
    <w:rsid w:val="008650DF"/>
    <w:rsid w:val="00865250"/>
    <w:rsid w:val="00865391"/>
    <w:rsid w:val="008659CF"/>
    <w:rsid w:val="00865E75"/>
    <w:rsid w:val="008661BD"/>
    <w:rsid w:val="00866657"/>
    <w:rsid w:val="008679DD"/>
    <w:rsid w:val="0087004A"/>
    <w:rsid w:val="00870742"/>
    <w:rsid w:val="008711D1"/>
    <w:rsid w:val="0087123F"/>
    <w:rsid w:val="00871589"/>
    <w:rsid w:val="008715AA"/>
    <w:rsid w:val="00871803"/>
    <w:rsid w:val="008719A5"/>
    <w:rsid w:val="008727AF"/>
    <w:rsid w:val="00872CA6"/>
    <w:rsid w:val="00873D49"/>
    <w:rsid w:val="00874420"/>
    <w:rsid w:val="008747E6"/>
    <w:rsid w:val="00874DB8"/>
    <w:rsid w:val="0087527A"/>
    <w:rsid w:val="00875416"/>
    <w:rsid w:val="00875A71"/>
    <w:rsid w:val="00875F6B"/>
    <w:rsid w:val="0087699C"/>
    <w:rsid w:val="00876B3C"/>
    <w:rsid w:val="008776D1"/>
    <w:rsid w:val="008779B3"/>
    <w:rsid w:val="00877A18"/>
    <w:rsid w:val="0088050A"/>
    <w:rsid w:val="0088053B"/>
    <w:rsid w:val="008808E4"/>
    <w:rsid w:val="008810D4"/>
    <w:rsid w:val="008810FC"/>
    <w:rsid w:val="008814D5"/>
    <w:rsid w:val="00881512"/>
    <w:rsid w:val="0088286B"/>
    <w:rsid w:val="008828AF"/>
    <w:rsid w:val="00882F72"/>
    <w:rsid w:val="00883853"/>
    <w:rsid w:val="008838EC"/>
    <w:rsid w:val="00883A4A"/>
    <w:rsid w:val="00883FE9"/>
    <w:rsid w:val="00884435"/>
    <w:rsid w:val="00884A26"/>
    <w:rsid w:val="00884BE7"/>
    <w:rsid w:val="00884E05"/>
    <w:rsid w:val="00884E20"/>
    <w:rsid w:val="00884F88"/>
    <w:rsid w:val="008851CF"/>
    <w:rsid w:val="008867B1"/>
    <w:rsid w:val="00886876"/>
    <w:rsid w:val="00886D26"/>
    <w:rsid w:val="00887062"/>
    <w:rsid w:val="00887B76"/>
    <w:rsid w:val="00887D45"/>
    <w:rsid w:val="00890184"/>
    <w:rsid w:val="0089064C"/>
    <w:rsid w:val="008907CF"/>
    <w:rsid w:val="0089097F"/>
    <w:rsid w:val="00890CD4"/>
    <w:rsid w:val="00890E50"/>
    <w:rsid w:val="0089129F"/>
    <w:rsid w:val="0089158A"/>
    <w:rsid w:val="008916D0"/>
    <w:rsid w:val="00891DE0"/>
    <w:rsid w:val="00891FD7"/>
    <w:rsid w:val="008923D2"/>
    <w:rsid w:val="00892815"/>
    <w:rsid w:val="00893254"/>
    <w:rsid w:val="008938A7"/>
    <w:rsid w:val="00893A99"/>
    <w:rsid w:val="00893AF7"/>
    <w:rsid w:val="00893ED9"/>
    <w:rsid w:val="00894181"/>
    <w:rsid w:val="008942A8"/>
    <w:rsid w:val="0089442C"/>
    <w:rsid w:val="008944AA"/>
    <w:rsid w:val="00894BF6"/>
    <w:rsid w:val="00895028"/>
    <w:rsid w:val="00895738"/>
    <w:rsid w:val="008958B3"/>
    <w:rsid w:val="0089600E"/>
    <w:rsid w:val="00896106"/>
    <w:rsid w:val="0089644B"/>
    <w:rsid w:val="008968E0"/>
    <w:rsid w:val="0089706D"/>
    <w:rsid w:val="00897250"/>
    <w:rsid w:val="00897663"/>
    <w:rsid w:val="00897ACF"/>
    <w:rsid w:val="00897CEA"/>
    <w:rsid w:val="00897E01"/>
    <w:rsid w:val="008A0A3E"/>
    <w:rsid w:val="008A16EC"/>
    <w:rsid w:val="008A1D6B"/>
    <w:rsid w:val="008A1F86"/>
    <w:rsid w:val="008A206C"/>
    <w:rsid w:val="008A2432"/>
    <w:rsid w:val="008A25B5"/>
    <w:rsid w:val="008A34BF"/>
    <w:rsid w:val="008A369C"/>
    <w:rsid w:val="008A3DAA"/>
    <w:rsid w:val="008A443F"/>
    <w:rsid w:val="008A45DD"/>
    <w:rsid w:val="008A47A3"/>
    <w:rsid w:val="008A4E48"/>
    <w:rsid w:val="008A5401"/>
    <w:rsid w:val="008A5975"/>
    <w:rsid w:val="008A5C89"/>
    <w:rsid w:val="008A5E6E"/>
    <w:rsid w:val="008A6328"/>
    <w:rsid w:val="008A6696"/>
    <w:rsid w:val="008A66F0"/>
    <w:rsid w:val="008A726C"/>
    <w:rsid w:val="008B015C"/>
    <w:rsid w:val="008B01E6"/>
    <w:rsid w:val="008B0C13"/>
    <w:rsid w:val="008B0CCC"/>
    <w:rsid w:val="008B0D1C"/>
    <w:rsid w:val="008B1610"/>
    <w:rsid w:val="008B270B"/>
    <w:rsid w:val="008B2756"/>
    <w:rsid w:val="008B2D05"/>
    <w:rsid w:val="008B319D"/>
    <w:rsid w:val="008B3F63"/>
    <w:rsid w:val="008B458F"/>
    <w:rsid w:val="008B468D"/>
    <w:rsid w:val="008B4E67"/>
    <w:rsid w:val="008B5270"/>
    <w:rsid w:val="008B5281"/>
    <w:rsid w:val="008B5307"/>
    <w:rsid w:val="008B5B53"/>
    <w:rsid w:val="008B6351"/>
    <w:rsid w:val="008B664E"/>
    <w:rsid w:val="008B6656"/>
    <w:rsid w:val="008B68A7"/>
    <w:rsid w:val="008B6ECC"/>
    <w:rsid w:val="008B7007"/>
    <w:rsid w:val="008B7174"/>
    <w:rsid w:val="008B7551"/>
    <w:rsid w:val="008B77C0"/>
    <w:rsid w:val="008B7B18"/>
    <w:rsid w:val="008C0427"/>
    <w:rsid w:val="008C0483"/>
    <w:rsid w:val="008C0807"/>
    <w:rsid w:val="008C081C"/>
    <w:rsid w:val="008C0DF7"/>
    <w:rsid w:val="008C12A8"/>
    <w:rsid w:val="008C17D0"/>
    <w:rsid w:val="008C19EA"/>
    <w:rsid w:val="008C1E70"/>
    <w:rsid w:val="008C208C"/>
    <w:rsid w:val="008C20BE"/>
    <w:rsid w:val="008C33E0"/>
    <w:rsid w:val="008C44BE"/>
    <w:rsid w:val="008C4918"/>
    <w:rsid w:val="008C4DDB"/>
    <w:rsid w:val="008C5265"/>
    <w:rsid w:val="008C589A"/>
    <w:rsid w:val="008C5A30"/>
    <w:rsid w:val="008C5E87"/>
    <w:rsid w:val="008C62E8"/>
    <w:rsid w:val="008C64A4"/>
    <w:rsid w:val="008C68BB"/>
    <w:rsid w:val="008C6E66"/>
    <w:rsid w:val="008C73A2"/>
    <w:rsid w:val="008C76D7"/>
    <w:rsid w:val="008C7D4B"/>
    <w:rsid w:val="008C7DAC"/>
    <w:rsid w:val="008D04FD"/>
    <w:rsid w:val="008D060C"/>
    <w:rsid w:val="008D06B7"/>
    <w:rsid w:val="008D117A"/>
    <w:rsid w:val="008D14A6"/>
    <w:rsid w:val="008D17C5"/>
    <w:rsid w:val="008D29C6"/>
    <w:rsid w:val="008D2DBC"/>
    <w:rsid w:val="008D2EF7"/>
    <w:rsid w:val="008D3367"/>
    <w:rsid w:val="008D3AD0"/>
    <w:rsid w:val="008D3E12"/>
    <w:rsid w:val="008D3E52"/>
    <w:rsid w:val="008D40BC"/>
    <w:rsid w:val="008D438F"/>
    <w:rsid w:val="008D4B06"/>
    <w:rsid w:val="008D4F17"/>
    <w:rsid w:val="008D5264"/>
    <w:rsid w:val="008D5A0D"/>
    <w:rsid w:val="008D7364"/>
    <w:rsid w:val="008D7E08"/>
    <w:rsid w:val="008E087D"/>
    <w:rsid w:val="008E0975"/>
    <w:rsid w:val="008E114A"/>
    <w:rsid w:val="008E11B5"/>
    <w:rsid w:val="008E15B6"/>
    <w:rsid w:val="008E1DF5"/>
    <w:rsid w:val="008E1E6A"/>
    <w:rsid w:val="008E204B"/>
    <w:rsid w:val="008E2389"/>
    <w:rsid w:val="008E24B2"/>
    <w:rsid w:val="008E24FC"/>
    <w:rsid w:val="008E2996"/>
    <w:rsid w:val="008E2A8E"/>
    <w:rsid w:val="008E2B93"/>
    <w:rsid w:val="008E2C12"/>
    <w:rsid w:val="008E2F55"/>
    <w:rsid w:val="008E31DD"/>
    <w:rsid w:val="008E350D"/>
    <w:rsid w:val="008E441F"/>
    <w:rsid w:val="008E4DFD"/>
    <w:rsid w:val="008E5261"/>
    <w:rsid w:val="008E60E8"/>
    <w:rsid w:val="008E6D88"/>
    <w:rsid w:val="008E7072"/>
    <w:rsid w:val="008E74A3"/>
    <w:rsid w:val="008E7803"/>
    <w:rsid w:val="008E78D0"/>
    <w:rsid w:val="008E7EF7"/>
    <w:rsid w:val="008F0DF9"/>
    <w:rsid w:val="008F1817"/>
    <w:rsid w:val="008F1956"/>
    <w:rsid w:val="008F1B2F"/>
    <w:rsid w:val="008F1F1B"/>
    <w:rsid w:val="008F1FAD"/>
    <w:rsid w:val="008F2376"/>
    <w:rsid w:val="008F2859"/>
    <w:rsid w:val="008F2C53"/>
    <w:rsid w:val="008F35F2"/>
    <w:rsid w:val="008F3989"/>
    <w:rsid w:val="008F3B45"/>
    <w:rsid w:val="008F3B74"/>
    <w:rsid w:val="008F3CE7"/>
    <w:rsid w:val="008F40AC"/>
    <w:rsid w:val="008F44F8"/>
    <w:rsid w:val="008F4723"/>
    <w:rsid w:val="008F48FA"/>
    <w:rsid w:val="008F4DB8"/>
    <w:rsid w:val="008F4F89"/>
    <w:rsid w:val="008F5E9B"/>
    <w:rsid w:val="008F62D6"/>
    <w:rsid w:val="008F67CF"/>
    <w:rsid w:val="008F6C15"/>
    <w:rsid w:val="008F6C31"/>
    <w:rsid w:val="008F6DC3"/>
    <w:rsid w:val="008F715C"/>
    <w:rsid w:val="008F72DE"/>
    <w:rsid w:val="008F7512"/>
    <w:rsid w:val="008F7C82"/>
    <w:rsid w:val="008F7E5D"/>
    <w:rsid w:val="009002D2"/>
    <w:rsid w:val="00900CA6"/>
    <w:rsid w:val="00900EAE"/>
    <w:rsid w:val="00901995"/>
    <w:rsid w:val="00901A92"/>
    <w:rsid w:val="009020A9"/>
    <w:rsid w:val="0090231F"/>
    <w:rsid w:val="009023DA"/>
    <w:rsid w:val="00903036"/>
    <w:rsid w:val="00903108"/>
    <w:rsid w:val="009031CF"/>
    <w:rsid w:val="0090391B"/>
    <w:rsid w:val="00903E97"/>
    <w:rsid w:val="00903EFE"/>
    <w:rsid w:val="00903F45"/>
    <w:rsid w:val="00903FD7"/>
    <w:rsid w:val="00904021"/>
    <w:rsid w:val="00904026"/>
    <w:rsid w:val="00904294"/>
    <w:rsid w:val="0090486A"/>
    <w:rsid w:val="009049D9"/>
    <w:rsid w:val="00904F27"/>
    <w:rsid w:val="0090532E"/>
    <w:rsid w:val="0090549B"/>
    <w:rsid w:val="00905A94"/>
    <w:rsid w:val="00905C15"/>
    <w:rsid w:val="00906422"/>
    <w:rsid w:val="00906446"/>
    <w:rsid w:val="00906C4B"/>
    <w:rsid w:val="009076BC"/>
    <w:rsid w:val="00907E7B"/>
    <w:rsid w:val="0091033B"/>
    <w:rsid w:val="00910CB8"/>
    <w:rsid w:val="00910D25"/>
    <w:rsid w:val="00910FE7"/>
    <w:rsid w:val="0091110E"/>
    <w:rsid w:val="0091137E"/>
    <w:rsid w:val="00911471"/>
    <w:rsid w:val="0091194F"/>
    <w:rsid w:val="0091197D"/>
    <w:rsid w:val="00911B01"/>
    <w:rsid w:val="00911FEA"/>
    <w:rsid w:val="00912173"/>
    <w:rsid w:val="00912526"/>
    <w:rsid w:val="0091293E"/>
    <w:rsid w:val="00912B48"/>
    <w:rsid w:val="00912D54"/>
    <w:rsid w:val="00913721"/>
    <w:rsid w:val="00913A6C"/>
    <w:rsid w:val="00913A81"/>
    <w:rsid w:val="00913C20"/>
    <w:rsid w:val="00913E54"/>
    <w:rsid w:val="00914874"/>
    <w:rsid w:val="0091492B"/>
    <w:rsid w:val="00915071"/>
    <w:rsid w:val="0091532E"/>
    <w:rsid w:val="00915460"/>
    <w:rsid w:val="0091593D"/>
    <w:rsid w:val="00916306"/>
    <w:rsid w:val="00916319"/>
    <w:rsid w:val="00916D4B"/>
    <w:rsid w:val="009172A9"/>
    <w:rsid w:val="0091762D"/>
    <w:rsid w:val="009200A2"/>
    <w:rsid w:val="009202CD"/>
    <w:rsid w:val="00920564"/>
    <w:rsid w:val="0092066F"/>
    <w:rsid w:val="00920CC6"/>
    <w:rsid w:val="00920FBD"/>
    <w:rsid w:val="0092119B"/>
    <w:rsid w:val="009214E1"/>
    <w:rsid w:val="0092217B"/>
    <w:rsid w:val="0092253B"/>
    <w:rsid w:val="00922A29"/>
    <w:rsid w:val="00922EA0"/>
    <w:rsid w:val="00922EFB"/>
    <w:rsid w:val="0092321E"/>
    <w:rsid w:val="00923444"/>
    <w:rsid w:val="009236AE"/>
    <w:rsid w:val="00923D3B"/>
    <w:rsid w:val="00924135"/>
    <w:rsid w:val="00924388"/>
    <w:rsid w:val="009243DA"/>
    <w:rsid w:val="009248C3"/>
    <w:rsid w:val="009254AF"/>
    <w:rsid w:val="009265CC"/>
    <w:rsid w:val="00926800"/>
    <w:rsid w:val="00926A42"/>
    <w:rsid w:val="00926A86"/>
    <w:rsid w:val="00927266"/>
    <w:rsid w:val="009277EE"/>
    <w:rsid w:val="00927E03"/>
    <w:rsid w:val="0093082A"/>
    <w:rsid w:val="009313C7"/>
    <w:rsid w:val="00931513"/>
    <w:rsid w:val="00931D45"/>
    <w:rsid w:val="00931F51"/>
    <w:rsid w:val="009328F1"/>
    <w:rsid w:val="00932B2E"/>
    <w:rsid w:val="00933BBA"/>
    <w:rsid w:val="00933C38"/>
    <w:rsid w:val="00933D31"/>
    <w:rsid w:val="00933D83"/>
    <w:rsid w:val="00933F7C"/>
    <w:rsid w:val="00934336"/>
    <w:rsid w:val="009347ED"/>
    <w:rsid w:val="0093495C"/>
    <w:rsid w:val="00934B1A"/>
    <w:rsid w:val="00935195"/>
    <w:rsid w:val="009356A5"/>
    <w:rsid w:val="0093599E"/>
    <w:rsid w:val="009359AA"/>
    <w:rsid w:val="00935A1A"/>
    <w:rsid w:val="00935BED"/>
    <w:rsid w:val="00936719"/>
    <w:rsid w:val="00936BDA"/>
    <w:rsid w:val="00936D9E"/>
    <w:rsid w:val="00937000"/>
    <w:rsid w:val="00937259"/>
    <w:rsid w:val="009376C9"/>
    <w:rsid w:val="00937CEC"/>
    <w:rsid w:val="00940112"/>
    <w:rsid w:val="00940114"/>
    <w:rsid w:val="00940304"/>
    <w:rsid w:val="009405B8"/>
    <w:rsid w:val="009407D2"/>
    <w:rsid w:val="009411E8"/>
    <w:rsid w:val="00941FCD"/>
    <w:rsid w:val="0094222D"/>
    <w:rsid w:val="0094266D"/>
    <w:rsid w:val="00942BFA"/>
    <w:rsid w:val="00943277"/>
    <w:rsid w:val="0094342C"/>
    <w:rsid w:val="00943457"/>
    <w:rsid w:val="009434F2"/>
    <w:rsid w:val="00943572"/>
    <w:rsid w:val="009436ED"/>
    <w:rsid w:val="0094383B"/>
    <w:rsid w:val="00943CA2"/>
    <w:rsid w:val="00945532"/>
    <w:rsid w:val="009462CC"/>
    <w:rsid w:val="009463C7"/>
    <w:rsid w:val="0094648C"/>
    <w:rsid w:val="00946561"/>
    <w:rsid w:val="009467F5"/>
    <w:rsid w:val="00946D80"/>
    <w:rsid w:val="009471C3"/>
    <w:rsid w:val="00947CE4"/>
    <w:rsid w:val="0095008F"/>
    <w:rsid w:val="00950532"/>
    <w:rsid w:val="00951307"/>
    <w:rsid w:val="0095216C"/>
    <w:rsid w:val="00952469"/>
    <w:rsid w:val="00952646"/>
    <w:rsid w:val="00952BBE"/>
    <w:rsid w:val="009532BF"/>
    <w:rsid w:val="00953C08"/>
    <w:rsid w:val="00953D87"/>
    <w:rsid w:val="00953EC6"/>
    <w:rsid w:val="00954118"/>
    <w:rsid w:val="009547FF"/>
    <w:rsid w:val="00954800"/>
    <w:rsid w:val="00954940"/>
    <w:rsid w:val="00954A85"/>
    <w:rsid w:val="00954F4D"/>
    <w:rsid w:val="009551F0"/>
    <w:rsid w:val="00955397"/>
    <w:rsid w:val="00956167"/>
    <w:rsid w:val="00956192"/>
    <w:rsid w:val="00956206"/>
    <w:rsid w:val="009566D8"/>
    <w:rsid w:val="009568F9"/>
    <w:rsid w:val="00956D40"/>
    <w:rsid w:val="009578AA"/>
    <w:rsid w:val="009579A8"/>
    <w:rsid w:val="00957B63"/>
    <w:rsid w:val="00957DE4"/>
    <w:rsid w:val="00960190"/>
    <w:rsid w:val="009604A2"/>
    <w:rsid w:val="0096050C"/>
    <w:rsid w:val="00960570"/>
    <w:rsid w:val="00960644"/>
    <w:rsid w:val="00960C1F"/>
    <w:rsid w:val="00960F17"/>
    <w:rsid w:val="009627CE"/>
    <w:rsid w:val="00962858"/>
    <w:rsid w:val="00962E04"/>
    <w:rsid w:val="00963392"/>
    <w:rsid w:val="009638B2"/>
    <w:rsid w:val="00963D25"/>
    <w:rsid w:val="00963F1E"/>
    <w:rsid w:val="00963F9C"/>
    <w:rsid w:val="009644A3"/>
    <w:rsid w:val="00964502"/>
    <w:rsid w:val="00964775"/>
    <w:rsid w:val="00965E13"/>
    <w:rsid w:val="00965ECC"/>
    <w:rsid w:val="009664A9"/>
    <w:rsid w:val="00966709"/>
    <w:rsid w:val="0096698E"/>
    <w:rsid w:val="00966D76"/>
    <w:rsid w:val="00967458"/>
    <w:rsid w:val="009700F2"/>
    <w:rsid w:val="0097013E"/>
    <w:rsid w:val="009705ED"/>
    <w:rsid w:val="009705EE"/>
    <w:rsid w:val="00970FC9"/>
    <w:rsid w:val="00971D13"/>
    <w:rsid w:val="00971F0C"/>
    <w:rsid w:val="00972202"/>
    <w:rsid w:val="009726E8"/>
    <w:rsid w:val="00972C5C"/>
    <w:rsid w:val="00973838"/>
    <w:rsid w:val="009742D9"/>
    <w:rsid w:val="009742DB"/>
    <w:rsid w:val="00974675"/>
    <w:rsid w:val="00974E7A"/>
    <w:rsid w:val="00974FF0"/>
    <w:rsid w:val="00975212"/>
    <w:rsid w:val="009756D8"/>
    <w:rsid w:val="00975DD0"/>
    <w:rsid w:val="009765CA"/>
    <w:rsid w:val="00976E9C"/>
    <w:rsid w:val="00976FFF"/>
    <w:rsid w:val="009772A7"/>
    <w:rsid w:val="0097764D"/>
    <w:rsid w:val="00977E62"/>
    <w:rsid w:val="009801B2"/>
    <w:rsid w:val="009803F3"/>
    <w:rsid w:val="009814DE"/>
    <w:rsid w:val="0098154D"/>
    <w:rsid w:val="00981D3D"/>
    <w:rsid w:val="00981E0E"/>
    <w:rsid w:val="00982478"/>
    <w:rsid w:val="00982643"/>
    <w:rsid w:val="009830BB"/>
    <w:rsid w:val="0098386A"/>
    <w:rsid w:val="00983AC6"/>
    <w:rsid w:val="00983C5F"/>
    <w:rsid w:val="00983CD7"/>
    <w:rsid w:val="00984304"/>
    <w:rsid w:val="00984561"/>
    <w:rsid w:val="009845FF"/>
    <w:rsid w:val="009849BE"/>
    <w:rsid w:val="00984B0A"/>
    <w:rsid w:val="00984D41"/>
    <w:rsid w:val="0098514B"/>
    <w:rsid w:val="00985B35"/>
    <w:rsid w:val="00985B6C"/>
    <w:rsid w:val="00985B77"/>
    <w:rsid w:val="00985CBD"/>
    <w:rsid w:val="009862EC"/>
    <w:rsid w:val="00986B2F"/>
    <w:rsid w:val="00986DEB"/>
    <w:rsid w:val="00987115"/>
    <w:rsid w:val="00991005"/>
    <w:rsid w:val="0099116D"/>
    <w:rsid w:val="0099123F"/>
    <w:rsid w:val="00991BF2"/>
    <w:rsid w:val="00991EB3"/>
    <w:rsid w:val="0099251E"/>
    <w:rsid w:val="00992B02"/>
    <w:rsid w:val="00992C5D"/>
    <w:rsid w:val="00993245"/>
    <w:rsid w:val="00993321"/>
    <w:rsid w:val="009936AA"/>
    <w:rsid w:val="00993DCB"/>
    <w:rsid w:val="00994197"/>
    <w:rsid w:val="009941E3"/>
    <w:rsid w:val="00994499"/>
    <w:rsid w:val="009945E9"/>
    <w:rsid w:val="009959A3"/>
    <w:rsid w:val="00996D92"/>
    <w:rsid w:val="009A07F5"/>
    <w:rsid w:val="009A0B9A"/>
    <w:rsid w:val="009A103A"/>
    <w:rsid w:val="009A1216"/>
    <w:rsid w:val="009A1288"/>
    <w:rsid w:val="009A18FA"/>
    <w:rsid w:val="009A1A26"/>
    <w:rsid w:val="009A20EA"/>
    <w:rsid w:val="009A22BE"/>
    <w:rsid w:val="009A23EA"/>
    <w:rsid w:val="009A24A1"/>
    <w:rsid w:val="009A298F"/>
    <w:rsid w:val="009A33F0"/>
    <w:rsid w:val="009A33F6"/>
    <w:rsid w:val="009A3663"/>
    <w:rsid w:val="009A387E"/>
    <w:rsid w:val="009A3B26"/>
    <w:rsid w:val="009A3E17"/>
    <w:rsid w:val="009A3EC5"/>
    <w:rsid w:val="009A4065"/>
    <w:rsid w:val="009A54A9"/>
    <w:rsid w:val="009A55BB"/>
    <w:rsid w:val="009A68FC"/>
    <w:rsid w:val="009A6B55"/>
    <w:rsid w:val="009A6C22"/>
    <w:rsid w:val="009A7C55"/>
    <w:rsid w:val="009A7D5F"/>
    <w:rsid w:val="009A7EAC"/>
    <w:rsid w:val="009B0003"/>
    <w:rsid w:val="009B0138"/>
    <w:rsid w:val="009B0178"/>
    <w:rsid w:val="009B0206"/>
    <w:rsid w:val="009B140E"/>
    <w:rsid w:val="009B14FA"/>
    <w:rsid w:val="009B1A8C"/>
    <w:rsid w:val="009B246C"/>
    <w:rsid w:val="009B26EE"/>
    <w:rsid w:val="009B28D2"/>
    <w:rsid w:val="009B2966"/>
    <w:rsid w:val="009B3152"/>
    <w:rsid w:val="009B4522"/>
    <w:rsid w:val="009B4750"/>
    <w:rsid w:val="009B4E25"/>
    <w:rsid w:val="009B52BE"/>
    <w:rsid w:val="009B5930"/>
    <w:rsid w:val="009B5D06"/>
    <w:rsid w:val="009B5DF1"/>
    <w:rsid w:val="009B5E12"/>
    <w:rsid w:val="009B6D17"/>
    <w:rsid w:val="009B71FE"/>
    <w:rsid w:val="009B7824"/>
    <w:rsid w:val="009B7CDB"/>
    <w:rsid w:val="009B7F31"/>
    <w:rsid w:val="009C061F"/>
    <w:rsid w:val="009C068B"/>
    <w:rsid w:val="009C0D3F"/>
    <w:rsid w:val="009C1033"/>
    <w:rsid w:val="009C180A"/>
    <w:rsid w:val="009C2594"/>
    <w:rsid w:val="009C27B5"/>
    <w:rsid w:val="009C2CA8"/>
    <w:rsid w:val="009C3299"/>
    <w:rsid w:val="009C358E"/>
    <w:rsid w:val="009C39B6"/>
    <w:rsid w:val="009C3A31"/>
    <w:rsid w:val="009C3B9B"/>
    <w:rsid w:val="009C4377"/>
    <w:rsid w:val="009C455B"/>
    <w:rsid w:val="009C4698"/>
    <w:rsid w:val="009C4811"/>
    <w:rsid w:val="009C4BA3"/>
    <w:rsid w:val="009C4BDA"/>
    <w:rsid w:val="009C4BF2"/>
    <w:rsid w:val="009C4F81"/>
    <w:rsid w:val="009C537C"/>
    <w:rsid w:val="009C5831"/>
    <w:rsid w:val="009C58AC"/>
    <w:rsid w:val="009C5B39"/>
    <w:rsid w:val="009C6BCA"/>
    <w:rsid w:val="009C6E3C"/>
    <w:rsid w:val="009C70CC"/>
    <w:rsid w:val="009C762C"/>
    <w:rsid w:val="009C7AF8"/>
    <w:rsid w:val="009C7D51"/>
    <w:rsid w:val="009D0003"/>
    <w:rsid w:val="009D032F"/>
    <w:rsid w:val="009D05F2"/>
    <w:rsid w:val="009D0E30"/>
    <w:rsid w:val="009D24F1"/>
    <w:rsid w:val="009D255C"/>
    <w:rsid w:val="009D2575"/>
    <w:rsid w:val="009D279A"/>
    <w:rsid w:val="009D283E"/>
    <w:rsid w:val="009D313D"/>
    <w:rsid w:val="009D3B07"/>
    <w:rsid w:val="009D3B09"/>
    <w:rsid w:val="009D3C33"/>
    <w:rsid w:val="009D43CB"/>
    <w:rsid w:val="009D4C36"/>
    <w:rsid w:val="009D4F91"/>
    <w:rsid w:val="009D53CC"/>
    <w:rsid w:val="009D59DD"/>
    <w:rsid w:val="009D5A38"/>
    <w:rsid w:val="009D5EBF"/>
    <w:rsid w:val="009D65C0"/>
    <w:rsid w:val="009D692F"/>
    <w:rsid w:val="009D6C38"/>
    <w:rsid w:val="009D714A"/>
    <w:rsid w:val="009D7352"/>
    <w:rsid w:val="009D7754"/>
    <w:rsid w:val="009D78E8"/>
    <w:rsid w:val="009D7914"/>
    <w:rsid w:val="009E03A8"/>
    <w:rsid w:val="009E0CF8"/>
    <w:rsid w:val="009E0E24"/>
    <w:rsid w:val="009E0FBD"/>
    <w:rsid w:val="009E10BC"/>
    <w:rsid w:val="009E167A"/>
    <w:rsid w:val="009E24C8"/>
    <w:rsid w:val="009E252E"/>
    <w:rsid w:val="009E2795"/>
    <w:rsid w:val="009E27FD"/>
    <w:rsid w:val="009E29AB"/>
    <w:rsid w:val="009E2C5B"/>
    <w:rsid w:val="009E3A21"/>
    <w:rsid w:val="009E3AD0"/>
    <w:rsid w:val="009E4210"/>
    <w:rsid w:val="009E4380"/>
    <w:rsid w:val="009E4840"/>
    <w:rsid w:val="009E48B6"/>
    <w:rsid w:val="009E49D7"/>
    <w:rsid w:val="009E4AD4"/>
    <w:rsid w:val="009E4B69"/>
    <w:rsid w:val="009E4C74"/>
    <w:rsid w:val="009E4D7A"/>
    <w:rsid w:val="009E4EBE"/>
    <w:rsid w:val="009E52A9"/>
    <w:rsid w:val="009E5438"/>
    <w:rsid w:val="009E558A"/>
    <w:rsid w:val="009E55B7"/>
    <w:rsid w:val="009E5734"/>
    <w:rsid w:val="009E5DB8"/>
    <w:rsid w:val="009E6123"/>
    <w:rsid w:val="009E6701"/>
    <w:rsid w:val="009E6886"/>
    <w:rsid w:val="009E6EFB"/>
    <w:rsid w:val="009E725C"/>
    <w:rsid w:val="009E7D27"/>
    <w:rsid w:val="009F016B"/>
    <w:rsid w:val="009F02DE"/>
    <w:rsid w:val="009F05D0"/>
    <w:rsid w:val="009F1969"/>
    <w:rsid w:val="009F1B11"/>
    <w:rsid w:val="009F1B3E"/>
    <w:rsid w:val="009F1B58"/>
    <w:rsid w:val="009F1E2E"/>
    <w:rsid w:val="009F27E9"/>
    <w:rsid w:val="009F2B22"/>
    <w:rsid w:val="009F2BCA"/>
    <w:rsid w:val="009F2C37"/>
    <w:rsid w:val="009F2E3E"/>
    <w:rsid w:val="009F3088"/>
    <w:rsid w:val="009F30E1"/>
    <w:rsid w:val="009F36C2"/>
    <w:rsid w:val="009F36D3"/>
    <w:rsid w:val="009F3939"/>
    <w:rsid w:val="009F3A30"/>
    <w:rsid w:val="009F3DF9"/>
    <w:rsid w:val="009F4201"/>
    <w:rsid w:val="009F4EEA"/>
    <w:rsid w:val="009F53BB"/>
    <w:rsid w:val="009F5CDD"/>
    <w:rsid w:val="009F5FA5"/>
    <w:rsid w:val="009F662B"/>
    <w:rsid w:val="009F6674"/>
    <w:rsid w:val="009F6853"/>
    <w:rsid w:val="009F6D08"/>
    <w:rsid w:val="009F713B"/>
    <w:rsid w:val="009F72A8"/>
    <w:rsid w:val="00A00199"/>
    <w:rsid w:val="00A005D2"/>
    <w:rsid w:val="00A00B06"/>
    <w:rsid w:val="00A00C0E"/>
    <w:rsid w:val="00A01151"/>
    <w:rsid w:val="00A0124E"/>
    <w:rsid w:val="00A017A9"/>
    <w:rsid w:val="00A01876"/>
    <w:rsid w:val="00A01ACB"/>
    <w:rsid w:val="00A01DEB"/>
    <w:rsid w:val="00A02446"/>
    <w:rsid w:val="00A03072"/>
    <w:rsid w:val="00A03541"/>
    <w:rsid w:val="00A0390D"/>
    <w:rsid w:val="00A03E45"/>
    <w:rsid w:val="00A0410B"/>
    <w:rsid w:val="00A04591"/>
    <w:rsid w:val="00A045FA"/>
    <w:rsid w:val="00A049D7"/>
    <w:rsid w:val="00A05394"/>
    <w:rsid w:val="00A05A7B"/>
    <w:rsid w:val="00A05E3A"/>
    <w:rsid w:val="00A05E5E"/>
    <w:rsid w:val="00A06325"/>
    <w:rsid w:val="00A066D5"/>
    <w:rsid w:val="00A07013"/>
    <w:rsid w:val="00A071AE"/>
    <w:rsid w:val="00A0740E"/>
    <w:rsid w:val="00A07B1F"/>
    <w:rsid w:val="00A07D6C"/>
    <w:rsid w:val="00A10BDC"/>
    <w:rsid w:val="00A10C78"/>
    <w:rsid w:val="00A10C9F"/>
    <w:rsid w:val="00A11038"/>
    <w:rsid w:val="00A114AE"/>
    <w:rsid w:val="00A11C40"/>
    <w:rsid w:val="00A123C9"/>
    <w:rsid w:val="00A1244B"/>
    <w:rsid w:val="00A12677"/>
    <w:rsid w:val="00A12D11"/>
    <w:rsid w:val="00A13018"/>
    <w:rsid w:val="00A1341B"/>
    <w:rsid w:val="00A13620"/>
    <w:rsid w:val="00A13724"/>
    <w:rsid w:val="00A13B23"/>
    <w:rsid w:val="00A13D55"/>
    <w:rsid w:val="00A14094"/>
    <w:rsid w:val="00A1463A"/>
    <w:rsid w:val="00A14A74"/>
    <w:rsid w:val="00A14D12"/>
    <w:rsid w:val="00A14EC6"/>
    <w:rsid w:val="00A151CC"/>
    <w:rsid w:val="00A1577F"/>
    <w:rsid w:val="00A1596E"/>
    <w:rsid w:val="00A1627A"/>
    <w:rsid w:val="00A1628B"/>
    <w:rsid w:val="00A163FA"/>
    <w:rsid w:val="00A1677E"/>
    <w:rsid w:val="00A167A0"/>
    <w:rsid w:val="00A16DB8"/>
    <w:rsid w:val="00A16E0A"/>
    <w:rsid w:val="00A17025"/>
    <w:rsid w:val="00A17294"/>
    <w:rsid w:val="00A1741E"/>
    <w:rsid w:val="00A17DCC"/>
    <w:rsid w:val="00A211F2"/>
    <w:rsid w:val="00A212A3"/>
    <w:rsid w:val="00A2183C"/>
    <w:rsid w:val="00A21DCB"/>
    <w:rsid w:val="00A21E7E"/>
    <w:rsid w:val="00A225BD"/>
    <w:rsid w:val="00A22667"/>
    <w:rsid w:val="00A22A4F"/>
    <w:rsid w:val="00A2355E"/>
    <w:rsid w:val="00A23696"/>
    <w:rsid w:val="00A24196"/>
    <w:rsid w:val="00A243BF"/>
    <w:rsid w:val="00A246B0"/>
    <w:rsid w:val="00A25348"/>
    <w:rsid w:val="00A25632"/>
    <w:rsid w:val="00A25A86"/>
    <w:rsid w:val="00A25E2F"/>
    <w:rsid w:val="00A25F3F"/>
    <w:rsid w:val="00A2630E"/>
    <w:rsid w:val="00A264F0"/>
    <w:rsid w:val="00A26B80"/>
    <w:rsid w:val="00A26FF2"/>
    <w:rsid w:val="00A2711A"/>
    <w:rsid w:val="00A274AF"/>
    <w:rsid w:val="00A27706"/>
    <w:rsid w:val="00A2779E"/>
    <w:rsid w:val="00A27C50"/>
    <w:rsid w:val="00A27E7D"/>
    <w:rsid w:val="00A30E3B"/>
    <w:rsid w:val="00A317F1"/>
    <w:rsid w:val="00A319D9"/>
    <w:rsid w:val="00A31E13"/>
    <w:rsid w:val="00A3216F"/>
    <w:rsid w:val="00A32547"/>
    <w:rsid w:val="00A328F2"/>
    <w:rsid w:val="00A33115"/>
    <w:rsid w:val="00A33263"/>
    <w:rsid w:val="00A3354A"/>
    <w:rsid w:val="00A33AB6"/>
    <w:rsid w:val="00A33BA7"/>
    <w:rsid w:val="00A33D4E"/>
    <w:rsid w:val="00A33E11"/>
    <w:rsid w:val="00A358BA"/>
    <w:rsid w:val="00A35CD3"/>
    <w:rsid w:val="00A35E57"/>
    <w:rsid w:val="00A362DE"/>
    <w:rsid w:val="00A36B05"/>
    <w:rsid w:val="00A3757A"/>
    <w:rsid w:val="00A37747"/>
    <w:rsid w:val="00A37C39"/>
    <w:rsid w:val="00A37C78"/>
    <w:rsid w:val="00A40490"/>
    <w:rsid w:val="00A405FA"/>
    <w:rsid w:val="00A40854"/>
    <w:rsid w:val="00A40DCC"/>
    <w:rsid w:val="00A419C6"/>
    <w:rsid w:val="00A41B4C"/>
    <w:rsid w:val="00A42107"/>
    <w:rsid w:val="00A422D7"/>
    <w:rsid w:val="00A4254F"/>
    <w:rsid w:val="00A42680"/>
    <w:rsid w:val="00A42AF5"/>
    <w:rsid w:val="00A42F08"/>
    <w:rsid w:val="00A42FE1"/>
    <w:rsid w:val="00A432AA"/>
    <w:rsid w:val="00A43567"/>
    <w:rsid w:val="00A4390C"/>
    <w:rsid w:val="00A43EF3"/>
    <w:rsid w:val="00A44071"/>
    <w:rsid w:val="00A45584"/>
    <w:rsid w:val="00A4593F"/>
    <w:rsid w:val="00A45A24"/>
    <w:rsid w:val="00A45B6A"/>
    <w:rsid w:val="00A46091"/>
    <w:rsid w:val="00A462D3"/>
    <w:rsid w:val="00A46300"/>
    <w:rsid w:val="00A466A3"/>
    <w:rsid w:val="00A46E4B"/>
    <w:rsid w:val="00A50B36"/>
    <w:rsid w:val="00A50C5C"/>
    <w:rsid w:val="00A51132"/>
    <w:rsid w:val="00A517C9"/>
    <w:rsid w:val="00A51DE0"/>
    <w:rsid w:val="00A51E60"/>
    <w:rsid w:val="00A52B20"/>
    <w:rsid w:val="00A52E00"/>
    <w:rsid w:val="00A5307F"/>
    <w:rsid w:val="00A534D9"/>
    <w:rsid w:val="00A53751"/>
    <w:rsid w:val="00A53D4B"/>
    <w:rsid w:val="00A53E40"/>
    <w:rsid w:val="00A53F70"/>
    <w:rsid w:val="00A54AD5"/>
    <w:rsid w:val="00A54C0F"/>
    <w:rsid w:val="00A54CBC"/>
    <w:rsid w:val="00A54E0A"/>
    <w:rsid w:val="00A55042"/>
    <w:rsid w:val="00A5576A"/>
    <w:rsid w:val="00A55F10"/>
    <w:rsid w:val="00A56507"/>
    <w:rsid w:val="00A56BA5"/>
    <w:rsid w:val="00A5765E"/>
    <w:rsid w:val="00A578E3"/>
    <w:rsid w:val="00A57FDB"/>
    <w:rsid w:val="00A60178"/>
    <w:rsid w:val="00A6032C"/>
    <w:rsid w:val="00A603EF"/>
    <w:rsid w:val="00A60BE1"/>
    <w:rsid w:val="00A615E2"/>
    <w:rsid w:val="00A6161E"/>
    <w:rsid w:val="00A618A1"/>
    <w:rsid w:val="00A61B79"/>
    <w:rsid w:val="00A61D99"/>
    <w:rsid w:val="00A62867"/>
    <w:rsid w:val="00A62E48"/>
    <w:rsid w:val="00A6338A"/>
    <w:rsid w:val="00A6376E"/>
    <w:rsid w:val="00A638A2"/>
    <w:rsid w:val="00A63CB5"/>
    <w:rsid w:val="00A64A19"/>
    <w:rsid w:val="00A64A84"/>
    <w:rsid w:val="00A64D90"/>
    <w:rsid w:val="00A64EB1"/>
    <w:rsid w:val="00A652B0"/>
    <w:rsid w:val="00A653DC"/>
    <w:rsid w:val="00A654C9"/>
    <w:rsid w:val="00A65DA8"/>
    <w:rsid w:val="00A6696C"/>
    <w:rsid w:val="00A66BD8"/>
    <w:rsid w:val="00A66DAA"/>
    <w:rsid w:val="00A66E59"/>
    <w:rsid w:val="00A66F02"/>
    <w:rsid w:val="00A6704C"/>
    <w:rsid w:val="00A6732F"/>
    <w:rsid w:val="00A67785"/>
    <w:rsid w:val="00A67889"/>
    <w:rsid w:val="00A67C5A"/>
    <w:rsid w:val="00A70D90"/>
    <w:rsid w:val="00A71776"/>
    <w:rsid w:val="00A71E69"/>
    <w:rsid w:val="00A720BA"/>
    <w:rsid w:val="00A72313"/>
    <w:rsid w:val="00A731A2"/>
    <w:rsid w:val="00A733AE"/>
    <w:rsid w:val="00A736D4"/>
    <w:rsid w:val="00A73E5D"/>
    <w:rsid w:val="00A73F94"/>
    <w:rsid w:val="00A74630"/>
    <w:rsid w:val="00A748AC"/>
    <w:rsid w:val="00A756E1"/>
    <w:rsid w:val="00A75A13"/>
    <w:rsid w:val="00A761D9"/>
    <w:rsid w:val="00A7686D"/>
    <w:rsid w:val="00A76F87"/>
    <w:rsid w:val="00A7709D"/>
    <w:rsid w:val="00A77248"/>
    <w:rsid w:val="00A774E4"/>
    <w:rsid w:val="00A77BB3"/>
    <w:rsid w:val="00A80D81"/>
    <w:rsid w:val="00A80FF4"/>
    <w:rsid w:val="00A81006"/>
    <w:rsid w:val="00A811BB"/>
    <w:rsid w:val="00A8126F"/>
    <w:rsid w:val="00A81294"/>
    <w:rsid w:val="00A814DF"/>
    <w:rsid w:val="00A81547"/>
    <w:rsid w:val="00A817EC"/>
    <w:rsid w:val="00A818FB"/>
    <w:rsid w:val="00A820C4"/>
    <w:rsid w:val="00A821C0"/>
    <w:rsid w:val="00A82232"/>
    <w:rsid w:val="00A822F4"/>
    <w:rsid w:val="00A82362"/>
    <w:rsid w:val="00A8243C"/>
    <w:rsid w:val="00A828AB"/>
    <w:rsid w:val="00A82A0B"/>
    <w:rsid w:val="00A82C3D"/>
    <w:rsid w:val="00A834C6"/>
    <w:rsid w:val="00A838BB"/>
    <w:rsid w:val="00A83EAE"/>
    <w:rsid w:val="00A84A2F"/>
    <w:rsid w:val="00A84BD4"/>
    <w:rsid w:val="00A84D22"/>
    <w:rsid w:val="00A85458"/>
    <w:rsid w:val="00A8546F"/>
    <w:rsid w:val="00A85C4D"/>
    <w:rsid w:val="00A85D4B"/>
    <w:rsid w:val="00A86296"/>
    <w:rsid w:val="00A86433"/>
    <w:rsid w:val="00A8658D"/>
    <w:rsid w:val="00A87272"/>
    <w:rsid w:val="00A87989"/>
    <w:rsid w:val="00A879CB"/>
    <w:rsid w:val="00A87E82"/>
    <w:rsid w:val="00A90D51"/>
    <w:rsid w:val="00A91238"/>
    <w:rsid w:val="00A91733"/>
    <w:rsid w:val="00A917D8"/>
    <w:rsid w:val="00A91A73"/>
    <w:rsid w:val="00A91B58"/>
    <w:rsid w:val="00A91C99"/>
    <w:rsid w:val="00A922ED"/>
    <w:rsid w:val="00A9231F"/>
    <w:rsid w:val="00A9253B"/>
    <w:rsid w:val="00A92AD7"/>
    <w:rsid w:val="00A92E9B"/>
    <w:rsid w:val="00A92F28"/>
    <w:rsid w:val="00A92F78"/>
    <w:rsid w:val="00A9302A"/>
    <w:rsid w:val="00A93731"/>
    <w:rsid w:val="00A93C22"/>
    <w:rsid w:val="00A9403C"/>
    <w:rsid w:val="00A94129"/>
    <w:rsid w:val="00A9471F"/>
    <w:rsid w:val="00A949AB"/>
    <w:rsid w:val="00A94A74"/>
    <w:rsid w:val="00A94FFD"/>
    <w:rsid w:val="00A95120"/>
    <w:rsid w:val="00A9543A"/>
    <w:rsid w:val="00A958A5"/>
    <w:rsid w:val="00A95A0B"/>
    <w:rsid w:val="00A95EE2"/>
    <w:rsid w:val="00A96769"/>
    <w:rsid w:val="00A96B12"/>
    <w:rsid w:val="00A971BA"/>
    <w:rsid w:val="00A97226"/>
    <w:rsid w:val="00A97A6F"/>
    <w:rsid w:val="00A97C42"/>
    <w:rsid w:val="00A97D18"/>
    <w:rsid w:val="00AA00C0"/>
    <w:rsid w:val="00AA00C6"/>
    <w:rsid w:val="00AA0180"/>
    <w:rsid w:val="00AA0258"/>
    <w:rsid w:val="00AA04B1"/>
    <w:rsid w:val="00AA0599"/>
    <w:rsid w:val="00AA0A8B"/>
    <w:rsid w:val="00AA1068"/>
    <w:rsid w:val="00AA1239"/>
    <w:rsid w:val="00AA12D6"/>
    <w:rsid w:val="00AA15C6"/>
    <w:rsid w:val="00AA208D"/>
    <w:rsid w:val="00AA223C"/>
    <w:rsid w:val="00AA2732"/>
    <w:rsid w:val="00AA2829"/>
    <w:rsid w:val="00AA2BB9"/>
    <w:rsid w:val="00AA3078"/>
    <w:rsid w:val="00AA38C4"/>
    <w:rsid w:val="00AA4191"/>
    <w:rsid w:val="00AA447A"/>
    <w:rsid w:val="00AA49ED"/>
    <w:rsid w:val="00AA4A0C"/>
    <w:rsid w:val="00AA4E1A"/>
    <w:rsid w:val="00AA529A"/>
    <w:rsid w:val="00AA592E"/>
    <w:rsid w:val="00AA5E17"/>
    <w:rsid w:val="00AA6DDB"/>
    <w:rsid w:val="00AA7726"/>
    <w:rsid w:val="00AA7910"/>
    <w:rsid w:val="00AA7970"/>
    <w:rsid w:val="00AA7DAD"/>
    <w:rsid w:val="00AA7FDE"/>
    <w:rsid w:val="00AB156F"/>
    <w:rsid w:val="00AB1CBB"/>
    <w:rsid w:val="00AB1FD0"/>
    <w:rsid w:val="00AB2237"/>
    <w:rsid w:val="00AB23B4"/>
    <w:rsid w:val="00AB293F"/>
    <w:rsid w:val="00AB32E4"/>
    <w:rsid w:val="00AB39FC"/>
    <w:rsid w:val="00AB44EF"/>
    <w:rsid w:val="00AB4E05"/>
    <w:rsid w:val="00AB56D4"/>
    <w:rsid w:val="00AB5990"/>
    <w:rsid w:val="00AB6084"/>
    <w:rsid w:val="00AB6146"/>
    <w:rsid w:val="00AB6793"/>
    <w:rsid w:val="00AB697E"/>
    <w:rsid w:val="00AB6A60"/>
    <w:rsid w:val="00AB6E89"/>
    <w:rsid w:val="00AB71D9"/>
    <w:rsid w:val="00AB7224"/>
    <w:rsid w:val="00AB7623"/>
    <w:rsid w:val="00AB7E2E"/>
    <w:rsid w:val="00AC0144"/>
    <w:rsid w:val="00AC07EA"/>
    <w:rsid w:val="00AC0E2B"/>
    <w:rsid w:val="00AC0F2C"/>
    <w:rsid w:val="00AC152F"/>
    <w:rsid w:val="00AC2093"/>
    <w:rsid w:val="00AC23D3"/>
    <w:rsid w:val="00AC287F"/>
    <w:rsid w:val="00AC2D0E"/>
    <w:rsid w:val="00AC2EA6"/>
    <w:rsid w:val="00AC30BB"/>
    <w:rsid w:val="00AC30EB"/>
    <w:rsid w:val="00AC36CC"/>
    <w:rsid w:val="00AC37BF"/>
    <w:rsid w:val="00AC3F2F"/>
    <w:rsid w:val="00AC4165"/>
    <w:rsid w:val="00AC4398"/>
    <w:rsid w:val="00AC4D7E"/>
    <w:rsid w:val="00AC597C"/>
    <w:rsid w:val="00AC65B5"/>
    <w:rsid w:val="00AC65F2"/>
    <w:rsid w:val="00AC661C"/>
    <w:rsid w:val="00AC681E"/>
    <w:rsid w:val="00AC736F"/>
    <w:rsid w:val="00AC7C86"/>
    <w:rsid w:val="00AC7D48"/>
    <w:rsid w:val="00AD0882"/>
    <w:rsid w:val="00AD11E5"/>
    <w:rsid w:val="00AD13E2"/>
    <w:rsid w:val="00AD15E2"/>
    <w:rsid w:val="00AD16AF"/>
    <w:rsid w:val="00AD1E4D"/>
    <w:rsid w:val="00AD24CB"/>
    <w:rsid w:val="00AD271B"/>
    <w:rsid w:val="00AD2CBD"/>
    <w:rsid w:val="00AD3199"/>
    <w:rsid w:val="00AD3393"/>
    <w:rsid w:val="00AD34ED"/>
    <w:rsid w:val="00AD3603"/>
    <w:rsid w:val="00AD36DD"/>
    <w:rsid w:val="00AD37CA"/>
    <w:rsid w:val="00AD383A"/>
    <w:rsid w:val="00AD3896"/>
    <w:rsid w:val="00AD42BF"/>
    <w:rsid w:val="00AD42FC"/>
    <w:rsid w:val="00AD4874"/>
    <w:rsid w:val="00AD4B51"/>
    <w:rsid w:val="00AD4E39"/>
    <w:rsid w:val="00AD54D7"/>
    <w:rsid w:val="00AD5CAA"/>
    <w:rsid w:val="00AD637E"/>
    <w:rsid w:val="00AD67C0"/>
    <w:rsid w:val="00AD699C"/>
    <w:rsid w:val="00AD6BFB"/>
    <w:rsid w:val="00AD6C50"/>
    <w:rsid w:val="00AD6CBA"/>
    <w:rsid w:val="00AD715A"/>
    <w:rsid w:val="00AD730E"/>
    <w:rsid w:val="00AD73D7"/>
    <w:rsid w:val="00AD7771"/>
    <w:rsid w:val="00AD77B3"/>
    <w:rsid w:val="00AD7C6E"/>
    <w:rsid w:val="00AD7D3E"/>
    <w:rsid w:val="00AD7DF9"/>
    <w:rsid w:val="00AE021C"/>
    <w:rsid w:val="00AE060A"/>
    <w:rsid w:val="00AE09D9"/>
    <w:rsid w:val="00AE14AD"/>
    <w:rsid w:val="00AE1723"/>
    <w:rsid w:val="00AE18DD"/>
    <w:rsid w:val="00AE1E7D"/>
    <w:rsid w:val="00AE1EF9"/>
    <w:rsid w:val="00AE25A1"/>
    <w:rsid w:val="00AE2885"/>
    <w:rsid w:val="00AE28EC"/>
    <w:rsid w:val="00AE2B73"/>
    <w:rsid w:val="00AE2E6B"/>
    <w:rsid w:val="00AE2FA1"/>
    <w:rsid w:val="00AE303B"/>
    <w:rsid w:val="00AE303D"/>
    <w:rsid w:val="00AE3106"/>
    <w:rsid w:val="00AE3CCD"/>
    <w:rsid w:val="00AE4048"/>
    <w:rsid w:val="00AE4414"/>
    <w:rsid w:val="00AE47FB"/>
    <w:rsid w:val="00AE4CDF"/>
    <w:rsid w:val="00AE5337"/>
    <w:rsid w:val="00AE534C"/>
    <w:rsid w:val="00AE544C"/>
    <w:rsid w:val="00AE585D"/>
    <w:rsid w:val="00AE5BBD"/>
    <w:rsid w:val="00AE6493"/>
    <w:rsid w:val="00AE6C1B"/>
    <w:rsid w:val="00AE6EA6"/>
    <w:rsid w:val="00AE6F24"/>
    <w:rsid w:val="00AE748A"/>
    <w:rsid w:val="00AE79F0"/>
    <w:rsid w:val="00AF073F"/>
    <w:rsid w:val="00AF0AAB"/>
    <w:rsid w:val="00AF0B4C"/>
    <w:rsid w:val="00AF0DEF"/>
    <w:rsid w:val="00AF1069"/>
    <w:rsid w:val="00AF119F"/>
    <w:rsid w:val="00AF1CA7"/>
    <w:rsid w:val="00AF1D34"/>
    <w:rsid w:val="00AF214B"/>
    <w:rsid w:val="00AF228C"/>
    <w:rsid w:val="00AF2625"/>
    <w:rsid w:val="00AF285A"/>
    <w:rsid w:val="00AF2887"/>
    <w:rsid w:val="00AF2B85"/>
    <w:rsid w:val="00AF2E82"/>
    <w:rsid w:val="00AF30B6"/>
    <w:rsid w:val="00AF3E00"/>
    <w:rsid w:val="00AF3E4C"/>
    <w:rsid w:val="00AF4289"/>
    <w:rsid w:val="00AF4BBA"/>
    <w:rsid w:val="00AF4D7B"/>
    <w:rsid w:val="00AF4FCD"/>
    <w:rsid w:val="00AF5594"/>
    <w:rsid w:val="00AF5812"/>
    <w:rsid w:val="00AF58EC"/>
    <w:rsid w:val="00AF6108"/>
    <w:rsid w:val="00AF619D"/>
    <w:rsid w:val="00AF61AB"/>
    <w:rsid w:val="00AF6440"/>
    <w:rsid w:val="00AF6545"/>
    <w:rsid w:val="00AF6773"/>
    <w:rsid w:val="00AF6F44"/>
    <w:rsid w:val="00AF737C"/>
    <w:rsid w:val="00AF776D"/>
    <w:rsid w:val="00AF790C"/>
    <w:rsid w:val="00B00276"/>
    <w:rsid w:val="00B00784"/>
    <w:rsid w:val="00B01269"/>
    <w:rsid w:val="00B01A3A"/>
    <w:rsid w:val="00B01FBB"/>
    <w:rsid w:val="00B021A0"/>
    <w:rsid w:val="00B022EB"/>
    <w:rsid w:val="00B02554"/>
    <w:rsid w:val="00B02637"/>
    <w:rsid w:val="00B02931"/>
    <w:rsid w:val="00B029B3"/>
    <w:rsid w:val="00B029B6"/>
    <w:rsid w:val="00B03502"/>
    <w:rsid w:val="00B0353C"/>
    <w:rsid w:val="00B04117"/>
    <w:rsid w:val="00B04738"/>
    <w:rsid w:val="00B0598B"/>
    <w:rsid w:val="00B059CE"/>
    <w:rsid w:val="00B05B3D"/>
    <w:rsid w:val="00B060B0"/>
    <w:rsid w:val="00B061AC"/>
    <w:rsid w:val="00B0667D"/>
    <w:rsid w:val="00B066C7"/>
    <w:rsid w:val="00B078B0"/>
    <w:rsid w:val="00B0798D"/>
    <w:rsid w:val="00B07A1E"/>
    <w:rsid w:val="00B07B05"/>
    <w:rsid w:val="00B10C6D"/>
    <w:rsid w:val="00B10EE2"/>
    <w:rsid w:val="00B10F85"/>
    <w:rsid w:val="00B110E2"/>
    <w:rsid w:val="00B11650"/>
    <w:rsid w:val="00B116F0"/>
    <w:rsid w:val="00B11739"/>
    <w:rsid w:val="00B11D36"/>
    <w:rsid w:val="00B12B69"/>
    <w:rsid w:val="00B12CCD"/>
    <w:rsid w:val="00B13058"/>
    <w:rsid w:val="00B13AEB"/>
    <w:rsid w:val="00B145D9"/>
    <w:rsid w:val="00B14BF1"/>
    <w:rsid w:val="00B15A64"/>
    <w:rsid w:val="00B15CAB"/>
    <w:rsid w:val="00B15EA0"/>
    <w:rsid w:val="00B165CE"/>
    <w:rsid w:val="00B16C8E"/>
    <w:rsid w:val="00B16DE2"/>
    <w:rsid w:val="00B16F72"/>
    <w:rsid w:val="00B17049"/>
    <w:rsid w:val="00B17496"/>
    <w:rsid w:val="00B17880"/>
    <w:rsid w:val="00B17B24"/>
    <w:rsid w:val="00B17EEE"/>
    <w:rsid w:val="00B200D0"/>
    <w:rsid w:val="00B20A0B"/>
    <w:rsid w:val="00B20AE4"/>
    <w:rsid w:val="00B2165B"/>
    <w:rsid w:val="00B21BFB"/>
    <w:rsid w:val="00B21F65"/>
    <w:rsid w:val="00B22630"/>
    <w:rsid w:val="00B22AA3"/>
    <w:rsid w:val="00B230CB"/>
    <w:rsid w:val="00B2392B"/>
    <w:rsid w:val="00B23E34"/>
    <w:rsid w:val="00B23F77"/>
    <w:rsid w:val="00B24EFB"/>
    <w:rsid w:val="00B25292"/>
    <w:rsid w:val="00B2531C"/>
    <w:rsid w:val="00B25322"/>
    <w:rsid w:val="00B254D0"/>
    <w:rsid w:val="00B261EE"/>
    <w:rsid w:val="00B262DC"/>
    <w:rsid w:val="00B262FE"/>
    <w:rsid w:val="00B26470"/>
    <w:rsid w:val="00B267BC"/>
    <w:rsid w:val="00B26904"/>
    <w:rsid w:val="00B27B96"/>
    <w:rsid w:val="00B30621"/>
    <w:rsid w:val="00B307E8"/>
    <w:rsid w:val="00B308D4"/>
    <w:rsid w:val="00B309CB"/>
    <w:rsid w:val="00B3145D"/>
    <w:rsid w:val="00B31AEA"/>
    <w:rsid w:val="00B31B29"/>
    <w:rsid w:val="00B320E6"/>
    <w:rsid w:val="00B32B7D"/>
    <w:rsid w:val="00B331B7"/>
    <w:rsid w:val="00B33454"/>
    <w:rsid w:val="00B336F2"/>
    <w:rsid w:val="00B33B1D"/>
    <w:rsid w:val="00B34079"/>
    <w:rsid w:val="00B34156"/>
    <w:rsid w:val="00B343ED"/>
    <w:rsid w:val="00B3497C"/>
    <w:rsid w:val="00B35152"/>
    <w:rsid w:val="00B3530F"/>
    <w:rsid w:val="00B353E9"/>
    <w:rsid w:val="00B3600A"/>
    <w:rsid w:val="00B3659A"/>
    <w:rsid w:val="00B367C1"/>
    <w:rsid w:val="00B369B3"/>
    <w:rsid w:val="00B36B44"/>
    <w:rsid w:val="00B36DC0"/>
    <w:rsid w:val="00B36FC7"/>
    <w:rsid w:val="00B374A8"/>
    <w:rsid w:val="00B37915"/>
    <w:rsid w:val="00B37C42"/>
    <w:rsid w:val="00B37C63"/>
    <w:rsid w:val="00B4020E"/>
    <w:rsid w:val="00B40387"/>
    <w:rsid w:val="00B403A6"/>
    <w:rsid w:val="00B40B4B"/>
    <w:rsid w:val="00B40C87"/>
    <w:rsid w:val="00B40F9D"/>
    <w:rsid w:val="00B4103C"/>
    <w:rsid w:val="00B41532"/>
    <w:rsid w:val="00B41C65"/>
    <w:rsid w:val="00B41D65"/>
    <w:rsid w:val="00B4207F"/>
    <w:rsid w:val="00B42389"/>
    <w:rsid w:val="00B42A28"/>
    <w:rsid w:val="00B42DB2"/>
    <w:rsid w:val="00B43C20"/>
    <w:rsid w:val="00B43F7C"/>
    <w:rsid w:val="00B443B4"/>
    <w:rsid w:val="00B446B6"/>
    <w:rsid w:val="00B4478D"/>
    <w:rsid w:val="00B44B5D"/>
    <w:rsid w:val="00B45F17"/>
    <w:rsid w:val="00B4683E"/>
    <w:rsid w:val="00B46E6F"/>
    <w:rsid w:val="00B47AB7"/>
    <w:rsid w:val="00B47B23"/>
    <w:rsid w:val="00B47CBD"/>
    <w:rsid w:val="00B50118"/>
    <w:rsid w:val="00B50142"/>
    <w:rsid w:val="00B50EBC"/>
    <w:rsid w:val="00B513DB"/>
    <w:rsid w:val="00B51C6D"/>
    <w:rsid w:val="00B51ECF"/>
    <w:rsid w:val="00B523BB"/>
    <w:rsid w:val="00B530B0"/>
    <w:rsid w:val="00B53366"/>
    <w:rsid w:val="00B53462"/>
    <w:rsid w:val="00B53488"/>
    <w:rsid w:val="00B53804"/>
    <w:rsid w:val="00B5400C"/>
    <w:rsid w:val="00B5432C"/>
    <w:rsid w:val="00B54CD8"/>
    <w:rsid w:val="00B553B4"/>
    <w:rsid w:val="00B5543F"/>
    <w:rsid w:val="00B55837"/>
    <w:rsid w:val="00B559DF"/>
    <w:rsid w:val="00B55DE0"/>
    <w:rsid w:val="00B56625"/>
    <w:rsid w:val="00B56BA0"/>
    <w:rsid w:val="00B56EA7"/>
    <w:rsid w:val="00B57CC4"/>
    <w:rsid w:val="00B57DDA"/>
    <w:rsid w:val="00B60170"/>
    <w:rsid w:val="00B604E8"/>
    <w:rsid w:val="00B60561"/>
    <w:rsid w:val="00B60855"/>
    <w:rsid w:val="00B60C3C"/>
    <w:rsid w:val="00B619C8"/>
    <w:rsid w:val="00B61C40"/>
    <w:rsid w:val="00B626BA"/>
    <w:rsid w:val="00B636B5"/>
    <w:rsid w:val="00B63FF0"/>
    <w:rsid w:val="00B64093"/>
    <w:rsid w:val="00B641FE"/>
    <w:rsid w:val="00B64D39"/>
    <w:rsid w:val="00B64E4E"/>
    <w:rsid w:val="00B657FE"/>
    <w:rsid w:val="00B66A1D"/>
    <w:rsid w:val="00B66A22"/>
    <w:rsid w:val="00B6724A"/>
    <w:rsid w:val="00B6732E"/>
    <w:rsid w:val="00B67656"/>
    <w:rsid w:val="00B67ACD"/>
    <w:rsid w:val="00B67E49"/>
    <w:rsid w:val="00B70259"/>
    <w:rsid w:val="00B70475"/>
    <w:rsid w:val="00B70486"/>
    <w:rsid w:val="00B70614"/>
    <w:rsid w:val="00B70867"/>
    <w:rsid w:val="00B7131D"/>
    <w:rsid w:val="00B716DF"/>
    <w:rsid w:val="00B7186E"/>
    <w:rsid w:val="00B7188D"/>
    <w:rsid w:val="00B71910"/>
    <w:rsid w:val="00B727FD"/>
    <w:rsid w:val="00B72F31"/>
    <w:rsid w:val="00B731F0"/>
    <w:rsid w:val="00B7332D"/>
    <w:rsid w:val="00B73371"/>
    <w:rsid w:val="00B7378B"/>
    <w:rsid w:val="00B73B55"/>
    <w:rsid w:val="00B73B79"/>
    <w:rsid w:val="00B73F1C"/>
    <w:rsid w:val="00B74117"/>
    <w:rsid w:val="00B7467C"/>
    <w:rsid w:val="00B74922"/>
    <w:rsid w:val="00B74C4D"/>
    <w:rsid w:val="00B74E86"/>
    <w:rsid w:val="00B74EFE"/>
    <w:rsid w:val="00B75A4C"/>
    <w:rsid w:val="00B75BC3"/>
    <w:rsid w:val="00B75FE9"/>
    <w:rsid w:val="00B76009"/>
    <w:rsid w:val="00B76395"/>
    <w:rsid w:val="00B76A47"/>
    <w:rsid w:val="00B76C3C"/>
    <w:rsid w:val="00B76EB1"/>
    <w:rsid w:val="00B76F32"/>
    <w:rsid w:val="00B7709A"/>
    <w:rsid w:val="00B777B9"/>
    <w:rsid w:val="00B7793E"/>
    <w:rsid w:val="00B8022B"/>
    <w:rsid w:val="00B8043D"/>
    <w:rsid w:val="00B80666"/>
    <w:rsid w:val="00B809A4"/>
    <w:rsid w:val="00B80D70"/>
    <w:rsid w:val="00B812F3"/>
    <w:rsid w:val="00B81E68"/>
    <w:rsid w:val="00B82C61"/>
    <w:rsid w:val="00B82DAC"/>
    <w:rsid w:val="00B83A59"/>
    <w:rsid w:val="00B841B9"/>
    <w:rsid w:val="00B84555"/>
    <w:rsid w:val="00B8471A"/>
    <w:rsid w:val="00B84A20"/>
    <w:rsid w:val="00B84B78"/>
    <w:rsid w:val="00B84EA9"/>
    <w:rsid w:val="00B85481"/>
    <w:rsid w:val="00B8588C"/>
    <w:rsid w:val="00B85E55"/>
    <w:rsid w:val="00B85EB0"/>
    <w:rsid w:val="00B86095"/>
    <w:rsid w:val="00B86415"/>
    <w:rsid w:val="00B86BDF"/>
    <w:rsid w:val="00B86D2A"/>
    <w:rsid w:val="00B87029"/>
    <w:rsid w:val="00B87705"/>
    <w:rsid w:val="00B90157"/>
    <w:rsid w:val="00B901A5"/>
    <w:rsid w:val="00B90DCF"/>
    <w:rsid w:val="00B916DC"/>
    <w:rsid w:val="00B91CF0"/>
    <w:rsid w:val="00B920C2"/>
    <w:rsid w:val="00B92897"/>
    <w:rsid w:val="00B92C19"/>
    <w:rsid w:val="00B92CC4"/>
    <w:rsid w:val="00B92FA2"/>
    <w:rsid w:val="00B93EA3"/>
    <w:rsid w:val="00B93EF4"/>
    <w:rsid w:val="00B9428B"/>
    <w:rsid w:val="00B943B3"/>
    <w:rsid w:val="00B94CDD"/>
    <w:rsid w:val="00B94E2C"/>
    <w:rsid w:val="00B95A71"/>
    <w:rsid w:val="00B95E5C"/>
    <w:rsid w:val="00B9639D"/>
    <w:rsid w:val="00B963CA"/>
    <w:rsid w:val="00B96409"/>
    <w:rsid w:val="00B96FE5"/>
    <w:rsid w:val="00B9748E"/>
    <w:rsid w:val="00B974DD"/>
    <w:rsid w:val="00B97D92"/>
    <w:rsid w:val="00BA0555"/>
    <w:rsid w:val="00BA0BD5"/>
    <w:rsid w:val="00BA10E0"/>
    <w:rsid w:val="00BA114C"/>
    <w:rsid w:val="00BA12EC"/>
    <w:rsid w:val="00BA15C9"/>
    <w:rsid w:val="00BA1C1E"/>
    <w:rsid w:val="00BA1D86"/>
    <w:rsid w:val="00BA1E38"/>
    <w:rsid w:val="00BA212D"/>
    <w:rsid w:val="00BA2265"/>
    <w:rsid w:val="00BA24C5"/>
    <w:rsid w:val="00BA2998"/>
    <w:rsid w:val="00BA3202"/>
    <w:rsid w:val="00BA3589"/>
    <w:rsid w:val="00BA4560"/>
    <w:rsid w:val="00BA4EE1"/>
    <w:rsid w:val="00BA5A23"/>
    <w:rsid w:val="00BA611D"/>
    <w:rsid w:val="00BA6423"/>
    <w:rsid w:val="00BA66D4"/>
    <w:rsid w:val="00BA69C5"/>
    <w:rsid w:val="00BA6DDB"/>
    <w:rsid w:val="00BB0311"/>
    <w:rsid w:val="00BB087F"/>
    <w:rsid w:val="00BB09DC"/>
    <w:rsid w:val="00BB0C25"/>
    <w:rsid w:val="00BB0E8E"/>
    <w:rsid w:val="00BB19E1"/>
    <w:rsid w:val="00BB321C"/>
    <w:rsid w:val="00BB345C"/>
    <w:rsid w:val="00BB36FD"/>
    <w:rsid w:val="00BB3723"/>
    <w:rsid w:val="00BB3849"/>
    <w:rsid w:val="00BB3AD4"/>
    <w:rsid w:val="00BB3B17"/>
    <w:rsid w:val="00BB3D27"/>
    <w:rsid w:val="00BB3D61"/>
    <w:rsid w:val="00BB3EC6"/>
    <w:rsid w:val="00BB4A3A"/>
    <w:rsid w:val="00BB5043"/>
    <w:rsid w:val="00BB59A5"/>
    <w:rsid w:val="00BB61F0"/>
    <w:rsid w:val="00BB6337"/>
    <w:rsid w:val="00BB6371"/>
    <w:rsid w:val="00BB66CE"/>
    <w:rsid w:val="00BB6AE9"/>
    <w:rsid w:val="00BB6B40"/>
    <w:rsid w:val="00BB6B6C"/>
    <w:rsid w:val="00BB6D84"/>
    <w:rsid w:val="00BB6E40"/>
    <w:rsid w:val="00BB7353"/>
    <w:rsid w:val="00BB7464"/>
    <w:rsid w:val="00BB7516"/>
    <w:rsid w:val="00BB7620"/>
    <w:rsid w:val="00BC0089"/>
    <w:rsid w:val="00BC018A"/>
    <w:rsid w:val="00BC040C"/>
    <w:rsid w:val="00BC04A6"/>
    <w:rsid w:val="00BC06D0"/>
    <w:rsid w:val="00BC0CFF"/>
    <w:rsid w:val="00BC0E99"/>
    <w:rsid w:val="00BC13C5"/>
    <w:rsid w:val="00BC158F"/>
    <w:rsid w:val="00BC248E"/>
    <w:rsid w:val="00BC2514"/>
    <w:rsid w:val="00BC2695"/>
    <w:rsid w:val="00BC312A"/>
    <w:rsid w:val="00BC3229"/>
    <w:rsid w:val="00BC35BB"/>
    <w:rsid w:val="00BC394E"/>
    <w:rsid w:val="00BC3A60"/>
    <w:rsid w:val="00BC3C60"/>
    <w:rsid w:val="00BC40DD"/>
    <w:rsid w:val="00BC4CC6"/>
    <w:rsid w:val="00BC4E4B"/>
    <w:rsid w:val="00BC5699"/>
    <w:rsid w:val="00BC5874"/>
    <w:rsid w:val="00BC5A91"/>
    <w:rsid w:val="00BC648A"/>
    <w:rsid w:val="00BC66E2"/>
    <w:rsid w:val="00BC6CFC"/>
    <w:rsid w:val="00BC7264"/>
    <w:rsid w:val="00BC72A1"/>
    <w:rsid w:val="00BC742E"/>
    <w:rsid w:val="00BD0A46"/>
    <w:rsid w:val="00BD11B7"/>
    <w:rsid w:val="00BD1A5E"/>
    <w:rsid w:val="00BD1BED"/>
    <w:rsid w:val="00BD1CF6"/>
    <w:rsid w:val="00BD1E29"/>
    <w:rsid w:val="00BD2502"/>
    <w:rsid w:val="00BD29FF"/>
    <w:rsid w:val="00BD3137"/>
    <w:rsid w:val="00BD31B4"/>
    <w:rsid w:val="00BD327B"/>
    <w:rsid w:val="00BD3790"/>
    <w:rsid w:val="00BD3B4B"/>
    <w:rsid w:val="00BD4709"/>
    <w:rsid w:val="00BD4868"/>
    <w:rsid w:val="00BD48D2"/>
    <w:rsid w:val="00BD4D75"/>
    <w:rsid w:val="00BD4E46"/>
    <w:rsid w:val="00BD50E2"/>
    <w:rsid w:val="00BD535B"/>
    <w:rsid w:val="00BD5BB0"/>
    <w:rsid w:val="00BD60E3"/>
    <w:rsid w:val="00BD65EA"/>
    <w:rsid w:val="00BD67B9"/>
    <w:rsid w:val="00BD6C72"/>
    <w:rsid w:val="00BD6CBE"/>
    <w:rsid w:val="00BD6FB7"/>
    <w:rsid w:val="00BD6FD1"/>
    <w:rsid w:val="00BD7B23"/>
    <w:rsid w:val="00BD7D37"/>
    <w:rsid w:val="00BE0E3D"/>
    <w:rsid w:val="00BE172A"/>
    <w:rsid w:val="00BE172C"/>
    <w:rsid w:val="00BE1A50"/>
    <w:rsid w:val="00BE295B"/>
    <w:rsid w:val="00BE2BCB"/>
    <w:rsid w:val="00BE2D3D"/>
    <w:rsid w:val="00BE2EEF"/>
    <w:rsid w:val="00BE3C0B"/>
    <w:rsid w:val="00BE3D62"/>
    <w:rsid w:val="00BE450A"/>
    <w:rsid w:val="00BE4895"/>
    <w:rsid w:val="00BE4A55"/>
    <w:rsid w:val="00BE518F"/>
    <w:rsid w:val="00BE5291"/>
    <w:rsid w:val="00BE535A"/>
    <w:rsid w:val="00BE639A"/>
    <w:rsid w:val="00BE65C0"/>
    <w:rsid w:val="00BE7591"/>
    <w:rsid w:val="00BE76F7"/>
    <w:rsid w:val="00BE7CFC"/>
    <w:rsid w:val="00BF043A"/>
    <w:rsid w:val="00BF076A"/>
    <w:rsid w:val="00BF0A3A"/>
    <w:rsid w:val="00BF0BA1"/>
    <w:rsid w:val="00BF0D2D"/>
    <w:rsid w:val="00BF1502"/>
    <w:rsid w:val="00BF1B1F"/>
    <w:rsid w:val="00BF1D2E"/>
    <w:rsid w:val="00BF1E05"/>
    <w:rsid w:val="00BF2D0C"/>
    <w:rsid w:val="00BF2E21"/>
    <w:rsid w:val="00BF3604"/>
    <w:rsid w:val="00BF365B"/>
    <w:rsid w:val="00BF426A"/>
    <w:rsid w:val="00BF4332"/>
    <w:rsid w:val="00BF4374"/>
    <w:rsid w:val="00BF4661"/>
    <w:rsid w:val="00BF481C"/>
    <w:rsid w:val="00BF4ADD"/>
    <w:rsid w:val="00BF4DCC"/>
    <w:rsid w:val="00BF56E3"/>
    <w:rsid w:val="00BF5846"/>
    <w:rsid w:val="00BF5AB9"/>
    <w:rsid w:val="00BF615C"/>
    <w:rsid w:val="00BF61D2"/>
    <w:rsid w:val="00BF6300"/>
    <w:rsid w:val="00BF654D"/>
    <w:rsid w:val="00BF66D7"/>
    <w:rsid w:val="00BF6857"/>
    <w:rsid w:val="00BF6967"/>
    <w:rsid w:val="00BF6EE8"/>
    <w:rsid w:val="00BF728E"/>
    <w:rsid w:val="00BF7538"/>
    <w:rsid w:val="00C00043"/>
    <w:rsid w:val="00C002D8"/>
    <w:rsid w:val="00C00308"/>
    <w:rsid w:val="00C00581"/>
    <w:rsid w:val="00C00F38"/>
    <w:rsid w:val="00C017E5"/>
    <w:rsid w:val="00C02189"/>
    <w:rsid w:val="00C0225A"/>
    <w:rsid w:val="00C0233F"/>
    <w:rsid w:val="00C024EE"/>
    <w:rsid w:val="00C02D98"/>
    <w:rsid w:val="00C033F7"/>
    <w:rsid w:val="00C0346B"/>
    <w:rsid w:val="00C03A41"/>
    <w:rsid w:val="00C04203"/>
    <w:rsid w:val="00C0440E"/>
    <w:rsid w:val="00C04CFF"/>
    <w:rsid w:val="00C04D23"/>
    <w:rsid w:val="00C04EBC"/>
    <w:rsid w:val="00C054AA"/>
    <w:rsid w:val="00C0562C"/>
    <w:rsid w:val="00C060A3"/>
    <w:rsid w:val="00C0615D"/>
    <w:rsid w:val="00C06421"/>
    <w:rsid w:val="00C06696"/>
    <w:rsid w:val="00C0686E"/>
    <w:rsid w:val="00C06DF5"/>
    <w:rsid w:val="00C07339"/>
    <w:rsid w:val="00C073B2"/>
    <w:rsid w:val="00C07974"/>
    <w:rsid w:val="00C1000D"/>
    <w:rsid w:val="00C110EC"/>
    <w:rsid w:val="00C117A3"/>
    <w:rsid w:val="00C11992"/>
    <w:rsid w:val="00C12D0F"/>
    <w:rsid w:val="00C13411"/>
    <w:rsid w:val="00C134AC"/>
    <w:rsid w:val="00C13DBA"/>
    <w:rsid w:val="00C13F49"/>
    <w:rsid w:val="00C14057"/>
    <w:rsid w:val="00C158EF"/>
    <w:rsid w:val="00C15DAB"/>
    <w:rsid w:val="00C161FB"/>
    <w:rsid w:val="00C165B5"/>
    <w:rsid w:val="00C1747B"/>
    <w:rsid w:val="00C174DA"/>
    <w:rsid w:val="00C175F8"/>
    <w:rsid w:val="00C178B3"/>
    <w:rsid w:val="00C17BD1"/>
    <w:rsid w:val="00C2001B"/>
    <w:rsid w:val="00C2004A"/>
    <w:rsid w:val="00C204E9"/>
    <w:rsid w:val="00C2062A"/>
    <w:rsid w:val="00C20BB3"/>
    <w:rsid w:val="00C20DF7"/>
    <w:rsid w:val="00C21378"/>
    <w:rsid w:val="00C21D59"/>
    <w:rsid w:val="00C21F20"/>
    <w:rsid w:val="00C21FEF"/>
    <w:rsid w:val="00C220A4"/>
    <w:rsid w:val="00C221D9"/>
    <w:rsid w:val="00C22306"/>
    <w:rsid w:val="00C22425"/>
    <w:rsid w:val="00C22C25"/>
    <w:rsid w:val="00C23BFE"/>
    <w:rsid w:val="00C2439F"/>
    <w:rsid w:val="00C244A0"/>
    <w:rsid w:val="00C2480C"/>
    <w:rsid w:val="00C24B2F"/>
    <w:rsid w:val="00C25728"/>
    <w:rsid w:val="00C25C63"/>
    <w:rsid w:val="00C25DA3"/>
    <w:rsid w:val="00C264A7"/>
    <w:rsid w:val="00C272A1"/>
    <w:rsid w:val="00C2785D"/>
    <w:rsid w:val="00C30087"/>
    <w:rsid w:val="00C30102"/>
    <w:rsid w:val="00C304EA"/>
    <w:rsid w:val="00C30C13"/>
    <w:rsid w:val="00C31772"/>
    <w:rsid w:val="00C3190D"/>
    <w:rsid w:val="00C31B78"/>
    <w:rsid w:val="00C32030"/>
    <w:rsid w:val="00C320B1"/>
    <w:rsid w:val="00C32523"/>
    <w:rsid w:val="00C32609"/>
    <w:rsid w:val="00C32B02"/>
    <w:rsid w:val="00C33A99"/>
    <w:rsid w:val="00C33C1B"/>
    <w:rsid w:val="00C33D97"/>
    <w:rsid w:val="00C33E4B"/>
    <w:rsid w:val="00C34161"/>
    <w:rsid w:val="00C342E5"/>
    <w:rsid w:val="00C35014"/>
    <w:rsid w:val="00C35283"/>
    <w:rsid w:val="00C358D5"/>
    <w:rsid w:val="00C35C8A"/>
    <w:rsid w:val="00C35D85"/>
    <w:rsid w:val="00C363D7"/>
    <w:rsid w:val="00C36BE1"/>
    <w:rsid w:val="00C36F83"/>
    <w:rsid w:val="00C37076"/>
    <w:rsid w:val="00C3737D"/>
    <w:rsid w:val="00C3738C"/>
    <w:rsid w:val="00C373E1"/>
    <w:rsid w:val="00C37F8A"/>
    <w:rsid w:val="00C40317"/>
    <w:rsid w:val="00C4055C"/>
    <w:rsid w:val="00C40717"/>
    <w:rsid w:val="00C40B75"/>
    <w:rsid w:val="00C40ED0"/>
    <w:rsid w:val="00C41632"/>
    <w:rsid w:val="00C41FA4"/>
    <w:rsid w:val="00C4261E"/>
    <w:rsid w:val="00C42839"/>
    <w:rsid w:val="00C429C0"/>
    <w:rsid w:val="00C42E9E"/>
    <w:rsid w:val="00C43841"/>
    <w:rsid w:val="00C43ADC"/>
    <w:rsid w:val="00C43CB3"/>
    <w:rsid w:val="00C43F2E"/>
    <w:rsid w:val="00C441E4"/>
    <w:rsid w:val="00C4446A"/>
    <w:rsid w:val="00C444B0"/>
    <w:rsid w:val="00C44CAF"/>
    <w:rsid w:val="00C44F71"/>
    <w:rsid w:val="00C45167"/>
    <w:rsid w:val="00C45883"/>
    <w:rsid w:val="00C45C0F"/>
    <w:rsid w:val="00C45DF8"/>
    <w:rsid w:val="00C4616C"/>
    <w:rsid w:val="00C46458"/>
    <w:rsid w:val="00C464BA"/>
    <w:rsid w:val="00C465D3"/>
    <w:rsid w:val="00C46644"/>
    <w:rsid w:val="00C468C9"/>
    <w:rsid w:val="00C46B8C"/>
    <w:rsid w:val="00C46FB7"/>
    <w:rsid w:val="00C47167"/>
    <w:rsid w:val="00C472AE"/>
    <w:rsid w:val="00C47889"/>
    <w:rsid w:val="00C47B31"/>
    <w:rsid w:val="00C47E3F"/>
    <w:rsid w:val="00C47EA3"/>
    <w:rsid w:val="00C47EB2"/>
    <w:rsid w:val="00C50A72"/>
    <w:rsid w:val="00C50C61"/>
    <w:rsid w:val="00C50F8B"/>
    <w:rsid w:val="00C50FF6"/>
    <w:rsid w:val="00C51141"/>
    <w:rsid w:val="00C51FB5"/>
    <w:rsid w:val="00C52234"/>
    <w:rsid w:val="00C5253A"/>
    <w:rsid w:val="00C52C07"/>
    <w:rsid w:val="00C5324A"/>
    <w:rsid w:val="00C53656"/>
    <w:rsid w:val="00C536A4"/>
    <w:rsid w:val="00C53ADD"/>
    <w:rsid w:val="00C53F57"/>
    <w:rsid w:val="00C5438D"/>
    <w:rsid w:val="00C54558"/>
    <w:rsid w:val="00C548E7"/>
    <w:rsid w:val="00C554EE"/>
    <w:rsid w:val="00C55B18"/>
    <w:rsid w:val="00C55BB4"/>
    <w:rsid w:val="00C55BC5"/>
    <w:rsid w:val="00C55BEF"/>
    <w:rsid w:val="00C56278"/>
    <w:rsid w:val="00C56963"/>
    <w:rsid w:val="00C56C76"/>
    <w:rsid w:val="00C56FED"/>
    <w:rsid w:val="00C572FF"/>
    <w:rsid w:val="00C57791"/>
    <w:rsid w:val="00C577B8"/>
    <w:rsid w:val="00C57DC7"/>
    <w:rsid w:val="00C57E70"/>
    <w:rsid w:val="00C601A4"/>
    <w:rsid w:val="00C60226"/>
    <w:rsid w:val="00C6084E"/>
    <w:rsid w:val="00C60948"/>
    <w:rsid w:val="00C6106A"/>
    <w:rsid w:val="00C621B3"/>
    <w:rsid w:val="00C625BB"/>
    <w:rsid w:val="00C62D7B"/>
    <w:rsid w:val="00C62EE4"/>
    <w:rsid w:val="00C62F6F"/>
    <w:rsid w:val="00C63052"/>
    <w:rsid w:val="00C635D5"/>
    <w:rsid w:val="00C63A99"/>
    <w:rsid w:val="00C63CCF"/>
    <w:rsid w:val="00C6414D"/>
    <w:rsid w:val="00C64218"/>
    <w:rsid w:val="00C648A2"/>
    <w:rsid w:val="00C64E02"/>
    <w:rsid w:val="00C65E7A"/>
    <w:rsid w:val="00C665DA"/>
    <w:rsid w:val="00C666F9"/>
    <w:rsid w:val="00C674F5"/>
    <w:rsid w:val="00C6771E"/>
    <w:rsid w:val="00C67788"/>
    <w:rsid w:val="00C67B4D"/>
    <w:rsid w:val="00C70178"/>
    <w:rsid w:val="00C707EC"/>
    <w:rsid w:val="00C70B4F"/>
    <w:rsid w:val="00C70BCF"/>
    <w:rsid w:val="00C71114"/>
    <w:rsid w:val="00C71828"/>
    <w:rsid w:val="00C71B2B"/>
    <w:rsid w:val="00C71CF1"/>
    <w:rsid w:val="00C7218F"/>
    <w:rsid w:val="00C72916"/>
    <w:rsid w:val="00C72BFF"/>
    <w:rsid w:val="00C73338"/>
    <w:rsid w:val="00C737BC"/>
    <w:rsid w:val="00C73D3C"/>
    <w:rsid w:val="00C73E06"/>
    <w:rsid w:val="00C74539"/>
    <w:rsid w:val="00C7522E"/>
    <w:rsid w:val="00C75852"/>
    <w:rsid w:val="00C75AAA"/>
    <w:rsid w:val="00C760DD"/>
    <w:rsid w:val="00C76226"/>
    <w:rsid w:val="00C765D4"/>
    <w:rsid w:val="00C76773"/>
    <w:rsid w:val="00C76DBE"/>
    <w:rsid w:val="00C7710E"/>
    <w:rsid w:val="00C773D3"/>
    <w:rsid w:val="00C77551"/>
    <w:rsid w:val="00C77555"/>
    <w:rsid w:val="00C77AEC"/>
    <w:rsid w:val="00C80118"/>
    <w:rsid w:val="00C80490"/>
    <w:rsid w:val="00C80E60"/>
    <w:rsid w:val="00C810F6"/>
    <w:rsid w:val="00C81609"/>
    <w:rsid w:val="00C81C81"/>
    <w:rsid w:val="00C81F74"/>
    <w:rsid w:val="00C82599"/>
    <w:rsid w:val="00C825E6"/>
    <w:rsid w:val="00C826D8"/>
    <w:rsid w:val="00C82A05"/>
    <w:rsid w:val="00C82CBF"/>
    <w:rsid w:val="00C831ED"/>
    <w:rsid w:val="00C83902"/>
    <w:rsid w:val="00C8393F"/>
    <w:rsid w:val="00C83C51"/>
    <w:rsid w:val="00C84023"/>
    <w:rsid w:val="00C8427D"/>
    <w:rsid w:val="00C842A7"/>
    <w:rsid w:val="00C84439"/>
    <w:rsid w:val="00C84D3C"/>
    <w:rsid w:val="00C85B6B"/>
    <w:rsid w:val="00C860DF"/>
    <w:rsid w:val="00C861CB"/>
    <w:rsid w:val="00C86F7D"/>
    <w:rsid w:val="00C87402"/>
    <w:rsid w:val="00C87416"/>
    <w:rsid w:val="00C87642"/>
    <w:rsid w:val="00C87909"/>
    <w:rsid w:val="00C87CD4"/>
    <w:rsid w:val="00C87D83"/>
    <w:rsid w:val="00C87EFA"/>
    <w:rsid w:val="00C87FA8"/>
    <w:rsid w:val="00C87FE2"/>
    <w:rsid w:val="00C906A4"/>
    <w:rsid w:val="00C9077A"/>
    <w:rsid w:val="00C9127B"/>
    <w:rsid w:val="00C91464"/>
    <w:rsid w:val="00C91911"/>
    <w:rsid w:val="00C9194F"/>
    <w:rsid w:val="00C92610"/>
    <w:rsid w:val="00C926E0"/>
    <w:rsid w:val="00C926F3"/>
    <w:rsid w:val="00C929D6"/>
    <w:rsid w:val="00C930E3"/>
    <w:rsid w:val="00C9339E"/>
    <w:rsid w:val="00C93B0B"/>
    <w:rsid w:val="00C93F22"/>
    <w:rsid w:val="00C940E0"/>
    <w:rsid w:val="00C943E3"/>
    <w:rsid w:val="00C94582"/>
    <w:rsid w:val="00C94EE0"/>
    <w:rsid w:val="00C95EDB"/>
    <w:rsid w:val="00C9641C"/>
    <w:rsid w:val="00C96856"/>
    <w:rsid w:val="00C97456"/>
    <w:rsid w:val="00C975F0"/>
    <w:rsid w:val="00C97AB1"/>
    <w:rsid w:val="00CA0586"/>
    <w:rsid w:val="00CA05CD"/>
    <w:rsid w:val="00CA0D63"/>
    <w:rsid w:val="00CA162A"/>
    <w:rsid w:val="00CA190A"/>
    <w:rsid w:val="00CA1A2F"/>
    <w:rsid w:val="00CA1E00"/>
    <w:rsid w:val="00CA248B"/>
    <w:rsid w:val="00CA29C5"/>
    <w:rsid w:val="00CA2B67"/>
    <w:rsid w:val="00CA2B71"/>
    <w:rsid w:val="00CA2BBE"/>
    <w:rsid w:val="00CA3A7D"/>
    <w:rsid w:val="00CA4328"/>
    <w:rsid w:val="00CA4C05"/>
    <w:rsid w:val="00CA570F"/>
    <w:rsid w:val="00CA58FE"/>
    <w:rsid w:val="00CA5ACE"/>
    <w:rsid w:val="00CA5C87"/>
    <w:rsid w:val="00CA6AB0"/>
    <w:rsid w:val="00CA714D"/>
    <w:rsid w:val="00CA74D5"/>
    <w:rsid w:val="00CA75C2"/>
    <w:rsid w:val="00CA7683"/>
    <w:rsid w:val="00CA791F"/>
    <w:rsid w:val="00CA7A74"/>
    <w:rsid w:val="00CA7BBA"/>
    <w:rsid w:val="00CA7C13"/>
    <w:rsid w:val="00CB0025"/>
    <w:rsid w:val="00CB002B"/>
    <w:rsid w:val="00CB0195"/>
    <w:rsid w:val="00CB01BF"/>
    <w:rsid w:val="00CB0481"/>
    <w:rsid w:val="00CB0B3A"/>
    <w:rsid w:val="00CB0BAC"/>
    <w:rsid w:val="00CB0CB4"/>
    <w:rsid w:val="00CB14EE"/>
    <w:rsid w:val="00CB1B1D"/>
    <w:rsid w:val="00CB1D88"/>
    <w:rsid w:val="00CB20D0"/>
    <w:rsid w:val="00CB283B"/>
    <w:rsid w:val="00CB28CD"/>
    <w:rsid w:val="00CB2AFB"/>
    <w:rsid w:val="00CB323B"/>
    <w:rsid w:val="00CB3328"/>
    <w:rsid w:val="00CB404C"/>
    <w:rsid w:val="00CB478D"/>
    <w:rsid w:val="00CB4942"/>
    <w:rsid w:val="00CB4DCC"/>
    <w:rsid w:val="00CB56E8"/>
    <w:rsid w:val="00CB5B3C"/>
    <w:rsid w:val="00CB6246"/>
    <w:rsid w:val="00CB63C1"/>
    <w:rsid w:val="00CB6813"/>
    <w:rsid w:val="00CB685D"/>
    <w:rsid w:val="00CB7016"/>
    <w:rsid w:val="00CB73A6"/>
    <w:rsid w:val="00CB75A0"/>
    <w:rsid w:val="00CB7851"/>
    <w:rsid w:val="00CB7A2E"/>
    <w:rsid w:val="00CB7A39"/>
    <w:rsid w:val="00CC0687"/>
    <w:rsid w:val="00CC0961"/>
    <w:rsid w:val="00CC0BA2"/>
    <w:rsid w:val="00CC0D1D"/>
    <w:rsid w:val="00CC0D4E"/>
    <w:rsid w:val="00CC0DCF"/>
    <w:rsid w:val="00CC10BD"/>
    <w:rsid w:val="00CC12B8"/>
    <w:rsid w:val="00CC151A"/>
    <w:rsid w:val="00CC19D1"/>
    <w:rsid w:val="00CC21CB"/>
    <w:rsid w:val="00CC23C0"/>
    <w:rsid w:val="00CC28F4"/>
    <w:rsid w:val="00CC2A96"/>
    <w:rsid w:val="00CC3319"/>
    <w:rsid w:val="00CC341F"/>
    <w:rsid w:val="00CC35FA"/>
    <w:rsid w:val="00CC3769"/>
    <w:rsid w:val="00CC3F4E"/>
    <w:rsid w:val="00CC4267"/>
    <w:rsid w:val="00CC44F8"/>
    <w:rsid w:val="00CC4702"/>
    <w:rsid w:val="00CC4B04"/>
    <w:rsid w:val="00CC4B6E"/>
    <w:rsid w:val="00CC4C79"/>
    <w:rsid w:val="00CC5319"/>
    <w:rsid w:val="00CC65FB"/>
    <w:rsid w:val="00CC6FCF"/>
    <w:rsid w:val="00CC72AC"/>
    <w:rsid w:val="00CC7547"/>
    <w:rsid w:val="00CC799F"/>
    <w:rsid w:val="00CC79D6"/>
    <w:rsid w:val="00CC7E13"/>
    <w:rsid w:val="00CD030B"/>
    <w:rsid w:val="00CD1F7B"/>
    <w:rsid w:val="00CD2073"/>
    <w:rsid w:val="00CD2224"/>
    <w:rsid w:val="00CD27CB"/>
    <w:rsid w:val="00CD336D"/>
    <w:rsid w:val="00CD34E1"/>
    <w:rsid w:val="00CD3A92"/>
    <w:rsid w:val="00CD3BEB"/>
    <w:rsid w:val="00CD3C6A"/>
    <w:rsid w:val="00CD3C71"/>
    <w:rsid w:val="00CD4AFE"/>
    <w:rsid w:val="00CD4F61"/>
    <w:rsid w:val="00CD50A6"/>
    <w:rsid w:val="00CD5941"/>
    <w:rsid w:val="00CD65D1"/>
    <w:rsid w:val="00CD6640"/>
    <w:rsid w:val="00CD6F17"/>
    <w:rsid w:val="00CD7004"/>
    <w:rsid w:val="00CD785C"/>
    <w:rsid w:val="00CD7B41"/>
    <w:rsid w:val="00CD7D20"/>
    <w:rsid w:val="00CE0175"/>
    <w:rsid w:val="00CE027C"/>
    <w:rsid w:val="00CE09DA"/>
    <w:rsid w:val="00CE09F4"/>
    <w:rsid w:val="00CE0C29"/>
    <w:rsid w:val="00CE0EE8"/>
    <w:rsid w:val="00CE1202"/>
    <w:rsid w:val="00CE1298"/>
    <w:rsid w:val="00CE176C"/>
    <w:rsid w:val="00CE180B"/>
    <w:rsid w:val="00CE1999"/>
    <w:rsid w:val="00CE23DE"/>
    <w:rsid w:val="00CE27A9"/>
    <w:rsid w:val="00CE2D9F"/>
    <w:rsid w:val="00CE2E3B"/>
    <w:rsid w:val="00CE3A54"/>
    <w:rsid w:val="00CE41C1"/>
    <w:rsid w:val="00CE4287"/>
    <w:rsid w:val="00CE449F"/>
    <w:rsid w:val="00CE450F"/>
    <w:rsid w:val="00CE4728"/>
    <w:rsid w:val="00CE47F5"/>
    <w:rsid w:val="00CE484E"/>
    <w:rsid w:val="00CE490C"/>
    <w:rsid w:val="00CE49D7"/>
    <w:rsid w:val="00CE4DFF"/>
    <w:rsid w:val="00CE5273"/>
    <w:rsid w:val="00CE52F4"/>
    <w:rsid w:val="00CE5991"/>
    <w:rsid w:val="00CE5B17"/>
    <w:rsid w:val="00CE6401"/>
    <w:rsid w:val="00CE698B"/>
    <w:rsid w:val="00CE6D86"/>
    <w:rsid w:val="00CE70B6"/>
    <w:rsid w:val="00CE767C"/>
    <w:rsid w:val="00CE77B7"/>
    <w:rsid w:val="00CE7BFA"/>
    <w:rsid w:val="00CE7ECC"/>
    <w:rsid w:val="00CF010A"/>
    <w:rsid w:val="00CF067E"/>
    <w:rsid w:val="00CF0951"/>
    <w:rsid w:val="00CF09B8"/>
    <w:rsid w:val="00CF0FA4"/>
    <w:rsid w:val="00CF1478"/>
    <w:rsid w:val="00CF17CF"/>
    <w:rsid w:val="00CF215D"/>
    <w:rsid w:val="00CF219F"/>
    <w:rsid w:val="00CF2551"/>
    <w:rsid w:val="00CF2597"/>
    <w:rsid w:val="00CF2CDB"/>
    <w:rsid w:val="00CF2FD4"/>
    <w:rsid w:val="00CF332E"/>
    <w:rsid w:val="00CF338C"/>
    <w:rsid w:val="00CF35F0"/>
    <w:rsid w:val="00CF3CC3"/>
    <w:rsid w:val="00CF3D17"/>
    <w:rsid w:val="00CF421C"/>
    <w:rsid w:val="00CF4231"/>
    <w:rsid w:val="00CF472A"/>
    <w:rsid w:val="00CF4EBE"/>
    <w:rsid w:val="00CF4F55"/>
    <w:rsid w:val="00CF53FE"/>
    <w:rsid w:val="00CF5412"/>
    <w:rsid w:val="00CF5922"/>
    <w:rsid w:val="00CF5C39"/>
    <w:rsid w:val="00CF6176"/>
    <w:rsid w:val="00CF65E2"/>
    <w:rsid w:val="00CF69E0"/>
    <w:rsid w:val="00CF6A81"/>
    <w:rsid w:val="00CF74E6"/>
    <w:rsid w:val="00CF7863"/>
    <w:rsid w:val="00CF7B44"/>
    <w:rsid w:val="00CF7C2D"/>
    <w:rsid w:val="00D002AA"/>
    <w:rsid w:val="00D005D1"/>
    <w:rsid w:val="00D009BE"/>
    <w:rsid w:val="00D009CE"/>
    <w:rsid w:val="00D00A70"/>
    <w:rsid w:val="00D00DF8"/>
    <w:rsid w:val="00D00E9A"/>
    <w:rsid w:val="00D01057"/>
    <w:rsid w:val="00D0165E"/>
    <w:rsid w:val="00D01690"/>
    <w:rsid w:val="00D01D6E"/>
    <w:rsid w:val="00D03577"/>
    <w:rsid w:val="00D046A0"/>
    <w:rsid w:val="00D0498A"/>
    <w:rsid w:val="00D04B0F"/>
    <w:rsid w:val="00D05356"/>
    <w:rsid w:val="00D05688"/>
    <w:rsid w:val="00D059CD"/>
    <w:rsid w:val="00D05B98"/>
    <w:rsid w:val="00D05C0F"/>
    <w:rsid w:val="00D06568"/>
    <w:rsid w:val="00D06E84"/>
    <w:rsid w:val="00D07853"/>
    <w:rsid w:val="00D07AD2"/>
    <w:rsid w:val="00D07B9F"/>
    <w:rsid w:val="00D07DFE"/>
    <w:rsid w:val="00D07EFB"/>
    <w:rsid w:val="00D1006A"/>
    <w:rsid w:val="00D103A7"/>
    <w:rsid w:val="00D103AC"/>
    <w:rsid w:val="00D103FD"/>
    <w:rsid w:val="00D11246"/>
    <w:rsid w:val="00D1190D"/>
    <w:rsid w:val="00D11A0B"/>
    <w:rsid w:val="00D11C73"/>
    <w:rsid w:val="00D11D0A"/>
    <w:rsid w:val="00D12068"/>
    <w:rsid w:val="00D12153"/>
    <w:rsid w:val="00D12364"/>
    <w:rsid w:val="00D12DFB"/>
    <w:rsid w:val="00D13238"/>
    <w:rsid w:val="00D1349B"/>
    <w:rsid w:val="00D135D3"/>
    <w:rsid w:val="00D139D7"/>
    <w:rsid w:val="00D13BA2"/>
    <w:rsid w:val="00D146E4"/>
    <w:rsid w:val="00D1484B"/>
    <w:rsid w:val="00D14A05"/>
    <w:rsid w:val="00D14E31"/>
    <w:rsid w:val="00D14EB6"/>
    <w:rsid w:val="00D14FD8"/>
    <w:rsid w:val="00D15FFA"/>
    <w:rsid w:val="00D163B7"/>
    <w:rsid w:val="00D1647E"/>
    <w:rsid w:val="00D16D60"/>
    <w:rsid w:val="00D173BC"/>
    <w:rsid w:val="00D17F2E"/>
    <w:rsid w:val="00D2078A"/>
    <w:rsid w:val="00D20E35"/>
    <w:rsid w:val="00D21111"/>
    <w:rsid w:val="00D21D4E"/>
    <w:rsid w:val="00D22D6F"/>
    <w:rsid w:val="00D2326A"/>
    <w:rsid w:val="00D23D5E"/>
    <w:rsid w:val="00D23F5E"/>
    <w:rsid w:val="00D24092"/>
    <w:rsid w:val="00D240DA"/>
    <w:rsid w:val="00D246B2"/>
    <w:rsid w:val="00D24B8B"/>
    <w:rsid w:val="00D24BAA"/>
    <w:rsid w:val="00D24C6B"/>
    <w:rsid w:val="00D24CBB"/>
    <w:rsid w:val="00D25449"/>
    <w:rsid w:val="00D25540"/>
    <w:rsid w:val="00D25852"/>
    <w:rsid w:val="00D25CDC"/>
    <w:rsid w:val="00D25DD9"/>
    <w:rsid w:val="00D26654"/>
    <w:rsid w:val="00D26A03"/>
    <w:rsid w:val="00D26F89"/>
    <w:rsid w:val="00D27055"/>
    <w:rsid w:val="00D2751E"/>
    <w:rsid w:val="00D27CA0"/>
    <w:rsid w:val="00D30344"/>
    <w:rsid w:val="00D30763"/>
    <w:rsid w:val="00D3150E"/>
    <w:rsid w:val="00D31CF6"/>
    <w:rsid w:val="00D31E57"/>
    <w:rsid w:val="00D32010"/>
    <w:rsid w:val="00D3267E"/>
    <w:rsid w:val="00D32A21"/>
    <w:rsid w:val="00D33001"/>
    <w:rsid w:val="00D331A2"/>
    <w:rsid w:val="00D33A16"/>
    <w:rsid w:val="00D33A96"/>
    <w:rsid w:val="00D33AE8"/>
    <w:rsid w:val="00D3457E"/>
    <w:rsid w:val="00D348CD"/>
    <w:rsid w:val="00D3531D"/>
    <w:rsid w:val="00D3537A"/>
    <w:rsid w:val="00D354CE"/>
    <w:rsid w:val="00D35C67"/>
    <w:rsid w:val="00D35F06"/>
    <w:rsid w:val="00D361EE"/>
    <w:rsid w:val="00D362BF"/>
    <w:rsid w:val="00D36659"/>
    <w:rsid w:val="00D36E4C"/>
    <w:rsid w:val="00D36F11"/>
    <w:rsid w:val="00D3719C"/>
    <w:rsid w:val="00D40389"/>
    <w:rsid w:val="00D403AF"/>
    <w:rsid w:val="00D40546"/>
    <w:rsid w:val="00D40B97"/>
    <w:rsid w:val="00D40DE0"/>
    <w:rsid w:val="00D40F17"/>
    <w:rsid w:val="00D41F37"/>
    <w:rsid w:val="00D4293D"/>
    <w:rsid w:val="00D42C10"/>
    <w:rsid w:val="00D430F5"/>
    <w:rsid w:val="00D43397"/>
    <w:rsid w:val="00D44088"/>
    <w:rsid w:val="00D4459B"/>
    <w:rsid w:val="00D44989"/>
    <w:rsid w:val="00D44D12"/>
    <w:rsid w:val="00D452FB"/>
    <w:rsid w:val="00D45D2E"/>
    <w:rsid w:val="00D464EF"/>
    <w:rsid w:val="00D4697D"/>
    <w:rsid w:val="00D4711D"/>
    <w:rsid w:val="00D472B7"/>
    <w:rsid w:val="00D477A6"/>
    <w:rsid w:val="00D47A22"/>
    <w:rsid w:val="00D47C63"/>
    <w:rsid w:val="00D47D60"/>
    <w:rsid w:val="00D47DD5"/>
    <w:rsid w:val="00D5028B"/>
    <w:rsid w:val="00D502B6"/>
    <w:rsid w:val="00D5079D"/>
    <w:rsid w:val="00D509F0"/>
    <w:rsid w:val="00D50A65"/>
    <w:rsid w:val="00D50DCC"/>
    <w:rsid w:val="00D51740"/>
    <w:rsid w:val="00D519C7"/>
    <w:rsid w:val="00D52872"/>
    <w:rsid w:val="00D5323F"/>
    <w:rsid w:val="00D53325"/>
    <w:rsid w:val="00D534AF"/>
    <w:rsid w:val="00D5375D"/>
    <w:rsid w:val="00D53774"/>
    <w:rsid w:val="00D53894"/>
    <w:rsid w:val="00D54534"/>
    <w:rsid w:val="00D549D4"/>
    <w:rsid w:val="00D55198"/>
    <w:rsid w:val="00D5592B"/>
    <w:rsid w:val="00D55992"/>
    <w:rsid w:val="00D55B2E"/>
    <w:rsid w:val="00D568DB"/>
    <w:rsid w:val="00D56C84"/>
    <w:rsid w:val="00D56D03"/>
    <w:rsid w:val="00D56F79"/>
    <w:rsid w:val="00D57038"/>
    <w:rsid w:val="00D57349"/>
    <w:rsid w:val="00D576BF"/>
    <w:rsid w:val="00D5793A"/>
    <w:rsid w:val="00D579E1"/>
    <w:rsid w:val="00D60407"/>
    <w:rsid w:val="00D605B3"/>
    <w:rsid w:val="00D60763"/>
    <w:rsid w:val="00D60D99"/>
    <w:rsid w:val="00D61111"/>
    <w:rsid w:val="00D6142D"/>
    <w:rsid w:val="00D618FC"/>
    <w:rsid w:val="00D61C27"/>
    <w:rsid w:val="00D6207E"/>
    <w:rsid w:val="00D62161"/>
    <w:rsid w:val="00D621C5"/>
    <w:rsid w:val="00D62949"/>
    <w:rsid w:val="00D629C2"/>
    <w:rsid w:val="00D62E2E"/>
    <w:rsid w:val="00D62FD1"/>
    <w:rsid w:val="00D6311A"/>
    <w:rsid w:val="00D6317A"/>
    <w:rsid w:val="00D6323A"/>
    <w:rsid w:val="00D6419F"/>
    <w:rsid w:val="00D64836"/>
    <w:rsid w:val="00D64A18"/>
    <w:rsid w:val="00D65FAF"/>
    <w:rsid w:val="00D6703A"/>
    <w:rsid w:val="00D672D0"/>
    <w:rsid w:val="00D6742F"/>
    <w:rsid w:val="00D67450"/>
    <w:rsid w:val="00D679FB"/>
    <w:rsid w:val="00D67CE5"/>
    <w:rsid w:val="00D70002"/>
    <w:rsid w:val="00D70340"/>
    <w:rsid w:val="00D703AB"/>
    <w:rsid w:val="00D704E6"/>
    <w:rsid w:val="00D707D5"/>
    <w:rsid w:val="00D709BF"/>
    <w:rsid w:val="00D70BF1"/>
    <w:rsid w:val="00D70CBE"/>
    <w:rsid w:val="00D713C4"/>
    <w:rsid w:val="00D71512"/>
    <w:rsid w:val="00D71517"/>
    <w:rsid w:val="00D71B76"/>
    <w:rsid w:val="00D72195"/>
    <w:rsid w:val="00D7241F"/>
    <w:rsid w:val="00D7290B"/>
    <w:rsid w:val="00D72A1B"/>
    <w:rsid w:val="00D72FB3"/>
    <w:rsid w:val="00D736C5"/>
    <w:rsid w:val="00D7371D"/>
    <w:rsid w:val="00D73D04"/>
    <w:rsid w:val="00D740D4"/>
    <w:rsid w:val="00D7440A"/>
    <w:rsid w:val="00D75767"/>
    <w:rsid w:val="00D75D06"/>
    <w:rsid w:val="00D75E46"/>
    <w:rsid w:val="00D76C26"/>
    <w:rsid w:val="00D777A4"/>
    <w:rsid w:val="00D77DEB"/>
    <w:rsid w:val="00D77E3B"/>
    <w:rsid w:val="00D77FB7"/>
    <w:rsid w:val="00D804A0"/>
    <w:rsid w:val="00D80843"/>
    <w:rsid w:val="00D8089E"/>
    <w:rsid w:val="00D80ADE"/>
    <w:rsid w:val="00D819A7"/>
    <w:rsid w:val="00D828E4"/>
    <w:rsid w:val="00D82D96"/>
    <w:rsid w:val="00D8311F"/>
    <w:rsid w:val="00D8330A"/>
    <w:rsid w:val="00D8366A"/>
    <w:rsid w:val="00D83BE3"/>
    <w:rsid w:val="00D84587"/>
    <w:rsid w:val="00D84CCB"/>
    <w:rsid w:val="00D84F96"/>
    <w:rsid w:val="00D85134"/>
    <w:rsid w:val="00D8543C"/>
    <w:rsid w:val="00D85469"/>
    <w:rsid w:val="00D85CCB"/>
    <w:rsid w:val="00D863F3"/>
    <w:rsid w:val="00D864DD"/>
    <w:rsid w:val="00D86733"/>
    <w:rsid w:val="00D870CC"/>
    <w:rsid w:val="00D8760D"/>
    <w:rsid w:val="00D87A5D"/>
    <w:rsid w:val="00D87D0E"/>
    <w:rsid w:val="00D9044F"/>
    <w:rsid w:val="00D90785"/>
    <w:rsid w:val="00D909CB"/>
    <w:rsid w:val="00D90BAD"/>
    <w:rsid w:val="00D90FC6"/>
    <w:rsid w:val="00D91358"/>
    <w:rsid w:val="00D91BE4"/>
    <w:rsid w:val="00D92532"/>
    <w:rsid w:val="00D92AB8"/>
    <w:rsid w:val="00D92F91"/>
    <w:rsid w:val="00D93173"/>
    <w:rsid w:val="00D937BC"/>
    <w:rsid w:val="00D93FD1"/>
    <w:rsid w:val="00D94461"/>
    <w:rsid w:val="00D94A66"/>
    <w:rsid w:val="00D94E3B"/>
    <w:rsid w:val="00D958A3"/>
    <w:rsid w:val="00D961ED"/>
    <w:rsid w:val="00D96B19"/>
    <w:rsid w:val="00D96BA1"/>
    <w:rsid w:val="00DA0A7F"/>
    <w:rsid w:val="00DA0B55"/>
    <w:rsid w:val="00DA0C18"/>
    <w:rsid w:val="00DA0CBA"/>
    <w:rsid w:val="00DA1544"/>
    <w:rsid w:val="00DA1555"/>
    <w:rsid w:val="00DA17C5"/>
    <w:rsid w:val="00DA1A11"/>
    <w:rsid w:val="00DA1FCC"/>
    <w:rsid w:val="00DA27D9"/>
    <w:rsid w:val="00DA2EB0"/>
    <w:rsid w:val="00DA30C9"/>
    <w:rsid w:val="00DA32FB"/>
    <w:rsid w:val="00DA3556"/>
    <w:rsid w:val="00DA4005"/>
    <w:rsid w:val="00DA4660"/>
    <w:rsid w:val="00DA471D"/>
    <w:rsid w:val="00DA565B"/>
    <w:rsid w:val="00DA5693"/>
    <w:rsid w:val="00DA5C33"/>
    <w:rsid w:val="00DA620A"/>
    <w:rsid w:val="00DA6460"/>
    <w:rsid w:val="00DA6B4B"/>
    <w:rsid w:val="00DA710B"/>
    <w:rsid w:val="00DA71FD"/>
    <w:rsid w:val="00DA749E"/>
    <w:rsid w:val="00DA75B6"/>
    <w:rsid w:val="00DA7788"/>
    <w:rsid w:val="00DB00C7"/>
    <w:rsid w:val="00DB00D1"/>
    <w:rsid w:val="00DB00F3"/>
    <w:rsid w:val="00DB03BB"/>
    <w:rsid w:val="00DB0445"/>
    <w:rsid w:val="00DB07A7"/>
    <w:rsid w:val="00DB09A9"/>
    <w:rsid w:val="00DB09D1"/>
    <w:rsid w:val="00DB0BAD"/>
    <w:rsid w:val="00DB0F6F"/>
    <w:rsid w:val="00DB0FC4"/>
    <w:rsid w:val="00DB136E"/>
    <w:rsid w:val="00DB1A52"/>
    <w:rsid w:val="00DB1C47"/>
    <w:rsid w:val="00DB1CA6"/>
    <w:rsid w:val="00DB2236"/>
    <w:rsid w:val="00DB2453"/>
    <w:rsid w:val="00DB2486"/>
    <w:rsid w:val="00DB2B85"/>
    <w:rsid w:val="00DB431C"/>
    <w:rsid w:val="00DB45DC"/>
    <w:rsid w:val="00DB471A"/>
    <w:rsid w:val="00DB4855"/>
    <w:rsid w:val="00DB5840"/>
    <w:rsid w:val="00DB5975"/>
    <w:rsid w:val="00DB599A"/>
    <w:rsid w:val="00DB5AC6"/>
    <w:rsid w:val="00DB5C99"/>
    <w:rsid w:val="00DB5DE9"/>
    <w:rsid w:val="00DB5E3F"/>
    <w:rsid w:val="00DB7213"/>
    <w:rsid w:val="00DB74A0"/>
    <w:rsid w:val="00DB76B6"/>
    <w:rsid w:val="00DB7BC3"/>
    <w:rsid w:val="00DB7E6C"/>
    <w:rsid w:val="00DC0106"/>
    <w:rsid w:val="00DC0282"/>
    <w:rsid w:val="00DC035F"/>
    <w:rsid w:val="00DC03AE"/>
    <w:rsid w:val="00DC0CE4"/>
    <w:rsid w:val="00DC0E00"/>
    <w:rsid w:val="00DC0E73"/>
    <w:rsid w:val="00DC1278"/>
    <w:rsid w:val="00DC1290"/>
    <w:rsid w:val="00DC1792"/>
    <w:rsid w:val="00DC1A45"/>
    <w:rsid w:val="00DC1ABA"/>
    <w:rsid w:val="00DC2549"/>
    <w:rsid w:val="00DC2A4B"/>
    <w:rsid w:val="00DC2CB5"/>
    <w:rsid w:val="00DC2CE1"/>
    <w:rsid w:val="00DC3054"/>
    <w:rsid w:val="00DC34D8"/>
    <w:rsid w:val="00DC374D"/>
    <w:rsid w:val="00DC3CAC"/>
    <w:rsid w:val="00DC3F07"/>
    <w:rsid w:val="00DC468C"/>
    <w:rsid w:val="00DC491E"/>
    <w:rsid w:val="00DC4D69"/>
    <w:rsid w:val="00DC586D"/>
    <w:rsid w:val="00DC5C55"/>
    <w:rsid w:val="00DC6383"/>
    <w:rsid w:val="00DC638E"/>
    <w:rsid w:val="00DC7DD1"/>
    <w:rsid w:val="00DC7E98"/>
    <w:rsid w:val="00DD0AE8"/>
    <w:rsid w:val="00DD0B78"/>
    <w:rsid w:val="00DD1924"/>
    <w:rsid w:val="00DD1E81"/>
    <w:rsid w:val="00DD1F52"/>
    <w:rsid w:val="00DD2273"/>
    <w:rsid w:val="00DD23B8"/>
    <w:rsid w:val="00DD24BC"/>
    <w:rsid w:val="00DD2622"/>
    <w:rsid w:val="00DD2732"/>
    <w:rsid w:val="00DD2E0F"/>
    <w:rsid w:val="00DD333F"/>
    <w:rsid w:val="00DD47C8"/>
    <w:rsid w:val="00DD4840"/>
    <w:rsid w:val="00DD4AB8"/>
    <w:rsid w:val="00DD4ADB"/>
    <w:rsid w:val="00DD4E4D"/>
    <w:rsid w:val="00DD5187"/>
    <w:rsid w:val="00DD548C"/>
    <w:rsid w:val="00DD589B"/>
    <w:rsid w:val="00DD5DF0"/>
    <w:rsid w:val="00DD600C"/>
    <w:rsid w:val="00DD6429"/>
    <w:rsid w:val="00DD6448"/>
    <w:rsid w:val="00DD648C"/>
    <w:rsid w:val="00DD6792"/>
    <w:rsid w:val="00DD68D3"/>
    <w:rsid w:val="00DD6AF9"/>
    <w:rsid w:val="00DD6B8E"/>
    <w:rsid w:val="00DD6BC5"/>
    <w:rsid w:val="00DD724D"/>
    <w:rsid w:val="00DD79FD"/>
    <w:rsid w:val="00DD7AA7"/>
    <w:rsid w:val="00DE00E0"/>
    <w:rsid w:val="00DE059B"/>
    <w:rsid w:val="00DE0CDC"/>
    <w:rsid w:val="00DE0D8B"/>
    <w:rsid w:val="00DE101F"/>
    <w:rsid w:val="00DE1099"/>
    <w:rsid w:val="00DE157E"/>
    <w:rsid w:val="00DE1753"/>
    <w:rsid w:val="00DE1B53"/>
    <w:rsid w:val="00DE23DB"/>
    <w:rsid w:val="00DE2A58"/>
    <w:rsid w:val="00DE2B59"/>
    <w:rsid w:val="00DE350F"/>
    <w:rsid w:val="00DE3AD3"/>
    <w:rsid w:val="00DE469E"/>
    <w:rsid w:val="00DE4918"/>
    <w:rsid w:val="00DE4AB1"/>
    <w:rsid w:val="00DE4BDC"/>
    <w:rsid w:val="00DE4CAD"/>
    <w:rsid w:val="00DE5329"/>
    <w:rsid w:val="00DE61EF"/>
    <w:rsid w:val="00DE69D2"/>
    <w:rsid w:val="00DE6C46"/>
    <w:rsid w:val="00DE6E4F"/>
    <w:rsid w:val="00DE737A"/>
    <w:rsid w:val="00DE77B8"/>
    <w:rsid w:val="00DF013E"/>
    <w:rsid w:val="00DF0351"/>
    <w:rsid w:val="00DF041A"/>
    <w:rsid w:val="00DF0A50"/>
    <w:rsid w:val="00DF0B4A"/>
    <w:rsid w:val="00DF0CC7"/>
    <w:rsid w:val="00DF13EC"/>
    <w:rsid w:val="00DF1568"/>
    <w:rsid w:val="00DF19B6"/>
    <w:rsid w:val="00DF1F27"/>
    <w:rsid w:val="00DF28EF"/>
    <w:rsid w:val="00DF2A08"/>
    <w:rsid w:val="00DF33C2"/>
    <w:rsid w:val="00DF3707"/>
    <w:rsid w:val="00DF3D64"/>
    <w:rsid w:val="00DF4196"/>
    <w:rsid w:val="00DF444D"/>
    <w:rsid w:val="00DF4A3D"/>
    <w:rsid w:val="00DF4CB7"/>
    <w:rsid w:val="00DF5385"/>
    <w:rsid w:val="00DF5687"/>
    <w:rsid w:val="00DF57EE"/>
    <w:rsid w:val="00DF586D"/>
    <w:rsid w:val="00DF58D6"/>
    <w:rsid w:val="00DF59DF"/>
    <w:rsid w:val="00DF5B5A"/>
    <w:rsid w:val="00DF6A07"/>
    <w:rsid w:val="00DF6D91"/>
    <w:rsid w:val="00DF7057"/>
    <w:rsid w:val="00DF712E"/>
    <w:rsid w:val="00DF7633"/>
    <w:rsid w:val="00DF76CD"/>
    <w:rsid w:val="00DF76FC"/>
    <w:rsid w:val="00DF7DF6"/>
    <w:rsid w:val="00E00205"/>
    <w:rsid w:val="00E009AF"/>
    <w:rsid w:val="00E009ED"/>
    <w:rsid w:val="00E02083"/>
    <w:rsid w:val="00E02146"/>
    <w:rsid w:val="00E02189"/>
    <w:rsid w:val="00E02F87"/>
    <w:rsid w:val="00E0302A"/>
    <w:rsid w:val="00E03072"/>
    <w:rsid w:val="00E0348A"/>
    <w:rsid w:val="00E03D0A"/>
    <w:rsid w:val="00E03DE1"/>
    <w:rsid w:val="00E05704"/>
    <w:rsid w:val="00E057F7"/>
    <w:rsid w:val="00E059AF"/>
    <w:rsid w:val="00E05CA5"/>
    <w:rsid w:val="00E05EFD"/>
    <w:rsid w:val="00E06E86"/>
    <w:rsid w:val="00E07D12"/>
    <w:rsid w:val="00E07E62"/>
    <w:rsid w:val="00E07EE3"/>
    <w:rsid w:val="00E07F9D"/>
    <w:rsid w:val="00E10501"/>
    <w:rsid w:val="00E106B0"/>
    <w:rsid w:val="00E10DE6"/>
    <w:rsid w:val="00E1200D"/>
    <w:rsid w:val="00E12302"/>
    <w:rsid w:val="00E124E5"/>
    <w:rsid w:val="00E126AE"/>
    <w:rsid w:val="00E12E40"/>
    <w:rsid w:val="00E133B0"/>
    <w:rsid w:val="00E139C6"/>
    <w:rsid w:val="00E13D7F"/>
    <w:rsid w:val="00E14967"/>
    <w:rsid w:val="00E14D71"/>
    <w:rsid w:val="00E14F07"/>
    <w:rsid w:val="00E15256"/>
    <w:rsid w:val="00E1535A"/>
    <w:rsid w:val="00E162B8"/>
    <w:rsid w:val="00E16999"/>
    <w:rsid w:val="00E16E69"/>
    <w:rsid w:val="00E16FCB"/>
    <w:rsid w:val="00E16FFA"/>
    <w:rsid w:val="00E171F1"/>
    <w:rsid w:val="00E17CBC"/>
    <w:rsid w:val="00E208E6"/>
    <w:rsid w:val="00E209F5"/>
    <w:rsid w:val="00E218E8"/>
    <w:rsid w:val="00E222AE"/>
    <w:rsid w:val="00E224EA"/>
    <w:rsid w:val="00E22649"/>
    <w:rsid w:val="00E22B38"/>
    <w:rsid w:val="00E22E7E"/>
    <w:rsid w:val="00E22FF7"/>
    <w:rsid w:val="00E23188"/>
    <w:rsid w:val="00E23287"/>
    <w:rsid w:val="00E24065"/>
    <w:rsid w:val="00E2420B"/>
    <w:rsid w:val="00E24397"/>
    <w:rsid w:val="00E247E3"/>
    <w:rsid w:val="00E24872"/>
    <w:rsid w:val="00E24BCC"/>
    <w:rsid w:val="00E25003"/>
    <w:rsid w:val="00E2532C"/>
    <w:rsid w:val="00E25826"/>
    <w:rsid w:val="00E2622D"/>
    <w:rsid w:val="00E26844"/>
    <w:rsid w:val="00E2697F"/>
    <w:rsid w:val="00E271EA"/>
    <w:rsid w:val="00E278AA"/>
    <w:rsid w:val="00E27927"/>
    <w:rsid w:val="00E27B50"/>
    <w:rsid w:val="00E27C78"/>
    <w:rsid w:val="00E30678"/>
    <w:rsid w:val="00E30F23"/>
    <w:rsid w:val="00E311A2"/>
    <w:rsid w:val="00E31404"/>
    <w:rsid w:val="00E32489"/>
    <w:rsid w:val="00E327F1"/>
    <w:rsid w:val="00E335F2"/>
    <w:rsid w:val="00E33607"/>
    <w:rsid w:val="00E33647"/>
    <w:rsid w:val="00E342FF"/>
    <w:rsid w:val="00E34981"/>
    <w:rsid w:val="00E34C01"/>
    <w:rsid w:val="00E34DA5"/>
    <w:rsid w:val="00E34F7D"/>
    <w:rsid w:val="00E356BF"/>
    <w:rsid w:val="00E36100"/>
    <w:rsid w:val="00E3661E"/>
    <w:rsid w:val="00E366A7"/>
    <w:rsid w:val="00E37C13"/>
    <w:rsid w:val="00E400C7"/>
    <w:rsid w:val="00E400EB"/>
    <w:rsid w:val="00E4011F"/>
    <w:rsid w:val="00E40413"/>
    <w:rsid w:val="00E404E1"/>
    <w:rsid w:val="00E40878"/>
    <w:rsid w:val="00E409A7"/>
    <w:rsid w:val="00E40F45"/>
    <w:rsid w:val="00E416D9"/>
    <w:rsid w:val="00E417E7"/>
    <w:rsid w:val="00E41A3C"/>
    <w:rsid w:val="00E41FF8"/>
    <w:rsid w:val="00E425FF"/>
    <w:rsid w:val="00E42B6A"/>
    <w:rsid w:val="00E439D7"/>
    <w:rsid w:val="00E43E7E"/>
    <w:rsid w:val="00E43F8C"/>
    <w:rsid w:val="00E446DF"/>
    <w:rsid w:val="00E44D2D"/>
    <w:rsid w:val="00E44D3C"/>
    <w:rsid w:val="00E44E22"/>
    <w:rsid w:val="00E450D0"/>
    <w:rsid w:val="00E45A8E"/>
    <w:rsid w:val="00E45B19"/>
    <w:rsid w:val="00E46088"/>
    <w:rsid w:val="00E46311"/>
    <w:rsid w:val="00E46C5A"/>
    <w:rsid w:val="00E47B4D"/>
    <w:rsid w:val="00E500C1"/>
    <w:rsid w:val="00E50181"/>
    <w:rsid w:val="00E502CF"/>
    <w:rsid w:val="00E5098C"/>
    <w:rsid w:val="00E50A38"/>
    <w:rsid w:val="00E50A94"/>
    <w:rsid w:val="00E50D68"/>
    <w:rsid w:val="00E51824"/>
    <w:rsid w:val="00E519BF"/>
    <w:rsid w:val="00E51B50"/>
    <w:rsid w:val="00E51CF8"/>
    <w:rsid w:val="00E528F7"/>
    <w:rsid w:val="00E52C15"/>
    <w:rsid w:val="00E53344"/>
    <w:rsid w:val="00E536E2"/>
    <w:rsid w:val="00E53AAA"/>
    <w:rsid w:val="00E53B76"/>
    <w:rsid w:val="00E53E53"/>
    <w:rsid w:val="00E5415A"/>
    <w:rsid w:val="00E54800"/>
    <w:rsid w:val="00E54F43"/>
    <w:rsid w:val="00E55157"/>
    <w:rsid w:val="00E556B5"/>
    <w:rsid w:val="00E55BD5"/>
    <w:rsid w:val="00E55C10"/>
    <w:rsid w:val="00E55CAC"/>
    <w:rsid w:val="00E55E5D"/>
    <w:rsid w:val="00E577C8"/>
    <w:rsid w:val="00E57F14"/>
    <w:rsid w:val="00E57F1C"/>
    <w:rsid w:val="00E60D16"/>
    <w:rsid w:val="00E60EAE"/>
    <w:rsid w:val="00E60F6B"/>
    <w:rsid w:val="00E611ED"/>
    <w:rsid w:val="00E61987"/>
    <w:rsid w:val="00E61D52"/>
    <w:rsid w:val="00E620EE"/>
    <w:rsid w:val="00E62476"/>
    <w:rsid w:val="00E6269F"/>
    <w:rsid w:val="00E62824"/>
    <w:rsid w:val="00E62DDC"/>
    <w:rsid w:val="00E62FE2"/>
    <w:rsid w:val="00E63A6B"/>
    <w:rsid w:val="00E64052"/>
    <w:rsid w:val="00E64217"/>
    <w:rsid w:val="00E649DC"/>
    <w:rsid w:val="00E65AC0"/>
    <w:rsid w:val="00E65BBF"/>
    <w:rsid w:val="00E65DA7"/>
    <w:rsid w:val="00E65DFD"/>
    <w:rsid w:val="00E66A6F"/>
    <w:rsid w:val="00E66AC0"/>
    <w:rsid w:val="00E700F1"/>
    <w:rsid w:val="00E70716"/>
    <w:rsid w:val="00E70DE4"/>
    <w:rsid w:val="00E71200"/>
    <w:rsid w:val="00E71723"/>
    <w:rsid w:val="00E71B00"/>
    <w:rsid w:val="00E71B48"/>
    <w:rsid w:val="00E72384"/>
    <w:rsid w:val="00E7243E"/>
    <w:rsid w:val="00E72D3F"/>
    <w:rsid w:val="00E7376D"/>
    <w:rsid w:val="00E73AF5"/>
    <w:rsid w:val="00E73B1E"/>
    <w:rsid w:val="00E73E64"/>
    <w:rsid w:val="00E74078"/>
    <w:rsid w:val="00E74727"/>
    <w:rsid w:val="00E748BB"/>
    <w:rsid w:val="00E74AB8"/>
    <w:rsid w:val="00E74C06"/>
    <w:rsid w:val="00E75738"/>
    <w:rsid w:val="00E75FFB"/>
    <w:rsid w:val="00E76A33"/>
    <w:rsid w:val="00E76C60"/>
    <w:rsid w:val="00E773C8"/>
    <w:rsid w:val="00E802A4"/>
    <w:rsid w:val="00E8073D"/>
    <w:rsid w:val="00E80F1C"/>
    <w:rsid w:val="00E8171B"/>
    <w:rsid w:val="00E81DC7"/>
    <w:rsid w:val="00E821EB"/>
    <w:rsid w:val="00E82580"/>
    <w:rsid w:val="00E82911"/>
    <w:rsid w:val="00E82987"/>
    <w:rsid w:val="00E8364D"/>
    <w:rsid w:val="00E8409E"/>
    <w:rsid w:val="00E84822"/>
    <w:rsid w:val="00E849CD"/>
    <w:rsid w:val="00E849E7"/>
    <w:rsid w:val="00E84A73"/>
    <w:rsid w:val="00E84E80"/>
    <w:rsid w:val="00E85451"/>
    <w:rsid w:val="00E85466"/>
    <w:rsid w:val="00E85571"/>
    <w:rsid w:val="00E86056"/>
    <w:rsid w:val="00E8681A"/>
    <w:rsid w:val="00E87251"/>
    <w:rsid w:val="00E87600"/>
    <w:rsid w:val="00E87E6D"/>
    <w:rsid w:val="00E90290"/>
    <w:rsid w:val="00E90A92"/>
    <w:rsid w:val="00E90C58"/>
    <w:rsid w:val="00E90FCA"/>
    <w:rsid w:val="00E91123"/>
    <w:rsid w:val="00E9142E"/>
    <w:rsid w:val="00E91566"/>
    <w:rsid w:val="00E91843"/>
    <w:rsid w:val="00E918F7"/>
    <w:rsid w:val="00E91F32"/>
    <w:rsid w:val="00E91F61"/>
    <w:rsid w:val="00E91F6A"/>
    <w:rsid w:val="00E92753"/>
    <w:rsid w:val="00E92B66"/>
    <w:rsid w:val="00E92C8E"/>
    <w:rsid w:val="00E92DE3"/>
    <w:rsid w:val="00E92DE7"/>
    <w:rsid w:val="00E92EF0"/>
    <w:rsid w:val="00E938FB"/>
    <w:rsid w:val="00E93A45"/>
    <w:rsid w:val="00E93D46"/>
    <w:rsid w:val="00E93E19"/>
    <w:rsid w:val="00E945CC"/>
    <w:rsid w:val="00E94D4E"/>
    <w:rsid w:val="00E953C5"/>
    <w:rsid w:val="00E9557F"/>
    <w:rsid w:val="00E95585"/>
    <w:rsid w:val="00E95FB3"/>
    <w:rsid w:val="00E96227"/>
    <w:rsid w:val="00E96305"/>
    <w:rsid w:val="00E96346"/>
    <w:rsid w:val="00E965A7"/>
    <w:rsid w:val="00E9670E"/>
    <w:rsid w:val="00E96CF9"/>
    <w:rsid w:val="00E976F5"/>
    <w:rsid w:val="00E97BB0"/>
    <w:rsid w:val="00EA0279"/>
    <w:rsid w:val="00EA03B6"/>
    <w:rsid w:val="00EA06C1"/>
    <w:rsid w:val="00EA0D2F"/>
    <w:rsid w:val="00EA0EC4"/>
    <w:rsid w:val="00EA10C6"/>
    <w:rsid w:val="00EA13A5"/>
    <w:rsid w:val="00EA1C0D"/>
    <w:rsid w:val="00EA1F28"/>
    <w:rsid w:val="00EA23D3"/>
    <w:rsid w:val="00EA2583"/>
    <w:rsid w:val="00EA2B32"/>
    <w:rsid w:val="00EA39D3"/>
    <w:rsid w:val="00EA418D"/>
    <w:rsid w:val="00EA4742"/>
    <w:rsid w:val="00EA47F9"/>
    <w:rsid w:val="00EA4DE9"/>
    <w:rsid w:val="00EA4E0C"/>
    <w:rsid w:val="00EA4ED8"/>
    <w:rsid w:val="00EA513C"/>
    <w:rsid w:val="00EA5715"/>
    <w:rsid w:val="00EA57E0"/>
    <w:rsid w:val="00EA5971"/>
    <w:rsid w:val="00EA59E6"/>
    <w:rsid w:val="00EA5C8A"/>
    <w:rsid w:val="00EA63DD"/>
    <w:rsid w:val="00EA63F9"/>
    <w:rsid w:val="00EA662C"/>
    <w:rsid w:val="00EA7A2B"/>
    <w:rsid w:val="00EB0C6D"/>
    <w:rsid w:val="00EB0CE7"/>
    <w:rsid w:val="00EB0F72"/>
    <w:rsid w:val="00EB109F"/>
    <w:rsid w:val="00EB10E1"/>
    <w:rsid w:val="00EB1285"/>
    <w:rsid w:val="00EB1394"/>
    <w:rsid w:val="00EB14EF"/>
    <w:rsid w:val="00EB1CDB"/>
    <w:rsid w:val="00EB1D52"/>
    <w:rsid w:val="00EB2624"/>
    <w:rsid w:val="00EB2C8A"/>
    <w:rsid w:val="00EB2D95"/>
    <w:rsid w:val="00EB2E12"/>
    <w:rsid w:val="00EB3499"/>
    <w:rsid w:val="00EB4737"/>
    <w:rsid w:val="00EB48E2"/>
    <w:rsid w:val="00EB4D1A"/>
    <w:rsid w:val="00EB5404"/>
    <w:rsid w:val="00EB54B1"/>
    <w:rsid w:val="00EB562E"/>
    <w:rsid w:val="00EB5C79"/>
    <w:rsid w:val="00EB5EDB"/>
    <w:rsid w:val="00EB642A"/>
    <w:rsid w:val="00EB6DAC"/>
    <w:rsid w:val="00EB6E25"/>
    <w:rsid w:val="00EB7406"/>
    <w:rsid w:val="00EB7BD6"/>
    <w:rsid w:val="00EC0488"/>
    <w:rsid w:val="00EC079C"/>
    <w:rsid w:val="00EC0E69"/>
    <w:rsid w:val="00EC1613"/>
    <w:rsid w:val="00EC1894"/>
    <w:rsid w:val="00EC2104"/>
    <w:rsid w:val="00EC22C1"/>
    <w:rsid w:val="00EC29EA"/>
    <w:rsid w:val="00EC2D0D"/>
    <w:rsid w:val="00EC330B"/>
    <w:rsid w:val="00EC3511"/>
    <w:rsid w:val="00EC4314"/>
    <w:rsid w:val="00EC4725"/>
    <w:rsid w:val="00EC47AD"/>
    <w:rsid w:val="00EC4978"/>
    <w:rsid w:val="00EC4FD2"/>
    <w:rsid w:val="00EC5359"/>
    <w:rsid w:val="00EC5A83"/>
    <w:rsid w:val="00EC5CC0"/>
    <w:rsid w:val="00EC5F23"/>
    <w:rsid w:val="00EC5FEF"/>
    <w:rsid w:val="00EC64A2"/>
    <w:rsid w:val="00EC67AE"/>
    <w:rsid w:val="00EC6972"/>
    <w:rsid w:val="00EC6B9B"/>
    <w:rsid w:val="00EC7468"/>
    <w:rsid w:val="00EC7600"/>
    <w:rsid w:val="00EC7711"/>
    <w:rsid w:val="00EC7F2E"/>
    <w:rsid w:val="00ED128F"/>
    <w:rsid w:val="00ED16B8"/>
    <w:rsid w:val="00ED1AD5"/>
    <w:rsid w:val="00ED2327"/>
    <w:rsid w:val="00ED2D03"/>
    <w:rsid w:val="00ED2FE1"/>
    <w:rsid w:val="00ED31D0"/>
    <w:rsid w:val="00ED3CB4"/>
    <w:rsid w:val="00ED3D27"/>
    <w:rsid w:val="00ED4469"/>
    <w:rsid w:val="00ED44C5"/>
    <w:rsid w:val="00ED4C28"/>
    <w:rsid w:val="00ED4E38"/>
    <w:rsid w:val="00ED5158"/>
    <w:rsid w:val="00ED570A"/>
    <w:rsid w:val="00ED5909"/>
    <w:rsid w:val="00ED5B97"/>
    <w:rsid w:val="00ED5D2F"/>
    <w:rsid w:val="00ED5F1D"/>
    <w:rsid w:val="00ED5F78"/>
    <w:rsid w:val="00ED5FB3"/>
    <w:rsid w:val="00ED61CB"/>
    <w:rsid w:val="00ED65BC"/>
    <w:rsid w:val="00ED6634"/>
    <w:rsid w:val="00ED6716"/>
    <w:rsid w:val="00ED684B"/>
    <w:rsid w:val="00ED6BE7"/>
    <w:rsid w:val="00ED6E9F"/>
    <w:rsid w:val="00ED700E"/>
    <w:rsid w:val="00ED70C5"/>
    <w:rsid w:val="00ED766F"/>
    <w:rsid w:val="00ED7E2E"/>
    <w:rsid w:val="00ED7E81"/>
    <w:rsid w:val="00ED7F64"/>
    <w:rsid w:val="00EE0324"/>
    <w:rsid w:val="00EE06E1"/>
    <w:rsid w:val="00EE07C7"/>
    <w:rsid w:val="00EE07D4"/>
    <w:rsid w:val="00EE0AAF"/>
    <w:rsid w:val="00EE1022"/>
    <w:rsid w:val="00EE1477"/>
    <w:rsid w:val="00EE150C"/>
    <w:rsid w:val="00EE1FCD"/>
    <w:rsid w:val="00EE240E"/>
    <w:rsid w:val="00EE2E56"/>
    <w:rsid w:val="00EE2FDA"/>
    <w:rsid w:val="00EE3277"/>
    <w:rsid w:val="00EE328E"/>
    <w:rsid w:val="00EE3533"/>
    <w:rsid w:val="00EE3A78"/>
    <w:rsid w:val="00EE46C2"/>
    <w:rsid w:val="00EE48BD"/>
    <w:rsid w:val="00EE51C6"/>
    <w:rsid w:val="00EE57A6"/>
    <w:rsid w:val="00EE65E2"/>
    <w:rsid w:val="00EE7431"/>
    <w:rsid w:val="00EE758F"/>
    <w:rsid w:val="00EE7695"/>
    <w:rsid w:val="00EE7855"/>
    <w:rsid w:val="00EE78FE"/>
    <w:rsid w:val="00EE7ABE"/>
    <w:rsid w:val="00EE7C43"/>
    <w:rsid w:val="00EF0323"/>
    <w:rsid w:val="00EF050E"/>
    <w:rsid w:val="00EF0701"/>
    <w:rsid w:val="00EF0D0D"/>
    <w:rsid w:val="00EF0E71"/>
    <w:rsid w:val="00EF0EAC"/>
    <w:rsid w:val="00EF1F86"/>
    <w:rsid w:val="00EF282E"/>
    <w:rsid w:val="00EF2920"/>
    <w:rsid w:val="00EF3728"/>
    <w:rsid w:val="00EF3A1F"/>
    <w:rsid w:val="00EF3E16"/>
    <w:rsid w:val="00EF3E80"/>
    <w:rsid w:val="00EF40F7"/>
    <w:rsid w:val="00EF432B"/>
    <w:rsid w:val="00EF4353"/>
    <w:rsid w:val="00EF4366"/>
    <w:rsid w:val="00EF4581"/>
    <w:rsid w:val="00EF48B1"/>
    <w:rsid w:val="00EF4BA1"/>
    <w:rsid w:val="00EF4ED3"/>
    <w:rsid w:val="00EF54C1"/>
    <w:rsid w:val="00EF5844"/>
    <w:rsid w:val="00EF5DE6"/>
    <w:rsid w:val="00EF5F9B"/>
    <w:rsid w:val="00EF61FF"/>
    <w:rsid w:val="00EF655F"/>
    <w:rsid w:val="00EF66D0"/>
    <w:rsid w:val="00EF68B0"/>
    <w:rsid w:val="00EF6945"/>
    <w:rsid w:val="00EF6957"/>
    <w:rsid w:val="00EF7317"/>
    <w:rsid w:val="00EF76A9"/>
    <w:rsid w:val="00EF7A09"/>
    <w:rsid w:val="00EF7C90"/>
    <w:rsid w:val="00EF7D99"/>
    <w:rsid w:val="00EF7FDA"/>
    <w:rsid w:val="00F00303"/>
    <w:rsid w:val="00F005A7"/>
    <w:rsid w:val="00F008E4"/>
    <w:rsid w:val="00F01145"/>
    <w:rsid w:val="00F015AE"/>
    <w:rsid w:val="00F01610"/>
    <w:rsid w:val="00F01A67"/>
    <w:rsid w:val="00F02523"/>
    <w:rsid w:val="00F02D74"/>
    <w:rsid w:val="00F03365"/>
    <w:rsid w:val="00F0338F"/>
    <w:rsid w:val="00F03648"/>
    <w:rsid w:val="00F03C39"/>
    <w:rsid w:val="00F03F60"/>
    <w:rsid w:val="00F041C8"/>
    <w:rsid w:val="00F04B74"/>
    <w:rsid w:val="00F04D34"/>
    <w:rsid w:val="00F04D66"/>
    <w:rsid w:val="00F050BC"/>
    <w:rsid w:val="00F056C6"/>
    <w:rsid w:val="00F05744"/>
    <w:rsid w:val="00F05C59"/>
    <w:rsid w:val="00F05C9A"/>
    <w:rsid w:val="00F05CCC"/>
    <w:rsid w:val="00F06AD2"/>
    <w:rsid w:val="00F07017"/>
    <w:rsid w:val="00F07962"/>
    <w:rsid w:val="00F07EFF"/>
    <w:rsid w:val="00F10184"/>
    <w:rsid w:val="00F105CA"/>
    <w:rsid w:val="00F11380"/>
    <w:rsid w:val="00F11762"/>
    <w:rsid w:val="00F11E92"/>
    <w:rsid w:val="00F12A1A"/>
    <w:rsid w:val="00F12BCE"/>
    <w:rsid w:val="00F12D5F"/>
    <w:rsid w:val="00F13215"/>
    <w:rsid w:val="00F144D3"/>
    <w:rsid w:val="00F146E3"/>
    <w:rsid w:val="00F149E9"/>
    <w:rsid w:val="00F14F44"/>
    <w:rsid w:val="00F150E5"/>
    <w:rsid w:val="00F1530A"/>
    <w:rsid w:val="00F15534"/>
    <w:rsid w:val="00F1590F"/>
    <w:rsid w:val="00F15D07"/>
    <w:rsid w:val="00F15F6A"/>
    <w:rsid w:val="00F16224"/>
    <w:rsid w:val="00F1633B"/>
    <w:rsid w:val="00F166D2"/>
    <w:rsid w:val="00F16AF8"/>
    <w:rsid w:val="00F16E2D"/>
    <w:rsid w:val="00F2012D"/>
    <w:rsid w:val="00F2031B"/>
    <w:rsid w:val="00F20682"/>
    <w:rsid w:val="00F21800"/>
    <w:rsid w:val="00F21C87"/>
    <w:rsid w:val="00F22AE2"/>
    <w:rsid w:val="00F2319E"/>
    <w:rsid w:val="00F2370F"/>
    <w:rsid w:val="00F23C27"/>
    <w:rsid w:val="00F246B4"/>
    <w:rsid w:val="00F249D3"/>
    <w:rsid w:val="00F255EE"/>
    <w:rsid w:val="00F25883"/>
    <w:rsid w:val="00F26D83"/>
    <w:rsid w:val="00F2768B"/>
    <w:rsid w:val="00F27907"/>
    <w:rsid w:val="00F27AC2"/>
    <w:rsid w:val="00F27BD2"/>
    <w:rsid w:val="00F30178"/>
    <w:rsid w:val="00F3067E"/>
    <w:rsid w:val="00F30A95"/>
    <w:rsid w:val="00F30B6D"/>
    <w:rsid w:val="00F30C27"/>
    <w:rsid w:val="00F31212"/>
    <w:rsid w:val="00F3168A"/>
    <w:rsid w:val="00F323E3"/>
    <w:rsid w:val="00F3296E"/>
    <w:rsid w:val="00F32F95"/>
    <w:rsid w:val="00F33A2A"/>
    <w:rsid w:val="00F3430B"/>
    <w:rsid w:val="00F3455F"/>
    <w:rsid w:val="00F346B3"/>
    <w:rsid w:val="00F3494E"/>
    <w:rsid w:val="00F34FD7"/>
    <w:rsid w:val="00F353CE"/>
    <w:rsid w:val="00F35D96"/>
    <w:rsid w:val="00F36233"/>
    <w:rsid w:val="00F36289"/>
    <w:rsid w:val="00F3639E"/>
    <w:rsid w:val="00F36BEF"/>
    <w:rsid w:val="00F36ED7"/>
    <w:rsid w:val="00F36F3A"/>
    <w:rsid w:val="00F3717D"/>
    <w:rsid w:val="00F372AA"/>
    <w:rsid w:val="00F3763E"/>
    <w:rsid w:val="00F3769E"/>
    <w:rsid w:val="00F378ED"/>
    <w:rsid w:val="00F40068"/>
    <w:rsid w:val="00F4015E"/>
    <w:rsid w:val="00F40191"/>
    <w:rsid w:val="00F40FC2"/>
    <w:rsid w:val="00F4178A"/>
    <w:rsid w:val="00F418C3"/>
    <w:rsid w:val="00F41AE1"/>
    <w:rsid w:val="00F41BD1"/>
    <w:rsid w:val="00F4216F"/>
    <w:rsid w:val="00F421C0"/>
    <w:rsid w:val="00F42222"/>
    <w:rsid w:val="00F4225B"/>
    <w:rsid w:val="00F4236A"/>
    <w:rsid w:val="00F427A5"/>
    <w:rsid w:val="00F43E61"/>
    <w:rsid w:val="00F441C9"/>
    <w:rsid w:val="00F443D1"/>
    <w:rsid w:val="00F446E9"/>
    <w:rsid w:val="00F455F0"/>
    <w:rsid w:val="00F45964"/>
    <w:rsid w:val="00F46606"/>
    <w:rsid w:val="00F46D0D"/>
    <w:rsid w:val="00F46F12"/>
    <w:rsid w:val="00F47301"/>
    <w:rsid w:val="00F47848"/>
    <w:rsid w:val="00F47965"/>
    <w:rsid w:val="00F5073D"/>
    <w:rsid w:val="00F5074F"/>
    <w:rsid w:val="00F516B5"/>
    <w:rsid w:val="00F517DD"/>
    <w:rsid w:val="00F51F04"/>
    <w:rsid w:val="00F5279E"/>
    <w:rsid w:val="00F53A90"/>
    <w:rsid w:val="00F54350"/>
    <w:rsid w:val="00F54413"/>
    <w:rsid w:val="00F54556"/>
    <w:rsid w:val="00F54C65"/>
    <w:rsid w:val="00F55527"/>
    <w:rsid w:val="00F555B5"/>
    <w:rsid w:val="00F55C24"/>
    <w:rsid w:val="00F55D67"/>
    <w:rsid w:val="00F5637D"/>
    <w:rsid w:val="00F56460"/>
    <w:rsid w:val="00F56568"/>
    <w:rsid w:val="00F56646"/>
    <w:rsid w:val="00F567D6"/>
    <w:rsid w:val="00F5691A"/>
    <w:rsid w:val="00F56DAA"/>
    <w:rsid w:val="00F57128"/>
    <w:rsid w:val="00F57AF3"/>
    <w:rsid w:val="00F57EB7"/>
    <w:rsid w:val="00F605E3"/>
    <w:rsid w:val="00F60762"/>
    <w:rsid w:val="00F60F17"/>
    <w:rsid w:val="00F618C0"/>
    <w:rsid w:val="00F61940"/>
    <w:rsid w:val="00F61DA1"/>
    <w:rsid w:val="00F6240E"/>
    <w:rsid w:val="00F627F8"/>
    <w:rsid w:val="00F62846"/>
    <w:rsid w:val="00F62D1E"/>
    <w:rsid w:val="00F62E78"/>
    <w:rsid w:val="00F63282"/>
    <w:rsid w:val="00F636C1"/>
    <w:rsid w:val="00F63767"/>
    <w:rsid w:val="00F63BD2"/>
    <w:rsid w:val="00F63CFE"/>
    <w:rsid w:val="00F643DD"/>
    <w:rsid w:val="00F646B4"/>
    <w:rsid w:val="00F646C6"/>
    <w:rsid w:val="00F64966"/>
    <w:rsid w:val="00F64C61"/>
    <w:rsid w:val="00F64F41"/>
    <w:rsid w:val="00F653DE"/>
    <w:rsid w:val="00F6543E"/>
    <w:rsid w:val="00F654C1"/>
    <w:rsid w:val="00F65522"/>
    <w:rsid w:val="00F65E1C"/>
    <w:rsid w:val="00F66017"/>
    <w:rsid w:val="00F6638D"/>
    <w:rsid w:val="00F665F5"/>
    <w:rsid w:val="00F66B87"/>
    <w:rsid w:val="00F66D62"/>
    <w:rsid w:val="00F670F7"/>
    <w:rsid w:val="00F67284"/>
    <w:rsid w:val="00F67326"/>
    <w:rsid w:val="00F67E44"/>
    <w:rsid w:val="00F67F5D"/>
    <w:rsid w:val="00F7006A"/>
    <w:rsid w:val="00F70277"/>
    <w:rsid w:val="00F703C6"/>
    <w:rsid w:val="00F708FC"/>
    <w:rsid w:val="00F71253"/>
    <w:rsid w:val="00F71343"/>
    <w:rsid w:val="00F714D0"/>
    <w:rsid w:val="00F71750"/>
    <w:rsid w:val="00F71A7B"/>
    <w:rsid w:val="00F721F1"/>
    <w:rsid w:val="00F72477"/>
    <w:rsid w:val="00F72585"/>
    <w:rsid w:val="00F725ED"/>
    <w:rsid w:val="00F72A91"/>
    <w:rsid w:val="00F72B58"/>
    <w:rsid w:val="00F72D96"/>
    <w:rsid w:val="00F731EE"/>
    <w:rsid w:val="00F73EBB"/>
    <w:rsid w:val="00F73EF3"/>
    <w:rsid w:val="00F74090"/>
    <w:rsid w:val="00F74C20"/>
    <w:rsid w:val="00F75112"/>
    <w:rsid w:val="00F75989"/>
    <w:rsid w:val="00F75DDF"/>
    <w:rsid w:val="00F764B1"/>
    <w:rsid w:val="00F766F7"/>
    <w:rsid w:val="00F76810"/>
    <w:rsid w:val="00F76A3B"/>
    <w:rsid w:val="00F76A4C"/>
    <w:rsid w:val="00F76E32"/>
    <w:rsid w:val="00F7748F"/>
    <w:rsid w:val="00F80186"/>
    <w:rsid w:val="00F801E3"/>
    <w:rsid w:val="00F802CE"/>
    <w:rsid w:val="00F8080C"/>
    <w:rsid w:val="00F80BBD"/>
    <w:rsid w:val="00F80CCF"/>
    <w:rsid w:val="00F80D2B"/>
    <w:rsid w:val="00F80D92"/>
    <w:rsid w:val="00F80F30"/>
    <w:rsid w:val="00F8123B"/>
    <w:rsid w:val="00F815AF"/>
    <w:rsid w:val="00F82026"/>
    <w:rsid w:val="00F82450"/>
    <w:rsid w:val="00F82825"/>
    <w:rsid w:val="00F82A47"/>
    <w:rsid w:val="00F834CA"/>
    <w:rsid w:val="00F835A6"/>
    <w:rsid w:val="00F836E7"/>
    <w:rsid w:val="00F83AEF"/>
    <w:rsid w:val="00F83EC7"/>
    <w:rsid w:val="00F83F80"/>
    <w:rsid w:val="00F83FEE"/>
    <w:rsid w:val="00F84239"/>
    <w:rsid w:val="00F84326"/>
    <w:rsid w:val="00F849FB"/>
    <w:rsid w:val="00F85411"/>
    <w:rsid w:val="00F85929"/>
    <w:rsid w:val="00F861E9"/>
    <w:rsid w:val="00F8648A"/>
    <w:rsid w:val="00F8685D"/>
    <w:rsid w:val="00F86942"/>
    <w:rsid w:val="00F9074B"/>
    <w:rsid w:val="00F9091A"/>
    <w:rsid w:val="00F90985"/>
    <w:rsid w:val="00F90B04"/>
    <w:rsid w:val="00F91BE0"/>
    <w:rsid w:val="00F91DE9"/>
    <w:rsid w:val="00F922B0"/>
    <w:rsid w:val="00F92D7A"/>
    <w:rsid w:val="00F933AF"/>
    <w:rsid w:val="00F93473"/>
    <w:rsid w:val="00F93709"/>
    <w:rsid w:val="00F93C20"/>
    <w:rsid w:val="00F93F09"/>
    <w:rsid w:val="00F941BF"/>
    <w:rsid w:val="00F943C0"/>
    <w:rsid w:val="00F94888"/>
    <w:rsid w:val="00F94F34"/>
    <w:rsid w:val="00F953D1"/>
    <w:rsid w:val="00F9562D"/>
    <w:rsid w:val="00F95636"/>
    <w:rsid w:val="00F96044"/>
    <w:rsid w:val="00F960CC"/>
    <w:rsid w:val="00F96394"/>
    <w:rsid w:val="00F96965"/>
    <w:rsid w:val="00F96AAC"/>
    <w:rsid w:val="00F96BA1"/>
    <w:rsid w:val="00F9721A"/>
    <w:rsid w:val="00F976A1"/>
    <w:rsid w:val="00F97790"/>
    <w:rsid w:val="00F979E3"/>
    <w:rsid w:val="00F97B1D"/>
    <w:rsid w:val="00F97EA9"/>
    <w:rsid w:val="00FA0323"/>
    <w:rsid w:val="00FA0476"/>
    <w:rsid w:val="00FA05EA"/>
    <w:rsid w:val="00FA0814"/>
    <w:rsid w:val="00FA0887"/>
    <w:rsid w:val="00FA09C1"/>
    <w:rsid w:val="00FA10AE"/>
    <w:rsid w:val="00FA113C"/>
    <w:rsid w:val="00FA18B8"/>
    <w:rsid w:val="00FA1A37"/>
    <w:rsid w:val="00FA1BBD"/>
    <w:rsid w:val="00FA1D67"/>
    <w:rsid w:val="00FA21CF"/>
    <w:rsid w:val="00FA236E"/>
    <w:rsid w:val="00FA2564"/>
    <w:rsid w:val="00FA3315"/>
    <w:rsid w:val="00FA342A"/>
    <w:rsid w:val="00FA3FF6"/>
    <w:rsid w:val="00FA43C0"/>
    <w:rsid w:val="00FA461D"/>
    <w:rsid w:val="00FA4C0E"/>
    <w:rsid w:val="00FA4FF1"/>
    <w:rsid w:val="00FA5049"/>
    <w:rsid w:val="00FA577C"/>
    <w:rsid w:val="00FA5C63"/>
    <w:rsid w:val="00FA5DCE"/>
    <w:rsid w:val="00FA5FBA"/>
    <w:rsid w:val="00FA6410"/>
    <w:rsid w:val="00FA6C1D"/>
    <w:rsid w:val="00FA6F67"/>
    <w:rsid w:val="00FA70C4"/>
    <w:rsid w:val="00FA7473"/>
    <w:rsid w:val="00FA7AD2"/>
    <w:rsid w:val="00FA7E31"/>
    <w:rsid w:val="00FB00A3"/>
    <w:rsid w:val="00FB03AD"/>
    <w:rsid w:val="00FB04B9"/>
    <w:rsid w:val="00FB05C5"/>
    <w:rsid w:val="00FB0A27"/>
    <w:rsid w:val="00FB0AD3"/>
    <w:rsid w:val="00FB0F8B"/>
    <w:rsid w:val="00FB2508"/>
    <w:rsid w:val="00FB26C4"/>
    <w:rsid w:val="00FB3396"/>
    <w:rsid w:val="00FB38B6"/>
    <w:rsid w:val="00FB3A0E"/>
    <w:rsid w:val="00FB3CE5"/>
    <w:rsid w:val="00FB3EAC"/>
    <w:rsid w:val="00FB3F39"/>
    <w:rsid w:val="00FB450B"/>
    <w:rsid w:val="00FB4523"/>
    <w:rsid w:val="00FB4839"/>
    <w:rsid w:val="00FB49CC"/>
    <w:rsid w:val="00FB4D7A"/>
    <w:rsid w:val="00FB4EE4"/>
    <w:rsid w:val="00FB5B3C"/>
    <w:rsid w:val="00FB5FA2"/>
    <w:rsid w:val="00FB60A1"/>
    <w:rsid w:val="00FB60DA"/>
    <w:rsid w:val="00FB6585"/>
    <w:rsid w:val="00FB6A02"/>
    <w:rsid w:val="00FB6D70"/>
    <w:rsid w:val="00FB7929"/>
    <w:rsid w:val="00FC0FE5"/>
    <w:rsid w:val="00FC1292"/>
    <w:rsid w:val="00FC1B6C"/>
    <w:rsid w:val="00FC1CBC"/>
    <w:rsid w:val="00FC1FEA"/>
    <w:rsid w:val="00FC2409"/>
    <w:rsid w:val="00FC2689"/>
    <w:rsid w:val="00FC2723"/>
    <w:rsid w:val="00FC29F6"/>
    <w:rsid w:val="00FC2C98"/>
    <w:rsid w:val="00FC2E1C"/>
    <w:rsid w:val="00FC32FA"/>
    <w:rsid w:val="00FC33E2"/>
    <w:rsid w:val="00FC3815"/>
    <w:rsid w:val="00FC3A91"/>
    <w:rsid w:val="00FC3CBC"/>
    <w:rsid w:val="00FC49FE"/>
    <w:rsid w:val="00FC4A35"/>
    <w:rsid w:val="00FC4A3A"/>
    <w:rsid w:val="00FC4C29"/>
    <w:rsid w:val="00FC5558"/>
    <w:rsid w:val="00FC5804"/>
    <w:rsid w:val="00FC5EA0"/>
    <w:rsid w:val="00FC68C2"/>
    <w:rsid w:val="00FC6A4E"/>
    <w:rsid w:val="00FC72BD"/>
    <w:rsid w:val="00FC746B"/>
    <w:rsid w:val="00FC7842"/>
    <w:rsid w:val="00FD0041"/>
    <w:rsid w:val="00FD0458"/>
    <w:rsid w:val="00FD0573"/>
    <w:rsid w:val="00FD08DA"/>
    <w:rsid w:val="00FD0A81"/>
    <w:rsid w:val="00FD0B82"/>
    <w:rsid w:val="00FD11EF"/>
    <w:rsid w:val="00FD1617"/>
    <w:rsid w:val="00FD169F"/>
    <w:rsid w:val="00FD1834"/>
    <w:rsid w:val="00FD1B3B"/>
    <w:rsid w:val="00FD1F14"/>
    <w:rsid w:val="00FD1F35"/>
    <w:rsid w:val="00FD25C2"/>
    <w:rsid w:val="00FD2903"/>
    <w:rsid w:val="00FD315C"/>
    <w:rsid w:val="00FD3323"/>
    <w:rsid w:val="00FD458A"/>
    <w:rsid w:val="00FD53FF"/>
    <w:rsid w:val="00FD54AA"/>
    <w:rsid w:val="00FD5507"/>
    <w:rsid w:val="00FD5530"/>
    <w:rsid w:val="00FD5567"/>
    <w:rsid w:val="00FD5A50"/>
    <w:rsid w:val="00FD5A66"/>
    <w:rsid w:val="00FD6440"/>
    <w:rsid w:val="00FD6900"/>
    <w:rsid w:val="00FD7069"/>
    <w:rsid w:val="00FD78BC"/>
    <w:rsid w:val="00FE05B6"/>
    <w:rsid w:val="00FE06A8"/>
    <w:rsid w:val="00FE09BC"/>
    <w:rsid w:val="00FE0C03"/>
    <w:rsid w:val="00FE19B1"/>
    <w:rsid w:val="00FE261E"/>
    <w:rsid w:val="00FE27DF"/>
    <w:rsid w:val="00FE28C5"/>
    <w:rsid w:val="00FE3250"/>
    <w:rsid w:val="00FE32D7"/>
    <w:rsid w:val="00FE35B6"/>
    <w:rsid w:val="00FE35F3"/>
    <w:rsid w:val="00FE3A20"/>
    <w:rsid w:val="00FE4886"/>
    <w:rsid w:val="00FE4CE5"/>
    <w:rsid w:val="00FE5B66"/>
    <w:rsid w:val="00FE5CFD"/>
    <w:rsid w:val="00FE699F"/>
    <w:rsid w:val="00FE71FB"/>
    <w:rsid w:val="00FE769F"/>
    <w:rsid w:val="00FE78D7"/>
    <w:rsid w:val="00FE7D0F"/>
    <w:rsid w:val="00FE7F13"/>
    <w:rsid w:val="00FF0688"/>
    <w:rsid w:val="00FF0A5A"/>
    <w:rsid w:val="00FF0BEC"/>
    <w:rsid w:val="00FF2337"/>
    <w:rsid w:val="00FF2DCE"/>
    <w:rsid w:val="00FF3AAF"/>
    <w:rsid w:val="00FF3FF9"/>
    <w:rsid w:val="00FF4063"/>
    <w:rsid w:val="00FF40A1"/>
    <w:rsid w:val="00FF415B"/>
    <w:rsid w:val="00FF4884"/>
    <w:rsid w:val="00FF5517"/>
    <w:rsid w:val="00FF5A38"/>
    <w:rsid w:val="00FF6B37"/>
    <w:rsid w:val="00FF6DBC"/>
    <w:rsid w:val="00FF6F5A"/>
    <w:rsid w:val="00FF74B6"/>
    <w:rsid w:val="00FF77EE"/>
    <w:rsid w:val="00FF7E0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9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852"/>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23852"/>
    <w:pPr>
      <w:keepNext/>
      <w:spacing w:before="140" w:line="240" w:lineRule="atLeast"/>
      <w:jc w:val="center"/>
      <w:outlineLvl w:val="0"/>
    </w:pPr>
    <w:rPr>
      <w:b/>
      <w:smallCaps/>
    </w:rPr>
  </w:style>
  <w:style w:type="paragraph" w:styleId="Heading2">
    <w:name w:val="heading 2"/>
    <w:basedOn w:val="Normal"/>
    <w:next w:val="Normal"/>
    <w:link w:val="Heading2Char"/>
    <w:qFormat/>
    <w:rsid w:val="0072385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23852"/>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723852"/>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72385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723852"/>
    <w:pPr>
      <w:tabs>
        <w:tab w:val="center" w:pos="3960"/>
        <w:tab w:val="right" w:pos="10080"/>
      </w:tabs>
      <w:spacing w:after="0" w:line="240" w:lineRule="auto"/>
      <w:jc w:val="center"/>
    </w:pPr>
    <w:rPr>
      <w:sz w:val="22"/>
    </w:rPr>
  </w:style>
  <w:style w:type="character" w:styleId="FootnoteReference">
    <w:name w:val="footnote reference"/>
    <w:basedOn w:val="DefaultParagraphFont"/>
    <w:rsid w:val="00723852"/>
    <w:rPr>
      <w:rFonts w:ascii="Century Schoolbook" w:hAnsi="Century Schoolbook"/>
      <w:b/>
      <w:i w:val="0"/>
      <w:position w:val="4"/>
      <w:sz w:val="27"/>
      <w:vertAlign w:val="superscript"/>
    </w:rPr>
  </w:style>
  <w:style w:type="paragraph" w:styleId="FootnoteText">
    <w:name w:val="footnote text"/>
    <w:basedOn w:val="Normal"/>
    <w:link w:val="FootnoteTextChar"/>
    <w:rsid w:val="00723852"/>
    <w:pPr>
      <w:spacing w:line="300" w:lineRule="exact"/>
    </w:pPr>
  </w:style>
  <w:style w:type="paragraph" w:styleId="Header">
    <w:name w:val="header"/>
    <w:basedOn w:val="Normal"/>
    <w:link w:val="HeaderChar"/>
    <w:qFormat/>
    <w:rsid w:val="00723852"/>
    <w:pPr>
      <w:tabs>
        <w:tab w:val="center" w:pos="3960"/>
        <w:tab w:val="right" w:pos="10080"/>
      </w:tabs>
      <w:spacing w:after="80" w:line="240" w:lineRule="auto"/>
      <w:jc w:val="center"/>
    </w:pPr>
    <w:rPr>
      <w:sz w:val="22"/>
    </w:rPr>
  </w:style>
  <w:style w:type="paragraph" w:styleId="BalloonText">
    <w:name w:val="Balloon Text"/>
    <w:basedOn w:val="Normal"/>
    <w:link w:val="BalloonTextChar"/>
    <w:uiPriority w:val="99"/>
    <w:rsid w:val="00AC4398"/>
    <w:rPr>
      <w:rFonts w:ascii="Tahoma" w:hAnsi="Tahoma" w:cs="Tahoma"/>
      <w:sz w:val="16"/>
      <w:szCs w:val="16"/>
    </w:rPr>
  </w:style>
  <w:style w:type="character" w:customStyle="1" w:styleId="BalloonTextChar">
    <w:name w:val="Balloon Text Char"/>
    <w:basedOn w:val="DefaultParagraphFont"/>
    <w:link w:val="BalloonText"/>
    <w:uiPriority w:val="99"/>
    <w:rsid w:val="00AC4398"/>
    <w:rPr>
      <w:rFonts w:ascii="Tahoma" w:hAnsi="Tahoma" w:cs="Tahoma"/>
      <w:sz w:val="16"/>
      <w:szCs w:val="16"/>
    </w:rPr>
  </w:style>
  <w:style w:type="character" w:customStyle="1" w:styleId="FootnoteTextChar">
    <w:name w:val="Footnote Text Char"/>
    <w:basedOn w:val="DefaultParagraphFont"/>
    <w:link w:val="FootnoteText"/>
    <w:rsid w:val="0081790C"/>
    <w:rPr>
      <w:rFonts w:ascii="Century Schoolbook" w:hAnsi="Century Schoolbook"/>
      <w:sz w:val="27"/>
    </w:rPr>
  </w:style>
  <w:style w:type="character" w:customStyle="1" w:styleId="term">
    <w:name w:val="term"/>
    <w:basedOn w:val="DefaultParagraphFont"/>
    <w:rsid w:val="0081790C"/>
  </w:style>
  <w:style w:type="character" w:customStyle="1" w:styleId="Heading1Char">
    <w:name w:val="Heading 1 Char"/>
    <w:basedOn w:val="DefaultParagraphFont"/>
    <w:link w:val="Heading1"/>
    <w:rsid w:val="00723852"/>
    <w:rPr>
      <w:rFonts w:ascii="Century Schoolbook" w:hAnsi="Century Schoolbook"/>
      <w:b/>
      <w:smallCaps/>
      <w:sz w:val="27"/>
    </w:rPr>
  </w:style>
  <w:style w:type="character" w:customStyle="1" w:styleId="Heading2Char">
    <w:name w:val="Heading 2 Char"/>
    <w:basedOn w:val="DefaultParagraphFont"/>
    <w:link w:val="Heading2"/>
    <w:rsid w:val="00723852"/>
    <w:rPr>
      <w:rFonts w:ascii="Century Schoolbook" w:hAnsi="Century Schoolbook"/>
      <w:b/>
      <w:sz w:val="27"/>
    </w:rPr>
  </w:style>
  <w:style w:type="character" w:customStyle="1" w:styleId="Heading3Char">
    <w:name w:val="Heading 3 Char"/>
    <w:basedOn w:val="DefaultParagraphFont"/>
    <w:link w:val="Heading3"/>
    <w:rsid w:val="00723852"/>
    <w:rPr>
      <w:rFonts w:ascii="Century Schoolbook" w:hAnsi="Century Schoolbook"/>
      <w:i/>
      <w:sz w:val="27"/>
    </w:rPr>
  </w:style>
  <w:style w:type="character" w:customStyle="1" w:styleId="Heading4Char">
    <w:name w:val="Heading 4 Char"/>
    <w:basedOn w:val="DefaultParagraphFont"/>
    <w:link w:val="Heading4"/>
    <w:rsid w:val="00723852"/>
    <w:rPr>
      <w:rFonts w:ascii="Century Schoolbook" w:hAnsi="Century Schoolbook"/>
      <w:i/>
      <w:sz w:val="27"/>
    </w:rPr>
  </w:style>
  <w:style w:type="character" w:customStyle="1" w:styleId="Heading5Char">
    <w:name w:val="Heading 5 Char"/>
    <w:basedOn w:val="DefaultParagraphFont"/>
    <w:link w:val="Heading5"/>
    <w:rsid w:val="00723852"/>
    <w:rPr>
      <w:rFonts w:ascii="Century Schoolbook" w:hAnsi="Century Schoolbook"/>
      <w:i/>
      <w:sz w:val="27"/>
    </w:rPr>
  </w:style>
  <w:style w:type="paragraph" w:styleId="Date">
    <w:name w:val="Date"/>
    <w:basedOn w:val="Normal"/>
    <w:link w:val="DateChar"/>
    <w:semiHidden/>
    <w:rsid w:val="00723852"/>
    <w:pPr>
      <w:jc w:val="right"/>
    </w:pPr>
  </w:style>
  <w:style w:type="character" w:customStyle="1" w:styleId="DateChar">
    <w:name w:val="Date Char"/>
    <w:basedOn w:val="DefaultParagraphFont"/>
    <w:link w:val="Date"/>
    <w:semiHidden/>
    <w:rsid w:val="00723852"/>
    <w:rPr>
      <w:rFonts w:ascii="Century Schoolbook" w:hAnsi="Century Schoolbook"/>
      <w:sz w:val="27"/>
    </w:rPr>
  </w:style>
  <w:style w:type="paragraph" w:styleId="NormalIndent">
    <w:name w:val="Normal Indent"/>
    <w:basedOn w:val="Normal"/>
    <w:link w:val="NormalIndentChar"/>
    <w:rsid w:val="00723852"/>
    <w:pPr>
      <w:ind w:left="720"/>
    </w:pPr>
  </w:style>
  <w:style w:type="character" w:styleId="PageNumber">
    <w:name w:val="page number"/>
    <w:basedOn w:val="DefaultParagraphFont"/>
    <w:semiHidden/>
    <w:rsid w:val="00723852"/>
  </w:style>
  <w:style w:type="paragraph" w:customStyle="1" w:styleId="Recommend">
    <w:name w:val="Recommend"/>
    <w:basedOn w:val="Normal"/>
    <w:rsid w:val="00723852"/>
  </w:style>
  <w:style w:type="paragraph" w:customStyle="1" w:styleId="subject">
    <w:name w:val="subject"/>
    <w:basedOn w:val="Normal"/>
    <w:rsid w:val="00723852"/>
    <w:pPr>
      <w:tabs>
        <w:tab w:val="left" w:pos="1008"/>
      </w:tabs>
      <w:ind w:left="990" w:hanging="990"/>
    </w:pPr>
    <w:rPr>
      <w:b/>
    </w:rPr>
  </w:style>
  <w:style w:type="paragraph" w:customStyle="1" w:styleId="Summary">
    <w:name w:val="Summary"/>
    <w:basedOn w:val="Normal"/>
    <w:rsid w:val="00723852"/>
    <w:pPr>
      <w:ind w:left="2160" w:hanging="2160"/>
    </w:pPr>
  </w:style>
  <w:style w:type="paragraph" w:customStyle="1" w:styleId="Text">
    <w:name w:val="Text"/>
    <w:basedOn w:val="Normal"/>
    <w:rsid w:val="00723852"/>
    <w:pPr>
      <w:tabs>
        <w:tab w:val="left" w:pos="720"/>
        <w:tab w:val="left" w:pos="1440"/>
        <w:tab w:val="left" w:pos="2160"/>
        <w:tab w:val="center" w:pos="4320"/>
      </w:tabs>
      <w:spacing w:line="480" w:lineRule="atLeast"/>
      <w:ind w:firstLine="540"/>
    </w:pPr>
  </w:style>
  <w:style w:type="paragraph" w:customStyle="1" w:styleId="Title1">
    <w:name w:val="Title1"/>
    <w:basedOn w:val="Normal"/>
    <w:rsid w:val="00723852"/>
    <w:pPr>
      <w:tabs>
        <w:tab w:val="left" w:pos="5760"/>
        <w:tab w:val="left" w:pos="6480"/>
      </w:tabs>
      <w:spacing w:line="240" w:lineRule="atLeast"/>
    </w:pPr>
  </w:style>
  <w:style w:type="paragraph" w:customStyle="1" w:styleId="Titles">
    <w:name w:val="Titles"/>
    <w:basedOn w:val="Normal"/>
    <w:rsid w:val="00723852"/>
    <w:pPr>
      <w:tabs>
        <w:tab w:val="left" w:pos="2160"/>
      </w:tabs>
      <w:ind w:left="2160" w:hanging="2160"/>
    </w:pPr>
    <w:rPr>
      <w:b/>
    </w:rPr>
  </w:style>
  <w:style w:type="paragraph" w:styleId="TOAHeading">
    <w:name w:val="toa heading"/>
    <w:basedOn w:val="Normal"/>
    <w:next w:val="Normal"/>
    <w:rsid w:val="00723852"/>
    <w:pPr>
      <w:spacing w:before="120"/>
    </w:pPr>
    <w:rPr>
      <w:b/>
    </w:rPr>
  </w:style>
  <w:style w:type="paragraph" w:styleId="TOC1">
    <w:name w:val="toc 1"/>
    <w:basedOn w:val="Normal"/>
    <w:next w:val="Normal"/>
    <w:autoRedefine/>
    <w:semiHidden/>
    <w:rsid w:val="00723852"/>
  </w:style>
  <w:style w:type="paragraph" w:styleId="TOC2">
    <w:name w:val="toc 2"/>
    <w:basedOn w:val="Normal"/>
    <w:next w:val="Normal"/>
    <w:autoRedefine/>
    <w:semiHidden/>
    <w:rsid w:val="00723852"/>
    <w:pPr>
      <w:ind w:left="259"/>
    </w:pPr>
  </w:style>
  <w:style w:type="paragraph" w:styleId="TOC3">
    <w:name w:val="toc 3"/>
    <w:basedOn w:val="Normal"/>
    <w:next w:val="Normal"/>
    <w:autoRedefine/>
    <w:semiHidden/>
    <w:rsid w:val="00723852"/>
    <w:pPr>
      <w:ind w:left="520"/>
    </w:pPr>
  </w:style>
  <w:style w:type="paragraph" w:styleId="TOC4">
    <w:name w:val="toc 4"/>
    <w:basedOn w:val="Normal"/>
    <w:next w:val="Normal"/>
    <w:autoRedefine/>
    <w:semiHidden/>
    <w:rsid w:val="00723852"/>
    <w:pPr>
      <w:ind w:left="780"/>
    </w:pPr>
  </w:style>
  <w:style w:type="paragraph" w:styleId="TOC5">
    <w:name w:val="toc 5"/>
    <w:basedOn w:val="Normal"/>
    <w:next w:val="Normal"/>
    <w:autoRedefine/>
    <w:semiHidden/>
    <w:rsid w:val="00723852"/>
    <w:pPr>
      <w:ind w:left="1040"/>
    </w:pPr>
  </w:style>
  <w:style w:type="paragraph" w:styleId="TOC6">
    <w:name w:val="toc 6"/>
    <w:basedOn w:val="Normal"/>
    <w:next w:val="Normal"/>
    <w:autoRedefine/>
    <w:semiHidden/>
    <w:rsid w:val="00723852"/>
    <w:pPr>
      <w:ind w:left="1300"/>
    </w:pPr>
  </w:style>
  <w:style w:type="paragraph" w:styleId="TOC7">
    <w:name w:val="toc 7"/>
    <w:basedOn w:val="Normal"/>
    <w:next w:val="Normal"/>
    <w:autoRedefine/>
    <w:semiHidden/>
    <w:rsid w:val="00723852"/>
    <w:pPr>
      <w:ind w:left="1560"/>
    </w:pPr>
  </w:style>
  <w:style w:type="paragraph" w:styleId="TOC8">
    <w:name w:val="toc 8"/>
    <w:basedOn w:val="Normal"/>
    <w:next w:val="Normal"/>
    <w:autoRedefine/>
    <w:semiHidden/>
    <w:rsid w:val="00723852"/>
    <w:pPr>
      <w:ind w:left="1820"/>
    </w:pPr>
  </w:style>
  <w:style w:type="paragraph" w:styleId="TOC9">
    <w:name w:val="toc 9"/>
    <w:basedOn w:val="Normal"/>
    <w:next w:val="Normal"/>
    <w:autoRedefine/>
    <w:semiHidden/>
    <w:rsid w:val="00723852"/>
    <w:pPr>
      <w:ind w:left="2080"/>
    </w:pPr>
  </w:style>
  <w:style w:type="paragraph" w:customStyle="1" w:styleId="Contents">
    <w:name w:val="Contents"/>
    <w:basedOn w:val="Normal"/>
    <w:rsid w:val="00723852"/>
    <w:pPr>
      <w:jc w:val="center"/>
    </w:pPr>
    <w:rPr>
      <w:b/>
      <w:spacing w:val="100"/>
    </w:rPr>
  </w:style>
  <w:style w:type="paragraph" w:styleId="BodyText">
    <w:name w:val="Body Text"/>
    <w:basedOn w:val="Normal"/>
    <w:link w:val="BodyTextChar"/>
    <w:qFormat/>
    <w:rsid w:val="00723852"/>
  </w:style>
  <w:style w:type="character" w:customStyle="1" w:styleId="BodyTextChar">
    <w:name w:val="Body Text Char"/>
    <w:basedOn w:val="DefaultParagraphFont"/>
    <w:link w:val="BodyText"/>
    <w:rsid w:val="00723852"/>
    <w:rPr>
      <w:rFonts w:ascii="Century Schoolbook" w:hAnsi="Century Schoolbook"/>
      <w:sz w:val="27"/>
    </w:rPr>
  </w:style>
  <w:style w:type="character" w:styleId="CommentReference">
    <w:name w:val="annotation reference"/>
    <w:basedOn w:val="DefaultParagraphFont"/>
    <w:uiPriority w:val="99"/>
    <w:semiHidden/>
    <w:unhideWhenUsed/>
    <w:rsid w:val="00C548E7"/>
    <w:rPr>
      <w:sz w:val="16"/>
      <w:szCs w:val="16"/>
    </w:rPr>
  </w:style>
  <w:style w:type="paragraph" w:styleId="CommentText">
    <w:name w:val="annotation text"/>
    <w:basedOn w:val="Normal"/>
    <w:link w:val="CommentTextChar"/>
    <w:uiPriority w:val="99"/>
    <w:unhideWhenUsed/>
    <w:qFormat/>
    <w:rsid w:val="00C548E7"/>
    <w:pPr>
      <w:spacing w:line="240" w:lineRule="auto"/>
    </w:pPr>
    <w:rPr>
      <w:sz w:val="20"/>
    </w:rPr>
  </w:style>
  <w:style w:type="character" w:customStyle="1" w:styleId="CommentTextChar">
    <w:name w:val="Comment Text Char"/>
    <w:basedOn w:val="DefaultParagraphFont"/>
    <w:link w:val="CommentText"/>
    <w:uiPriority w:val="99"/>
    <w:rsid w:val="00C548E7"/>
    <w:rPr>
      <w:rFonts w:ascii="Century Schoolbook" w:hAnsi="Century Schoolbook"/>
    </w:rPr>
  </w:style>
  <w:style w:type="paragraph" w:styleId="EndnoteText">
    <w:name w:val="endnote text"/>
    <w:basedOn w:val="Normal"/>
    <w:link w:val="EndnoteTextChar"/>
    <w:uiPriority w:val="99"/>
    <w:semiHidden/>
    <w:unhideWhenUsed/>
    <w:rsid w:val="00711A2C"/>
    <w:pPr>
      <w:spacing w:after="0" w:line="240" w:lineRule="auto"/>
      <w:jc w:val="left"/>
    </w:pPr>
    <w:rPr>
      <w:rFonts w:ascii="Times New Roman" w:hAnsi="Times New Roman"/>
      <w:sz w:val="20"/>
    </w:rPr>
  </w:style>
  <w:style w:type="character" w:customStyle="1" w:styleId="EndnoteTextChar">
    <w:name w:val="Endnote Text Char"/>
    <w:basedOn w:val="DefaultParagraphFont"/>
    <w:link w:val="EndnoteText"/>
    <w:uiPriority w:val="99"/>
    <w:semiHidden/>
    <w:rsid w:val="00711A2C"/>
  </w:style>
  <w:style w:type="character" w:styleId="EndnoteReference">
    <w:name w:val="endnote reference"/>
    <w:basedOn w:val="DefaultParagraphFont"/>
    <w:uiPriority w:val="99"/>
    <w:semiHidden/>
    <w:unhideWhenUsed/>
    <w:rsid w:val="00711A2C"/>
    <w:rPr>
      <w:vertAlign w:val="superscript"/>
    </w:rPr>
  </w:style>
  <w:style w:type="character" w:customStyle="1" w:styleId="FooterChar">
    <w:name w:val="Footer Char"/>
    <w:basedOn w:val="DefaultParagraphFont"/>
    <w:link w:val="Footer"/>
    <w:uiPriority w:val="99"/>
    <w:rsid w:val="00711A2C"/>
    <w:rPr>
      <w:rFonts w:ascii="Century Schoolbook" w:hAnsi="Century Schoolbook"/>
      <w:sz w:val="22"/>
    </w:rPr>
  </w:style>
  <w:style w:type="character" w:customStyle="1" w:styleId="HeaderChar">
    <w:name w:val="Header Char"/>
    <w:basedOn w:val="DefaultParagraphFont"/>
    <w:link w:val="Header"/>
    <w:rsid w:val="00711A2C"/>
    <w:rPr>
      <w:rFonts w:ascii="Century Schoolbook" w:hAnsi="Century Schoolbook"/>
      <w:sz w:val="22"/>
    </w:rPr>
  </w:style>
  <w:style w:type="character" w:customStyle="1" w:styleId="NormalIndentChar">
    <w:name w:val="Normal Indent Char"/>
    <w:link w:val="NormalIndent"/>
    <w:rsid w:val="0061201F"/>
    <w:rPr>
      <w:rFonts w:ascii="Century Schoolbook" w:hAnsi="Century Schoolbook"/>
      <w:sz w:val="27"/>
    </w:rPr>
  </w:style>
  <w:style w:type="paragraph" w:styleId="CommentSubject">
    <w:name w:val="annotation subject"/>
    <w:basedOn w:val="CommentText"/>
    <w:next w:val="CommentText"/>
    <w:link w:val="CommentSubjectChar"/>
    <w:uiPriority w:val="99"/>
    <w:semiHidden/>
    <w:unhideWhenUsed/>
    <w:rsid w:val="003E59F4"/>
    <w:rPr>
      <w:b/>
      <w:bCs/>
    </w:rPr>
  </w:style>
  <w:style w:type="character" w:customStyle="1" w:styleId="CommentSubjectChar">
    <w:name w:val="Comment Subject Char"/>
    <w:basedOn w:val="CommentTextChar"/>
    <w:link w:val="CommentSubject"/>
    <w:uiPriority w:val="99"/>
    <w:semiHidden/>
    <w:rsid w:val="003E59F4"/>
    <w:rPr>
      <w:rFonts w:ascii="Century Schoolbook" w:hAnsi="Century Schoolbook"/>
      <w:b/>
      <w:bCs/>
    </w:rPr>
  </w:style>
  <w:style w:type="paragraph" w:styleId="Revision">
    <w:name w:val="Revision"/>
    <w:hidden/>
    <w:uiPriority w:val="99"/>
    <w:semiHidden/>
    <w:rsid w:val="00A879CB"/>
    <w:rPr>
      <w:rFonts w:ascii="Century Schoolbook" w:hAnsi="Century Schoolbook"/>
      <w:sz w:val="27"/>
    </w:rPr>
  </w:style>
  <w:style w:type="character" w:styleId="Emphasis">
    <w:name w:val="Emphasis"/>
    <w:uiPriority w:val="20"/>
    <w:qFormat/>
    <w:rsid w:val="00097203"/>
    <w:rPr>
      <w:i/>
      <w:iCs/>
    </w:rPr>
  </w:style>
  <w:style w:type="paragraph" w:styleId="ListParagraph">
    <w:name w:val="List Paragraph"/>
    <w:basedOn w:val="Normal"/>
    <w:uiPriority w:val="34"/>
    <w:qFormat/>
    <w:rsid w:val="00097203"/>
    <w:pPr>
      <w:spacing w:after="0" w:line="240" w:lineRule="auto"/>
      <w:ind w:left="720"/>
      <w:contextualSpacing/>
      <w:jc w:val="left"/>
    </w:pPr>
    <w:rPr>
      <w:rFonts w:ascii="Times New Roman" w:hAnsi="Times New Roman"/>
      <w:sz w:val="26"/>
    </w:rPr>
  </w:style>
  <w:style w:type="character" w:customStyle="1" w:styleId="apple-converted-space">
    <w:name w:val="apple-converted-space"/>
    <w:basedOn w:val="DefaultParagraphFont"/>
    <w:rsid w:val="00097203"/>
  </w:style>
  <w:style w:type="character" w:styleId="Hyperlink">
    <w:name w:val="Hyperlink"/>
    <w:uiPriority w:val="99"/>
    <w:unhideWhenUsed/>
    <w:rsid w:val="00097203"/>
    <w:rPr>
      <w:color w:val="0000FF"/>
      <w:u w:val="single"/>
    </w:rPr>
  </w:style>
  <w:style w:type="paragraph" w:customStyle="1" w:styleId="xmsonormal">
    <w:name w:val="x_msonormal"/>
    <w:basedOn w:val="Normal"/>
    <w:rsid w:val="00097203"/>
    <w:pPr>
      <w:spacing w:before="100" w:beforeAutospacing="1" w:afterAutospacing="1" w:line="240" w:lineRule="auto"/>
      <w:jc w:val="left"/>
    </w:pPr>
    <w:rPr>
      <w:rFonts w:ascii="Times New Roman" w:hAnsi="Times New Roman"/>
      <w:sz w:val="24"/>
      <w:szCs w:val="24"/>
      <w:lang w:eastAsia="zh-CN"/>
    </w:rPr>
  </w:style>
  <w:style w:type="paragraph" w:customStyle="1" w:styleId="xmsolistparagraph">
    <w:name w:val="x_msolistparagraph"/>
    <w:basedOn w:val="Normal"/>
    <w:rsid w:val="00097203"/>
    <w:pPr>
      <w:spacing w:before="100" w:beforeAutospacing="1" w:afterAutospacing="1" w:line="240" w:lineRule="auto"/>
      <w:jc w:val="left"/>
    </w:pPr>
    <w:rPr>
      <w:rFonts w:ascii="Times New Roman" w:hAnsi="Times New Roman"/>
      <w:sz w:val="24"/>
      <w:szCs w:val="24"/>
      <w:lang w:eastAsia="zh-CN"/>
    </w:rPr>
  </w:style>
  <w:style w:type="character" w:styleId="FollowedHyperlink">
    <w:name w:val="FollowedHyperlink"/>
    <w:basedOn w:val="DefaultParagraphFont"/>
    <w:semiHidden/>
    <w:unhideWhenUsed/>
    <w:rsid w:val="00E33607"/>
    <w:rPr>
      <w:color w:val="800080" w:themeColor="followedHyperlink"/>
      <w:u w:val="single"/>
    </w:rPr>
  </w:style>
  <w:style w:type="character" w:styleId="UnresolvedMention">
    <w:name w:val="Unresolved Mention"/>
    <w:basedOn w:val="DefaultParagraphFont"/>
    <w:uiPriority w:val="99"/>
    <w:semiHidden/>
    <w:unhideWhenUsed/>
    <w:rsid w:val="004E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487">
      <w:bodyDiv w:val="1"/>
      <w:marLeft w:val="0"/>
      <w:marRight w:val="0"/>
      <w:marTop w:val="0"/>
      <w:marBottom w:val="0"/>
      <w:divBdr>
        <w:top w:val="none" w:sz="0" w:space="0" w:color="auto"/>
        <w:left w:val="none" w:sz="0" w:space="0" w:color="auto"/>
        <w:bottom w:val="none" w:sz="0" w:space="0" w:color="auto"/>
        <w:right w:val="none" w:sz="0" w:space="0" w:color="auto"/>
      </w:divBdr>
      <w:divsChild>
        <w:div w:id="981538074">
          <w:marLeft w:val="0"/>
          <w:marRight w:val="0"/>
          <w:marTop w:val="0"/>
          <w:marBottom w:val="0"/>
          <w:divBdr>
            <w:top w:val="none" w:sz="0" w:space="0" w:color="auto"/>
            <w:left w:val="none" w:sz="0" w:space="0" w:color="auto"/>
            <w:bottom w:val="none" w:sz="0" w:space="0" w:color="auto"/>
            <w:right w:val="none" w:sz="0" w:space="0" w:color="auto"/>
          </w:divBdr>
        </w:div>
      </w:divsChild>
    </w:div>
    <w:div w:id="991326544">
      <w:bodyDiv w:val="1"/>
      <w:marLeft w:val="0"/>
      <w:marRight w:val="0"/>
      <w:marTop w:val="0"/>
      <w:marBottom w:val="0"/>
      <w:divBdr>
        <w:top w:val="none" w:sz="0" w:space="0" w:color="auto"/>
        <w:left w:val="none" w:sz="0" w:space="0" w:color="auto"/>
        <w:bottom w:val="none" w:sz="0" w:space="0" w:color="auto"/>
        <w:right w:val="none" w:sz="0" w:space="0" w:color="auto"/>
      </w:divBdr>
    </w:div>
    <w:div w:id="1670060003">
      <w:bodyDiv w:val="1"/>
      <w:marLeft w:val="0"/>
      <w:marRight w:val="0"/>
      <w:marTop w:val="0"/>
      <w:marBottom w:val="0"/>
      <w:divBdr>
        <w:top w:val="none" w:sz="0" w:space="0" w:color="auto"/>
        <w:left w:val="none" w:sz="0" w:space="0" w:color="auto"/>
        <w:bottom w:val="none" w:sz="0" w:space="0" w:color="auto"/>
        <w:right w:val="none" w:sz="0" w:space="0" w:color="auto"/>
      </w:divBdr>
    </w:div>
    <w:div w:id="1790395365">
      <w:bodyDiv w:val="1"/>
      <w:marLeft w:val="0"/>
      <w:marRight w:val="0"/>
      <w:marTop w:val="0"/>
      <w:marBottom w:val="0"/>
      <w:divBdr>
        <w:top w:val="none" w:sz="0" w:space="0" w:color="auto"/>
        <w:left w:val="none" w:sz="0" w:space="0" w:color="auto"/>
        <w:bottom w:val="none" w:sz="0" w:space="0" w:color="auto"/>
        <w:right w:val="none" w:sz="0" w:space="0" w:color="auto"/>
      </w:divBdr>
      <w:divsChild>
        <w:div w:id="72049854">
          <w:marLeft w:val="0"/>
          <w:marRight w:val="0"/>
          <w:marTop w:val="0"/>
          <w:marBottom w:val="0"/>
          <w:divBdr>
            <w:top w:val="none" w:sz="0" w:space="0" w:color="auto"/>
            <w:left w:val="none" w:sz="0" w:space="0" w:color="auto"/>
            <w:bottom w:val="none" w:sz="0" w:space="0" w:color="auto"/>
            <w:right w:val="none" w:sz="0" w:space="0" w:color="auto"/>
          </w:divBdr>
          <w:divsChild>
            <w:div w:id="699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081">
      <w:bodyDiv w:val="1"/>
      <w:marLeft w:val="0"/>
      <w:marRight w:val="0"/>
      <w:marTop w:val="0"/>
      <w:marBottom w:val="0"/>
      <w:divBdr>
        <w:top w:val="none" w:sz="0" w:space="0" w:color="auto"/>
        <w:left w:val="none" w:sz="0" w:space="0" w:color="auto"/>
        <w:bottom w:val="none" w:sz="0" w:space="0" w:color="auto"/>
        <w:right w:val="none" w:sz="0" w:space="0" w:color="auto"/>
      </w:divBdr>
      <w:divsChild>
        <w:div w:id="1819030868">
          <w:marLeft w:val="0"/>
          <w:marRight w:val="0"/>
          <w:marTop w:val="0"/>
          <w:marBottom w:val="0"/>
          <w:divBdr>
            <w:top w:val="none" w:sz="0" w:space="0" w:color="auto"/>
            <w:left w:val="none" w:sz="0" w:space="0" w:color="auto"/>
            <w:bottom w:val="none" w:sz="0" w:space="0" w:color="auto"/>
            <w:right w:val="none" w:sz="0" w:space="0" w:color="auto"/>
          </w:divBdr>
          <w:divsChild>
            <w:div w:id="20107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10497">
      <w:bodyDiv w:val="1"/>
      <w:marLeft w:val="0"/>
      <w:marRight w:val="0"/>
      <w:marTop w:val="0"/>
      <w:marBottom w:val="0"/>
      <w:divBdr>
        <w:top w:val="none" w:sz="0" w:space="0" w:color="auto"/>
        <w:left w:val="none" w:sz="0" w:space="0" w:color="auto"/>
        <w:bottom w:val="none" w:sz="0" w:space="0" w:color="auto"/>
        <w:right w:val="none" w:sz="0" w:space="0" w:color="auto"/>
      </w:divBdr>
      <w:divsChild>
        <w:div w:id="776869916">
          <w:marLeft w:val="0"/>
          <w:marRight w:val="0"/>
          <w:marTop w:val="0"/>
          <w:marBottom w:val="0"/>
          <w:divBdr>
            <w:top w:val="none" w:sz="0" w:space="0" w:color="auto"/>
            <w:left w:val="none" w:sz="0" w:space="0" w:color="auto"/>
            <w:bottom w:val="none" w:sz="0" w:space="0" w:color="auto"/>
            <w:right w:val="none" w:sz="0" w:space="0" w:color="auto"/>
          </w:divBdr>
          <w:divsChild>
            <w:div w:id="1540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A1AA-8C0D-457B-AA16-0C12391D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14705</Words>
  <Characters>80864</Characters>
  <Application>Microsoft Office Word</Application>
  <DocSecurity>0</DocSecurity>
  <Lines>673</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2020-08-07T18:14:00Z</dcterms:created>
  <dcterms:modified xsi:type="dcterms:W3CDTF">2020-08-07T20:04:00Z</dcterms:modified>
</cp:coreProperties>
</file>