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E7806" w:rsidP="00B51E49" w14:paraId="396DF819" w14:textId="1C58DC86">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B51E49" w:rsidP="00B51E49" w14:paraId="1810BD26" w14:textId="553524AF">
      <w:pPr>
        <w:tabs>
          <w:tab w:val="left" w:pos="1440"/>
          <w:tab w:val="left" w:pos="4680"/>
          <w:tab w:val="center" w:pos="7200"/>
        </w:tabs>
        <w:spacing w:after="0"/>
        <w:jc w:val="center"/>
      </w:pPr>
    </w:p>
    <w:p w:rsidR="00B51E49" w:rsidP="00B51E49" w14:paraId="72CD2B28" w14:textId="71010510">
      <w:pPr>
        <w:tabs>
          <w:tab w:val="left" w:pos="1440"/>
          <w:tab w:val="left" w:pos="4680"/>
          <w:tab w:val="center" w:pos="7200"/>
        </w:tabs>
        <w:spacing w:after="0"/>
        <w:jc w:val="center"/>
      </w:pPr>
      <w:r>
        <w:t>THE PEOPLE</w:t>
      </w:r>
      <w:r w:rsidR="00717601">
        <w:t>,</w:t>
      </w:r>
    </w:p>
    <w:p w:rsidR="00B51E49" w:rsidP="00B51E49" w14:paraId="743F7ACE" w14:textId="4F2C1838">
      <w:pPr>
        <w:tabs>
          <w:tab w:val="left" w:pos="1440"/>
          <w:tab w:val="left" w:pos="4680"/>
          <w:tab w:val="center" w:pos="7200"/>
        </w:tabs>
        <w:spacing w:after="0"/>
        <w:jc w:val="center"/>
      </w:pPr>
      <w:r>
        <w:t>Plaintiff and Respondent</w:t>
      </w:r>
      <w:r w:rsidR="00717601">
        <w:t>,</w:t>
      </w:r>
    </w:p>
    <w:p w:rsidR="00B51E49" w:rsidP="00B51E49" w14:paraId="6A913CF8" w14:textId="16DEDEEC">
      <w:pPr>
        <w:tabs>
          <w:tab w:val="left" w:pos="1440"/>
          <w:tab w:val="left" w:pos="4680"/>
          <w:tab w:val="center" w:pos="7200"/>
        </w:tabs>
        <w:spacing w:after="0"/>
        <w:jc w:val="center"/>
      </w:pPr>
      <w:r>
        <w:t>v.</w:t>
      </w:r>
    </w:p>
    <w:p w:rsidR="00B51E49" w:rsidP="00B51E49" w14:paraId="7F1AD062" w14:textId="69A9FB47">
      <w:pPr>
        <w:tabs>
          <w:tab w:val="left" w:pos="1440"/>
          <w:tab w:val="left" w:pos="4680"/>
          <w:tab w:val="center" w:pos="7200"/>
        </w:tabs>
        <w:spacing w:after="0"/>
        <w:jc w:val="center"/>
      </w:pPr>
      <w:r>
        <w:t>ERIC JASON FRAHS</w:t>
      </w:r>
      <w:r w:rsidR="00717601">
        <w:t>,</w:t>
      </w:r>
    </w:p>
    <w:p w:rsidR="00B51E49" w:rsidP="00B51E49" w14:paraId="0E860387" w14:textId="79B51E1D">
      <w:pPr>
        <w:tabs>
          <w:tab w:val="left" w:pos="1440"/>
          <w:tab w:val="left" w:pos="4680"/>
          <w:tab w:val="center" w:pos="7200"/>
        </w:tabs>
        <w:spacing w:after="0"/>
        <w:jc w:val="center"/>
      </w:pPr>
      <w:r>
        <w:t>Defendant and Appellant.</w:t>
      </w:r>
    </w:p>
    <w:p w:rsidR="00B51E49" w:rsidP="00B51E49" w14:paraId="19D6AF28" w14:textId="5C0A5AE2">
      <w:pPr>
        <w:tabs>
          <w:tab w:val="left" w:pos="1440"/>
          <w:tab w:val="left" w:pos="4680"/>
          <w:tab w:val="center" w:pos="7200"/>
        </w:tabs>
        <w:spacing w:after="0"/>
        <w:jc w:val="center"/>
      </w:pPr>
    </w:p>
    <w:p w:rsidR="00B51E49" w:rsidP="00B51E49" w14:paraId="144D89A3" w14:textId="63FB9FD8">
      <w:pPr>
        <w:tabs>
          <w:tab w:val="left" w:pos="1440"/>
          <w:tab w:val="left" w:pos="4680"/>
          <w:tab w:val="center" w:pos="7200"/>
        </w:tabs>
        <w:spacing w:after="0"/>
        <w:jc w:val="center"/>
      </w:pPr>
      <w:r>
        <w:t>S252220</w:t>
      </w:r>
    </w:p>
    <w:p w:rsidR="00B51E49" w:rsidP="00B51E49" w14:paraId="47301B14" w14:textId="1B8BA08A">
      <w:pPr>
        <w:tabs>
          <w:tab w:val="left" w:pos="1440"/>
          <w:tab w:val="left" w:pos="4680"/>
          <w:tab w:val="center" w:pos="7200"/>
        </w:tabs>
        <w:spacing w:after="0"/>
        <w:jc w:val="center"/>
      </w:pPr>
    </w:p>
    <w:p w:rsidR="00B51E49" w:rsidP="00B51E49" w14:paraId="569A928B" w14:textId="0061F7A7">
      <w:pPr>
        <w:tabs>
          <w:tab w:val="left" w:pos="1440"/>
          <w:tab w:val="left" w:pos="4680"/>
          <w:tab w:val="center" w:pos="7200"/>
        </w:tabs>
        <w:spacing w:after="0"/>
        <w:jc w:val="center"/>
      </w:pPr>
      <w:r>
        <w:t>Fourth Appellate District, Division Three</w:t>
      </w:r>
    </w:p>
    <w:p w:rsidR="00B51E49" w:rsidP="00B51E49" w14:paraId="49667179" w14:textId="4964473B">
      <w:pPr>
        <w:tabs>
          <w:tab w:val="left" w:pos="1440"/>
          <w:tab w:val="left" w:pos="4680"/>
          <w:tab w:val="center" w:pos="7200"/>
        </w:tabs>
        <w:spacing w:after="0"/>
        <w:jc w:val="center"/>
      </w:pPr>
      <w:r>
        <w:t>G054674</w:t>
      </w:r>
    </w:p>
    <w:p w:rsidR="00B51E49" w:rsidP="00B51E49" w14:paraId="2ED78E40" w14:textId="1E78FF86">
      <w:pPr>
        <w:tabs>
          <w:tab w:val="left" w:pos="1440"/>
          <w:tab w:val="left" w:pos="4680"/>
          <w:tab w:val="center" w:pos="7200"/>
        </w:tabs>
        <w:spacing w:after="0"/>
        <w:jc w:val="center"/>
      </w:pPr>
    </w:p>
    <w:p w:rsidR="00B51E49" w:rsidP="00B51E49" w14:paraId="22EF7C17" w14:textId="15C7000C">
      <w:pPr>
        <w:tabs>
          <w:tab w:val="left" w:pos="1440"/>
          <w:tab w:val="left" w:pos="4680"/>
          <w:tab w:val="center" w:pos="7200"/>
        </w:tabs>
        <w:spacing w:after="0"/>
        <w:jc w:val="center"/>
      </w:pPr>
      <w:r>
        <w:t>Orange County</w:t>
      </w:r>
      <w:r w:rsidR="00C64AA8">
        <w:t xml:space="preserve"> Superior Court</w:t>
      </w:r>
    </w:p>
    <w:p w:rsidR="00B51E49" w:rsidP="00B51E49" w14:paraId="2BE86135" w14:textId="673B4082">
      <w:pPr>
        <w:tabs>
          <w:tab w:val="left" w:pos="1440"/>
          <w:tab w:val="left" w:pos="4680"/>
          <w:tab w:val="center" w:pos="7200"/>
        </w:tabs>
        <w:spacing w:after="0"/>
        <w:jc w:val="center"/>
      </w:pPr>
      <w:r>
        <w:t>16CF0837</w:t>
      </w:r>
    </w:p>
    <w:p w:rsidR="00B51E49" w:rsidP="00B51E49" w14:paraId="505EA20F" w14:textId="597BF862">
      <w:pPr>
        <w:pBdr>
          <w:bottom w:val="single" w:sz="4" w:space="1" w:color="auto"/>
        </w:pBdr>
        <w:tabs>
          <w:tab w:val="left" w:pos="1440"/>
          <w:tab w:val="left" w:pos="4680"/>
          <w:tab w:val="center" w:pos="7200"/>
        </w:tabs>
        <w:spacing w:after="0"/>
        <w:jc w:val="center"/>
      </w:pPr>
    </w:p>
    <w:p w:rsidR="00B51E49" w:rsidP="00B51E49" w14:paraId="03F4A6C4" w14:textId="5BAE548A">
      <w:pPr>
        <w:tabs>
          <w:tab w:val="left" w:pos="1440"/>
          <w:tab w:val="left" w:pos="4680"/>
          <w:tab w:val="center" w:pos="7200"/>
        </w:tabs>
        <w:spacing w:after="0"/>
        <w:jc w:val="center"/>
      </w:pPr>
    </w:p>
    <w:p w:rsidR="00B51E49" w:rsidP="00B51E49" w14:paraId="49EE19D5" w14:textId="487015F3">
      <w:pPr>
        <w:tabs>
          <w:tab w:val="left" w:pos="1440"/>
          <w:tab w:val="left" w:pos="4680"/>
          <w:tab w:val="center" w:pos="7200"/>
        </w:tabs>
        <w:spacing w:after="0"/>
        <w:jc w:val="center"/>
      </w:pPr>
      <w:r>
        <w:t>June 18,</w:t>
      </w:r>
      <w:r>
        <w:t xml:space="preserve"> 2020</w:t>
      </w:r>
    </w:p>
    <w:p w:rsidR="00B51E49" w:rsidP="00B51E49" w14:paraId="2D8EF4FA" w14:textId="6058E73F">
      <w:pPr>
        <w:tabs>
          <w:tab w:val="left" w:pos="1440"/>
          <w:tab w:val="left" w:pos="4680"/>
          <w:tab w:val="center" w:pos="7200"/>
        </w:tabs>
        <w:spacing w:after="0"/>
        <w:jc w:val="center"/>
      </w:pPr>
    </w:p>
    <w:p w:rsidR="00B51E49" w:rsidP="00052843" w14:paraId="4DAC4037" w14:textId="72CF0346">
      <w:pPr>
        <w:tabs>
          <w:tab w:val="left" w:pos="1440"/>
          <w:tab w:val="left" w:pos="4680"/>
          <w:tab w:val="center" w:pos="7200"/>
        </w:tabs>
        <w:spacing w:after="0"/>
      </w:pPr>
      <w:r>
        <w:t xml:space="preserve">Chief Justice Cantil-Sakauye authored the opinion of the Court, in which Justices </w:t>
      </w:r>
      <w:r w:rsidR="00052843">
        <w:t xml:space="preserve">Chin, Corrigan, Liu, </w:t>
      </w:r>
      <w:r w:rsidR="005A27DC">
        <w:t xml:space="preserve">Cuéllar, </w:t>
      </w:r>
      <w:r w:rsidR="00052843">
        <w:t xml:space="preserve">Kruger, </w:t>
      </w:r>
      <w:r>
        <w:t xml:space="preserve">and </w:t>
      </w:r>
      <w:r w:rsidR="00052843">
        <w:t>Groban</w:t>
      </w:r>
      <w:r>
        <w:t xml:space="preserve"> concurred.</w:t>
      </w:r>
    </w:p>
    <w:p w:rsidR="00B51E49" w:rsidRPr="00B51E49" w:rsidP="00B51E49" w14:paraId="77BFC935" w14:textId="77777777">
      <w:pPr>
        <w:pBdr>
          <w:bottom w:val="single" w:sz="4" w:space="1" w:color="auto"/>
        </w:pBdr>
        <w:tabs>
          <w:tab w:val="left" w:pos="1440"/>
          <w:tab w:val="left" w:pos="4680"/>
          <w:tab w:val="center" w:pos="7200"/>
        </w:tabs>
        <w:spacing w:line="480" w:lineRule="atLeast"/>
        <w:jc w:val="left"/>
      </w:pPr>
      <w:bookmarkStart w:id="2" w:name="Return"/>
      <w:bookmarkEnd w:id="2"/>
    </w:p>
    <w:p w:rsidR="00B51E49" w14:paraId="4DF6E195" w14:textId="77777777">
      <w:pPr>
        <w:tabs>
          <w:tab w:val="left" w:pos="1440"/>
          <w:tab w:val="left" w:pos="4680"/>
          <w:tab w:val="center" w:pos="7200"/>
        </w:tabs>
        <w:spacing w:line="480" w:lineRule="atLeast"/>
        <w:sectPr w:rsidSect="00B51E49">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B51E49" w:rsidP="00B51E49" w14:paraId="0581E973" w14:textId="59C6CE0E">
      <w:pPr>
        <w:tabs>
          <w:tab w:val="left" w:pos="1440"/>
          <w:tab w:val="left" w:pos="4680"/>
          <w:tab w:val="center" w:pos="7200"/>
        </w:tabs>
        <w:jc w:val="center"/>
      </w:pPr>
      <w:r>
        <w:t>PEOPLE v. FRAHS</w:t>
      </w:r>
    </w:p>
    <w:p w:rsidR="00B51E49" w:rsidP="00B51E49" w14:paraId="02657377" w14:textId="0F4BC378">
      <w:pPr>
        <w:tabs>
          <w:tab w:val="left" w:pos="1440"/>
          <w:tab w:val="left" w:pos="4680"/>
          <w:tab w:val="center" w:pos="7200"/>
        </w:tabs>
        <w:jc w:val="center"/>
      </w:pPr>
      <w:r>
        <w:t>S252220</w:t>
      </w:r>
    </w:p>
    <w:p w:rsidR="00B51E49" w:rsidP="00B51E49" w14:paraId="68969438" w14:textId="73C11DCA">
      <w:pPr>
        <w:tabs>
          <w:tab w:val="left" w:pos="1440"/>
          <w:tab w:val="left" w:pos="4680"/>
          <w:tab w:val="center" w:pos="7200"/>
        </w:tabs>
        <w:jc w:val="center"/>
      </w:pPr>
    </w:p>
    <w:p w:rsidR="00B51E49" w:rsidP="00B51E49" w14:paraId="52A0D70D" w14:textId="2B9A3C4B">
      <w:pPr>
        <w:tabs>
          <w:tab w:val="left" w:pos="1440"/>
          <w:tab w:val="left" w:pos="4680"/>
          <w:tab w:val="center" w:pos="7200"/>
        </w:tabs>
        <w:jc w:val="center"/>
      </w:pPr>
      <w:r>
        <w:t>Opinion of the Court by Cantil-Sakauye, C. J.</w:t>
      </w:r>
    </w:p>
    <w:p w:rsidR="00B51E49" w:rsidRPr="00B51E49" w:rsidP="00B51E49" w14:paraId="5707DB97" w14:textId="77777777">
      <w:pPr>
        <w:tabs>
          <w:tab w:val="left" w:pos="1440"/>
          <w:tab w:val="left" w:pos="4680"/>
          <w:tab w:val="center" w:pos="7200"/>
        </w:tabs>
        <w:jc w:val="center"/>
      </w:pPr>
    </w:p>
    <w:p w:rsidR="00A9438F" w:rsidRPr="00B51E49" w:rsidP="00B51E49" w14:paraId="0957B0F3" w14:textId="06F2D911">
      <w:pPr>
        <w:tabs>
          <w:tab w:val="left" w:pos="1440"/>
        </w:tabs>
        <w:ind w:firstLine="720"/>
      </w:pPr>
      <w:bookmarkStart w:id="3" w:name="mainstory"/>
      <w:bookmarkEnd w:id="3"/>
      <w:r w:rsidRPr="00B51E49">
        <w:t>In June 201</w:t>
      </w:r>
      <w:r w:rsidRPr="00B51E49" w:rsidR="00B2544B">
        <w:t>8</w:t>
      </w:r>
      <w:r w:rsidRPr="00B51E49">
        <w:t>, the Legislature enacted Penal Code</w:t>
      </w:r>
      <w:r>
        <w:rPr>
          <w:rStyle w:val="FootnoteReference"/>
        </w:rPr>
        <w:footnoteReference w:id="3"/>
      </w:r>
      <w:r w:rsidRPr="00B51E49">
        <w:t xml:space="preserve"> section</w:t>
      </w:r>
      <w:r w:rsidRPr="00B51E49" w:rsidR="007A281C">
        <w:t>s 1001.35 and</w:t>
      </w:r>
      <w:r w:rsidRPr="00B51E49">
        <w:t xml:space="preserve"> 1001.36, which created a pretrial diversion program for </w:t>
      </w:r>
      <w:r w:rsidRPr="00B51E49" w:rsidR="00383CD1">
        <w:t xml:space="preserve">certain </w:t>
      </w:r>
      <w:r w:rsidRPr="00B51E49">
        <w:t xml:space="preserve">defendants with mental </w:t>
      </w:r>
      <w:r w:rsidRPr="00B51E49" w:rsidR="00A65DA0">
        <w:t xml:space="preserve">health </w:t>
      </w:r>
      <w:r w:rsidRPr="00B51E49">
        <w:t xml:space="preserve">disorders.  </w:t>
      </w:r>
      <w:r w:rsidRPr="00B51E49" w:rsidR="00383CD1">
        <w:t xml:space="preserve">(Stats. 2018, ch. 34, § 24.)  </w:t>
      </w:r>
      <w:r w:rsidRPr="00B51E49">
        <w:t>We granted review in this matter</w:t>
      </w:r>
      <w:r w:rsidRPr="00B51E49" w:rsidR="003256D8">
        <w:t xml:space="preserve"> </w:t>
      </w:r>
      <w:r w:rsidRPr="00B51E49">
        <w:t xml:space="preserve">to determine </w:t>
      </w:r>
      <w:r w:rsidRPr="00B51E49" w:rsidR="00653E96">
        <w:t xml:space="preserve">whether the mental health diversion </w:t>
      </w:r>
      <w:r w:rsidRPr="00B51E49" w:rsidR="0055413D">
        <w:t>statute</w:t>
      </w:r>
      <w:r w:rsidRPr="00B51E49" w:rsidR="00653E96">
        <w:t xml:space="preserve"> applies retroactively to </w:t>
      </w:r>
      <w:r w:rsidR="00F448E2">
        <w:t>cases</w:t>
      </w:r>
      <w:r w:rsidRPr="00B51E49" w:rsidR="00653E96">
        <w:t xml:space="preserve"> in which the judgment is not </w:t>
      </w:r>
      <w:r w:rsidRPr="00B51E49" w:rsidR="00B17807">
        <w:t xml:space="preserve">yet </w:t>
      </w:r>
      <w:r w:rsidRPr="00B51E49" w:rsidR="00653E96">
        <w:t>final</w:t>
      </w:r>
      <w:r w:rsidRPr="00B51E49" w:rsidR="002F5725">
        <w:t>, and</w:t>
      </w:r>
      <w:r w:rsidRPr="00B51E49" w:rsidR="008061B8">
        <w:t xml:space="preserve"> whether the Court of Appeal erred </w:t>
      </w:r>
      <w:r w:rsidRPr="00B51E49" w:rsidR="00E77F68">
        <w:t xml:space="preserve">when it </w:t>
      </w:r>
      <w:r w:rsidRPr="00B51E49" w:rsidR="00D86726">
        <w:t xml:space="preserve">conditionally </w:t>
      </w:r>
      <w:r w:rsidRPr="00B51E49" w:rsidR="00E77F68">
        <w:t xml:space="preserve">reversed </w:t>
      </w:r>
      <w:r w:rsidRPr="00B51E49" w:rsidR="00D86726">
        <w:t>defendant</w:t>
      </w:r>
      <w:r w:rsidR="002F1008">
        <w:t xml:space="preserve"> </w:t>
      </w:r>
      <w:r w:rsidRPr="00B51E49" w:rsidR="002F1008">
        <w:t>Eric Jason Frahs</w:t>
      </w:r>
      <w:r w:rsidRPr="00B51E49" w:rsidR="00C045E2">
        <w:t>’</w:t>
      </w:r>
      <w:r w:rsidRPr="00B51E49" w:rsidR="00D86726">
        <w:t xml:space="preserve">s convictions and sentence and </w:t>
      </w:r>
      <w:r w:rsidRPr="00B51E49" w:rsidR="00E77F68">
        <w:t xml:space="preserve">remanded </w:t>
      </w:r>
      <w:r w:rsidRPr="00B51E49" w:rsidR="008F451A">
        <w:t xml:space="preserve">this case </w:t>
      </w:r>
      <w:r w:rsidRPr="00B51E49" w:rsidR="00B71D9A">
        <w:t xml:space="preserve">for a </w:t>
      </w:r>
      <w:r w:rsidRPr="00B51E49" w:rsidR="001E6AE7">
        <w:t>diversion eligibility hearing</w:t>
      </w:r>
      <w:r w:rsidRPr="00B51E49" w:rsidR="008F451A">
        <w:t>.</w:t>
      </w:r>
    </w:p>
    <w:p w:rsidR="003E7806" w:rsidRPr="00B51E49" w:rsidP="00B51E49" w14:paraId="37313428" w14:textId="4B27058C">
      <w:pPr>
        <w:tabs>
          <w:tab w:val="left" w:pos="1440"/>
        </w:tabs>
        <w:ind w:firstLine="720"/>
      </w:pPr>
      <w:r w:rsidRPr="00B51E49">
        <w:t xml:space="preserve">Here, </w:t>
      </w:r>
      <w:r w:rsidRPr="00B51E49" w:rsidR="00F83F4C">
        <w:t xml:space="preserve">defendant </w:t>
      </w:r>
      <w:r w:rsidRPr="00B51E49" w:rsidR="002233D4">
        <w:t>stole</w:t>
      </w:r>
      <w:r w:rsidRPr="00B51E49" w:rsidR="00D1743D">
        <w:t xml:space="preserve"> </w:t>
      </w:r>
      <w:r w:rsidRPr="00B51E49" w:rsidR="00B80B62">
        <w:t>two beverages</w:t>
      </w:r>
      <w:r w:rsidRPr="00B51E49" w:rsidR="00D1743D">
        <w:t xml:space="preserve"> from </w:t>
      </w:r>
      <w:r w:rsidRPr="00B51E49" w:rsidR="00A4772B">
        <w:t>a convenien</w:t>
      </w:r>
      <w:r w:rsidRPr="00B51E49" w:rsidR="008267C2">
        <w:t>ce</w:t>
      </w:r>
      <w:r w:rsidRPr="00B51E49" w:rsidR="00A4772B">
        <w:t xml:space="preserve"> store</w:t>
      </w:r>
      <w:r w:rsidRPr="00B51E49" w:rsidR="008267C2">
        <w:t xml:space="preserve"> and threw rocks at passing </w:t>
      </w:r>
      <w:r w:rsidRPr="00B51E49" w:rsidR="00D216FE">
        <w:t>cars</w:t>
      </w:r>
      <w:r w:rsidRPr="00B51E49" w:rsidR="00A4772B">
        <w:t xml:space="preserve">.  </w:t>
      </w:r>
      <w:r w:rsidRPr="00B51E49" w:rsidR="00D216FE">
        <w:t xml:space="preserve">At trial, he </w:t>
      </w:r>
      <w:r w:rsidRPr="00B51E49" w:rsidR="00BC057D">
        <w:t>introduced</w:t>
      </w:r>
      <w:r w:rsidRPr="00B51E49" w:rsidR="00D216FE">
        <w:t xml:space="preserve"> evidence that he suffers from a form of schizophrenia.  </w:t>
      </w:r>
      <w:r w:rsidRPr="00B51E49" w:rsidR="001A5AB0">
        <w:t>After defendant was convicted, and w</w:t>
      </w:r>
      <w:r w:rsidRPr="00B51E49" w:rsidR="0003290A">
        <w:t xml:space="preserve">hile </w:t>
      </w:r>
      <w:r w:rsidRPr="00B51E49" w:rsidR="007D5051">
        <w:t>his</w:t>
      </w:r>
      <w:r w:rsidRPr="00B51E49" w:rsidR="0003290A">
        <w:t xml:space="preserve"> appeal</w:t>
      </w:r>
      <w:r w:rsidRPr="00B51E49" w:rsidR="00BB3883">
        <w:t xml:space="preserve"> was pending</w:t>
      </w:r>
      <w:r w:rsidRPr="00B51E49" w:rsidR="00BC4873">
        <w:t>,</w:t>
      </w:r>
      <w:r w:rsidRPr="00B51E49" w:rsidR="0034213E">
        <w:t xml:space="preserve"> </w:t>
      </w:r>
      <w:r w:rsidRPr="00B51E49" w:rsidR="00FE56A9">
        <w:t>the mental health diversion statute</w:t>
      </w:r>
      <w:r w:rsidRPr="00B51E49" w:rsidR="00CD021E">
        <w:t xml:space="preserve"> came into effect</w:t>
      </w:r>
      <w:r w:rsidRPr="00B51E49" w:rsidR="0003290A">
        <w:t>.</w:t>
      </w:r>
      <w:r w:rsidRPr="00B51E49" w:rsidR="00B86C07">
        <w:t xml:space="preserve"> </w:t>
      </w:r>
      <w:r w:rsidRPr="00B51E49" w:rsidR="008E624E">
        <w:t xml:space="preserve"> </w:t>
      </w:r>
      <w:r w:rsidRPr="00B51E49" w:rsidR="0056602E">
        <w:t xml:space="preserve">The Court of Appeal </w:t>
      </w:r>
      <w:r w:rsidRPr="00B51E49" w:rsidR="002A3C12">
        <w:t>concluded</w:t>
      </w:r>
      <w:r w:rsidRPr="00B51E49" w:rsidR="0056602E">
        <w:t xml:space="preserve"> that </w:t>
      </w:r>
      <w:r w:rsidRPr="00B51E49" w:rsidR="0018187A">
        <w:t>section 1001.36</w:t>
      </w:r>
      <w:r w:rsidR="00391353">
        <w:t>, which contains the diversion measure’s substantive provisions</w:t>
      </w:r>
      <w:r w:rsidR="00FA29BB">
        <w:t xml:space="preserve">, </w:t>
      </w:r>
      <w:r w:rsidRPr="00B51E49" w:rsidR="0056602E">
        <w:t>applies retroactively</w:t>
      </w:r>
      <w:r w:rsidRPr="00B51E49" w:rsidR="00732E69">
        <w:t xml:space="preserve"> to all </w:t>
      </w:r>
      <w:r w:rsidRPr="00B51E49" w:rsidR="005564AD">
        <w:t xml:space="preserve">cases not </w:t>
      </w:r>
      <w:r w:rsidRPr="00B51E49" w:rsidR="008221F1">
        <w:t xml:space="preserve">yet </w:t>
      </w:r>
      <w:r w:rsidRPr="00B51E49" w:rsidR="005564AD">
        <w:t>final on appeal</w:t>
      </w:r>
      <w:r w:rsidRPr="00B51E49" w:rsidR="00B06D8F">
        <w:t xml:space="preserve"> </w:t>
      </w:r>
      <w:r w:rsidRPr="00B51E49" w:rsidR="00A858F2">
        <w:t xml:space="preserve">before the statute </w:t>
      </w:r>
      <w:r w:rsidRPr="00B51E49" w:rsidR="00854847">
        <w:t>became effective</w:t>
      </w:r>
      <w:r w:rsidRPr="00B51E49" w:rsidR="00F77548">
        <w:t xml:space="preserve">, including </w:t>
      </w:r>
      <w:r w:rsidRPr="00B51E49" w:rsidR="00F83F4C">
        <w:t>defendant</w:t>
      </w:r>
      <w:r w:rsidRPr="00B51E49" w:rsidR="009E3E5D">
        <w:t>’s</w:t>
      </w:r>
      <w:r w:rsidRPr="00B51E49" w:rsidR="00EF1582">
        <w:t xml:space="preserve"> case</w:t>
      </w:r>
      <w:r w:rsidRPr="00B51E49" w:rsidR="00732E69">
        <w:t>.  It</w:t>
      </w:r>
      <w:r w:rsidRPr="00B51E49" w:rsidR="0056602E">
        <w:t xml:space="preserve"> conditionally reversed </w:t>
      </w:r>
      <w:r w:rsidRPr="00B51E49" w:rsidR="00F83F4C">
        <w:t>defendant</w:t>
      </w:r>
      <w:r w:rsidRPr="00B51E49" w:rsidR="009E3E5D">
        <w:t xml:space="preserve">’s </w:t>
      </w:r>
      <w:r w:rsidRPr="00B51E49" w:rsidR="0056602E">
        <w:t>convictions and sentence</w:t>
      </w:r>
      <w:r w:rsidRPr="00B51E49" w:rsidR="008E039A">
        <w:t>,</w:t>
      </w:r>
      <w:r w:rsidRPr="00B51E49" w:rsidR="00732E69">
        <w:t xml:space="preserve"> and remanded the matter to the trial court </w:t>
      </w:r>
      <w:r w:rsidRPr="00B51E49" w:rsidR="0014552F">
        <w:t>with instruction</w:t>
      </w:r>
      <w:r w:rsidRPr="00B51E49" w:rsidR="006B2929">
        <w:t>s</w:t>
      </w:r>
      <w:r w:rsidRPr="00B51E49" w:rsidR="0014552F">
        <w:t xml:space="preserve"> to </w:t>
      </w:r>
      <w:r w:rsidRPr="00B51E49" w:rsidR="0014552F">
        <w:t>conduct</w:t>
      </w:r>
      <w:r w:rsidRPr="00B51E49" w:rsidR="00732E69">
        <w:t xml:space="preserve"> a diversion eligibility hearing</w:t>
      </w:r>
      <w:r w:rsidRPr="00B51E49" w:rsidR="0056602E">
        <w:t xml:space="preserve">.  </w:t>
      </w:r>
      <w:r w:rsidRPr="00B51E49" w:rsidR="008B5734">
        <w:t>(</w:t>
      </w:r>
      <w:r w:rsidRPr="00B51E49" w:rsidR="008B5734">
        <w:rPr>
          <w:i/>
        </w:rPr>
        <w:t xml:space="preserve">People v. Frahs </w:t>
      </w:r>
      <w:r w:rsidRPr="00B51E49" w:rsidR="008B5734">
        <w:t>(2018) 27 Cal.App.5th 784 (</w:t>
      </w:r>
      <w:r w:rsidRPr="00B51E49" w:rsidR="008B5734">
        <w:rPr>
          <w:i/>
        </w:rPr>
        <w:t>Frahs</w:t>
      </w:r>
      <w:r w:rsidRPr="00B51E49" w:rsidR="008B5734">
        <w:t>).)</w:t>
      </w:r>
    </w:p>
    <w:p w:rsidR="008062CE" w:rsidRPr="00B51E49" w:rsidP="00B51E49" w14:paraId="105F36B0" w14:textId="5450C321">
      <w:pPr>
        <w:tabs>
          <w:tab w:val="left" w:pos="1440"/>
        </w:tabs>
        <w:ind w:firstLine="720"/>
      </w:pPr>
      <w:r w:rsidRPr="00B51E49">
        <w:t xml:space="preserve">In </w:t>
      </w:r>
      <w:r w:rsidRPr="00B51E49">
        <w:rPr>
          <w:i/>
        </w:rPr>
        <w:t>In re Estrada</w:t>
      </w:r>
      <w:r w:rsidRPr="00B51E49">
        <w:t xml:space="preserve"> (1965) 63 Cal.2d 740 (</w:t>
      </w:r>
      <w:r w:rsidRPr="00B51E49">
        <w:rPr>
          <w:i/>
        </w:rPr>
        <w:t>Estrada</w:t>
      </w:r>
      <w:r w:rsidRPr="00B51E49">
        <w:t>), we held that a</w:t>
      </w:r>
      <w:r w:rsidRPr="00B51E49" w:rsidR="00B3142C">
        <w:t>n amendatory</w:t>
      </w:r>
      <w:r w:rsidRPr="00B51E49">
        <w:t xml:space="preserve"> statute </w:t>
      </w:r>
      <w:r w:rsidRPr="00B51E49" w:rsidR="00B3142C">
        <w:t>lessening</w:t>
      </w:r>
      <w:r w:rsidRPr="00B51E49">
        <w:t xml:space="preserve"> punishment for a crime </w:t>
      </w:r>
      <w:r w:rsidRPr="00B51E49" w:rsidR="009353EB">
        <w:t>wa</w:t>
      </w:r>
      <w:r w:rsidRPr="00B51E49">
        <w:t>s presumptively retroactive and applie</w:t>
      </w:r>
      <w:r w:rsidRPr="00B51E49" w:rsidR="009353EB">
        <w:t>d</w:t>
      </w:r>
      <w:r w:rsidRPr="00B51E49">
        <w:t xml:space="preserve"> to </w:t>
      </w:r>
      <w:r w:rsidRPr="00B51E49" w:rsidR="009F7DF6">
        <w:t>all persons whose</w:t>
      </w:r>
      <w:r w:rsidRPr="00B51E49">
        <w:t xml:space="preserve"> </w:t>
      </w:r>
      <w:r w:rsidRPr="00B51E49" w:rsidR="009F7DF6">
        <w:t>j</w:t>
      </w:r>
      <w:r w:rsidRPr="00B51E49">
        <w:t>udgment</w:t>
      </w:r>
      <w:r w:rsidRPr="00B51E49" w:rsidR="001A5AB0">
        <w:t>s</w:t>
      </w:r>
      <w:r w:rsidRPr="00B51E49">
        <w:t xml:space="preserve"> </w:t>
      </w:r>
      <w:r w:rsidRPr="00B51E49" w:rsidR="009353EB">
        <w:t>we</w:t>
      </w:r>
      <w:r w:rsidRPr="00B51E49" w:rsidR="001A5AB0">
        <w:t xml:space="preserve">re </w:t>
      </w:r>
      <w:r w:rsidRPr="00B51E49">
        <w:t xml:space="preserve">not </w:t>
      </w:r>
      <w:r w:rsidRPr="00B51E49" w:rsidR="00072E18">
        <w:t xml:space="preserve">yet </w:t>
      </w:r>
      <w:r w:rsidRPr="00B51E49">
        <w:t xml:space="preserve">final </w:t>
      </w:r>
      <w:r w:rsidRPr="00B51E49" w:rsidR="009F7DF6">
        <w:t>at the time the statute t</w:t>
      </w:r>
      <w:r w:rsidRPr="00B51E49" w:rsidR="009353EB">
        <w:t>ook</w:t>
      </w:r>
      <w:r w:rsidRPr="00B51E49" w:rsidR="008B5734">
        <w:t xml:space="preserve"> </w:t>
      </w:r>
      <w:r w:rsidRPr="00B51E49">
        <w:t xml:space="preserve">effect.  In </w:t>
      </w:r>
      <w:r w:rsidRPr="00B51E49" w:rsidR="009C77A5">
        <w:rPr>
          <w:i/>
        </w:rPr>
        <w:t xml:space="preserve">People v. Superior Court </w:t>
      </w:r>
      <w:r w:rsidRPr="003A71C9" w:rsidR="009C77A5">
        <w:t>(</w:t>
      </w:r>
      <w:r w:rsidRPr="00B51E49" w:rsidR="009C77A5">
        <w:rPr>
          <w:i/>
        </w:rPr>
        <w:t>Lara</w:t>
      </w:r>
      <w:r w:rsidRPr="003A71C9" w:rsidR="009C77A5">
        <w:t>)</w:t>
      </w:r>
      <w:r w:rsidRPr="00B51E49" w:rsidR="009C77A5">
        <w:t xml:space="preserve"> (</w:t>
      </w:r>
      <w:r w:rsidRPr="00B51E49" w:rsidR="00333554">
        <w:t xml:space="preserve">2018) </w:t>
      </w:r>
      <w:r w:rsidRPr="00B51E49" w:rsidR="009C77A5">
        <w:t>4 Cal.5th 299 (</w:t>
      </w:r>
      <w:r w:rsidRPr="00B51E49" w:rsidR="009C77A5">
        <w:rPr>
          <w:i/>
        </w:rPr>
        <w:t>Lara</w:t>
      </w:r>
      <w:r w:rsidRPr="00B51E49" w:rsidR="009C77A5">
        <w:t xml:space="preserve">), we applied the </w:t>
      </w:r>
      <w:r w:rsidRPr="00B51E49" w:rsidR="009C77A5">
        <w:rPr>
          <w:i/>
        </w:rPr>
        <w:t xml:space="preserve">Estrada </w:t>
      </w:r>
      <w:r w:rsidRPr="00B51E49" w:rsidR="009C77A5">
        <w:t xml:space="preserve">rule to </w:t>
      </w:r>
      <w:r w:rsidRPr="00B51E49" w:rsidR="00CF6669">
        <w:t>legislation that</w:t>
      </w:r>
      <w:r w:rsidRPr="00B51E49" w:rsidR="004460B5">
        <w:t xml:space="preserve"> </w:t>
      </w:r>
      <w:r w:rsidRPr="00B51E49" w:rsidR="00B3142C">
        <w:t>mitigat</w:t>
      </w:r>
      <w:r w:rsidRPr="00B51E49" w:rsidR="001850BD">
        <w:t>ed</w:t>
      </w:r>
      <w:r w:rsidRPr="00B51E49" w:rsidR="00F61F63">
        <w:t xml:space="preserve"> the possible punishment for </w:t>
      </w:r>
      <w:r w:rsidRPr="00B51E49" w:rsidR="0058364D">
        <w:t>a class of persons</w:t>
      </w:r>
      <w:r w:rsidRPr="00B51E49" w:rsidR="00F61F63">
        <w:t xml:space="preserve">.  </w:t>
      </w:r>
      <w:r w:rsidRPr="00B51E49" w:rsidR="00B64E5C">
        <w:t xml:space="preserve">The statute here is similar to the scheme we considered in </w:t>
      </w:r>
      <w:r w:rsidRPr="00B51E49" w:rsidR="00B64E5C">
        <w:rPr>
          <w:i/>
        </w:rPr>
        <w:t>Lara</w:t>
      </w:r>
      <w:r w:rsidRPr="00B51E49" w:rsidR="00470E56">
        <w:t xml:space="preserve">, </w:t>
      </w:r>
      <w:r w:rsidRPr="00B51E49" w:rsidR="00B64E5C">
        <w:t xml:space="preserve">in that </w:t>
      </w:r>
      <w:r w:rsidRPr="00B51E49" w:rsidR="00472708">
        <w:t>section 1001.3</w:t>
      </w:r>
      <w:r w:rsidRPr="00B51E49" w:rsidR="002834D5">
        <w:t>6</w:t>
      </w:r>
      <w:r w:rsidRPr="00B51E49" w:rsidR="00472708">
        <w:t xml:space="preserve"> </w:t>
      </w:r>
      <w:r w:rsidRPr="00B51E49" w:rsidR="00480DC0">
        <w:t xml:space="preserve">by design and function </w:t>
      </w:r>
      <w:r w:rsidRPr="00B51E49" w:rsidR="00E013D9">
        <w:t>provides a</w:t>
      </w:r>
      <w:r w:rsidRPr="00B51E49" w:rsidR="00861FE5">
        <w:t xml:space="preserve"> possible</w:t>
      </w:r>
      <w:r w:rsidRPr="00B51E49" w:rsidR="008F74A0">
        <w:t xml:space="preserve"> ameliorating benefit </w:t>
      </w:r>
      <w:r w:rsidRPr="00B51E49" w:rsidR="00FB2231">
        <w:t>for a class of persons — namely,</w:t>
      </w:r>
      <w:r w:rsidRPr="00B51E49" w:rsidR="006E47AC">
        <w:t xml:space="preserve"> </w:t>
      </w:r>
      <w:r w:rsidRPr="00B51E49" w:rsidR="00861FE5">
        <w:t xml:space="preserve">certain </w:t>
      </w:r>
      <w:r w:rsidRPr="00B51E49" w:rsidR="00301EED">
        <w:t>defendants with mental disorders</w:t>
      </w:r>
      <w:r w:rsidRPr="00B51E49" w:rsidR="00FB2231">
        <w:t xml:space="preserve"> — </w:t>
      </w:r>
      <w:r w:rsidRPr="00B51E49" w:rsidR="006F4547">
        <w:t>by offering</w:t>
      </w:r>
      <w:r w:rsidRPr="00B51E49" w:rsidR="00861FE5">
        <w:t xml:space="preserve"> an opportunity for </w:t>
      </w:r>
      <w:r w:rsidRPr="00B51E49" w:rsidR="006F4547">
        <w:t xml:space="preserve">diversion and ultimately </w:t>
      </w:r>
      <w:r w:rsidRPr="00B51E49" w:rsidR="00861FE5">
        <w:t xml:space="preserve">the </w:t>
      </w:r>
      <w:r w:rsidRPr="00B51E49" w:rsidR="006F4547">
        <w:t>dismissal</w:t>
      </w:r>
      <w:r w:rsidRPr="00B51E49" w:rsidR="00861FE5">
        <w:t xml:space="preserve"> of charges</w:t>
      </w:r>
      <w:r w:rsidRPr="00B51E49" w:rsidR="00301EED">
        <w:t>.</w:t>
      </w:r>
      <w:r w:rsidRPr="00B51E49" w:rsidR="00FB4EF9">
        <w:t xml:space="preserve">  </w:t>
      </w:r>
      <w:r w:rsidRPr="00B51E49" w:rsidR="00B64E5C">
        <w:t>Moreover, n</w:t>
      </w:r>
      <w:r w:rsidRPr="00B51E49" w:rsidR="00E013D9">
        <w:t xml:space="preserve">either the text nor the history of section 1001.36 clearly indicates </w:t>
      </w:r>
      <w:r w:rsidRPr="00B51E49" w:rsidR="00861FE5">
        <w:t xml:space="preserve">that the Legislature intended that the </w:t>
      </w:r>
      <w:r w:rsidRPr="00B51E49" w:rsidR="00861FE5">
        <w:rPr>
          <w:i/>
        </w:rPr>
        <w:t>Estrada</w:t>
      </w:r>
      <w:r w:rsidRPr="00B51E49" w:rsidR="00861FE5">
        <w:t xml:space="preserve"> rule would not apply </w:t>
      </w:r>
      <w:r w:rsidRPr="00B51E49" w:rsidR="00EE3994">
        <w:t xml:space="preserve">to </w:t>
      </w:r>
      <w:r w:rsidRPr="00B51E49" w:rsidR="00861FE5">
        <w:t>this diversion program</w:t>
      </w:r>
      <w:r w:rsidRPr="00B51E49" w:rsidR="00E013D9">
        <w:t xml:space="preserve">. </w:t>
      </w:r>
      <w:r w:rsidRPr="00B51E49" w:rsidR="00E013D9">
        <w:rPr>
          <w:i/>
        </w:rPr>
        <w:t xml:space="preserve"> </w:t>
      </w:r>
      <w:r w:rsidRPr="00B51E49" w:rsidR="00831EE9">
        <w:t>Therefore, c</w:t>
      </w:r>
      <w:r w:rsidRPr="00B51E49" w:rsidR="00F66C9B">
        <w:t xml:space="preserve">onsistent with our decision in </w:t>
      </w:r>
      <w:r w:rsidRPr="00B51E49" w:rsidR="00F66C9B">
        <w:rPr>
          <w:i/>
        </w:rPr>
        <w:t>Lara</w:t>
      </w:r>
      <w:r w:rsidRPr="00B51E49" w:rsidR="00D46257">
        <w:t xml:space="preserve">, </w:t>
      </w:r>
      <w:r w:rsidR="00EC143D">
        <w:t>we</w:t>
      </w:r>
      <w:r w:rsidRPr="00B51E49" w:rsidR="00D46257">
        <w:t xml:space="preserve"> conclude</w:t>
      </w:r>
      <w:r w:rsidRPr="00B51E49" w:rsidR="00F66C9B">
        <w:t xml:space="preserve"> </w:t>
      </w:r>
      <w:r w:rsidRPr="00B51E49" w:rsidR="00D46257">
        <w:t xml:space="preserve">that </w:t>
      </w:r>
      <w:r w:rsidRPr="00B51E49" w:rsidR="00D46257">
        <w:rPr>
          <w:i/>
        </w:rPr>
        <w:t>Estrada</w:t>
      </w:r>
      <w:r w:rsidRPr="00B51E49" w:rsidR="00D46257">
        <w:t>’s inference of retroactivity applies</w:t>
      </w:r>
      <w:r w:rsidRPr="00B51E49" w:rsidR="00E013D9">
        <w:t xml:space="preserve">.  </w:t>
      </w:r>
      <w:r w:rsidR="00EC143D">
        <w:t>W</w:t>
      </w:r>
      <w:r w:rsidRPr="00B51E49" w:rsidR="00764C21">
        <w:t xml:space="preserve">e </w:t>
      </w:r>
      <w:r w:rsidRPr="00B51E49" w:rsidR="00D418F1">
        <w:t xml:space="preserve">also </w:t>
      </w:r>
      <w:r w:rsidRPr="00B51E49" w:rsidR="00D029D0">
        <w:t>agree with</w:t>
      </w:r>
      <w:r w:rsidRPr="00B51E49" w:rsidR="001A6DB9">
        <w:t xml:space="preserve"> </w:t>
      </w:r>
      <w:r w:rsidR="001A34EB">
        <w:t xml:space="preserve">the </w:t>
      </w:r>
      <w:r w:rsidRPr="00B51E49" w:rsidR="001A6DB9">
        <w:t>Court of Appeal</w:t>
      </w:r>
      <w:r w:rsidRPr="00B51E49" w:rsidR="005940F2">
        <w:t>’s</w:t>
      </w:r>
      <w:r w:rsidRPr="00B51E49" w:rsidR="000A30AF">
        <w:t xml:space="preserve"> </w:t>
      </w:r>
      <w:r w:rsidRPr="00B51E49" w:rsidR="00FC7EA3">
        <w:t xml:space="preserve">determination that </w:t>
      </w:r>
      <w:r w:rsidRPr="00B51E49" w:rsidR="00F83F4C">
        <w:t>defendant</w:t>
      </w:r>
      <w:r w:rsidRPr="00B51E49" w:rsidR="00D029D0">
        <w:t xml:space="preserve"> is entitled</w:t>
      </w:r>
      <w:r w:rsidRPr="00B51E49" w:rsidR="00861FE5">
        <w:t xml:space="preserve"> to a limited remand for the trial court to </w:t>
      </w:r>
      <w:r w:rsidRPr="00B51E49" w:rsidR="005D255F">
        <w:t>decide</w:t>
      </w:r>
      <w:r w:rsidRPr="00B51E49" w:rsidR="00861FE5">
        <w:t xml:space="preserve"> whether he should receive diversion unde</w:t>
      </w:r>
      <w:r w:rsidRPr="00B51E49" w:rsidR="00CB2B11">
        <w:t xml:space="preserve">r </w:t>
      </w:r>
      <w:r w:rsidRPr="00B51E49" w:rsidR="00156A17">
        <w:t>section 1001.36</w:t>
      </w:r>
      <w:r w:rsidRPr="00B51E49" w:rsidR="00161615">
        <w:t xml:space="preserve">.  </w:t>
      </w:r>
      <w:r w:rsidRPr="005D3CC7" w:rsidR="00EC143D">
        <w:t>W</w:t>
      </w:r>
      <w:r w:rsidRPr="005D3CC7" w:rsidR="00161615">
        <w:t xml:space="preserve">e </w:t>
      </w:r>
      <w:r w:rsidRPr="005D3CC7" w:rsidR="00F10254">
        <w:t xml:space="preserve">express no view </w:t>
      </w:r>
      <w:r w:rsidRPr="005D3CC7" w:rsidR="00161615">
        <w:t>regarding</w:t>
      </w:r>
      <w:r w:rsidRPr="005D3CC7" w:rsidR="00F10254">
        <w:t xml:space="preserve"> whether defendant will be able to show eligibility on remand or whether the trial court should exercise its discretion to grant diversion if it finds him eligible</w:t>
      </w:r>
      <w:r w:rsidRPr="005D3CC7" w:rsidR="00C261D1">
        <w:t>.</w:t>
      </w:r>
      <w:r w:rsidRPr="00B51E49" w:rsidR="00C261D1">
        <w:t xml:space="preserve">  </w:t>
      </w:r>
    </w:p>
    <w:p w:rsidR="00EA5501" w:rsidRPr="00B51E49" w:rsidP="00B51E49" w14:paraId="44277900" w14:textId="573A0AFA">
      <w:pPr>
        <w:pStyle w:val="Heading1"/>
      </w:pPr>
      <w:r w:rsidRPr="00B51E49">
        <w:t xml:space="preserve">I.  </w:t>
      </w:r>
      <w:r w:rsidRPr="00B51E49">
        <w:t>Factual and Procedural Background</w:t>
      </w:r>
    </w:p>
    <w:p w:rsidR="00277C15" w:rsidRPr="00B51E49" w:rsidP="00B51E49" w14:paraId="5092EA11" w14:textId="343B0B35">
      <w:pPr>
        <w:tabs>
          <w:tab w:val="left" w:pos="1440"/>
        </w:tabs>
        <w:ind w:firstLine="720"/>
      </w:pPr>
      <w:r w:rsidRPr="00B51E49">
        <w:t>In</w:t>
      </w:r>
      <w:r w:rsidRPr="00B51E49" w:rsidR="00DE299C">
        <w:t xml:space="preserve"> </w:t>
      </w:r>
      <w:r w:rsidRPr="00B51E49" w:rsidR="008D69B9">
        <w:t xml:space="preserve">March </w:t>
      </w:r>
      <w:r w:rsidRPr="00B51E49" w:rsidR="00DE299C">
        <w:t xml:space="preserve">2016, </w:t>
      </w:r>
      <w:r w:rsidRPr="00B51E49" w:rsidR="00F83F4C">
        <w:t>defendant</w:t>
      </w:r>
      <w:r w:rsidRPr="00B51E49" w:rsidR="00DE299C">
        <w:t xml:space="preserve"> entered a small market in Santa Ana.</w:t>
      </w:r>
      <w:r w:rsidRPr="00B51E49" w:rsidR="00BE21FC">
        <w:t xml:space="preserve">  </w:t>
      </w:r>
      <w:r w:rsidRPr="00B51E49" w:rsidR="008D69B9">
        <w:t xml:space="preserve">The store owner, </w:t>
      </w:r>
      <w:r w:rsidRPr="00B51E49" w:rsidR="008B6BAF">
        <w:t xml:space="preserve">remembering that </w:t>
      </w:r>
      <w:r w:rsidRPr="00B51E49" w:rsidR="00F83F4C">
        <w:t>defendant</w:t>
      </w:r>
      <w:r w:rsidRPr="00B51E49" w:rsidR="008B6BAF">
        <w:t xml:space="preserve"> had tried to steal a pack of cigarettes</w:t>
      </w:r>
      <w:r w:rsidRPr="00B51E49" w:rsidR="00E8407D">
        <w:t xml:space="preserve"> </w:t>
      </w:r>
      <w:r w:rsidRPr="00B51E49" w:rsidR="008B6BAF">
        <w:t xml:space="preserve">one week prior, </w:t>
      </w:r>
      <w:r w:rsidRPr="00B51E49" w:rsidR="00005BA9">
        <w:t xml:space="preserve">told </w:t>
      </w:r>
      <w:r w:rsidRPr="00B51E49" w:rsidR="00F83F4C">
        <w:t>defendant</w:t>
      </w:r>
      <w:r w:rsidRPr="00B51E49" w:rsidR="00005BA9">
        <w:t xml:space="preserve"> to leave</w:t>
      </w:r>
      <w:r w:rsidRPr="00B51E49" w:rsidR="008B6BAF">
        <w:t xml:space="preserve">.  </w:t>
      </w:r>
      <w:r w:rsidRPr="00B51E49" w:rsidR="00F83F4C">
        <w:t>Defendant</w:t>
      </w:r>
      <w:r w:rsidRPr="00B51E49" w:rsidR="008B6BAF">
        <w:t xml:space="preserve"> exited </w:t>
      </w:r>
      <w:r w:rsidRPr="00B51E49" w:rsidR="00374062">
        <w:t>the store</w:t>
      </w:r>
      <w:r w:rsidRPr="00B51E49" w:rsidR="001D5BBE">
        <w:t xml:space="preserve">, picked up </w:t>
      </w:r>
      <w:r w:rsidRPr="00B51E49" w:rsidR="00374062">
        <w:t>rocks</w:t>
      </w:r>
      <w:r w:rsidRPr="00B51E49" w:rsidR="001D5BBE">
        <w:t>,</w:t>
      </w:r>
      <w:r w:rsidRPr="00B51E49" w:rsidR="00374062">
        <w:t xml:space="preserve"> and th</w:t>
      </w:r>
      <w:r w:rsidRPr="00B51E49" w:rsidR="001D5BBE">
        <w:t xml:space="preserve">rew </w:t>
      </w:r>
      <w:r w:rsidRPr="00B51E49" w:rsidR="00374062">
        <w:t xml:space="preserve">them at passing cars.  </w:t>
      </w:r>
      <w:r w:rsidRPr="00B51E49" w:rsidR="00E14E73">
        <w:t xml:space="preserve">He struck the windshield of one car, shattering the glass.  </w:t>
      </w:r>
      <w:r w:rsidRPr="00B51E49" w:rsidR="00F83F4C">
        <w:t xml:space="preserve">Defendant </w:t>
      </w:r>
      <w:r w:rsidRPr="00B51E49" w:rsidR="00374062">
        <w:t xml:space="preserve">then reentered the store and grabbed </w:t>
      </w:r>
      <w:r w:rsidRPr="00B51E49" w:rsidR="00A72CAB">
        <w:t>a can of beer and an energy drink</w:t>
      </w:r>
      <w:r w:rsidRPr="00B51E49" w:rsidR="009073E6">
        <w:t xml:space="preserve">.  The store owner and his son stood at the front door to block </w:t>
      </w:r>
      <w:r w:rsidRPr="00B51E49" w:rsidR="009E3E5D">
        <w:t>defendant</w:t>
      </w:r>
      <w:r w:rsidRPr="00B51E49" w:rsidR="009073E6">
        <w:t xml:space="preserve"> from leaving.  </w:t>
      </w:r>
      <w:r w:rsidRPr="00B51E49" w:rsidR="00F83F4C">
        <w:t>Defendant r</w:t>
      </w:r>
      <w:r w:rsidRPr="00B51E49" w:rsidR="009073E6">
        <w:t>ushed toward the door</w:t>
      </w:r>
      <w:r w:rsidRPr="00B51E49" w:rsidR="00513024">
        <w:t>, punched the owner in the head,</w:t>
      </w:r>
      <w:r w:rsidRPr="00B51E49" w:rsidR="009073E6">
        <w:t xml:space="preserve"> and </w:t>
      </w:r>
      <w:r w:rsidRPr="00B51E49" w:rsidR="00FA6FC1">
        <w:t xml:space="preserve">eventually </w:t>
      </w:r>
      <w:r w:rsidRPr="00B51E49" w:rsidR="00D14D85">
        <w:t>pushed</w:t>
      </w:r>
      <w:r w:rsidRPr="00B51E49" w:rsidR="009073E6">
        <w:t xml:space="preserve"> his way throug</w:t>
      </w:r>
      <w:r w:rsidRPr="00B51E49" w:rsidR="00513024">
        <w:t>h</w:t>
      </w:r>
      <w:r w:rsidRPr="00B51E49" w:rsidR="006E0F20">
        <w:t xml:space="preserve">.  </w:t>
      </w:r>
      <w:r w:rsidRPr="00B51E49" w:rsidR="0014119E">
        <w:t>T</w:t>
      </w:r>
      <w:r w:rsidRPr="00B51E49" w:rsidR="000373C7">
        <w:t xml:space="preserve">he </w:t>
      </w:r>
      <w:r w:rsidRPr="00B51E49" w:rsidR="00840D54">
        <w:t xml:space="preserve">store </w:t>
      </w:r>
      <w:r w:rsidRPr="00B51E49" w:rsidR="000373C7">
        <w:t>owner and his son detain</w:t>
      </w:r>
      <w:r w:rsidR="00AB14E1">
        <w:t>ed</w:t>
      </w:r>
      <w:r w:rsidRPr="00B51E49" w:rsidR="000373C7">
        <w:t xml:space="preserve"> </w:t>
      </w:r>
      <w:r w:rsidRPr="00B51E49" w:rsidR="00F83F4C">
        <w:t xml:space="preserve">defendant </w:t>
      </w:r>
      <w:r w:rsidRPr="00B51E49" w:rsidR="000373C7">
        <w:t>in the parking lot and call</w:t>
      </w:r>
      <w:r w:rsidR="00AB14E1">
        <w:t>ed</w:t>
      </w:r>
      <w:r w:rsidRPr="00B51E49" w:rsidR="000373C7">
        <w:t xml:space="preserve"> the police.</w:t>
      </w:r>
      <w:r w:rsidRPr="00B51E49" w:rsidR="006E717C">
        <w:t xml:space="preserve">  </w:t>
      </w:r>
    </w:p>
    <w:p w:rsidR="007D0390" w:rsidRPr="00B51E49" w:rsidP="00B51E49" w14:paraId="546F1BAE" w14:textId="1ED7BB23">
      <w:pPr>
        <w:tabs>
          <w:tab w:val="left" w:pos="1440"/>
        </w:tabs>
        <w:ind w:firstLine="720"/>
      </w:pPr>
      <w:r w:rsidRPr="00B51E49">
        <w:t>Defendant</w:t>
      </w:r>
      <w:r w:rsidRPr="00B51E49" w:rsidR="00CC1BFA">
        <w:t xml:space="preserve"> </w:t>
      </w:r>
      <w:r w:rsidRPr="00B51E49" w:rsidR="000626B2">
        <w:t xml:space="preserve">was charged </w:t>
      </w:r>
      <w:r w:rsidRPr="00B51E49" w:rsidR="000373C7">
        <w:t>with two counts of second degree robbery (</w:t>
      </w:r>
      <w:r w:rsidR="00665C14">
        <w:t xml:space="preserve">Pen. Code, </w:t>
      </w:r>
      <w:r w:rsidRPr="00B51E49" w:rsidR="005A0B34">
        <w:t>§</w:t>
      </w:r>
      <w:r w:rsidRPr="00B51E49" w:rsidR="00FB0B2E">
        <w:t>§ </w:t>
      </w:r>
      <w:r w:rsidRPr="00B51E49" w:rsidR="005A0B34">
        <w:t xml:space="preserve">211, </w:t>
      </w:r>
      <w:r w:rsidRPr="00B51E49" w:rsidR="00FB0B2E">
        <w:t>21</w:t>
      </w:r>
      <w:r w:rsidRPr="00B51E49" w:rsidR="008604DA">
        <w:t xml:space="preserve">2.5, subd. (b)) and one felony count of throwing </w:t>
      </w:r>
      <w:r w:rsidRPr="00B51E49" w:rsidR="00D448B3">
        <w:t xml:space="preserve">a </w:t>
      </w:r>
      <w:r w:rsidRPr="00B51E49" w:rsidR="008604DA">
        <w:t>substance at a motor vehicle</w:t>
      </w:r>
      <w:r w:rsidRPr="00B51E49" w:rsidR="00A26A3D">
        <w:t xml:space="preserve"> </w:t>
      </w:r>
      <w:r w:rsidRPr="00B51E49" w:rsidR="00487AEA">
        <w:t xml:space="preserve">with intent to cause injury </w:t>
      </w:r>
      <w:r w:rsidRPr="00B51E49" w:rsidR="00A26A3D">
        <w:t>(Veh. Code, § 23110, sub</w:t>
      </w:r>
      <w:r w:rsidR="00665C14">
        <w:t>d</w:t>
      </w:r>
      <w:r w:rsidRPr="00B51E49" w:rsidR="00A26A3D">
        <w:t>. (b))</w:t>
      </w:r>
      <w:r w:rsidRPr="00B51E49" w:rsidR="008604DA">
        <w:t>.</w:t>
      </w:r>
      <w:r w:rsidRPr="00B51E49" w:rsidR="00570719">
        <w:t xml:space="preserve">  </w:t>
      </w:r>
      <w:r w:rsidRPr="00B51E49" w:rsidR="004E3BCF">
        <w:t>For sentencing purposes, it was</w:t>
      </w:r>
      <w:r w:rsidRPr="00B51E49" w:rsidR="00570719">
        <w:t xml:space="preserve"> alleged that </w:t>
      </w:r>
      <w:r w:rsidRPr="00B51E49">
        <w:t xml:space="preserve">defendant </w:t>
      </w:r>
      <w:r w:rsidRPr="00B51E49" w:rsidR="00570719">
        <w:t xml:space="preserve">had </w:t>
      </w:r>
      <w:r w:rsidRPr="00B51E49" w:rsidR="00907632">
        <w:t>suffered a prior serious felony conviction</w:t>
      </w:r>
      <w:r w:rsidRPr="00B51E49" w:rsidR="00EE688F">
        <w:t>.  (</w:t>
      </w:r>
      <w:r w:rsidR="00665C14">
        <w:t xml:space="preserve">Pen. Code, </w:t>
      </w:r>
      <w:r w:rsidRPr="00B51E49" w:rsidR="00EE688F">
        <w:t>§ 667, subd.</w:t>
      </w:r>
      <w:r w:rsidRPr="00B51E49" w:rsidR="00907632">
        <w:t xml:space="preserve"> (a</w:t>
      </w:r>
      <w:r w:rsidRPr="00B51E49" w:rsidR="006C6681">
        <w:t>)</w:t>
      </w:r>
      <w:r w:rsidRPr="00B51E49" w:rsidR="00247631">
        <w:t>(1</w:t>
      </w:r>
      <w:r w:rsidRPr="00B51E49" w:rsidR="001F0AE7">
        <w:t>)</w:t>
      </w:r>
      <w:r w:rsidRPr="00B51E49" w:rsidR="00570719">
        <w:t>.</w:t>
      </w:r>
      <w:r w:rsidRPr="00B51E49" w:rsidR="00EE688F">
        <w:t>)</w:t>
      </w:r>
      <w:r w:rsidRPr="00B51E49" w:rsidR="00BD3A2C">
        <w:t xml:space="preserve">  </w:t>
      </w:r>
    </w:p>
    <w:p w:rsidR="00AE3CBA" w:rsidRPr="00B51E49" w:rsidP="00B51E49" w14:paraId="1483A32C" w14:textId="0BE30412">
      <w:pPr>
        <w:tabs>
          <w:tab w:val="left" w:pos="1440"/>
        </w:tabs>
        <w:ind w:firstLine="720"/>
      </w:pPr>
      <w:r w:rsidRPr="00B51E49">
        <w:t>Defendant</w:t>
      </w:r>
      <w:r w:rsidRPr="00B51E49" w:rsidR="00CC1BFA">
        <w:t xml:space="preserve"> </w:t>
      </w:r>
      <w:r w:rsidRPr="00B51E49" w:rsidR="007D0390">
        <w:t xml:space="preserve">testified in his </w:t>
      </w:r>
      <w:r w:rsidRPr="00B51E49" w:rsidR="000E11D4">
        <w:t xml:space="preserve">own </w:t>
      </w:r>
      <w:r w:rsidRPr="00B51E49" w:rsidR="007D0390">
        <w:t xml:space="preserve">defense.  He </w:t>
      </w:r>
      <w:r w:rsidRPr="00B51E49" w:rsidR="00D20239">
        <w:t>stated</w:t>
      </w:r>
      <w:r w:rsidRPr="00B51E49" w:rsidR="00BD3A2C">
        <w:t xml:space="preserve"> that </w:t>
      </w:r>
      <w:r w:rsidRPr="00B51E49" w:rsidR="00FD6B64">
        <w:t xml:space="preserve">he experienced hallucinations and delusions </w:t>
      </w:r>
      <w:r w:rsidRPr="00B51E49" w:rsidR="000005EF">
        <w:t xml:space="preserve">beginning in his early twenties </w:t>
      </w:r>
      <w:r w:rsidRPr="00B51E49" w:rsidR="00FD6B64">
        <w:t xml:space="preserve">and had been hospitalized </w:t>
      </w:r>
      <w:r w:rsidRPr="00B51E49" w:rsidR="0014119E">
        <w:t xml:space="preserve">at least </w:t>
      </w:r>
      <w:r w:rsidRPr="00B51E49" w:rsidR="00FD6B64">
        <w:t xml:space="preserve">eight times.  </w:t>
      </w:r>
      <w:r w:rsidRPr="00B51E49" w:rsidR="00670F55">
        <w:t xml:space="preserve">In 2015, </w:t>
      </w:r>
      <w:r w:rsidRPr="00B51E49" w:rsidR="008227B0">
        <w:t>a conservator was appointed</w:t>
      </w:r>
      <w:r w:rsidRPr="00B51E49" w:rsidR="00431BE3">
        <w:t xml:space="preserve"> </w:t>
      </w:r>
      <w:r w:rsidRPr="00B51E49" w:rsidR="005A2481">
        <w:t xml:space="preserve">to care for </w:t>
      </w:r>
      <w:r w:rsidRPr="00B51E49" w:rsidR="00EA557B">
        <w:t>him</w:t>
      </w:r>
      <w:r w:rsidRPr="00B51E49" w:rsidR="005A2481">
        <w:t xml:space="preserve"> for </w:t>
      </w:r>
      <w:r w:rsidRPr="00B51E49" w:rsidR="00EA557B">
        <w:t xml:space="preserve">approximately seven months.  Defendant </w:t>
      </w:r>
      <w:r w:rsidRPr="00B51E49" w:rsidR="003D48D3">
        <w:t>had stopped taking his prescribed medications four days before the incident</w:t>
      </w:r>
      <w:r w:rsidRPr="00B51E49" w:rsidR="006A40FA">
        <w:t xml:space="preserve"> at the </w:t>
      </w:r>
      <w:r w:rsidRPr="00B51E49" w:rsidR="00D66D08">
        <w:t xml:space="preserve">Santa Ana </w:t>
      </w:r>
      <w:r w:rsidRPr="00B51E49" w:rsidR="006A40FA">
        <w:t>market</w:t>
      </w:r>
      <w:r w:rsidRPr="00B51E49" w:rsidR="00623532">
        <w:t xml:space="preserve"> and</w:t>
      </w:r>
      <w:r w:rsidRPr="00B51E49" w:rsidR="001D6361">
        <w:t xml:space="preserve"> was</w:t>
      </w:r>
      <w:r w:rsidRPr="00B51E49" w:rsidR="00D41DEE">
        <w:t xml:space="preserve"> </w:t>
      </w:r>
      <w:r w:rsidRPr="00B51E49" w:rsidR="000115D4">
        <w:t>experienc</w:t>
      </w:r>
      <w:r w:rsidRPr="00B51E49" w:rsidR="001D6361">
        <w:t>ing</w:t>
      </w:r>
      <w:r w:rsidRPr="00B51E49" w:rsidR="00D41DEE">
        <w:t xml:space="preserve"> </w:t>
      </w:r>
      <w:r w:rsidRPr="00B51E49" w:rsidR="00623532">
        <w:t xml:space="preserve">severe </w:t>
      </w:r>
      <w:r w:rsidRPr="00B51E49" w:rsidR="00D41DEE">
        <w:t xml:space="preserve">hallucinations </w:t>
      </w:r>
      <w:r w:rsidRPr="00B51E49" w:rsidR="007830CC">
        <w:t xml:space="preserve">and delusions </w:t>
      </w:r>
      <w:r w:rsidRPr="00B51E49" w:rsidR="00D41DEE">
        <w:t>during that time</w:t>
      </w:r>
      <w:r w:rsidRPr="00B51E49" w:rsidR="00772A28">
        <w:t xml:space="preserve">.  </w:t>
      </w:r>
      <w:r w:rsidRPr="00B51E49" w:rsidR="007830CC">
        <w:t>He</w:t>
      </w:r>
      <w:r w:rsidRPr="00B51E49">
        <w:t xml:space="preserve"> </w:t>
      </w:r>
      <w:r w:rsidRPr="00B51E49" w:rsidR="00FB693B">
        <w:t>testified</w:t>
      </w:r>
      <w:r w:rsidRPr="00B51E49" w:rsidR="000005EF">
        <w:t xml:space="preserve"> that he thought an angel </w:t>
      </w:r>
      <w:r w:rsidRPr="00B51E49" w:rsidR="00A34D92">
        <w:t>flew</w:t>
      </w:r>
      <w:r w:rsidRPr="00B51E49" w:rsidR="000005EF">
        <w:t xml:space="preserve"> by on a horse and talked to him</w:t>
      </w:r>
      <w:r w:rsidRPr="00B51E49" w:rsidR="00FB693B">
        <w:t xml:space="preserve"> just before he entered the market</w:t>
      </w:r>
      <w:r w:rsidRPr="00B51E49" w:rsidR="000005EF">
        <w:t>.</w:t>
      </w:r>
      <w:r w:rsidRPr="00B51E49" w:rsidR="00DA727B">
        <w:t xml:space="preserve">  </w:t>
      </w:r>
    </w:p>
    <w:p w:rsidR="000373C7" w:rsidRPr="00B51E49" w:rsidP="00B51E49" w14:paraId="38B01E09" w14:textId="6C14923E">
      <w:pPr>
        <w:tabs>
          <w:tab w:val="left" w:pos="1440"/>
        </w:tabs>
        <w:ind w:firstLine="720"/>
      </w:pPr>
      <w:r w:rsidRPr="00B51E49">
        <w:t>A clinical and forensic psychologist</w:t>
      </w:r>
      <w:r w:rsidRPr="00B51E49" w:rsidR="000012AE">
        <w:t xml:space="preserve"> </w:t>
      </w:r>
      <w:r w:rsidRPr="00B51E49" w:rsidR="00852E15">
        <w:t xml:space="preserve">also </w:t>
      </w:r>
      <w:r w:rsidRPr="00B51E49" w:rsidR="000012AE">
        <w:t xml:space="preserve">testified </w:t>
      </w:r>
      <w:r w:rsidRPr="00B51E49" w:rsidR="00AE3CBA">
        <w:t xml:space="preserve">on </w:t>
      </w:r>
      <w:r w:rsidRPr="00B51E49" w:rsidR="00F83F4C">
        <w:t>defendant</w:t>
      </w:r>
      <w:r w:rsidRPr="00B51E49" w:rsidR="009E3E5D">
        <w:t>’s</w:t>
      </w:r>
      <w:r w:rsidRPr="00B51E49" w:rsidR="00AE3CBA">
        <w:t xml:space="preserve"> behalf.  </w:t>
      </w:r>
      <w:r w:rsidRPr="00B51E49" w:rsidR="00BA3AA3">
        <w:t>B</w:t>
      </w:r>
      <w:r w:rsidRPr="00B51E49" w:rsidR="000012AE">
        <w:t xml:space="preserve">ased on his review of a </w:t>
      </w:r>
      <w:r w:rsidRPr="00B51E49" w:rsidR="006B2B1C">
        <w:t xml:space="preserve">hospital report </w:t>
      </w:r>
      <w:r w:rsidRPr="00B51E49" w:rsidR="00B229A3">
        <w:t xml:space="preserve">detailing </w:t>
      </w:r>
      <w:r w:rsidRPr="00B51E49" w:rsidR="00F83F4C">
        <w:t>defendant</w:t>
      </w:r>
      <w:r w:rsidRPr="00B51E49" w:rsidR="009E3E5D">
        <w:t xml:space="preserve">’s </w:t>
      </w:r>
      <w:r w:rsidRPr="00B51E49" w:rsidR="00B229A3">
        <w:t>confinement</w:t>
      </w:r>
      <w:r w:rsidRPr="00B51E49" w:rsidR="002E17FD">
        <w:t xml:space="preserve"> and his conversations with </w:t>
      </w:r>
      <w:r w:rsidRPr="00B51E49" w:rsidR="009E3E5D">
        <w:t>defendant</w:t>
      </w:r>
      <w:r w:rsidRPr="00B51E49" w:rsidR="00014CF2">
        <w:t xml:space="preserve"> and his </w:t>
      </w:r>
      <w:r w:rsidRPr="00B51E49" w:rsidR="002E17FD">
        <w:t>parents</w:t>
      </w:r>
      <w:r w:rsidRPr="00B51E49" w:rsidR="00B229A3">
        <w:t xml:space="preserve">, </w:t>
      </w:r>
      <w:r w:rsidRPr="00B51E49" w:rsidR="006A0C39">
        <w:t xml:space="preserve">the psychologist </w:t>
      </w:r>
      <w:r w:rsidR="00937981">
        <w:t>stat</w:t>
      </w:r>
      <w:r w:rsidR="00D64DAD">
        <w:t>e</w:t>
      </w:r>
      <w:r w:rsidRPr="00B51E49" w:rsidR="006A0C39">
        <w:t xml:space="preserve">d that </w:t>
      </w:r>
      <w:r w:rsidRPr="00B51E49" w:rsidR="00F83F4C">
        <w:t>defendant</w:t>
      </w:r>
      <w:r w:rsidRPr="00B51E49" w:rsidR="005F1807">
        <w:t xml:space="preserve"> had been </w:t>
      </w:r>
      <w:r w:rsidRPr="00B51E49" w:rsidR="00852E15">
        <w:t>diagnosed with schizoaffective disorder</w:t>
      </w:r>
      <w:r w:rsidRPr="00B51E49" w:rsidR="005403CC">
        <w:t>, which is “a combination of schizophrenia and bipolar disorder,”</w:t>
      </w:r>
      <w:r w:rsidRPr="00B51E49" w:rsidR="00752CD1">
        <w:t xml:space="preserve"> and was </w:t>
      </w:r>
      <w:r w:rsidRPr="00B51E49" w:rsidR="005F1807">
        <w:t>very ill and unstable</w:t>
      </w:r>
      <w:r w:rsidRPr="00B51E49" w:rsidR="000005EF">
        <w:t xml:space="preserve">.  </w:t>
      </w:r>
      <w:r w:rsidRPr="00B51E49" w:rsidR="006D3723">
        <w:t xml:space="preserve">He also concluded that </w:t>
      </w:r>
      <w:r w:rsidRPr="00B51E49" w:rsidR="00F83F4C">
        <w:t>defendant</w:t>
      </w:r>
      <w:r w:rsidRPr="00B51E49" w:rsidR="006D3723">
        <w:t xml:space="preserve"> </w:t>
      </w:r>
      <w:r w:rsidRPr="00B51E49" w:rsidR="00E03F86">
        <w:t xml:space="preserve">had been </w:t>
      </w:r>
      <w:r w:rsidRPr="00B51E49" w:rsidR="006D3723">
        <w:t>suffering from a psychotic episode and was not in touch with reality in the days preceding t</w:t>
      </w:r>
      <w:r w:rsidRPr="00B51E49" w:rsidR="00F64BE4">
        <w:t xml:space="preserve">he incident at the Santa Ana </w:t>
      </w:r>
      <w:r w:rsidRPr="00B51E49" w:rsidR="00BB373C">
        <w:t>m</w:t>
      </w:r>
      <w:r w:rsidRPr="00B51E49" w:rsidR="00F64BE4">
        <w:t>arket</w:t>
      </w:r>
      <w:r w:rsidRPr="00B51E49" w:rsidR="006D3723">
        <w:t xml:space="preserve">. </w:t>
      </w:r>
      <w:r w:rsidRPr="00B51E49" w:rsidR="002A7A44">
        <w:t xml:space="preserve"> </w:t>
      </w:r>
      <w:r w:rsidRPr="00B51E49" w:rsidR="00F216D2">
        <w:t xml:space="preserve">He </w:t>
      </w:r>
      <w:r w:rsidRPr="00B51E49" w:rsidR="008B74D4">
        <w:t xml:space="preserve">testified that </w:t>
      </w:r>
      <w:r w:rsidRPr="00B51E49" w:rsidR="00F83F4C">
        <w:t>defendant</w:t>
      </w:r>
      <w:r w:rsidRPr="00B51E49" w:rsidR="009E3E5D">
        <w:t xml:space="preserve">’s </w:t>
      </w:r>
      <w:r w:rsidRPr="00B51E49" w:rsidR="004B4598">
        <w:t>behavior at the market was a</w:t>
      </w:r>
      <w:r w:rsidRPr="00B51E49" w:rsidR="00A858DA">
        <w:t xml:space="preserve"> byproduct of a</w:t>
      </w:r>
      <w:r w:rsidRPr="00B51E49" w:rsidR="004B4598">
        <w:t xml:space="preserve"> psychotic episode.  </w:t>
      </w:r>
    </w:p>
    <w:p w:rsidR="00C440CE" w:rsidRPr="00B51E49" w:rsidP="00B51E49" w14:paraId="60D5E1CF" w14:textId="6AC60DD2">
      <w:pPr>
        <w:tabs>
          <w:tab w:val="left" w:pos="1440"/>
        </w:tabs>
        <w:ind w:firstLine="720"/>
      </w:pPr>
      <w:r w:rsidRPr="00B51E49">
        <w:t xml:space="preserve">The jury found </w:t>
      </w:r>
      <w:r w:rsidRPr="00B51E49" w:rsidR="00F83F4C">
        <w:t>defendant</w:t>
      </w:r>
      <w:r w:rsidRPr="00B51E49" w:rsidR="009E3E5D">
        <w:t xml:space="preserve"> </w:t>
      </w:r>
      <w:r w:rsidRPr="00B51E49">
        <w:t>guilty of</w:t>
      </w:r>
      <w:r w:rsidRPr="00B51E49" w:rsidR="005A0B34">
        <w:t xml:space="preserve"> two counts of</w:t>
      </w:r>
      <w:r w:rsidRPr="00B51E49">
        <w:t xml:space="preserve"> second degree robbery </w:t>
      </w:r>
      <w:r w:rsidRPr="00B51E49" w:rsidR="005E3E03">
        <w:t xml:space="preserve">and </w:t>
      </w:r>
      <w:r w:rsidRPr="00B51E49" w:rsidR="005A0B34">
        <w:t xml:space="preserve">of the </w:t>
      </w:r>
      <w:r w:rsidRPr="00B51E49" w:rsidR="005E3E03">
        <w:t>lesser</w:t>
      </w:r>
      <w:r w:rsidR="00E87FA6">
        <w:t xml:space="preserve"> </w:t>
      </w:r>
      <w:r w:rsidRPr="00B51E49" w:rsidR="005E3E03">
        <w:t>included</w:t>
      </w:r>
      <w:r w:rsidRPr="00B51E49" w:rsidR="00CA699C">
        <w:t xml:space="preserve"> </w:t>
      </w:r>
      <w:r w:rsidRPr="00B51E49" w:rsidR="002242F1">
        <w:t xml:space="preserve">misdemeanor </w:t>
      </w:r>
      <w:r w:rsidRPr="00B51E49" w:rsidR="005A0B34">
        <w:t xml:space="preserve">offense </w:t>
      </w:r>
      <w:r w:rsidRPr="00B51E49" w:rsidR="00990F24">
        <w:t xml:space="preserve">of throwing </w:t>
      </w:r>
      <w:r w:rsidRPr="00B51E49" w:rsidR="00D448B3">
        <w:t xml:space="preserve">a </w:t>
      </w:r>
      <w:r w:rsidRPr="00B51E49" w:rsidR="00990F24">
        <w:t>substance at a motor vehicle without intent to cause injury</w:t>
      </w:r>
      <w:r w:rsidRPr="00B51E49" w:rsidR="00536203">
        <w:t>.</w:t>
      </w:r>
      <w:r w:rsidRPr="00B51E49" w:rsidR="00963A38">
        <w:t xml:space="preserve">  Following a bench trial on the prior </w:t>
      </w:r>
      <w:r w:rsidRPr="00B51E49" w:rsidR="001F0AE7">
        <w:t>serious felony conviction</w:t>
      </w:r>
      <w:r w:rsidRPr="00B51E49" w:rsidR="004F3E9A">
        <w:t xml:space="preserve"> </w:t>
      </w:r>
      <w:r w:rsidRPr="00B51E49" w:rsidR="00193EEC">
        <w:t>allegation</w:t>
      </w:r>
      <w:r w:rsidRPr="00B51E49" w:rsidR="004F3E9A">
        <w:t>,</w:t>
      </w:r>
      <w:r w:rsidRPr="00B51E49" w:rsidR="0041565E">
        <w:t xml:space="preserve"> </w:t>
      </w:r>
      <w:r w:rsidRPr="00B51E49" w:rsidR="0069663A">
        <w:t xml:space="preserve">which the trial court found to be true, </w:t>
      </w:r>
      <w:r w:rsidRPr="00B51E49" w:rsidR="009E3E5D">
        <w:t xml:space="preserve">defendant </w:t>
      </w:r>
      <w:r w:rsidRPr="00B51E49" w:rsidR="002A1491">
        <w:t>was sentenced to nine years in prison</w:t>
      </w:r>
      <w:r w:rsidRPr="00B51E49" w:rsidR="007A233A">
        <w:t>.</w:t>
      </w:r>
      <w:r w:rsidRPr="00B51E49" w:rsidR="00F30088">
        <w:t xml:space="preserve">  </w:t>
      </w:r>
    </w:p>
    <w:p w:rsidR="00FB5067" w:rsidRPr="00B51E49" w:rsidP="00B51E49" w14:paraId="13AE2BA5" w14:textId="10041881">
      <w:pPr>
        <w:tabs>
          <w:tab w:val="left" w:pos="1440"/>
        </w:tabs>
        <w:ind w:firstLine="720"/>
      </w:pPr>
      <w:r w:rsidRPr="00B51E49">
        <w:t>When</w:t>
      </w:r>
      <w:r w:rsidRPr="00B51E49" w:rsidR="0051567A">
        <w:t xml:space="preserve"> </w:t>
      </w:r>
      <w:r w:rsidRPr="00B51E49" w:rsidR="00F83F4C">
        <w:t>defendant</w:t>
      </w:r>
      <w:r w:rsidRPr="00B51E49" w:rsidR="009E3E5D">
        <w:t>’s</w:t>
      </w:r>
      <w:r w:rsidRPr="00B51E49" w:rsidR="0051567A">
        <w:t xml:space="preserve"> appeal was pending</w:t>
      </w:r>
      <w:r w:rsidRPr="00B51E49" w:rsidR="000F726F">
        <w:t xml:space="preserve">, </w:t>
      </w:r>
      <w:r w:rsidRPr="00B51E49" w:rsidR="000F5CC6">
        <w:t xml:space="preserve">the Legislature enacted </w:t>
      </w:r>
      <w:r w:rsidRPr="00B51E49" w:rsidR="0013570E">
        <w:t xml:space="preserve">sections 1001.35 and 1001.36 as part of Assembly Bill </w:t>
      </w:r>
      <w:r w:rsidRPr="00B51E49" w:rsidR="005A0B34">
        <w:t xml:space="preserve">No. </w:t>
      </w:r>
      <w:r w:rsidRPr="00B51E49" w:rsidR="0013570E">
        <w:t>1810</w:t>
      </w:r>
      <w:r w:rsidRPr="00B51E49" w:rsidR="001044C2">
        <w:t xml:space="preserve"> (2017-2018 Reg. Sess.) (</w:t>
      </w:r>
      <w:r w:rsidRPr="00B51E49" w:rsidR="00861FE5">
        <w:t>Assembly Bill 1810)</w:t>
      </w:r>
      <w:r w:rsidRPr="00B51E49" w:rsidR="00AA66B0">
        <w:t xml:space="preserve">, </w:t>
      </w:r>
      <w:r w:rsidRPr="00B51E49" w:rsidR="00537BC9">
        <w:t xml:space="preserve">an omnibus budget bill.  </w:t>
      </w:r>
      <w:r w:rsidRPr="00B51E49" w:rsidR="00802452">
        <w:t xml:space="preserve">(Stats. 2018, ch. 34, § 24.)  Section 1001.36 </w:t>
      </w:r>
      <w:r w:rsidRPr="00B51E49" w:rsidR="00B14499">
        <w:t>gives</w:t>
      </w:r>
      <w:r w:rsidRPr="00B51E49" w:rsidR="005947BB">
        <w:t xml:space="preserve"> trial court</w:t>
      </w:r>
      <w:r w:rsidRPr="00B51E49" w:rsidR="00EC39FA">
        <w:t>s</w:t>
      </w:r>
      <w:r w:rsidRPr="00B51E49" w:rsidR="005947BB">
        <w:t xml:space="preserve"> </w:t>
      </w:r>
      <w:r w:rsidRPr="00B51E49" w:rsidR="003F0B1C">
        <w:t xml:space="preserve">the </w:t>
      </w:r>
      <w:r w:rsidRPr="00B51E49" w:rsidR="005947BB">
        <w:t>discretion to grant pretrial diversion for individuals suffering from certain mental health disorders</w:t>
      </w:r>
      <w:r w:rsidRPr="00B51E49" w:rsidR="001F17C6">
        <w:t>.</w:t>
      </w:r>
      <w:r w:rsidRPr="00B51E49" w:rsidR="00B8712F">
        <w:t xml:space="preserve">  </w:t>
      </w:r>
      <w:r w:rsidRPr="00B51E49" w:rsidR="00F1378E">
        <w:t>(</w:t>
      </w:r>
      <w:r w:rsidRPr="00B51E49" w:rsidR="00802452">
        <w:t>§ 1001.36, subd. (a).</w:t>
      </w:r>
      <w:r w:rsidRPr="00B51E49" w:rsidR="0040651A">
        <w:t xml:space="preserve">)  As part of the budget bill, the </w:t>
      </w:r>
      <w:r w:rsidRPr="00B51E49" w:rsidR="00BE23AF">
        <w:t xml:space="preserve">diversion </w:t>
      </w:r>
      <w:r w:rsidRPr="00B51E49" w:rsidR="0040651A">
        <w:t>statute became effective immediately.</w:t>
      </w:r>
      <w:r w:rsidRPr="00B51E49" w:rsidR="005E1160">
        <w:t> </w:t>
      </w:r>
      <w:r w:rsidRPr="00B51E49" w:rsidR="0040651A">
        <w:t xml:space="preserve"> </w:t>
      </w:r>
    </w:p>
    <w:p w:rsidR="00B8712F" w:rsidRPr="00B51E49" w:rsidP="00B51E49" w14:paraId="193FD151" w14:textId="5304B160">
      <w:pPr>
        <w:tabs>
          <w:tab w:val="left" w:pos="1440"/>
        </w:tabs>
        <w:ind w:firstLine="720"/>
      </w:pPr>
      <w:r w:rsidRPr="00B51E49">
        <w:t xml:space="preserve">The Court of Appeal </w:t>
      </w:r>
      <w:r w:rsidRPr="00B51E49" w:rsidR="006D3988">
        <w:t>concluded</w:t>
      </w:r>
      <w:r w:rsidRPr="00B51E49" w:rsidR="00DD61E5">
        <w:t xml:space="preserve"> that </w:t>
      </w:r>
      <w:r w:rsidRPr="00B51E49" w:rsidR="00830F1F">
        <w:t>section 1001.36</w:t>
      </w:r>
      <w:r w:rsidRPr="00B51E49" w:rsidR="00DD61E5">
        <w:t xml:space="preserve"> </w:t>
      </w:r>
      <w:r w:rsidRPr="00B51E49" w:rsidR="001C54F0">
        <w:t>applies retroactively</w:t>
      </w:r>
      <w:r w:rsidRPr="00B51E49" w:rsidR="00DD61E5">
        <w:t xml:space="preserve"> to </w:t>
      </w:r>
      <w:r w:rsidRPr="00B51E49" w:rsidR="00704502">
        <w:t xml:space="preserve">all </w:t>
      </w:r>
      <w:r w:rsidRPr="00B51E49" w:rsidR="00115A02">
        <w:t>nonfina</w:t>
      </w:r>
      <w:r w:rsidRPr="00B51E49" w:rsidR="005D3786">
        <w:t xml:space="preserve">l </w:t>
      </w:r>
      <w:r w:rsidRPr="00B51E49" w:rsidR="008A4656">
        <w:t>judgments</w:t>
      </w:r>
      <w:r w:rsidRPr="00B51E49" w:rsidR="00146DE6">
        <w:t xml:space="preserve">.  </w:t>
      </w:r>
      <w:r w:rsidRPr="00B51E49" w:rsidR="00EC49F8">
        <w:t xml:space="preserve">It </w:t>
      </w:r>
      <w:r w:rsidRPr="00B51E49" w:rsidR="00261B51">
        <w:t xml:space="preserve">also </w:t>
      </w:r>
      <w:r w:rsidRPr="00B51E49" w:rsidR="009C7D63">
        <w:t>determined</w:t>
      </w:r>
      <w:r w:rsidRPr="00B51E49" w:rsidR="00AF25AC">
        <w:t xml:space="preserve"> </w:t>
      </w:r>
      <w:r w:rsidRPr="00B51E49" w:rsidR="00FF7B1A">
        <w:t xml:space="preserve">that </w:t>
      </w:r>
      <w:r w:rsidRPr="00B51E49" w:rsidR="00115A02">
        <w:t xml:space="preserve">defendant is entitled to a limited remand because </w:t>
      </w:r>
      <w:r w:rsidRPr="00B51E49" w:rsidR="00CF38B8">
        <w:t>hi</w:t>
      </w:r>
      <w:r w:rsidRPr="00B51E49" w:rsidR="00DA031C">
        <w:t xml:space="preserve">s </w:t>
      </w:r>
      <w:r w:rsidRPr="00B51E49" w:rsidR="00115A02">
        <w:t xml:space="preserve">case is not yet final </w:t>
      </w:r>
      <w:r w:rsidRPr="00B51E49" w:rsidR="005D3786">
        <w:t xml:space="preserve">on appeal and </w:t>
      </w:r>
      <w:r w:rsidRPr="00B51E49" w:rsidR="00AF25AC">
        <w:t xml:space="preserve">the record </w:t>
      </w:r>
      <w:r w:rsidRPr="00B51E49" w:rsidR="00BB0DBE">
        <w:t>demonstrates</w:t>
      </w:r>
      <w:r w:rsidRPr="00B51E49" w:rsidR="00AF25AC">
        <w:t xml:space="preserve"> that </w:t>
      </w:r>
      <w:r w:rsidRPr="00B51E49" w:rsidR="006F084D">
        <w:t>he</w:t>
      </w:r>
      <w:r w:rsidRPr="00B51E49" w:rsidR="00526587">
        <w:t xml:space="preserve"> appear</w:t>
      </w:r>
      <w:r w:rsidRPr="00B51E49" w:rsidR="006E3601">
        <w:t>s</w:t>
      </w:r>
      <w:r w:rsidRPr="00B51E49" w:rsidR="00526587">
        <w:t xml:space="preserve"> to satisfy at least one of </w:t>
      </w:r>
      <w:r w:rsidRPr="00B51E49" w:rsidR="00013B0B">
        <w:t>the statute’s</w:t>
      </w:r>
      <w:r w:rsidRPr="00B51E49" w:rsidR="00905853">
        <w:t xml:space="preserve"> </w:t>
      </w:r>
      <w:r w:rsidRPr="00B51E49" w:rsidR="003229A9">
        <w:t xml:space="preserve">threshold </w:t>
      </w:r>
      <w:r w:rsidRPr="00B51E49" w:rsidR="00013B0B">
        <w:t xml:space="preserve">eligibility </w:t>
      </w:r>
      <w:r w:rsidRPr="00B51E49" w:rsidR="003229A9">
        <w:t>requirements,</w:t>
      </w:r>
      <w:r w:rsidRPr="00B51E49" w:rsidR="006C31AC">
        <w:t xml:space="preserve"> a </w:t>
      </w:r>
      <w:r w:rsidRPr="00B51E49" w:rsidR="00365823">
        <w:t xml:space="preserve">diagnosed and </w:t>
      </w:r>
      <w:r w:rsidRPr="00B51E49" w:rsidR="006C31AC">
        <w:t>qualifying mental disorder.</w:t>
      </w:r>
      <w:r w:rsidRPr="00B51E49" w:rsidR="00740524">
        <w:t xml:space="preserve">  </w:t>
      </w:r>
      <w:r w:rsidRPr="00B51E49" w:rsidR="003854E1">
        <w:t xml:space="preserve">(§ 1001.36, subd. (b)(1)(A).)  </w:t>
      </w:r>
      <w:r w:rsidRPr="00B51E49" w:rsidR="00422373">
        <w:t>On these grounds, the</w:t>
      </w:r>
      <w:r w:rsidRPr="00B51E49" w:rsidR="00814122">
        <w:rPr>
          <w:rStyle w:val="CommentReference"/>
          <w:sz w:val="27"/>
        </w:rPr>
        <w:t xml:space="preserve"> </w:t>
      </w:r>
      <w:r w:rsidRPr="00B51E49" w:rsidR="00BA6D66">
        <w:t>court</w:t>
      </w:r>
      <w:r w:rsidRPr="00B51E49" w:rsidR="00740524">
        <w:t xml:space="preserve"> conditionally </w:t>
      </w:r>
      <w:r w:rsidRPr="00B51E49" w:rsidR="00B10A01">
        <w:t xml:space="preserve">reversed </w:t>
      </w:r>
      <w:r w:rsidRPr="00B51E49" w:rsidR="00F83F4C">
        <w:t>defendant</w:t>
      </w:r>
      <w:r w:rsidRPr="00B51E49" w:rsidR="009E3E5D">
        <w:t>’s</w:t>
      </w:r>
      <w:r w:rsidRPr="00B51E49" w:rsidR="006E1083">
        <w:t xml:space="preserve"> conviction and sentence </w:t>
      </w:r>
      <w:r w:rsidRPr="00B51E49" w:rsidR="00B10A01">
        <w:t xml:space="preserve">and </w:t>
      </w:r>
      <w:r w:rsidRPr="00B51E49" w:rsidR="00740524">
        <w:t xml:space="preserve">remanded </w:t>
      </w:r>
      <w:r w:rsidRPr="00B51E49" w:rsidR="00FE25E6">
        <w:t xml:space="preserve">the matter to the trial court to conduct </w:t>
      </w:r>
      <w:r w:rsidRPr="00B51E49" w:rsidR="00C57DC5">
        <w:t xml:space="preserve">a </w:t>
      </w:r>
      <w:r w:rsidRPr="00B51E49" w:rsidR="006F084D">
        <w:t xml:space="preserve">mental health </w:t>
      </w:r>
      <w:r w:rsidRPr="00B51E49" w:rsidR="00C57DC5">
        <w:t>diversion eligibility hearing under</w:t>
      </w:r>
      <w:r w:rsidRPr="00B51E49" w:rsidR="00C23E60">
        <w:t xml:space="preserve"> </w:t>
      </w:r>
      <w:r w:rsidRPr="00B51E49" w:rsidR="00980914">
        <w:t>section 1001.36</w:t>
      </w:r>
      <w:r w:rsidRPr="00B51E49" w:rsidR="00FE25E6">
        <w:t>.</w:t>
      </w:r>
      <w:r w:rsidR="00E87FA6">
        <w:t xml:space="preserve">  (</w:t>
      </w:r>
      <w:r w:rsidR="00E87FA6">
        <w:rPr>
          <w:i/>
        </w:rPr>
        <w:t>Frahs</w:t>
      </w:r>
      <w:r w:rsidR="00E87FA6">
        <w:t xml:space="preserve">, </w:t>
      </w:r>
      <w:r w:rsidR="00E87FA6">
        <w:rPr>
          <w:i/>
        </w:rPr>
        <w:t>supra</w:t>
      </w:r>
      <w:r w:rsidR="00E87FA6">
        <w:t xml:space="preserve">, </w:t>
      </w:r>
      <w:r w:rsidRPr="00B51E49" w:rsidR="00E87FA6">
        <w:t xml:space="preserve">27 Cal.App.5th </w:t>
      </w:r>
      <w:r w:rsidR="00E87FA6">
        <w:t xml:space="preserve">at p. </w:t>
      </w:r>
      <w:r w:rsidR="00CA215C">
        <w:t>792.)</w:t>
      </w:r>
      <w:r w:rsidRPr="00B51E49" w:rsidR="00C57DC5">
        <w:t xml:space="preserve">  </w:t>
      </w:r>
    </w:p>
    <w:p w:rsidR="00EA5501" w:rsidRPr="00B51E49" w:rsidP="00B51E49" w14:paraId="749F523E" w14:textId="3E6AF500">
      <w:pPr>
        <w:pStyle w:val="Heading1"/>
      </w:pPr>
      <w:r w:rsidRPr="00B51E49">
        <w:t xml:space="preserve">II.  </w:t>
      </w:r>
      <w:r w:rsidRPr="00B51E49" w:rsidR="00277C15">
        <w:t>Discussion</w:t>
      </w:r>
    </w:p>
    <w:p w:rsidR="00277C15" w:rsidRPr="00B51E49" w:rsidP="00B51E49" w14:paraId="4043AE2B" w14:textId="5155A357">
      <w:pPr>
        <w:pStyle w:val="Heading2"/>
      </w:pPr>
      <w:r w:rsidRPr="00B51E49">
        <w:t xml:space="preserve">A.  </w:t>
      </w:r>
      <w:r w:rsidRPr="00B51E49" w:rsidR="00335780">
        <w:t xml:space="preserve">The </w:t>
      </w:r>
      <w:r w:rsidRPr="00B51E49" w:rsidR="00A36386">
        <w:t>Mental Health Diversion</w:t>
      </w:r>
      <w:r w:rsidRPr="00B51E49" w:rsidR="0042660F">
        <w:t xml:space="preserve"> Statute</w:t>
      </w:r>
    </w:p>
    <w:p w:rsidR="00F97141" w:rsidRPr="00B51E49" w:rsidP="00B51E49" w14:paraId="3261A182" w14:textId="05E2B342">
      <w:pPr>
        <w:tabs>
          <w:tab w:val="left" w:pos="1440"/>
        </w:tabs>
        <w:ind w:firstLine="720"/>
      </w:pPr>
      <w:r w:rsidRPr="00B51E49">
        <w:t>S</w:t>
      </w:r>
      <w:r w:rsidRPr="00B51E49" w:rsidR="00282E59">
        <w:t xml:space="preserve">ection 1001.36 </w:t>
      </w:r>
      <w:r w:rsidRPr="00B51E49" w:rsidR="00804FB3">
        <w:t xml:space="preserve">authorizes a pretrial </w:t>
      </w:r>
      <w:r w:rsidRPr="00B51E49" w:rsidR="00D14F16">
        <w:t xml:space="preserve">diversion </w:t>
      </w:r>
      <w:r w:rsidRPr="00B51E49" w:rsidR="00AA66B0">
        <w:t xml:space="preserve">program for defendants </w:t>
      </w:r>
      <w:r w:rsidRPr="00B51E49" w:rsidR="002D7C18">
        <w:t>with</w:t>
      </w:r>
      <w:r w:rsidRPr="00B51E49" w:rsidR="00282E59">
        <w:t xml:space="preserve"> </w:t>
      </w:r>
      <w:r w:rsidRPr="00B51E49" w:rsidR="001E05BA">
        <w:t xml:space="preserve">qualifying </w:t>
      </w:r>
      <w:r w:rsidRPr="00B51E49" w:rsidR="00633BDB">
        <w:t>mental disorder</w:t>
      </w:r>
      <w:r w:rsidRPr="00B51E49" w:rsidR="002D7C18">
        <w:t>s</w:t>
      </w:r>
      <w:r w:rsidRPr="00B51E49" w:rsidR="00633BDB">
        <w:t>.</w:t>
      </w:r>
      <w:r w:rsidRPr="00B51E49" w:rsidR="00844F6A">
        <w:t xml:space="preserve">  </w:t>
      </w:r>
      <w:r w:rsidRPr="00B51E49" w:rsidR="002D7C18">
        <w:t xml:space="preserve">The statute defines </w:t>
      </w:r>
      <w:r w:rsidRPr="00B51E49" w:rsidR="00623C7F">
        <w:t>“</w:t>
      </w:r>
      <w:r w:rsidRPr="00B51E49" w:rsidR="002D7C18">
        <w:t> </w:t>
      </w:r>
      <w:r w:rsidRPr="00B51E49" w:rsidR="00623C7F">
        <w:t>‘</w:t>
      </w:r>
      <w:r w:rsidRPr="00B51E49" w:rsidR="002D7C18">
        <w:t>p</w:t>
      </w:r>
      <w:r w:rsidRPr="00B51E49" w:rsidR="00623C7F">
        <w:t>retrial diversion’</w:t>
      </w:r>
      <w:r w:rsidR="00B56C95">
        <w:t> </w:t>
      </w:r>
      <w:r w:rsidRPr="00B51E49" w:rsidR="00623C7F">
        <w:t>” as “the postponement of prosecution, either temporarily or permanently, at any point in the judicial process from the point at which the accused is charged until adjudication, to allow the defendant to undergo mental health treatment</w:t>
      </w:r>
      <w:r w:rsidR="00AF2210">
        <w:t xml:space="preserve"> . . . .</w:t>
      </w:r>
      <w:r w:rsidRPr="00B51E49" w:rsidR="00623C7F">
        <w:t xml:space="preserve">” </w:t>
      </w:r>
      <w:r w:rsidRPr="00B51E49" w:rsidR="001B43B3">
        <w:t xml:space="preserve"> </w:t>
      </w:r>
      <w:r w:rsidRPr="00B51E49" w:rsidR="002852CF">
        <w:t>(§ 1001.36, subd. (</w:t>
      </w:r>
      <w:r w:rsidRPr="00B51E49" w:rsidR="00314363">
        <w:t xml:space="preserve">c).)  </w:t>
      </w:r>
      <w:r w:rsidRPr="00B51E49" w:rsidR="00850A0F">
        <w:t>T</w:t>
      </w:r>
      <w:r w:rsidRPr="00B51E49" w:rsidR="00633BDB">
        <w:t xml:space="preserve">he stated purpose </w:t>
      </w:r>
      <w:r w:rsidRPr="00B51E49" w:rsidR="00623C7F">
        <w:t xml:space="preserve">of the </w:t>
      </w:r>
      <w:r w:rsidRPr="00B51E49" w:rsidR="00C23C4E">
        <w:t xml:space="preserve">diversion </w:t>
      </w:r>
      <w:r w:rsidRPr="00B51E49" w:rsidR="00623C7F">
        <w:t xml:space="preserve">statute </w:t>
      </w:r>
      <w:r w:rsidRPr="00B51E49" w:rsidR="00850A0F">
        <w:t>“</w:t>
      </w:r>
      <w:r w:rsidRPr="00B51E49" w:rsidR="003328F9">
        <w:t>i</w:t>
      </w:r>
      <w:r w:rsidRPr="00B51E49" w:rsidR="00633BDB">
        <w:t>s to promote</w:t>
      </w:r>
      <w:r w:rsidRPr="00B51E49" w:rsidR="008C1EF3">
        <w:t xml:space="preserve"> </w:t>
      </w:r>
      <w:r w:rsidRPr="00B51E49" w:rsidR="00020DE4">
        <w:t>all of the following:  [¶] (a) I</w:t>
      </w:r>
      <w:r w:rsidRPr="00B51E49" w:rsidR="00633BDB">
        <w:t xml:space="preserve">ncreased diversion of individuals with mental disorders </w:t>
      </w:r>
      <w:r w:rsidRPr="00B51E49" w:rsidR="00A64898">
        <w:t>to mitigate the individuals’ entry and reentry into the criminal justice system</w:t>
      </w:r>
      <w:r w:rsidRPr="00B51E49" w:rsidR="00633BDB">
        <w:t xml:space="preserve"> while protecting public safety.</w:t>
      </w:r>
      <w:r w:rsidRPr="00B51E49" w:rsidR="00ED727E">
        <w:t xml:space="preserve">  [¶] (b)</w:t>
      </w:r>
      <w:r w:rsidR="00052843">
        <w:t> </w:t>
      </w:r>
      <w:r w:rsidRPr="00B51E49" w:rsidR="00ED727E">
        <w:t>Allowing local discretion and flexibility for counties in the development and implementation of diversion for individuals with mental disorders across a continuum of care settings.</w:t>
      </w:r>
      <w:r w:rsidRPr="00B51E49" w:rsidR="003E090C">
        <w:t xml:space="preserve">  [¶] </w:t>
      </w:r>
      <w:r w:rsidRPr="00B51E49" w:rsidR="00ED727E">
        <w:t>(c)</w:t>
      </w:r>
      <w:r w:rsidR="00052843">
        <w:t> </w:t>
      </w:r>
      <w:r w:rsidRPr="00B51E49" w:rsidR="00ED727E">
        <w:t>Providing diversion that meets the unique mental health treatment and support needs of individuals with mental disorders.</w:t>
      </w:r>
      <w:r w:rsidRPr="00B51E49" w:rsidR="00633BDB">
        <w:t>”  (§ 1001.35, subd</w:t>
      </w:r>
      <w:r w:rsidRPr="00B51E49" w:rsidR="00020DE4">
        <w:t>s</w:t>
      </w:r>
      <w:r w:rsidRPr="00B51E49" w:rsidR="00633BDB">
        <w:t>. (</w:t>
      </w:r>
      <w:r w:rsidRPr="00B51E49" w:rsidR="001346E1">
        <w:t>a</w:t>
      </w:r>
      <w:r w:rsidRPr="00B51E49" w:rsidR="00633BDB">
        <w:t>)</w:t>
      </w:r>
      <w:r w:rsidRPr="00B51E49" w:rsidR="00020DE4">
        <w:t>-(c)</w:t>
      </w:r>
      <w:r w:rsidRPr="00B51E49" w:rsidR="00633BDB">
        <w:t xml:space="preserve">.) </w:t>
      </w:r>
      <w:r w:rsidRPr="00B51E49">
        <w:t xml:space="preserve"> </w:t>
      </w:r>
    </w:p>
    <w:p w:rsidR="0026769D" w:rsidRPr="00B51E49" w:rsidP="00B51E49" w14:paraId="1A1BB74D" w14:textId="79B667DD">
      <w:pPr>
        <w:tabs>
          <w:tab w:val="left" w:pos="1440"/>
        </w:tabs>
        <w:ind w:firstLine="720"/>
      </w:pPr>
      <w:r w:rsidRPr="00B51E49">
        <w:t xml:space="preserve">As originally enacted, </w:t>
      </w:r>
      <w:r w:rsidRPr="00B51E49" w:rsidR="00D81216">
        <w:t xml:space="preserve">section 1001.36 provided that </w:t>
      </w:r>
      <w:r w:rsidRPr="00B51E49" w:rsidR="00680484">
        <w:t>a trial</w:t>
      </w:r>
      <w:r w:rsidRPr="00B51E49" w:rsidR="00D81216">
        <w:t xml:space="preserve"> court </w:t>
      </w:r>
      <w:r w:rsidRPr="00B51E49" w:rsidR="00680484">
        <w:t>may</w:t>
      </w:r>
      <w:r w:rsidRPr="00B51E49" w:rsidR="00ED36DD">
        <w:t xml:space="preserve"> grant pretrial diversion </w:t>
      </w:r>
      <w:r w:rsidRPr="00B51E49" w:rsidR="00065279">
        <w:t xml:space="preserve">if it </w:t>
      </w:r>
      <w:r w:rsidRPr="00B51E49" w:rsidR="003B182C">
        <w:t>f</w:t>
      </w:r>
      <w:r w:rsidRPr="00B51E49" w:rsidR="00C370D9">
        <w:t>inds</w:t>
      </w:r>
      <w:r w:rsidRPr="00B51E49" w:rsidR="00065279">
        <w:t xml:space="preserve"> all of the following: (1)</w:t>
      </w:r>
      <w:r w:rsidR="00052843">
        <w:t> </w:t>
      </w:r>
      <w:r w:rsidRPr="00B51E49" w:rsidR="00ED36DD">
        <w:t xml:space="preserve">the defendant suffers from a </w:t>
      </w:r>
      <w:r w:rsidRPr="00B51E49" w:rsidR="00710B7D">
        <w:t xml:space="preserve">qualifying </w:t>
      </w:r>
      <w:r w:rsidRPr="00B51E49" w:rsidR="00ED36DD">
        <w:t>mental disorder</w:t>
      </w:r>
      <w:r w:rsidRPr="00B51E49" w:rsidR="00065279">
        <w:t>; (2)</w:t>
      </w:r>
      <w:r w:rsidR="00052843">
        <w:t> </w:t>
      </w:r>
      <w:r w:rsidRPr="00B51E49" w:rsidR="00ED36DD">
        <w:t xml:space="preserve">the disorder </w:t>
      </w:r>
      <w:r w:rsidR="00F67CD3">
        <w:t xml:space="preserve">played a significant role </w:t>
      </w:r>
      <w:r w:rsidRPr="00B51E49" w:rsidR="00ED36DD">
        <w:t>in the commission of the charged offense</w:t>
      </w:r>
      <w:r w:rsidRPr="00B51E49" w:rsidR="00065279">
        <w:t>; (3)</w:t>
      </w:r>
      <w:r w:rsidR="00052843">
        <w:t> </w:t>
      </w:r>
      <w:r w:rsidRPr="00B51E49" w:rsidR="00065279">
        <w:t xml:space="preserve">the </w:t>
      </w:r>
      <w:r w:rsidRPr="00B51E49" w:rsidR="00ED36DD">
        <w:t xml:space="preserve">defendant’s symptoms </w:t>
      </w:r>
      <w:r w:rsidRPr="00B51E49" w:rsidR="00065279">
        <w:t xml:space="preserve">will </w:t>
      </w:r>
      <w:r w:rsidRPr="00B51E49" w:rsidR="00ED36DD">
        <w:t>respond to mental health treatment</w:t>
      </w:r>
      <w:r w:rsidRPr="00B51E49" w:rsidR="00065279">
        <w:t>; (4)</w:t>
      </w:r>
      <w:r w:rsidR="00052843">
        <w:t> </w:t>
      </w:r>
      <w:r w:rsidRPr="00B51E49" w:rsidR="00ED36DD">
        <w:t xml:space="preserve">the defendant </w:t>
      </w:r>
      <w:r w:rsidRPr="00B51E49" w:rsidR="00065279">
        <w:t>consents</w:t>
      </w:r>
      <w:r w:rsidRPr="00B51E49" w:rsidR="00ED36DD">
        <w:t xml:space="preserve"> to diversion and waive</w:t>
      </w:r>
      <w:r w:rsidRPr="00B51E49" w:rsidR="00065279">
        <w:t>s</w:t>
      </w:r>
      <w:r w:rsidRPr="00B51E49" w:rsidR="006D7C1C">
        <w:t xml:space="preserve"> his or her </w:t>
      </w:r>
      <w:r w:rsidRPr="00B51E49" w:rsidR="00065279">
        <w:t xml:space="preserve">speedy trial </w:t>
      </w:r>
      <w:r w:rsidRPr="00B51E49" w:rsidR="006D7C1C">
        <w:t>right</w:t>
      </w:r>
      <w:r w:rsidRPr="00B51E49" w:rsidR="00065279">
        <w:t>; (5)</w:t>
      </w:r>
      <w:r w:rsidR="00052843">
        <w:t> </w:t>
      </w:r>
      <w:r w:rsidRPr="00B51E49" w:rsidR="00ED36DD">
        <w:t xml:space="preserve">the defendant </w:t>
      </w:r>
      <w:r w:rsidRPr="00B51E49" w:rsidR="00065279">
        <w:t xml:space="preserve">agrees </w:t>
      </w:r>
      <w:r w:rsidRPr="00B51E49" w:rsidR="00ED36DD">
        <w:t>to comply with treatment</w:t>
      </w:r>
      <w:r w:rsidRPr="00B51E49" w:rsidR="00065279">
        <w:t>; and</w:t>
      </w:r>
      <w:r w:rsidRPr="00B51E49" w:rsidR="006605E4">
        <w:t xml:space="preserve"> (6)</w:t>
      </w:r>
      <w:r w:rsidR="00052843">
        <w:t> </w:t>
      </w:r>
      <w:r w:rsidRPr="00B51E49" w:rsidR="00ED36DD">
        <w:t>the defendant will not pose an unreasonable risk of danger to public safety if treated in the community.</w:t>
      </w:r>
      <w:r w:rsidRPr="00B51E49" w:rsidR="00944B03">
        <w:t xml:space="preserve">  </w:t>
      </w:r>
      <w:r w:rsidRPr="00B51E49" w:rsidR="00ED36DD">
        <w:t>(</w:t>
      </w:r>
      <w:r w:rsidR="00C32BF8">
        <w:t xml:space="preserve">Former </w:t>
      </w:r>
      <w:r w:rsidRPr="00B51E49" w:rsidR="00ED36DD">
        <w:t>§ 1001.36, subd. (b)(</w:t>
      </w:r>
      <w:r w:rsidRPr="00B51E49" w:rsidR="00B756F0">
        <w:t>1</w:t>
      </w:r>
      <w:r w:rsidRPr="00B51E49" w:rsidR="00ED36DD">
        <w:t>)</w:t>
      </w:r>
      <w:r w:rsidR="00F67CD3">
        <w:t>-(6)</w:t>
      </w:r>
      <w:r w:rsidRPr="00B51E49" w:rsidR="00ED36DD">
        <w:t>.)</w:t>
      </w:r>
      <w:r w:rsidRPr="00B51E49" w:rsidR="00333325">
        <w:t xml:space="preserve">  </w:t>
      </w:r>
      <w:r w:rsidRPr="00B51E49">
        <w:t>Section 1001.36 was subsequently amended by Senate Bill No.</w:t>
      </w:r>
      <w:r w:rsidR="00B51E49">
        <w:t> </w:t>
      </w:r>
      <w:r w:rsidRPr="00B51E49">
        <w:t xml:space="preserve">215 (2017-2018 Reg. Sess.) (Senate Bill 215) to specify that defendants charged with certain crimes, such as murder and rape, are ineligible for diversion.  (§ 1001.36, subd. (b)(2), as amended by Stats. 2018, ch. 1005, § 1.)  </w:t>
      </w:r>
    </w:p>
    <w:p w:rsidR="00F97141" w:rsidRPr="00B51E49" w:rsidP="00B51E49" w14:paraId="2C902ED6" w14:textId="153D0704">
      <w:pPr>
        <w:tabs>
          <w:tab w:val="left" w:pos="1440"/>
        </w:tabs>
        <w:ind w:firstLine="720"/>
      </w:pPr>
      <w:r w:rsidRPr="00B51E49">
        <w:t>I</w:t>
      </w:r>
      <w:r w:rsidRPr="00B51E49" w:rsidR="004343E4">
        <w:t>f the</w:t>
      </w:r>
      <w:r w:rsidRPr="00B51E49" w:rsidR="005C3422">
        <w:t xml:space="preserve"> defendant</w:t>
      </w:r>
      <w:r w:rsidRPr="00B51E49" w:rsidR="00DE50DE">
        <w:t xml:space="preserve"> </w:t>
      </w:r>
      <w:r w:rsidRPr="00B51E49">
        <w:t>makes</w:t>
      </w:r>
      <w:r w:rsidRPr="00B51E49" w:rsidR="0091158A">
        <w:t xml:space="preserve"> a prima facie showing that he or she </w:t>
      </w:r>
      <w:r w:rsidRPr="00B51E49" w:rsidR="00A4204F">
        <w:t>meets</w:t>
      </w:r>
      <w:r w:rsidRPr="00B51E49" w:rsidR="0017618E">
        <w:t xml:space="preserve"> </w:t>
      </w:r>
      <w:r w:rsidRPr="00B51E49" w:rsidR="00F31627">
        <w:t>all of the</w:t>
      </w:r>
      <w:r w:rsidRPr="00B51E49" w:rsidR="0017618E">
        <w:t xml:space="preserve"> </w:t>
      </w:r>
      <w:r w:rsidRPr="00B51E49" w:rsidR="00D320B7">
        <w:t xml:space="preserve">threshold </w:t>
      </w:r>
      <w:r w:rsidRPr="00B51E49" w:rsidR="0017618E">
        <w:t>eligibility requirements</w:t>
      </w:r>
      <w:r w:rsidRPr="00B51E49">
        <w:t xml:space="preserve"> and </w:t>
      </w:r>
      <w:r w:rsidRPr="00B51E49" w:rsidR="00BE4A56">
        <w:t>the defendant and the offense are suitable for diversion</w:t>
      </w:r>
      <w:r w:rsidRPr="00B51E49" w:rsidR="001933D9">
        <w:t xml:space="preserve">, </w:t>
      </w:r>
      <w:r w:rsidRPr="00B51E49" w:rsidR="00DE4AC4">
        <w:t xml:space="preserve">and the </w:t>
      </w:r>
      <w:r w:rsidR="0041288B">
        <w:t xml:space="preserve">trial </w:t>
      </w:r>
      <w:r w:rsidRPr="00B51E49" w:rsidR="00DE4AC4">
        <w:t xml:space="preserve">court is satisfied that the recommended program of mental health treatment will meet the specialized mental health treatment needs of the defendant, </w:t>
      </w:r>
      <w:r w:rsidRPr="00B51E49" w:rsidR="001933D9">
        <w:t>then the court may grant pretrial diversion</w:t>
      </w:r>
      <w:r w:rsidRPr="00B51E49" w:rsidR="00CE6C4A">
        <w:t>.</w:t>
      </w:r>
      <w:r w:rsidRPr="00B51E49" w:rsidR="005E5254">
        <w:t xml:space="preserve">  (§ 1001.36, subd</w:t>
      </w:r>
      <w:r w:rsidRPr="00B51E49" w:rsidR="009C3094">
        <w:t>s</w:t>
      </w:r>
      <w:r w:rsidRPr="00B51E49" w:rsidR="005E5254">
        <w:t xml:space="preserve">. </w:t>
      </w:r>
      <w:r w:rsidRPr="00B51E49" w:rsidR="009C3094">
        <w:t>(a)</w:t>
      </w:r>
      <w:r w:rsidRPr="00B51E49" w:rsidR="00DE4AC4">
        <w:t xml:space="preserve">, </w:t>
      </w:r>
      <w:r w:rsidRPr="00B51E49" w:rsidR="007B6D93">
        <w:t>(b)(3)</w:t>
      </w:r>
      <w:r w:rsidRPr="00B51E49" w:rsidR="00DE4AC4">
        <w:t xml:space="preserve"> &amp; (c)(1)</w:t>
      </w:r>
      <w:r w:rsidRPr="00B51E49" w:rsidR="005E5254">
        <w:t xml:space="preserve">.)  </w:t>
      </w:r>
      <w:r w:rsidRPr="00B51E49" w:rsidR="00CC7D05">
        <w:t xml:space="preserve">The maximum period of diversion is two years.  </w:t>
      </w:r>
      <w:r w:rsidRPr="00B51E49" w:rsidR="00944B03">
        <w:t>(</w:t>
      </w:r>
      <w:r w:rsidRPr="00B51E49" w:rsidR="00422373">
        <w:rPr>
          <w:i/>
        </w:rPr>
        <w:t>Id.</w:t>
      </w:r>
      <w:r w:rsidRPr="00B51E49" w:rsidR="00CC7D05">
        <w:t>, subd. (c)(3).)</w:t>
      </w:r>
      <w:r w:rsidRPr="00B51E49" w:rsidR="0012218A">
        <w:t xml:space="preserve">  </w:t>
      </w:r>
      <w:r w:rsidRPr="00B51E49" w:rsidR="009366BF">
        <w:t xml:space="preserve">If the defendant is </w:t>
      </w:r>
      <w:r w:rsidRPr="00B51E49" w:rsidR="0077515C">
        <w:t xml:space="preserve">subsequently </w:t>
      </w:r>
      <w:r w:rsidRPr="00B51E49" w:rsidR="009366BF">
        <w:t xml:space="preserve">charged with </w:t>
      </w:r>
      <w:r w:rsidR="00D26CFE">
        <w:t xml:space="preserve">an </w:t>
      </w:r>
      <w:r w:rsidRPr="00B51E49" w:rsidR="009366BF">
        <w:t xml:space="preserve">additional crime, or otherwise performs unsatisfactorily in </w:t>
      </w:r>
      <w:r w:rsidR="000A5DCC">
        <w:t>the assigned program</w:t>
      </w:r>
      <w:r w:rsidRPr="00B51E49" w:rsidR="009366BF">
        <w:t>, then the court may reinstate criminal proceedings.  (</w:t>
      </w:r>
      <w:r w:rsidRPr="00B51E49" w:rsidR="009366BF">
        <w:rPr>
          <w:i/>
        </w:rPr>
        <w:t>Id.</w:t>
      </w:r>
      <w:r w:rsidRPr="00B51E49" w:rsidR="009366BF">
        <w:rPr>
          <w:caps/>
        </w:rPr>
        <w:t xml:space="preserve">, </w:t>
      </w:r>
      <w:r w:rsidRPr="00B51E49" w:rsidR="009366BF">
        <w:t>subd. (d</w:t>
      </w:r>
      <w:r w:rsidRPr="00B51E49" w:rsidR="009366BF">
        <w:rPr>
          <w:caps/>
        </w:rPr>
        <w:t>).)</w:t>
      </w:r>
      <w:r w:rsidRPr="00B51E49" w:rsidR="007C3EB9">
        <w:rPr>
          <w:caps/>
        </w:rPr>
        <w:t xml:space="preserve">  </w:t>
      </w:r>
      <w:r w:rsidR="000A05C5">
        <w:rPr>
          <w:caps/>
        </w:rPr>
        <w:t>“</w:t>
      </w:r>
      <w:r w:rsidRPr="00B51E49" w:rsidR="0012218A">
        <w:t xml:space="preserve">If </w:t>
      </w:r>
      <w:r w:rsidRPr="00B51E49" w:rsidR="00DD30F4">
        <w:t xml:space="preserve">the defendant </w:t>
      </w:r>
      <w:r w:rsidR="000A05C5">
        <w:t xml:space="preserve">has </w:t>
      </w:r>
      <w:r w:rsidRPr="00B51E49" w:rsidR="00DD30F4">
        <w:t>perform</w:t>
      </w:r>
      <w:r w:rsidR="000A05C5">
        <w:t>ed</w:t>
      </w:r>
      <w:r w:rsidRPr="00B51E49" w:rsidR="00DD30F4">
        <w:t xml:space="preserve"> satisfactorily in diversion, </w:t>
      </w:r>
      <w:r w:rsidRPr="00B51E49" w:rsidR="00613783">
        <w:t xml:space="preserve">at the end of the </w:t>
      </w:r>
      <w:r w:rsidR="000A05C5">
        <w:t>p</w:t>
      </w:r>
      <w:r w:rsidRPr="00B51E49" w:rsidR="00613783">
        <w:t xml:space="preserve">eriod </w:t>
      </w:r>
      <w:r w:rsidR="000A05C5">
        <w:t xml:space="preserve">of diversion, </w:t>
      </w:r>
      <w:r w:rsidRPr="00B51E49" w:rsidR="00A63BDA">
        <w:t>the</w:t>
      </w:r>
      <w:r w:rsidRPr="00B51E49" w:rsidR="00EE64F2">
        <w:t xml:space="preserve"> court </w:t>
      </w:r>
      <w:r w:rsidRPr="00B51E49" w:rsidR="00A63BDA">
        <w:t>shall</w:t>
      </w:r>
      <w:r w:rsidRPr="00B51E49" w:rsidR="00EB2DA9">
        <w:t xml:space="preserve"> </w:t>
      </w:r>
      <w:r w:rsidRPr="00B51E49" w:rsidR="00EE64F2">
        <w:t>dismiss the defendant’s criminal charges</w:t>
      </w:r>
      <w:r w:rsidRPr="00B51E49" w:rsidR="00EB2DA9">
        <w:t xml:space="preserve"> that were the subject of the criminal proceedings at the time of the initial diversion” </w:t>
      </w:r>
      <w:r w:rsidRPr="00B51E49" w:rsidR="00E10E1A">
        <w:t>and</w:t>
      </w:r>
      <w:r w:rsidRPr="00B51E49" w:rsidR="00EB2DA9">
        <w:t xml:space="preserve"> </w:t>
      </w:r>
      <w:r w:rsidRPr="00B51E49" w:rsidR="003C5E7E">
        <w:t>“</w:t>
      </w:r>
      <w:r w:rsidRPr="00B51E49" w:rsidR="00A2095A">
        <w:t>the arrest upon which the diversion was based shall be deemed never to have occurred.</w:t>
      </w:r>
      <w:r w:rsidRPr="00B51E49" w:rsidR="008A5C1D">
        <w:t xml:space="preserve">”  </w:t>
      </w:r>
      <w:r w:rsidRPr="00B51E49" w:rsidR="007C3EB9">
        <w:t>(</w:t>
      </w:r>
      <w:r w:rsidRPr="00B51E49" w:rsidR="007C3EB9">
        <w:rPr>
          <w:i/>
        </w:rPr>
        <w:t>Id.</w:t>
      </w:r>
      <w:r w:rsidRPr="00B51E49" w:rsidR="00E10E1A">
        <w:t>, subd. (e).</w:t>
      </w:r>
      <w:r w:rsidRPr="00B51E49" w:rsidR="008A5C1D">
        <w:t xml:space="preserve">)  </w:t>
      </w:r>
    </w:p>
    <w:p w:rsidR="000F4751" w:rsidRPr="00B51E49" w:rsidP="00B51E49" w14:paraId="622EA284" w14:textId="19522C44">
      <w:pPr>
        <w:pStyle w:val="Heading2"/>
      </w:pPr>
      <w:r w:rsidRPr="00B51E49">
        <w:t xml:space="preserve">B.  </w:t>
      </w:r>
      <w:r w:rsidRPr="00B51E49" w:rsidR="00422373">
        <w:t>Retroactive Application of Ameliorative Criminal Laws</w:t>
      </w:r>
      <w:r w:rsidRPr="00B51E49" w:rsidR="00353BFF">
        <w:t xml:space="preserve"> </w:t>
      </w:r>
    </w:p>
    <w:p w:rsidR="00D54949" w:rsidRPr="00B51E49" w:rsidP="00B51E49" w14:paraId="32CF4413" w14:textId="05C8ED7F">
      <w:pPr>
        <w:tabs>
          <w:tab w:val="left" w:pos="1440"/>
        </w:tabs>
        <w:ind w:firstLine="720"/>
      </w:pPr>
      <w:r w:rsidRPr="00B51E49">
        <w:t>Generally</w:t>
      </w:r>
      <w:r w:rsidRPr="00B51E49" w:rsidR="000F4751">
        <w:t xml:space="preserve">, statutes are presumed to apply </w:t>
      </w:r>
      <w:r w:rsidRPr="00B51E49" w:rsidR="00422373">
        <w:t xml:space="preserve">only </w:t>
      </w:r>
      <w:r w:rsidRPr="00B51E49" w:rsidR="000F4751">
        <w:t>prospectively.  (</w:t>
      </w:r>
      <w:r w:rsidRPr="00B51E49" w:rsidR="000F4751">
        <w:rPr>
          <w:i/>
        </w:rPr>
        <w:t>Lara</w:t>
      </w:r>
      <w:r w:rsidRPr="00B51E49" w:rsidR="00007F41">
        <w:t xml:space="preserve">, </w:t>
      </w:r>
      <w:r w:rsidRPr="00B51E49" w:rsidR="00007F41">
        <w:rPr>
          <w:i/>
        </w:rPr>
        <w:t>supra</w:t>
      </w:r>
      <w:r w:rsidRPr="00B51E49" w:rsidR="00007F41">
        <w:t>,</w:t>
      </w:r>
      <w:r w:rsidRPr="00B51E49" w:rsidR="00007F41">
        <w:rPr>
          <w:i/>
        </w:rPr>
        <w:t xml:space="preserve"> </w:t>
      </w:r>
      <w:r w:rsidRPr="00B51E49" w:rsidR="000F4751">
        <w:t xml:space="preserve">4 Cal.5th </w:t>
      </w:r>
      <w:r w:rsidRPr="00B51E49" w:rsidR="00007F41">
        <w:t>at p.</w:t>
      </w:r>
      <w:r w:rsidRPr="00B51E49" w:rsidR="000F4751">
        <w:t xml:space="preserve"> 307.)  However, </w:t>
      </w:r>
      <w:r w:rsidRPr="00B51E49" w:rsidR="008515A5">
        <w:t xml:space="preserve">this presumption is a canon of statutory interpretation rather than a constitutional mandate.  </w:t>
      </w:r>
      <w:r w:rsidRPr="00B51E49" w:rsidR="00CA33F9">
        <w:t>(</w:t>
      </w:r>
      <w:r w:rsidRPr="00B51E49" w:rsidR="009B5FE5">
        <w:rPr>
          <w:i/>
        </w:rPr>
        <w:t>Ibid.</w:t>
      </w:r>
      <w:r w:rsidRPr="00B51E49" w:rsidR="00CA33F9">
        <w:t xml:space="preserve">)  </w:t>
      </w:r>
      <w:r w:rsidRPr="00B51E49" w:rsidR="00C77EDF">
        <w:t xml:space="preserve">Accordingly, </w:t>
      </w:r>
      <w:r w:rsidRPr="00B51E49" w:rsidR="00613783">
        <w:t>“</w:t>
      </w:r>
      <w:r w:rsidRPr="00B51E49" w:rsidR="00C77EDF">
        <w:t>the Legislature can</w:t>
      </w:r>
      <w:r w:rsidRPr="00B51E49" w:rsidR="00613783">
        <w:t xml:space="preserve"> ordinarily</w:t>
      </w:r>
      <w:r w:rsidRPr="00B51E49" w:rsidR="00C77EDF">
        <w:t xml:space="preserve"> </w:t>
      </w:r>
      <w:r w:rsidRPr="00B51E49" w:rsidR="00D94C93">
        <w:t>enact laws that apply retroactively, either explicitly or by implication.</w:t>
      </w:r>
      <w:r w:rsidRPr="00B51E49" w:rsidR="00613783">
        <w:t>”</w:t>
      </w:r>
      <w:r w:rsidRPr="00B51E49" w:rsidR="000E280F">
        <w:t xml:space="preserve">  </w:t>
      </w:r>
      <w:r w:rsidRPr="00B51E49" w:rsidR="008234AE">
        <w:t>(</w:t>
      </w:r>
      <w:r w:rsidRPr="00B51E49" w:rsidR="008234AE">
        <w:rPr>
          <w:i/>
        </w:rPr>
        <w:t>Ibid.</w:t>
      </w:r>
      <w:r w:rsidRPr="00B51E49" w:rsidR="008234AE">
        <w:t>)  Courts</w:t>
      </w:r>
      <w:r w:rsidRPr="00B51E49" w:rsidR="000E280F">
        <w:t xml:space="preserve"> </w:t>
      </w:r>
      <w:r w:rsidRPr="00B51E49" w:rsidR="00172534">
        <w:t xml:space="preserve">look to the Legislature’s intent in order to determine if </w:t>
      </w:r>
      <w:r w:rsidRPr="00B51E49" w:rsidR="00DF49A1">
        <w:t>a</w:t>
      </w:r>
      <w:r w:rsidRPr="00B51E49" w:rsidR="00172534">
        <w:t xml:space="preserve"> law </w:t>
      </w:r>
      <w:r w:rsidRPr="00B51E49" w:rsidR="006A241D">
        <w:t xml:space="preserve">is meant </w:t>
      </w:r>
      <w:r w:rsidRPr="00B51E49" w:rsidR="00172534">
        <w:t>to apply retroactively.</w:t>
      </w:r>
      <w:r w:rsidRPr="00B51E49" w:rsidR="006A241D">
        <w:t xml:space="preserve">  (</w:t>
      </w:r>
      <w:r w:rsidRPr="00B51E49" w:rsidR="006A241D">
        <w:rPr>
          <w:i/>
        </w:rPr>
        <w:t>Ibid.</w:t>
      </w:r>
      <w:r w:rsidRPr="00B51E49" w:rsidR="006A241D">
        <w:t>)</w:t>
      </w:r>
      <w:r w:rsidRPr="00B51E49" w:rsidR="00172534">
        <w:t xml:space="preserve">  </w:t>
      </w:r>
      <w:r w:rsidRPr="00B51E49" w:rsidR="00D94C93">
        <w:t xml:space="preserve">  </w:t>
      </w:r>
    </w:p>
    <w:p w:rsidR="00940B43" w:rsidRPr="00B51E49" w:rsidP="00B51E49" w14:paraId="2DA71FEA" w14:textId="506E5E40">
      <w:pPr>
        <w:tabs>
          <w:tab w:val="left" w:pos="1440"/>
        </w:tabs>
        <w:ind w:firstLine="720"/>
      </w:pPr>
      <w:r w:rsidRPr="00B51E49">
        <w:t xml:space="preserve">In </w:t>
      </w:r>
      <w:r w:rsidRPr="00B51E49" w:rsidR="00DA7163">
        <w:rPr>
          <w:i/>
        </w:rPr>
        <w:t>Estrada</w:t>
      </w:r>
      <w:r w:rsidRPr="00B51E49" w:rsidR="00770A39">
        <w:t xml:space="preserve">, </w:t>
      </w:r>
      <w:r w:rsidRPr="00B51E49" w:rsidR="00770A39">
        <w:rPr>
          <w:i/>
        </w:rPr>
        <w:t>supra</w:t>
      </w:r>
      <w:r w:rsidRPr="00B51E49" w:rsidR="00770A39">
        <w:t>,</w:t>
      </w:r>
      <w:r w:rsidRPr="00B51E49" w:rsidR="001467F9">
        <w:t xml:space="preserve"> </w:t>
      </w:r>
      <w:r w:rsidRPr="00B51E49" w:rsidR="008F5D31">
        <w:t>63 Cal.2d 7</w:t>
      </w:r>
      <w:r w:rsidR="0041288B">
        <w:t>4</w:t>
      </w:r>
      <w:r w:rsidRPr="00B51E49" w:rsidR="008F5D31">
        <w:t>0</w:t>
      </w:r>
      <w:r w:rsidRPr="00B51E49">
        <w:t>, we</w:t>
      </w:r>
      <w:r w:rsidRPr="00B51E49" w:rsidR="005A21B9">
        <w:t xml:space="preserve"> </w:t>
      </w:r>
      <w:r w:rsidRPr="00B51E49" w:rsidR="009C76EC">
        <w:t>held</w:t>
      </w:r>
      <w:r w:rsidRPr="00B51E49" w:rsidR="00DA7163">
        <w:rPr>
          <w:i/>
        </w:rPr>
        <w:t xml:space="preserve"> </w:t>
      </w:r>
      <w:r w:rsidRPr="00B51E49" w:rsidR="001467F9">
        <w:t xml:space="preserve">that </w:t>
      </w:r>
      <w:r w:rsidRPr="00B51E49" w:rsidR="00643DB4">
        <w:t>amendatory statute</w:t>
      </w:r>
      <w:r w:rsidRPr="00B51E49" w:rsidR="00BA00F1">
        <w:t xml:space="preserve">s </w:t>
      </w:r>
      <w:r w:rsidR="007C02CF">
        <w:t>that</w:t>
      </w:r>
      <w:r w:rsidRPr="00B51E49" w:rsidR="007C02CF">
        <w:t xml:space="preserve"> </w:t>
      </w:r>
      <w:r w:rsidRPr="00B51E49" w:rsidR="00643DB4">
        <w:t xml:space="preserve">lessen </w:t>
      </w:r>
      <w:r w:rsidRPr="00B51E49" w:rsidR="000F4751">
        <w:t>the punishment for criminal conduct</w:t>
      </w:r>
      <w:r w:rsidRPr="00B51E49" w:rsidR="00631235">
        <w:t xml:space="preserve"> </w:t>
      </w:r>
      <w:r w:rsidRPr="00B51E49" w:rsidR="00A339DD">
        <w:t xml:space="preserve">are </w:t>
      </w:r>
      <w:r w:rsidRPr="00B51E49" w:rsidR="00136A73">
        <w:t xml:space="preserve">ordinarily </w:t>
      </w:r>
      <w:r w:rsidRPr="00B51E49" w:rsidR="00591D57">
        <w:t>intended</w:t>
      </w:r>
      <w:r w:rsidRPr="00B51E49" w:rsidR="00A339DD">
        <w:t xml:space="preserve"> to </w:t>
      </w:r>
      <w:r w:rsidRPr="00B51E49" w:rsidR="00E77F68">
        <w:t xml:space="preserve">apply </w:t>
      </w:r>
      <w:r w:rsidRPr="00B51E49" w:rsidR="00693912">
        <w:t>retroactively</w:t>
      </w:r>
      <w:r w:rsidRPr="00B51E49" w:rsidR="00BA00F1">
        <w:t xml:space="preserve">. </w:t>
      </w:r>
      <w:r w:rsidRPr="00B51E49" w:rsidR="00693912">
        <w:t xml:space="preserve"> (</w:t>
      </w:r>
      <w:r w:rsidRPr="00B51E49" w:rsidR="005A21B9">
        <w:rPr>
          <w:i/>
        </w:rPr>
        <w:t>Id.</w:t>
      </w:r>
      <w:r w:rsidRPr="00B51E49" w:rsidR="005A21B9">
        <w:t xml:space="preserve"> at pp.</w:t>
      </w:r>
      <w:r w:rsidR="00052843">
        <w:t> </w:t>
      </w:r>
      <w:r w:rsidRPr="00B51E49" w:rsidR="0034039C">
        <w:t>744-745</w:t>
      </w:r>
      <w:r w:rsidRPr="00B51E49" w:rsidR="00693912">
        <w:t>.)</w:t>
      </w:r>
      <w:r w:rsidRPr="00B51E49" w:rsidR="00BA00F1">
        <w:t xml:space="preserve">  </w:t>
      </w:r>
      <w:r w:rsidRPr="00B51E49" w:rsidR="00A8264D">
        <w:t xml:space="preserve">In </w:t>
      </w:r>
      <w:r w:rsidR="00085887">
        <w:t>endeavori</w:t>
      </w:r>
      <w:r w:rsidRPr="00B51E49" w:rsidR="00A8264D">
        <w:t xml:space="preserve">ng to ascertain the </w:t>
      </w:r>
      <w:r w:rsidRPr="00B51E49" w:rsidR="00394E00">
        <w:t>legislative intent in enacting such a statute</w:t>
      </w:r>
      <w:r w:rsidRPr="00B51E49" w:rsidR="00A8264D">
        <w:t>, we found</w:t>
      </w:r>
      <w:r w:rsidRPr="00B51E49" w:rsidR="00811CD2">
        <w:t xml:space="preserve"> </w:t>
      </w:r>
      <w:r w:rsidRPr="00B51E49" w:rsidR="00DC1348">
        <w:t>“</w:t>
      </w:r>
      <w:r w:rsidRPr="00B51E49" w:rsidR="00811CD2">
        <w:t>one consideration of paramount importance</w:t>
      </w:r>
      <w:r w:rsidRPr="00B51E49" w:rsidR="00826AF5">
        <w:t>.</w:t>
      </w:r>
      <w:r w:rsidRPr="00B51E49" w:rsidR="00DC1348">
        <w:t>”</w:t>
      </w:r>
      <w:r w:rsidRPr="00B51E49" w:rsidR="00826AF5">
        <w:t xml:space="preserve">  (</w:t>
      </w:r>
      <w:r w:rsidRPr="00B51E49" w:rsidR="00826AF5">
        <w:rPr>
          <w:i/>
        </w:rPr>
        <w:t>Id.</w:t>
      </w:r>
      <w:r w:rsidR="002B54DD">
        <w:t xml:space="preserve"> at p.</w:t>
      </w:r>
      <w:r w:rsidR="00052843">
        <w:t> </w:t>
      </w:r>
      <w:r w:rsidR="002B54DD">
        <w:t>744</w:t>
      </w:r>
      <w:r w:rsidR="00847E81">
        <w:t>.</w:t>
      </w:r>
      <w:r w:rsidRPr="00B51E49" w:rsidR="00826AF5">
        <w:t>)  We explained:</w:t>
      </w:r>
      <w:r w:rsidR="00052843">
        <w:t>  </w:t>
      </w:r>
      <w:r w:rsidRPr="00B51E49" w:rsidR="00DC1348">
        <w:t>“</w:t>
      </w:r>
      <w:r w:rsidRPr="00B51E49" w:rsidR="009B66B3">
        <w:t>W</w:t>
      </w:r>
      <w:r w:rsidRPr="00B51E49" w:rsidR="002642AA">
        <w:t>hen</w:t>
      </w:r>
      <w:r w:rsidRPr="00B51E49" w:rsidR="00E9464C">
        <w:t xml:space="preserve"> the Legislature amends a statute so as to lessen the punishment it has obviously expressly determined that its former penalty was too severe and that a lighter punishment is proper as punishment for the commission of the prohibited act</w:t>
      </w:r>
      <w:r w:rsidRPr="00B51E49" w:rsidR="00963ADD">
        <w:t>.  I</w:t>
      </w:r>
      <w:r w:rsidRPr="00B51E49" w:rsidR="00E9464C">
        <w:t>t is an inevitable inference that the Legislature must have intended that the new statute imposing the new lighter penalty now deemed to be sufficient should apply to every case to which it constitutionally could apply</w:t>
      </w:r>
      <w:r w:rsidRPr="00B51E49" w:rsidR="00587B5F">
        <w:t>.  T</w:t>
      </w:r>
      <w:r w:rsidRPr="00B51E49" w:rsidR="008342A5">
        <w:t xml:space="preserve">he amendatory act imposing the lighter punishment can be applied constitutionally to </w:t>
      </w:r>
      <w:r w:rsidRPr="00B51E49" w:rsidR="00E9464C">
        <w:t>acts committed before its passage provided the judgment convicting the defendant of the act is not final.</w:t>
      </w:r>
      <w:r w:rsidRPr="00B51E49" w:rsidR="003A51C4">
        <w:t xml:space="preserve">  This intent seems obvious, because to hold otherwise would be to conclude that the Legislature was motivated by a desire for vengeance, a conclusion not permitted in view of modern theories of penology.</w:t>
      </w:r>
      <w:r w:rsidRPr="00B51E49" w:rsidR="00E9464C">
        <w:t xml:space="preserve">”  </w:t>
      </w:r>
      <w:r w:rsidRPr="00B51E49" w:rsidR="00062888">
        <w:t>(</w:t>
      </w:r>
      <w:r w:rsidRPr="00B51E49" w:rsidR="00062888">
        <w:rPr>
          <w:i/>
        </w:rPr>
        <w:t>I</w:t>
      </w:r>
      <w:r w:rsidRPr="00B51E49" w:rsidR="003844AF">
        <w:rPr>
          <w:i/>
        </w:rPr>
        <w:t>d</w:t>
      </w:r>
      <w:r w:rsidRPr="00B51E49" w:rsidR="00062888">
        <w:rPr>
          <w:i/>
        </w:rPr>
        <w:t>.</w:t>
      </w:r>
      <w:r w:rsidR="00847E81">
        <w:t xml:space="preserve"> at p.</w:t>
      </w:r>
      <w:r w:rsidR="00052843">
        <w:t> </w:t>
      </w:r>
      <w:r w:rsidR="00847E81">
        <w:t>745.</w:t>
      </w:r>
      <w:r w:rsidRPr="00B51E49" w:rsidR="00062888">
        <w:t>)</w:t>
      </w:r>
      <w:r w:rsidRPr="00B51E49" w:rsidR="00A40C6D">
        <w:t xml:space="preserve">  </w:t>
      </w:r>
    </w:p>
    <w:p w:rsidR="00477A77" w:rsidRPr="00B51E49" w:rsidP="00B51E49" w14:paraId="48C81E45" w14:textId="5095933C">
      <w:pPr>
        <w:tabs>
          <w:tab w:val="left" w:pos="1440"/>
        </w:tabs>
        <w:ind w:firstLine="720"/>
      </w:pPr>
      <w:r w:rsidRPr="00B51E49">
        <w:t xml:space="preserve">We </w:t>
      </w:r>
      <w:r w:rsidRPr="00B51E49" w:rsidR="00826AF5">
        <w:t>reasone</w:t>
      </w:r>
      <w:r w:rsidRPr="00B51E49">
        <w:t xml:space="preserve">d </w:t>
      </w:r>
      <w:r w:rsidRPr="00B51E49" w:rsidR="0061021C">
        <w:t xml:space="preserve">that </w:t>
      </w:r>
      <w:r w:rsidRPr="00B51E49">
        <w:t>“ ‘[a] legislative mitigation of the penalty for a particular crime represents a legislative judgment that the lesser penalty or the different treatment is sufficient to meet the legitimate ends of the criminal law.</w:t>
      </w:r>
      <w:r w:rsidRPr="00B51E49" w:rsidR="00AB2A0F">
        <w:t xml:space="preserve">  Nothing is to be gained by imposing the more severe penalty after such a pronouncement; the excess in punishment can, by hypothesis, serve no purpose other than to satisfy a desire for vengeance.  As to a mitigation of penalties, then, it is safe to assume, as the modern rule does, that it was the legislative design that the lighter penalty should be imposed in all cases that subsequently reach the courts.</w:t>
      </w:r>
      <w:r w:rsidRPr="00B51E49">
        <w:t>’ ”  (</w:t>
      </w:r>
      <w:r w:rsidRPr="00B51E49" w:rsidR="00AB2A0F">
        <w:rPr>
          <w:i/>
        </w:rPr>
        <w:t>Estrada</w:t>
      </w:r>
      <w:r w:rsidRPr="00B51E49" w:rsidR="00AB2A0F">
        <w:t xml:space="preserve">, </w:t>
      </w:r>
      <w:r w:rsidRPr="00B51E49" w:rsidR="00AB2A0F">
        <w:rPr>
          <w:i/>
        </w:rPr>
        <w:t>supra</w:t>
      </w:r>
      <w:r w:rsidRPr="00B51E49" w:rsidR="00AB2A0F">
        <w:t>, 63 Cal.2d</w:t>
      </w:r>
      <w:r w:rsidRPr="00B51E49">
        <w:t xml:space="preserve"> at </w:t>
      </w:r>
      <w:r w:rsidRPr="00B51E49" w:rsidR="00AB2A0F">
        <w:t>p</w:t>
      </w:r>
      <w:r w:rsidRPr="00B51E49">
        <w:t>p. 745</w:t>
      </w:r>
      <w:r w:rsidRPr="00B51E49" w:rsidR="00AB2A0F">
        <w:t>-746</w:t>
      </w:r>
      <w:r w:rsidRPr="00B51E49">
        <w:t xml:space="preserve">, </w:t>
      </w:r>
      <w:r w:rsidRPr="00B51E49" w:rsidR="00B20423">
        <w:t>quo</w:t>
      </w:r>
      <w:r w:rsidRPr="00B51E49">
        <w:t xml:space="preserve">ting </w:t>
      </w:r>
      <w:r w:rsidRPr="00B51E49">
        <w:rPr>
          <w:i/>
        </w:rPr>
        <w:t xml:space="preserve">People v. Oliver </w:t>
      </w:r>
      <w:r w:rsidRPr="00B51E49">
        <w:t>(</w:t>
      </w:r>
      <w:r w:rsidRPr="00B51E49" w:rsidR="00396186">
        <w:t xml:space="preserve">N.Y. </w:t>
      </w:r>
      <w:r w:rsidRPr="00B51E49">
        <w:t xml:space="preserve">1956) </w:t>
      </w:r>
      <w:r w:rsidRPr="00B51E49" w:rsidR="006A0599">
        <w:t>134 N.E.2d 197</w:t>
      </w:r>
      <w:r w:rsidRPr="00B51E49">
        <w:t xml:space="preserve">, </w:t>
      </w:r>
      <w:r w:rsidRPr="00B51E49" w:rsidR="00464C3B">
        <w:t>202</w:t>
      </w:r>
      <w:r w:rsidRPr="00B51E49">
        <w:t>.)</w:t>
      </w:r>
    </w:p>
    <w:p w:rsidR="002F7F16" w:rsidRPr="00B51E49" w:rsidP="00B51E49" w14:paraId="32EA6A14" w14:textId="0C8C4DB3">
      <w:pPr>
        <w:tabs>
          <w:tab w:val="left" w:pos="1440"/>
        </w:tabs>
        <w:ind w:firstLine="720"/>
      </w:pPr>
      <w:r w:rsidRPr="00B51E49">
        <w:t>“</w:t>
      </w:r>
      <w:r w:rsidRPr="00B51E49" w:rsidR="005820BD">
        <w:rPr>
          <w:i/>
        </w:rPr>
        <w:t xml:space="preserve">Estrada </w:t>
      </w:r>
      <w:r w:rsidRPr="00B51E49" w:rsidR="005820BD">
        <w:t>stands for the proposition that, ‘</w:t>
      </w:r>
      <w:r w:rsidRPr="00B51E49" w:rsidR="004D4504">
        <w:t>w</w:t>
      </w:r>
      <w:r w:rsidRPr="00B51E49" w:rsidR="00351240">
        <w:t>here the amendatory statute mitigates punishment and there is no saving</w:t>
      </w:r>
      <w:r w:rsidRPr="00B51E49" w:rsidR="00BC7EB7">
        <w:t>[s]</w:t>
      </w:r>
      <w:r w:rsidRPr="00B51E49" w:rsidR="00351240">
        <w:t xml:space="preserve"> clause, the rule is that the amendment will operate retroactively so that the lighter punishment is imposed.</w:t>
      </w:r>
      <w:r w:rsidRPr="00B51E49" w:rsidR="004D4504">
        <w:t>’</w:t>
      </w:r>
      <w:r w:rsidR="00052843">
        <w:t> </w:t>
      </w:r>
      <w:r w:rsidRPr="00B51E49" w:rsidR="00351240">
        <w:t>”</w:t>
      </w:r>
      <w:r w:rsidRPr="00B51E49" w:rsidR="007B05B7">
        <w:t xml:space="preserve">  (</w:t>
      </w:r>
      <w:r w:rsidRPr="00B51E49" w:rsidR="007B05B7">
        <w:rPr>
          <w:i/>
        </w:rPr>
        <w:t>People v. Nasalga</w:t>
      </w:r>
      <w:r w:rsidRPr="00B51E49" w:rsidR="007B05B7">
        <w:t xml:space="preserve"> (1996) 12 Cal.4th 784, </w:t>
      </w:r>
      <w:r w:rsidRPr="00B51E49" w:rsidR="00F77E64">
        <w:t>792</w:t>
      </w:r>
      <w:r w:rsidRPr="00B51E49" w:rsidR="0046491C">
        <w:t xml:space="preserve"> (</w:t>
      </w:r>
      <w:r w:rsidRPr="00B51E49" w:rsidR="0046491C">
        <w:rPr>
          <w:i/>
        </w:rPr>
        <w:t>Nasalga</w:t>
      </w:r>
      <w:r w:rsidRPr="00B51E49" w:rsidR="0046491C">
        <w:t>)</w:t>
      </w:r>
      <w:r w:rsidRPr="00B51E49" w:rsidR="00791909">
        <w:t xml:space="preserve">; see also </w:t>
      </w:r>
      <w:r w:rsidRPr="00B51E49" w:rsidR="00791909">
        <w:rPr>
          <w:i/>
        </w:rPr>
        <w:t>People v. Conley</w:t>
      </w:r>
      <w:r w:rsidRPr="00B51E49" w:rsidR="00DB451B">
        <w:t xml:space="preserve"> (2016) 63 Cal.4th 646, 657 (</w:t>
      </w:r>
      <w:r w:rsidRPr="00B51E49" w:rsidR="00DB451B">
        <w:rPr>
          <w:i/>
        </w:rPr>
        <w:t>Conley</w:t>
      </w:r>
      <w:r w:rsidRPr="00B51E49" w:rsidR="00DB451B">
        <w:t>) [</w:t>
      </w:r>
      <w:r w:rsidRPr="00B51E49" w:rsidR="001921B0">
        <w:t xml:space="preserve">“The </w:t>
      </w:r>
      <w:r w:rsidRPr="00B51E49" w:rsidR="001921B0">
        <w:rPr>
          <w:i/>
        </w:rPr>
        <w:t xml:space="preserve">Estrada </w:t>
      </w:r>
      <w:r w:rsidRPr="00B51E49" w:rsidR="001921B0">
        <w:t>rule rests on an inference that, in the absence of contrary indications, a legislative body ordinarily intends for ameliorative changes to the criminal law to extend as broadly as possible, distinguishing only as necessary between sentences that are final and sentences that are not”].</w:t>
      </w:r>
      <w:r w:rsidRPr="00B51E49" w:rsidR="00F77E64">
        <w:t>)</w:t>
      </w:r>
      <w:r w:rsidRPr="00B51E49" w:rsidR="00D15801">
        <w:t xml:space="preserve">  </w:t>
      </w:r>
      <w:r w:rsidRPr="00B51E49" w:rsidR="000850F6">
        <w:t>I</w:t>
      </w:r>
      <w:r w:rsidRPr="00B51E49" w:rsidR="001939FE">
        <w:t xml:space="preserve">f there is no </w:t>
      </w:r>
      <w:r w:rsidRPr="00B51E49" w:rsidR="00D8083D">
        <w:t xml:space="preserve">express </w:t>
      </w:r>
      <w:r w:rsidRPr="00B51E49" w:rsidR="001939FE">
        <w:t>savings cl</w:t>
      </w:r>
      <w:r w:rsidRPr="00B51E49" w:rsidR="00374BA4">
        <w:t>ause, t</w:t>
      </w:r>
      <w:r w:rsidRPr="00B51E49" w:rsidR="00A53114">
        <w:t xml:space="preserve">he </w:t>
      </w:r>
      <w:r w:rsidRPr="00B51E49" w:rsidR="003A707F">
        <w:t xml:space="preserve">statute </w:t>
      </w:r>
      <w:r w:rsidRPr="00B51E49" w:rsidR="00855DDB">
        <w:t>must demonstrate</w:t>
      </w:r>
      <w:r w:rsidRPr="00B51E49" w:rsidR="00A53114">
        <w:t xml:space="preserve"> contrary indications of legislative intent “ ‘with sufficient clarity’ ”</w:t>
      </w:r>
      <w:r w:rsidRPr="00B51E49" w:rsidR="003A707F">
        <w:t xml:space="preserve"> in order to rebut the </w:t>
      </w:r>
      <w:r w:rsidRPr="00B51E49" w:rsidR="003A707F">
        <w:rPr>
          <w:i/>
        </w:rPr>
        <w:t xml:space="preserve">Estrada </w:t>
      </w:r>
      <w:r w:rsidRPr="00B51E49" w:rsidR="003A707F">
        <w:t>rule.</w:t>
      </w:r>
      <w:r w:rsidRPr="00B51E49" w:rsidR="00A53114">
        <w:t xml:space="preserve">  (</w:t>
      </w:r>
      <w:r w:rsidRPr="00B51E49" w:rsidR="00A53114">
        <w:rPr>
          <w:i/>
        </w:rPr>
        <w:t>Conley</w:t>
      </w:r>
      <w:r w:rsidRPr="00B51E49" w:rsidR="00A53114">
        <w:t>, at p. 657</w:t>
      </w:r>
      <w:r w:rsidRPr="00B51E49" w:rsidR="00AB4328">
        <w:t xml:space="preserve">; </w:t>
      </w:r>
      <w:r w:rsidRPr="00B51E49" w:rsidR="00AB4328">
        <w:rPr>
          <w:i/>
        </w:rPr>
        <w:t>Nasalga</w:t>
      </w:r>
      <w:r w:rsidRPr="00B51E49" w:rsidR="00AB4328">
        <w:t xml:space="preserve">, at p. </w:t>
      </w:r>
      <w:r w:rsidRPr="00B51E49" w:rsidR="00B37235">
        <w:t>793 [</w:t>
      </w:r>
      <w:r w:rsidRPr="00B51E49" w:rsidR="00C649CA">
        <w:rPr>
          <w:i/>
        </w:rPr>
        <w:t xml:space="preserve">Estrada </w:t>
      </w:r>
      <w:r w:rsidRPr="00B51E49" w:rsidR="00C649CA">
        <w:t xml:space="preserve">rule not implicated </w:t>
      </w:r>
      <w:r w:rsidR="00FA1916">
        <w:t xml:space="preserve">when </w:t>
      </w:r>
      <w:r w:rsidRPr="00B51E49" w:rsidR="003B54BF">
        <w:t>“</w:t>
      </w:r>
      <w:r w:rsidRPr="00B51E49" w:rsidR="00C649CA">
        <w:t>the Legislature clearly signals its intent to make the amendment prospective, by the inclusion of either an express saving</w:t>
      </w:r>
      <w:r w:rsidR="009F0F0A">
        <w:t>[</w:t>
      </w:r>
      <w:r w:rsidRPr="00B51E49" w:rsidR="00C649CA">
        <w:t>s</w:t>
      </w:r>
      <w:r w:rsidR="009F0F0A">
        <w:t>]</w:t>
      </w:r>
      <w:r w:rsidRPr="00B51E49" w:rsidR="00C649CA">
        <w:t xml:space="preserve"> clause or its equivalent”]</w:t>
      </w:r>
      <w:r w:rsidRPr="00B51E49" w:rsidR="00A53114">
        <w:t xml:space="preserve">.)  </w:t>
      </w:r>
    </w:p>
    <w:p w:rsidR="005A473A" w:rsidRPr="00B51E49" w:rsidP="00B51E49" w14:paraId="4B84941D" w14:textId="76638F52">
      <w:pPr>
        <w:tabs>
          <w:tab w:val="left" w:pos="1440"/>
        </w:tabs>
        <w:ind w:firstLine="720"/>
      </w:pPr>
      <w:r w:rsidRPr="00B51E49">
        <w:t>We have</w:t>
      </w:r>
      <w:r w:rsidRPr="00B51E49" w:rsidR="004453AA">
        <w:t xml:space="preserve"> </w:t>
      </w:r>
      <w:r w:rsidRPr="00B51E49" w:rsidR="007A4D42">
        <w:t xml:space="preserve">applied </w:t>
      </w:r>
      <w:r w:rsidRPr="00B51E49" w:rsidR="000429F2">
        <w:rPr>
          <w:i/>
        </w:rPr>
        <w:t>Estrada</w:t>
      </w:r>
      <w:r w:rsidRPr="00B51E49" w:rsidR="000429F2">
        <w:t xml:space="preserve">’s inference of retroactivity </w:t>
      </w:r>
      <w:r w:rsidRPr="00B51E49" w:rsidR="002E66E0">
        <w:t xml:space="preserve">to </w:t>
      </w:r>
      <w:r w:rsidRPr="00B51E49" w:rsidR="000675D4">
        <w:t>statutes</w:t>
      </w:r>
      <w:r w:rsidRPr="00B51E49" w:rsidR="00F77E64">
        <w:t xml:space="preserve"> governing penalty enhancements, as well as statutes governing substantive offenses</w:t>
      </w:r>
      <w:r w:rsidRPr="00B51E49" w:rsidR="002E66E0">
        <w:t xml:space="preserve">.  </w:t>
      </w:r>
      <w:r w:rsidRPr="00B51E49" w:rsidR="0079525E">
        <w:t xml:space="preserve">(E.g., </w:t>
      </w:r>
      <w:r w:rsidRPr="00B51E49" w:rsidR="00033E2B">
        <w:rPr>
          <w:i/>
        </w:rPr>
        <w:t xml:space="preserve">People v. Wright </w:t>
      </w:r>
      <w:r w:rsidRPr="00B51E49" w:rsidR="00033E2B">
        <w:t xml:space="preserve">(2006) 40 Cal.4th 81, 94-95 [newly enacted </w:t>
      </w:r>
      <w:r w:rsidRPr="00B51E49" w:rsidR="006D5C42">
        <w:t>affirmative</w:t>
      </w:r>
      <w:r w:rsidRPr="00B51E49" w:rsidR="006B423D">
        <w:t xml:space="preserve"> </w:t>
      </w:r>
      <w:r w:rsidRPr="00B51E49" w:rsidR="00033E2B">
        <w:t>defense</w:t>
      </w:r>
      <w:r w:rsidRPr="00B51E49" w:rsidR="00BC524E">
        <w:t xml:space="preserve"> </w:t>
      </w:r>
      <w:r w:rsidRPr="00B51E49" w:rsidR="00233527">
        <w:t xml:space="preserve">to </w:t>
      </w:r>
      <w:r w:rsidRPr="00B51E49" w:rsidR="0085526A">
        <w:t>transporting</w:t>
      </w:r>
      <w:r w:rsidRPr="00B51E49" w:rsidR="00233527">
        <w:t xml:space="preserve"> marijuana </w:t>
      </w:r>
      <w:r w:rsidRPr="00B51E49" w:rsidR="006B423D">
        <w:t>applies retroactively</w:t>
      </w:r>
      <w:r w:rsidRPr="00B51E49" w:rsidR="00033E2B">
        <w:t>]</w:t>
      </w:r>
      <w:r w:rsidRPr="00B51E49" w:rsidR="001D3F36">
        <w:t>;</w:t>
      </w:r>
      <w:r w:rsidRPr="00B51E49" w:rsidR="00033E2B">
        <w:t xml:space="preserve"> </w:t>
      </w:r>
      <w:r w:rsidRPr="00B51E49" w:rsidR="00825366">
        <w:rPr>
          <w:i/>
        </w:rPr>
        <w:t xml:space="preserve">Tapia v. Superior Court </w:t>
      </w:r>
      <w:r w:rsidRPr="00B51E49" w:rsidR="00825366">
        <w:t>(1991) 53</w:t>
      </w:r>
      <w:r w:rsidRPr="00B51E49" w:rsidR="004E1C8A">
        <w:t> </w:t>
      </w:r>
      <w:r w:rsidRPr="00B51E49" w:rsidR="00825366">
        <w:t>Cal.3d 282</w:t>
      </w:r>
      <w:r w:rsidRPr="00B51E49" w:rsidR="00120620">
        <w:t>, 301 [</w:t>
      </w:r>
      <w:r w:rsidRPr="00B51E49" w:rsidR="0085526A">
        <w:t xml:space="preserve">statute specifying that </w:t>
      </w:r>
      <w:r w:rsidRPr="00B51E49" w:rsidR="00600153">
        <w:t xml:space="preserve">certain </w:t>
      </w:r>
      <w:r w:rsidRPr="00B51E49" w:rsidR="00120620">
        <w:t>death</w:t>
      </w:r>
      <w:r w:rsidR="00523F40">
        <w:t>-</w:t>
      </w:r>
      <w:r w:rsidRPr="00B51E49" w:rsidR="00120620">
        <w:t xml:space="preserve">penalty </w:t>
      </w:r>
      <w:r w:rsidR="00FA1916">
        <w:t xml:space="preserve">qualifying </w:t>
      </w:r>
      <w:r w:rsidRPr="00B51E49" w:rsidR="00120620">
        <w:t>special circumstance</w:t>
      </w:r>
      <w:r w:rsidRPr="00B51E49" w:rsidR="00BB7457">
        <w:t xml:space="preserve">s </w:t>
      </w:r>
      <w:r w:rsidRPr="00B51E49" w:rsidR="00600153">
        <w:t>must</w:t>
      </w:r>
      <w:r w:rsidRPr="00B51E49" w:rsidR="00BB7457">
        <w:t xml:space="preserve"> be intentional</w:t>
      </w:r>
      <w:r w:rsidRPr="00B51E49" w:rsidR="0085526A">
        <w:t xml:space="preserve"> applies retroactively</w:t>
      </w:r>
      <w:r w:rsidRPr="00B51E49" w:rsidR="00120620">
        <w:t>]</w:t>
      </w:r>
      <w:r w:rsidRPr="00B51E49" w:rsidR="00825366">
        <w:t xml:space="preserve">; </w:t>
      </w:r>
      <w:r w:rsidRPr="00B51E49" w:rsidR="00707E57">
        <w:rPr>
          <w:i/>
        </w:rPr>
        <w:t>In re Kirk</w:t>
      </w:r>
      <w:r w:rsidRPr="00B51E49" w:rsidR="00707E57">
        <w:t xml:space="preserve"> (1965) 63</w:t>
      </w:r>
      <w:r w:rsidRPr="00B51E49" w:rsidR="004E1C8A">
        <w:t> </w:t>
      </w:r>
      <w:r w:rsidRPr="00B51E49" w:rsidR="00707E57">
        <w:t xml:space="preserve">Cal.2d 761, </w:t>
      </w:r>
      <w:r w:rsidRPr="00B51E49" w:rsidR="009E176C">
        <w:t>762-763</w:t>
      </w:r>
      <w:r w:rsidRPr="00B51E49" w:rsidR="00120620">
        <w:t xml:space="preserve"> [</w:t>
      </w:r>
      <w:r w:rsidRPr="00B51E49" w:rsidR="0085526A">
        <w:t xml:space="preserve">amendment </w:t>
      </w:r>
      <w:r w:rsidRPr="00B51E49" w:rsidR="00120620">
        <w:t xml:space="preserve">increasing dollar amount </w:t>
      </w:r>
      <w:r w:rsidR="00A02A74">
        <w:t>concerning</w:t>
      </w:r>
      <w:r w:rsidRPr="00B51E49" w:rsidR="00CF0163">
        <w:t xml:space="preserve"> insufficient funds checks</w:t>
      </w:r>
      <w:r w:rsidRPr="00B51E49" w:rsidR="0085526A">
        <w:t xml:space="preserve"> applies retroactively</w:t>
      </w:r>
      <w:r w:rsidRPr="00B51E49" w:rsidR="00CF0163">
        <w:t>]</w:t>
      </w:r>
      <w:r w:rsidRPr="00B51E49" w:rsidR="006C7135">
        <w:t xml:space="preserve">.)  </w:t>
      </w:r>
    </w:p>
    <w:p w:rsidR="008E53BE" w:rsidRPr="00B51E49" w:rsidP="00B51E49" w14:paraId="48B0949E" w14:textId="7615A4FC">
      <w:pPr>
        <w:tabs>
          <w:tab w:val="left" w:pos="1440"/>
        </w:tabs>
        <w:ind w:firstLine="720"/>
      </w:pPr>
      <w:r w:rsidRPr="00B51E49">
        <w:t>Significantly,</w:t>
      </w:r>
      <w:r w:rsidRPr="00B51E49" w:rsidR="003570E6">
        <w:t xml:space="preserve"> </w:t>
      </w:r>
      <w:r w:rsidRPr="00B51E49">
        <w:t>w</w:t>
      </w:r>
      <w:r w:rsidRPr="00B51E49" w:rsidR="006C7135">
        <w:t xml:space="preserve">e have </w:t>
      </w:r>
      <w:r w:rsidRPr="00B51E49" w:rsidR="000429F2">
        <w:t xml:space="preserve">also applied the </w:t>
      </w:r>
      <w:r w:rsidRPr="00B51E49" w:rsidR="000429F2">
        <w:rPr>
          <w:i/>
        </w:rPr>
        <w:t>Estrada</w:t>
      </w:r>
      <w:r w:rsidRPr="00B51E49" w:rsidR="000429F2">
        <w:t xml:space="preserve"> rule to </w:t>
      </w:r>
      <w:r w:rsidRPr="00B51E49" w:rsidR="00391BC0">
        <w:t>statutes</w:t>
      </w:r>
      <w:r w:rsidRPr="00B51E49" w:rsidR="006C7135">
        <w:t xml:space="preserve"> that merely made a reduced punishment </w:t>
      </w:r>
      <w:r w:rsidRPr="00274391" w:rsidR="006C7135">
        <w:rPr>
          <w:i/>
        </w:rPr>
        <w:t>possible</w:t>
      </w:r>
      <w:r w:rsidRPr="00B51E49" w:rsidR="006C7135">
        <w:t>.  (</w:t>
      </w:r>
      <w:r w:rsidRPr="00B51E49" w:rsidR="00CD042A">
        <w:rPr>
          <w:i/>
        </w:rPr>
        <w:t>Lara</w:t>
      </w:r>
      <w:r w:rsidRPr="00B51E49" w:rsidR="00CD042A">
        <w:t xml:space="preserve">, </w:t>
      </w:r>
      <w:r w:rsidRPr="00B51E49" w:rsidR="00CD042A">
        <w:rPr>
          <w:i/>
        </w:rPr>
        <w:t>supra</w:t>
      </w:r>
      <w:r w:rsidRPr="00B51E49" w:rsidR="00CD042A">
        <w:t xml:space="preserve">, 4 Cal.5th at p. 303; </w:t>
      </w:r>
      <w:r w:rsidRPr="00B51E49" w:rsidR="006C7135">
        <w:rPr>
          <w:i/>
        </w:rPr>
        <w:t>People v. Francis</w:t>
      </w:r>
      <w:r w:rsidRPr="00B51E49" w:rsidR="006C7135">
        <w:t xml:space="preserve"> (1969) 71</w:t>
      </w:r>
      <w:r w:rsidR="00B51E49">
        <w:t> </w:t>
      </w:r>
      <w:r w:rsidRPr="00B51E49" w:rsidR="006C7135">
        <w:t>Cal.2d 66</w:t>
      </w:r>
      <w:r w:rsidRPr="00B51E49" w:rsidR="000B5B10">
        <w:t xml:space="preserve">, </w:t>
      </w:r>
      <w:r w:rsidRPr="00B51E49" w:rsidR="00CF0163">
        <w:t>76</w:t>
      </w:r>
      <w:r w:rsidRPr="00B51E49" w:rsidR="00895A25">
        <w:t xml:space="preserve"> </w:t>
      </w:r>
      <w:r w:rsidRPr="00B51E49" w:rsidR="009F0F0A">
        <w:t>(</w:t>
      </w:r>
      <w:r w:rsidRPr="00B51E49" w:rsidR="009F0F0A">
        <w:rPr>
          <w:i/>
        </w:rPr>
        <w:t>Francis</w:t>
      </w:r>
      <w:r w:rsidRPr="00B51E49" w:rsidR="009F0F0A">
        <w:t xml:space="preserve">) </w:t>
      </w:r>
      <w:r w:rsidRPr="00B51E49" w:rsidR="00895A25">
        <w:t>[</w:t>
      </w:r>
      <w:r w:rsidRPr="00B51E49" w:rsidR="002A7E99">
        <w:t xml:space="preserve">modified treatment of marijuana possession from </w:t>
      </w:r>
      <w:r w:rsidRPr="00B51E49" w:rsidR="00E84640">
        <w:t xml:space="preserve">straight </w:t>
      </w:r>
      <w:r w:rsidRPr="00B51E49" w:rsidR="002A7E99">
        <w:t xml:space="preserve">felony to </w:t>
      </w:r>
      <w:r w:rsidR="00832D39">
        <w:t xml:space="preserve">either </w:t>
      </w:r>
      <w:r w:rsidR="00917FF7">
        <w:t>felony or misdemeanor</w:t>
      </w:r>
      <w:r w:rsidRPr="00B51E49" w:rsidR="002A7E99">
        <w:t>]</w:t>
      </w:r>
      <w:r w:rsidRPr="00B51E49" w:rsidR="00E13F05">
        <w:t>.</w:t>
      </w:r>
      <w:r w:rsidRPr="00B51E49" w:rsidR="002D4803">
        <w:t>)</w:t>
      </w:r>
      <w:r w:rsidRPr="00B51E49" w:rsidR="006C7135">
        <w:t xml:space="preserve"> </w:t>
      </w:r>
      <w:r w:rsidRPr="00B51E49" w:rsidR="002A7E99">
        <w:t xml:space="preserve"> In </w:t>
      </w:r>
      <w:r w:rsidRPr="00B51E49" w:rsidR="002A7E99">
        <w:rPr>
          <w:i/>
        </w:rPr>
        <w:t>Francis</w:t>
      </w:r>
      <w:r w:rsidRPr="00B51E49" w:rsidR="002A7E99">
        <w:t>, w</w:t>
      </w:r>
      <w:r w:rsidRPr="00B51E49" w:rsidR="00DD549E">
        <w:t xml:space="preserve">e </w:t>
      </w:r>
      <w:r w:rsidR="008043FA">
        <w:t>inferred</w:t>
      </w:r>
      <w:r w:rsidRPr="00B51E49" w:rsidR="00DD549E">
        <w:t xml:space="preserve"> that the Legislature intended retroactive application </w:t>
      </w:r>
      <w:r w:rsidRPr="00B51E49" w:rsidR="0061560E">
        <w:t xml:space="preserve">of </w:t>
      </w:r>
      <w:r w:rsidRPr="00B51E49" w:rsidR="002B3995">
        <w:t xml:space="preserve">an </w:t>
      </w:r>
      <w:r w:rsidRPr="00B51E49" w:rsidR="0061560E">
        <w:t xml:space="preserve">amendment </w:t>
      </w:r>
      <w:r w:rsidR="00BF7A87">
        <w:t>that</w:t>
      </w:r>
      <w:r w:rsidRPr="00B51E49" w:rsidR="00BF7A87">
        <w:t xml:space="preserve"> </w:t>
      </w:r>
      <w:r w:rsidRPr="00B51E49" w:rsidR="00857A7C">
        <w:t>allowed</w:t>
      </w:r>
      <w:r w:rsidRPr="00B51E49" w:rsidR="007453B3">
        <w:t xml:space="preserve"> </w:t>
      </w:r>
      <w:r w:rsidRPr="00B51E49" w:rsidR="00D21818">
        <w:t xml:space="preserve">a </w:t>
      </w:r>
      <w:r w:rsidRPr="00B51E49" w:rsidR="00857A7C">
        <w:t xml:space="preserve">trial </w:t>
      </w:r>
      <w:r w:rsidRPr="00B51E49" w:rsidR="00D21818">
        <w:t xml:space="preserve">court to exercise its sentencing discretion more favorably for </w:t>
      </w:r>
      <w:r w:rsidR="002D2B5A">
        <w:t>individual</w:t>
      </w:r>
      <w:r w:rsidRPr="00B51E49" w:rsidR="00D21818">
        <w:t xml:space="preserve"> defendant</w:t>
      </w:r>
      <w:r w:rsidR="002D2B5A">
        <w:t>s</w:t>
      </w:r>
      <w:r w:rsidRPr="00B51E49" w:rsidR="00D21818">
        <w:t xml:space="preserve">.  </w:t>
      </w:r>
      <w:r w:rsidRPr="00B51E49" w:rsidR="00B852C4">
        <w:t>(</w:t>
      </w:r>
      <w:r w:rsidRPr="00B51E49" w:rsidR="000B5B10">
        <w:rPr>
          <w:i/>
        </w:rPr>
        <w:t>Francis</w:t>
      </w:r>
      <w:r w:rsidRPr="00B51E49" w:rsidR="000B5B10">
        <w:t>, at p. 76.</w:t>
      </w:r>
      <w:r w:rsidRPr="00B51E49" w:rsidR="00B852C4">
        <w:t xml:space="preserve">)  </w:t>
      </w:r>
      <w:r w:rsidRPr="00B51E49" w:rsidR="00D21818">
        <w:t>We concluded that</w:t>
      </w:r>
      <w:r w:rsidRPr="00B51E49" w:rsidR="009903EC">
        <w:t xml:space="preserve"> </w:t>
      </w:r>
      <w:r w:rsidR="00877683">
        <w:t xml:space="preserve">although the statute did not guarantee </w:t>
      </w:r>
      <w:r w:rsidR="00D80AFB">
        <w:t>a lighter sentence</w:t>
      </w:r>
      <w:r w:rsidR="001529E1">
        <w:t xml:space="preserve"> — it instead granted trial courts discretion to impose a county jail term in lieu of imprisonment for possession of marijuana —</w:t>
      </w:r>
      <w:r w:rsidR="001211D2">
        <w:t xml:space="preserve"> </w:t>
      </w:r>
      <w:r w:rsidRPr="00B51E49" w:rsidR="001C4FD9">
        <w:t xml:space="preserve">the reasoning of </w:t>
      </w:r>
      <w:r w:rsidRPr="00B51E49" w:rsidR="001C4FD9">
        <w:rPr>
          <w:i/>
        </w:rPr>
        <w:t xml:space="preserve">Estrada </w:t>
      </w:r>
      <w:r w:rsidRPr="00B51E49" w:rsidR="001C4FD9">
        <w:t xml:space="preserve">applied in light of the Legislature’s determination </w:t>
      </w:r>
      <w:r w:rsidRPr="00B51E49" w:rsidR="00DD549E">
        <w:t xml:space="preserve">“that the former penalty provisions may have been too severe in some cases and that the sentencing judge should be given wider latitude in tailoring </w:t>
      </w:r>
      <w:r w:rsidRPr="00B51E49" w:rsidR="00A73A53">
        <w:t xml:space="preserve">the sentence to fit the </w:t>
      </w:r>
      <w:r w:rsidRPr="00B51E49" w:rsidR="003B20A9">
        <w:t>particular</w:t>
      </w:r>
      <w:r w:rsidRPr="00B51E49" w:rsidR="00A73A53">
        <w:t xml:space="preserve"> circumstances</w:t>
      </w:r>
      <w:r w:rsidRPr="00B51E49" w:rsidR="001C4FD9">
        <w:t>.”</w:t>
      </w:r>
      <w:r w:rsidRPr="00B51E49" w:rsidR="00A73A53">
        <w:t xml:space="preserve"> </w:t>
      </w:r>
      <w:r w:rsidRPr="00B51E49" w:rsidR="001C4FD9">
        <w:t xml:space="preserve"> </w:t>
      </w:r>
      <w:r w:rsidRPr="00B51E49" w:rsidR="00A73A53">
        <w:t>(</w:t>
      </w:r>
      <w:r w:rsidRPr="00B51E49" w:rsidR="00487DBE">
        <w:rPr>
          <w:i/>
        </w:rPr>
        <w:t>Ibid.</w:t>
      </w:r>
      <w:r w:rsidRPr="00B51E49" w:rsidR="00A73A53">
        <w:t>)</w:t>
      </w:r>
    </w:p>
    <w:p w:rsidR="004C0EED" w:rsidRPr="00B51E49" w:rsidP="00B51E49" w14:paraId="6F2F7226" w14:textId="6DB98F22">
      <w:pPr>
        <w:tabs>
          <w:tab w:val="left" w:pos="1440"/>
        </w:tabs>
        <w:ind w:firstLine="720"/>
      </w:pPr>
      <w:r w:rsidRPr="00B51E49">
        <w:t xml:space="preserve">More recently, in </w:t>
      </w:r>
      <w:r w:rsidRPr="00B51E49" w:rsidR="00610D8B">
        <w:rPr>
          <w:i/>
        </w:rPr>
        <w:t>Lara</w:t>
      </w:r>
      <w:r w:rsidRPr="00B51E49" w:rsidR="00610D8B">
        <w:t xml:space="preserve">, we </w:t>
      </w:r>
      <w:r w:rsidR="00B9591E">
        <w:t>determined</w:t>
      </w:r>
      <w:r w:rsidRPr="00B51E49" w:rsidR="00610D8B">
        <w:t xml:space="preserve"> that</w:t>
      </w:r>
      <w:r w:rsidRPr="00B51E49" w:rsidR="00DE7992">
        <w:t xml:space="preserve"> the </w:t>
      </w:r>
      <w:r w:rsidRPr="00B51E49" w:rsidR="00DE7992">
        <w:rPr>
          <w:i/>
        </w:rPr>
        <w:t xml:space="preserve">Estrada </w:t>
      </w:r>
      <w:r w:rsidRPr="00B51E49" w:rsidR="004B268B">
        <w:t xml:space="preserve">rule </w:t>
      </w:r>
      <w:r w:rsidR="00B9591E">
        <w:t>applied to an</w:t>
      </w:r>
      <w:r w:rsidRPr="00B51E49" w:rsidR="004B268B">
        <w:t xml:space="preserve"> amendatory act </w:t>
      </w:r>
      <w:r w:rsidR="00741D27">
        <w:t>that</w:t>
      </w:r>
      <w:r w:rsidRPr="00B51E49" w:rsidR="004B268B">
        <w:t xml:space="preserve"> “ameliorated the </w:t>
      </w:r>
      <w:r w:rsidRPr="00B51E49" w:rsidR="00F34C0B">
        <w:t xml:space="preserve">possible punishment for a </w:t>
      </w:r>
      <w:r w:rsidRPr="00741D27" w:rsidR="00F34C0B">
        <w:rPr>
          <w:i/>
        </w:rPr>
        <w:t>class of persons</w:t>
      </w:r>
      <w:r w:rsidRPr="00B51E49" w:rsidR="008A3838">
        <w:t>.</w:t>
      </w:r>
      <w:r w:rsidRPr="00B51E49" w:rsidR="00F34C0B">
        <w:t xml:space="preserve">” </w:t>
      </w:r>
      <w:r w:rsidRPr="00B51E49" w:rsidR="008A3838">
        <w:t xml:space="preserve"> </w:t>
      </w:r>
      <w:r w:rsidRPr="00B51E49" w:rsidR="00F34C0B">
        <w:t>(</w:t>
      </w:r>
      <w:r w:rsidRPr="00B51E49" w:rsidR="00F34C0B">
        <w:rPr>
          <w:i/>
        </w:rPr>
        <w:t>Lara</w:t>
      </w:r>
      <w:r w:rsidRPr="00B51E49" w:rsidR="00F34C0B">
        <w:t xml:space="preserve">, </w:t>
      </w:r>
      <w:r w:rsidRPr="00B51E49" w:rsidR="00F34C0B">
        <w:rPr>
          <w:i/>
        </w:rPr>
        <w:t>supra</w:t>
      </w:r>
      <w:r w:rsidRPr="00B51E49" w:rsidR="00F34C0B">
        <w:t>, 4</w:t>
      </w:r>
      <w:r w:rsidR="00B51E49">
        <w:t> </w:t>
      </w:r>
      <w:r w:rsidRPr="00B51E49" w:rsidR="00F34C0B">
        <w:t>Cal.5th at p.</w:t>
      </w:r>
      <w:r w:rsidR="00052843">
        <w:t> </w:t>
      </w:r>
      <w:r w:rsidRPr="00B51E49" w:rsidR="00F34C0B">
        <w:t>308</w:t>
      </w:r>
      <w:r w:rsidR="00741D27">
        <w:t>, italics added</w:t>
      </w:r>
      <w:r w:rsidRPr="00B51E49" w:rsidR="00F34C0B">
        <w:t xml:space="preserve">.) </w:t>
      </w:r>
      <w:r w:rsidRPr="00B51E49" w:rsidR="008A3838">
        <w:rPr>
          <w:i/>
        </w:rPr>
        <w:t xml:space="preserve"> </w:t>
      </w:r>
      <w:r w:rsidRPr="00B51E49" w:rsidR="00D06666">
        <w:rPr>
          <w:i/>
        </w:rPr>
        <w:t xml:space="preserve">Lara </w:t>
      </w:r>
      <w:r w:rsidRPr="00B51E49" w:rsidR="00D06666">
        <w:t>concerned</w:t>
      </w:r>
      <w:r w:rsidRPr="00B51E49" w:rsidR="007B3BE3">
        <w:t xml:space="preserve"> t</w:t>
      </w:r>
      <w:r w:rsidRPr="00B51E49" w:rsidR="006D4C53">
        <w:t xml:space="preserve">he </w:t>
      </w:r>
      <w:r w:rsidRPr="00B51E49" w:rsidR="007B3BE3">
        <w:t>retroactivity of</w:t>
      </w:r>
      <w:r w:rsidRPr="00B51E49" w:rsidR="00DE7992">
        <w:t xml:space="preserve"> </w:t>
      </w:r>
      <w:r w:rsidRPr="00B51E49" w:rsidR="00B4184B">
        <w:t>Proposition 57</w:t>
      </w:r>
      <w:r w:rsidR="00502FF0">
        <w:t xml:space="preserve"> (</w:t>
      </w:r>
      <w:r w:rsidR="00BF6343">
        <w:t xml:space="preserve">Prop. 57, </w:t>
      </w:r>
      <w:r w:rsidRPr="005609EB" w:rsidR="00BF6343">
        <w:t xml:space="preserve">as approved by voters, Gen. Elec. </w:t>
      </w:r>
      <w:r w:rsidR="00BF6343">
        <w:t>(</w:t>
      </w:r>
      <w:r w:rsidR="00985357">
        <w:t>Nov.</w:t>
      </w:r>
      <w:r w:rsidR="00052843">
        <w:t> </w:t>
      </w:r>
      <w:r w:rsidR="00985357">
        <w:t>8, 2016</w:t>
      </w:r>
      <w:r w:rsidR="00BF6343">
        <w:t>)</w:t>
      </w:r>
      <w:r w:rsidR="00985357">
        <w:t>)</w:t>
      </w:r>
      <w:r w:rsidR="002014D8">
        <w:t xml:space="preserve"> (Proposition 57)</w:t>
      </w:r>
      <w:r w:rsidR="003033A9">
        <w:t>,</w:t>
      </w:r>
      <w:r w:rsidR="00985357">
        <w:t xml:space="preserve"> </w:t>
      </w:r>
      <w:r w:rsidRPr="00B51E49" w:rsidR="001D3F36">
        <w:t xml:space="preserve">the relevant provisions of </w:t>
      </w:r>
      <w:r w:rsidRPr="00B51E49" w:rsidR="00DE7992">
        <w:t>which</w:t>
      </w:r>
      <w:r w:rsidRPr="00B51E49" w:rsidR="00DA16B0">
        <w:t xml:space="preserve"> </w:t>
      </w:r>
      <w:r w:rsidRPr="00B51E49" w:rsidR="00BC380E">
        <w:t xml:space="preserve">prohibit </w:t>
      </w:r>
      <w:r w:rsidRPr="00B51E49" w:rsidR="007D28E0">
        <w:t xml:space="preserve">prosecutors </w:t>
      </w:r>
      <w:r w:rsidRPr="00B51E49" w:rsidR="00255CA6">
        <w:t xml:space="preserve">from </w:t>
      </w:r>
      <w:r w:rsidRPr="00B51E49" w:rsidR="000C76E3">
        <w:t xml:space="preserve">directly filing </w:t>
      </w:r>
      <w:r w:rsidRPr="00B51E49" w:rsidR="0056612D">
        <w:t>charg</w:t>
      </w:r>
      <w:r w:rsidRPr="00B51E49" w:rsidR="000C76E3">
        <w:t>es against a minor</w:t>
      </w:r>
      <w:r w:rsidRPr="00B51E49" w:rsidR="00C361DC">
        <w:t xml:space="preserve"> </w:t>
      </w:r>
      <w:r w:rsidRPr="00B51E49" w:rsidR="0056612D">
        <w:t xml:space="preserve">in </w:t>
      </w:r>
      <w:r w:rsidRPr="00B51E49" w:rsidR="00C361DC">
        <w:t>“</w:t>
      </w:r>
      <w:r w:rsidRPr="00B51E49" w:rsidR="0056612D">
        <w:t>adult</w:t>
      </w:r>
      <w:r w:rsidRPr="00B51E49" w:rsidR="00C361DC">
        <w:t>” criminal</w:t>
      </w:r>
      <w:r w:rsidRPr="00B51E49" w:rsidR="0056612D">
        <w:t xml:space="preserve"> court</w:t>
      </w:r>
      <w:r w:rsidRPr="00B51E49" w:rsidR="00C361DC">
        <w:t xml:space="preserve"> and g</w:t>
      </w:r>
      <w:r w:rsidR="00BA6991">
        <w:t>i</w:t>
      </w:r>
      <w:r w:rsidRPr="00B51E49" w:rsidR="00C361DC">
        <w:t xml:space="preserve">ve juvenile courts the sole </w:t>
      </w:r>
      <w:r w:rsidRPr="00B51E49" w:rsidR="00463486">
        <w:t>discretion to determine, after conduc</w:t>
      </w:r>
      <w:r w:rsidRPr="00B51E49" w:rsidR="00E84129">
        <w:t>t</w:t>
      </w:r>
      <w:r w:rsidRPr="00B51E49" w:rsidR="00463486">
        <w:t>ing a transfer hearing, whether a minor c</w:t>
      </w:r>
      <w:r w:rsidR="00BA6991">
        <w:t>an</w:t>
      </w:r>
      <w:r w:rsidRPr="00B51E49" w:rsidR="00463486">
        <w:t xml:space="preserve"> be prosecuted and sentenced as an adult</w:t>
      </w:r>
      <w:r w:rsidRPr="00B51E49" w:rsidR="00F1177F">
        <w:t>.</w:t>
      </w:r>
      <w:r w:rsidRPr="00B51E49" w:rsidR="00D916FF">
        <w:t xml:space="preserve">  </w:t>
      </w:r>
      <w:r w:rsidRPr="00B51E49" w:rsidR="00F530B3">
        <w:t>(</w:t>
      </w:r>
      <w:r w:rsidR="00985357">
        <w:rPr>
          <w:i/>
        </w:rPr>
        <w:t>Lara</w:t>
      </w:r>
      <w:r w:rsidR="00985357">
        <w:t>,</w:t>
      </w:r>
      <w:r w:rsidRPr="00B51E49" w:rsidR="00F530B3">
        <w:rPr>
          <w:i/>
        </w:rPr>
        <w:t xml:space="preserve"> </w:t>
      </w:r>
      <w:r w:rsidRPr="00B51E49" w:rsidR="00F530B3">
        <w:t xml:space="preserve">at p. 303.)  </w:t>
      </w:r>
      <w:r w:rsidRPr="00B51E49" w:rsidR="00D916FF">
        <w:t xml:space="preserve">We </w:t>
      </w:r>
      <w:r w:rsidRPr="00B51E49" w:rsidR="009133AF">
        <w:t>explained</w:t>
      </w:r>
      <w:r w:rsidRPr="00B51E49" w:rsidR="00BA27C5">
        <w:t xml:space="preserve"> that </w:t>
      </w:r>
      <w:r w:rsidRPr="00B51E49" w:rsidR="00F465D6">
        <w:t>a</w:t>
      </w:r>
      <w:r w:rsidRPr="00B51E49" w:rsidR="0008331B">
        <w:t>lthough</w:t>
      </w:r>
      <w:r w:rsidRPr="00B51E49" w:rsidR="00F465D6">
        <w:t xml:space="preserve"> </w:t>
      </w:r>
      <w:r w:rsidRPr="00B51E49" w:rsidR="00BA27C5">
        <w:t xml:space="preserve">Proposition 57 </w:t>
      </w:r>
      <w:r w:rsidRPr="00B51E49" w:rsidR="00F465D6">
        <w:t>d</w:t>
      </w:r>
      <w:r w:rsidRPr="00B51E49" w:rsidR="00A3591B">
        <w:t>id</w:t>
      </w:r>
      <w:r w:rsidRPr="00B51E49" w:rsidR="00F465D6">
        <w:t xml:space="preserve"> not mitigate punishment for any particular crime</w:t>
      </w:r>
      <w:r w:rsidRPr="00B51E49" w:rsidR="0008331B">
        <w:t xml:space="preserve">, </w:t>
      </w:r>
      <w:r w:rsidRPr="00B51E49" w:rsidR="000A200D">
        <w:t xml:space="preserve">the </w:t>
      </w:r>
      <w:r w:rsidRPr="00B51E49" w:rsidR="000A200D">
        <w:rPr>
          <w:i/>
        </w:rPr>
        <w:t xml:space="preserve">Estrada </w:t>
      </w:r>
      <w:r w:rsidRPr="00B51E49" w:rsidR="000A200D">
        <w:t>inference of retroactivity</w:t>
      </w:r>
      <w:r w:rsidRPr="00B51E49" w:rsidR="000D3FB4">
        <w:t xml:space="preserve"> </w:t>
      </w:r>
      <w:r w:rsidRPr="00B51E49" w:rsidR="009133AF">
        <w:t>nevertheless applie</w:t>
      </w:r>
      <w:r w:rsidRPr="00B51E49" w:rsidR="000A200D">
        <w:t>d</w:t>
      </w:r>
      <w:r w:rsidRPr="00B51E49" w:rsidR="009133AF">
        <w:t xml:space="preserve"> because </w:t>
      </w:r>
      <w:r w:rsidRPr="00B51E49" w:rsidR="00813F09">
        <w:t>the law</w:t>
      </w:r>
      <w:r w:rsidRPr="00B51E49" w:rsidR="009133AF">
        <w:t xml:space="preserve"> </w:t>
      </w:r>
      <w:r w:rsidRPr="00B51E49" w:rsidR="000E067F">
        <w:t>“</w:t>
      </w:r>
      <w:r w:rsidRPr="00B51E49" w:rsidR="000D3FB4">
        <w:t>reduces the possible punishment for a class of persons</w:t>
      </w:r>
      <w:r w:rsidRPr="00B51E49" w:rsidR="000E067F">
        <w:t>, namely juveniles.”</w:t>
      </w:r>
      <w:r w:rsidRPr="00B51E49" w:rsidR="00345F2C">
        <w:t xml:space="preserve">  (</w:t>
      </w:r>
      <w:r w:rsidRPr="00B51E49" w:rsidR="001D3F36">
        <w:rPr>
          <w:i/>
        </w:rPr>
        <w:t>Lara</w:t>
      </w:r>
      <w:r w:rsidRPr="00B51E49" w:rsidR="001D3F36">
        <w:t>, at p. 303</w:t>
      </w:r>
      <w:r w:rsidRPr="00B51E49" w:rsidR="0043476D">
        <w:t>.</w:t>
      </w:r>
      <w:r w:rsidRPr="00B51E49" w:rsidR="00345F2C">
        <w:t>)</w:t>
      </w:r>
      <w:r w:rsidRPr="00B51E49" w:rsidR="005135F8">
        <w:t xml:space="preserve">  </w:t>
      </w:r>
      <w:r w:rsidR="000E58E2">
        <w:t>We noted that, g</w:t>
      </w:r>
      <w:r w:rsidRPr="00B51E49" w:rsidR="0082678D">
        <w:t>iven the</w:t>
      </w:r>
      <w:r w:rsidRPr="00B51E49" w:rsidR="005E7561">
        <w:t xml:space="preserve"> </w:t>
      </w:r>
      <w:r w:rsidRPr="00B51E49" w:rsidR="0082678D">
        <w:t>significant</w:t>
      </w:r>
      <w:r w:rsidRPr="00B51E49" w:rsidR="005E7561">
        <w:t xml:space="preserve"> </w:t>
      </w:r>
      <w:r w:rsidRPr="00B51E49" w:rsidR="0082678D">
        <w:t>distinction</w:t>
      </w:r>
      <w:r w:rsidRPr="00B51E49" w:rsidR="005E7561">
        <w:t xml:space="preserve">s between the juvenile justice system </w:t>
      </w:r>
      <w:r w:rsidRPr="00B51E49" w:rsidR="00E05E90">
        <w:t xml:space="preserve">and </w:t>
      </w:r>
      <w:r w:rsidRPr="00B51E49" w:rsidR="005E7561">
        <w:t>the criminal justice</w:t>
      </w:r>
      <w:r w:rsidRPr="00B51E49" w:rsidR="00E05E90">
        <w:t xml:space="preserve"> </w:t>
      </w:r>
      <w:r w:rsidRPr="00B51E49" w:rsidR="0087730C">
        <w:t>system</w:t>
      </w:r>
      <w:r w:rsidRPr="00B51E49" w:rsidR="00E05E90">
        <w:t xml:space="preserve">, </w:t>
      </w:r>
      <w:r w:rsidRPr="00B51E49" w:rsidR="005135F8">
        <w:t>“</w:t>
      </w:r>
      <w:r w:rsidRPr="00B51E49" w:rsidR="00576CC5">
        <w:t>[t]</w:t>
      </w:r>
      <w:r w:rsidRPr="00B51E49" w:rsidR="005135F8">
        <w:t>he possibility of being treated as a juvenile in juvenile court — where rehabilitation is the goal — rather than being tried and sentenced as an adult can result in dramatically different and more lenient treatment.”  (</w:t>
      </w:r>
      <w:r w:rsidRPr="00B51E49" w:rsidR="005135F8">
        <w:rPr>
          <w:i/>
        </w:rPr>
        <w:t>Ibid.</w:t>
      </w:r>
      <w:r w:rsidRPr="00B51E49" w:rsidR="000823C8">
        <w:t xml:space="preserve">; see </w:t>
      </w:r>
      <w:r w:rsidRPr="00B51E49" w:rsidR="000823C8">
        <w:rPr>
          <w:i/>
        </w:rPr>
        <w:t>id.</w:t>
      </w:r>
      <w:r w:rsidRPr="00B51E49" w:rsidR="000823C8">
        <w:t xml:space="preserve"> at pp. 306-307.</w:t>
      </w:r>
      <w:r w:rsidRPr="00B51E49" w:rsidR="005135F8">
        <w:t>)</w:t>
      </w:r>
      <w:r w:rsidRPr="00B51E49" w:rsidR="00935B63">
        <w:t xml:space="preserve">  </w:t>
      </w:r>
      <w:r w:rsidRPr="00B51E49" w:rsidR="00AE7CE3">
        <w:t>For example,</w:t>
      </w:r>
      <w:r w:rsidRPr="00B51E49" w:rsidR="00BC0DE7">
        <w:t xml:space="preserve"> “</w:t>
      </w:r>
      <w:r w:rsidRPr="00B51E49" w:rsidR="001228EA">
        <w:t> ‘</w:t>
      </w:r>
      <w:r w:rsidRPr="00B51E49" w:rsidR="00BC0DE7">
        <w:t xml:space="preserve">the impact of the decision to prosecute a minor in criminal court rather than juvenile court can spell the </w:t>
      </w:r>
      <w:r w:rsidRPr="00B51E49" w:rsidR="001228EA">
        <w:t>difference</w:t>
      </w:r>
      <w:r w:rsidRPr="00B51E49" w:rsidR="00BC0DE7">
        <w:t xml:space="preserve"> between a 16-year-old minor </w:t>
      </w:r>
      <w:r w:rsidRPr="00B51E49" w:rsidR="00726F3A">
        <w:t>. . .</w:t>
      </w:r>
      <w:r w:rsidRPr="00B51E49" w:rsidR="001228EA">
        <w:t xml:space="preserve"> being sentenced to prison for 72 years to life, or a discharge from the </w:t>
      </w:r>
      <w:r w:rsidRPr="00B51E49" w:rsidR="00904033">
        <w:t>[Division of Juvenile Justice’s] custody at a maximum of 23</w:t>
      </w:r>
      <w:r w:rsidR="00052843">
        <w:t> </w:t>
      </w:r>
      <w:r w:rsidRPr="00B51E49" w:rsidR="00904033">
        <w:t>years of age.</w:t>
      </w:r>
      <w:r w:rsidRPr="00B51E49" w:rsidR="00B43D00">
        <w:t>’ ”  (</w:t>
      </w:r>
      <w:r w:rsidRPr="00B51E49" w:rsidR="00B43D00">
        <w:rPr>
          <w:i/>
        </w:rPr>
        <w:t>Id.</w:t>
      </w:r>
      <w:r w:rsidRPr="00B51E49" w:rsidR="00B43D00">
        <w:t xml:space="preserve"> at p. 308.)  </w:t>
      </w:r>
      <w:r w:rsidRPr="00B51E49" w:rsidR="00C03CD4">
        <w:t xml:space="preserve">We concluded that the potential </w:t>
      </w:r>
      <w:r w:rsidRPr="00B51E49" w:rsidR="00F87439">
        <w:t xml:space="preserve">ameliorating benefit of remaining in the juvenile court system was analogous to the potential reduction in a criminal defendant’s sentence in </w:t>
      </w:r>
      <w:r w:rsidRPr="00B51E49" w:rsidR="00F87439">
        <w:rPr>
          <w:i/>
        </w:rPr>
        <w:t xml:space="preserve">Estrada </w:t>
      </w:r>
      <w:r w:rsidRPr="00B51E49" w:rsidR="00F87439">
        <w:t xml:space="preserve">and </w:t>
      </w:r>
      <w:r w:rsidRPr="00B51E49" w:rsidR="00F87439">
        <w:rPr>
          <w:i/>
        </w:rPr>
        <w:t>Francis</w:t>
      </w:r>
      <w:r w:rsidRPr="00B51E49" w:rsidR="00DD51A4">
        <w:t>, and th</w:t>
      </w:r>
      <w:r w:rsidRPr="00B51E49" w:rsidR="008814AE">
        <w:t>erefore</w:t>
      </w:r>
      <w:r w:rsidRPr="00B51E49" w:rsidR="00DD51A4">
        <w:t xml:space="preserve"> the same inference of retroactivity should apply</w:t>
      </w:r>
      <w:r w:rsidRPr="00B51E49" w:rsidR="00F87439">
        <w:t>.</w:t>
      </w:r>
      <w:r w:rsidRPr="00B51E49" w:rsidR="003633B7">
        <w:t xml:space="preserve"> </w:t>
      </w:r>
      <w:r w:rsidRPr="00B51E49" w:rsidR="00A9265D">
        <w:t xml:space="preserve"> (</w:t>
      </w:r>
      <w:r w:rsidRPr="00B51E49" w:rsidR="00A9265D">
        <w:rPr>
          <w:i/>
        </w:rPr>
        <w:t>Lara</w:t>
      </w:r>
      <w:r w:rsidRPr="00B51E49" w:rsidR="00A9265D">
        <w:t xml:space="preserve">, </w:t>
      </w:r>
      <w:r w:rsidRPr="00B51E49" w:rsidR="00A9265D">
        <w:rPr>
          <w:i/>
        </w:rPr>
        <w:t>supra</w:t>
      </w:r>
      <w:r w:rsidRPr="00B51E49" w:rsidR="00A9265D">
        <w:t>, 4</w:t>
      </w:r>
      <w:r w:rsidR="00B51E49">
        <w:t> </w:t>
      </w:r>
      <w:r w:rsidRPr="00B51E49" w:rsidR="00A9265D">
        <w:t>Cal.5th at p</w:t>
      </w:r>
      <w:r w:rsidRPr="00B51E49" w:rsidR="008814AE">
        <w:t>p</w:t>
      </w:r>
      <w:r w:rsidRPr="00B51E49" w:rsidR="00A9265D">
        <w:t>. 30</w:t>
      </w:r>
      <w:r w:rsidRPr="00B51E49" w:rsidR="00F54B8E">
        <w:t>8</w:t>
      </w:r>
      <w:r w:rsidRPr="00B51E49" w:rsidR="008814AE">
        <w:t>-309</w:t>
      </w:r>
      <w:r w:rsidRPr="00B51E49" w:rsidR="00A9265D">
        <w:t>.)</w:t>
      </w:r>
      <w:r w:rsidRPr="00B51E49" w:rsidR="003D2243">
        <w:t xml:space="preserve">  </w:t>
      </w:r>
    </w:p>
    <w:p w:rsidR="00A9265D" w:rsidRPr="00B51E49" w:rsidP="00B51E49" w14:paraId="34D3C5DF" w14:textId="32ECF859">
      <w:pPr>
        <w:tabs>
          <w:tab w:val="left" w:pos="1440"/>
        </w:tabs>
        <w:ind w:firstLine="720"/>
      </w:pPr>
      <w:r w:rsidRPr="00B51E49">
        <w:t xml:space="preserve">We also </w:t>
      </w:r>
      <w:r w:rsidRPr="00B51E49" w:rsidR="000955DC">
        <w:t>determin</w:t>
      </w:r>
      <w:r w:rsidRPr="00B51E49" w:rsidR="00225918">
        <w:t xml:space="preserve">ed that nothing in Proposition 57’s text or ballot materials rebutted </w:t>
      </w:r>
      <w:r w:rsidRPr="00B51E49" w:rsidR="00267A33">
        <w:rPr>
          <w:i/>
        </w:rPr>
        <w:t>Estrada</w:t>
      </w:r>
      <w:r w:rsidRPr="00B51E49" w:rsidR="00267A33">
        <w:t>’s</w:t>
      </w:r>
      <w:r w:rsidRPr="00B51E49" w:rsidR="004C0EED">
        <w:t xml:space="preserve"> inference of retroactivity</w:t>
      </w:r>
      <w:r w:rsidRPr="00B51E49" w:rsidR="000955DC">
        <w:t>.  (</w:t>
      </w:r>
      <w:r w:rsidRPr="00B51E49" w:rsidR="006905AA">
        <w:rPr>
          <w:i/>
        </w:rPr>
        <w:t>Lara</w:t>
      </w:r>
      <w:r w:rsidRPr="00B51E49" w:rsidR="006905AA">
        <w:t xml:space="preserve">, </w:t>
      </w:r>
      <w:r w:rsidRPr="00B51E49" w:rsidR="006905AA">
        <w:rPr>
          <w:i/>
        </w:rPr>
        <w:t>supra</w:t>
      </w:r>
      <w:r w:rsidRPr="00B51E49" w:rsidR="006905AA">
        <w:t xml:space="preserve">, 4 Cal.5th </w:t>
      </w:r>
      <w:r w:rsidRPr="00B51E49" w:rsidR="000955DC">
        <w:t xml:space="preserve">at pp. 303-304.)  </w:t>
      </w:r>
      <w:r w:rsidRPr="00B51E49" w:rsidR="001D3F36">
        <w:t>To the contrary,</w:t>
      </w:r>
      <w:r w:rsidRPr="00B51E49">
        <w:t xml:space="preserve"> </w:t>
      </w:r>
      <w:r w:rsidRPr="00B51E49" w:rsidR="00495F18">
        <w:t>certain</w:t>
      </w:r>
      <w:r w:rsidRPr="00B51E49">
        <w:t xml:space="preserve"> provisions of Proposition 57</w:t>
      </w:r>
      <w:r w:rsidRPr="00B51E49" w:rsidR="003415C4">
        <w:t>, including its stated purpose to “ ‘[s]top the revolving door of crime by emphasizing rehabilitation, especially for juveniles</w:t>
      </w:r>
      <w:r w:rsidRPr="00B51E49" w:rsidR="00495F18">
        <w:t xml:space="preserve">’ ” </w:t>
      </w:r>
      <w:r w:rsidRPr="00B51E49" w:rsidR="0022096A">
        <w:t xml:space="preserve">and </w:t>
      </w:r>
      <w:r w:rsidRPr="00B51E49" w:rsidR="00313A7E">
        <w:t xml:space="preserve">its </w:t>
      </w:r>
      <w:r w:rsidRPr="00B51E49" w:rsidR="00381919">
        <w:t>instruction</w:t>
      </w:r>
      <w:r w:rsidRPr="00B51E49" w:rsidR="0022096A">
        <w:t xml:space="preserve"> that the “ ‘act shall be liberally construed to effectuate its purposes</w:t>
      </w:r>
      <w:r w:rsidRPr="00B51E49" w:rsidR="00C32369">
        <w:t>,</w:t>
      </w:r>
      <w:r w:rsidRPr="00B51E49" w:rsidR="0022096A">
        <w:t>’ ”</w:t>
      </w:r>
      <w:r w:rsidRPr="00B51E49" w:rsidR="00381919">
        <w:t xml:space="preserve"> </w:t>
      </w:r>
      <w:r w:rsidR="00EC3049">
        <w:t xml:space="preserve">“support[ed] the conclusion that </w:t>
      </w:r>
      <w:r w:rsidR="00EC3049">
        <w:rPr>
          <w:i/>
        </w:rPr>
        <w:t>Estrada</w:t>
      </w:r>
      <w:r w:rsidR="00EC3049">
        <w:t>’s inference of retroactivity is not rebutted</w:t>
      </w:r>
      <w:r w:rsidRPr="00B51E49">
        <w:t>.</w:t>
      </w:r>
      <w:r w:rsidR="00EC3049">
        <w:t>”</w:t>
      </w:r>
      <w:r w:rsidRPr="00B51E49">
        <w:t xml:space="preserve">  (</w:t>
      </w:r>
      <w:r w:rsidR="002F4FFF">
        <w:rPr>
          <w:i/>
        </w:rPr>
        <w:t>Lara</w:t>
      </w:r>
      <w:r w:rsidR="002F4FFF">
        <w:t>,</w:t>
      </w:r>
      <w:r w:rsidRPr="00B51E49">
        <w:rPr>
          <w:i/>
        </w:rPr>
        <w:t xml:space="preserve"> </w:t>
      </w:r>
      <w:r w:rsidRPr="00B51E49">
        <w:t>at p.</w:t>
      </w:r>
      <w:r w:rsidRPr="00B51E49" w:rsidR="00DC64DB">
        <w:t xml:space="preserve"> 309.)</w:t>
      </w:r>
      <w:r w:rsidRPr="00B51E49" w:rsidR="003F4DCC">
        <w:t xml:space="preserve">  </w:t>
      </w:r>
    </w:p>
    <w:p w:rsidR="001A52AB" w:rsidP="00B51E49" w14:paraId="442A0556" w14:textId="4B1B5028">
      <w:pPr>
        <w:tabs>
          <w:tab w:val="left" w:pos="1440"/>
        </w:tabs>
        <w:ind w:firstLine="720"/>
      </w:pPr>
      <w:r w:rsidRPr="00B51E49">
        <w:t xml:space="preserve">With </w:t>
      </w:r>
      <w:r w:rsidRPr="00B51E49" w:rsidR="00090B02">
        <w:t>this background in mind, we now consider whether section 1001.36 applies retroactively.</w:t>
      </w:r>
    </w:p>
    <w:p w:rsidR="00F27D82" w:rsidRPr="00B51E49" w:rsidP="00B51E49" w14:paraId="71DEED2A" w14:textId="77777777">
      <w:pPr>
        <w:tabs>
          <w:tab w:val="left" w:pos="1440"/>
        </w:tabs>
        <w:ind w:firstLine="720"/>
      </w:pPr>
    </w:p>
    <w:p w:rsidR="007518D0" w:rsidRPr="00B51E49" w:rsidP="00B51E49" w14:paraId="62CF3366" w14:textId="1A45EAD7">
      <w:pPr>
        <w:pStyle w:val="Heading2"/>
      </w:pPr>
      <w:r w:rsidRPr="00B51E49">
        <w:t xml:space="preserve">C.  </w:t>
      </w:r>
      <w:r w:rsidRPr="00B51E49" w:rsidR="005E14AE">
        <w:t>The Mental Health Diversion Statute</w:t>
      </w:r>
      <w:r w:rsidRPr="00B51E49" w:rsidR="003F31C3">
        <w:t xml:space="preserve"> Applies Retroactively </w:t>
      </w:r>
      <w:r w:rsidRPr="00B51E49" w:rsidR="005E14AE">
        <w:t xml:space="preserve">Because </w:t>
      </w:r>
      <w:r w:rsidRPr="00B51E49" w:rsidR="00D06FB1">
        <w:t xml:space="preserve">It </w:t>
      </w:r>
      <w:r w:rsidRPr="00B51E49" w:rsidR="005E14AE">
        <w:t xml:space="preserve">Mitigates </w:t>
      </w:r>
      <w:r w:rsidRPr="00B51E49" w:rsidR="005F340B">
        <w:t>the Possible Punishment for a Class of Persons</w:t>
      </w:r>
      <w:r w:rsidRPr="00B51E49" w:rsidR="00556915">
        <w:t xml:space="preserve"> and </w:t>
      </w:r>
      <w:r w:rsidRPr="00B51E49" w:rsidR="00422DDF">
        <w:t>T</w:t>
      </w:r>
      <w:r w:rsidRPr="00B51E49" w:rsidR="00556915">
        <w:t xml:space="preserve">here </w:t>
      </w:r>
      <w:r w:rsidRPr="00B51E49" w:rsidR="00D06FB1">
        <w:t>I</w:t>
      </w:r>
      <w:r w:rsidRPr="00B51E49" w:rsidR="00556915">
        <w:t xml:space="preserve">s </w:t>
      </w:r>
      <w:r w:rsidRPr="00B51E49" w:rsidR="00422DDF">
        <w:t>N</w:t>
      </w:r>
      <w:r w:rsidRPr="00B51E49" w:rsidR="00556915">
        <w:t xml:space="preserve">o </w:t>
      </w:r>
      <w:r w:rsidR="00212B0B">
        <w:t xml:space="preserve">Clear </w:t>
      </w:r>
      <w:r w:rsidRPr="00B51E49" w:rsidR="00556915">
        <w:t>Contraindica</w:t>
      </w:r>
      <w:r w:rsidRPr="00B51E49" w:rsidR="00422DDF">
        <w:t xml:space="preserve">tion of Legislative Intent </w:t>
      </w:r>
    </w:p>
    <w:p w:rsidR="00BB5FDD" w:rsidRPr="00B51E49" w:rsidP="00B51E49" w14:paraId="7924A0C5" w14:textId="4346D34B">
      <w:pPr>
        <w:tabs>
          <w:tab w:val="left" w:pos="1440"/>
        </w:tabs>
        <w:ind w:firstLine="720"/>
      </w:pPr>
      <w:r w:rsidRPr="00B51E49">
        <w:t>As noted, t</w:t>
      </w:r>
      <w:r w:rsidRPr="00B51E49" w:rsidR="00B14CBD">
        <w:t xml:space="preserve">he Court of Appeal </w:t>
      </w:r>
      <w:r w:rsidRPr="00B51E49" w:rsidR="007E30F9">
        <w:t>hel</w:t>
      </w:r>
      <w:r w:rsidRPr="00B51E49" w:rsidR="00B14CBD">
        <w:t xml:space="preserve">d that </w:t>
      </w:r>
      <w:r w:rsidRPr="00B51E49" w:rsidR="0079172F">
        <w:rPr>
          <w:i/>
        </w:rPr>
        <w:t>Estrada</w:t>
      </w:r>
      <w:r w:rsidRPr="00B51E49" w:rsidR="0079172F">
        <w:t xml:space="preserve">’s </w:t>
      </w:r>
      <w:r w:rsidRPr="00B51E49" w:rsidR="00835C22">
        <w:t>inference of retroactivity applie</w:t>
      </w:r>
      <w:r w:rsidRPr="00B51E49" w:rsidR="00FC5F48">
        <w:t>s</w:t>
      </w:r>
      <w:r w:rsidRPr="00B51E49" w:rsidR="00835C22">
        <w:t xml:space="preserve"> to </w:t>
      </w:r>
      <w:r w:rsidRPr="00B51E49" w:rsidR="00405541">
        <w:t>section 1001.36</w:t>
      </w:r>
      <w:r w:rsidRPr="00B51E49" w:rsidR="00B14CBD">
        <w:t>.  (</w:t>
      </w:r>
      <w:r w:rsidRPr="00B51E49" w:rsidR="00B37188">
        <w:rPr>
          <w:i/>
        </w:rPr>
        <w:t>Frahs</w:t>
      </w:r>
      <w:r w:rsidRPr="00B51E49" w:rsidR="00B37188">
        <w:t xml:space="preserve">, </w:t>
      </w:r>
      <w:r w:rsidRPr="00B51E49" w:rsidR="00B37188">
        <w:rPr>
          <w:i/>
        </w:rPr>
        <w:t>supra</w:t>
      </w:r>
      <w:r w:rsidRPr="00B51E49" w:rsidR="00B37188">
        <w:t>,</w:t>
      </w:r>
      <w:r w:rsidRPr="00B51E49" w:rsidR="00BA6D66">
        <w:t xml:space="preserve"> 27 Cal.App.5th </w:t>
      </w:r>
      <w:r w:rsidRPr="00B51E49" w:rsidR="00B37188">
        <w:t>at p.</w:t>
      </w:r>
      <w:r w:rsidRPr="00B51E49" w:rsidR="00BA6D66">
        <w:t xml:space="preserve"> </w:t>
      </w:r>
      <w:r w:rsidRPr="00B51E49" w:rsidR="00B14CBD">
        <w:t>791.)</w:t>
      </w:r>
      <w:r w:rsidRPr="00B51E49" w:rsidR="004225AA">
        <w:t xml:space="preserve">  </w:t>
      </w:r>
      <w:r w:rsidRPr="00B51E49" w:rsidR="007144CE">
        <w:t xml:space="preserve">It </w:t>
      </w:r>
      <w:r w:rsidRPr="00B51E49" w:rsidR="00FB56E0">
        <w:t>reasone</w:t>
      </w:r>
      <w:r w:rsidRPr="00B51E49" w:rsidR="001773FA">
        <w:t xml:space="preserve">d that, </w:t>
      </w:r>
      <w:r w:rsidRPr="00B51E49" w:rsidR="00620E39">
        <w:t>similar to</w:t>
      </w:r>
      <w:r w:rsidRPr="00B51E49" w:rsidR="00367B6D">
        <w:t xml:space="preserve"> the reforms adopted through</w:t>
      </w:r>
      <w:r w:rsidRPr="00B51E49" w:rsidR="001773FA">
        <w:t xml:space="preserve"> Proposition 57, </w:t>
      </w:r>
      <w:r w:rsidRPr="00B51E49" w:rsidR="00D06FB1">
        <w:t>the statute</w:t>
      </w:r>
      <w:r w:rsidRPr="00B51E49" w:rsidR="001773FA">
        <w:t xml:space="preserve"> </w:t>
      </w:r>
      <w:r w:rsidRPr="00B51E49" w:rsidR="00617DDB">
        <w:t>“</w:t>
      </w:r>
      <w:r w:rsidRPr="00B51E49" w:rsidR="001773FA">
        <w:t>unquestionably</w:t>
      </w:r>
      <w:r w:rsidRPr="00B51E49" w:rsidR="00617DDB">
        <w:t>”</w:t>
      </w:r>
      <w:r w:rsidRPr="00B51E49" w:rsidR="001773FA">
        <w:t xml:space="preserve"> offers an “ ‘ameliorating benefit’ ” </w:t>
      </w:r>
      <w:r w:rsidRPr="00B51E49" w:rsidR="009355B4">
        <w:t>for a defendant diagnosed with a mental disorder to have the opportunity for diversion</w:t>
      </w:r>
      <w:r w:rsidRPr="00B51E49" w:rsidR="007838B9">
        <w:t>, and ultimately</w:t>
      </w:r>
      <w:r w:rsidRPr="00B51E49" w:rsidR="00492123">
        <w:t>,</w:t>
      </w:r>
      <w:r w:rsidRPr="00B51E49" w:rsidR="007838B9">
        <w:t xml:space="preserve"> a possible dismissal of</w:t>
      </w:r>
      <w:r w:rsidRPr="00B51E49" w:rsidR="00583429">
        <w:t xml:space="preserve"> the</w:t>
      </w:r>
      <w:r w:rsidRPr="00B51E49" w:rsidR="007838B9">
        <w:t xml:space="preserve"> criminal </w:t>
      </w:r>
      <w:r w:rsidRPr="00B51E49" w:rsidR="00583429">
        <w:t>charge</w:t>
      </w:r>
      <w:r w:rsidRPr="00B51E49" w:rsidR="007838B9">
        <w:t>s.  (</w:t>
      </w:r>
      <w:r w:rsidRPr="00B51E49" w:rsidR="007838B9">
        <w:rPr>
          <w:i/>
        </w:rPr>
        <w:t>Ibid.</w:t>
      </w:r>
      <w:r w:rsidRPr="00B51E49" w:rsidR="007838B9">
        <w:t xml:space="preserve">)  </w:t>
      </w:r>
      <w:r w:rsidRPr="00B51E49" w:rsidR="00367B6D">
        <w:t xml:space="preserve">The Court of Appeal </w:t>
      </w:r>
      <w:r w:rsidRPr="00B51E49" w:rsidR="004C5EBF">
        <w:t xml:space="preserve">also </w:t>
      </w:r>
      <w:r w:rsidRPr="00B51E49" w:rsidR="007E30F9">
        <w:t>conclude</w:t>
      </w:r>
      <w:r w:rsidRPr="00B51E49" w:rsidR="00FB56E0">
        <w:t xml:space="preserve">d that the </w:t>
      </w:r>
      <w:r w:rsidRPr="00B51E49" w:rsidR="004F29F3">
        <w:t>statute</w:t>
      </w:r>
      <w:r w:rsidRPr="00B51E49" w:rsidR="000D4C6B">
        <w:t xml:space="preserve">’s express purpose </w:t>
      </w:r>
      <w:r w:rsidRPr="00B51E49" w:rsidR="0082099D">
        <w:t>of</w:t>
      </w:r>
      <w:r w:rsidRPr="00B51E49" w:rsidR="000D4C6B">
        <w:t xml:space="preserve"> promot</w:t>
      </w:r>
      <w:r w:rsidRPr="00B51E49" w:rsidR="0082099D">
        <w:t>ing</w:t>
      </w:r>
      <w:r w:rsidRPr="00B51E49" w:rsidR="000D4C6B">
        <w:t xml:space="preserve"> </w:t>
      </w:r>
      <w:r w:rsidRPr="00B51E49" w:rsidR="00414DB8">
        <w:t>“ ‘[</w:t>
      </w:r>
      <w:r w:rsidRPr="00B51E49" w:rsidR="00575C56">
        <w:rPr>
          <w:i/>
        </w:rPr>
        <w:t>i</w:t>
      </w:r>
      <w:r w:rsidRPr="00B51E49" w:rsidR="00414DB8">
        <w:t>]</w:t>
      </w:r>
      <w:r w:rsidRPr="00B51E49" w:rsidR="000D4C6B">
        <w:rPr>
          <w:i/>
        </w:rPr>
        <w:t>ncreased diversion</w:t>
      </w:r>
      <w:r w:rsidRPr="00B51E49" w:rsidR="000D4C6B">
        <w:t xml:space="preserve"> of individuals</w:t>
      </w:r>
      <w:r w:rsidRPr="00B51E49" w:rsidR="006E5A50">
        <w:t xml:space="preserve"> with mental </w:t>
      </w:r>
      <w:r w:rsidRPr="00B51E49" w:rsidR="0082188A">
        <w:t xml:space="preserve">disorders to mitigate the individuals’ entry and reentry into the criminal justice system while protecting public safety’ ” </w:t>
      </w:r>
      <w:r w:rsidRPr="00B51E49" w:rsidR="00492123">
        <w:t>indicate</w:t>
      </w:r>
      <w:r w:rsidRPr="00B51E49" w:rsidR="004C5EBF">
        <w:t xml:space="preserve">d </w:t>
      </w:r>
      <w:r w:rsidRPr="00B51E49" w:rsidR="00BF3F93">
        <w:t>“</w:t>
      </w:r>
      <w:r w:rsidRPr="00B51E49" w:rsidR="004C5EBF">
        <w:t xml:space="preserve">the Legislature intended the </w:t>
      </w:r>
      <w:r w:rsidR="008F6F52">
        <w:t xml:space="preserve">. . . </w:t>
      </w:r>
      <w:r w:rsidRPr="00B51E49" w:rsidR="004C5EBF">
        <w:t>program to apply as broadly as possible</w:t>
      </w:r>
      <w:r w:rsidRPr="00B51E49" w:rsidR="000D4C6B">
        <w:t>.</w:t>
      </w:r>
      <w:r w:rsidRPr="00B51E49" w:rsidR="00BF3F93">
        <w:t>”</w:t>
      </w:r>
      <w:r w:rsidRPr="00B51E49" w:rsidR="000D4C6B">
        <w:t xml:space="preserve">  (</w:t>
      </w:r>
      <w:r w:rsidRPr="00B51E49" w:rsidR="000D4C6B">
        <w:rPr>
          <w:i/>
        </w:rPr>
        <w:t>Ibid.</w:t>
      </w:r>
      <w:r w:rsidRPr="00B51E49" w:rsidR="0082188A">
        <w:t xml:space="preserve">, </w:t>
      </w:r>
      <w:r w:rsidRPr="00B51E49" w:rsidR="007E30F9">
        <w:t>quot</w:t>
      </w:r>
      <w:r w:rsidRPr="00B51E49" w:rsidR="00BC0DEF">
        <w:t>ing § 1001.35, subd. (a</w:t>
      </w:r>
      <w:r w:rsidRPr="00B51E49" w:rsidR="00492123">
        <w:t>)</w:t>
      </w:r>
      <w:r w:rsidRPr="00B51E49" w:rsidR="007E5199">
        <w:t xml:space="preserve">, italics in </w:t>
      </w:r>
      <w:r w:rsidR="008F6F52">
        <w:rPr>
          <w:i/>
        </w:rPr>
        <w:t>Frahs</w:t>
      </w:r>
      <w:r w:rsidRPr="00B51E49" w:rsidR="007E5199">
        <w:t>.</w:t>
      </w:r>
      <w:r w:rsidRPr="00B51E49" w:rsidR="000D4C6B">
        <w:t>)</w:t>
      </w:r>
      <w:r w:rsidRPr="00B51E49" w:rsidR="00DF6DB8">
        <w:t xml:space="preserve">  </w:t>
      </w:r>
    </w:p>
    <w:p w:rsidR="00CC7687" w:rsidRPr="00B51E49" w:rsidP="00B51E49" w14:paraId="78C81B20" w14:textId="37675414">
      <w:pPr>
        <w:tabs>
          <w:tab w:val="left" w:pos="1440"/>
        </w:tabs>
        <w:ind w:firstLine="720"/>
      </w:pPr>
      <w:r w:rsidRPr="00B51E49">
        <w:t xml:space="preserve">The Court of Appeal rejected the </w:t>
      </w:r>
      <w:r w:rsidRPr="00B51E49" w:rsidR="00E10FC9">
        <w:t>People</w:t>
      </w:r>
      <w:r w:rsidRPr="00B51E49">
        <w:t xml:space="preserve">’s argument that the </w:t>
      </w:r>
      <w:r w:rsidRPr="00B51E49" w:rsidR="00B112D5">
        <w:t xml:space="preserve">statute’s </w:t>
      </w:r>
      <w:r w:rsidRPr="00B51E49">
        <w:t>definition of “</w:t>
      </w:r>
      <w:r w:rsidRPr="00B51E49" w:rsidR="00515FBE">
        <w:t> ‘</w:t>
      </w:r>
      <w:r w:rsidRPr="00B51E49">
        <w:t>pretrial diversion</w:t>
      </w:r>
      <w:r w:rsidRPr="00B51E49" w:rsidR="00515FBE">
        <w:t>’ </w:t>
      </w:r>
      <w:r w:rsidRPr="00B51E49">
        <w:t xml:space="preserve">” as “the postponement of prosecution </w:t>
      </w:r>
      <w:r w:rsidRPr="00B51E49" w:rsidR="00B83FD9">
        <w:t>. . .</w:t>
      </w:r>
      <w:r w:rsidRPr="00B51E49">
        <w:t xml:space="preserve"> at any point in the judicial process </w:t>
      </w:r>
      <w:r w:rsidRPr="00B51E49" w:rsidR="00803D46">
        <w:t>. . .</w:t>
      </w:r>
      <w:r w:rsidRPr="00B51E49">
        <w:t xml:space="preserve"> until adjudication” </w:t>
      </w:r>
      <w:r w:rsidRPr="00B51E49" w:rsidR="00E7350F">
        <w:t xml:space="preserve">(§ 1001.36, subd. (c)) </w:t>
      </w:r>
      <w:r w:rsidRPr="00B51E49" w:rsidR="00B112D5">
        <w:t xml:space="preserve">demonstrated that </w:t>
      </w:r>
      <w:r w:rsidRPr="00B51E49">
        <w:t xml:space="preserve">the Legislature did not intend section 1001.36 </w:t>
      </w:r>
      <w:r w:rsidRPr="00B51E49" w:rsidR="00F572C5">
        <w:t>to apply retroactively</w:t>
      </w:r>
      <w:r w:rsidRPr="00B51E49">
        <w:t>.  (</w:t>
      </w:r>
      <w:r w:rsidRPr="00B51E49">
        <w:rPr>
          <w:i/>
        </w:rPr>
        <w:t>Frahs</w:t>
      </w:r>
      <w:r w:rsidRPr="00B51E49">
        <w:t xml:space="preserve">, </w:t>
      </w:r>
      <w:r w:rsidRPr="00B51E49">
        <w:rPr>
          <w:i/>
        </w:rPr>
        <w:t>supra</w:t>
      </w:r>
      <w:r w:rsidRPr="00B51E49">
        <w:t xml:space="preserve">, 27 Cal.App.5th at p. 791.)  </w:t>
      </w:r>
      <w:r w:rsidRPr="00B51E49" w:rsidR="00F572C5">
        <w:t xml:space="preserve">The </w:t>
      </w:r>
      <w:r w:rsidRPr="00B51E49" w:rsidR="00DB5476">
        <w:t xml:space="preserve">appellate </w:t>
      </w:r>
      <w:r w:rsidRPr="00B51E49" w:rsidR="00F572C5">
        <w:t>cour</w:t>
      </w:r>
      <w:r w:rsidRPr="00B51E49">
        <w:t>t explained:  “The fact that mental health diversion is available only up until the time that a defendant’s case is ‘adjudicated’ is simply how this particular diversion program is ordinarily designed to operate.  Indeed, the fact that a juvenile transfer hearing under Proposition</w:t>
      </w:r>
      <w:r w:rsidR="00B51E49">
        <w:t> </w:t>
      </w:r>
      <w:r w:rsidRPr="00B51E49">
        <w:t xml:space="preserve">57 ordinarily occurs prior to the attachment of jeopardy did not prevent the Supreme Court in </w:t>
      </w:r>
      <w:r w:rsidRPr="00B51E49">
        <w:rPr>
          <w:i/>
        </w:rPr>
        <w:t>Lara</w:t>
      </w:r>
      <w:r w:rsidRPr="00B51E49" w:rsidR="007A373B">
        <w:t xml:space="preserve"> </w:t>
      </w:r>
      <w:r w:rsidRPr="00B51E49">
        <w:t>from finding that such hearing must be made available to all defendants whose convictions are not yet final on appeal.”  (</w:t>
      </w:r>
      <w:r w:rsidR="00E41B79">
        <w:rPr>
          <w:i/>
        </w:rPr>
        <w:t>Ibid.</w:t>
      </w:r>
      <w:r w:rsidRPr="00B51E49">
        <w:t>)</w:t>
      </w:r>
      <w:r w:rsidRPr="00B51E49" w:rsidR="007B38AA">
        <w:t xml:space="preserve">  </w:t>
      </w:r>
    </w:p>
    <w:p w:rsidR="007F3A7F" w:rsidP="002408C6" w14:paraId="66CDE84B" w14:textId="21413665">
      <w:pPr>
        <w:tabs>
          <w:tab w:val="left" w:pos="1440"/>
        </w:tabs>
        <w:ind w:firstLine="720"/>
      </w:pPr>
      <w:r>
        <w:t>W</w:t>
      </w:r>
      <w:r w:rsidRPr="00B51E49" w:rsidR="00F7043A">
        <w:t xml:space="preserve">e </w:t>
      </w:r>
      <w:r w:rsidRPr="00B51E49" w:rsidR="007B38AA">
        <w:t>agree with the Court of Appeal.</w:t>
      </w:r>
      <w:r>
        <w:rPr>
          <w:rStyle w:val="FootnoteReference"/>
        </w:rPr>
        <w:footnoteReference w:id="4"/>
      </w:r>
      <w:r w:rsidRPr="00B51E49" w:rsidR="007B38AA">
        <w:t xml:space="preserve">  </w:t>
      </w:r>
      <w:r w:rsidRPr="00B51E49" w:rsidR="00423840">
        <w:t xml:space="preserve">The parties </w:t>
      </w:r>
      <w:r w:rsidRPr="00B51E49" w:rsidR="009B2018">
        <w:t>concur</w:t>
      </w:r>
      <w:r w:rsidRPr="00B51E49" w:rsidR="00423840">
        <w:t xml:space="preserve"> that section 1001.36, like </w:t>
      </w:r>
      <w:r w:rsidRPr="00B51E49" w:rsidR="00770B78">
        <w:t>Proposition 57, offers a potentially ameliorative benefit for a class of individuals</w:t>
      </w:r>
      <w:r w:rsidR="00195761">
        <w:t xml:space="preserve"> —</w:t>
      </w:r>
      <w:r w:rsidRPr="00B51E49" w:rsidR="00770B78">
        <w:t xml:space="preserve"> namely</w:t>
      </w:r>
      <w:r w:rsidRPr="00B51E49" w:rsidR="007E5199">
        <w:t>,</w:t>
      </w:r>
      <w:r w:rsidRPr="00B51E49" w:rsidR="00770B78">
        <w:t xml:space="preserve"> </w:t>
      </w:r>
      <w:r w:rsidR="009D40CD">
        <w:t xml:space="preserve">criminal defendants </w:t>
      </w:r>
      <w:r w:rsidRPr="00B51E49" w:rsidR="00770B78">
        <w:t xml:space="preserve">who suffer from a qualifying mental disorder.  </w:t>
      </w:r>
      <w:r w:rsidR="005C5A4B">
        <w:t>On its face, the diversion statute states the legislative purpose “to promote . . .</w:t>
      </w:r>
      <w:r w:rsidR="001D09BC">
        <w:t xml:space="preserve"> </w:t>
      </w:r>
      <w:r w:rsidR="005C5A4B">
        <w:rPr>
          <w:sz w:val="28"/>
        </w:rPr>
        <w:t xml:space="preserve"> [¶] </w:t>
      </w:r>
      <w:r w:rsidRPr="00906D23" w:rsidR="005C5A4B">
        <w:rPr>
          <w:szCs w:val="27"/>
        </w:rPr>
        <w:t>[i]ncreased diversion of individuals with mental disorders</w:t>
      </w:r>
      <w:r w:rsidR="005C5A4B">
        <w:rPr>
          <w:szCs w:val="27"/>
        </w:rPr>
        <w:t xml:space="preserve"> to mitigate the individuals’ entry and reentry into the criminal justice system while protecting public safety” (§ 1001.35, subd. (a)), and the procedures </w:t>
      </w:r>
      <w:r w:rsidR="00806940">
        <w:rPr>
          <w:szCs w:val="27"/>
        </w:rPr>
        <w:t>instituted</w:t>
      </w:r>
      <w:r w:rsidR="005C5A4B">
        <w:rPr>
          <w:szCs w:val="27"/>
        </w:rPr>
        <w:t xml:space="preserve"> by the enactment carry the potential of substantial reductions in punishment for the aforementioned parties.</w:t>
      </w:r>
    </w:p>
    <w:p w:rsidR="00402F5D" w:rsidRPr="00B51E49" w:rsidP="002408C6" w14:paraId="473B5A44" w14:textId="67F5F9BC">
      <w:pPr>
        <w:tabs>
          <w:tab w:val="left" w:pos="1440"/>
        </w:tabs>
        <w:ind w:firstLine="720"/>
      </w:pPr>
      <w:r w:rsidRPr="00B51E49">
        <w:t xml:space="preserve">The pertinent circumstances here are </w:t>
      </w:r>
      <w:r w:rsidRPr="00B51E49" w:rsidR="007F1E44">
        <w:t>like</w:t>
      </w:r>
      <w:r w:rsidRPr="00B51E49">
        <w:t xml:space="preserve"> those involved in</w:t>
      </w:r>
      <w:r w:rsidRPr="00B51E49" w:rsidR="00F64CA1">
        <w:t xml:space="preserve"> </w:t>
      </w:r>
      <w:r w:rsidRPr="00B51E49" w:rsidR="00F64CA1">
        <w:rPr>
          <w:i/>
        </w:rPr>
        <w:t>Lara</w:t>
      </w:r>
      <w:r w:rsidRPr="00B51E49" w:rsidR="00F64CA1">
        <w:t>,</w:t>
      </w:r>
      <w:r w:rsidRPr="00B51E49">
        <w:t xml:space="preserve"> in that</w:t>
      </w:r>
      <w:r w:rsidRPr="00B51E49" w:rsidR="00F64CA1">
        <w:rPr>
          <w:i/>
        </w:rPr>
        <w:t xml:space="preserve"> </w:t>
      </w:r>
      <w:r w:rsidRPr="00B51E49" w:rsidR="00F64CA1">
        <w:t xml:space="preserve">the possibility of </w:t>
      </w:r>
      <w:r w:rsidRPr="00B51E49" w:rsidR="00863AB5">
        <w:t>being granted mental health diversion</w:t>
      </w:r>
      <w:r w:rsidRPr="00B51E49" w:rsidR="00F64CA1">
        <w:t xml:space="preserve"> rather than being tried and sentenced “can result in dramatically different and more lenient treatment.”</w:t>
      </w:r>
      <w:r w:rsidRPr="00B51E49" w:rsidR="00863AB5">
        <w:t xml:space="preserve">  (</w:t>
      </w:r>
      <w:r w:rsidRPr="00B51E49" w:rsidR="00863AB5">
        <w:rPr>
          <w:i/>
        </w:rPr>
        <w:t>Lara</w:t>
      </w:r>
      <w:r w:rsidRPr="00B51E49" w:rsidR="00863AB5">
        <w:t xml:space="preserve">, </w:t>
      </w:r>
      <w:r w:rsidRPr="00B51E49" w:rsidR="00863AB5">
        <w:rPr>
          <w:i/>
        </w:rPr>
        <w:t>supra</w:t>
      </w:r>
      <w:r w:rsidRPr="00B51E49" w:rsidR="00863AB5">
        <w:t xml:space="preserve">, </w:t>
      </w:r>
      <w:r w:rsidRPr="00B51E49" w:rsidR="00EE23E4">
        <w:t>4 Cal.5th at p. 30</w:t>
      </w:r>
      <w:r w:rsidRPr="00B51E49" w:rsidR="00C07DE6">
        <w:t xml:space="preserve">3.)  </w:t>
      </w:r>
      <w:r w:rsidRPr="00B51E49" w:rsidR="006D59E5">
        <w:t>A</w:t>
      </w:r>
      <w:r w:rsidRPr="00B51E49" w:rsidR="00095E68">
        <w:t xml:space="preserve"> defendant</w:t>
      </w:r>
      <w:r w:rsidRPr="00B51E49" w:rsidR="00C07DE6">
        <w:t xml:space="preserve"> who </w:t>
      </w:r>
      <w:r w:rsidRPr="00B51E49" w:rsidR="00F3587E">
        <w:t xml:space="preserve">shows that he </w:t>
      </w:r>
      <w:r w:rsidRPr="00B51E49" w:rsidR="00095E68">
        <w:t xml:space="preserve">or she </w:t>
      </w:r>
      <w:r w:rsidRPr="00B51E49" w:rsidR="00F3587E">
        <w:t xml:space="preserve">is eligible </w:t>
      </w:r>
      <w:r w:rsidRPr="00B51E49" w:rsidR="008277C8">
        <w:t xml:space="preserve">and suitable for diversion may be referred to </w:t>
      </w:r>
      <w:r w:rsidRPr="00B51E49" w:rsidR="00470558">
        <w:t>a mental</w:t>
      </w:r>
      <w:r w:rsidRPr="00B51E49" w:rsidR="00D454E0">
        <w:t xml:space="preserve"> health treatment</w:t>
      </w:r>
      <w:r w:rsidRPr="00B51E49" w:rsidR="00095E68">
        <w:t xml:space="preserve"> </w:t>
      </w:r>
      <w:r w:rsidRPr="00B51E49" w:rsidR="00470558">
        <w:t xml:space="preserve">program </w:t>
      </w:r>
      <w:r w:rsidRPr="00B51E49" w:rsidR="00C71302">
        <w:t>designed to</w:t>
      </w:r>
      <w:r w:rsidRPr="00B51E49" w:rsidR="00095E68">
        <w:t xml:space="preserve"> meet </w:t>
      </w:r>
      <w:r w:rsidRPr="00B51E49" w:rsidR="0098257F">
        <w:t>the defendant’s</w:t>
      </w:r>
      <w:r w:rsidRPr="00B51E49" w:rsidR="00095E68">
        <w:t xml:space="preserve"> specialized needs </w:t>
      </w:r>
      <w:r w:rsidRPr="00B51E49" w:rsidR="00104AAE">
        <w:t xml:space="preserve">for </w:t>
      </w:r>
      <w:r w:rsidRPr="00B51E49" w:rsidR="00C71302">
        <w:t>up to two years</w:t>
      </w:r>
      <w:r w:rsidRPr="00B51E49" w:rsidR="0048166E">
        <w:t>.</w:t>
      </w:r>
      <w:r w:rsidRPr="00B51E49" w:rsidR="00975BD2">
        <w:t xml:space="preserve"> </w:t>
      </w:r>
      <w:r w:rsidRPr="00B51E49" w:rsidR="0048166E">
        <w:t xml:space="preserve"> </w:t>
      </w:r>
      <w:r w:rsidRPr="00B51E49" w:rsidR="00975BD2">
        <w:t>(§ 1001.36, subd. (</w:t>
      </w:r>
      <w:r w:rsidRPr="00B51E49" w:rsidR="000D3E8A">
        <w:t>c)(1)</w:t>
      </w:r>
      <w:r w:rsidRPr="00B51E49" w:rsidR="0048166E">
        <w:t>.)</w:t>
      </w:r>
      <w:r w:rsidRPr="00B51E49" w:rsidR="00174879">
        <w:t xml:space="preserve"> </w:t>
      </w:r>
      <w:r w:rsidRPr="00B51E49" w:rsidR="0048166E">
        <w:t xml:space="preserve"> </w:t>
      </w:r>
      <w:r w:rsidRPr="00B51E49" w:rsidR="00304654">
        <w:t>If a defendant successfully completes</w:t>
      </w:r>
      <w:r w:rsidRPr="00B51E49" w:rsidR="00AB424A">
        <w:t xml:space="preserve"> diversion, </w:t>
      </w:r>
      <w:r w:rsidRPr="00B51E49" w:rsidR="00BD3E0F">
        <w:t xml:space="preserve">the trial court “shall” dismiss the criminal charges and </w:t>
      </w:r>
      <w:r w:rsidRPr="00B51E49" w:rsidR="00367B6D">
        <w:t xml:space="preserve">the </w:t>
      </w:r>
      <w:r w:rsidRPr="00B51E49" w:rsidR="00E84BCD">
        <w:t>“arrest upon which the diversion was based shall be deemed never to have occurred.”  (</w:t>
      </w:r>
      <w:r w:rsidR="001147B8">
        <w:rPr>
          <w:i/>
        </w:rPr>
        <w:t>Id.</w:t>
      </w:r>
      <w:r w:rsidRPr="00B51E49" w:rsidR="00E84BCD">
        <w:t>, subd. (</w:t>
      </w:r>
      <w:r w:rsidRPr="00B51E49" w:rsidR="006D59E5">
        <w:t xml:space="preserve">e).)  </w:t>
      </w:r>
      <w:r w:rsidRPr="00B51E49" w:rsidR="006419A5">
        <w:t>Accordingly, the</w:t>
      </w:r>
      <w:r w:rsidRPr="00B51E49" w:rsidR="003864DA">
        <w:t xml:space="preserve"> </w:t>
      </w:r>
      <w:r w:rsidRPr="00B51E49" w:rsidR="00A638D6">
        <w:t xml:space="preserve">impact of </w:t>
      </w:r>
      <w:r w:rsidRPr="00B51E49" w:rsidR="00706BDB">
        <w:t>a trial court’s</w:t>
      </w:r>
      <w:r w:rsidRPr="00B51E49" w:rsidR="00A638D6">
        <w:t xml:space="preserve"> decision</w:t>
      </w:r>
      <w:r w:rsidRPr="00B51E49" w:rsidR="00026526">
        <w:t xml:space="preserve"> </w:t>
      </w:r>
      <w:r w:rsidRPr="00B51E49" w:rsidR="00421310">
        <w:t xml:space="preserve">to </w:t>
      </w:r>
      <w:r w:rsidRPr="00B51E49" w:rsidR="00ED3C7F">
        <w:t xml:space="preserve">grant </w:t>
      </w:r>
      <w:r w:rsidRPr="00B51E49" w:rsidR="009745E7">
        <w:t>diversion</w:t>
      </w:r>
      <w:r w:rsidRPr="00B51E49" w:rsidR="007C5607">
        <w:t xml:space="preserve"> </w:t>
      </w:r>
      <w:r w:rsidRPr="00B51E49" w:rsidR="008C469D">
        <w:t xml:space="preserve">can </w:t>
      </w:r>
      <w:r w:rsidRPr="00B51E49" w:rsidR="007A5B88">
        <w:t xml:space="preserve">spell the difference </w:t>
      </w:r>
      <w:r w:rsidRPr="00B51E49" w:rsidR="00344D32">
        <w:t>between</w:t>
      </w:r>
      <w:r w:rsidR="00787B47">
        <w:t>, on the one hand,</w:t>
      </w:r>
      <w:r w:rsidRPr="00B51E49" w:rsidR="00EF412B">
        <w:t xml:space="preserve"> </w:t>
      </w:r>
      <w:r w:rsidRPr="00B51E49" w:rsidR="0090630D">
        <w:t>a defendant</w:t>
      </w:r>
      <w:r w:rsidRPr="00B51E49" w:rsidR="000F1DCD">
        <w:t xml:space="preserve"> </w:t>
      </w:r>
      <w:r w:rsidRPr="00B51E49" w:rsidR="00381412">
        <w:t>receiving specialized mental health treatment</w:t>
      </w:r>
      <w:r w:rsidRPr="00B51E49" w:rsidR="00DA0541">
        <w:t xml:space="preserve">, </w:t>
      </w:r>
      <w:r w:rsidRPr="00B51E49" w:rsidR="00B86FA4">
        <w:t>possibly avoiding</w:t>
      </w:r>
      <w:r w:rsidRPr="00B51E49" w:rsidR="00377295">
        <w:t xml:space="preserve"> criminal prosecution altogether</w:t>
      </w:r>
      <w:r w:rsidRPr="00B51E49" w:rsidR="00DA0541">
        <w:t>, and even maintaining a clean record</w:t>
      </w:r>
      <w:r w:rsidRPr="00B51E49" w:rsidR="00C212DE">
        <w:t xml:space="preserve">, </w:t>
      </w:r>
      <w:r w:rsidR="00787B47">
        <w:t>and on the other,</w:t>
      </w:r>
      <w:r w:rsidRPr="00B51E49" w:rsidR="00787B47">
        <w:t xml:space="preserve"> </w:t>
      </w:r>
      <w:r w:rsidRPr="00B51E49" w:rsidR="00344D32">
        <w:t>a defendant serving a lengthy prison sentence</w:t>
      </w:r>
      <w:r w:rsidRPr="00B51E49" w:rsidR="007019A9">
        <w:t>.</w:t>
      </w:r>
      <w:r w:rsidRPr="00B51E49" w:rsidR="002A74D1">
        <w:t xml:space="preserve">  </w:t>
      </w:r>
      <w:r w:rsidRPr="00B51E49" w:rsidR="00A767DD">
        <w:t xml:space="preserve">(See </w:t>
      </w:r>
      <w:r w:rsidRPr="00B51E49" w:rsidR="00A767DD">
        <w:rPr>
          <w:i/>
        </w:rPr>
        <w:t>Lara</w:t>
      </w:r>
      <w:r w:rsidRPr="00B51E49" w:rsidR="00A767DD">
        <w:t xml:space="preserve">, </w:t>
      </w:r>
      <w:r w:rsidRPr="00B51E49" w:rsidR="00A767DD">
        <w:rPr>
          <w:i/>
        </w:rPr>
        <w:t>supra</w:t>
      </w:r>
      <w:r w:rsidRPr="00B51E49" w:rsidR="00A767DD">
        <w:t>, 4</w:t>
      </w:r>
      <w:r w:rsidRPr="00B51E49" w:rsidR="004E1C8A">
        <w:t> </w:t>
      </w:r>
      <w:r w:rsidRPr="00B51E49" w:rsidR="00A767DD">
        <w:t>Cal.5th at p. 308.)</w:t>
      </w:r>
      <w:r w:rsidRPr="00B51E49" w:rsidR="000E3A48">
        <w:t xml:space="preserve">  </w:t>
      </w:r>
      <w:r w:rsidR="00F32BD9">
        <w:t>Indeed, the People concede</w:t>
      </w:r>
      <w:r w:rsidR="00AC7835">
        <w:t xml:space="preserve"> in their briefing</w:t>
      </w:r>
      <w:r w:rsidR="00F32BD9">
        <w:t xml:space="preserve"> that</w:t>
      </w:r>
      <w:r w:rsidR="0089687D">
        <w:t xml:space="preserve"> “mental health diversion has a potentially ameliorative effect:  defendants who successfully complete the program would be able to have criminal charges wiped clean.”</w:t>
      </w:r>
      <w:r w:rsidR="002408C6">
        <w:t xml:space="preserve">  </w:t>
      </w:r>
      <w:r w:rsidRPr="00B51E49" w:rsidR="00A77E6F">
        <w:t>Thus,</w:t>
      </w:r>
      <w:r w:rsidRPr="00B51E49" w:rsidR="0078618E">
        <w:rPr>
          <w:i/>
        </w:rPr>
        <w:t xml:space="preserve"> </w:t>
      </w:r>
      <w:r w:rsidRPr="00B51E49" w:rsidR="0078618E">
        <w:t>t</w:t>
      </w:r>
      <w:r w:rsidRPr="00B51E49" w:rsidR="000E3A48">
        <w:t>he</w:t>
      </w:r>
      <w:r w:rsidRPr="00B51E49" w:rsidR="00642C6D">
        <w:t xml:space="preserve"> </w:t>
      </w:r>
      <w:r w:rsidRPr="00B51E49" w:rsidR="00933641">
        <w:t>ameliorative</w:t>
      </w:r>
      <w:r w:rsidRPr="00B51E49" w:rsidR="000E3A48">
        <w:t xml:space="preserve"> nature of the diversion </w:t>
      </w:r>
      <w:r w:rsidRPr="00B51E49" w:rsidR="0078618E">
        <w:t>program</w:t>
      </w:r>
      <w:r w:rsidRPr="00B51E49" w:rsidR="00A77E6F">
        <w:t xml:space="preserve"> place</w:t>
      </w:r>
      <w:r w:rsidR="00A14636">
        <w:t>s</w:t>
      </w:r>
      <w:r w:rsidRPr="00B51E49" w:rsidR="00A77E6F">
        <w:t xml:space="preserve"> it squarely within the spirit of the </w:t>
      </w:r>
      <w:r w:rsidRPr="00B51E49" w:rsidR="00A77E6F">
        <w:rPr>
          <w:i/>
        </w:rPr>
        <w:t>Estrada</w:t>
      </w:r>
      <w:r w:rsidRPr="00B51E49" w:rsidR="00A77E6F">
        <w:t xml:space="preserve"> rule.</w:t>
      </w:r>
    </w:p>
    <w:p w:rsidR="003D1B16" w:rsidP="00B51E49" w14:paraId="69B32A94" w14:textId="0BB5B88B">
      <w:pPr>
        <w:tabs>
          <w:tab w:val="left" w:pos="1440"/>
        </w:tabs>
        <w:ind w:firstLine="720"/>
      </w:pPr>
      <w:r w:rsidRPr="00B51E49">
        <w:t xml:space="preserve">Because it is undisputed that the </w:t>
      </w:r>
      <w:r w:rsidRPr="00B51E49" w:rsidR="00820076">
        <w:t xml:space="preserve">diversion </w:t>
      </w:r>
      <w:r w:rsidRPr="00B51E49">
        <w:t>statute provides a</w:t>
      </w:r>
      <w:r w:rsidRPr="00B51E49" w:rsidR="00F97DE0">
        <w:t xml:space="preserve"> possible</w:t>
      </w:r>
      <w:r w:rsidRPr="00B51E49">
        <w:t xml:space="preserve"> benefit to a class of criminal defendants and </w:t>
      </w:r>
      <w:r w:rsidR="00A14636">
        <w:t>the statute</w:t>
      </w:r>
      <w:r w:rsidRPr="00B51E49" w:rsidR="00820076">
        <w:t xml:space="preserve"> </w:t>
      </w:r>
      <w:r w:rsidRPr="00B51E49">
        <w:t>does not contain a</w:t>
      </w:r>
      <w:r w:rsidRPr="00B51E49" w:rsidR="00F538C6">
        <w:t>n express</w:t>
      </w:r>
      <w:r w:rsidRPr="00B51E49">
        <w:t xml:space="preserve"> savings clause that limits </w:t>
      </w:r>
      <w:r w:rsidRPr="00B51E49" w:rsidR="00820076">
        <w:t>the</w:t>
      </w:r>
      <w:r w:rsidRPr="00B51E49">
        <w:t xml:space="preserve"> program to prospective-only application</w:t>
      </w:r>
      <w:r w:rsidRPr="00B51E49" w:rsidR="00AE5616">
        <w:t xml:space="preserve">, the </w:t>
      </w:r>
      <w:r w:rsidRPr="00B51E49" w:rsidR="0034015C">
        <w:t xml:space="preserve">specific </w:t>
      </w:r>
      <w:r w:rsidRPr="00B51E49" w:rsidR="00AE5616">
        <w:t xml:space="preserve">question before us </w:t>
      </w:r>
      <w:r w:rsidRPr="00B51E49">
        <w:t xml:space="preserve">boils down to </w:t>
      </w:r>
      <w:r w:rsidRPr="00B51E49" w:rsidR="00AE5616">
        <w:t xml:space="preserve">whether the Legislature “clearly signal[ed] its intent” to overcome the </w:t>
      </w:r>
      <w:r w:rsidRPr="00B51E49" w:rsidR="00AE5616">
        <w:rPr>
          <w:i/>
        </w:rPr>
        <w:t>Estrada</w:t>
      </w:r>
      <w:r w:rsidRPr="00B51E49" w:rsidR="00AE5616">
        <w:t xml:space="preserve"> </w:t>
      </w:r>
      <w:r w:rsidRPr="00B51E49" w:rsidR="00D37B2D">
        <w:t>inference</w:t>
      </w:r>
      <w:r w:rsidRPr="00B51E49" w:rsidR="00AE5616">
        <w:t xml:space="preserve"> that section 1001.36 applies retroactively to all cases not yet final on appeal.  (</w:t>
      </w:r>
      <w:r w:rsidRPr="00B51E49" w:rsidR="00AE5616">
        <w:rPr>
          <w:i/>
        </w:rPr>
        <w:t>Nasalga</w:t>
      </w:r>
      <w:r w:rsidRPr="00B51E49" w:rsidR="00AE5616">
        <w:t xml:space="preserve">, </w:t>
      </w:r>
      <w:r w:rsidRPr="00B51E49" w:rsidR="00AE5616">
        <w:rPr>
          <w:i/>
        </w:rPr>
        <w:t>supra</w:t>
      </w:r>
      <w:r w:rsidRPr="00B51E49" w:rsidR="00AE5616">
        <w:t>, 12</w:t>
      </w:r>
      <w:r w:rsidRPr="00B51E49" w:rsidR="004E1C8A">
        <w:t> </w:t>
      </w:r>
      <w:r w:rsidRPr="00B51E49" w:rsidR="00AE5616">
        <w:t>Cal.4th at p. 793.)</w:t>
      </w:r>
      <w:r w:rsidRPr="00B51E49" w:rsidR="00D37B2D">
        <w:t xml:space="preserve">  </w:t>
      </w:r>
    </w:p>
    <w:p w:rsidR="00ED5C93" w:rsidRPr="00B51E49" w:rsidP="00B51E49" w14:paraId="677865E4" w14:textId="258EE4A7">
      <w:pPr>
        <w:tabs>
          <w:tab w:val="left" w:pos="1440"/>
        </w:tabs>
        <w:ind w:firstLine="720"/>
      </w:pPr>
      <w:r>
        <w:t>We</w:t>
      </w:r>
      <w:r w:rsidRPr="00B51E49" w:rsidR="003C6D06">
        <w:t xml:space="preserve"> conclude that the text of the statute do</w:t>
      </w:r>
      <w:r w:rsidRPr="00B51E49" w:rsidR="0058210F">
        <w:t>es</w:t>
      </w:r>
      <w:r w:rsidRPr="00B51E49" w:rsidR="003C6D06">
        <w:t xml:space="preserve"> not clearly signal such an intent.  </w:t>
      </w:r>
      <w:r w:rsidR="003D1B16">
        <w:t xml:space="preserve">At the outset, we note that the statute contains language that could be read as supporting the </w:t>
      </w:r>
      <w:r w:rsidRPr="008849A4" w:rsidR="003D1B16">
        <w:t>expansive</w:t>
      </w:r>
      <w:r w:rsidR="003D1B16">
        <w:t xml:space="preserve"> application of its provisions.  The Court of Appeal reasonably regarded the statement of legislative purpose found </w:t>
      </w:r>
      <w:r w:rsidR="0034373A">
        <w:t xml:space="preserve">in </w:t>
      </w:r>
      <w:r w:rsidR="003D1B16">
        <w:t xml:space="preserve">section 1001.35, subdivision (a) as </w:t>
      </w:r>
      <w:r w:rsidR="009A35D3">
        <w:t>bolster</w:t>
      </w:r>
      <w:r w:rsidR="00DB2F55">
        <w:t>ing the conclusion</w:t>
      </w:r>
      <w:r w:rsidR="00DB2F55">
        <w:rPr>
          <w:szCs w:val="27"/>
        </w:rPr>
        <w:t xml:space="preserve"> </w:t>
      </w:r>
      <w:r w:rsidR="003D1B16">
        <w:rPr>
          <w:szCs w:val="27"/>
        </w:rPr>
        <w:t>“that the Legislature intended the mental health diversion program to apply as broadly as possible.”  (</w:t>
      </w:r>
      <w:r w:rsidR="003D1B16">
        <w:rPr>
          <w:i/>
          <w:szCs w:val="27"/>
        </w:rPr>
        <w:t>Frahs</w:t>
      </w:r>
      <w:r w:rsidR="003D1B16">
        <w:rPr>
          <w:szCs w:val="27"/>
        </w:rPr>
        <w:t xml:space="preserve">, </w:t>
      </w:r>
      <w:r w:rsidR="003D1B16">
        <w:rPr>
          <w:i/>
          <w:szCs w:val="27"/>
        </w:rPr>
        <w:t>supra</w:t>
      </w:r>
      <w:r w:rsidR="003D1B16">
        <w:rPr>
          <w:szCs w:val="27"/>
        </w:rPr>
        <w:t>, 27</w:t>
      </w:r>
      <w:r w:rsidR="00FF157D">
        <w:rPr>
          <w:szCs w:val="27"/>
        </w:rPr>
        <w:t> </w:t>
      </w:r>
      <w:r w:rsidR="003D1B16">
        <w:rPr>
          <w:szCs w:val="27"/>
        </w:rPr>
        <w:t xml:space="preserve">Cal.App.5th at p. 791.)  </w:t>
      </w:r>
      <w:r w:rsidR="00DD5282">
        <w:rPr>
          <w:szCs w:val="27"/>
        </w:rPr>
        <w:t xml:space="preserve">The breadth of </w:t>
      </w:r>
      <w:r w:rsidR="00DE01A1">
        <w:rPr>
          <w:szCs w:val="27"/>
        </w:rPr>
        <w:t>the statute’s statement of purpose — aimed to “</w:t>
      </w:r>
      <w:r w:rsidRPr="001A63A1" w:rsidR="00651D11">
        <w:rPr>
          <w:szCs w:val="27"/>
        </w:rPr>
        <w:t>[</w:t>
      </w:r>
      <w:r w:rsidRPr="00651D11" w:rsidR="00DE01A1">
        <w:rPr>
          <w:i/>
          <w:szCs w:val="27"/>
        </w:rPr>
        <w:t>i</w:t>
      </w:r>
      <w:r w:rsidRPr="001A63A1" w:rsidR="00651D11">
        <w:rPr>
          <w:szCs w:val="27"/>
        </w:rPr>
        <w:t>]</w:t>
      </w:r>
      <w:r w:rsidRPr="00651D11" w:rsidR="00DE01A1">
        <w:rPr>
          <w:i/>
          <w:szCs w:val="27"/>
        </w:rPr>
        <w:t>ncrease</w:t>
      </w:r>
      <w:r w:rsidRPr="001A63A1" w:rsidR="00DE01A1">
        <w:rPr>
          <w:szCs w:val="27"/>
        </w:rPr>
        <w:t>[]</w:t>
      </w:r>
      <w:r w:rsidRPr="00651D11" w:rsidR="00DE01A1">
        <w:rPr>
          <w:i/>
          <w:szCs w:val="27"/>
        </w:rPr>
        <w:t xml:space="preserve"> </w:t>
      </w:r>
      <w:r w:rsidRPr="00DE01A1" w:rsidR="00DE01A1">
        <w:rPr>
          <w:i/>
          <w:szCs w:val="27"/>
        </w:rPr>
        <w:t>diversion</w:t>
      </w:r>
      <w:r w:rsidR="00DE01A1">
        <w:rPr>
          <w:szCs w:val="27"/>
        </w:rPr>
        <w:t xml:space="preserve"> of individuals with mental disorders </w:t>
      </w:r>
      <w:r w:rsidRPr="001F4B0F" w:rsidR="00DE01A1">
        <w:rPr>
          <w:szCs w:val="27"/>
        </w:rPr>
        <w:t>to mitigate</w:t>
      </w:r>
      <w:r w:rsidR="00DE01A1">
        <w:rPr>
          <w:szCs w:val="27"/>
        </w:rPr>
        <w:t xml:space="preserve"> the</w:t>
      </w:r>
      <w:r w:rsidR="00FB36DE">
        <w:rPr>
          <w:szCs w:val="27"/>
        </w:rPr>
        <w:t xml:space="preserve"> individuals’ </w:t>
      </w:r>
      <w:r w:rsidR="00DE01A1">
        <w:rPr>
          <w:szCs w:val="27"/>
        </w:rPr>
        <w:t>entry and reentry into the criminal justice system</w:t>
      </w:r>
      <w:r w:rsidR="00FB36DE">
        <w:rPr>
          <w:szCs w:val="27"/>
        </w:rPr>
        <w:t>” (§ 1001.35, subd. (a)</w:t>
      </w:r>
      <w:r w:rsidR="001F4B0F">
        <w:rPr>
          <w:szCs w:val="27"/>
        </w:rPr>
        <w:t>, italics added</w:t>
      </w:r>
      <w:r w:rsidR="00FB36DE">
        <w:rPr>
          <w:szCs w:val="27"/>
        </w:rPr>
        <w:t xml:space="preserve">) — </w:t>
      </w:r>
      <w:r w:rsidR="00D34518">
        <w:rPr>
          <w:szCs w:val="27"/>
        </w:rPr>
        <w:t>is</w:t>
      </w:r>
      <w:r w:rsidR="00FB36DE">
        <w:rPr>
          <w:szCs w:val="27"/>
        </w:rPr>
        <w:t xml:space="preserve"> consistent with the </w:t>
      </w:r>
      <w:r w:rsidR="00D34518">
        <w:rPr>
          <w:szCs w:val="27"/>
        </w:rPr>
        <w:t>retroactive application of the diversion scheme</w:t>
      </w:r>
      <w:r w:rsidR="00270F18">
        <w:rPr>
          <w:szCs w:val="27"/>
        </w:rPr>
        <w:t xml:space="preserve">.  </w:t>
      </w:r>
      <w:r w:rsidR="00D34518">
        <w:rPr>
          <w:szCs w:val="27"/>
        </w:rPr>
        <w:t xml:space="preserve">This statement of purpose further “support[s] the conclusion that the </w:t>
      </w:r>
      <w:r w:rsidR="00D34518">
        <w:rPr>
          <w:i/>
          <w:szCs w:val="27"/>
        </w:rPr>
        <w:t xml:space="preserve">Estrada </w:t>
      </w:r>
      <w:r w:rsidR="00D34518">
        <w:rPr>
          <w:szCs w:val="27"/>
        </w:rPr>
        <w:t>inference of retroactivity is not rebutted” — that is, that the Legislature intended to apply the provisions of section 1001.36 to every case to which it constitutionally could apply.  (</w:t>
      </w:r>
      <w:r w:rsidR="00D34518">
        <w:rPr>
          <w:i/>
          <w:szCs w:val="27"/>
        </w:rPr>
        <w:t>Lara</w:t>
      </w:r>
      <w:r w:rsidR="00D34518">
        <w:rPr>
          <w:szCs w:val="27"/>
        </w:rPr>
        <w:t xml:space="preserve">, </w:t>
      </w:r>
      <w:r w:rsidR="00D34518">
        <w:rPr>
          <w:i/>
          <w:szCs w:val="27"/>
        </w:rPr>
        <w:t>supra</w:t>
      </w:r>
      <w:r w:rsidR="00D34518">
        <w:rPr>
          <w:szCs w:val="27"/>
        </w:rPr>
        <w:t>, 4 Cal.5th at p. 309.)</w:t>
      </w:r>
      <w:r w:rsidR="00EA4613">
        <w:rPr>
          <w:szCs w:val="27"/>
        </w:rPr>
        <w:t xml:space="preserve">  </w:t>
      </w:r>
      <w:r w:rsidRPr="00DE01A1" w:rsidR="003D1B16">
        <w:rPr>
          <w:szCs w:val="27"/>
        </w:rPr>
        <w:t>But</w:t>
      </w:r>
      <w:r w:rsidR="003D1B16">
        <w:rPr>
          <w:szCs w:val="27"/>
        </w:rPr>
        <w:t xml:space="preserve"> even if this statement of purpose is disregarded, the statute does not plainly communicate an intent that its provisions would apply only prospectively.</w:t>
      </w:r>
    </w:p>
    <w:p w:rsidR="00DE4AC4" w:rsidRPr="00B51E49" w:rsidP="00B51E49" w14:paraId="765A2D4C" w14:textId="29946B5B">
      <w:pPr>
        <w:tabs>
          <w:tab w:val="left" w:pos="1440"/>
        </w:tabs>
        <w:ind w:firstLine="720"/>
      </w:pPr>
      <w:r>
        <w:t>On this subject, t</w:t>
      </w:r>
      <w:r w:rsidRPr="00B51E49" w:rsidR="00DE7748">
        <w:t xml:space="preserve">he </w:t>
      </w:r>
      <w:r w:rsidRPr="00B51E49" w:rsidR="00E10FC9">
        <w:t>People</w:t>
      </w:r>
      <w:r w:rsidRPr="00B51E49" w:rsidR="00DE7748">
        <w:t xml:space="preserve"> </w:t>
      </w:r>
      <w:r w:rsidRPr="00B51E49" w:rsidR="00E551D4">
        <w:t>renew</w:t>
      </w:r>
      <w:r w:rsidRPr="00B51E49" w:rsidR="00E10FC9">
        <w:t xml:space="preserve"> their</w:t>
      </w:r>
      <w:r w:rsidRPr="00B51E49" w:rsidR="00E551D4">
        <w:t xml:space="preserve"> argument that the statute’s definition of “</w:t>
      </w:r>
      <w:r w:rsidR="00722770">
        <w:t> ‘</w:t>
      </w:r>
      <w:r w:rsidRPr="00B51E49" w:rsidR="00E551D4">
        <w:t>pretrial diversion</w:t>
      </w:r>
      <w:r w:rsidR="00722770">
        <w:t>’ </w:t>
      </w:r>
      <w:r w:rsidRPr="00B51E49" w:rsidR="00E551D4">
        <w:t xml:space="preserve">” </w:t>
      </w:r>
      <w:r w:rsidRPr="00B51E49" w:rsidR="00132710">
        <w:t>as</w:t>
      </w:r>
      <w:r w:rsidRPr="00B51E49" w:rsidR="00D2745A">
        <w:t xml:space="preserve"> “the postponement of prosecution </w:t>
      </w:r>
      <w:r w:rsidRPr="00B51E49" w:rsidR="00803D46">
        <w:t>. . .</w:t>
      </w:r>
      <w:r w:rsidRPr="00B51E49" w:rsidR="00D2745A">
        <w:t xml:space="preserve"> at any point in the judicial process </w:t>
      </w:r>
      <w:r w:rsidRPr="00B51E49" w:rsidR="00803D46">
        <w:t>. . .</w:t>
      </w:r>
      <w:r w:rsidRPr="00B51E49" w:rsidR="00D2745A">
        <w:t xml:space="preserve"> until adjudication” </w:t>
      </w:r>
      <w:r w:rsidRPr="00B51E49" w:rsidR="00B018BA">
        <w:t>(§ 1001.36, subd.</w:t>
      </w:r>
      <w:r w:rsidR="00FF157D">
        <w:t> </w:t>
      </w:r>
      <w:r w:rsidRPr="00B51E49" w:rsidR="00B018BA">
        <w:t xml:space="preserve">(c)) </w:t>
      </w:r>
      <w:r w:rsidRPr="00B51E49" w:rsidR="002A1056">
        <w:t xml:space="preserve">demonstrates that </w:t>
      </w:r>
      <w:r w:rsidRPr="00B51E49" w:rsidR="000B2FB7">
        <w:t xml:space="preserve">the Legislature intended to limit </w:t>
      </w:r>
      <w:r w:rsidR="00357373">
        <w:t>its</w:t>
      </w:r>
      <w:r w:rsidRPr="00B51E49" w:rsidR="000B2FB7">
        <w:t xml:space="preserve"> application to </w:t>
      </w:r>
      <w:r w:rsidRPr="00B51E49" w:rsidR="00C06049">
        <w:t>cases</w:t>
      </w:r>
      <w:r w:rsidRPr="00B51E49" w:rsidR="00060890">
        <w:t xml:space="preserve"> that </w:t>
      </w:r>
      <w:r w:rsidRPr="00B51E49" w:rsidR="00794A3A">
        <w:t>ha</w:t>
      </w:r>
      <w:r w:rsidR="00357373">
        <w:t>d</w:t>
      </w:r>
      <w:r w:rsidRPr="00B51E49" w:rsidR="007A4F9A">
        <w:t xml:space="preserve"> not yet</w:t>
      </w:r>
      <w:r w:rsidRPr="00B51E49" w:rsidR="00060890">
        <w:t xml:space="preserve"> </w:t>
      </w:r>
      <w:r w:rsidRPr="00B51E49">
        <w:t xml:space="preserve">been </w:t>
      </w:r>
      <w:r w:rsidRPr="00B51E49" w:rsidR="00060890">
        <w:t>adjudicated</w:t>
      </w:r>
      <w:r w:rsidR="00357373">
        <w:t xml:space="preserve"> at the time of enactment</w:t>
      </w:r>
      <w:r w:rsidRPr="00B51E49" w:rsidR="00DB1077">
        <w:t>,</w:t>
      </w:r>
      <w:r w:rsidRPr="00B51E49" w:rsidR="00C06049">
        <w:t xml:space="preserve"> </w:t>
      </w:r>
      <w:r w:rsidR="00FF2C7D">
        <w:t>dispelling</w:t>
      </w:r>
      <w:r w:rsidRPr="00B51E49" w:rsidR="00FF2C7D">
        <w:t xml:space="preserve"> </w:t>
      </w:r>
      <w:r w:rsidRPr="00B51E49" w:rsidR="00E551D4">
        <w:rPr>
          <w:i/>
        </w:rPr>
        <w:t>Estrada</w:t>
      </w:r>
      <w:r w:rsidRPr="00B51E49" w:rsidR="00E551D4">
        <w:t xml:space="preserve">’s </w:t>
      </w:r>
      <w:r w:rsidR="00FF2C7D">
        <w:t>inference</w:t>
      </w:r>
      <w:r w:rsidRPr="00B51E49" w:rsidR="00FF2C7D">
        <w:t xml:space="preserve"> </w:t>
      </w:r>
      <w:r w:rsidRPr="00B51E49" w:rsidR="00E551D4">
        <w:t>of retroactivity.</w:t>
      </w:r>
      <w:r w:rsidRPr="00B51E49" w:rsidR="00132710">
        <w:t xml:space="preserve">  </w:t>
      </w:r>
      <w:r w:rsidRPr="00B51E49" w:rsidR="00F3263C">
        <w:t>The</w:t>
      </w:r>
      <w:r w:rsidR="003B7602">
        <w:t xml:space="preserve"> People</w:t>
      </w:r>
      <w:r w:rsidRPr="00B51E49" w:rsidR="00F3263C">
        <w:t xml:space="preserve"> acknowledge that </w:t>
      </w:r>
      <w:r w:rsidRPr="00B51E49" w:rsidR="00AA7F20">
        <w:t>“</w:t>
      </w:r>
      <w:r w:rsidRPr="00B51E49" w:rsidR="00F3263C">
        <w:t>the language o</w:t>
      </w:r>
      <w:r w:rsidRPr="00B51E49" w:rsidR="00AA7F20">
        <w:t xml:space="preserve">f section 1001.36 does not necessarily demonstrate an intent to foreclose diversion to all those who </w:t>
      </w:r>
      <w:r w:rsidRPr="00B51E49" w:rsidR="00AA7F20">
        <w:rPr>
          <w:i/>
        </w:rPr>
        <w:t xml:space="preserve">committed </w:t>
      </w:r>
      <w:r w:rsidRPr="00B51E49" w:rsidR="00AA7F20">
        <w:t>a crime prior to the effective date of the Act</w:t>
      </w:r>
      <w:r w:rsidRPr="00B51E49" w:rsidR="008E3899">
        <w:t>,</w:t>
      </w:r>
      <w:r w:rsidRPr="00B51E49" w:rsidR="00AA7F20">
        <w:t>”</w:t>
      </w:r>
      <w:r w:rsidRPr="00B51E49" w:rsidR="008E3899">
        <w:t xml:space="preserve"> but maintain that the </w:t>
      </w:r>
      <w:r w:rsidRPr="00B51E49">
        <w:t xml:space="preserve">phrase “until adjudication” </w:t>
      </w:r>
      <w:r w:rsidRPr="00B51E49" w:rsidR="00BF3C8E">
        <w:t xml:space="preserve">expressly limits retroactive application of the statute to defendants </w:t>
      </w:r>
      <w:r w:rsidRPr="00B51E49" w:rsidR="00273D65">
        <w:t>whose cases ha</w:t>
      </w:r>
      <w:r w:rsidR="002D0EFD">
        <w:t>d</w:t>
      </w:r>
      <w:r w:rsidRPr="00B51E49" w:rsidR="00273D65">
        <w:t xml:space="preserve"> not yet been</w:t>
      </w:r>
      <w:r w:rsidR="002D0EFD">
        <w:t>, in the People’s words,</w:t>
      </w:r>
      <w:r w:rsidRPr="00B51E49" w:rsidR="00273D65">
        <w:t xml:space="preserve"> </w:t>
      </w:r>
      <w:r w:rsidR="002D0EFD">
        <w:t>“</w:t>
      </w:r>
      <w:r w:rsidRPr="00B51E49" w:rsidR="00273D65">
        <w:t>resolved by a trier of fact</w:t>
      </w:r>
      <w:r w:rsidRPr="00B51E49" w:rsidR="00283892">
        <w:t>.</w:t>
      </w:r>
      <w:r w:rsidR="007F2925">
        <w:t>”</w:t>
      </w:r>
      <w:r w:rsidRPr="00B51E49" w:rsidR="00AA7F20">
        <w:t xml:space="preserve">  </w:t>
      </w:r>
      <w:r w:rsidRPr="00B51E49" w:rsidR="00F965E9">
        <w:t xml:space="preserve">  </w:t>
      </w:r>
    </w:p>
    <w:p w:rsidR="00671217" w:rsidP="00B51E49" w14:paraId="5253BBFE" w14:textId="0ECBE819">
      <w:pPr>
        <w:tabs>
          <w:tab w:val="left" w:pos="1440"/>
        </w:tabs>
        <w:ind w:firstLine="720"/>
      </w:pPr>
      <w:r>
        <w:t xml:space="preserve">We are </w:t>
      </w:r>
      <w:r w:rsidR="00467801">
        <w:t xml:space="preserve">not </w:t>
      </w:r>
      <w:r>
        <w:t xml:space="preserve">persuaded.  </w:t>
      </w:r>
      <w:r w:rsidRPr="00B51E49" w:rsidR="003055C3">
        <w:t>Like the Court of Appeal</w:t>
      </w:r>
      <w:r w:rsidRPr="00B51E49" w:rsidR="008A5E1D">
        <w:t xml:space="preserve">, </w:t>
      </w:r>
      <w:r w:rsidR="006F4D2B">
        <w:t>we</w:t>
      </w:r>
      <w:r w:rsidRPr="00B51E49" w:rsidR="006F4D2B">
        <w:t xml:space="preserve"> </w:t>
      </w:r>
      <w:r w:rsidRPr="00B51E49" w:rsidR="008A5E1D">
        <w:t xml:space="preserve">view </w:t>
      </w:r>
      <w:r w:rsidRPr="00B51E49" w:rsidR="00273D65">
        <w:t>the definition of “pretrial diversion”</w:t>
      </w:r>
      <w:r w:rsidRPr="00B51E49" w:rsidR="00855294">
        <w:t xml:space="preserve"> </w:t>
      </w:r>
      <w:r w:rsidRPr="00B51E49" w:rsidR="00B913ED">
        <w:t>a</w:t>
      </w:r>
      <w:r w:rsidRPr="00B51E49" w:rsidR="00855294">
        <w:t xml:space="preserve">s </w:t>
      </w:r>
      <w:r w:rsidR="00772FEB">
        <w:t xml:space="preserve">simply reflecting </w:t>
      </w:r>
      <w:r w:rsidRPr="00B51E49" w:rsidR="003E34C7">
        <w:t xml:space="preserve">the Legislature’s intent regarding how the </w:t>
      </w:r>
      <w:r w:rsidRPr="00B51E49" w:rsidR="002324CF">
        <w:t xml:space="preserve">statute </w:t>
      </w:r>
      <w:r w:rsidR="002324CF">
        <w:t>will</w:t>
      </w:r>
      <w:r w:rsidRPr="00B51E49" w:rsidR="002324CF">
        <w:t xml:space="preserve"> generally operate </w:t>
      </w:r>
      <w:r w:rsidRPr="00D9454C" w:rsidR="002324CF">
        <w:rPr>
          <w:iCs/>
        </w:rPr>
        <w:t>when</w:t>
      </w:r>
      <w:r w:rsidRPr="00D9454C" w:rsidR="002324CF">
        <w:t xml:space="preserve"> </w:t>
      </w:r>
      <w:r w:rsidR="002324CF">
        <w:t>a case comes before the trial court after</w:t>
      </w:r>
      <w:r w:rsidRPr="00B51E49" w:rsidR="002324CF">
        <w:t xml:space="preserve"> section 1001.36</w:t>
      </w:r>
      <w:r w:rsidR="002324CF">
        <w:t>’s enactment</w:t>
      </w:r>
      <w:r w:rsidRPr="00B51E49" w:rsidR="002324CF">
        <w:t xml:space="preserve">.  </w:t>
      </w:r>
      <w:r w:rsidR="002324CF">
        <w:t xml:space="preserve">In the ordinary course of procedure, a trial court determines whether a defendant is eligible for pretrial diversion before judgment is entered, and the defendant cannot be heard to seek such diversion afterward.  Broadly consistent with this common feature of pretrial diversion, the statute before us provides that diversion is available “until adjudication” </w:t>
      </w:r>
      <w:r w:rsidR="00DF0D03">
        <w:t>(§ 1001.36, subd. (c))</w:t>
      </w:r>
      <w:r w:rsidR="00E50904">
        <w:t xml:space="preserve">, </w:t>
      </w:r>
      <w:r w:rsidR="002324CF">
        <w:t>which the People construe as until the charge or charges against a defendant are resolved.</w:t>
      </w:r>
      <w:r>
        <w:rPr>
          <w:rStyle w:val="FootnoteReference"/>
        </w:rPr>
        <w:footnoteReference w:id="5"/>
      </w:r>
      <w:r w:rsidR="002324CF">
        <w:t xml:space="preserve">  But that expectation regarding how the statute normally will apply going forward is quite different from the specific retroactivity question presented here, to which the </w:t>
      </w:r>
      <w:r w:rsidRPr="006E5274" w:rsidR="002324CF">
        <w:rPr>
          <w:i/>
          <w:iCs/>
        </w:rPr>
        <w:t>Estrada</w:t>
      </w:r>
      <w:r w:rsidR="002324CF">
        <w:t xml:space="preserve"> </w:t>
      </w:r>
      <w:r w:rsidR="00A94D81">
        <w:t>inference</w:t>
      </w:r>
      <w:r w:rsidR="006706B0">
        <w:t xml:space="preserve"> </w:t>
      </w:r>
      <w:r w:rsidR="002324CF">
        <w:t>applies</w:t>
      </w:r>
      <w:r w:rsidR="003B6006">
        <w:t>.</w:t>
      </w:r>
      <w:r w:rsidR="00D31BFD">
        <w:t xml:space="preserve"> </w:t>
      </w:r>
    </w:p>
    <w:p w:rsidR="00492497" w:rsidRPr="00B51E49" w:rsidP="00B51E49" w14:paraId="4A49C847" w14:textId="76D07834">
      <w:pPr>
        <w:tabs>
          <w:tab w:val="left" w:pos="1440"/>
        </w:tabs>
        <w:ind w:firstLine="720"/>
      </w:pPr>
      <w:r>
        <w:t>So understood, w</w:t>
      </w:r>
      <w:r w:rsidR="00671217">
        <w:t xml:space="preserve">e conclude that </w:t>
      </w:r>
      <w:r w:rsidR="00C8534F">
        <w:t xml:space="preserve">the “until adjudication” language </w:t>
      </w:r>
      <w:r w:rsidR="000E3516">
        <w:t>included in section 1001.36</w:t>
      </w:r>
      <w:r w:rsidR="00E50904">
        <w:t>, subdivision (c)</w:t>
      </w:r>
      <w:r w:rsidR="000E3516">
        <w:t xml:space="preserve"> </w:t>
      </w:r>
      <w:r w:rsidRPr="00B51E49" w:rsidR="0025736B">
        <w:t xml:space="preserve">is not </w:t>
      </w:r>
      <w:r w:rsidRPr="00B51E49" w:rsidR="002324C7">
        <w:t xml:space="preserve">a </w:t>
      </w:r>
      <w:r w:rsidRPr="00B51E49" w:rsidR="00F63BA6">
        <w:t>clear</w:t>
      </w:r>
      <w:r w:rsidRPr="00B51E49" w:rsidR="002324C7">
        <w:t xml:space="preserve"> </w:t>
      </w:r>
      <w:r w:rsidRPr="00B51E49" w:rsidR="00E2418E">
        <w:t>expression</w:t>
      </w:r>
      <w:r w:rsidRPr="00B51E49" w:rsidR="002324C7">
        <w:t xml:space="preserve"> of the Legislature’s </w:t>
      </w:r>
      <w:r w:rsidRPr="00B51E49" w:rsidR="00072A1B">
        <w:t xml:space="preserve">intent </w:t>
      </w:r>
      <w:r w:rsidRPr="00B51E49" w:rsidR="00F7043A">
        <w:t xml:space="preserve">to make the statute solely </w:t>
      </w:r>
      <w:r w:rsidRPr="00B51E49" w:rsidR="00795BBA">
        <w:t>prospective</w:t>
      </w:r>
      <w:r w:rsidRPr="00B51E49" w:rsidR="00072A1B">
        <w:t>.</w:t>
      </w:r>
      <w:r w:rsidRPr="00B51E49" w:rsidR="002324C7">
        <w:t xml:space="preserve"> </w:t>
      </w:r>
      <w:r w:rsidRPr="00B51E49" w:rsidR="00C90D3C">
        <w:t xml:space="preserve"> (</w:t>
      </w:r>
      <w:r w:rsidRPr="00B51E49" w:rsidR="00C90D3C">
        <w:rPr>
          <w:i/>
        </w:rPr>
        <w:t>Conley</w:t>
      </w:r>
      <w:r w:rsidRPr="00B51E49" w:rsidR="00C90D3C">
        <w:t xml:space="preserve">, </w:t>
      </w:r>
      <w:r w:rsidRPr="00B51E49" w:rsidR="00C90D3C">
        <w:rPr>
          <w:i/>
        </w:rPr>
        <w:t>supra</w:t>
      </w:r>
      <w:r w:rsidRPr="00B51E49" w:rsidR="00C90D3C">
        <w:t>, 63 Cal.4th at pp. 656-657.)</w:t>
      </w:r>
      <w:r>
        <w:rPr>
          <w:rStyle w:val="FootnoteReference"/>
        </w:rPr>
        <w:footnoteReference w:id="6"/>
      </w:r>
      <w:r w:rsidRPr="00B51E49" w:rsidR="00122FAD">
        <w:t xml:space="preserve"> </w:t>
      </w:r>
      <w:r w:rsidRPr="00B51E49" w:rsidR="00C90D3C">
        <w:t xml:space="preserve"> </w:t>
      </w:r>
      <w:r w:rsidR="001C04D8">
        <w:t>Here, it is helpful to contrast this language in the diversion statute with</w:t>
      </w:r>
      <w:r w:rsidRPr="00B51E49" w:rsidR="00B84118">
        <w:t xml:space="preserve"> </w:t>
      </w:r>
      <w:r w:rsidR="005218CD">
        <w:t xml:space="preserve">the language in </w:t>
      </w:r>
      <w:r w:rsidRPr="00B51E49" w:rsidR="00B84118">
        <w:t>Proposition 47</w:t>
      </w:r>
      <w:r w:rsidRPr="00B51E49" w:rsidR="00AD393A">
        <w:t xml:space="preserve"> </w:t>
      </w:r>
      <w:r w:rsidRPr="004E3172" w:rsidR="004E3172">
        <w:t xml:space="preserve">(§ 1170.18, subd. (a), </w:t>
      </w:r>
      <w:r w:rsidR="005218CD">
        <w:t xml:space="preserve">approved by voters, Gen. Elec. (Nov. </w:t>
      </w:r>
      <w:r w:rsidR="004357AA">
        <w:t>4, 2014) and</w:t>
      </w:r>
      <w:r w:rsidRPr="004E3172" w:rsidR="004E3172">
        <w:t xml:space="preserve"> amended by Stats. 2016, ch. 767, § 1, p. 5313) </w:t>
      </w:r>
      <w:r w:rsidR="001C04D8">
        <w:t>and</w:t>
      </w:r>
      <w:r w:rsidRPr="00B51E49" w:rsidR="001C04D8">
        <w:t xml:space="preserve"> </w:t>
      </w:r>
      <w:r w:rsidRPr="00B51E49" w:rsidR="00AD393A">
        <w:t>the Three Strikes Reform Act of 2012</w:t>
      </w:r>
      <w:r w:rsidR="005609EB">
        <w:t xml:space="preserve"> </w:t>
      </w:r>
      <w:r w:rsidRPr="005609EB" w:rsidR="005609EB">
        <w:t>(Prop. 36, as approved by voters, Gen. Elec. (Nov. 6, 2012))</w:t>
      </w:r>
      <w:r w:rsidR="009D1DEA">
        <w:t xml:space="preserve">. </w:t>
      </w:r>
      <w:r w:rsidRPr="00B51E49" w:rsidR="00B84118">
        <w:t xml:space="preserve"> </w:t>
      </w:r>
      <w:r w:rsidR="009D1DEA">
        <w:t>B</w:t>
      </w:r>
      <w:r w:rsidRPr="00B51E49" w:rsidR="000D6E96">
        <w:t xml:space="preserve">oth of </w:t>
      </w:r>
      <w:r w:rsidR="009D1DEA">
        <w:t>these measures</w:t>
      </w:r>
      <w:r w:rsidRPr="00B51E49" w:rsidR="009D1DEA">
        <w:t xml:space="preserve"> </w:t>
      </w:r>
      <w:r w:rsidRPr="00B51E49" w:rsidR="000D6E96">
        <w:t xml:space="preserve">included </w:t>
      </w:r>
      <w:r w:rsidR="009D1DEA">
        <w:t xml:space="preserve">specific </w:t>
      </w:r>
      <w:r w:rsidRPr="00B51E49" w:rsidR="000D6E96">
        <w:t xml:space="preserve">resentencing provisions </w:t>
      </w:r>
      <w:r w:rsidR="009D1DEA">
        <w:t>applicable to</w:t>
      </w:r>
      <w:r w:rsidRPr="00B51E49" w:rsidR="000D6E96">
        <w:t xml:space="preserve"> persons who had</w:t>
      </w:r>
      <w:r w:rsidRPr="00B51E49" w:rsidR="00176B1D">
        <w:t xml:space="preserve"> already been sentenced</w:t>
      </w:r>
      <w:r w:rsidR="00C50675">
        <w:t xml:space="preserve"> (</w:t>
      </w:r>
      <w:r w:rsidR="007A7DF2">
        <w:t>§</w:t>
      </w:r>
      <w:r w:rsidR="009B67C0">
        <w:t>§</w:t>
      </w:r>
      <w:r w:rsidR="007A7DF2">
        <w:t> 1170.18, subd. (a)</w:t>
      </w:r>
      <w:r w:rsidR="009B67C0">
        <w:t>,</w:t>
      </w:r>
      <w:r w:rsidR="007A7DF2">
        <w:t xml:space="preserve"> </w:t>
      </w:r>
      <w:r w:rsidR="00E507DA">
        <w:t>1170.126</w:t>
      </w:r>
      <w:r w:rsidR="009B67C0">
        <w:t>, subd. (b)</w:t>
      </w:r>
      <w:r w:rsidR="00ED719A">
        <w:t>)</w:t>
      </w:r>
      <w:r w:rsidR="009D1DEA">
        <w:t>,</w:t>
      </w:r>
      <w:r w:rsidRPr="00B51E49" w:rsidR="00231006">
        <w:t xml:space="preserve"> </w:t>
      </w:r>
      <w:r w:rsidRPr="00B51E49" w:rsidR="00176B1D">
        <w:t xml:space="preserve">and therefore </w:t>
      </w:r>
      <w:r w:rsidR="009D1DEA">
        <w:t>overcame</w:t>
      </w:r>
      <w:r w:rsidRPr="00B51E49" w:rsidR="009D1DEA">
        <w:t xml:space="preserve"> </w:t>
      </w:r>
      <w:r w:rsidRPr="00B51E49" w:rsidR="00176B1D">
        <w:t>the inference of ameliorative retroactivity</w:t>
      </w:r>
      <w:r w:rsidR="009D1DEA">
        <w:t xml:space="preserve">. </w:t>
      </w:r>
      <w:r w:rsidRPr="00B51E49" w:rsidR="00B84118">
        <w:t xml:space="preserve"> (</w:t>
      </w:r>
      <w:r w:rsidRPr="00B51E49" w:rsidR="00B84118">
        <w:rPr>
          <w:i/>
        </w:rPr>
        <w:t>People v. De</w:t>
      </w:r>
      <w:r w:rsidRPr="00B51E49" w:rsidR="00F36692">
        <w:rPr>
          <w:i/>
        </w:rPr>
        <w:t>H</w:t>
      </w:r>
      <w:r w:rsidRPr="00B51E49" w:rsidR="00B84118">
        <w:rPr>
          <w:i/>
        </w:rPr>
        <w:t>oyos</w:t>
      </w:r>
      <w:r w:rsidRPr="00B51E49" w:rsidR="00B84118">
        <w:t xml:space="preserve"> (2018) 4 Cal.5th</w:t>
      </w:r>
      <w:r w:rsidRPr="00B51E49" w:rsidR="00B84118">
        <w:rPr>
          <w:vertAlign w:val="superscript"/>
        </w:rPr>
        <w:t xml:space="preserve"> </w:t>
      </w:r>
      <w:r w:rsidRPr="00B51E49" w:rsidR="00B84118">
        <w:t>594, 60</w:t>
      </w:r>
      <w:r w:rsidRPr="00B51E49" w:rsidR="008857B7">
        <w:t>3</w:t>
      </w:r>
      <w:r w:rsidRPr="00B51E49" w:rsidR="002C6130">
        <w:t xml:space="preserve">; </w:t>
      </w:r>
      <w:r w:rsidRPr="00B51E49" w:rsidR="00CA1F7D">
        <w:rPr>
          <w:i/>
        </w:rPr>
        <w:t>Conley</w:t>
      </w:r>
      <w:r w:rsidRPr="00B51E49" w:rsidR="00CA1F7D">
        <w:t xml:space="preserve">, at p. </w:t>
      </w:r>
      <w:r w:rsidRPr="00B51E49" w:rsidR="003A37B1">
        <w:t>657</w:t>
      </w:r>
      <w:r w:rsidR="009D1DEA">
        <w:t>.</w:t>
      </w:r>
      <w:r w:rsidRPr="00B51E49" w:rsidR="00B84118">
        <w:t>)</w:t>
      </w:r>
      <w:r w:rsidR="009D1DEA">
        <w:t xml:space="preserve">  Unlike these other measures</w:t>
      </w:r>
      <w:r w:rsidRPr="00B51E49" w:rsidR="00B84118">
        <w:t xml:space="preserve">, </w:t>
      </w:r>
      <w:r w:rsidR="009D1DEA">
        <w:t xml:space="preserve">the “until adjudication” language within </w:t>
      </w:r>
      <w:r w:rsidRPr="00B51E49" w:rsidR="00B84118">
        <w:t xml:space="preserve">section 1001.36 </w:t>
      </w:r>
      <w:r w:rsidRPr="00B51E49" w:rsidR="00880E59">
        <w:t>does not “ ‘clearly signal</w:t>
      </w:r>
      <w:r w:rsidR="009D1DEA">
        <w:t>[]</w:t>
      </w:r>
      <w:r w:rsidRPr="00B51E49" w:rsidR="00880E59">
        <w:t xml:space="preserve">’ ” the Legislature’s intent to </w:t>
      </w:r>
      <w:r w:rsidRPr="00B51E49" w:rsidR="004039A8">
        <w:t xml:space="preserve">rebut </w:t>
      </w:r>
      <w:r w:rsidRPr="00B51E49" w:rsidR="0024722C">
        <w:t xml:space="preserve">the </w:t>
      </w:r>
      <w:r w:rsidRPr="00B51E49" w:rsidR="0024722C">
        <w:rPr>
          <w:i/>
        </w:rPr>
        <w:t>Estrada</w:t>
      </w:r>
      <w:r w:rsidRPr="00B51E49" w:rsidR="0024722C">
        <w:t xml:space="preserve"> inference</w:t>
      </w:r>
      <w:r w:rsidR="009D1DEA">
        <w:t xml:space="preserve">. </w:t>
      </w:r>
      <w:r w:rsidRPr="00B51E49" w:rsidR="0024722C">
        <w:t xml:space="preserve"> </w:t>
      </w:r>
      <w:r w:rsidRPr="00B51E49" w:rsidR="00880E59">
        <w:t>(</w:t>
      </w:r>
      <w:r w:rsidRPr="00B51E49" w:rsidR="00671C1F">
        <w:rPr>
          <w:i/>
        </w:rPr>
        <w:t>Nasalga</w:t>
      </w:r>
      <w:r w:rsidRPr="00B51E49" w:rsidR="00671C1F">
        <w:t xml:space="preserve">, </w:t>
      </w:r>
      <w:r w:rsidRPr="00B51E49" w:rsidR="00671C1F">
        <w:rPr>
          <w:i/>
        </w:rPr>
        <w:t>supra</w:t>
      </w:r>
      <w:r w:rsidRPr="00B51E49" w:rsidR="00355842">
        <w:t>,</w:t>
      </w:r>
      <w:r w:rsidRPr="00B51E49" w:rsidR="00880E59">
        <w:t xml:space="preserve"> </w:t>
      </w:r>
      <w:r w:rsidRPr="00B51E49" w:rsidR="00556673">
        <w:t>12 Cal.4th at p. 793</w:t>
      </w:r>
      <w:r w:rsidR="00E44DDC">
        <w:t>.</w:t>
      </w:r>
      <w:r w:rsidRPr="00B51E49" w:rsidR="00880E59">
        <w:t>)</w:t>
      </w:r>
      <w:r w:rsidRPr="00B51E49" w:rsidR="00C804D1">
        <w:t xml:space="preserve">  </w:t>
      </w:r>
    </w:p>
    <w:p w:rsidR="00C21EAE" w:rsidRPr="00B51E49" w:rsidP="00213B40" w14:paraId="5B392C11" w14:textId="583CAFD7">
      <w:pPr>
        <w:tabs>
          <w:tab w:val="left" w:pos="1440"/>
        </w:tabs>
        <w:ind w:firstLine="720"/>
      </w:pPr>
      <w:r w:rsidRPr="00B51E49">
        <w:t xml:space="preserve">The People </w:t>
      </w:r>
      <w:r w:rsidRPr="00B51E49" w:rsidR="00097062">
        <w:t xml:space="preserve">point to additional language in section 1001.36 </w:t>
      </w:r>
      <w:r w:rsidR="00F70B17">
        <w:t>that also supposedly indicates</w:t>
      </w:r>
      <w:r w:rsidRPr="00B51E49" w:rsidR="00097062">
        <w:t xml:space="preserve"> a legislative intent </w:t>
      </w:r>
      <w:r w:rsidRPr="00B51E49" w:rsidR="006247C0">
        <w:t>to apply the diversion statute prospectively</w:t>
      </w:r>
      <w:r w:rsidRPr="00B51E49" w:rsidR="003A6513">
        <w:t xml:space="preserve"> only</w:t>
      </w:r>
      <w:r w:rsidRPr="00B51E49" w:rsidR="00805F8F">
        <w:t xml:space="preserve">.  They assert that </w:t>
      </w:r>
      <w:r w:rsidRPr="00B51E49" w:rsidR="00612825">
        <w:t>the statu</w:t>
      </w:r>
      <w:r w:rsidRPr="00B51E49" w:rsidR="009A3CB1">
        <w:t>tory provision permitting a trial court</w:t>
      </w:r>
      <w:r w:rsidRPr="00B51E49" w:rsidR="00917243">
        <w:t xml:space="preserve"> to “</w:t>
      </w:r>
      <w:r w:rsidRPr="00B51E49" w:rsidR="00F72C71">
        <w:t xml:space="preserve">grant </w:t>
      </w:r>
      <w:r w:rsidRPr="00B51E49" w:rsidR="00F72C71">
        <w:rPr>
          <w:i/>
        </w:rPr>
        <w:t>pretrial</w:t>
      </w:r>
      <w:r w:rsidRPr="00B51E49" w:rsidR="00F72C71">
        <w:t xml:space="preserve"> diversion</w:t>
      </w:r>
      <w:r w:rsidRPr="00B51E49" w:rsidR="00AD1165">
        <w:t xml:space="preserve"> to a defendant</w:t>
      </w:r>
      <w:r w:rsidRPr="00B51E49" w:rsidR="00F72C71">
        <w:t>”</w:t>
      </w:r>
      <w:r w:rsidRPr="00B51E49" w:rsidR="00254229">
        <w:t xml:space="preserve"> (§ 1001.36, subd. (a)</w:t>
      </w:r>
      <w:r w:rsidRPr="00B51E49" w:rsidR="007C0BC9">
        <w:t>, italics added</w:t>
      </w:r>
      <w:r w:rsidRPr="00B51E49" w:rsidR="00254229">
        <w:t xml:space="preserve">) </w:t>
      </w:r>
      <w:r w:rsidRPr="00B51E49" w:rsidR="00F048A8">
        <w:t xml:space="preserve">means that </w:t>
      </w:r>
      <w:r w:rsidRPr="00B51E49" w:rsidR="006F4FC4">
        <w:t xml:space="preserve">diversion is </w:t>
      </w:r>
      <w:r w:rsidRPr="00B51E49" w:rsidR="00864E28">
        <w:t xml:space="preserve">not </w:t>
      </w:r>
      <w:r w:rsidRPr="00B51E49" w:rsidR="006F4FC4">
        <w:t xml:space="preserve">available </w:t>
      </w:r>
      <w:r w:rsidRPr="00B51E49" w:rsidR="00864E28">
        <w:t>after</w:t>
      </w:r>
      <w:r w:rsidRPr="00B51E49" w:rsidR="006F4FC4">
        <w:t xml:space="preserve"> trial</w:t>
      </w:r>
      <w:r w:rsidRPr="00B51E49" w:rsidR="008D618C">
        <w:t xml:space="preserve">.  They </w:t>
      </w:r>
      <w:r w:rsidRPr="00B51E49" w:rsidR="00864E28">
        <w:t>similarly</w:t>
      </w:r>
      <w:r w:rsidRPr="00B51E49" w:rsidR="008D618C">
        <w:t xml:space="preserve"> maintain that the </w:t>
      </w:r>
      <w:r w:rsidRPr="00B51E49" w:rsidR="00F46D78">
        <w:t xml:space="preserve">threshold </w:t>
      </w:r>
      <w:r w:rsidRPr="00B51E49" w:rsidR="008D618C">
        <w:t>eligibility factor requiring a defendant to waive his or her right to a speedy trial (</w:t>
      </w:r>
      <w:r w:rsidRPr="00B51E49" w:rsidR="008D618C">
        <w:rPr>
          <w:i/>
        </w:rPr>
        <w:t>id.</w:t>
      </w:r>
      <w:r w:rsidRPr="00B51E49" w:rsidR="008D618C">
        <w:t>, subd. (b)(1)(D))</w:t>
      </w:r>
      <w:r w:rsidRPr="00B51E49" w:rsidR="00F46D78">
        <w:t xml:space="preserve"> m</w:t>
      </w:r>
      <w:r w:rsidRPr="00B51E49" w:rsidR="00D53C8B">
        <w:t xml:space="preserve">akes clear that the Legislature did not intend for diversion to be available to defendants </w:t>
      </w:r>
      <w:r w:rsidRPr="00B51E49" w:rsidR="008001B1">
        <w:t>whose trials had concluded.</w:t>
      </w:r>
      <w:r w:rsidRPr="00B51E49" w:rsidR="00060389">
        <w:t xml:space="preserve">  </w:t>
      </w:r>
      <w:r w:rsidRPr="00B51E49" w:rsidR="00661867">
        <w:t xml:space="preserve">Again, </w:t>
      </w:r>
      <w:r w:rsidR="006F4D2B">
        <w:t>we</w:t>
      </w:r>
      <w:r w:rsidR="007F6098">
        <w:t xml:space="preserve"> d</w:t>
      </w:r>
      <w:r w:rsidRPr="00B51E49" w:rsidR="00A8395B">
        <w:t xml:space="preserve">isagree.  </w:t>
      </w:r>
      <w:r w:rsidR="00593420">
        <w:t>As with the “until adjudication” phrasing, t</w:t>
      </w:r>
      <w:r w:rsidRPr="00B51E49" w:rsidR="00060389">
        <w:t xml:space="preserve">his language </w:t>
      </w:r>
      <w:r w:rsidRPr="00B51E49" w:rsidR="008056E7">
        <w:t xml:space="preserve">simply </w:t>
      </w:r>
      <w:r w:rsidRPr="00B51E49" w:rsidR="00770A99">
        <w:t>explains</w:t>
      </w:r>
      <w:r w:rsidRPr="00B51E49" w:rsidR="00060389">
        <w:t xml:space="preserve"> how the </w:t>
      </w:r>
      <w:r w:rsidRPr="00B51E49" w:rsidR="00BD714D">
        <w:t xml:space="preserve">mental health </w:t>
      </w:r>
      <w:r w:rsidRPr="00B51E49" w:rsidR="001E1972">
        <w:t xml:space="preserve">diversion program </w:t>
      </w:r>
      <w:r w:rsidR="00BD03CC">
        <w:t>will ordinarily function</w:t>
      </w:r>
      <w:r w:rsidR="00386EE7">
        <w:t xml:space="preserve">:  </w:t>
      </w:r>
      <w:r w:rsidR="00BD03CC">
        <w:t>I</w:t>
      </w:r>
      <w:r w:rsidR="00ED2443">
        <w:t xml:space="preserve">n the normal course of operations, a trial court would determine </w:t>
      </w:r>
      <w:r w:rsidR="00BD03CC">
        <w:t xml:space="preserve">before trial </w:t>
      </w:r>
      <w:r w:rsidR="00ED2443">
        <w:t>whether a defendant is eligible for pretrial diversion</w:t>
      </w:r>
      <w:r w:rsidRPr="00B51E49" w:rsidR="00060389">
        <w:t>.</w:t>
      </w:r>
      <w:r w:rsidRPr="00B51E49" w:rsidR="00BD714D">
        <w:t xml:space="preserve">  </w:t>
      </w:r>
      <w:r w:rsidR="009033AE">
        <w:t>This phrasing does</w:t>
      </w:r>
      <w:r w:rsidRPr="00B51E49" w:rsidR="00BD714D">
        <w:t xml:space="preserve"> not </w:t>
      </w:r>
      <w:r w:rsidRPr="00B51E49" w:rsidR="00770A99">
        <w:t xml:space="preserve">demonstrate </w:t>
      </w:r>
      <w:r w:rsidRPr="00B51E49" w:rsidR="002D18A1">
        <w:t>a legislative intent</w:t>
      </w:r>
      <w:r w:rsidRPr="00B51E49" w:rsidR="008F4102">
        <w:t xml:space="preserve"> </w:t>
      </w:r>
      <w:r w:rsidRPr="00B51E49" w:rsidR="00E0575E">
        <w:t xml:space="preserve">to </w:t>
      </w:r>
      <w:r w:rsidRPr="00B51E49" w:rsidR="004D0805">
        <w:t xml:space="preserve">“modify, limit, or entirely forbid the retroactive application of </w:t>
      </w:r>
      <w:r w:rsidRPr="00B51E49" w:rsidR="00B071D7">
        <w:t>ameliorative</w:t>
      </w:r>
      <w:r w:rsidRPr="00B51E49" w:rsidR="004D0805">
        <w:t xml:space="preserve"> criminal</w:t>
      </w:r>
      <w:r w:rsidR="00D31B49">
        <w:t>-</w:t>
      </w:r>
      <w:r w:rsidRPr="00B51E49" w:rsidR="004D0805">
        <w:t>law amendments” (</w:t>
      </w:r>
      <w:r w:rsidRPr="00B51E49" w:rsidR="004D0805">
        <w:rPr>
          <w:i/>
        </w:rPr>
        <w:t>Conley</w:t>
      </w:r>
      <w:r w:rsidRPr="00B51E49" w:rsidR="004D0805">
        <w:t xml:space="preserve">, </w:t>
      </w:r>
      <w:r w:rsidRPr="00B51E49" w:rsidR="004D0805">
        <w:rPr>
          <w:i/>
        </w:rPr>
        <w:t>supra</w:t>
      </w:r>
      <w:r w:rsidRPr="00B51E49" w:rsidR="004D0805">
        <w:t>, 63 Cal.4th at p</w:t>
      </w:r>
      <w:r w:rsidRPr="00B51E49" w:rsidR="00B071D7">
        <w:t>. 656)</w:t>
      </w:r>
      <w:r w:rsidRPr="00B51E49" w:rsidR="004D0805">
        <w:rPr>
          <w:i/>
        </w:rPr>
        <w:t xml:space="preserve"> </w:t>
      </w:r>
      <w:r w:rsidRPr="00B51E49" w:rsidR="008F4102">
        <w:t>“with sufficient clarity that a reviewing court can discern and effectuate it” (</w:t>
      </w:r>
      <w:r w:rsidRPr="00B51E49" w:rsidR="008F4102">
        <w:rPr>
          <w:i/>
        </w:rPr>
        <w:t>In re Pedro T.</w:t>
      </w:r>
      <w:r w:rsidRPr="00B51E49" w:rsidR="008F4102">
        <w:t xml:space="preserve"> (1993) 8 Cal.4th 1041, 1049</w:t>
      </w:r>
      <w:r w:rsidRPr="00B51E49" w:rsidR="00364C6E">
        <w:t>)</w:t>
      </w:r>
      <w:r w:rsidR="0023600C">
        <w:t>.</w:t>
      </w:r>
      <w:r w:rsidRPr="00B51E49" w:rsidR="00060389">
        <w:t xml:space="preserve">  </w:t>
      </w:r>
    </w:p>
    <w:p w:rsidR="00173987" w:rsidRPr="00B51E49" w:rsidP="00B51E49" w14:paraId="5D539DB1" w14:textId="6D22763A">
      <w:pPr>
        <w:tabs>
          <w:tab w:val="left" w:pos="720"/>
        </w:tabs>
      </w:pPr>
      <w:r w:rsidRPr="00B51E49">
        <w:tab/>
      </w:r>
      <w:r w:rsidRPr="00B51E49" w:rsidR="00C21EAE">
        <w:t xml:space="preserve">Overall, on the question of retroactivity </w:t>
      </w:r>
      <w:r w:rsidR="006F4D2B">
        <w:t>we</w:t>
      </w:r>
      <w:r w:rsidRPr="00B51E49" w:rsidR="006F4D2B">
        <w:t xml:space="preserve"> </w:t>
      </w:r>
      <w:r w:rsidRPr="00B51E49" w:rsidR="00C21EAE">
        <w:t>regard t</w:t>
      </w:r>
      <w:r w:rsidRPr="00B51E49" w:rsidR="00423840">
        <w:t>he provisions of section 1001.36</w:t>
      </w:r>
      <w:r w:rsidRPr="00B51E49" w:rsidR="00BF2E9C">
        <w:t xml:space="preserve"> </w:t>
      </w:r>
      <w:r w:rsidRPr="00B51E49" w:rsidR="00C21EAE">
        <w:t>as</w:t>
      </w:r>
      <w:r w:rsidRPr="00B51E49" w:rsidR="00BF2E9C">
        <w:t xml:space="preserve"> </w:t>
      </w:r>
      <w:r w:rsidRPr="00B51E49" w:rsidR="00C21EAE">
        <w:t>comparable</w:t>
      </w:r>
      <w:r w:rsidRPr="00B51E49" w:rsidR="00BF2E9C">
        <w:t xml:space="preserve"> to </w:t>
      </w:r>
      <w:r w:rsidRPr="00B51E49" w:rsidR="00423840">
        <w:t>the statutory language</w:t>
      </w:r>
      <w:r w:rsidRPr="00B51E49" w:rsidR="00BF2E9C">
        <w:t xml:space="preserve"> involved in</w:t>
      </w:r>
      <w:r w:rsidRPr="00B51E49" w:rsidR="00C75518">
        <w:t xml:space="preserve"> </w:t>
      </w:r>
      <w:r w:rsidRPr="00B51E49" w:rsidR="00684F12">
        <w:rPr>
          <w:i/>
        </w:rPr>
        <w:t>Lara</w:t>
      </w:r>
      <w:r w:rsidRPr="00B51E49" w:rsidR="007C1335">
        <w:t xml:space="preserve">, </w:t>
      </w:r>
      <w:r w:rsidRPr="00B51E49" w:rsidR="009D70D4">
        <w:t>in which</w:t>
      </w:r>
      <w:r w:rsidRPr="00B51E49" w:rsidR="00BF2E9C">
        <w:t xml:space="preserve"> </w:t>
      </w:r>
      <w:r w:rsidRPr="00B51E49">
        <w:t>we concluded</w:t>
      </w:r>
      <w:r w:rsidRPr="00B51E49" w:rsidR="00A04BD6">
        <w:t xml:space="preserve"> that</w:t>
      </w:r>
      <w:r w:rsidRPr="00B51E49">
        <w:t xml:space="preserve"> the electorate intended </w:t>
      </w:r>
      <w:r w:rsidRPr="00B51E49" w:rsidR="007D0D7D">
        <w:t>Proposition 57</w:t>
      </w:r>
      <w:r w:rsidRPr="00B51E49">
        <w:t xml:space="preserve"> to apply retroactively to all cases not yet final on appeal</w:t>
      </w:r>
      <w:r w:rsidRPr="00B51E49" w:rsidR="007D0D7D">
        <w:t xml:space="preserve">. </w:t>
      </w:r>
      <w:r w:rsidRPr="00B51E49">
        <w:t xml:space="preserve"> (</w:t>
      </w:r>
      <w:r w:rsidRPr="00B51E49">
        <w:rPr>
          <w:i/>
        </w:rPr>
        <w:t>Lara</w:t>
      </w:r>
      <w:r w:rsidRPr="00B51E49">
        <w:t xml:space="preserve">, </w:t>
      </w:r>
      <w:r w:rsidRPr="00B51E49">
        <w:rPr>
          <w:i/>
        </w:rPr>
        <w:t>supra</w:t>
      </w:r>
      <w:r w:rsidRPr="00B51E49">
        <w:t xml:space="preserve">, 4 Cal.5th at p. 304.)  </w:t>
      </w:r>
      <w:r w:rsidRPr="00B51E49" w:rsidR="00BF2E9C">
        <w:t>Like section 1001.36</w:t>
      </w:r>
      <w:r w:rsidRPr="00B51E49" w:rsidR="00E26F66">
        <w:t xml:space="preserve">, Proposition 57 </w:t>
      </w:r>
      <w:r w:rsidRPr="00B51E49" w:rsidR="009D70D4">
        <w:t>contain</w:t>
      </w:r>
      <w:r w:rsidR="00C26F56">
        <w:t>s</w:t>
      </w:r>
      <w:r w:rsidRPr="00B51E49" w:rsidR="009D70D4">
        <w:t xml:space="preserve"> </w:t>
      </w:r>
      <w:r w:rsidRPr="00B51E49" w:rsidR="00214A79">
        <w:t>language regarding</w:t>
      </w:r>
      <w:r w:rsidRPr="00B51E49" w:rsidR="00BF2E9C">
        <w:t xml:space="preserve"> matters of</w:t>
      </w:r>
      <w:r w:rsidRPr="00B51E49" w:rsidR="00214A79">
        <w:t xml:space="preserve"> timing and procedure</w:t>
      </w:r>
      <w:r w:rsidRPr="00B51E49" w:rsidR="00BF2E9C">
        <w:t>, including a requirement that</w:t>
      </w:r>
      <w:r w:rsidRPr="00B51E49" w:rsidR="00214A79">
        <w:t xml:space="preserve"> </w:t>
      </w:r>
      <w:r w:rsidRPr="00B51E49" w:rsidR="005233AC">
        <w:t>the prosecutor file a transfer motion “prior to the attachment of jeopardy</w:t>
      </w:r>
      <w:r w:rsidRPr="00B51E49">
        <w:t>.</w:t>
      </w:r>
      <w:r w:rsidRPr="00B51E49" w:rsidR="005233AC">
        <w:t xml:space="preserve">” </w:t>
      </w:r>
      <w:r w:rsidRPr="00B51E49">
        <w:t xml:space="preserve"> </w:t>
      </w:r>
      <w:r w:rsidRPr="00B51E49" w:rsidR="005233AC">
        <w:t xml:space="preserve">(Welf. &amp; Ins. Code, </w:t>
      </w:r>
      <w:r w:rsidRPr="00B51E49" w:rsidR="006C275B">
        <w:t xml:space="preserve">former </w:t>
      </w:r>
      <w:r w:rsidRPr="00B51E49" w:rsidR="005233AC">
        <w:t>§ 707, subd. (a)</w:t>
      </w:r>
      <w:r w:rsidR="003A10C5">
        <w:t>, added by Prop. 57</w:t>
      </w:r>
      <w:r w:rsidRPr="00B51E49" w:rsidR="006C275B">
        <w:t>.</w:t>
      </w:r>
      <w:r w:rsidRPr="00B51E49" w:rsidR="005233AC">
        <w:t>)</w:t>
      </w:r>
      <w:r w:rsidRPr="00B51E49">
        <w:t xml:space="preserve"> </w:t>
      </w:r>
      <w:r w:rsidRPr="00B51E49" w:rsidR="006C275B">
        <w:t xml:space="preserve"> Notwithstanding these provisions, </w:t>
      </w:r>
      <w:r w:rsidRPr="00B51E49" w:rsidR="00196A4A">
        <w:t>we determined</w:t>
      </w:r>
      <w:r w:rsidRPr="00B51E49">
        <w:t xml:space="preserve"> that “nothing in Proposition 57’s text or ballot materials rebuts th</w:t>
      </w:r>
      <w:r w:rsidRPr="00B51E49" w:rsidR="00196A4A">
        <w:t>[e]</w:t>
      </w:r>
      <w:r w:rsidRPr="00B51E49">
        <w:t xml:space="preserve"> inference”</w:t>
      </w:r>
      <w:r w:rsidRPr="00B51E49" w:rsidR="00196A4A">
        <w:t xml:space="preserve"> of retroactivity.</w:t>
      </w:r>
      <w:r w:rsidRPr="00B51E49">
        <w:t xml:space="preserve"> </w:t>
      </w:r>
      <w:r w:rsidRPr="00B51E49" w:rsidR="00844982">
        <w:t xml:space="preserve"> </w:t>
      </w:r>
      <w:r w:rsidRPr="00B51E49">
        <w:t>(</w:t>
      </w:r>
      <w:r w:rsidRPr="00B51E49" w:rsidR="00062385">
        <w:rPr>
          <w:i/>
        </w:rPr>
        <w:t>Lara</w:t>
      </w:r>
      <w:r w:rsidRPr="00B51E49" w:rsidR="00062385">
        <w:t>,</w:t>
      </w:r>
      <w:r w:rsidRPr="00B51E49">
        <w:t xml:space="preserve"> at pp.</w:t>
      </w:r>
      <w:r w:rsidR="00FF157D">
        <w:t> </w:t>
      </w:r>
      <w:r w:rsidRPr="00B51E49">
        <w:t>303-304</w:t>
      </w:r>
      <w:r w:rsidRPr="00B51E49" w:rsidR="00AF3EA4">
        <w:t>;</w:t>
      </w:r>
      <w:r w:rsidR="00A96E0A">
        <w:t xml:space="preserve"> see</w:t>
      </w:r>
      <w:r w:rsidRPr="00B51E49" w:rsidR="00AF3EA4">
        <w:t xml:space="preserve"> </w:t>
      </w:r>
      <w:r w:rsidRPr="00B51E49" w:rsidR="00AF3EA4">
        <w:rPr>
          <w:i/>
        </w:rPr>
        <w:t xml:space="preserve">id. </w:t>
      </w:r>
      <w:r w:rsidRPr="00B51E49" w:rsidR="00AF3EA4">
        <w:t>at pp.</w:t>
      </w:r>
      <w:r w:rsidR="005B6E6B">
        <w:t xml:space="preserve"> </w:t>
      </w:r>
      <w:r w:rsidRPr="00B51E49">
        <w:t>308-309.)</w:t>
      </w:r>
      <w:r w:rsidRPr="00B51E49" w:rsidR="005B5EE7">
        <w:t xml:space="preserve">  </w:t>
      </w:r>
      <w:r w:rsidR="005B330A">
        <w:t>Here too, w</w:t>
      </w:r>
      <w:r w:rsidR="00F736F4">
        <w:t>e d</w:t>
      </w:r>
      <w:r w:rsidR="005B330A">
        <w:t xml:space="preserve">o not divine </w:t>
      </w:r>
      <w:r w:rsidR="00B46C1C">
        <w:t xml:space="preserve">from section 1001.36’s </w:t>
      </w:r>
      <w:r w:rsidR="00AE7D9B">
        <w:t>“until adjudication” language</w:t>
      </w:r>
      <w:r w:rsidR="00873BBF">
        <w:t>, or the other provisions cited by the People,</w:t>
      </w:r>
      <w:r w:rsidR="00B46C1C">
        <w:t xml:space="preserve"> </w:t>
      </w:r>
      <w:r w:rsidR="005B330A">
        <w:t xml:space="preserve">a clear indication of legislative intent </w:t>
      </w:r>
      <w:r w:rsidR="006165D3">
        <w:t xml:space="preserve">to apply </w:t>
      </w:r>
      <w:r w:rsidR="00B46C1C">
        <w:t>the statute prospectively only</w:t>
      </w:r>
      <w:r w:rsidR="00776A72">
        <w:t>.</w:t>
      </w:r>
      <w:r w:rsidR="005B330A">
        <w:t xml:space="preserve"> </w:t>
      </w:r>
      <w:r w:rsidR="00160E8C">
        <w:t xml:space="preserve"> </w:t>
      </w:r>
      <w:r w:rsidR="00873BBF">
        <w:t>Like</w:t>
      </w:r>
      <w:r w:rsidR="00160E8C">
        <w:t xml:space="preserve"> Proposition 57</w:t>
      </w:r>
      <w:r w:rsidR="00873BBF">
        <w:t>,</w:t>
      </w:r>
      <w:r w:rsidR="00160E8C">
        <w:t xml:space="preserve"> </w:t>
      </w:r>
      <w:r w:rsidR="00873BBF">
        <w:t>in providing</w:t>
      </w:r>
      <w:r w:rsidR="00160E8C">
        <w:t xml:space="preserve"> instructions regarding how </w:t>
      </w:r>
      <w:r w:rsidR="00873BBF">
        <w:t>its provisions</w:t>
      </w:r>
      <w:r w:rsidR="009C3CB8">
        <w:t xml:space="preserve"> are meant to operate generally</w:t>
      </w:r>
      <w:r w:rsidR="00873BBF">
        <w:t>,</w:t>
      </w:r>
      <w:r w:rsidR="008C6E3C">
        <w:t xml:space="preserve"> </w:t>
      </w:r>
      <w:r w:rsidR="003C3789">
        <w:t>section 1001.36</w:t>
      </w:r>
      <w:r w:rsidR="008C6E3C">
        <w:t xml:space="preserve"> do</w:t>
      </w:r>
      <w:r w:rsidR="003C3789">
        <w:t>es</w:t>
      </w:r>
      <w:r w:rsidR="008C6E3C">
        <w:t xml:space="preserve"> </w:t>
      </w:r>
      <w:r w:rsidR="00426432">
        <w:t xml:space="preserve">not rebut the </w:t>
      </w:r>
      <w:r w:rsidR="00426432">
        <w:rPr>
          <w:i/>
        </w:rPr>
        <w:t xml:space="preserve">Estrada </w:t>
      </w:r>
      <w:r w:rsidR="00426432">
        <w:t>inference of ameliorative retroactivity.</w:t>
      </w:r>
      <w:r w:rsidRPr="00B51E49">
        <w:t xml:space="preserve">  </w:t>
      </w:r>
    </w:p>
    <w:p w:rsidR="00684F12" w:rsidRPr="00B51E49" w:rsidP="00B51E49" w14:paraId="75826159" w14:textId="1C6E03E2">
      <w:pPr>
        <w:tabs>
          <w:tab w:val="left" w:pos="1440"/>
        </w:tabs>
        <w:ind w:firstLine="720"/>
      </w:pPr>
      <w:r>
        <w:t>Our conclusion finds additional support</w:t>
      </w:r>
      <w:r w:rsidRPr="00B51E49">
        <w:t xml:space="preserve"> in </w:t>
      </w:r>
      <w:r w:rsidRPr="00B51E49">
        <w:rPr>
          <w:i/>
        </w:rPr>
        <w:t>Francis</w:t>
      </w:r>
      <w:r w:rsidRPr="00B51E49" w:rsidR="002E2BD1">
        <w:t xml:space="preserve">.  </w:t>
      </w:r>
      <w:r w:rsidRPr="00B51E49" w:rsidR="003B602F">
        <w:t xml:space="preserve">There, the People maintained </w:t>
      </w:r>
      <w:r w:rsidRPr="00B51E49" w:rsidR="00841876">
        <w:t>that “ ‘the very nature’</w:t>
      </w:r>
      <w:r w:rsidRPr="00B51E49" w:rsidR="00FE0FB0">
        <w:t xml:space="preserve"> of the amendment </w:t>
      </w:r>
      <w:r w:rsidR="00D475BA">
        <w:t>[giving trial courts discretion to impose only local jail time for possession of marijuana]</w:t>
      </w:r>
      <w:r w:rsidRPr="00B51E49" w:rsidR="00D475BA">
        <w:t xml:space="preserve"> </w:t>
      </w:r>
      <w:r w:rsidRPr="00B51E49" w:rsidR="00FE0FB0">
        <w:t>leads to the conclusion that it was only intended to apply to cases where sentencing occurred after the effective date of the amendment</w:t>
      </w:r>
      <w:r w:rsidRPr="00B51E49" w:rsidR="001D1D17">
        <w:t>.</w:t>
      </w:r>
      <w:r w:rsidRPr="00B51E49" w:rsidR="00FE0FB0">
        <w:t>”  (</w:t>
      </w:r>
      <w:r w:rsidRPr="00B51E49" w:rsidR="00FE0FB0">
        <w:rPr>
          <w:i/>
        </w:rPr>
        <w:t>Francis</w:t>
      </w:r>
      <w:r w:rsidRPr="00B51E49" w:rsidR="00FE0FB0">
        <w:t xml:space="preserve">, </w:t>
      </w:r>
      <w:r w:rsidRPr="00B51E49" w:rsidR="00FE0FB0">
        <w:rPr>
          <w:i/>
        </w:rPr>
        <w:t>supra</w:t>
      </w:r>
      <w:r w:rsidRPr="00B51E49" w:rsidR="00FE0FB0">
        <w:t>, 71 Cal.2d at p. 77.)</w:t>
      </w:r>
      <w:r w:rsidRPr="00B51E49" w:rsidR="00563D7E">
        <w:t xml:space="preserve">  </w:t>
      </w:r>
      <w:r w:rsidR="00343752">
        <w:t>In rejecting this argument, w</w:t>
      </w:r>
      <w:r w:rsidRPr="00B51E49" w:rsidR="006C5C4C">
        <w:t xml:space="preserve">e </w:t>
      </w:r>
      <w:r w:rsidRPr="00B51E49" w:rsidR="00B40A17">
        <w:t xml:space="preserve">emphasized </w:t>
      </w:r>
      <w:r w:rsidRPr="00B51E49" w:rsidR="00D65C8F">
        <w:t>that we had previously declined to</w:t>
      </w:r>
      <w:r w:rsidRPr="00B51E49" w:rsidR="003E738D">
        <w:t xml:space="preserve"> </w:t>
      </w:r>
      <w:r w:rsidRPr="00B51E49" w:rsidR="00014E2C">
        <w:t>interpret</w:t>
      </w:r>
      <w:r w:rsidRPr="00B51E49" w:rsidR="008C664E">
        <w:t xml:space="preserve"> statutory amendments vest</w:t>
      </w:r>
      <w:r w:rsidRPr="00B51E49" w:rsidR="00014E2C">
        <w:t>ing</w:t>
      </w:r>
      <w:r w:rsidRPr="00B51E49" w:rsidR="008C664E">
        <w:t xml:space="preserve"> discretion in the trial court </w:t>
      </w:r>
      <w:r w:rsidRPr="00B51E49" w:rsidR="00801604">
        <w:t xml:space="preserve">as </w:t>
      </w:r>
      <w:r w:rsidRPr="00B51E49" w:rsidR="00B40A17">
        <w:t xml:space="preserve">an indication </w:t>
      </w:r>
      <w:r w:rsidRPr="00B51E49" w:rsidR="00801604">
        <w:t xml:space="preserve">that </w:t>
      </w:r>
      <w:r w:rsidRPr="00B51E49" w:rsidR="00B40A17">
        <w:t>they</w:t>
      </w:r>
      <w:r w:rsidRPr="00B51E49" w:rsidR="00801604">
        <w:t xml:space="preserve"> were </w:t>
      </w:r>
      <w:r w:rsidRPr="00B51E49" w:rsidR="005603EE">
        <w:t xml:space="preserve">intended </w:t>
      </w:r>
      <w:r w:rsidRPr="00B51E49" w:rsidR="00801604">
        <w:t xml:space="preserve">to be </w:t>
      </w:r>
      <w:r w:rsidR="009D4B56">
        <w:t xml:space="preserve">limited to </w:t>
      </w:r>
      <w:r w:rsidRPr="00B51E49" w:rsidR="00801604">
        <w:t>prospective</w:t>
      </w:r>
      <w:r w:rsidR="009D4B56">
        <w:t xml:space="preserve"> application</w:t>
      </w:r>
      <w:r w:rsidRPr="00B51E49" w:rsidR="00801604">
        <w:t>.  (</w:t>
      </w:r>
      <w:r w:rsidRPr="00B51E49" w:rsidR="002B7962">
        <w:rPr>
          <w:i/>
        </w:rPr>
        <w:t>Id.</w:t>
      </w:r>
      <w:r w:rsidRPr="00B51E49" w:rsidR="002B7962">
        <w:t xml:space="preserve"> at p. 78, citing </w:t>
      </w:r>
      <w:r w:rsidRPr="00B51E49" w:rsidR="00DA7B8B">
        <w:rPr>
          <w:i/>
        </w:rPr>
        <w:t xml:space="preserve">In re </w:t>
      </w:r>
      <w:r w:rsidRPr="00B51E49" w:rsidR="002B7962">
        <w:rPr>
          <w:i/>
        </w:rPr>
        <w:t xml:space="preserve">Corcoran </w:t>
      </w:r>
      <w:r w:rsidRPr="00B51E49" w:rsidR="00DA7B8B">
        <w:t xml:space="preserve">(1966) 64 Cal.2d 447 </w:t>
      </w:r>
      <w:r w:rsidRPr="00B51E49" w:rsidR="002B7962">
        <w:t xml:space="preserve">and </w:t>
      </w:r>
      <w:r w:rsidRPr="00B51E49" w:rsidR="00DA7B8B">
        <w:rPr>
          <w:i/>
        </w:rPr>
        <w:t xml:space="preserve">In re </w:t>
      </w:r>
      <w:r w:rsidRPr="00B51E49" w:rsidR="002B7962">
        <w:rPr>
          <w:i/>
        </w:rPr>
        <w:t xml:space="preserve">Ring </w:t>
      </w:r>
      <w:r w:rsidRPr="00B51E49" w:rsidR="00DA7B8B">
        <w:t>(1966) 64 Cal.2d 450.</w:t>
      </w:r>
      <w:r w:rsidRPr="00B51E49" w:rsidR="00801604">
        <w:t>)</w:t>
      </w:r>
    </w:p>
    <w:p w:rsidR="00E877B8" w:rsidRPr="00B51E49" w:rsidP="00B51E49" w14:paraId="031AE4E8" w14:textId="54E70820">
      <w:pPr>
        <w:tabs>
          <w:tab w:val="left" w:pos="1440"/>
        </w:tabs>
        <w:ind w:firstLine="720"/>
      </w:pPr>
      <w:r w:rsidRPr="00B51E49">
        <w:t>Moreover, we are mindful that t</w:t>
      </w:r>
      <w:r w:rsidRPr="00B51E49" w:rsidR="008E7746">
        <w:t>he Legislature “is deemed to be aware of existing laws and judicial constructions in effect at the time legislation is enacted.”  (</w:t>
      </w:r>
      <w:r w:rsidRPr="00B51E49" w:rsidR="008E7746">
        <w:rPr>
          <w:i/>
        </w:rPr>
        <w:t>People v. Weidert</w:t>
      </w:r>
      <w:r w:rsidRPr="00B51E49" w:rsidR="008E7746">
        <w:t xml:space="preserve"> (1985) 39</w:t>
      </w:r>
      <w:r w:rsidR="00B51E49">
        <w:t> </w:t>
      </w:r>
      <w:r w:rsidRPr="00B51E49" w:rsidR="008E7746">
        <w:t xml:space="preserve">Cal.3d 836, 844.)  </w:t>
      </w:r>
      <w:r w:rsidR="006040E6">
        <w:t>Four months before</w:t>
      </w:r>
      <w:r w:rsidRPr="00B51E49" w:rsidR="008E7746">
        <w:t xml:space="preserve"> the Legislature enacted section 1001.36, we</w:t>
      </w:r>
      <w:r w:rsidRPr="00B51E49" w:rsidR="006C275B">
        <w:t xml:space="preserve"> </w:t>
      </w:r>
      <w:r w:rsidRPr="00B51E49" w:rsidR="008E7746">
        <w:t xml:space="preserve">decided in </w:t>
      </w:r>
      <w:r w:rsidRPr="00B51E49" w:rsidR="008E7746">
        <w:rPr>
          <w:i/>
        </w:rPr>
        <w:t>Lara</w:t>
      </w:r>
      <w:r w:rsidRPr="00B51E49" w:rsidR="008E7746">
        <w:t xml:space="preserve"> that a statute </w:t>
      </w:r>
      <w:r w:rsidR="00826E8F">
        <w:t>that</w:t>
      </w:r>
      <w:r w:rsidRPr="00B51E49" w:rsidR="00826E8F">
        <w:t xml:space="preserve"> </w:t>
      </w:r>
      <w:r w:rsidRPr="00B51E49" w:rsidR="008E7746">
        <w:t>reduce</w:t>
      </w:r>
      <w:r w:rsidRPr="00B51E49" w:rsidR="00FF1386">
        <w:t>d</w:t>
      </w:r>
      <w:r w:rsidRPr="00B51E49" w:rsidR="008E7746">
        <w:t xml:space="preserve"> the possible punishment for a class of persons applied retroactively.  </w:t>
      </w:r>
      <w:r w:rsidRPr="00B51E49" w:rsidR="001E26A9">
        <w:t>O</w:t>
      </w:r>
      <w:r w:rsidRPr="00B51E49" w:rsidR="008E7746">
        <w:t xml:space="preserve">ur prior decisions </w:t>
      </w:r>
      <w:r w:rsidRPr="00B51E49" w:rsidR="001E26A9">
        <w:t>have</w:t>
      </w:r>
      <w:r w:rsidRPr="00B51E49" w:rsidR="008E7746">
        <w:t xml:space="preserve"> </w:t>
      </w:r>
      <w:r w:rsidRPr="00B51E49" w:rsidR="001E26A9">
        <w:t xml:space="preserve">also </w:t>
      </w:r>
      <w:r w:rsidRPr="00B51E49" w:rsidR="008E7746">
        <w:t xml:space="preserve">made clear that in order to rebut </w:t>
      </w:r>
      <w:r w:rsidRPr="00B51E49" w:rsidR="008E7746">
        <w:rPr>
          <w:i/>
        </w:rPr>
        <w:t>Estrada</w:t>
      </w:r>
      <w:r w:rsidRPr="00B51E49" w:rsidR="008E7746">
        <w:t xml:space="preserve">’s inference of retroactivity </w:t>
      </w:r>
      <w:r w:rsidRPr="00B51E49" w:rsidR="000978E9">
        <w:t>concerning</w:t>
      </w:r>
      <w:r w:rsidRPr="00B51E49" w:rsidR="008E7746">
        <w:t xml:space="preserve"> ameliorative statutes, the Legislature must “demonstrate its intention with sufficient clarity that a reviewing court can discern and effectuate it.</w:t>
      </w:r>
      <w:r w:rsidRPr="00B51E49" w:rsidR="002D1CC1">
        <w:t>”</w:t>
      </w:r>
      <w:r w:rsidRPr="00B51E49" w:rsidR="008E7746">
        <w:t xml:space="preserve">  (</w:t>
      </w:r>
      <w:r w:rsidR="005A0537">
        <w:rPr>
          <w:i/>
        </w:rPr>
        <w:t xml:space="preserve">In re </w:t>
      </w:r>
      <w:r w:rsidRPr="00B51E49" w:rsidR="008E7746">
        <w:rPr>
          <w:i/>
        </w:rPr>
        <w:t>Pedro T.</w:t>
      </w:r>
      <w:r w:rsidRPr="00B51E49" w:rsidR="00B071D7">
        <w:t xml:space="preserve">, </w:t>
      </w:r>
      <w:r w:rsidRPr="00B51E49" w:rsidR="00B071D7">
        <w:rPr>
          <w:i/>
        </w:rPr>
        <w:t>supra</w:t>
      </w:r>
      <w:r w:rsidRPr="00B51E49" w:rsidR="00B071D7">
        <w:t>,</w:t>
      </w:r>
      <w:r w:rsidRPr="00B51E49" w:rsidR="008E7746">
        <w:t xml:space="preserve"> 8 Cal.4th </w:t>
      </w:r>
      <w:r w:rsidRPr="00B51E49" w:rsidR="00B071D7">
        <w:t>at p.</w:t>
      </w:r>
      <w:r w:rsidR="00FF157D">
        <w:t> </w:t>
      </w:r>
      <w:r w:rsidRPr="00B51E49" w:rsidR="008E7746">
        <w:t xml:space="preserve">1049; see also </w:t>
      </w:r>
      <w:r w:rsidRPr="00B51E49" w:rsidR="008E7746">
        <w:rPr>
          <w:i/>
        </w:rPr>
        <w:t>Conley</w:t>
      </w:r>
      <w:r w:rsidRPr="00B51E49" w:rsidR="008E7746">
        <w:t xml:space="preserve">, </w:t>
      </w:r>
      <w:r w:rsidRPr="00B51E49" w:rsidR="008E7746">
        <w:rPr>
          <w:i/>
        </w:rPr>
        <w:t>supra</w:t>
      </w:r>
      <w:r w:rsidRPr="00B51E49" w:rsidR="008E7746">
        <w:t>, 63</w:t>
      </w:r>
      <w:r w:rsidRPr="00B51E49" w:rsidR="004E1C8A">
        <w:t> </w:t>
      </w:r>
      <w:r w:rsidRPr="00B51E49" w:rsidR="008E7746">
        <w:t xml:space="preserve">Cal.4th at pp. 656-657; </w:t>
      </w:r>
      <w:r w:rsidRPr="00B51E49" w:rsidR="008E7746">
        <w:rPr>
          <w:i/>
        </w:rPr>
        <w:t>Nasalga</w:t>
      </w:r>
      <w:r w:rsidRPr="00B51E49" w:rsidR="008E7746">
        <w:t xml:space="preserve">, </w:t>
      </w:r>
      <w:r w:rsidRPr="00B51E49" w:rsidR="008E7746">
        <w:rPr>
          <w:i/>
        </w:rPr>
        <w:t>supra</w:t>
      </w:r>
      <w:r w:rsidRPr="00B51E49" w:rsidR="008E7746">
        <w:t xml:space="preserve">, 12 Cal.4th at p. 793.)  </w:t>
      </w:r>
      <w:r w:rsidRPr="00B51E49" w:rsidR="00DA41AB">
        <w:t xml:space="preserve">Thus, when the Legislature enacted section 1001.36, it was aware that </w:t>
      </w:r>
      <w:r w:rsidRPr="00B51E49" w:rsidR="00E365EB">
        <w:t xml:space="preserve">if it did not want the statute to apply retroactively to nonfinal judgments, it needed to clearly and directly indicate </w:t>
      </w:r>
      <w:r w:rsidRPr="00B51E49" w:rsidR="00B806B4">
        <w:t xml:space="preserve">such intent </w:t>
      </w:r>
      <w:r w:rsidRPr="00B51E49" w:rsidR="0010356E">
        <w:t xml:space="preserve">in order </w:t>
      </w:r>
      <w:r w:rsidRPr="00B51E49" w:rsidR="00B806B4">
        <w:t xml:space="preserve">to </w:t>
      </w:r>
      <w:r w:rsidRPr="00B51E49" w:rsidR="00E074FA">
        <w:t xml:space="preserve">rebut </w:t>
      </w:r>
      <w:r w:rsidRPr="00B51E49" w:rsidR="00E074FA">
        <w:rPr>
          <w:i/>
        </w:rPr>
        <w:t>Estrada</w:t>
      </w:r>
      <w:r w:rsidRPr="00B51E49" w:rsidR="00E074FA">
        <w:t>’s inference of retroactivity</w:t>
      </w:r>
      <w:r w:rsidRPr="00B51E49" w:rsidR="00FF0F6E">
        <w:t xml:space="preserve">.  </w:t>
      </w:r>
      <w:r w:rsidRPr="00B51E49" w:rsidR="0010356E">
        <w:t>T</w:t>
      </w:r>
      <w:r w:rsidRPr="00B51E49" w:rsidR="00821C80">
        <w:t xml:space="preserve">he </w:t>
      </w:r>
      <w:r w:rsidR="000E305D">
        <w:t xml:space="preserve">text relied upon by the People </w:t>
      </w:r>
      <w:r w:rsidR="006471A3">
        <w:t>does not establish</w:t>
      </w:r>
      <w:r w:rsidRPr="00B51E49" w:rsidR="0010356E">
        <w:t xml:space="preserve"> </w:t>
      </w:r>
      <w:r w:rsidR="006471A3">
        <w:t>a</w:t>
      </w:r>
      <w:r w:rsidRPr="00B51E49" w:rsidR="008F6DD2">
        <w:t xml:space="preserve"> contrary </w:t>
      </w:r>
      <w:r w:rsidRPr="00B51E49" w:rsidR="00881885">
        <w:t xml:space="preserve">legislative </w:t>
      </w:r>
      <w:r w:rsidRPr="00B51E49" w:rsidR="008F6DD2">
        <w:t>intent.</w:t>
      </w:r>
    </w:p>
    <w:p w:rsidR="00B4595F" w:rsidRPr="00B51E49" w:rsidP="00B51E49" w14:paraId="7A2DFF0D" w14:textId="44510DBD">
      <w:pPr>
        <w:tabs>
          <w:tab w:val="left" w:pos="1440"/>
        </w:tabs>
        <w:ind w:firstLine="720"/>
      </w:pPr>
      <w:r w:rsidRPr="00B51E49">
        <w:t xml:space="preserve">Nor do </w:t>
      </w:r>
      <w:r w:rsidR="006F4D2B">
        <w:t>we</w:t>
      </w:r>
      <w:r w:rsidRPr="00B51E49" w:rsidR="006F4D2B">
        <w:t xml:space="preserve"> </w:t>
      </w:r>
      <w:r w:rsidRPr="00B51E49">
        <w:t>perceive in the legislative history a clear indication that the Legislature did not intend for the statute to apply retroactively</w:t>
      </w:r>
      <w:r w:rsidRPr="00B51E49" w:rsidR="00C25BAD">
        <w:t>.</w:t>
      </w:r>
      <w:r w:rsidRPr="00B51E49" w:rsidR="002B73E6">
        <w:t xml:space="preserve">  </w:t>
      </w:r>
      <w:r w:rsidRPr="00B51E49" w:rsidR="00D13F8A">
        <w:t xml:space="preserve">Citing </w:t>
      </w:r>
      <w:r w:rsidRPr="00B51E49" w:rsidR="00317154">
        <w:t>an Assembly</w:t>
      </w:r>
      <w:r w:rsidRPr="00B51E49" w:rsidR="00D13F8A">
        <w:t xml:space="preserve"> report, the </w:t>
      </w:r>
      <w:r w:rsidRPr="00B51E49" w:rsidR="00E10FC9">
        <w:t>People</w:t>
      </w:r>
      <w:r w:rsidRPr="00B51E49" w:rsidR="00D13F8A">
        <w:t xml:space="preserve"> suggest that the Legislature was motivated by potential cost savings in enacting section 1001.36, a motivation</w:t>
      </w:r>
      <w:r w:rsidRPr="00B51E49" w:rsidR="0007649C">
        <w:t xml:space="preserve"> assertedly</w:t>
      </w:r>
      <w:r w:rsidRPr="00B51E49" w:rsidR="00D13F8A">
        <w:t xml:space="preserve"> inconsistent with retroactive application.  </w:t>
      </w:r>
      <w:r w:rsidRPr="00B51E49" w:rsidR="00E12B4F">
        <w:t>(</w:t>
      </w:r>
      <w:r w:rsidR="009F6C03">
        <w:t xml:space="preserve">Assem. Conc. Sen. Amends. to </w:t>
      </w:r>
      <w:r w:rsidRPr="00B51E49" w:rsidR="00E12B4F">
        <w:t>Assem. Bill No. 1810 (2017-2018 Reg. Sess.) as amended June 12, 2018, pp. 7-8.)</w:t>
      </w:r>
      <w:r w:rsidRPr="00B51E49" w:rsidR="00D13F8A">
        <w:t xml:space="preserve">  </w:t>
      </w:r>
      <w:r w:rsidR="00AE7E43">
        <w:t>Yet</w:t>
      </w:r>
      <w:r w:rsidRPr="00B51E49" w:rsidR="006F0221">
        <w:t xml:space="preserve"> even if one accepts </w:t>
      </w:r>
      <w:r w:rsidR="00F94B37">
        <w:t xml:space="preserve">for sake of argument </w:t>
      </w:r>
      <w:r w:rsidRPr="00B51E49" w:rsidR="006F0221">
        <w:t>the premise that retroactive application of the statute would not be cost effective</w:t>
      </w:r>
      <w:r w:rsidR="00873963">
        <w:t xml:space="preserve"> (but see the discussion </w:t>
      </w:r>
      <w:r w:rsidRPr="002B715F" w:rsidR="00873963">
        <w:rPr>
          <w:i/>
          <w:iCs/>
        </w:rPr>
        <w:t>post</w:t>
      </w:r>
      <w:r w:rsidR="00873963">
        <w:t>)</w:t>
      </w:r>
      <w:r w:rsidRPr="00B51E49" w:rsidR="006F0221">
        <w:t xml:space="preserve">, </w:t>
      </w:r>
      <w:r w:rsidR="00421818">
        <w:t xml:space="preserve">the People offer no reason to think the Legislature sought to cut costs at the expense of accomplishing the statute’s other aims.  The report’s reference to cost savings tells us little, if anything, about whether the Legislature intended the statute to apply retroactively. </w:t>
      </w:r>
      <w:r w:rsidRPr="00B51E49" w:rsidR="00EF2452">
        <w:t xml:space="preserve"> </w:t>
      </w:r>
      <w:r w:rsidR="00421818">
        <w:t>Therefore</w:t>
      </w:r>
      <w:r w:rsidRPr="00B51E49" w:rsidR="00BD0C23">
        <w:t xml:space="preserve">, </w:t>
      </w:r>
      <w:r w:rsidR="002806E9">
        <w:t>we</w:t>
      </w:r>
      <w:r w:rsidRPr="00B51E49" w:rsidR="002806E9">
        <w:t xml:space="preserve"> </w:t>
      </w:r>
      <w:r w:rsidRPr="00B51E49" w:rsidR="00BD0C23">
        <w:t xml:space="preserve">do not </w:t>
      </w:r>
      <w:r w:rsidRPr="00B51E49" w:rsidR="005B10FA">
        <w:t>regard</w:t>
      </w:r>
      <w:r w:rsidRPr="00B51E49" w:rsidR="00BD0C23">
        <w:t xml:space="preserve"> the mention of cost savings in a legislative report </w:t>
      </w:r>
      <w:r w:rsidRPr="00B51E49" w:rsidR="005B10FA">
        <w:t>as a clear indication of contrary legislative intent</w:t>
      </w:r>
      <w:r w:rsidRPr="00B51E49" w:rsidR="004F2D63">
        <w:t>.</w:t>
      </w:r>
    </w:p>
    <w:p w:rsidR="006F3532" w:rsidRPr="00B51E49" w:rsidP="00B51E49" w14:paraId="521D5659" w14:textId="48E93C3D">
      <w:pPr>
        <w:tabs>
          <w:tab w:val="left" w:pos="1440"/>
        </w:tabs>
        <w:ind w:firstLine="720"/>
      </w:pPr>
      <w:r>
        <w:t>And i</w:t>
      </w:r>
      <w:r w:rsidR="005034EE">
        <w:t>n any event</w:t>
      </w:r>
      <w:r w:rsidRPr="00B51E49" w:rsidR="00C71D43">
        <w:t xml:space="preserve">, </w:t>
      </w:r>
      <w:r w:rsidRPr="00B51E49" w:rsidR="00FA24EE">
        <w:t xml:space="preserve">it is not clear that a cost savings </w:t>
      </w:r>
      <w:r w:rsidRPr="00B51E49" w:rsidR="0017323F">
        <w:t>motivation would be inconsistent with retroactive application of the mental health diversion statute.</w:t>
      </w:r>
      <w:r w:rsidRPr="00B51E49" w:rsidR="003803C2">
        <w:t xml:space="preserve"> </w:t>
      </w:r>
      <w:r w:rsidRPr="00B51E49" w:rsidR="008F05C6">
        <w:t xml:space="preserve"> </w:t>
      </w:r>
      <w:r w:rsidRPr="00B51E49" w:rsidR="00566902">
        <w:t xml:space="preserve">According to an analysis of </w:t>
      </w:r>
      <w:r w:rsidRPr="00B51E49" w:rsidR="00BD43ED">
        <w:t>Senate Bill 215, which amended section 1001.36</w:t>
      </w:r>
      <w:r w:rsidRPr="00B51E49" w:rsidR="008B6997">
        <w:t xml:space="preserve"> </w:t>
      </w:r>
      <w:r w:rsidRPr="00B51E49" w:rsidR="0017323F">
        <w:t xml:space="preserve">just a few months after </w:t>
      </w:r>
      <w:r w:rsidRPr="00B51E49" w:rsidR="003803C2">
        <w:t>it was enacted</w:t>
      </w:r>
      <w:r w:rsidRPr="00B51E49" w:rsidR="009B50DD">
        <w:t xml:space="preserve">, community-based treatment for </w:t>
      </w:r>
      <w:r w:rsidRPr="00B51E49" w:rsidR="008A4257">
        <w:t xml:space="preserve">a </w:t>
      </w:r>
      <w:r w:rsidRPr="00B51E49" w:rsidR="009B50DD">
        <w:t xml:space="preserve">mentally ill </w:t>
      </w:r>
      <w:r w:rsidRPr="00B51E49" w:rsidR="006F434C">
        <w:t>individual</w:t>
      </w:r>
      <w:r w:rsidRPr="00B51E49" w:rsidR="009B50DD">
        <w:t xml:space="preserve"> costs much </w:t>
      </w:r>
      <w:r w:rsidRPr="00B51E49" w:rsidR="009B50DD">
        <w:rPr>
          <w:i/>
        </w:rPr>
        <w:t>less</w:t>
      </w:r>
      <w:r w:rsidRPr="00B51E49" w:rsidR="009B50DD">
        <w:t xml:space="preserve"> than jailing the same </w:t>
      </w:r>
      <w:r w:rsidRPr="00B51E49" w:rsidR="006F434C">
        <w:t>individual</w:t>
      </w:r>
      <w:r w:rsidRPr="00B51E49" w:rsidR="009B50DD">
        <w:t>, and gre</w:t>
      </w:r>
      <w:r w:rsidRPr="00B51E49" w:rsidR="00A7084F">
        <w:t>atly reduces recidivism.</w:t>
      </w:r>
      <w:r w:rsidRPr="00B51E49" w:rsidR="008A4257">
        <w:t xml:space="preserve">  (Sen</w:t>
      </w:r>
      <w:r w:rsidRPr="00B51E49" w:rsidR="002E6185">
        <w:t>.</w:t>
      </w:r>
      <w:r w:rsidRPr="00B51E49" w:rsidR="008A4257">
        <w:t xml:space="preserve"> Rules Com., </w:t>
      </w:r>
      <w:r w:rsidR="00D44E62">
        <w:t xml:space="preserve">Off. Of Sen. Floor Analysis, Unfinished Business </w:t>
      </w:r>
      <w:r w:rsidRPr="00B51E49" w:rsidR="002E6185">
        <w:t>A</w:t>
      </w:r>
      <w:r w:rsidRPr="00B51E49" w:rsidR="008A4257">
        <w:t>nalysis of S</w:t>
      </w:r>
      <w:r w:rsidRPr="00B51E49" w:rsidR="00FE51C1">
        <w:t>en</w:t>
      </w:r>
      <w:r w:rsidR="00D44E62">
        <w:t>.</w:t>
      </w:r>
      <w:r w:rsidRPr="00B51E49" w:rsidR="00FE51C1">
        <w:t xml:space="preserve"> Bill </w:t>
      </w:r>
      <w:r w:rsidRPr="00B51E49" w:rsidR="008A4257">
        <w:t>215</w:t>
      </w:r>
      <w:r w:rsidRPr="00B51E49" w:rsidR="002E6185">
        <w:t xml:space="preserve"> </w:t>
      </w:r>
      <w:r w:rsidRPr="00B51E49" w:rsidR="00E65951">
        <w:t>(201</w:t>
      </w:r>
      <w:r w:rsidR="00D44E62">
        <w:t>7</w:t>
      </w:r>
      <w:r w:rsidRPr="00B51E49" w:rsidR="00E65951">
        <w:t>-201</w:t>
      </w:r>
      <w:r w:rsidR="00D44E62">
        <w:t>8</w:t>
      </w:r>
      <w:r w:rsidRPr="00B51E49" w:rsidR="00E65951">
        <w:t xml:space="preserve"> Reg. Sess.)</w:t>
      </w:r>
      <w:r w:rsidRPr="00B51E49" w:rsidR="008A4257">
        <w:t xml:space="preserve"> as amended Aug. 23, 2018</w:t>
      </w:r>
      <w:r w:rsidRPr="00B51E49" w:rsidR="00E65951">
        <w:t xml:space="preserve">, p. </w:t>
      </w:r>
      <w:r w:rsidRPr="00B51E49" w:rsidR="00987680">
        <w:t>2</w:t>
      </w:r>
      <w:r w:rsidRPr="00B51E49" w:rsidR="007D4361">
        <w:t xml:space="preserve"> [community-based treatment for a mentally ill defendant costs roughly $20,000 per year; jailing </w:t>
      </w:r>
      <w:r>
        <w:t xml:space="preserve">the </w:t>
      </w:r>
      <w:r w:rsidRPr="00B51E49" w:rsidR="007D4361">
        <w:t>same defendant costs more than $75,000]</w:t>
      </w:r>
      <w:r w:rsidRPr="00B51E49" w:rsidR="008A4257">
        <w:t>.)</w:t>
      </w:r>
      <w:r w:rsidRPr="00B51E49" w:rsidR="00AF434F">
        <w:t xml:space="preserve">  </w:t>
      </w:r>
      <w:r w:rsidRPr="00B51E49" w:rsidR="00437EC3">
        <w:t xml:space="preserve">Thus, for </w:t>
      </w:r>
      <w:r w:rsidRPr="00B51E49" w:rsidR="00AF434F">
        <w:t>a</w:t>
      </w:r>
      <w:r w:rsidRPr="00B51E49" w:rsidR="00437EC3">
        <w:t xml:space="preserve">n </w:t>
      </w:r>
      <w:r w:rsidRPr="00B51E49" w:rsidR="00AF434F">
        <w:t xml:space="preserve">individual like </w:t>
      </w:r>
      <w:r w:rsidRPr="00B51E49" w:rsidR="006A7A74">
        <w:t>defendant</w:t>
      </w:r>
      <w:r w:rsidRPr="00B51E49" w:rsidR="00AF434F">
        <w:t xml:space="preserve">, who is </w:t>
      </w:r>
      <w:r w:rsidRPr="00B51E49" w:rsidR="001F2050">
        <w:t xml:space="preserve">currently </w:t>
      </w:r>
      <w:r w:rsidRPr="00B51E49" w:rsidR="00AF434F">
        <w:t xml:space="preserve">serving a nine-year prison sentence, </w:t>
      </w:r>
      <w:r w:rsidRPr="00B51E49" w:rsidR="005940AA">
        <w:t>participat</w:t>
      </w:r>
      <w:r w:rsidRPr="00B51E49" w:rsidR="00446D68">
        <w:t>i</w:t>
      </w:r>
      <w:r w:rsidRPr="00B51E49" w:rsidR="00A077D3">
        <w:t>on</w:t>
      </w:r>
      <w:r w:rsidRPr="00B51E49" w:rsidR="005940AA">
        <w:t xml:space="preserve"> in </w:t>
      </w:r>
      <w:r w:rsidRPr="00B51E49" w:rsidR="00C31D42">
        <w:t xml:space="preserve">a </w:t>
      </w:r>
      <w:r w:rsidRPr="00B51E49" w:rsidR="005940AA">
        <w:t xml:space="preserve">mental health </w:t>
      </w:r>
      <w:r w:rsidRPr="00B51E49" w:rsidR="00C31D42">
        <w:t xml:space="preserve">diversion </w:t>
      </w:r>
      <w:r w:rsidRPr="00B51E49" w:rsidR="005940AA">
        <w:t>program</w:t>
      </w:r>
      <w:r w:rsidRPr="00B51E49" w:rsidR="00A077D3">
        <w:t xml:space="preserve"> </w:t>
      </w:r>
      <w:r w:rsidRPr="00B51E49" w:rsidR="002A696D">
        <w:t xml:space="preserve">rather than </w:t>
      </w:r>
      <w:r w:rsidRPr="00B51E49" w:rsidR="002956F5">
        <w:t>serving the remainder of his sentence</w:t>
      </w:r>
      <w:r w:rsidRPr="00B51E49" w:rsidR="002A696D">
        <w:t xml:space="preserve"> </w:t>
      </w:r>
      <w:r w:rsidRPr="00B51E49" w:rsidR="002956F5">
        <w:t>c</w:t>
      </w:r>
      <w:r w:rsidRPr="00B51E49" w:rsidR="00A0548F">
        <w:t>ould potentially</w:t>
      </w:r>
      <w:r w:rsidRPr="00B51E49" w:rsidR="0019634E">
        <w:t xml:space="preserve"> </w:t>
      </w:r>
      <w:r w:rsidRPr="00B51E49" w:rsidR="00363052">
        <w:t>result in</w:t>
      </w:r>
      <w:r w:rsidRPr="00B51E49" w:rsidR="00A077D3">
        <w:t xml:space="preserve"> </w:t>
      </w:r>
      <w:r w:rsidRPr="00B51E49" w:rsidR="00363052">
        <w:t>substantial cost savings</w:t>
      </w:r>
      <w:r w:rsidRPr="00B51E49" w:rsidR="00BA0ED3">
        <w:t xml:space="preserve"> to the state</w:t>
      </w:r>
      <w:r w:rsidRPr="00B51E49" w:rsidR="0019634E">
        <w:t xml:space="preserve">.  </w:t>
      </w:r>
      <w:r w:rsidRPr="00B51E49" w:rsidR="0048550D">
        <w:t xml:space="preserve">  </w:t>
      </w:r>
    </w:p>
    <w:p w:rsidR="008A1138" w:rsidRPr="00B51E49" w:rsidP="00B51E49" w14:paraId="35CB5094" w14:textId="625605FB">
      <w:pPr>
        <w:tabs>
          <w:tab w:val="left" w:pos="1440"/>
        </w:tabs>
        <w:ind w:firstLine="720"/>
      </w:pPr>
      <w:r w:rsidRPr="00B51E49">
        <w:t xml:space="preserve">The </w:t>
      </w:r>
      <w:r w:rsidRPr="00B51E49" w:rsidR="00E10FC9">
        <w:t>People</w:t>
      </w:r>
      <w:r w:rsidRPr="00B51E49">
        <w:t xml:space="preserve"> </w:t>
      </w:r>
      <w:r w:rsidRPr="00B51E49" w:rsidR="001315A2">
        <w:t xml:space="preserve">also contend </w:t>
      </w:r>
      <w:r w:rsidRPr="00B51E49" w:rsidR="000955BB">
        <w:t>that</w:t>
      </w:r>
      <w:r w:rsidRPr="00B51E49" w:rsidR="001315A2">
        <w:t xml:space="preserve"> the timing of </w:t>
      </w:r>
      <w:r w:rsidRPr="00B51E49" w:rsidR="00C27E52">
        <w:t>Senate Bill 215’s</w:t>
      </w:r>
      <w:r w:rsidRPr="00B51E49" w:rsidR="007F024A">
        <w:t xml:space="preserve"> </w:t>
      </w:r>
      <w:r w:rsidRPr="00B51E49" w:rsidR="007B7F91">
        <w:t>amend</w:t>
      </w:r>
      <w:r w:rsidRPr="00B51E49">
        <w:t>ments</w:t>
      </w:r>
      <w:r w:rsidRPr="00B51E49" w:rsidR="003A0DC9">
        <w:t xml:space="preserve"> </w:t>
      </w:r>
      <w:r w:rsidRPr="00B51E49" w:rsidR="000955BB">
        <w:t xml:space="preserve">to </w:t>
      </w:r>
      <w:r w:rsidRPr="00B51E49" w:rsidR="003A0DC9">
        <w:t xml:space="preserve">section 1001.36 </w:t>
      </w:r>
      <w:r w:rsidRPr="00B51E49" w:rsidR="00C27E52">
        <w:t>support</w:t>
      </w:r>
      <w:r w:rsidRPr="00B51E49" w:rsidR="006F0221">
        <w:t>s</w:t>
      </w:r>
      <w:r w:rsidRPr="00B51E49" w:rsidR="00C27E52">
        <w:t xml:space="preserve"> their</w:t>
      </w:r>
      <w:r w:rsidRPr="00B51E49" w:rsidR="00EF3F1E">
        <w:t xml:space="preserve"> position</w:t>
      </w:r>
      <w:r w:rsidRPr="00B51E49" w:rsidR="00EF0325">
        <w:t>.</w:t>
      </w:r>
      <w:r w:rsidRPr="00B51E49" w:rsidR="0085639D">
        <w:t xml:space="preserve">  </w:t>
      </w:r>
      <w:r w:rsidRPr="00B51E49" w:rsidR="00ED67A4">
        <w:t>“</w:t>
      </w:r>
      <w:r w:rsidRPr="00B51E49" w:rsidR="001315A2">
        <w:t>Had the Legislature believed that the original enactment was retroactive for all cases not yet final on appeal,” the People argue, “presumably it would have taken urgent action in order to avoid allowing convicted murders and rapists with non-final judgments to avoid conviction in the interim</w:t>
      </w:r>
      <w:r w:rsidRPr="00B51E49" w:rsidR="0085639D">
        <w:t>.</w:t>
      </w:r>
      <w:r w:rsidRPr="00B51E49" w:rsidR="001315A2">
        <w:t xml:space="preserve">”  Instead, the People observe, the </w:t>
      </w:r>
      <w:r w:rsidRPr="00B51E49">
        <w:t>amendments to section 1001.36 that were implemented through Senate Bill 215 were approved by the Legislature in September 2018 and became effective only in January 2019.</w:t>
      </w:r>
      <w:r w:rsidRPr="00B51E49" w:rsidR="0085639D">
        <w:t xml:space="preserve"> </w:t>
      </w:r>
    </w:p>
    <w:p w:rsidR="007F024A" w:rsidRPr="00B51E49" w:rsidP="00B51E49" w14:paraId="6A9FF0E2" w14:textId="7B173BB4">
      <w:pPr>
        <w:tabs>
          <w:tab w:val="left" w:pos="1440"/>
        </w:tabs>
        <w:ind w:firstLine="720"/>
      </w:pPr>
      <w:r w:rsidRPr="00B51E49">
        <w:t xml:space="preserve">This is not a persuasive argument.  </w:t>
      </w:r>
      <w:r w:rsidR="006D0EDB">
        <w:t>T</w:t>
      </w:r>
      <w:r w:rsidRPr="00B51E49" w:rsidR="00050519">
        <w:t xml:space="preserve">he Legislature’s decision not to enact subsequent amendments with urgency </w:t>
      </w:r>
      <w:r w:rsidRPr="00B51E49" w:rsidR="00A50E5F">
        <w:t>does not clearly indicate</w:t>
      </w:r>
      <w:r w:rsidRPr="00B51E49" w:rsidR="00CD2666">
        <w:t xml:space="preserve"> </w:t>
      </w:r>
      <w:r w:rsidRPr="00B51E49" w:rsidR="00A50E5F">
        <w:t>an</w:t>
      </w:r>
      <w:r w:rsidRPr="00B51E49" w:rsidR="00606CEC">
        <w:t xml:space="preserve"> intent</w:t>
      </w:r>
      <w:r w:rsidRPr="00B51E49" w:rsidR="00280646">
        <w:t xml:space="preserve"> </w:t>
      </w:r>
      <w:r w:rsidRPr="00B51E49" w:rsidR="00606CEC">
        <w:t xml:space="preserve">to rebut the </w:t>
      </w:r>
      <w:r w:rsidRPr="00B51E49" w:rsidR="00606CEC">
        <w:rPr>
          <w:i/>
        </w:rPr>
        <w:t xml:space="preserve">Estrada </w:t>
      </w:r>
      <w:r w:rsidRPr="00B51E49" w:rsidR="00606CEC">
        <w:t>inference of retroactivity</w:t>
      </w:r>
      <w:r w:rsidRPr="00B51E49" w:rsidR="00F955A2">
        <w:t>, particularly in light of the statute’s express purpose to increase diversion.  (§ 1001.35, subd. (a).)</w:t>
      </w:r>
      <w:r w:rsidRPr="00B51E49" w:rsidR="00013DE5">
        <w:t xml:space="preserve"> </w:t>
      </w:r>
      <w:r w:rsidRPr="00B51E49" w:rsidR="006633D6">
        <w:t xml:space="preserve"> </w:t>
      </w:r>
      <w:r w:rsidR="005D1538">
        <w:t>Moreover,</w:t>
      </w:r>
      <w:r w:rsidR="009D72AB">
        <w:t xml:space="preserve"> under the statutory scheme as originally enacted through Assembly Bill 1810, the diversion authorized by section 1001.36 hinged on the satisfaction of criteria</w:t>
      </w:r>
      <w:r w:rsidR="00CE540A">
        <w:t>,</w:t>
      </w:r>
      <w:r w:rsidR="009D72AB">
        <w:t xml:space="preserve"> including a finding by the court “that the defendant will not pose an unreasonable risk of danger to public safety.”  (F</w:t>
      </w:r>
      <w:r w:rsidRPr="00BA0A56" w:rsidR="009D72AB">
        <w:t xml:space="preserve">ormer </w:t>
      </w:r>
      <w:r w:rsidR="009D72AB">
        <w:t>§ </w:t>
      </w:r>
      <w:r w:rsidRPr="00BA0A56" w:rsidR="009D72AB">
        <w:t>1001.36,</w:t>
      </w:r>
      <w:r w:rsidR="009D72AB">
        <w:rPr>
          <w:i/>
        </w:rPr>
        <w:t xml:space="preserve"> </w:t>
      </w:r>
      <w:r w:rsidR="009D72AB">
        <w:t xml:space="preserve">subd. (b)(6).)  In adopting Senate Bill 215, the Legislature could have regarded the preexisting criteria as adequate to protect public safety, at least until the new law </w:t>
      </w:r>
      <w:r w:rsidR="006F7185">
        <w:t>took</w:t>
      </w:r>
      <w:r w:rsidR="009D72AB">
        <w:t xml:space="preserve"> effect.</w:t>
      </w:r>
      <w:r w:rsidRPr="00B51E49" w:rsidR="00F25824">
        <w:t xml:space="preserve"> </w:t>
      </w:r>
    </w:p>
    <w:p w:rsidR="003E5F8C" w:rsidRPr="00B51E49" w:rsidP="00B51E49" w14:paraId="64BC863A" w14:textId="4D893A1C">
      <w:pPr>
        <w:tabs>
          <w:tab w:val="left" w:pos="1440"/>
        </w:tabs>
        <w:ind w:firstLine="720"/>
      </w:pPr>
      <w:r w:rsidRPr="00B51E49">
        <w:t xml:space="preserve">The People further argue that applying </w:t>
      </w:r>
      <w:r w:rsidRPr="00B51E49">
        <w:rPr>
          <w:i/>
        </w:rPr>
        <w:t>Estrada</w:t>
      </w:r>
      <w:r w:rsidRPr="00B51E49">
        <w:t xml:space="preserve">’s inference of retroactivity to cases after adjudication would risk potentially </w:t>
      </w:r>
      <w:r>
        <w:t>“</w:t>
      </w:r>
      <w:r w:rsidRPr="00B51E49">
        <w:t>undermining the legitimacy</w:t>
      </w:r>
      <w:r>
        <w:t>”</w:t>
      </w:r>
      <w:r w:rsidRPr="00B51E49">
        <w:t xml:space="preserve"> of </w:t>
      </w:r>
      <w:r w:rsidR="000F71DA">
        <w:t>a</w:t>
      </w:r>
      <w:r w:rsidRPr="00B51E49">
        <w:t xml:space="preserve"> jury’s verdict.  The People maintain that defendants suffering from mental illness will frequently pursue a mental health defense, which a jury must necessarily reject by reaching a guilty verdict.  </w:t>
      </w:r>
      <w:r>
        <w:t>Meanwhile, to find a defendant</w:t>
      </w:r>
      <w:r w:rsidRPr="00B51E49">
        <w:t xml:space="preserve"> eligible for diversion</w:t>
      </w:r>
      <w:r>
        <w:t xml:space="preserve"> under the statute</w:t>
      </w:r>
      <w:r w:rsidRPr="00B51E49">
        <w:t xml:space="preserve">, the court must be satisfied that the defendant suffers from a mental disorder (§ 1001.36, subd. (b)(1)(A)), and that the </w:t>
      </w:r>
      <w:r>
        <w:t>“</w:t>
      </w:r>
      <w:r w:rsidRPr="00B51E49">
        <w:t>disorder was a significant factor in the commission of the charged offense</w:t>
      </w:r>
      <w:r>
        <w:t>”</w:t>
      </w:r>
      <w:r w:rsidRPr="00B51E49">
        <w:t xml:space="preserve"> (</w:t>
      </w:r>
      <w:r w:rsidRPr="00B51E49">
        <w:rPr>
          <w:i/>
        </w:rPr>
        <w:t>id.</w:t>
      </w:r>
      <w:r w:rsidRPr="00B51E49">
        <w:t xml:space="preserve">, subd. (b)(1)(B)).  </w:t>
      </w:r>
      <w:r>
        <w:t>T</w:t>
      </w:r>
      <w:r w:rsidRPr="00B51E49">
        <w:t>he People</w:t>
      </w:r>
      <w:r>
        <w:t xml:space="preserve"> identify an overlap in this scenario between the issues that were before </w:t>
      </w:r>
      <w:r w:rsidR="00B148DB">
        <w:t>a</w:t>
      </w:r>
      <w:r>
        <w:t xml:space="preserve"> jury and, later, to be decided by the court considering eligibility for diversion.  They reason therefrom that </w:t>
      </w:r>
      <w:r w:rsidRPr="00B51E49">
        <w:t xml:space="preserve">it </w:t>
      </w:r>
      <w:r>
        <w:t>“</w:t>
      </w:r>
      <w:r w:rsidRPr="00B51E49">
        <w:t xml:space="preserve">would </w:t>
      </w:r>
      <w:r>
        <w:t xml:space="preserve">risk potentially </w:t>
      </w:r>
      <w:r w:rsidRPr="00B51E49">
        <w:t>undermin</w:t>
      </w:r>
      <w:r>
        <w:t>ing</w:t>
      </w:r>
      <w:r w:rsidRPr="00B51E49">
        <w:t xml:space="preserve"> the integrity of </w:t>
      </w:r>
      <w:r w:rsidR="00B148DB">
        <w:t>[a]</w:t>
      </w:r>
      <w:r w:rsidRPr="00B51E49">
        <w:t xml:space="preserve"> jury’s findings</w:t>
      </w:r>
      <w:r>
        <w:t>”</w:t>
      </w:r>
      <w:r w:rsidRPr="00B51E49">
        <w:t xml:space="preserve"> if a trial court subsequently held a diversion eligibility hearing.  </w:t>
      </w:r>
      <w:r>
        <w:t xml:space="preserve">But even if we were to assume some such overlap in a subset of the cases to which the diversion statute may apply (the statute does not define the term “significant factor,” and we have no occasion here to do so), the more fundamental fact is that it would not provide a clear indication that the statute was not intended to apply retroactively.  The Legislature could well have intended to allow judges to decide under the statute whether a defendant’s mental disorder was a “significant factor in the commission of the charged offense” </w:t>
      </w:r>
      <w:r w:rsidR="003265E2">
        <w:t>(</w:t>
      </w:r>
      <w:r w:rsidR="003265E2">
        <w:rPr>
          <w:i/>
        </w:rPr>
        <w:t>ibid.</w:t>
      </w:r>
      <w:r w:rsidR="003265E2">
        <w:t>)</w:t>
      </w:r>
      <w:r w:rsidR="003265E2">
        <w:rPr>
          <w:i/>
        </w:rPr>
        <w:t xml:space="preserve"> </w:t>
      </w:r>
      <w:r>
        <w:t>even after a verdict in which a mental health defense had been presented but rejected by the trier of fact.</w:t>
      </w:r>
      <w:r w:rsidRPr="00B51E49" w:rsidR="008A53A5">
        <w:t xml:space="preserve">  </w:t>
      </w:r>
    </w:p>
    <w:p w:rsidR="00484D34" w:rsidRPr="00B51E49" w:rsidP="00B51E49" w14:paraId="4A47C7CF" w14:textId="1D08CA01">
      <w:pPr>
        <w:tabs>
          <w:tab w:val="left" w:pos="1440"/>
        </w:tabs>
        <w:ind w:firstLine="720"/>
      </w:pPr>
      <w:r w:rsidRPr="00B51E49">
        <w:t xml:space="preserve">Finally, the People assert that </w:t>
      </w:r>
      <w:r w:rsidRPr="00B51E49" w:rsidR="00564C15">
        <w:t xml:space="preserve">section 1001.36 should not be given retroactive effect because it would be awkward to apply </w:t>
      </w:r>
      <w:r w:rsidRPr="00B51E49" w:rsidR="005D0B9F">
        <w:t>th</w:t>
      </w:r>
      <w:r w:rsidR="00B75064">
        <w:t>e</w:t>
      </w:r>
      <w:r w:rsidRPr="00B51E49" w:rsidR="005D0B9F">
        <w:t xml:space="preserve"> scheme </w:t>
      </w:r>
      <w:r w:rsidRPr="00B51E49" w:rsidR="00564C15">
        <w:t xml:space="preserve">after adjudication.  </w:t>
      </w:r>
      <w:r w:rsidRPr="00B51E49" w:rsidR="00DC459D">
        <w:t xml:space="preserve">They emphasize that </w:t>
      </w:r>
      <w:r w:rsidRPr="00B51E49" w:rsidR="000937BF">
        <w:t>some of the statute’s eligibility requirements, such as waiver of a defendant’s right to a speedy trial (§ 1001.36, subd. (b)(1)</w:t>
      </w:r>
      <w:r w:rsidRPr="00B51E49" w:rsidR="00965192">
        <w:t>(D)</w:t>
      </w:r>
      <w:r w:rsidRPr="00B51E49" w:rsidR="002E7438">
        <w:t>)</w:t>
      </w:r>
      <w:r w:rsidRPr="00B51E49" w:rsidR="000937BF">
        <w:t>, would no</w:t>
      </w:r>
      <w:r w:rsidRPr="00B51E49" w:rsidR="00B61222">
        <w:t xml:space="preserve"> longer</w:t>
      </w:r>
      <w:r w:rsidRPr="00B51E49" w:rsidR="000937BF">
        <w:t xml:space="preserve"> </w:t>
      </w:r>
      <w:r w:rsidR="005B23B6">
        <w:t>be pertinent</w:t>
      </w:r>
      <w:r w:rsidRPr="00B51E49" w:rsidR="000937BF">
        <w:t>, and language</w:t>
      </w:r>
      <w:r w:rsidR="00660BE0">
        <w:t xml:space="preserve"> in the statute</w:t>
      </w:r>
      <w:r w:rsidRPr="00B51E49" w:rsidR="000937BF">
        <w:t xml:space="preserve"> </w:t>
      </w:r>
      <w:r w:rsidRPr="00B51E49" w:rsidR="00261D22">
        <w:t xml:space="preserve">providing that diversion be made “pretrial” </w:t>
      </w:r>
      <w:r w:rsidRPr="00B51E49" w:rsidR="000937BF">
        <w:t xml:space="preserve">would have to be ignored.  </w:t>
      </w:r>
      <w:r w:rsidRPr="00B51E49" w:rsidR="00EB46A9">
        <w:t>The potential</w:t>
      </w:r>
      <w:r w:rsidRPr="00B51E49" w:rsidR="0059152B">
        <w:t xml:space="preserve"> </w:t>
      </w:r>
      <w:r w:rsidRPr="00B51E49" w:rsidR="00EB46A9">
        <w:t xml:space="preserve">logistical </w:t>
      </w:r>
      <w:r w:rsidRPr="00B51E49" w:rsidR="005945FA">
        <w:t>problems</w:t>
      </w:r>
      <w:r w:rsidRPr="00B51E49" w:rsidR="0059152B">
        <w:t xml:space="preserve"> </w:t>
      </w:r>
      <w:r w:rsidRPr="00B51E49" w:rsidR="00223AFC">
        <w:t xml:space="preserve">identified by the People </w:t>
      </w:r>
      <w:r w:rsidRPr="00B51E49" w:rsidR="000215BD">
        <w:t xml:space="preserve">in providing </w:t>
      </w:r>
      <w:r w:rsidRPr="00B51E49" w:rsidR="0027678F">
        <w:t>defendants</w:t>
      </w:r>
      <w:r w:rsidRPr="00B51E49" w:rsidR="000215BD">
        <w:t xml:space="preserve"> </w:t>
      </w:r>
      <w:r w:rsidRPr="00B51E49" w:rsidR="0001551B">
        <w:t xml:space="preserve">with a </w:t>
      </w:r>
      <w:r w:rsidRPr="00B51E49" w:rsidR="000215BD">
        <w:t>diversion eligibility hearing</w:t>
      </w:r>
      <w:r w:rsidRPr="00B51E49" w:rsidR="0001551B">
        <w:t xml:space="preserve"> </w:t>
      </w:r>
      <w:r w:rsidRPr="00B51E49" w:rsidR="00E7224F">
        <w:t>after conviction</w:t>
      </w:r>
      <w:r w:rsidRPr="00B51E49" w:rsidR="00EB46A9">
        <w:t>, however,</w:t>
      </w:r>
      <w:r w:rsidRPr="00B51E49" w:rsidR="00E7224F">
        <w:t xml:space="preserve"> </w:t>
      </w:r>
      <w:r w:rsidRPr="00B51E49" w:rsidR="00EB46A9">
        <w:t>do not provide a sufficient</w:t>
      </w:r>
      <w:r w:rsidRPr="00B51E49" w:rsidR="001246D1">
        <w:t xml:space="preserve"> </w:t>
      </w:r>
      <w:r w:rsidRPr="00B51E49" w:rsidR="00A27A90">
        <w:t>basis</w:t>
      </w:r>
      <w:r w:rsidRPr="00B51E49" w:rsidR="00E7224F">
        <w:t xml:space="preserve"> to deny </w:t>
      </w:r>
      <w:r w:rsidRPr="00B51E49" w:rsidR="00A27A90">
        <w:t xml:space="preserve">defendants </w:t>
      </w:r>
      <w:r w:rsidRPr="00B51E49" w:rsidR="00805027">
        <w:t>the benefit of a hearing</w:t>
      </w:r>
      <w:r w:rsidRPr="00B51E49" w:rsidR="008F78E2">
        <w:t xml:space="preserve"> altogether</w:t>
      </w:r>
      <w:r w:rsidRPr="00B51E49" w:rsidR="00381227">
        <w:t xml:space="preserve">. </w:t>
      </w:r>
      <w:r w:rsidRPr="00B51E49" w:rsidR="000215BD">
        <w:t xml:space="preserve"> </w:t>
      </w:r>
      <w:r w:rsidRPr="00B51E49" w:rsidR="008D1C22">
        <w:t>(</w:t>
      </w:r>
      <w:r w:rsidRPr="00B51E49" w:rsidR="00A848AB">
        <w:t xml:space="preserve">See </w:t>
      </w:r>
      <w:r w:rsidRPr="00B51E49" w:rsidR="008D1C22">
        <w:rPr>
          <w:i/>
        </w:rPr>
        <w:t>Lara</w:t>
      </w:r>
      <w:r w:rsidRPr="00B51E49" w:rsidR="008D1C22">
        <w:t xml:space="preserve">, </w:t>
      </w:r>
      <w:r w:rsidRPr="00B51E49" w:rsidR="008D1C22">
        <w:rPr>
          <w:i/>
        </w:rPr>
        <w:t>supra</w:t>
      </w:r>
      <w:r w:rsidRPr="00B51E49" w:rsidR="008D1C22">
        <w:t>, 4 Cal.5th at p</w:t>
      </w:r>
      <w:r w:rsidRPr="00B51E49" w:rsidR="00A848AB">
        <w:t>p</w:t>
      </w:r>
      <w:r w:rsidRPr="00B51E49" w:rsidR="008D1C22">
        <w:t>. 31</w:t>
      </w:r>
      <w:r w:rsidRPr="00B51E49" w:rsidR="00A848AB">
        <w:t>2-31</w:t>
      </w:r>
      <w:r w:rsidRPr="00B51E49" w:rsidR="008D1C22">
        <w:t xml:space="preserve">3.)  </w:t>
      </w:r>
      <w:r w:rsidRPr="00B51E49" w:rsidR="005D4A5E">
        <w:t xml:space="preserve">Although </w:t>
      </w:r>
      <w:r w:rsidRPr="00B51E49" w:rsidR="00C01D47">
        <w:t xml:space="preserve">applying section 1001.36 retroactively </w:t>
      </w:r>
      <w:r w:rsidRPr="00B51E49" w:rsidR="005D4A5E">
        <w:t>may be somewhat c</w:t>
      </w:r>
      <w:r w:rsidRPr="00B51E49" w:rsidR="008F78E2">
        <w:t>hallenging</w:t>
      </w:r>
      <w:r w:rsidRPr="00B51E49" w:rsidR="005D4A5E">
        <w:t xml:space="preserve">, </w:t>
      </w:r>
      <w:r w:rsidRPr="00B51E49" w:rsidR="00EA1605">
        <w:t xml:space="preserve">we </w:t>
      </w:r>
      <w:r w:rsidRPr="00B51E49" w:rsidR="00750E72">
        <w:t>remain optimistic that</w:t>
      </w:r>
      <w:r w:rsidRPr="00B51E49" w:rsidR="00EA1605">
        <w:t xml:space="preserve"> </w:t>
      </w:r>
      <w:r w:rsidRPr="00B51E49" w:rsidR="00420C68">
        <w:t xml:space="preserve">“the courts involved can implement </w:t>
      </w:r>
      <w:r w:rsidRPr="00B51E49" w:rsidR="00EF705C">
        <w:t>[it]</w:t>
      </w:r>
      <w:r w:rsidRPr="00B51E49" w:rsidR="00420C68">
        <w:t xml:space="preserve"> without undue difficulty.”</w:t>
      </w:r>
      <w:r w:rsidRPr="00B51E49" w:rsidR="00881E00">
        <w:t xml:space="preserve">  (</w:t>
      </w:r>
      <w:r w:rsidR="001D2DA8">
        <w:rPr>
          <w:i/>
        </w:rPr>
        <w:t>Lara</w:t>
      </w:r>
      <w:r w:rsidR="001D2DA8">
        <w:t>,</w:t>
      </w:r>
      <w:r w:rsidRPr="00B51E49" w:rsidR="00750E72">
        <w:t xml:space="preserve"> at p. 313.)</w:t>
      </w:r>
      <w:r w:rsidRPr="00B51E49" w:rsidR="00420C68">
        <w:t xml:space="preserve"> </w:t>
      </w:r>
      <w:r w:rsidRPr="00B51E49" w:rsidR="00A640B9">
        <w:t xml:space="preserve"> </w:t>
      </w:r>
      <w:r w:rsidRPr="00B51E49" w:rsidR="002D2BAA">
        <w:t xml:space="preserve">  </w:t>
      </w:r>
    </w:p>
    <w:p w:rsidR="00163411" w:rsidRPr="00B51E49" w:rsidP="00B51E49" w14:paraId="5D1FDC8A" w14:textId="4A008B5D">
      <w:pPr>
        <w:pStyle w:val="Heading2"/>
      </w:pPr>
      <w:r w:rsidRPr="00B51E49">
        <w:t xml:space="preserve">D.  </w:t>
      </w:r>
      <w:r w:rsidRPr="00B51E49" w:rsidR="006A7A74">
        <w:t>Defendant</w:t>
      </w:r>
      <w:r w:rsidRPr="00B51E49" w:rsidR="000532E2">
        <w:t xml:space="preserve"> </w:t>
      </w:r>
      <w:r w:rsidRPr="00B51E49" w:rsidR="00F00798">
        <w:t>Is</w:t>
      </w:r>
      <w:r w:rsidRPr="00B51E49" w:rsidR="000532E2">
        <w:t xml:space="preserve"> Entitled to a Pretrial Diversion Hearing</w:t>
      </w:r>
      <w:r w:rsidRPr="00B51E49">
        <w:t xml:space="preserve"> </w:t>
      </w:r>
    </w:p>
    <w:p w:rsidR="00F105EA" w:rsidRPr="00B51E49" w:rsidP="00B51E49" w14:paraId="2EB55080" w14:textId="1CB2D27C">
      <w:pPr>
        <w:tabs>
          <w:tab w:val="left" w:pos="1440"/>
        </w:tabs>
        <w:ind w:firstLine="720"/>
      </w:pPr>
      <w:r w:rsidRPr="00B51E49">
        <w:t xml:space="preserve">Having found that section 1001.36 applies retroactively, we </w:t>
      </w:r>
      <w:r w:rsidRPr="00B51E49" w:rsidR="00891212">
        <w:t xml:space="preserve">must </w:t>
      </w:r>
      <w:r w:rsidR="002242E2">
        <w:t xml:space="preserve">now </w:t>
      </w:r>
      <w:r w:rsidRPr="00B51E49" w:rsidR="00B67257">
        <w:t>consider the remedy</w:t>
      </w:r>
      <w:r w:rsidRPr="00B51E49" w:rsidR="00891212">
        <w:t xml:space="preserve">.  </w:t>
      </w:r>
      <w:r w:rsidRPr="00B51E49">
        <w:t xml:space="preserve">In </w:t>
      </w:r>
      <w:r w:rsidRPr="00B51E49">
        <w:rPr>
          <w:i/>
        </w:rPr>
        <w:t>Lara</w:t>
      </w:r>
      <w:r w:rsidRPr="00B51E49">
        <w:t>, we endorsed a limited remand procedure described by the</w:t>
      </w:r>
      <w:r w:rsidRPr="00B51E49" w:rsidR="00AA138B">
        <w:t xml:space="preserve"> Court of Appeal in</w:t>
      </w:r>
      <w:r w:rsidRPr="00B51E49">
        <w:t xml:space="preserve"> </w:t>
      </w:r>
      <w:r w:rsidRPr="00B51E49" w:rsidR="001053AC">
        <w:rPr>
          <w:i/>
        </w:rPr>
        <w:t>People v. Vela</w:t>
      </w:r>
      <w:r w:rsidRPr="00B51E49" w:rsidR="001053AC">
        <w:t xml:space="preserve"> (2018) </w:t>
      </w:r>
      <w:r w:rsidR="00A91409">
        <w:t>11 Cal.App.5th 68</w:t>
      </w:r>
      <w:r w:rsidR="00D904F1">
        <w:t xml:space="preserve"> (judg. </w:t>
      </w:r>
      <w:r w:rsidR="00665136">
        <w:t>v</w:t>
      </w:r>
      <w:r w:rsidR="00D904F1">
        <w:t xml:space="preserve">acated and cause remanded </w:t>
      </w:r>
      <w:r w:rsidR="00B928A7">
        <w:t xml:space="preserve">(2018) </w:t>
      </w:r>
      <w:r w:rsidRPr="00665136" w:rsidR="00665136">
        <w:t>411 P.3d 526</w:t>
      </w:r>
      <w:r w:rsidR="00D90C07">
        <w:t xml:space="preserve">, </w:t>
      </w:r>
      <w:r w:rsidR="00D904F1">
        <w:t>reaffd.</w:t>
      </w:r>
      <w:r w:rsidRPr="00B51E49" w:rsidR="001053AC">
        <w:t xml:space="preserve"> </w:t>
      </w:r>
      <w:r w:rsidR="00546156">
        <w:t xml:space="preserve">(2018) 21 Cal.App.5th 1099) </w:t>
      </w:r>
      <w:r w:rsidRPr="00B51E49">
        <w:t>to allow the juvenile court to conduct a transfer hearing</w:t>
      </w:r>
      <w:r w:rsidRPr="00B51E49">
        <w:rPr>
          <w:i/>
        </w:rPr>
        <w:t xml:space="preserve"> </w:t>
      </w:r>
      <w:r w:rsidRPr="00B51E49">
        <w:t>under Proposition 57.  (</w:t>
      </w:r>
      <w:r w:rsidRPr="00B51E49">
        <w:rPr>
          <w:i/>
        </w:rPr>
        <w:t>Lara</w:t>
      </w:r>
      <w:r w:rsidRPr="00B51E49">
        <w:t xml:space="preserve">, </w:t>
      </w:r>
      <w:r w:rsidRPr="00B51E49">
        <w:rPr>
          <w:i/>
        </w:rPr>
        <w:t>supra</w:t>
      </w:r>
      <w:r w:rsidRPr="00B51E49">
        <w:t xml:space="preserve">, 4 Cal.5th at pp. 309-310, citing </w:t>
      </w:r>
      <w:r w:rsidRPr="00B51E49">
        <w:rPr>
          <w:i/>
        </w:rPr>
        <w:t>Vela</w:t>
      </w:r>
      <w:r w:rsidRPr="00B51E49">
        <w:t>, at p. 81</w:t>
      </w:r>
      <w:r w:rsidR="00292140">
        <w:t xml:space="preserve"> [now</w:t>
      </w:r>
      <w:r w:rsidR="00377692">
        <w:t xml:space="preserve"> 21 Cal.App.5th at p. </w:t>
      </w:r>
      <w:r w:rsidR="00A71D7C">
        <w:t>1113</w:t>
      </w:r>
      <w:r w:rsidR="00C15C6C">
        <w:t>]</w:t>
      </w:r>
      <w:r w:rsidRPr="00B51E49">
        <w:t xml:space="preserve">.) </w:t>
      </w:r>
      <w:r w:rsidRPr="00B51E49">
        <w:rPr>
          <w:i/>
        </w:rPr>
        <w:t xml:space="preserve"> </w:t>
      </w:r>
      <w:r w:rsidRPr="00B51E49">
        <w:t>Noting its authori</w:t>
      </w:r>
      <w:r w:rsidRPr="00B51E49" w:rsidR="000E736F">
        <w:t xml:space="preserve">ty </w:t>
      </w:r>
      <w:r w:rsidR="00CD510B">
        <w:t xml:space="preserve">to </w:t>
      </w:r>
      <w:r w:rsidRPr="00B51E49" w:rsidR="000E736F">
        <w:t xml:space="preserve">“ ‘remand the cause to the trial court for such further proceedings as may be just under the circumstances’ ” </w:t>
      </w:r>
      <w:r w:rsidR="00431ED7">
        <w:t>pursuant to</w:t>
      </w:r>
      <w:r w:rsidRPr="00B51E49" w:rsidR="000E736F">
        <w:t xml:space="preserve"> section 1260,</w:t>
      </w:r>
      <w:r w:rsidRPr="00B51E49">
        <w:t xml:space="preserve"> </w:t>
      </w:r>
      <w:r w:rsidRPr="00B51E49" w:rsidR="000E736F">
        <w:t xml:space="preserve">the </w:t>
      </w:r>
      <w:r w:rsidRPr="00B51E49">
        <w:rPr>
          <w:i/>
        </w:rPr>
        <w:t>Vela</w:t>
      </w:r>
      <w:r w:rsidRPr="00B51E49" w:rsidR="000E736F">
        <w:t xml:space="preserve"> court</w:t>
      </w:r>
      <w:r w:rsidRPr="00B51E49">
        <w:t xml:space="preserve"> </w:t>
      </w:r>
      <w:r w:rsidRPr="00B51E49" w:rsidR="009A594E">
        <w:t xml:space="preserve">conditionally reversed the defendant’s conviction and sentence and </w:t>
      </w:r>
      <w:r w:rsidRPr="00B51E49">
        <w:t>ordered a limited remand</w:t>
      </w:r>
      <w:r w:rsidRPr="00B51E49" w:rsidR="00EE0D39">
        <w:t xml:space="preserve"> to the juvenile court</w:t>
      </w:r>
      <w:r w:rsidRPr="00B51E49" w:rsidR="009E4EB5">
        <w:t xml:space="preserve"> with instructions to conduct a juvenile transfer hearing, treating the matter as though the prosecutor had originally filed a juvenile petition in juvenile court and had then moved to transfer the defendant’s case to a court of criminal jurisdiction</w:t>
      </w:r>
      <w:r w:rsidRPr="00B51E49" w:rsidR="006A1714">
        <w:t>.  (</w:t>
      </w:r>
      <w:r w:rsidRPr="00B51E49" w:rsidR="006A1714">
        <w:rPr>
          <w:i/>
        </w:rPr>
        <w:t>Vela</w:t>
      </w:r>
      <w:r w:rsidRPr="00B51E49" w:rsidR="006A1714">
        <w:t>, at p.</w:t>
      </w:r>
      <w:r w:rsidR="00FF157D">
        <w:t> </w:t>
      </w:r>
      <w:r w:rsidRPr="00B51E49" w:rsidR="006A1714">
        <w:t>81</w:t>
      </w:r>
      <w:r w:rsidR="00C15C6C">
        <w:t xml:space="preserve"> [now 21</w:t>
      </w:r>
      <w:r w:rsidR="00FF157D">
        <w:t> </w:t>
      </w:r>
      <w:r w:rsidR="00C15C6C">
        <w:t>Cal.App.5th at p. 1113]</w:t>
      </w:r>
      <w:r w:rsidRPr="00B51E49" w:rsidR="006A1714">
        <w:t xml:space="preserve">, citing § 1260; see </w:t>
      </w:r>
      <w:r w:rsidRPr="00B51E49" w:rsidR="006A1714">
        <w:rPr>
          <w:i/>
        </w:rPr>
        <w:t>Lara</w:t>
      </w:r>
      <w:r w:rsidRPr="00B51E49" w:rsidR="006A1714">
        <w:t xml:space="preserve">, at p. 310.)  </w:t>
      </w:r>
    </w:p>
    <w:p w:rsidR="00163411" w:rsidRPr="00B51E49" w:rsidP="00B51E49" w14:paraId="3AE20636" w14:textId="0B0F1CB9">
      <w:pPr>
        <w:tabs>
          <w:tab w:val="left" w:pos="1440"/>
        </w:tabs>
        <w:ind w:firstLine="720"/>
      </w:pPr>
      <w:r w:rsidRPr="00B51E49">
        <w:t>Here, t</w:t>
      </w:r>
      <w:r w:rsidRPr="00B51E49" w:rsidR="000B59C2">
        <w:t xml:space="preserve">he Court of Appeal </w:t>
      </w:r>
      <w:r w:rsidRPr="00B51E49" w:rsidR="000E301E">
        <w:t>conclud</w:t>
      </w:r>
      <w:r w:rsidRPr="00B51E49">
        <w:t>ed</w:t>
      </w:r>
      <w:r w:rsidRPr="00B51E49" w:rsidR="000E301E">
        <w:t xml:space="preserve"> that remand </w:t>
      </w:r>
      <w:r w:rsidRPr="00B51E49" w:rsidR="00093602">
        <w:t>i</w:t>
      </w:r>
      <w:r w:rsidRPr="00B51E49" w:rsidR="000E301E">
        <w:t xml:space="preserve">s warranted because </w:t>
      </w:r>
      <w:r w:rsidRPr="00B51E49" w:rsidR="00F83729">
        <w:t>defendant</w:t>
      </w:r>
      <w:r w:rsidRPr="00B51E49" w:rsidR="000E301E">
        <w:t>’s case is not yet final on appeal and the record affirmatively discloses that he appears to meet at least one of the threshold requirements:  a diagnosed mental disorder.</w:t>
      </w:r>
      <w:r w:rsidRPr="00B51E49" w:rsidR="004C69C4">
        <w:t xml:space="preserve">  (</w:t>
      </w:r>
      <w:r w:rsidRPr="00B51E49" w:rsidR="004C69C4">
        <w:rPr>
          <w:i/>
        </w:rPr>
        <w:t>Frahs</w:t>
      </w:r>
      <w:r w:rsidRPr="00B51E49" w:rsidR="004C69C4">
        <w:t xml:space="preserve">, </w:t>
      </w:r>
      <w:r w:rsidRPr="00B51E49" w:rsidR="004C69C4">
        <w:rPr>
          <w:i/>
        </w:rPr>
        <w:t>supra</w:t>
      </w:r>
      <w:r w:rsidRPr="00B51E49" w:rsidR="004C69C4">
        <w:t xml:space="preserve">, 27 Cal.App.5th at p. 791.)  </w:t>
      </w:r>
      <w:r w:rsidRPr="00B51E49" w:rsidR="006139F3">
        <w:t xml:space="preserve">The </w:t>
      </w:r>
      <w:r w:rsidR="008F218B">
        <w:t>c</w:t>
      </w:r>
      <w:r w:rsidRPr="00B51E49" w:rsidR="006139F3">
        <w:t xml:space="preserve">ourt </w:t>
      </w:r>
      <w:r w:rsidRPr="00B51E49" w:rsidR="004C69C4">
        <w:t xml:space="preserve">conditionally reversed </w:t>
      </w:r>
      <w:r w:rsidRPr="00B51E49" w:rsidR="00F83729">
        <w:t>defendant’</w:t>
      </w:r>
      <w:r w:rsidRPr="00B51E49" w:rsidR="004C69C4">
        <w:t>s convictions and sentence and directed the trial court on remand to make an eligibility determination regarding diversion under section 1001.36.  (</w:t>
      </w:r>
      <w:r w:rsidR="00CD510B">
        <w:rPr>
          <w:i/>
        </w:rPr>
        <w:t>Frahs</w:t>
      </w:r>
      <w:r w:rsidR="00CD510B">
        <w:t>, at p. 791.</w:t>
      </w:r>
      <w:r w:rsidRPr="00B51E49" w:rsidR="004C69C4">
        <w:t xml:space="preserve">)  </w:t>
      </w:r>
      <w:r w:rsidRPr="00B51E49" w:rsidR="00F105EA">
        <w:t xml:space="preserve">It </w:t>
      </w:r>
      <w:r w:rsidRPr="00B51E49" w:rsidR="00BB4F73">
        <w:t>“</w:t>
      </w:r>
      <w:r w:rsidRPr="00B51E49" w:rsidR="00F105EA">
        <w:t>instruct</w:t>
      </w:r>
      <w:r w:rsidRPr="00B51E49" w:rsidR="00BB4F73">
        <w:t>[</w:t>
      </w:r>
      <w:r w:rsidRPr="00B51E49" w:rsidR="00F105EA">
        <w:t>ed</w:t>
      </w:r>
      <w:r w:rsidRPr="00B51E49" w:rsidR="00BB4F73">
        <w:t>]</w:t>
      </w:r>
      <w:r w:rsidRPr="00B51E49" w:rsidR="00F105EA">
        <w:t xml:space="preserve"> the trial court </w:t>
      </w:r>
      <w:r w:rsidRPr="00B51E49" w:rsidR="00BB4F73">
        <w:t>— as nearly as possible — to retroactively apply the provisions of section 1001.36, as though the statute existed at the time [defendant] was initially charged.”  (</w:t>
      </w:r>
      <w:r w:rsidRPr="00B51E49" w:rsidR="00F105EA">
        <w:rPr>
          <w:i/>
        </w:rPr>
        <w:t>I</w:t>
      </w:r>
      <w:r w:rsidRPr="00B51E49" w:rsidR="00482C61">
        <w:rPr>
          <w:i/>
        </w:rPr>
        <w:t>bid.</w:t>
      </w:r>
      <w:r w:rsidRPr="00B51E49" w:rsidR="00F105EA">
        <w:t xml:space="preserve">)  It </w:t>
      </w:r>
      <w:r w:rsidRPr="00B51E49" w:rsidR="00F81AA2">
        <w:t>further provided</w:t>
      </w:r>
      <w:r w:rsidRPr="00B51E49" w:rsidR="00F105EA">
        <w:t xml:space="preserve">:  “If the trial court finds that </w:t>
      </w:r>
      <w:r w:rsidR="00975C51">
        <w:t>[</w:t>
      </w:r>
      <w:r w:rsidRPr="00B51E49" w:rsidR="00F83729">
        <w:t>defendant</w:t>
      </w:r>
      <w:r w:rsidR="00975C51">
        <w:t>]</w:t>
      </w:r>
      <w:r w:rsidRPr="00B51E49" w:rsidR="00F83729">
        <w:t xml:space="preserve"> </w:t>
      </w:r>
      <w:r w:rsidRPr="00B51E49" w:rsidR="00F105EA">
        <w:t xml:space="preserve">suffers from a mental disorder, does not pose an unreasonable risk of danger to public safety, and otherwise meets the six statutory criteria (as nearly as possible given the postconviction procedural posture of this case), then the court may grant diversion.  If </w:t>
      </w:r>
      <w:r w:rsidR="00975C51">
        <w:t>[</w:t>
      </w:r>
      <w:r w:rsidRPr="00B51E49" w:rsidR="00975C51">
        <w:t>defendant</w:t>
      </w:r>
      <w:r w:rsidR="00975C51">
        <w:t>]</w:t>
      </w:r>
      <w:r w:rsidRPr="00B51E49" w:rsidR="00F83729">
        <w:t xml:space="preserve"> </w:t>
      </w:r>
      <w:r w:rsidRPr="00B51E49" w:rsidR="00F105EA">
        <w:t>successfully completes diversion, then the court shall dismiss the charges.  However, if the court determine</w:t>
      </w:r>
      <w:r w:rsidRPr="00B51E49" w:rsidR="00DD4576">
        <w:t>s</w:t>
      </w:r>
      <w:r w:rsidRPr="00B51E49" w:rsidR="00F105EA">
        <w:t xml:space="preserve"> that </w:t>
      </w:r>
      <w:r w:rsidR="00975C51">
        <w:t>[</w:t>
      </w:r>
      <w:r w:rsidRPr="00B51E49" w:rsidR="00975C51">
        <w:t>defendant</w:t>
      </w:r>
      <w:r w:rsidR="00975C51">
        <w:t>]</w:t>
      </w:r>
      <w:r w:rsidRPr="00B51E49" w:rsidR="00F83729">
        <w:t xml:space="preserve"> </w:t>
      </w:r>
      <w:r w:rsidRPr="00B51E49" w:rsidR="00F105EA">
        <w:t xml:space="preserve">does not meet the criteria under section 1001.36, or if </w:t>
      </w:r>
      <w:r w:rsidR="00975C51">
        <w:t>[</w:t>
      </w:r>
      <w:r w:rsidRPr="00B51E49" w:rsidR="00975C51">
        <w:t>defendant</w:t>
      </w:r>
      <w:r w:rsidR="00975C51">
        <w:t>]</w:t>
      </w:r>
      <w:r w:rsidRPr="00B51E49" w:rsidR="00F83729">
        <w:t xml:space="preserve"> </w:t>
      </w:r>
      <w:r w:rsidRPr="00B51E49" w:rsidR="00F105EA">
        <w:t>does not successfully complete diversion, then his convictions and sentence shall be reinstated.”  (</w:t>
      </w:r>
      <w:r w:rsidRPr="00B51E49" w:rsidR="00F105EA">
        <w:rPr>
          <w:i/>
        </w:rPr>
        <w:t>Id.</w:t>
      </w:r>
      <w:r w:rsidR="009B20AD">
        <w:t xml:space="preserve"> at p. 792.</w:t>
      </w:r>
      <w:r w:rsidRPr="00B51E49" w:rsidR="00F105EA">
        <w:t>)</w:t>
      </w:r>
    </w:p>
    <w:p w:rsidR="00B25E1E" w:rsidP="00E1306C" w14:paraId="3919F3F7" w14:textId="77777777">
      <w:pPr>
        <w:tabs>
          <w:tab w:val="left" w:pos="1440"/>
        </w:tabs>
        <w:ind w:firstLine="720"/>
      </w:pPr>
      <w:r w:rsidRPr="00B51E49">
        <w:t xml:space="preserve">The </w:t>
      </w:r>
      <w:r w:rsidRPr="00B51E49" w:rsidR="00E10FC9">
        <w:t>People</w:t>
      </w:r>
      <w:r w:rsidRPr="00B51E49" w:rsidR="00163411">
        <w:t xml:space="preserve"> argue that </w:t>
      </w:r>
      <w:r w:rsidRPr="00B51E49" w:rsidR="00D370BC">
        <w:t>remand is inappropriate</w:t>
      </w:r>
      <w:r w:rsidRPr="00B51E49">
        <w:t xml:space="preserve"> because </w:t>
      </w:r>
      <w:r w:rsidRPr="00B51E49" w:rsidR="00F83729">
        <w:t xml:space="preserve">defendant </w:t>
      </w:r>
      <w:r w:rsidRPr="00B51E49">
        <w:t>has</w:t>
      </w:r>
      <w:r w:rsidRPr="00B51E49" w:rsidR="00163411">
        <w:t xml:space="preserve"> </w:t>
      </w:r>
      <w:r w:rsidRPr="00B51E49">
        <w:t>not made</w:t>
      </w:r>
      <w:r w:rsidRPr="00B51E49" w:rsidR="00163411">
        <w:t xml:space="preserve"> an adequate showing of eligibility.  </w:t>
      </w:r>
      <w:r w:rsidRPr="00B51E49" w:rsidR="00380608">
        <w:t xml:space="preserve">They assert that </w:t>
      </w:r>
      <w:r w:rsidRPr="00B51E49" w:rsidR="00524436">
        <w:t xml:space="preserve">a </w:t>
      </w:r>
      <w:r w:rsidRPr="00B51E49" w:rsidR="006A6E5C">
        <w:t xml:space="preserve">defendant must </w:t>
      </w:r>
      <w:r w:rsidRPr="00B51E49" w:rsidR="000D1859">
        <w:t xml:space="preserve">demonstrate that he </w:t>
      </w:r>
      <w:r w:rsidRPr="00B51E49" w:rsidR="00524436">
        <w:t xml:space="preserve">or she </w:t>
      </w:r>
      <w:r w:rsidRPr="00B51E49" w:rsidR="006E2AC9">
        <w:t xml:space="preserve">satisfies all six threshold eligibility requirements </w:t>
      </w:r>
      <w:r w:rsidRPr="00B51E49" w:rsidR="003B749A">
        <w:t>before a</w:t>
      </w:r>
      <w:r w:rsidRPr="00B51E49" w:rsidR="000E6774">
        <w:t>n appellate</w:t>
      </w:r>
      <w:r w:rsidRPr="00B51E49" w:rsidR="003B749A">
        <w:t xml:space="preserve"> court m</w:t>
      </w:r>
      <w:r w:rsidRPr="00B51E49" w:rsidR="00524436">
        <w:t xml:space="preserve">ay </w:t>
      </w:r>
      <w:r w:rsidRPr="00B51E49" w:rsidR="00015269">
        <w:t>remand the case</w:t>
      </w:r>
      <w:r w:rsidRPr="00B51E49" w:rsidR="00090271">
        <w:t xml:space="preserve"> to the trial court</w:t>
      </w:r>
      <w:r w:rsidRPr="00B51E49" w:rsidR="00524436">
        <w:t xml:space="preserve"> for </w:t>
      </w:r>
      <w:r w:rsidRPr="00B51E49" w:rsidR="00DB4F47">
        <w:t>a</w:t>
      </w:r>
      <w:r w:rsidRPr="00B51E49" w:rsidR="00090271">
        <w:t xml:space="preserve"> diversion</w:t>
      </w:r>
      <w:r w:rsidRPr="00B51E49" w:rsidR="00524436">
        <w:t xml:space="preserve"> eligibility hearing.  </w:t>
      </w:r>
    </w:p>
    <w:p w:rsidR="006A6E5C" w:rsidRPr="00B51E49" w:rsidP="00E1306C" w14:paraId="2B1A6C4A" w14:textId="79E3CCD7">
      <w:pPr>
        <w:tabs>
          <w:tab w:val="left" w:pos="1440"/>
        </w:tabs>
        <w:ind w:firstLine="720"/>
      </w:pPr>
      <w:r>
        <w:t>We</w:t>
      </w:r>
      <w:r w:rsidRPr="00B51E49" w:rsidR="004E3DFD">
        <w:t xml:space="preserve"> </w:t>
      </w:r>
      <w:r w:rsidRPr="00B51E49" w:rsidR="00AF32FB">
        <w:t>conclude</w:t>
      </w:r>
      <w:r w:rsidRPr="00B51E49" w:rsidR="00425625">
        <w:t xml:space="preserve"> that i</w:t>
      </w:r>
      <w:r w:rsidRPr="00B51E49" w:rsidR="00E83C4E">
        <w:t xml:space="preserve">mposing such a </w:t>
      </w:r>
      <w:r w:rsidRPr="00B51E49" w:rsidR="003058FB">
        <w:t xml:space="preserve">high </w:t>
      </w:r>
      <w:r w:rsidRPr="00B51E49" w:rsidR="00E83C4E">
        <w:t>bar</w:t>
      </w:r>
      <w:r w:rsidRPr="00B51E49" w:rsidR="00171050">
        <w:t xml:space="preserve"> </w:t>
      </w:r>
      <w:r w:rsidR="00C10A8F">
        <w:t xml:space="preserve">in the posture of </w:t>
      </w:r>
      <w:r w:rsidR="00017168">
        <w:t>proceedings</w:t>
      </w:r>
      <w:r w:rsidR="00C10A8F">
        <w:t xml:space="preserve"> such as th</w:t>
      </w:r>
      <w:r w:rsidR="00017168">
        <w:t>ese</w:t>
      </w:r>
      <w:r w:rsidR="00C10A8F">
        <w:t xml:space="preserve"> </w:t>
      </w:r>
      <w:r w:rsidRPr="00B51E49" w:rsidR="00DA79F9">
        <w:t xml:space="preserve">would be </w:t>
      </w:r>
      <w:r w:rsidRPr="00B51E49" w:rsidR="00DD4576">
        <w:t>undu</w:t>
      </w:r>
      <w:r w:rsidRPr="00B51E49" w:rsidR="00DA79F9">
        <w:t>ly onerous and</w:t>
      </w:r>
      <w:r w:rsidRPr="00B51E49" w:rsidR="002C6EAA">
        <w:t xml:space="preserve"> </w:t>
      </w:r>
      <w:r w:rsidRPr="00B51E49" w:rsidR="005B6683">
        <w:t>impractical</w:t>
      </w:r>
      <w:r w:rsidRPr="00B51E49" w:rsidR="00B251C7">
        <w:t xml:space="preserve">.  </w:t>
      </w:r>
      <w:r w:rsidRPr="00B51E49" w:rsidR="00CE5745">
        <w:t>Whe</w:t>
      </w:r>
      <w:r w:rsidRPr="00B51E49" w:rsidR="00DD4576">
        <w:t>n</w:t>
      </w:r>
      <w:r w:rsidRPr="00B51E49" w:rsidR="00CE5745">
        <w:t>, as here, a defendant</w:t>
      </w:r>
      <w:r w:rsidRPr="00B51E49" w:rsidR="00B251C7">
        <w:t xml:space="preserve"> was tried and convicted before section 1001.36 became effective</w:t>
      </w:r>
      <w:r w:rsidRPr="00B51E49" w:rsidR="00542446">
        <w:t>,</w:t>
      </w:r>
      <w:r w:rsidRPr="00B51E49" w:rsidR="00F97062">
        <w:t xml:space="preserve"> the record on appeal is unlikely to </w:t>
      </w:r>
      <w:r w:rsidRPr="00B51E49" w:rsidR="004C2625">
        <w:t>include</w:t>
      </w:r>
      <w:r w:rsidRPr="00B51E49" w:rsidR="00754638">
        <w:t xml:space="preserve"> </w:t>
      </w:r>
      <w:r w:rsidRPr="00B51E49" w:rsidR="00753B50">
        <w:t xml:space="preserve">information </w:t>
      </w:r>
      <w:r w:rsidRPr="00B51E49" w:rsidR="00A37B98">
        <w:t xml:space="preserve">pertaining to </w:t>
      </w:r>
      <w:r w:rsidRPr="00B51E49" w:rsidR="00634118">
        <w:t xml:space="preserve">several eligibility </w:t>
      </w:r>
      <w:r w:rsidRPr="00B51E49" w:rsidR="005F225A">
        <w:t>factors</w:t>
      </w:r>
      <w:r w:rsidRPr="00B51E49" w:rsidR="00634118">
        <w:t xml:space="preserve">, </w:t>
      </w:r>
      <w:r w:rsidRPr="00B51E49" w:rsidR="00A37B98">
        <w:t>such as</w:t>
      </w:r>
      <w:r w:rsidRPr="00B51E49" w:rsidR="00AD7F2C">
        <w:t xml:space="preserve"> whether the defendant consents to diversion (§ 1001.36, subd. (b)(</w:t>
      </w:r>
      <w:r w:rsidRPr="00B51E49" w:rsidR="00F25829">
        <w:t>1</w:t>
      </w:r>
      <w:r w:rsidRPr="00B51E49" w:rsidR="00AD7F2C">
        <w:t>)</w:t>
      </w:r>
      <w:r w:rsidRPr="00B51E49" w:rsidR="00F25829">
        <w:t>(</w:t>
      </w:r>
      <w:r w:rsidRPr="00B51E49" w:rsidR="001E0992">
        <w:t>D)</w:t>
      </w:r>
      <w:r w:rsidRPr="00B51E49" w:rsidR="00AD7F2C">
        <w:t xml:space="preserve">), agrees </w:t>
      </w:r>
      <w:r w:rsidRPr="00B51E49" w:rsidR="00E54A2C">
        <w:t>t</w:t>
      </w:r>
      <w:r w:rsidRPr="00B51E49" w:rsidR="00AD7F2C">
        <w:t>o comply with treatment as a condition of diversion (</w:t>
      </w:r>
      <w:r w:rsidRPr="00B51E49" w:rsidR="00AD7F2C">
        <w:rPr>
          <w:i/>
        </w:rPr>
        <w:t>id.</w:t>
      </w:r>
      <w:r w:rsidRPr="00B51E49" w:rsidR="00AD7F2C">
        <w:t>, subd. (b)(</w:t>
      </w:r>
      <w:r w:rsidRPr="00B51E49" w:rsidR="001E0992">
        <w:t>1</w:t>
      </w:r>
      <w:r w:rsidRPr="00B51E49" w:rsidR="00AD7F2C">
        <w:t>)</w:t>
      </w:r>
      <w:r w:rsidRPr="00B51E49" w:rsidR="001E0992">
        <w:t>(E)</w:t>
      </w:r>
      <w:r w:rsidRPr="00B51E49" w:rsidR="00AD7F2C">
        <w:t xml:space="preserve">), or </w:t>
      </w:r>
      <w:r w:rsidRPr="00B51E49" w:rsidR="006860FA">
        <w:t>has provided the opinion of</w:t>
      </w:r>
      <w:r w:rsidRPr="00B51E49" w:rsidR="00AD7F2C">
        <w:t xml:space="preserve"> </w:t>
      </w:r>
      <w:r w:rsidRPr="00B51E49" w:rsidR="00E54A2C">
        <w:t xml:space="preserve">a qualified mental health expert </w:t>
      </w:r>
      <w:r w:rsidRPr="00B51E49" w:rsidR="006860FA">
        <w:t>that</w:t>
      </w:r>
      <w:r w:rsidRPr="00B51E49" w:rsidR="005402C1">
        <w:t xml:space="preserve"> the defendant’s symptoms would respond to mental health treatment </w:t>
      </w:r>
      <w:r w:rsidRPr="00B51E49" w:rsidR="003052D9">
        <w:t>(</w:t>
      </w:r>
      <w:r w:rsidRPr="00B51E49" w:rsidR="003052D9">
        <w:rPr>
          <w:i/>
        </w:rPr>
        <w:t>id.</w:t>
      </w:r>
      <w:r w:rsidRPr="00B51E49" w:rsidR="005402C1">
        <w:t>, subd. (b)(</w:t>
      </w:r>
      <w:r w:rsidRPr="00B51E49" w:rsidR="001E0992">
        <w:t>1</w:t>
      </w:r>
      <w:r w:rsidRPr="00B51E49" w:rsidR="003052D9">
        <w:t>)</w:t>
      </w:r>
      <w:r w:rsidRPr="00B51E49" w:rsidR="001E0992">
        <w:t>(C)</w:t>
      </w:r>
      <w:r w:rsidRPr="00B51E49" w:rsidR="003052D9">
        <w:t>).</w:t>
      </w:r>
      <w:r w:rsidRPr="00B51E49" w:rsidR="004218B2">
        <w:t xml:space="preserve">  </w:t>
      </w:r>
      <w:r w:rsidRPr="00B51E49" w:rsidR="004C1D43">
        <w:t xml:space="preserve">Moreover, </w:t>
      </w:r>
      <w:r w:rsidRPr="00B51E49" w:rsidR="00120392">
        <w:t xml:space="preserve">the People </w:t>
      </w:r>
      <w:r w:rsidRPr="00B51E49" w:rsidR="00141056">
        <w:t>elsewhere a</w:t>
      </w:r>
      <w:r w:rsidRPr="00B51E49" w:rsidR="00120392">
        <w:t>cknowledge</w:t>
      </w:r>
      <w:r w:rsidRPr="00B51E49" w:rsidR="00141056">
        <w:t xml:space="preserve"> that </w:t>
      </w:r>
      <w:r w:rsidRPr="00B51E49" w:rsidR="004C1D43">
        <w:t xml:space="preserve">“some of the eligibility requirements no longer apply” </w:t>
      </w:r>
      <w:r w:rsidRPr="00B51E49" w:rsidR="0090653A">
        <w:t>to defendants whose cases were adjudicated before the diversion statute was enacted</w:t>
      </w:r>
      <w:r w:rsidRPr="00B51E49" w:rsidR="00785815">
        <w:t xml:space="preserve">.  Accordingly, it makes little sense to require defendants to </w:t>
      </w:r>
      <w:r w:rsidRPr="00B51E49" w:rsidR="0078455F">
        <w:t xml:space="preserve">demonstrate on appeal that </w:t>
      </w:r>
      <w:r w:rsidRPr="00B51E49" w:rsidR="00785815">
        <w:t>they would have waived their rights to a speedy trial</w:t>
      </w:r>
      <w:r w:rsidRPr="00B51E49" w:rsidR="0090653A">
        <w:t xml:space="preserve">.  </w:t>
      </w:r>
      <w:r w:rsidRPr="00B51E49" w:rsidR="004C1D43">
        <w:t>Furthermore</w:t>
      </w:r>
      <w:r w:rsidRPr="00B51E49" w:rsidR="00C1591E">
        <w:t xml:space="preserve">, </w:t>
      </w:r>
      <w:r w:rsidRPr="00B51E49" w:rsidR="00531D7F">
        <w:t xml:space="preserve">requiring defendants to </w:t>
      </w:r>
      <w:r w:rsidRPr="00B51E49" w:rsidR="00814E9B">
        <w:t xml:space="preserve">show they </w:t>
      </w:r>
      <w:r w:rsidRPr="00B51E49" w:rsidR="00221A45">
        <w:t xml:space="preserve">would </w:t>
      </w:r>
      <w:r w:rsidRPr="00B51E49" w:rsidR="00814E9B">
        <w:t xml:space="preserve">meet all threshold eligibility requirements </w:t>
      </w:r>
      <w:r w:rsidRPr="00B51E49" w:rsidR="00FF723A">
        <w:t>before the</w:t>
      </w:r>
      <w:r w:rsidRPr="00B51E49" w:rsidR="00E61E03">
        <w:t xml:space="preserve"> appellate </w:t>
      </w:r>
      <w:r w:rsidRPr="00B51E49" w:rsidR="007F2D81">
        <w:t>court may</w:t>
      </w:r>
      <w:r w:rsidRPr="00B51E49" w:rsidR="00E61E03">
        <w:t xml:space="preserve"> </w:t>
      </w:r>
      <w:r w:rsidRPr="00B51E49" w:rsidR="0071150D">
        <w:t>remand</w:t>
      </w:r>
      <w:r w:rsidRPr="00B51E49" w:rsidR="00E61E03">
        <w:t xml:space="preserve"> the case </w:t>
      </w:r>
      <w:r w:rsidRPr="00B51E49" w:rsidR="00A42B4A">
        <w:t>to the trial court</w:t>
      </w:r>
      <w:r w:rsidRPr="00B51E49" w:rsidR="00434EC5">
        <w:t xml:space="preserve"> </w:t>
      </w:r>
      <w:r w:rsidRPr="00B51E49" w:rsidR="009368B0">
        <w:t>— wh</w:t>
      </w:r>
      <w:r w:rsidRPr="00B51E49" w:rsidR="00D65613">
        <w:t>ich</w:t>
      </w:r>
      <w:r w:rsidRPr="00B51E49" w:rsidR="009368B0">
        <w:t xml:space="preserve"> d</w:t>
      </w:r>
      <w:r w:rsidRPr="00B51E49" w:rsidR="00434EC5">
        <w:t>ecide</w:t>
      </w:r>
      <w:r w:rsidRPr="00B51E49" w:rsidR="009368B0">
        <w:t>s</w:t>
      </w:r>
      <w:r w:rsidRPr="00B51E49" w:rsidR="00434EC5">
        <w:t xml:space="preserve"> in the first instance</w:t>
      </w:r>
      <w:r w:rsidRPr="00B51E49" w:rsidR="009368B0">
        <w:t xml:space="preserve"> </w:t>
      </w:r>
      <w:r w:rsidRPr="00B51E49" w:rsidR="00886050">
        <w:t xml:space="preserve">whether a defendant is eligible for diversion </w:t>
      </w:r>
      <w:r w:rsidRPr="00B51E49" w:rsidR="009368B0">
        <w:t>—</w:t>
      </w:r>
      <w:r w:rsidRPr="00B51E49" w:rsidR="00814E9B">
        <w:t xml:space="preserve"> </w:t>
      </w:r>
      <w:r w:rsidRPr="00B51E49" w:rsidR="00A42B4A">
        <w:t>would be inconsistent</w:t>
      </w:r>
      <w:r w:rsidRPr="00B51E49" w:rsidR="00C20B74">
        <w:t xml:space="preserve"> with </w:t>
      </w:r>
      <w:r w:rsidR="00341111">
        <w:t xml:space="preserve">any sensible retroactive application of the statute.  </w:t>
      </w:r>
      <w:r w:rsidR="00CD1684">
        <w:t>That, in turn, would run counter to our usual inference that the Legislature intends ameliorative statutes like this one to apply as broadly as possible within the constraints of finality</w:t>
      </w:r>
      <w:r w:rsidR="00E1306C">
        <w:t xml:space="preserve"> </w:t>
      </w:r>
      <w:r w:rsidR="00CD1684">
        <w:t>—</w:t>
      </w:r>
      <w:r w:rsidR="00E1306C">
        <w:t xml:space="preserve"> </w:t>
      </w:r>
      <w:r w:rsidR="00CD1684">
        <w:t>an inference that has not been rebutted here.</w:t>
      </w:r>
      <w:r>
        <w:rPr>
          <w:rStyle w:val="FootnoteReference"/>
        </w:rPr>
        <w:footnoteReference w:id="7"/>
      </w:r>
      <w:r w:rsidR="00CD1684">
        <w:t xml:space="preserve">  (See </w:t>
      </w:r>
      <w:r w:rsidR="00CD1684">
        <w:rPr>
          <w:i/>
        </w:rPr>
        <w:t>Lara</w:t>
      </w:r>
      <w:r w:rsidR="00CD1684">
        <w:t xml:space="preserve">, </w:t>
      </w:r>
      <w:r w:rsidR="00CD1684">
        <w:rPr>
          <w:i/>
        </w:rPr>
        <w:t>supra</w:t>
      </w:r>
      <w:r w:rsidR="00CD1684">
        <w:t xml:space="preserve">, 4 Cal.5th at p. 308, quoting </w:t>
      </w:r>
      <w:r w:rsidR="00CD1684">
        <w:rPr>
          <w:i/>
        </w:rPr>
        <w:t>Conley</w:t>
      </w:r>
      <w:r w:rsidR="00E1306C">
        <w:t xml:space="preserve">, </w:t>
      </w:r>
      <w:r w:rsidR="00E1306C">
        <w:rPr>
          <w:i/>
        </w:rPr>
        <w:t>supra</w:t>
      </w:r>
      <w:r w:rsidR="00E1306C">
        <w:t>,</w:t>
      </w:r>
      <w:r w:rsidR="00CD1684">
        <w:t xml:space="preserve"> 63 Cal.4th </w:t>
      </w:r>
      <w:r w:rsidR="00E1306C">
        <w:t>a p.</w:t>
      </w:r>
      <w:r w:rsidR="00CD1684">
        <w:t xml:space="preserve"> 657.)</w:t>
      </w:r>
      <w:r w:rsidR="008376F0">
        <w:t xml:space="preserve"> </w:t>
      </w:r>
    </w:p>
    <w:p w:rsidR="00816F1C" w:rsidRPr="00B51E49" w:rsidP="00A45BAA" w14:paraId="08EC8B6B" w14:textId="57EC35D7">
      <w:pPr>
        <w:tabs>
          <w:tab w:val="left" w:pos="1440"/>
        </w:tabs>
        <w:ind w:firstLine="720"/>
      </w:pPr>
      <w:r w:rsidRPr="00B51E49">
        <w:t xml:space="preserve">The </w:t>
      </w:r>
      <w:r w:rsidRPr="00B51E49" w:rsidR="00E10FC9">
        <w:t>People</w:t>
      </w:r>
      <w:r w:rsidRPr="00B51E49">
        <w:t xml:space="preserve"> </w:t>
      </w:r>
      <w:r w:rsidR="00DD0ADB">
        <w:t>next claim</w:t>
      </w:r>
      <w:r w:rsidRPr="00B51E49">
        <w:t xml:space="preserve"> </w:t>
      </w:r>
      <w:r w:rsidR="00E154B4">
        <w:t xml:space="preserve">that a remand would be pointless because the trial court </w:t>
      </w:r>
      <w:r w:rsidR="00737818">
        <w:t xml:space="preserve">has already made findings that cast defendant as unsuitable for diversion.  </w:t>
      </w:r>
      <w:r w:rsidR="00B74C4A">
        <w:t>T</w:t>
      </w:r>
      <w:r w:rsidRPr="00B51E49" w:rsidR="00D13335">
        <w:t xml:space="preserve">he </w:t>
      </w:r>
      <w:r w:rsidR="00B44A49">
        <w:t xml:space="preserve">People emphasize </w:t>
      </w:r>
      <w:r w:rsidR="00D53AF6">
        <w:t xml:space="preserve">the </w:t>
      </w:r>
      <w:r w:rsidRPr="00B51E49" w:rsidR="00D13335">
        <w:t xml:space="preserve">trial court’s </w:t>
      </w:r>
      <w:r w:rsidR="00D53AF6">
        <w:t>determination in the proceedings below</w:t>
      </w:r>
      <w:r w:rsidRPr="00B51E49" w:rsidR="00D53AF6">
        <w:t xml:space="preserve"> </w:t>
      </w:r>
      <w:r w:rsidRPr="00B51E49" w:rsidR="00D13335">
        <w:t xml:space="preserve">that there were no </w:t>
      </w:r>
      <w:r w:rsidRPr="00B51E49" w:rsidR="00583FBB">
        <w:t>“</w:t>
      </w:r>
      <w:r w:rsidRPr="00B51E49" w:rsidR="00D13335">
        <w:t>significant mitigating factors</w:t>
      </w:r>
      <w:r w:rsidRPr="00B51E49" w:rsidR="00583FBB">
        <w:t>”</w:t>
      </w:r>
      <w:r w:rsidRPr="00B51E49" w:rsidR="00D13335">
        <w:t xml:space="preserve"> that weighed in favor of striking </w:t>
      </w:r>
      <w:r w:rsidR="00C72CF6">
        <w:t xml:space="preserve">defendant’s </w:t>
      </w:r>
      <w:r w:rsidRPr="00B51E49" w:rsidR="00D13335">
        <w:t xml:space="preserve">prior </w:t>
      </w:r>
      <w:r w:rsidR="004B3194">
        <w:t>enhancement</w:t>
      </w:r>
      <w:r w:rsidR="0039398D">
        <w:t>.  (See §</w:t>
      </w:r>
      <w:r w:rsidR="001C09A0">
        <w:t>§</w:t>
      </w:r>
      <w:r w:rsidR="0039398D">
        <w:t> 25, subd. (c), 1385, subd. (a); Cal. Rules of Court, rules 4.409, 4.423(a)(7)</w:t>
      </w:r>
      <w:r w:rsidR="000C196F">
        <w:t xml:space="preserve">, (b)(2), 4.428(b)(1); </w:t>
      </w:r>
      <w:r w:rsidRPr="00B51E49" w:rsidR="000C196F">
        <w:rPr>
          <w:i/>
        </w:rPr>
        <w:t>People v. Williams</w:t>
      </w:r>
      <w:r w:rsidRPr="00B51E49" w:rsidR="000C196F">
        <w:t xml:space="preserve"> (1998) 17</w:t>
      </w:r>
      <w:r w:rsidR="00FF157D">
        <w:t> </w:t>
      </w:r>
      <w:r w:rsidRPr="00B51E49" w:rsidR="000C196F">
        <w:t>Cal.4th 148, 161</w:t>
      </w:r>
      <w:r w:rsidR="000C196F">
        <w:t>.</w:t>
      </w:r>
      <w:r w:rsidRPr="00B51E49" w:rsidR="000C196F">
        <w:t>)</w:t>
      </w:r>
      <w:r w:rsidR="001C09A0">
        <w:t xml:space="preserve"> </w:t>
      </w:r>
      <w:r w:rsidR="002D701F">
        <w:t xml:space="preserve"> Thus, the argument goes,</w:t>
      </w:r>
      <w:r w:rsidRPr="00B51E49" w:rsidR="00D13335">
        <w:t xml:space="preserve"> </w:t>
      </w:r>
      <w:r w:rsidRPr="003A766E" w:rsidR="003A766E">
        <w:t xml:space="preserve">the trial court has </w:t>
      </w:r>
      <w:r w:rsidR="007E78C1">
        <w:t xml:space="preserve">already </w:t>
      </w:r>
      <w:r w:rsidRPr="003A766E" w:rsidR="003A766E">
        <w:t>concluded that defendant knew his actions were illegal (Cal. Rules of Court, rule 4.423(a)(7)) and was not “suffering from a mental condition that significantly reduced culpability for” his crimes (</w:t>
      </w:r>
      <w:r w:rsidRPr="00313C98" w:rsidR="003A766E">
        <w:rPr>
          <w:i/>
        </w:rPr>
        <w:t>id.</w:t>
      </w:r>
      <w:r w:rsidRPr="003A766E" w:rsidR="003A766E">
        <w:t>, rule 4.423(b)(2))</w:t>
      </w:r>
      <w:r w:rsidR="00D040C2">
        <w:t xml:space="preserve"> —</w:t>
      </w:r>
      <w:r w:rsidRPr="003A766E" w:rsidR="003A766E">
        <w:t xml:space="preserve"> and therefore would find defendant ineligible for diversion on remand.  But we agree with defendant that these findings do not conclusively establish that a remand would be futile.  </w:t>
      </w:r>
      <w:r w:rsidRPr="00313C98" w:rsidR="00313C98">
        <w:t xml:space="preserve">Section 1001.36, subdivision (b)(1) provides that pretrial diversion may be granted if, </w:t>
      </w:r>
      <w:r w:rsidR="00CB0155">
        <w:t>among other requirements</w:t>
      </w:r>
      <w:r w:rsidRPr="00313C98" w:rsidR="00313C98">
        <w:t>, the court is satisfied that “the defendant suffers from a mental disorder” (</w:t>
      </w:r>
      <w:r w:rsidRPr="0048714C" w:rsidR="00313C98">
        <w:rPr>
          <w:i/>
        </w:rPr>
        <w:t>id.</w:t>
      </w:r>
      <w:r w:rsidRPr="00313C98" w:rsidR="00313C98">
        <w:t>, subd. (b)(1)(A)) and “the defendant’s mental disorder was a significant factor in the commission of the charged offense” (</w:t>
      </w:r>
      <w:r w:rsidRPr="0048714C" w:rsidR="00313C98">
        <w:rPr>
          <w:i/>
        </w:rPr>
        <w:t>id.</w:t>
      </w:r>
      <w:r w:rsidRPr="00313C98" w:rsidR="00313C98">
        <w:t xml:space="preserve">, subd. (b)(1)(B)).  As defendant argues, the trial court could find that these criteria for diversion are satisfied even if that court believed defendant’s mental disorder did not significantly reduce his </w:t>
      </w:r>
      <w:r w:rsidRPr="00313C98" w:rsidR="00313C98">
        <w:rPr>
          <w:i/>
        </w:rPr>
        <w:t xml:space="preserve">culpability </w:t>
      </w:r>
      <w:r w:rsidRPr="00313C98" w:rsidR="00313C98">
        <w:t>for the crimes.</w:t>
      </w:r>
    </w:p>
    <w:p w:rsidR="002108E3" w:rsidRPr="00B51E49" w:rsidP="00B51E49" w14:paraId="4B883BA3" w14:textId="36199702">
      <w:pPr>
        <w:tabs>
          <w:tab w:val="left" w:pos="1440"/>
        </w:tabs>
        <w:ind w:firstLine="720"/>
      </w:pPr>
      <w:r w:rsidRPr="00B51E49">
        <w:t>T</w:t>
      </w:r>
      <w:r w:rsidRPr="00B51E49" w:rsidR="00DD5B00">
        <w:t xml:space="preserve">he People </w:t>
      </w:r>
      <w:r w:rsidRPr="00B51E49">
        <w:t xml:space="preserve">further contend </w:t>
      </w:r>
      <w:r w:rsidRPr="00B51E49" w:rsidR="00F4618E">
        <w:t xml:space="preserve">that </w:t>
      </w:r>
      <w:r w:rsidRPr="00B51E49" w:rsidR="00F83729">
        <w:t>defendant</w:t>
      </w:r>
      <w:r w:rsidRPr="00B51E49" w:rsidR="00175EB1">
        <w:t xml:space="preserve">’s ineligibility for probation </w:t>
      </w:r>
      <w:r w:rsidRPr="00B51E49" w:rsidR="00A34638">
        <w:t>disqualifies him from</w:t>
      </w:r>
      <w:r w:rsidRPr="00B51E49" w:rsidR="00175EB1">
        <w:t xml:space="preserve"> </w:t>
      </w:r>
      <w:r w:rsidRPr="00B51E49" w:rsidR="00A34638">
        <w:t>mental health</w:t>
      </w:r>
      <w:r w:rsidRPr="00B51E49" w:rsidR="002B7214">
        <w:t xml:space="preserve"> diversion</w:t>
      </w:r>
      <w:r w:rsidRPr="00B51E49" w:rsidR="00F06CB3">
        <w:t xml:space="preserve"> bec</w:t>
      </w:r>
      <w:r w:rsidRPr="00B51E49" w:rsidR="00E37F33">
        <w:t xml:space="preserve">ause </w:t>
      </w:r>
      <w:r w:rsidRPr="00B51E49" w:rsidR="00583FBB">
        <w:t>“</w:t>
      </w:r>
      <w:r w:rsidRPr="00B51E49" w:rsidR="00E37F33">
        <w:t>diversion is similar in many respects to probation.</w:t>
      </w:r>
      <w:r w:rsidRPr="00B51E49" w:rsidR="00583FBB">
        <w:t xml:space="preserve">”  </w:t>
      </w:r>
      <w:r w:rsidRPr="00B51E49" w:rsidR="00ED5026">
        <w:t>They maintain</w:t>
      </w:r>
      <w:r w:rsidRPr="00B51E49" w:rsidR="00104C2D">
        <w:t xml:space="preserve"> that by being ineligible for probation, </w:t>
      </w:r>
      <w:r w:rsidRPr="00B51E49" w:rsidR="00F83729">
        <w:t xml:space="preserve">defendant </w:t>
      </w:r>
      <w:r w:rsidRPr="00B51E49" w:rsidR="00104C2D">
        <w:t>would also be ineligible for diversion because he would pose an unreasonable risk of danger to public safety if treated in the community.  (§ 1001.3</w:t>
      </w:r>
      <w:r w:rsidRPr="00B51E49" w:rsidR="00CF038E">
        <w:t>6</w:t>
      </w:r>
      <w:r w:rsidRPr="00B51E49" w:rsidR="00104C2D">
        <w:t xml:space="preserve">, subd. (b)(1)(F).)  </w:t>
      </w:r>
      <w:r w:rsidRPr="00B51E49" w:rsidR="004F16DD">
        <w:t xml:space="preserve">Yet again, </w:t>
      </w:r>
      <w:r w:rsidR="00753680">
        <w:t>we are</w:t>
      </w:r>
      <w:r w:rsidRPr="00B51E49" w:rsidR="004F16DD">
        <w:t xml:space="preserve"> </w:t>
      </w:r>
      <w:r w:rsidR="00D829CB">
        <w:t>not convinced</w:t>
      </w:r>
      <w:r w:rsidRPr="00B51E49" w:rsidR="00E37F33">
        <w:t xml:space="preserve">.  </w:t>
      </w:r>
      <w:r w:rsidR="00BF6DC7">
        <w:t xml:space="preserve">As a preliminary matter, the Legislature </w:t>
      </w:r>
      <w:r w:rsidR="00E56AE1">
        <w:t>left it to trial courts to make fact-specific evaluations of risk under section 1001.36, subdivision (b)(1)(F).  If the Legislature had intended to make all defendants who are ineli</w:t>
      </w:r>
      <w:r w:rsidR="00FA2051">
        <w:t>gi</w:t>
      </w:r>
      <w:r w:rsidR="00E56AE1">
        <w:t xml:space="preserve">ble for probation also ineligible for diversion, it </w:t>
      </w:r>
      <w:r w:rsidR="00FA2051">
        <w:t xml:space="preserve">could have easily said so, just as </w:t>
      </w:r>
      <w:r w:rsidR="003058F8">
        <w:t xml:space="preserve">the amendments enacted by Senate Bill 215 specified that defendants charged with certain crimes were categorically disqualified.  </w:t>
      </w:r>
      <w:r w:rsidR="00BF6DC7">
        <w:t>Moreover, a</w:t>
      </w:r>
      <w:r w:rsidRPr="00B51E49" w:rsidR="00BF6DC7">
        <w:t xml:space="preserve"> </w:t>
      </w:r>
      <w:r w:rsidRPr="00B51E49" w:rsidR="009175C0">
        <w:t xml:space="preserve">defendant may be </w:t>
      </w:r>
      <w:r w:rsidRPr="00B51E49" w:rsidR="00B33791">
        <w:t>ineligible</w:t>
      </w:r>
      <w:r w:rsidRPr="00B51E49" w:rsidR="009175C0">
        <w:t xml:space="preserve"> </w:t>
      </w:r>
      <w:r w:rsidRPr="00B51E49" w:rsidR="00B33791">
        <w:t xml:space="preserve">for </w:t>
      </w:r>
      <w:r w:rsidRPr="00B51E49" w:rsidR="009175C0">
        <w:t>probation</w:t>
      </w:r>
      <w:r w:rsidRPr="00B51E49" w:rsidR="00866355">
        <w:t xml:space="preserve"> </w:t>
      </w:r>
      <w:r w:rsidRPr="00B51E49" w:rsidR="009175C0">
        <w:t xml:space="preserve">for numerous reasons </w:t>
      </w:r>
      <w:r w:rsidRPr="00B51E49" w:rsidR="00B33791">
        <w:t>other than being found to be an unreasonable risk of danger of public safety</w:t>
      </w:r>
      <w:r w:rsidRPr="00B51E49" w:rsidR="00D4473C">
        <w:t xml:space="preserve">. </w:t>
      </w:r>
      <w:r w:rsidRPr="00B51E49" w:rsidR="00B858A0">
        <w:t xml:space="preserve"> </w:t>
      </w:r>
      <w:r w:rsidRPr="00B51E49" w:rsidR="008355A5">
        <w:t>(E.g., § 1210.1, subd. (b)</w:t>
      </w:r>
      <w:r w:rsidRPr="00B51E49" w:rsidR="005A77A6">
        <w:t xml:space="preserve">.)  </w:t>
      </w:r>
      <w:r w:rsidRPr="00B51E49" w:rsidR="00E22E49">
        <w:t xml:space="preserve">Here, defendant </w:t>
      </w:r>
      <w:r w:rsidRPr="00B51E49" w:rsidR="00300788">
        <w:t>admitted he was ineligible for probation under section 1203, subdivision (k) [</w:t>
      </w:r>
      <w:r w:rsidRPr="00B51E49" w:rsidR="00792CE8">
        <w:t xml:space="preserve">probation shall not be granted to any person who is convicted of a violent or serious felony and who was on probation for a felony offense at the time of the commission of the new felony offense].  </w:t>
      </w:r>
      <w:r w:rsidRPr="00B51E49" w:rsidR="00E37F33">
        <w:t xml:space="preserve">The </w:t>
      </w:r>
      <w:r w:rsidRPr="00B51E49" w:rsidR="00104C2D">
        <w:t xml:space="preserve">trial court made no finding </w:t>
      </w:r>
      <w:r w:rsidRPr="00B51E49" w:rsidR="006845B0">
        <w:t>regarding</w:t>
      </w:r>
      <w:r w:rsidRPr="00B51E49" w:rsidR="00104C2D">
        <w:t xml:space="preserve"> w</w:t>
      </w:r>
      <w:r w:rsidRPr="00B51E49" w:rsidR="00A25C4F">
        <w:t xml:space="preserve">hether </w:t>
      </w:r>
      <w:r w:rsidRPr="00B51E49" w:rsidR="00F83729">
        <w:t xml:space="preserve">defendant </w:t>
      </w:r>
      <w:r w:rsidRPr="00B51E49" w:rsidR="00A25C4F">
        <w:t>would pose an unreasonable risk of danger</w:t>
      </w:r>
      <w:r w:rsidRPr="00B51E49" w:rsidR="00ED5026">
        <w:t xml:space="preserve"> to public safety</w:t>
      </w:r>
      <w:r w:rsidRPr="00B51E49">
        <w:t xml:space="preserve"> if treated in the community</w:t>
      </w:r>
      <w:r w:rsidRPr="00B51E49" w:rsidR="00ED5026">
        <w:t xml:space="preserve">, and we decline to </w:t>
      </w:r>
      <w:r w:rsidRPr="00B51E49">
        <w:t>interpret its ruling in such a manner.</w:t>
      </w:r>
    </w:p>
    <w:p w:rsidR="00163411" w:rsidRPr="00B51E49" w:rsidP="00B51E49" w14:paraId="214D9E36" w14:textId="2F9E1D96">
      <w:pPr>
        <w:tabs>
          <w:tab w:val="left" w:pos="1440"/>
        </w:tabs>
        <w:ind w:firstLine="720"/>
      </w:pPr>
      <w:r w:rsidRPr="00B51E49">
        <w:t xml:space="preserve">The </w:t>
      </w:r>
      <w:r w:rsidRPr="00B51E49" w:rsidR="00E37F33">
        <w:t xml:space="preserve">People </w:t>
      </w:r>
      <w:r w:rsidR="001B7D8E">
        <w:t>also</w:t>
      </w:r>
      <w:r w:rsidRPr="00B51E49" w:rsidR="001B7D8E">
        <w:t xml:space="preserve"> </w:t>
      </w:r>
      <w:r w:rsidRPr="00B51E49" w:rsidR="00386B95">
        <w:t>assert</w:t>
      </w:r>
      <w:r w:rsidRPr="00B51E49" w:rsidR="00E37F33">
        <w:t xml:space="preserve"> that</w:t>
      </w:r>
      <w:r w:rsidRPr="00B51E49" w:rsidR="00576A54">
        <w:t xml:space="preserve"> </w:t>
      </w:r>
      <w:r w:rsidRPr="00B51E49" w:rsidR="00F83729">
        <w:t>defendant</w:t>
      </w:r>
      <w:r w:rsidRPr="00B51E49" w:rsidR="00D607AC">
        <w:t>, having already been sentenced,</w:t>
      </w:r>
      <w:r w:rsidRPr="00B51E49" w:rsidR="00F83729">
        <w:t xml:space="preserve"> </w:t>
      </w:r>
      <w:r w:rsidRPr="00B51E49" w:rsidR="00C973DF">
        <w:t xml:space="preserve">is </w:t>
      </w:r>
      <w:r w:rsidR="002921A6">
        <w:t>disqualified from</w:t>
      </w:r>
      <w:r w:rsidRPr="00B51E49" w:rsidR="00C973DF">
        <w:t xml:space="preserve"> diversion </w:t>
      </w:r>
      <w:r w:rsidRPr="00B51E49" w:rsidR="00D607AC">
        <w:t>because the Penal Code prohibits</w:t>
      </w:r>
      <w:r w:rsidRPr="00B51E49" w:rsidR="00576A54">
        <w:t xml:space="preserve"> a </w:t>
      </w:r>
      <w:r w:rsidRPr="00B51E49" w:rsidR="003F6ABE">
        <w:t xml:space="preserve">defendant </w:t>
      </w:r>
      <w:r w:rsidRPr="00B51E49" w:rsidR="00185491">
        <w:t xml:space="preserve">who is ineligible for probation or who has a prior strike from receiving a suspended sentence.  (§§ 667, subd. </w:t>
      </w:r>
      <w:r w:rsidRPr="00B51E49" w:rsidR="00F25824">
        <w:t>(c)</w:t>
      </w:r>
      <w:r w:rsidRPr="00B51E49" w:rsidR="00185491">
        <w:t>(2), 1203, subd. (k).)</w:t>
      </w:r>
      <w:r w:rsidRPr="00B51E49" w:rsidR="00D607AC">
        <w:t xml:space="preserve">  The People reason that if diversion is granted, “the trial court would necessarily be required to suspend imposition of sentence while </w:t>
      </w:r>
      <w:r w:rsidR="00B730AC">
        <w:t>[defendant]</w:t>
      </w:r>
      <w:r w:rsidRPr="00B51E49" w:rsidR="00B730AC">
        <w:t xml:space="preserve"> </w:t>
      </w:r>
      <w:r w:rsidRPr="00B51E49" w:rsidR="00D607AC">
        <w:t xml:space="preserve">pursued diversion,” contravening this rule.  </w:t>
      </w:r>
      <w:r w:rsidRPr="00B51E49">
        <w:t xml:space="preserve">But </w:t>
      </w:r>
      <w:r w:rsidRPr="00B51E49" w:rsidR="00CA2E81">
        <w:t xml:space="preserve">by conditionally reversing </w:t>
      </w:r>
      <w:r w:rsidRPr="00B51E49" w:rsidR="00F83729">
        <w:t>defendant</w:t>
      </w:r>
      <w:r w:rsidRPr="00B51E49" w:rsidR="006251C8">
        <w:t xml:space="preserve">’s convictions and sentence for an eligibility hearing under section 1001.36, the case </w:t>
      </w:r>
      <w:r w:rsidRPr="00B51E49" w:rsidR="002226CD">
        <w:t>would be</w:t>
      </w:r>
      <w:r w:rsidRPr="00B51E49" w:rsidR="006C6296">
        <w:t xml:space="preserve"> restored to its procedural posture before the jury verdict for purposes of evaluating </w:t>
      </w:r>
      <w:r w:rsidRPr="00B51E49" w:rsidR="00F83729">
        <w:t>defendant</w:t>
      </w:r>
      <w:r w:rsidRPr="00B51E49" w:rsidR="006C6296">
        <w:t>’s eligibility for pretrial mental health diversion.  (</w:t>
      </w:r>
      <w:r w:rsidRPr="00B51E49" w:rsidR="006C6296">
        <w:rPr>
          <w:i/>
        </w:rPr>
        <w:t>Burns</w:t>
      </w:r>
      <w:r w:rsidRPr="00B51E49" w:rsidR="00EE5CE7">
        <w:t xml:space="preserve">, </w:t>
      </w:r>
      <w:r w:rsidRPr="00B51E49" w:rsidR="00EE5CE7">
        <w:rPr>
          <w:i/>
        </w:rPr>
        <w:t>supra</w:t>
      </w:r>
      <w:r w:rsidRPr="00B51E49" w:rsidR="00EE5CE7">
        <w:t xml:space="preserve">, </w:t>
      </w:r>
      <w:r w:rsidRPr="00B51E49" w:rsidR="006C6296">
        <w:t>38</w:t>
      </w:r>
      <w:r w:rsidRPr="00B51E49" w:rsidR="004E1C8A">
        <w:t> </w:t>
      </w:r>
      <w:r w:rsidRPr="00B51E49" w:rsidR="006C6296">
        <w:t xml:space="preserve">Cal.App.5th </w:t>
      </w:r>
      <w:r w:rsidRPr="00B51E49" w:rsidR="00EE5CE7">
        <w:t>at p.</w:t>
      </w:r>
      <w:r w:rsidRPr="00B51E49" w:rsidR="006C6296">
        <w:t xml:space="preserve"> </w:t>
      </w:r>
      <w:r w:rsidRPr="00B51E49" w:rsidR="00CB3506">
        <w:t>789</w:t>
      </w:r>
      <w:r w:rsidRPr="00B51E49" w:rsidR="003E4819">
        <w:t>.</w:t>
      </w:r>
      <w:r w:rsidRPr="00B51E49" w:rsidR="00CB3506">
        <w:t>)</w:t>
      </w:r>
      <w:r w:rsidRPr="00B51E49">
        <w:t xml:space="preserve"> </w:t>
      </w:r>
      <w:r w:rsidRPr="00B51E49" w:rsidR="003E4819">
        <w:t xml:space="preserve"> </w:t>
      </w:r>
      <w:r w:rsidRPr="00B51E49" w:rsidR="00BB366E">
        <w:t xml:space="preserve">At that point, </w:t>
      </w:r>
      <w:r w:rsidRPr="00B51E49" w:rsidR="00F83729">
        <w:t>defendant</w:t>
      </w:r>
      <w:r w:rsidRPr="00B51E49" w:rsidR="00BB366E">
        <w:t xml:space="preserve"> faced a mere allegation of a prior </w:t>
      </w:r>
      <w:r w:rsidRPr="00B51E49" w:rsidR="00876CCC">
        <w:t>serious felony conviction</w:t>
      </w:r>
      <w:r w:rsidRPr="00B51E49" w:rsidR="00BB366E">
        <w:t xml:space="preserve">, which </w:t>
      </w:r>
      <w:r w:rsidRPr="00B51E49" w:rsidR="006B348E">
        <w:t xml:space="preserve">is not </w:t>
      </w:r>
      <w:r w:rsidRPr="00B51E49" w:rsidR="00353202">
        <w:t>enough</w:t>
      </w:r>
      <w:r w:rsidRPr="00B51E49" w:rsidR="00BB366E">
        <w:t xml:space="preserve"> to </w:t>
      </w:r>
      <w:r w:rsidRPr="00B51E49" w:rsidR="00D5370C">
        <w:t>prohibit</w:t>
      </w:r>
      <w:r w:rsidRPr="00B51E49" w:rsidR="00BB366E">
        <w:t xml:space="preserve"> a suspended sentence or diversion.</w:t>
      </w:r>
      <w:r w:rsidRPr="00B51E49" w:rsidR="000D17A3">
        <w:rPr>
          <w:rStyle w:val="CommentReference"/>
          <w:sz w:val="27"/>
        </w:rPr>
        <w:t xml:space="preserve"> </w:t>
      </w:r>
      <w:r w:rsidRPr="00B51E49" w:rsidR="000D17A3">
        <w:t xml:space="preserve"> </w:t>
      </w:r>
    </w:p>
    <w:p w:rsidR="00883693" w:rsidRPr="00B51E49" w:rsidP="00B51E49" w14:paraId="4E596090" w14:textId="4F546C97">
      <w:pPr>
        <w:tabs>
          <w:tab w:val="left" w:pos="1440"/>
        </w:tabs>
        <w:ind w:firstLine="720"/>
      </w:pPr>
      <w:r w:rsidRPr="00B51E49">
        <w:t xml:space="preserve">Last, the People </w:t>
      </w:r>
      <w:r w:rsidRPr="00B51E49" w:rsidR="00D85333">
        <w:t>maintain</w:t>
      </w:r>
      <w:r w:rsidRPr="00B51E49">
        <w:t xml:space="preserve"> that </w:t>
      </w:r>
      <w:r w:rsidRPr="00B51E49" w:rsidR="003F0D74">
        <w:t xml:space="preserve">defendant is procedurally barred from obtaining relief because his case has already been adjudicated.  </w:t>
      </w:r>
      <w:r w:rsidRPr="00B51E49" w:rsidR="00D85333">
        <w:t xml:space="preserve">This argument is unconvincing.  As previously explained, </w:t>
      </w:r>
      <w:r w:rsidRPr="00B51E49" w:rsidR="00AC5BA9">
        <w:t>the statute’s definition of “ ‘pretrial diversion’ ”</w:t>
      </w:r>
      <w:r w:rsidRPr="00B51E49" w:rsidR="00D85333">
        <w:t xml:space="preserve"> </w:t>
      </w:r>
      <w:r w:rsidRPr="00B51E49" w:rsidR="00503BC0">
        <w:t xml:space="preserve">as the postponement of prosecution </w:t>
      </w:r>
      <w:r w:rsidRPr="00B51E49" w:rsidR="0020094B">
        <w:t xml:space="preserve">at any point </w:t>
      </w:r>
      <w:r w:rsidRPr="00B51E49" w:rsidR="00765889">
        <w:t xml:space="preserve">of the judicial process </w:t>
      </w:r>
      <w:r w:rsidRPr="00B51E49" w:rsidR="0020094B">
        <w:t>“until adjudication” (§ 1001.36, subd. (</w:t>
      </w:r>
      <w:r w:rsidRPr="00B51E49" w:rsidR="00331F60">
        <w:t xml:space="preserve">c)) </w:t>
      </w:r>
      <w:r w:rsidRPr="00B51E49" w:rsidR="00D85333">
        <w:t xml:space="preserve">does not </w:t>
      </w:r>
      <w:r w:rsidRPr="00B51E49" w:rsidR="00EB60D2">
        <w:t>prevent the statute from applying retroactivel</w:t>
      </w:r>
      <w:r w:rsidRPr="00B51E49" w:rsidR="000B6FEC">
        <w:t>y</w:t>
      </w:r>
      <w:r w:rsidRPr="00B51E49" w:rsidR="00D85333">
        <w:t>.</w:t>
      </w:r>
      <w:r w:rsidRPr="00B51E49" w:rsidR="000B6FEC">
        <w:t xml:space="preserve">  </w:t>
      </w:r>
      <w:r w:rsidRPr="00B51E49" w:rsidR="00572988">
        <w:t>By definition, a</w:t>
      </w:r>
      <w:r w:rsidRPr="00B51E49" w:rsidR="000B6FEC">
        <w:t xml:space="preserve"> statute applies </w:t>
      </w:r>
      <w:r w:rsidRPr="00B51E49" w:rsidR="00572988">
        <w:t>“</w:t>
      </w:r>
      <w:r w:rsidRPr="00B51E49" w:rsidR="000B6FEC">
        <w:t>retroactively</w:t>
      </w:r>
      <w:r w:rsidRPr="00B51E49" w:rsidR="00572988">
        <w:t>”</w:t>
      </w:r>
      <w:r w:rsidRPr="00B51E49" w:rsidR="006F149E">
        <w:t xml:space="preserve"> </w:t>
      </w:r>
      <w:r w:rsidRPr="00B51E49" w:rsidR="00572988">
        <w:t xml:space="preserve">to </w:t>
      </w:r>
      <w:r w:rsidRPr="00B51E49" w:rsidR="000C1C15">
        <w:t xml:space="preserve">cases already past the procedural point </w:t>
      </w:r>
      <w:r w:rsidR="00673A13">
        <w:t xml:space="preserve">at which </w:t>
      </w:r>
      <w:r w:rsidRPr="00B51E49" w:rsidR="000C1C15">
        <w:t>the new law ordinarily applies</w:t>
      </w:r>
      <w:r w:rsidRPr="00B51E49" w:rsidR="002226CD">
        <w:t xml:space="preserve"> —</w:t>
      </w:r>
      <w:r w:rsidRPr="00B51E49" w:rsidR="000C1C15">
        <w:t xml:space="preserve"> </w:t>
      </w:r>
      <w:r w:rsidRPr="00B51E49" w:rsidR="00DE1D19">
        <w:t xml:space="preserve">here, </w:t>
      </w:r>
      <w:r w:rsidRPr="00B51E49" w:rsidR="004508DB">
        <w:t xml:space="preserve">cases that have already been adjudicated but are not yet final on appeal.  </w:t>
      </w:r>
      <w:r w:rsidRPr="00B51E49" w:rsidR="0021674C">
        <w:t>At the time section 1001.36 became effective, defendant’s case was adjudicated but</w:t>
      </w:r>
      <w:r w:rsidR="006C6BB2">
        <w:t xml:space="preserve"> the judgment was</w:t>
      </w:r>
      <w:r w:rsidRPr="00B51E49" w:rsidR="0021674C">
        <w:t xml:space="preserve"> not yet final</w:t>
      </w:r>
      <w:r w:rsidRPr="00B51E49" w:rsidR="000C1C15">
        <w:t>.</w:t>
      </w:r>
      <w:r w:rsidRPr="00B51E49" w:rsidR="00321E95">
        <w:t xml:space="preserve">  Accordingly, </w:t>
      </w:r>
      <w:r w:rsidRPr="00B51E49" w:rsidR="007D209B">
        <w:t>he is entitled to the benefits of the statute’s retroactive application</w:t>
      </w:r>
      <w:r w:rsidRPr="00B51E49" w:rsidR="00321E95">
        <w:t>.</w:t>
      </w:r>
      <w:r w:rsidRPr="00B51E49" w:rsidR="00DE1D19">
        <w:t xml:space="preserve"> </w:t>
      </w:r>
      <w:r w:rsidRPr="00B51E49" w:rsidR="000C1C15">
        <w:t xml:space="preserve">  </w:t>
      </w:r>
      <w:r w:rsidRPr="00B51E49" w:rsidR="006F149E">
        <w:t xml:space="preserve"> </w:t>
      </w:r>
    </w:p>
    <w:p w:rsidR="00014605" w:rsidRPr="00DC4212" w:rsidP="00B51E49" w14:paraId="527F6EBB" w14:textId="7D91E73D">
      <w:pPr>
        <w:tabs>
          <w:tab w:val="left" w:pos="1440"/>
        </w:tabs>
        <w:ind w:firstLine="720"/>
      </w:pPr>
      <w:r w:rsidRPr="00B51E49">
        <w:t>To summarize and apply the foregoing</w:t>
      </w:r>
      <w:r w:rsidRPr="00B51E49" w:rsidR="00CD0331">
        <w:t xml:space="preserve">, </w:t>
      </w:r>
      <w:r w:rsidRPr="00B51E49" w:rsidR="00860CD4">
        <w:t>we conclude</w:t>
      </w:r>
      <w:r w:rsidRPr="00B51E49" w:rsidR="00DD5B00">
        <w:t xml:space="preserve"> that a </w:t>
      </w:r>
      <w:r w:rsidR="006F4E6D">
        <w:t xml:space="preserve">conditional </w:t>
      </w:r>
      <w:r w:rsidRPr="00B51E49" w:rsidR="00DD5B00">
        <w:t xml:space="preserve">limited remand </w:t>
      </w:r>
      <w:r w:rsidRPr="00B51E49" w:rsidR="00BF1F23">
        <w:t xml:space="preserve">for </w:t>
      </w:r>
      <w:r w:rsidRPr="00B51E49" w:rsidR="00860CD4">
        <w:t xml:space="preserve">the trial court to conduct </w:t>
      </w:r>
      <w:r w:rsidRPr="00B51E49" w:rsidR="00BF1F23">
        <w:t xml:space="preserve">a mental health diversion eligibility hearing </w:t>
      </w:r>
      <w:r w:rsidRPr="00B51E49" w:rsidR="00DD5B00">
        <w:t>is warranted whe</w:t>
      </w:r>
      <w:r w:rsidRPr="00B51E49" w:rsidR="002226CD">
        <w:t>n</w:t>
      </w:r>
      <w:r w:rsidRPr="00B51E49" w:rsidR="00860CD4">
        <w:t>, as here,</w:t>
      </w:r>
      <w:r w:rsidRPr="00B51E49" w:rsidR="002344D1">
        <w:t xml:space="preserve"> </w:t>
      </w:r>
      <w:r w:rsidRPr="00B51E49" w:rsidR="0088108D">
        <w:t xml:space="preserve">the record </w:t>
      </w:r>
      <w:r w:rsidRPr="00B51E49" w:rsidR="004E4993">
        <w:t xml:space="preserve">affirmatively </w:t>
      </w:r>
      <w:r w:rsidRPr="00B51E49" w:rsidR="00F90BFA">
        <w:t>disclos</w:t>
      </w:r>
      <w:r w:rsidRPr="00B51E49" w:rsidR="00AD3D19">
        <w:t>e</w:t>
      </w:r>
      <w:r w:rsidRPr="00B51E49" w:rsidR="002344D1">
        <w:t>s that</w:t>
      </w:r>
      <w:r w:rsidRPr="00B51E49" w:rsidR="0088108D">
        <w:t xml:space="preserve"> </w:t>
      </w:r>
      <w:r w:rsidRPr="00B51E49" w:rsidR="00DD5B00">
        <w:t xml:space="preserve">the defendant appears to meet at least </w:t>
      </w:r>
      <w:r w:rsidRPr="00B51E49" w:rsidR="00F95D40">
        <w:t>the first</w:t>
      </w:r>
      <w:r w:rsidRPr="00B51E49" w:rsidR="00DD5B00">
        <w:t xml:space="preserve"> threshold eligibility requirement for </w:t>
      </w:r>
      <w:r w:rsidRPr="00B51E49" w:rsidR="0079671A">
        <w:t xml:space="preserve">mental health </w:t>
      </w:r>
      <w:r w:rsidRPr="00B51E49" w:rsidR="00DD5B00">
        <w:t xml:space="preserve">diversion </w:t>
      </w:r>
      <w:r w:rsidRPr="00B51E49" w:rsidR="0035380E">
        <w:t>— the defendant suffers from a qualif</w:t>
      </w:r>
      <w:r w:rsidRPr="00B51E49" w:rsidR="00A4613F">
        <w:t>ying</w:t>
      </w:r>
      <w:r w:rsidRPr="00B51E49" w:rsidR="0035380E">
        <w:t xml:space="preserve"> mental disorder </w:t>
      </w:r>
      <w:r w:rsidRPr="00B51E49" w:rsidR="00FC397F">
        <w:t>(</w:t>
      </w:r>
      <w:r w:rsidRPr="00B51E49" w:rsidR="0033553A">
        <w:t>§ 1001.36, subd. (b)(1)(A))</w:t>
      </w:r>
      <w:r w:rsidRPr="00B51E49" w:rsidR="002344D1">
        <w:t>.</w:t>
      </w:r>
      <w:r w:rsidRPr="00B51E49" w:rsidR="00DD5B00">
        <w:t xml:space="preserve">  </w:t>
      </w:r>
      <w:r w:rsidRPr="007A7D5B" w:rsidR="003D4E3E">
        <w:t xml:space="preserve">Because this case does not present such </w:t>
      </w:r>
      <w:r w:rsidRPr="007A7D5B" w:rsidR="00B9126A">
        <w:t>an issue</w:t>
      </w:r>
      <w:r w:rsidRPr="007A7D5B" w:rsidR="003D4E3E">
        <w:t xml:space="preserve">, </w:t>
      </w:r>
      <w:r w:rsidRPr="007A7D5B" w:rsidR="008049E0">
        <w:t>w</w:t>
      </w:r>
      <w:r w:rsidRPr="007A7D5B" w:rsidR="00DF7793">
        <w:t xml:space="preserve">e </w:t>
      </w:r>
      <w:r w:rsidR="0044376B">
        <w:t>do</w:t>
      </w:r>
      <w:r w:rsidRPr="007A7D5B" w:rsidR="0044376B">
        <w:t xml:space="preserve"> </w:t>
      </w:r>
      <w:r w:rsidRPr="007A7D5B" w:rsidR="00DF7793">
        <w:t xml:space="preserve">not address </w:t>
      </w:r>
      <w:r w:rsidRPr="007A7D5B" w:rsidR="008049E0">
        <w:t xml:space="preserve">the question of </w:t>
      </w:r>
      <w:r w:rsidRPr="007A7D5B" w:rsidR="00DD052F">
        <w:t xml:space="preserve">whether an appellate court </w:t>
      </w:r>
      <w:r w:rsidRPr="007A7D5B" w:rsidR="00E95FAF">
        <w:t>may</w:t>
      </w:r>
      <w:r w:rsidRPr="007A7D5B" w:rsidR="00594104">
        <w:t xml:space="preserve"> also</w:t>
      </w:r>
      <w:r w:rsidRPr="007A7D5B" w:rsidR="00DD052F">
        <w:t xml:space="preserve"> </w:t>
      </w:r>
      <w:r w:rsidRPr="007A7D5B" w:rsidR="00A26018">
        <w:t xml:space="preserve">decline </w:t>
      </w:r>
      <w:r w:rsidRPr="007A7D5B" w:rsidR="00E27DB8">
        <w:t>a defendant’s remand request</w:t>
      </w:r>
      <w:r w:rsidRPr="007A7D5B" w:rsidR="00A26018">
        <w:t xml:space="preserve"> </w:t>
      </w:r>
      <w:r w:rsidRPr="007A7D5B" w:rsidR="00E05555">
        <w:t>whe</w:t>
      </w:r>
      <w:r w:rsidRPr="007A7D5B" w:rsidR="00E5380C">
        <w:t>n</w:t>
      </w:r>
      <w:r w:rsidRPr="007A7D5B" w:rsidR="003D4E3E">
        <w:t xml:space="preserve"> </w:t>
      </w:r>
      <w:r w:rsidRPr="007A7D5B" w:rsidR="00B9126A">
        <w:t xml:space="preserve">the record </w:t>
      </w:r>
      <w:r w:rsidRPr="007A7D5B" w:rsidR="00E27DB8">
        <w:t xml:space="preserve">clearly indicates the trial court would </w:t>
      </w:r>
      <w:r w:rsidRPr="007A7D5B" w:rsidR="00454054">
        <w:t xml:space="preserve">have found </w:t>
      </w:r>
      <w:r w:rsidRPr="007A7D5B" w:rsidR="002E1FA5">
        <w:t>the defendant</w:t>
      </w:r>
      <w:r w:rsidRPr="007A7D5B" w:rsidR="00E95FAF">
        <w:t xml:space="preserve"> “</w:t>
      </w:r>
      <w:r w:rsidRPr="007A7D5B" w:rsidR="002E1FA5">
        <w:t xml:space="preserve">pose[s] </w:t>
      </w:r>
      <w:r w:rsidRPr="007A7D5B" w:rsidR="00E95FAF">
        <w:t>an unreasonable risk of danger to public safety</w:t>
      </w:r>
      <w:r w:rsidRPr="007A7D5B" w:rsidR="002E1FA5">
        <w:t>” (</w:t>
      </w:r>
      <w:r w:rsidR="004900F9">
        <w:rPr>
          <w:i/>
        </w:rPr>
        <w:t>id.</w:t>
      </w:r>
      <w:r w:rsidRPr="007A7D5B" w:rsidR="00594104">
        <w:t>, subd. (b)(1)(F))</w:t>
      </w:r>
      <w:r w:rsidRPr="007A7D5B" w:rsidR="009C4055">
        <w:t xml:space="preserve"> and is therefore ineligible for diversion</w:t>
      </w:r>
      <w:r w:rsidRPr="007A7D5B" w:rsidR="00017093">
        <w:t>.</w:t>
      </w:r>
      <w:r w:rsidRPr="00B51E49" w:rsidR="00594104">
        <w:t xml:space="preserve"> </w:t>
      </w:r>
      <w:r w:rsidRPr="00B51E49" w:rsidR="00E05555">
        <w:t xml:space="preserve"> </w:t>
      </w:r>
      <w:r w:rsidR="00F50CB3">
        <w:t xml:space="preserve">Nor are we </w:t>
      </w:r>
      <w:r w:rsidR="00B749C9">
        <w:t xml:space="preserve">here </w:t>
      </w:r>
      <w:r w:rsidR="002F6C72">
        <w:t>addressing the separate question of whether</w:t>
      </w:r>
      <w:r w:rsidR="00B16793">
        <w:t xml:space="preserve"> </w:t>
      </w:r>
      <w:r w:rsidR="002F6C72">
        <w:t>the 2019</w:t>
      </w:r>
      <w:r w:rsidR="008F2D7E">
        <w:t xml:space="preserve"> </w:t>
      </w:r>
      <w:r w:rsidR="00D75DA0">
        <w:t>amendments</w:t>
      </w:r>
      <w:r w:rsidR="008F2D7E">
        <w:t xml:space="preserve">, </w:t>
      </w:r>
      <w:r w:rsidR="00DD26B7">
        <w:t xml:space="preserve">which </w:t>
      </w:r>
      <w:r w:rsidR="00B37922">
        <w:t>render</w:t>
      </w:r>
      <w:r w:rsidR="00B774D8">
        <w:t>ed</w:t>
      </w:r>
      <w:r w:rsidR="00B37922">
        <w:t xml:space="preserve"> defendants charged with certain crimes</w:t>
      </w:r>
      <w:r w:rsidR="008F2D7E">
        <w:t xml:space="preserve"> categorically ineligible for </w:t>
      </w:r>
      <w:r w:rsidR="00B774D8">
        <w:t>diversion</w:t>
      </w:r>
      <w:r w:rsidR="002F6C72">
        <w:t xml:space="preserve">, apply </w:t>
      </w:r>
      <w:r w:rsidR="001B7229">
        <w:t>retroactively</w:t>
      </w:r>
      <w:r w:rsidR="00D75DA0">
        <w:t xml:space="preserve">. </w:t>
      </w:r>
      <w:r w:rsidR="00DC4212">
        <w:t xml:space="preserve"> (</w:t>
      </w:r>
      <w:r w:rsidR="00DC4212">
        <w:rPr>
          <w:i/>
        </w:rPr>
        <w:t>Id.</w:t>
      </w:r>
      <w:r w:rsidR="00DC4212">
        <w:t xml:space="preserve">, subd. </w:t>
      </w:r>
      <w:r w:rsidR="004900F9">
        <w:t>(b)(2)</w:t>
      </w:r>
      <w:r w:rsidR="000D1019">
        <w:t>, added by Stats. 2018, ch. 1005, § 1</w:t>
      </w:r>
      <w:r w:rsidR="004900F9">
        <w:t>.)</w:t>
      </w:r>
    </w:p>
    <w:p w:rsidR="00BB18D9" w:rsidP="00B51E49" w14:paraId="4AE5D323" w14:textId="743F693B">
      <w:pPr>
        <w:tabs>
          <w:tab w:val="left" w:pos="1440"/>
        </w:tabs>
        <w:ind w:firstLine="720"/>
      </w:pPr>
      <w:r w:rsidRPr="00B51E49">
        <w:t>T</w:t>
      </w:r>
      <w:r w:rsidRPr="00B51E49" w:rsidR="00B6106A">
        <w:t>here is evidence in the record that appears to</w:t>
      </w:r>
      <w:r w:rsidRPr="00B51E49" w:rsidR="00DD5B00">
        <w:t xml:space="preserve"> support </w:t>
      </w:r>
      <w:r w:rsidRPr="00B51E49" w:rsidR="00B6106A">
        <w:t>the first of</w:t>
      </w:r>
      <w:r w:rsidRPr="00B51E49" w:rsidR="00DD5B00">
        <w:t xml:space="preserve"> the </w:t>
      </w:r>
      <w:r w:rsidRPr="00B51E49" w:rsidR="00C872CA">
        <w:t xml:space="preserve">statute’s </w:t>
      </w:r>
      <w:r w:rsidRPr="00B51E49" w:rsidR="00DD5B00">
        <w:t>threshold eligibility requirements</w:t>
      </w:r>
      <w:r w:rsidRPr="00B51E49" w:rsidR="00B6106A">
        <w:t>, and one other besides</w:t>
      </w:r>
      <w:r w:rsidRPr="00B51E49" w:rsidR="00DD5B00">
        <w:t xml:space="preserve">.  A clinical and forensic psychologist testified that </w:t>
      </w:r>
      <w:r w:rsidRPr="00B51E49" w:rsidR="004F4A5D">
        <w:t xml:space="preserve">defendant </w:t>
      </w:r>
      <w:r w:rsidRPr="00B51E49" w:rsidR="00DD5B00">
        <w:t>suffer</w:t>
      </w:r>
      <w:r w:rsidRPr="00B51E49" w:rsidR="00A4613F">
        <w:t>s</w:t>
      </w:r>
      <w:r w:rsidRPr="00B51E49" w:rsidR="00DD5B00">
        <w:t xml:space="preserve"> from a qualifying mental disorder (§ 1001.36, subd. (b)(1)(A)), and opined that his behavior at the Santa Ana market was a consequence of </w:t>
      </w:r>
      <w:r w:rsidRPr="00B51E49" w:rsidR="00BB7378">
        <w:t>this disorder</w:t>
      </w:r>
      <w:r w:rsidRPr="00B51E49" w:rsidR="00DD5B00">
        <w:t xml:space="preserve"> </w:t>
      </w:r>
      <w:r w:rsidRPr="00B51E49" w:rsidR="00BB7378">
        <w:t>(</w:t>
      </w:r>
      <w:r w:rsidRPr="00B51E49" w:rsidR="00BB7378">
        <w:rPr>
          <w:i/>
        </w:rPr>
        <w:t>id.</w:t>
      </w:r>
      <w:r w:rsidRPr="00B51E49" w:rsidR="00DD5B00">
        <w:t>, subd. (b)(1)(B)).</w:t>
      </w:r>
      <w:r w:rsidRPr="00B51E49" w:rsidR="002A4171">
        <w:t xml:space="preserve">  </w:t>
      </w:r>
      <w:r w:rsidRPr="00B51E49" w:rsidR="00111A49">
        <w:t>This evidence suffices to make</w:t>
      </w:r>
      <w:r w:rsidRPr="00B51E49" w:rsidR="002A4171">
        <w:t xml:space="preserve"> a </w:t>
      </w:r>
      <w:r w:rsidR="0061370D">
        <w:t xml:space="preserve">conditional </w:t>
      </w:r>
      <w:r w:rsidRPr="00B51E49" w:rsidR="002A4171">
        <w:t>limited remand appropriate</w:t>
      </w:r>
      <w:r w:rsidRPr="00B51E49" w:rsidR="000B45A4">
        <w:t xml:space="preserve"> </w:t>
      </w:r>
      <w:r w:rsidRPr="00B51E49" w:rsidR="00111A49">
        <w:t>here</w:t>
      </w:r>
      <w:r w:rsidRPr="00B51E49" w:rsidR="002A4171">
        <w:t>.</w:t>
      </w:r>
    </w:p>
    <w:p w:rsidR="00701D1C" w:rsidRPr="00B51E49" w:rsidP="00C85777" w14:paraId="3FB4E748" w14:textId="32F331C4">
      <w:pPr>
        <w:pStyle w:val="Heading1"/>
      </w:pPr>
      <w:r w:rsidRPr="00B51E49">
        <w:t>III.  Disposition</w:t>
      </w:r>
    </w:p>
    <w:p w:rsidR="00B51E49" w:rsidP="00C85777" w14:paraId="5A16F96F" w14:textId="217C01C9">
      <w:pPr>
        <w:tabs>
          <w:tab w:val="left" w:pos="1440"/>
        </w:tabs>
        <w:ind w:firstLine="720"/>
      </w:pPr>
      <w:r>
        <w:t>W</w:t>
      </w:r>
      <w:r w:rsidRPr="00B51E49" w:rsidR="003E3390">
        <w:t xml:space="preserve">e affirm the judgment of the Court of Appeal, which conditionally reversed defendant’s convictions and sentence with </w:t>
      </w:r>
      <w:r w:rsidR="00701D1C">
        <w:t xml:space="preserve">the following instructions </w:t>
      </w:r>
      <w:r w:rsidRPr="00B51E49" w:rsidR="003E3390">
        <w:t xml:space="preserve">for the trial court </w:t>
      </w:r>
      <w:r w:rsidR="00701D1C">
        <w:t>in</w:t>
      </w:r>
      <w:r w:rsidRPr="00B51E49" w:rsidR="00701D1C">
        <w:t xml:space="preserve"> </w:t>
      </w:r>
      <w:r w:rsidRPr="00B51E49" w:rsidR="003E3390">
        <w:t>consider</w:t>
      </w:r>
      <w:r w:rsidR="00701D1C">
        <w:t>ing</w:t>
      </w:r>
      <w:r w:rsidRPr="00B51E49" w:rsidR="003E3390">
        <w:t xml:space="preserve"> defendant’s eligibility for diversion under section 1001.36</w:t>
      </w:r>
      <w:r w:rsidR="00701D1C">
        <w:t>:</w:t>
      </w:r>
      <w:r w:rsidRPr="00B51E49" w:rsidR="003E3390">
        <w:t xml:space="preserve">  </w:t>
      </w:r>
      <w:r w:rsidR="004D3AA7">
        <w:t xml:space="preserve">“If the trial court finds that [defendant] suffers from a mental disorder, does not pose an unreasonable risk of danger to public safety, and otherwise meets the six statutory criteria (as nearly as possible given the postconviction procedural posture of this case), then the court may grant diversion.  If [defendant] successfully completes diversion, then the court shall dismiss the charges.  However, if the court determines that [defendant] </w:t>
      </w:r>
      <w:r w:rsidR="00975495">
        <w:t>does not meet the criteria under section 1001.36, or if [defendant] does not successfully complete diversion, then his convictions and sentence shall be reinstated.”  (</w:t>
      </w:r>
      <w:r w:rsidR="00975495">
        <w:rPr>
          <w:i/>
        </w:rPr>
        <w:t>Frahs</w:t>
      </w:r>
      <w:r w:rsidR="00975495">
        <w:t xml:space="preserve">, </w:t>
      </w:r>
      <w:r w:rsidR="00975495">
        <w:rPr>
          <w:i/>
        </w:rPr>
        <w:t>supra</w:t>
      </w:r>
      <w:r w:rsidR="00975495">
        <w:t xml:space="preserve">, </w:t>
      </w:r>
      <w:r w:rsidR="00E53F6E">
        <w:t>27</w:t>
      </w:r>
      <w:r w:rsidR="00FF157D">
        <w:t> </w:t>
      </w:r>
      <w:r w:rsidR="00E53F6E">
        <w:t>Cal.App.5th at p. 792.)</w:t>
      </w:r>
      <w:r w:rsidR="00E53F6E">
        <w:rPr>
          <w:i/>
        </w:rPr>
        <w:t xml:space="preserve"> </w:t>
      </w:r>
      <w:r w:rsidRPr="00C959D4" w:rsidR="00C959D4">
        <w:rPr>
          <w:iCs/>
        </w:rPr>
        <w:t xml:space="preserve"> </w:t>
      </w:r>
      <w:r w:rsidR="00C959D4">
        <w:rPr>
          <w:iCs/>
        </w:rPr>
        <w:t xml:space="preserve">We agree that the </w:t>
      </w:r>
      <w:r w:rsidR="003A1FDC">
        <w:rPr>
          <w:iCs/>
        </w:rPr>
        <w:t>trial</w:t>
      </w:r>
      <w:r w:rsidR="00C959D4">
        <w:rPr>
          <w:iCs/>
        </w:rPr>
        <w:t xml:space="preserve"> court should adopt these procedures, and therefore </w:t>
      </w:r>
      <w:r w:rsidR="00E56587">
        <w:rPr>
          <w:iCs/>
        </w:rPr>
        <w:t xml:space="preserve">we </w:t>
      </w:r>
      <w:r w:rsidR="00C959D4">
        <w:rPr>
          <w:iCs/>
        </w:rPr>
        <w:t xml:space="preserve">remand the matter to the Court of Appeal with directions for it to remand the cause to the </w:t>
      </w:r>
      <w:r w:rsidR="00850EDD">
        <w:rPr>
          <w:iCs/>
        </w:rPr>
        <w:t>trial</w:t>
      </w:r>
      <w:r w:rsidR="00C959D4">
        <w:rPr>
          <w:iCs/>
        </w:rPr>
        <w:t xml:space="preserve"> court for further proceedings in accordance with these instructions.  </w:t>
      </w:r>
      <w:r>
        <w:t>W</w:t>
      </w:r>
      <w:r w:rsidRPr="00B51E49" w:rsidR="00CC1BFA">
        <w:t xml:space="preserve">e express no view </w:t>
      </w:r>
      <w:r w:rsidRPr="00B51E49" w:rsidR="00700675">
        <w:t>concerning</w:t>
      </w:r>
      <w:r w:rsidRPr="00B51E49" w:rsidR="00CC1BFA">
        <w:t xml:space="preserve"> whether </w:t>
      </w:r>
      <w:r w:rsidRPr="00B51E49" w:rsidR="004F4A5D">
        <w:t xml:space="preserve">defendant </w:t>
      </w:r>
      <w:r w:rsidRPr="00B51E49" w:rsidR="00CC1BFA">
        <w:t>will be able to show eligibility on remand or whether the trial court should exercise its discretion to grant diversion if it finds him eligible</w:t>
      </w:r>
      <w:r w:rsidRPr="00B51E49" w:rsidR="00DD5B00">
        <w:t>.</w:t>
      </w:r>
    </w:p>
    <w:p w:rsidR="00D82048" w:rsidRPr="00B51E49" w:rsidP="00D82048" w14:paraId="2DEF4D6E" w14:textId="6FA296E1">
      <w:pPr>
        <w:tabs>
          <w:tab w:val="left" w:pos="1440"/>
        </w:tabs>
        <w:ind w:firstLine="720"/>
      </w:pPr>
      <w:r>
        <w:t xml:space="preserve">We also disapprove the opinions in </w:t>
      </w:r>
      <w:r w:rsidRPr="00D82048">
        <w:rPr>
          <w:i/>
        </w:rPr>
        <w:t>People v. Lipsett</w:t>
      </w:r>
      <w:r>
        <w:t xml:space="preserve">, </w:t>
      </w:r>
      <w:r>
        <w:rPr>
          <w:i/>
        </w:rPr>
        <w:t>supra</w:t>
      </w:r>
      <w:r>
        <w:t>, 45 Cal.App.5th 569</w:t>
      </w:r>
      <w:r w:rsidRPr="00E713B5" w:rsidR="001B206C">
        <w:t xml:space="preserve">, review granted </w:t>
      </w:r>
      <w:r w:rsidRPr="00E713B5" w:rsidR="00E00AB6">
        <w:t>May 13, 2020, S261323</w:t>
      </w:r>
      <w:r w:rsidR="00AD239F">
        <w:t xml:space="preserve">; </w:t>
      </w:r>
      <w:r w:rsidRPr="00AD239F">
        <w:rPr>
          <w:i/>
        </w:rPr>
        <w:t>People v. Khan</w:t>
      </w:r>
      <w:r w:rsidR="00AD239F">
        <w:t xml:space="preserve">, </w:t>
      </w:r>
      <w:r w:rsidR="00AD239F">
        <w:rPr>
          <w:i/>
        </w:rPr>
        <w:t>supra</w:t>
      </w:r>
      <w:r w:rsidR="00AD239F">
        <w:t>,</w:t>
      </w:r>
      <w:r>
        <w:t xml:space="preserve"> 41 Cal.App.5th 460</w:t>
      </w:r>
      <w:r w:rsidR="0040168D">
        <w:rPr>
          <w:sz w:val="26"/>
          <w:szCs w:val="26"/>
        </w:rPr>
        <w:t xml:space="preserve">, </w:t>
      </w:r>
      <w:r w:rsidRPr="00305E67" w:rsidR="0040168D">
        <w:rPr>
          <w:szCs w:val="27"/>
        </w:rPr>
        <w:t>review granted Jan. 29, 2020, S259498</w:t>
      </w:r>
      <w:r>
        <w:t xml:space="preserve">; </w:t>
      </w:r>
      <w:r w:rsidR="00AD239F">
        <w:t xml:space="preserve">and </w:t>
      </w:r>
      <w:r w:rsidRPr="00AD239F">
        <w:rPr>
          <w:i/>
        </w:rPr>
        <w:t>People v. Craine</w:t>
      </w:r>
      <w:r w:rsidR="007F5FF1">
        <w:t xml:space="preserve">, </w:t>
      </w:r>
      <w:r w:rsidR="007F5FF1">
        <w:rPr>
          <w:i/>
        </w:rPr>
        <w:t>supra</w:t>
      </w:r>
      <w:r w:rsidR="007F5FF1">
        <w:t>,</w:t>
      </w:r>
      <w:r w:rsidR="007F5FF1">
        <w:rPr>
          <w:i/>
        </w:rPr>
        <w:t xml:space="preserve"> </w:t>
      </w:r>
      <w:r>
        <w:t>35</w:t>
      </w:r>
      <w:r w:rsidR="00FF157D">
        <w:t> </w:t>
      </w:r>
      <w:r>
        <w:t>Cal.App.5th 744</w:t>
      </w:r>
      <w:r w:rsidR="00305E67">
        <w:t>,</w:t>
      </w:r>
      <w:r w:rsidRPr="00A202EA" w:rsidR="00A202EA">
        <w:rPr>
          <w:sz w:val="26"/>
          <w:szCs w:val="26"/>
        </w:rPr>
        <w:t xml:space="preserve"> </w:t>
      </w:r>
      <w:r w:rsidRPr="00305E67" w:rsidR="00A202EA">
        <w:rPr>
          <w:szCs w:val="27"/>
        </w:rPr>
        <w:t>review granted Sept. 11, 2019, S256671</w:t>
      </w:r>
      <w:r w:rsidR="00AD239F">
        <w:t>, to the extent they are inconsistent with this opinion.</w:t>
      </w:r>
    </w:p>
    <w:p w:rsidR="00335D89" w:rsidRPr="00C85777" w:rsidP="00C85777" w14:paraId="2279B8F9" w14:textId="7D13FAD2">
      <w:pPr>
        <w:tabs>
          <w:tab w:val="right" w:pos="7740"/>
        </w:tabs>
        <w:ind w:firstLine="720"/>
      </w:pPr>
      <w:r>
        <w:rPr>
          <w:b/>
        </w:rPr>
        <w:tab/>
      </w:r>
      <w:r w:rsidRPr="00B51E49" w:rsidR="0081763F">
        <w:rPr>
          <w:b/>
        </w:rPr>
        <w:t>CANTIL-SAKAUYE, C. J.</w:t>
      </w:r>
    </w:p>
    <w:p w:rsidR="004E1C8A" w:rsidP="00C85777" w14:paraId="7E346C21" w14:textId="77777777">
      <w:pPr>
        <w:tabs>
          <w:tab w:val="left" w:pos="1440"/>
        </w:tabs>
        <w:spacing w:line="480" w:lineRule="atLeast"/>
        <w:rPr>
          <w:b/>
        </w:rPr>
      </w:pPr>
      <w:r w:rsidRPr="00DC4B44">
        <w:rPr>
          <w:b/>
        </w:rPr>
        <w:t>We Concur</w:t>
      </w:r>
      <w:r w:rsidR="00295770">
        <w:rPr>
          <w:b/>
        </w:rPr>
        <w:t>:</w:t>
      </w:r>
    </w:p>
    <w:p w:rsidR="00AB67D1" w:rsidRPr="00FF157D" w:rsidP="00FF157D" w14:paraId="31B89350" w14:textId="69E92E25">
      <w:pPr>
        <w:tabs>
          <w:tab w:val="left" w:pos="1440"/>
        </w:tabs>
        <w:spacing w:after="0" w:line="240" w:lineRule="auto"/>
        <w:rPr>
          <w:b/>
          <w:bCs/>
        </w:rPr>
      </w:pPr>
      <w:r w:rsidRPr="00FF157D">
        <w:rPr>
          <w:b/>
          <w:bCs/>
        </w:rPr>
        <w:t>CHIN, J.</w:t>
      </w:r>
    </w:p>
    <w:p w:rsidR="00FF157D" w:rsidRPr="00FF157D" w:rsidP="00FF157D" w14:paraId="319C2EEA" w14:textId="35E081A0">
      <w:pPr>
        <w:tabs>
          <w:tab w:val="left" w:pos="1440"/>
        </w:tabs>
        <w:spacing w:after="0" w:line="240" w:lineRule="auto"/>
        <w:rPr>
          <w:b/>
          <w:bCs/>
        </w:rPr>
      </w:pPr>
      <w:r w:rsidRPr="00FF157D">
        <w:rPr>
          <w:b/>
          <w:bCs/>
        </w:rPr>
        <w:t>CORRIGAN, J.</w:t>
      </w:r>
    </w:p>
    <w:p w:rsidR="00FF157D" w:rsidRPr="00FF157D" w:rsidP="00FF157D" w14:paraId="00D9B790" w14:textId="66A5B52A">
      <w:pPr>
        <w:tabs>
          <w:tab w:val="left" w:pos="1440"/>
        </w:tabs>
        <w:spacing w:after="0" w:line="240" w:lineRule="auto"/>
        <w:rPr>
          <w:b/>
          <w:bCs/>
        </w:rPr>
      </w:pPr>
      <w:r w:rsidRPr="00FF157D">
        <w:rPr>
          <w:b/>
          <w:bCs/>
        </w:rPr>
        <w:t>LIU, J.</w:t>
      </w:r>
    </w:p>
    <w:p w:rsidR="00FF157D" w:rsidRPr="00FF157D" w:rsidP="00FF157D" w14:paraId="61A1F13A" w14:textId="140D5BC6">
      <w:pPr>
        <w:tabs>
          <w:tab w:val="left" w:pos="1440"/>
        </w:tabs>
        <w:spacing w:after="0" w:line="240" w:lineRule="auto"/>
        <w:rPr>
          <w:b/>
          <w:bCs/>
        </w:rPr>
      </w:pPr>
      <w:r w:rsidRPr="00FF157D">
        <w:rPr>
          <w:b/>
          <w:bCs/>
        </w:rPr>
        <w:t>CUÉLLAR, J.</w:t>
      </w:r>
    </w:p>
    <w:p w:rsidR="00FF157D" w:rsidRPr="00FF157D" w:rsidP="00FF157D" w14:paraId="5F86663D" w14:textId="29C349C3">
      <w:pPr>
        <w:tabs>
          <w:tab w:val="left" w:pos="1440"/>
        </w:tabs>
        <w:spacing w:after="0" w:line="240" w:lineRule="auto"/>
        <w:rPr>
          <w:b/>
          <w:bCs/>
        </w:rPr>
      </w:pPr>
      <w:r w:rsidRPr="00FF157D">
        <w:rPr>
          <w:b/>
          <w:bCs/>
        </w:rPr>
        <w:t>KRUGER, J.</w:t>
      </w:r>
    </w:p>
    <w:p w:rsidR="00FF157D" w:rsidP="00FF157D" w14:paraId="43F19595" w14:textId="1F8B18CE">
      <w:pPr>
        <w:tabs>
          <w:tab w:val="left" w:pos="1440"/>
        </w:tabs>
        <w:spacing w:after="0" w:line="240" w:lineRule="auto"/>
        <w:rPr>
          <w:b/>
          <w:bCs/>
        </w:rPr>
      </w:pPr>
      <w:r w:rsidRPr="00FF157D">
        <w:rPr>
          <w:b/>
          <w:bCs/>
        </w:rPr>
        <w:t>GROBAN, J.</w:t>
      </w:r>
    </w:p>
    <w:p w:rsidR="00BB5E65" w:rsidP="00FF157D" w14:paraId="43F79BBC" w14:textId="77777777">
      <w:pPr>
        <w:tabs>
          <w:tab w:val="left" w:pos="1440"/>
        </w:tabs>
        <w:spacing w:after="0" w:line="240" w:lineRule="auto"/>
        <w:rPr>
          <w:b/>
          <w:bCs/>
        </w:rPr>
        <w:sectPr w:rsidSect="00D41BA3">
          <w:footerReference w:type="default" r:id="rId12"/>
          <w:footerReference w:type="first" r:id="rId13"/>
          <w:pgSz w:w="12240" w:h="15840"/>
          <w:pgMar w:top="1800" w:right="2160" w:bottom="1440" w:left="2160" w:header="720" w:footer="720" w:gutter="0"/>
          <w:pgNumType w:start="1"/>
          <w:cols w:space="720"/>
          <w:titlePg/>
          <w:docGrid w:linePitch="367"/>
        </w:sectPr>
      </w:pPr>
    </w:p>
    <w:p w:rsidR="00564BCE" w:rsidRPr="00564BCE" w:rsidP="00564BCE" w14:paraId="18D6C590" w14:textId="77777777">
      <w:pPr>
        <w:spacing w:after="0" w:line="240" w:lineRule="auto"/>
        <w:jc w:val="left"/>
        <w:rPr>
          <w:rFonts w:ascii="Times New Roman" w:hAnsi="Times New Roman"/>
          <w:i/>
          <w:sz w:val="20"/>
        </w:rPr>
      </w:pPr>
      <w:r w:rsidRPr="00564BCE">
        <w:rPr>
          <w:rFonts w:ascii="Times New Roman" w:hAnsi="Times New Roman"/>
          <w:i/>
          <w:sz w:val="20"/>
        </w:rPr>
        <w:t>See next page for addresses and telephone numbers for counsel who argued in Supreme Court.</w:t>
      </w:r>
    </w:p>
    <w:p w:rsidR="00564BCE" w:rsidRPr="00564BCE" w:rsidP="00564BCE" w14:paraId="0265DEA3" w14:textId="77777777">
      <w:pPr>
        <w:spacing w:after="0" w:line="240" w:lineRule="auto"/>
        <w:jc w:val="left"/>
        <w:rPr>
          <w:rFonts w:ascii="Times New Roman" w:hAnsi="Times New Roman"/>
          <w:i/>
          <w:sz w:val="20"/>
        </w:rPr>
      </w:pPr>
    </w:p>
    <w:p w:rsidR="00564BCE" w:rsidRPr="00564BCE" w:rsidP="00564BCE" w14:paraId="191AC4F8" w14:textId="77777777">
      <w:pPr>
        <w:spacing w:after="0" w:line="240" w:lineRule="auto"/>
        <w:jc w:val="left"/>
        <w:rPr>
          <w:rFonts w:ascii="Times New Roman" w:hAnsi="Times New Roman"/>
          <w:b/>
          <w:sz w:val="20"/>
        </w:rPr>
      </w:pPr>
      <w:r w:rsidRPr="00564BCE">
        <w:rPr>
          <w:rFonts w:ascii="Times New Roman" w:hAnsi="Times New Roman"/>
          <w:b/>
          <w:sz w:val="20"/>
        </w:rPr>
        <w:t xml:space="preserve">Name of Opinion </w:t>
      </w:r>
      <w:r w:rsidRPr="00564BCE">
        <w:rPr>
          <w:rFonts w:ascii="Times New Roman" w:hAnsi="Times New Roman"/>
          <w:bCs/>
          <w:sz w:val="20"/>
        </w:rPr>
        <w:t>People v. Frahs</w:t>
      </w:r>
      <w:r w:rsidRPr="00564BCE">
        <w:rPr>
          <w:rFonts w:ascii="Times New Roman" w:hAnsi="Times New Roman"/>
          <w:sz w:val="20"/>
        </w:rPr>
        <w:t xml:space="preserve"> </w:t>
      </w:r>
      <w:r w:rsidRPr="00564BCE">
        <w:rPr>
          <w:rFonts w:ascii="Times New Roman" w:hAnsi="Times New Roman"/>
          <w:b/>
          <w:sz w:val="20"/>
        </w:rPr>
        <w:t>__________________________________________________________________________________</w:t>
      </w:r>
    </w:p>
    <w:p w:rsidR="00564BCE" w:rsidRPr="00564BCE" w:rsidP="00564BCE" w14:paraId="330328F3" w14:textId="77777777">
      <w:pPr>
        <w:spacing w:after="0" w:line="240" w:lineRule="auto"/>
        <w:jc w:val="left"/>
        <w:rPr>
          <w:rFonts w:ascii="Times New Roman" w:hAnsi="Times New Roman"/>
          <w:b/>
          <w:sz w:val="20"/>
        </w:rPr>
      </w:pPr>
    </w:p>
    <w:p w:rsidR="00564BCE" w:rsidRPr="00564BCE" w:rsidP="00564BCE" w14:paraId="1B46CE5E" w14:textId="77777777">
      <w:pPr>
        <w:spacing w:after="0" w:line="240" w:lineRule="auto"/>
        <w:jc w:val="left"/>
        <w:rPr>
          <w:rFonts w:ascii="Times New Roman" w:hAnsi="Times New Roman"/>
          <w:bCs/>
          <w:sz w:val="20"/>
        </w:rPr>
      </w:pPr>
      <w:r w:rsidRPr="00564BCE">
        <w:rPr>
          <w:rFonts w:ascii="Times New Roman" w:hAnsi="Times New Roman"/>
          <w:b/>
          <w:sz w:val="20"/>
        </w:rPr>
        <w:t>Unpublished Opinion</w:t>
      </w:r>
    </w:p>
    <w:p w:rsidR="00564BCE" w:rsidRPr="00564BCE" w:rsidP="00564BCE" w14:paraId="0667A8B2" w14:textId="77777777">
      <w:pPr>
        <w:spacing w:after="0" w:line="240" w:lineRule="auto"/>
        <w:jc w:val="left"/>
        <w:rPr>
          <w:rFonts w:ascii="Times New Roman" w:hAnsi="Times New Roman"/>
          <w:sz w:val="20"/>
        </w:rPr>
      </w:pPr>
      <w:r w:rsidRPr="00564BCE">
        <w:rPr>
          <w:rFonts w:ascii="Times New Roman" w:hAnsi="Times New Roman"/>
          <w:b/>
          <w:sz w:val="20"/>
        </w:rPr>
        <w:t>Original Appeal</w:t>
      </w:r>
    </w:p>
    <w:p w:rsidR="00564BCE" w:rsidRPr="00564BCE" w:rsidP="00564BCE" w14:paraId="51BF5F26" w14:textId="77777777">
      <w:pPr>
        <w:spacing w:after="0" w:line="240" w:lineRule="auto"/>
        <w:jc w:val="left"/>
        <w:rPr>
          <w:rFonts w:ascii="Times New Roman" w:hAnsi="Times New Roman"/>
          <w:b/>
          <w:sz w:val="20"/>
        </w:rPr>
      </w:pPr>
      <w:r w:rsidRPr="00564BCE">
        <w:rPr>
          <w:rFonts w:ascii="Times New Roman" w:hAnsi="Times New Roman"/>
          <w:b/>
          <w:sz w:val="20"/>
        </w:rPr>
        <w:t xml:space="preserve">Original Proceeding </w:t>
      </w:r>
    </w:p>
    <w:p w:rsidR="00564BCE" w:rsidRPr="00564BCE" w:rsidP="00564BCE" w14:paraId="35B20E45" w14:textId="77777777">
      <w:pPr>
        <w:spacing w:after="0" w:line="240" w:lineRule="auto"/>
        <w:jc w:val="left"/>
        <w:rPr>
          <w:rFonts w:ascii="Times New Roman" w:hAnsi="Times New Roman"/>
          <w:bCs/>
          <w:sz w:val="20"/>
        </w:rPr>
      </w:pPr>
      <w:r w:rsidRPr="00564BCE">
        <w:rPr>
          <w:rFonts w:ascii="Times New Roman" w:hAnsi="Times New Roman"/>
          <w:b/>
          <w:sz w:val="20"/>
        </w:rPr>
        <w:t xml:space="preserve">Review Granted </w:t>
      </w:r>
      <w:r w:rsidRPr="00564BCE">
        <w:rPr>
          <w:rFonts w:ascii="Times New Roman" w:hAnsi="Times New Roman"/>
          <w:bCs/>
          <w:sz w:val="20"/>
        </w:rPr>
        <w:t>XX 27 Cal.App.5th 784</w:t>
      </w:r>
    </w:p>
    <w:p w:rsidR="00564BCE" w:rsidRPr="00564BCE" w:rsidP="00564BCE" w14:paraId="0ADA4243" w14:textId="77777777">
      <w:pPr>
        <w:spacing w:after="0" w:line="240" w:lineRule="auto"/>
        <w:jc w:val="left"/>
        <w:rPr>
          <w:rFonts w:ascii="Times New Roman" w:hAnsi="Times New Roman"/>
          <w:b/>
          <w:sz w:val="20"/>
        </w:rPr>
      </w:pPr>
      <w:r w:rsidRPr="00564BCE">
        <w:rPr>
          <w:rFonts w:ascii="Times New Roman" w:hAnsi="Times New Roman"/>
          <w:b/>
          <w:sz w:val="20"/>
        </w:rPr>
        <w:t>Rehearing Granted</w:t>
      </w:r>
    </w:p>
    <w:p w:rsidR="00564BCE" w:rsidRPr="00564BCE" w:rsidP="00564BCE" w14:paraId="722CCBF8" w14:textId="77777777">
      <w:pPr>
        <w:spacing w:after="0" w:line="240" w:lineRule="auto"/>
        <w:jc w:val="left"/>
        <w:rPr>
          <w:rFonts w:ascii="Times New Roman" w:hAnsi="Times New Roman"/>
          <w:b/>
          <w:sz w:val="20"/>
        </w:rPr>
      </w:pPr>
    </w:p>
    <w:p w:rsidR="00564BCE" w:rsidRPr="00564BCE" w:rsidP="00564BCE" w14:paraId="3B99DBCF" w14:textId="77777777">
      <w:pPr>
        <w:spacing w:after="0" w:line="240" w:lineRule="auto"/>
        <w:jc w:val="left"/>
        <w:rPr>
          <w:rFonts w:ascii="Times New Roman" w:hAnsi="Times New Roman"/>
          <w:b/>
          <w:sz w:val="20"/>
        </w:rPr>
      </w:pPr>
      <w:r w:rsidRPr="00564BCE">
        <w:rPr>
          <w:rFonts w:ascii="Times New Roman" w:hAnsi="Times New Roman"/>
          <w:b/>
          <w:sz w:val="20"/>
        </w:rPr>
        <w:t>__________________________________________________________________________________</w:t>
      </w:r>
    </w:p>
    <w:p w:rsidR="00564BCE" w:rsidRPr="00564BCE" w:rsidP="00564BCE" w14:paraId="189271A3" w14:textId="77777777">
      <w:pPr>
        <w:spacing w:after="0" w:line="240" w:lineRule="auto"/>
        <w:jc w:val="left"/>
        <w:rPr>
          <w:rFonts w:ascii="Times New Roman" w:hAnsi="Times New Roman"/>
          <w:b/>
          <w:sz w:val="20"/>
        </w:rPr>
      </w:pPr>
    </w:p>
    <w:p w:rsidR="00564BCE" w:rsidRPr="00564BCE" w:rsidP="00564BCE" w14:paraId="451E4119" w14:textId="77777777">
      <w:pPr>
        <w:spacing w:after="0" w:line="240" w:lineRule="auto"/>
        <w:jc w:val="left"/>
        <w:rPr>
          <w:rFonts w:ascii="Times New Roman" w:hAnsi="Times New Roman"/>
          <w:bCs/>
          <w:sz w:val="20"/>
        </w:rPr>
      </w:pPr>
      <w:r w:rsidRPr="00564BCE">
        <w:rPr>
          <w:rFonts w:ascii="Times New Roman" w:hAnsi="Times New Roman"/>
          <w:b/>
          <w:sz w:val="20"/>
        </w:rPr>
        <w:t>Opinion No.</w:t>
      </w:r>
      <w:r w:rsidRPr="00564BCE">
        <w:rPr>
          <w:rFonts w:ascii="Times New Roman" w:hAnsi="Times New Roman"/>
          <w:sz w:val="20"/>
        </w:rPr>
        <w:t xml:space="preserve"> S252220</w:t>
      </w:r>
    </w:p>
    <w:p w:rsidR="00564BCE" w:rsidRPr="00564BCE" w:rsidP="00564BCE" w14:paraId="34B42F7A" w14:textId="77777777">
      <w:pPr>
        <w:spacing w:after="0" w:line="240" w:lineRule="auto"/>
        <w:jc w:val="left"/>
        <w:rPr>
          <w:rFonts w:ascii="Times New Roman" w:hAnsi="Times New Roman"/>
          <w:sz w:val="20"/>
        </w:rPr>
      </w:pPr>
      <w:r w:rsidRPr="00564BCE">
        <w:rPr>
          <w:rFonts w:ascii="Times New Roman" w:hAnsi="Times New Roman"/>
          <w:b/>
          <w:sz w:val="20"/>
        </w:rPr>
        <w:t>Date Filed:</w:t>
      </w:r>
      <w:r w:rsidRPr="00564BCE">
        <w:rPr>
          <w:rFonts w:ascii="Times New Roman" w:hAnsi="Times New Roman"/>
          <w:sz w:val="20"/>
        </w:rPr>
        <w:t xml:space="preserve">  June 18, 2020</w:t>
      </w:r>
    </w:p>
    <w:p w:rsidR="00564BCE" w:rsidRPr="00564BCE" w:rsidP="00564BCE" w14:paraId="7F8E3B86" w14:textId="77777777">
      <w:pPr>
        <w:spacing w:after="0" w:line="240" w:lineRule="auto"/>
        <w:jc w:val="left"/>
        <w:rPr>
          <w:rFonts w:ascii="Times New Roman" w:hAnsi="Times New Roman"/>
          <w:b/>
          <w:sz w:val="20"/>
        </w:rPr>
      </w:pPr>
      <w:r w:rsidRPr="00564BCE">
        <w:rPr>
          <w:rFonts w:ascii="Times New Roman" w:hAnsi="Times New Roman"/>
          <w:b/>
          <w:sz w:val="20"/>
        </w:rPr>
        <w:t>__________________________________________________________________________________</w:t>
      </w:r>
    </w:p>
    <w:p w:rsidR="00564BCE" w:rsidRPr="00564BCE" w:rsidP="00564BCE" w14:paraId="0E8E8C94" w14:textId="77777777">
      <w:pPr>
        <w:spacing w:after="0" w:line="240" w:lineRule="auto"/>
        <w:jc w:val="left"/>
        <w:rPr>
          <w:rFonts w:ascii="Times New Roman" w:hAnsi="Times New Roman"/>
          <w:b/>
          <w:sz w:val="20"/>
        </w:rPr>
      </w:pPr>
    </w:p>
    <w:p w:rsidR="00564BCE" w:rsidRPr="00564BCE" w:rsidP="00564BCE" w14:paraId="0DB3B7DA" w14:textId="77777777">
      <w:pPr>
        <w:spacing w:after="0" w:line="240" w:lineRule="auto"/>
        <w:jc w:val="left"/>
        <w:rPr>
          <w:rFonts w:ascii="Times New Roman" w:hAnsi="Times New Roman"/>
          <w:bCs/>
          <w:sz w:val="20"/>
        </w:rPr>
      </w:pPr>
      <w:r w:rsidRPr="00564BCE">
        <w:rPr>
          <w:rFonts w:ascii="Times New Roman" w:hAnsi="Times New Roman"/>
          <w:b/>
          <w:sz w:val="20"/>
        </w:rPr>
        <w:t xml:space="preserve">Court:  </w:t>
      </w:r>
      <w:r w:rsidRPr="00564BCE">
        <w:rPr>
          <w:rFonts w:ascii="Times New Roman" w:hAnsi="Times New Roman"/>
          <w:bCs/>
          <w:sz w:val="20"/>
        </w:rPr>
        <w:t>Superior</w:t>
      </w:r>
    </w:p>
    <w:p w:rsidR="00564BCE" w:rsidRPr="00564BCE" w:rsidP="00564BCE" w14:paraId="42A0CE82" w14:textId="77777777">
      <w:pPr>
        <w:spacing w:after="0" w:line="240" w:lineRule="auto"/>
        <w:jc w:val="left"/>
        <w:rPr>
          <w:rFonts w:ascii="Times New Roman" w:hAnsi="Times New Roman"/>
          <w:bCs/>
          <w:sz w:val="20"/>
        </w:rPr>
      </w:pPr>
      <w:r w:rsidRPr="00564BCE">
        <w:rPr>
          <w:rFonts w:ascii="Times New Roman" w:hAnsi="Times New Roman"/>
          <w:b/>
          <w:sz w:val="20"/>
        </w:rPr>
        <w:t xml:space="preserve">County:  </w:t>
      </w:r>
      <w:r w:rsidRPr="00564BCE">
        <w:rPr>
          <w:rFonts w:ascii="Times New Roman" w:hAnsi="Times New Roman"/>
          <w:bCs/>
          <w:sz w:val="20"/>
        </w:rPr>
        <w:t>Orange</w:t>
      </w:r>
    </w:p>
    <w:p w:rsidR="00564BCE" w:rsidRPr="00564BCE" w:rsidP="00564BCE" w14:paraId="2E1F206D" w14:textId="77777777">
      <w:pPr>
        <w:spacing w:after="0" w:line="240" w:lineRule="auto"/>
        <w:ind w:left="720" w:hanging="720"/>
        <w:jc w:val="left"/>
        <w:rPr>
          <w:rFonts w:ascii="Times New Roman" w:hAnsi="Times New Roman"/>
          <w:bCs/>
          <w:sz w:val="20"/>
        </w:rPr>
      </w:pPr>
      <w:r w:rsidRPr="00564BCE">
        <w:rPr>
          <w:rFonts w:ascii="Times New Roman" w:hAnsi="Times New Roman"/>
          <w:b/>
          <w:sz w:val="20"/>
        </w:rPr>
        <w:t xml:space="preserve">Judge:  </w:t>
      </w:r>
      <w:r w:rsidRPr="00564BCE">
        <w:rPr>
          <w:rFonts w:ascii="Times New Roman" w:hAnsi="Times New Roman"/>
          <w:bCs/>
          <w:sz w:val="20"/>
        </w:rPr>
        <w:t>Glenn R. Salter</w:t>
      </w:r>
    </w:p>
    <w:p w:rsidR="00564BCE" w:rsidRPr="00564BCE" w:rsidP="00564BCE" w14:paraId="7B2BCF35" w14:textId="77777777">
      <w:pPr>
        <w:spacing w:after="0" w:line="240" w:lineRule="auto"/>
        <w:jc w:val="left"/>
        <w:rPr>
          <w:rFonts w:ascii="Times New Roman" w:hAnsi="Times New Roman"/>
          <w:b/>
          <w:sz w:val="20"/>
        </w:rPr>
      </w:pPr>
    </w:p>
    <w:p w:rsidR="00564BCE" w:rsidRPr="00564BCE" w:rsidP="00564BCE" w14:paraId="5AB92DBF" w14:textId="77777777">
      <w:pPr>
        <w:spacing w:after="0" w:line="240" w:lineRule="auto"/>
        <w:jc w:val="left"/>
        <w:rPr>
          <w:rFonts w:ascii="Times New Roman" w:hAnsi="Times New Roman"/>
          <w:b/>
          <w:sz w:val="20"/>
        </w:rPr>
      </w:pPr>
      <w:r w:rsidRPr="00564BCE">
        <w:rPr>
          <w:rFonts w:ascii="Times New Roman" w:hAnsi="Times New Roman"/>
          <w:b/>
          <w:sz w:val="20"/>
        </w:rPr>
        <w:t>__________________________________________________________________________________</w:t>
      </w:r>
    </w:p>
    <w:p w:rsidR="00564BCE" w:rsidRPr="00564BCE" w:rsidP="00564BCE" w14:paraId="0D1CDE38" w14:textId="77777777">
      <w:pPr>
        <w:spacing w:after="0" w:line="240" w:lineRule="auto"/>
        <w:jc w:val="left"/>
        <w:rPr>
          <w:rFonts w:ascii="Times New Roman" w:hAnsi="Times New Roman"/>
          <w:b/>
          <w:sz w:val="20"/>
        </w:rPr>
      </w:pPr>
    </w:p>
    <w:p w:rsidR="00564BCE" w:rsidRPr="00564BCE" w:rsidP="00564BCE" w14:paraId="2785B80D" w14:textId="77777777">
      <w:pPr>
        <w:spacing w:after="0" w:line="240" w:lineRule="auto"/>
        <w:jc w:val="left"/>
        <w:rPr>
          <w:rFonts w:ascii="Times New Roman" w:hAnsi="Times New Roman"/>
          <w:b/>
          <w:sz w:val="20"/>
        </w:rPr>
      </w:pPr>
      <w:r w:rsidRPr="00564BCE">
        <w:rPr>
          <w:rFonts w:ascii="Times New Roman" w:hAnsi="Times New Roman"/>
          <w:b/>
          <w:sz w:val="20"/>
        </w:rPr>
        <w:t>Counsel:</w:t>
      </w:r>
    </w:p>
    <w:p w:rsidR="00564BCE" w:rsidRPr="00564BCE" w:rsidP="00564BCE" w14:paraId="4FF29CEB" w14:textId="77777777">
      <w:pPr>
        <w:spacing w:after="0" w:line="240" w:lineRule="auto"/>
        <w:jc w:val="left"/>
        <w:rPr>
          <w:rFonts w:ascii="Times New Roman" w:hAnsi="Times New Roman"/>
          <w:b/>
          <w:sz w:val="20"/>
        </w:rPr>
      </w:pPr>
    </w:p>
    <w:p w:rsidR="00564BCE" w:rsidRPr="00564BCE" w:rsidP="00564BCE" w14:paraId="297AC72D" w14:textId="77777777">
      <w:pPr>
        <w:spacing w:after="0" w:line="240" w:lineRule="auto"/>
        <w:jc w:val="left"/>
        <w:rPr>
          <w:rFonts w:ascii="Times New Roman" w:hAnsi="Times New Roman"/>
          <w:color w:val="373739"/>
          <w:sz w:val="20"/>
          <w:shd w:val="clear" w:color="auto" w:fill="FFFFFF"/>
        </w:rPr>
      </w:pPr>
      <w:r w:rsidRPr="00564BCE">
        <w:rPr>
          <w:rFonts w:ascii="Times New Roman" w:hAnsi="Times New Roman"/>
          <w:color w:val="373739"/>
          <w:sz w:val="20"/>
          <w:shd w:val="clear" w:color="auto" w:fill="FFFFFF"/>
        </w:rPr>
        <w:t>Arthur Martin and Susan L. Ferguson, under appointments by the Supreme Court, for Defendant and Appellant.</w:t>
      </w:r>
      <w:r w:rsidRPr="00564BCE">
        <w:rPr>
          <w:rFonts w:ascii="Times New Roman" w:hAnsi="Times New Roman"/>
          <w:color w:val="373739"/>
          <w:sz w:val="20"/>
        </w:rPr>
        <w:br/>
      </w:r>
      <w:r w:rsidRPr="00564BCE">
        <w:rPr>
          <w:rFonts w:ascii="Times New Roman" w:hAnsi="Times New Roman"/>
          <w:color w:val="373739"/>
          <w:sz w:val="20"/>
        </w:rPr>
        <w:br/>
      </w:r>
      <w:r w:rsidRPr="00564BCE">
        <w:rPr>
          <w:rFonts w:ascii="Times New Roman" w:hAnsi="Times New Roman"/>
          <w:color w:val="373739"/>
          <w:sz w:val="20"/>
          <w:shd w:val="clear" w:color="auto" w:fill="FFFFFF"/>
        </w:rPr>
        <w:t>Xavier Becerra, Attorney General, Gerald A. Engler, Chief Assistant Attorney General, Julie L. Garland, Assistant Attorney General, Matthew Mulford, Marilyn George, Meredith White, Daniel Hilton and Steve Oetting, Deputy Attorneys General, for Plaintiff and Respondent.</w:t>
      </w:r>
    </w:p>
    <w:p w:rsidR="00564BCE" w:rsidRPr="00564BCE" w:rsidP="00564BCE" w14:paraId="6637E116" w14:textId="77777777">
      <w:pPr>
        <w:spacing w:after="0" w:line="240" w:lineRule="auto"/>
        <w:jc w:val="left"/>
        <w:rPr>
          <w:rFonts w:ascii="Times New Roman" w:hAnsi="Times New Roman"/>
          <w:color w:val="373739"/>
          <w:sz w:val="20"/>
          <w:shd w:val="clear" w:color="auto" w:fill="FFFFFF"/>
        </w:rPr>
      </w:pPr>
    </w:p>
    <w:p w:rsidR="00564BCE" w:rsidRPr="00564BCE" w:rsidP="00564BCE" w14:paraId="08C2FDBC" w14:textId="77777777">
      <w:pPr>
        <w:spacing w:after="0" w:line="240" w:lineRule="auto"/>
        <w:jc w:val="left"/>
        <w:rPr>
          <w:rFonts w:ascii="Times New Roman" w:hAnsi="Times New Roman"/>
          <w:b/>
          <w:sz w:val="20"/>
        </w:rPr>
      </w:pPr>
    </w:p>
    <w:p w:rsidR="00564BCE" w:rsidRPr="00564BCE" w:rsidP="00564BCE" w14:paraId="3B8CC8A0" w14:textId="77777777">
      <w:pPr>
        <w:spacing w:after="0" w:line="240" w:lineRule="auto"/>
        <w:jc w:val="left"/>
        <w:rPr>
          <w:rFonts w:ascii="Times New Roman" w:hAnsi="Times New Roman"/>
          <w:b/>
          <w:sz w:val="20"/>
        </w:rPr>
      </w:pPr>
      <w:r w:rsidRPr="00564BCE">
        <w:rPr>
          <w:rFonts w:ascii="Times New Roman" w:hAnsi="Times New Roman"/>
          <w:b/>
          <w:sz w:val="20"/>
        </w:rPr>
        <w:br w:type="page"/>
      </w:r>
    </w:p>
    <w:p w:rsidR="00564BCE" w:rsidRPr="00564BCE" w:rsidP="00564BCE" w14:paraId="22F965DD" w14:textId="77777777">
      <w:pPr>
        <w:spacing w:after="0" w:line="240" w:lineRule="auto"/>
        <w:jc w:val="left"/>
        <w:rPr>
          <w:rFonts w:ascii="Times New Roman" w:hAnsi="Times New Roman"/>
          <w:b/>
          <w:sz w:val="20"/>
        </w:rPr>
      </w:pPr>
    </w:p>
    <w:p w:rsidR="00564BCE" w:rsidRPr="00564BCE" w:rsidP="00564BCE" w14:paraId="54C58A8D" w14:textId="77777777">
      <w:pPr>
        <w:spacing w:after="0" w:line="240" w:lineRule="auto"/>
        <w:jc w:val="left"/>
        <w:rPr>
          <w:rFonts w:ascii="Times New Roman" w:hAnsi="Times New Roman"/>
          <w:b/>
          <w:sz w:val="20"/>
        </w:rPr>
      </w:pPr>
    </w:p>
    <w:p w:rsidR="00564BCE" w:rsidRPr="00564BCE" w:rsidP="00564BCE" w14:paraId="39613710" w14:textId="77777777">
      <w:pPr>
        <w:spacing w:after="0" w:line="240" w:lineRule="auto"/>
        <w:jc w:val="left"/>
        <w:rPr>
          <w:rFonts w:ascii="Times New Roman" w:hAnsi="Times New Roman"/>
          <w:b/>
          <w:sz w:val="20"/>
        </w:rPr>
      </w:pPr>
    </w:p>
    <w:p w:rsidR="00564BCE" w:rsidRPr="00564BCE" w:rsidP="00564BCE" w14:paraId="618A339B" w14:textId="77777777">
      <w:pPr>
        <w:spacing w:after="0" w:line="240" w:lineRule="auto"/>
        <w:jc w:val="left"/>
        <w:rPr>
          <w:rFonts w:ascii="Times New Roman" w:hAnsi="Times New Roman"/>
          <w:b/>
          <w:sz w:val="20"/>
        </w:rPr>
      </w:pPr>
      <w:r w:rsidRPr="00564BCE">
        <w:rPr>
          <w:rFonts w:ascii="Times New Roman" w:hAnsi="Times New Roman"/>
          <w:b/>
          <w:sz w:val="20"/>
        </w:rPr>
        <w:t>Counsel who argued in Supreme Court (not intended for publication with opinion):</w:t>
      </w:r>
    </w:p>
    <w:p w:rsidR="00564BCE" w:rsidRPr="00564BCE" w:rsidP="00564BCE" w14:paraId="0DEAB680" w14:textId="77777777">
      <w:pPr>
        <w:spacing w:after="0" w:line="240" w:lineRule="auto"/>
        <w:jc w:val="left"/>
        <w:rPr>
          <w:rFonts w:ascii="Times New Roman" w:hAnsi="Times New Roman"/>
          <w:b/>
          <w:sz w:val="20"/>
        </w:rPr>
      </w:pPr>
    </w:p>
    <w:p w:rsidR="00564BCE" w:rsidRPr="00564BCE" w:rsidP="00564BCE" w14:paraId="00680347" w14:textId="77777777">
      <w:pPr>
        <w:spacing w:after="0" w:line="240" w:lineRule="auto"/>
        <w:jc w:val="left"/>
        <w:rPr>
          <w:rFonts w:ascii="Times New Roman" w:hAnsi="Times New Roman"/>
          <w:sz w:val="20"/>
        </w:rPr>
      </w:pPr>
      <w:r w:rsidRPr="00564BCE">
        <w:rPr>
          <w:rFonts w:ascii="Times New Roman" w:hAnsi="Times New Roman"/>
          <w:sz w:val="20"/>
        </w:rPr>
        <w:t>Steve Oetting</w:t>
      </w:r>
    </w:p>
    <w:p w:rsidR="00564BCE" w:rsidRPr="00564BCE" w:rsidP="00564BCE" w14:paraId="315265CE" w14:textId="1351A1B3">
      <w:pPr>
        <w:spacing w:after="0" w:line="240" w:lineRule="auto"/>
        <w:jc w:val="left"/>
        <w:rPr>
          <w:rFonts w:ascii="Times New Roman" w:hAnsi="Times New Roman"/>
          <w:sz w:val="20"/>
        </w:rPr>
      </w:pPr>
      <w:r w:rsidRPr="00564BCE">
        <w:rPr>
          <w:rFonts w:ascii="Times New Roman" w:hAnsi="Times New Roman"/>
          <w:sz w:val="20"/>
        </w:rPr>
        <w:t>Deputy Attorney General</w:t>
      </w:r>
    </w:p>
    <w:p w:rsidR="00564BCE" w:rsidRPr="00564BCE" w:rsidP="00564BCE" w14:paraId="41184D5B" w14:textId="77777777">
      <w:pPr>
        <w:spacing w:after="0" w:line="240" w:lineRule="auto"/>
        <w:jc w:val="left"/>
        <w:rPr>
          <w:rFonts w:ascii="Times New Roman" w:hAnsi="Times New Roman"/>
          <w:sz w:val="20"/>
        </w:rPr>
      </w:pPr>
      <w:r w:rsidRPr="00564BCE">
        <w:rPr>
          <w:rFonts w:ascii="Times New Roman" w:hAnsi="Times New Roman"/>
          <w:sz w:val="20"/>
        </w:rPr>
        <w:t>600 West Broadway, Suite 1800</w:t>
      </w:r>
    </w:p>
    <w:p w:rsidR="00564BCE" w:rsidRPr="00564BCE" w:rsidP="00564BCE" w14:paraId="5C5C62CA" w14:textId="77777777">
      <w:pPr>
        <w:spacing w:after="0" w:line="240" w:lineRule="auto"/>
        <w:jc w:val="left"/>
        <w:rPr>
          <w:rFonts w:ascii="Times New Roman" w:hAnsi="Times New Roman"/>
          <w:sz w:val="20"/>
        </w:rPr>
      </w:pPr>
      <w:r w:rsidRPr="00564BCE">
        <w:rPr>
          <w:rFonts w:ascii="Times New Roman" w:hAnsi="Times New Roman"/>
          <w:sz w:val="20"/>
        </w:rPr>
        <w:t>San Diego, CA 92186-5266</w:t>
      </w:r>
    </w:p>
    <w:p w:rsidR="00564BCE" w:rsidRPr="00564BCE" w:rsidP="00564BCE" w14:paraId="5F46CB34" w14:textId="77777777">
      <w:pPr>
        <w:spacing w:after="0" w:line="240" w:lineRule="auto"/>
        <w:jc w:val="left"/>
        <w:rPr>
          <w:rFonts w:ascii="Times New Roman" w:hAnsi="Times New Roman"/>
          <w:sz w:val="20"/>
        </w:rPr>
      </w:pPr>
      <w:r w:rsidRPr="00564BCE">
        <w:rPr>
          <w:rFonts w:ascii="Times New Roman" w:hAnsi="Times New Roman"/>
          <w:sz w:val="20"/>
        </w:rPr>
        <w:t>(619) 738-9207</w:t>
      </w:r>
    </w:p>
    <w:p w:rsidR="00564BCE" w:rsidRPr="00564BCE" w:rsidP="00564BCE" w14:paraId="39EE7257" w14:textId="77777777">
      <w:pPr>
        <w:spacing w:after="0" w:line="240" w:lineRule="auto"/>
        <w:jc w:val="left"/>
        <w:rPr>
          <w:rFonts w:ascii="Times New Roman" w:hAnsi="Times New Roman"/>
          <w:sz w:val="20"/>
        </w:rPr>
      </w:pPr>
    </w:p>
    <w:p w:rsidR="00564BCE" w:rsidRPr="00564BCE" w:rsidP="00564BCE" w14:paraId="0BA55564" w14:textId="77777777">
      <w:pPr>
        <w:spacing w:after="0" w:line="240" w:lineRule="auto"/>
        <w:jc w:val="left"/>
        <w:rPr>
          <w:rFonts w:ascii="Times New Roman" w:hAnsi="Times New Roman"/>
          <w:sz w:val="20"/>
        </w:rPr>
      </w:pPr>
      <w:r w:rsidRPr="00564BCE">
        <w:rPr>
          <w:rFonts w:ascii="Times New Roman" w:hAnsi="Times New Roman"/>
          <w:sz w:val="20"/>
        </w:rPr>
        <w:t>Arthur Martin</w:t>
      </w:r>
    </w:p>
    <w:p w:rsidR="00564BCE" w:rsidRPr="00564BCE" w:rsidP="00564BCE" w14:paraId="60C99260" w14:textId="77777777">
      <w:pPr>
        <w:spacing w:after="0" w:line="240" w:lineRule="auto"/>
        <w:jc w:val="left"/>
        <w:rPr>
          <w:rFonts w:ascii="Times New Roman" w:hAnsi="Times New Roman"/>
          <w:sz w:val="20"/>
        </w:rPr>
      </w:pPr>
      <w:r w:rsidRPr="00564BCE">
        <w:rPr>
          <w:rFonts w:ascii="Times New Roman" w:hAnsi="Times New Roman"/>
          <w:sz w:val="20"/>
        </w:rPr>
        <w:t>Appellate Defenders, Inc.</w:t>
      </w:r>
    </w:p>
    <w:p w:rsidR="00564BCE" w:rsidRPr="00564BCE" w:rsidP="00564BCE" w14:paraId="30015DCB" w14:textId="77777777">
      <w:pPr>
        <w:spacing w:after="0" w:line="240" w:lineRule="auto"/>
        <w:jc w:val="left"/>
        <w:rPr>
          <w:rFonts w:ascii="Times New Roman" w:hAnsi="Times New Roman"/>
          <w:sz w:val="20"/>
        </w:rPr>
      </w:pPr>
      <w:r w:rsidRPr="00564BCE">
        <w:rPr>
          <w:rFonts w:ascii="Times New Roman" w:hAnsi="Times New Roman"/>
          <w:sz w:val="20"/>
        </w:rPr>
        <w:t>555 West Beech Street, Suite 300</w:t>
      </w:r>
    </w:p>
    <w:p w:rsidR="00564BCE" w:rsidRPr="00564BCE" w:rsidP="00564BCE" w14:paraId="3F780452" w14:textId="77777777">
      <w:pPr>
        <w:spacing w:after="0" w:line="240" w:lineRule="auto"/>
        <w:jc w:val="left"/>
        <w:rPr>
          <w:rFonts w:ascii="Times New Roman" w:hAnsi="Times New Roman"/>
          <w:sz w:val="20"/>
        </w:rPr>
      </w:pPr>
      <w:r w:rsidRPr="00564BCE">
        <w:rPr>
          <w:rFonts w:ascii="Times New Roman" w:hAnsi="Times New Roman"/>
          <w:sz w:val="20"/>
        </w:rPr>
        <w:t>San Diego, CA 92101</w:t>
      </w:r>
    </w:p>
    <w:p w:rsidR="00564BCE" w:rsidRPr="00564BCE" w:rsidP="00564BCE" w14:paraId="7A4A93E1" w14:textId="77777777">
      <w:pPr>
        <w:spacing w:after="0" w:line="240" w:lineRule="auto"/>
        <w:jc w:val="left"/>
        <w:rPr>
          <w:rFonts w:ascii="Times New Roman" w:hAnsi="Times New Roman"/>
          <w:sz w:val="20"/>
        </w:rPr>
      </w:pPr>
      <w:r w:rsidRPr="00564BCE">
        <w:rPr>
          <w:rFonts w:ascii="Times New Roman" w:hAnsi="Times New Roman"/>
          <w:sz w:val="20"/>
        </w:rPr>
        <w:t>(619) 696-0282</w:t>
      </w:r>
    </w:p>
    <w:p w:rsidR="00BB5E65" w:rsidRPr="00FF157D" w:rsidP="00FF157D" w14:paraId="36434EF5" w14:textId="55449AE8">
      <w:pPr>
        <w:tabs>
          <w:tab w:val="left" w:pos="1440"/>
        </w:tabs>
        <w:spacing w:after="0" w:line="240" w:lineRule="auto"/>
        <w:rPr>
          <w:b/>
          <w:bCs/>
        </w:rPr>
      </w:pPr>
    </w:p>
    <w:sectPr w:rsidSect="00BB5E65">
      <w:headerReference w:type="default" r:id="rId14"/>
      <w:footerReference w:type="default" r:id="rId15"/>
      <w:footerReference w:type="first" r:id="rId16"/>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22" w14:paraId="6300A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E5C" w14:paraId="6E4F4A70"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22" w14:paraId="300A7F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1C8A" w14:paraId="5A2C6EFC"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618" w14:paraId="135C0BC2" w14:textId="4D3BDF7A">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BCE" w:rsidRPr="00564BCE" w:rsidP="00564BCE" w14:paraId="7CB53EC1" w14:textId="503568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BCE" w:rsidRPr="00564BCE" w:rsidP="00564BCE" w14:paraId="57498675" w14:textId="3AB8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424E" w14:paraId="60EC9120" w14:textId="77777777">
      <w:r>
        <w:separator/>
      </w:r>
    </w:p>
  </w:footnote>
  <w:footnote w:type="continuationSeparator" w:id="1">
    <w:p w:rsidR="006E424E" w14:paraId="7FA24775" w14:textId="77777777">
      <w:pPr>
        <w:rPr>
          <w:sz w:val="22"/>
        </w:rPr>
      </w:pPr>
      <w:r>
        <w:continuationSeparator/>
      </w:r>
    </w:p>
  </w:footnote>
  <w:footnote w:type="continuationNotice" w:id="2">
    <w:p w:rsidR="006E424E" w:rsidP="00EB7A10" w14:paraId="7C1E8EAB" w14:textId="77777777">
      <w:pPr>
        <w:rPr>
          <w:i/>
          <w:sz w:val="20"/>
        </w:rPr>
      </w:pPr>
    </w:p>
  </w:footnote>
  <w:footnote w:id="3">
    <w:p w:rsidR="00B64E5C" w:rsidP="00B51E49" w14:paraId="61D4E843" w14:textId="16D320E0">
      <w:pPr>
        <w:pStyle w:val="FootnoteText"/>
      </w:pPr>
      <w:r>
        <w:rPr>
          <w:rStyle w:val="FootnoteReference"/>
        </w:rPr>
        <w:footnoteRef/>
      </w:r>
      <w:r>
        <w:t xml:space="preserve"> </w:t>
      </w:r>
      <w:r>
        <w:tab/>
        <w:t>All subsequent statutory citations are to the Penal Code unless otherwise indicated.</w:t>
      </w:r>
    </w:p>
  </w:footnote>
  <w:footnote w:id="4">
    <w:p w:rsidR="00B64E5C" w:rsidRPr="000428B9" w:rsidP="00B51E49" w14:paraId="104E031E" w14:textId="47B5D2E3">
      <w:pPr>
        <w:pStyle w:val="FootnoteText"/>
      </w:pPr>
      <w:r>
        <w:rPr>
          <w:rStyle w:val="FootnoteReference"/>
        </w:rPr>
        <w:footnoteRef/>
      </w:r>
      <w:r>
        <w:t xml:space="preserve"> </w:t>
      </w:r>
      <w:r>
        <w:tab/>
      </w:r>
      <w:r w:rsidRPr="009D521A">
        <w:rPr>
          <w:szCs w:val="27"/>
        </w:rPr>
        <w:t>Several published appellate decisions are in accord.  (</w:t>
      </w:r>
      <w:r w:rsidRPr="009D521A">
        <w:rPr>
          <w:i/>
          <w:szCs w:val="27"/>
        </w:rPr>
        <w:t xml:space="preserve">People v. Burns </w:t>
      </w:r>
      <w:r w:rsidRPr="009D521A">
        <w:rPr>
          <w:szCs w:val="27"/>
        </w:rPr>
        <w:t>(2019) 38 Cal.App.5th 776</w:t>
      </w:r>
      <w:r w:rsidRPr="009D521A" w:rsidR="001C057C">
        <w:rPr>
          <w:szCs w:val="27"/>
        </w:rPr>
        <w:t>, review granted Oct.</w:t>
      </w:r>
      <w:r w:rsidR="00FF157D">
        <w:rPr>
          <w:szCs w:val="27"/>
        </w:rPr>
        <w:t> </w:t>
      </w:r>
      <w:r w:rsidRPr="009D521A" w:rsidR="001C057C">
        <w:rPr>
          <w:szCs w:val="27"/>
        </w:rPr>
        <w:t>30, 2019, S257738</w:t>
      </w:r>
      <w:r w:rsidRPr="009D521A">
        <w:rPr>
          <w:szCs w:val="27"/>
        </w:rPr>
        <w:t xml:space="preserve"> [</w:t>
      </w:r>
      <w:r w:rsidRPr="009D521A" w:rsidR="00E41B79">
        <w:rPr>
          <w:szCs w:val="27"/>
        </w:rPr>
        <w:t>§</w:t>
      </w:r>
      <w:r w:rsidRPr="009D521A">
        <w:rPr>
          <w:szCs w:val="27"/>
        </w:rPr>
        <w:t xml:space="preserve"> 1001.36 applies retroactively]; </w:t>
      </w:r>
      <w:r w:rsidRPr="009D521A">
        <w:rPr>
          <w:i/>
          <w:szCs w:val="27"/>
        </w:rPr>
        <w:t>People v. Hughes</w:t>
      </w:r>
      <w:r w:rsidRPr="009D521A">
        <w:rPr>
          <w:szCs w:val="27"/>
        </w:rPr>
        <w:t xml:space="preserve"> (2019) 39</w:t>
      </w:r>
      <w:r w:rsidRPr="009D521A" w:rsidR="00B51E49">
        <w:rPr>
          <w:szCs w:val="27"/>
        </w:rPr>
        <w:t> </w:t>
      </w:r>
      <w:r w:rsidRPr="009D521A">
        <w:rPr>
          <w:szCs w:val="27"/>
        </w:rPr>
        <w:t>Cal.App.5th 886</w:t>
      </w:r>
      <w:r w:rsidRPr="009D521A" w:rsidR="00E97007">
        <w:rPr>
          <w:szCs w:val="27"/>
        </w:rPr>
        <w:t>, review granted Nov. 26, 2019, S258541</w:t>
      </w:r>
      <w:r w:rsidRPr="009D521A">
        <w:rPr>
          <w:szCs w:val="27"/>
        </w:rPr>
        <w:t xml:space="preserve"> [same]; </w:t>
      </w:r>
      <w:r w:rsidRPr="009D521A">
        <w:rPr>
          <w:i/>
          <w:szCs w:val="27"/>
        </w:rPr>
        <w:t xml:space="preserve">People v. Weaver </w:t>
      </w:r>
      <w:r w:rsidRPr="009D521A">
        <w:rPr>
          <w:szCs w:val="27"/>
        </w:rPr>
        <w:t>(2019) 36</w:t>
      </w:r>
      <w:r w:rsidRPr="009D521A" w:rsidR="004E1C8A">
        <w:rPr>
          <w:szCs w:val="27"/>
        </w:rPr>
        <w:t> </w:t>
      </w:r>
      <w:r w:rsidRPr="009D521A">
        <w:rPr>
          <w:szCs w:val="27"/>
        </w:rPr>
        <w:t>Cal.App.5th 1103</w:t>
      </w:r>
      <w:r w:rsidRPr="009D521A" w:rsidR="00D06122">
        <w:rPr>
          <w:szCs w:val="27"/>
        </w:rPr>
        <w:t>, review granted Oct. 9, 2019, S257049</w:t>
      </w:r>
      <w:r w:rsidRPr="009D521A">
        <w:rPr>
          <w:szCs w:val="27"/>
        </w:rPr>
        <w:t xml:space="preserve"> [same]; </w:t>
      </w:r>
      <w:r w:rsidRPr="009D521A">
        <w:rPr>
          <w:i/>
          <w:szCs w:val="27"/>
        </w:rPr>
        <w:t xml:space="preserve">People v. Weir </w:t>
      </w:r>
      <w:r w:rsidRPr="009D521A">
        <w:rPr>
          <w:szCs w:val="27"/>
        </w:rPr>
        <w:t>(2019) 33</w:t>
      </w:r>
      <w:r w:rsidRPr="009D521A" w:rsidR="00B51E49">
        <w:rPr>
          <w:szCs w:val="27"/>
        </w:rPr>
        <w:t> </w:t>
      </w:r>
      <w:r w:rsidRPr="009D521A">
        <w:rPr>
          <w:szCs w:val="27"/>
        </w:rPr>
        <w:t>Cal.App.5th 868</w:t>
      </w:r>
      <w:r w:rsidRPr="009D521A" w:rsidR="008703D0">
        <w:rPr>
          <w:szCs w:val="27"/>
        </w:rPr>
        <w:t>, review granted June 26, 2019, S255212</w:t>
      </w:r>
      <w:r w:rsidRPr="009D521A">
        <w:rPr>
          <w:szCs w:val="27"/>
        </w:rPr>
        <w:t xml:space="preserve"> [same].)</w:t>
      </w:r>
      <w:r w:rsidRPr="009D521A" w:rsidR="002A2F95">
        <w:rPr>
          <w:szCs w:val="27"/>
        </w:rPr>
        <w:t xml:space="preserve"> </w:t>
      </w:r>
      <w:r w:rsidRPr="009D521A" w:rsidR="0098012F">
        <w:rPr>
          <w:szCs w:val="27"/>
        </w:rPr>
        <w:t xml:space="preserve"> O</w:t>
      </w:r>
      <w:r w:rsidRPr="009D521A" w:rsidR="0038103D">
        <w:rPr>
          <w:szCs w:val="27"/>
        </w:rPr>
        <w:t xml:space="preserve">ther Courts of Appeal have </w:t>
      </w:r>
      <w:r w:rsidRPr="009D521A" w:rsidR="00DD05B5">
        <w:rPr>
          <w:szCs w:val="27"/>
        </w:rPr>
        <w:t>reached a different conclusion</w:t>
      </w:r>
      <w:r w:rsidRPr="009D521A" w:rsidR="0098012F">
        <w:rPr>
          <w:szCs w:val="27"/>
        </w:rPr>
        <w:t>.</w:t>
      </w:r>
      <w:r w:rsidRPr="009D521A" w:rsidR="002A2F95">
        <w:rPr>
          <w:szCs w:val="27"/>
        </w:rPr>
        <w:t xml:space="preserve"> </w:t>
      </w:r>
      <w:r w:rsidRPr="009D521A" w:rsidR="0098012F">
        <w:rPr>
          <w:szCs w:val="27"/>
        </w:rPr>
        <w:t xml:space="preserve"> </w:t>
      </w:r>
      <w:r w:rsidRPr="009D521A" w:rsidR="00424366">
        <w:rPr>
          <w:szCs w:val="27"/>
        </w:rPr>
        <w:t>(</w:t>
      </w:r>
      <w:r w:rsidRPr="00E1773E" w:rsidR="00424366">
        <w:rPr>
          <w:i/>
          <w:szCs w:val="27"/>
        </w:rPr>
        <w:t>People v. Lipsett</w:t>
      </w:r>
      <w:r w:rsidRPr="00E1773E" w:rsidR="00424366">
        <w:rPr>
          <w:szCs w:val="27"/>
        </w:rPr>
        <w:t xml:space="preserve"> (2020) 45 Cal.App.5th</w:t>
      </w:r>
      <w:r w:rsidRPr="00E1773E" w:rsidR="00A70500">
        <w:rPr>
          <w:szCs w:val="27"/>
        </w:rPr>
        <w:t xml:space="preserve"> 569</w:t>
      </w:r>
      <w:r w:rsidRPr="00E1773E" w:rsidR="00576843">
        <w:rPr>
          <w:szCs w:val="27"/>
        </w:rPr>
        <w:t>, review granted May 13, 2020</w:t>
      </w:r>
      <w:r w:rsidRPr="00E1773E" w:rsidR="001B206C">
        <w:rPr>
          <w:szCs w:val="27"/>
        </w:rPr>
        <w:t>, S261323</w:t>
      </w:r>
      <w:r w:rsidRPr="00E1773E" w:rsidR="00414EA6">
        <w:rPr>
          <w:szCs w:val="27"/>
        </w:rPr>
        <w:t xml:space="preserve"> </w:t>
      </w:r>
      <w:r w:rsidRPr="00E1773E" w:rsidR="00A70500">
        <w:rPr>
          <w:szCs w:val="27"/>
        </w:rPr>
        <w:t>[</w:t>
      </w:r>
      <w:r w:rsidRPr="00B77A6B" w:rsidR="00E41B79">
        <w:rPr>
          <w:szCs w:val="27"/>
        </w:rPr>
        <w:t>§</w:t>
      </w:r>
      <w:r w:rsidRPr="00E1773E" w:rsidR="00A70500">
        <w:rPr>
          <w:szCs w:val="27"/>
        </w:rPr>
        <w:t xml:space="preserve"> 1001.36 does not apply retroactively</w:t>
      </w:r>
      <w:r w:rsidRPr="00E1773E" w:rsidR="00424366">
        <w:rPr>
          <w:szCs w:val="27"/>
        </w:rPr>
        <w:t xml:space="preserve">]; </w:t>
      </w:r>
      <w:r w:rsidRPr="00E1773E" w:rsidR="00424366">
        <w:rPr>
          <w:i/>
          <w:szCs w:val="27"/>
        </w:rPr>
        <w:t>People v. Khan</w:t>
      </w:r>
      <w:r w:rsidRPr="00E1773E" w:rsidR="00424366">
        <w:rPr>
          <w:szCs w:val="27"/>
        </w:rPr>
        <w:t xml:space="preserve"> (2019) 41 Cal.App.5th 460</w:t>
      </w:r>
      <w:r w:rsidRPr="00B77A6B" w:rsidR="00AD42CA">
        <w:rPr>
          <w:szCs w:val="27"/>
        </w:rPr>
        <w:t>, review granted June 26, 2019, S255212</w:t>
      </w:r>
      <w:r w:rsidRPr="00E1773E" w:rsidR="00A70500">
        <w:rPr>
          <w:szCs w:val="27"/>
        </w:rPr>
        <w:t xml:space="preserve"> [same]</w:t>
      </w:r>
      <w:r w:rsidRPr="00E1773E" w:rsidR="00424366">
        <w:rPr>
          <w:szCs w:val="27"/>
        </w:rPr>
        <w:t xml:space="preserve">; </w:t>
      </w:r>
      <w:r w:rsidRPr="00E1773E" w:rsidR="00424366">
        <w:rPr>
          <w:i/>
          <w:szCs w:val="27"/>
        </w:rPr>
        <w:t>People v. Craine</w:t>
      </w:r>
      <w:r w:rsidRPr="00E1773E" w:rsidR="00424366">
        <w:rPr>
          <w:szCs w:val="27"/>
        </w:rPr>
        <w:t xml:space="preserve"> (2019) 35 Cal.App.5th 744</w:t>
      </w:r>
      <w:r w:rsidRPr="00E1773E" w:rsidR="00576843">
        <w:rPr>
          <w:szCs w:val="27"/>
        </w:rPr>
        <w:t>,</w:t>
      </w:r>
      <w:r w:rsidRPr="00E1773E" w:rsidR="00074696">
        <w:rPr>
          <w:szCs w:val="27"/>
        </w:rPr>
        <w:t xml:space="preserve"> review granted Sept. 11, 2019, S256671</w:t>
      </w:r>
      <w:r w:rsidRPr="00E1773E" w:rsidR="00A70500">
        <w:rPr>
          <w:szCs w:val="27"/>
        </w:rPr>
        <w:t xml:space="preserve"> [same]</w:t>
      </w:r>
      <w:r w:rsidRPr="00E1773E" w:rsidR="0098012F">
        <w:rPr>
          <w:szCs w:val="27"/>
        </w:rPr>
        <w:t>.</w:t>
      </w:r>
      <w:r w:rsidRPr="00E1773E" w:rsidR="00A70500">
        <w:rPr>
          <w:szCs w:val="27"/>
        </w:rPr>
        <w:t>)</w:t>
      </w:r>
      <w:r w:rsidRPr="00E1773E" w:rsidR="00D83E06">
        <w:rPr>
          <w:szCs w:val="27"/>
        </w:rPr>
        <w:t xml:space="preserve">  As explained below</w:t>
      </w:r>
      <w:r w:rsidRPr="00E1773E" w:rsidR="00074696">
        <w:rPr>
          <w:szCs w:val="27"/>
        </w:rPr>
        <w:t xml:space="preserve"> (see pt. III, </w:t>
      </w:r>
      <w:r w:rsidRPr="00E1773E" w:rsidR="00074696">
        <w:rPr>
          <w:i/>
          <w:szCs w:val="27"/>
        </w:rPr>
        <w:t>post</w:t>
      </w:r>
      <w:r w:rsidRPr="00E1773E" w:rsidR="00074696">
        <w:rPr>
          <w:szCs w:val="27"/>
        </w:rPr>
        <w:t>)</w:t>
      </w:r>
      <w:r w:rsidRPr="00E1773E" w:rsidR="00D83E06">
        <w:rPr>
          <w:szCs w:val="27"/>
        </w:rPr>
        <w:t xml:space="preserve">, we will disapprove </w:t>
      </w:r>
      <w:r w:rsidRPr="00E1773E" w:rsidR="006E0E26">
        <w:rPr>
          <w:szCs w:val="27"/>
        </w:rPr>
        <w:t>these contrary</w:t>
      </w:r>
      <w:r w:rsidRPr="00E1773E" w:rsidR="00D83E06">
        <w:rPr>
          <w:szCs w:val="27"/>
        </w:rPr>
        <w:t xml:space="preserve"> decisions.</w:t>
      </w:r>
      <w:r w:rsidRPr="00B77A6B" w:rsidR="000428B9">
        <w:rPr>
          <w:szCs w:val="27"/>
        </w:rPr>
        <w:t xml:space="preserve">  </w:t>
      </w:r>
    </w:p>
  </w:footnote>
  <w:footnote w:id="5">
    <w:p w:rsidR="002324CF" w:rsidP="002324CF" w14:paraId="37BE9CF3" w14:textId="77777777">
      <w:pPr>
        <w:pStyle w:val="FootnoteText"/>
        <w:keepLines/>
      </w:pPr>
      <w:r>
        <w:rPr>
          <w:rStyle w:val="FootnoteReference"/>
        </w:rPr>
        <w:footnoteRef/>
      </w:r>
      <w:r>
        <w:t xml:space="preserve"> </w:t>
      </w:r>
      <w:r>
        <w:tab/>
        <w:t>As suggested by the text, we have no occasion here to precisely define “until adjudication,” as used in section 1001.36, subdivision (c), and our analysis should not be read as tacitly adopting the People’s interpretation of this language.</w:t>
      </w:r>
    </w:p>
  </w:footnote>
  <w:footnote w:id="6">
    <w:p w:rsidR="00C21EAE" w:rsidP="00B51E49" w14:paraId="06BECF35" w14:textId="4B903C89">
      <w:pPr>
        <w:pStyle w:val="FootnoteText"/>
        <w:keepLines/>
      </w:pPr>
      <w:r>
        <w:rPr>
          <w:rStyle w:val="FootnoteReference"/>
        </w:rPr>
        <w:footnoteRef/>
      </w:r>
      <w:r>
        <w:t xml:space="preserve"> </w:t>
      </w:r>
      <w:r>
        <w:tab/>
        <w:t xml:space="preserve">The People also </w:t>
      </w:r>
      <w:r w:rsidR="00467801">
        <w:t xml:space="preserve">emphasize </w:t>
      </w:r>
      <w:r>
        <w:t xml:space="preserve">that the assertedly limiting language in section 1001.36 comports with provisions found in other, similar diversion statutes.  But this observation adds little to the People’s argument regarding the intent behind section 1001.36.  These </w:t>
      </w:r>
      <w:r w:rsidR="00DE580D">
        <w:t xml:space="preserve">other </w:t>
      </w:r>
      <w:r>
        <w:t xml:space="preserve">statutes simply define what pretrial diversion is and how it is generally supposed to operate:  </w:t>
      </w:r>
      <w:r w:rsidR="00A52156">
        <w:t>F</w:t>
      </w:r>
      <w:r>
        <w:t xml:space="preserve">or example, “pretrial diversion refers to the procedure of postponing prosecution of an offense . . . at any point in the judicial process from the point at which the accused is charged until adjudication.”  (§ 1001.1; see also, e.g., § 1001.70, subd. (b).)  </w:t>
      </w:r>
    </w:p>
  </w:footnote>
  <w:footnote w:id="7">
    <w:p w:rsidR="00E1306C" w14:paraId="122852C4" w14:textId="65F626D3">
      <w:pPr>
        <w:pStyle w:val="FootnoteText"/>
      </w:pPr>
      <w:r>
        <w:rPr>
          <w:rStyle w:val="FootnoteReference"/>
        </w:rPr>
        <w:footnoteRef/>
      </w:r>
      <w:r>
        <w:t xml:space="preserve"> </w:t>
      </w:r>
      <w:r>
        <w:tab/>
      </w:r>
      <w:r w:rsidR="0097285E">
        <w:rPr>
          <w:color w:val="000000"/>
          <w:szCs w:val="27"/>
        </w:rPr>
        <w:t xml:space="preserve">Our conclusion that the </w:t>
      </w:r>
      <w:r w:rsidR="0097285E">
        <w:rPr>
          <w:i/>
          <w:iCs/>
          <w:color w:val="000000"/>
          <w:szCs w:val="27"/>
        </w:rPr>
        <w:t>Estrada</w:t>
      </w:r>
      <w:r w:rsidR="0097285E">
        <w:rPr>
          <w:color w:val="000000"/>
          <w:szCs w:val="27"/>
        </w:rPr>
        <w:t xml:space="preserve"> rule applies here also leads us to reject the People’s suggestion that </w:t>
      </w:r>
      <w:r w:rsidR="0097285E">
        <w:rPr>
          <w:szCs w:val="27"/>
        </w:rPr>
        <w:t>an individual</w:t>
      </w:r>
      <w:r w:rsidR="0097285E">
        <w:rPr>
          <w:color w:val="000000"/>
          <w:szCs w:val="27"/>
        </w:rPr>
        <w:t xml:space="preserve"> in </w:t>
      </w:r>
      <w:r w:rsidR="0097285E">
        <w:rPr>
          <w:szCs w:val="27"/>
        </w:rPr>
        <w:t>defendant</w:t>
      </w:r>
      <w:r w:rsidR="0097285E">
        <w:rPr>
          <w:color w:val="000000"/>
          <w:szCs w:val="27"/>
          <w:shd w:val="clear" w:color="auto" w:fill="FFFFFF"/>
        </w:rPr>
        <w:t>’</w:t>
      </w:r>
      <w:r w:rsidR="0097285E">
        <w:rPr>
          <w:color w:val="000000"/>
          <w:szCs w:val="27"/>
        </w:rPr>
        <w:t>s position must first file a petition for a writ of habeas corpus demonstrating his or her eligibility.  The statute ha</w:t>
      </w:r>
      <w:r w:rsidR="007D3C48">
        <w:rPr>
          <w:color w:val="000000"/>
          <w:szCs w:val="27"/>
        </w:rPr>
        <w:t>s</w:t>
      </w:r>
      <w:r w:rsidR="0097285E">
        <w:rPr>
          <w:color w:val="000000"/>
          <w:szCs w:val="27"/>
        </w:rPr>
        <w:t xml:space="preserve"> direct retroactive application, with a remand allowing the trial court to ascertain defendant</w:t>
      </w:r>
      <w:r w:rsidR="0097285E">
        <w:rPr>
          <w:color w:val="000000"/>
          <w:szCs w:val="27"/>
          <w:shd w:val="clear" w:color="auto" w:fill="FFFFFF"/>
        </w:rPr>
        <w:t>’s</w:t>
      </w:r>
      <w:r w:rsidR="0097285E">
        <w:rPr>
          <w:color w:val="000000"/>
          <w:szCs w:val="27"/>
        </w:rPr>
        <w:t xml:space="preserve"> eligibility for diversion, </w:t>
      </w:r>
      <w:r w:rsidR="007D3C48">
        <w:rPr>
          <w:color w:val="000000"/>
          <w:szCs w:val="27"/>
        </w:rPr>
        <w:t xml:space="preserve">so </w:t>
      </w:r>
      <w:r w:rsidR="0097285E">
        <w:rPr>
          <w:color w:val="000000"/>
          <w:szCs w:val="27"/>
        </w:rPr>
        <w:t xml:space="preserve">habeas corpus procedures are not implicated here.  (Cf. </w:t>
      </w:r>
      <w:r w:rsidR="0097285E">
        <w:rPr>
          <w:i/>
          <w:iCs/>
          <w:color w:val="000000"/>
          <w:szCs w:val="27"/>
        </w:rPr>
        <w:t>In re Kirchner</w:t>
      </w:r>
      <w:r w:rsidR="0097285E">
        <w:rPr>
          <w:color w:val="000000"/>
          <w:szCs w:val="27"/>
        </w:rPr>
        <w:t xml:space="preserve"> (2017) 2 Cal.5th 1040, 1052.)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22" w14:paraId="43C581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E49" w14:paraId="5FC1B88B" w14:textId="1DA4C8DB">
    <w:pPr>
      <w:pStyle w:val="Header"/>
    </w:pPr>
    <w:r>
      <w:t>PEOPLE v. FRAHS</w:t>
    </w:r>
  </w:p>
  <w:p w:rsidR="00B51E49" w14:paraId="1C1086C1" w14:textId="616F35BA">
    <w:pPr>
      <w:pStyle w:val="Header"/>
    </w:pPr>
    <w:r>
      <w:t>Opinion of the Court by Cantil-Sakauye, C. J.</w:t>
    </w:r>
  </w:p>
  <w:p w:rsidR="00B51E49" w14:paraId="026D05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22" w14:paraId="09B2758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BCE" w:rsidRPr="00564BCE" w:rsidP="00564BCE" w14:paraId="424619B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0A"/>
    <w:rsid w:val="000005EF"/>
    <w:rsid w:val="000009BB"/>
    <w:rsid w:val="00000D0E"/>
    <w:rsid w:val="000012AE"/>
    <w:rsid w:val="000012D7"/>
    <w:rsid w:val="0000259B"/>
    <w:rsid w:val="000029E5"/>
    <w:rsid w:val="00002EF9"/>
    <w:rsid w:val="00003F9F"/>
    <w:rsid w:val="00005BA9"/>
    <w:rsid w:val="00006914"/>
    <w:rsid w:val="00006F72"/>
    <w:rsid w:val="00006F90"/>
    <w:rsid w:val="00007E57"/>
    <w:rsid w:val="00007F41"/>
    <w:rsid w:val="000115D4"/>
    <w:rsid w:val="00012323"/>
    <w:rsid w:val="000129EF"/>
    <w:rsid w:val="00013B0B"/>
    <w:rsid w:val="00013DE5"/>
    <w:rsid w:val="00014605"/>
    <w:rsid w:val="00014CF2"/>
    <w:rsid w:val="00014E2C"/>
    <w:rsid w:val="00015269"/>
    <w:rsid w:val="0001551B"/>
    <w:rsid w:val="00015B9C"/>
    <w:rsid w:val="00015E50"/>
    <w:rsid w:val="0001631E"/>
    <w:rsid w:val="0001674C"/>
    <w:rsid w:val="00017093"/>
    <w:rsid w:val="00017168"/>
    <w:rsid w:val="00017308"/>
    <w:rsid w:val="00017F34"/>
    <w:rsid w:val="00020DE4"/>
    <w:rsid w:val="000215BD"/>
    <w:rsid w:val="0002187A"/>
    <w:rsid w:val="00021C4D"/>
    <w:rsid w:val="00022F9D"/>
    <w:rsid w:val="00023661"/>
    <w:rsid w:val="00023F36"/>
    <w:rsid w:val="00025092"/>
    <w:rsid w:val="00026526"/>
    <w:rsid w:val="0003290A"/>
    <w:rsid w:val="00033E2B"/>
    <w:rsid w:val="000345E3"/>
    <w:rsid w:val="00035274"/>
    <w:rsid w:val="00035C73"/>
    <w:rsid w:val="00037288"/>
    <w:rsid w:val="000373C7"/>
    <w:rsid w:val="00037A53"/>
    <w:rsid w:val="00037DE9"/>
    <w:rsid w:val="00037E7B"/>
    <w:rsid w:val="00041132"/>
    <w:rsid w:val="00042440"/>
    <w:rsid w:val="000428B9"/>
    <w:rsid w:val="000429F2"/>
    <w:rsid w:val="00043A8C"/>
    <w:rsid w:val="00043CD6"/>
    <w:rsid w:val="00044FB9"/>
    <w:rsid w:val="00044FE1"/>
    <w:rsid w:val="00045AEE"/>
    <w:rsid w:val="000476C5"/>
    <w:rsid w:val="00047D60"/>
    <w:rsid w:val="000503BF"/>
    <w:rsid w:val="00050519"/>
    <w:rsid w:val="00052843"/>
    <w:rsid w:val="00052A66"/>
    <w:rsid w:val="000532E2"/>
    <w:rsid w:val="000533E0"/>
    <w:rsid w:val="00053A36"/>
    <w:rsid w:val="00053DBF"/>
    <w:rsid w:val="00055151"/>
    <w:rsid w:val="00055C87"/>
    <w:rsid w:val="000572C1"/>
    <w:rsid w:val="00060389"/>
    <w:rsid w:val="00060890"/>
    <w:rsid w:val="00062385"/>
    <w:rsid w:val="00062635"/>
    <w:rsid w:val="000626B2"/>
    <w:rsid w:val="00062888"/>
    <w:rsid w:val="00063857"/>
    <w:rsid w:val="000638FF"/>
    <w:rsid w:val="00063F6A"/>
    <w:rsid w:val="00065279"/>
    <w:rsid w:val="000675D4"/>
    <w:rsid w:val="0006771C"/>
    <w:rsid w:val="00067C7E"/>
    <w:rsid w:val="00067D00"/>
    <w:rsid w:val="000700A2"/>
    <w:rsid w:val="000726C4"/>
    <w:rsid w:val="00072A1B"/>
    <w:rsid w:val="00072B60"/>
    <w:rsid w:val="00072E18"/>
    <w:rsid w:val="0007366E"/>
    <w:rsid w:val="00073929"/>
    <w:rsid w:val="00074696"/>
    <w:rsid w:val="00074EEC"/>
    <w:rsid w:val="0007649C"/>
    <w:rsid w:val="00077234"/>
    <w:rsid w:val="0007726E"/>
    <w:rsid w:val="00077B3C"/>
    <w:rsid w:val="000814C3"/>
    <w:rsid w:val="000818B8"/>
    <w:rsid w:val="000823C8"/>
    <w:rsid w:val="0008331B"/>
    <w:rsid w:val="000850F6"/>
    <w:rsid w:val="00085887"/>
    <w:rsid w:val="0008591D"/>
    <w:rsid w:val="000878DE"/>
    <w:rsid w:val="00090271"/>
    <w:rsid w:val="00090459"/>
    <w:rsid w:val="00090B02"/>
    <w:rsid w:val="000920AD"/>
    <w:rsid w:val="000922E8"/>
    <w:rsid w:val="00092C50"/>
    <w:rsid w:val="00093602"/>
    <w:rsid w:val="000937BF"/>
    <w:rsid w:val="00093821"/>
    <w:rsid w:val="00094267"/>
    <w:rsid w:val="00094E2C"/>
    <w:rsid w:val="000955BB"/>
    <w:rsid w:val="000955DC"/>
    <w:rsid w:val="00095E68"/>
    <w:rsid w:val="000965CA"/>
    <w:rsid w:val="00097062"/>
    <w:rsid w:val="000978E9"/>
    <w:rsid w:val="00097D25"/>
    <w:rsid w:val="00097E88"/>
    <w:rsid w:val="000A01A4"/>
    <w:rsid w:val="000A05C5"/>
    <w:rsid w:val="000A200D"/>
    <w:rsid w:val="000A30AF"/>
    <w:rsid w:val="000A36C5"/>
    <w:rsid w:val="000A3E0D"/>
    <w:rsid w:val="000A4034"/>
    <w:rsid w:val="000A4AED"/>
    <w:rsid w:val="000A5809"/>
    <w:rsid w:val="000A5DCC"/>
    <w:rsid w:val="000A5F3A"/>
    <w:rsid w:val="000A628B"/>
    <w:rsid w:val="000A7331"/>
    <w:rsid w:val="000B0B8B"/>
    <w:rsid w:val="000B1095"/>
    <w:rsid w:val="000B1CED"/>
    <w:rsid w:val="000B2402"/>
    <w:rsid w:val="000B2FB7"/>
    <w:rsid w:val="000B3C40"/>
    <w:rsid w:val="000B44D2"/>
    <w:rsid w:val="000B45A4"/>
    <w:rsid w:val="000B4A79"/>
    <w:rsid w:val="000B59C2"/>
    <w:rsid w:val="000B5B10"/>
    <w:rsid w:val="000B6FEC"/>
    <w:rsid w:val="000B70B0"/>
    <w:rsid w:val="000B72DC"/>
    <w:rsid w:val="000B7533"/>
    <w:rsid w:val="000C14B1"/>
    <w:rsid w:val="000C196F"/>
    <w:rsid w:val="000C1C15"/>
    <w:rsid w:val="000C392C"/>
    <w:rsid w:val="000C3F05"/>
    <w:rsid w:val="000C49F4"/>
    <w:rsid w:val="000C76E3"/>
    <w:rsid w:val="000C77CC"/>
    <w:rsid w:val="000D1019"/>
    <w:rsid w:val="000D13C3"/>
    <w:rsid w:val="000D17A3"/>
    <w:rsid w:val="000D1859"/>
    <w:rsid w:val="000D38E9"/>
    <w:rsid w:val="000D3B96"/>
    <w:rsid w:val="000D3E8A"/>
    <w:rsid w:val="000D3FB4"/>
    <w:rsid w:val="000D4C6B"/>
    <w:rsid w:val="000D53E0"/>
    <w:rsid w:val="000D6413"/>
    <w:rsid w:val="000D6C6B"/>
    <w:rsid w:val="000D6E96"/>
    <w:rsid w:val="000D7623"/>
    <w:rsid w:val="000E0514"/>
    <w:rsid w:val="000E067F"/>
    <w:rsid w:val="000E11D4"/>
    <w:rsid w:val="000E1817"/>
    <w:rsid w:val="000E1D19"/>
    <w:rsid w:val="000E280F"/>
    <w:rsid w:val="000E2E59"/>
    <w:rsid w:val="000E301E"/>
    <w:rsid w:val="000E305D"/>
    <w:rsid w:val="000E3277"/>
    <w:rsid w:val="000E3516"/>
    <w:rsid w:val="000E3A48"/>
    <w:rsid w:val="000E4AB6"/>
    <w:rsid w:val="000E58E2"/>
    <w:rsid w:val="000E6265"/>
    <w:rsid w:val="000E64C2"/>
    <w:rsid w:val="000E6774"/>
    <w:rsid w:val="000E736F"/>
    <w:rsid w:val="000E75B5"/>
    <w:rsid w:val="000F1DCD"/>
    <w:rsid w:val="000F27E9"/>
    <w:rsid w:val="000F2D4B"/>
    <w:rsid w:val="000F3018"/>
    <w:rsid w:val="000F33AB"/>
    <w:rsid w:val="000F398C"/>
    <w:rsid w:val="000F4751"/>
    <w:rsid w:val="000F5CC6"/>
    <w:rsid w:val="000F5E48"/>
    <w:rsid w:val="000F62E0"/>
    <w:rsid w:val="000F670B"/>
    <w:rsid w:val="000F71DA"/>
    <w:rsid w:val="000F726F"/>
    <w:rsid w:val="001010D3"/>
    <w:rsid w:val="001019A9"/>
    <w:rsid w:val="00102189"/>
    <w:rsid w:val="0010356E"/>
    <w:rsid w:val="001044C2"/>
    <w:rsid w:val="00104AAE"/>
    <w:rsid w:val="00104C2D"/>
    <w:rsid w:val="001053AC"/>
    <w:rsid w:val="00106867"/>
    <w:rsid w:val="00107F5C"/>
    <w:rsid w:val="00110E05"/>
    <w:rsid w:val="00111997"/>
    <w:rsid w:val="00111A49"/>
    <w:rsid w:val="00111BC5"/>
    <w:rsid w:val="001130D2"/>
    <w:rsid w:val="00113711"/>
    <w:rsid w:val="001147B8"/>
    <w:rsid w:val="0011501E"/>
    <w:rsid w:val="00115A02"/>
    <w:rsid w:val="00117A27"/>
    <w:rsid w:val="00120392"/>
    <w:rsid w:val="00120620"/>
    <w:rsid w:val="00120E48"/>
    <w:rsid w:val="001211D2"/>
    <w:rsid w:val="0012218A"/>
    <w:rsid w:val="0012262E"/>
    <w:rsid w:val="001228EA"/>
    <w:rsid w:val="00122FAD"/>
    <w:rsid w:val="001246D1"/>
    <w:rsid w:val="0012497B"/>
    <w:rsid w:val="001252F6"/>
    <w:rsid w:val="00125DC1"/>
    <w:rsid w:val="001266B1"/>
    <w:rsid w:val="00127953"/>
    <w:rsid w:val="001310FB"/>
    <w:rsid w:val="001315A2"/>
    <w:rsid w:val="00131801"/>
    <w:rsid w:val="001319F7"/>
    <w:rsid w:val="00131AE3"/>
    <w:rsid w:val="00132710"/>
    <w:rsid w:val="00132734"/>
    <w:rsid w:val="00132E02"/>
    <w:rsid w:val="001336E9"/>
    <w:rsid w:val="001341EE"/>
    <w:rsid w:val="001346E1"/>
    <w:rsid w:val="00134F18"/>
    <w:rsid w:val="001355BB"/>
    <w:rsid w:val="0013570E"/>
    <w:rsid w:val="001358EA"/>
    <w:rsid w:val="0013662C"/>
    <w:rsid w:val="00136A73"/>
    <w:rsid w:val="00137145"/>
    <w:rsid w:val="00137414"/>
    <w:rsid w:val="0014077C"/>
    <w:rsid w:val="00141056"/>
    <w:rsid w:val="0014119E"/>
    <w:rsid w:val="00141C04"/>
    <w:rsid w:val="001426D9"/>
    <w:rsid w:val="00144635"/>
    <w:rsid w:val="0014552F"/>
    <w:rsid w:val="001467A2"/>
    <w:rsid w:val="001467F9"/>
    <w:rsid w:val="00146DE6"/>
    <w:rsid w:val="0014724C"/>
    <w:rsid w:val="00147A59"/>
    <w:rsid w:val="00150C09"/>
    <w:rsid w:val="00152249"/>
    <w:rsid w:val="001529E1"/>
    <w:rsid w:val="001532A8"/>
    <w:rsid w:val="001554FC"/>
    <w:rsid w:val="00156610"/>
    <w:rsid w:val="00156A17"/>
    <w:rsid w:val="00156E39"/>
    <w:rsid w:val="001609C0"/>
    <w:rsid w:val="00160CAB"/>
    <w:rsid w:val="00160E8C"/>
    <w:rsid w:val="00161615"/>
    <w:rsid w:val="00162E68"/>
    <w:rsid w:val="00163411"/>
    <w:rsid w:val="001643B4"/>
    <w:rsid w:val="001651D3"/>
    <w:rsid w:val="00167A43"/>
    <w:rsid w:val="00167D5B"/>
    <w:rsid w:val="0017048D"/>
    <w:rsid w:val="00171050"/>
    <w:rsid w:val="00171518"/>
    <w:rsid w:val="00171963"/>
    <w:rsid w:val="00172534"/>
    <w:rsid w:val="0017323F"/>
    <w:rsid w:val="00173987"/>
    <w:rsid w:val="00174879"/>
    <w:rsid w:val="00175EB1"/>
    <w:rsid w:val="0017618E"/>
    <w:rsid w:val="00176B1D"/>
    <w:rsid w:val="001773FA"/>
    <w:rsid w:val="0018187A"/>
    <w:rsid w:val="001825D2"/>
    <w:rsid w:val="001825D5"/>
    <w:rsid w:val="001850BD"/>
    <w:rsid w:val="00185491"/>
    <w:rsid w:val="001860A1"/>
    <w:rsid w:val="00191CFF"/>
    <w:rsid w:val="001921B0"/>
    <w:rsid w:val="001933D9"/>
    <w:rsid w:val="00193405"/>
    <w:rsid w:val="001939FE"/>
    <w:rsid w:val="00193D10"/>
    <w:rsid w:val="00193D15"/>
    <w:rsid w:val="00193EEC"/>
    <w:rsid w:val="00194113"/>
    <w:rsid w:val="001944A8"/>
    <w:rsid w:val="0019492D"/>
    <w:rsid w:val="00194DF6"/>
    <w:rsid w:val="00195761"/>
    <w:rsid w:val="00195CBD"/>
    <w:rsid w:val="0019634E"/>
    <w:rsid w:val="00196A4A"/>
    <w:rsid w:val="00196A57"/>
    <w:rsid w:val="00197839"/>
    <w:rsid w:val="00197F67"/>
    <w:rsid w:val="001A0407"/>
    <w:rsid w:val="001A34EB"/>
    <w:rsid w:val="001A3BD1"/>
    <w:rsid w:val="001A4062"/>
    <w:rsid w:val="001A4C1A"/>
    <w:rsid w:val="001A4FC9"/>
    <w:rsid w:val="001A5065"/>
    <w:rsid w:val="001A52AB"/>
    <w:rsid w:val="001A5AB0"/>
    <w:rsid w:val="001A63A1"/>
    <w:rsid w:val="001A6DB9"/>
    <w:rsid w:val="001A7E44"/>
    <w:rsid w:val="001B055D"/>
    <w:rsid w:val="001B206C"/>
    <w:rsid w:val="001B2411"/>
    <w:rsid w:val="001B2946"/>
    <w:rsid w:val="001B298F"/>
    <w:rsid w:val="001B43B3"/>
    <w:rsid w:val="001B52E4"/>
    <w:rsid w:val="001B60DC"/>
    <w:rsid w:val="001B7229"/>
    <w:rsid w:val="001B7624"/>
    <w:rsid w:val="001B7D8E"/>
    <w:rsid w:val="001B7FC4"/>
    <w:rsid w:val="001C04D8"/>
    <w:rsid w:val="001C057C"/>
    <w:rsid w:val="001C09A0"/>
    <w:rsid w:val="001C22DB"/>
    <w:rsid w:val="001C2AFD"/>
    <w:rsid w:val="001C2E2D"/>
    <w:rsid w:val="001C3877"/>
    <w:rsid w:val="001C4FD9"/>
    <w:rsid w:val="001C50F2"/>
    <w:rsid w:val="001C54F0"/>
    <w:rsid w:val="001C5D14"/>
    <w:rsid w:val="001C5E70"/>
    <w:rsid w:val="001C61EC"/>
    <w:rsid w:val="001C7868"/>
    <w:rsid w:val="001D09BC"/>
    <w:rsid w:val="001D1D17"/>
    <w:rsid w:val="001D29A7"/>
    <w:rsid w:val="001D2DA8"/>
    <w:rsid w:val="001D3F36"/>
    <w:rsid w:val="001D4C63"/>
    <w:rsid w:val="001D57CF"/>
    <w:rsid w:val="001D5A5B"/>
    <w:rsid w:val="001D5BBE"/>
    <w:rsid w:val="001D6361"/>
    <w:rsid w:val="001D6402"/>
    <w:rsid w:val="001D6D8E"/>
    <w:rsid w:val="001D7BAF"/>
    <w:rsid w:val="001E015D"/>
    <w:rsid w:val="001E05BA"/>
    <w:rsid w:val="001E070F"/>
    <w:rsid w:val="001E0992"/>
    <w:rsid w:val="001E0AB9"/>
    <w:rsid w:val="001E0EEB"/>
    <w:rsid w:val="001E0F12"/>
    <w:rsid w:val="001E1972"/>
    <w:rsid w:val="001E26A9"/>
    <w:rsid w:val="001E335F"/>
    <w:rsid w:val="001E339D"/>
    <w:rsid w:val="001E34C3"/>
    <w:rsid w:val="001E3E2A"/>
    <w:rsid w:val="001E486F"/>
    <w:rsid w:val="001E4CE9"/>
    <w:rsid w:val="001E6AE7"/>
    <w:rsid w:val="001E789B"/>
    <w:rsid w:val="001E7D9E"/>
    <w:rsid w:val="001F072F"/>
    <w:rsid w:val="001F0AE7"/>
    <w:rsid w:val="001F10B4"/>
    <w:rsid w:val="001F17C6"/>
    <w:rsid w:val="001F17F7"/>
    <w:rsid w:val="001F2050"/>
    <w:rsid w:val="001F27F0"/>
    <w:rsid w:val="001F2C70"/>
    <w:rsid w:val="001F3AEF"/>
    <w:rsid w:val="001F4B0F"/>
    <w:rsid w:val="001F58E2"/>
    <w:rsid w:val="001F64E2"/>
    <w:rsid w:val="001F73C4"/>
    <w:rsid w:val="001F7645"/>
    <w:rsid w:val="0020061F"/>
    <w:rsid w:val="0020094B"/>
    <w:rsid w:val="002014D8"/>
    <w:rsid w:val="002015D2"/>
    <w:rsid w:val="00201D1E"/>
    <w:rsid w:val="00202463"/>
    <w:rsid w:val="002050D4"/>
    <w:rsid w:val="00205253"/>
    <w:rsid w:val="00205333"/>
    <w:rsid w:val="0020539B"/>
    <w:rsid w:val="00205EC0"/>
    <w:rsid w:val="002065A1"/>
    <w:rsid w:val="00207077"/>
    <w:rsid w:val="00210254"/>
    <w:rsid w:val="002108E3"/>
    <w:rsid w:val="0021239A"/>
    <w:rsid w:val="00212B0B"/>
    <w:rsid w:val="002137C8"/>
    <w:rsid w:val="002138F5"/>
    <w:rsid w:val="00213B40"/>
    <w:rsid w:val="0021416C"/>
    <w:rsid w:val="00214A79"/>
    <w:rsid w:val="002161B3"/>
    <w:rsid w:val="002163D6"/>
    <w:rsid w:val="0021674C"/>
    <w:rsid w:val="0022096A"/>
    <w:rsid w:val="00221313"/>
    <w:rsid w:val="00221A45"/>
    <w:rsid w:val="002226CD"/>
    <w:rsid w:val="00222DE0"/>
    <w:rsid w:val="0022325A"/>
    <w:rsid w:val="002233D4"/>
    <w:rsid w:val="00223AFC"/>
    <w:rsid w:val="002242E2"/>
    <w:rsid w:val="002242F1"/>
    <w:rsid w:val="00225485"/>
    <w:rsid w:val="00225598"/>
    <w:rsid w:val="00225918"/>
    <w:rsid w:val="00225B20"/>
    <w:rsid w:val="0022693F"/>
    <w:rsid w:val="00227446"/>
    <w:rsid w:val="00230B5E"/>
    <w:rsid w:val="00230E8F"/>
    <w:rsid w:val="00231006"/>
    <w:rsid w:val="002317D3"/>
    <w:rsid w:val="002324C7"/>
    <w:rsid w:val="002324CF"/>
    <w:rsid w:val="00233527"/>
    <w:rsid w:val="002344D1"/>
    <w:rsid w:val="0023474F"/>
    <w:rsid w:val="002350F6"/>
    <w:rsid w:val="00235B59"/>
    <w:rsid w:val="00235D6D"/>
    <w:rsid w:val="0023600C"/>
    <w:rsid w:val="00236499"/>
    <w:rsid w:val="002378A4"/>
    <w:rsid w:val="002408C6"/>
    <w:rsid w:val="002421A9"/>
    <w:rsid w:val="00242450"/>
    <w:rsid w:val="00242F40"/>
    <w:rsid w:val="002430DA"/>
    <w:rsid w:val="00243AFD"/>
    <w:rsid w:val="00244059"/>
    <w:rsid w:val="00244D86"/>
    <w:rsid w:val="00246734"/>
    <w:rsid w:val="0024722C"/>
    <w:rsid w:val="00247413"/>
    <w:rsid w:val="002475C8"/>
    <w:rsid w:val="00247631"/>
    <w:rsid w:val="00250285"/>
    <w:rsid w:val="002503F0"/>
    <w:rsid w:val="00251544"/>
    <w:rsid w:val="0025160A"/>
    <w:rsid w:val="00252896"/>
    <w:rsid w:val="002529FC"/>
    <w:rsid w:val="002539E4"/>
    <w:rsid w:val="00253D45"/>
    <w:rsid w:val="00254229"/>
    <w:rsid w:val="0025438B"/>
    <w:rsid w:val="00255CA6"/>
    <w:rsid w:val="00257136"/>
    <w:rsid w:val="0025736B"/>
    <w:rsid w:val="002602EA"/>
    <w:rsid w:val="00261396"/>
    <w:rsid w:val="00261B51"/>
    <w:rsid w:val="00261D22"/>
    <w:rsid w:val="00262FD1"/>
    <w:rsid w:val="002642AA"/>
    <w:rsid w:val="002663AB"/>
    <w:rsid w:val="00266F8C"/>
    <w:rsid w:val="0026769D"/>
    <w:rsid w:val="00267A33"/>
    <w:rsid w:val="00270F18"/>
    <w:rsid w:val="0027158B"/>
    <w:rsid w:val="0027337B"/>
    <w:rsid w:val="00273D65"/>
    <w:rsid w:val="00273EF3"/>
    <w:rsid w:val="00274391"/>
    <w:rsid w:val="00274C4C"/>
    <w:rsid w:val="00274F9B"/>
    <w:rsid w:val="0027678F"/>
    <w:rsid w:val="00276C05"/>
    <w:rsid w:val="00277B59"/>
    <w:rsid w:val="00277C15"/>
    <w:rsid w:val="00280646"/>
    <w:rsid w:val="002806E9"/>
    <w:rsid w:val="00281195"/>
    <w:rsid w:val="00281BB5"/>
    <w:rsid w:val="002829CA"/>
    <w:rsid w:val="00282E59"/>
    <w:rsid w:val="002834D5"/>
    <w:rsid w:val="00283782"/>
    <w:rsid w:val="002837AF"/>
    <w:rsid w:val="00283882"/>
    <w:rsid w:val="00283892"/>
    <w:rsid w:val="00283CE9"/>
    <w:rsid w:val="002852CF"/>
    <w:rsid w:val="00287C55"/>
    <w:rsid w:val="002905C8"/>
    <w:rsid w:val="0029123D"/>
    <w:rsid w:val="00291EE5"/>
    <w:rsid w:val="00292140"/>
    <w:rsid w:val="002921A6"/>
    <w:rsid w:val="00292566"/>
    <w:rsid w:val="00294F76"/>
    <w:rsid w:val="002956F5"/>
    <w:rsid w:val="00295770"/>
    <w:rsid w:val="00295CA4"/>
    <w:rsid w:val="00296478"/>
    <w:rsid w:val="00296EB9"/>
    <w:rsid w:val="00297129"/>
    <w:rsid w:val="0029776F"/>
    <w:rsid w:val="002A013F"/>
    <w:rsid w:val="002A0567"/>
    <w:rsid w:val="002A0B9C"/>
    <w:rsid w:val="002A1056"/>
    <w:rsid w:val="002A1491"/>
    <w:rsid w:val="002A2B30"/>
    <w:rsid w:val="002A2F95"/>
    <w:rsid w:val="002A314E"/>
    <w:rsid w:val="002A3C12"/>
    <w:rsid w:val="002A4171"/>
    <w:rsid w:val="002A44C0"/>
    <w:rsid w:val="002A5662"/>
    <w:rsid w:val="002A5F83"/>
    <w:rsid w:val="002A696D"/>
    <w:rsid w:val="002A6A56"/>
    <w:rsid w:val="002A7212"/>
    <w:rsid w:val="002A74D1"/>
    <w:rsid w:val="002A7A44"/>
    <w:rsid w:val="002A7E99"/>
    <w:rsid w:val="002B15C6"/>
    <w:rsid w:val="002B2520"/>
    <w:rsid w:val="002B32FD"/>
    <w:rsid w:val="002B3995"/>
    <w:rsid w:val="002B54DD"/>
    <w:rsid w:val="002B5DB1"/>
    <w:rsid w:val="002B6B74"/>
    <w:rsid w:val="002B715F"/>
    <w:rsid w:val="002B7214"/>
    <w:rsid w:val="002B73E6"/>
    <w:rsid w:val="002B74A4"/>
    <w:rsid w:val="002B7962"/>
    <w:rsid w:val="002C01F4"/>
    <w:rsid w:val="002C02C2"/>
    <w:rsid w:val="002C1CAF"/>
    <w:rsid w:val="002C1DA2"/>
    <w:rsid w:val="002C4A54"/>
    <w:rsid w:val="002C5103"/>
    <w:rsid w:val="002C5F42"/>
    <w:rsid w:val="002C6130"/>
    <w:rsid w:val="002C6AA7"/>
    <w:rsid w:val="002C6EAA"/>
    <w:rsid w:val="002C7995"/>
    <w:rsid w:val="002D0EFD"/>
    <w:rsid w:val="002D143D"/>
    <w:rsid w:val="002D18A1"/>
    <w:rsid w:val="002D1CC1"/>
    <w:rsid w:val="002D2B5A"/>
    <w:rsid w:val="002D2BAA"/>
    <w:rsid w:val="002D4803"/>
    <w:rsid w:val="002D4E1E"/>
    <w:rsid w:val="002D6370"/>
    <w:rsid w:val="002D6EDC"/>
    <w:rsid w:val="002D701F"/>
    <w:rsid w:val="002D7A40"/>
    <w:rsid w:val="002D7C18"/>
    <w:rsid w:val="002E0C55"/>
    <w:rsid w:val="002E1142"/>
    <w:rsid w:val="002E17FD"/>
    <w:rsid w:val="002E1FA5"/>
    <w:rsid w:val="002E29E5"/>
    <w:rsid w:val="002E2BD1"/>
    <w:rsid w:val="002E3346"/>
    <w:rsid w:val="002E37F1"/>
    <w:rsid w:val="002E3A4A"/>
    <w:rsid w:val="002E3C76"/>
    <w:rsid w:val="002E6185"/>
    <w:rsid w:val="002E66E0"/>
    <w:rsid w:val="002E6832"/>
    <w:rsid w:val="002E6BDD"/>
    <w:rsid w:val="002E7438"/>
    <w:rsid w:val="002F1008"/>
    <w:rsid w:val="002F117C"/>
    <w:rsid w:val="002F1C10"/>
    <w:rsid w:val="002F414B"/>
    <w:rsid w:val="002F4634"/>
    <w:rsid w:val="002F4FFF"/>
    <w:rsid w:val="002F5725"/>
    <w:rsid w:val="002F66E3"/>
    <w:rsid w:val="002F6C72"/>
    <w:rsid w:val="002F6D75"/>
    <w:rsid w:val="002F7B93"/>
    <w:rsid w:val="002F7F16"/>
    <w:rsid w:val="00300788"/>
    <w:rsid w:val="00301EED"/>
    <w:rsid w:val="00302240"/>
    <w:rsid w:val="003033A9"/>
    <w:rsid w:val="00303E07"/>
    <w:rsid w:val="003043D4"/>
    <w:rsid w:val="003045B9"/>
    <w:rsid w:val="00304654"/>
    <w:rsid w:val="003052D9"/>
    <w:rsid w:val="0030545B"/>
    <w:rsid w:val="003055C3"/>
    <w:rsid w:val="003058F8"/>
    <w:rsid w:val="003058FB"/>
    <w:rsid w:val="00305E67"/>
    <w:rsid w:val="003065A1"/>
    <w:rsid w:val="00306937"/>
    <w:rsid w:val="00306D4F"/>
    <w:rsid w:val="003118E8"/>
    <w:rsid w:val="00313A7E"/>
    <w:rsid w:val="00313B14"/>
    <w:rsid w:val="00313C98"/>
    <w:rsid w:val="0031412D"/>
    <w:rsid w:val="00314363"/>
    <w:rsid w:val="003148DF"/>
    <w:rsid w:val="003149B4"/>
    <w:rsid w:val="0031625B"/>
    <w:rsid w:val="00317154"/>
    <w:rsid w:val="00320612"/>
    <w:rsid w:val="00321AC8"/>
    <w:rsid w:val="00321E95"/>
    <w:rsid w:val="00322699"/>
    <w:rsid w:val="003229A9"/>
    <w:rsid w:val="00322A9E"/>
    <w:rsid w:val="00323585"/>
    <w:rsid w:val="0032551B"/>
    <w:rsid w:val="003256D8"/>
    <w:rsid w:val="003265E2"/>
    <w:rsid w:val="00327840"/>
    <w:rsid w:val="003279CD"/>
    <w:rsid w:val="00331F60"/>
    <w:rsid w:val="00332243"/>
    <w:rsid w:val="003323AB"/>
    <w:rsid w:val="00332539"/>
    <w:rsid w:val="003328F9"/>
    <w:rsid w:val="00333325"/>
    <w:rsid w:val="003333E4"/>
    <w:rsid w:val="00333554"/>
    <w:rsid w:val="00334694"/>
    <w:rsid w:val="0033553A"/>
    <w:rsid w:val="00335780"/>
    <w:rsid w:val="00335D89"/>
    <w:rsid w:val="003365F8"/>
    <w:rsid w:val="003369F3"/>
    <w:rsid w:val="0033703D"/>
    <w:rsid w:val="003370E6"/>
    <w:rsid w:val="0034015C"/>
    <w:rsid w:val="0034039C"/>
    <w:rsid w:val="00340982"/>
    <w:rsid w:val="00341111"/>
    <w:rsid w:val="003415C4"/>
    <w:rsid w:val="00341BFE"/>
    <w:rsid w:val="0034213E"/>
    <w:rsid w:val="00342A9A"/>
    <w:rsid w:val="00342DD0"/>
    <w:rsid w:val="0034373A"/>
    <w:rsid w:val="00343752"/>
    <w:rsid w:val="00344835"/>
    <w:rsid w:val="0034488D"/>
    <w:rsid w:val="00344D32"/>
    <w:rsid w:val="00344E03"/>
    <w:rsid w:val="00345D49"/>
    <w:rsid w:val="00345F2C"/>
    <w:rsid w:val="00351240"/>
    <w:rsid w:val="00351973"/>
    <w:rsid w:val="00353005"/>
    <w:rsid w:val="00353202"/>
    <w:rsid w:val="0035380E"/>
    <w:rsid w:val="00353B8C"/>
    <w:rsid w:val="00353BFF"/>
    <w:rsid w:val="00355842"/>
    <w:rsid w:val="00355F43"/>
    <w:rsid w:val="00356238"/>
    <w:rsid w:val="00356B39"/>
    <w:rsid w:val="003570E6"/>
    <w:rsid w:val="00357373"/>
    <w:rsid w:val="003574CE"/>
    <w:rsid w:val="00357717"/>
    <w:rsid w:val="00357FD1"/>
    <w:rsid w:val="00362590"/>
    <w:rsid w:val="00362D82"/>
    <w:rsid w:val="00363052"/>
    <w:rsid w:val="003633B7"/>
    <w:rsid w:val="00364C6E"/>
    <w:rsid w:val="00365823"/>
    <w:rsid w:val="00365A20"/>
    <w:rsid w:val="00366B46"/>
    <w:rsid w:val="00367B6D"/>
    <w:rsid w:val="00370D7A"/>
    <w:rsid w:val="00370EE6"/>
    <w:rsid w:val="0037151B"/>
    <w:rsid w:val="00372382"/>
    <w:rsid w:val="00373790"/>
    <w:rsid w:val="00373ACE"/>
    <w:rsid w:val="00373B7B"/>
    <w:rsid w:val="00373DE1"/>
    <w:rsid w:val="00374062"/>
    <w:rsid w:val="00374BA4"/>
    <w:rsid w:val="00377295"/>
    <w:rsid w:val="00377692"/>
    <w:rsid w:val="003803C2"/>
    <w:rsid w:val="00380608"/>
    <w:rsid w:val="0038103D"/>
    <w:rsid w:val="00381227"/>
    <w:rsid w:val="0038135B"/>
    <w:rsid w:val="00381363"/>
    <w:rsid w:val="00381412"/>
    <w:rsid w:val="00381919"/>
    <w:rsid w:val="00382528"/>
    <w:rsid w:val="00382C33"/>
    <w:rsid w:val="00383CD1"/>
    <w:rsid w:val="003844AF"/>
    <w:rsid w:val="00384CE0"/>
    <w:rsid w:val="003854E1"/>
    <w:rsid w:val="0038590F"/>
    <w:rsid w:val="003864DA"/>
    <w:rsid w:val="00386B95"/>
    <w:rsid w:val="00386EE7"/>
    <w:rsid w:val="003874EF"/>
    <w:rsid w:val="003908BA"/>
    <w:rsid w:val="0039118F"/>
    <w:rsid w:val="00391353"/>
    <w:rsid w:val="00391815"/>
    <w:rsid w:val="00391BC0"/>
    <w:rsid w:val="00391C98"/>
    <w:rsid w:val="0039398D"/>
    <w:rsid w:val="00393E61"/>
    <w:rsid w:val="00394E00"/>
    <w:rsid w:val="003954CD"/>
    <w:rsid w:val="00396186"/>
    <w:rsid w:val="00396895"/>
    <w:rsid w:val="00396F67"/>
    <w:rsid w:val="00397BEB"/>
    <w:rsid w:val="003A0DC9"/>
    <w:rsid w:val="003A10C5"/>
    <w:rsid w:val="003A1D18"/>
    <w:rsid w:val="003A1FDC"/>
    <w:rsid w:val="003A250B"/>
    <w:rsid w:val="003A37B1"/>
    <w:rsid w:val="003A51C4"/>
    <w:rsid w:val="003A5B2C"/>
    <w:rsid w:val="003A6513"/>
    <w:rsid w:val="003A707F"/>
    <w:rsid w:val="003A71C9"/>
    <w:rsid w:val="003A730D"/>
    <w:rsid w:val="003A766E"/>
    <w:rsid w:val="003A7B1D"/>
    <w:rsid w:val="003B0224"/>
    <w:rsid w:val="003B0641"/>
    <w:rsid w:val="003B16F9"/>
    <w:rsid w:val="003B182C"/>
    <w:rsid w:val="003B20A9"/>
    <w:rsid w:val="003B391F"/>
    <w:rsid w:val="003B43C7"/>
    <w:rsid w:val="003B54BF"/>
    <w:rsid w:val="003B6006"/>
    <w:rsid w:val="003B602F"/>
    <w:rsid w:val="003B625A"/>
    <w:rsid w:val="003B6B7E"/>
    <w:rsid w:val="003B749A"/>
    <w:rsid w:val="003B74B0"/>
    <w:rsid w:val="003B7602"/>
    <w:rsid w:val="003B7695"/>
    <w:rsid w:val="003C0F99"/>
    <w:rsid w:val="003C20EE"/>
    <w:rsid w:val="003C2E52"/>
    <w:rsid w:val="003C3789"/>
    <w:rsid w:val="003C3C65"/>
    <w:rsid w:val="003C4C5A"/>
    <w:rsid w:val="003C5143"/>
    <w:rsid w:val="003C57CD"/>
    <w:rsid w:val="003C5E7E"/>
    <w:rsid w:val="003C6196"/>
    <w:rsid w:val="003C691B"/>
    <w:rsid w:val="003C6D06"/>
    <w:rsid w:val="003C769A"/>
    <w:rsid w:val="003D07D1"/>
    <w:rsid w:val="003D191F"/>
    <w:rsid w:val="003D1B16"/>
    <w:rsid w:val="003D207E"/>
    <w:rsid w:val="003D2243"/>
    <w:rsid w:val="003D3587"/>
    <w:rsid w:val="003D3DBC"/>
    <w:rsid w:val="003D4460"/>
    <w:rsid w:val="003D48D3"/>
    <w:rsid w:val="003D4B26"/>
    <w:rsid w:val="003D4E3E"/>
    <w:rsid w:val="003D5A13"/>
    <w:rsid w:val="003D7956"/>
    <w:rsid w:val="003E090C"/>
    <w:rsid w:val="003E3390"/>
    <w:rsid w:val="003E34C7"/>
    <w:rsid w:val="003E3A48"/>
    <w:rsid w:val="003E4819"/>
    <w:rsid w:val="003E4EF6"/>
    <w:rsid w:val="003E5F8C"/>
    <w:rsid w:val="003E738D"/>
    <w:rsid w:val="003E7806"/>
    <w:rsid w:val="003F0B1C"/>
    <w:rsid w:val="003F0D74"/>
    <w:rsid w:val="003F134F"/>
    <w:rsid w:val="003F161A"/>
    <w:rsid w:val="003F31C3"/>
    <w:rsid w:val="003F3F23"/>
    <w:rsid w:val="003F4DCC"/>
    <w:rsid w:val="003F6ABE"/>
    <w:rsid w:val="003F7DD4"/>
    <w:rsid w:val="00400954"/>
    <w:rsid w:val="00400BFD"/>
    <w:rsid w:val="00401641"/>
    <w:rsid w:val="0040168D"/>
    <w:rsid w:val="0040239C"/>
    <w:rsid w:val="00402C3A"/>
    <w:rsid w:val="00402F5D"/>
    <w:rsid w:val="00402FBA"/>
    <w:rsid w:val="004035DB"/>
    <w:rsid w:val="004039A8"/>
    <w:rsid w:val="00405541"/>
    <w:rsid w:val="00405E92"/>
    <w:rsid w:val="00406477"/>
    <w:rsid w:val="0040651A"/>
    <w:rsid w:val="00406BA2"/>
    <w:rsid w:val="00406FD0"/>
    <w:rsid w:val="004110DA"/>
    <w:rsid w:val="0041154D"/>
    <w:rsid w:val="00411584"/>
    <w:rsid w:val="00411C0A"/>
    <w:rsid w:val="0041288B"/>
    <w:rsid w:val="00413573"/>
    <w:rsid w:val="00413994"/>
    <w:rsid w:val="0041436A"/>
    <w:rsid w:val="004147C2"/>
    <w:rsid w:val="00414DB8"/>
    <w:rsid w:val="00414EA6"/>
    <w:rsid w:val="0041565E"/>
    <w:rsid w:val="004160E2"/>
    <w:rsid w:val="00416B09"/>
    <w:rsid w:val="00416E52"/>
    <w:rsid w:val="0041740F"/>
    <w:rsid w:val="00420C68"/>
    <w:rsid w:val="00421310"/>
    <w:rsid w:val="00421818"/>
    <w:rsid w:val="004218B2"/>
    <w:rsid w:val="00422083"/>
    <w:rsid w:val="00422373"/>
    <w:rsid w:val="004225AA"/>
    <w:rsid w:val="004229B3"/>
    <w:rsid w:val="00422DDF"/>
    <w:rsid w:val="00423840"/>
    <w:rsid w:val="00424366"/>
    <w:rsid w:val="00425625"/>
    <w:rsid w:val="004258AF"/>
    <w:rsid w:val="00426432"/>
    <w:rsid w:val="0042660F"/>
    <w:rsid w:val="00426B6D"/>
    <w:rsid w:val="0042773D"/>
    <w:rsid w:val="00427809"/>
    <w:rsid w:val="00430496"/>
    <w:rsid w:val="00431BE3"/>
    <w:rsid w:val="00431ED7"/>
    <w:rsid w:val="004343E4"/>
    <w:rsid w:val="0043476D"/>
    <w:rsid w:val="00434EC5"/>
    <w:rsid w:val="004357AA"/>
    <w:rsid w:val="00435D4E"/>
    <w:rsid w:val="00436223"/>
    <w:rsid w:val="00437EC3"/>
    <w:rsid w:val="00440521"/>
    <w:rsid w:val="00440828"/>
    <w:rsid w:val="004418BA"/>
    <w:rsid w:val="00443610"/>
    <w:rsid w:val="0044376B"/>
    <w:rsid w:val="00444D90"/>
    <w:rsid w:val="004453AA"/>
    <w:rsid w:val="00445BE6"/>
    <w:rsid w:val="004460B5"/>
    <w:rsid w:val="00446513"/>
    <w:rsid w:val="00446D68"/>
    <w:rsid w:val="004508DB"/>
    <w:rsid w:val="00450F9D"/>
    <w:rsid w:val="0045192A"/>
    <w:rsid w:val="00451CCC"/>
    <w:rsid w:val="0045293D"/>
    <w:rsid w:val="00453146"/>
    <w:rsid w:val="00454054"/>
    <w:rsid w:val="0045426B"/>
    <w:rsid w:val="00456944"/>
    <w:rsid w:val="00457093"/>
    <w:rsid w:val="004619E8"/>
    <w:rsid w:val="00462212"/>
    <w:rsid w:val="004623C5"/>
    <w:rsid w:val="00463486"/>
    <w:rsid w:val="004641E7"/>
    <w:rsid w:val="0046491C"/>
    <w:rsid w:val="00464C3B"/>
    <w:rsid w:val="00465316"/>
    <w:rsid w:val="00465EE3"/>
    <w:rsid w:val="00466FD0"/>
    <w:rsid w:val="00467801"/>
    <w:rsid w:val="00470558"/>
    <w:rsid w:val="00470701"/>
    <w:rsid w:val="00470DD1"/>
    <w:rsid w:val="00470E56"/>
    <w:rsid w:val="00472409"/>
    <w:rsid w:val="00472708"/>
    <w:rsid w:val="00472C49"/>
    <w:rsid w:val="00475D64"/>
    <w:rsid w:val="00477A77"/>
    <w:rsid w:val="00480DC0"/>
    <w:rsid w:val="0048166E"/>
    <w:rsid w:val="00481F8F"/>
    <w:rsid w:val="00482B52"/>
    <w:rsid w:val="00482C61"/>
    <w:rsid w:val="00483986"/>
    <w:rsid w:val="00483E1A"/>
    <w:rsid w:val="00484540"/>
    <w:rsid w:val="00484D34"/>
    <w:rsid w:val="0048550D"/>
    <w:rsid w:val="00485F0A"/>
    <w:rsid w:val="00486309"/>
    <w:rsid w:val="0048714C"/>
    <w:rsid w:val="00487AEA"/>
    <w:rsid w:val="00487DBE"/>
    <w:rsid w:val="004900F9"/>
    <w:rsid w:val="00490993"/>
    <w:rsid w:val="00492123"/>
    <w:rsid w:val="00492497"/>
    <w:rsid w:val="00492B7F"/>
    <w:rsid w:val="00495275"/>
    <w:rsid w:val="00495F18"/>
    <w:rsid w:val="00495FCD"/>
    <w:rsid w:val="0049612F"/>
    <w:rsid w:val="00496850"/>
    <w:rsid w:val="00496C34"/>
    <w:rsid w:val="004A09F5"/>
    <w:rsid w:val="004A0D65"/>
    <w:rsid w:val="004A18CE"/>
    <w:rsid w:val="004A3A01"/>
    <w:rsid w:val="004A4EFF"/>
    <w:rsid w:val="004A6D1B"/>
    <w:rsid w:val="004B0491"/>
    <w:rsid w:val="004B066F"/>
    <w:rsid w:val="004B0AA0"/>
    <w:rsid w:val="004B202E"/>
    <w:rsid w:val="004B268B"/>
    <w:rsid w:val="004B286C"/>
    <w:rsid w:val="004B3194"/>
    <w:rsid w:val="004B4137"/>
    <w:rsid w:val="004B4598"/>
    <w:rsid w:val="004B66E1"/>
    <w:rsid w:val="004C02A6"/>
    <w:rsid w:val="004C0696"/>
    <w:rsid w:val="004C0EED"/>
    <w:rsid w:val="004C1241"/>
    <w:rsid w:val="004C1D43"/>
    <w:rsid w:val="004C2625"/>
    <w:rsid w:val="004C421F"/>
    <w:rsid w:val="004C5EBF"/>
    <w:rsid w:val="004C5F6C"/>
    <w:rsid w:val="004C6211"/>
    <w:rsid w:val="004C66B2"/>
    <w:rsid w:val="004C69C4"/>
    <w:rsid w:val="004C6A2C"/>
    <w:rsid w:val="004C6B01"/>
    <w:rsid w:val="004C75AF"/>
    <w:rsid w:val="004C77FC"/>
    <w:rsid w:val="004D0805"/>
    <w:rsid w:val="004D2806"/>
    <w:rsid w:val="004D37C2"/>
    <w:rsid w:val="004D3AA7"/>
    <w:rsid w:val="004D4504"/>
    <w:rsid w:val="004D47F7"/>
    <w:rsid w:val="004D5137"/>
    <w:rsid w:val="004D5CFE"/>
    <w:rsid w:val="004D5E0F"/>
    <w:rsid w:val="004D6ABD"/>
    <w:rsid w:val="004D75CE"/>
    <w:rsid w:val="004E0929"/>
    <w:rsid w:val="004E1C8A"/>
    <w:rsid w:val="004E3172"/>
    <w:rsid w:val="004E3BCF"/>
    <w:rsid w:val="004E3DFD"/>
    <w:rsid w:val="004E4993"/>
    <w:rsid w:val="004E4BB6"/>
    <w:rsid w:val="004E568C"/>
    <w:rsid w:val="004E60B2"/>
    <w:rsid w:val="004E692D"/>
    <w:rsid w:val="004E6A1F"/>
    <w:rsid w:val="004F0E3F"/>
    <w:rsid w:val="004F16DD"/>
    <w:rsid w:val="004F29F3"/>
    <w:rsid w:val="004F2D63"/>
    <w:rsid w:val="004F3E9A"/>
    <w:rsid w:val="004F45FA"/>
    <w:rsid w:val="004F477B"/>
    <w:rsid w:val="004F4A5D"/>
    <w:rsid w:val="004F577A"/>
    <w:rsid w:val="004F5D0D"/>
    <w:rsid w:val="004F7B78"/>
    <w:rsid w:val="004F7C2A"/>
    <w:rsid w:val="0050046C"/>
    <w:rsid w:val="005023D9"/>
    <w:rsid w:val="005029CC"/>
    <w:rsid w:val="00502D21"/>
    <w:rsid w:val="00502FF0"/>
    <w:rsid w:val="00502FF1"/>
    <w:rsid w:val="005034EE"/>
    <w:rsid w:val="00503BC0"/>
    <w:rsid w:val="00506185"/>
    <w:rsid w:val="00506D01"/>
    <w:rsid w:val="0050760F"/>
    <w:rsid w:val="0050764D"/>
    <w:rsid w:val="00510342"/>
    <w:rsid w:val="0051057A"/>
    <w:rsid w:val="00510FBE"/>
    <w:rsid w:val="00510FF1"/>
    <w:rsid w:val="005124A1"/>
    <w:rsid w:val="00512BE6"/>
    <w:rsid w:val="00513024"/>
    <w:rsid w:val="005131F0"/>
    <w:rsid w:val="00513312"/>
    <w:rsid w:val="005135F8"/>
    <w:rsid w:val="00513A17"/>
    <w:rsid w:val="00514640"/>
    <w:rsid w:val="00514B9A"/>
    <w:rsid w:val="0051567A"/>
    <w:rsid w:val="005158AE"/>
    <w:rsid w:val="00515FBE"/>
    <w:rsid w:val="005218CD"/>
    <w:rsid w:val="005233AC"/>
    <w:rsid w:val="00523F40"/>
    <w:rsid w:val="00524435"/>
    <w:rsid w:val="00524436"/>
    <w:rsid w:val="005254CD"/>
    <w:rsid w:val="005262E7"/>
    <w:rsid w:val="00526587"/>
    <w:rsid w:val="005308DD"/>
    <w:rsid w:val="00530905"/>
    <w:rsid w:val="00531987"/>
    <w:rsid w:val="00531D7F"/>
    <w:rsid w:val="005325B6"/>
    <w:rsid w:val="00534466"/>
    <w:rsid w:val="00536203"/>
    <w:rsid w:val="0053771D"/>
    <w:rsid w:val="00537BC9"/>
    <w:rsid w:val="005402C1"/>
    <w:rsid w:val="005403CC"/>
    <w:rsid w:val="00540B67"/>
    <w:rsid w:val="0054142D"/>
    <w:rsid w:val="00542446"/>
    <w:rsid w:val="0054548D"/>
    <w:rsid w:val="00546156"/>
    <w:rsid w:val="005470B2"/>
    <w:rsid w:val="005531B1"/>
    <w:rsid w:val="0055413D"/>
    <w:rsid w:val="00555CCA"/>
    <w:rsid w:val="005561EE"/>
    <w:rsid w:val="005564AD"/>
    <w:rsid w:val="00556673"/>
    <w:rsid w:val="00556915"/>
    <w:rsid w:val="0056021D"/>
    <w:rsid w:val="005603EE"/>
    <w:rsid w:val="005609EB"/>
    <w:rsid w:val="00562573"/>
    <w:rsid w:val="00562852"/>
    <w:rsid w:val="00562EE1"/>
    <w:rsid w:val="00563618"/>
    <w:rsid w:val="00563D7E"/>
    <w:rsid w:val="005641A7"/>
    <w:rsid w:val="00564875"/>
    <w:rsid w:val="00564BCE"/>
    <w:rsid w:val="00564C15"/>
    <w:rsid w:val="00565598"/>
    <w:rsid w:val="0056602E"/>
    <w:rsid w:val="0056612D"/>
    <w:rsid w:val="005667F7"/>
    <w:rsid w:val="00566902"/>
    <w:rsid w:val="005677FD"/>
    <w:rsid w:val="00567D4B"/>
    <w:rsid w:val="00570614"/>
    <w:rsid w:val="00570719"/>
    <w:rsid w:val="00571373"/>
    <w:rsid w:val="0057234B"/>
    <w:rsid w:val="00572988"/>
    <w:rsid w:val="005731A4"/>
    <w:rsid w:val="0057553F"/>
    <w:rsid w:val="00575C56"/>
    <w:rsid w:val="005764DE"/>
    <w:rsid w:val="00576843"/>
    <w:rsid w:val="00576A54"/>
    <w:rsid w:val="00576CC5"/>
    <w:rsid w:val="00580627"/>
    <w:rsid w:val="00580825"/>
    <w:rsid w:val="00580DC1"/>
    <w:rsid w:val="005820BD"/>
    <w:rsid w:val="0058210F"/>
    <w:rsid w:val="00582357"/>
    <w:rsid w:val="00583429"/>
    <w:rsid w:val="0058364D"/>
    <w:rsid w:val="00583B81"/>
    <w:rsid w:val="00583FBB"/>
    <w:rsid w:val="00584BBB"/>
    <w:rsid w:val="00587B5F"/>
    <w:rsid w:val="005901AA"/>
    <w:rsid w:val="00590550"/>
    <w:rsid w:val="005910C8"/>
    <w:rsid w:val="0059152B"/>
    <w:rsid w:val="00591D57"/>
    <w:rsid w:val="00591F7D"/>
    <w:rsid w:val="0059255B"/>
    <w:rsid w:val="00593420"/>
    <w:rsid w:val="005938B5"/>
    <w:rsid w:val="005940AA"/>
    <w:rsid w:val="005940F2"/>
    <w:rsid w:val="00594104"/>
    <w:rsid w:val="005945FA"/>
    <w:rsid w:val="005947BB"/>
    <w:rsid w:val="005969B6"/>
    <w:rsid w:val="005971AC"/>
    <w:rsid w:val="00597286"/>
    <w:rsid w:val="0059729E"/>
    <w:rsid w:val="005979C8"/>
    <w:rsid w:val="00597FC2"/>
    <w:rsid w:val="005A0537"/>
    <w:rsid w:val="005A0B34"/>
    <w:rsid w:val="005A21B9"/>
    <w:rsid w:val="005A225A"/>
    <w:rsid w:val="005A2481"/>
    <w:rsid w:val="005A27DC"/>
    <w:rsid w:val="005A28D3"/>
    <w:rsid w:val="005A2D1D"/>
    <w:rsid w:val="005A3536"/>
    <w:rsid w:val="005A377A"/>
    <w:rsid w:val="005A43BF"/>
    <w:rsid w:val="005A473A"/>
    <w:rsid w:val="005A497B"/>
    <w:rsid w:val="005A75E4"/>
    <w:rsid w:val="005A77A6"/>
    <w:rsid w:val="005A7A89"/>
    <w:rsid w:val="005B022A"/>
    <w:rsid w:val="005B10FA"/>
    <w:rsid w:val="005B1746"/>
    <w:rsid w:val="005B23B6"/>
    <w:rsid w:val="005B2F59"/>
    <w:rsid w:val="005B330A"/>
    <w:rsid w:val="005B3727"/>
    <w:rsid w:val="005B5EE7"/>
    <w:rsid w:val="005B62E7"/>
    <w:rsid w:val="005B6683"/>
    <w:rsid w:val="005B6E6B"/>
    <w:rsid w:val="005B7238"/>
    <w:rsid w:val="005B7BE9"/>
    <w:rsid w:val="005C03E0"/>
    <w:rsid w:val="005C0FBA"/>
    <w:rsid w:val="005C1109"/>
    <w:rsid w:val="005C116F"/>
    <w:rsid w:val="005C172C"/>
    <w:rsid w:val="005C3422"/>
    <w:rsid w:val="005C365D"/>
    <w:rsid w:val="005C45F7"/>
    <w:rsid w:val="005C500E"/>
    <w:rsid w:val="005C56BA"/>
    <w:rsid w:val="005C590D"/>
    <w:rsid w:val="005C5A4B"/>
    <w:rsid w:val="005C5C67"/>
    <w:rsid w:val="005C61B3"/>
    <w:rsid w:val="005D0220"/>
    <w:rsid w:val="005D07CA"/>
    <w:rsid w:val="005D0B9F"/>
    <w:rsid w:val="005D1538"/>
    <w:rsid w:val="005D1AC2"/>
    <w:rsid w:val="005D255F"/>
    <w:rsid w:val="005D3786"/>
    <w:rsid w:val="005D3CC7"/>
    <w:rsid w:val="005D4A5E"/>
    <w:rsid w:val="005D54B4"/>
    <w:rsid w:val="005E071E"/>
    <w:rsid w:val="005E0D73"/>
    <w:rsid w:val="005E1160"/>
    <w:rsid w:val="005E14AE"/>
    <w:rsid w:val="005E3961"/>
    <w:rsid w:val="005E3E03"/>
    <w:rsid w:val="005E5254"/>
    <w:rsid w:val="005E538C"/>
    <w:rsid w:val="005E6286"/>
    <w:rsid w:val="005E7561"/>
    <w:rsid w:val="005E7C53"/>
    <w:rsid w:val="005F092B"/>
    <w:rsid w:val="005F1807"/>
    <w:rsid w:val="005F225A"/>
    <w:rsid w:val="005F340B"/>
    <w:rsid w:val="005F5D55"/>
    <w:rsid w:val="005F67CC"/>
    <w:rsid w:val="005F6A1D"/>
    <w:rsid w:val="00600153"/>
    <w:rsid w:val="006001B6"/>
    <w:rsid w:val="00601095"/>
    <w:rsid w:val="00601BEE"/>
    <w:rsid w:val="00602287"/>
    <w:rsid w:val="00603AEA"/>
    <w:rsid w:val="006040E6"/>
    <w:rsid w:val="00604289"/>
    <w:rsid w:val="006053B2"/>
    <w:rsid w:val="00605732"/>
    <w:rsid w:val="00606CEC"/>
    <w:rsid w:val="006073DB"/>
    <w:rsid w:val="00610129"/>
    <w:rsid w:val="0061021C"/>
    <w:rsid w:val="00610AEA"/>
    <w:rsid w:val="00610D8B"/>
    <w:rsid w:val="006110C3"/>
    <w:rsid w:val="006115E1"/>
    <w:rsid w:val="006125AA"/>
    <w:rsid w:val="00612825"/>
    <w:rsid w:val="00612E0B"/>
    <w:rsid w:val="006132EC"/>
    <w:rsid w:val="00613475"/>
    <w:rsid w:val="0061370D"/>
    <w:rsid w:val="00613783"/>
    <w:rsid w:val="006139F3"/>
    <w:rsid w:val="006155C9"/>
    <w:rsid w:val="0061560E"/>
    <w:rsid w:val="00615A4C"/>
    <w:rsid w:val="006165D3"/>
    <w:rsid w:val="0061701D"/>
    <w:rsid w:val="00617630"/>
    <w:rsid w:val="00617909"/>
    <w:rsid w:val="00617DDB"/>
    <w:rsid w:val="00620E39"/>
    <w:rsid w:val="00620EA0"/>
    <w:rsid w:val="0062119A"/>
    <w:rsid w:val="00621F2D"/>
    <w:rsid w:val="00622E5F"/>
    <w:rsid w:val="00623532"/>
    <w:rsid w:val="00623A5B"/>
    <w:rsid w:val="00623C7F"/>
    <w:rsid w:val="006247C0"/>
    <w:rsid w:val="00625101"/>
    <w:rsid w:val="006251C8"/>
    <w:rsid w:val="00626CDB"/>
    <w:rsid w:val="006303C2"/>
    <w:rsid w:val="006304B5"/>
    <w:rsid w:val="00630C43"/>
    <w:rsid w:val="00631235"/>
    <w:rsid w:val="00631419"/>
    <w:rsid w:val="0063237B"/>
    <w:rsid w:val="00632D5C"/>
    <w:rsid w:val="00633BDB"/>
    <w:rsid w:val="00634118"/>
    <w:rsid w:val="0063438B"/>
    <w:rsid w:val="0063579F"/>
    <w:rsid w:val="00636382"/>
    <w:rsid w:val="00637258"/>
    <w:rsid w:val="00640652"/>
    <w:rsid w:val="00640DCC"/>
    <w:rsid w:val="006418CD"/>
    <w:rsid w:val="006419A5"/>
    <w:rsid w:val="00642C6D"/>
    <w:rsid w:val="00642EBC"/>
    <w:rsid w:val="00643A1E"/>
    <w:rsid w:val="00643CBF"/>
    <w:rsid w:val="00643DB4"/>
    <w:rsid w:val="00644C26"/>
    <w:rsid w:val="0064501D"/>
    <w:rsid w:val="00645BCD"/>
    <w:rsid w:val="00646BFF"/>
    <w:rsid w:val="00647064"/>
    <w:rsid w:val="006471A3"/>
    <w:rsid w:val="00651CF6"/>
    <w:rsid w:val="00651D11"/>
    <w:rsid w:val="00652718"/>
    <w:rsid w:val="00652DF9"/>
    <w:rsid w:val="00652F11"/>
    <w:rsid w:val="00653E96"/>
    <w:rsid w:val="00655038"/>
    <w:rsid w:val="006555C5"/>
    <w:rsid w:val="00656446"/>
    <w:rsid w:val="00656C7E"/>
    <w:rsid w:val="00657F7D"/>
    <w:rsid w:val="006605E4"/>
    <w:rsid w:val="00660BE0"/>
    <w:rsid w:val="00660F5C"/>
    <w:rsid w:val="00661867"/>
    <w:rsid w:val="006620A6"/>
    <w:rsid w:val="00662A33"/>
    <w:rsid w:val="006633D6"/>
    <w:rsid w:val="00664A11"/>
    <w:rsid w:val="00664D5E"/>
    <w:rsid w:val="00665136"/>
    <w:rsid w:val="00665C14"/>
    <w:rsid w:val="006666B7"/>
    <w:rsid w:val="00667225"/>
    <w:rsid w:val="00667951"/>
    <w:rsid w:val="006706B0"/>
    <w:rsid w:val="00670F55"/>
    <w:rsid w:val="00671217"/>
    <w:rsid w:val="00671C1F"/>
    <w:rsid w:val="006726E1"/>
    <w:rsid w:val="00673479"/>
    <w:rsid w:val="00673A13"/>
    <w:rsid w:val="00673BD8"/>
    <w:rsid w:val="006751A8"/>
    <w:rsid w:val="006752CB"/>
    <w:rsid w:val="00676286"/>
    <w:rsid w:val="006764C8"/>
    <w:rsid w:val="00677575"/>
    <w:rsid w:val="006776CF"/>
    <w:rsid w:val="00677D2E"/>
    <w:rsid w:val="00680387"/>
    <w:rsid w:val="00680484"/>
    <w:rsid w:val="00682BC7"/>
    <w:rsid w:val="00682E21"/>
    <w:rsid w:val="00683392"/>
    <w:rsid w:val="006845B0"/>
    <w:rsid w:val="00684F12"/>
    <w:rsid w:val="0068557B"/>
    <w:rsid w:val="006860FA"/>
    <w:rsid w:val="00686409"/>
    <w:rsid w:val="00686EF7"/>
    <w:rsid w:val="006905AA"/>
    <w:rsid w:val="00690F5C"/>
    <w:rsid w:val="0069139C"/>
    <w:rsid w:val="00691F23"/>
    <w:rsid w:val="00692ED4"/>
    <w:rsid w:val="00693912"/>
    <w:rsid w:val="00693CB5"/>
    <w:rsid w:val="00693F91"/>
    <w:rsid w:val="006957FD"/>
    <w:rsid w:val="00695E71"/>
    <w:rsid w:val="006960DB"/>
    <w:rsid w:val="00696519"/>
    <w:rsid w:val="0069663A"/>
    <w:rsid w:val="006A0599"/>
    <w:rsid w:val="006A0C39"/>
    <w:rsid w:val="006A1714"/>
    <w:rsid w:val="006A17BD"/>
    <w:rsid w:val="006A241D"/>
    <w:rsid w:val="006A2514"/>
    <w:rsid w:val="006A25C8"/>
    <w:rsid w:val="006A40FA"/>
    <w:rsid w:val="006A4522"/>
    <w:rsid w:val="006A4FE5"/>
    <w:rsid w:val="006A5228"/>
    <w:rsid w:val="006A6B98"/>
    <w:rsid w:val="006A6E5C"/>
    <w:rsid w:val="006A7A74"/>
    <w:rsid w:val="006A7C66"/>
    <w:rsid w:val="006B0E4A"/>
    <w:rsid w:val="006B0F98"/>
    <w:rsid w:val="006B1155"/>
    <w:rsid w:val="006B12BC"/>
    <w:rsid w:val="006B2929"/>
    <w:rsid w:val="006B2B1C"/>
    <w:rsid w:val="006B3315"/>
    <w:rsid w:val="006B348E"/>
    <w:rsid w:val="006B359A"/>
    <w:rsid w:val="006B3D3C"/>
    <w:rsid w:val="006B423D"/>
    <w:rsid w:val="006B7195"/>
    <w:rsid w:val="006B7F41"/>
    <w:rsid w:val="006C1845"/>
    <w:rsid w:val="006C1B26"/>
    <w:rsid w:val="006C275B"/>
    <w:rsid w:val="006C2A5C"/>
    <w:rsid w:val="006C31AC"/>
    <w:rsid w:val="006C464B"/>
    <w:rsid w:val="006C5556"/>
    <w:rsid w:val="006C5C4C"/>
    <w:rsid w:val="006C6296"/>
    <w:rsid w:val="006C6681"/>
    <w:rsid w:val="006C6BB2"/>
    <w:rsid w:val="006C6FE4"/>
    <w:rsid w:val="006C7135"/>
    <w:rsid w:val="006C713B"/>
    <w:rsid w:val="006C7638"/>
    <w:rsid w:val="006D0265"/>
    <w:rsid w:val="006D0EDB"/>
    <w:rsid w:val="006D1AB6"/>
    <w:rsid w:val="006D1BE8"/>
    <w:rsid w:val="006D20F0"/>
    <w:rsid w:val="006D3723"/>
    <w:rsid w:val="006D3988"/>
    <w:rsid w:val="006D3EC5"/>
    <w:rsid w:val="006D4C53"/>
    <w:rsid w:val="006D59E5"/>
    <w:rsid w:val="006D5C42"/>
    <w:rsid w:val="006D67FA"/>
    <w:rsid w:val="006D68AC"/>
    <w:rsid w:val="006D6D73"/>
    <w:rsid w:val="006D7268"/>
    <w:rsid w:val="006D7C1C"/>
    <w:rsid w:val="006E0416"/>
    <w:rsid w:val="006E0E26"/>
    <w:rsid w:val="006E0F20"/>
    <w:rsid w:val="006E1083"/>
    <w:rsid w:val="006E15E3"/>
    <w:rsid w:val="006E255B"/>
    <w:rsid w:val="006E280C"/>
    <w:rsid w:val="006E2A9F"/>
    <w:rsid w:val="006E2AC9"/>
    <w:rsid w:val="006E316C"/>
    <w:rsid w:val="006E3601"/>
    <w:rsid w:val="006E376F"/>
    <w:rsid w:val="006E41AA"/>
    <w:rsid w:val="006E424E"/>
    <w:rsid w:val="006E47AC"/>
    <w:rsid w:val="006E4BB5"/>
    <w:rsid w:val="006E5274"/>
    <w:rsid w:val="006E5A50"/>
    <w:rsid w:val="006E6AC9"/>
    <w:rsid w:val="006E717C"/>
    <w:rsid w:val="006F0221"/>
    <w:rsid w:val="006F084D"/>
    <w:rsid w:val="006F0FD8"/>
    <w:rsid w:val="006F149E"/>
    <w:rsid w:val="006F1F77"/>
    <w:rsid w:val="006F3532"/>
    <w:rsid w:val="006F3B39"/>
    <w:rsid w:val="006F434C"/>
    <w:rsid w:val="006F4547"/>
    <w:rsid w:val="006F4D2B"/>
    <w:rsid w:val="006F4E6D"/>
    <w:rsid w:val="006F4FC4"/>
    <w:rsid w:val="006F51D7"/>
    <w:rsid w:val="006F543C"/>
    <w:rsid w:val="006F7185"/>
    <w:rsid w:val="00700675"/>
    <w:rsid w:val="007007BC"/>
    <w:rsid w:val="007019A9"/>
    <w:rsid w:val="00701CD5"/>
    <w:rsid w:val="00701D1C"/>
    <w:rsid w:val="00702266"/>
    <w:rsid w:val="00702302"/>
    <w:rsid w:val="00702805"/>
    <w:rsid w:val="0070288A"/>
    <w:rsid w:val="0070365D"/>
    <w:rsid w:val="007036DC"/>
    <w:rsid w:val="00704502"/>
    <w:rsid w:val="00705203"/>
    <w:rsid w:val="0070561B"/>
    <w:rsid w:val="007056C9"/>
    <w:rsid w:val="00706758"/>
    <w:rsid w:val="0070680D"/>
    <w:rsid w:val="00706A57"/>
    <w:rsid w:val="00706B6E"/>
    <w:rsid w:val="00706BDB"/>
    <w:rsid w:val="0070700E"/>
    <w:rsid w:val="0070780C"/>
    <w:rsid w:val="00707E57"/>
    <w:rsid w:val="0071003B"/>
    <w:rsid w:val="00710B7D"/>
    <w:rsid w:val="0071150D"/>
    <w:rsid w:val="00711756"/>
    <w:rsid w:val="007144CE"/>
    <w:rsid w:val="007150A9"/>
    <w:rsid w:val="00716678"/>
    <w:rsid w:val="007167AF"/>
    <w:rsid w:val="00717601"/>
    <w:rsid w:val="00717A3E"/>
    <w:rsid w:val="0072049A"/>
    <w:rsid w:val="00722770"/>
    <w:rsid w:val="0072332E"/>
    <w:rsid w:val="007235F3"/>
    <w:rsid w:val="007237E8"/>
    <w:rsid w:val="00725635"/>
    <w:rsid w:val="00726F3A"/>
    <w:rsid w:val="00727271"/>
    <w:rsid w:val="00727A9D"/>
    <w:rsid w:val="00727DA8"/>
    <w:rsid w:val="00727EDC"/>
    <w:rsid w:val="007313C1"/>
    <w:rsid w:val="00731851"/>
    <w:rsid w:val="00732E69"/>
    <w:rsid w:val="0073718A"/>
    <w:rsid w:val="00737818"/>
    <w:rsid w:val="00740343"/>
    <w:rsid w:val="00740524"/>
    <w:rsid w:val="00741D27"/>
    <w:rsid w:val="0074369B"/>
    <w:rsid w:val="00743E23"/>
    <w:rsid w:val="00744DBB"/>
    <w:rsid w:val="007450C9"/>
    <w:rsid w:val="007453B3"/>
    <w:rsid w:val="007457B5"/>
    <w:rsid w:val="00745FB4"/>
    <w:rsid w:val="00747389"/>
    <w:rsid w:val="00747DAD"/>
    <w:rsid w:val="00750098"/>
    <w:rsid w:val="00750E72"/>
    <w:rsid w:val="007518D0"/>
    <w:rsid w:val="00752CD1"/>
    <w:rsid w:val="0075358D"/>
    <w:rsid w:val="00753680"/>
    <w:rsid w:val="00753B50"/>
    <w:rsid w:val="007541D1"/>
    <w:rsid w:val="00754638"/>
    <w:rsid w:val="00764C21"/>
    <w:rsid w:val="00765889"/>
    <w:rsid w:val="007704B9"/>
    <w:rsid w:val="00770A39"/>
    <w:rsid w:val="00770A99"/>
    <w:rsid w:val="00770B78"/>
    <w:rsid w:val="0077146E"/>
    <w:rsid w:val="00772A28"/>
    <w:rsid w:val="00772BC2"/>
    <w:rsid w:val="00772FEB"/>
    <w:rsid w:val="00773A56"/>
    <w:rsid w:val="00773A9C"/>
    <w:rsid w:val="00774421"/>
    <w:rsid w:val="0077515C"/>
    <w:rsid w:val="00775C53"/>
    <w:rsid w:val="00775EB0"/>
    <w:rsid w:val="00776A72"/>
    <w:rsid w:val="00781DE3"/>
    <w:rsid w:val="00782B55"/>
    <w:rsid w:val="007830CC"/>
    <w:rsid w:val="007838B9"/>
    <w:rsid w:val="00783E9E"/>
    <w:rsid w:val="0078455F"/>
    <w:rsid w:val="00785815"/>
    <w:rsid w:val="0078618E"/>
    <w:rsid w:val="00786ACF"/>
    <w:rsid w:val="00786BA8"/>
    <w:rsid w:val="00787B47"/>
    <w:rsid w:val="00787B84"/>
    <w:rsid w:val="0079084E"/>
    <w:rsid w:val="007910AE"/>
    <w:rsid w:val="007912C5"/>
    <w:rsid w:val="007913D8"/>
    <w:rsid w:val="0079172F"/>
    <w:rsid w:val="00791909"/>
    <w:rsid w:val="0079285E"/>
    <w:rsid w:val="00792CE8"/>
    <w:rsid w:val="00794A3A"/>
    <w:rsid w:val="00794A46"/>
    <w:rsid w:val="0079525E"/>
    <w:rsid w:val="00795A50"/>
    <w:rsid w:val="00795BBA"/>
    <w:rsid w:val="0079671A"/>
    <w:rsid w:val="0079798D"/>
    <w:rsid w:val="007A058B"/>
    <w:rsid w:val="007A233A"/>
    <w:rsid w:val="007A281C"/>
    <w:rsid w:val="007A333E"/>
    <w:rsid w:val="007A373B"/>
    <w:rsid w:val="007A3806"/>
    <w:rsid w:val="007A498D"/>
    <w:rsid w:val="007A49BD"/>
    <w:rsid w:val="007A4D42"/>
    <w:rsid w:val="007A4F9A"/>
    <w:rsid w:val="007A5B88"/>
    <w:rsid w:val="007A5E54"/>
    <w:rsid w:val="007A5F0F"/>
    <w:rsid w:val="007A7D5B"/>
    <w:rsid w:val="007A7DF2"/>
    <w:rsid w:val="007B05B7"/>
    <w:rsid w:val="007B0D0B"/>
    <w:rsid w:val="007B374D"/>
    <w:rsid w:val="007B38AA"/>
    <w:rsid w:val="007B3BE3"/>
    <w:rsid w:val="007B58D1"/>
    <w:rsid w:val="007B5E42"/>
    <w:rsid w:val="007B649C"/>
    <w:rsid w:val="007B6C71"/>
    <w:rsid w:val="007B6D93"/>
    <w:rsid w:val="007B7F23"/>
    <w:rsid w:val="007B7F91"/>
    <w:rsid w:val="007C02CF"/>
    <w:rsid w:val="007C0BC9"/>
    <w:rsid w:val="007C1335"/>
    <w:rsid w:val="007C292D"/>
    <w:rsid w:val="007C38D4"/>
    <w:rsid w:val="007C3EB9"/>
    <w:rsid w:val="007C432A"/>
    <w:rsid w:val="007C454F"/>
    <w:rsid w:val="007C4FF1"/>
    <w:rsid w:val="007C55C2"/>
    <w:rsid w:val="007C5607"/>
    <w:rsid w:val="007C715B"/>
    <w:rsid w:val="007C7633"/>
    <w:rsid w:val="007C7C7E"/>
    <w:rsid w:val="007D0390"/>
    <w:rsid w:val="007D0D7D"/>
    <w:rsid w:val="007D0EBB"/>
    <w:rsid w:val="007D1644"/>
    <w:rsid w:val="007D1CBB"/>
    <w:rsid w:val="007D209B"/>
    <w:rsid w:val="007D20F9"/>
    <w:rsid w:val="007D28E0"/>
    <w:rsid w:val="007D2A0E"/>
    <w:rsid w:val="007D371A"/>
    <w:rsid w:val="007D3C48"/>
    <w:rsid w:val="007D4361"/>
    <w:rsid w:val="007D4A2A"/>
    <w:rsid w:val="007D4B85"/>
    <w:rsid w:val="007D4D97"/>
    <w:rsid w:val="007D5051"/>
    <w:rsid w:val="007D5995"/>
    <w:rsid w:val="007D61B6"/>
    <w:rsid w:val="007D7985"/>
    <w:rsid w:val="007D7A40"/>
    <w:rsid w:val="007E078D"/>
    <w:rsid w:val="007E0DE0"/>
    <w:rsid w:val="007E25BD"/>
    <w:rsid w:val="007E299B"/>
    <w:rsid w:val="007E30F9"/>
    <w:rsid w:val="007E4DEB"/>
    <w:rsid w:val="007E5199"/>
    <w:rsid w:val="007E628A"/>
    <w:rsid w:val="007E7415"/>
    <w:rsid w:val="007E78C1"/>
    <w:rsid w:val="007E78D6"/>
    <w:rsid w:val="007F024A"/>
    <w:rsid w:val="007F1E44"/>
    <w:rsid w:val="007F2414"/>
    <w:rsid w:val="007F2925"/>
    <w:rsid w:val="007F2D81"/>
    <w:rsid w:val="007F33AC"/>
    <w:rsid w:val="007F3A7F"/>
    <w:rsid w:val="007F5E69"/>
    <w:rsid w:val="007F5FF1"/>
    <w:rsid w:val="007F6098"/>
    <w:rsid w:val="007F6F5C"/>
    <w:rsid w:val="008001B1"/>
    <w:rsid w:val="00800A2A"/>
    <w:rsid w:val="00800B0F"/>
    <w:rsid w:val="00801604"/>
    <w:rsid w:val="00802452"/>
    <w:rsid w:val="00803D46"/>
    <w:rsid w:val="00803E04"/>
    <w:rsid w:val="00804331"/>
    <w:rsid w:val="008043FA"/>
    <w:rsid w:val="008044F1"/>
    <w:rsid w:val="008044F9"/>
    <w:rsid w:val="008049E0"/>
    <w:rsid w:val="00804FB3"/>
    <w:rsid w:val="00805027"/>
    <w:rsid w:val="008056E7"/>
    <w:rsid w:val="00805F8F"/>
    <w:rsid w:val="008061B8"/>
    <w:rsid w:val="008062CE"/>
    <w:rsid w:val="008065C4"/>
    <w:rsid w:val="00806940"/>
    <w:rsid w:val="00807047"/>
    <w:rsid w:val="00807BC6"/>
    <w:rsid w:val="00810DF7"/>
    <w:rsid w:val="00811978"/>
    <w:rsid w:val="00811CD2"/>
    <w:rsid w:val="00812147"/>
    <w:rsid w:val="00812AF2"/>
    <w:rsid w:val="00813F09"/>
    <w:rsid w:val="00814122"/>
    <w:rsid w:val="00814E82"/>
    <w:rsid w:val="00814E9B"/>
    <w:rsid w:val="00815010"/>
    <w:rsid w:val="0081587B"/>
    <w:rsid w:val="008166E3"/>
    <w:rsid w:val="00816F1C"/>
    <w:rsid w:val="0081763F"/>
    <w:rsid w:val="00817B18"/>
    <w:rsid w:val="00820076"/>
    <w:rsid w:val="0082099D"/>
    <w:rsid w:val="00820D0F"/>
    <w:rsid w:val="0082188A"/>
    <w:rsid w:val="00821C80"/>
    <w:rsid w:val="00821DF5"/>
    <w:rsid w:val="008221F1"/>
    <w:rsid w:val="008227B0"/>
    <w:rsid w:val="0082294A"/>
    <w:rsid w:val="008234AE"/>
    <w:rsid w:val="0082465D"/>
    <w:rsid w:val="00825366"/>
    <w:rsid w:val="00825F17"/>
    <w:rsid w:val="0082678D"/>
    <w:rsid w:val="008267C2"/>
    <w:rsid w:val="00826AF5"/>
    <w:rsid w:val="00826E8F"/>
    <w:rsid w:val="00827267"/>
    <w:rsid w:val="008277C8"/>
    <w:rsid w:val="00830F1F"/>
    <w:rsid w:val="00831421"/>
    <w:rsid w:val="00831EE9"/>
    <w:rsid w:val="00832D39"/>
    <w:rsid w:val="00832F1A"/>
    <w:rsid w:val="0083424F"/>
    <w:rsid w:val="008342A5"/>
    <w:rsid w:val="008346FE"/>
    <w:rsid w:val="008355A5"/>
    <w:rsid w:val="00835C22"/>
    <w:rsid w:val="008376F0"/>
    <w:rsid w:val="00837F79"/>
    <w:rsid w:val="00840D54"/>
    <w:rsid w:val="00841876"/>
    <w:rsid w:val="008437C7"/>
    <w:rsid w:val="00844982"/>
    <w:rsid w:val="00844F6A"/>
    <w:rsid w:val="00846411"/>
    <w:rsid w:val="00847E81"/>
    <w:rsid w:val="00850A0F"/>
    <w:rsid w:val="00850ED1"/>
    <w:rsid w:val="00850EDD"/>
    <w:rsid w:val="0085134A"/>
    <w:rsid w:val="008515A5"/>
    <w:rsid w:val="00852E15"/>
    <w:rsid w:val="00854847"/>
    <w:rsid w:val="0085526A"/>
    <w:rsid w:val="00855294"/>
    <w:rsid w:val="00855DDB"/>
    <w:rsid w:val="0085639D"/>
    <w:rsid w:val="0085650A"/>
    <w:rsid w:val="00856982"/>
    <w:rsid w:val="00857A7C"/>
    <w:rsid w:val="008604DA"/>
    <w:rsid w:val="00860CD4"/>
    <w:rsid w:val="00861B75"/>
    <w:rsid w:val="00861FE5"/>
    <w:rsid w:val="00862CF3"/>
    <w:rsid w:val="00863AB5"/>
    <w:rsid w:val="00864E28"/>
    <w:rsid w:val="00866355"/>
    <w:rsid w:val="008703D0"/>
    <w:rsid w:val="00872B23"/>
    <w:rsid w:val="008731C7"/>
    <w:rsid w:val="00873780"/>
    <w:rsid w:val="00873963"/>
    <w:rsid w:val="00873BBF"/>
    <w:rsid w:val="00874417"/>
    <w:rsid w:val="00874699"/>
    <w:rsid w:val="008748E9"/>
    <w:rsid w:val="00874E8E"/>
    <w:rsid w:val="008760DD"/>
    <w:rsid w:val="00876CCC"/>
    <w:rsid w:val="0087719E"/>
    <w:rsid w:val="0087730C"/>
    <w:rsid w:val="00877683"/>
    <w:rsid w:val="00877FF6"/>
    <w:rsid w:val="00880C3D"/>
    <w:rsid w:val="00880E59"/>
    <w:rsid w:val="0088108D"/>
    <w:rsid w:val="008813D2"/>
    <w:rsid w:val="008814AE"/>
    <w:rsid w:val="00881885"/>
    <w:rsid w:val="00881E00"/>
    <w:rsid w:val="00882490"/>
    <w:rsid w:val="00882730"/>
    <w:rsid w:val="00883693"/>
    <w:rsid w:val="00883B62"/>
    <w:rsid w:val="008849A4"/>
    <w:rsid w:val="008857B7"/>
    <w:rsid w:val="00886050"/>
    <w:rsid w:val="0088717F"/>
    <w:rsid w:val="0088755A"/>
    <w:rsid w:val="00891212"/>
    <w:rsid w:val="008920F6"/>
    <w:rsid w:val="008923BD"/>
    <w:rsid w:val="008931A1"/>
    <w:rsid w:val="00895A13"/>
    <w:rsid w:val="00895A25"/>
    <w:rsid w:val="008962EA"/>
    <w:rsid w:val="0089678B"/>
    <w:rsid w:val="0089687D"/>
    <w:rsid w:val="008978E0"/>
    <w:rsid w:val="008A101E"/>
    <w:rsid w:val="008A1138"/>
    <w:rsid w:val="008A2089"/>
    <w:rsid w:val="008A3838"/>
    <w:rsid w:val="008A3E4E"/>
    <w:rsid w:val="008A4027"/>
    <w:rsid w:val="008A4257"/>
    <w:rsid w:val="008A4520"/>
    <w:rsid w:val="008A462C"/>
    <w:rsid w:val="008A4656"/>
    <w:rsid w:val="008A4F90"/>
    <w:rsid w:val="008A505B"/>
    <w:rsid w:val="008A53A5"/>
    <w:rsid w:val="008A5528"/>
    <w:rsid w:val="008A5C1D"/>
    <w:rsid w:val="008A5E1D"/>
    <w:rsid w:val="008A6828"/>
    <w:rsid w:val="008A6AAD"/>
    <w:rsid w:val="008A6CCE"/>
    <w:rsid w:val="008B1E33"/>
    <w:rsid w:val="008B1F31"/>
    <w:rsid w:val="008B29FD"/>
    <w:rsid w:val="008B361A"/>
    <w:rsid w:val="008B43F7"/>
    <w:rsid w:val="008B444C"/>
    <w:rsid w:val="008B48D2"/>
    <w:rsid w:val="008B4C07"/>
    <w:rsid w:val="008B4E39"/>
    <w:rsid w:val="008B56A3"/>
    <w:rsid w:val="008B5734"/>
    <w:rsid w:val="008B59CE"/>
    <w:rsid w:val="008B5C6F"/>
    <w:rsid w:val="008B6662"/>
    <w:rsid w:val="008B6857"/>
    <w:rsid w:val="008B6997"/>
    <w:rsid w:val="008B6BAF"/>
    <w:rsid w:val="008B722D"/>
    <w:rsid w:val="008B74D4"/>
    <w:rsid w:val="008C0A77"/>
    <w:rsid w:val="008C13A5"/>
    <w:rsid w:val="008C1EF3"/>
    <w:rsid w:val="008C294C"/>
    <w:rsid w:val="008C3ECD"/>
    <w:rsid w:val="008C469D"/>
    <w:rsid w:val="008C61E1"/>
    <w:rsid w:val="008C64BF"/>
    <w:rsid w:val="008C64C1"/>
    <w:rsid w:val="008C664E"/>
    <w:rsid w:val="008C6E3C"/>
    <w:rsid w:val="008C762E"/>
    <w:rsid w:val="008D053D"/>
    <w:rsid w:val="008D0B32"/>
    <w:rsid w:val="008D1C22"/>
    <w:rsid w:val="008D30DC"/>
    <w:rsid w:val="008D39A5"/>
    <w:rsid w:val="008D44DA"/>
    <w:rsid w:val="008D46C5"/>
    <w:rsid w:val="008D5EBF"/>
    <w:rsid w:val="008D618C"/>
    <w:rsid w:val="008D69B9"/>
    <w:rsid w:val="008E039A"/>
    <w:rsid w:val="008E131F"/>
    <w:rsid w:val="008E2814"/>
    <w:rsid w:val="008E2B45"/>
    <w:rsid w:val="008E35BE"/>
    <w:rsid w:val="008E3899"/>
    <w:rsid w:val="008E53BE"/>
    <w:rsid w:val="008E5CAC"/>
    <w:rsid w:val="008E624E"/>
    <w:rsid w:val="008E7746"/>
    <w:rsid w:val="008F048E"/>
    <w:rsid w:val="008F0597"/>
    <w:rsid w:val="008F05C6"/>
    <w:rsid w:val="008F065C"/>
    <w:rsid w:val="008F103A"/>
    <w:rsid w:val="008F137C"/>
    <w:rsid w:val="008F218B"/>
    <w:rsid w:val="008F24DF"/>
    <w:rsid w:val="008F2D7E"/>
    <w:rsid w:val="008F4102"/>
    <w:rsid w:val="008F451A"/>
    <w:rsid w:val="008F5266"/>
    <w:rsid w:val="008F5919"/>
    <w:rsid w:val="008F5D31"/>
    <w:rsid w:val="008F6044"/>
    <w:rsid w:val="008F6DD2"/>
    <w:rsid w:val="008F6F52"/>
    <w:rsid w:val="008F74A0"/>
    <w:rsid w:val="008F78E2"/>
    <w:rsid w:val="00902390"/>
    <w:rsid w:val="00902954"/>
    <w:rsid w:val="009033AE"/>
    <w:rsid w:val="009034EA"/>
    <w:rsid w:val="00904033"/>
    <w:rsid w:val="009044F0"/>
    <w:rsid w:val="00905853"/>
    <w:rsid w:val="00905984"/>
    <w:rsid w:val="00905D62"/>
    <w:rsid w:val="0090630D"/>
    <w:rsid w:val="0090653A"/>
    <w:rsid w:val="00906D23"/>
    <w:rsid w:val="009073E6"/>
    <w:rsid w:val="00907632"/>
    <w:rsid w:val="00910DA2"/>
    <w:rsid w:val="0091158A"/>
    <w:rsid w:val="00911CD7"/>
    <w:rsid w:val="009133AF"/>
    <w:rsid w:val="009134B9"/>
    <w:rsid w:val="00913AAF"/>
    <w:rsid w:val="00914E9C"/>
    <w:rsid w:val="009156B1"/>
    <w:rsid w:val="00915F3D"/>
    <w:rsid w:val="0091695F"/>
    <w:rsid w:val="00917243"/>
    <w:rsid w:val="009175C0"/>
    <w:rsid w:val="009175E5"/>
    <w:rsid w:val="00917FF7"/>
    <w:rsid w:val="00920C3F"/>
    <w:rsid w:val="00923047"/>
    <w:rsid w:val="00924170"/>
    <w:rsid w:val="00924424"/>
    <w:rsid w:val="00926DC6"/>
    <w:rsid w:val="00927D8B"/>
    <w:rsid w:val="00930AA8"/>
    <w:rsid w:val="00930AF3"/>
    <w:rsid w:val="00930CB0"/>
    <w:rsid w:val="00932E43"/>
    <w:rsid w:val="009331B9"/>
    <w:rsid w:val="00933641"/>
    <w:rsid w:val="009345CA"/>
    <w:rsid w:val="00934EA7"/>
    <w:rsid w:val="009353EB"/>
    <w:rsid w:val="009355B4"/>
    <w:rsid w:val="00935B63"/>
    <w:rsid w:val="009366BF"/>
    <w:rsid w:val="009368B0"/>
    <w:rsid w:val="00936A6C"/>
    <w:rsid w:val="00936DFD"/>
    <w:rsid w:val="00937701"/>
    <w:rsid w:val="00937981"/>
    <w:rsid w:val="009405B0"/>
    <w:rsid w:val="009406D8"/>
    <w:rsid w:val="00940B43"/>
    <w:rsid w:val="00942546"/>
    <w:rsid w:val="00944B03"/>
    <w:rsid w:val="00945919"/>
    <w:rsid w:val="00945B13"/>
    <w:rsid w:val="00946953"/>
    <w:rsid w:val="009471BE"/>
    <w:rsid w:val="00947372"/>
    <w:rsid w:val="00947A8D"/>
    <w:rsid w:val="00950C6B"/>
    <w:rsid w:val="009512FA"/>
    <w:rsid w:val="00952EE5"/>
    <w:rsid w:val="00956F69"/>
    <w:rsid w:val="009571DC"/>
    <w:rsid w:val="00961564"/>
    <w:rsid w:val="00963A38"/>
    <w:rsid w:val="00963ADD"/>
    <w:rsid w:val="00964E60"/>
    <w:rsid w:val="00965192"/>
    <w:rsid w:val="00965392"/>
    <w:rsid w:val="00966396"/>
    <w:rsid w:val="0096696C"/>
    <w:rsid w:val="0096696E"/>
    <w:rsid w:val="00971925"/>
    <w:rsid w:val="00971C76"/>
    <w:rsid w:val="0097285E"/>
    <w:rsid w:val="00972B7A"/>
    <w:rsid w:val="009745E7"/>
    <w:rsid w:val="00974D99"/>
    <w:rsid w:val="00975495"/>
    <w:rsid w:val="00975A65"/>
    <w:rsid w:val="00975BD2"/>
    <w:rsid w:val="00975C51"/>
    <w:rsid w:val="00976922"/>
    <w:rsid w:val="0098012F"/>
    <w:rsid w:val="00980914"/>
    <w:rsid w:val="00981057"/>
    <w:rsid w:val="0098152E"/>
    <w:rsid w:val="009821AB"/>
    <w:rsid w:val="0098257F"/>
    <w:rsid w:val="00984720"/>
    <w:rsid w:val="00985357"/>
    <w:rsid w:val="00986951"/>
    <w:rsid w:val="00986B02"/>
    <w:rsid w:val="00987431"/>
    <w:rsid w:val="00987680"/>
    <w:rsid w:val="00987D5D"/>
    <w:rsid w:val="00987DCC"/>
    <w:rsid w:val="009903EC"/>
    <w:rsid w:val="00990F24"/>
    <w:rsid w:val="00990F6B"/>
    <w:rsid w:val="009914AD"/>
    <w:rsid w:val="0099463F"/>
    <w:rsid w:val="009A3372"/>
    <w:rsid w:val="009A35D3"/>
    <w:rsid w:val="009A3889"/>
    <w:rsid w:val="009A3C27"/>
    <w:rsid w:val="009A3CB1"/>
    <w:rsid w:val="009A50C1"/>
    <w:rsid w:val="009A594E"/>
    <w:rsid w:val="009B1B20"/>
    <w:rsid w:val="009B2018"/>
    <w:rsid w:val="009B20AD"/>
    <w:rsid w:val="009B2DFF"/>
    <w:rsid w:val="009B4174"/>
    <w:rsid w:val="009B50DD"/>
    <w:rsid w:val="009B52DD"/>
    <w:rsid w:val="009B5FE5"/>
    <w:rsid w:val="009B65EB"/>
    <w:rsid w:val="009B66B3"/>
    <w:rsid w:val="009B67C0"/>
    <w:rsid w:val="009C03E4"/>
    <w:rsid w:val="009C14D4"/>
    <w:rsid w:val="009C3094"/>
    <w:rsid w:val="009C3917"/>
    <w:rsid w:val="009C3CB8"/>
    <w:rsid w:val="009C4055"/>
    <w:rsid w:val="009C54CB"/>
    <w:rsid w:val="009C5725"/>
    <w:rsid w:val="009C67FF"/>
    <w:rsid w:val="009C76EC"/>
    <w:rsid w:val="009C77A5"/>
    <w:rsid w:val="009C7D63"/>
    <w:rsid w:val="009C7E88"/>
    <w:rsid w:val="009D12CD"/>
    <w:rsid w:val="009D1DEA"/>
    <w:rsid w:val="009D2951"/>
    <w:rsid w:val="009D2FBF"/>
    <w:rsid w:val="009D40CD"/>
    <w:rsid w:val="009D43FC"/>
    <w:rsid w:val="009D4B56"/>
    <w:rsid w:val="009D521A"/>
    <w:rsid w:val="009D5E30"/>
    <w:rsid w:val="009D5F77"/>
    <w:rsid w:val="009D5FCE"/>
    <w:rsid w:val="009D68F3"/>
    <w:rsid w:val="009D70D4"/>
    <w:rsid w:val="009D72AB"/>
    <w:rsid w:val="009E0A57"/>
    <w:rsid w:val="009E0D5D"/>
    <w:rsid w:val="009E116C"/>
    <w:rsid w:val="009E176C"/>
    <w:rsid w:val="009E27F8"/>
    <w:rsid w:val="009E3379"/>
    <w:rsid w:val="009E3E5D"/>
    <w:rsid w:val="009E41BA"/>
    <w:rsid w:val="009E4EB5"/>
    <w:rsid w:val="009E5640"/>
    <w:rsid w:val="009E6F97"/>
    <w:rsid w:val="009E782D"/>
    <w:rsid w:val="009E7B8A"/>
    <w:rsid w:val="009F0F0A"/>
    <w:rsid w:val="009F1C0A"/>
    <w:rsid w:val="009F24C1"/>
    <w:rsid w:val="009F33FF"/>
    <w:rsid w:val="009F38D9"/>
    <w:rsid w:val="009F6A88"/>
    <w:rsid w:val="009F6C03"/>
    <w:rsid w:val="009F6F60"/>
    <w:rsid w:val="009F7DF6"/>
    <w:rsid w:val="00A01346"/>
    <w:rsid w:val="00A02A74"/>
    <w:rsid w:val="00A03ACC"/>
    <w:rsid w:val="00A03E16"/>
    <w:rsid w:val="00A04BD6"/>
    <w:rsid w:val="00A0507B"/>
    <w:rsid w:val="00A0548F"/>
    <w:rsid w:val="00A0595A"/>
    <w:rsid w:val="00A07615"/>
    <w:rsid w:val="00A077D3"/>
    <w:rsid w:val="00A07A2B"/>
    <w:rsid w:val="00A07D30"/>
    <w:rsid w:val="00A10921"/>
    <w:rsid w:val="00A10C57"/>
    <w:rsid w:val="00A1171C"/>
    <w:rsid w:val="00A122F7"/>
    <w:rsid w:val="00A1325F"/>
    <w:rsid w:val="00A1436D"/>
    <w:rsid w:val="00A14636"/>
    <w:rsid w:val="00A15E33"/>
    <w:rsid w:val="00A17056"/>
    <w:rsid w:val="00A17291"/>
    <w:rsid w:val="00A2026F"/>
    <w:rsid w:val="00A202EA"/>
    <w:rsid w:val="00A20705"/>
    <w:rsid w:val="00A2095A"/>
    <w:rsid w:val="00A20CEA"/>
    <w:rsid w:val="00A24556"/>
    <w:rsid w:val="00A24746"/>
    <w:rsid w:val="00A25529"/>
    <w:rsid w:val="00A25C4F"/>
    <w:rsid w:val="00A26018"/>
    <w:rsid w:val="00A26A3D"/>
    <w:rsid w:val="00A27A90"/>
    <w:rsid w:val="00A31DB1"/>
    <w:rsid w:val="00A3205E"/>
    <w:rsid w:val="00A339DD"/>
    <w:rsid w:val="00A33B2E"/>
    <w:rsid w:val="00A33B81"/>
    <w:rsid w:val="00A342A7"/>
    <w:rsid w:val="00A34589"/>
    <w:rsid w:val="00A34638"/>
    <w:rsid w:val="00A34C77"/>
    <w:rsid w:val="00A34D92"/>
    <w:rsid w:val="00A3591B"/>
    <w:rsid w:val="00A35E2E"/>
    <w:rsid w:val="00A35EE7"/>
    <w:rsid w:val="00A36386"/>
    <w:rsid w:val="00A37B98"/>
    <w:rsid w:val="00A40526"/>
    <w:rsid w:val="00A4089C"/>
    <w:rsid w:val="00A40AE9"/>
    <w:rsid w:val="00A40C6D"/>
    <w:rsid w:val="00A41CC0"/>
    <w:rsid w:val="00A4204F"/>
    <w:rsid w:val="00A4259B"/>
    <w:rsid w:val="00A42B4A"/>
    <w:rsid w:val="00A43460"/>
    <w:rsid w:val="00A440EE"/>
    <w:rsid w:val="00A44B98"/>
    <w:rsid w:val="00A44D64"/>
    <w:rsid w:val="00A44E38"/>
    <w:rsid w:val="00A45BAA"/>
    <w:rsid w:val="00A4613F"/>
    <w:rsid w:val="00A46DF1"/>
    <w:rsid w:val="00A4772B"/>
    <w:rsid w:val="00A502A6"/>
    <w:rsid w:val="00A50574"/>
    <w:rsid w:val="00A50E5F"/>
    <w:rsid w:val="00A50FFF"/>
    <w:rsid w:val="00A51DDA"/>
    <w:rsid w:val="00A52156"/>
    <w:rsid w:val="00A52E4D"/>
    <w:rsid w:val="00A53114"/>
    <w:rsid w:val="00A5330E"/>
    <w:rsid w:val="00A53BF4"/>
    <w:rsid w:val="00A540C2"/>
    <w:rsid w:val="00A54A64"/>
    <w:rsid w:val="00A56F7A"/>
    <w:rsid w:val="00A57746"/>
    <w:rsid w:val="00A6029C"/>
    <w:rsid w:val="00A60379"/>
    <w:rsid w:val="00A60B72"/>
    <w:rsid w:val="00A61173"/>
    <w:rsid w:val="00A6183B"/>
    <w:rsid w:val="00A638D6"/>
    <w:rsid w:val="00A63BDA"/>
    <w:rsid w:val="00A640B9"/>
    <w:rsid w:val="00A64898"/>
    <w:rsid w:val="00A65B95"/>
    <w:rsid w:val="00A65D10"/>
    <w:rsid w:val="00A65DA0"/>
    <w:rsid w:val="00A66DED"/>
    <w:rsid w:val="00A67985"/>
    <w:rsid w:val="00A70500"/>
    <w:rsid w:val="00A7084F"/>
    <w:rsid w:val="00A70D64"/>
    <w:rsid w:val="00A71305"/>
    <w:rsid w:val="00A717A4"/>
    <w:rsid w:val="00A71D7C"/>
    <w:rsid w:val="00A72CAB"/>
    <w:rsid w:val="00A72D53"/>
    <w:rsid w:val="00A72FCF"/>
    <w:rsid w:val="00A73937"/>
    <w:rsid w:val="00A73A53"/>
    <w:rsid w:val="00A752B9"/>
    <w:rsid w:val="00A75C49"/>
    <w:rsid w:val="00A7626F"/>
    <w:rsid w:val="00A767DD"/>
    <w:rsid w:val="00A76A22"/>
    <w:rsid w:val="00A77E6F"/>
    <w:rsid w:val="00A800A4"/>
    <w:rsid w:val="00A805CC"/>
    <w:rsid w:val="00A80867"/>
    <w:rsid w:val="00A8238C"/>
    <w:rsid w:val="00A8264D"/>
    <w:rsid w:val="00A8395B"/>
    <w:rsid w:val="00A848AB"/>
    <w:rsid w:val="00A858DA"/>
    <w:rsid w:val="00A858F2"/>
    <w:rsid w:val="00A8594F"/>
    <w:rsid w:val="00A86983"/>
    <w:rsid w:val="00A87A9A"/>
    <w:rsid w:val="00A9057E"/>
    <w:rsid w:val="00A905A6"/>
    <w:rsid w:val="00A90E7C"/>
    <w:rsid w:val="00A91409"/>
    <w:rsid w:val="00A915CF"/>
    <w:rsid w:val="00A91BC7"/>
    <w:rsid w:val="00A91FA1"/>
    <w:rsid w:val="00A921F1"/>
    <w:rsid w:val="00A921F5"/>
    <w:rsid w:val="00A9265D"/>
    <w:rsid w:val="00A92A66"/>
    <w:rsid w:val="00A92AFA"/>
    <w:rsid w:val="00A9438F"/>
    <w:rsid w:val="00A94D81"/>
    <w:rsid w:val="00A969F3"/>
    <w:rsid w:val="00A96E0A"/>
    <w:rsid w:val="00A97E05"/>
    <w:rsid w:val="00AA0240"/>
    <w:rsid w:val="00AA138B"/>
    <w:rsid w:val="00AA1A20"/>
    <w:rsid w:val="00AA23FC"/>
    <w:rsid w:val="00AA4FF4"/>
    <w:rsid w:val="00AA5862"/>
    <w:rsid w:val="00AA66B0"/>
    <w:rsid w:val="00AA6C3B"/>
    <w:rsid w:val="00AA765D"/>
    <w:rsid w:val="00AA7BC6"/>
    <w:rsid w:val="00AA7F20"/>
    <w:rsid w:val="00AA7F66"/>
    <w:rsid w:val="00AB0638"/>
    <w:rsid w:val="00AB07E1"/>
    <w:rsid w:val="00AB0C61"/>
    <w:rsid w:val="00AB14E1"/>
    <w:rsid w:val="00AB2A0F"/>
    <w:rsid w:val="00AB3A68"/>
    <w:rsid w:val="00AB3B7D"/>
    <w:rsid w:val="00AB424A"/>
    <w:rsid w:val="00AB4328"/>
    <w:rsid w:val="00AB67D1"/>
    <w:rsid w:val="00AB6820"/>
    <w:rsid w:val="00AB6923"/>
    <w:rsid w:val="00AB6F86"/>
    <w:rsid w:val="00AB7608"/>
    <w:rsid w:val="00AC0879"/>
    <w:rsid w:val="00AC0A57"/>
    <w:rsid w:val="00AC0B4E"/>
    <w:rsid w:val="00AC0E6C"/>
    <w:rsid w:val="00AC34A6"/>
    <w:rsid w:val="00AC5123"/>
    <w:rsid w:val="00AC5BA9"/>
    <w:rsid w:val="00AC5D57"/>
    <w:rsid w:val="00AC651C"/>
    <w:rsid w:val="00AC673B"/>
    <w:rsid w:val="00AC7835"/>
    <w:rsid w:val="00AD1165"/>
    <w:rsid w:val="00AD12A3"/>
    <w:rsid w:val="00AD22DE"/>
    <w:rsid w:val="00AD239F"/>
    <w:rsid w:val="00AD2E6B"/>
    <w:rsid w:val="00AD30A1"/>
    <w:rsid w:val="00AD3119"/>
    <w:rsid w:val="00AD393A"/>
    <w:rsid w:val="00AD3C33"/>
    <w:rsid w:val="00AD3D19"/>
    <w:rsid w:val="00AD42CA"/>
    <w:rsid w:val="00AD5C10"/>
    <w:rsid w:val="00AD5E70"/>
    <w:rsid w:val="00AD61F0"/>
    <w:rsid w:val="00AD7F2C"/>
    <w:rsid w:val="00AE07FF"/>
    <w:rsid w:val="00AE2318"/>
    <w:rsid w:val="00AE2F6F"/>
    <w:rsid w:val="00AE33AD"/>
    <w:rsid w:val="00AE34A5"/>
    <w:rsid w:val="00AE3CBA"/>
    <w:rsid w:val="00AE4225"/>
    <w:rsid w:val="00AE42B4"/>
    <w:rsid w:val="00AE4DFE"/>
    <w:rsid w:val="00AE4E9B"/>
    <w:rsid w:val="00AE5616"/>
    <w:rsid w:val="00AE602F"/>
    <w:rsid w:val="00AE69BE"/>
    <w:rsid w:val="00AE6F89"/>
    <w:rsid w:val="00AE7CE3"/>
    <w:rsid w:val="00AE7D9B"/>
    <w:rsid w:val="00AE7E43"/>
    <w:rsid w:val="00AF021B"/>
    <w:rsid w:val="00AF0BBF"/>
    <w:rsid w:val="00AF2210"/>
    <w:rsid w:val="00AF2295"/>
    <w:rsid w:val="00AF25AC"/>
    <w:rsid w:val="00AF2714"/>
    <w:rsid w:val="00AF32FB"/>
    <w:rsid w:val="00AF351F"/>
    <w:rsid w:val="00AF391E"/>
    <w:rsid w:val="00AF3EA4"/>
    <w:rsid w:val="00AF434F"/>
    <w:rsid w:val="00AF49A2"/>
    <w:rsid w:val="00AF4BEB"/>
    <w:rsid w:val="00AF5377"/>
    <w:rsid w:val="00AF5C3F"/>
    <w:rsid w:val="00B009F8"/>
    <w:rsid w:val="00B00B69"/>
    <w:rsid w:val="00B00E01"/>
    <w:rsid w:val="00B018BA"/>
    <w:rsid w:val="00B02BB0"/>
    <w:rsid w:val="00B05783"/>
    <w:rsid w:val="00B0603D"/>
    <w:rsid w:val="00B06D8F"/>
    <w:rsid w:val="00B071D7"/>
    <w:rsid w:val="00B0726B"/>
    <w:rsid w:val="00B10A01"/>
    <w:rsid w:val="00B112D5"/>
    <w:rsid w:val="00B11AE5"/>
    <w:rsid w:val="00B12E2A"/>
    <w:rsid w:val="00B13BFB"/>
    <w:rsid w:val="00B1431E"/>
    <w:rsid w:val="00B14499"/>
    <w:rsid w:val="00B148DB"/>
    <w:rsid w:val="00B14CBD"/>
    <w:rsid w:val="00B15413"/>
    <w:rsid w:val="00B16793"/>
    <w:rsid w:val="00B17807"/>
    <w:rsid w:val="00B20423"/>
    <w:rsid w:val="00B20465"/>
    <w:rsid w:val="00B205FB"/>
    <w:rsid w:val="00B229A3"/>
    <w:rsid w:val="00B22A5A"/>
    <w:rsid w:val="00B2363B"/>
    <w:rsid w:val="00B238B6"/>
    <w:rsid w:val="00B244D8"/>
    <w:rsid w:val="00B24DB9"/>
    <w:rsid w:val="00B251C7"/>
    <w:rsid w:val="00B2544B"/>
    <w:rsid w:val="00B25E1E"/>
    <w:rsid w:val="00B26E56"/>
    <w:rsid w:val="00B26EE1"/>
    <w:rsid w:val="00B27181"/>
    <w:rsid w:val="00B2724B"/>
    <w:rsid w:val="00B27E69"/>
    <w:rsid w:val="00B30B97"/>
    <w:rsid w:val="00B3142C"/>
    <w:rsid w:val="00B323B9"/>
    <w:rsid w:val="00B335CB"/>
    <w:rsid w:val="00B33791"/>
    <w:rsid w:val="00B33B6C"/>
    <w:rsid w:val="00B34002"/>
    <w:rsid w:val="00B34B8E"/>
    <w:rsid w:val="00B353FD"/>
    <w:rsid w:val="00B3700F"/>
    <w:rsid w:val="00B37188"/>
    <w:rsid w:val="00B37235"/>
    <w:rsid w:val="00B37922"/>
    <w:rsid w:val="00B37DFF"/>
    <w:rsid w:val="00B37F3D"/>
    <w:rsid w:val="00B40A17"/>
    <w:rsid w:val="00B4184B"/>
    <w:rsid w:val="00B43D00"/>
    <w:rsid w:val="00B44A49"/>
    <w:rsid w:val="00B4528A"/>
    <w:rsid w:val="00B4595F"/>
    <w:rsid w:val="00B46C1C"/>
    <w:rsid w:val="00B50326"/>
    <w:rsid w:val="00B51E49"/>
    <w:rsid w:val="00B5425E"/>
    <w:rsid w:val="00B54A45"/>
    <w:rsid w:val="00B552C5"/>
    <w:rsid w:val="00B558C0"/>
    <w:rsid w:val="00B56C95"/>
    <w:rsid w:val="00B6106A"/>
    <w:rsid w:val="00B61222"/>
    <w:rsid w:val="00B61AC1"/>
    <w:rsid w:val="00B61BCB"/>
    <w:rsid w:val="00B63B4C"/>
    <w:rsid w:val="00B64E5C"/>
    <w:rsid w:val="00B64E6E"/>
    <w:rsid w:val="00B67257"/>
    <w:rsid w:val="00B70905"/>
    <w:rsid w:val="00B71D9A"/>
    <w:rsid w:val="00B730AC"/>
    <w:rsid w:val="00B73DB5"/>
    <w:rsid w:val="00B749C9"/>
    <w:rsid w:val="00B74B1C"/>
    <w:rsid w:val="00B74C4A"/>
    <w:rsid w:val="00B75064"/>
    <w:rsid w:val="00B756F0"/>
    <w:rsid w:val="00B75B73"/>
    <w:rsid w:val="00B774D8"/>
    <w:rsid w:val="00B77A6B"/>
    <w:rsid w:val="00B806B4"/>
    <w:rsid w:val="00B80968"/>
    <w:rsid w:val="00B80B62"/>
    <w:rsid w:val="00B81D88"/>
    <w:rsid w:val="00B83FD9"/>
    <w:rsid w:val="00B84118"/>
    <w:rsid w:val="00B8464E"/>
    <w:rsid w:val="00B84CA9"/>
    <w:rsid w:val="00B852C4"/>
    <w:rsid w:val="00B85500"/>
    <w:rsid w:val="00B858A0"/>
    <w:rsid w:val="00B86807"/>
    <w:rsid w:val="00B86C07"/>
    <w:rsid w:val="00B86FA4"/>
    <w:rsid w:val="00B8712F"/>
    <w:rsid w:val="00B87731"/>
    <w:rsid w:val="00B906C7"/>
    <w:rsid w:val="00B9093E"/>
    <w:rsid w:val="00B909DB"/>
    <w:rsid w:val="00B9126A"/>
    <w:rsid w:val="00B913ED"/>
    <w:rsid w:val="00B91D3F"/>
    <w:rsid w:val="00B928A7"/>
    <w:rsid w:val="00B93A17"/>
    <w:rsid w:val="00B9433E"/>
    <w:rsid w:val="00B9591E"/>
    <w:rsid w:val="00B97631"/>
    <w:rsid w:val="00BA00F1"/>
    <w:rsid w:val="00BA0A56"/>
    <w:rsid w:val="00BA0ED3"/>
    <w:rsid w:val="00BA0F20"/>
    <w:rsid w:val="00BA1E1E"/>
    <w:rsid w:val="00BA27C5"/>
    <w:rsid w:val="00BA28D6"/>
    <w:rsid w:val="00BA342C"/>
    <w:rsid w:val="00BA3608"/>
    <w:rsid w:val="00BA3AA3"/>
    <w:rsid w:val="00BA4CB7"/>
    <w:rsid w:val="00BA5BED"/>
    <w:rsid w:val="00BA6991"/>
    <w:rsid w:val="00BA6D66"/>
    <w:rsid w:val="00BB0AD8"/>
    <w:rsid w:val="00BB0DBE"/>
    <w:rsid w:val="00BB18D9"/>
    <w:rsid w:val="00BB348E"/>
    <w:rsid w:val="00BB366E"/>
    <w:rsid w:val="00BB373C"/>
    <w:rsid w:val="00BB378A"/>
    <w:rsid w:val="00BB3883"/>
    <w:rsid w:val="00BB466B"/>
    <w:rsid w:val="00BB4ECD"/>
    <w:rsid w:val="00BB4F73"/>
    <w:rsid w:val="00BB5E65"/>
    <w:rsid w:val="00BB5FDD"/>
    <w:rsid w:val="00BB6925"/>
    <w:rsid w:val="00BB6A5E"/>
    <w:rsid w:val="00BB6AF8"/>
    <w:rsid w:val="00BB7378"/>
    <w:rsid w:val="00BB7457"/>
    <w:rsid w:val="00BC0503"/>
    <w:rsid w:val="00BC057D"/>
    <w:rsid w:val="00BC072A"/>
    <w:rsid w:val="00BC0DE7"/>
    <w:rsid w:val="00BC0DEF"/>
    <w:rsid w:val="00BC112A"/>
    <w:rsid w:val="00BC1329"/>
    <w:rsid w:val="00BC380E"/>
    <w:rsid w:val="00BC4873"/>
    <w:rsid w:val="00BC4945"/>
    <w:rsid w:val="00BC524E"/>
    <w:rsid w:val="00BC551A"/>
    <w:rsid w:val="00BC65EE"/>
    <w:rsid w:val="00BC6B69"/>
    <w:rsid w:val="00BC7232"/>
    <w:rsid w:val="00BC7D88"/>
    <w:rsid w:val="00BC7E5A"/>
    <w:rsid w:val="00BC7EB7"/>
    <w:rsid w:val="00BD03CC"/>
    <w:rsid w:val="00BD0C23"/>
    <w:rsid w:val="00BD0E2D"/>
    <w:rsid w:val="00BD23A5"/>
    <w:rsid w:val="00BD2AD1"/>
    <w:rsid w:val="00BD3A2C"/>
    <w:rsid w:val="00BD3E0F"/>
    <w:rsid w:val="00BD43ED"/>
    <w:rsid w:val="00BD58AB"/>
    <w:rsid w:val="00BD5D70"/>
    <w:rsid w:val="00BD6013"/>
    <w:rsid w:val="00BD6F43"/>
    <w:rsid w:val="00BD714D"/>
    <w:rsid w:val="00BD7489"/>
    <w:rsid w:val="00BE21FC"/>
    <w:rsid w:val="00BE23AF"/>
    <w:rsid w:val="00BE32C1"/>
    <w:rsid w:val="00BE4983"/>
    <w:rsid w:val="00BE4A56"/>
    <w:rsid w:val="00BE4EC0"/>
    <w:rsid w:val="00BE5587"/>
    <w:rsid w:val="00BE61EC"/>
    <w:rsid w:val="00BE648D"/>
    <w:rsid w:val="00BE7274"/>
    <w:rsid w:val="00BE76F0"/>
    <w:rsid w:val="00BE783C"/>
    <w:rsid w:val="00BF0D29"/>
    <w:rsid w:val="00BF11A9"/>
    <w:rsid w:val="00BF1936"/>
    <w:rsid w:val="00BF1F23"/>
    <w:rsid w:val="00BF2E9C"/>
    <w:rsid w:val="00BF3C8E"/>
    <w:rsid w:val="00BF3F93"/>
    <w:rsid w:val="00BF6343"/>
    <w:rsid w:val="00BF679D"/>
    <w:rsid w:val="00BF6DC7"/>
    <w:rsid w:val="00BF7A87"/>
    <w:rsid w:val="00C00C2D"/>
    <w:rsid w:val="00C01655"/>
    <w:rsid w:val="00C01711"/>
    <w:rsid w:val="00C018B9"/>
    <w:rsid w:val="00C01D47"/>
    <w:rsid w:val="00C03002"/>
    <w:rsid w:val="00C0334F"/>
    <w:rsid w:val="00C035A7"/>
    <w:rsid w:val="00C03620"/>
    <w:rsid w:val="00C03C4C"/>
    <w:rsid w:val="00C03CD4"/>
    <w:rsid w:val="00C04053"/>
    <w:rsid w:val="00C045E2"/>
    <w:rsid w:val="00C057A0"/>
    <w:rsid w:val="00C06049"/>
    <w:rsid w:val="00C064F7"/>
    <w:rsid w:val="00C07B15"/>
    <w:rsid w:val="00C07DC9"/>
    <w:rsid w:val="00C07DE6"/>
    <w:rsid w:val="00C10A8F"/>
    <w:rsid w:val="00C124A2"/>
    <w:rsid w:val="00C1250E"/>
    <w:rsid w:val="00C133B8"/>
    <w:rsid w:val="00C1591E"/>
    <w:rsid w:val="00C15AB1"/>
    <w:rsid w:val="00C15BA7"/>
    <w:rsid w:val="00C15C6C"/>
    <w:rsid w:val="00C168F4"/>
    <w:rsid w:val="00C1747A"/>
    <w:rsid w:val="00C20B74"/>
    <w:rsid w:val="00C2120A"/>
    <w:rsid w:val="00C212DE"/>
    <w:rsid w:val="00C2181E"/>
    <w:rsid w:val="00C21EAE"/>
    <w:rsid w:val="00C22475"/>
    <w:rsid w:val="00C238D8"/>
    <w:rsid w:val="00C23C4E"/>
    <w:rsid w:val="00C23E60"/>
    <w:rsid w:val="00C24A5F"/>
    <w:rsid w:val="00C25BAD"/>
    <w:rsid w:val="00C261D1"/>
    <w:rsid w:val="00C26B27"/>
    <w:rsid w:val="00C26F56"/>
    <w:rsid w:val="00C27E52"/>
    <w:rsid w:val="00C31047"/>
    <w:rsid w:val="00C31D42"/>
    <w:rsid w:val="00C32369"/>
    <w:rsid w:val="00C32BBE"/>
    <w:rsid w:val="00C32BF8"/>
    <w:rsid w:val="00C34C8F"/>
    <w:rsid w:val="00C35F12"/>
    <w:rsid w:val="00C36119"/>
    <w:rsid w:val="00C361DC"/>
    <w:rsid w:val="00C370D9"/>
    <w:rsid w:val="00C40D80"/>
    <w:rsid w:val="00C42201"/>
    <w:rsid w:val="00C42BE2"/>
    <w:rsid w:val="00C43A02"/>
    <w:rsid w:val="00C43B9E"/>
    <w:rsid w:val="00C43BD9"/>
    <w:rsid w:val="00C440CE"/>
    <w:rsid w:val="00C445A0"/>
    <w:rsid w:val="00C44D05"/>
    <w:rsid w:val="00C451B0"/>
    <w:rsid w:val="00C46CEF"/>
    <w:rsid w:val="00C477A9"/>
    <w:rsid w:val="00C478E7"/>
    <w:rsid w:val="00C47B4A"/>
    <w:rsid w:val="00C50675"/>
    <w:rsid w:val="00C509DF"/>
    <w:rsid w:val="00C517C4"/>
    <w:rsid w:val="00C5435F"/>
    <w:rsid w:val="00C54E46"/>
    <w:rsid w:val="00C55089"/>
    <w:rsid w:val="00C5575E"/>
    <w:rsid w:val="00C55915"/>
    <w:rsid w:val="00C56DE5"/>
    <w:rsid w:val="00C56E50"/>
    <w:rsid w:val="00C57BF8"/>
    <w:rsid w:val="00C57DC5"/>
    <w:rsid w:val="00C6076D"/>
    <w:rsid w:val="00C649CA"/>
    <w:rsid w:val="00C64AA8"/>
    <w:rsid w:val="00C66431"/>
    <w:rsid w:val="00C66C59"/>
    <w:rsid w:val="00C674C8"/>
    <w:rsid w:val="00C71302"/>
    <w:rsid w:val="00C7154B"/>
    <w:rsid w:val="00C71BFA"/>
    <w:rsid w:val="00C71D43"/>
    <w:rsid w:val="00C72937"/>
    <w:rsid w:val="00C72CF6"/>
    <w:rsid w:val="00C736F7"/>
    <w:rsid w:val="00C74137"/>
    <w:rsid w:val="00C744A5"/>
    <w:rsid w:val="00C74664"/>
    <w:rsid w:val="00C747F0"/>
    <w:rsid w:val="00C74B59"/>
    <w:rsid w:val="00C74E3F"/>
    <w:rsid w:val="00C75518"/>
    <w:rsid w:val="00C757B5"/>
    <w:rsid w:val="00C76443"/>
    <w:rsid w:val="00C765B4"/>
    <w:rsid w:val="00C771A9"/>
    <w:rsid w:val="00C77EDF"/>
    <w:rsid w:val="00C804D1"/>
    <w:rsid w:val="00C81F2B"/>
    <w:rsid w:val="00C82137"/>
    <w:rsid w:val="00C8269A"/>
    <w:rsid w:val="00C8287C"/>
    <w:rsid w:val="00C82D53"/>
    <w:rsid w:val="00C82F55"/>
    <w:rsid w:val="00C84CC4"/>
    <w:rsid w:val="00C8534F"/>
    <w:rsid w:val="00C85777"/>
    <w:rsid w:val="00C8644B"/>
    <w:rsid w:val="00C87040"/>
    <w:rsid w:val="00C8713A"/>
    <w:rsid w:val="00C87143"/>
    <w:rsid w:val="00C872CA"/>
    <w:rsid w:val="00C90D3C"/>
    <w:rsid w:val="00C910AF"/>
    <w:rsid w:val="00C91DD8"/>
    <w:rsid w:val="00C932C3"/>
    <w:rsid w:val="00C94506"/>
    <w:rsid w:val="00C959D4"/>
    <w:rsid w:val="00C959D7"/>
    <w:rsid w:val="00C96C32"/>
    <w:rsid w:val="00C973DF"/>
    <w:rsid w:val="00C97527"/>
    <w:rsid w:val="00C97B54"/>
    <w:rsid w:val="00CA0421"/>
    <w:rsid w:val="00CA0672"/>
    <w:rsid w:val="00CA0D0B"/>
    <w:rsid w:val="00CA1865"/>
    <w:rsid w:val="00CA1F7D"/>
    <w:rsid w:val="00CA215C"/>
    <w:rsid w:val="00CA24BA"/>
    <w:rsid w:val="00CA2B86"/>
    <w:rsid w:val="00CA2E06"/>
    <w:rsid w:val="00CA2E81"/>
    <w:rsid w:val="00CA33F9"/>
    <w:rsid w:val="00CA4170"/>
    <w:rsid w:val="00CA4E65"/>
    <w:rsid w:val="00CA66DA"/>
    <w:rsid w:val="00CA699C"/>
    <w:rsid w:val="00CA7B86"/>
    <w:rsid w:val="00CA7C0B"/>
    <w:rsid w:val="00CB0155"/>
    <w:rsid w:val="00CB14B5"/>
    <w:rsid w:val="00CB2B11"/>
    <w:rsid w:val="00CB3506"/>
    <w:rsid w:val="00CB4451"/>
    <w:rsid w:val="00CB5DE5"/>
    <w:rsid w:val="00CB5ECD"/>
    <w:rsid w:val="00CB70B4"/>
    <w:rsid w:val="00CB7EC6"/>
    <w:rsid w:val="00CC1BFA"/>
    <w:rsid w:val="00CC1C29"/>
    <w:rsid w:val="00CC3FC5"/>
    <w:rsid w:val="00CC4108"/>
    <w:rsid w:val="00CC7687"/>
    <w:rsid w:val="00CC7C6A"/>
    <w:rsid w:val="00CC7D05"/>
    <w:rsid w:val="00CC7E91"/>
    <w:rsid w:val="00CD021E"/>
    <w:rsid w:val="00CD0331"/>
    <w:rsid w:val="00CD042A"/>
    <w:rsid w:val="00CD0A88"/>
    <w:rsid w:val="00CD1684"/>
    <w:rsid w:val="00CD2626"/>
    <w:rsid w:val="00CD2666"/>
    <w:rsid w:val="00CD4838"/>
    <w:rsid w:val="00CD4992"/>
    <w:rsid w:val="00CD510B"/>
    <w:rsid w:val="00CD589C"/>
    <w:rsid w:val="00CD5E9D"/>
    <w:rsid w:val="00CD7011"/>
    <w:rsid w:val="00CE0112"/>
    <w:rsid w:val="00CE16A7"/>
    <w:rsid w:val="00CE1B79"/>
    <w:rsid w:val="00CE2D43"/>
    <w:rsid w:val="00CE4171"/>
    <w:rsid w:val="00CE4253"/>
    <w:rsid w:val="00CE4D8D"/>
    <w:rsid w:val="00CE540A"/>
    <w:rsid w:val="00CE5745"/>
    <w:rsid w:val="00CE6C4A"/>
    <w:rsid w:val="00CF00EE"/>
    <w:rsid w:val="00CF0163"/>
    <w:rsid w:val="00CF038E"/>
    <w:rsid w:val="00CF0BD8"/>
    <w:rsid w:val="00CF38B8"/>
    <w:rsid w:val="00CF4614"/>
    <w:rsid w:val="00CF47EF"/>
    <w:rsid w:val="00CF5A01"/>
    <w:rsid w:val="00CF6669"/>
    <w:rsid w:val="00D0229D"/>
    <w:rsid w:val="00D02826"/>
    <w:rsid w:val="00D029D0"/>
    <w:rsid w:val="00D039E1"/>
    <w:rsid w:val="00D03DCB"/>
    <w:rsid w:val="00D03FCE"/>
    <w:rsid w:val="00D040C2"/>
    <w:rsid w:val="00D040D8"/>
    <w:rsid w:val="00D04C4D"/>
    <w:rsid w:val="00D06122"/>
    <w:rsid w:val="00D06666"/>
    <w:rsid w:val="00D06FB1"/>
    <w:rsid w:val="00D11630"/>
    <w:rsid w:val="00D116C1"/>
    <w:rsid w:val="00D13335"/>
    <w:rsid w:val="00D13B45"/>
    <w:rsid w:val="00D13F8A"/>
    <w:rsid w:val="00D14D85"/>
    <w:rsid w:val="00D14F16"/>
    <w:rsid w:val="00D14F6E"/>
    <w:rsid w:val="00D150C1"/>
    <w:rsid w:val="00D15801"/>
    <w:rsid w:val="00D15950"/>
    <w:rsid w:val="00D16251"/>
    <w:rsid w:val="00D1713E"/>
    <w:rsid w:val="00D1743D"/>
    <w:rsid w:val="00D177DB"/>
    <w:rsid w:val="00D20239"/>
    <w:rsid w:val="00D2066F"/>
    <w:rsid w:val="00D20795"/>
    <w:rsid w:val="00D20B98"/>
    <w:rsid w:val="00D216FE"/>
    <w:rsid w:val="00D21818"/>
    <w:rsid w:val="00D22427"/>
    <w:rsid w:val="00D228B5"/>
    <w:rsid w:val="00D22AAD"/>
    <w:rsid w:val="00D23913"/>
    <w:rsid w:val="00D2392B"/>
    <w:rsid w:val="00D23B87"/>
    <w:rsid w:val="00D24A06"/>
    <w:rsid w:val="00D25458"/>
    <w:rsid w:val="00D25899"/>
    <w:rsid w:val="00D26CFE"/>
    <w:rsid w:val="00D270F1"/>
    <w:rsid w:val="00D2745A"/>
    <w:rsid w:val="00D2757C"/>
    <w:rsid w:val="00D307DA"/>
    <w:rsid w:val="00D3080A"/>
    <w:rsid w:val="00D309C9"/>
    <w:rsid w:val="00D312D1"/>
    <w:rsid w:val="00D31990"/>
    <w:rsid w:val="00D31B49"/>
    <w:rsid w:val="00D31BFD"/>
    <w:rsid w:val="00D320B7"/>
    <w:rsid w:val="00D3340B"/>
    <w:rsid w:val="00D34518"/>
    <w:rsid w:val="00D36313"/>
    <w:rsid w:val="00D3631A"/>
    <w:rsid w:val="00D36547"/>
    <w:rsid w:val="00D370BC"/>
    <w:rsid w:val="00D37B2D"/>
    <w:rsid w:val="00D37C1B"/>
    <w:rsid w:val="00D37C94"/>
    <w:rsid w:val="00D418F1"/>
    <w:rsid w:val="00D41BA3"/>
    <w:rsid w:val="00D41D04"/>
    <w:rsid w:val="00D41DEE"/>
    <w:rsid w:val="00D42429"/>
    <w:rsid w:val="00D4473C"/>
    <w:rsid w:val="00D448B3"/>
    <w:rsid w:val="00D44A31"/>
    <w:rsid w:val="00D44B7B"/>
    <w:rsid w:val="00D44E62"/>
    <w:rsid w:val="00D454E0"/>
    <w:rsid w:val="00D4580B"/>
    <w:rsid w:val="00D45C96"/>
    <w:rsid w:val="00D46257"/>
    <w:rsid w:val="00D475BA"/>
    <w:rsid w:val="00D47FCB"/>
    <w:rsid w:val="00D51306"/>
    <w:rsid w:val="00D51657"/>
    <w:rsid w:val="00D523A2"/>
    <w:rsid w:val="00D526FA"/>
    <w:rsid w:val="00D5370C"/>
    <w:rsid w:val="00D53AF6"/>
    <w:rsid w:val="00D53C8B"/>
    <w:rsid w:val="00D5464A"/>
    <w:rsid w:val="00D54755"/>
    <w:rsid w:val="00D54949"/>
    <w:rsid w:val="00D54D92"/>
    <w:rsid w:val="00D56EA2"/>
    <w:rsid w:val="00D5793E"/>
    <w:rsid w:val="00D601DD"/>
    <w:rsid w:val="00D607AC"/>
    <w:rsid w:val="00D60899"/>
    <w:rsid w:val="00D6116A"/>
    <w:rsid w:val="00D623CC"/>
    <w:rsid w:val="00D639C1"/>
    <w:rsid w:val="00D64DAD"/>
    <w:rsid w:val="00D6553E"/>
    <w:rsid w:val="00D65613"/>
    <w:rsid w:val="00D65A60"/>
    <w:rsid w:val="00D65C8F"/>
    <w:rsid w:val="00D66D08"/>
    <w:rsid w:val="00D66D18"/>
    <w:rsid w:val="00D706E5"/>
    <w:rsid w:val="00D71470"/>
    <w:rsid w:val="00D722FF"/>
    <w:rsid w:val="00D72AD9"/>
    <w:rsid w:val="00D730DB"/>
    <w:rsid w:val="00D73198"/>
    <w:rsid w:val="00D741AD"/>
    <w:rsid w:val="00D7427B"/>
    <w:rsid w:val="00D746C7"/>
    <w:rsid w:val="00D74D49"/>
    <w:rsid w:val="00D75DA0"/>
    <w:rsid w:val="00D766C9"/>
    <w:rsid w:val="00D776F4"/>
    <w:rsid w:val="00D8083D"/>
    <w:rsid w:val="00D80AFB"/>
    <w:rsid w:val="00D80F82"/>
    <w:rsid w:val="00D81026"/>
    <w:rsid w:val="00D81216"/>
    <w:rsid w:val="00D813F0"/>
    <w:rsid w:val="00D81B88"/>
    <w:rsid w:val="00D82048"/>
    <w:rsid w:val="00D829CB"/>
    <w:rsid w:val="00D83E06"/>
    <w:rsid w:val="00D84337"/>
    <w:rsid w:val="00D846DF"/>
    <w:rsid w:val="00D84F23"/>
    <w:rsid w:val="00D85333"/>
    <w:rsid w:val="00D86726"/>
    <w:rsid w:val="00D867D6"/>
    <w:rsid w:val="00D87864"/>
    <w:rsid w:val="00D904F1"/>
    <w:rsid w:val="00D90C07"/>
    <w:rsid w:val="00D916FF"/>
    <w:rsid w:val="00D9177F"/>
    <w:rsid w:val="00D917DF"/>
    <w:rsid w:val="00D91925"/>
    <w:rsid w:val="00D91DE4"/>
    <w:rsid w:val="00D92CA3"/>
    <w:rsid w:val="00D9322E"/>
    <w:rsid w:val="00D938B5"/>
    <w:rsid w:val="00D9454C"/>
    <w:rsid w:val="00D94C93"/>
    <w:rsid w:val="00D974E3"/>
    <w:rsid w:val="00D9753E"/>
    <w:rsid w:val="00D97865"/>
    <w:rsid w:val="00DA031C"/>
    <w:rsid w:val="00DA0541"/>
    <w:rsid w:val="00DA15F6"/>
    <w:rsid w:val="00DA16B0"/>
    <w:rsid w:val="00DA1740"/>
    <w:rsid w:val="00DA1D36"/>
    <w:rsid w:val="00DA202D"/>
    <w:rsid w:val="00DA271A"/>
    <w:rsid w:val="00DA41AB"/>
    <w:rsid w:val="00DA5206"/>
    <w:rsid w:val="00DA527E"/>
    <w:rsid w:val="00DA58E0"/>
    <w:rsid w:val="00DA7163"/>
    <w:rsid w:val="00DA727B"/>
    <w:rsid w:val="00DA7444"/>
    <w:rsid w:val="00DA79F9"/>
    <w:rsid w:val="00DA7B8B"/>
    <w:rsid w:val="00DB1077"/>
    <w:rsid w:val="00DB1F33"/>
    <w:rsid w:val="00DB2F55"/>
    <w:rsid w:val="00DB451B"/>
    <w:rsid w:val="00DB4F47"/>
    <w:rsid w:val="00DB5476"/>
    <w:rsid w:val="00DB6377"/>
    <w:rsid w:val="00DB73CB"/>
    <w:rsid w:val="00DC1027"/>
    <w:rsid w:val="00DC1348"/>
    <w:rsid w:val="00DC2BF5"/>
    <w:rsid w:val="00DC4212"/>
    <w:rsid w:val="00DC450A"/>
    <w:rsid w:val="00DC459D"/>
    <w:rsid w:val="00DC4627"/>
    <w:rsid w:val="00DC4B44"/>
    <w:rsid w:val="00DC55C6"/>
    <w:rsid w:val="00DC5F9C"/>
    <w:rsid w:val="00DC615D"/>
    <w:rsid w:val="00DC64DB"/>
    <w:rsid w:val="00DC6703"/>
    <w:rsid w:val="00DC7363"/>
    <w:rsid w:val="00DD052F"/>
    <w:rsid w:val="00DD05B5"/>
    <w:rsid w:val="00DD0ADB"/>
    <w:rsid w:val="00DD22D8"/>
    <w:rsid w:val="00DD26B7"/>
    <w:rsid w:val="00DD30F4"/>
    <w:rsid w:val="00DD4576"/>
    <w:rsid w:val="00DD51A4"/>
    <w:rsid w:val="00DD5282"/>
    <w:rsid w:val="00DD549E"/>
    <w:rsid w:val="00DD5B00"/>
    <w:rsid w:val="00DD6030"/>
    <w:rsid w:val="00DD61E5"/>
    <w:rsid w:val="00DD7A7B"/>
    <w:rsid w:val="00DE01A1"/>
    <w:rsid w:val="00DE1D19"/>
    <w:rsid w:val="00DE299C"/>
    <w:rsid w:val="00DE4AC4"/>
    <w:rsid w:val="00DE50DE"/>
    <w:rsid w:val="00DE54CD"/>
    <w:rsid w:val="00DE580D"/>
    <w:rsid w:val="00DE7748"/>
    <w:rsid w:val="00DE7992"/>
    <w:rsid w:val="00DF0D03"/>
    <w:rsid w:val="00DF2789"/>
    <w:rsid w:val="00DF2D7C"/>
    <w:rsid w:val="00DF44F9"/>
    <w:rsid w:val="00DF49A1"/>
    <w:rsid w:val="00DF6116"/>
    <w:rsid w:val="00DF6DB8"/>
    <w:rsid w:val="00DF7793"/>
    <w:rsid w:val="00E00781"/>
    <w:rsid w:val="00E00AB6"/>
    <w:rsid w:val="00E013D9"/>
    <w:rsid w:val="00E013DE"/>
    <w:rsid w:val="00E0218E"/>
    <w:rsid w:val="00E03F86"/>
    <w:rsid w:val="00E05555"/>
    <w:rsid w:val="00E0575E"/>
    <w:rsid w:val="00E05AEA"/>
    <w:rsid w:val="00E05E90"/>
    <w:rsid w:val="00E074FA"/>
    <w:rsid w:val="00E10E1A"/>
    <w:rsid w:val="00E10FC9"/>
    <w:rsid w:val="00E12B4F"/>
    <w:rsid w:val="00E12D0D"/>
    <w:rsid w:val="00E1306C"/>
    <w:rsid w:val="00E13F05"/>
    <w:rsid w:val="00E14E73"/>
    <w:rsid w:val="00E14E75"/>
    <w:rsid w:val="00E154B4"/>
    <w:rsid w:val="00E1620D"/>
    <w:rsid w:val="00E16546"/>
    <w:rsid w:val="00E1773E"/>
    <w:rsid w:val="00E17886"/>
    <w:rsid w:val="00E203CD"/>
    <w:rsid w:val="00E22D4A"/>
    <w:rsid w:val="00E22E49"/>
    <w:rsid w:val="00E2418E"/>
    <w:rsid w:val="00E258A8"/>
    <w:rsid w:val="00E258EE"/>
    <w:rsid w:val="00E264F2"/>
    <w:rsid w:val="00E26B69"/>
    <w:rsid w:val="00E26F66"/>
    <w:rsid w:val="00E27636"/>
    <w:rsid w:val="00E27DB8"/>
    <w:rsid w:val="00E27F8E"/>
    <w:rsid w:val="00E311B0"/>
    <w:rsid w:val="00E318A1"/>
    <w:rsid w:val="00E32293"/>
    <w:rsid w:val="00E33154"/>
    <w:rsid w:val="00E34FAC"/>
    <w:rsid w:val="00E3530F"/>
    <w:rsid w:val="00E3531D"/>
    <w:rsid w:val="00E35955"/>
    <w:rsid w:val="00E36159"/>
    <w:rsid w:val="00E365EB"/>
    <w:rsid w:val="00E36F52"/>
    <w:rsid w:val="00E37BF1"/>
    <w:rsid w:val="00E37F33"/>
    <w:rsid w:val="00E40146"/>
    <w:rsid w:val="00E41501"/>
    <w:rsid w:val="00E41A91"/>
    <w:rsid w:val="00E41B79"/>
    <w:rsid w:val="00E4222F"/>
    <w:rsid w:val="00E429F7"/>
    <w:rsid w:val="00E43016"/>
    <w:rsid w:val="00E4404D"/>
    <w:rsid w:val="00E44DDC"/>
    <w:rsid w:val="00E45F1F"/>
    <w:rsid w:val="00E4606E"/>
    <w:rsid w:val="00E476B6"/>
    <w:rsid w:val="00E47710"/>
    <w:rsid w:val="00E507DA"/>
    <w:rsid w:val="00E50904"/>
    <w:rsid w:val="00E5103D"/>
    <w:rsid w:val="00E511A3"/>
    <w:rsid w:val="00E5380C"/>
    <w:rsid w:val="00E53B46"/>
    <w:rsid w:val="00E53F6E"/>
    <w:rsid w:val="00E54721"/>
    <w:rsid w:val="00E54A2C"/>
    <w:rsid w:val="00E551D4"/>
    <w:rsid w:val="00E55C93"/>
    <w:rsid w:val="00E56587"/>
    <w:rsid w:val="00E56AE1"/>
    <w:rsid w:val="00E605A2"/>
    <w:rsid w:val="00E61E03"/>
    <w:rsid w:val="00E63C33"/>
    <w:rsid w:val="00E63CB4"/>
    <w:rsid w:val="00E65585"/>
    <w:rsid w:val="00E65951"/>
    <w:rsid w:val="00E65976"/>
    <w:rsid w:val="00E65FDA"/>
    <w:rsid w:val="00E665DA"/>
    <w:rsid w:val="00E70AD1"/>
    <w:rsid w:val="00E713B5"/>
    <w:rsid w:val="00E71B63"/>
    <w:rsid w:val="00E7218D"/>
    <w:rsid w:val="00E7224F"/>
    <w:rsid w:val="00E72BCF"/>
    <w:rsid w:val="00E7350F"/>
    <w:rsid w:val="00E750DD"/>
    <w:rsid w:val="00E7537D"/>
    <w:rsid w:val="00E761E1"/>
    <w:rsid w:val="00E77543"/>
    <w:rsid w:val="00E77832"/>
    <w:rsid w:val="00E77F68"/>
    <w:rsid w:val="00E80519"/>
    <w:rsid w:val="00E80F46"/>
    <w:rsid w:val="00E81F69"/>
    <w:rsid w:val="00E829B6"/>
    <w:rsid w:val="00E82A3A"/>
    <w:rsid w:val="00E83C21"/>
    <w:rsid w:val="00E83C4E"/>
    <w:rsid w:val="00E8407D"/>
    <w:rsid w:val="00E84129"/>
    <w:rsid w:val="00E84640"/>
    <w:rsid w:val="00E846E9"/>
    <w:rsid w:val="00E84BCD"/>
    <w:rsid w:val="00E8545D"/>
    <w:rsid w:val="00E8739C"/>
    <w:rsid w:val="00E877B8"/>
    <w:rsid w:val="00E87FA6"/>
    <w:rsid w:val="00E907A4"/>
    <w:rsid w:val="00E939D7"/>
    <w:rsid w:val="00E9464C"/>
    <w:rsid w:val="00E95BFC"/>
    <w:rsid w:val="00E95FAF"/>
    <w:rsid w:val="00E9656F"/>
    <w:rsid w:val="00E96C68"/>
    <w:rsid w:val="00E96EDF"/>
    <w:rsid w:val="00E97007"/>
    <w:rsid w:val="00E97A3D"/>
    <w:rsid w:val="00E97B04"/>
    <w:rsid w:val="00EA1215"/>
    <w:rsid w:val="00EA1605"/>
    <w:rsid w:val="00EA1BE2"/>
    <w:rsid w:val="00EA2F6D"/>
    <w:rsid w:val="00EA4613"/>
    <w:rsid w:val="00EA4831"/>
    <w:rsid w:val="00EA5223"/>
    <w:rsid w:val="00EA5501"/>
    <w:rsid w:val="00EA557B"/>
    <w:rsid w:val="00EA5D2B"/>
    <w:rsid w:val="00EB0F49"/>
    <w:rsid w:val="00EB0F91"/>
    <w:rsid w:val="00EB1B9C"/>
    <w:rsid w:val="00EB20F6"/>
    <w:rsid w:val="00EB2DA9"/>
    <w:rsid w:val="00EB46A9"/>
    <w:rsid w:val="00EB53F2"/>
    <w:rsid w:val="00EB60D2"/>
    <w:rsid w:val="00EB6599"/>
    <w:rsid w:val="00EB66FD"/>
    <w:rsid w:val="00EB7A10"/>
    <w:rsid w:val="00EC07EF"/>
    <w:rsid w:val="00EC0839"/>
    <w:rsid w:val="00EC143D"/>
    <w:rsid w:val="00EC18A9"/>
    <w:rsid w:val="00EC1CEA"/>
    <w:rsid w:val="00EC2B14"/>
    <w:rsid w:val="00EC2B5C"/>
    <w:rsid w:val="00EC3049"/>
    <w:rsid w:val="00EC3807"/>
    <w:rsid w:val="00EC39FA"/>
    <w:rsid w:val="00EC3CA4"/>
    <w:rsid w:val="00EC49F8"/>
    <w:rsid w:val="00EC649F"/>
    <w:rsid w:val="00EC759A"/>
    <w:rsid w:val="00ED2443"/>
    <w:rsid w:val="00ED31E1"/>
    <w:rsid w:val="00ED36DD"/>
    <w:rsid w:val="00ED3C7F"/>
    <w:rsid w:val="00ED4E52"/>
    <w:rsid w:val="00ED5026"/>
    <w:rsid w:val="00ED597A"/>
    <w:rsid w:val="00ED5C93"/>
    <w:rsid w:val="00ED67A4"/>
    <w:rsid w:val="00ED69D8"/>
    <w:rsid w:val="00ED719A"/>
    <w:rsid w:val="00ED727E"/>
    <w:rsid w:val="00EE02FC"/>
    <w:rsid w:val="00EE0D39"/>
    <w:rsid w:val="00EE2274"/>
    <w:rsid w:val="00EE23E4"/>
    <w:rsid w:val="00EE3994"/>
    <w:rsid w:val="00EE55A9"/>
    <w:rsid w:val="00EE5CE7"/>
    <w:rsid w:val="00EE636F"/>
    <w:rsid w:val="00EE64F2"/>
    <w:rsid w:val="00EE688F"/>
    <w:rsid w:val="00EE798E"/>
    <w:rsid w:val="00EF02AA"/>
    <w:rsid w:val="00EF0325"/>
    <w:rsid w:val="00EF073E"/>
    <w:rsid w:val="00EF0C76"/>
    <w:rsid w:val="00EF11C1"/>
    <w:rsid w:val="00EF1582"/>
    <w:rsid w:val="00EF19F1"/>
    <w:rsid w:val="00EF1FFE"/>
    <w:rsid w:val="00EF2452"/>
    <w:rsid w:val="00EF336E"/>
    <w:rsid w:val="00EF3C32"/>
    <w:rsid w:val="00EF3F1E"/>
    <w:rsid w:val="00EF412B"/>
    <w:rsid w:val="00EF42D3"/>
    <w:rsid w:val="00EF50F2"/>
    <w:rsid w:val="00EF55E0"/>
    <w:rsid w:val="00EF6D85"/>
    <w:rsid w:val="00EF705C"/>
    <w:rsid w:val="00F00798"/>
    <w:rsid w:val="00F00D67"/>
    <w:rsid w:val="00F0212D"/>
    <w:rsid w:val="00F02493"/>
    <w:rsid w:val="00F03E53"/>
    <w:rsid w:val="00F048A8"/>
    <w:rsid w:val="00F05790"/>
    <w:rsid w:val="00F05BE8"/>
    <w:rsid w:val="00F06CB3"/>
    <w:rsid w:val="00F075EE"/>
    <w:rsid w:val="00F10254"/>
    <w:rsid w:val="00F1054A"/>
    <w:rsid w:val="00F105EA"/>
    <w:rsid w:val="00F1177F"/>
    <w:rsid w:val="00F131E5"/>
    <w:rsid w:val="00F1378E"/>
    <w:rsid w:val="00F16E5F"/>
    <w:rsid w:val="00F2008D"/>
    <w:rsid w:val="00F216D2"/>
    <w:rsid w:val="00F217B9"/>
    <w:rsid w:val="00F21ADE"/>
    <w:rsid w:val="00F223AD"/>
    <w:rsid w:val="00F2353E"/>
    <w:rsid w:val="00F23AC8"/>
    <w:rsid w:val="00F24F10"/>
    <w:rsid w:val="00F25824"/>
    <w:rsid w:val="00F25829"/>
    <w:rsid w:val="00F258A9"/>
    <w:rsid w:val="00F25AAE"/>
    <w:rsid w:val="00F279C3"/>
    <w:rsid w:val="00F27D82"/>
    <w:rsid w:val="00F30088"/>
    <w:rsid w:val="00F301F1"/>
    <w:rsid w:val="00F305DB"/>
    <w:rsid w:val="00F31627"/>
    <w:rsid w:val="00F31748"/>
    <w:rsid w:val="00F3263C"/>
    <w:rsid w:val="00F32BD9"/>
    <w:rsid w:val="00F34C0B"/>
    <w:rsid w:val="00F34F4F"/>
    <w:rsid w:val="00F3587E"/>
    <w:rsid w:val="00F35B54"/>
    <w:rsid w:val="00F36692"/>
    <w:rsid w:val="00F36C1A"/>
    <w:rsid w:val="00F40692"/>
    <w:rsid w:val="00F40C84"/>
    <w:rsid w:val="00F42DBD"/>
    <w:rsid w:val="00F432BF"/>
    <w:rsid w:val="00F43421"/>
    <w:rsid w:val="00F44818"/>
    <w:rsid w:val="00F448E2"/>
    <w:rsid w:val="00F456C3"/>
    <w:rsid w:val="00F4618E"/>
    <w:rsid w:val="00F46517"/>
    <w:rsid w:val="00F465D6"/>
    <w:rsid w:val="00F46D78"/>
    <w:rsid w:val="00F4726E"/>
    <w:rsid w:val="00F47C5F"/>
    <w:rsid w:val="00F50CB3"/>
    <w:rsid w:val="00F51DC1"/>
    <w:rsid w:val="00F530B3"/>
    <w:rsid w:val="00F530E6"/>
    <w:rsid w:val="00F5343F"/>
    <w:rsid w:val="00F538C6"/>
    <w:rsid w:val="00F54312"/>
    <w:rsid w:val="00F54B8E"/>
    <w:rsid w:val="00F56FFF"/>
    <w:rsid w:val="00F572C5"/>
    <w:rsid w:val="00F57D48"/>
    <w:rsid w:val="00F61287"/>
    <w:rsid w:val="00F616F9"/>
    <w:rsid w:val="00F6190F"/>
    <w:rsid w:val="00F61F63"/>
    <w:rsid w:val="00F62033"/>
    <w:rsid w:val="00F620D9"/>
    <w:rsid w:val="00F630E3"/>
    <w:rsid w:val="00F63BA6"/>
    <w:rsid w:val="00F6428A"/>
    <w:rsid w:val="00F64539"/>
    <w:rsid w:val="00F64BE4"/>
    <w:rsid w:val="00F64CA1"/>
    <w:rsid w:val="00F65C6D"/>
    <w:rsid w:val="00F6600A"/>
    <w:rsid w:val="00F66C9B"/>
    <w:rsid w:val="00F67CD3"/>
    <w:rsid w:val="00F7043A"/>
    <w:rsid w:val="00F706CC"/>
    <w:rsid w:val="00F70B17"/>
    <w:rsid w:val="00F712BB"/>
    <w:rsid w:val="00F72814"/>
    <w:rsid w:val="00F72C71"/>
    <w:rsid w:val="00F736F4"/>
    <w:rsid w:val="00F75427"/>
    <w:rsid w:val="00F7598B"/>
    <w:rsid w:val="00F762B7"/>
    <w:rsid w:val="00F76C31"/>
    <w:rsid w:val="00F77548"/>
    <w:rsid w:val="00F7756B"/>
    <w:rsid w:val="00F77E64"/>
    <w:rsid w:val="00F81AA2"/>
    <w:rsid w:val="00F83729"/>
    <w:rsid w:val="00F83F4C"/>
    <w:rsid w:val="00F85933"/>
    <w:rsid w:val="00F86DB8"/>
    <w:rsid w:val="00F87439"/>
    <w:rsid w:val="00F90BFA"/>
    <w:rsid w:val="00F9207B"/>
    <w:rsid w:val="00F920F1"/>
    <w:rsid w:val="00F92CD7"/>
    <w:rsid w:val="00F92CE9"/>
    <w:rsid w:val="00F92FAD"/>
    <w:rsid w:val="00F93834"/>
    <w:rsid w:val="00F942C4"/>
    <w:rsid w:val="00F942FE"/>
    <w:rsid w:val="00F94B37"/>
    <w:rsid w:val="00F94CF5"/>
    <w:rsid w:val="00F955A2"/>
    <w:rsid w:val="00F95D40"/>
    <w:rsid w:val="00F965E9"/>
    <w:rsid w:val="00F967CC"/>
    <w:rsid w:val="00F96EFF"/>
    <w:rsid w:val="00F97062"/>
    <w:rsid w:val="00F97141"/>
    <w:rsid w:val="00F97DE0"/>
    <w:rsid w:val="00FA0D22"/>
    <w:rsid w:val="00FA1916"/>
    <w:rsid w:val="00FA2051"/>
    <w:rsid w:val="00FA24EE"/>
    <w:rsid w:val="00FA2862"/>
    <w:rsid w:val="00FA29BB"/>
    <w:rsid w:val="00FA2D20"/>
    <w:rsid w:val="00FA3CF9"/>
    <w:rsid w:val="00FA4B2A"/>
    <w:rsid w:val="00FA571C"/>
    <w:rsid w:val="00FA57CF"/>
    <w:rsid w:val="00FA6FC1"/>
    <w:rsid w:val="00FB0B2E"/>
    <w:rsid w:val="00FB15EA"/>
    <w:rsid w:val="00FB2231"/>
    <w:rsid w:val="00FB2A13"/>
    <w:rsid w:val="00FB321D"/>
    <w:rsid w:val="00FB36DE"/>
    <w:rsid w:val="00FB4EF9"/>
    <w:rsid w:val="00FB5067"/>
    <w:rsid w:val="00FB56E0"/>
    <w:rsid w:val="00FB5A5E"/>
    <w:rsid w:val="00FB5D00"/>
    <w:rsid w:val="00FB5D04"/>
    <w:rsid w:val="00FB693B"/>
    <w:rsid w:val="00FB6AB7"/>
    <w:rsid w:val="00FB6E93"/>
    <w:rsid w:val="00FB762B"/>
    <w:rsid w:val="00FC0D1F"/>
    <w:rsid w:val="00FC397F"/>
    <w:rsid w:val="00FC5E84"/>
    <w:rsid w:val="00FC5F48"/>
    <w:rsid w:val="00FC67F5"/>
    <w:rsid w:val="00FC6F1C"/>
    <w:rsid w:val="00FC7EA3"/>
    <w:rsid w:val="00FC7FFA"/>
    <w:rsid w:val="00FD1A57"/>
    <w:rsid w:val="00FD1AF4"/>
    <w:rsid w:val="00FD295C"/>
    <w:rsid w:val="00FD2D08"/>
    <w:rsid w:val="00FD3381"/>
    <w:rsid w:val="00FD6B64"/>
    <w:rsid w:val="00FE0A41"/>
    <w:rsid w:val="00FE0FB0"/>
    <w:rsid w:val="00FE1A41"/>
    <w:rsid w:val="00FE25E6"/>
    <w:rsid w:val="00FE4A3D"/>
    <w:rsid w:val="00FE4C29"/>
    <w:rsid w:val="00FE4D99"/>
    <w:rsid w:val="00FE4EEB"/>
    <w:rsid w:val="00FE51C1"/>
    <w:rsid w:val="00FE5362"/>
    <w:rsid w:val="00FE56A9"/>
    <w:rsid w:val="00FE5DA1"/>
    <w:rsid w:val="00FF06F8"/>
    <w:rsid w:val="00FF0F6E"/>
    <w:rsid w:val="00FF1386"/>
    <w:rsid w:val="00FF157D"/>
    <w:rsid w:val="00FF2C7D"/>
    <w:rsid w:val="00FF723A"/>
    <w:rsid w:val="00FF781D"/>
    <w:rsid w:val="00FF7B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49"/>
    <w:pPr>
      <w:spacing w:after="100" w:line="400" w:lineRule="exact"/>
      <w:jc w:val="both"/>
    </w:pPr>
    <w:rPr>
      <w:rFonts w:ascii="Century Schoolbook" w:hAnsi="Century Schoolbook"/>
      <w:sz w:val="27"/>
    </w:rPr>
  </w:style>
  <w:style w:type="paragraph" w:styleId="Heading1">
    <w:name w:val="heading 1"/>
    <w:basedOn w:val="Normal"/>
    <w:next w:val="Normal"/>
    <w:qFormat/>
    <w:rsid w:val="00B51E49"/>
    <w:pPr>
      <w:keepNext/>
      <w:spacing w:before="140" w:line="240" w:lineRule="atLeast"/>
      <w:jc w:val="center"/>
      <w:outlineLvl w:val="0"/>
    </w:pPr>
    <w:rPr>
      <w:b/>
      <w:smallCaps/>
    </w:rPr>
  </w:style>
  <w:style w:type="paragraph" w:styleId="Heading2">
    <w:name w:val="heading 2"/>
    <w:basedOn w:val="Normal"/>
    <w:next w:val="Normal"/>
    <w:qFormat/>
    <w:rsid w:val="00B51E4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B51E49"/>
    <w:pPr>
      <w:keepNext/>
      <w:tabs>
        <w:tab w:val="left" w:pos="1584"/>
      </w:tabs>
      <w:spacing w:before="140" w:line="240" w:lineRule="atLeast"/>
      <w:ind w:left="1584" w:hanging="432"/>
      <w:jc w:val="left"/>
      <w:outlineLvl w:val="2"/>
    </w:pPr>
    <w:rPr>
      <w:i/>
    </w:rPr>
  </w:style>
  <w:style w:type="paragraph" w:styleId="Heading4">
    <w:name w:val="heading 4"/>
    <w:basedOn w:val="Normal"/>
    <w:rsid w:val="00B51E49"/>
    <w:pPr>
      <w:keepNext/>
      <w:tabs>
        <w:tab w:val="left" w:pos="2016"/>
      </w:tabs>
      <w:spacing w:before="140" w:line="240" w:lineRule="atLeast"/>
      <w:ind w:left="2016" w:hanging="432"/>
      <w:jc w:val="left"/>
      <w:outlineLvl w:val="3"/>
    </w:pPr>
    <w:rPr>
      <w:i/>
    </w:rPr>
  </w:style>
  <w:style w:type="paragraph" w:styleId="Heading5">
    <w:name w:val="heading 5"/>
    <w:basedOn w:val="Normal"/>
    <w:rsid w:val="00B51E4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51E49"/>
    <w:pPr>
      <w:ind w:left="720"/>
    </w:pPr>
  </w:style>
  <w:style w:type="paragraph" w:styleId="Footer">
    <w:name w:val="footer"/>
    <w:basedOn w:val="Normal"/>
    <w:qFormat/>
    <w:rsid w:val="00B51E49"/>
    <w:pPr>
      <w:tabs>
        <w:tab w:val="center" w:pos="3960"/>
        <w:tab w:val="right" w:pos="10080"/>
      </w:tabs>
      <w:spacing w:after="0" w:line="240" w:lineRule="auto"/>
      <w:jc w:val="center"/>
    </w:pPr>
    <w:rPr>
      <w:sz w:val="22"/>
    </w:rPr>
  </w:style>
  <w:style w:type="paragraph" w:styleId="Header">
    <w:name w:val="header"/>
    <w:basedOn w:val="Normal"/>
    <w:qFormat/>
    <w:rsid w:val="00B51E4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51E49"/>
    <w:rPr>
      <w:rFonts w:ascii="Century Schoolbook" w:hAnsi="Century Schoolbook"/>
      <w:b/>
      <w:i w:val="0"/>
      <w:position w:val="4"/>
      <w:sz w:val="27"/>
      <w:vertAlign w:val="superscript"/>
    </w:rPr>
  </w:style>
  <w:style w:type="paragraph" w:styleId="FootnoteText">
    <w:name w:val="footnote text"/>
    <w:basedOn w:val="Normal"/>
    <w:rsid w:val="00B51E49"/>
    <w:pPr>
      <w:spacing w:line="300" w:lineRule="exact"/>
    </w:pPr>
  </w:style>
  <w:style w:type="paragraph" w:customStyle="1" w:styleId="Title1">
    <w:name w:val="Title1"/>
    <w:basedOn w:val="Normal"/>
    <w:rsid w:val="00B51E49"/>
    <w:pPr>
      <w:tabs>
        <w:tab w:val="left" w:pos="5760"/>
        <w:tab w:val="left" w:pos="6480"/>
      </w:tabs>
      <w:spacing w:line="240" w:lineRule="atLeast"/>
    </w:pPr>
  </w:style>
  <w:style w:type="paragraph" w:customStyle="1" w:styleId="Recommend">
    <w:name w:val="Recommend"/>
    <w:basedOn w:val="Normal"/>
    <w:rsid w:val="00B51E49"/>
  </w:style>
  <w:style w:type="paragraph" w:customStyle="1" w:styleId="Summary">
    <w:name w:val="Summary"/>
    <w:basedOn w:val="Normal"/>
    <w:rsid w:val="00B51E49"/>
    <w:pPr>
      <w:ind w:left="2160" w:hanging="2160"/>
    </w:pPr>
  </w:style>
  <w:style w:type="paragraph" w:customStyle="1" w:styleId="Text">
    <w:name w:val="Text"/>
    <w:basedOn w:val="Normal"/>
    <w:rsid w:val="00B51E49"/>
    <w:pPr>
      <w:tabs>
        <w:tab w:val="left" w:pos="720"/>
        <w:tab w:val="left" w:pos="1440"/>
        <w:tab w:val="left" w:pos="2160"/>
        <w:tab w:val="center" w:pos="4320"/>
      </w:tabs>
      <w:spacing w:line="480" w:lineRule="atLeast"/>
      <w:ind w:firstLine="540"/>
    </w:pPr>
  </w:style>
  <w:style w:type="paragraph" w:styleId="Date">
    <w:name w:val="Date"/>
    <w:basedOn w:val="Normal"/>
    <w:semiHidden/>
    <w:rsid w:val="00B51E49"/>
    <w:pPr>
      <w:jc w:val="right"/>
    </w:pPr>
  </w:style>
  <w:style w:type="character" w:styleId="PageNumber">
    <w:name w:val="page number"/>
    <w:basedOn w:val="DefaultParagraphFont"/>
    <w:semiHidden/>
    <w:rsid w:val="00B51E49"/>
  </w:style>
  <w:style w:type="paragraph" w:customStyle="1" w:styleId="subject">
    <w:name w:val="subject"/>
    <w:basedOn w:val="Normal"/>
    <w:rsid w:val="00B51E49"/>
    <w:pPr>
      <w:tabs>
        <w:tab w:val="left" w:pos="1008"/>
      </w:tabs>
      <w:ind w:left="990" w:hanging="990"/>
    </w:pPr>
    <w:rPr>
      <w:b/>
    </w:rPr>
  </w:style>
  <w:style w:type="paragraph" w:customStyle="1" w:styleId="Titles">
    <w:name w:val="Titles"/>
    <w:basedOn w:val="Normal"/>
    <w:rsid w:val="00B51E49"/>
    <w:pPr>
      <w:tabs>
        <w:tab w:val="left" w:pos="2160"/>
      </w:tabs>
      <w:ind w:left="2160" w:hanging="2160"/>
    </w:pPr>
    <w:rPr>
      <w:b/>
    </w:rPr>
  </w:style>
  <w:style w:type="paragraph" w:styleId="TOAHeading">
    <w:name w:val="toa heading"/>
    <w:basedOn w:val="Normal"/>
    <w:next w:val="Normal"/>
    <w:semiHidden/>
    <w:rsid w:val="00B51E49"/>
    <w:pPr>
      <w:spacing w:before="120"/>
    </w:pPr>
    <w:rPr>
      <w:b/>
    </w:rPr>
  </w:style>
  <w:style w:type="paragraph" w:styleId="TOC1">
    <w:name w:val="toc 1"/>
    <w:basedOn w:val="Normal"/>
    <w:next w:val="Normal"/>
    <w:autoRedefine/>
    <w:semiHidden/>
    <w:rsid w:val="00B51E49"/>
  </w:style>
  <w:style w:type="paragraph" w:styleId="TOC2">
    <w:name w:val="toc 2"/>
    <w:basedOn w:val="Normal"/>
    <w:next w:val="Normal"/>
    <w:autoRedefine/>
    <w:semiHidden/>
    <w:rsid w:val="00B51E49"/>
    <w:pPr>
      <w:ind w:left="259"/>
    </w:pPr>
  </w:style>
  <w:style w:type="paragraph" w:styleId="TOC3">
    <w:name w:val="toc 3"/>
    <w:basedOn w:val="Normal"/>
    <w:next w:val="Normal"/>
    <w:autoRedefine/>
    <w:semiHidden/>
    <w:rsid w:val="00B51E49"/>
    <w:pPr>
      <w:ind w:left="520"/>
    </w:pPr>
  </w:style>
  <w:style w:type="paragraph" w:styleId="TOC4">
    <w:name w:val="toc 4"/>
    <w:basedOn w:val="Normal"/>
    <w:next w:val="Normal"/>
    <w:autoRedefine/>
    <w:semiHidden/>
    <w:rsid w:val="00B51E49"/>
    <w:pPr>
      <w:ind w:left="780"/>
    </w:pPr>
  </w:style>
  <w:style w:type="paragraph" w:styleId="TOC5">
    <w:name w:val="toc 5"/>
    <w:basedOn w:val="Normal"/>
    <w:next w:val="Normal"/>
    <w:autoRedefine/>
    <w:semiHidden/>
    <w:rsid w:val="00B51E49"/>
    <w:pPr>
      <w:ind w:left="1040"/>
    </w:pPr>
  </w:style>
  <w:style w:type="paragraph" w:styleId="TOC6">
    <w:name w:val="toc 6"/>
    <w:basedOn w:val="Normal"/>
    <w:next w:val="Normal"/>
    <w:autoRedefine/>
    <w:semiHidden/>
    <w:rsid w:val="00B51E49"/>
    <w:pPr>
      <w:ind w:left="1300"/>
    </w:pPr>
  </w:style>
  <w:style w:type="paragraph" w:styleId="TOC7">
    <w:name w:val="toc 7"/>
    <w:basedOn w:val="Normal"/>
    <w:next w:val="Normal"/>
    <w:autoRedefine/>
    <w:semiHidden/>
    <w:rsid w:val="00B51E49"/>
    <w:pPr>
      <w:ind w:left="1560"/>
    </w:pPr>
  </w:style>
  <w:style w:type="paragraph" w:styleId="TOC8">
    <w:name w:val="toc 8"/>
    <w:basedOn w:val="Normal"/>
    <w:next w:val="Normal"/>
    <w:autoRedefine/>
    <w:semiHidden/>
    <w:rsid w:val="00B51E49"/>
    <w:pPr>
      <w:ind w:left="1820"/>
    </w:pPr>
  </w:style>
  <w:style w:type="paragraph" w:styleId="TOC9">
    <w:name w:val="toc 9"/>
    <w:basedOn w:val="Normal"/>
    <w:next w:val="Normal"/>
    <w:autoRedefine/>
    <w:semiHidden/>
    <w:rsid w:val="00B51E49"/>
    <w:pPr>
      <w:ind w:left="2080"/>
    </w:pPr>
  </w:style>
  <w:style w:type="paragraph" w:customStyle="1" w:styleId="Contents">
    <w:name w:val="Contents"/>
    <w:basedOn w:val="Normal"/>
    <w:rsid w:val="00B51E49"/>
    <w:pPr>
      <w:jc w:val="center"/>
    </w:pPr>
    <w:rPr>
      <w:b/>
      <w:spacing w:val="100"/>
    </w:rPr>
  </w:style>
  <w:style w:type="character" w:styleId="Hyperlink">
    <w:name w:val="Hyperlink"/>
    <w:basedOn w:val="DefaultParagraphFont"/>
    <w:uiPriority w:val="99"/>
    <w:unhideWhenUsed/>
    <w:rsid w:val="00470DD1"/>
    <w:rPr>
      <w:color w:val="0000FF" w:themeColor="hyperlink"/>
      <w:u w:val="single"/>
    </w:rPr>
  </w:style>
  <w:style w:type="character" w:customStyle="1" w:styleId="UnresolvedMention">
    <w:name w:val="Unresolved Mention"/>
    <w:basedOn w:val="DefaultParagraphFont"/>
    <w:uiPriority w:val="99"/>
    <w:semiHidden/>
    <w:unhideWhenUsed/>
    <w:rsid w:val="00470DD1"/>
    <w:rPr>
      <w:color w:val="605E5C"/>
      <w:shd w:val="clear" w:color="auto" w:fill="E1DFDD"/>
    </w:rPr>
  </w:style>
  <w:style w:type="character" w:styleId="Emphasis">
    <w:name w:val="Emphasis"/>
    <w:basedOn w:val="DefaultParagraphFont"/>
    <w:uiPriority w:val="20"/>
    <w:qFormat/>
    <w:rsid w:val="00A50574"/>
    <w:rPr>
      <w:i/>
      <w:iCs/>
    </w:rPr>
  </w:style>
  <w:style w:type="character" w:customStyle="1" w:styleId="cosearchterm">
    <w:name w:val="co_searchterm"/>
    <w:basedOn w:val="DefaultParagraphFont"/>
    <w:rsid w:val="00A50574"/>
  </w:style>
  <w:style w:type="character" w:customStyle="1" w:styleId="costarpage">
    <w:name w:val="co_starpage"/>
    <w:basedOn w:val="DefaultParagraphFont"/>
    <w:rsid w:val="00D80F82"/>
  </w:style>
  <w:style w:type="character" w:styleId="FollowedHyperlink">
    <w:name w:val="FollowedHyperlink"/>
    <w:basedOn w:val="DefaultParagraphFont"/>
    <w:uiPriority w:val="99"/>
    <w:semiHidden/>
    <w:unhideWhenUsed/>
    <w:rsid w:val="00A52E4D"/>
    <w:rPr>
      <w:color w:val="800080" w:themeColor="followedHyperlink"/>
      <w:u w:val="single"/>
    </w:rPr>
  </w:style>
  <w:style w:type="character" w:customStyle="1" w:styleId="cosearchwithinterm">
    <w:name w:val="co_searchwithinterm"/>
    <w:basedOn w:val="DefaultParagraphFont"/>
    <w:rsid w:val="00397BEB"/>
  </w:style>
  <w:style w:type="character" w:customStyle="1" w:styleId="coinlinekeyciteflag">
    <w:name w:val="co_inlinekeyciteflag"/>
    <w:basedOn w:val="DefaultParagraphFont"/>
    <w:rsid w:val="00D51306"/>
  </w:style>
  <w:style w:type="character" w:styleId="CommentReference">
    <w:name w:val="annotation reference"/>
    <w:basedOn w:val="DefaultParagraphFont"/>
    <w:uiPriority w:val="99"/>
    <w:semiHidden/>
    <w:unhideWhenUsed/>
    <w:rsid w:val="00E77F68"/>
    <w:rPr>
      <w:sz w:val="16"/>
      <w:szCs w:val="16"/>
    </w:rPr>
  </w:style>
  <w:style w:type="paragraph" w:styleId="CommentText">
    <w:name w:val="annotation text"/>
    <w:basedOn w:val="Normal"/>
    <w:link w:val="CommentTextChar"/>
    <w:uiPriority w:val="99"/>
    <w:semiHidden/>
    <w:unhideWhenUsed/>
    <w:rsid w:val="00E77F68"/>
    <w:rPr>
      <w:sz w:val="20"/>
    </w:rPr>
  </w:style>
  <w:style w:type="character" w:customStyle="1" w:styleId="CommentTextChar">
    <w:name w:val="Comment Text Char"/>
    <w:basedOn w:val="DefaultParagraphFont"/>
    <w:link w:val="CommentText"/>
    <w:uiPriority w:val="99"/>
    <w:semiHidden/>
    <w:rsid w:val="00E77F68"/>
  </w:style>
  <w:style w:type="paragraph" w:styleId="CommentSubject">
    <w:name w:val="annotation subject"/>
    <w:basedOn w:val="CommentText"/>
    <w:next w:val="CommentText"/>
    <w:link w:val="CommentSubjectChar"/>
    <w:uiPriority w:val="99"/>
    <w:semiHidden/>
    <w:unhideWhenUsed/>
    <w:rsid w:val="00E77F68"/>
    <w:rPr>
      <w:b/>
      <w:bCs/>
    </w:rPr>
  </w:style>
  <w:style w:type="character" w:customStyle="1" w:styleId="CommentSubjectChar">
    <w:name w:val="Comment Subject Char"/>
    <w:basedOn w:val="CommentTextChar"/>
    <w:link w:val="CommentSubject"/>
    <w:uiPriority w:val="99"/>
    <w:semiHidden/>
    <w:rsid w:val="00E77F68"/>
    <w:rPr>
      <w:b/>
      <w:bCs/>
    </w:rPr>
  </w:style>
  <w:style w:type="paragraph" w:styleId="Revision">
    <w:name w:val="Revision"/>
    <w:hidden/>
    <w:uiPriority w:val="99"/>
    <w:semiHidden/>
    <w:rsid w:val="00E77F68"/>
    <w:rPr>
      <w:sz w:val="26"/>
    </w:rPr>
  </w:style>
  <w:style w:type="paragraph" w:styleId="BalloonText">
    <w:name w:val="Balloon Text"/>
    <w:basedOn w:val="Normal"/>
    <w:link w:val="BalloonTextChar"/>
    <w:uiPriority w:val="99"/>
    <w:semiHidden/>
    <w:unhideWhenUsed/>
    <w:rsid w:val="00E77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68"/>
    <w:rPr>
      <w:rFonts w:ascii="Segoe UI" w:hAnsi="Segoe UI" w:cs="Segoe UI"/>
      <w:sz w:val="18"/>
      <w:szCs w:val="18"/>
    </w:rPr>
  </w:style>
  <w:style w:type="paragraph" w:styleId="ListParagraph">
    <w:name w:val="List Paragraph"/>
    <w:basedOn w:val="Normal"/>
    <w:uiPriority w:val="34"/>
    <w:qFormat/>
    <w:rsid w:val="00E013D9"/>
    <w:pPr>
      <w:ind w:left="720"/>
      <w:contextualSpacing/>
    </w:pPr>
  </w:style>
  <w:style w:type="paragraph" w:styleId="BodyText">
    <w:name w:val="Body Text"/>
    <w:basedOn w:val="Normal"/>
    <w:link w:val="BodyTextChar"/>
    <w:qFormat/>
    <w:rsid w:val="00B51E49"/>
  </w:style>
  <w:style w:type="character" w:customStyle="1" w:styleId="BodyTextChar">
    <w:name w:val="Body Text Char"/>
    <w:basedOn w:val="DefaultParagraphFont"/>
    <w:link w:val="BodyText"/>
    <w:rsid w:val="00B51E4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F023-20BD-4238-AB9D-A05E0EE5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7589</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2020-06-18T15:29:00Z</dcterms:created>
  <dcterms:modified xsi:type="dcterms:W3CDTF">2020-06-18T15:29:00Z</dcterms:modified>
</cp:coreProperties>
</file>