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62024" w:rsidP="00FF4A82" w14:paraId="0ED47E70" w14:textId="3FBB1B24">
      <w:pPr>
        <w:tabs>
          <w:tab w:val="left" w:pos="1440"/>
          <w:tab w:val="left" w:pos="4680"/>
          <w:tab w:val="center" w:pos="7200"/>
        </w:tabs>
        <w:spacing w:after="0"/>
        <w:jc w:val="center"/>
        <w:rPr>
          <w:sz w:val="36"/>
        </w:rPr>
      </w:pPr>
      <w:bookmarkStart w:id="0" w:name="_GoBack"/>
      <w:bookmarkEnd w:id="0"/>
      <w:r>
        <w:rPr>
          <w:b/>
          <w:sz w:val="36"/>
        </w:rPr>
        <w:t>IN THE SUPREME COURT OF CALIFORNIA</w:t>
      </w:r>
    </w:p>
    <w:p w:rsidR="00D357FA" w:rsidP="00FF4A82" w14:paraId="473775E7" w14:textId="77777777">
      <w:pPr>
        <w:tabs>
          <w:tab w:val="left" w:pos="1440"/>
          <w:tab w:val="left" w:pos="4680"/>
          <w:tab w:val="center" w:pos="7200"/>
        </w:tabs>
        <w:spacing w:after="0"/>
        <w:jc w:val="center"/>
      </w:pPr>
      <w:bookmarkStart w:id="1" w:name="plaintiff"/>
      <w:bookmarkEnd w:id="1"/>
    </w:p>
    <w:p w:rsidR="005873FE" w:rsidP="00FF4A82" w14:paraId="13F5C0DC" w14:textId="44DB8EC0">
      <w:pPr>
        <w:tabs>
          <w:tab w:val="left" w:pos="1440"/>
          <w:tab w:val="left" w:pos="4680"/>
          <w:tab w:val="center" w:pos="7200"/>
        </w:tabs>
        <w:spacing w:after="0"/>
        <w:jc w:val="center"/>
      </w:pPr>
      <w:r>
        <w:t xml:space="preserve">In re </w:t>
      </w:r>
      <w:r>
        <w:t>WILLIE SCOGGINS</w:t>
      </w:r>
    </w:p>
    <w:p w:rsidR="00FF4A82" w:rsidP="00FF4A82" w14:paraId="4CB5B87E" w14:textId="308CB62C">
      <w:pPr>
        <w:tabs>
          <w:tab w:val="left" w:pos="1440"/>
          <w:tab w:val="left" w:pos="4680"/>
          <w:tab w:val="center" w:pos="7200"/>
        </w:tabs>
        <w:spacing w:after="0"/>
        <w:jc w:val="center"/>
      </w:pPr>
      <w:bookmarkStart w:id="2" w:name="LD"/>
      <w:bookmarkEnd w:id="2"/>
      <w:r>
        <w:t>on Habeas Corpus</w:t>
      </w:r>
      <w:r w:rsidR="005873FE">
        <w:t>.</w:t>
      </w:r>
    </w:p>
    <w:p w:rsidR="00FF4A82" w:rsidP="00781CE2" w14:paraId="38A85A21" w14:textId="21358470">
      <w:pPr>
        <w:tabs>
          <w:tab w:val="left" w:pos="1440"/>
          <w:tab w:val="left" w:pos="4680"/>
          <w:tab w:val="center" w:pos="7200"/>
        </w:tabs>
        <w:spacing w:after="0"/>
      </w:pPr>
    </w:p>
    <w:p w:rsidR="00FF4A82" w:rsidP="00FF4A82" w14:paraId="0085C9C7" w14:textId="70E6E0EC">
      <w:pPr>
        <w:tabs>
          <w:tab w:val="left" w:pos="1440"/>
          <w:tab w:val="left" w:pos="4680"/>
          <w:tab w:val="center" w:pos="7200"/>
        </w:tabs>
        <w:spacing w:after="0"/>
        <w:jc w:val="center"/>
      </w:pPr>
      <w:r>
        <w:t>S</w:t>
      </w:r>
      <w:bookmarkStart w:id="3" w:name="casenum"/>
      <w:bookmarkEnd w:id="3"/>
      <w:r>
        <w:t>253155</w:t>
      </w:r>
    </w:p>
    <w:p w:rsidR="00FF4A82" w:rsidP="00FF4A82" w14:paraId="644FC17E" w14:textId="4E2F43E6">
      <w:pPr>
        <w:tabs>
          <w:tab w:val="left" w:pos="1440"/>
          <w:tab w:val="left" w:pos="4680"/>
          <w:tab w:val="center" w:pos="7200"/>
        </w:tabs>
        <w:spacing w:after="0"/>
        <w:jc w:val="center"/>
      </w:pPr>
      <w:bookmarkStart w:id="4" w:name="appealnum"/>
      <w:bookmarkEnd w:id="4"/>
    </w:p>
    <w:p w:rsidR="00FF4A82" w:rsidP="00FF4A82" w14:paraId="53CFD3EC" w14:textId="50A45DF7">
      <w:pPr>
        <w:tabs>
          <w:tab w:val="left" w:pos="1440"/>
          <w:tab w:val="left" w:pos="4680"/>
          <w:tab w:val="center" w:pos="7200"/>
        </w:tabs>
        <w:spacing w:after="0"/>
        <w:jc w:val="center"/>
      </w:pPr>
      <w:r>
        <w:t>Third Appellate District</w:t>
      </w:r>
    </w:p>
    <w:p w:rsidR="00FF4A82" w:rsidP="00FF4A82" w14:paraId="4CB5B94D" w14:textId="7E1F882B">
      <w:pPr>
        <w:tabs>
          <w:tab w:val="left" w:pos="1440"/>
          <w:tab w:val="left" w:pos="4680"/>
          <w:tab w:val="center" w:pos="7200"/>
        </w:tabs>
        <w:spacing w:after="0"/>
        <w:jc w:val="center"/>
      </w:pPr>
      <w:r>
        <w:t>C084358</w:t>
      </w:r>
    </w:p>
    <w:p w:rsidR="00FF4A82" w:rsidP="00FF4A82" w14:paraId="1AB7DF39" w14:textId="49435591">
      <w:pPr>
        <w:tabs>
          <w:tab w:val="left" w:pos="1440"/>
          <w:tab w:val="left" w:pos="4680"/>
          <w:tab w:val="center" w:pos="7200"/>
        </w:tabs>
        <w:spacing w:after="0"/>
        <w:jc w:val="center"/>
      </w:pPr>
      <w:bookmarkStart w:id="5" w:name="defendant"/>
      <w:bookmarkEnd w:id="5"/>
    </w:p>
    <w:p w:rsidR="00FF4A82" w:rsidP="00FF4A82" w14:paraId="333D028B" w14:textId="173ED012">
      <w:pPr>
        <w:tabs>
          <w:tab w:val="left" w:pos="1440"/>
          <w:tab w:val="left" w:pos="4680"/>
          <w:tab w:val="center" w:pos="7200"/>
        </w:tabs>
        <w:spacing w:after="0"/>
        <w:jc w:val="center"/>
      </w:pPr>
      <w:bookmarkStart w:id="6" w:name="county"/>
      <w:bookmarkEnd w:id="6"/>
      <w:r>
        <w:t>Sacramento County</w:t>
      </w:r>
      <w:r w:rsidR="00D233E9">
        <w:t xml:space="preserve"> Superior Court</w:t>
      </w:r>
    </w:p>
    <w:p w:rsidR="00FF4A82" w:rsidP="00FF4A82" w14:paraId="215539FB" w14:textId="3DE86A67">
      <w:pPr>
        <w:tabs>
          <w:tab w:val="left" w:pos="1440"/>
          <w:tab w:val="left" w:pos="4680"/>
          <w:tab w:val="center" w:pos="7200"/>
        </w:tabs>
        <w:spacing w:after="0"/>
        <w:jc w:val="center"/>
      </w:pPr>
      <w:bookmarkStart w:id="7" w:name="supernum"/>
      <w:bookmarkEnd w:id="7"/>
      <w:r>
        <w:t>08F04643</w:t>
      </w:r>
    </w:p>
    <w:p w:rsidR="00FF4A82" w:rsidP="00FF4A82" w14:paraId="4800187D" w14:textId="46B860BB">
      <w:pPr>
        <w:pBdr>
          <w:bottom w:val="single" w:sz="4" w:space="1" w:color="auto"/>
        </w:pBdr>
        <w:tabs>
          <w:tab w:val="left" w:pos="1440"/>
          <w:tab w:val="left" w:pos="4680"/>
          <w:tab w:val="center" w:pos="7200"/>
        </w:tabs>
        <w:spacing w:after="0"/>
        <w:jc w:val="center"/>
      </w:pPr>
    </w:p>
    <w:p w:rsidR="00FF4A82" w:rsidP="00FF4A82" w14:paraId="2A63C04C" w14:textId="4FD4FFB2">
      <w:pPr>
        <w:tabs>
          <w:tab w:val="left" w:pos="1440"/>
          <w:tab w:val="left" w:pos="4680"/>
          <w:tab w:val="center" w:pos="7200"/>
        </w:tabs>
        <w:spacing w:after="0"/>
        <w:jc w:val="center"/>
      </w:pPr>
    </w:p>
    <w:p w:rsidR="00FF4A82" w:rsidP="00FF4A82" w14:paraId="39623292" w14:textId="0EF84531">
      <w:pPr>
        <w:tabs>
          <w:tab w:val="left" w:pos="1440"/>
          <w:tab w:val="left" w:pos="4680"/>
          <w:tab w:val="center" w:pos="7200"/>
        </w:tabs>
        <w:spacing w:after="0"/>
        <w:jc w:val="center"/>
      </w:pPr>
      <w:r>
        <w:t>June 25</w:t>
      </w:r>
      <w:r>
        <w:t>, 2020</w:t>
      </w:r>
    </w:p>
    <w:p w:rsidR="00FF4A82" w:rsidP="00FF4A82" w14:paraId="75E9BBA7" w14:textId="22D0E3BD">
      <w:pPr>
        <w:tabs>
          <w:tab w:val="left" w:pos="1440"/>
          <w:tab w:val="left" w:pos="4680"/>
          <w:tab w:val="center" w:pos="7200"/>
        </w:tabs>
        <w:spacing w:after="0"/>
        <w:jc w:val="center"/>
      </w:pPr>
    </w:p>
    <w:p w:rsidR="007E3E15" w:rsidP="007E3E15" w14:paraId="54A56A77" w14:textId="23DC1994">
      <w:pPr>
        <w:tabs>
          <w:tab w:val="left" w:pos="1440"/>
        </w:tabs>
        <w:spacing w:after="0"/>
        <w:jc w:val="left"/>
        <w:rPr>
          <w:caps/>
        </w:rPr>
      </w:pPr>
      <w:r>
        <w:t xml:space="preserve">Justice </w:t>
      </w:r>
      <w:r w:rsidR="00F209BB">
        <w:t>Liu</w:t>
      </w:r>
      <w:r w:rsidR="0090075A">
        <w:t xml:space="preserve"> authored the opinion of the C</w:t>
      </w:r>
      <w:r>
        <w:t xml:space="preserve">ourt, in which </w:t>
      </w:r>
      <w:r w:rsidRPr="00C07BEF" w:rsidR="00C07BEF">
        <w:t>Chief Justice Cantil-Sakauye and Justices Chin, Corrigan, Cuéllar, Kruger, and Groban</w:t>
      </w:r>
      <w:r>
        <w:t xml:space="preserve"> concurred</w:t>
      </w:r>
      <w:r>
        <w:rPr>
          <w:caps/>
        </w:rPr>
        <w:t xml:space="preserve">. </w:t>
      </w:r>
    </w:p>
    <w:p w:rsidR="00FF4A82" w:rsidRPr="00FF4A82" w:rsidP="00FF4A82" w14:paraId="5FE9D055" w14:textId="77777777">
      <w:pPr>
        <w:pBdr>
          <w:bottom w:val="single" w:sz="4" w:space="1" w:color="auto"/>
        </w:pBdr>
        <w:tabs>
          <w:tab w:val="left" w:pos="1440"/>
          <w:tab w:val="left" w:pos="4680"/>
          <w:tab w:val="center" w:pos="7200"/>
        </w:tabs>
        <w:spacing w:line="480" w:lineRule="atLeast"/>
        <w:jc w:val="left"/>
      </w:pPr>
      <w:bookmarkStart w:id="8" w:name="Return"/>
      <w:bookmarkEnd w:id="8"/>
    </w:p>
    <w:p w:rsidR="00FF4A82" w14:paraId="67F5E21B" w14:textId="77777777">
      <w:pPr>
        <w:tabs>
          <w:tab w:val="left" w:pos="1440"/>
          <w:tab w:val="left" w:pos="4680"/>
          <w:tab w:val="center" w:pos="7200"/>
        </w:tabs>
        <w:spacing w:line="480" w:lineRule="atLeast"/>
        <w:sectPr w:rsidSect="00FF4A82">
          <w:headerReference w:type="even" r:id="rId8"/>
          <w:headerReference w:type="default" r:id="rId9"/>
          <w:footerReference w:type="even" r:id="rId10"/>
          <w:footerReference w:type="default" r:id="rId11"/>
          <w:headerReference w:type="first" r:id="rId12"/>
          <w:footerReference w:type="first" r:id="rId13"/>
          <w:pgSz w:w="12240" w:h="15840"/>
          <w:pgMar w:top="1800" w:right="2160" w:bottom="1440" w:left="2160" w:header="720" w:footer="720" w:gutter="0"/>
          <w:cols w:space="720"/>
          <w:titlePg/>
          <w:docGrid w:linePitch="367"/>
        </w:sectPr>
      </w:pPr>
    </w:p>
    <w:p w:rsidR="00FF4A82" w:rsidP="00FF4A82" w14:paraId="6088FD65" w14:textId="2909AA48">
      <w:pPr>
        <w:tabs>
          <w:tab w:val="left" w:pos="1440"/>
          <w:tab w:val="left" w:pos="4680"/>
          <w:tab w:val="center" w:pos="7200"/>
        </w:tabs>
        <w:jc w:val="center"/>
      </w:pPr>
      <w:r>
        <w:t xml:space="preserve">In re </w:t>
      </w:r>
      <w:r w:rsidR="00F209BB">
        <w:t>SCOGGINS</w:t>
      </w:r>
    </w:p>
    <w:p w:rsidR="00FF4A82" w:rsidP="00FF4A82" w14:paraId="608C489F" w14:textId="033A268C">
      <w:pPr>
        <w:tabs>
          <w:tab w:val="left" w:pos="1440"/>
          <w:tab w:val="left" w:pos="4680"/>
          <w:tab w:val="center" w:pos="7200"/>
        </w:tabs>
        <w:jc w:val="center"/>
      </w:pPr>
      <w:r>
        <w:t>S253155</w:t>
      </w:r>
    </w:p>
    <w:p w:rsidR="00FF4A82" w:rsidP="00FF4A82" w14:paraId="68E589AC" w14:textId="48DF7565">
      <w:pPr>
        <w:tabs>
          <w:tab w:val="left" w:pos="1440"/>
          <w:tab w:val="left" w:pos="4680"/>
          <w:tab w:val="center" w:pos="7200"/>
        </w:tabs>
        <w:jc w:val="center"/>
      </w:pPr>
    </w:p>
    <w:p w:rsidR="00FF4A82" w:rsidP="00FF4A82" w14:paraId="3FA7701E" w14:textId="0F6BE203">
      <w:pPr>
        <w:tabs>
          <w:tab w:val="left" w:pos="1440"/>
          <w:tab w:val="left" w:pos="4680"/>
          <w:tab w:val="center" w:pos="7200"/>
        </w:tabs>
        <w:jc w:val="center"/>
      </w:pPr>
      <w:r>
        <w:t>Opinion of the Court by Liu, J.</w:t>
      </w:r>
      <w:bookmarkStart w:id="9" w:name="justice"/>
      <w:bookmarkEnd w:id="9"/>
    </w:p>
    <w:p w:rsidR="00FF4A82" w:rsidRPr="00FF4A82" w:rsidP="00FF4A82" w14:paraId="7740DAF5" w14:textId="77777777">
      <w:pPr>
        <w:tabs>
          <w:tab w:val="left" w:pos="1440"/>
          <w:tab w:val="left" w:pos="4680"/>
          <w:tab w:val="center" w:pos="7200"/>
        </w:tabs>
      </w:pPr>
    </w:p>
    <w:p w:rsidR="4F000CFB" w:rsidRPr="007D2642" w:rsidP="005949AE" w14:paraId="2C15922E" w14:textId="0D236BD2">
      <w:pPr>
        <w:ind w:firstLine="720"/>
      </w:pPr>
      <w:r>
        <w:t>In 2008, petitioner</w:t>
      </w:r>
      <w:r w:rsidRPr="00FF4A82">
        <w:t xml:space="preserve"> Willie Scoggins planned a</w:t>
      </w:r>
      <w:r w:rsidRPr="00FF4A82" w:rsidR="00A53594">
        <w:t>n</w:t>
      </w:r>
      <w:r w:rsidRPr="00FF4A82">
        <w:t xml:space="preserve"> </w:t>
      </w:r>
      <w:r w:rsidRPr="00FF4A82" w:rsidR="00457FF3">
        <w:t xml:space="preserve">unarmed </w:t>
      </w:r>
      <w:r w:rsidRPr="00FF4A82">
        <w:t xml:space="preserve">assault and robbery that resulted in </w:t>
      </w:r>
      <w:r w:rsidRPr="00FF4A82" w:rsidR="0033190E">
        <w:t xml:space="preserve">a </w:t>
      </w:r>
      <w:r w:rsidRPr="00FF4A82">
        <w:t>death.  In 2011, a jury convicted Scoggins of first degree murder (Pen. Code, § 187, subd. (a)) and attempted robbery (</w:t>
      </w:r>
      <w:r w:rsidRPr="00FF4A82" w:rsidR="00A14C5F">
        <w:rPr>
          <w:i/>
        </w:rPr>
        <w:t>id.</w:t>
      </w:r>
      <w:r w:rsidRPr="00FF4A82" w:rsidR="00A14C5F">
        <w:t xml:space="preserve">, </w:t>
      </w:r>
      <w:r w:rsidRPr="00FF4A82">
        <w:t>§§ 211, 664)</w:t>
      </w:r>
      <w:r w:rsidRPr="00FF4A82" w:rsidR="009E208F">
        <w:t>.  It also</w:t>
      </w:r>
      <w:r w:rsidRPr="00FF4A82">
        <w:t xml:space="preserve"> found true the special circumstance allegation that the murder was committed during an attempted robbery (</w:t>
      </w:r>
      <w:r w:rsidRPr="00FF4A82" w:rsidR="00A14C5F">
        <w:rPr>
          <w:i/>
        </w:rPr>
        <w:t>id.</w:t>
      </w:r>
      <w:r w:rsidRPr="00FF4A82" w:rsidR="00A14C5F">
        <w:t xml:space="preserve">, </w:t>
      </w:r>
      <w:r w:rsidRPr="00FF4A82">
        <w:t>§ 190.2, subd. (a)(17)) and the enhancement that a principal was armed during the commission of the offenses (</w:t>
      </w:r>
      <w:r w:rsidRPr="00FF4A82" w:rsidR="00A14C5F">
        <w:rPr>
          <w:i/>
        </w:rPr>
        <w:t>id.</w:t>
      </w:r>
      <w:r w:rsidRPr="00FF4A82" w:rsidR="00A14C5F">
        <w:t xml:space="preserve">, </w:t>
      </w:r>
      <w:r w:rsidRPr="00FF4A82">
        <w:t>§ 12022, subd. (a)(1)).  Scoggins was sentenced to life imprisonment wit</w:t>
      </w:r>
      <w:r w:rsidR="004217C1">
        <w:t xml:space="preserve">hout the </w:t>
      </w:r>
      <w:r w:rsidRPr="00103376" w:rsidR="004217C1">
        <w:t xml:space="preserve">possibility of parole.  After Scoggins’s conviction became </w:t>
      </w:r>
      <w:r w:rsidRPr="00103376" w:rsidR="00AA25BA">
        <w:t xml:space="preserve">final, </w:t>
      </w:r>
      <w:r w:rsidRPr="00103376" w:rsidR="00552B54">
        <w:t xml:space="preserve">we decided </w:t>
      </w:r>
      <w:r w:rsidRPr="00103376" w:rsidR="00552B54">
        <w:rPr>
          <w:i/>
          <w:iCs/>
        </w:rPr>
        <w:t xml:space="preserve">People v. Banks </w:t>
      </w:r>
      <w:r w:rsidRPr="00103376" w:rsidR="00552B54">
        <w:t>(2015) 61 Cal.4th 788 (</w:t>
      </w:r>
      <w:r w:rsidRPr="00103376" w:rsidR="00552B54">
        <w:rPr>
          <w:i/>
          <w:iCs/>
        </w:rPr>
        <w:t>Banks</w:t>
      </w:r>
      <w:r w:rsidRPr="00103376" w:rsidR="00552B54">
        <w:t xml:space="preserve">) and </w:t>
      </w:r>
      <w:r w:rsidRPr="00103376" w:rsidR="00552B54">
        <w:rPr>
          <w:i/>
          <w:iCs/>
        </w:rPr>
        <w:t>People v. Clark</w:t>
      </w:r>
      <w:r w:rsidRPr="00103376" w:rsidR="00552B54">
        <w:t xml:space="preserve"> (2016) 63 Cal.4th 522 (</w:t>
      </w:r>
      <w:r w:rsidRPr="00103376" w:rsidR="00552B54">
        <w:rPr>
          <w:i/>
          <w:iCs/>
        </w:rPr>
        <w:t>Clark</w:t>
      </w:r>
      <w:r w:rsidRPr="00103376" w:rsidR="00552B54">
        <w:t>)</w:t>
      </w:r>
      <w:r w:rsidR="00103376">
        <w:t xml:space="preserve">, which clarified the </w:t>
      </w:r>
      <w:r w:rsidR="00872ADE">
        <w:t>meaning of</w:t>
      </w:r>
      <w:r w:rsidR="00103376">
        <w:t xml:space="preserve"> the </w:t>
      </w:r>
      <w:r w:rsidR="00FF20D8">
        <w:t xml:space="preserve">special circumstances statute.  </w:t>
      </w:r>
      <w:r w:rsidR="00D02ED6">
        <w:t xml:space="preserve">We </w:t>
      </w:r>
      <w:r w:rsidRPr="007D2642" w:rsidR="00D02ED6">
        <w:t>granted review to determine</w:t>
      </w:r>
      <w:r w:rsidRPr="007D2642" w:rsidR="00864C2A">
        <w:t xml:space="preserve"> </w:t>
      </w:r>
      <w:r w:rsidRPr="007D2642" w:rsidR="00BD51BE">
        <w:t>whether</w:t>
      </w:r>
      <w:r w:rsidRPr="007D2642" w:rsidR="005949AE">
        <w:t xml:space="preserve"> </w:t>
      </w:r>
      <w:r w:rsidRPr="007D2642" w:rsidR="00A20C04">
        <w:t xml:space="preserve">Scoggins’s conduct </w:t>
      </w:r>
      <w:r w:rsidRPr="007D2642" w:rsidR="00DC34D0">
        <w:t xml:space="preserve">supported </w:t>
      </w:r>
      <w:r w:rsidRPr="007D2642" w:rsidR="0016314E">
        <w:t>a</w:t>
      </w:r>
      <w:r w:rsidRPr="007D2642" w:rsidR="00DC34D0">
        <w:t xml:space="preserve"> robbery-murder special-circumstance finding under </w:t>
      </w:r>
      <w:r w:rsidRPr="007D2642" w:rsidR="00DC34D0">
        <w:rPr>
          <w:i/>
        </w:rPr>
        <w:t xml:space="preserve">Banks </w:t>
      </w:r>
      <w:r w:rsidRPr="007D2642" w:rsidR="00DC34D0">
        <w:t xml:space="preserve">and </w:t>
      </w:r>
      <w:r w:rsidRPr="007D2642" w:rsidR="00DC34D0">
        <w:rPr>
          <w:i/>
        </w:rPr>
        <w:t>Clark</w:t>
      </w:r>
      <w:r w:rsidRPr="007D2642" w:rsidR="00DC34D0">
        <w:t xml:space="preserve">.  We hold that </w:t>
      </w:r>
      <w:r w:rsidR="008C3480">
        <w:t>Scoggins did not act with reckless indifference to human life</w:t>
      </w:r>
      <w:r w:rsidRPr="007D2642" w:rsidR="0028145A">
        <w:t xml:space="preserve"> </w:t>
      </w:r>
      <w:r w:rsidRPr="007D2642" w:rsidR="009E208F">
        <w:t xml:space="preserve">and </w:t>
      </w:r>
      <w:r w:rsidRPr="007D2642" w:rsidR="00A14C5F">
        <w:t xml:space="preserve">thus </w:t>
      </w:r>
      <w:r w:rsidRPr="007D2642">
        <w:t xml:space="preserve">the special circumstance finding </w:t>
      </w:r>
      <w:r w:rsidRPr="007D2642" w:rsidR="009E208F">
        <w:t>must</w:t>
      </w:r>
      <w:r w:rsidRPr="007D2642">
        <w:t xml:space="preserve"> be reversed.</w:t>
      </w:r>
    </w:p>
    <w:p w:rsidR="00CE65AB" w:rsidRPr="00FF4A82" w:rsidP="00744510" w14:paraId="3C21D81E" w14:textId="77777777">
      <w:pPr>
        <w:keepNext/>
        <w:tabs>
          <w:tab w:val="left" w:pos="1440"/>
        </w:tabs>
        <w:jc w:val="center"/>
        <w:rPr>
          <w:b/>
        </w:rPr>
      </w:pPr>
      <w:r w:rsidRPr="00FF4A82">
        <w:rPr>
          <w:b/>
        </w:rPr>
        <w:t>I.</w:t>
      </w:r>
    </w:p>
    <w:p w:rsidR="0013129D" w:rsidRPr="00FF4A82" w:rsidP="00FF4A82" w14:paraId="180D9C29" w14:textId="1E72C110">
      <w:pPr>
        <w:tabs>
          <w:tab w:val="left" w:pos="720"/>
        </w:tabs>
        <w:ind w:firstLine="720"/>
      </w:pPr>
      <w:r w:rsidRPr="00FF4A82">
        <w:t xml:space="preserve">In June 2008, Scoggins purchased what he believed to be three large flat-panel televisions from Samuel Wilson for $300 each. </w:t>
      </w:r>
      <w:r w:rsidRPr="00FF4A82" w:rsidR="00882E05">
        <w:t xml:space="preserve"> </w:t>
      </w:r>
      <w:r w:rsidRPr="00FF4A82">
        <w:t>When Scoggins ope</w:t>
      </w:r>
      <w:r w:rsidRPr="00FF4A82" w:rsidR="007705E3">
        <w:t>ned the television boxes</w:t>
      </w:r>
      <w:r w:rsidRPr="00FF4A82">
        <w:t xml:space="preserve">, he discovered that they contained packaging paper and wood. </w:t>
      </w:r>
      <w:r w:rsidRPr="00FF4A82" w:rsidR="007705E3">
        <w:t xml:space="preserve"> </w:t>
      </w:r>
      <w:r w:rsidRPr="00FF4A82">
        <w:t>Scoggins was angry that he</w:t>
      </w:r>
      <w:r w:rsidRPr="00FF4A82" w:rsidR="007705E3">
        <w:t xml:space="preserve"> had been swindled by Wilson.</w:t>
      </w:r>
    </w:p>
    <w:p w:rsidR="000B11DB" w:rsidRPr="00FF4A82" w:rsidP="00FF4A82" w14:paraId="2F13B77B" w14:textId="22EC133C">
      <w:pPr>
        <w:tabs>
          <w:tab w:val="left" w:pos="720"/>
        </w:tabs>
        <w:ind w:firstLine="720"/>
      </w:pPr>
      <w:r w:rsidRPr="00FF4A82">
        <w:t>Scoggins’s girlfriend, Shaneil Cooks</w:t>
      </w:r>
      <w:r w:rsidRPr="00FF4A82" w:rsidR="00602FD3">
        <w:t xml:space="preserve">, and her friend, Jennifer Kane, </w:t>
      </w:r>
      <w:r w:rsidRPr="00FF4A82" w:rsidR="006937FA">
        <w:t>met Wilson a few days later</w:t>
      </w:r>
      <w:r w:rsidRPr="00FF4A82" w:rsidR="009E208F">
        <w:t xml:space="preserve"> by coincidence</w:t>
      </w:r>
      <w:r w:rsidRPr="00FF4A82" w:rsidR="007705E3">
        <w:t>.</w:t>
      </w:r>
      <w:r w:rsidRPr="00FF4A82" w:rsidR="00EA11EC">
        <w:t xml:space="preserve">  </w:t>
      </w:r>
      <w:r w:rsidRPr="00FF4A82" w:rsidR="00744E6A">
        <w:t xml:space="preserve">After Cooks and Kane told Scoggins about the </w:t>
      </w:r>
      <w:r w:rsidRPr="00FF4A82" w:rsidR="00AC4502">
        <w:t xml:space="preserve">encounter, </w:t>
      </w:r>
      <w:r w:rsidRPr="00FF4A82" w:rsidR="006937FA">
        <w:t xml:space="preserve">Scoggins quickly </w:t>
      </w:r>
      <w:r w:rsidRPr="00FF4A82" w:rsidR="00A46BF5">
        <w:t xml:space="preserve">devised a plan </w:t>
      </w:r>
      <w:r w:rsidRPr="00FF4A82" w:rsidR="00E14D44">
        <w:t>to exact revenge against Wilson</w:t>
      </w:r>
      <w:r w:rsidRPr="00FF4A82" w:rsidR="00A9089D">
        <w:t xml:space="preserve">:  Cooks and Kane </w:t>
      </w:r>
      <w:r w:rsidRPr="00FF4A82" w:rsidR="00E8002D">
        <w:t xml:space="preserve">would pretend </w:t>
      </w:r>
      <w:r w:rsidRPr="00FF4A82" w:rsidR="00FA0130">
        <w:t xml:space="preserve">to be interested in purchasing a television and meet up with Wilson; two of Scoggins’s </w:t>
      </w:r>
      <w:r w:rsidRPr="00FF4A82" w:rsidR="00501456">
        <w:t>close</w:t>
      </w:r>
      <w:r w:rsidRPr="00FF4A82" w:rsidR="00FA0130">
        <w:t xml:space="preserve"> friends, Randall Powell and </w:t>
      </w:r>
      <w:r w:rsidRPr="00FF4A82" w:rsidR="0073140F">
        <w:t xml:space="preserve">James Howard, would </w:t>
      </w:r>
      <w:r w:rsidRPr="00FF4A82" w:rsidR="00C52B79">
        <w:t xml:space="preserve">hide </w:t>
      </w:r>
      <w:r w:rsidRPr="00FF4A82" w:rsidR="0073140F">
        <w:t xml:space="preserve">inside </w:t>
      </w:r>
      <w:r w:rsidRPr="00FF4A82" w:rsidR="006F1DC2">
        <w:t xml:space="preserve">Cooks’s </w:t>
      </w:r>
      <w:r w:rsidRPr="00FF4A82" w:rsidR="00EB7CBD">
        <w:t xml:space="preserve">van </w:t>
      </w:r>
      <w:r w:rsidRPr="00FF4A82" w:rsidR="00383CEA">
        <w:t>during the meeting</w:t>
      </w:r>
      <w:r w:rsidRPr="00FF4A82" w:rsidR="00DF19F0">
        <w:t xml:space="preserve">; </w:t>
      </w:r>
      <w:r w:rsidRPr="00FF4A82" w:rsidR="0096418F">
        <w:t>and then Powell and Howard would</w:t>
      </w:r>
      <w:r w:rsidRPr="00FF4A82" w:rsidR="003F0E1E">
        <w:t xml:space="preserve"> jump out, “beat the shit” out of Wilson, and </w:t>
      </w:r>
      <w:r w:rsidRPr="00FF4A82" w:rsidR="00C50DCE">
        <w:t>get Scoggins’s money back</w:t>
      </w:r>
      <w:r w:rsidRPr="00FF4A82" w:rsidR="001275CA">
        <w:t>.</w:t>
      </w:r>
      <w:r w:rsidRPr="00FF4A82" w:rsidR="00BB270B">
        <w:t xml:space="preserve">  </w:t>
      </w:r>
      <w:r w:rsidRPr="00FF4A82" w:rsidR="009E208F">
        <w:t>T</w:t>
      </w:r>
      <w:r w:rsidRPr="00FF4A82" w:rsidR="00BB270B">
        <w:t>he plan</w:t>
      </w:r>
      <w:r w:rsidRPr="00FF4A82" w:rsidR="00FC575C">
        <w:t xml:space="preserve"> did not call for Scoggins to be involved </w:t>
      </w:r>
      <w:r w:rsidRPr="00FF4A82" w:rsidR="003E01C1">
        <w:t>in the attack</w:t>
      </w:r>
      <w:r w:rsidRPr="00FF4A82" w:rsidR="009E208F">
        <w:t>;</w:t>
      </w:r>
      <w:r w:rsidRPr="00FF4A82" w:rsidR="00BA7463">
        <w:t xml:space="preserve"> Scoggins</w:t>
      </w:r>
      <w:r w:rsidRPr="00FF4A82" w:rsidR="002B54B4">
        <w:t xml:space="preserve"> </w:t>
      </w:r>
      <w:r w:rsidRPr="00FF4A82" w:rsidR="009E208F">
        <w:t xml:space="preserve">was concerned </w:t>
      </w:r>
      <w:r w:rsidRPr="00FF4A82" w:rsidR="002B54B4">
        <w:t xml:space="preserve">that Wilson might recognize him from their earlier encounter </w:t>
      </w:r>
      <w:r w:rsidRPr="00FF4A82" w:rsidR="00560F75">
        <w:t xml:space="preserve">and </w:t>
      </w:r>
      <w:r w:rsidRPr="00FF4A82" w:rsidR="001A3AD3">
        <w:t xml:space="preserve">thought </w:t>
      </w:r>
      <w:r w:rsidRPr="00FF4A82" w:rsidR="00560F75">
        <w:t xml:space="preserve">his presence </w:t>
      </w:r>
      <w:r w:rsidRPr="00FF4A82" w:rsidR="00545495">
        <w:t xml:space="preserve">would </w:t>
      </w:r>
      <w:r w:rsidRPr="00FF4A82" w:rsidR="00560F75">
        <w:t>raise Wilson’s suspicions.</w:t>
      </w:r>
      <w:r w:rsidRPr="00FF4A82" w:rsidR="006143A2">
        <w:t xml:space="preserve"> </w:t>
      </w:r>
      <w:r w:rsidRPr="00FF4A82" w:rsidR="001C2BDB">
        <w:t xml:space="preserve"> </w:t>
      </w:r>
      <w:r w:rsidR="003441C3">
        <w:t>T</w:t>
      </w:r>
      <w:r w:rsidR="005A34E1">
        <w:t>here i</w:t>
      </w:r>
      <w:r w:rsidRPr="00FF4A82" w:rsidR="004F0447">
        <w:t xml:space="preserve">s no evidence </w:t>
      </w:r>
      <w:r w:rsidRPr="00FF4A82" w:rsidR="00E142F9">
        <w:t>that the plan involved the use of weapons.</w:t>
      </w:r>
    </w:p>
    <w:p w:rsidR="00B34CD0" w:rsidRPr="00FF4A82" w:rsidP="00FF4A82" w14:paraId="3F2D7E7D" w14:textId="716DF857">
      <w:pPr>
        <w:tabs>
          <w:tab w:val="left" w:pos="720"/>
        </w:tabs>
        <w:ind w:firstLine="720"/>
      </w:pPr>
      <w:r w:rsidRPr="00FF4A82">
        <w:t>Soon after</w:t>
      </w:r>
      <w:r w:rsidRPr="00FF4A82" w:rsidR="006047C5">
        <w:t xml:space="preserve">, Scoggins and his friends </w:t>
      </w:r>
      <w:r w:rsidRPr="00FF4A82" w:rsidR="00CF4DAA">
        <w:t>set the plan in motion.</w:t>
      </w:r>
      <w:r w:rsidRPr="00FF4A82" w:rsidR="002E4DA9">
        <w:t xml:space="preserve">  Cooks and Kane </w:t>
      </w:r>
      <w:r w:rsidRPr="00FF4A82" w:rsidR="00E74D67">
        <w:t>pretended that Kane’s mother was interested in buying a television</w:t>
      </w:r>
      <w:r w:rsidR="005A34E1">
        <w:t xml:space="preserve"> </w:t>
      </w:r>
      <w:r w:rsidRPr="00FF4A82" w:rsidR="00E74D67">
        <w:t xml:space="preserve">and </w:t>
      </w:r>
      <w:r w:rsidR="005A34E1">
        <w:t>arranged</w:t>
      </w:r>
      <w:r w:rsidRPr="00FF4A82" w:rsidR="00E74D67">
        <w:t xml:space="preserve"> a meeting with Wilson.</w:t>
      </w:r>
      <w:r w:rsidRPr="00FF4A82" w:rsidR="00365C1C">
        <w:t xml:space="preserve">  </w:t>
      </w:r>
      <w:r w:rsidRPr="00FF4A82" w:rsidR="00131729">
        <w:t>L</w:t>
      </w:r>
      <w:r w:rsidRPr="00FF4A82" w:rsidR="00594D17">
        <w:t xml:space="preserve">ater that evening, Cooks, Kane, Powell, and Howard went to the parking lot of a strip mall to </w:t>
      </w:r>
      <w:r w:rsidRPr="00FF4A82" w:rsidR="00F05E2D">
        <w:t xml:space="preserve">meet Wilson.  </w:t>
      </w:r>
      <w:r w:rsidRPr="00FF4A82" w:rsidR="00DB6EE1">
        <w:t xml:space="preserve">Shortly after </w:t>
      </w:r>
      <w:r w:rsidRPr="00FF4A82" w:rsidR="004A691B">
        <w:t>they arrived,</w:t>
      </w:r>
      <w:r w:rsidRPr="00FF4A82" w:rsidR="009503B7">
        <w:t xml:space="preserve"> Powell and Howard stepped out of the van and spoke briefly with Wilson.  </w:t>
      </w:r>
      <w:r w:rsidRPr="00FF4A82" w:rsidR="008626AA">
        <w:t xml:space="preserve">Then, Powell pulled out a gun and fired several shots at Wilson. </w:t>
      </w:r>
      <w:r w:rsidRPr="00FF4A82" w:rsidR="004517B2">
        <w:t xml:space="preserve"> </w:t>
      </w:r>
      <w:r w:rsidRPr="00FF4A82" w:rsidR="00537CCA">
        <w:t xml:space="preserve">When Wilson ran, Powell fired a few more shots </w:t>
      </w:r>
      <w:r w:rsidRPr="00FF4A82" w:rsidR="00DD0BF0">
        <w:t xml:space="preserve">and killed </w:t>
      </w:r>
      <w:r w:rsidRPr="00FF4A82" w:rsidR="008626AA">
        <w:t>Wilson</w:t>
      </w:r>
      <w:r w:rsidRPr="00FF4A82" w:rsidR="004517B2">
        <w:t xml:space="preserve">.  </w:t>
      </w:r>
      <w:r w:rsidRPr="00FF4A82" w:rsidR="00B371FA">
        <w:t xml:space="preserve">After that, </w:t>
      </w:r>
      <w:r w:rsidRPr="00FF4A82" w:rsidR="00674ADA">
        <w:t xml:space="preserve">Powell and Howard </w:t>
      </w:r>
      <w:r w:rsidRPr="00FF4A82" w:rsidR="002450E4">
        <w:t xml:space="preserve">got into Cooks’s van, and </w:t>
      </w:r>
      <w:r w:rsidRPr="00FF4A82" w:rsidR="00D37E6B">
        <w:t>th</w:t>
      </w:r>
      <w:r w:rsidRPr="00FF4A82" w:rsidR="00C52FFA">
        <w:t xml:space="preserve">e van sped away </w:t>
      </w:r>
      <w:r w:rsidRPr="00FF4A82" w:rsidR="004517B2">
        <w:t xml:space="preserve">from the scene.  </w:t>
      </w:r>
      <w:r w:rsidRPr="00FF4A82" w:rsidR="00C64298">
        <w:t>Throughout th</w:t>
      </w:r>
      <w:r w:rsidRPr="00FF4A82" w:rsidR="00A14C5F">
        <w:t>ese events</w:t>
      </w:r>
      <w:r w:rsidRPr="00FF4A82" w:rsidR="00C64298">
        <w:t>, Scoggins</w:t>
      </w:r>
      <w:r w:rsidRPr="00FF4A82" w:rsidR="00A14C5F">
        <w:t>, as planned,</w:t>
      </w:r>
      <w:r w:rsidRPr="00FF4A82" w:rsidR="00C64298">
        <w:t xml:space="preserve"> was </w:t>
      </w:r>
      <w:r w:rsidRPr="00FF4A82" w:rsidR="00BC2314">
        <w:t>not present at</w:t>
      </w:r>
      <w:r w:rsidRPr="00FF4A82" w:rsidR="00C64298">
        <w:t xml:space="preserve"> the crime scene</w:t>
      </w:r>
      <w:r w:rsidRPr="00FF4A82" w:rsidR="003038F7">
        <w:t>.</w:t>
      </w:r>
      <w:r w:rsidRPr="00FF4A82" w:rsidR="00014F5E">
        <w:t xml:space="preserve">  </w:t>
      </w:r>
      <w:r w:rsidRPr="00FF4A82" w:rsidR="00A14C5F">
        <w:t xml:space="preserve">He </w:t>
      </w:r>
      <w:r w:rsidRPr="00FF4A82" w:rsidR="00C37A89">
        <w:t xml:space="preserve">exchanged </w:t>
      </w:r>
      <w:r w:rsidRPr="00FF4A82">
        <w:t>numerous</w:t>
      </w:r>
      <w:r w:rsidRPr="00FF4A82" w:rsidR="00C37A89">
        <w:t xml:space="preserve"> phone calls with Powell and Howard </w:t>
      </w:r>
      <w:r w:rsidRPr="00FF4A82" w:rsidR="00BE0F91">
        <w:t>in the hour leading up to the shooting</w:t>
      </w:r>
      <w:r w:rsidRPr="00FF4A82" w:rsidR="00A14C5F">
        <w:t xml:space="preserve"> and </w:t>
      </w:r>
      <w:r w:rsidR="000F03DC">
        <w:t>waited at a nearby gas station as the events unfolded.</w:t>
      </w:r>
    </w:p>
    <w:p w:rsidR="0019374E" w:rsidRPr="00FF4A82" w:rsidP="00FF4A82" w14:paraId="5DEFBB93" w14:textId="4E3A46F7">
      <w:pPr>
        <w:tabs>
          <w:tab w:val="left" w:pos="720"/>
        </w:tabs>
        <w:ind w:firstLine="720"/>
      </w:pPr>
      <w:r w:rsidRPr="00FF4A82">
        <w:t xml:space="preserve">After the shooting, </w:t>
      </w:r>
      <w:r w:rsidRPr="00FF4A82" w:rsidR="00844A73">
        <w:t xml:space="preserve">Scoggins </w:t>
      </w:r>
      <w:r w:rsidRPr="00FF4A82" w:rsidR="007C19F3">
        <w:t xml:space="preserve">walked over </w:t>
      </w:r>
      <w:r w:rsidRPr="00FF4A82" w:rsidR="00F07FE4">
        <w:t>to</w:t>
      </w:r>
      <w:r w:rsidRPr="00FF4A82" w:rsidR="00360B76">
        <w:t xml:space="preserve"> Wilson </w:t>
      </w:r>
      <w:r w:rsidRPr="00FF4A82" w:rsidR="004A13EC">
        <w:t xml:space="preserve">and checked if he was </w:t>
      </w:r>
      <w:r w:rsidRPr="00FF4A82" w:rsidR="00516733">
        <w:t xml:space="preserve">still breathing.  </w:t>
      </w:r>
      <w:r w:rsidRPr="00FF4A82" w:rsidR="00107203">
        <w:t xml:space="preserve">At that point, several </w:t>
      </w:r>
      <w:r w:rsidRPr="00FF4A82" w:rsidR="00516733">
        <w:t>bystander</w:t>
      </w:r>
      <w:r w:rsidRPr="00FF4A82" w:rsidR="00107203">
        <w:t xml:space="preserve">s had already gathered around </w:t>
      </w:r>
      <w:r w:rsidRPr="00FF4A82" w:rsidR="00601BD3">
        <w:t xml:space="preserve">Wilson and </w:t>
      </w:r>
      <w:r w:rsidRPr="00FF4A82" w:rsidR="00A14C5F">
        <w:t xml:space="preserve">had </w:t>
      </w:r>
      <w:r w:rsidRPr="00FF4A82" w:rsidR="00601BD3">
        <w:t xml:space="preserve">called the police. </w:t>
      </w:r>
      <w:r w:rsidRPr="00FF4A82" w:rsidR="00CD0B58">
        <w:t xml:space="preserve"> </w:t>
      </w:r>
      <w:r w:rsidRPr="00FF4A82" w:rsidR="001E4AC1">
        <w:t>After speaking with the</w:t>
      </w:r>
      <w:r w:rsidRPr="00FF4A82" w:rsidR="00516733">
        <w:t xml:space="preserve"> bystanders</w:t>
      </w:r>
      <w:r w:rsidRPr="00FF4A82" w:rsidR="001E4AC1">
        <w:t xml:space="preserve"> for a </w:t>
      </w:r>
      <w:r w:rsidRPr="00FF4A82" w:rsidR="00BD71DF">
        <w:t>while</w:t>
      </w:r>
      <w:r w:rsidRPr="00FF4A82" w:rsidR="00CA4738">
        <w:t>, Scoggins moved his car and</w:t>
      </w:r>
      <w:r w:rsidRPr="00FF4A82" w:rsidR="006A7DDD">
        <w:t xml:space="preserve"> returned to the crime scene.  </w:t>
      </w:r>
      <w:r w:rsidRPr="00FF4A82" w:rsidR="00045F11">
        <w:t xml:space="preserve">The police arrived and interviewed Scoggins </w:t>
      </w:r>
      <w:r w:rsidRPr="00FF4A82" w:rsidR="00D81932">
        <w:t xml:space="preserve">as a witness. </w:t>
      </w:r>
      <w:r w:rsidRPr="00FF4A82" w:rsidR="00737205">
        <w:t xml:space="preserve"> </w:t>
      </w:r>
      <w:r w:rsidRPr="00FF4A82" w:rsidR="004F711B">
        <w:t xml:space="preserve">The officer who interviewed Scoggins described him as </w:t>
      </w:r>
      <w:r w:rsidRPr="00FF4A82" w:rsidR="001216D3">
        <w:t>cooperative</w:t>
      </w:r>
      <w:r w:rsidRPr="00FF4A82" w:rsidR="00A10E6D">
        <w:t xml:space="preserve">.  </w:t>
      </w:r>
    </w:p>
    <w:p w:rsidR="009C4290" w:rsidRPr="00FF4A82" w:rsidP="00FF4A82" w14:paraId="2F0E72AB" w14:textId="22DD0569">
      <w:pPr>
        <w:tabs>
          <w:tab w:val="left" w:pos="720"/>
        </w:tabs>
        <w:ind w:firstLine="720"/>
      </w:pPr>
      <w:r w:rsidRPr="00FF4A82">
        <w:t>Scoggins’s fir</w:t>
      </w:r>
      <w:r w:rsidRPr="00FF4A82" w:rsidR="00706ECC">
        <w:t xml:space="preserve">st trial ended in a mistrial.  </w:t>
      </w:r>
      <w:r w:rsidRPr="00FF4A82">
        <w:t>At the second trial in 2011, the jury convicted Scoggins of first degree murder (</w:t>
      </w:r>
      <w:r w:rsidRPr="00FF4A82" w:rsidR="00A14C5F">
        <w:t xml:space="preserve">Pen. Code, </w:t>
      </w:r>
      <w:r w:rsidRPr="00FF4A82">
        <w:t>§ 187, subd. (a)) and attempted robbery (</w:t>
      </w:r>
      <w:r w:rsidRPr="00FF4A82" w:rsidR="00A14C5F">
        <w:rPr>
          <w:i/>
        </w:rPr>
        <w:t>id.</w:t>
      </w:r>
      <w:r w:rsidRPr="00FF4A82" w:rsidR="00A14C5F">
        <w:t xml:space="preserve">, </w:t>
      </w:r>
      <w:r w:rsidRPr="00FF4A82">
        <w:t>§§ 211, 664).  The jury also found true the special circumstance that the murder was committed during an attempted robbery (</w:t>
      </w:r>
      <w:r w:rsidRPr="00FF4A82" w:rsidR="00A14C5F">
        <w:rPr>
          <w:i/>
        </w:rPr>
        <w:t>id.</w:t>
      </w:r>
      <w:r w:rsidRPr="00FF4A82" w:rsidR="00A14C5F">
        <w:t xml:space="preserve">, </w:t>
      </w:r>
      <w:r w:rsidRPr="00FF4A82">
        <w:t>§ 190.2, subd. (a)(17)) and the enhancement that a principal was armed during the commission of the offenses (</w:t>
      </w:r>
      <w:r w:rsidRPr="00FF4A82" w:rsidR="00A14C5F">
        <w:rPr>
          <w:i/>
        </w:rPr>
        <w:t>id.</w:t>
      </w:r>
      <w:r w:rsidRPr="00FF4A82" w:rsidR="00A14C5F">
        <w:t xml:space="preserve">, </w:t>
      </w:r>
      <w:r w:rsidRPr="00FF4A82">
        <w:t>§ 12022, subd. (a)(1)).  The trial court sentenced Scoggins to life imprisonment witho</w:t>
      </w:r>
      <w:r w:rsidRPr="00FF4A82" w:rsidR="00837A6B">
        <w:t>ut the possibility of parole.</w:t>
      </w:r>
      <w:r w:rsidRPr="00FF4A82">
        <w:t xml:space="preserve">  The court stayed the imposition of the sentence as to the attempted robbery conviction</w:t>
      </w:r>
      <w:r w:rsidRPr="00FF4A82" w:rsidR="00856A7B">
        <w:t xml:space="preserve"> and the firearm enhancement.  </w:t>
      </w:r>
      <w:r w:rsidRPr="00FF4A82">
        <w:t xml:space="preserve">The Court of Appeal affirmed the judgment, rejecting Scoggins’s claim that insufficient evidence supported the </w:t>
      </w:r>
      <w:r w:rsidR="00335699">
        <w:t xml:space="preserve">robbery-murder </w:t>
      </w:r>
      <w:r w:rsidR="00CF35CD">
        <w:t>special-</w:t>
      </w:r>
      <w:r w:rsidRPr="00FF4A82" w:rsidR="004E0482">
        <w:t xml:space="preserve">circumstance finding.  </w:t>
      </w:r>
      <w:r w:rsidRPr="00FF4A82" w:rsidR="00A14C5F">
        <w:t>We</w:t>
      </w:r>
      <w:r w:rsidRPr="00FF4A82">
        <w:t xml:space="preserve"> denied Scoggins’s petition for review.</w:t>
      </w:r>
    </w:p>
    <w:p w:rsidR="00102C7F" w:rsidRPr="00FF4A82" w:rsidP="00FF4A82" w14:paraId="578BBAAA" w14:textId="79FF54AE">
      <w:pPr>
        <w:tabs>
          <w:tab w:val="left" w:pos="720"/>
        </w:tabs>
        <w:ind w:firstLine="720"/>
      </w:pPr>
      <w:r w:rsidRPr="00FF4A82">
        <w:t xml:space="preserve">In 2015 and 2016, </w:t>
      </w:r>
      <w:r w:rsidRPr="00FF4A82" w:rsidR="007207D8">
        <w:t xml:space="preserve">Scoggins filed several </w:t>
      </w:r>
      <w:r w:rsidRPr="00FF4A82" w:rsidR="00D2365D">
        <w:t>petitions for writ of habeas corpus</w:t>
      </w:r>
      <w:r w:rsidR="00F37139">
        <w:t xml:space="preserve"> </w:t>
      </w:r>
      <w:r w:rsidR="00467650">
        <w:t xml:space="preserve">in the </w:t>
      </w:r>
      <w:r w:rsidR="00234076">
        <w:t xml:space="preserve">trial </w:t>
      </w:r>
      <w:r w:rsidR="00467650">
        <w:t xml:space="preserve">court </w:t>
      </w:r>
      <w:r w:rsidR="00F37139">
        <w:t>and the Court of Appeal</w:t>
      </w:r>
      <w:r w:rsidRPr="00FF4A82" w:rsidR="00C82713">
        <w:t>, challenging the sufficiency of evidence supporting the special circumstance finding.</w:t>
      </w:r>
      <w:r w:rsidRPr="00FF4A82" w:rsidR="00F4182C">
        <w:t xml:space="preserve">  </w:t>
      </w:r>
      <w:r w:rsidRPr="00FF4A82" w:rsidR="00A14C5F">
        <w:t>These</w:t>
      </w:r>
      <w:r w:rsidRPr="00FF4A82" w:rsidR="00F4182C">
        <w:t xml:space="preserve"> petitions were denied.</w:t>
      </w:r>
      <w:r w:rsidRPr="00FF4A82" w:rsidR="009C4290">
        <w:t xml:space="preserve">  </w:t>
      </w:r>
      <w:r w:rsidRPr="00FF4A82" w:rsidR="00D0186A">
        <w:t xml:space="preserve">In May 2016, </w:t>
      </w:r>
      <w:r w:rsidRPr="00FF4A82" w:rsidR="00423B7E">
        <w:t xml:space="preserve">Scoggins filed a petition for writ of habeas corpus in </w:t>
      </w:r>
      <w:r w:rsidRPr="00FF4A82" w:rsidR="00BC2314">
        <w:t xml:space="preserve">this </w:t>
      </w:r>
      <w:r w:rsidRPr="00FF4A82" w:rsidR="00423B7E">
        <w:t xml:space="preserve">court, </w:t>
      </w:r>
      <w:r w:rsidRPr="00FF4A82" w:rsidR="0021149B">
        <w:t>again challenging the special circumstance finding</w:t>
      </w:r>
      <w:r w:rsidRPr="00FF4A82" w:rsidR="00CF3507">
        <w:t xml:space="preserve">.  We issued an order to show cause, returnable to the Court of Appeal, </w:t>
      </w:r>
      <w:r w:rsidRPr="00FF4A82" w:rsidR="00AC7425">
        <w:t>as to why Scoggins is not entitled to relief in light of</w:t>
      </w:r>
      <w:r w:rsidRPr="00FF4A82" w:rsidR="007C1816">
        <w:t xml:space="preserve"> </w:t>
      </w:r>
      <w:r w:rsidRPr="00FF4A82" w:rsidR="007C1816">
        <w:rPr>
          <w:i/>
        </w:rPr>
        <w:t>Banks</w:t>
      </w:r>
      <w:r w:rsidRPr="00FF4A82" w:rsidR="008624BE">
        <w:t xml:space="preserve">, </w:t>
      </w:r>
      <w:r w:rsidRPr="00FF4A82" w:rsidR="008624BE">
        <w:rPr>
          <w:i/>
        </w:rPr>
        <w:t>supra</w:t>
      </w:r>
      <w:r w:rsidRPr="00FF4A82" w:rsidR="008624BE">
        <w:t xml:space="preserve">, </w:t>
      </w:r>
      <w:r w:rsidRPr="00FF4A82" w:rsidR="00E5007E">
        <w:t xml:space="preserve">61 </w:t>
      </w:r>
      <w:r w:rsidR="001C3CF5">
        <w:t>Cal.4th 788</w:t>
      </w:r>
      <w:r w:rsidRPr="00FF4A82" w:rsidR="007C1816">
        <w:rPr>
          <w:i/>
        </w:rPr>
        <w:t xml:space="preserve"> </w:t>
      </w:r>
      <w:r w:rsidRPr="00FF4A82" w:rsidR="007C1816">
        <w:t xml:space="preserve">and </w:t>
      </w:r>
      <w:r w:rsidRPr="00FF4A82" w:rsidR="007C1816">
        <w:rPr>
          <w:i/>
        </w:rPr>
        <w:t>Clark</w:t>
      </w:r>
      <w:r w:rsidRPr="00FF4A82" w:rsidR="00074896">
        <w:t xml:space="preserve">, </w:t>
      </w:r>
      <w:r w:rsidRPr="00FF4A82" w:rsidR="00074896">
        <w:rPr>
          <w:i/>
        </w:rPr>
        <w:t>supra</w:t>
      </w:r>
      <w:r w:rsidRPr="00FF4A82" w:rsidR="00074896">
        <w:t>, 63 Cal.4th 522</w:t>
      </w:r>
      <w:r w:rsidRPr="00FF4A82" w:rsidR="00AB3433">
        <w:t>, both of which were filed after Scoggins’s conviction became final.</w:t>
      </w:r>
    </w:p>
    <w:p w:rsidR="00AC75A1" w:rsidRPr="00273414" w:rsidP="00273414" w14:paraId="1DB49AB2" w14:textId="7A141E42">
      <w:pPr>
        <w:tabs>
          <w:tab w:val="left" w:pos="720"/>
        </w:tabs>
        <w:ind w:firstLine="720"/>
        <w:rPr>
          <w:color w:val="FF0000"/>
          <w:szCs w:val="26"/>
        </w:rPr>
      </w:pPr>
      <w:r w:rsidRPr="00FF4A82">
        <w:rPr>
          <w:szCs w:val="26"/>
        </w:rPr>
        <w:t>The Court of Appeal denied relief in a divided opinion.</w:t>
      </w:r>
      <w:r w:rsidRPr="00FF4A82" w:rsidR="004E7228">
        <w:rPr>
          <w:szCs w:val="26"/>
        </w:rPr>
        <w:t xml:space="preserve">  </w:t>
      </w:r>
      <w:r w:rsidRPr="000106B6" w:rsidR="00213ED0">
        <w:rPr>
          <w:szCs w:val="26"/>
        </w:rPr>
        <w:t xml:space="preserve">The </w:t>
      </w:r>
      <w:r w:rsidRPr="000106B6" w:rsidR="005E2A69">
        <w:rPr>
          <w:szCs w:val="26"/>
        </w:rPr>
        <w:t>court</w:t>
      </w:r>
      <w:r w:rsidRPr="000106B6" w:rsidR="00213ED0">
        <w:rPr>
          <w:szCs w:val="26"/>
        </w:rPr>
        <w:t xml:space="preserve"> </w:t>
      </w:r>
      <w:r w:rsidRPr="000106B6" w:rsidR="003959EE">
        <w:rPr>
          <w:szCs w:val="26"/>
        </w:rPr>
        <w:t xml:space="preserve">observed that </w:t>
      </w:r>
      <w:r w:rsidRPr="000106B6" w:rsidR="00213ED0">
        <w:rPr>
          <w:i/>
          <w:szCs w:val="26"/>
        </w:rPr>
        <w:t>Banks</w:t>
      </w:r>
      <w:r w:rsidRPr="000106B6" w:rsidR="00213ED0">
        <w:rPr>
          <w:szCs w:val="26"/>
        </w:rPr>
        <w:t xml:space="preserve"> and </w:t>
      </w:r>
      <w:r w:rsidRPr="000106B6" w:rsidR="00213ED0">
        <w:rPr>
          <w:i/>
          <w:szCs w:val="26"/>
        </w:rPr>
        <w:t>Clark</w:t>
      </w:r>
      <w:r w:rsidRPr="000106B6" w:rsidR="00AB3433">
        <w:rPr>
          <w:szCs w:val="26"/>
        </w:rPr>
        <w:t xml:space="preserve"> </w:t>
      </w:r>
      <w:r w:rsidRPr="000106B6" w:rsidR="00213ED0">
        <w:rPr>
          <w:szCs w:val="26"/>
        </w:rPr>
        <w:t>clarified the meaning of</w:t>
      </w:r>
      <w:r w:rsidRPr="000106B6" w:rsidR="001D3C40">
        <w:rPr>
          <w:szCs w:val="26"/>
        </w:rPr>
        <w:t xml:space="preserve"> </w:t>
      </w:r>
      <w:r w:rsidRPr="000106B6" w:rsidR="00561119">
        <w:rPr>
          <w:szCs w:val="26"/>
        </w:rPr>
        <w:t xml:space="preserve">the special circumstances statute </w:t>
      </w:r>
      <w:r w:rsidRPr="000106B6" w:rsidR="003959EE">
        <w:rPr>
          <w:szCs w:val="26"/>
        </w:rPr>
        <w:t xml:space="preserve">as intended by the electorate and that </w:t>
      </w:r>
      <w:r w:rsidRPr="000106B6" w:rsidR="00AB3433">
        <w:rPr>
          <w:szCs w:val="26"/>
        </w:rPr>
        <w:t xml:space="preserve">the finality of </w:t>
      </w:r>
      <w:r w:rsidRPr="000106B6" w:rsidR="00E10E4D">
        <w:rPr>
          <w:szCs w:val="26"/>
        </w:rPr>
        <w:t>Scoggins</w:t>
      </w:r>
      <w:r w:rsidRPr="000106B6" w:rsidR="00AB3433">
        <w:rPr>
          <w:szCs w:val="26"/>
        </w:rPr>
        <w:t xml:space="preserve">’s conviction does not bar him from </w:t>
      </w:r>
      <w:r w:rsidRPr="000106B6" w:rsidR="0055364F">
        <w:rPr>
          <w:szCs w:val="26"/>
        </w:rPr>
        <w:t>challeng</w:t>
      </w:r>
      <w:r w:rsidRPr="000106B6" w:rsidR="00AB3433">
        <w:rPr>
          <w:szCs w:val="26"/>
        </w:rPr>
        <w:t>ing</w:t>
      </w:r>
      <w:r w:rsidRPr="000106B6" w:rsidR="0055364F">
        <w:rPr>
          <w:szCs w:val="26"/>
        </w:rPr>
        <w:t xml:space="preserve"> the</w:t>
      </w:r>
      <w:r w:rsidRPr="000106B6" w:rsidR="00213ED0">
        <w:rPr>
          <w:szCs w:val="26"/>
        </w:rPr>
        <w:t xml:space="preserve"> </w:t>
      </w:r>
      <w:r w:rsidRPr="000106B6" w:rsidR="00E65285">
        <w:rPr>
          <w:szCs w:val="26"/>
        </w:rPr>
        <w:t>special circumstance finding</w:t>
      </w:r>
      <w:r w:rsidRPr="000106B6" w:rsidR="0055364F">
        <w:rPr>
          <w:szCs w:val="26"/>
        </w:rPr>
        <w:t xml:space="preserve"> through a petition for habeas corpus</w:t>
      </w:r>
      <w:r w:rsidRPr="000106B6" w:rsidR="00902536">
        <w:rPr>
          <w:szCs w:val="26"/>
        </w:rPr>
        <w:t>.</w:t>
      </w:r>
      <w:r w:rsidR="000106B6">
        <w:rPr>
          <w:color w:val="FF0000"/>
          <w:szCs w:val="26"/>
        </w:rPr>
        <w:t xml:space="preserve">  </w:t>
      </w:r>
      <w:r w:rsidR="000106B6">
        <w:rPr>
          <w:szCs w:val="26"/>
        </w:rPr>
        <w:t xml:space="preserve">If the undisputed facts rendered </w:t>
      </w:r>
      <w:r w:rsidRPr="00273414" w:rsidR="000106B6">
        <w:rPr>
          <w:szCs w:val="26"/>
        </w:rPr>
        <w:t xml:space="preserve">Scoggins ineligible for the special circumstance finding, the court explained, </w:t>
      </w:r>
      <w:r w:rsidRPr="00273414" w:rsidR="00273414">
        <w:rPr>
          <w:szCs w:val="26"/>
        </w:rPr>
        <w:t>then the trial court would have imposed the sentence of life without parole</w:t>
      </w:r>
      <w:r w:rsidRPr="00273414" w:rsidR="00213ED0">
        <w:rPr>
          <w:szCs w:val="26"/>
        </w:rPr>
        <w:t xml:space="preserve"> </w:t>
      </w:r>
      <w:r w:rsidRPr="00273414" w:rsidR="003959EE">
        <w:rPr>
          <w:szCs w:val="26"/>
        </w:rPr>
        <w:t>“</w:t>
      </w:r>
      <w:r w:rsidRPr="00273414" w:rsidR="00E10E4D">
        <w:rPr>
          <w:szCs w:val="26"/>
        </w:rPr>
        <w:t> ‘</w:t>
      </w:r>
      <w:r w:rsidRPr="00273414" w:rsidR="00213ED0">
        <w:rPr>
          <w:szCs w:val="26"/>
        </w:rPr>
        <w:t>in excess of its jurisdiction</w:t>
      </w:r>
      <w:r w:rsidRPr="00273414" w:rsidR="00E10E4D">
        <w:rPr>
          <w:szCs w:val="26"/>
        </w:rPr>
        <w:t>’ ”</w:t>
      </w:r>
      <w:r w:rsidRPr="00273414" w:rsidR="003959EE">
        <w:rPr>
          <w:szCs w:val="26"/>
        </w:rPr>
        <w:t xml:space="preserve"> (</w:t>
      </w:r>
      <w:r w:rsidRPr="00273414" w:rsidR="003959EE">
        <w:rPr>
          <w:i/>
          <w:szCs w:val="26"/>
        </w:rPr>
        <w:t xml:space="preserve">People v. Mutch </w:t>
      </w:r>
      <w:r w:rsidRPr="00273414" w:rsidR="003959EE">
        <w:rPr>
          <w:szCs w:val="26"/>
        </w:rPr>
        <w:t>(1971) 4 Cal.3d 389</w:t>
      </w:r>
      <w:r w:rsidRPr="00273414" w:rsidR="00E10E4D">
        <w:rPr>
          <w:szCs w:val="26"/>
        </w:rPr>
        <w:t>, 396</w:t>
      </w:r>
      <w:r w:rsidRPr="00273414" w:rsidR="002545BA">
        <w:rPr>
          <w:szCs w:val="26"/>
        </w:rPr>
        <w:t xml:space="preserve"> (</w:t>
      </w:r>
      <w:r w:rsidRPr="00273414" w:rsidR="002545BA">
        <w:rPr>
          <w:i/>
          <w:szCs w:val="26"/>
        </w:rPr>
        <w:t>Mutch</w:t>
      </w:r>
      <w:r w:rsidRPr="00273414" w:rsidR="002545BA">
        <w:rPr>
          <w:szCs w:val="26"/>
        </w:rPr>
        <w:t>)</w:t>
      </w:r>
      <w:r w:rsidRPr="00273414" w:rsidR="003959EE">
        <w:rPr>
          <w:szCs w:val="26"/>
        </w:rPr>
        <w:t>),</w:t>
      </w:r>
      <w:r w:rsidRPr="00273414" w:rsidR="00213ED0">
        <w:rPr>
          <w:szCs w:val="26"/>
        </w:rPr>
        <w:t xml:space="preserve"> and Scoggins would be entitled to </w:t>
      </w:r>
      <w:r w:rsidRPr="00273414" w:rsidR="00AB3433">
        <w:rPr>
          <w:szCs w:val="26"/>
        </w:rPr>
        <w:t xml:space="preserve">habeas corpus </w:t>
      </w:r>
      <w:r w:rsidRPr="00273414" w:rsidR="007524DF">
        <w:rPr>
          <w:szCs w:val="26"/>
        </w:rPr>
        <w:t xml:space="preserve">relief.  (See </w:t>
      </w:r>
      <w:r w:rsidRPr="00273414" w:rsidR="007524DF">
        <w:rPr>
          <w:i/>
          <w:szCs w:val="26"/>
        </w:rPr>
        <w:t xml:space="preserve">id. </w:t>
      </w:r>
      <w:r w:rsidRPr="00273414" w:rsidR="007524DF">
        <w:rPr>
          <w:szCs w:val="26"/>
        </w:rPr>
        <w:t xml:space="preserve">at </w:t>
      </w:r>
      <w:r w:rsidRPr="00273414" w:rsidR="005E7424">
        <w:rPr>
          <w:szCs w:val="26"/>
        </w:rPr>
        <w:t xml:space="preserve">pp. 395, </w:t>
      </w:r>
      <w:r w:rsidRPr="00273414" w:rsidR="00E10E4D">
        <w:rPr>
          <w:szCs w:val="26"/>
        </w:rPr>
        <w:t xml:space="preserve">396 [where a defendant has been “convicted under a statute which did not prohibit his acts at the time he committed them,” “finality for purposes of </w:t>
      </w:r>
      <w:r w:rsidRPr="00273414" w:rsidR="00D7213A">
        <w:rPr>
          <w:szCs w:val="26"/>
        </w:rPr>
        <w:t>appeal is no bar to relief, and . . . </w:t>
      </w:r>
      <w:r w:rsidRPr="00273414" w:rsidR="00E10E4D">
        <w:rPr>
          <w:szCs w:val="26"/>
        </w:rPr>
        <w:t>habeas corpus or other appropriate extraordinary remedy will lie to rectify the error”]</w:t>
      </w:r>
      <w:r w:rsidRPr="00273414" w:rsidR="00757D79">
        <w:rPr>
          <w:szCs w:val="26"/>
        </w:rPr>
        <w:t>.)</w:t>
      </w:r>
    </w:p>
    <w:p w:rsidR="00705DDC" w:rsidRPr="00FF4A82" w:rsidP="00FF4A82" w14:paraId="71C9E257" w14:textId="69BA00DD">
      <w:pPr>
        <w:tabs>
          <w:tab w:val="left" w:pos="720"/>
        </w:tabs>
        <w:ind w:firstLine="720"/>
        <w:rPr>
          <w:szCs w:val="26"/>
        </w:rPr>
      </w:pPr>
      <w:r w:rsidRPr="00FF4A82">
        <w:rPr>
          <w:szCs w:val="26"/>
        </w:rPr>
        <w:t xml:space="preserve">The court </w:t>
      </w:r>
      <w:r w:rsidRPr="00FF4A82" w:rsidR="00AC7A7D">
        <w:rPr>
          <w:szCs w:val="26"/>
        </w:rPr>
        <w:t xml:space="preserve">then </w:t>
      </w:r>
      <w:r w:rsidRPr="00FF4A82" w:rsidR="00992888">
        <w:rPr>
          <w:szCs w:val="26"/>
        </w:rPr>
        <w:t xml:space="preserve">analyzed whether Scoggins satisfied the </w:t>
      </w:r>
      <w:r w:rsidRPr="00FF4A82" w:rsidR="00DC3CB4">
        <w:rPr>
          <w:szCs w:val="26"/>
        </w:rPr>
        <w:t>two requirement</w:t>
      </w:r>
      <w:r w:rsidR="00EE5DB6">
        <w:rPr>
          <w:szCs w:val="26"/>
        </w:rPr>
        <w:t>s for the special circumstance:</w:t>
      </w:r>
      <w:r w:rsidRPr="00FF4A82" w:rsidR="00E10E4D">
        <w:rPr>
          <w:szCs w:val="26"/>
        </w:rPr>
        <w:t xml:space="preserve"> </w:t>
      </w:r>
      <w:r w:rsidRPr="00FF4A82" w:rsidR="00DC3CB4">
        <w:rPr>
          <w:szCs w:val="26"/>
        </w:rPr>
        <w:t>major participation in the crime and reckless indifference to human life.</w:t>
      </w:r>
      <w:r w:rsidRPr="00FF4A82" w:rsidR="000903BA">
        <w:rPr>
          <w:szCs w:val="26"/>
        </w:rPr>
        <w:t xml:space="preserve">  (</w:t>
      </w:r>
      <w:r w:rsidRPr="00FF4A82" w:rsidR="000903BA">
        <w:rPr>
          <w:i/>
          <w:szCs w:val="26"/>
        </w:rPr>
        <w:t>Banks</w:t>
      </w:r>
      <w:r w:rsidRPr="00FF4A82" w:rsidR="000903BA">
        <w:rPr>
          <w:szCs w:val="26"/>
        </w:rPr>
        <w:t xml:space="preserve">, </w:t>
      </w:r>
      <w:r w:rsidRPr="00FF4A82" w:rsidR="000903BA">
        <w:rPr>
          <w:i/>
          <w:szCs w:val="26"/>
        </w:rPr>
        <w:t>supra</w:t>
      </w:r>
      <w:r w:rsidRPr="00FF4A82" w:rsidR="000903BA">
        <w:rPr>
          <w:szCs w:val="26"/>
        </w:rPr>
        <w:t xml:space="preserve">, 61 Cal.4th at p. 798.)  </w:t>
      </w:r>
      <w:r w:rsidRPr="00FF4A82" w:rsidR="004E7228">
        <w:rPr>
          <w:szCs w:val="26"/>
        </w:rPr>
        <w:t xml:space="preserve">The </w:t>
      </w:r>
      <w:r w:rsidRPr="00FF4A82" w:rsidR="00207DBB">
        <w:rPr>
          <w:szCs w:val="26"/>
        </w:rPr>
        <w:t xml:space="preserve">court concluded </w:t>
      </w:r>
      <w:r w:rsidRPr="00FF4A82" w:rsidR="004E7228">
        <w:rPr>
          <w:szCs w:val="26"/>
        </w:rPr>
        <w:t xml:space="preserve">that </w:t>
      </w:r>
      <w:r w:rsidRPr="00FF4A82" w:rsidR="0042509E">
        <w:rPr>
          <w:szCs w:val="26"/>
        </w:rPr>
        <w:t xml:space="preserve">Scoggins was a </w:t>
      </w:r>
      <w:r w:rsidRPr="00FF4A82" w:rsidR="004E7228">
        <w:rPr>
          <w:szCs w:val="26"/>
        </w:rPr>
        <w:t xml:space="preserve">major participant </w:t>
      </w:r>
      <w:r w:rsidRPr="00FF4A82" w:rsidR="00CF4FCA">
        <w:rPr>
          <w:szCs w:val="26"/>
        </w:rPr>
        <w:t xml:space="preserve">in the attempted robbery </w:t>
      </w:r>
      <w:r w:rsidRPr="00FF4A82" w:rsidR="009F64B7">
        <w:rPr>
          <w:szCs w:val="26"/>
        </w:rPr>
        <w:t xml:space="preserve">resulting </w:t>
      </w:r>
      <w:r w:rsidRPr="00FF4A82" w:rsidR="00CF4FCA">
        <w:rPr>
          <w:szCs w:val="26"/>
        </w:rPr>
        <w:t xml:space="preserve">in </w:t>
      </w:r>
      <w:r w:rsidRPr="00FF4A82" w:rsidR="00FE36AA">
        <w:rPr>
          <w:szCs w:val="26"/>
        </w:rPr>
        <w:t>Wilson’s death</w:t>
      </w:r>
      <w:r w:rsidRPr="00FF4A82" w:rsidR="00F10147">
        <w:rPr>
          <w:szCs w:val="26"/>
        </w:rPr>
        <w:t xml:space="preserve"> because Scoggins planned the </w:t>
      </w:r>
      <w:r w:rsidRPr="00FF4A82" w:rsidR="00FF49FC">
        <w:rPr>
          <w:szCs w:val="26"/>
        </w:rPr>
        <w:t>robbery</w:t>
      </w:r>
      <w:r w:rsidRPr="00FF4A82" w:rsidR="00FE36AA">
        <w:rPr>
          <w:szCs w:val="26"/>
        </w:rPr>
        <w:t>.</w:t>
      </w:r>
      <w:r w:rsidRPr="00FF4A82" w:rsidR="00F97BBB">
        <w:rPr>
          <w:szCs w:val="26"/>
        </w:rPr>
        <w:t xml:space="preserve"> </w:t>
      </w:r>
      <w:r w:rsidRPr="00FF4A82" w:rsidR="005D510A">
        <w:rPr>
          <w:szCs w:val="26"/>
        </w:rPr>
        <w:t xml:space="preserve"> The </w:t>
      </w:r>
      <w:r w:rsidRPr="00FF4A82" w:rsidR="009F64B7">
        <w:rPr>
          <w:szCs w:val="26"/>
        </w:rPr>
        <w:t>court</w:t>
      </w:r>
      <w:r w:rsidRPr="00FF4A82" w:rsidR="005D510A">
        <w:rPr>
          <w:szCs w:val="26"/>
        </w:rPr>
        <w:t xml:space="preserve"> acknowledged that </w:t>
      </w:r>
      <w:r w:rsidRPr="00FF4A82" w:rsidR="008F041C">
        <w:rPr>
          <w:szCs w:val="26"/>
        </w:rPr>
        <w:t xml:space="preserve">whether </w:t>
      </w:r>
      <w:r w:rsidRPr="00FF4A82" w:rsidR="002E2E99">
        <w:rPr>
          <w:szCs w:val="26"/>
        </w:rPr>
        <w:t xml:space="preserve">Scoggins </w:t>
      </w:r>
      <w:r w:rsidRPr="00FF4A82" w:rsidR="00645333">
        <w:rPr>
          <w:szCs w:val="26"/>
        </w:rPr>
        <w:t xml:space="preserve">acted with </w:t>
      </w:r>
      <w:r w:rsidRPr="003A7F86" w:rsidR="00645333">
        <w:rPr>
          <w:szCs w:val="26"/>
        </w:rPr>
        <w:t xml:space="preserve">reckless indifference to human life </w:t>
      </w:r>
      <w:r w:rsidRPr="003A7F86" w:rsidR="00456BEF">
        <w:rPr>
          <w:szCs w:val="26"/>
        </w:rPr>
        <w:t>wa</w:t>
      </w:r>
      <w:r w:rsidRPr="003A7F86" w:rsidR="002E2E99">
        <w:rPr>
          <w:szCs w:val="26"/>
        </w:rPr>
        <w:t>s a “closer call”</w:t>
      </w:r>
      <w:r w:rsidRPr="003A7F86" w:rsidR="00645333">
        <w:rPr>
          <w:szCs w:val="26"/>
        </w:rPr>
        <w:t xml:space="preserve"> but ultimately concluded that </w:t>
      </w:r>
      <w:r w:rsidRPr="003A7F86" w:rsidR="00263C91">
        <w:rPr>
          <w:szCs w:val="26"/>
        </w:rPr>
        <w:t xml:space="preserve">the </w:t>
      </w:r>
      <w:r w:rsidRPr="003A7F86" w:rsidR="003A7F86">
        <w:rPr>
          <w:szCs w:val="26"/>
        </w:rPr>
        <w:t>record</w:t>
      </w:r>
      <w:r w:rsidRPr="003A7F86" w:rsidR="00263C91">
        <w:rPr>
          <w:szCs w:val="26"/>
        </w:rPr>
        <w:t xml:space="preserve"> support</w:t>
      </w:r>
      <w:r w:rsidRPr="003A7F86" w:rsidR="003A7F86">
        <w:rPr>
          <w:szCs w:val="26"/>
        </w:rPr>
        <w:t>ed</w:t>
      </w:r>
      <w:r w:rsidRPr="003A7F86" w:rsidR="00263C91">
        <w:rPr>
          <w:szCs w:val="26"/>
        </w:rPr>
        <w:t xml:space="preserve"> such a finding. </w:t>
      </w:r>
      <w:r w:rsidRPr="003A7F86" w:rsidR="00CB1A6C">
        <w:rPr>
          <w:szCs w:val="26"/>
        </w:rPr>
        <w:t xml:space="preserve"> </w:t>
      </w:r>
      <w:r w:rsidRPr="003A7F86" w:rsidR="00904865">
        <w:rPr>
          <w:szCs w:val="26"/>
        </w:rPr>
        <w:t>In the court’s view, the evidence showed that Scoggins knew about Powell’s propensity for violence and that Scoggins did not take steps to mi</w:t>
      </w:r>
      <w:r w:rsidRPr="00FF4A82" w:rsidR="00904865">
        <w:rPr>
          <w:szCs w:val="26"/>
        </w:rPr>
        <w:t xml:space="preserve">nimize risk of violence during the robbery.  </w:t>
      </w:r>
      <w:r w:rsidRPr="00FF4A82" w:rsidR="009C63ED">
        <w:rPr>
          <w:szCs w:val="26"/>
        </w:rPr>
        <w:t>J</w:t>
      </w:r>
      <w:r w:rsidRPr="00FF4A82" w:rsidR="008E36AB">
        <w:rPr>
          <w:szCs w:val="26"/>
        </w:rPr>
        <w:t>ustice Renner</w:t>
      </w:r>
      <w:r w:rsidRPr="00FF4A82" w:rsidR="00374CD9">
        <w:rPr>
          <w:szCs w:val="26"/>
        </w:rPr>
        <w:t>, in</w:t>
      </w:r>
      <w:r w:rsidRPr="00FF4A82" w:rsidR="008E36AB">
        <w:rPr>
          <w:szCs w:val="26"/>
        </w:rPr>
        <w:t xml:space="preserve"> a concurring and dissenting opinion</w:t>
      </w:r>
      <w:r w:rsidRPr="00FF4A82" w:rsidR="00374CD9">
        <w:rPr>
          <w:szCs w:val="26"/>
        </w:rPr>
        <w:t>,</w:t>
      </w:r>
      <w:r w:rsidRPr="00FF4A82" w:rsidR="008E36AB">
        <w:rPr>
          <w:szCs w:val="26"/>
        </w:rPr>
        <w:t xml:space="preserve"> agreed that Scoggins was a major participant but concluded that </w:t>
      </w:r>
      <w:r w:rsidRPr="00FF4A82" w:rsidR="005F29FE">
        <w:rPr>
          <w:szCs w:val="26"/>
        </w:rPr>
        <w:t xml:space="preserve">the evidence </w:t>
      </w:r>
      <w:r w:rsidR="003A7F86">
        <w:rPr>
          <w:szCs w:val="26"/>
        </w:rPr>
        <w:t>did not</w:t>
      </w:r>
      <w:r w:rsidRPr="00FF4A82" w:rsidR="00007F03">
        <w:rPr>
          <w:szCs w:val="26"/>
        </w:rPr>
        <w:t xml:space="preserve"> </w:t>
      </w:r>
      <w:r w:rsidRPr="00FF4A82" w:rsidR="00597C5B">
        <w:rPr>
          <w:szCs w:val="26"/>
        </w:rPr>
        <w:t>show that Scoggins exhibited reckless indifference to human life</w:t>
      </w:r>
      <w:r w:rsidRPr="00FF4A82" w:rsidR="00374CD9">
        <w:rPr>
          <w:szCs w:val="26"/>
        </w:rPr>
        <w:t xml:space="preserve">. </w:t>
      </w:r>
      <w:r w:rsidRPr="00FF4A82" w:rsidR="00597C5B">
        <w:rPr>
          <w:szCs w:val="26"/>
        </w:rPr>
        <w:t xml:space="preserve"> </w:t>
      </w:r>
    </w:p>
    <w:p w:rsidR="00374CD9" w:rsidRPr="00FF4A82" w:rsidP="00FF4A82" w14:paraId="0866F658" w14:textId="5407E455">
      <w:pPr>
        <w:tabs>
          <w:tab w:val="left" w:pos="720"/>
        </w:tabs>
        <w:ind w:firstLine="720"/>
      </w:pPr>
      <w:r w:rsidRPr="00FF4A82">
        <w:t>We granted review.</w:t>
      </w:r>
    </w:p>
    <w:p w:rsidR="00F860E1" w:rsidP="00744510" w14:paraId="130BFA3E" w14:textId="71A8C489">
      <w:pPr>
        <w:keepNext/>
        <w:tabs>
          <w:tab w:val="left" w:pos="720"/>
        </w:tabs>
        <w:jc w:val="center"/>
        <w:rPr>
          <w:b/>
        </w:rPr>
      </w:pPr>
      <w:r w:rsidRPr="00FF4A82">
        <w:rPr>
          <w:b/>
        </w:rPr>
        <w:t>II.</w:t>
      </w:r>
    </w:p>
    <w:p w:rsidR="00194A45" w:rsidP="00F93E83" w14:paraId="5522C12E" w14:textId="0CC00802">
      <w:pPr>
        <w:keepNext/>
        <w:tabs>
          <w:tab w:val="left" w:pos="720"/>
        </w:tabs>
      </w:pPr>
      <w:r>
        <w:rPr>
          <w:b/>
        </w:rPr>
        <w:tab/>
      </w:r>
      <w:r>
        <w:t xml:space="preserve">At the outset, we </w:t>
      </w:r>
      <w:r w:rsidR="004D42EC">
        <w:t>consider whether Scoggins’s claim</w:t>
      </w:r>
      <w:r w:rsidR="002464BF">
        <w:t xml:space="preserve"> is procedurally barred.  </w:t>
      </w:r>
      <w:r w:rsidR="001922E6">
        <w:t>On direct appeal, Scoggins</w:t>
      </w:r>
      <w:r w:rsidR="00EC2B90">
        <w:t xml:space="preserve"> challenged</w:t>
      </w:r>
      <w:r w:rsidR="00D16EE5">
        <w:t>, as he does here,</w:t>
      </w:r>
      <w:r w:rsidR="00EC2B90">
        <w:t xml:space="preserve"> the sufficiency of </w:t>
      </w:r>
      <w:r w:rsidR="00BE6402">
        <w:t xml:space="preserve">the </w:t>
      </w:r>
      <w:r w:rsidR="00EC2B90">
        <w:t>evidence supporting the special circumstance finding.</w:t>
      </w:r>
      <w:r w:rsidR="00066D3C">
        <w:t xml:space="preserve">  Generally</w:t>
      </w:r>
      <w:r w:rsidR="007F7B64">
        <w:t>, c</w:t>
      </w:r>
      <w:r w:rsidR="00AA53AF">
        <w:t>laims that have been raised and rejected on direct appeal</w:t>
      </w:r>
      <w:r w:rsidR="00FE2AE4">
        <w:t xml:space="preserve"> cannot be raised </w:t>
      </w:r>
      <w:r w:rsidR="00C17726">
        <w:t xml:space="preserve">again in a habeas </w:t>
      </w:r>
      <w:r w:rsidR="008B6FD7">
        <w:t xml:space="preserve">corpus </w:t>
      </w:r>
      <w:r w:rsidR="00C17726">
        <w:t xml:space="preserve">petition.  </w:t>
      </w:r>
      <w:r w:rsidR="00AC75A1">
        <w:t>(</w:t>
      </w:r>
      <w:r w:rsidR="00AC75A1">
        <w:rPr>
          <w:i/>
        </w:rPr>
        <w:t>In re Waltreus</w:t>
      </w:r>
      <w:r w:rsidR="00AC75A1">
        <w:t xml:space="preserve"> (1965) 62 Cal.2d 218, 225</w:t>
      </w:r>
      <w:r w:rsidR="002441B8">
        <w:t xml:space="preserve"> [“[H]abeas corpus ordinarily cannot serve as a second appeal.”]</w:t>
      </w:r>
      <w:r w:rsidR="00AC75A1">
        <w:t>.)</w:t>
      </w:r>
      <w:r w:rsidR="00257DCC">
        <w:t xml:space="preserve">  In addition, </w:t>
      </w:r>
      <w:r w:rsidR="0088332C">
        <w:t>sufficiency of the evidence claims are generally not cognizable on habeas</w:t>
      </w:r>
      <w:r w:rsidR="008B6FD7">
        <w:t xml:space="preserve"> corpus</w:t>
      </w:r>
      <w:r w:rsidR="0088332C">
        <w:t>.  (</w:t>
      </w:r>
      <w:r w:rsidR="0088332C">
        <w:rPr>
          <w:i/>
        </w:rPr>
        <w:t xml:space="preserve">In re Lindley </w:t>
      </w:r>
      <w:r>
        <w:t>(1947) 29 Cal.2d 709, 723.)</w:t>
      </w:r>
    </w:p>
    <w:p w:rsidR="006149E7" w:rsidP="00F93E83" w14:paraId="67EC8166" w14:textId="61B441E6">
      <w:pPr>
        <w:keepNext/>
        <w:tabs>
          <w:tab w:val="left" w:pos="720"/>
        </w:tabs>
      </w:pPr>
      <w:r>
        <w:tab/>
      </w:r>
      <w:r w:rsidR="0088332C">
        <w:t>But</w:t>
      </w:r>
      <w:r w:rsidR="003F239E">
        <w:t xml:space="preserve">, as the Court of Appeal recognized, </w:t>
      </w:r>
      <w:r w:rsidR="00D91DE4">
        <w:t xml:space="preserve">an exception </w:t>
      </w:r>
      <w:r w:rsidR="008C58D2">
        <w:t>to these procedural bars</w:t>
      </w:r>
      <w:r w:rsidR="0052773B">
        <w:t xml:space="preserve"> </w:t>
      </w:r>
      <w:r w:rsidR="00D265A8">
        <w:t>applies here</w:t>
      </w:r>
      <w:r w:rsidR="00EA5868">
        <w:t xml:space="preserve">.  </w:t>
      </w:r>
      <w:r w:rsidR="00AD5C6B">
        <w:t xml:space="preserve">Where a </w:t>
      </w:r>
      <w:r w:rsidR="00DE383E">
        <w:t xml:space="preserve">decision clarifies the kind </w:t>
      </w:r>
      <w:r w:rsidR="00F92F7F">
        <w:t>of conduct proscribed by a statute</w:t>
      </w:r>
      <w:r w:rsidR="00571FA7">
        <w:t xml:space="preserve">, a defendant </w:t>
      </w:r>
      <w:r w:rsidR="00420EDF">
        <w:t>whose conviction became final before that decision</w:t>
      </w:r>
      <w:r w:rsidR="0066500A">
        <w:t xml:space="preserve"> </w:t>
      </w:r>
      <w:r w:rsidR="00D71844">
        <w:t>“is entitled to post-conviction relief upon a showing that his [or her] conduct was not prohibited by the statute”</w:t>
      </w:r>
      <w:r w:rsidR="00420EDF">
        <w:t xml:space="preserve"> as construed in the decision.  (</w:t>
      </w:r>
      <w:r w:rsidR="00420EDF">
        <w:rPr>
          <w:i/>
        </w:rPr>
        <w:t>Mutch</w:t>
      </w:r>
      <w:r w:rsidR="00420EDF">
        <w:t xml:space="preserve">, </w:t>
      </w:r>
      <w:r w:rsidR="00420EDF">
        <w:rPr>
          <w:i/>
        </w:rPr>
        <w:t>supra</w:t>
      </w:r>
      <w:r w:rsidR="00420EDF">
        <w:t>, 4 Cal.3d at p. </w:t>
      </w:r>
      <w:r w:rsidR="00FB2396">
        <w:t>392.)  “In such circumstances, it is settled that finality for purposes of appeal is no bar to relief, and that habeas corpus or other appropriate extraordinary remedy will lie to rectify the error:  ‘Habeas corpus is available in cases where the court has acted in excess of its jurisdiction.  [Citations.]  For purposes of this writ as well as prohibition or certiorari, the term “jurisdiction” is not limited to its fundamental meaning, and in such proceedings judicial acts may be restrained or annulled if determined to be in excess of the court’s powers as defined by constitutional provision, statute, or rules developed by courts.  [Citations.]  In accordance with these principles a defendant is entitled to habeas corpus if there is no material dispute as to the facts relating to his conviction and if it appears that the statute under which he was convicted did not prohibit his conduct.’ ”  (</w:t>
      </w:r>
      <w:r w:rsidR="00FB2396">
        <w:rPr>
          <w:i/>
        </w:rPr>
        <w:t xml:space="preserve">Id. </w:t>
      </w:r>
      <w:r w:rsidR="00FB2396">
        <w:t>at p. 396.)</w:t>
      </w:r>
    </w:p>
    <w:p w:rsidR="00FC3F9F" w:rsidP="00F93E83" w14:paraId="0C2D69D0" w14:textId="3DFFFC5C">
      <w:pPr>
        <w:keepNext/>
        <w:tabs>
          <w:tab w:val="left" w:pos="720"/>
        </w:tabs>
      </w:pPr>
      <w:r>
        <w:tab/>
      </w:r>
      <w:r w:rsidR="005115DF">
        <w:t>I</w:t>
      </w:r>
      <w:r>
        <w:t xml:space="preserve">n </w:t>
      </w:r>
      <w:r>
        <w:rPr>
          <w:i/>
        </w:rPr>
        <w:t>Mutch</w:t>
      </w:r>
      <w:r w:rsidR="00AD6E61">
        <w:t xml:space="preserve">, </w:t>
      </w:r>
      <w:r w:rsidR="00EC3B66">
        <w:t>the defendant</w:t>
      </w:r>
      <w:r w:rsidR="006D5169">
        <w:t xml:space="preserve">’s conviction </w:t>
      </w:r>
      <w:r w:rsidR="00695BC7">
        <w:t xml:space="preserve">under the aggravated kidnapping </w:t>
      </w:r>
      <w:r w:rsidR="0082396B">
        <w:t xml:space="preserve">statute became final before this court issued a decision </w:t>
      </w:r>
      <w:r w:rsidR="00E16847">
        <w:t xml:space="preserve">clarifying </w:t>
      </w:r>
      <w:r w:rsidR="00433411">
        <w:t xml:space="preserve">the type of conduct prohibited </w:t>
      </w:r>
      <w:r w:rsidR="005338C2">
        <w:t>by that statute.</w:t>
      </w:r>
      <w:r w:rsidR="00224739">
        <w:t xml:space="preserve"> </w:t>
      </w:r>
      <w:r w:rsidR="005338C2">
        <w:t xml:space="preserve"> </w:t>
      </w:r>
      <w:r w:rsidR="00224739">
        <w:t>(</w:t>
      </w:r>
      <w:r w:rsidR="00224739">
        <w:rPr>
          <w:i/>
        </w:rPr>
        <w:t>Mutch</w:t>
      </w:r>
      <w:r w:rsidR="00224739">
        <w:t xml:space="preserve">, </w:t>
      </w:r>
      <w:r w:rsidR="00224739">
        <w:rPr>
          <w:i/>
        </w:rPr>
        <w:t>supra</w:t>
      </w:r>
      <w:r w:rsidR="00224739">
        <w:t xml:space="preserve">, 4 Cal.3d at p. 392.) </w:t>
      </w:r>
      <w:r w:rsidR="000F20A3">
        <w:t xml:space="preserve"> </w:t>
      </w:r>
      <w:r w:rsidR="009F6046">
        <w:t xml:space="preserve">We </w:t>
      </w:r>
      <w:r w:rsidR="00EC14BD">
        <w:t>determined</w:t>
      </w:r>
      <w:r w:rsidR="00D121A1">
        <w:t xml:space="preserve"> that</w:t>
      </w:r>
      <w:r w:rsidR="009A0AF6">
        <w:t xml:space="preserve"> </w:t>
      </w:r>
      <w:r>
        <w:t xml:space="preserve">there was no material dispute as to the facts relating to his conviction and </w:t>
      </w:r>
      <w:r w:rsidR="002441B8">
        <w:t xml:space="preserve">that </w:t>
      </w:r>
      <w:r w:rsidR="004259E7">
        <w:t xml:space="preserve">his conduct </w:t>
      </w:r>
      <w:r w:rsidR="00BC073A">
        <w:t xml:space="preserve">did not constitute </w:t>
      </w:r>
      <w:r w:rsidR="00075F8A">
        <w:t>aggravated kidnapping under</w:t>
      </w:r>
      <w:r w:rsidR="00F4310F">
        <w:t xml:space="preserve"> the proper construction of the </w:t>
      </w:r>
      <w:r w:rsidR="008E7B01">
        <w:t>aggravated kidnapping statute.  (</w:t>
      </w:r>
      <w:r w:rsidR="00327913">
        <w:rPr>
          <w:i/>
        </w:rPr>
        <w:t xml:space="preserve">Id. </w:t>
      </w:r>
      <w:r w:rsidR="00327913">
        <w:t>at pp. 397–399</w:t>
      </w:r>
      <w:r w:rsidR="005115DF">
        <w:t xml:space="preserve">; see </w:t>
      </w:r>
      <w:r w:rsidR="005115DF">
        <w:rPr>
          <w:i/>
        </w:rPr>
        <w:t>id.</w:t>
      </w:r>
      <w:r w:rsidR="005115DF">
        <w:t xml:space="preserve"> at p. 399 [</w:t>
      </w:r>
      <w:r w:rsidR="00A740A9">
        <w:t>“on the undisputed facts defendant was convicted of kidnap[ping] under a statute whi</w:t>
      </w:r>
      <w:r w:rsidR="007068EB">
        <w:t>ch did not prohibit his conduct</w:t>
      </w:r>
      <w:r w:rsidR="00A740A9">
        <w:t xml:space="preserve"> at the time</w:t>
      </w:r>
      <w:r w:rsidR="007068EB">
        <w:t>”</w:t>
      </w:r>
      <w:r w:rsidR="00A740A9">
        <w:t xml:space="preserve"> he</w:t>
      </w:r>
      <w:r w:rsidR="001D379E">
        <w:t xml:space="preserve"> committed the </w:t>
      </w:r>
      <w:r w:rsidR="0058607A">
        <w:t>acts</w:t>
      </w:r>
      <w:r w:rsidR="005115DF">
        <w:t>]</w:t>
      </w:r>
      <w:r w:rsidR="00E060BF">
        <w:t xml:space="preserve">.)  </w:t>
      </w:r>
      <w:r w:rsidR="00CA7ED1">
        <w:t xml:space="preserve">Thus, the defendant was convicted in excess of </w:t>
      </w:r>
      <w:r w:rsidR="00FA27DE">
        <w:t xml:space="preserve">the </w:t>
      </w:r>
      <w:r w:rsidR="007068EB">
        <w:t xml:space="preserve">trial </w:t>
      </w:r>
      <w:r w:rsidR="00FA27DE">
        <w:t>court’</w:t>
      </w:r>
      <w:r w:rsidR="009163F1">
        <w:t xml:space="preserve">s jurisdiction and </w:t>
      </w:r>
      <w:r w:rsidR="00342156">
        <w:t>was entit</w:t>
      </w:r>
      <w:r w:rsidR="00A76E20">
        <w:t>led to post-conviction relief.  (</w:t>
      </w:r>
      <w:r w:rsidR="00A76E20">
        <w:rPr>
          <w:i/>
        </w:rPr>
        <w:t>I</w:t>
      </w:r>
      <w:r w:rsidR="0075489C">
        <w:rPr>
          <w:i/>
        </w:rPr>
        <w:t>d</w:t>
      </w:r>
      <w:r w:rsidR="00A76E20">
        <w:rPr>
          <w:i/>
        </w:rPr>
        <w:t>.</w:t>
      </w:r>
      <w:r w:rsidR="0075489C">
        <w:t xml:space="preserve"> at p. 399.</w:t>
      </w:r>
      <w:r w:rsidR="00A76E20">
        <w:t>)</w:t>
      </w:r>
    </w:p>
    <w:p w:rsidR="00564979" w:rsidP="00564979" w14:paraId="644C731F" w14:textId="14F9864B">
      <w:pPr>
        <w:keepNext/>
        <w:tabs>
          <w:tab w:val="left" w:pos="720"/>
        </w:tabs>
        <w:rPr>
          <w:szCs w:val="26"/>
        </w:rPr>
      </w:pPr>
      <w:r>
        <w:tab/>
      </w:r>
      <w:r w:rsidR="002441B8">
        <w:t>I</w:t>
      </w:r>
      <w:r w:rsidR="00451496">
        <w:t xml:space="preserve">n this case, </w:t>
      </w:r>
      <w:r w:rsidR="009572DA">
        <w:rPr>
          <w:i/>
        </w:rPr>
        <w:t xml:space="preserve">Banks </w:t>
      </w:r>
      <w:r w:rsidR="009572DA">
        <w:t xml:space="preserve">and </w:t>
      </w:r>
      <w:r w:rsidR="009572DA">
        <w:rPr>
          <w:i/>
        </w:rPr>
        <w:t xml:space="preserve">Clark </w:t>
      </w:r>
      <w:r w:rsidR="00905BAD">
        <w:t xml:space="preserve">clarified </w:t>
      </w:r>
      <w:r w:rsidR="000079C1">
        <w:t xml:space="preserve">the meaning of the special circumstances statute after Scoggins’s conviction </w:t>
      </w:r>
      <w:r w:rsidR="00986E33">
        <w:t xml:space="preserve">became final.  There is no material dispute </w:t>
      </w:r>
      <w:r w:rsidR="0017259F">
        <w:t xml:space="preserve">as to the facts relating to </w:t>
      </w:r>
      <w:r w:rsidR="0009107A">
        <w:t xml:space="preserve">Scoggins’s </w:t>
      </w:r>
      <w:r w:rsidR="00605C88">
        <w:t xml:space="preserve">conviction. </w:t>
      </w:r>
      <w:r w:rsidR="007812C1">
        <w:t xml:space="preserve"> </w:t>
      </w:r>
      <w:r w:rsidR="00E97B96">
        <w:rPr>
          <w:szCs w:val="26"/>
        </w:rPr>
        <w:t xml:space="preserve">The question is </w:t>
      </w:r>
      <w:r w:rsidR="00584133">
        <w:rPr>
          <w:szCs w:val="26"/>
        </w:rPr>
        <w:t>whether on this record</w:t>
      </w:r>
      <w:r w:rsidR="00D77522">
        <w:rPr>
          <w:szCs w:val="26"/>
        </w:rPr>
        <w:t xml:space="preserve"> </w:t>
      </w:r>
      <w:r w:rsidR="009108CE">
        <w:rPr>
          <w:szCs w:val="26"/>
        </w:rPr>
        <w:t xml:space="preserve">Scoggins’s </w:t>
      </w:r>
      <w:r w:rsidR="00F27ACE">
        <w:rPr>
          <w:szCs w:val="26"/>
        </w:rPr>
        <w:t>conduct is proscribed by t</w:t>
      </w:r>
      <w:r w:rsidR="008316D8">
        <w:rPr>
          <w:szCs w:val="26"/>
        </w:rPr>
        <w:t>he special circumstances statute</w:t>
      </w:r>
      <w:r w:rsidR="00A37EE4">
        <w:rPr>
          <w:szCs w:val="26"/>
        </w:rPr>
        <w:t xml:space="preserve">, as </w:t>
      </w:r>
      <w:r w:rsidR="00012803">
        <w:rPr>
          <w:szCs w:val="26"/>
        </w:rPr>
        <w:t>construed in</w:t>
      </w:r>
      <w:r w:rsidR="00A37EE4">
        <w:rPr>
          <w:szCs w:val="26"/>
        </w:rPr>
        <w:t xml:space="preserve"> </w:t>
      </w:r>
      <w:r w:rsidR="00A37EE4">
        <w:rPr>
          <w:i/>
          <w:szCs w:val="26"/>
        </w:rPr>
        <w:t xml:space="preserve">Banks </w:t>
      </w:r>
      <w:r w:rsidR="00A37EE4">
        <w:rPr>
          <w:szCs w:val="26"/>
        </w:rPr>
        <w:t xml:space="preserve">and </w:t>
      </w:r>
      <w:r w:rsidR="00A37EE4">
        <w:rPr>
          <w:i/>
          <w:szCs w:val="26"/>
        </w:rPr>
        <w:t>Clark</w:t>
      </w:r>
      <w:r w:rsidR="000461E5">
        <w:rPr>
          <w:szCs w:val="26"/>
        </w:rPr>
        <w:t xml:space="preserve">.  </w:t>
      </w:r>
      <w:r w:rsidR="00D219D5">
        <w:rPr>
          <w:szCs w:val="26"/>
        </w:rPr>
        <w:t xml:space="preserve">If </w:t>
      </w:r>
      <w:r w:rsidR="00770185">
        <w:rPr>
          <w:szCs w:val="26"/>
        </w:rPr>
        <w:t>it is not</w:t>
      </w:r>
      <w:r w:rsidR="0086359F">
        <w:t xml:space="preserve">, then the trial court acted in excess of its jurisdiction when it sentenced Scoggins to life imprisonment without the possibility of parole, and habeas </w:t>
      </w:r>
      <w:r w:rsidR="008B6FD7">
        <w:t xml:space="preserve">corpus </w:t>
      </w:r>
      <w:r w:rsidR="0086359F">
        <w:t>relief would be available.</w:t>
      </w:r>
    </w:p>
    <w:p w:rsidR="007F7610" w:rsidRPr="00564979" w:rsidP="00564979" w14:paraId="6A6884B8" w14:textId="07E55D1A">
      <w:pPr>
        <w:keepNext/>
        <w:tabs>
          <w:tab w:val="left" w:pos="720"/>
        </w:tabs>
        <w:rPr>
          <w:szCs w:val="26"/>
        </w:rPr>
      </w:pPr>
      <w:r>
        <w:rPr>
          <w:szCs w:val="26"/>
        </w:rPr>
        <w:tab/>
      </w:r>
      <w:r w:rsidRPr="00FF4A82" w:rsidR="00433C84">
        <w:t xml:space="preserve">Penal Code </w:t>
      </w:r>
      <w:r w:rsidRPr="00FF4A82" w:rsidR="005D070B">
        <w:t>s</w:t>
      </w:r>
      <w:r w:rsidRPr="00FF4A82" w:rsidR="009E661C">
        <w:t>ection 190.2, subdivision</w:t>
      </w:r>
      <w:r w:rsidRPr="00FF4A82" w:rsidR="00B7593D">
        <w:t xml:space="preserve"> (d)</w:t>
      </w:r>
      <w:r w:rsidRPr="00FF4A82" w:rsidR="00B605CE">
        <w:t>, enacted by initiative in 1990,</w:t>
      </w:r>
      <w:r w:rsidRPr="00FF4A82" w:rsidR="00433C84">
        <w:t xml:space="preserve"> provides that</w:t>
      </w:r>
      <w:r w:rsidRPr="00FF4A82" w:rsidR="00B7593D">
        <w:t xml:space="preserve"> </w:t>
      </w:r>
      <w:r w:rsidRPr="00FF4A82" w:rsidR="005D070B">
        <w:t xml:space="preserve">“every person, not the actual killer, who, with reckless indifference to human life and as a major participant” aids or abets </w:t>
      </w:r>
      <w:r w:rsidRPr="00FF4A82" w:rsidR="00133B7F">
        <w:t xml:space="preserve">an </w:t>
      </w:r>
      <w:r w:rsidRPr="00FF4A82" w:rsidR="00402009">
        <w:t>enumerated felony, including attempted robbery,</w:t>
      </w:r>
      <w:r w:rsidRPr="00FF4A82" w:rsidR="00133B7F">
        <w:t xml:space="preserve"> </w:t>
      </w:r>
      <w:r w:rsidRPr="00FF4A82" w:rsidR="00402009">
        <w:t>that results</w:t>
      </w:r>
      <w:r w:rsidRPr="00FF4A82" w:rsidR="00133B7F">
        <w:t xml:space="preserve"> in death may be convicted of special circumstance murder</w:t>
      </w:r>
      <w:r w:rsidRPr="00FF4A82" w:rsidR="00B14CB5">
        <w:t xml:space="preserve"> and sentenced to death or </w:t>
      </w:r>
      <w:r w:rsidRPr="00FF4A82" w:rsidR="00E73C49">
        <w:t xml:space="preserve">to </w:t>
      </w:r>
      <w:r w:rsidRPr="00FF4A82" w:rsidR="00B14CB5">
        <w:t xml:space="preserve">life imprisonment without the possibility of parole.  </w:t>
      </w:r>
      <w:r w:rsidRPr="00FF4A82" w:rsidR="006A6694">
        <w:t>The statute</w:t>
      </w:r>
      <w:r w:rsidRPr="00FF4A82" w:rsidR="006137D1">
        <w:t>, by its text,</w:t>
      </w:r>
      <w:r w:rsidRPr="00FF4A82" w:rsidR="006A6694">
        <w:t xml:space="preserve"> imposes an actus reus requirement, major participation in the enumerated felony, and a mens rea </w:t>
      </w:r>
      <w:r w:rsidRPr="00FF4A82" w:rsidR="005046A7">
        <w:t>requirement, reckless indifference to human life.</w:t>
      </w:r>
      <w:r w:rsidRPr="00FF4A82" w:rsidR="007E333F">
        <w:t xml:space="preserve">  (</w:t>
      </w:r>
      <w:r w:rsidRPr="00FF4A82" w:rsidR="007E333F">
        <w:rPr>
          <w:i/>
        </w:rPr>
        <w:t>Banks</w:t>
      </w:r>
      <w:r w:rsidRPr="00FF4A82" w:rsidR="007E333F">
        <w:t xml:space="preserve">, </w:t>
      </w:r>
      <w:r w:rsidRPr="00FF4A82" w:rsidR="007E333F">
        <w:rPr>
          <w:i/>
        </w:rPr>
        <w:t>supra</w:t>
      </w:r>
      <w:r w:rsidRPr="00FF4A82" w:rsidR="007E333F">
        <w:t xml:space="preserve">, 61 Cal.4th at p. 798.)  </w:t>
      </w:r>
    </w:p>
    <w:p w:rsidR="002A0FAE" w:rsidRPr="00FF4A82" w:rsidP="00FF4A82" w14:paraId="2B1DFC09" w14:textId="5F5F4589">
      <w:pPr>
        <w:tabs>
          <w:tab w:val="left" w:pos="720"/>
        </w:tabs>
      </w:pPr>
      <w:r w:rsidRPr="00FF4A82">
        <w:tab/>
      </w:r>
      <w:r w:rsidRPr="00FF4A82" w:rsidR="00857EC6">
        <w:t xml:space="preserve">In </w:t>
      </w:r>
      <w:r w:rsidRPr="00FF4A82" w:rsidR="00857EC6">
        <w:rPr>
          <w:i/>
          <w:iCs/>
        </w:rPr>
        <w:t>Banks</w:t>
      </w:r>
      <w:r w:rsidRPr="00FF4A82" w:rsidR="00857EC6">
        <w:t>, we explained that the</w:t>
      </w:r>
      <w:r w:rsidRPr="00FF4A82" w:rsidR="006201D7">
        <w:t xml:space="preserve"> special circumstances</w:t>
      </w:r>
      <w:r w:rsidRPr="00FF4A82" w:rsidR="00971AAE">
        <w:t xml:space="preserve"> statute </w:t>
      </w:r>
      <w:r w:rsidRPr="00FF4A82" w:rsidR="00BB44D2">
        <w:t>incorporated</w:t>
      </w:r>
      <w:r w:rsidRPr="00FF4A82" w:rsidR="00045C47">
        <w:t xml:space="preserve"> the holding of</w:t>
      </w:r>
      <w:r w:rsidRPr="00FF4A82" w:rsidR="00E24FB0">
        <w:t xml:space="preserve"> </w:t>
      </w:r>
      <w:r w:rsidRPr="00FF4A82" w:rsidR="00E24FB0">
        <w:rPr>
          <w:i/>
          <w:iCs/>
        </w:rPr>
        <w:t>Tison v. Arizona</w:t>
      </w:r>
      <w:r w:rsidRPr="00FF4A82" w:rsidR="00E24FB0">
        <w:t xml:space="preserve"> (</w:t>
      </w:r>
      <w:r w:rsidRPr="00FF4A82" w:rsidR="008E36A0">
        <w:t xml:space="preserve">1987) </w:t>
      </w:r>
      <w:r w:rsidRPr="00FF4A82" w:rsidR="00E24FB0">
        <w:t>481 U.S. 137 (</w:t>
      </w:r>
      <w:r w:rsidRPr="00FF4A82" w:rsidR="00E24FB0">
        <w:rPr>
          <w:i/>
          <w:iCs/>
        </w:rPr>
        <w:t>Tison</w:t>
      </w:r>
      <w:r w:rsidRPr="00FF4A82" w:rsidR="00E24FB0">
        <w:t>)</w:t>
      </w:r>
      <w:r w:rsidRPr="00FF4A82" w:rsidR="008E0755">
        <w:rPr>
          <w:i/>
          <w:iCs/>
        </w:rPr>
        <w:t>.</w:t>
      </w:r>
      <w:r w:rsidRPr="00FF4A82" w:rsidR="00E73C49">
        <w:rPr>
          <w:iCs/>
        </w:rPr>
        <w:t xml:space="preserve">  (</w:t>
      </w:r>
      <w:r w:rsidRPr="00FF4A82" w:rsidR="00E73C49">
        <w:rPr>
          <w:i/>
          <w:iCs/>
        </w:rPr>
        <w:t>Banks</w:t>
      </w:r>
      <w:r w:rsidRPr="00FF4A82" w:rsidR="00E73C49">
        <w:t xml:space="preserve">, </w:t>
      </w:r>
      <w:r w:rsidRPr="00FF4A82" w:rsidR="00E73C49">
        <w:rPr>
          <w:i/>
          <w:iCs/>
        </w:rPr>
        <w:t>supra</w:t>
      </w:r>
      <w:r w:rsidRPr="00FF4A82" w:rsidR="00E73C49">
        <w:t>, 61</w:t>
      </w:r>
      <w:r w:rsidRPr="00FF4A82" w:rsidR="00CE419A">
        <w:t> </w:t>
      </w:r>
      <w:r w:rsidRPr="00FF4A82" w:rsidR="00E73C49">
        <w:t>Cal.4th at p. 798.)</w:t>
      </w:r>
      <w:r w:rsidRPr="00FF4A82" w:rsidR="008E0755">
        <w:t xml:space="preserve"> </w:t>
      </w:r>
      <w:r w:rsidRPr="00FF4A82" w:rsidR="00631277">
        <w:t xml:space="preserve"> </w:t>
      </w:r>
      <w:r w:rsidRPr="00FF4A82" w:rsidR="002C3DDC">
        <w:t xml:space="preserve">In </w:t>
      </w:r>
      <w:r w:rsidRPr="00FF4A82" w:rsidR="00E73C49">
        <w:rPr>
          <w:i/>
        </w:rPr>
        <w:t>Tison</w:t>
      </w:r>
      <w:r w:rsidRPr="00FF4A82" w:rsidR="002C3DDC">
        <w:t xml:space="preserve">, the </w:t>
      </w:r>
      <w:r w:rsidRPr="00FF4A82" w:rsidR="00E1760F">
        <w:t xml:space="preserve">high court </w:t>
      </w:r>
      <w:r w:rsidRPr="00FF4A82" w:rsidR="002C3DDC">
        <w:t>addressed the level of culpability</w:t>
      </w:r>
      <w:r w:rsidRPr="00FF4A82" w:rsidR="00492020">
        <w:t xml:space="preserve"> required to </w:t>
      </w:r>
      <w:r w:rsidRPr="00FF4A82" w:rsidR="00AC2A18">
        <w:t>impose the death penalty on an accomplice to felony murde</w:t>
      </w:r>
      <w:r w:rsidRPr="00FF4A82" w:rsidR="008B0A0F">
        <w:t xml:space="preserve">r. </w:t>
      </w:r>
      <w:r w:rsidRPr="00FF4A82" w:rsidR="00631277">
        <w:t xml:space="preserve"> (</w:t>
      </w:r>
      <w:r w:rsidRPr="00FF4A82" w:rsidR="00A72B47">
        <w:rPr>
          <w:i/>
          <w:iCs/>
        </w:rPr>
        <w:t>Tison</w:t>
      </w:r>
      <w:r w:rsidRPr="00FF4A82" w:rsidR="00A72B47">
        <w:rPr>
          <w:iCs/>
        </w:rPr>
        <w:t>,</w:t>
      </w:r>
      <w:r w:rsidRPr="00FF4A82" w:rsidR="007A612A">
        <w:t xml:space="preserve"> at </w:t>
      </w:r>
      <w:r w:rsidRPr="00FF4A82" w:rsidR="009A5F66">
        <w:t>pp. </w:t>
      </w:r>
      <w:r w:rsidRPr="00FF4A82" w:rsidR="00275DD0">
        <w:t>145–146</w:t>
      </w:r>
      <w:r w:rsidRPr="00FF4A82" w:rsidR="008B0A0F">
        <w:t xml:space="preserve">.)  </w:t>
      </w:r>
      <w:r w:rsidRPr="00FF4A82" w:rsidR="00CF4BB5">
        <w:t>It</w:t>
      </w:r>
      <w:r w:rsidRPr="00FF4A82" w:rsidR="008B0A0F">
        <w:t xml:space="preserve"> </w:t>
      </w:r>
      <w:r w:rsidRPr="00FF4A82" w:rsidR="001436F4">
        <w:t xml:space="preserve">held that </w:t>
      </w:r>
      <w:r w:rsidRPr="00FF4A82" w:rsidR="00BF2394">
        <w:t>“major participation in the felony committed, combined with reckless indifference to human life</w:t>
      </w:r>
      <w:r w:rsidRPr="00FF4A82" w:rsidR="00702543">
        <w:t>,</w:t>
      </w:r>
      <w:r w:rsidRPr="00FF4A82" w:rsidR="00A952E9">
        <w:t xml:space="preserve">” is sufficient to </w:t>
      </w:r>
      <w:r w:rsidRPr="00FF4A82" w:rsidR="002D758F">
        <w:t>justify the death penalty.  (</w:t>
      </w:r>
      <w:r w:rsidRPr="00FF4A82" w:rsidR="00CD0910">
        <w:rPr>
          <w:i/>
          <w:iCs/>
        </w:rPr>
        <w:t>Id.</w:t>
      </w:r>
      <w:r w:rsidRPr="00FF4A82" w:rsidR="002D758F">
        <w:t xml:space="preserve"> at p. </w:t>
      </w:r>
      <w:r w:rsidRPr="00FF4A82" w:rsidR="006201D7">
        <w:t>158</w:t>
      </w:r>
      <w:r w:rsidRPr="00FF4A82" w:rsidR="007D7BBD">
        <w:t>.)</w:t>
      </w:r>
    </w:p>
    <w:p w:rsidR="001D70CC" w:rsidRPr="00FF4A82" w:rsidP="00FF4A82" w14:paraId="2D421693" w14:textId="723D0A33">
      <w:pPr>
        <w:tabs>
          <w:tab w:val="left" w:pos="720"/>
        </w:tabs>
      </w:pPr>
      <w:r w:rsidRPr="00FF4A82">
        <w:tab/>
      </w:r>
      <w:r w:rsidRPr="00FF4A82" w:rsidR="00753E0C">
        <w:t>Because the language of the special circumstances statute is</w:t>
      </w:r>
      <w:r w:rsidRPr="00FF4A82" w:rsidR="002C4EC0">
        <w:t xml:space="preserve"> directly</w:t>
      </w:r>
      <w:r w:rsidRPr="00FF4A82" w:rsidR="00753E0C">
        <w:t xml:space="preserve"> borrowed from that holding,</w:t>
      </w:r>
      <w:r w:rsidRPr="00FF4A82" w:rsidR="002938B8">
        <w:t xml:space="preserve"> </w:t>
      </w:r>
      <w:r w:rsidRPr="00FF4A82" w:rsidR="000E577B">
        <w:t xml:space="preserve">it is instructive to consider </w:t>
      </w:r>
      <w:r w:rsidRPr="00FF4A82" w:rsidR="00E16791">
        <w:t xml:space="preserve">the high court’s analysis in </w:t>
      </w:r>
      <w:r w:rsidRPr="00FF4A82" w:rsidR="00A63078">
        <w:rPr>
          <w:i/>
          <w:iCs/>
        </w:rPr>
        <w:t xml:space="preserve">Tison </w:t>
      </w:r>
      <w:r w:rsidRPr="00FF4A82" w:rsidR="00A63078">
        <w:t xml:space="preserve">and </w:t>
      </w:r>
      <w:r w:rsidRPr="00FF4A82" w:rsidR="009E7839">
        <w:t>a</w:t>
      </w:r>
      <w:r w:rsidRPr="00FF4A82" w:rsidR="00A63078">
        <w:t xml:space="preserve"> related decision</w:t>
      </w:r>
      <w:r w:rsidRPr="00FF4A82" w:rsidR="009E7839">
        <w:t>,</w:t>
      </w:r>
      <w:r w:rsidRPr="00FF4A82" w:rsidR="00A63078">
        <w:t xml:space="preserve"> </w:t>
      </w:r>
      <w:r w:rsidRPr="00FF4A82" w:rsidR="4F000CFB">
        <w:rPr>
          <w:i/>
          <w:iCs/>
        </w:rPr>
        <w:t xml:space="preserve">Enmund v. Florida </w:t>
      </w:r>
      <w:r w:rsidR="00270E48">
        <w:t>(1982) 458 U.S. 782</w:t>
      </w:r>
      <w:r w:rsidR="0021799D">
        <w:t xml:space="preserve"> (</w:t>
      </w:r>
      <w:r w:rsidR="0021799D">
        <w:rPr>
          <w:i/>
        </w:rPr>
        <w:t>Enmund</w:t>
      </w:r>
      <w:r w:rsidR="0021799D">
        <w:t>)</w:t>
      </w:r>
      <w:r w:rsidRPr="00FF4A82" w:rsidR="4F000CFB">
        <w:rPr>
          <w:i/>
          <w:iCs/>
        </w:rPr>
        <w:t xml:space="preserve">.  </w:t>
      </w:r>
      <w:r w:rsidRPr="00FF4A82" w:rsidR="4F000CFB">
        <w:t xml:space="preserve">In </w:t>
      </w:r>
      <w:r w:rsidRPr="00FF4A82" w:rsidR="4F000CFB">
        <w:rPr>
          <w:i/>
          <w:iCs/>
        </w:rPr>
        <w:t>Enmund</w:t>
      </w:r>
      <w:r w:rsidRPr="00FF4A82" w:rsidR="4F000CFB">
        <w:t>, the high court ruled that it is unconstitutional to impose the death penalty on a getaway driver for an armed robbery that results in death.  (</w:t>
      </w:r>
      <w:r w:rsidRPr="00FF4A82" w:rsidR="00606120">
        <w:rPr>
          <w:i/>
          <w:iCs/>
        </w:rPr>
        <w:t>Id.</w:t>
      </w:r>
      <w:r w:rsidRPr="00FF4A82" w:rsidR="4F000CFB">
        <w:t xml:space="preserve"> at p. 788.)  The court noted that Enmund was a minor participant in the crime and did not intend to kill or have any other culpable mental state.  (</w:t>
      </w:r>
      <w:r w:rsidRPr="00FF4A82" w:rsidR="4F000CFB">
        <w:rPr>
          <w:i/>
          <w:iCs/>
        </w:rPr>
        <w:t xml:space="preserve">Id. </w:t>
      </w:r>
      <w:r w:rsidRPr="00FF4A82" w:rsidR="4F000CFB">
        <w:t>at pp. 791, 801; accord</w:t>
      </w:r>
      <w:r w:rsidRPr="00FF4A82" w:rsidR="00E73C49">
        <w:t>,</w:t>
      </w:r>
      <w:r w:rsidRPr="00FF4A82" w:rsidR="4F000CFB">
        <w:rPr>
          <w:i/>
          <w:iCs/>
        </w:rPr>
        <w:t xml:space="preserve"> Tison</w:t>
      </w:r>
      <w:r w:rsidRPr="00FF4A82" w:rsidR="4F000CFB">
        <w:t xml:space="preserve">, </w:t>
      </w:r>
      <w:r w:rsidRPr="00FF4A82" w:rsidR="4F000CFB">
        <w:rPr>
          <w:i/>
          <w:iCs/>
        </w:rPr>
        <w:t>supra</w:t>
      </w:r>
      <w:r w:rsidRPr="00FF4A82" w:rsidR="4F000CFB">
        <w:t>, 481 U.S. at p. 149.)</w:t>
      </w:r>
    </w:p>
    <w:p w:rsidR="001D70CC" w:rsidRPr="00FF4A82" w:rsidP="00FF4A82" w14:paraId="23AFBD7E" w14:textId="6F1726EE">
      <w:pPr>
        <w:tabs>
          <w:tab w:val="left" w:pos="720"/>
        </w:tabs>
        <w:ind w:firstLine="720"/>
        <w:rPr>
          <w:color w:val="FF0000"/>
        </w:rPr>
      </w:pPr>
      <w:r w:rsidRPr="00FF4A82">
        <w:t xml:space="preserve">By </w:t>
      </w:r>
      <w:r w:rsidRPr="00FF4A82" w:rsidR="4F000CFB">
        <w:t xml:space="preserve">contrast, the court </w:t>
      </w:r>
      <w:r w:rsidRPr="00FF4A82">
        <w:t>upheld</w:t>
      </w:r>
      <w:r w:rsidRPr="00FF4A82" w:rsidR="4F000CFB">
        <w:t xml:space="preserve"> the death </w:t>
      </w:r>
      <w:r w:rsidRPr="00FF4A82">
        <w:t xml:space="preserve">sentences imposed </w:t>
      </w:r>
      <w:r w:rsidRPr="00FF4A82" w:rsidR="4F000CFB">
        <w:t xml:space="preserve">on the defendants in </w:t>
      </w:r>
      <w:r w:rsidRPr="00FF4A82" w:rsidR="4F000CFB">
        <w:rPr>
          <w:i/>
          <w:iCs/>
        </w:rPr>
        <w:t>Tison</w:t>
      </w:r>
      <w:r w:rsidRPr="00FF4A82" w:rsidR="4F000CFB">
        <w:t>, who were major participants in the felonies resulting in death and acted with reckless indifference to human life.  (</w:t>
      </w:r>
      <w:r w:rsidRPr="00FF4A82" w:rsidR="4F000CFB">
        <w:rPr>
          <w:i/>
          <w:iCs/>
        </w:rPr>
        <w:t>Tison</w:t>
      </w:r>
      <w:r w:rsidRPr="00FF4A82" w:rsidR="4F000CFB">
        <w:t xml:space="preserve">, </w:t>
      </w:r>
      <w:r w:rsidRPr="00FF4A82" w:rsidR="4F000CFB">
        <w:rPr>
          <w:i/>
          <w:iCs/>
        </w:rPr>
        <w:t>supra</w:t>
      </w:r>
      <w:r w:rsidRPr="00FF4A82" w:rsidR="4F000CFB">
        <w:t>, 481 U.S. at p. 158.)  The defendants in that case were brothers who helped their father and his cellmate, both convicted murderers, escape from prison.  (</w:t>
      </w:r>
      <w:r w:rsidRPr="00FF4A82" w:rsidR="4F000CFB">
        <w:rPr>
          <w:i/>
          <w:iCs/>
        </w:rPr>
        <w:t>Id.</w:t>
      </w:r>
      <w:r w:rsidRPr="00FF4A82" w:rsidR="4F000CFB">
        <w:t xml:space="preserve"> at p. 139.)  The brothers armed the two prisoners, locked up the prison guards, and helped the prisoners escape.  (</w:t>
      </w:r>
      <w:r w:rsidRPr="00FF4A82" w:rsidR="4F000CFB">
        <w:rPr>
          <w:i/>
          <w:iCs/>
        </w:rPr>
        <w:t>Ibid.</w:t>
      </w:r>
      <w:r w:rsidRPr="00FF4A82" w:rsidR="4F000CFB">
        <w:t>)  A few days</w:t>
      </w:r>
      <w:r w:rsidRPr="00FF4A82" w:rsidR="00426A99">
        <w:t xml:space="preserve"> later</w:t>
      </w:r>
      <w:r w:rsidRPr="00FF4A82" w:rsidR="4F000CFB">
        <w:t>, the group got a flat tire and flagged down a passing car for help.  (</w:t>
      </w:r>
      <w:r w:rsidRPr="00FF4A82" w:rsidR="4F000CFB">
        <w:rPr>
          <w:i/>
          <w:iCs/>
        </w:rPr>
        <w:t xml:space="preserve">Id. </w:t>
      </w:r>
      <w:r w:rsidRPr="00FF4A82" w:rsidR="4F000CFB">
        <w:t xml:space="preserve">at pp. 139–140.)  </w:t>
      </w:r>
      <w:r w:rsidRPr="00FF4A82" w:rsidR="00230753">
        <w:t>T</w:t>
      </w:r>
      <w:r w:rsidRPr="00FF4A82" w:rsidR="4F000CFB">
        <w:t>hey kidnapped the family that was in the car and robbed them.  (</w:t>
      </w:r>
      <w:r w:rsidRPr="00FF4A82" w:rsidR="4F000CFB">
        <w:rPr>
          <w:i/>
          <w:iCs/>
        </w:rPr>
        <w:t xml:space="preserve">Id. </w:t>
      </w:r>
      <w:r w:rsidRPr="00FF4A82" w:rsidR="4F000CFB">
        <w:t>at p. 140.)  The two brothers then guarded the family while their father considered what to do next.  (</w:t>
      </w:r>
      <w:r w:rsidRPr="00FF4A82" w:rsidR="4F000CFB">
        <w:rPr>
          <w:i/>
          <w:iCs/>
        </w:rPr>
        <w:t>Ibid.</w:t>
      </w:r>
      <w:r w:rsidRPr="00FF4A82" w:rsidR="4F000CFB">
        <w:t>)  Eventually, the father shot all of the family members, and the group of perpetrators left the victims to die without rendering aid.  (</w:t>
      </w:r>
      <w:r w:rsidRPr="00FF4A82" w:rsidR="4F000CFB">
        <w:rPr>
          <w:i/>
          <w:iCs/>
        </w:rPr>
        <w:t xml:space="preserve">Id. </w:t>
      </w:r>
      <w:r w:rsidRPr="00FF4A82" w:rsidR="4F000CFB">
        <w:t>at p. 141.)</w:t>
      </w:r>
    </w:p>
    <w:p w:rsidR="00093A4A" w:rsidRPr="00FF4A82" w:rsidP="00FF4A82" w14:paraId="5F60A3AA" w14:textId="3AEFC132">
      <w:pPr>
        <w:tabs>
          <w:tab w:val="left" w:pos="720"/>
        </w:tabs>
      </w:pPr>
      <w:r w:rsidRPr="00FF4A82">
        <w:tab/>
        <w:t xml:space="preserve">In </w:t>
      </w:r>
      <w:r w:rsidRPr="00FF4A82">
        <w:rPr>
          <w:i/>
          <w:iCs/>
        </w:rPr>
        <w:t>Banks</w:t>
      </w:r>
      <w:r w:rsidRPr="00FF4A82">
        <w:t xml:space="preserve">, </w:t>
      </w:r>
      <w:r w:rsidRPr="00FF4A82" w:rsidR="00BA1AF6">
        <w:t xml:space="preserve">we applied the high court’s analysis in </w:t>
      </w:r>
      <w:r w:rsidRPr="00FF4A82" w:rsidR="00BA1AF6">
        <w:rPr>
          <w:i/>
          <w:iCs/>
        </w:rPr>
        <w:t xml:space="preserve">Tison </w:t>
      </w:r>
      <w:r w:rsidRPr="00FF4A82" w:rsidR="00BA1AF6">
        <w:t xml:space="preserve">and </w:t>
      </w:r>
      <w:r w:rsidRPr="00FF4A82" w:rsidR="00BA1AF6">
        <w:rPr>
          <w:i/>
          <w:iCs/>
        </w:rPr>
        <w:t>Enmund</w:t>
      </w:r>
      <w:r w:rsidRPr="00FF4A82" w:rsidR="00BA1AF6">
        <w:t xml:space="preserve"> </w:t>
      </w:r>
      <w:r w:rsidRPr="00FF4A82" w:rsidR="002B28AB">
        <w:t xml:space="preserve">and concluded that </w:t>
      </w:r>
      <w:r w:rsidRPr="00FF4A82" w:rsidR="002D1467">
        <w:t xml:space="preserve">the evidence was insufficient to </w:t>
      </w:r>
      <w:r w:rsidRPr="00FF4A82" w:rsidR="00F064B7">
        <w:t xml:space="preserve">support </w:t>
      </w:r>
      <w:r w:rsidR="00270E48">
        <w:t>a robbery-murder special-</w:t>
      </w:r>
      <w:r w:rsidRPr="00FF4A82" w:rsidR="00623A07">
        <w:t xml:space="preserve">circumstance finding under section 190.2.  </w:t>
      </w:r>
      <w:r w:rsidRPr="00FF4A82" w:rsidR="000B1138">
        <w:t>(</w:t>
      </w:r>
      <w:r w:rsidRPr="00FF4A82" w:rsidR="000B1138">
        <w:rPr>
          <w:i/>
        </w:rPr>
        <w:t>Banks</w:t>
      </w:r>
      <w:r w:rsidRPr="00FF4A82" w:rsidR="000B1138">
        <w:t xml:space="preserve">, </w:t>
      </w:r>
      <w:r w:rsidRPr="00FF4A82" w:rsidR="000B1138">
        <w:rPr>
          <w:i/>
        </w:rPr>
        <w:t>supra</w:t>
      </w:r>
      <w:r w:rsidRPr="00FF4A82" w:rsidR="000B1138">
        <w:t>, 61 Cal.4th at p. </w:t>
      </w:r>
      <w:r w:rsidRPr="00FF4A82" w:rsidR="006B0A21">
        <w:t>794</w:t>
      </w:r>
      <w:r w:rsidRPr="00FF4A82" w:rsidR="000B1138">
        <w:t xml:space="preserve">.)  </w:t>
      </w:r>
      <w:r w:rsidRPr="00FF4A82" w:rsidR="00EE4B7C">
        <w:t>We explained that</w:t>
      </w:r>
      <w:r w:rsidRPr="00FF4A82" w:rsidR="4F000CFB">
        <w:t xml:space="preserve"> when analyzing a defendant’s culpability under the special circumstances statute, it is important to consider where the defendant’s conduct falls on the “spectrum of culpability” that </w:t>
      </w:r>
      <w:r w:rsidRPr="00FF4A82" w:rsidR="4F000CFB">
        <w:rPr>
          <w:i/>
          <w:iCs/>
        </w:rPr>
        <w:t xml:space="preserve">Enmund </w:t>
      </w:r>
      <w:r w:rsidRPr="00FF4A82" w:rsidR="4F000CFB">
        <w:t xml:space="preserve">and </w:t>
      </w:r>
      <w:r w:rsidRPr="00FF4A82" w:rsidR="4F000CFB">
        <w:rPr>
          <w:i/>
          <w:iCs/>
        </w:rPr>
        <w:t xml:space="preserve">Tison </w:t>
      </w:r>
      <w:r w:rsidRPr="00FF4A82" w:rsidR="4F000CFB">
        <w:t>establish</w:t>
      </w:r>
      <w:r w:rsidRPr="00FF4A82" w:rsidR="00CC3CC0">
        <w:t>ed</w:t>
      </w:r>
      <w:r w:rsidRPr="00FF4A82" w:rsidR="4F000CFB">
        <w:t>.  (</w:t>
      </w:r>
      <w:r w:rsidRPr="00FF4A82" w:rsidR="006B0A21">
        <w:rPr>
          <w:i/>
          <w:iCs/>
        </w:rPr>
        <w:t>Id.</w:t>
      </w:r>
      <w:r w:rsidRPr="00FF4A82" w:rsidR="4F000CFB">
        <w:rPr>
          <w:i/>
          <w:iCs/>
        </w:rPr>
        <w:t xml:space="preserve"> </w:t>
      </w:r>
      <w:r w:rsidRPr="00FF4A82" w:rsidR="4F000CFB">
        <w:t>at p. 811.)  On one end of the spectrum is Enmund, “the minor actor in an armed robbery, not on the scene, who neither intended to kill nor was found to have had any culpable mental state.”  (</w:t>
      </w:r>
      <w:r w:rsidRPr="00FF4A82" w:rsidR="4F000CFB">
        <w:rPr>
          <w:i/>
          <w:iCs/>
        </w:rPr>
        <w:t>Tison</w:t>
      </w:r>
      <w:r w:rsidRPr="00FF4A82" w:rsidR="4F000CFB">
        <w:t xml:space="preserve">, </w:t>
      </w:r>
      <w:r w:rsidRPr="00FF4A82" w:rsidR="4F000CFB">
        <w:rPr>
          <w:i/>
          <w:iCs/>
        </w:rPr>
        <w:t>supra</w:t>
      </w:r>
      <w:r w:rsidRPr="00FF4A82" w:rsidR="4F000CFB">
        <w:t>, 481 U.S. at p. 149.)  At the other end is “the felony murderer who actually killed, attempted to kill, or intended to kill.”  (</w:t>
      </w:r>
      <w:r w:rsidRPr="00FF4A82" w:rsidR="4F000CFB">
        <w:rPr>
          <w:i/>
          <w:iCs/>
        </w:rPr>
        <w:t xml:space="preserve">Id. </w:t>
      </w:r>
      <w:r w:rsidRPr="00FF4A82" w:rsidR="4F000CFB">
        <w:t xml:space="preserve">at p. 150.)  Because the defendant in </w:t>
      </w:r>
      <w:r w:rsidRPr="00FF4A82" w:rsidR="4F000CFB">
        <w:rPr>
          <w:i/>
          <w:iCs/>
        </w:rPr>
        <w:t>Banks</w:t>
      </w:r>
      <w:r w:rsidRPr="00FF4A82" w:rsidR="00045007">
        <w:rPr>
          <w:iCs/>
        </w:rPr>
        <w:t>, like Enmund,</w:t>
      </w:r>
      <w:r w:rsidRPr="00FF4A82" w:rsidR="4F000CFB">
        <w:rPr>
          <w:i/>
          <w:iCs/>
        </w:rPr>
        <w:t xml:space="preserve"> </w:t>
      </w:r>
      <w:r w:rsidRPr="00FF4A82" w:rsidR="4F000CFB">
        <w:t>was a mere getaway driver in an armed robbery, we concluded that the evidence was insufficient to show that he was a major participant or acted with reckless indifference to human life.  (</w:t>
      </w:r>
      <w:r w:rsidRPr="00FF4A82" w:rsidR="4F000CFB">
        <w:rPr>
          <w:i/>
          <w:iCs/>
        </w:rPr>
        <w:t>Banks</w:t>
      </w:r>
      <w:r w:rsidRPr="00FF4A82" w:rsidR="4F000CFB">
        <w:t>, at pp. 805, 807.)  We therefore reversed the special circumstance finding.  (</w:t>
      </w:r>
      <w:r w:rsidRPr="00FF4A82" w:rsidR="4F000CFB">
        <w:rPr>
          <w:i/>
          <w:iCs/>
        </w:rPr>
        <w:t xml:space="preserve">Id. </w:t>
      </w:r>
      <w:r w:rsidRPr="00FF4A82" w:rsidR="4F000CFB">
        <w:t>at p. 811.)</w:t>
      </w:r>
    </w:p>
    <w:p w:rsidR="00093A4A" w:rsidRPr="00FF4A82" w:rsidP="00FA403F" w14:paraId="59DE9880" w14:textId="1AD3674B">
      <w:pPr>
        <w:tabs>
          <w:tab w:val="left" w:pos="720"/>
        </w:tabs>
        <w:ind w:firstLine="720"/>
      </w:pPr>
      <w:r w:rsidRPr="00FF4A82">
        <w:t>I</w:t>
      </w:r>
      <w:r w:rsidRPr="00FF4A82" w:rsidR="0053202A">
        <w:t xml:space="preserve">n </w:t>
      </w:r>
      <w:r w:rsidRPr="00FF4A82" w:rsidR="0053202A">
        <w:rPr>
          <w:i/>
          <w:iCs/>
        </w:rPr>
        <w:t>Clark</w:t>
      </w:r>
      <w:r w:rsidRPr="00FF4A82" w:rsidR="0053202A">
        <w:t xml:space="preserve">, we </w:t>
      </w:r>
      <w:r w:rsidRPr="00FF4A82">
        <w:t xml:space="preserve">similarly </w:t>
      </w:r>
      <w:r w:rsidRPr="00FF4A82" w:rsidR="0053202A">
        <w:t xml:space="preserve">held that insufficient evidence </w:t>
      </w:r>
      <w:r w:rsidRPr="00FF4A82" w:rsidR="0050189A">
        <w:t>sup</w:t>
      </w:r>
      <w:r w:rsidR="00270E48">
        <w:t>ported a robbery-murder special-</w:t>
      </w:r>
      <w:r w:rsidRPr="00FF4A82" w:rsidR="0050189A">
        <w:t xml:space="preserve">circumstance finding for a defendant who planned a robbery that resulted in </w:t>
      </w:r>
      <w:r w:rsidRPr="00FF4A82" w:rsidR="00153598">
        <w:t>a death</w:t>
      </w:r>
      <w:r w:rsidRPr="00FF4A82" w:rsidR="004B287C">
        <w:t>.</w:t>
      </w:r>
      <w:r w:rsidRPr="00FF4A82" w:rsidR="00646C5B">
        <w:t xml:space="preserve">  (</w:t>
      </w:r>
      <w:r w:rsidRPr="00FF4A82" w:rsidR="00646C5B">
        <w:rPr>
          <w:i/>
        </w:rPr>
        <w:t>Clark</w:t>
      </w:r>
      <w:r w:rsidRPr="00FF4A82" w:rsidR="00646C5B">
        <w:t xml:space="preserve">, </w:t>
      </w:r>
      <w:r w:rsidRPr="00FF4A82" w:rsidR="00646C5B">
        <w:rPr>
          <w:i/>
        </w:rPr>
        <w:t>supra</w:t>
      </w:r>
      <w:r w:rsidRPr="00FF4A82" w:rsidR="00646C5B">
        <w:t>, 63 Cal.4th at p</w:t>
      </w:r>
      <w:r w:rsidRPr="00FF4A82" w:rsidR="001E0BE8">
        <w:t>p. 610–611.)</w:t>
      </w:r>
      <w:r w:rsidRPr="00FF4A82" w:rsidR="004B287C">
        <w:t xml:space="preserve">  </w:t>
      </w:r>
      <w:r w:rsidRPr="00FF4A82" w:rsidR="009E7839">
        <w:t>T</w:t>
      </w:r>
      <w:r w:rsidRPr="00FF4A82" w:rsidR="004B287C">
        <w:t xml:space="preserve">he defendant </w:t>
      </w:r>
      <w:r w:rsidRPr="00FF4A82" w:rsidR="009E7839">
        <w:t xml:space="preserve">in that case </w:t>
      </w:r>
      <w:r w:rsidRPr="00FF4A82" w:rsidR="004B287C">
        <w:t>planned and organized the robbery of a computer store.  (</w:t>
      </w:r>
      <w:r w:rsidRPr="00FF4A82" w:rsidR="001E0BE8">
        <w:rPr>
          <w:i/>
          <w:iCs/>
        </w:rPr>
        <w:t>Id.</w:t>
      </w:r>
      <w:r w:rsidRPr="00FF4A82">
        <w:t xml:space="preserve"> </w:t>
      </w:r>
      <w:r w:rsidRPr="00FF4A82" w:rsidR="004B287C">
        <w:t xml:space="preserve">at </w:t>
      </w:r>
      <w:r w:rsidRPr="00FF4A82" w:rsidR="4F000CFB">
        <w:t xml:space="preserve">p. 536.)  The defendant planned for the robbery to take place after the store closed, when there would be few people in the store, and </w:t>
      </w:r>
      <w:r w:rsidRPr="00FF4A82" w:rsidR="00F95A4A">
        <w:t>to involve</w:t>
      </w:r>
      <w:r w:rsidRPr="00FF4A82" w:rsidR="4F000CFB">
        <w:t xml:space="preserve"> only one gun without any bullets in it.  (</w:t>
      </w:r>
      <w:r w:rsidRPr="00FF4A82" w:rsidR="4F000CFB">
        <w:rPr>
          <w:i/>
          <w:iCs/>
        </w:rPr>
        <w:t xml:space="preserve">Id. </w:t>
      </w:r>
      <w:r w:rsidRPr="00FF4A82" w:rsidR="4F000CFB">
        <w:t xml:space="preserve">at pp. 621–622.)  But an employee’s mother unexpectedly entered the store during the robbery, and the defendant’s accomplice shot her with </w:t>
      </w:r>
      <w:r w:rsidRPr="00FF4A82" w:rsidR="009E173C">
        <w:t xml:space="preserve">a </w:t>
      </w:r>
      <w:r w:rsidRPr="00FF4A82" w:rsidR="4F000CFB">
        <w:t>bullet he had loaded into the gun.  (</w:t>
      </w:r>
      <w:r w:rsidRPr="00FF4A82" w:rsidR="4F000CFB">
        <w:rPr>
          <w:i/>
          <w:iCs/>
        </w:rPr>
        <w:t>Id.</w:t>
      </w:r>
      <w:r w:rsidRPr="00FF4A82" w:rsidR="4F000CFB">
        <w:t xml:space="preserve"> at p. 537.)  </w:t>
      </w:r>
      <w:r w:rsidRPr="00FF4A82" w:rsidR="00343CE7">
        <w:t>Soon after the shooting,</w:t>
      </w:r>
      <w:r w:rsidRPr="00FF4A82" w:rsidR="4F000CFB">
        <w:t xml:space="preserve"> the defendant fled the scene and abandoned his accomplice.  (</w:t>
      </w:r>
      <w:r w:rsidRPr="00FF4A82" w:rsidR="4F000CFB">
        <w:rPr>
          <w:i/>
          <w:iCs/>
        </w:rPr>
        <w:t>Id.</w:t>
      </w:r>
      <w:r w:rsidRPr="00FF4A82" w:rsidR="4F000CFB">
        <w:t xml:space="preserve"> at p. 620.)  We concluded that although the “defendant had a prominent, if not the most prominent, role in planning the criminal enterprise that led to the death” (</w:t>
      </w:r>
      <w:r w:rsidRPr="00FF4A82" w:rsidR="4F000CFB">
        <w:rPr>
          <w:i/>
          <w:iCs/>
        </w:rPr>
        <w:t>id.</w:t>
      </w:r>
      <w:r w:rsidRPr="00FF4A82" w:rsidR="4F000CFB">
        <w:t xml:space="preserve"> at p. 613), the record did not establish that he exhibited reckless indifference to human life (</w:t>
      </w:r>
      <w:r w:rsidRPr="00FF4A82" w:rsidR="4F000CFB">
        <w:rPr>
          <w:i/>
          <w:iCs/>
        </w:rPr>
        <w:t>id.</w:t>
      </w:r>
      <w:r w:rsidRPr="00FF4A82" w:rsidR="4F000CFB">
        <w:t xml:space="preserve"> at p. 623).  We therefore vacated the special circumstance finding.  (</w:t>
      </w:r>
      <w:r w:rsidRPr="00FF4A82" w:rsidR="00D5121F">
        <w:rPr>
          <w:i/>
          <w:iCs/>
        </w:rPr>
        <w:t>Ibid.</w:t>
      </w:r>
      <w:r w:rsidRPr="00FF4A82" w:rsidR="4F000CFB">
        <w:t>)</w:t>
      </w:r>
    </w:p>
    <w:p w:rsidR="00B42559" w:rsidRPr="00FF4A82" w:rsidP="00FA403F" w14:paraId="19EE6201" w14:textId="5518ECE4">
      <w:pPr>
        <w:tabs>
          <w:tab w:val="left" w:pos="720"/>
        </w:tabs>
        <w:jc w:val="center"/>
        <w:rPr>
          <w:b/>
        </w:rPr>
      </w:pPr>
      <w:r w:rsidRPr="00FF4A82">
        <w:rPr>
          <w:b/>
        </w:rPr>
        <w:t>III.</w:t>
      </w:r>
    </w:p>
    <w:p w:rsidR="002E743C" w:rsidRPr="00E322CA" w:rsidP="0042394C" w14:paraId="6D80D4D8" w14:textId="70F82BFC">
      <w:pPr>
        <w:tabs>
          <w:tab w:val="left" w:pos="720"/>
        </w:tabs>
        <w:rPr>
          <w:szCs w:val="26"/>
        </w:rPr>
      </w:pPr>
      <w:r>
        <w:rPr>
          <w:b/>
        </w:rPr>
        <w:tab/>
      </w:r>
      <w:r w:rsidR="00972A3B">
        <w:rPr>
          <w:i/>
        </w:rPr>
        <w:t xml:space="preserve">Banks </w:t>
      </w:r>
      <w:r w:rsidR="00972A3B">
        <w:t xml:space="preserve">and </w:t>
      </w:r>
      <w:r w:rsidR="00972A3B">
        <w:rPr>
          <w:i/>
        </w:rPr>
        <w:t xml:space="preserve">Clark </w:t>
      </w:r>
      <w:r w:rsidR="00972A3B">
        <w:t xml:space="preserve">clarified the meaning of </w:t>
      </w:r>
      <w:r w:rsidR="00462DE1">
        <w:t xml:space="preserve">the special circumstances statute after </w:t>
      </w:r>
      <w:r w:rsidR="003E1AAA">
        <w:t>Scoggins’s conviction became final</w:t>
      </w:r>
      <w:r w:rsidR="00441F1C">
        <w:t>.  Thus</w:t>
      </w:r>
      <w:r w:rsidR="003E1AAA">
        <w:t xml:space="preserve">, </w:t>
      </w:r>
      <w:r w:rsidR="00AE3866">
        <w:t xml:space="preserve">Scoggins </w:t>
      </w:r>
      <w:r w:rsidR="00C46C77">
        <w:t xml:space="preserve">is entitled to habeas </w:t>
      </w:r>
      <w:r w:rsidR="00B41374">
        <w:t xml:space="preserve">corpus </w:t>
      </w:r>
      <w:r w:rsidR="00C46C77">
        <w:t>relief “</w:t>
      </w:r>
      <w:r w:rsidR="0081421F">
        <w:t> ‘</w:t>
      </w:r>
      <w:r w:rsidR="00C46C77">
        <w:t>if there is no material dispute as to the facts relating to his conviction and if it appears that the statute under which he was convicted did not prohibit his conduct.</w:t>
      </w:r>
      <w:r w:rsidR="0081421F">
        <w:t>’ ”  (</w:t>
      </w:r>
      <w:r w:rsidR="0081421F">
        <w:rPr>
          <w:i/>
        </w:rPr>
        <w:t>Mutch</w:t>
      </w:r>
      <w:r w:rsidR="0081421F">
        <w:t xml:space="preserve">, </w:t>
      </w:r>
      <w:r w:rsidR="0081421F">
        <w:rPr>
          <w:i/>
        </w:rPr>
        <w:t>supra</w:t>
      </w:r>
      <w:r w:rsidR="0081421F">
        <w:t xml:space="preserve">, 4 Cal.3d at p. 396.)  </w:t>
      </w:r>
      <w:r w:rsidR="004D7FF9">
        <w:t xml:space="preserve">We find no material dispute </w:t>
      </w:r>
      <w:r w:rsidR="00C870DC">
        <w:t xml:space="preserve">as to the </w:t>
      </w:r>
      <w:r w:rsidR="00441F1C">
        <w:t>basic facts</w:t>
      </w:r>
      <w:r w:rsidR="00C870DC">
        <w:t xml:space="preserve"> of </w:t>
      </w:r>
      <w:r w:rsidR="008604AF">
        <w:t xml:space="preserve">Scoggins’s participation </w:t>
      </w:r>
      <w:r w:rsidR="00624F4A">
        <w:t xml:space="preserve">in the </w:t>
      </w:r>
      <w:r w:rsidRPr="00FF4A82" w:rsidR="00624F4A">
        <w:rPr>
          <w:szCs w:val="26"/>
        </w:rPr>
        <w:t>attempted robbery resulting in Wilson’s death</w:t>
      </w:r>
      <w:r w:rsidRPr="00E322CA" w:rsidR="00813B33">
        <w:rPr>
          <w:szCs w:val="26"/>
        </w:rPr>
        <w:t xml:space="preserve">.  </w:t>
      </w:r>
      <w:r w:rsidR="00441F1C">
        <w:rPr>
          <w:szCs w:val="26"/>
        </w:rPr>
        <w:t xml:space="preserve">The question is whether </w:t>
      </w:r>
      <w:r w:rsidRPr="00E322CA" w:rsidR="007A67D1">
        <w:rPr>
          <w:szCs w:val="26"/>
        </w:rPr>
        <w:t xml:space="preserve">the special circumstances statute as construed in </w:t>
      </w:r>
      <w:r w:rsidRPr="00E322CA" w:rsidR="007A67D1">
        <w:rPr>
          <w:i/>
          <w:szCs w:val="26"/>
        </w:rPr>
        <w:t xml:space="preserve">Banks </w:t>
      </w:r>
      <w:r w:rsidRPr="00E322CA" w:rsidR="007A67D1">
        <w:rPr>
          <w:szCs w:val="26"/>
        </w:rPr>
        <w:t xml:space="preserve">and </w:t>
      </w:r>
      <w:r w:rsidRPr="00E322CA" w:rsidR="007A67D1">
        <w:rPr>
          <w:i/>
          <w:szCs w:val="26"/>
        </w:rPr>
        <w:t>Clark</w:t>
      </w:r>
      <w:r w:rsidRPr="00E322CA" w:rsidR="007A67D1">
        <w:rPr>
          <w:szCs w:val="26"/>
        </w:rPr>
        <w:t xml:space="preserve"> </w:t>
      </w:r>
      <w:r w:rsidRPr="00E322CA" w:rsidR="00060176">
        <w:rPr>
          <w:szCs w:val="26"/>
        </w:rPr>
        <w:t>prohibit</w:t>
      </w:r>
      <w:r w:rsidR="002A10B5">
        <w:rPr>
          <w:szCs w:val="26"/>
        </w:rPr>
        <w:t>ed</w:t>
      </w:r>
      <w:r w:rsidRPr="00E322CA" w:rsidR="00060176">
        <w:rPr>
          <w:szCs w:val="26"/>
        </w:rPr>
        <w:t xml:space="preserve"> </w:t>
      </w:r>
      <w:r w:rsidRPr="00E322CA" w:rsidR="00241154">
        <w:rPr>
          <w:szCs w:val="26"/>
        </w:rPr>
        <w:t>Scoggins’s conduct.</w:t>
      </w:r>
      <w:r w:rsidRPr="00E322CA" w:rsidR="00121718">
        <w:rPr>
          <w:szCs w:val="26"/>
        </w:rPr>
        <w:t xml:space="preserve">  </w:t>
      </w:r>
      <w:r w:rsidR="00441F1C">
        <w:rPr>
          <w:szCs w:val="26"/>
        </w:rPr>
        <w:t>We conclude on this</w:t>
      </w:r>
      <w:r w:rsidRPr="00E322CA" w:rsidR="00E04930">
        <w:rPr>
          <w:szCs w:val="26"/>
        </w:rPr>
        <w:t xml:space="preserve"> </w:t>
      </w:r>
      <w:r w:rsidRPr="00E322CA" w:rsidR="00D12BE3">
        <w:rPr>
          <w:szCs w:val="26"/>
        </w:rPr>
        <w:t>record</w:t>
      </w:r>
      <w:r w:rsidRPr="00E322CA" w:rsidR="00E04930">
        <w:rPr>
          <w:szCs w:val="26"/>
        </w:rPr>
        <w:t xml:space="preserve"> that </w:t>
      </w:r>
      <w:r w:rsidRPr="00E322CA" w:rsidR="00734F26">
        <w:rPr>
          <w:szCs w:val="26"/>
        </w:rPr>
        <w:t xml:space="preserve">Scoggins </w:t>
      </w:r>
      <w:r w:rsidRPr="00E322CA" w:rsidR="001525D0">
        <w:rPr>
          <w:szCs w:val="26"/>
        </w:rPr>
        <w:t>did not exhibit reckl</w:t>
      </w:r>
      <w:r w:rsidR="00770185">
        <w:rPr>
          <w:szCs w:val="26"/>
        </w:rPr>
        <w:t>ess indifference to human life</w:t>
      </w:r>
      <w:r w:rsidR="002A10B5">
        <w:rPr>
          <w:szCs w:val="26"/>
        </w:rPr>
        <w:t xml:space="preserve"> and thus his conduct was not within the scope of the special circumstances statute</w:t>
      </w:r>
      <w:r w:rsidR="00770185">
        <w:rPr>
          <w:szCs w:val="26"/>
        </w:rPr>
        <w:t xml:space="preserve">.  </w:t>
      </w:r>
      <w:r w:rsidRPr="00E322CA" w:rsidR="00315215">
        <w:t>(</w:t>
      </w:r>
      <w:r w:rsidRPr="00E322CA" w:rsidR="007068DD">
        <w:t xml:space="preserve">Scoggins does not </w:t>
      </w:r>
      <w:r w:rsidRPr="00E322CA" w:rsidR="00315215">
        <w:t xml:space="preserve">challenge the Court of Appeal’s determination </w:t>
      </w:r>
      <w:r w:rsidRPr="00E322CA" w:rsidR="007068DD">
        <w:t>that</w:t>
      </w:r>
      <w:r w:rsidRPr="00E322CA" w:rsidR="00875008">
        <w:t xml:space="preserve"> </w:t>
      </w:r>
      <w:r w:rsidRPr="00E322CA" w:rsidR="00F03BA8">
        <w:t xml:space="preserve">he was a major participant in </w:t>
      </w:r>
      <w:r w:rsidRPr="00E322CA" w:rsidR="00315215">
        <w:t>the crime</w:t>
      </w:r>
      <w:r w:rsidRPr="00E322CA" w:rsidR="008122CF">
        <w:t xml:space="preserve"> </w:t>
      </w:r>
      <w:r w:rsidRPr="00E322CA" w:rsidR="00575D99">
        <w:t xml:space="preserve">resulting in Wilson’s death, </w:t>
      </w:r>
      <w:r w:rsidRPr="00E322CA" w:rsidR="00315215">
        <w:t xml:space="preserve">so </w:t>
      </w:r>
      <w:r w:rsidRPr="00E322CA" w:rsidR="005A4C29">
        <w:t xml:space="preserve">we do not address that </w:t>
      </w:r>
      <w:r w:rsidRPr="00E322CA" w:rsidR="00D43B36">
        <w:t>question here.</w:t>
      </w:r>
      <w:r w:rsidRPr="00E322CA" w:rsidR="00315215">
        <w:t>)</w:t>
      </w:r>
    </w:p>
    <w:p w:rsidR="00913527" w:rsidRPr="00FF4A82" w:rsidP="00FF4A82" w14:paraId="23E99F66" w14:textId="05840D28">
      <w:pPr>
        <w:keepNext/>
        <w:tabs>
          <w:tab w:val="left" w:pos="720"/>
        </w:tabs>
      </w:pPr>
      <w:r>
        <w:tab/>
      </w:r>
      <w:r w:rsidRPr="00FF4A82" w:rsidR="009E3943">
        <w:t>R</w:t>
      </w:r>
      <w:r w:rsidRPr="00FF4A82" w:rsidR="007314E2">
        <w:t>eckless indifference to human life is “implicit in knowingly engaging in criminal activities known to carry a grave risk of death.”  (</w:t>
      </w:r>
      <w:r w:rsidRPr="00FF4A82" w:rsidR="007314E2">
        <w:rPr>
          <w:i/>
          <w:iCs/>
        </w:rPr>
        <w:t>Tison</w:t>
      </w:r>
      <w:r w:rsidRPr="00FF4A82" w:rsidR="007314E2">
        <w:t xml:space="preserve">, </w:t>
      </w:r>
      <w:r w:rsidRPr="00FF4A82" w:rsidR="005463C6">
        <w:rPr>
          <w:i/>
          <w:iCs/>
        </w:rPr>
        <w:t>supra</w:t>
      </w:r>
      <w:r w:rsidRPr="00FF4A82" w:rsidR="005463C6">
        <w:t>, 481 U.S. at p. 157.)</w:t>
      </w:r>
      <w:r w:rsidRPr="00FF4A82" w:rsidR="008D12E2">
        <w:t xml:space="preserve">  Examples </w:t>
      </w:r>
      <w:r w:rsidRPr="00FF4A82" w:rsidR="00AD680F">
        <w:t xml:space="preserve">include </w:t>
      </w:r>
      <w:r w:rsidRPr="00FF4A82" w:rsidR="00DF7C89">
        <w:t xml:space="preserve">“the person who tortures another not caring whether the victim lives or dies, or the robber who shoots someone in the course of the robbery, utterly indifferent to the fact that the desire to rob may </w:t>
      </w:r>
      <w:r w:rsidR="002271F7">
        <w:t>have the unintended consequence</w:t>
      </w:r>
      <w:r w:rsidRPr="00FF4A82" w:rsidR="00DF7C89">
        <w:t xml:space="preserve"> of killing the victim </w:t>
      </w:r>
      <w:r w:rsidRPr="00FF4A82" w:rsidR="008D12E2">
        <w:t>as well as taking the victim’s property</w:t>
      </w:r>
      <w:r w:rsidRPr="00FF4A82" w:rsidR="00AD680F">
        <w:t xml:space="preserve">.”  </w:t>
      </w:r>
      <w:r w:rsidRPr="00FF4A82" w:rsidR="00057F1C">
        <w:t>(</w:t>
      </w:r>
      <w:r w:rsidRPr="00FF4A82" w:rsidR="00057F1C">
        <w:rPr>
          <w:i/>
          <w:iCs/>
        </w:rPr>
        <w:t>Ibid.</w:t>
      </w:r>
      <w:r w:rsidRPr="00FF4A82" w:rsidR="00057F1C">
        <w:t>)</w:t>
      </w:r>
      <w:r w:rsidRPr="00FF4A82">
        <w:t xml:space="preserve">  </w:t>
      </w:r>
      <w:r w:rsidR="00315215">
        <w:t>R</w:t>
      </w:r>
      <w:r w:rsidRPr="00FF4A82" w:rsidR="0038368B">
        <w:t xml:space="preserve">eckless indifference “encompasses a </w:t>
      </w:r>
      <w:r w:rsidRPr="00FF4A82" w:rsidR="00F17B04">
        <w:t>willingness</w:t>
      </w:r>
      <w:r w:rsidRPr="00FF4A82" w:rsidR="0038368B">
        <w:t xml:space="preserve"> to kill (or to assist </w:t>
      </w:r>
      <w:r w:rsidRPr="00FF4A82" w:rsidR="00F17B04">
        <w:t>another</w:t>
      </w:r>
      <w:r w:rsidRPr="00FF4A82" w:rsidR="0038368B">
        <w:t xml:space="preserve"> in killing) to achieve a distinct aim, even if the defendant does not specifically desire that death </w:t>
      </w:r>
      <w:r w:rsidRPr="00FF4A82" w:rsidR="00F17B04">
        <w:t>as the outcome of his actions.”  (</w:t>
      </w:r>
      <w:r w:rsidRPr="00FF4A82" w:rsidR="00F17B04">
        <w:rPr>
          <w:i/>
          <w:iCs/>
        </w:rPr>
        <w:t>Clark</w:t>
      </w:r>
      <w:r w:rsidRPr="00FF4A82" w:rsidR="00F17B04">
        <w:t xml:space="preserve">, </w:t>
      </w:r>
      <w:r w:rsidRPr="00FF4A82" w:rsidR="00F17B04">
        <w:rPr>
          <w:i/>
          <w:iCs/>
        </w:rPr>
        <w:t>supra</w:t>
      </w:r>
      <w:r w:rsidR="002271F7">
        <w:t>, 63 Cal.4th at p. </w:t>
      </w:r>
      <w:r w:rsidRPr="00FF4A82" w:rsidR="00F17B04">
        <w:t>617.)</w:t>
      </w:r>
    </w:p>
    <w:p w:rsidR="006E6705" w:rsidRPr="00FF4A82" w:rsidP="00FF4A82" w14:paraId="7FBBEE43" w14:textId="091DE403">
      <w:pPr>
        <w:tabs>
          <w:tab w:val="left" w:pos="720"/>
        </w:tabs>
      </w:pPr>
      <w:r w:rsidRPr="00FF4A82">
        <w:tab/>
      </w:r>
      <w:r w:rsidRPr="00FF4A82" w:rsidR="0036011D">
        <w:t xml:space="preserve">Reckless indifference to human life has </w:t>
      </w:r>
      <w:r w:rsidR="00EE5DB6">
        <w:t xml:space="preserve">a </w:t>
      </w:r>
      <w:r w:rsidRPr="00FF4A82" w:rsidR="00FF0CE9">
        <w:t xml:space="preserve">subjective and </w:t>
      </w:r>
      <w:r w:rsidR="00EE5DB6">
        <w:t>an objective element</w:t>
      </w:r>
      <w:r w:rsidRPr="00FF4A82" w:rsidR="00FF0CE9">
        <w:t>.  (</w:t>
      </w:r>
      <w:r w:rsidRPr="00FF4A82" w:rsidR="00FF0CE9">
        <w:rPr>
          <w:i/>
        </w:rPr>
        <w:t>Clark</w:t>
      </w:r>
      <w:r w:rsidRPr="00FF4A82" w:rsidR="00FF0CE9">
        <w:t xml:space="preserve">, </w:t>
      </w:r>
      <w:r w:rsidRPr="00FF4A82" w:rsidR="00FF0CE9">
        <w:rPr>
          <w:i/>
        </w:rPr>
        <w:t>supra</w:t>
      </w:r>
      <w:r w:rsidRPr="00FF4A82" w:rsidR="00FF0CE9">
        <w:t>, 63 Cal.4th at p. </w:t>
      </w:r>
      <w:r w:rsidRPr="00FF4A82" w:rsidR="0059517B">
        <w:t>617.)</w:t>
      </w:r>
      <w:r w:rsidRPr="00FF4A82" w:rsidR="002F1D7B">
        <w:t xml:space="preserve">  </w:t>
      </w:r>
      <w:r w:rsidRPr="00FF4A82" w:rsidR="0036011D">
        <w:t>As</w:t>
      </w:r>
      <w:r w:rsidRPr="00FF4A82" w:rsidR="00E91B38">
        <w:t xml:space="preserve"> to the subjective element, </w:t>
      </w:r>
      <w:r w:rsidRPr="00FF4A82" w:rsidR="009946BA">
        <w:t>“[t]he defendant must be aware of and willingly involved in the violent manner in which the particular offense is committed</w:t>
      </w:r>
      <w:r w:rsidRPr="00FF4A82" w:rsidR="0036011D">
        <w:t>,</w:t>
      </w:r>
      <w:r w:rsidRPr="00FF4A82" w:rsidR="005E5574">
        <w:t xml:space="preserve">” and </w:t>
      </w:r>
      <w:r w:rsidRPr="00FF4A82" w:rsidR="0036011D">
        <w:t xml:space="preserve">he </w:t>
      </w:r>
      <w:r w:rsidR="00E80F01">
        <w:t xml:space="preserve">or she </w:t>
      </w:r>
      <w:r w:rsidRPr="00FF4A82" w:rsidR="0036011D">
        <w:t xml:space="preserve">must </w:t>
      </w:r>
      <w:r w:rsidRPr="00FF4A82" w:rsidR="0067405E">
        <w:t xml:space="preserve">consciously disregard </w:t>
      </w:r>
      <w:r w:rsidRPr="00FF4A82" w:rsidR="002972F7">
        <w:t>“</w:t>
      </w:r>
      <w:r w:rsidRPr="00FF4A82" w:rsidR="009946BA">
        <w:t>the significant risk of death his or her actions create.”  (</w:t>
      </w:r>
      <w:r w:rsidRPr="00FF4A82" w:rsidR="009946BA">
        <w:rPr>
          <w:i/>
        </w:rPr>
        <w:t>Banks</w:t>
      </w:r>
      <w:r w:rsidRPr="00FF4A82" w:rsidR="009946BA">
        <w:t xml:space="preserve">, </w:t>
      </w:r>
      <w:r w:rsidRPr="00FF4A82" w:rsidR="009946BA">
        <w:rPr>
          <w:i/>
        </w:rPr>
        <w:t>supra</w:t>
      </w:r>
      <w:r w:rsidRPr="00FF4A82" w:rsidR="009946BA">
        <w:t>, 61 Cal.4th at p. 801</w:t>
      </w:r>
      <w:r w:rsidRPr="00FF4A82" w:rsidR="002972F7">
        <w:t xml:space="preserve">; see </w:t>
      </w:r>
      <w:r w:rsidRPr="00FF4A82" w:rsidR="002972F7">
        <w:rPr>
          <w:i/>
        </w:rPr>
        <w:t>Clark</w:t>
      </w:r>
      <w:r w:rsidRPr="00FF4A82" w:rsidR="002972F7">
        <w:t>, at p. </w:t>
      </w:r>
      <w:r w:rsidRPr="00FF4A82" w:rsidR="00EA0103">
        <w:t>617</w:t>
      </w:r>
      <w:r w:rsidRPr="00FF4A82" w:rsidR="009946BA">
        <w:t>.)</w:t>
      </w:r>
      <w:r w:rsidRPr="00FF4A82" w:rsidR="00C96D91">
        <w:t xml:space="preserve">  As to the objective element,</w:t>
      </w:r>
      <w:r w:rsidRPr="00FF4A82" w:rsidR="00EA0103">
        <w:t xml:space="preserve"> </w:t>
      </w:r>
      <w:r w:rsidRPr="00FF4A82" w:rsidR="00AC2C96">
        <w:t>“</w:t>
      </w:r>
      <w:r w:rsidRPr="00FF4A82" w:rsidR="00B6413A">
        <w:t> ‘</w:t>
      </w:r>
      <w:r w:rsidRPr="00FF4A82" w:rsidR="005F4091">
        <w:t>[t]he risk [of death] must be of such a nature and degree that, considering the nature and purpose of the actor’s conduct and the circumstances known to him</w:t>
      </w:r>
      <w:r w:rsidR="003876D1">
        <w:t xml:space="preserve"> [or her]</w:t>
      </w:r>
      <w:r w:rsidRPr="00FF4A82" w:rsidR="005F4091">
        <w:t>, its disregard involves a gross deviation from the standard of conduct that a law-abiding person would observe in the actor’s situation.</w:t>
      </w:r>
      <w:r w:rsidRPr="00FF4A82" w:rsidR="00B6413A">
        <w:t>’ </w:t>
      </w:r>
      <w:r w:rsidRPr="00FF4A82" w:rsidR="005F4091">
        <w:t>”  (</w:t>
      </w:r>
      <w:r w:rsidRPr="00FF4A82" w:rsidR="00836BE4">
        <w:rPr>
          <w:i/>
        </w:rPr>
        <w:t>Clark</w:t>
      </w:r>
      <w:r w:rsidRPr="00FF4A82" w:rsidR="00836BE4">
        <w:t>, at p. 617, quoting Model Pen. Code</w:t>
      </w:r>
      <w:r w:rsidRPr="00FF4A82" w:rsidR="00A14C5F">
        <w:t>,</w:t>
      </w:r>
      <w:r w:rsidRPr="00FF4A82" w:rsidR="00836BE4">
        <w:t xml:space="preserve"> § 2.02, subd. (2)(c).)</w:t>
      </w:r>
      <w:r w:rsidRPr="00FF4A82" w:rsidR="002113BF">
        <w:t xml:space="preserve">  </w:t>
      </w:r>
      <w:r w:rsidRPr="00FF4A82" w:rsidR="00343E17">
        <w:t>“A</w:t>
      </w:r>
      <w:r w:rsidRPr="00FF4A82" w:rsidR="000360F4">
        <w:t>wareness of no more than the foreseeable risk of death</w:t>
      </w:r>
      <w:r w:rsidRPr="00FF4A82" w:rsidR="00BE1853">
        <w:t xml:space="preserve"> </w:t>
      </w:r>
      <w:r w:rsidRPr="00FF4A82" w:rsidR="002C1E7B">
        <w:t>inherent in any [</w:t>
      </w:r>
      <w:r w:rsidRPr="00FF4A82" w:rsidR="00EB08AA">
        <w:t xml:space="preserve">violent felony] is insufficient” to establish </w:t>
      </w:r>
      <w:r w:rsidRPr="00FF4A82" w:rsidR="002113BF">
        <w:t>reckless indifference to human life; “only knowingly creating a ‘grave risk of death’ ” satisfies the statutory requirement.  (</w:t>
      </w:r>
      <w:r w:rsidRPr="00FF4A82" w:rsidR="002113BF">
        <w:rPr>
          <w:i/>
        </w:rPr>
        <w:t>Banks</w:t>
      </w:r>
      <w:r w:rsidRPr="00FF4A82" w:rsidR="002113BF">
        <w:t>, at p. 808.)</w:t>
      </w:r>
      <w:r w:rsidRPr="00FF4A82" w:rsidR="006E135A">
        <w:t xml:space="preserve">  </w:t>
      </w:r>
      <w:r w:rsidRPr="00FF4A82" w:rsidR="009E3943">
        <w:t>Notably</w:t>
      </w:r>
      <w:r w:rsidRPr="00FF4A82" w:rsidR="006E135A">
        <w:t xml:space="preserve">, </w:t>
      </w:r>
      <w:r w:rsidRPr="00FF4A82" w:rsidR="007900CB">
        <w:t>“the fact a participant [or planner</w:t>
      </w:r>
      <w:r w:rsidRPr="00FF4A82" w:rsidR="0017013F">
        <w:t xml:space="preserve"> of]</w:t>
      </w:r>
      <w:r w:rsidRPr="00FF4A82" w:rsidR="007900CB">
        <w:t xml:space="preserve"> an armed robbery could anticipate lethal force might be used</w:t>
      </w:r>
      <w:r w:rsidRPr="00FF4A82" w:rsidR="005C276F">
        <w:t xml:space="preserve">” </w:t>
      </w:r>
      <w:r w:rsidRPr="00FF4A82" w:rsidR="007D2780">
        <w:t>is not sufficient to establish reckless indifference to human life.</w:t>
      </w:r>
      <w:r w:rsidRPr="00FF4A82" w:rsidR="00E369E2">
        <w:t xml:space="preserve">  (</w:t>
      </w:r>
      <w:r w:rsidRPr="00FF4A82" w:rsidR="00074638">
        <w:rPr>
          <w:i/>
        </w:rPr>
        <w:t>Ibid.</w:t>
      </w:r>
      <w:r w:rsidRPr="00FF4A82" w:rsidR="00074638">
        <w:t xml:space="preserve">; </w:t>
      </w:r>
      <w:r w:rsidRPr="00FF4A82" w:rsidR="009E3943">
        <w:t xml:space="preserve">see </w:t>
      </w:r>
      <w:r w:rsidRPr="00FF4A82" w:rsidR="00074638">
        <w:rPr>
          <w:i/>
        </w:rPr>
        <w:t>Clark</w:t>
      </w:r>
      <w:r w:rsidRPr="00FF4A82" w:rsidR="00074638">
        <w:t>, at p.</w:t>
      </w:r>
      <w:r w:rsidRPr="00FF4A82" w:rsidR="00025FEC">
        <w:t xml:space="preserve"> 623.)  </w:t>
      </w:r>
    </w:p>
    <w:p w:rsidR="00296CE8" w:rsidRPr="00FF4A82" w:rsidP="00FF4A82" w14:paraId="24DC15BC" w14:textId="726C7650">
      <w:pPr>
        <w:tabs>
          <w:tab w:val="left" w:pos="720"/>
        </w:tabs>
      </w:pPr>
      <w:r w:rsidRPr="00FF4A82">
        <w:tab/>
      </w:r>
      <w:r w:rsidRPr="00FF4A82" w:rsidR="00EB0446">
        <w:t>W</w:t>
      </w:r>
      <w:r w:rsidRPr="00FF4A82" w:rsidR="008F046A">
        <w:t xml:space="preserve">e </w:t>
      </w:r>
      <w:r w:rsidRPr="00FF4A82" w:rsidR="00251266">
        <w:t xml:space="preserve">analyze the totality of the circumstances </w:t>
      </w:r>
      <w:r w:rsidRPr="00FF4A82" w:rsidR="00056AB9">
        <w:t>to determine whether Scoggins acted with reckless indifference to human life</w:t>
      </w:r>
      <w:r w:rsidRPr="00FF4A82" w:rsidR="00136BE1">
        <w:t xml:space="preserve">. </w:t>
      </w:r>
      <w:r w:rsidRPr="00FF4A82" w:rsidR="00B0740F">
        <w:t xml:space="preserve"> </w:t>
      </w:r>
      <w:r w:rsidRPr="00FF4A82" w:rsidR="007840A2">
        <w:t>R</w:t>
      </w:r>
      <w:r w:rsidRPr="00FF4A82" w:rsidR="00B0740F">
        <w:t xml:space="preserve">elevant factors include:  </w:t>
      </w:r>
      <w:r w:rsidRPr="00FF4A82" w:rsidR="008F6AF3">
        <w:t>Did the defendant use</w:t>
      </w:r>
      <w:r w:rsidRPr="00FF4A82" w:rsidR="00C5513E">
        <w:t xml:space="preserve"> or know that a gun would be used during the felony</w:t>
      </w:r>
      <w:r w:rsidRPr="00FF4A82" w:rsidR="0036011D">
        <w:t>?  H</w:t>
      </w:r>
      <w:r w:rsidRPr="00FF4A82" w:rsidR="00875602">
        <w:t xml:space="preserve">ow many weapons </w:t>
      </w:r>
      <w:r w:rsidRPr="00FF4A82" w:rsidR="00C45E53">
        <w:t>were ultimately used?  Was the defendant physically present at the crim</w:t>
      </w:r>
      <w:r w:rsidRPr="00FF4A82" w:rsidR="003D0055">
        <w:t>e</w:t>
      </w:r>
      <w:r w:rsidRPr="00FF4A82" w:rsidR="0036011D">
        <w:t xml:space="preserve">?  Did he </w:t>
      </w:r>
      <w:r w:rsidR="002271F7">
        <w:t xml:space="preserve">or she </w:t>
      </w:r>
      <w:r w:rsidRPr="00FF4A82" w:rsidR="003B0F19">
        <w:t>have the opportunity to restrain the crime or aid the victim?</w:t>
      </w:r>
      <w:r w:rsidRPr="00FF4A82" w:rsidR="00B05197">
        <w:t xml:space="preserve">  What was the duration </w:t>
      </w:r>
      <w:r w:rsidRPr="00FF4A82" w:rsidR="0056199F">
        <w:t>of the interaction between the perpetrators of the felony and the victims?</w:t>
      </w:r>
      <w:r w:rsidRPr="00FF4A82" w:rsidR="00F761BA">
        <w:t xml:space="preserve">  </w:t>
      </w:r>
      <w:r w:rsidRPr="00FF4A82" w:rsidR="003F45B1">
        <w:t xml:space="preserve">What was the defendant’s knowledge of </w:t>
      </w:r>
      <w:r w:rsidRPr="00FF4A82" w:rsidR="00C614D2">
        <w:t xml:space="preserve">his or her </w:t>
      </w:r>
      <w:r w:rsidRPr="00FF4A82" w:rsidR="0036011D">
        <w:t xml:space="preserve">confederate’s propensity for violence or </w:t>
      </w:r>
      <w:r w:rsidRPr="00FF4A82" w:rsidR="00C614D2">
        <w:t xml:space="preserve">likelihood of </w:t>
      </w:r>
      <w:r w:rsidRPr="00FF4A82" w:rsidR="0036011D">
        <w:t>using lethal force</w:t>
      </w:r>
      <w:r w:rsidRPr="00FF4A82" w:rsidR="00C614D2">
        <w:t>?</w:t>
      </w:r>
      <w:r w:rsidRPr="00FF4A82" w:rsidR="00AF0B04">
        <w:t xml:space="preserve">  What efforts did the defendant make to minimize the risks of violence during the felony?</w:t>
      </w:r>
      <w:r w:rsidRPr="00FF4A82" w:rsidR="006F69F1">
        <w:t xml:space="preserve">  (</w:t>
      </w:r>
      <w:r w:rsidRPr="00FF4A82" w:rsidR="006F69F1">
        <w:rPr>
          <w:i/>
          <w:iCs/>
        </w:rPr>
        <w:t>Clark</w:t>
      </w:r>
      <w:r w:rsidRPr="00FF4A82" w:rsidR="006F69F1">
        <w:t xml:space="preserve">, </w:t>
      </w:r>
      <w:r w:rsidRPr="00FF4A82" w:rsidR="006F69F1">
        <w:rPr>
          <w:i/>
          <w:iCs/>
        </w:rPr>
        <w:t>supra</w:t>
      </w:r>
      <w:r w:rsidRPr="00FF4A82" w:rsidR="006F69F1">
        <w:t xml:space="preserve">, 63 Cal.4th at </w:t>
      </w:r>
      <w:r w:rsidRPr="00FF4A82" w:rsidR="6F6D58A4">
        <w:t>pp. </w:t>
      </w:r>
      <w:r w:rsidRPr="00FF4A82" w:rsidR="001B683E">
        <w:t>618–623.)</w:t>
      </w:r>
      <w:r w:rsidRPr="00FF4A82" w:rsidR="00513FB8">
        <w:t xml:space="preserve">  “</w:t>
      </w:r>
      <w:r w:rsidRPr="00FF4A82" w:rsidR="00A15327">
        <w:t> ‘</w:t>
      </w:r>
      <w:r w:rsidRPr="00FF4A82" w:rsidR="0036011D">
        <w:t>[N]</w:t>
      </w:r>
      <w:r w:rsidRPr="00FF4A82" w:rsidR="00513FB8">
        <w:t>o one of these considerations is necessary, nor is any</w:t>
      </w:r>
      <w:r w:rsidR="00A547A9">
        <w:t xml:space="preserve"> one</w:t>
      </w:r>
      <w:r w:rsidRPr="00FF4A82" w:rsidR="00513FB8">
        <w:t xml:space="preserve"> of them necessarily sufficient.</w:t>
      </w:r>
      <w:r w:rsidRPr="00FF4A82" w:rsidR="00A15327">
        <w:t>’ </w:t>
      </w:r>
      <w:r w:rsidRPr="00FF4A82" w:rsidR="00513FB8">
        <w:t>”</w:t>
      </w:r>
      <w:r w:rsidRPr="00FF4A82" w:rsidR="00A03D1B">
        <w:t xml:space="preserve">  (</w:t>
      </w:r>
      <w:r w:rsidRPr="00FF4A82" w:rsidR="00A03D1B">
        <w:rPr>
          <w:i/>
          <w:iCs/>
        </w:rPr>
        <w:t xml:space="preserve">Id. </w:t>
      </w:r>
      <w:r w:rsidRPr="00FF4A82" w:rsidR="00A03D1B">
        <w:t>at p. 618</w:t>
      </w:r>
      <w:r w:rsidRPr="00FF4A82" w:rsidR="00282008">
        <w:t xml:space="preserve">, quoting </w:t>
      </w:r>
      <w:r w:rsidRPr="00FF4A82" w:rsidR="00282008">
        <w:rPr>
          <w:i/>
        </w:rPr>
        <w:t>Banks</w:t>
      </w:r>
      <w:r w:rsidRPr="00FF4A82" w:rsidR="00282008">
        <w:t xml:space="preserve">, </w:t>
      </w:r>
      <w:r w:rsidRPr="00FF4A82" w:rsidR="00282008">
        <w:rPr>
          <w:i/>
        </w:rPr>
        <w:t>supra</w:t>
      </w:r>
      <w:r w:rsidRPr="00FF4A82" w:rsidR="00282008">
        <w:t xml:space="preserve">, </w:t>
      </w:r>
      <w:r w:rsidRPr="00FF4A82" w:rsidR="002B0D94">
        <w:t>61 Cal.4th at p. 803</w:t>
      </w:r>
      <w:r w:rsidRPr="00FF4A82" w:rsidR="00F41A26">
        <w:t>.)</w:t>
      </w:r>
    </w:p>
    <w:p w:rsidR="005834CB" w:rsidRPr="00FF4A82" w:rsidP="00FF4A82" w14:paraId="12F01F0D" w14:textId="21AB96DF">
      <w:pPr>
        <w:tabs>
          <w:tab w:val="left" w:pos="720"/>
        </w:tabs>
      </w:pPr>
      <w:r w:rsidRPr="00FF4A82">
        <w:tab/>
      </w:r>
      <w:r w:rsidRPr="00FF4A82" w:rsidR="00492B3B">
        <w:t xml:space="preserve">First, Scoggins </w:t>
      </w:r>
      <w:r w:rsidRPr="00FF4A82" w:rsidR="005F68FC">
        <w:t>did not use a gun</w:t>
      </w:r>
      <w:r w:rsidRPr="00FF4A82" w:rsidR="004B3508">
        <w:t xml:space="preserve">, </w:t>
      </w:r>
      <w:r w:rsidRPr="00FF4A82" w:rsidR="009E3943">
        <w:t>n</w:t>
      </w:r>
      <w:r w:rsidRPr="00FF4A82" w:rsidR="004B3508">
        <w:t xml:space="preserve">or did </w:t>
      </w:r>
      <w:r w:rsidRPr="00FF4A82" w:rsidR="009E3943">
        <w:t xml:space="preserve">he </w:t>
      </w:r>
      <w:r w:rsidRPr="00FF4A82" w:rsidR="005F68FC">
        <w:t>kn</w:t>
      </w:r>
      <w:r w:rsidRPr="00FF4A82" w:rsidR="00B0740F">
        <w:t>o</w:t>
      </w:r>
      <w:r w:rsidRPr="00FF4A82" w:rsidR="005F68FC">
        <w:t xml:space="preserve">w that a gun would be used during </w:t>
      </w:r>
      <w:r w:rsidRPr="00FF4A82" w:rsidR="00FE20D7">
        <w:t>the felony</w:t>
      </w:r>
      <w:r w:rsidRPr="00FF4A82" w:rsidR="00164C0D">
        <w:t>.</w:t>
      </w:r>
      <w:r w:rsidR="00E63459">
        <w:t xml:space="preserve">  The record shows that </w:t>
      </w:r>
      <w:r w:rsidR="00F853DF">
        <w:t xml:space="preserve">Scoggins’s </w:t>
      </w:r>
      <w:r w:rsidR="00583E7E">
        <w:t xml:space="preserve">plan did not involve shooting </w:t>
      </w:r>
      <w:r w:rsidR="00252EDD">
        <w:t xml:space="preserve">Wilson.  </w:t>
      </w:r>
      <w:r w:rsidRPr="00FF4A82" w:rsidR="00B0740F">
        <w:t>As mentioned, Scoggins</w:t>
      </w:r>
      <w:r w:rsidRPr="00FF4A82" w:rsidR="00AB7018">
        <w:t xml:space="preserve"> planned for </w:t>
      </w:r>
      <w:r w:rsidRPr="00FF4A82" w:rsidR="00B20FBD">
        <w:t xml:space="preserve">the </w:t>
      </w:r>
      <w:r w:rsidRPr="00FF4A82" w:rsidR="00FE20D7">
        <w:t>assault and robbery of Wilson to be unarmed</w:t>
      </w:r>
      <w:r w:rsidRPr="00FF4A82" w:rsidR="008A1231">
        <w:t>, and t</w:t>
      </w:r>
      <w:r w:rsidRPr="00FF4A82" w:rsidR="008C30E1">
        <w:t xml:space="preserve">here </w:t>
      </w:r>
      <w:r w:rsidRPr="00FF4A82" w:rsidR="0036011D">
        <w:t xml:space="preserve">is </w:t>
      </w:r>
      <w:r w:rsidRPr="00FF4A82" w:rsidR="008C30E1">
        <w:t xml:space="preserve">no evidence </w:t>
      </w:r>
      <w:r w:rsidRPr="00FF4A82" w:rsidR="006B2DAE">
        <w:t xml:space="preserve">that Scoggins knew that Powell would </w:t>
      </w:r>
      <w:r w:rsidRPr="00FF4A82" w:rsidR="008A1231">
        <w:t xml:space="preserve">use </w:t>
      </w:r>
      <w:r w:rsidRPr="00FF4A82" w:rsidR="00695A60">
        <w:t>a gun</w:t>
      </w:r>
      <w:r w:rsidR="00252EDD">
        <w:t xml:space="preserve">.  </w:t>
      </w:r>
      <w:r w:rsidRPr="00FF4A82" w:rsidR="00F26065">
        <w:t xml:space="preserve">With respect to this factor, </w:t>
      </w:r>
      <w:r w:rsidRPr="00FF4A82" w:rsidR="00F77DA3">
        <w:t xml:space="preserve">Scoggins </w:t>
      </w:r>
      <w:r w:rsidRPr="00FF4A82" w:rsidR="008C2574">
        <w:t>wa</w:t>
      </w:r>
      <w:r w:rsidRPr="00FF4A82" w:rsidR="00AD33BB">
        <w:t xml:space="preserve">s </w:t>
      </w:r>
      <w:r w:rsidRPr="00FF4A82" w:rsidR="00F77DA3">
        <w:t xml:space="preserve">far less culpable than the defendants in </w:t>
      </w:r>
      <w:r w:rsidRPr="00FF4A82" w:rsidR="00F77DA3">
        <w:rPr>
          <w:i/>
          <w:iCs/>
        </w:rPr>
        <w:t>Tison</w:t>
      </w:r>
      <w:r w:rsidRPr="00FF4A82" w:rsidR="00E52157">
        <w:t xml:space="preserve">, who </w:t>
      </w:r>
      <w:r w:rsidRPr="00FF4A82" w:rsidR="00F77DA3">
        <w:t>“brought an arsenal of lethal weapons into the Arizona State Prison” to help their father and his cellmate escape.  (</w:t>
      </w:r>
      <w:r w:rsidRPr="00FF4A82" w:rsidR="007B6D28">
        <w:rPr>
          <w:i/>
          <w:iCs/>
        </w:rPr>
        <w:t>Tison</w:t>
      </w:r>
      <w:r w:rsidRPr="00FF4A82" w:rsidR="007B6D28">
        <w:t xml:space="preserve">, </w:t>
      </w:r>
      <w:r w:rsidRPr="00FF4A82" w:rsidR="007B6D28">
        <w:rPr>
          <w:i/>
          <w:iCs/>
        </w:rPr>
        <w:t>supra</w:t>
      </w:r>
      <w:r w:rsidRPr="00FF4A82" w:rsidR="007B6D28">
        <w:t>, 481 U.S. at p. 1</w:t>
      </w:r>
      <w:r w:rsidRPr="00FF4A82" w:rsidR="002E3C63">
        <w:t>51</w:t>
      </w:r>
      <w:r w:rsidRPr="00FF4A82" w:rsidR="007B6D28">
        <w:t>.)</w:t>
      </w:r>
      <w:r w:rsidRPr="00FF4A82" w:rsidR="000C5155">
        <w:t xml:space="preserve">  </w:t>
      </w:r>
      <w:r w:rsidRPr="00FF4A82" w:rsidR="003C3C96">
        <w:t xml:space="preserve">Indeed, Scoggins </w:t>
      </w:r>
      <w:r w:rsidRPr="00FF4A82" w:rsidR="003A68CE">
        <w:t>wa</w:t>
      </w:r>
      <w:r w:rsidRPr="00FF4A82" w:rsidR="003C3C96">
        <w:t xml:space="preserve">s less culpable than the defendant in </w:t>
      </w:r>
      <w:r w:rsidRPr="00FF4A82" w:rsidR="003C3C96">
        <w:rPr>
          <w:i/>
          <w:iCs/>
        </w:rPr>
        <w:t>Clark</w:t>
      </w:r>
      <w:r w:rsidRPr="00FF4A82" w:rsidR="00E55ED4">
        <w:t xml:space="preserve">, who expected </w:t>
      </w:r>
      <w:r w:rsidRPr="00FF4A82" w:rsidR="00D6512B">
        <w:t xml:space="preserve">his </w:t>
      </w:r>
      <w:r w:rsidRPr="00FF4A82" w:rsidR="00D040BC">
        <w:t>accomplice</w:t>
      </w:r>
      <w:r w:rsidRPr="00FF4A82" w:rsidR="00142A6B">
        <w:t xml:space="preserve"> to use an unloaded gun to carry out the robbery</w:t>
      </w:r>
      <w:r w:rsidRPr="00FF4A82" w:rsidR="00047BBF">
        <w:t>.  (</w:t>
      </w:r>
      <w:r w:rsidRPr="00FF4A82" w:rsidR="00047BBF">
        <w:rPr>
          <w:i/>
          <w:iCs/>
        </w:rPr>
        <w:t>Clark</w:t>
      </w:r>
      <w:r w:rsidR="0093104B">
        <w:t xml:space="preserve">, </w:t>
      </w:r>
      <w:r w:rsidRPr="00F27496" w:rsidR="0093104B">
        <w:rPr>
          <w:i/>
        </w:rPr>
        <w:t>supra</w:t>
      </w:r>
      <w:r w:rsidR="0093104B">
        <w:t xml:space="preserve">, 63 Cal.4th at </w:t>
      </w:r>
      <w:r w:rsidRPr="0093104B" w:rsidR="00047BBF">
        <w:t>p</w:t>
      </w:r>
      <w:r w:rsidRPr="00FF4A82" w:rsidR="00047BBF">
        <w:t>. 613</w:t>
      </w:r>
      <w:r w:rsidRPr="00FF4A82" w:rsidR="009E3943">
        <w:t xml:space="preserve">; see </w:t>
      </w:r>
      <w:r w:rsidRPr="00FF4A82" w:rsidR="009E3943">
        <w:rPr>
          <w:i/>
        </w:rPr>
        <w:t>i</w:t>
      </w:r>
      <w:r w:rsidRPr="00FF4A82" w:rsidR="00C809CD">
        <w:rPr>
          <w:i/>
        </w:rPr>
        <w:t>d</w:t>
      </w:r>
      <w:r w:rsidRPr="00FF4A82" w:rsidR="009E3943">
        <w:rPr>
          <w:i/>
        </w:rPr>
        <w:t>.</w:t>
      </w:r>
      <w:r w:rsidRPr="00FF4A82" w:rsidR="00C809CD">
        <w:rPr>
          <w:i/>
        </w:rPr>
        <w:t xml:space="preserve"> </w:t>
      </w:r>
      <w:r w:rsidRPr="00FF4A82" w:rsidR="00C809CD">
        <w:t>at p. 618</w:t>
      </w:r>
      <w:r w:rsidRPr="00FF4A82" w:rsidR="009E3943">
        <w:t xml:space="preserve"> [</w:t>
      </w:r>
      <w:r w:rsidRPr="00FF4A82" w:rsidR="0073253E">
        <w:t>“</w:t>
      </w:r>
      <w:r w:rsidRPr="00FF4A82" w:rsidR="009E3943">
        <w:t>T</w:t>
      </w:r>
      <w:r w:rsidRPr="00FF4A82" w:rsidR="0073253E">
        <w:t>he mere fact of a defendant’s awareness that a gun will be used in the felony is not sufficient to establish reckless indifference to human life.”</w:t>
      </w:r>
      <w:r w:rsidRPr="00FF4A82" w:rsidR="009E3943">
        <w:t>]</w:t>
      </w:r>
      <w:r w:rsidRPr="00FF4A82" w:rsidR="0073253E">
        <w:rPr>
          <w:i/>
          <w:iCs/>
        </w:rPr>
        <w:t>.</w:t>
      </w:r>
      <w:r w:rsidRPr="00FF4A82" w:rsidR="0073253E">
        <w:t>)</w:t>
      </w:r>
    </w:p>
    <w:p w:rsidR="00946299" w:rsidRPr="00FF4A82" w:rsidP="00FF4A82" w14:paraId="5A27E20D" w14:textId="65DF3E76">
      <w:pPr>
        <w:tabs>
          <w:tab w:val="left" w:pos="720"/>
        </w:tabs>
      </w:pPr>
      <w:r w:rsidRPr="00FF4A82">
        <w:tab/>
        <w:t xml:space="preserve">Second, </w:t>
      </w:r>
      <w:r w:rsidRPr="00FF4A82" w:rsidR="00871190">
        <w:t>“</w:t>
      </w:r>
      <w:r w:rsidRPr="00FF4A82" w:rsidR="0036011D">
        <w:t>[p]</w:t>
      </w:r>
      <w:r w:rsidRPr="00FF4A82" w:rsidR="00871190">
        <w:t>roximity to the murder and the events leading up to it may be particularly significant where . . . </w:t>
      </w:r>
      <w:r w:rsidRPr="00FF4A82" w:rsidR="00B757A3">
        <w:t xml:space="preserve">the murder is a culmination or a foreseeable result of several intermediate steps, or where the participant who personally commits the murder exhibits behavior tending to suggest a willingness to use lethal force.  In such cases, </w:t>
      </w:r>
      <w:r w:rsidRPr="00FF4A82" w:rsidR="00386101">
        <w:t>‘</w:t>
      </w:r>
      <w:r w:rsidRPr="00FF4A82" w:rsidR="00E6450F">
        <w:t>the defendant’s presence allows him to observe his cohorts so that it is fair to conclude that he shared in their actions and mental state. . . . </w:t>
      </w:r>
      <w:r w:rsidRPr="00FF4A82" w:rsidR="0036011D">
        <w:t xml:space="preserve"> </w:t>
      </w:r>
      <w:r w:rsidRPr="00FF4A82" w:rsidR="00E6450F">
        <w:t>[Moreover,</w:t>
      </w:r>
      <w:r w:rsidRPr="00FF4A82" w:rsidR="00386101">
        <w:t>] the defendant’s presence gives him an opportunity to act as a restraining influence on murderous cohorts.</w:t>
      </w:r>
      <w:r w:rsidRPr="00FF4A82" w:rsidR="005B07BB">
        <w:t xml:space="preserve">  If the defendant fails to act as a restraining influence, then the </w:t>
      </w:r>
      <w:r w:rsidRPr="00FF4A82" w:rsidR="001D161F">
        <w:t>defendant</w:t>
      </w:r>
      <w:r w:rsidRPr="00FF4A82" w:rsidR="005B07BB">
        <w:t xml:space="preserve"> is </w:t>
      </w:r>
      <w:r w:rsidRPr="00FF4A82" w:rsidR="001D161F">
        <w:t>arguably</w:t>
      </w:r>
      <w:r w:rsidRPr="00FF4A82" w:rsidR="005B07BB">
        <w:t xml:space="preserve"> more at fault for the resulting murders.</w:t>
      </w:r>
      <w:r w:rsidRPr="00FF4A82" w:rsidR="006A316C">
        <w:t>’</w:t>
      </w:r>
      <w:r w:rsidRPr="00FF4A82" w:rsidR="00971A8E">
        <w:t> </w:t>
      </w:r>
      <w:r w:rsidRPr="00FF4A82" w:rsidR="005B07BB">
        <w:t>”  (</w:t>
      </w:r>
      <w:r w:rsidRPr="00FF4A82" w:rsidR="005B07BB">
        <w:rPr>
          <w:i/>
        </w:rPr>
        <w:t>Clark</w:t>
      </w:r>
      <w:r w:rsidRPr="00FF4A82" w:rsidR="005B07BB">
        <w:t xml:space="preserve">, </w:t>
      </w:r>
      <w:r w:rsidRPr="00FF4A82" w:rsidR="005B07BB">
        <w:rPr>
          <w:i/>
        </w:rPr>
        <w:t>supra</w:t>
      </w:r>
      <w:r w:rsidRPr="00FF4A82" w:rsidR="005B07BB">
        <w:t xml:space="preserve">, </w:t>
      </w:r>
      <w:r w:rsidRPr="00FF4A82" w:rsidR="001D161F">
        <w:t>63 Cal.4th at p. 619.)</w:t>
      </w:r>
    </w:p>
    <w:p w:rsidR="00084190" w:rsidRPr="00FF4A82" w:rsidP="00FF4A82" w14:paraId="2A3F9F82" w14:textId="537F7346">
      <w:pPr>
        <w:tabs>
          <w:tab w:val="left" w:pos="720"/>
        </w:tabs>
      </w:pPr>
      <w:r w:rsidRPr="00FF4A82">
        <w:tab/>
      </w:r>
      <w:r w:rsidRPr="00FF4A82" w:rsidR="002E15DC">
        <w:t>T</w:t>
      </w:r>
      <w:r w:rsidRPr="00FF4A82" w:rsidR="00890CED">
        <w:t>he defendants</w:t>
      </w:r>
      <w:r w:rsidRPr="00FF4A82">
        <w:t xml:space="preserve"> in </w:t>
      </w:r>
      <w:r w:rsidRPr="00FF4A82">
        <w:rPr>
          <w:i/>
          <w:iCs/>
        </w:rPr>
        <w:t>Tison</w:t>
      </w:r>
      <w:r w:rsidRPr="00FF4A82" w:rsidR="00890CED">
        <w:t xml:space="preserve"> were physically present during the </w:t>
      </w:r>
      <w:r w:rsidRPr="00FF4A82" w:rsidR="00303965">
        <w:t xml:space="preserve">entire sequence of events that resulted in the </w:t>
      </w:r>
      <w:r w:rsidRPr="00FF4A82" w:rsidR="00B565E5">
        <w:t>victims’ deaths.  (</w:t>
      </w:r>
      <w:r w:rsidRPr="00FF4A82" w:rsidR="00B565E5">
        <w:rPr>
          <w:i/>
          <w:iCs/>
        </w:rPr>
        <w:t>Tison</w:t>
      </w:r>
      <w:r w:rsidRPr="00FF4A82" w:rsidR="00B565E5">
        <w:t xml:space="preserve">, </w:t>
      </w:r>
      <w:r w:rsidRPr="00FF4A82" w:rsidR="00B565E5">
        <w:rPr>
          <w:i/>
          <w:iCs/>
        </w:rPr>
        <w:t>supra</w:t>
      </w:r>
      <w:r w:rsidRPr="00FF4A82" w:rsidR="00B565E5">
        <w:t xml:space="preserve">, </w:t>
      </w:r>
      <w:r w:rsidRPr="00FF4A82" w:rsidR="000E0041">
        <w:t>481 U.S. at p. 15</w:t>
      </w:r>
      <w:r w:rsidRPr="00FF4A82" w:rsidR="008C19CA">
        <w:t>8</w:t>
      </w:r>
      <w:r w:rsidRPr="00FF4A82" w:rsidR="000E0041">
        <w:t>.)</w:t>
      </w:r>
      <w:r w:rsidRPr="00FF4A82" w:rsidR="008C1CAD">
        <w:t xml:space="preserve">  </w:t>
      </w:r>
      <w:r w:rsidRPr="00FF4A82" w:rsidR="002E15DC">
        <w:t>T</w:t>
      </w:r>
      <w:r w:rsidRPr="00FF4A82" w:rsidR="008C1CAD">
        <w:t>he</w:t>
      </w:r>
      <w:r w:rsidRPr="00FF4A82" w:rsidR="002B0682">
        <w:t xml:space="preserve"> </w:t>
      </w:r>
      <w:r w:rsidRPr="00FF4A82">
        <w:t>Tison brothers</w:t>
      </w:r>
      <w:r w:rsidRPr="00FF4A82" w:rsidR="008C1CAD">
        <w:t xml:space="preserve"> </w:t>
      </w:r>
      <w:r w:rsidRPr="00FF4A82" w:rsidR="008C3597">
        <w:t xml:space="preserve">flagged down the car containing the </w:t>
      </w:r>
      <w:r w:rsidRPr="00FF4A82" w:rsidR="0065193E">
        <w:t xml:space="preserve">victims, </w:t>
      </w:r>
      <w:r w:rsidRPr="00FF4A82" w:rsidR="007E6CB9">
        <w:t>kidnapped and robbed the</w:t>
      </w:r>
      <w:r w:rsidRPr="00FF4A82" w:rsidR="00311714">
        <w:t>m</w:t>
      </w:r>
      <w:r w:rsidRPr="00FF4A82" w:rsidR="007E6CB9">
        <w:t xml:space="preserve">, </w:t>
      </w:r>
      <w:r w:rsidRPr="00FF4A82" w:rsidR="00FA5099">
        <w:t xml:space="preserve">guarded </w:t>
      </w:r>
      <w:r w:rsidRPr="00FF4A82" w:rsidR="00311714">
        <w:t>the</w:t>
      </w:r>
      <w:r w:rsidRPr="00FF4A82" w:rsidR="002B0682">
        <w:t>m</w:t>
      </w:r>
      <w:r w:rsidRPr="00FF4A82" w:rsidR="007B5F76">
        <w:t xml:space="preserve"> while the</w:t>
      </w:r>
      <w:r w:rsidRPr="00FF4A82" w:rsidR="002B0682">
        <w:t>ir</w:t>
      </w:r>
      <w:r w:rsidRPr="00FF4A82" w:rsidR="007B5F76">
        <w:t xml:space="preserve"> father decided wh</w:t>
      </w:r>
      <w:r w:rsidRPr="00FF4A82" w:rsidR="000C5CA6">
        <w:t>at to do</w:t>
      </w:r>
      <w:r w:rsidRPr="00FF4A82" w:rsidR="007B5F76">
        <w:t>, and eventually watched their father shoot the victims.</w:t>
      </w:r>
      <w:r w:rsidRPr="00FF4A82" w:rsidR="00CB3CC7">
        <w:t xml:space="preserve">  (</w:t>
      </w:r>
      <w:r w:rsidRPr="00FF4A82" w:rsidR="00CB3CC7">
        <w:rPr>
          <w:i/>
          <w:iCs/>
        </w:rPr>
        <w:t xml:space="preserve">Id. </w:t>
      </w:r>
      <w:r w:rsidRPr="00FF4A82" w:rsidR="00CB3CC7">
        <w:t>at p</w:t>
      </w:r>
      <w:r w:rsidRPr="00FF4A82" w:rsidR="006B4233">
        <w:t>p. 139–141.)</w:t>
      </w:r>
      <w:r w:rsidRPr="00FF4A82" w:rsidR="00A469BC">
        <w:t xml:space="preserve">  During that time, </w:t>
      </w:r>
      <w:r w:rsidRPr="00FF4A82">
        <w:t xml:space="preserve">the defendants </w:t>
      </w:r>
      <w:r w:rsidRPr="00FF4A82" w:rsidR="00644F27">
        <w:t xml:space="preserve">knew that their father was debating whether to kill the victims and </w:t>
      </w:r>
      <w:r w:rsidRPr="00FF4A82" w:rsidR="00CE7CB6">
        <w:t xml:space="preserve">had ample opportunity to </w:t>
      </w:r>
      <w:r w:rsidRPr="00FF4A82" w:rsidR="0097136E">
        <w:t xml:space="preserve">restrain the </w:t>
      </w:r>
      <w:r w:rsidRPr="00FF4A82" w:rsidR="001E6836">
        <w:t>crime</w:t>
      </w:r>
      <w:r w:rsidRPr="00FF4A82" w:rsidR="0097136E">
        <w:t xml:space="preserve"> and aid t</w:t>
      </w:r>
      <w:r w:rsidRPr="00FF4A82" w:rsidR="000F03B8">
        <w:t xml:space="preserve">he victims.  </w:t>
      </w:r>
      <w:r w:rsidRPr="00FF4A82" w:rsidR="00867BDF">
        <w:t>(</w:t>
      </w:r>
      <w:r w:rsidRPr="00FF4A82" w:rsidR="00867BDF">
        <w:rPr>
          <w:i/>
          <w:iCs/>
        </w:rPr>
        <w:t xml:space="preserve">Id. </w:t>
      </w:r>
      <w:r w:rsidRPr="00FF4A82" w:rsidR="00867BDF">
        <w:t>at p. 140.)</w:t>
      </w:r>
      <w:r w:rsidRPr="00FF4A82" w:rsidR="00B727F1">
        <w:t xml:space="preserve">  </w:t>
      </w:r>
      <w:r w:rsidRPr="00FF4A82" w:rsidR="00E342CA">
        <w:t>Because t</w:t>
      </w:r>
      <w:r w:rsidRPr="00FF4A82" w:rsidR="00B727F1">
        <w:t>he defendants did</w:t>
      </w:r>
      <w:r w:rsidRPr="00FF4A82" w:rsidR="0059304F">
        <w:t xml:space="preserve"> neither, </w:t>
      </w:r>
      <w:r w:rsidRPr="00FF4A82" w:rsidR="00E342CA">
        <w:t xml:space="preserve">the high court </w:t>
      </w:r>
      <w:r w:rsidR="001C303F">
        <w:t>reasoned,</w:t>
      </w:r>
      <w:r w:rsidRPr="00FF4A82" w:rsidR="001C303F">
        <w:t xml:space="preserve"> </w:t>
      </w:r>
      <w:r w:rsidRPr="00FF4A82" w:rsidR="00E342CA">
        <w:t xml:space="preserve">they </w:t>
      </w:r>
      <w:r w:rsidRPr="00FF4A82" w:rsidR="0072754D">
        <w:t>exhibited reckless indifference to human life.  (</w:t>
      </w:r>
      <w:r w:rsidRPr="00FF4A82" w:rsidR="0072754D">
        <w:rPr>
          <w:i/>
          <w:iCs/>
        </w:rPr>
        <w:t xml:space="preserve">Id. </w:t>
      </w:r>
      <w:r w:rsidRPr="00FF4A82" w:rsidR="0072754D">
        <w:t>at pp. 151–152.)</w:t>
      </w:r>
    </w:p>
    <w:p w:rsidR="00D46B09" w:rsidP="00FF4A82" w14:paraId="29A7F927" w14:textId="3849149A">
      <w:pPr>
        <w:tabs>
          <w:tab w:val="left" w:pos="720"/>
        </w:tabs>
        <w:rPr>
          <w:sz w:val="26"/>
          <w:szCs w:val="26"/>
        </w:rPr>
      </w:pPr>
      <w:r w:rsidRPr="00FF4A82">
        <w:tab/>
      </w:r>
      <w:r w:rsidRPr="00FF4A82" w:rsidR="002E15DC">
        <w:t>Here, by contrast, Scoggins was not physically present at the crime scene</w:t>
      </w:r>
      <w:r w:rsidRPr="00FF4A82" w:rsidR="00971A8E">
        <w:t xml:space="preserve"> </w:t>
      </w:r>
      <w:r w:rsidRPr="00FF4A82" w:rsidR="002E15DC">
        <w:t>and was not in a position to restrain Powell</w:t>
      </w:r>
      <w:r w:rsidRPr="00FF4A82" w:rsidR="00971A8E">
        <w:t xml:space="preserve"> once the meeting with Wilson began</w:t>
      </w:r>
      <w:r w:rsidRPr="00FF4A82" w:rsidR="002E15DC">
        <w:t>.</w:t>
      </w:r>
      <w:r w:rsidR="00E02BE1">
        <w:t xml:space="preserve">  Scoggins </w:t>
      </w:r>
      <w:r w:rsidR="00C06843">
        <w:t>remained</w:t>
      </w:r>
      <w:r w:rsidR="00B35CC0">
        <w:t xml:space="preserve"> at a nearby gas station </w:t>
      </w:r>
      <w:r w:rsidR="00F07F55">
        <w:t xml:space="preserve">during the course of the crime and did not </w:t>
      </w:r>
      <w:r w:rsidR="0058682D">
        <w:t>arrive at the crime scene unti</w:t>
      </w:r>
      <w:r w:rsidR="00AA731C">
        <w:t xml:space="preserve">l after the shooting occurred.  </w:t>
      </w:r>
      <w:r w:rsidR="00CB3D4A">
        <w:t>Moreover, it is</w:t>
      </w:r>
      <w:r w:rsidR="007B3D3A">
        <w:t xml:space="preserve"> </w:t>
      </w:r>
      <w:r w:rsidR="00CB3D4A">
        <w:t xml:space="preserve">not clear </w:t>
      </w:r>
      <w:r w:rsidR="00CD27EF">
        <w:t xml:space="preserve">whether Scoggins </w:t>
      </w:r>
      <w:r w:rsidR="00845F6D">
        <w:t>could even see</w:t>
      </w:r>
      <w:r w:rsidR="00CD27EF">
        <w:t xml:space="preserve"> th</w:t>
      </w:r>
      <w:r w:rsidR="00CC7311">
        <w:t xml:space="preserve">e </w:t>
      </w:r>
      <w:r w:rsidR="00856CF5">
        <w:t xml:space="preserve">confrontation between his accomplices and Wilson </w:t>
      </w:r>
      <w:r w:rsidR="00F26A85">
        <w:t xml:space="preserve">from </w:t>
      </w:r>
      <w:r w:rsidR="00AD1DD6">
        <w:t xml:space="preserve">his position </w:t>
      </w:r>
      <w:r w:rsidR="00E4015E">
        <w:t xml:space="preserve">at </w:t>
      </w:r>
      <w:r w:rsidR="00F26A85">
        <w:t xml:space="preserve">the gas station.  </w:t>
      </w:r>
      <w:r w:rsidR="003E72F7">
        <w:t xml:space="preserve">The record contains two pieces of evidence </w:t>
      </w:r>
      <w:r w:rsidR="006F70C7">
        <w:t>regarding Scoggins’s location</w:t>
      </w:r>
      <w:r w:rsidR="00421B6A">
        <w:t xml:space="preserve">: cell tower data and Scoggins’s </w:t>
      </w:r>
      <w:r w:rsidR="00DB2DE9">
        <w:t>state</w:t>
      </w:r>
      <w:r w:rsidR="00377C1B">
        <w:t>ments to the police.  The cell tower data placed Scoggins within a half-mile radius of the crime sc</w:t>
      </w:r>
      <w:r w:rsidR="003467AD">
        <w:t>ene but did</w:t>
      </w:r>
      <w:r w:rsidR="00DA0763">
        <w:t xml:space="preserve"> not </w:t>
      </w:r>
      <w:r w:rsidR="00124BCF">
        <w:t xml:space="preserve">provide any information </w:t>
      </w:r>
      <w:r w:rsidR="00053392">
        <w:t xml:space="preserve">on </w:t>
      </w:r>
      <w:r w:rsidR="001C303F">
        <w:t>his</w:t>
      </w:r>
      <w:r w:rsidR="00053392">
        <w:t xml:space="preserve"> </w:t>
      </w:r>
      <w:r w:rsidR="003723FA">
        <w:t xml:space="preserve">exact location.  </w:t>
      </w:r>
      <w:r w:rsidR="001C303F">
        <w:t xml:space="preserve">In his statements to the police, </w:t>
      </w:r>
      <w:r w:rsidR="00A9572E">
        <w:t xml:space="preserve">Scoggins </w:t>
      </w:r>
      <w:r w:rsidR="00134F45">
        <w:t xml:space="preserve">denied </w:t>
      </w:r>
      <w:r w:rsidR="00F70A60">
        <w:t xml:space="preserve">that he could see </w:t>
      </w:r>
      <w:r w:rsidR="0042078C">
        <w:t xml:space="preserve">the shooting from </w:t>
      </w:r>
      <w:r w:rsidR="001E6A65">
        <w:t>his location at the gas station</w:t>
      </w:r>
      <w:r w:rsidR="0021542F">
        <w:t xml:space="preserve">.  </w:t>
      </w:r>
      <w:r w:rsidRPr="006822CC" w:rsidR="00486F46">
        <w:rPr>
          <w:sz w:val="26"/>
          <w:szCs w:val="26"/>
        </w:rPr>
        <w:t xml:space="preserve">The evidence at trial </w:t>
      </w:r>
      <w:r w:rsidRPr="006822CC" w:rsidR="006822CC">
        <w:rPr>
          <w:sz w:val="26"/>
          <w:szCs w:val="26"/>
        </w:rPr>
        <w:t xml:space="preserve">lends some support to </w:t>
      </w:r>
      <w:r w:rsidR="00944D1A">
        <w:rPr>
          <w:sz w:val="26"/>
          <w:szCs w:val="26"/>
        </w:rPr>
        <w:t>his claim</w:t>
      </w:r>
      <w:r w:rsidRPr="006822CC" w:rsidR="006822CC">
        <w:rPr>
          <w:sz w:val="26"/>
          <w:szCs w:val="26"/>
        </w:rPr>
        <w:t xml:space="preserve">.  </w:t>
      </w:r>
      <w:r w:rsidRPr="006822CC" w:rsidR="00AA04EC">
        <w:rPr>
          <w:sz w:val="26"/>
          <w:szCs w:val="26"/>
        </w:rPr>
        <w:t xml:space="preserve">According to eyewitnesses, </w:t>
      </w:r>
      <w:r w:rsidR="009F6E15">
        <w:rPr>
          <w:sz w:val="26"/>
          <w:szCs w:val="26"/>
        </w:rPr>
        <w:t>Powell and Howard</w:t>
      </w:r>
      <w:r w:rsidRPr="006822CC" w:rsidR="006F2565">
        <w:rPr>
          <w:sz w:val="26"/>
          <w:szCs w:val="26"/>
        </w:rPr>
        <w:t xml:space="preserve"> confronted Wilson</w:t>
      </w:r>
      <w:r w:rsidR="00816D4F">
        <w:rPr>
          <w:sz w:val="26"/>
          <w:szCs w:val="26"/>
        </w:rPr>
        <w:t xml:space="preserve"> near </w:t>
      </w:r>
      <w:r w:rsidR="00C62C83">
        <w:rPr>
          <w:sz w:val="26"/>
          <w:szCs w:val="26"/>
        </w:rPr>
        <w:t>Cooks’s</w:t>
      </w:r>
      <w:r w:rsidR="006F2565">
        <w:rPr>
          <w:sz w:val="26"/>
          <w:szCs w:val="26"/>
        </w:rPr>
        <w:t xml:space="preserve"> van, which was parked in the lot ne</w:t>
      </w:r>
      <w:r w:rsidR="004D1F55">
        <w:rPr>
          <w:sz w:val="26"/>
          <w:szCs w:val="26"/>
        </w:rPr>
        <w:t>xt to the gas station.  Shell casings recovered after the shooting indicate</w:t>
      </w:r>
      <w:r w:rsidR="00E70B7E">
        <w:rPr>
          <w:sz w:val="26"/>
          <w:szCs w:val="26"/>
        </w:rPr>
        <w:t xml:space="preserve"> that Powell</w:t>
      </w:r>
      <w:r w:rsidR="007739C0">
        <w:rPr>
          <w:sz w:val="26"/>
          <w:szCs w:val="26"/>
        </w:rPr>
        <w:t xml:space="preserve"> was standing on the side of the van o</w:t>
      </w:r>
      <w:r w:rsidR="001149ED">
        <w:rPr>
          <w:sz w:val="26"/>
          <w:szCs w:val="26"/>
        </w:rPr>
        <w:t>pposite from the gas station</w:t>
      </w:r>
      <w:r w:rsidR="008F6B83">
        <w:rPr>
          <w:sz w:val="26"/>
          <w:szCs w:val="26"/>
        </w:rPr>
        <w:t xml:space="preserve"> when he first </w:t>
      </w:r>
      <w:r w:rsidR="008635DC">
        <w:rPr>
          <w:sz w:val="26"/>
          <w:szCs w:val="26"/>
        </w:rPr>
        <w:t xml:space="preserve">shot </w:t>
      </w:r>
      <w:r w:rsidR="00552855">
        <w:rPr>
          <w:sz w:val="26"/>
          <w:szCs w:val="26"/>
        </w:rPr>
        <w:t>Wilson</w:t>
      </w:r>
      <w:r w:rsidR="00A469D3">
        <w:rPr>
          <w:sz w:val="26"/>
          <w:szCs w:val="26"/>
        </w:rPr>
        <w:t xml:space="preserve">.  </w:t>
      </w:r>
      <w:r w:rsidR="00A11F03">
        <w:rPr>
          <w:sz w:val="26"/>
          <w:szCs w:val="26"/>
        </w:rPr>
        <w:t xml:space="preserve">Thus, </w:t>
      </w:r>
      <w:r w:rsidR="00DB2684">
        <w:rPr>
          <w:sz w:val="26"/>
          <w:szCs w:val="26"/>
        </w:rPr>
        <w:t>the van would have blocked Scoggins’s view</w:t>
      </w:r>
      <w:r w:rsidR="001C303F">
        <w:rPr>
          <w:sz w:val="26"/>
          <w:szCs w:val="26"/>
        </w:rPr>
        <w:t xml:space="preserve"> of</w:t>
      </w:r>
      <w:r w:rsidR="00A51BAB">
        <w:rPr>
          <w:sz w:val="26"/>
          <w:szCs w:val="26"/>
        </w:rPr>
        <w:t xml:space="preserve"> </w:t>
      </w:r>
      <w:r w:rsidR="008B49BC">
        <w:rPr>
          <w:sz w:val="26"/>
          <w:szCs w:val="26"/>
        </w:rPr>
        <w:t xml:space="preserve">the confrontation between </w:t>
      </w:r>
      <w:r w:rsidR="002D4023">
        <w:rPr>
          <w:sz w:val="26"/>
          <w:szCs w:val="26"/>
        </w:rPr>
        <w:t xml:space="preserve">his accomplices and Wilson, </w:t>
      </w:r>
      <w:r w:rsidR="00CB3D4A">
        <w:rPr>
          <w:sz w:val="26"/>
          <w:szCs w:val="26"/>
        </w:rPr>
        <w:t xml:space="preserve">leaving </w:t>
      </w:r>
      <w:r w:rsidR="001C303F">
        <w:rPr>
          <w:sz w:val="26"/>
          <w:szCs w:val="26"/>
        </w:rPr>
        <w:t xml:space="preserve">him </w:t>
      </w:r>
      <w:r w:rsidR="00CB3D4A">
        <w:rPr>
          <w:sz w:val="26"/>
          <w:szCs w:val="26"/>
        </w:rPr>
        <w:t xml:space="preserve">unaware in real time that Powell was </w:t>
      </w:r>
      <w:r w:rsidR="00B52D54">
        <w:rPr>
          <w:sz w:val="26"/>
          <w:szCs w:val="26"/>
        </w:rPr>
        <w:t>deviat</w:t>
      </w:r>
      <w:r w:rsidR="00CB3D4A">
        <w:rPr>
          <w:sz w:val="26"/>
          <w:szCs w:val="26"/>
        </w:rPr>
        <w:t>ing</w:t>
      </w:r>
      <w:r w:rsidR="00B52D54">
        <w:rPr>
          <w:sz w:val="26"/>
          <w:szCs w:val="26"/>
        </w:rPr>
        <w:t xml:space="preserve"> from </w:t>
      </w:r>
      <w:r w:rsidR="00CB3D4A">
        <w:rPr>
          <w:sz w:val="26"/>
          <w:szCs w:val="26"/>
        </w:rPr>
        <w:t>the</w:t>
      </w:r>
      <w:r w:rsidR="00C3757E">
        <w:rPr>
          <w:sz w:val="26"/>
          <w:szCs w:val="26"/>
        </w:rPr>
        <w:t xml:space="preserve"> original plan.  (</w:t>
      </w:r>
      <w:r w:rsidRPr="00FF4A82" w:rsidR="00201D39">
        <w:rPr>
          <w:i/>
        </w:rPr>
        <w:t>Clark</w:t>
      </w:r>
      <w:r w:rsidRPr="00FF4A82" w:rsidR="00201D39">
        <w:t xml:space="preserve">, </w:t>
      </w:r>
      <w:r w:rsidRPr="00FF4A82" w:rsidR="00201D39">
        <w:rPr>
          <w:i/>
        </w:rPr>
        <w:t>supra</w:t>
      </w:r>
      <w:r w:rsidRPr="00FF4A82" w:rsidR="00201D39">
        <w:t>, 63 Cal.4th at p. 619</w:t>
      </w:r>
      <w:r w:rsidR="00201D39">
        <w:t>.)</w:t>
      </w:r>
    </w:p>
    <w:p w:rsidR="00E026E7" w:rsidP="00FF4A82" w14:paraId="36A7297B" w14:textId="2C301B6A">
      <w:pPr>
        <w:tabs>
          <w:tab w:val="left" w:pos="720"/>
        </w:tabs>
      </w:pPr>
      <w:r>
        <w:rPr>
          <w:sz w:val="26"/>
          <w:szCs w:val="26"/>
        </w:rPr>
        <w:tab/>
      </w:r>
      <w:r w:rsidR="001C303F">
        <w:t>T</w:t>
      </w:r>
      <w:r w:rsidRPr="00FF4A82" w:rsidR="6F6D58A4">
        <w:t>he Attorney General contends that Scoggins could have restrained the crime because he was in constant communication with Powell and Howard before the shooting and could have instructed them</w:t>
      </w:r>
      <w:r w:rsidRPr="00FF4A82" w:rsidR="00BB1522">
        <w:t xml:space="preserve"> to avoid using lethal force.  </w:t>
      </w:r>
      <w:r w:rsidRPr="00FF4A82" w:rsidR="6F6D58A4">
        <w:t xml:space="preserve">But </w:t>
      </w:r>
      <w:r w:rsidRPr="00FF4A82" w:rsidR="002E15DC">
        <w:t xml:space="preserve">Scoggins had no reason to give such an instruction; his plan for Powell and Howard to beat up Wilson did not contemplate any use of lethal force, and </w:t>
      </w:r>
      <w:r w:rsidRPr="00FF4A82" w:rsidR="6F6D58A4">
        <w:t xml:space="preserve">unlike the Tison brothers, </w:t>
      </w:r>
      <w:r w:rsidRPr="00FF4A82" w:rsidR="002E15DC">
        <w:t xml:space="preserve">he </w:t>
      </w:r>
      <w:r w:rsidRPr="00FF4A82" w:rsidR="6F6D58A4">
        <w:t>had no reason to suspect that his accomplices were armed or planning to kill Wilson.</w:t>
      </w:r>
      <w:r w:rsidRPr="00FF4A82" w:rsidR="00A3487D">
        <w:t xml:space="preserve">  (</w:t>
      </w:r>
      <w:r w:rsidRPr="00FF4A82" w:rsidR="00A3487D">
        <w:rPr>
          <w:i/>
        </w:rPr>
        <w:t>Post</w:t>
      </w:r>
      <w:r w:rsidR="000C25F8">
        <w:t>, at pp. 1</w:t>
      </w:r>
      <w:r w:rsidR="00DB09CD">
        <w:t>7</w:t>
      </w:r>
      <w:r w:rsidR="000C25F8">
        <w:t>–</w:t>
      </w:r>
      <w:r w:rsidR="00DB09CD">
        <w:t>20</w:t>
      </w:r>
      <w:r w:rsidRPr="00FF4A82" w:rsidR="00A3487D">
        <w:t>.)</w:t>
      </w:r>
      <w:r w:rsidR="000C2396">
        <w:t xml:space="preserve">  In addition, although </w:t>
      </w:r>
      <w:r w:rsidR="001E02DB">
        <w:t>Scoggins</w:t>
      </w:r>
      <w:r w:rsidR="006B5806">
        <w:t xml:space="preserve"> was in close contact with his accomplices before the shooting, </w:t>
      </w:r>
      <w:r w:rsidR="00386AC1">
        <w:t xml:space="preserve">he </w:t>
      </w:r>
      <w:r w:rsidR="00CB3D4A">
        <w:t>lacked</w:t>
      </w:r>
      <w:r w:rsidR="00386AC1">
        <w:t xml:space="preserve"> </w:t>
      </w:r>
      <w:r w:rsidR="00B3088D">
        <w:t>control over their actions</w:t>
      </w:r>
      <w:r w:rsidR="0031697B">
        <w:t xml:space="preserve"> once they arrived on the crime scene, </w:t>
      </w:r>
      <w:r w:rsidR="002307AF">
        <w:t>especially given</w:t>
      </w:r>
      <w:r w:rsidR="000F0C52">
        <w:t xml:space="preserve"> </w:t>
      </w:r>
      <w:r w:rsidR="008979CF">
        <w:t>how quickly the shooting occurred.  This distinguishes Scoggins from the Tison brothers, who were physically present at the scene where a long sequence of event</w:t>
      </w:r>
      <w:r w:rsidR="008733DE">
        <w:t>s culminat</w:t>
      </w:r>
      <w:r w:rsidR="00CB3D4A">
        <w:t>ed</w:t>
      </w:r>
      <w:r w:rsidR="008733DE">
        <w:t xml:space="preserve"> in murder</w:t>
      </w:r>
      <w:r w:rsidR="008979CF">
        <w:t>.</w:t>
      </w:r>
      <w:r w:rsidR="00815EFD">
        <w:t xml:space="preserve">  (See </w:t>
      </w:r>
      <w:r w:rsidR="00815EFD">
        <w:rPr>
          <w:i/>
        </w:rPr>
        <w:t>Tison</w:t>
      </w:r>
      <w:r w:rsidR="00815EFD">
        <w:t xml:space="preserve">, </w:t>
      </w:r>
      <w:r w:rsidR="00815EFD">
        <w:rPr>
          <w:i/>
        </w:rPr>
        <w:t>supra</w:t>
      </w:r>
      <w:r w:rsidR="00815EFD">
        <w:t>, 481 U.S. at p</w:t>
      </w:r>
      <w:r w:rsidR="00247E30">
        <w:t>p</w:t>
      </w:r>
      <w:r w:rsidR="00815EFD">
        <w:t>. 139–141.)</w:t>
      </w:r>
    </w:p>
    <w:p w:rsidR="00490C8F" w:rsidP="00FF4A82" w14:paraId="7DF97190" w14:textId="79EBBAC9">
      <w:pPr>
        <w:tabs>
          <w:tab w:val="left" w:pos="720"/>
        </w:tabs>
      </w:pPr>
      <w:r w:rsidRPr="00FF4A82">
        <w:tab/>
        <w:t xml:space="preserve">We </w:t>
      </w:r>
      <w:r w:rsidR="00C8125E">
        <w:t>emphasize</w:t>
      </w:r>
      <w:r w:rsidRPr="00FF4A82">
        <w:t xml:space="preserve"> that “physical presence is not invariably a prerequisite to demonstrating reck</w:t>
      </w:r>
      <w:r w:rsidR="00602A83">
        <w:t>less indifference to human life.</w:t>
      </w:r>
      <w:r w:rsidRPr="00FF4A82">
        <w:t>”</w:t>
      </w:r>
      <w:r w:rsidR="005D222E">
        <w:t xml:space="preserve">  </w:t>
      </w:r>
      <w:r w:rsidRPr="00FF4A82" w:rsidR="005D222E">
        <w:t>(</w:t>
      </w:r>
      <w:r w:rsidRPr="00FF4A82" w:rsidR="005D222E">
        <w:rPr>
          <w:i/>
          <w:iCs/>
        </w:rPr>
        <w:t>Clark</w:t>
      </w:r>
      <w:r w:rsidRPr="00FF4A82" w:rsidR="005D222E">
        <w:t xml:space="preserve">, </w:t>
      </w:r>
      <w:r w:rsidRPr="00FF4A82" w:rsidR="005D222E">
        <w:rPr>
          <w:i/>
          <w:iCs/>
        </w:rPr>
        <w:t>supra</w:t>
      </w:r>
      <w:r w:rsidRPr="00FF4A82" w:rsidR="005D222E">
        <w:t>, 63 Cal.4th at p. 619</w:t>
      </w:r>
      <w:r w:rsidR="008C7C9A">
        <w:t xml:space="preserve">.)  </w:t>
      </w:r>
      <w:r w:rsidR="00760D0E">
        <w:t xml:space="preserve">“Where, for example, a defendant instructs other members of a criminal gang carrying out carjackings at his behest to shoot any resisting victims, he need not be present when his subordinates </w:t>
      </w:r>
      <w:r w:rsidR="00C41B67">
        <w:t>carry out the instruction in order to be found to be recklessly indifferent to the lives of the victims.”  (</w:t>
      </w:r>
      <w:r w:rsidR="00637562">
        <w:rPr>
          <w:i/>
        </w:rPr>
        <w:t>Ibid</w:t>
      </w:r>
      <w:r w:rsidR="00C41B67">
        <w:rPr>
          <w:i/>
        </w:rPr>
        <w:t>.</w:t>
      </w:r>
      <w:r w:rsidR="00C41B67">
        <w:t xml:space="preserve">, </w:t>
      </w:r>
      <w:r w:rsidRPr="00FF4A82">
        <w:t xml:space="preserve">citing </w:t>
      </w:r>
      <w:r w:rsidR="005957AC">
        <w:rPr>
          <w:i/>
        </w:rPr>
        <w:t xml:space="preserve">People v. </w:t>
      </w:r>
      <w:r w:rsidRPr="00FF4A82">
        <w:rPr>
          <w:i/>
        </w:rPr>
        <w:t>Williams</w:t>
      </w:r>
      <w:r w:rsidR="005957AC">
        <w:t xml:space="preserve"> </w:t>
      </w:r>
      <w:r w:rsidR="00A225E6">
        <w:t xml:space="preserve">(2015) </w:t>
      </w:r>
      <w:r w:rsidRPr="00FF4A82" w:rsidR="00971A8E">
        <w:t>61 Cal.4th</w:t>
      </w:r>
      <w:r w:rsidR="00944D18">
        <w:t xml:space="preserve"> 1244, </w:t>
      </w:r>
      <w:r w:rsidR="002A188B">
        <w:t>1281–1282.)</w:t>
      </w:r>
      <w:r w:rsidR="00524F32">
        <w:t xml:space="preserve">  </w:t>
      </w:r>
      <w:r w:rsidR="00CB3D4A">
        <w:t xml:space="preserve">Especially in light of </w:t>
      </w:r>
      <w:r w:rsidR="006765E6">
        <w:t>emerging technologies</w:t>
      </w:r>
      <w:r w:rsidR="00CB3D4A">
        <w:t>, a</w:t>
      </w:r>
      <w:r w:rsidR="00EE4610">
        <w:t xml:space="preserve"> </w:t>
      </w:r>
      <w:r w:rsidR="00923072">
        <w:t xml:space="preserve">defendant </w:t>
      </w:r>
      <w:r w:rsidR="00835991">
        <w:t xml:space="preserve">who </w:t>
      </w:r>
      <w:r w:rsidR="00EB6EC6">
        <w:t>plans and</w:t>
      </w:r>
      <w:r w:rsidR="00516887">
        <w:t xml:space="preserve"> directs</w:t>
      </w:r>
      <w:r w:rsidR="00790A45">
        <w:t xml:space="preserve"> a murder from afar </w:t>
      </w:r>
      <w:r w:rsidR="00D0193D">
        <w:t>may be just as</w:t>
      </w:r>
      <w:r w:rsidR="006C0BAD">
        <w:t xml:space="preserve"> culpable </w:t>
      </w:r>
      <w:r w:rsidR="00B10B62">
        <w:t xml:space="preserve">as a defendant </w:t>
      </w:r>
      <w:r w:rsidR="009D5F02">
        <w:t>who is physical</w:t>
      </w:r>
      <w:r w:rsidR="000D1ADC">
        <w:t xml:space="preserve">ly present at the </w:t>
      </w:r>
      <w:r w:rsidR="00F675A2">
        <w:t>scene of the crime</w:t>
      </w:r>
      <w:r w:rsidR="008E3274">
        <w:t>.</w:t>
      </w:r>
      <w:r w:rsidR="00F5644B">
        <w:t xml:space="preserve">  But </w:t>
      </w:r>
      <w:r w:rsidRPr="00FF4A82" w:rsidR="005B6DEB">
        <w:t xml:space="preserve">there is no evidence </w:t>
      </w:r>
      <w:r w:rsidR="00CB3D4A">
        <w:t xml:space="preserve">here </w:t>
      </w:r>
      <w:r w:rsidRPr="00FF4A82" w:rsidR="005B6DEB">
        <w:t>that Scoggins instructed his confederates to kill Wilson under any scenario; a</w:t>
      </w:r>
      <w:r w:rsidRPr="00FF4A82">
        <w:t>s noted</w:t>
      </w:r>
      <w:r w:rsidRPr="00FF4A82" w:rsidR="6F6D58A4">
        <w:t>, Scoggins had planned for the beating and robbery to be unarmed</w:t>
      </w:r>
      <w:r w:rsidRPr="00AF2D26" w:rsidR="6F6D58A4">
        <w:t>.</w:t>
      </w:r>
      <w:r w:rsidRPr="00AF2D26" w:rsidR="00D26473">
        <w:t xml:space="preserve">  </w:t>
      </w:r>
      <w:r w:rsidR="00644E71">
        <w:t xml:space="preserve">Nor </w:t>
      </w:r>
      <w:r w:rsidR="001102F4">
        <w:t>does the record</w:t>
      </w:r>
      <w:r w:rsidR="0014384B">
        <w:t xml:space="preserve"> show that </w:t>
      </w:r>
      <w:r w:rsidR="00E54AC2">
        <w:t>he directed</w:t>
      </w:r>
      <w:r>
        <w:t xml:space="preserve"> his accomplices to </w:t>
      </w:r>
      <w:r w:rsidR="00AB4A34">
        <w:t xml:space="preserve">deviate </w:t>
      </w:r>
      <w:r w:rsidR="00000BAB">
        <w:t xml:space="preserve">from the plan </w:t>
      </w:r>
      <w:r w:rsidR="00B02175">
        <w:t>once th</w:t>
      </w:r>
      <w:r w:rsidR="00F22629">
        <w:t>ey arrived at the crime scene.</w:t>
      </w:r>
    </w:p>
    <w:p w:rsidR="00B565E5" w:rsidRPr="00FF4A82" w:rsidP="00FF4A82" w14:paraId="5CE5CF0D" w14:textId="5B6545DA">
      <w:pPr>
        <w:tabs>
          <w:tab w:val="left" w:pos="720"/>
        </w:tabs>
        <w:ind w:firstLine="720"/>
      </w:pPr>
      <w:r>
        <w:t>A</w:t>
      </w:r>
      <w:r w:rsidRPr="00FF4A82" w:rsidR="6F6D58A4">
        <w:t xml:space="preserve"> defendant’s actions after the shooting may </w:t>
      </w:r>
      <w:r w:rsidR="007066D6">
        <w:t xml:space="preserve">also </w:t>
      </w:r>
      <w:r w:rsidRPr="00FF4A82" w:rsidR="6F6D58A4">
        <w:t>bear on the defendant’s mental state.  (</w:t>
      </w:r>
      <w:r w:rsidRPr="00FF4A82" w:rsidR="6F6D58A4">
        <w:rPr>
          <w:i/>
          <w:iCs/>
        </w:rPr>
        <w:t>Clark</w:t>
      </w:r>
      <w:r w:rsidRPr="00FF4A82" w:rsidR="6F6D58A4">
        <w:t xml:space="preserve">, </w:t>
      </w:r>
      <w:r w:rsidRPr="00FF4A82" w:rsidR="6F6D58A4">
        <w:rPr>
          <w:i/>
          <w:iCs/>
        </w:rPr>
        <w:t>supra</w:t>
      </w:r>
      <w:r w:rsidRPr="00FF4A82" w:rsidR="6F6D58A4">
        <w:t>, 63 Cal.4th at p. 619.)  For example, the high court took into account the Tison brothers’ failure to render aid to the victims after the shooting when it concluded that they acted with reckless indifference to human life.  (</w:t>
      </w:r>
      <w:r w:rsidRPr="00FF4A82" w:rsidR="6F6D58A4">
        <w:rPr>
          <w:i/>
          <w:iCs/>
        </w:rPr>
        <w:t>Tison</w:t>
      </w:r>
      <w:r w:rsidRPr="00FF4A82" w:rsidR="6F6D58A4">
        <w:t xml:space="preserve">, </w:t>
      </w:r>
      <w:r w:rsidRPr="00FF4A82" w:rsidR="6F6D58A4">
        <w:rPr>
          <w:i/>
          <w:iCs/>
        </w:rPr>
        <w:t>supra</w:t>
      </w:r>
      <w:r w:rsidRPr="00FF4A82" w:rsidR="6F6D58A4">
        <w:t xml:space="preserve">, 481 U.S. at pp. 151–152.)  But we have </w:t>
      </w:r>
      <w:r w:rsidRPr="00FF4A82" w:rsidR="005B6DEB">
        <w:t xml:space="preserve">said </w:t>
      </w:r>
      <w:r w:rsidRPr="00FF4A82" w:rsidR="6F6D58A4">
        <w:t xml:space="preserve">that when different inferences may be drawn from the circumstances, the defendant’s actions after the shooting may not be very probative of </w:t>
      </w:r>
      <w:r w:rsidRPr="00FF4A82" w:rsidR="005B6DEB">
        <w:t xml:space="preserve">his </w:t>
      </w:r>
      <w:r w:rsidRPr="00FF4A82" w:rsidR="6F6D58A4">
        <w:t xml:space="preserve">mental state.  In </w:t>
      </w:r>
      <w:r w:rsidRPr="00FF4A82" w:rsidR="6F6D58A4">
        <w:rPr>
          <w:i/>
          <w:iCs/>
        </w:rPr>
        <w:t>Clark</w:t>
      </w:r>
      <w:r w:rsidRPr="00FF4A82" w:rsidR="6F6D58A4">
        <w:t>, the defendant fled the scene and abandoned his accomplice immediately after the shooting.  (</w:t>
      </w:r>
      <w:r w:rsidRPr="00FF4A82" w:rsidR="6F6D58A4">
        <w:rPr>
          <w:i/>
          <w:iCs/>
        </w:rPr>
        <w:t>Clark</w:t>
      </w:r>
      <w:r w:rsidRPr="00FF4A82" w:rsidR="6F6D58A4">
        <w:t>, at p. 620.)  We said that the defendant’s actions could have suggested either that the defendant rejected his accomplice’s actions in committing the shooting or that he wanted to flee the scene as quickly as possible to avoid arrest.  (</w:t>
      </w:r>
      <w:r w:rsidRPr="00FF4A82" w:rsidR="6F6D58A4">
        <w:rPr>
          <w:i/>
          <w:iCs/>
        </w:rPr>
        <w:t>Ibid.</w:t>
      </w:r>
      <w:r w:rsidRPr="00FF4A82" w:rsidR="6F6D58A4">
        <w:t>)  Ultimately, we concluded that</w:t>
      </w:r>
      <w:r w:rsidRPr="00FF4A82" w:rsidR="008C4BD9">
        <w:t xml:space="preserve"> the</w:t>
      </w:r>
      <w:r w:rsidRPr="00FF4A82" w:rsidR="6F6D58A4">
        <w:t xml:space="preserve"> “[d]efendant’s absence from the scene of the killing and the ambiguous circumstances surrounding his hasty departure make it difficult to infer his frame of mind concerning [the victim’s] death.”  (</w:t>
      </w:r>
      <w:r w:rsidRPr="00FF4A82" w:rsidR="6F6D58A4">
        <w:rPr>
          <w:i/>
          <w:iCs/>
        </w:rPr>
        <w:t>Ibid.</w:t>
      </w:r>
      <w:r w:rsidRPr="00FF4A82" w:rsidR="6F6D58A4">
        <w:t>)</w:t>
      </w:r>
    </w:p>
    <w:p w:rsidR="00806580" w:rsidP="00523DE8" w14:paraId="3368175A" w14:textId="0C441232">
      <w:pPr>
        <w:tabs>
          <w:tab w:val="left" w:pos="720"/>
        </w:tabs>
        <w:ind w:firstLine="720"/>
      </w:pPr>
      <w:r w:rsidRPr="00FF4A82">
        <w:t xml:space="preserve">Here, Scoggins walked over to the crime scene and checked if Wilson was still breathing after the shooting.  At that point, other bystanders had already called the police, so there was no </w:t>
      </w:r>
      <w:r w:rsidRPr="00FF4A82" w:rsidR="005B6DEB">
        <w:t xml:space="preserve">occasion </w:t>
      </w:r>
      <w:r w:rsidRPr="00FF4A82">
        <w:t>for Scoggins to seek further assistance.  After the police arrived, Scoggins gave a statement as a witness</w:t>
      </w:r>
      <w:r w:rsidRPr="00FD0904">
        <w:t xml:space="preserve">.  </w:t>
      </w:r>
      <w:r w:rsidRPr="00FD0904" w:rsidR="00BE3B7E">
        <w:t xml:space="preserve">There is </w:t>
      </w:r>
      <w:r w:rsidRPr="00FD0904" w:rsidR="0067742C">
        <w:t>conflicting evidence</w:t>
      </w:r>
      <w:r w:rsidRPr="00FD0904" w:rsidR="00BE3B7E">
        <w:t xml:space="preserve"> </w:t>
      </w:r>
      <w:r w:rsidRPr="00FD0904" w:rsidR="00812444">
        <w:t xml:space="preserve">as to exactly when Scoggins </w:t>
      </w:r>
      <w:r w:rsidRPr="00FD0904" w:rsidR="00001392">
        <w:t xml:space="preserve">arrived at the </w:t>
      </w:r>
      <w:r w:rsidRPr="00FD0904" w:rsidR="00C6118B">
        <w:t>crime scene.</w:t>
      </w:r>
      <w:r w:rsidRPr="00FD0904" w:rsidR="00B150D9">
        <w:t xml:space="preserve">  S</w:t>
      </w:r>
      <w:r w:rsidRPr="00FD0904" w:rsidR="0018033C">
        <w:t>ome accounts suggest</w:t>
      </w:r>
      <w:r w:rsidRPr="00FD0904" w:rsidR="00F519B4">
        <w:t>ed</w:t>
      </w:r>
      <w:r w:rsidRPr="00FD0904" w:rsidR="00B150D9">
        <w:t xml:space="preserve"> that </w:t>
      </w:r>
      <w:r w:rsidRPr="00FD0904" w:rsidR="00CB3D4A">
        <w:t>his</w:t>
      </w:r>
      <w:r w:rsidRPr="00FD0904" w:rsidR="00B150D9">
        <w:t xml:space="preserve"> arrival was </w:t>
      </w:r>
      <w:r w:rsidRPr="00FD0904" w:rsidR="0076154C">
        <w:t xml:space="preserve">delayed, </w:t>
      </w:r>
      <w:r w:rsidRPr="00FD0904" w:rsidR="00984BE6">
        <w:t xml:space="preserve">occurring </w:t>
      </w:r>
      <w:r w:rsidRPr="00FD0904" w:rsidR="00CB3D4A">
        <w:t>20</w:t>
      </w:r>
      <w:r w:rsidRPr="00FD0904" w:rsidR="000C54AE">
        <w:t xml:space="preserve"> to </w:t>
      </w:r>
      <w:r w:rsidRPr="00FD0904" w:rsidR="00CB3D4A">
        <w:t>30</w:t>
      </w:r>
      <w:r w:rsidRPr="00FD0904" w:rsidR="000C54AE">
        <w:t xml:space="preserve"> minutes after the shooting.  </w:t>
      </w:r>
      <w:r w:rsidRPr="00FD0904" w:rsidR="000B50DD">
        <w:t>Other accounts suggest</w:t>
      </w:r>
      <w:r w:rsidRPr="00FD0904" w:rsidR="00E65DE6">
        <w:t>ed</w:t>
      </w:r>
      <w:r w:rsidRPr="00FD0904" w:rsidR="00E741D3">
        <w:t xml:space="preserve"> that </w:t>
      </w:r>
      <w:r w:rsidRPr="00FD0904" w:rsidR="002B4E98">
        <w:t xml:space="preserve">Scoggins </w:t>
      </w:r>
      <w:r w:rsidRPr="00FD0904" w:rsidR="00090508">
        <w:t>a</w:t>
      </w:r>
      <w:r w:rsidRPr="00FD0904" w:rsidR="00984BE6">
        <w:t>rrived soon after the shooting,</w:t>
      </w:r>
      <w:r w:rsidRPr="00FD0904" w:rsidR="00A7381C">
        <w:t xml:space="preserve"> </w:t>
      </w:r>
      <w:r w:rsidRPr="00FD0904" w:rsidR="00737AF2">
        <w:t xml:space="preserve">perhaps </w:t>
      </w:r>
      <w:r w:rsidRPr="00FD0904" w:rsidR="00D57AD9">
        <w:t xml:space="preserve">two to five minutes </w:t>
      </w:r>
      <w:r w:rsidRPr="00FD0904" w:rsidR="00944C38">
        <w:t>later.</w:t>
      </w:r>
      <w:r w:rsidRPr="00FD0904" w:rsidR="00EC1C88">
        <w:t xml:space="preserve">  </w:t>
      </w:r>
      <w:r w:rsidRPr="00FD0904" w:rsidR="00213785">
        <w:t xml:space="preserve">Relying on the latter </w:t>
      </w:r>
      <w:r w:rsidRPr="00FD0904" w:rsidR="001236D4">
        <w:t xml:space="preserve">version of events, </w:t>
      </w:r>
      <w:r w:rsidRPr="00FD0904" w:rsidR="0001440E">
        <w:t xml:space="preserve">the Attorney General argues that </w:t>
      </w:r>
      <w:r w:rsidRPr="00FD0904" w:rsidR="001F6660">
        <w:t xml:space="preserve">Scoggins’s </w:t>
      </w:r>
      <w:r w:rsidRPr="00FD0904" w:rsidR="000F18AD">
        <w:t xml:space="preserve">quick arrival </w:t>
      </w:r>
      <w:r w:rsidRPr="00FD0904" w:rsidR="00ED2206">
        <w:t xml:space="preserve">indicates that </w:t>
      </w:r>
      <w:r w:rsidRPr="00FD0904" w:rsidR="00597D8C">
        <w:t xml:space="preserve">he </w:t>
      </w:r>
      <w:r w:rsidRPr="00FD0904">
        <w:t>had</w:t>
      </w:r>
      <w:r>
        <w:t xml:space="preserve"> </w:t>
      </w:r>
      <w:r w:rsidR="007D476F">
        <w:t xml:space="preserve">anticipated the </w:t>
      </w:r>
      <w:r w:rsidR="007D5B4A">
        <w:t>shoo</w:t>
      </w:r>
      <w:r w:rsidR="004B2852">
        <w:t xml:space="preserve">ting and was thus unfazed by it.  </w:t>
      </w:r>
      <w:r w:rsidR="00E6364B">
        <w:t xml:space="preserve">If </w:t>
      </w:r>
      <w:r w:rsidR="00471410">
        <w:t xml:space="preserve">Scoggins </w:t>
      </w:r>
      <w:r w:rsidR="00FE33A2">
        <w:t xml:space="preserve">had not anticipated </w:t>
      </w:r>
      <w:r w:rsidR="00626B21">
        <w:t>the</w:t>
      </w:r>
      <w:r w:rsidR="00437287">
        <w:t xml:space="preserve"> outcome</w:t>
      </w:r>
      <w:r w:rsidR="000F725E">
        <w:t xml:space="preserve">, </w:t>
      </w:r>
      <w:r w:rsidR="00807364">
        <w:t>the Attorney General contends, “he would have panicked and left.”</w:t>
      </w:r>
      <w:r w:rsidR="00E63A76">
        <w:t xml:space="preserve">  The Attorney General also </w:t>
      </w:r>
      <w:r w:rsidR="00352966">
        <w:t xml:space="preserve">argues </w:t>
      </w:r>
      <w:r w:rsidR="0028497E">
        <w:t xml:space="preserve">that </w:t>
      </w:r>
      <w:r w:rsidR="00BD6ACD">
        <w:t xml:space="preserve">Scoggins </w:t>
      </w:r>
      <w:r w:rsidR="0062059D">
        <w:t xml:space="preserve">continued to </w:t>
      </w:r>
      <w:r w:rsidR="006D25DD">
        <w:t xml:space="preserve">stay </w:t>
      </w:r>
      <w:r w:rsidR="00091033">
        <w:t>until</w:t>
      </w:r>
      <w:r w:rsidR="00F60CDE">
        <w:t xml:space="preserve"> the police </w:t>
      </w:r>
      <w:r w:rsidR="00405B3B">
        <w:t xml:space="preserve">arrived </w:t>
      </w:r>
      <w:r w:rsidR="00C369AA">
        <w:t xml:space="preserve">in order </w:t>
      </w:r>
      <w:r w:rsidR="00225FE6">
        <w:t xml:space="preserve">to gather information from </w:t>
      </w:r>
      <w:r w:rsidR="00C066ED">
        <w:t xml:space="preserve">other bystanders </w:t>
      </w:r>
      <w:r w:rsidR="001E6124">
        <w:t xml:space="preserve">and </w:t>
      </w:r>
      <w:r w:rsidR="00CB5CFD">
        <w:t>deflect suspic</w:t>
      </w:r>
      <w:r w:rsidR="00580B7B">
        <w:t>ion from himself</w:t>
      </w:r>
      <w:r w:rsidR="0029143F">
        <w:t>.</w:t>
      </w:r>
    </w:p>
    <w:p w:rsidR="001B42F9" w:rsidRPr="00523DE8" w:rsidP="00830862" w14:paraId="1D19B9EF" w14:textId="54271E8C">
      <w:pPr>
        <w:tabs>
          <w:tab w:val="left" w:pos="720"/>
        </w:tabs>
      </w:pPr>
      <w:r>
        <w:tab/>
      </w:r>
      <w:r w:rsidR="00DA67D1">
        <w:t>I</w:t>
      </w:r>
      <w:r w:rsidRPr="00FF4A82" w:rsidR="00A3487D">
        <w:t>n this case</w:t>
      </w:r>
      <w:r w:rsidRPr="00FF4A82" w:rsidR="005B6DEB">
        <w:t xml:space="preserve">, as in </w:t>
      </w:r>
      <w:r w:rsidRPr="00FF4A82" w:rsidR="005B6DEB">
        <w:rPr>
          <w:i/>
        </w:rPr>
        <w:t>Clark</w:t>
      </w:r>
      <w:r w:rsidRPr="00FF4A82" w:rsidR="005B6DEB">
        <w:t>, the amb</w:t>
      </w:r>
      <w:r w:rsidR="00E750C1">
        <w:t>iguity inherent in the petitioner</w:t>
      </w:r>
      <w:r w:rsidRPr="00FF4A82" w:rsidR="005B6DEB">
        <w:t>’s actions after the shooting “make</w:t>
      </w:r>
      <w:r w:rsidR="008E43AD">
        <w:t>[s]</w:t>
      </w:r>
      <w:r w:rsidRPr="00FF4A82" w:rsidR="005B6DEB">
        <w:t xml:space="preserve"> it difficult to infer his frame of mind concerning [the victim’s] death.”  (</w:t>
      </w:r>
      <w:r w:rsidRPr="00FF4A82" w:rsidR="005B6DEB">
        <w:rPr>
          <w:i/>
        </w:rPr>
        <w:t>Clark</w:t>
      </w:r>
      <w:r w:rsidRPr="00FF4A82" w:rsidR="005B6DEB">
        <w:t xml:space="preserve">, </w:t>
      </w:r>
      <w:r w:rsidRPr="00FF4A82" w:rsidR="005B6DEB">
        <w:rPr>
          <w:i/>
        </w:rPr>
        <w:t>supra</w:t>
      </w:r>
      <w:r w:rsidRPr="00FF4A82" w:rsidR="005B6DEB">
        <w:t>, 63 Cal.4th</w:t>
      </w:r>
      <w:r w:rsidRPr="00FF4A82" w:rsidR="6F6D58A4">
        <w:t xml:space="preserve"> at p. 620.)</w:t>
      </w:r>
      <w:r w:rsidR="005654E8">
        <w:t xml:space="preserve">  As the Attorney General </w:t>
      </w:r>
      <w:r w:rsidR="00B36A7B">
        <w:t>asserts</w:t>
      </w:r>
      <w:r w:rsidR="0008524A">
        <w:t>, Scoggins’</w:t>
      </w:r>
      <w:r w:rsidR="000F18C6">
        <w:t xml:space="preserve">s </w:t>
      </w:r>
      <w:r w:rsidR="00A2078E">
        <w:t xml:space="preserve">calm </w:t>
      </w:r>
      <w:r w:rsidR="00B41292">
        <w:t xml:space="preserve">behavior </w:t>
      </w:r>
      <w:r w:rsidR="00D1283F">
        <w:t xml:space="preserve">after the shooting might </w:t>
      </w:r>
      <w:r w:rsidR="000E7C7D">
        <w:t xml:space="preserve">indicate </w:t>
      </w:r>
      <w:r w:rsidR="00557A41">
        <w:t>that he</w:t>
      </w:r>
      <w:r w:rsidR="0016490B">
        <w:t xml:space="preserve"> had</w:t>
      </w:r>
      <w:r w:rsidR="00561E41">
        <w:t xml:space="preserve"> </w:t>
      </w:r>
      <w:r w:rsidR="00626EDB">
        <w:t xml:space="preserve">anticipated the use of lethal force and </w:t>
      </w:r>
      <w:r w:rsidR="00174464">
        <w:t xml:space="preserve">was thus not </w:t>
      </w:r>
      <w:r w:rsidR="00001A38">
        <w:t>entirely shocked</w:t>
      </w:r>
      <w:r w:rsidR="00DC4BEA">
        <w:t xml:space="preserve"> by the deadly turn of events.  </w:t>
      </w:r>
      <w:r w:rsidR="00785585">
        <w:t xml:space="preserve">Alternatively, Scoggins’s actions </w:t>
      </w:r>
      <w:r w:rsidR="00F82985">
        <w:t>might</w:t>
      </w:r>
      <w:r w:rsidR="005C6A48">
        <w:t xml:space="preserve"> indicate that he in fact </w:t>
      </w:r>
      <w:r w:rsidR="00CA1F08">
        <w:t xml:space="preserve">intended to check on Wilson and </w:t>
      </w:r>
      <w:r w:rsidR="00382956">
        <w:t xml:space="preserve">render aid.  </w:t>
      </w:r>
      <w:r w:rsidR="00C10E17">
        <w:t xml:space="preserve">At the very least, </w:t>
      </w:r>
      <w:r w:rsidR="00DA67D1">
        <w:t>his</w:t>
      </w:r>
      <w:r w:rsidR="00DC7F71">
        <w:t xml:space="preserve"> behavior </w:t>
      </w:r>
      <w:r w:rsidR="00382956">
        <w:t xml:space="preserve">could </w:t>
      </w:r>
      <w:r w:rsidR="000616E9">
        <w:t xml:space="preserve">suggest that </w:t>
      </w:r>
      <w:r w:rsidR="00871B62">
        <w:t xml:space="preserve">he had not </w:t>
      </w:r>
      <w:r w:rsidR="00591B75">
        <w:t>planned</w:t>
      </w:r>
      <w:r w:rsidR="004D7FF8">
        <w:t xml:space="preserve"> for h</w:t>
      </w:r>
      <w:r w:rsidR="00830B96">
        <w:t>is accomplices to kill Wilson</w:t>
      </w:r>
      <w:r w:rsidR="00DA67D1">
        <w:t>; t</w:t>
      </w:r>
      <w:r w:rsidR="003B7EB5">
        <w:t>hat is</w:t>
      </w:r>
      <w:r w:rsidR="00B3516D">
        <w:t xml:space="preserve">, </w:t>
      </w:r>
      <w:r w:rsidR="00DA67D1">
        <w:t xml:space="preserve">he </w:t>
      </w:r>
      <w:r w:rsidR="004D7607">
        <w:t xml:space="preserve">might have stayed at the </w:t>
      </w:r>
      <w:r w:rsidR="00EC60AE">
        <w:t xml:space="preserve">crime scene </w:t>
      </w:r>
      <w:r w:rsidR="009E6150">
        <w:t xml:space="preserve">precisely </w:t>
      </w:r>
      <w:r w:rsidR="0082174F">
        <w:t>becau</w:t>
      </w:r>
      <w:r w:rsidR="00A84A9E">
        <w:t xml:space="preserve">se </w:t>
      </w:r>
      <w:r w:rsidR="00A80AF2">
        <w:t>he did not think he was culpable f</w:t>
      </w:r>
      <w:r w:rsidR="003361D1">
        <w:t xml:space="preserve">or Wilson’s </w:t>
      </w:r>
      <w:r w:rsidR="007B3F49">
        <w:t xml:space="preserve">death.  </w:t>
      </w:r>
      <w:r w:rsidR="00DA67D1">
        <w:t>Overall, Scoggins’s actions after the shooting do not weigh substantially in favor of a finding of reckless indifference to human life.</w:t>
      </w:r>
    </w:p>
    <w:p w:rsidR="0056199F" w:rsidRPr="00FF4A82" w:rsidP="00FF4A82" w14:paraId="2D8B4C84" w14:textId="6369B86A">
      <w:pPr>
        <w:tabs>
          <w:tab w:val="left" w:pos="720"/>
        </w:tabs>
      </w:pPr>
      <w:r w:rsidRPr="00FF4A82">
        <w:tab/>
      </w:r>
      <w:r w:rsidRPr="00FF4A82" w:rsidR="00BB3A39">
        <w:t>Third</w:t>
      </w:r>
      <w:r w:rsidRPr="00FF4A82">
        <w:t xml:space="preserve">, the </w:t>
      </w:r>
      <w:r w:rsidRPr="00FF4A82" w:rsidR="00DB7021">
        <w:t xml:space="preserve">duration of the interaction </w:t>
      </w:r>
      <w:r w:rsidRPr="00FF4A82" w:rsidR="0067260B">
        <w:t>between the perpetrators and the victim in this case was very limited.  Courts have considered “</w:t>
      </w:r>
      <w:r w:rsidRPr="00FF4A82" w:rsidR="6F6D58A4">
        <w:t>whether a murder came at the end of a prolonged period of restraint of the victims by defendant” in analyzing the defendant’s culpability.  (</w:t>
      </w:r>
      <w:r w:rsidRPr="00FF4A82" w:rsidR="6F6D58A4">
        <w:rPr>
          <w:i/>
          <w:iCs/>
        </w:rPr>
        <w:t>Clark</w:t>
      </w:r>
      <w:r w:rsidRPr="00FF4A82" w:rsidR="6F6D58A4">
        <w:t xml:space="preserve">, </w:t>
      </w:r>
      <w:r w:rsidRPr="00FF4A82" w:rsidR="6F6D58A4">
        <w:rPr>
          <w:i/>
          <w:iCs/>
        </w:rPr>
        <w:t>supra</w:t>
      </w:r>
      <w:r w:rsidRPr="00FF4A82" w:rsidR="6F6D58A4">
        <w:t xml:space="preserve">, 63 Cal.4th at p. 620.)  For example, the defendants in </w:t>
      </w:r>
      <w:r w:rsidRPr="00FF4A82" w:rsidR="6F6D58A4">
        <w:rPr>
          <w:i/>
          <w:iCs/>
        </w:rPr>
        <w:t xml:space="preserve">Tison </w:t>
      </w:r>
      <w:r w:rsidRPr="00FF4A82" w:rsidR="6F6D58A4">
        <w:t xml:space="preserve">kidnapped and guarded the victims at gunpoint while their father decided whether to kill the victims.  (See </w:t>
      </w:r>
      <w:r w:rsidRPr="00FF4A82" w:rsidR="6F6D58A4">
        <w:rPr>
          <w:i/>
          <w:iCs/>
        </w:rPr>
        <w:t>Tison</w:t>
      </w:r>
      <w:r w:rsidRPr="00FF4A82" w:rsidR="6F6D58A4">
        <w:t xml:space="preserve">, </w:t>
      </w:r>
      <w:r w:rsidRPr="00FF4A82" w:rsidR="6F6D58A4">
        <w:rPr>
          <w:i/>
          <w:iCs/>
        </w:rPr>
        <w:t>supra</w:t>
      </w:r>
      <w:r w:rsidRPr="00FF4A82" w:rsidR="6F6D58A4">
        <w:t>, 481 U.S. at p. 151.)  Because prolonged restraint of the victims provides “ ‘a greater window of opportunity for viol</w:t>
      </w:r>
      <w:r w:rsidR="00C96EDB">
        <w:t>ence</w:t>
      </w:r>
      <w:r w:rsidRPr="00FF4A82" w:rsidR="6F6D58A4">
        <w:t>’</w:t>
      </w:r>
      <w:r w:rsidR="00C96EDB">
        <w:t xml:space="preserve"> [citation],</w:t>
      </w:r>
      <w:r w:rsidRPr="00FF4A82" w:rsidR="6F6D58A4">
        <w:t xml:space="preserve"> possibly culminating in murder,” it can indicate that the defendant exhibited reckless indifference to human life.  (</w:t>
      </w:r>
      <w:r w:rsidRPr="00FF4A82" w:rsidR="6F6D58A4">
        <w:rPr>
          <w:i/>
          <w:iCs/>
        </w:rPr>
        <w:t>Clark</w:t>
      </w:r>
      <w:r w:rsidRPr="00FF4A82" w:rsidR="6F6D58A4">
        <w:t>, at p. 620.)</w:t>
      </w:r>
    </w:p>
    <w:p w:rsidR="0056199F" w:rsidRPr="00FF4A82" w:rsidP="00FF4A82" w14:paraId="3BE17FBE" w14:textId="2DB793EE">
      <w:pPr>
        <w:tabs>
          <w:tab w:val="left" w:pos="720"/>
        </w:tabs>
        <w:ind w:firstLine="720"/>
      </w:pPr>
      <w:r w:rsidRPr="00FF4A82">
        <w:t>In this case, eyewitnesses testified that Powell and Wilson had only a brief conversation before Powell pull</w:t>
      </w:r>
      <w:r w:rsidRPr="00FF4A82" w:rsidR="006D4D7C">
        <w:t xml:space="preserve">ed out a gun and shot Wilson. </w:t>
      </w:r>
      <w:r w:rsidRPr="00FF4A82">
        <w:t xml:space="preserve"> The witnesses estimated that the entire interaction lasted between a few seconds and three to five </w:t>
      </w:r>
      <w:r w:rsidRPr="00FF4A82" w:rsidR="009D38FC">
        <w:t xml:space="preserve">minutes.  </w:t>
      </w:r>
      <w:r w:rsidRPr="00FF4A82" w:rsidR="001F5C6E">
        <w:t xml:space="preserve">Thus, </w:t>
      </w:r>
      <w:r w:rsidRPr="00FF4A82">
        <w:t xml:space="preserve">Wilson was not restrained for a prolonged period, and this factor does not </w:t>
      </w:r>
      <w:r w:rsidRPr="00FF4A82" w:rsidR="001314B0">
        <w:t>weigh in favor of finding that</w:t>
      </w:r>
      <w:r w:rsidRPr="00FF4A82" w:rsidR="001F5C6E">
        <w:t xml:space="preserve"> Scoggins exhibited reckless indifference to human life</w:t>
      </w:r>
      <w:r w:rsidRPr="00FF4A82">
        <w:t>.</w:t>
      </w:r>
    </w:p>
    <w:p w:rsidR="007026E2" w:rsidP="00FF4A82" w14:paraId="42DE04EA" w14:textId="1C995D01">
      <w:pPr>
        <w:tabs>
          <w:tab w:val="left" w:pos="720"/>
        </w:tabs>
      </w:pPr>
      <w:r w:rsidRPr="00FF4A82">
        <w:tab/>
      </w:r>
      <w:r w:rsidRPr="00FF4A82" w:rsidR="00273C22">
        <w:t>Fourth</w:t>
      </w:r>
      <w:r w:rsidRPr="00FF4A82">
        <w:t xml:space="preserve">, </w:t>
      </w:r>
      <w:r w:rsidRPr="00FF4A82" w:rsidR="001F5C6E">
        <w:t xml:space="preserve">there is no evidence </w:t>
      </w:r>
      <w:r w:rsidRPr="00FF4A82">
        <w:t>that Scoggins knew</w:t>
      </w:r>
      <w:r w:rsidRPr="00FF4A82" w:rsidR="000C4BA6">
        <w:t xml:space="preserve"> Powell </w:t>
      </w:r>
      <w:r w:rsidRPr="00FF4A82" w:rsidR="0058591E">
        <w:t xml:space="preserve">or Howard </w:t>
      </w:r>
      <w:r w:rsidRPr="00FF4A82" w:rsidR="000C4BA6">
        <w:t xml:space="preserve">was likely to </w:t>
      </w:r>
      <w:r w:rsidRPr="00FF4A82" w:rsidR="00CA2D4C">
        <w:t>use lethal force</w:t>
      </w:r>
      <w:r w:rsidRPr="00FF4A82" w:rsidR="000C4BA6">
        <w:t xml:space="preserve">.  A defendant’s knowledge of a </w:t>
      </w:r>
      <w:r w:rsidRPr="00FF4A82" w:rsidR="001F5C6E">
        <w:t xml:space="preserve">confederate’s </w:t>
      </w:r>
      <w:r w:rsidRPr="00FF4A82" w:rsidR="00CA2D4C">
        <w:t>likelihood of using</w:t>
      </w:r>
      <w:r w:rsidRPr="00FF4A82" w:rsidR="001F5C6E">
        <w:t xml:space="preserve"> lethal force</w:t>
      </w:r>
      <w:r w:rsidRPr="00FF4A82" w:rsidR="000C4BA6">
        <w:t xml:space="preserve">, which may be evident before or during the felony, is significant to the analysis of the defendant’s mental state.  </w:t>
      </w:r>
      <w:r w:rsidRPr="00FF4A82" w:rsidR="6F6D58A4">
        <w:t>(</w:t>
      </w:r>
      <w:r w:rsidRPr="00FF4A82" w:rsidR="6F6D58A4">
        <w:rPr>
          <w:i/>
          <w:iCs/>
        </w:rPr>
        <w:t>Clark</w:t>
      </w:r>
      <w:r w:rsidRPr="00FF4A82" w:rsidR="6F6D58A4">
        <w:t xml:space="preserve">, </w:t>
      </w:r>
      <w:r w:rsidRPr="00FF4A82" w:rsidR="6F6D58A4">
        <w:rPr>
          <w:i/>
          <w:iCs/>
        </w:rPr>
        <w:t>supra</w:t>
      </w:r>
      <w:r w:rsidRPr="00FF4A82" w:rsidR="6F6D58A4">
        <w:t>, 63 Cal.4th at p. 621.)  For example, the Tison brothers knew they were helping two convicted murder</w:t>
      </w:r>
      <w:r w:rsidRPr="00FF4A82" w:rsidR="001F5C6E">
        <w:t>er</w:t>
      </w:r>
      <w:r w:rsidRPr="00FF4A82" w:rsidR="6F6D58A4">
        <w:t>s escape from prison, one of whom had killed a prison guard during an earlier escape.  (</w:t>
      </w:r>
      <w:r w:rsidRPr="00FF4A82" w:rsidR="6F6D58A4">
        <w:rPr>
          <w:i/>
          <w:iCs/>
        </w:rPr>
        <w:t>Tison</w:t>
      </w:r>
      <w:r w:rsidRPr="00FF4A82" w:rsidR="6F6D58A4">
        <w:t xml:space="preserve">, </w:t>
      </w:r>
      <w:r w:rsidRPr="00FF4A82" w:rsidR="6F6D58A4">
        <w:rPr>
          <w:i/>
          <w:iCs/>
        </w:rPr>
        <w:t>supra</w:t>
      </w:r>
      <w:r w:rsidRPr="00FF4A82" w:rsidR="6F6D58A4">
        <w:t>, 481 U.S. at p. 151.)  In addition, after the group kidnapped the victims, the brothers heard that their father was “ ‘thinking about’ ” killing the victims.  (</w:t>
      </w:r>
      <w:r w:rsidRPr="00FF4A82" w:rsidR="6F6D58A4">
        <w:rPr>
          <w:i/>
          <w:iCs/>
        </w:rPr>
        <w:t xml:space="preserve">Id. </w:t>
      </w:r>
      <w:r w:rsidRPr="00FF4A82" w:rsidR="6F6D58A4">
        <w:t>at p. 140.)  The Tison brothers thus had advance knowledge that lethal force might be used and “subjectively appreciated that their acts were likely to result in the taking of innocent life.”  (</w:t>
      </w:r>
      <w:r w:rsidRPr="00FF4A82" w:rsidR="6F6D58A4">
        <w:rPr>
          <w:i/>
          <w:iCs/>
        </w:rPr>
        <w:t xml:space="preserve">Id. </w:t>
      </w:r>
      <w:r w:rsidR="00C96EDB">
        <w:t>at p.</w:t>
      </w:r>
      <w:r w:rsidR="00441F1C">
        <w:t> </w:t>
      </w:r>
      <w:r w:rsidRPr="00FF4A82" w:rsidR="6F6D58A4">
        <w:t>152.)</w:t>
      </w:r>
    </w:p>
    <w:p w:rsidR="000333C9" w:rsidRPr="00FF4A82" w:rsidP="00FF4A82" w14:paraId="52BC6AEB" w14:textId="08362577">
      <w:pPr>
        <w:tabs>
          <w:tab w:val="left" w:pos="720"/>
        </w:tabs>
      </w:pPr>
      <w:r>
        <w:tab/>
      </w:r>
      <w:r w:rsidR="00FB7185">
        <w:t>In this case, t</w:t>
      </w:r>
      <w:r w:rsidR="009836AB">
        <w:t>here is affirmative evidence that</w:t>
      </w:r>
      <w:r w:rsidR="008231A8">
        <w:t xml:space="preserve"> Scoggins did not plan for his </w:t>
      </w:r>
      <w:r w:rsidR="002919D1">
        <w:t>accomplices to kill Wilson.</w:t>
      </w:r>
      <w:r w:rsidR="00826F37">
        <w:t xml:space="preserve">  </w:t>
      </w:r>
      <w:r w:rsidR="00FE0967">
        <w:t xml:space="preserve">At </w:t>
      </w:r>
      <w:r w:rsidR="00360C71">
        <w:t xml:space="preserve">trial, </w:t>
      </w:r>
      <w:r w:rsidR="00EE1743">
        <w:t>the k</w:t>
      </w:r>
      <w:r w:rsidR="005D594F">
        <w:t>ey prosecution witness</w:t>
      </w:r>
      <w:r w:rsidR="00EE1743">
        <w:t xml:space="preserve"> testified that </w:t>
      </w:r>
      <w:r w:rsidR="00C464A4">
        <w:t>Scoggins “was not p</w:t>
      </w:r>
      <w:r w:rsidR="001B5030">
        <w:t xml:space="preserve">art of any plan to kill [Wilson].”  </w:t>
      </w:r>
      <w:r w:rsidR="00DA67D1">
        <w:t>T</w:t>
      </w:r>
      <w:r w:rsidR="00E10FDC">
        <w:t xml:space="preserve">he prosecutor </w:t>
      </w:r>
      <w:r w:rsidR="00334B3D">
        <w:t xml:space="preserve">essentially </w:t>
      </w:r>
      <w:r w:rsidR="00AB403D">
        <w:t xml:space="preserve">conceded </w:t>
      </w:r>
      <w:r w:rsidR="008F31D9">
        <w:t>as much to the jury</w:t>
      </w:r>
      <w:r w:rsidR="00DA67D1">
        <w:t>:</w:t>
      </w:r>
      <w:r w:rsidR="00D417D5">
        <w:t xml:space="preserve">  During closing argument</w:t>
      </w:r>
      <w:r w:rsidR="00A676D4">
        <w:t xml:space="preserve">, the prosecutor </w:t>
      </w:r>
      <w:r w:rsidR="006F4B08">
        <w:t xml:space="preserve">said </w:t>
      </w:r>
      <w:r w:rsidR="003F3FAB">
        <w:t xml:space="preserve">there was no “proof that Scoggins and the group conspired to murder Wilson” </w:t>
      </w:r>
      <w:r w:rsidR="00C5335F">
        <w:t xml:space="preserve">and </w:t>
      </w:r>
      <w:r w:rsidR="00745CEC">
        <w:t>no “evidence of intent to kill by Scoggins.”</w:t>
      </w:r>
    </w:p>
    <w:p w:rsidR="008B5F8F" w:rsidRPr="00FF4A82" w:rsidP="00FF4A82" w14:paraId="64CE0DCD" w14:textId="2A238C5E">
      <w:pPr>
        <w:tabs>
          <w:tab w:val="left" w:pos="720"/>
        </w:tabs>
        <w:ind w:firstLine="720"/>
      </w:pPr>
      <w:r>
        <w:t>T</w:t>
      </w:r>
      <w:r w:rsidRPr="00FF4A82" w:rsidR="000D029A">
        <w:t>he Court of Appeal concluded</w:t>
      </w:r>
      <w:r w:rsidRPr="00FF4A82" w:rsidR="004231BB">
        <w:t xml:space="preserve"> </w:t>
      </w:r>
      <w:r w:rsidRPr="00FF4A82" w:rsidR="00C752B3">
        <w:t xml:space="preserve">that Scoggins </w:t>
      </w:r>
      <w:r w:rsidRPr="00FF4A82" w:rsidR="00A16EE2">
        <w:t xml:space="preserve">had some knowledge that Powell was likely to use lethal force.  </w:t>
      </w:r>
      <w:r w:rsidRPr="00FF4A82" w:rsidR="004231BB">
        <w:t>It pointed</w:t>
      </w:r>
      <w:r w:rsidRPr="00FF4A82" w:rsidR="00A16EE2">
        <w:t xml:space="preserve"> out that</w:t>
      </w:r>
      <w:r w:rsidRPr="00FF4A82" w:rsidR="00386061">
        <w:t xml:space="preserve"> </w:t>
      </w:r>
      <w:r w:rsidRPr="00FF4A82" w:rsidR="00A16EE2">
        <w:t xml:space="preserve">during </w:t>
      </w:r>
      <w:r w:rsidRPr="00FF4A82" w:rsidR="008F03C4">
        <w:t>one of Scoggins’s police interviews, he claimed he did not know Powell was the shooter but said</w:t>
      </w:r>
      <w:r w:rsidRPr="00FF4A82" w:rsidR="00EF683A">
        <w:t xml:space="preserve"> that</w:t>
      </w:r>
      <w:r w:rsidRPr="00FF4A82" w:rsidR="008F03C4">
        <w:t xml:space="preserve"> </w:t>
      </w:r>
      <w:r w:rsidRPr="00FF4A82" w:rsidR="00DE1A25">
        <w:t xml:space="preserve">if Powell did shoot Wilson, “his </w:t>
      </w:r>
      <w:r w:rsidRPr="00FF4A82" w:rsidR="006E0E66">
        <w:t xml:space="preserve">hot head got him in trouble.” </w:t>
      </w:r>
      <w:r w:rsidRPr="00FF4A82" w:rsidR="00EB2D93">
        <w:t xml:space="preserve"> Because Scoggins and Powell were close friends, the court explained,</w:t>
      </w:r>
      <w:r w:rsidRPr="00FF4A82" w:rsidR="006C3521">
        <w:t xml:space="preserve"> </w:t>
      </w:r>
      <w:r w:rsidRPr="00FF4A82" w:rsidR="002874D0">
        <w:t>“the jury could have reasonably concluded he was in a position to know Powell was prone to quic</w:t>
      </w:r>
      <w:r w:rsidRPr="00FF4A82" w:rsidR="006C3521">
        <w:t>k</w:t>
      </w:r>
      <w:r w:rsidRPr="00FF4A82" w:rsidR="002874D0">
        <w:t>ly become angry or was easily provoked to violence</w:t>
      </w:r>
      <w:r w:rsidRPr="00FF4A82" w:rsidR="006C3521">
        <w:t>.”</w:t>
      </w:r>
      <w:r w:rsidRPr="00FF4A82" w:rsidR="00502D2A">
        <w:t xml:space="preserve">  </w:t>
      </w:r>
      <w:r w:rsidRPr="00FF4A82" w:rsidR="005045FA">
        <w:t xml:space="preserve">The court also </w:t>
      </w:r>
      <w:r w:rsidRPr="00FF4A82" w:rsidR="00436DE2">
        <w:t xml:space="preserve">said that </w:t>
      </w:r>
      <w:r w:rsidRPr="00FF4A82" w:rsidR="00E84D52">
        <w:t>because Scoggins’s plan called for Powell and Howard to “beat the shit” out of Wilson, “using a hothead for that purpose does make a resulting murder more likely than using someone with a more even disposition.”</w:t>
      </w:r>
      <w:r w:rsidRPr="00FF4A82" w:rsidR="005523A2">
        <w:t xml:space="preserve">  </w:t>
      </w:r>
      <w:r w:rsidRPr="00FF4A82" w:rsidR="00A90F39">
        <w:t>The Attorney General echoes</w:t>
      </w:r>
      <w:r w:rsidRPr="00FF4A82" w:rsidR="00023950">
        <w:t xml:space="preserve"> those assertions as to Powell and </w:t>
      </w:r>
      <w:r w:rsidRPr="00FF4A82" w:rsidR="00D26209">
        <w:t xml:space="preserve">argues that </w:t>
      </w:r>
      <w:r w:rsidRPr="00FF4A82" w:rsidR="00FE2A07">
        <w:t>Scoggins</w:t>
      </w:r>
      <w:r w:rsidRPr="00FF4A82" w:rsidR="007975E4">
        <w:t xml:space="preserve"> </w:t>
      </w:r>
      <w:r w:rsidRPr="00FF4A82" w:rsidR="0049158E">
        <w:t>knew Howard was likely to use lethal force</w:t>
      </w:r>
      <w:r w:rsidRPr="00FF4A82" w:rsidR="00604F26">
        <w:t xml:space="preserve"> as well</w:t>
      </w:r>
      <w:r w:rsidRPr="00FF4A82" w:rsidR="0049158E">
        <w:t xml:space="preserve">.  The Attorney General notes that Scoggins was </w:t>
      </w:r>
      <w:r w:rsidRPr="00FF4A82" w:rsidR="004362D9">
        <w:t xml:space="preserve">also </w:t>
      </w:r>
      <w:r w:rsidRPr="00FF4A82" w:rsidR="0049158E">
        <w:t xml:space="preserve">close friends with Howard </w:t>
      </w:r>
      <w:r w:rsidRPr="00FF4A82" w:rsidR="004535FE">
        <w:t xml:space="preserve">and </w:t>
      </w:r>
      <w:r w:rsidRPr="00FF4A82" w:rsidR="00A3487D">
        <w:t xml:space="preserve">that Scoggins had </w:t>
      </w:r>
      <w:r w:rsidRPr="00FF4A82" w:rsidR="004535FE">
        <w:t xml:space="preserve">said </w:t>
      </w:r>
      <w:r w:rsidRPr="00FF4A82" w:rsidR="00A3487D">
        <w:t>Howard</w:t>
      </w:r>
      <w:r w:rsidRPr="00FF4A82" w:rsidR="007378F4">
        <w:t xml:space="preserve"> was not one to be “punk[ed]” and </w:t>
      </w:r>
      <w:r w:rsidRPr="00FF4A82" w:rsidR="00AF70C7">
        <w:t>would “have [Scoggins’s back] through whatever</w:t>
      </w:r>
      <w:r w:rsidRPr="00FF4A82" w:rsidR="007378F4">
        <w:t>.</w:t>
      </w:r>
      <w:r w:rsidRPr="00FF4A82" w:rsidR="00AF70C7">
        <w:t>”</w:t>
      </w:r>
      <w:r w:rsidRPr="00FF4A82" w:rsidR="00C64279">
        <w:t xml:space="preserve"> </w:t>
      </w:r>
      <w:r w:rsidRPr="00FF4A82" w:rsidR="007378F4">
        <w:t xml:space="preserve"> </w:t>
      </w:r>
    </w:p>
    <w:p w:rsidR="001014A2" w:rsidRPr="009317C0" w:rsidP="00FF4A82" w14:paraId="4E40BB1A" w14:textId="4291B712">
      <w:pPr>
        <w:tabs>
          <w:tab w:val="left" w:pos="720"/>
        </w:tabs>
        <w:ind w:firstLine="720"/>
      </w:pPr>
      <w:r w:rsidRPr="009317C0">
        <w:t>W</w:t>
      </w:r>
      <w:r w:rsidRPr="009317C0" w:rsidR="00204BE4">
        <w:t>e</w:t>
      </w:r>
      <w:r w:rsidRPr="009317C0" w:rsidR="0007360B">
        <w:t xml:space="preserve"> conclude that </w:t>
      </w:r>
      <w:r w:rsidRPr="009317C0" w:rsidR="00715CF3">
        <w:t xml:space="preserve">this evidence </w:t>
      </w:r>
      <w:r w:rsidRPr="009317C0" w:rsidR="00340879">
        <w:t>does not</w:t>
      </w:r>
      <w:r w:rsidRPr="009317C0" w:rsidR="00715CF3">
        <w:t xml:space="preserve"> show that Scoggins knew Powell or Howard was likely to kill Wilson.</w:t>
      </w:r>
      <w:r w:rsidRPr="009317C0" w:rsidR="002630C9">
        <w:t xml:space="preserve">  As </w:t>
      </w:r>
      <w:r w:rsidRPr="009317C0" w:rsidR="00E349EE">
        <w:t>Justice Renner</w:t>
      </w:r>
      <w:r w:rsidRPr="009317C0" w:rsidR="0000222D">
        <w:t xml:space="preserve"> observed</w:t>
      </w:r>
      <w:r w:rsidRPr="009317C0" w:rsidR="008E1523">
        <w:t xml:space="preserve"> in his concurring and dissenting</w:t>
      </w:r>
      <w:r w:rsidR="008E1523">
        <w:t xml:space="preserve"> opinion</w:t>
      </w:r>
      <w:r w:rsidRPr="00FF4A82" w:rsidR="0000222D">
        <w:t xml:space="preserve">, </w:t>
      </w:r>
      <w:r w:rsidRPr="00FF4A82" w:rsidR="00A65E9E">
        <w:t xml:space="preserve">“the fact that after the crime was committed </w:t>
      </w:r>
      <w:r w:rsidRPr="00FF4A82" w:rsidR="00192F80">
        <w:t>[Scoggins]</w:t>
      </w:r>
      <w:r w:rsidRPr="00FF4A82" w:rsidR="00A65E9E">
        <w:t xml:space="preserve"> said, if Powell did shoot Wilson, ‘his hot head got him in trouble’ is interesting, but this after-the-fact explanation for Powell’s behavior is insufficient to sup</w:t>
      </w:r>
      <w:r w:rsidR="00523790">
        <w:t xml:space="preserve">port a conclusion that </w:t>
      </w:r>
      <w:r w:rsidR="00DA67D1">
        <w:t>defendant</w:t>
      </w:r>
      <w:r w:rsidRPr="00FF4A82" w:rsidR="00A65E9E">
        <w:t xml:space="preserve"> knew before the felony that Powell</w:t>
      </w:r>
      <w:r w:rsidRPr="00FF4A82" w:rsidR="0028018F">
        <w:t xml:space="preserve"> </w:t>
      </w:r>
      <w:r w:rsidRPr="00FF4A82" w:rsidR="00A65E9E">
        <w:t xml:space="preserve">was </w:t>
      </w:r>
      <w:r w:rsidRPr="00FF4A82" w:rsidR="00A65E9E">
        <w:rPr>
          <w:i/>
        </w:rPr>
        <w:t>likely</w:t>
      </w:r>
      <w:r w:rsidRPr="00FF4A82" w:rsidR="00A65E9E">
        <w:t xml:space="preserve"> to inflict either a </w:t>
      </w:r>
      <w:r w:rsidRPr="009317C0" w:rsidR="00A65E9E">
        <w:t>deadly beating or carry and use a gun.</w:t>
      </w:r>
      <w:r w:rsidRPr="009317C0" w:rsidR="007D126F">
        <w:t xml:space="preserve">” </w:t>
      </w:r>
      <w:r w:rsidRPr="009317C0" w:rsidR="000B580E">
        <w:t xml:space="preserve"> Similarly, Scoggins’s </w:t>
      </w:r>
      <w:r w:rsidRPr="009317C0" w:rsidR="00102E1B">
        <w:t>comment</w:t>
      </w:r>
      <w:r w:rsidRPr="009317C0" w:rsidR="00692C77">
        <w:t xml:space="preserve"> after the shooting</w:t>
      </w:r>
      <w:r w:rsidRPr="009317C0" w:rsidR="00A42B92">
        <w:t xml:space="preserve"> </w:t>
      </w:r>
      <w:r w:rsidRPr="009317C0" w:rsidR="00102E1B">
        <w:t xml:space="preserve">that Howard </w:t>
      </w:r>
      <w:r w:rsidRPr="009317C0" w:rsidR="00A73093">
        <w:t xml:space="preserve">would “have [Scoggins’s back] through whatever” and was not one to be “punk[ed]” </w:t>
      </w:r>
      <w:r w:rsidRPr="009317C0" w:rsidR="00DA74E4">
        <w:t xml:space="preserve">is insufficient to show that Scoggins knew before the </w:t>
      </w:r>
      <w:r w:rsidRPr="009317C0" w:rsidR="00C178A8">
        <w:t>shooting that Howard was likely to use lethal force.</w:t>
      </w:r>
      <w:r w:rsidRPr="009317C0" w:rsidR="00B37040">
        <w:t xml:space="preserve"> </w:t>
      </w:r>
    </w:p>
    <w:p w:rsidR="00C377E0" w:rsidRPr="00FF4A82" w:rsidP="000D61EA" w14:paraId="269BD5C0" w14:textId="79520496">
      <w:pPr>
        <w:tabs>
          <w:tab w:val="left" w:pos="720"/>
        </w:tabs>
        <w:ind w:firstLine="720"/>
      </w:pPr>
      <w:r>
        <w:t>E</w:t>
      </w:r>
      <w:r w:rsidRPr="00FF4A82" w:rsidR="00BC4A03">
        <w:t xml:space="preserve">ven if Scoggins knew </w:t>
      </w:r>
      <w:r w:rsidRPr="00FF4A82" w:rsidR="00A3487D">
        <w:t xml:space="preserve">that </w:t>
      </w:r>
      <w:r w:rsidRPr="00FF4A82" w:rsidR="00BC4A03">
        <w:t xml:space="preserve">Powell and Howard </w:t>
      </w:r>
      <w:r w:rsidRPr="00FF4A82" w:rsidR="002C0572">
        <w:t>we</w:t>
      </w:r>
      <w:r w:rsidRPr="00FF4A82" w:rsidR="00BC4A03">
        <w:t>re prone to</w:t>
      </w:r>
      <w:r w:rsidRPr="00FF4A82" w:rsidR="002C0572">
        <w:t xml:space="preserve"> some degree of violence</w:t>
      </w:r>
      <w:r w:rsidRPr="00FF4A82" w:rsidR="0047045B">
        <w:t>, and even though the planned assault of Wilson necessarily contemplated the use of violence</w:t>
      </w:r>
      <w:r w:rsidRPr="00FF4A82" w:rsidR="002C0572">
        <w:t>,</w:t>
      </w:r>
      <w:r w:rsidRPr="00FF4A82" w:rsidR="00847EA0">
        <w:t xml:space="preserve"> </w:t>
      </w:r>
      <w:r w:rsidRPr="00FF4A82" w:rsidR="00E02ACD">
        <w:t>t</w:t>
      </w:r>
      <w:r w:rsidRPr="00FF4A82" w:rsidR="000875AA">
        <w:t xml:space="preserve">he evidence does not support </w:t>
      </w:r>
      <w:r w:rsidRPr="00FF4A82" w:rsidR="00F8043D">
        <w:t>a</w:t>
      </w:r>
      <w:r w:rsidRPr="00FF4A82" w:rsidR="000875AA">
        <w:t xml:space="preserve"> finding that </w:t>
      </w:r>
      <w:r w:rsidRPr="00FF4A82" w:rsidR="00AD2AA1">
        <w:t>Scoggins acted with reckless indifference to human life.</w:t>
      </w:r>
      <w:r w:rsidRPr="00FF4A82" w:rsidR="004F6B90">
        <w:t xml:space="preserve">  </w:t>
      </w:r>
      <w:r w:rsidRPr="00FF4A82" w:rsidR="00571D4F">
        <w:t>As</w:t>
      </w:r>
      <w:r w:rsidRPr="00FF4A82" w:rsidR="0047045B">
        <w:t xml:space="preserve"> noted, “[a]wareness of no more than the foreseeable risk of death inherent in any [violent felony] is insufficient”; reckless indifference to human life requires “knowingly creating a ‘</w:t>
      </w:r>
      <w:r w:rsidRPr="00FF4A82" w:rsidR="0047045B">
        <w:rPr>
          <w:i/>
        </w:rPr>
        <w:t>grave risk of death</w:t>
      </w:r>
      <w:r w:rsidRPr="00FF4A82" w:rsidR="0047045B">
        <w:t>.’ ” </w:t>
      </w:r>
      <w:r w:rsidRPr="00FF4A82" w:rsidR="00571D4F">
        <w:t xml:space="preserve"> </w:t>
      </w:r>
      <w:r w:rsidRPr="00FF4A82" w:rsidR="0047045B">
        <w:t>(</w:t>
      </w:r>
      <w:r w:rsidRPr="00FF4A82" w:rsidR="00571D4F">
        <w:rPr>
          <w:i/>
        </w:rPr>
        <w:t>Banks</w:t>
      </w:r>
      <w:r w:rsidRPr="00FF4A82" w:rsidR="00571D4F">
        <w:t xml:space="preserve">, </w:t>
      </w:r>
      <w:r w:rsidRPr="00FF4A82" w:rsidR="00571D4F">
        <w:rPr>
          <w:i/>
        </w:rPr>
        <w:t>supra</w:t>
      </w:r>
      <w:r w:rsidRPr="00FF4A82" w:rsidR="00571D4F">
        <w:t>, 61 Cal.4th at p. 808</w:t>
      </w:r>
      <w:r w:rsidRPr="00FF4A82" w:rsidR="0039153B">
        <w:t>, italics added</w:t>
      </w:r>
      <w:r w:rsidRPr="00FF4A82" w:rsidR="00571D4F">
        <w:t>.</w:t>
      </w:r>
      <w:r w:rsidRPr="00FF4A82" w:rsidR="0047045B">
        <w:t>)</w:t>
      </w:r>
      <w:r w:rsidRPr="00FF4A82" w:rsidR="00571D4F">
        <w:t xml:space="preserve">  </w:t>
      </w:r>
      <w:r w:rsidRPr="00FF4A82" w:rsidR="0039153B">
        <w:t xml:space="preserve">The degree of risk </w:t>
      </w:r>
      <w:r w:rsidRPr="00FF4A82" w:rsidR="00880EF1">
        <w:t xml:space="preserve">to human life </w:t>
      </w:r>
      <w:r w:rsidRPr="00FF4A82" w:rsidR="0039153B">
        <w:t>is crucial to the analysis.  We have said that a</w:t>
      </w:r>
      <w:r w:rsidRPr="00FF4A82" w:rsidR="0047045B">
        <w:t xml:space="preserve">ny person who plans or participates </w:t>
      </w:r>
      <w:r w:rsidRPr="00FF4A82" w:rsidR="00571D4F">
        <w:t xml:space="preserve">in an </w:t>
      </w:r>
      <w:r w:rsidRPr="00FF4A82" w:rsidR="00571D4F">
        <w:rPr>
          <w:i/>
        </w:rPr>
        <w:t>armed</w:t>
      </w:r>
      <w:r w:rsidRPr="00FF4A82" w:rsidR="00571D4F">
        <w:t xml:space="preserve"> robbery </w:t>
      </w:r>
      <w:r w:rsidRPr="00FF4A82" w:rsidR="0047045B">
        <w:t xml:space="preserve">can be said to </w:t>
      </w:r>
      <w:r w:rsidRPr="00FF4A82" w:rsidR="00571D4F">
        <w:t xml:space="preserve">anticipate that lethal violence might be used, given that “roughly 1 in 200 </w:t>
      </w:r>
      <w:r w:rsidRPr="00FF4A82" w:rsidR="0047045B">
        <w:t xml:space="preserve">[armed robberies] </w:t>
      </w:r>
      <w:r w:rsidRPr="00FF4A82" w:rsidR="00571D4F">
        <w:t xml:space="preserve">results in death.”  </w:t>
      </w:r>
      <w:r w:rsidRPr="00FF4A82" w:rsidR="00D0200D">
        <w:t>(</w:t>
      </w:r>
      <w:r w:rsidRPr="00FF4A82" w:rsidR="0047045B">
        <w:rPr>
          <w:i/>
        </w:rPr>
        <w:t>Id.</w:t>
      </w:r>
      <w:r w:rsidRPr="00FF4A82" w:rsidR="004A61E0">
        <w:t xml:space="preserve"> </w:t>
      </w:r>
      <w:r w:rsidRPr="00FF4A82" w:rsidR="00571D4F">
        <w:t>at p. 811.</w:t>
      </w:r>
      <w:r w:rsidRPr="00FF4A82" w:rsidR="006D2A55">
        <w:t>)</w:t>
      </w:r>
      <w:r w:rsidRPr="00FF4A82" w:rsidR="00571D4F">
        <w:t xml:space="preserve">  But that fact, without more, </w:t>
      </w:r>
      <w:r w:rsidRPr="00FF4A82" w:rsidR="0047045B">
        <w:t>does not</w:t>
      </w:r>
      <w:r w:rsidRPr="00FF4A82" w:rsidR="00571D4F">
        <w:t xml:space="preserve"> establish reckless indifference to human life.</w:t>
      </w:r>
      <w:r w:rsidRPr="00FF4A82" w:rsidR="007B7A69">
        <w:t xml:space="preserve">  </w:t>
      </w:r>
      <w:r w:rsidRPr="00FF4A82" w:rsidR="006D2A55">
        <w:t>(</w:t>
      </w:r>
      <w:r w:rsidRPr="00FF4A82" w:rsidR="00657E21">
        <w:rPr>
          <w:i/>
        </w:rPr>
        <w:t xml:space="preserve">Id. </w:t>
      </w:r>
      <w:r w:rsidRPr="00FF4A82" w:rsidR="00657E21">
        <w:t>at p. 808</w:t>
      </w:r>
      <w:r w:rsidRPr="00FF4A82" w:rsidR="0039153B">
        <w:t xml:space="preserve">; see </w:t>
      </w:r>
      <w:r w:rsidRPr="00FF4A82" w:rsidR="0039153B">
        <w:rPr>
          <w:i/>
        </w:rPr>
        <w:t>Clark</w:t>
      </w:r>
      <w:r w:rsidRPr="00FF4A82" w:rsidR="0039153B">
        <w:t xml:space="preserve">, </w:t>
      </w:r>
      <w:r w:rsidRPr="00FF4A82" w:rsidR="0039153B">
        <w:rPr>
          <w:i/>
        </w:rPr>
        <w:t>supra</w:t>
      </w:r>
      <w:r w:rsidRPr="00FF4A82" w:rsidR="0039153B">
        <w:t xml:space="preserve">, </w:t>
      </w:r>
      <w:r w:rsidRPr="00FF4A82" w:rsidR="00880EF1">
        <w:t>63 Cal.4th at p. 623 [finding insufficient evidence of reckless indifference to life where “there appears to be nothing in the plan that one can point to that elevated the risk to human life beyond those risks inherent in any armed robbery”]</w:t>
      </w:r>
      <w:r w:rsidRPr="00FF4A82" w:rsidR="00657E21">
        <w:t xml:space="preserve">.)  </w:t>
      </w:r>
      <w:r w:rsidRPr="00FF4A82" w:rsidR="0047045B">
        <w:t xml:space="preserve">Here, </w:t>
      </w:r>
      <w:r w:rsidRPr="00FF4A82" w:rsidR="007B7A69">
        <w:t>Scoggins</w:t>
      </w:r>
      <w:r w:rsidRPr="00FF4A82" w:rsidR="00825900">
        <w:t xml:space="preserve"> </w:t>
      </w:r>
      <w:r w:rsidRPr="00FF4A82" w:rsidR="0047045B">
        <w:t xml:space="preserve">planned an </w:t>
      </w:r>
      <w:r w:rsidRPr="00FF4A82" w:rsidR="0047045B">
        <w:rPr>
          <w:i/>
        </w:rPr>
        <w:t>unarmed</w:t>
      </w:r>
      <w:r w:rsidRPr="00FF4A82" w:rsidR="0047045B">
        <w:t xml:space="preserve"> robbery and assault</w:t>
      </w:r>
      <w:r w:rsidR="003B236D">
        <w:t xml:space="preserve">.  That the planned beating never occurred and Scoggins never got his money back shows </w:t>
      </w:r>
      <w:r w:rsidR="006E7B2F">
        <w:t>his</w:t>
      </w:r>
      <w:r w:rsidR="002D76F6">
        <w:t xml:space="preserve"> </w:t>
      </w:r>
      <w:r w:rsidR="00BE330A">
        <w:t xml:space="preserve">accomplices’ deviation </w:t>
      </w:r>
      <w:r w:rsidR="000D61EA">
        <w:t xml:space="preserve">from </w:t>
      </w:r>
      <w:r w:rsidRPr="00713E85" w:rsidR="000D61EA">
        <w:t xml:space="preserve">the original plan.  </w:t>
      </w:r>
      <w:r w:rsidRPr="00713E85" w:rsidR="009317C0">
        <w:t>The record does not show</w:t>
      </w:r>
      <w:r w:rsidRPr="00713E85" w:rsidR="00C92214">
        <w:t xml:space="preserve"> that </w:t>
      </w:r>
      <w:r w:rsidRPr="00713E85" w:rsidR="00E43AB1">
        <w:t xml:space="preserve">Scoggins </w:t>
      </w:r>
      <w:r w:rsidRPr="00713E85" w:rsidR="00A233F2">
        <w:t xml:space="preserve">knew </w:t>
      </w:r>
      <w:r w:rsidRPr="00713E85" w:rsidR="006A64CA">
        <w:t xml:space="preserve">his accomplices </w:t>
      </w:r>
      <w:r w:rsidRPr="00713E85" w:rsidR="00F25725">
        <w:t>were likely to</w:t>
      </w:r>
      <w:r w:rsidRPr="00713E85" w:rsidR="008A0712">
        <w:t xml:space="preserve"> deviate </w:t>
      </w:r>
      <w:r w:rsidRPr="00713E85" w:rsidR="00091177">
        <w:t xml:space="preserve">from </w:t>
      </w:r>
      <w:r w:rsidRPr="00713E85" w:rsidR="00E10D68">
        <w:t xml:space="preserve">the plan and use lethal force.  </w:t>
      </w:r>
      <w:r w:rsidRPr="00713E85" w:rsidR="00D72C25">
        <w:t xml:space="preserve">We </w:t>
      </w:r>
      <w:r w:rsidRPr="00713E85" w:rsidR="00CD082D">
        <w:t>agree with Justice Renner that the evidence</w:t>
      </w:r>
      <w:r w:rsidRPr="00713E85" w:rsidR="00904EF6">
        <w:t xml:space="preserve"> in this case</w:t>
      </w:r>
      <w:r w:rsidRPr="00713E85" w:rsidR="00CD082D">
        <w:t xml:space="preserve"> “</w:t>
      </w:r>
      <w:r w:rsidRPr="00FF4A82" w:rsidR="00CD082D">
        <w:t>does not suggest an elevated risk to human life beyond those risks inherent in an u</w:t>
      </w:r>
      <w:r w:rsidR="00165C3F">
        <w:t>narmed beating and robbery.”</w:t>
      </w:r>
    </w:p>
    <w:p w:rsidR="00F630B7" w:rsidRPr="00FF4A82" w:rsidP="00FF4A82" w14:paraId="00D5B1B3" w14:textId="4931A924">
      <w:pPr>
        <w:tabs>
          <w:tab w:val="left" w:pos="720"/>
        </w:tabs>
      </w:pPr>
      <w:r w:rsidRPr="00FF4A82">
        <w:tab/>
      </w:r>
      <w:r w:rsidRPr="00FF4A82" w:rsidR="008918C4">
        <w:t>Fifth</w:t>
      </w:r>
      <w:r w:rsidRPr="00FF4A82">
        <w:t xml:space="preserve">, </w:t>
      </w:r>
      <w:r w:rsidRPr="00FF4A82" w:rsidR="005D7BA1">
        <w:t xml:space="preserve">a defendant’s efforts to minimize the risk of violence in the commission of a felony is relevant to assessing reckless indifference to human life.  </w:t>
      </w:r>
      <w:r w:rsidRPr="00FF4A82" w:rsidR="6F6D58A4">
        <w:t>(</w:t>
      </w:r>
      <w:r w:rsidRPr="00FF4A82" w:rsidR="6F6D58A4">
        <w:rPr>
          <w:i/>
          <w:iCs/>
        </w:rPr>
        <w:t>Clark</w:t>
      </w:r>
      <w:r w:rsidRPr="00FF4A82" w:rsidR="6F6D58A4">
        <w:t xml:space="preserve">, </w:t>
      </w:r>
      <w:r w:rsidRPr="00FF4A82" w:rsidR="6F6D58A4">
        <w:rPr>
          <w:i/>
          <w:iCs/>
        </w:rPr>
        <w:t>supra</w:t>
      </w:r>
      <w:r w:rsidRPr="00FF4A82" w:rsidR="6F6D58A4">
        <w:t xml:space="preserve">, 63 Cal.4th at p. 622.)  In </w:t>
      </w:r>
      <w:r w:rsidRPr="00FF4A82" w:rsidR="001314B0">
        <w:rPr>
          <w:i/>
        </w:rPr>
        <w:t>Clark</w:t>
      </w:r>
      <w:r w:rsidRPr="00FF4A82" w:rsidR="6F6D58A4">
        <w:t>, we found significant the fact that the defendant arranged for the robbery to take place after business hours, when few employees would be present, and planned for the robbery to involve only one unloaded gun.  (</w:t>
      </w:r>
      <w:r w:rsidRPr="00FF4A82" w:rsidR="6F6D58A4">
        <w:rPr>
          <w:i/>
          <w:iCs/>
        </w:rPr>
        <w:t xml:space="preserve">Id. </w:t>
      </w:r>
      <w:r w:rsidRPr="00FF4A82" w:rsidR="4F000CFB">
        <w:t xml:space="preserve">at pp. 621–622.)  </w:t>
      </w:r>
      <w:r w:rsidRPr="00FF4A82" w:rsidR="005D7BA1">
        <w:t>But we also noted that the existence of efforts to minimize violence does not necessarily foreclose a finding of reckless indifference to human life.  (</w:t>
      </w:r>
      <w:r w:rsidRPr="00FF4A82" w:rsidR="4F000CFB">
        <w:rPr>
          <w:i/>
          <w:iCs/>
        </w:rPr>
        <w:t xml:space="preserve">Id. </w:t>
      </w:r>
      <w:r w:rsidRPr="00FF4A82" w:rsidR="4F000CFB">
        <w:t>at p. 622</w:t>
      </w:r>
      <w:r w:rsidRPr="00FF4A82" w:rsidR="001314B0">
        <w:t xml:space="preserve"> [</w:t>
      </w:r>
      <w:r w:rsidRPr="00FF4A82" w:rsidR="6F6D58A4">
        <w:t>“a defendant’s good faith but unreasonable belief that he or she was not posing a risk to human life in pursuing the felony does not suffice to foreclose a determination of reckless indifference to human life”</w:t>
      </w:r>
      <w:r w:rsidRPr="00FF4A82" w:rsidR="001314B0">
        <w:t>].)</w:t>
      </w:r>
      <w:r w:rsidRPr="00FF4A82" w:rsidR="6F6D58A4">
        <w:t xml:space="preserve">  For example, the Tison brothers made an agreement with their father that no one would get hurt during the prison escape and expressed surprise and regret when their father killed the victims.  (</w:t>
      </w:r>
      <w:r w:rsidRPr="00FF4A82" w:rsidR="6F6D58A4">
        <w:rPr>
          <w:i/>
          <w:iCs/>
        </w:rPr>
        <w:t>Tison</w:t>
      </w:r>
      <w:r w:rsidRPr="00FF4A82" w:rsidR="6F6D58A4">
        <w:t xml:space="preserve">, </w:t>
      </w:r>
      <w:r w:rsidRPr="00FF4A82" w:rsidR="6F6D58A4">
        <w:rPr>
          <w:i/>
          <w:iCs/>
        </w:rPr>
        <w:t>supra</w:t>
      </w:r>
      <w:r w:rsidRPr="00FF4A82" w:rsidR="6F6D58A4">
        <w:t xml:space="preserve">, 481 U.S. at p. 166 (dis. opn. of Brennan, J.).)  </w:t>
      </w:r>
      <w:r w:rsidRPr="00FF4A82" w:rsidR="00343DE0">
        <w:t>D</w:t>
      </w:r>
      <w:r w:rsidRPr="00FF4A82" w:rsidR="6F6D58A4">
        <w:t xml:space="preserve">espite the brothers’ </w:t>
      </w:r>
      <w:r w:rsidRPr="00FF4A82" w:rsidR="00343DE0">
        <w:t>agreement</w:t>
      </w:r>
      <w:r w:rsidRPr="00FF4A82" w:rsidR="6F6D58A4">
        <w:t>, an objective evaluation of the circumstances suggests that the prison escape was likely to pose serious risks of violence.  (</w:t>
      </w:r>
      <w:r w:rsidRPr="00FF4A82" w:rsidR="6F6D58A4">
        <w:rPr>
          <w:i/>
          <w:iCs/>
        </w:rPr>
        <w:t>Clark</w:t>
      </w:r>
      <w:r w:rsidRPr="00FF4A82" w:rsidR="6F6D58A4">
        <w:t xml:space="preserve">, at pp. 622–623.)  </w:t>
      </w:r>
    </w:p>
    <w:p w:rsidR="00DE4D45" w:rsidRPr="00FF4A82" w:rsidP="00423F04" w14:paraId="65232FA5" w14:textId="6E3FB964">
      <w:pPr>
        <w:tabs>
          <w:tab w:val="left" w:pos="720"/>
        </w:tabs>
        <w:ind w:firstLine="720"/>
      </w:pPr>
      <w:r w:rsidRPr="00FF4A82">
        <w:t xml:space="preserve">The Court of Appeal </w:t>
      </w:r>
      <w:r w:rsidRPr="00FF4A82" w:rsidR="00305251">
        <w:t>concluded, and the Attorney General argues, that</w:t>
      </w:r>
      <w:r w:rsidRPr="00FF4A82" w:rsidR="00D44C31">
        <w:t xml:space="preserve"> unlike the defendant in </w:t>
      </w:r>
      <w:r w:rsidRPr="00FF4A82" w:rsidR="00D44C31">
        <w:rPr>
          <w:i/>
        </w:rPr>
        <w:t>Clark</w:t>
      </w:r>
      <w:r w:rsidRPr="00FF4A82" w:rsidR="00D44C31">
        <w:t>,</w:t>
      </w:r>
      <w:r w:rsidRPr="00FF4A82" w:rsidR="004C1DF7">
        <w:t xml:space="preserve"> </w:t>
      </w:r>
      <w:r w:rsidRPr="00FF4A82" w:rsidR="00305251">
        <w:t xml:space="preserve">Scoggins made no efforts to minimize the risk of </w:t>
      </w:r>
      <w:r w:rsidRPr="00FF4A82" w:rsidR="006229E0">
        <w:t>violence.</w:t>
      </w:r>
      <w:r w:rsidRPr="00FF4A82" w:rsidR="00CA12DA">
        <w:t xml:space="preserve">  They note that</w:t>
      </w:r>
      <w:r w:rsidRPr="00FF4A82" w:rsidR="00CD526F">
        <w:t xml:space="preserve"> Scoggins instructed Powell and Howard to launch a surprise</w:t>
      </w:r>
      <w:r w:rsidRPr="00FF4A82" w:rsidR="00896A39">
        <w:t>, two-on-one</w:t>
      </w:r>
      <w:r w:rsidRPr="00FF4A82" w:rsidR="00CD526F">
        <w:t xml:space="preserve"> attack on Wilson and </w:t>
      </w:r>
      <w:r w:rsidRPr="00FF4A82" w:rsidR="005C6562">
        <w:t>to “beat the shit out of him.”</w:t>
      </w:r>
      <w:r w:rsidRPr="00FF4A82" w:rsidR="00E73DAA">
        <w:t xml:space="preserve">  </w:t>
      </w:r>
      <w:r w:rsidRPr="00FF4A82" w:rsidR="00C90A8E">
        <w:t>In their view, Scoggins</w:t>
      </w:r>
      <w:r w:rsidRPr="00FF4A82" w:rsidR="00F8043D">
        <w:t xml:space="preserve">, instead of </w:t>
      </w:r>
      <w:r w:rsidRPr="00FF4A82" w:rsidR="00C90A8E">
        <w:t>minimiz</w:t>
      </w:r>
      <w:r w:rsidRPr="00FF4A82" w:rsidR="00F8043D">
        <w:t>ing</w:t>
      </w:r>
      <w:r w:rsidRPr="00FF4A82" w:rsidR="00C90A8E">
        <w:t xml:space="preserve"> the risk of violence</w:t>
      </w:r>
      <w:r w:rsidRPr="00FF4A82" w:rsidR="00F8043D">
        <w:t>,</w:t>
      </w:r>
      <w:r w:rsidRPr="00FF4A82" w:rsidR="00C90A8E">
        <w:t xml:space="preserve"> assured that </w:t>
      </w:r>
      <w:r w:rsidRPr="00FF4A82" w:rsidR="00DD17E7">
        <w:t>the robbery would include violence.</w:t>
      </w:r>
      <w:r w:rsidRPr="00FF4A82" w:rsidR="00880EF1">
        <w:t xml:space="preserve">  But, a</w:t>
      </w:r>
      <w:r w:rsidRPr="00FF4A82" w:rsidR="00CA25FD">
        <w:t xml:space="preserve">s Justice Renner </w:t>
      </w:r>
      <w:r w:rsidRPr="00FF4A82" w:rsidR="00880EF1">
        <w:t>explained,</w:t>
      </w:r>
      <w:r w:rsidRPr="00FF4A82" w:rsidR="00CA25FD">
        <w:t xml:space="preserve"> “Scoggins’s plan included violence, certainly, but the need to minimize the risk of violence when planning an unarmed beating is less pressing than the need to minimize the risk of violence when planning an armed robbery.  The record does not contain any indication the </w:t>
      </w:r>
      <w:r w:rsidR="00015322">
        <w:t>defendant</w:t>
      </w:r>
      <w:r w:rsidRPr="00FF4A82" w:rsidR="00CA25FD">
        <w:t xml:space="preserve"> planned a beating involving the use of weapons.  This fact is, by itself, a significant step towards minimizing the likelihood that the plan would result in a </w:t>
      </w:r>
      <w:r w:rsidRPr="00FF4A82" w:rsidR="00FC3D8F">
        <w:t>‘</w:t>
      </w:r>
      <w:r w:rsidRPr="00FF4A82" w:rsidR="00CA25FD">
        <w:t>grave risk of death.</w:t>
      </w:r>
      <w:r w:rsidRPr="00FF4A82" w:rsidR="00FC3D8F">
        <w:t>’</w:t>
      </w:r>
      <w:r w:rsidRPr="00FF4A82" w:rsidR="00566013">
        <w:t> ”</w:t>
      </w:r>
      <w:r w:rsidRPr="00FF4A82" w:rsidR="00C86336">
        <w:t xml:space="preserve">  </w:t>
      </w:r>
      <w:r w:rsidRPr="00FF4A82" w:rsidR="00880EF1">
        <w:t xml:space="preserve">In addition, Scoggins </w:t>
      </w:r>
      <w:r w:rsidR="00E45F82">
        <w:t xml:space="preserve">agreed to have </w:t>
      </w:r>
      <w:r w:rsidR="00465771">
        <w:t xml:space="preserve">the confrontation </w:t>
      </w:r>
      <w:r w:rsidRPr="00FF4A82" w:rsidR="00880EF1">
        <w:t>take place in a public parking lot during the daytime, when the possible presence of witnesses might reasonably be thought to keep his accomplices within the bounds of the plan.</w:t>
      </w:r>
      <w:r>
        <w:t xml:space="preserve">  We do not suggest that planning an unarmed robbery or a robbery involving the use of non-lethal weapons </w:t>
      </w:r>
      <w:r w:rsidR="002A10B5">
        <w:t>can</w:t>
      </w:r>
      <w:r w:rsidR="004C07A3">
        <w:t xml:space="preserve"> never</w:t>
      </w:r>
      <w:r w:rsidR="002A10B5">
        <w:t>, under any scenario,</w:t>
      </w:r>
      <w:r w:rsidR="004C07A3">
        <w:t xml:space="preserve"> </w:t>
      </w:r>
      <w:r w:rsidR="00DC1CF9">
        <w:t>show reckle</w:t>
      </w:r>
      <w:r w:rsidR="00112F68">
        <w:t xml:space="preserve">ss indifference to human life.  But </w:t>
      </w:r>
      <w:r w:rsidR="00423F04">
        <w:t>under the circumstances here</w:t>
      </w:r>
      <w:r w:rsidR="00DE5977">
        <w:t>, this factor does not weigh in favor of finding that Scoggins acted with reckle</w:t>
      </w:r>
      <w:r w:rsidR="003B5E3B">
        <w:t>ss indifference to human life.</w:t>
      </w:r>
    </w:p>
    <w:p w:rsidR="00A87737" w:rsidRPr="00A3122E" w:rsidP="00C82382" w14:paraId="4E00E765" w14:textId="58745B86">
      <w:pPr>
        <w:tabs>
          <w:tab w:val="left" w:pos="720"/>
        </w:tabs>
        <w:ind w:firstLine="720"/>
      </w:pPr>
      <w:r>
        <w:t>Determining</w:t>
      </w:r>
      <w:r w:rsidRPr="00FF4A82">
        <w:t xml:space="preserve"> a defendant’s culpability under the special circumstances statute</w:t>
      </w:r>
      <w:r>
        <w:t xml:space="preserve"> requires a fact-intensive, individualized inquiry.  (</w:t>
      </w:r>
      <w:r w:rsidR="0033413A">
        <w:t xml:space="preserve">See </w:t>
      </w:r>
      <w:r w:rsidR="001A25FF">
        <w:rPr>
          <w:i/>
        </w:rPr>
        <w:t>Enmund</w:t>
      </w:r>
      <w:r w:rsidR="0033413A">
        <w:t xml:space="preserve">, </w:t>
      </w:r>
      <w:r w:rsidR="0033413A">
        <w:rPr>
          <w:i/>
        </w:rPr>
        <w:t>supra</w:t>
      </w:r>
      <w:r w:rsidR="0033413A">
        <w:t>, 4</w:t>
      </w:r>
      <w:r w:rsidR="001A25FF">
        <w:t xml:space="preserve">58 </w:t>
      </w:r>
      <w:r w:rsidR="0033413A">
        <w:t>U.S. at p</w:t>
      </w:r>
      <w:r w:rsidR="001A25FF">
        <w:t>. 798</w:t>
      </w:r>
      <w:r w:rsidR="0033413A">
        <w:t xml:space="preserve"> [</w:t>
      </w:r>
      <w:r w:rsidR="00A2747D">
        <w:t xml:space="preserve">when analyzing culpability, </w:t>
      </w:r>
      <w:r w:rsidR="005157AE">
        <w:t>courts</w:t>
      </w:r>
      <w:r w:rsidR="00387E32">
        <w:t xml:space="preserve"> must “focus on ‘relevant facets of the character and record of the individual offender’ ”</w:t>
      </w:r>
      <w:r w:rsidR="00A2747D">
        <w:t>]</w:t>
      </w:r>
      <w:r w:rsidR="001C0F19">
        <w:t>.)</w:t>
      </w:r>
      <w:r w:rsidR="00717066">
        <w:t xml:space="preserve">  </w:t>
      </w:r>
      <w:r>
        <w:t>In this case</w:t>
      </w:r>
      <w:r w:rsidRPr="00A3122E" w:rsidR="004F6936">
        <w:t xml:space="preserve">, </w:t>
      </w:r>
      <w:r w:rsidRPr="00A3122E" w:rsidR="00D067DC">
        <w:t>Scoggins planned an unarmed assault and robbery</w:t>
      </w:r>
      <w:r w:rsidRPr="00A3122E" w:rsidR="00015322">
        <w:t>, and h</w:t>
      </w:r>
      <w:r w:rsidRPr="00A3122E" w:rsidR="00276019">
        <w:t xml:space="preserve">is accomplices </w:t>
      </w:r>
      <w:r w:rsidRPr="00A3122E" w:rsidR="00C81FB8">
        <w:t xml:space="preserve">deviated from that plan </w:t>
      </w:r>
      <w:r w:rsidRPr="00A3122E" w:rsidR="003A4DFE">
        <w:t xml:space="preserve">and </w:t>
      </w:r>
      <w:r w:rsidRPr="00A3122E" w:rsidR="00725F96">
        <w:t xml:space="preserve">shot the victim instead.  </w:t>
      </w:r>
      <w:r w:rsidRPr="00A3122E" w:rsidR="00A83D2B">
        <w:t xml:space="preserve">The evidence </w:t>
      </w:r>
      <w:r w:rsidRPr="00A3122E" w:rsidR="00015322">
        <w:t>does not</w:t>
      </w:r>
      <w:r w:rsidRPr="00A3122E" w:rsidR="00FC6670">
        <w:t xml:space="preserve"> </w:t>
      </w:r>
      <w:r w:rsidRPr="00A3122E" w:rsidR="00314CF9">
        <w:t xml:space="preserve">show that </w:t>
      </w:r>
      <w:r w:rsidRPr="00A3122E" w:rsidR="00861BFA">
        <w:t xml:space="preserve">Scoggins knew </w:t>
      </w:r>
      <w:r w:rsidRPr="00A3122E" w:rsidR="005C4C9E">
        <w:t xml:space="preserve">his accomplices </w:t>
      </w:r>
      <w:r w:rsidRPr="00A3122E" w:rsidR="00F74A0C">
        <w:t xml:space="preserve">were likely </w:t>
      </w:r>
      <w:r w:rsidRPr="00A3122E" w:rsidR="000F0B6B">
        <w:t xml:space="preserve">to </w:t>
      </w:r>
      <w:r w:rsidRPr="00A3122E" w:rsidR="006578D1">
        <w:t xml:space="preserve">use lethal </w:t>
      </w:r>
      <w:r w:rsidRPr="00A3122E" w:rsidR="002857FC">
        <w:t>force</w:t>
      </w:r>
      <w:r w:rsidR="00C82382">
        <w:t xml:space="preserve">.  </w:t>
      </w:r>
      <w:r w:rsidRPr="00A3122E" w:rsidR="00015322">
        <w:t xml:space="preserve">On the facts here, we hold that </w:t>
      </w:r>
      <w:r w:rsidRPr="00A3122E" w:rsidR="002B62F5">
        <w:t xml:space="preserve">Scoggins </w:t>
      </w:r>
      <w:r w:rsidRPr="00A3122E" w:rsidR="009553EA">
        <w:t xml:space="preserve">did not </w:t>
      </w:r>
      <w:r w:rsidRPr="00A3122E" w:rsidR="003307AB">
        <w:t xml:space="preserve">“knowingly </w:t>
      </w:r>
      <w:r w:rsidRPr="00A3122E" w:rsidR="000C6FE7">
        <w:t>creat</w:t>
      </w:r>
      <w:r w:rsidRPr="00A3122E" w:rsidR="004651A2">
        <w:t>[</w:t>
      </w:r>
      <w:r w:rsidRPr="00A3122E" w:rsidR="00A3122E">
        <w:t>e</w:t>
      </w:r>
      <w:r w:rsidRPr="00A3122E" w:rsidR="004651A2">
        <w:t>]</w:t>
      </w:r>
      <w:r w:rsidRPr="00A3122E" w:rsidR="000C6FE7">
        <w:t xml:space="preserve"> a ‘grave risk of death.’ ”  (</w:t>
      </w:r>
      <w:r w:rsidRPr="00A3122E" w:rsidR="000C6FE7">
        <w:rPr>
          <w:i/>
        </w:rPr>
        <w:t>Banks</w:t>
      </w:r>
      <w:r w:rsidRPr="00A3122E" w:rsidR="000C6FE7">
        <w:t xml:space="preserve">, </w:t>
      </w:r>
      <w:r w:rsidRPr="00A3122E" w:rsidR="000C6FE7">
        <w:rPr>
          <w:i/>
          <w:iCs/>
        </w:rPr>
        <w:t>supra</w:t>
      </w:r>
      <w:r w:rsidRPr="00A3122E" w:rsidR="000C6FE7">
        <w:t>, 61 Cal.4th at p. 808.)</w:t>
      </w:r>
    </w:p>
    <w:p w:rsidR="00B42559" w:rsidRPr="00FF4A82" w:rsidP="00744510" w14:paraId="4E2572AE" w14:textId="5EB5059B">
      <w:pPr>
        <w:keepNext/>
        <w:tabs>
          <w:tab w:val="left" w:pos="720"/>
        </w:tabs>
        <w:jc w:val="center"/>
        <w:rPr>
          <w:b/>
        </w:rPr>
      </w:pPr>
      <w:r w:rsidRPr="00FF4A82">
        <w:rPr>
          <w:b/>
        </w:rPr>
        <w:t>CONCLUSION</w:t>
      </w:r>
    </w:p>
    <w:p w:rsidR="00844932" w:rsidRPr="00FF4A82" w:rsidP="00FF4A82" w14:paraId="565C4BB6" w14:textId="1BEB4CA2">
      <w:pPr>
        <w:keepNext/>
        <w:tabs>
          <w:tab w:val="left" w:pos="720"/>
        </w:tabs>
      </w:pPr>
      <w:r w:rsidRPr="00FF4A82">
        <w:rPr>
          <w:b/>
        </w:rPr>
        <w:tab/>
      </w:r>
      <w:r w:rsidRPr="00FF4A82" w:rsidR="003E7238">
        <w:t>W</w:t>
      </w:r>
      <w:r w:rsidRPr="00FF4A82" w:rsidR="6F6D58A4">
        <w:t>e reverse the judgment of the Court of Appeal and remand for further proceedings consistent with this opinion.</w:t>
      </w:r>
    </w:p>
    <w:p w:rsidR="00A44588" w:rsidP="008F250F" w14:paraId="75E81C71" w14:textId="36CEA242">
      <w:pPr>
        <w:tabs>
          <w:tab w:val="left" w:pos="1440"/>
        </w:tabs>
        <w:rPr>
          <w:b/>
          <w:caps/>
          <w:szCs w:val="26"/>
        </w:rPr>
      </w:pPr>
      <w:bookmarkStart w:id="10" w:name="mainstory"/>
      <w:bookmarkStart w:id="11" w:name="initials"/>
      <w:bookmarkEnd w:id="10"/>
      <w:bookmarkEnd w:id="11"/>
    </w:p>
    <w:p w:rsidR="00C07BEF" w:rsidP="00C07BEF" w14:paraId="4ACB435A" w14:textId="77777777">
      <w:pPr>
        <w:spacing w:line="240" w:lineRule="auto"/>
        <w:ind w:left="4320" w:firstLine="720"/>
        <w:rPr>
          <w:b/>
        </w:rPr>
      </w:pPr>
      <w:r w:rsidRPr="00E9547D">
        <w:rPr>
          <w:b/>
        </w:rPr>
        <w:t>LIU, J.</w:t>
      </w:r>
    </w:p>
    <w:p w:rsidR="00C07BEF" w:rsidP="00C07BEF" w14:paraId="72E3A4C4" w14:textId="77777777">
      <w:pPr>
        <w:spacing w:line="240" w:lineRule="auto"/>
        <w:ind w:left="4320" w:firstLine="720"/>
        <w:rPr>
          <w:b/>
        </w:rPr>
      </w:pPr>
    </w:p>
    <w:p w:rsidR="00C07BEF" w:rsidP="00C07BEF" w14:paraId="2234E193" w14:textId="77777777">
      <w:pPr>
        <w:spacing w:line="240" w:lineRule="auto"/>
        <w:rPr>
          <w:b/>
        </w:rPr>
      </w:pPr>
      <w:r>
        <w:rPr>
          <w:b/>
        </w:rPr>
        <w:t>We Concur:</w:t>
      </w:r>
    </w:p>
    <w:p w:rsidR="00C07BEF" w:rsidRPr="00146FD3" w:rsidP="00C07BEF" w14:paraId="61BE8D4E" w14:textId="1441E2C3">
      <w:pPr>
        <w:spacing w:after="0" w:line="240" w:lineRule="auto"/>
        <w:rPr>
          <w:rFonts w:ascii="Calibri" w:hAnsi="Calibri"/>
          <w:b/>
          <w:sz w:val="22"/>
          <w:lang w:val="it-IT"/>
        </w:rPr>
      </w:pPr>
      <w:r w:rsidRPr="00146FD3">
        <w:rPr>
          <w:b/>
          <w:lang w:val="it-IT"/>
        </w:rPr>
        <w:t>CANTIL-SAKAUYE, C.</w:t>
      </w:r>
      <w:r w:rsidR="00327C45">
        <w:rPr>
          <w:b/>
          <w:lang w:val="it-IT"/>
        </w:rPr>
        <w:t xml:space="preserve"> </w:t>
      </w:r>
      <w:r w:rsidRPr="00146FD3">
        <w:rPr>
          <w:b/>
          <w:lang w:val="it-IT"/>
        </w:rPr>
        <w:t>J.</w:t>
      </w:r>
    </w:p>
    <w:p w:rsidR="00C07BEF" w:rsidRPr="00146FD3" w:rsidP="00C07BEF" w14:paraId="663FDF6C" w14:textId="77777777">
      <w:pPr>
        <w:spacing w:after="0" w:line="240" w:lineRule="auto"/>
        <w:rPr>
          <w:b/>
          <w:lang w:val="it-IT"/>
        </w:rPr>
      </w:pPr>
      <w:r w:rsidRPr="00146FD3">
        <w:rPr>
          <w:b/>
          <w:lang w:val="it-IT"/>
        </w:rPr>
        <w:t>CHIN, J.</w:t>
      </w:r>
    </w:p>
    <w:p w:rsidR="00C07BEF" w:rsidRPr="00146FD3" w:rsidP="00C07BEF" w14:paraId="3B6B1644" w14:textId="77777777">
      <w:pPr>
        <w:spacing w:after="0" w:line="240" w:lineRule="auto"/>
        <w:rPr>
          <w:b/>
          <w:lang w:val="it-IT"/>
        </w:rPr>
      </w:pPr>
      <w:r w:rsidRPr="00146FD3">
        <w:rPr>
          <w:b/>
          <w:lang w:val="it-IT"/>
        </w:rPr>
        <w:t>CORRIGAN, J.</w:t>
      </w:r>
    </w:p>
    <w:p w:rsidR="00C07BEF" w:rsidRPr="00146FD3" w:rsidP="00C07BEF" w14:paraId="1641F4FD" w14:textId="77777777">
      <w:pPr>
        <w:spacing w:after="0" w:line="240" w:lineRule="auto"/>
        <w:rPr>
          <w:b/>
          <w:lang w:val="it-IT"/>
        </w:rPr>
      </w:pPr>
      <w:r w:rsidRPr="00146FD3">
        <w:rPr>
          <w:b/>
          <w:lang w:val="it-IT"/>
        </w:rPr>
        <w:t>CUÉLLAR, J.</w:t>
      </w:r>
    </w:p>
    <w:p w:rsidR="00C07BEF" w:rsidP="00C07BEF" w14:paraId="7B604FEB" w14:textId="77777777">
      <w:pPr>
        <w:spacing w:after="0" w:line="240" w:lineRule="auto"/>
        <w:jc w:val="left"/>
        <w:rPr>
          <w:b/>
          <w:lang w:val="it-IT"/>
        </w:rPr>
      </w:pPr>
      <w:r w:rsidRPr="00146FD3">
        <w:rPr>
          <w:b/>
          <w:lang w:val="it-IT"/>
        </w:rPr>
        <w:t>KRUGER, J.</w:t>
      </w:r>
    </w:p>
    <w:p w:rsidR="00C07BEF" w:rsidP="00C07BEF" w14:paraId="38E6EB8C" w14:textId="77777777">
      <w:pPr>
        <w:spacing w:after="0" w:line="240" w:lineRule="auto"/>
        <w:jc w:val="left"/>
        <w:rPr>
          <w:b/>
        </w:rPr>
      </w:pPr>
      <w:r>
        <w:rPr>
          <w:b/>
        </w:rPr>
        <w:t>GROBAN, J.</w:t>
      </w:r>
    </w:p>
    <w:p w:rsidR="001646A1" w14:paraId="5622C4A0" w14:textId="77777777">
      <w:pPr>
        <w:spacing w:after="0" w:line="240" w:lineRule="auto"/>
        <w:jc w:val="left"/>
        <w:rPr>
          <w:b/>
          <w:caps/>
          <w:szCs w:val="26"/>
        </w:rPr>
        <w:sectPr w:rsidSect="00533525">
          <w:footerReference w:type="first" r:id="rId14"/>
          <w:pgSz w:w="12240" w:h="15840"/>
          <w:pgMar w:top="1800" w:right="2160" w:bottom="1440" w:left="2160" w:header="720" w:footer="720" w:gutter="0"/>
          <w:pgNumType w:start="1"/>
          <w:cols w:space="720"/>
          <w:titlePg/>
          <w:docGrid w:linePitch="367"/>
        </w:sectPr>
      </w:pPr>
    </w:p>
    <w:p w:rsidR="001646A1" w:rsidRPr="001646A1" w:rsidP="001646A1" w14:paraId="6CA45830" w14:textId="77777777">
      <w:pPr>
        <w:spacing w:after="0" w:line="240" w:lineRule="auto"/>
        <w:ind w:left="720"/>
        <w:jc w:val="left"/>
        <w:rPr>
          <w:rFonts w:ascii="Times New Roman" w:hAnsi="Times New Roman"/>
          <w:i/>
          <w:sz w:val="20"/>
        </w:rPr>
      </w:pPr>
      <w:r w:rsidRPr="001646A1">
        <w:rPr>
          <w:rFonts w:ascii="Times New Roman" w:hAnsi="Times New Roman"/>
          <w:i/>
          <w:sz w:val="20"/>
        </w:rPr>
        <w:t>See next page for addresses and telephone numbers for counsel who argued in Supreme Court.</w:t>
      </w:r>
    </w:p>
    <w:p w:rsidR="001646A1" w:rsidRPr="001646A1" w:rsidP="001646A1" w14:paraId="77D82DD5" w14:textId="77777777">
      <w:pPr>
        <w:spacing w:after="0" w:line="240" w:lineRule="auto"/>
        <w:jc w:val="left"/>
        <w:rPr>
          <w:rFonts w:ascii="Times New Roman" w:hAnsi="Times New Roman"/>
          <w:i/>
          <w:sz w:val="20"/>
        </w:rPr>
      </w:pPr>
    </w:p>
    <w:p w:rsidR="001646A1" w:rsidRPr="001646A1" w:rsidP="001646A1" w14:paraId="3B634315" w14:textId="77777777">
      <w:pPr>
        <w:spacing w:after="0" w:line="240" w:lineRule="auto"/>
        <w:jc w:val="left"/>
        <w:rPr>
          <w:rFonts w:ascii="Times New Roman" w:hAnsi="Times New Roman"/>
          <w:b/>
          <w:sz w:val="20"/>
        </w:rPr>
      </w:pPr>
      <w:r w:rsidRPr="001646A1">
        <w:rPr>
          <w:rFonts w:ascii="Times New Roman" w:hAnsi="Times New Roman"/>
          <w:b/>
          <w:sz w:val="20"/>
        </w:rPr>
        <w:t xml:space="preserve">Name of Opinion </w:t>
      </w:r>
      <w:r w:rsidRPr="001646A1">
        <w:rPr>
          <w:rFonts w:ascii="Times New Roman" w:hAnsi="Times New Roman"/>
          <w:bCs/>
          <w:sz w:val="20"/>
        </w:rPr>
        <w:t>In re Scoggins</w:t>
      </w:r>
      <w:r w:rsidRPr="001646A1">
        <w:rPr>
          <w:rFonts w:ascii="Times New Roman" w:hAnsi="Times New Roman"/>
          <w:sz w:val="20"/>
        </w:rPr>
        <w:t xml:space="preserve"> </w:t>
      </w:r>
      <w:r w:rsidRPr="001646A1">
        <w:rPr>
          <w:rFonts w:ascii="Times New Roman" w:hAnsi="Times New Roman"/>
          <w:b/>
          <w:sz w:val="20"/>
        </w:rPr>
        <w:t>__________________________________________________________________________________</w:t>
      </w:r>
    </w:p>
    <w:p w:rsidR="001646A1" w:rsidRPr="001646A1" w:rsidP="001646A1" w14:paraId="6A115C76" w14:textId="77777777">
      <w:pPr>
        <w:spacing w:after="0" w:line="240" w:lineRule="auto"/>
        <w:jc w:val="left"/>
        <w:rPr>
          <w:rFonts w:ascii="Times New Roman" w:hAnsi="Times New Roman"/>
          <w:b/>
          <w:sz w:val="20"/>
        </w:rPr>
      </w:pPr>
    </w:p>
    <w:p w:rsidR="001646A1" w:rsidRPr="001646A1" w:rsidP="001646A1" w14:paraId="371500EC" w14:textId="77777777">
      <w:pPr>
        <w:spacing w:after="0" w:line="240" w:lineRule="auto"/>
        <w:jc w:val="left"/>
        <w:rPr>
          <w:rFonts w:ascii="Times New Roman" w:hAnsi="Times New Roman"/>
          <w:bCs/>
          <w:sz w:val="20"/>
        </w:rPr>
      </w:pPr>
      <w:r w:rsidRPr="001646A1">
        <w:rPr>
          <w:rFonts w:ascii="Times New Roman" w:hAnsi="Times New Roman"/>
          <w:b/>
          <w:sz w:val="20"/>
        </w:rPr>
        <w:t>Unpublished Opinion</w:t>
      </w:r>
      <w:r w:rsidRPr="001646A1">
        <w:rPr>
          <w:rFonts w:ascii="Times New Roman" w:hAnsi="Times New Roman"/>
          <w:sz w:val="20"/>
        </w:rPr>
        <w:t xml:space="preserve"> XXX NP opn. filed 12/17/18 – 3d Dist. </w:t>
      </w:r>
    </w:p>
    <w:p w:rsidR="001646A1" w:rsidRPr="001646A1" w:rsidP="001646A1" w14:paraId="3BD12059" w14:textId="77777777">
      <w:pPr>
        <w:spacing w:after="0" w:line="240" w:lineRule="auto"/>
        <w:jc w:val="left"/>
        <w:rPr>
          <w:rFonts w:ascii="Times New Roman" w:hAnsi="Times New Roman"/>
          <w:sz w:val="20"/>
        </w:rPr>
      </w:pPr>
      <w:r w:rsidRPr="001646A1">
        <w:rPr>
          <w:rFonts w:ascii="Times New Roman" w:hAnsi="Times New Roman"/>
          <w:b/>
          <w:sz w:val="20"/>
        </w:rPr>
        <w:t>Original Appeal</w:t>
      </w:r>
    </w:p>
    <w:p w:rsidR="001646A1" w:rsidRPr="001646A1" w:rsidP="001646A1" w14:paraId="60D2BC2A" w14:textId="77777777">
      <w:pPr>
        <w:spacing w:after="0" w:line="240" w:lineRule="auto"/>
        <w:jc w:val="left"/>
        <w:rPr>
          <w:rFonts w:ascii="Times New Roman" w:hAnsi="Times New Roman"/>
          <w:b/>
          <w:sz w:val="20"/>
        </w:rPr>
      </w:pPr>
      <w:r w:rsidRPr="001646A1">
        <w:rPr>
          <w:rFonts w:ascii="Times New Roman" w:hAnsi="Times New Roman"/>
          <w:b/>
          <w:sz w:val="20"/>
        </w:rPr>
        <w:t xml:space="preserve">Original Proceeding </w:t>
      </w:r>
    </w:p>
    <w:p w:rsidR="001646A1" w:rsidRPr="001646A1" w:rsidP="001646A1" w14:paraId="0F897C31" w14:textId="77777777">
      <w:pPr>
        <w:spacing w:after="0" w:line="240" w:lineRule="auto"/>
        <w:jc w:val="left"/>
        <w:rPr>
          <w:rFonts w:ascii="Times New Roman" w:hAnsi="Times New Roman"/>
          <w:bCs/>
          <w:sz w:val="20"/>
        </w:rPr>
      </w:pPr>
      <w:r w:rsidRPr="001646A1">
        <w:rPr>
          <w:rFonts w:ascii="Times New Roman" w:hAnsi="Times New Roman"/>
          <w:b/>
          <w:sz w:val="20"/>
        </w:rPr>
        <w:t xml:space="preserve">Review Granted </w:t>
      </w:r>
      <w:r w:rsidRPr="001646A1">
        <w:rPr>
          <w:rFonts w:ascii="Times New Roman" w:hAnsi="Times New Roman"/>
          <w:bCs/>
          <w:sz w:val="20"/>
        </w:rPr>
        <w:t xml:space="preserve"> </w:t>
      </w:r>
    </w:p>
    <w:p w:rsidR="001646A1" w:rsidRPr="001646A1" w:rsidP="001646A1" w14:paraId="286E0A9E" w14:textId="77777777">
      <w:pPr>
        <w:spacing w:after="0" w:line="240" w:lineRule="auto"/>
        <w:jc w:val="left"/>
        <w:rPr>
          <w:rFonts w:ascii="Times New Roman" w:hAnsi="Times New Roman"/>
          <w:b/>
          <w:sz w:val="20"/>
        </w:rPr>
      </w:pPr>
      <w:r w:rsidRPr="001646A1">
        <w:rPr>
          <w:rFonts w:ascii="Times New Roman" w:hAnsi="Times New Roman"/>
          <w:b/>
          <w:sz w:val="20"/>
        </w:rPr>
        <w:t>Rehearing Granted</w:t>
      </w:r>
    </w:p>
    <w:p w:rsidR="001646A1" w:rsidRPr="001646A1" w:rsidP="001646A1" w14:paraId="209A0653" w14:textId="77777777">
      <w:pPr>
        <w:spacing w:after="0" w:line="240" w:lineRule="auto"/>
        <w:jc w:val="left"/>
        <w:rPr>
          <w:rFonts w:ascii="Times New Roman" w:hAnsi="Times New Roman"/>
          <w:b/>
          <w:sz w:val="20"/>
        </w:rPr>
      </w:pPr>
      <w:r w:rsidRPr="001646A1">
        <w:rPr>
          <w:rFonts w:ascii="Times New Roman" w:hAnsi="Times New Roman"/>
          <w:b/>
          <w:sz w:val="20"/>
        </w:rPr>
        <w:t>__________________________________________________________________________________</w:t>
      </w:r>
    </w:p>
    <w:p w:rsidR="001646A1" w:rsidRPr="001646A1" w:rsidP="001646A1" w14:paraId="4FF15719" w14:textId="77777777">
      <w:pPr>
        <w:spacing w:after="0" w:line="240" w:lineRule="auto"/>
        <w:jc w:val="left"/>
        <w:rPr>
          <w:rFonts w:ascii="Times New Roman" w:hAnsi="Times New Roman"/>
          <w:b/>
          <w:sz w:val="20"/>
        </w:rPr>
      </w:pPr>
    </w:p>
    <w:p w:rsidR="001646A1" w:rsidRPr="001646A1" w:rsidP="001646A1" w14:paraId="78A735B7" w14:textId="77777777">
      <w:pPr>
        <w:spacing w:after="0" w:line="240" w:lineRule="auto"/>
        <w:jc w:val="left"/>
        <w:rPr>
          <w:rFonts w:ascii="Times New Roman" w:hAnsi="Times New Roman"/>
          <w:bCs/>
          <w:sz w:val="20"/>
        </w:rPr>
      </w:pPr>
      <w:r w:rsidRPr="001646A1">
        <w:rPr>
          <w:rFonts w:ascii="Times New Roman" w:hAnsi="Times New Roman"/>
          <w:b/>
          <w:sz w:val="20"/>
        </w:rPr>
        <w:t>Opinion No.</w:t>
      </w:r>
      <w:r w:rsidRPr="001646A1">
        <w:rPr>
          <w:rFonts w:ascii="Times New Roman" w:hAnsi="Times New Roman"/>
          <w:sz w:val="20"/>
        </w:rPr>
        <w:t xml:space="preserve"> S253155</w:t>
      </w:r>
    </w:p>
    <w:p w:rsidR="001646A1" w:rsidRPr="001646A1" w:rsidP="001646A1" w14:paraId="41C4B34D" w14:textId="77777777">
      <w:pPr>
        <w:spacing w:after="0" w:line="240" w:lineRule="auto"/>
        <w:jc w:val="left"/>
        <w:rPr>
          <w:rFonts w:ascii="Times New Roman" w:hAnsi="Times New Roman"/>
          <w:bCs/>
          <w:sz w:val="20"/>
        </w:rPr>
      </w:pPr>
      <w:r w:rsidRPr="001646A1">
        <w:rPr>
          <w:rFonts w:ascii="Times New Roman" w:hAnsi="Times New Roman"/>
          <w:b/>
          <w:sz w:val="20"/>
        </w:rPr>
        <w:t>Date Filed:</w:t>
      </w:r>
      <w:r w:rsidRPr="001646A1">
        <w:rPr>
          <w:rFonts w:ascii="Times New Roman" w:hAnsi="Times New Roman"/>
          <w:sz w:val="20"/>
        </w:rPr>
        <w:t xml:space="preserve">  June 25, 2020</w:t>
      </w:r>
    </w:p>
    <w:p w:rsidR="001646A1" w:rsidRPr="001646A1" w:rsidP="001646A1" w14:paraId="321F7AB3" w14:textId="77777777">
      <w:pPr>
        <w:spacing w:after="0" w:line="240" w:lineRule="auto"/>
        <w:jc w:val="left"/>
        <w:rPr>
          <w:rFonts w:ascii="Times New Roman" w:hAnsi="Times New Roman"/>
          <w:b/>
          <w:sz w:val="20"/>
        </w:rPr>
      </w:pPr>
      <w:r w:rsidRPr="001646A1">
        <w:rPr>
          <w:rFonts w:ascii="Times New Roman" w:hAnsi="Times New Roman"/>
          <w:b/>
          <w:sz w:val="20"/>
        </w:rPr>
        <w:t>__________________________________________________________________________________</w:t>
      </w:r>
    </w:p>
    <w:p w:rsidR="001646A1" w:rsidRPr="001646A1" w:rsidP="001646A1" w14:paraId="7CB2E3D0" w14:textId="77777777">
      <w:pPr>
        <w:spacing w:after="0" w:line="240" w:lineRule="auto"/>
        <w:jc w:val="left"/>
        <w:rPr>
          <w:rFonts w:ascii="Times New Roman" w:hAnsi="Times New Roman"/>
          <w:b/>
          <w:sz w:val="20"/>
        </w:rPr>
      </w:pPr>
    </w:p>
    <w:p w:rsidR="001646A1" w:rsidRPr="001646A1" w:rsidP="001646A1" w14:paraId="75DAAB01" w14:textId="77777777">
      <w:pPr>
        <w:spacing w:after="0" w:line="240" w:lineRule="auto"/>
        <w:jc w:val="left"/>
        <w:rPr>
          <w:rFonts w:ascii="Times New Roman" w:hAnsi="Times New Roman"/>
          <w:bCs/>
          <w:sz w:val="20"/>
        </w:rPr>
      </w:pPr>
      <w:r w:rsidRPr="001646A1">
        <w:rPr>
          <w:rFonts w:ascii="Times New Roman" w:hAnsi="Times New Roman"/>
          <w:b/>
          <w:sz w:val="20"/>
        </w:rPr>
        <w:t xml:space="preserve">Court:  </w:t>
      </w:r>
      <w:r w:rsidRPr="001646A1">
        <w:rPr>
          <w:rFonts w:ascii="Times New Roman" w:hAnsi="Times New Roman"/>
          <w:bCs/>
          <w:sz w:val="20"/>
        </w:rPr>
        <w:t>Superior</w:t>
      </w:r>
    </w:p>
    <w:p w:rsidR="001646A1" w:rsidRPr="001646A1" w:rsidP="001646A1" w14:paraId="60DF3CB9" w14:textId="77777777">
      <w:pPr>
        <w:spacing w:after="0" w:line="240" w:lineRule="auto"/>
        <w:jc w:val="left"/>
        <w:rPr>
          <w:rFonts w:ascii="Times New Roman" w:hAnsi="Times New Roman"/>
          <w:bCs/>
          <w:sz w:val="20"/>
        </w:rPr>
      </w:pPr>
      <w:r w:rsidRPr="001646A1">
        <w:rPr>
          <w:rFonts w:ascii="Times New Roman" w:hAnsi="Times New Roman"/>
          <w:b/>
          <w:sz w:val="20"/>
        </w:rPr>
        <w:t xml:space="preserve">County:  </w:t>
      </w:r>
      <w:r w:rsidRPr="001646A1">
        <w:rPr>
          <w:rFonts w:ascii="Times New Roman" w:hAnsi="Times New Roman"/>
          <w:bCs/>
          <w:sz w:val="20"/>
        </w:rPr>
        <w:t>Sacramento</w:t>
      </w:r>
    </w:p>
    <w:p w:rsidR="001646A1" w:rsidRPr="001646A1" w:rsidP="001646A1" w14:paraId="6F296CAE" w14:textId="77777777">
      <w:pPr>
        <w:spacing w:after="0" w:line="240" w:lineRule="auto"/>
        <w:ind w:left="720" w:hanging="720"/>
        <w:jc w:val="left"/>
        <w:rPr>
          <w:rFonts w:ascii="Times New Roman" w:hAnsi="Times New Roman"/>
          <w:bCs/>
          <w:sz w:val="20"/>
        </w:rPr>
      </w:pPr>
      <w:r w:rsidRPr="001646A1">
        <w:rPr>
          <w:rFonts w:ascii="Times New Roman" w:hAnsi="Times New Roman"/>
          <w:b/>
          <w:sz w:val="20"/>
        </w:rPr>
        <w:t xml:space="preserve">Judge:  </w:t>
      </w:r>
      <w:r w:rsidRPr="001646A1">
        <w:rPr>
          <w:rFonts w:ascii="Times New Roman" w:hAnsi="Times New Roman"/>
          <w:bCs/>
          <w:sz w:val="20"/>
        </w:rPr>
        <w:t>David F. De Alba</w:t>
      </w:r>
    </w:p>
    <w:p w:rsidR="001646A1" w:rsidRPr="001646A1" w:rsidP="001646A1" w14:paraId="233B497F" w14:textId="77777777">
      <w:pPr>
        <w:spacing w:after="0" w:line="240" w:lineRule="auto"/>
        <w:jc w:val="left"/>
        <w:rPr>
          <w:rFonts w:ascii="Times New Roman" w:hAnsi="Times New Roman"/>
          <w:b/>
          <w:sz w:val="20"/>
        </w:rPr>
      </w:pPr>
    </w:p>
    <w:p w:rsidR="001646A1" w:rsidRPr="001646A1" w:rsidP="001646A1" w14:paraId="347F5166" w14:textId="77777777">
      <w:pPr>
        <w:spacing w:after="0" w:line="240" w:lineRule="auto"/>
        <w:jc w:val="left"/>
        <w:rPr>
          <w:rFonts w:ascii="Times New Roman" w:hAnsi="Times New Roman"/>
          <w:b/>
          <w:sz w:val="20"/>
        </w:rPr>
      </w:pPr>
      <w:r w:rsidRPr="001646A1">
        <w:rPr>
          <w:rFonts w:ascii="Times New Roman" w:hAnsi="Times New Roman"/>
          <w:b/>
          <w:sz w:val="20"/>
        </w:rPr>
        <w:t>__________________________________________________________________________________</w:t>
      </w:r>
    </w:p>
    <w:p w:rsidR="001646A1" w:rsidRPr="001646A1" w:rsidP="001646A1" w14:paraId="13627BBE" w14:textId="77777777">
      <w:pPr>
        <w:spacing w:after="0" w:line="240" w:lineRule="auto"/>
        <w:jc w:val="left"/>
        <w:rPr>
          <w:rFonts w:ascii="Times New Roman" w:hAnsi="Times New Roman"/>
          <w:b/>
          <w:sz w:val="20"/>
        </w:rPr>
      </w:pPr>
    </w:p>
    <w:p w:rsidR="001646A1" w:rsidRPr="001646A1" w:rsidP="001646A1" w14:paraId="4431D8A7" w14:textId="77777777">
      <w:pPr>
        <w:spacing w:after="0" w:line="240" w:lineRule="auto"/>
        <w:jc w:val="left"/>
        <w:rPr>
          <w:rFonts w:ascii="Times New Roman" w:hAnsi="Times New Roman"/>
          <w:b/>
          <w:sz w:val="20"/>
        </w:rPr>
      </w:pPr>
      <w:r w:rsidRPr="001646A1">
        <w:rPr>
          <w:rFonts w:ascii="Times New Roman" w:hAnsi="Times New Roman"/>
          <w:b/>
          <w:sz w:val="20"/>
        </w:rPr>
        <w:t>Counsel:</w:t>
      </w:r>
    </w:p>
    <w:p w:rsidR="001646A1" w:rsidRPr="001646A1" w:rsidP="001646A1" w14:paraId="47515416" w14:textId="77777777">
      <w:pPr>
        <w:spacing w:after="0" w:line="240" w:lineRule="auto"/>
        <w:jc w:val="left"/>
        <w:rPr>
          <w:rFonts w:ascii="Times New Roman" w:hAnsi="Times New Roman"/>
          <w:b/>
          <w:sz w:val="20"/>
        </w:rPr>
      </w:pPr>
    </w:p>
    <w:p w:rsidR="001646A1" w:rsidRPr="001646A1" w:rsidP="001646A1" w14:paraId="1613AC88" w14:textId="77777777">
      <w:pPr>
        <w:spacing w:after="0" w:line="240" w:lineRule="auto"/>
        <w:jc w:val="left"/>
        <w:rPr>
          <w:rFonts w:ascii="Times New Roman" w:hAnsi="Times New Roman"/>
          <w:sz w:val="20"/>
        </w:rPr>
      </w:pPr>
      <w:r w:rsidRPr="001646A1">
        <w:rPr>
          <w:rFonts w:ascii="Times New Roman" w:hAnsi="Times New Roman"/>
          <w:sz w:val="20"/>
          <w:shd w:val="clear" w:color="auto" w:fill="FFFFFF"/>
        </w:rPr>
        <w:t xml:space="preserve">Victor J. Morse, </w:t>
      </w:r>
      <w:r w:rsidRPr="001646A1">
        <w:rPr>
          <w:rFonts w:ascii="Times New Roman" w:hAnsi="Times New Roman"/>
          <w:sz w:val="20"/>
        </w:rPr>
        <w:t>under appointment by the Supreme Court, for Petitioner Willie Scoggins.</w:t>
      </w:r>
    </w:p>
    <w:p w:rsidR="001646A1" w:rsidRPr="001646A1" w:rsidP="001646A1" w14:paraId="0BCE9D66" w14:textId="77777777">
      <w:pPr>
        <w:spacing w:after="0" w:line="240" w:lineRule="auto"/>
        <w:jc w:val="left"/>
        <w:rPr>
          <w:rFonts w:ascii="Times New Roman" w:hAnsi="Times New Roman"/>
          <w:sz w:val="20"/>
        </w:rPr>
      </w:pPr>
    </w:p>
    <w:p w:rsidR="001646A1" w:rsidRPr="001646A1" w:rsidP="001646A1" w14:paraId="10790A2E" w14:textId="77777777">
      <w:pPr>
        <w:spacing w:after="0" w:line="240" w:lineRule="auto"/>
        <w:jc w:val="left"/>
        <w:rPr>
          <w:rFonts w:ascii="Times New Roman" w:hAnsi="Times New Roman"/>
          <w:sz w:val="20"/>
        </w:rPr>
      </w:pPr>
      <w:r w:rsidRPr="001646A1">
        <w:rPr>
          <w:rFonts w:ascii="Times New Roman" w:hAnsi="Times New Roman"/>
          <w:sz w:val="20"/>
        </w:rPr>
        <w:t>Xavier Becerra, Attorney General, Gerald A. Engler, Chief Assistant Attorney General, Michael P. Farrell, Assistant Attorney General, Daniel B. Bernstein, Rachelle A. Newcomb and Tia M. Coronado, Deputy Attorneys General, for Respondent the People.</w:t>
      </w:r>
    </w:p>
    <w:p w:rsidR="001646A1" w:rsidRPr="001646A1" w:rsidP="001646A1" w14:paraId="0E883C10" w14:textId="77777777">
      <w:pPr>
        <w:spacing w:after="0" w:line="240" w:lineRule="auto"/>
        <w:jc w:val="left"/>
        <w:rPr>
          <w:rFonts w:ascii="Times New Roman" w:hAnsi="Times New Roman"/>
          <w:sz w:val="20"/>
        </w:rPr>
      </w:pPr>
    </w:p>
    <w:p w:rsidR="001646A1" w:rsidRPr="001646A1" w:rsidP="001646A1" w14:paraId="1B74F1E1" w14:textId="77777777">
      <w:pPr>
        <w:spacing w:after="0" w:line="240" w:lineRule="auto"/>
        <w:jc w:val="left"/>
        <w:rPr>
          <w:rFonts w:ascii="Times New Roman" w:hAnsi="Times New Roman"/>
          <w:sz w:val="20"/>
        </w:rPr>
      </w:pPr>
    </w:p>
    <w:p w:rsidR="001646A1" w:rsidRPr="001646A1" w:rsidP="001646A1" w14:paraId="707003D3" w14:textId="77777777">
      <w:pPr>
        <w:spacing w:after="0" w:line="240" w:lineRule="auto"/>
        <w:jc w:val="left"/>
        <w:rPr>
          <w:rFonts w:ascii="Times New Roman" w:hAnsi="Times New Roman"/>
          <w:sz w:val="20"/>
        </w:rPr>
      </w:pPr>
    </w:p>
    <w:p w:rsidR="001646A1" w:rsidRPr="001646A1" w:rsidP="001646A1" w14:paraId="144FB39C" w14:textId="77777777">
      <w:pPr>
        <w:spacing w:after="0" w:line="240" w:lineRule="auto"/>
        <w:jc w:val="left"/>
        <w:rPr>
          <w:rFonts w:ascii="Times New Roman" w:hAnsi="Times New Roman"/>
          <w:b/>
          <w:sz w:val="20"/>
        </w:rPr>
      </w:pPr>
    </w:p>
    <w:p w:rsidR="001646A1" w:rsidRPr="001646A1" w:rsidP="001646A1" w14:paraId="50AA282F" w14:textId="77777777">
      <w:pPr>
        <w:spacing w:after="0" w:line="240" w:lineRule="auto"/>
        <w:jc w:val="left"/>
        <w:rPr>
          <w:rFonts w:ascii="Times New Roman" w:hAnsi="Times New Roman"/>
          <w:b/>
          <w:sz w:val="20"/>
        </w:rPr>
      </w:pPr>
    </w:p>
    <w:p w:rsidR="001646A1" w:rsidRPr="001646A1" w:rsidP="001646A1" w14:paraId="2AD47BFA" w14:textId="77777777">
      <w:pPr>
        <w:spacing w:after="0" w:line="240" w:lineRule="auto"/>
        <w:jc w:val="left"/>
        <w:rPr>
          <w:rFonts w:ascii="Times New Roman" w:hAnsi="Times New Roman"/>
          <w:b/>
          <w:sz w:val="20"/>
        </w:rPr>
      </w:pPr>
    </w:p>
    <w:p w:rsidR="001646A1" w:rsidRPr="001646A1" w:rsidP="001646A1" w14:paraId="34A4E4B0" w14:textId="77777777">
      <w:pPr>
        <w:spacing w:after="0" w:line="240" w:lineRule="auto"/>
        <w:jc w:val="left"/>
        <w:rPr>
          <w:rFonts w:ascii="Times New Roman" w:hAnsi="Times New Roman"/>
          <w:b/>
          <w:sz w:val="20"/>
        </w:rPr>
      </w:pPr>
      <w:r w:rsidRPr="001646A1">
        <w:rPr>
          <w:rFonts w:ascii="Times New Roman" w:hAnsi="Times New Roman"/>
          <w:b/>
          <w:sz w:val="20"/>
        </w:rPr>
        <w:br w:type="page"/>
      </w:r>
    </w:p>
    <w:p w:rsidR="001646A1" w:rsidRPr="001646A1" w:rsidP="001646A1" w14:paraId="34E5F6A0" w14:textId="77777777">
      <w:pPr>
        <w:spacing w:after="0" w:line="240" w:lineRule="auto"/>
        <w:jc w:val="left"/>
        <w:rPr>
          <w:rFonts w:ascii="Times New Roman" w:hAnsi="Times New Roman"/>
          <w:b/>
          <w:sz w:val="20"/>
        </w:rPr>
      </w:pPr>
    </w:p>
    <w:p w:rsidR="001646A1" w:rsidRPr="001646A1" w:rsidP="001646A1" w14:paraId="753324EC" w14:textId="77777777">
      <w:pPr>
        <w:spacing w:after="0" w:line="240" w:lineRule="auto"/>
        <w:jc w:val="left"/>
        <w:rPr>
          <w:rFonts w:ascii="Times New Roman" w:hAnsi="Times New Roman"/>
          <w:b/>
          <w:sz w:val="20"/>
        </w:rPr>
      </w:pPr>
    </w:p>
    <w:p w:rsidR="001646A1" w:rsidRPr="001646A1" w:rsidP="001646A1" w14:paraId="461C78E8" w14:textId="77777777">
      <w:pPr>
        <w:spacing w:after="0" w:line="240" w:lineRule="auto"/>
        <w:jc w:val="left"/>
        <w:rPr>
          <w:rFonts w:ascii="Times New Roman" w:hAnsi="Times New Roman"/>
          <w:b/>
          <w:sz w:val="20"/>
        </w:rPr>
      </w:pPr>
    </w:p>
    <w:p w:rsidR="001646A1" w:rsidRPr="001646A1" w:rsidP="001646A1" w14:paraId="4D5729D5" w14:textId="77777777">
      <w:pPr>
        <w:spacing w:after="0" w:line="240" w:lineRule="auto"/>
        <w:jc w:val="left"/>
        <w:rPr>
          <w:rFonts w:ascii="Times New Roman" w:hAnsi="Times New Roman"/>
          <w:b/>
          <w:sz w:val="20"/>
        </w:rPr>
      </w:pPr>
      <w:r w:rsidRPr="001646A1">
        <w:rPr>
          <w:rFonts w:ascii="Times New Roman" w:hAnsi="Times New Roman"/>
          <w:b/>
          <w:sz w:val="20"/>
        </w:rPr>
        <w:t>Counsel who argued in Supreme Court (not intended for publication with opinion):</w:t>
      </w:r>
    </w:p>
    <w:p w:rsidR="001646A1" w:rsidRPr="001646A1" w:rsidP="001646A1" w14:paraId="23ECAA25" w14:textId="77777777">
      <w:pPr>
        <w:spacing w:after="0" w:line="240" w:lineRule="auto"/>
        <w:jc w:val="left"/>
        <w:rPr>
          <w:rFonts w:ascii="Times New Roman" w:hAnsi="Times New Roman"/>
          <w:b/>
          <w:sz w:val="20"/>
        </w:rPr>
      </w:pPr>
    </w:p>
    <w:p w:rsidR="001646A1" w:rsidRPr="001646A1" w:rsidP="001646A1" w14:paraId="49481825" w14:textId="77777777">
      <w:pPr>
        <w:spacing w:after="0" w:line="240" w:lineRule="auto"/>
        <w:jc w:val="left"/>
        <w:rPr>
          <w:rFonts w:ascii="Times New Roman" w:hAnsi="Times New Roman"/>
          <w:sz w:val="20"/>
        </w:rPr>
      </w:pPr>
      <w:r w:rsidRPr="001646A1">
        <w:rPr>
          <w:rFonts w:ascii="Times New Roman" w:hAnsi="Times New Roman"/>
          <w:sz w:val="20"/>
        </w:rPr>
        <w:t>Victor J. Morse</w:t>
      </w:r>
    </w:p>
    <w:p w:rsidR="001646A1" w:rsidRPr="001646A1" w:rsidP="001646A1" w14:paraId="57A3FE7D" w14:textId="77777777">
      <w:pPr>
        <w:spacing w:after="0" w:line="240" w:lineRule="auto"/>
        <w:jc w:val="left"/>
        <w:rPr>
          <w:rFonts w:ascii="Times New Roman" w:hAnsi="Times New Roman"/>
          <w:sz w:val="20"/>
        </w:rPr>
      </w:pPr>
      <w:r w:rsidRPr="001646A1">
        <w:rPr>
          <w:rFonts w:ascii="Times New Roman" w:hAnsi="Times New Roman"/>
          <w:sz w:val="20"/>
        </w:rPr>
        <w:t>3145 Geary Blvd., PMB #232</w:t>
      </w:r>
    </w:p>
    <w:p w:rsidR="001646A1" w:rsidRPr="001646A1" w:rsidP="001646A1" w14:paraId="4966F71F" w14:textId="77777777">
      <w:pPr>
        <w:spacing w:after="0" w:line="240" w:lineRule="auto"/>
        <w:jc w:val="left"/>
        <w:rPr>
          <w:rFonts w:ascii="Times New Roman" w:hAnsi="Times New Roman"/>
          <w:sz w:val="20"/>
        </w:rPr>
      </w:pPr>
      <w:r w:rsidRPr="001646A1">
        <w:rPr>
          <w:rFonts w:ascii="Times New Roman" w:hAnsi="Times New Roman"/>
          <w:sz w:val="20"/>
        </w:rPr>
        <w:t>San Francisco, CA 94118-3316</w:t>
      </w:r>
    </w:p>
    <w:p w:rsidR="001646A1" w:rsidRPr="001646A1" w:rsidP="001646A1" w14:paraId="0E2347D1" w14:textId="77777777">
      <w:pPr>
        <w:spacing w:after="0" w:line="240" w:lineRule="auto"/>
        <w:jc w:val="left"/>
        <w:rPr>
          <w:rFonts w:ascii="Times New Roman" w:hAnsi="Times New Roman"/>
          <w:sz w:val="20"/>
        </w:rPr>
      </w:pPr>
      <w:r w:rsidRPr="001646A1">
        <w:rPr>
          <w:rFonts w:ascii="Times New Roman" w:hAnsi="Times New Roman"/>
          <w:sz w:val="20"/>
        </w:rPr>
        <w:t>(415) 387-5828</w:t>
      </w:r>
    </w:p>
    <w:p w:rsidR="001646A1" w:rsidRPr="001646A1" w:rsidP="001646A1" w14:paraId="7A86D173" w14:textId="77777777">
      <w:pPr>
        <w:spacing w:after="0" w:line="240" w:lineRule="auto"/>
        <w:jc w:val="left"/>
        <w:rPr>
          <w:rFonts w:ascii="Times New Roman" w:hAnsi="Times New Roman"/>
          <w:sz w:val="20"/>
        </w:rPr>
      </w:pPr>
    </w:p>
    <w:p w:rsidR="001646A1" w:rsidRPr="001646A1" w:rsidP="001646A1" w14:paraId="211E0F48" w14:textId="77777777">
      <w:pPr>
        <w:spacing w:after="0" w:line="240" w:lineRule="auto"/>
        <w:jc w:val="left"/>
        <w:rPr>
          <w:rFonts w:ascii="Times New Roman" w:hAnsi="Times New Roman"/>
          <w:sz w:val="20"/>
        </w:rPr>
      </w:pPr>
      <w:r w:rsidRPr="001646A1">
        <w:rPr>
          <w:rFonts w:ascii="Times New Roman" w:hAnsi="Times New Roman"/>
          <w:sz w:val="20"/>
        </w:rPr>
        <w:t>Tia Coronado</w:t>
      </w:r>
    </w:p>
    <w:p w:rsidR="001646A1" w:rsidRPr="001646A1" w:rsidP="001646A1" w14:paraId="193D0338" w14:textId="77777777">
      <w:pPr>
        <w:spacing w:after="0" w:line="240" w:lineRule="auto"/>
        <w:jc w:val="left"/>
        <w:rPr>
          <w:rFonts w:ascii="Times New Roman" w:hAnsi="Times New Roman"/>
          <w:sz w:val="20"/>
        </w:rPr>
      </w:pPr>
      <w:r w:rsidRPr="001646A1">
        <w:rPr>
          <w:rFonts w:ascii="Times New Roman" w:hAnsi="Times New Roman"/>
          <w:sz w:val="20"/>
        </w:rPr>
        <w:t>Deputy Attorney General</w:t>
      </w:r>
    </w:p>
    <w:p w:rsidR="001646A1" w:rsidRPr="001646A1" w:rsidP="001646A1" w14:paraId="54B12873" w14:textId="77777777">
      <w:pPr>
        <w:spacing w:after="0" w:line="240" w:lineRule="auto"/>
        <w:jc w:val="left"/>
        <w:rPr>
          <w:rFonts w:ascii="Times New Roman" w:hAnsi="Times New Roman"/>
          <w:sz w:val="20"/>
        </w:rPr>
      </w:pPr>
      <w:r w:rsidRPr="001646A1">
        <w:rPr>
          <w:rFonts w:ascii="Times New Roman" w:hAnsi="Times New Roman"/>
          <w:sz w:val="20"/>
        </w:rPr>
        <w:t>1300 I St., Suite 125</w:t>
      </w:r>
    </w:p>
    <w:p w:rsidR="001646A1" w:rsidRPr="001646A1" w:rsidP="001646A1" w14:paraId="2B69AAF5" w14:textId="77777777">
      <w:pPr>
        <w:spacing w:after="0" w:line="240" w:lineRule="auto"/>
        <w:jc w:val="left"/>
        <w:rPr>
          <w:rFonts w:ascii="Times New Roman" w:hAnsi="Times New Roman"/>
          <w:sz w:val="20"/>
        </w:rPr>
      </w:pPr>
      <w:r w:rsidRPr="001646A1">
        <w:rPr>
          <w:rFonts w:ascii="Times New Roman" w:hAnsi="Times New Roman"/>
          <w:sz w:val="20"/>
        </w:rPr>
        <w:t>Sacramento, CA 94244-2550</w:t>
      </w:r>
    </w:p>
    <w:p w:rsidR="001646A1" w:rsidRPr="001646A1" w:rsidP="001646A1" w14:paraId="0FD0310E" w14:textId="77777777">
      <w:pPr>
        <w:spacing w:after="0" w:line="240" w:lineRule="auto"/>
        <w:jc w:val="left"/>
        <w:rPr>
          <w:rFonts w:ascii="Times New Roman" w:hAnsi="Times New Roman"/>
          <w:sz w:val="20"/>
        </w:rPr>
      </w:pPr>
      <w:r w:rsidRPr="001646A1">
        <w:rPr>
          <w:rFonts w:ascii="Times New Roman" w:hAnsi="Times New Roman"/>
          <w:sz w:val="20"/>
        </w:rPr>
        <w:t>(916) 210-7690</w:t>
      </w:r>
    </w:p>
    <w:p w:rsidR="00A44588" w14:paraId="2225A510" w14:textId="4063F7B5">
      <w:pPr>
        <w:spacing w:after="0" w:line="240" w:lineRule="auto"/>
        <w:jc w:val="left"/>
        <w:rPr>
          <w:b/>
          <w:caps/>
          <w:szCs w:val="26"/>
        </w:rPr>
      </w:pP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1225" w14:paraId="1AD257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382" w14:paraId="2C3F42BE" w14:textId="77777777">
    <w:pPr>
      <w:pStyle w:val="Footer"/>
    </w:pPr>
    <w:r>
      <w:rPr>
        <w:noProof/>
      </w:rPr>
      <w:fldChar w:fldCharType="begin"/>
    </w:r>
    <w:r>
      <w:rPr>
        <w:noProof/>
      </w:rPr>
      <w:instrText>PAGE</w:instrText>
    </w:r>
    <w:r>
      <w:rPr>
        <w:noProof/>
      </w:rPr>
      <w:fldChar w:fldCharType="separate"/>
    </w:r>
    <w:r w:rsidR="00DB09CD">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1225" w14:paraId="02B8DC8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8331900"/>
      <w:docPartObj>
        <w:docPartGallery w:val="Page Numbers (Bottom of Page)"/>
        <w:docPartUnique/>
      </w:docPartObj>
    </w:sdtPr>
    <w:sdtEndPr>
      <w:rPr>
        <w:noProof/>
      </w:rPr>
    </w:sdtEndPr>
    <w:sdtContent>
      <w:p w:rsidR="00C82382" w14:paraId="79C366B5" w14:textId="624BF671">
        <w:pPr>
          <w:pStyle w:val="Footer"/>
        </w:pPr>
        <w:r>
          <w:fldChar w:fldCharType="begin"/>
        </w:r>
        <w:r>
          <w:instrText xml:space="preserve"> PAGE   \* MERGEFORMAT </w:instrText>
        </w:r>
        <w:r>
          <w:fldChar w:fldCharType="separate"/>
        </w:r>
        <w:r w:rsidR="0075489C">
          <w:rPr>
            <w:noProof/>
          </w:rPr>
          <w:t>1</w:t>
        </w:r>
        <w:r>
          <w:rPr>
            <w:noProof/>
          </w:rPr>
          <w:fldChar w:fldCharType="end"/>
        </w:r>
      </w:p>
    </w:sdtContent>
  </w:sdt>
  <w:p w:rsidR="00C82382" w14:paraId="10F158C9" w14:textId="351FBC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0F7C" w14:paraId="18B7682C"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0F7C" w14:paraId="36F9FCCE"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0F7C" w14:paraId="4968527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1225" w14:paraId="68AE323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382" w14:paraId="7083C0AD" w14:textId="106C4FDC">
    <w:pPr>
      <w:pStyle w:val="Header"/>
    </w:pPr>
    <w:r>
      <w:t>In re SCOGGINS</w:t>
    </w:r>
  </w:p>
  <w:p w:rsidR="00C82382" w14:paraId="01526EE2" w14:textId="5B9EC925">
    <w:pPr>
      <w:pStyle w:val="Header"/>
    </w:pPr>
    <w:r>
      <w:t>Opinion of the Court by Liu, J.</w:t>
    </w:r>
  </w:p>
  <w:p w:rsidR="00C82382" w14:paraId="7597727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1225" w14:paraId="56CB1D8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0F7C" w14:paraId="40F69478"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0F7C" w14:paraId="7E8E4E5E"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0F7C" w14:paraId="3515CD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1929CC"/>
    <w:multiLevelType w:val="hybridMultilevel"/>
    <w:tmpl w:val="F82EC0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CF22963"/>
    <w:multiLevelType w:val="hybridMultilevel"/>
    <w:tmpl w:val="003200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CE65AB"/>
    <w:rsid w:val="00000575"/>
    <w:rsid w:val="00000996"/>
    <w:rsid w:val="00000BAB"/>
    <w:rsid w:val="00001392"/>
    <w:rsid w:val="00001A38"/>
    <w:rsid w:val="0000222D"/>
    <w:rsid w:val="0000389B"/>
    <w:rsid w:val="00003E34"/>
    <w:rsid w:val="00003E44"/>
    <w:rsid w:val="00003E70"/>
    <w:rsid w:val="00003EA3"/>
    <w:rsid w:val="00004A27"/>
    <w:rsid w:val="000051B0"/>
    <w:rsid w:val="00005561"/>
    <w:rsid w:val="000058AF"/>
    <w:rsid w:val="00005B71"/>
    <w:rsid w:val="00006AB8"/>
    <w:rsid w:val="00006DD0"/>
    <w:rsid w:val="0000727E"/>
    <w:rsid w:val="000079C1"/>
    <w:rsid w:val="00007F03"/>
    <w:rsid w:val="000106B6"/>
    <w:rsid w:val="00012067"/>
    <w:rsid w:val="00012803"/>
    <w:rsid w:val="00014401"/>
    <w:rsid w:val="0001440E"/>
    <w:rsid w:val="00014F5E"/>
    <w:rsid w:val="00015322"/>
    <w:rsid w:val="00015883"/>
    <w:rsid w:val="0001735D"/>
    <w:rsid w:val="00020427"/>
    <w:rsid w:val="000230D8"/>
    <w:rsid w:val="00023950"/>
    <w:rsid w:val="00024BDD"/>
    <w:rsid w:val="000250E3"/>
    <w:rsid w:val="00025FEC"/>
    <w:rsid w:val="00026430"/>
    <w:rsid w:val="00026CA8"/>
    <w:rsid w:val="00026E38"/>
    <w:rsid w:val="0002749F"/>
    <w:rsid w:val="00030E54"/>
    <w:rsid w:val="0003153B"/>
    <w:rsid w:val="0003161A"/>
    <w:rsid w:val="00032266"/>
    <w:rsid w:val="0003307F"/>
    <w:rsid w:val="000330C0"/>
    <w:rsid w:val="000333C9"/>
    <w:rsid w:val="00034BF6"/>
    <w:rsid w:val="00035828"/>
    <w:rsid w:val="000360F4"/>
    <w:rsid w:val="000360FC"/>
    <w:rsid w:val="00040169"/>
    <w:rsid w:val="00040525"/>
    <w:rsid w:val="00040BC8"/>
    <w:rsid w:val="00041DAD"/>
    <w:rsid w:val="00042722"/>
    <w:rsid w:val="0004298D"/>
    <w:rsid w:val="000444E8"/>
    <w:rsid w:val="00045007"/>
    <w:rsid w:val="000452C5"/>
    <w:rsid w:val="00045C47"/>
    <w:rsid w:val="00045F11"/>
    <w:rsid w:val="000461E5"/>
    <w:rsid w:val="00046369"/>
    <w:rsid w:val="000469B4"/>
    <w:rsid w:val="00047468"/>
    <w:rsid w:val="00047BBF"/>
    <w:rsid w:val="00050803"/>
    <w:rsid w:val="00052510"/>
    <w:rsid w:val="00053392"/>
    <w:rsid w:val="00056141"/>
    <w:rsid w:val="0005617F"/>
    <w:rsid w:val="000561B6"/>
    <w:rsid w:val="00056AB9"/>
    <w:rsid w:val="00056FA4"/>
    <w:rsid w:val="00057329"/>
    <w:rsid w:val="0005744A"/>
    <w:rsid w:val="00057F1C"/>
    <w:rsid w:val="00060176"/>
    <w:rsid w:val="000616E9"/>
    <w:rsid w:val="00063A83"/>
    <w:rsid w:val="000643C2"/>
    <w:rsid w:val="0006623E"/>
    <w:rsid w:val="00066D3C"/>
    <w:rsid w:val="000675A2"/>
    <w:rsid w:val="00071FA7"/>
    <w:rsid w:val="0007360B"/>
    <w:rsid w:val="00074638"/>
    <w:rsid w:val="00074896"/>
    <w:rsid w:val="00074B1A"/>
    <w:rsid w:val="00075F8A"/>
    <w:rsid w:val="000778D8"/>
    <w:rsid w:val="000813C4"/>
    <w:rsid w:val="0008228F"/>
    <w:rsid w:val="000825CD"/>
    <w:rsid w:val="000830D1"/>
    <w:rsid w:val="00083D14"/>
    <w:rsid w:val="0008409C"/>
    <w:rsid w:val="00084190"/>
    <w:rsid w:val="0008524A"/>
    <w:rsid w:val="00085B54"/>
    <w:rsid w:val="00087134"/>
    <w:rsid w:val="000875AA"/>
    <w:rsid w:val="00087756"/>
    <w:rsid w:val="000903BA"/>
    <w:rsid w:val="00090508"/>
    <w:rsid w:val="00091033"/>
    <w:rsid w:val="0009107A"/>
    <w:rsid w:val="00091177"/>
    <w:rsid w:val="0009121C"/>
    <w:rsid w:val="00092173"/>
    <w:rsid w:val="000922E6"/>
    <w:rsid w:val="00092657"/>
    <w:rsid w:val="0009382F"/>
    <w:rsid w:val="00093A4A"/>
    <w:rsid w:val="000943FB"/>
    <w:rsid w:val="00094ABD"/>
    <w:rsid w:val="00095E59"/>
    <w:rsid w:val="0009602E"/>
    <w:rsid w:val="000979A7"/>
    <w:rsid w:val="00097BCC"/>
    <w:rsid w:val="000A0ADD"/>
    <w:rsid w:val="000A1F9F"/>
    <w:rsid w:val="000A1FF8"/>
    <w:rsid w:val="000A3305"/>
    <w:rsid w:val="000A357C"/>
    <w:rsid w:val="000A438F"/>
    <w:rsid w:val="000A5811"/>
    <w:rsid w:val="000A63AD"/>
    <w:rsid w:val="000B1138"/>
    <w:rsid w:val="000B11DB"/>
    <w:rsid w:val="000B27DF"/>
    <w:rsid w:val="000B2908"/>
    <w:rsid w:val="000B2E51"/>
    <w:rsid w:val="000B2FD6"/>
    <w:rsid w:val="000B50DD"/>
    <w:rsid w:val="000B580E"/>
    <w:rsid w:val="000B675E"/>
    <w:rsid w:val="000B67AD"/>
    <w:rsid w:val="000B77AF"/>
    <w:rsid w:val="000B7D41"/>
    <w:rsid w:val="000C1982"/>
    <w:rsid w:val="000C2396"/>
    <w:rsid w:val="000C25F8"/>
    <w:rsid w:val="000C278D"/>
    <w:rsid w:val="000C4BA6"/>
    <w:rsid w:val="000C5155"/>
    <w:rsid w:val="000C54AE"/>
    <w:rsid w:val="000C59BA"/>
    <w:rsid w:val="000C5CA6"/>
    <w:rsid w:val="000C6D4C"/>
    <w:rsid w:val="000C6FE7"/>
    <w:rsid w:val="000C75DE"/>
    <w:rsid w:val="000C75E4"/>
    <w:rsid w:val="000D029A"/>
    <w:rsid w:val="000D1801"/>
    <w:rsid w:val="000D1ADC"/>
    <w:rsid w:val="000D2165"/>
    <w:rsid w:val="000D3642"/>
    <w:rsid w:val="000D38D0"/>
    <w:rsid w:val="000D4810"/>
    <w:rsid w:val="000D5113"/>
    <w:rsid w:val="000D60DC"/>
    <w:rsid w:val="000D61EA"/>
    <w:rsid w:val="000D7FE1"/>
    <w:rsid w:val="000E0041"/>
    <w:rsid w:val="000E02D1"/>
    <w:rsid w:val="000E1367"/>
    <w:rsid w:val="000E37A5"/>
    <w:rsid w:val="000E3B45"/>
    <w:rsid w:val="000E40AB"/>
    <w:rsid w:val="000E4A28"/>
    <w:rsid w:val="000E52AB"/>
    <w:rsid w:val="000E577B"/>
    <w:rsid w:val="000E5EC4"/>
    <w:rsid w:val="000E7477"/>
    <w:rsid w:val="000E7C7D"/>
    <w:rsid w:val="000F03B8"/>
    <w:rsid w:val="000F03DC"/>
    <w:rsid w:val="000F0933"/>
    <w:rsid w:val="000F0B6B"/>
    <w:rsid w:val="000F0C52"/>
    <w:rsid w:val="000F0F3A"/>
    <w:rsid w:val="000F18AD"/>
    <w:rsid w:val="000F18C6"/>
    <w:rsid w:val="000F20A3"/>
    <w:rsid w:val="000F2145"/>
    <w:rsid w:val="000F3585"/>
    <w:rsid w:val="000F35D5"/>
    <w:rsid w:val="000F3653"/>
    <w:rsid w:val="000F402C"/>
    <w:rsid w:val="000F5981"/>
    <w:rsid w:val="000F6DD2"/>
    <w:rsid w:val="000F725E"/>
    <w:rsid w:val="000F764B"/>
    <w:rsid w:val="00100731"/>
    <w:rsid w:val="00100A29"/>
    <w:rsid w:val="001014A2"/>
    <w:rsid w:val="001024D1"/>
    <w:rsid w:val="00102C7F"/>
    <w:rsid w:val="00102E1B"/>
    <w:rsid w:val="001030B8"/>
    <w:rsid w:val="00103376"/>
    <w:rsid w:val="001035DF"/>
    <w:rsid w:val="0010373E"/>
    <w:rsid w:val="001042B4"/>
    <w:rsid w:val="00104F0B"/>
    <w:rsid w:val="00105EDA"/>
    <w:rsid w:val="00105F10"/>
    <w:rsid w:val="0010695A"/>
    <w:rsid w:val="00106A1C"/>
    <w:rsid w:val="00107203"/>
    <w:rsid w:val="00107E09"/>
    <w:rsid w:val="001102F4"/>
    <w:rsid w:val="00111EC3"/>
    <w:rsid w:val="00112F68"/>
    <w:rsid w:val="00114418"/>
    <w:rsid w:val="001149ED"/>
    <w:rsid w:val="00116489"/>
    <w:rsid w:val="00117869"/>
    <w:rsid w:val="00121301"/>
    <w:rsid w:val="001216D3"/>
    <w:rsid w:val="00121718"/>
    <w:rsid w:val="00121B11"/>
    <w:rsid w:val="0012249D"/>
    <w:rsid w:val="00122FCC"/>
    <w:rsid w:val="001231A4"/>
    <w:rsid w:val="001236D4"/>
    <w:rsid w:val="00124890"/>
    <w:rsid w:val="00124BCF"/>
    <w:rsid w:val="001275CA"/>
    <w:rsid w:val="00127B4A"/>
    <w:rsid w:val="001305E7"/>
    <w:rsid w:val="00130C6B"/>
    <w:rsid w:val="00130E11"/>
    <w:rsid w:val="0013129D"/>
    <w:rsid w:val="001314B0"/>
    <w:rsid w:val="00131729"/>
    <w:rsid w:val="00131B45"/>
    <w:rsid w:val="00131F3F"/>
    <w:rsid w:val="00133045"/>
    <w:rsid w:val="00133856"/>
    <w:rsid w:val="00133B7F"/>
    <w:rsid w:val="00134F45"/>
    <w:rsid w:val="00135571"/>
    <w:rsid w:val="00135B94"/>
    <w:rsid w:val="00136BE1"/>
    <w:rsid w:val="00137A4C"/>
    <w:rsid w:val="0014170C"/>
    <w:rsid w:val="0014177C"/>
    <w:rsid w:val="00141EC1"/>
    <w:rsid w:val="00142A6B"/>
    <w:rsid w:val="00142E62"/>
    <w:rsid w:val="001436F4"/>
    <w:rsid w:val="0014384B"/>
    <w:rsid w:val="001439BC"/>
    <w:rsid w:val="00144160"/>
    <w:rsid w:val="0014512A"/>
    <w:rsid w:val="00146D50"/>
    <w:rsid w:val="00146FD3"/>
    <w:rsid w:val="00147791"/>
    <w:rsid w:val="00147D58"/>
    <w:rsid w:val="001525D0"/>
    <w:rsid w:val="00152E15"/>
    <w:rsid w:val="00153598"/>
    <w:rsid w:val="001538D7"/>
    <w:rsid w:val="00154E58"/>
    <w:rsid w:val="0015591C"/>
    <w:rsid w:val="001563DE"/>
    <w:rsid w:val="00161CAF"/>
    <w:rsid w:val="0016314E"/>
    <w:rsid w:val="00163C81"/>
    <w:rsid w:val="00163E80"/>
    <w:rsid w:val="001646A1"/>
    <w:rsid w:val="0016490B"/>
    <w:rsid w:val="00164C0D"/>
    <w:rsid w:val="00165C3F"/>
    <w:rsid w:val="00166370"/>
    <w:rsid w:val="00166757"/>
    <w:rsid w:val="0017013F"/>
    <w:rsid w:val="0017178D"/>
    <w:rsid w:val="00171BB3"/>
    <w:rsid w:val="0017257D"/>
    <w:rsid w:val="0017259F"/>
    <w:rsid w:val="001728FF"/>
    <w:rsid w:val="00173974"/>
    <w:rsid w:val="00173B4E"/>
    <w:rsid w:val="00174464"/>
    <w:rsid w:val="0017481F"/>
    <w:rsid w:val="00175515"/>
    <w:rsid w:val="00176429"/>
    <w:rsid w:val="001778F6"/>
    <w:rsid w:val="00177E5B"/>
    <w:rsid w:val="0018033C"/>
    <w:rsid w:val="0018096B"/>
    <w:rsid w:val="00181140"/>
    <w:rsid w:val="0018214C"/>
    <w:rsid w:val="00184D00"/>
    <w:rsid w:val="00186405"/>
    <w:rsid w:val="001875FD"/>
    <w:rsid w:val="001922E6"/>
    <w:rsid w:val="00192F80"/>
    <w:rsid w:val="00193717"/>
    <w:rsid w:val="0019374E"/>
    <w:rsid w:val="00193CDD"/>
    <w:rsid w:val="001945F6"/>
    <w:rsid w:val="00194643"/>
    <w:rsid w:val="00194A45"/>
    <w:rsid w:val="00195A06"/>
    <w:rsid w:val="001A109B"/>
    <w:rsid w:val="001A10D3"/>
    <w:rsid w:val="001A1434"/>
    <w:rsid w:val="001A25FF"/>
    <w:rsid w:val="001A291D"/>
    <w:rsid w:val="001A310A"/>
    <w:rsid w:val="001A357F"/>
    <w:rsid w:val="001A3AD3"/>
    <w:rsid w:val="001A499E"/>
    <w:rsid w:val="001A4AFC"/>
    <w:rsid w:val="001A5E1F"/>
    <w:rsid w:val="001A6181"/>
    <w:rsid w:val="001A6235"/>
    <w:rsid w:val="001A7830"/>
    <w:rsid w:val="001B04BF"/>
    <w:rsid w:val="001B0BB9"/>
    <w:rsid w:val="001B20BA"/>
    <w:rsid w:val="001B2931"/>
    <w:rsid w:val="001B31A2"/>
    <w:rsid w:val="001B42F9"/>
    <w:rsid w:val="001B5030"/>
    <w:rsid w:val="001B58AE"/>
    <w:rsid w:val="001B5F84"/>
    <w:rsid w:val="001B683E"/>
    <w:rsid w:val="001C0557"/>
    <w:rsid w:val="001C0E31"/>
    <w:rsid w:val="001C0F19"/>
    <w:rsid w:val="001C1D76"/>
    <w:rsid w:val="001C2BDB"/>
    <w:rsid w:val="001C2FBC"/>
    <w:rsid w:val="001C303F"/>
    <w:rsid w:val="001C3CF5"/>
    <w:rsid w:val="001C4D5C"/>
    <w:rsid w:val="001C57D9"/>
    <w:rsid w:val="001C5970"/>
    <w:rsid w:val="001C5992"/>
    <w:rsid w:val="001C5CC7"/>
    <w:rsid w:val="001C68F4"/>
    <w:rsid w:val="001C7C93"/>
    <w:rsid w:val="001D161F"/>
    <w:rsid w:val="001D379E"/>
    <w:rsid w:val="001D3C40"/>
    <w:rsid w:val="001D3FFB"/>
    <w:rsid w:val="001D60FD"/>
    <w:rsid w:val="001D695C"/>
    <w:rsid w:val="001D70CC"/>
    <w:rsid w:val="001E02DB"/>
    <w:rsid w:val="001E0697"/>
    <w:rsid w:val="001E08EA"/>
    <w:rsid w:val="001E0BE8"/>
    <w:rsid w:val="001E0F94"/>
    <w:rsid w:val="001E130C"/>
    <w:rsid w:val="001E4AC1"/>
    <w:rsid w:val="001E544F"/>
    <w:rsid w:val="001E5B7F"/>
    <w:rsid w:val="001E6124"/>
    <w:rsid w:val="001E6836"/>
    <w:rsid w:val="001E6A65"/>
    <w:rsid w:val="001E72BD"/>
    <w:rsid w:val="001E7421"/>
    <w:rsid w:val="001E7615"/>
    <w:rsid w:val="001E7778"/>
    <w:rsid w:val="001F1ADC"/>
    <w:rsid w:val="001F2D34"/>
    <w:rsid w:val="001F4902"/>
    <w:rsid w:val="001F5C6E"/>
    <w:rsid w:val="001F604F"/>
    <w:rsid w:val="001F6660"/>
    <w:rsid w:val="001F6782"/>
    <w:rsid w:val="00201D39"/>
    <w:rsid w:val="0020312E"/>
    <w:rsid w:val="00204BE4"/>
    <w:rsid w:val="002060C7"/>
    <w:rsid w:val="00206BDC"/>
    <w:rsid w:val="0020788E"/>
    <w:rsid w:val="00207DBB"/>
    <w:rsid w:val="0021039F"/>
    <w:rsid w:val="002113BF"/>
    <w:rsid w:val="0021149B"/>
    <w:rsid w:val="00213785"/>
    <w:rsid w:val="002137E8"/>
    <w:rsid w:val="00213ED0"/>
    <w:rsid w:val="002152FB"/>
    <w:rsid w:val="0021542F"/>
    <w:rsid w:val="002158CF"/>
    <w:rsid w:val="0021799D"/>
    <w:rsid w:val="00220929"/>
    <w:rsid w:val="0022293E"/>
    <w:rsid w:val="00222B3B"/>
    <w:rsid w:val="00223C14"/>
    <w:rsid w:val="00223EC0"/>
    <w:rsid w:val="00224739"/>
    <w:rsid w:val="00225AB8"/>
    <w:rsid w:val="00225FE6"/>
    <w:rsid w:val="00226BC3"/>
    <w:rsid w:val="002271F7"/>
    <w:rsid w:val="00230753"/>
    <w:rsid w:val="002307AF"/>
    <w:rsid w:val="00230ACC"/>
    <w:rsid w:val="002331B5"/>
    <w:rsid w:val="0023347A"/>
    <w:rsid w:val="00234076"/>
    <w:rsid w:val="00234862"/>
    <w:rsid w:val="00234C9A"/>
    <w:rsid w:val="00234D08"/>
    <w:rsid w:val="00236749"/>
    <w:rsid w:val="00237057"/>
    <w:rsid w:val="00237D04"/>
    <w:rsid w:val="00240E40"/>
    <w:rsid w:val="00241154"/>
    <w:rsid w:val="00241D8A"/>
    <w:rsid w:val="00241EEE"/>
    <w:rsid w:val="002428BE"/>
    <w:rsid w:val="00243273"/>
    <w:rsid w:val="002441B8"/>
    <w:rsid w:val="002450E4"/>
    <w:rsid w:val="002464BF"/>
    <w:rsid w:val="00246F84"/>
    <w:rsid w:val="00247E30"/>
    <w:rsid w:val="002507A6"/>
    <w:rsid w:val="00251266"/>
    <w:rsid w:val="002513A6"/>
    <w:rsid w:val="002524F4"/>
    <w:rsid w:val="00252EDD"/>
    <w:rsid w:val="00254263"/>
    <w:rsid w:val="002545BA"/>
    <w:rsid w:val="00255B50"/>
    <w:rsid w:val="0025654E"/>
    <w:rsid w:val="002568A7"/>
    <w:rsid w:val="00257DCC"/>
    <w:rsid w:val="002608B6"/>
    <w:rsid w:val="00260999"/>
    <w:rsid w:val="002617E8"/>
    <w:rsid w:val="002621F9"/>
    <w:rsid w:val="00262B55"/>
    <w:rsid w:val="002630C9"/>
    <w:rsid w:val="002635C6"/>
    <w:rsid w:val="00263C91"/>
    <w:rsid w:val="00263CA9"/>
    <w:rsid w:val="0026422D"/>
    <w:rsid w:val="00265137"/>
    <w:rsid w:val="00267077"/>
    <w:rsid w:val="00267A72"/>
    <w:rsid w:val="00267BDC"/>
    <w:rsid w:val="00267CCA"/>
    <w:rsid w:val="00267F4F"/>
    <w:rsid w:val="00270E48"/>
    <w:rsid w:val="002711F5"/>
    <w:rsid w:val="00273414"/>
    <w:rsid w:val="00273C22"/>
    <w:rsid w:val="0027463A"/>
    <w:rsid w:val="00274E18"/>
    <w:rsid w:val="00275579"/>
    <w:rsid w:val="00275DD0"/>
    <w:rsid w:val="00275EA9"/>
    <w:rsid w:val="00276019"/>
    <w:rsid w:val="00276A97"/>
    <w:rsid w:val="00277463"/>
    <w:rsid w:val="0028018F"/>
    <w:rsid w:val="00281443"/>
    <w:rsid w:val="0028145A"/>
    <w:rsid w:val="00282008"/>
    <w:rsid w:val="0028232B"/>
    <w:rsid w:val="00282364"/>
    <w:rsid w:val="00282767"/>
    <w:rsid w:val="00283043"/>
    <w:rsid w:val="00283B17"/>
    <w:rsid w:val="002840B4"/>
    <w:rsid w:val="002845EC"/>
    <w:rsid w:val="0028497E"/>
    <w:rsid w:val="00284ABD"/>
    <w:rsid w:val="002852A4"/>
    <w:rsid w:val="002857FC"/>
    <w:rsid w:val="00285B2D"/>
    <w:rsid w:val="002874D0"/>
    <w:rsid w:val="00290814"/>
    <w:rsid w:val="00291252"/>
    <w:rsid w:val="0029143F"/>
    <w:rsid w:val="002919D1"/>
    <w:rsid w:val="00291B70"/>
    <w:rsid w:val="00291CEC"/>
    <w:rsid w:val="00291D36"/>
    <w:rsid w:val="0029253F"/>
    <w:rsid w:val="00293699"/>
    <w:rsid w:val="002938B8"/>
    <w:rsid w:val="00293E88"/>
    <w:rsid w:val="0029516B"/>
    <w:rsid w:val="002965C7"/>
    <w:rsid w:val="00296CE8"/>
    <w:rsid w:val="00297246"/>
    <w:rsid w:val="002972F7"/>
    <w:rsid w:val="00297CDA"/>
    <w:rsid w:val="002A0A63"/>
    <w:rsid w:val="002A0FAE"/>
    <w:rsid w:val="002A10B5"/>
    <w:rsid w:val="002A188B"/>
    <w:rsid w:val="002A19A4"/>
    <w:rsid w:val="002A1C16"/>
    <w:rsid w:val="002A1C30"/>
    <w:rsid w:val="002A4005"/>
    <w:rsid w:val="002A44E3"/>
    <w:rsid w:val="002A472B"/>
    <w:rsid w:val="002A4852"/>
    <w:rsid w:val="002A53C9"/>
    <w:rsid w:val="002A57CD"/>
    <w:rsid w:val="002A61EC"/>
    <w:rsid w:val="002A67EE"/>
    <w:rsid w:val="002A6A9F"/>
    <w:rsid w:val="002B0682"/>
    <w:rsid w:val="002B06AB"/>
    <w:rsid w:val="002B0914"/>
    <w:rsid w:val="002B0D94"/>
    <w:rsid w:val="002B28AB"/>
    <w:rsid w:val="002B2B19"/>
    <w:rsid w:val="002B2FC2"/>
    <w:rsid w:val="002B4E98"/>
    <w:rsid w:val="002B5020"/>
    <w:rsid w:val="002B54B4"/>
    <w:rsid w:val="002B55A8"/>
    <w:rsid w:val="002B6278"/>
    <w:rsid w:val="002B62F5"/>
    <w:rsid w:val="002B6385"/>
    <w:rsid w:val="002B6791"/>
    <w:rsid w:val="002B747F"/>
    <w:rsid w:val="002B7875"/>
    <w:rsid w:val="002B7906"/>
    <w:rsid w:val="002C0572"/>
    <w:rsid w:val="002C05DE"/>
    <w:rsid w:val="002C0F5A"/>
    <w:rsid w:val="002C1CD2"/>
    <w:rsid w:val="002C1E7B"/>
    <w:rsid w:val="002C2736"/>
    <w:rsid w:val="002C2C80"/>
    <w:rsid w:val="002C3DDC"/>
    <w:rsid w:val="002C3EF6"/>
    <w:rsid w:val="002C4050"/>
    <w:rsid w:val="002C47DB"/>
    <w:rsid w:val="002C4EC0"/>
    <w:rsid w:val="002C5945"/>
    <w:rsid w:val="002C7990"/>
    <w:rsid w:val="002D0008"/>
    <w:rsid w:val="002D0807"/>
    <w:rsid w:val="002D0EE5"/>
    <w:rsid w:val="002D1467"/>
    <w:rsid w:val="002D2A06"/>
    <w:rsid w:val="002D4023"/>
    <w:rsid w:val="002D4F08"/>
    <w:rsid w:val="002D5232"/>
    <w:rsid w:val="002D5410"/>
    <w:rsid w:val="002D5B4B"/>
    <w:rsid w:val="002D6BB2"/>
    <w:rsid w:val="002D758F"/>
    <w:rsid w:val="002D76F6"/>
    <w:rsid w:val="002E1208"/>
    <w:rsid w:val="002E15DC"/>
    <w:rsid w:val="002E2E99"/>
    <w:rsid w:val="002E32CC"/>
    <w:rsid w:val="002E3C63"/>
    <w:rsid w:val="002E439B"/>
    <w:rsid w:val="002E4DA9"/>
    <w:rsid w:val="002E743C"/>
    <w:rsid w:val="002F0C3A"/>
    <w:rsid w:val="002F10F1"/>
    <w:rsid w:val="002F1761"/>
    <w:rsid w:val="002F1B97"/>
    <w:rsid w:val="002F1D7B"/>
    <w:rsid w:val="002F2336"/>
    <w:rsid w:val="002F2C3B"/>
    <w:rsid w:val="002F438B"/>
    <w:rsid w:val="002F58B7"/>
    <w:rsid w:val="002F5F98"/>
    <w:rsid w:val="00302120"/>
    <w:rsid w:val="003038F7"/>
    <w:rsid w:val="00303965"/>
    <w:rsid w:val="00304568"/>
    <w:rsid w:val="003047A0"/>
    <w:rsid w:val="00304CC1"/>
    <w:rsid w:val="00304CDE"/>
    <w:rsid w:val="00305183"/>
    <w:rsid w:val="00305251"/>
    <w:rsid w:val="00310100"/>
    <w:rsid w:val="00310731"/>
    <w:rsid w:val="00311095"/>
    <w:rsid w:val="003111D1"/>
    <w:rsid w:val="00311530"/>
    <w:rsid w:val="003115B4"/>
    <w:rsid w:val="00311714"/>
    <w:rsid w:val="0031385A"/>
    <w:rsid w:val="00313A36"/>
    <w:rsid w:val="00314CF9"/>
    <w:rsid w:val="00315215"/>
    <w:rsid w:val="00316577"/>
    <w:rsid w:val="00316908"/>
    <w:rsid w:val="0031697B"/>
    <w:rsid w:val="0032129F"/>
    <w:rsid w:val="0032196A"/>
    <w:rsid w:val="00321E09"/>
    <w:rsid w:val="00321F10"/>
    <w:rsid w:val="00321F51"/>
    <w:rsid w:val="00322773"/>
    <w:rsid w:val="00322EC1"/>
    <w:rsid w:val="00323B2C"/>
    <w:rsid w:val="00325EC9"/>
    <w:rsid w:val="0032719D"/>
    <w:rsid w:val="00327913"/>
    <w:rsid w:val="00327C45"/>
    <w:rsid w:val="003304FD"/>
    <w:rsid w:val="003307AB"/>
    <w:rsid w:val="0033190E"/>
    <w:rsid w:val="00332347"/>
    <w:rsid w:val="0033345F"/>
    <w:rsid w:val="0033413A"/>
    <w:rsid w:val="003342B4"/>
    <w:rsid w:val="00334A49"/>
    <w:rsid w:val="00334B3D"/>
    <w:rsid w:val="00335699"/>
    <w:rsid w:val="003361D1"/>
    <w:rsid w:val="0033633D"/>
    <w:rsid w:val="00336C51"/>
    <w:rsid w:val="00340879"/>
    <w:rsid w:val="00340CF8"/>
    <w:rsid w:val="003414CE"/>
    <w:rsid w:val="003417C1"/>
    <w:rsid w:val="003418C5"/>
    <w:rsid w:val="00342156"/>
    <w:rsid w:val="00343039"/>
    <w:rsid w:val="00343442"/>
    <w:rsid w:val="00343CD0"/>
    <w:rsid w:val="00343CE7"/>
    <w:rsid w:val="00343DE0"/>
    <w:rsid w:val="00343E17"/>
    <w:rsid w:val="00343F0C"/>
    <w:rsid w:val="00344184"/>
    <w:rsid w:val="003441C3"/>
    <w:rsid w:val="00344A77"/>
    <w:rsid w:val="0034526C"/>
    <w:rsid w:val="00345579"/>
    <w:rsid w:val="00345891"/>
    <w:rsid w:val="003458C1"/>
    <w:rsid w:val="003462C1"/>
    <w:rsid w:val="003467AD"/>
    <w:rsid w:val="003468F8"/>
    <w:rsid w:val="003473EE"/>
    <w:rsid w:val="00350EF8"/>
    <w:rsid w:val="00351555"/>
    <w:rsid w:val="00352966"/>
    <w:rsid w:val="00352D73"/>
    <w:rsid w:val="00353FE3"/>
    <w:rsid w:val="0035423D"/>
    <w:rsid w:val="00355058"/>
    <w:rsid w:val="0035660A"/>
    <w:rsid w:val="0036011D"/>
    <w:rsid w:val="00360B76"/>
    <w:rsid w:val="00360C71"/>
    <w:rsid w:val="003611A2"/>
    <w:rsid w:val="00362B19"/>
    <w:rsid w:val="00362CEB"/>
    <w:rsid w:val="00363101"/>
    <w:rsid w:val="00363B73"/>
    <w:rsid w:val="00363CBB"/>
    <w:rsid w:val="00364243"/>
    <w:rsid w:val="0036552C"/>
    <w:rsid w:val="003656F3"/>
    <w:rsid w:val="00365C1C"/>
    <w:rsid w:val="00365C9A"/>
    <w:rsid w:val="00365D9F"/>
    <w:rsid w:val="003673F7"/>
    <w:rsid w:val="00367865"/>
    <w:rsid w:val="0037215C"/>
    <w:rsid w:val="003723FA"/>
    <w:rsid w:val="00372850"/>
    <w:rsid w:val="00372CB2"/>
    <w:rsid w:val="003731F2"/>
    <w:rsid w:val="0037471B"/>
    <w:rsid w:val="00374CD9"/>
    <w:rsid w:val="00375521"/>
    <w:rsid w:val="00375E35"/>
    <w:rsid w:val="00376CD1"/>
    <w:rsid w:val="00377C1B"/>
    <w:rsid w:val="00380A7D"/>
    <w:rsid w:val="00380E7B"/>
    <w:rsid w:val="00381F74"/>
    <w:rsid w:val="00382769"/>
    <w:rsid w:val="00382956"/>
    <w:rsid w:val="0038368B"/>
    <w:rsid w:val="00383BD8"/>
    <w:rsid w:val="00383CEA"/>
    <w:rsid w:val="0038419F"/>
    <w:rsid w:val="003852F5"/>
    <w:rsid w:val="00386061"/>
    <w:rsid w:val="00386101"/>
    <w:rsid w:val="00386AC1"/>
    <w:rsid w:val="003876D1"/>
    <w:rsid w:val="003877A7"/>
    <w:rsid w:val="00387A4F"/>
    <w:rsid w:val="00387E32"/>
    <w:rsid w:val="00390074"/>
    <w:rsid w:val="0039014B"/>
    <w:rsid w:val="00390A32"/>
    <w:rsid w:val="0039118F"/>
    <w:rsid w:val="0039153B"/>
    <w:rsid w:val="003919AA"/>
    <w:rsid w:val="00391F16"/>
    <w:rsid w:val="00393929"/>
    <w:rsid w:val="00394BFB"/>
    <w:rsid w:val="003959EE"/>
    <w:rsid w:val="00396EF0"/>
    <w:rsid w:val="00397803"/>
    <w:rsid w:val="00397AA8"/>
    <w:rsid w:val="003A00CF"/>
    <w:rsid w:val="003A0FA0"/>
    <w:rsid w:val="003A11BB"/>
    <w:rsid w:val="003A131E"/>
    <w:rsid w:val="003A40B1"/>
    <w:rsid w:val="003A4DFE"/>
    <w:rsid w:val="003A517C"/>
    <w:rsid w:val="003A534E"/>
    <w:rsid w:val="003A574B"/>
    <w:rsid w:val="003A609F"/>
    <w:rsid w:val="003A68C6"/>
    <w:rsid w:val="003A68CE"/>
    <w:rsid w:val="003A6E74"/>
    <w:rsid w:val="003A7B7D"/>
    <w:rsid w:val="003A7F86"/>
    <w:rsid w:val="003B0F19"/>
    <w:rsid w:val="003B1601"/>
    <w:rsid w:val="003B22D4"/>
    <w:rsid w:val="003B236D"/>
    <w:rsid w:val="003B2DDA"/>
    <w:rsid w:val="003B3A4B"/>
    <w:rsid w:val="003B469F"/>
    <w:rsid w:val="003B4700"/>
    <w:rsid w:val="003B4EFB"/>
    <w:rsid w:val="003B5E3B"/>
    <w:rsid w:val="003B70B9"/>
    <w:rsid w:val="003B7EB5"/>
    <w:rsid w:val="003C08FF"/>
    <w:rsid w:val="003C289C"/>
    <w:rsid w:val="003C3C96"/>
    <w:rsid w:val="003C4F8D"/>
    <w:rsid w:val="003C4FE9"/>
    <w:rsid w:val="003C5847"/>
    <w:rsid w:val="003C59CE"/>
    <w:rsid w:val="003C5E63"/>
    <w:rsid w:val="003C6AB6"/>
    <w:rsid w:val="003C6FAD"/>
    <w:rsid w:val="003C70A6"/>
    <w:rsid w:val="003C7A5E"/>
    <w:rsid w:val="003C7D2A"/>
    <w:rsid w:val="003D0055"/>
    <w:rsid w:val="003D08E6"/>
    <w:rsid w:val="003D3979"/>
    <w:rsid w:val="003D530B"/>
    <w:rsid w:val="003D5A21"/>
    <w:rsid w:val="003D5CD2"/>
    <w:rsid w:val="003D6DBB"/>
    <w:rsid w:val="003E01C1"/>
    <w:rsid w:val="003E111B"/>
    <w:rsid w:val="003E1838"/>
    <w:rsid w:val="003E1AAA"/>
    <w:rsid w:val="003E2732"/>
    <w:rsid w:val="003E3BE7"/>
    <w:rsid w:val="003E3C75"/>
    <w:rsid w:val="003E64B1"/>
    <w:rsid w:val="003E7238"/>
    <w:rsid w:val="003E72F7"/>
    <w:rsid w:val="003E7B10"/>
    <w:rsid w:val="003F0E1E"/>
    <w:rsid w:val="003F17AF"/>
    <w:rsid w:val="003F18D8"/>
    <w:rsid w:val="003F239E"/>
    <w:rsid w:val="003F260A"/>
    <w:rsid w:val="003F27D7"/>
    <w:rsid w:val="003F28E3"/>
    <w:rsid w:val="003F3563"/>
    <w:rsid w:val="003F3E90"/>
    <w:rsid w:val="003F3FAB"/>
    <w:rsid w:val="003F4331"/>
    <w:rsid w:val="003F45B1"/>
    <w:rsid w:val="003F4BA0"/>
    <w:rsid w:val="003F67DD"/>
    <w:rsid w:val="003F6C6D"/>
    <w:rsid w:val="003F70E1"/>
    <w:rsid w:val="003F7A23"/>
    <w:rsid w:val="0040081E"/>
    <w:rsid w:val="0040165E"/>
    <w:rsid w:val="004018DD"/>
    <w:rsid w:val="00402009"/>
    <w:rsid w:val="0040276F"/>
    <w:rsid w:val="00402DEF"/>
    <w:rsid w:val="0040441B"/>
    <w:rsid w:val="004048B1"/>
    <w:rsid w:val="00405B3B"/>
    <w:rsid w:val="00406002"/>
    <w:rsid w:val="004062B1"/>
    <w:rsid w:val="004069B5"/>
    <w:rsid w:val="00406F42"/>
    <w:rsid w:val="004076B2"/>
    <w:rsid w:val="00407DB6"/>
    <w:rsid w:val="00407E59"/>
    <w:rsid w:val="00407EDE"/>
    <w:rsid w:val="00411E4E"/>
    <w:rsid w:val="004128E8"/>
    <w:rsid w:val="004158E3"/>
    <w:rsid w:val="00416871"/>
    <w:rsid w:val="0042016D"/>
    <w:rsid w:val="00420234"/>
    <w:rsid w:val="00420382"/>
    <w:rsid w:val="00420753"/>
    <w:rsid w:val="0042078C"/>
    <w:rsid w:val="00420EDF"/>
    <w:rsid w:val="00421325"/>
    <w:rsid w:val="004217C1"/>
    <w:rsid w:val="00421B6A"/>
    <w:rsid w:val="004231BB"/>
    <w:rsid w:val="0042394C"/>
    <w:rsid w:val="00423B7E"/>
    <w:rsid w:val="00423C26"/>
    <w:rsid w:val="00423C3F"/>
    <w:rsid w:val="00423F04"/>
    <w:rsid w:val="00424BAB"/>
    <w:rsid w:val="0042509E"/>
    <w:rsid w:val="00425333"/>
    <w:rsid w:val="004259E7"/>
    <w:rsid w:val="00425A14"/>
    <w:rsid w:val="00426A99"/>
    <w:rsid w:val="00426CC0"/>
    <w:rsid w:val="00430901"/>
    <w:rsid w:val="00430E14"/>
    <w:rsid w:val="004311AF"/>
    <w:rsid w:val="00432FE0"/>
    <w:rsid w:val="004331D8"/>
    <w:rsid w:val="00433411"/>
    <w:rsid w:val="00433676"/>
    <w:rsid w:val="00433C84"/>
    <w:rsid w:val="00434F35"/>
    <w:rsid w:val="00435336"/>
    <w:rsid w:val="004362D9"/>
    <w:rsid w:val="00436DE2"/>
    <w:rsid w:val="00437287"/>
    <w:rsid w:val="004372B9"/>
    <w:rsid w:val="00437474"/>
    <w:rsid w:val="00437C43"/>
    <w:rsid w:val="0044035A"/>
    <w:rsid w:val="0044060C"/>
    <w:rsid w:val="00440E2B"/>
    <w:rsid w:val="00441B88"/>
    <w:rsid w:val="00441F1C"/>
    <w:rsid w:val="004431AD"/>
    <w:rsid w:val="00443377"/>
    <w:rsid w:val="004435F2"/>
    <w:rsid w:val="00443CC9"/>
    <w:rsid w:val="004454FC"/>
    <w:rsid w:val="00446AAE"/>
    <w:rsid w:val="004470DC"/>
    <w:rsid w:val="00450901"/>
    <w:rsid w:val="00450A51"/>
    <w:rsid w:val="00451496"/>
    <w:rsid w:val="004517B2"/>
    <w:rsid w:val="00451CCA"/>
    <w:rsid w:val="004535FE"/>
    <w:rsid w:val="00453860"/>
    <w:rsid w:val="004546DC"/>
    <w:rsid w:val="00456B51"/>
    <w:rsid w:val="00456BEF"/>
    <w:rsid w:val="00456C64"/>
    <w:rsid w:val="004576BA"/>
    <w:rsid w:val="00457786"/>
    <w:rsid w:val="00457FF3"/>
    <w:rsid w:val="004603CE"/>
    <w:rsid w:val="00460ACF"/>
    <w:rsid w:val="00461A3D"/>
    <w:rsid w:val="00461AF6"/>
    <w:rsid w:val="00462024"/>
    <w:rsid w:val="00462100"/>
    <w:rsid w:val="004627D6"/>
    <w:rsid w:val="00462DE1"/>
    <w:rsid w:val="004651A2"/>
    <w:rsid w:val="00465771"/>
    <w:rsid w:val="00466413"/>
    <w:rsid w:val="00467650"/>
    <w:rsid w:val="00467897"/>
    <w:rsid w:val="00467954"/>
    <w:rsid w:val="0047045B"/>
    <w:rsid w:val="00471410"/>
    <w:rsid w:val="0047197E"/>
    <w:rsid w:val="00472D57"/>
    <w:rsid w:val="004748C5"/>
    <w:rsid w:val="00474C68"/>
    <w:rsid w:val="004751ED"/>
    <w:rsid w:val="00475468"/>
    <w:rsid w:val="00476745"/>
    <w:rsid w:val="00476BD6"/>
    <w:rsid w:val="00477D09"/>
    <w:rsid w:val="00480AD7"/>
    <w:rsid w:val="00481305"/>
    <w:rsid w:val="004825F8"/>
    <w:rsid w:val="00483612"/>
    <w:rsid w:val="00484A59"/>
    <w:rsid w:val="00486A6A"/>
    <w:rsid w:val="00486E2C"/>
    <w:rsid w:val="00486F46"/>
    <w:rsid w:val="00490C8F"/>
    <w:rsid w:val="0049105C"/>
    <w:rsid w:val="0049158E"/>
    <w:rsid w:val="0049183C"/>
    <w:rsid w:val="00492020"/>
    <w:rsid w:val="00492B3B"/>
    <w:rsid w:val="00492BEF"/>
    <w:rsid w:val="00493345"/>
    <w:rsid w:val="00493F94"/>
    <w:rsid w:val="00494463"/>
    <w:rsid w:val="00494A73"/>
    <w:rsid w:val="004951E5"/>
    <w:rsid w:val="004952F4"/>
    <w:rsid w:val="00495838"/>
    <w:rsid w:val="00495BB3"/>
    <w:rsid w:val="00496C5F"/>
    <w:rsid w:val="00496FDD"/>
    <w:rsid w:val="00497838"/>
    <w:rsid w:val="00497F7D"/>
    <w:rsid w:val="004A13EC"/>
    <w:rsid w:val="004A14B0"/>
    <w:rsid w:val="004A150F"/>
    <w:rsid w:val="004A160C"/>
    <w:rsid w:val="004A19B8"/>
    <w:rsid w:val="004A210E"/>
    <w:rsid w:val="004A35FA"/>
    <w:rsid w:val="004A53F7"/>
    <w:rsid w:val="004A61E0"/>
    <w:rsid w:val="004A662D"/>
    <w:rsid w:val="004A691B"/>
    <w:rsid w:val="004A6F33"/>
    <w:rsid w:val="004A7BE4"/>
    <w:rsid w:val="004B1290"/>
    <w:rsid w:val="004B181D"/>
    <w:rsid w:val="004B1D2A"/>
    <w:rsid w:val="004B249B"/>
    <w:rsid w:val="004B266E"/>
    <w:rsid w:val="004B2852"/>
    <w:rsid w:val="004B287C"/>
    <w:rsid w:val="004B2953"/>
    <w:rsid w:val="004B2C94"/>
    <w:rsid w:val="004B3508"/>
    <w:rsid w:val="004B3A0E"/>
    <w:rsid w:val="004B3FC4"/>
    <w:rsid w:val="004B4197"/>
    <w:rsid w:val="004B54E0"/>
    <w:rsid w:val="004B5E35"/>
    <w:rsid w:val="004B673E"/>
    <w:rsid w:val="004C0702"/>
    <w:rsid w:val="004C07A3"/>
    <w:rsid w:val="004C0881"/>
    <w:rsid w:val="004C0B2A"/>
    <w:rsid w:val="004C142E"/>
    <w:rsid w:val="004C163E"/>
    <w:rsid w:val="004C1DF7"/>
    <w:rsid w:val="004C2510"/>
    <w:rsid w:val="004C2D41"/>
    <w:rsid w:val="004C3FDE"/>
    <w:rsid w:val="004C4083"/>
    <w:rsid w:val="004C50EA"/>
    <w:rsid w:val="004C7533"/>
    <w:rsid w:val="004C7D0B"/>
    <w:rsid w:val="004D147B"/>
    <w:rsid w:val="004D166E"/>
    <w:rsid w:val="004D1CEA"/>
    <w:rsid w:val="004D1F55"/>
    <w:rsid w:val="004D24E1"/>
    <w:rsid w:val="004D28DE"/>
    <w:rsid w:val="004D42EC"/>
    <w:rsid w:val="004D4479"/>
    <w:rsid w:val="004D4672"/>
    <w:rsid w:val="004D75E4"/>
    <w:rsid w:val="004D7607"/>
    <w:rsid w:val="004D7FF8"/>
    <w:rsid w:val="004D7FF9"/>
    <w:rsid w:val="004E0482"/>
    <w:rsid w:val="004E1368"/>
    <w:rsid w:val="004E31B3"/>
    <w:rsid w:val="004E38BC"/>
    <w:rsid w:val="004E42DF"/>
    <w:rsid w:val="004E45B8"/>
    <w:rsid w:val="004E4A85"/>
    <w:rsid w:val="004E7228"/>
    <w:rsid w:val="004F0447"/>
    <w:rsid w:val="004F0B4F"/>
    <w:rsid w:val="004F124B"/>
    <w:rsid w:val="004F2381"/>
    <w:rsid w:val="004F2B35"/>
    <w:rsid w:val="004F3B4B"/>
    <w:rsid w:val="004F4924"/>
    <w:rsid w:val="004F5C3A"/>
    <w:rsid w:val="004F6936"/>
    <w:rsid w:val="004F6B90"/>
    <w:rsid w:val="004F711B"/>
    <w:rsid w:val="005007B8"/>
    <w:rsid w:val="00500C6D"/>
    <w:rsid w:val="0050125E"/>
    <w:rsid w:val="00501456"/>
    <w:rsid w:val="0050189A"/>
    <w:rsid w:val="00501EEF"/>
    <w:rsid w:val="00502D2A"/>
    <w:rsid w:val="0050399F"/>
    <w:rsid w:val="005045FA"/>
    <w:rsid w:val="005046A7"/>
    <w:rsid w:val="005054AC"/>
    <w:rsid w:val="005063F1"/>
    <w:rsid w:val="005064C5"/>
    <w:rsid w:val="00506CBB"/>
    <w:rsid w:val="005100EC"/>
    <w:rsid w:val="0051122A"/>
    <w:rsid w:val="005115DF"/>
    <w:rsid w:val="00512A21"/>
    <w:rsid w:val="00513FB8"/>
    <w:rsid w:val="005157AE"/>
    <w:rsid w:val="005159A7"/>
    <w:rsid w:val="00516024"/>
    <w:rsid w:val="005160F9"/>
    <w:rsid w:val="00516733"/>
    <w:rsid w:val="00516887"/>
    <w:rsid w:val="00516AE0"/>
    <w:rsid w:val="00517BDC"/>
    <w:rsid w:val="00517DB1"/>
    <w:rsid w:val="005204AC"/>
    <w:rsid w:val="00520CA9"/>
    <w:rsid w:val="005218A6"/>
    <w:rsid w:val="00521A83"/>
    <w:rsid w:val="00521E17"/>
    <w:rsid w:val="00522DD4"/>
    <w:rsid w:val="00522E80"/>
    <w:rsid w:val="00523790"/>
    <w:rsid w:val="00523DE8"/>
    <w:rsid w:val="00524EF7"/>
    <w:rsid w:val="00524F32"/>
    <w:rsid w:val="00526087"/>
    <w:rsid w:val="0052699C"/>
    <w:rsid w:val="00526E91"/>
    <w:rsid w:val="0052773B"/>
    <w:rsid w:val="00530520"/>
    <w:rsid w:val="00530583"/>
    <w:rsid w:val="00530CFD"/>
    <w:rsid w:val="00530EB8"/>
    <w:rsid w:val="0053202A"/>
    <w:rsid w:val="0053238F"/>
    <w:rsid w:val="00532541"/>
    <w:rsid w:val="005328FE"/>
    <w:rsid w:val="00533525"/>
    <w:rsid w:val="005338C2"/>
    <w:rsid w:val="00535899"/>
    <w:rsid w:val="00536F96"/>
    <w:rsid w:val="00537015"/>
    <w:rsid w:val="00537CCA"/>
    <w:rsid w:val="00541170"/>
    <w:rsid w:val="005439F3"/>
    <w:rsid w:val="005440F3"/>
    <w:rsid w:val="0054462C"/>
    <w:rsid w:val="00545495"/>
    <w:rsid w:val="005463C6"/>
    <w:rsid w:val="0054657A"/>
    <w:rsid w:val="00546801"/>
    <w:rsid w:val="005505C3"/>
    <w:rsid w:val="0055178F"/>
    <w:rsid w:val="00551D96"/>
    <w:rsid w:val="0055230B"/>
    <w:rsid w:val="005523A2"/>
    <w:rsid w:val="00552792"/>
    <w:rsid w:val="00552855"/>
    <w:rsid w:val="005529ED"/>
    <w:rsid w:val="00552B54"/>
    <w:rsid w:val="0055364F"/>
    <w:rsid w:val="005552FE"/>
    <w:rsid w:val="005558E8"/>
    <w:rsid w:val="00557293"/>
    <w:rsid w:val="00557A41"/>
    <w:rsid w:val="00557C5D"/>
    <w:rsid w:val="0056016F"/>
    <w:rsid w:val="005605AC"/>
    <w:rsid w:val="005608CC"/>
    <w:rsid w:val="00560F75"/>
    <w:rsid w:val="00561119"/>
    <w:rsid w:val="00561195"/>
    <w:rsid w:val="0056199F"/>
    <w:rsid w:val="00561CFC"/>
    <w:rsid w:val="00561E41"/>
    <w:rsid w:val="00561EDF"/>
    <w:rsid w:val="00562487"/>
    <w:rsid w:val="005640A5"/>
    <w:rsid w:val="0056416F"/>
    <w:rsid w:val="00564185"/>
    <w:rsid w:val="00564452"/>
    <w:rsid w:val="005645C4"/>
    <w:rsid w:val="00564979"/>
    <w:rsid w:val="005654E8"/>
    <w:rsid w:val="00565D36"/>
    <w:rsid w:val="00566013"/>
    <w:rsid w:val="00566ECA"/>
    <w:rsid w:val="00570C71"/>
    <w:rsid w:val="00570D9B"/>
    <w:rsid w:val="00571170"/>
    <w:rsid w:val="005716A6"/>
    <w:rsid w:val="00571B2A"/>
    <w:rsid w:val="00571D4F"/>
    <w:rsid w:val="00571FA7"/>
    <w:rsid w:val="005728AC"/>
    <w:rsid w:val="0057298D"/>
    <w:rsid w:val="00574225"/>
    <w:rsid w:val="0057450C"/>
    <w:rsid w:val="005747F4"/>
    <w:rsid w:val="00574906"/>
    <w:rsid w:val="005751C2"/>
    <w:rsid w:val="00575D99"/>
    <w:rsid w:val="0057614C"/>
    <w:rsid w:val="0057703B"/>
    <w:rsid w:val="00580182"/>
    <w:rsid w:val="0058067A"/>
    <w:rsid w:val="00580B7B"/>
    <w:rsid w:val="00580D3A"/>
    <w:rsid w:val="00581111"/>
    <w:rsid w:val="00581E26"/>
    <w:rsid w:val="0058349F"/>
    <w:rsid w:val="005834CB"/>
    <w:rsid w:val="005836E8"/>
    <w:rsid w:val="00583E7E"/>
    <w:rsid w:val="00584133"/>
    <w:rsid w:val="0058591E"/>
    <w:rsid w:val="0058607A"/>
    <w:rsid w:val="0058682D"/>
    <w:rsid w:val="005868AA"/>
    <w:rsid w:val="00586A3D"/>
    <w:rsid w:val="005873FE"/>
    <w:rsid w:val="005907C4"/>
    <w:rsid w:val="00590D2E"/>
    <w:rsid w:val="00591B75"/>
    <w:rsid w:val="0059299A"/>
    <w:rsid w:val="0059304F"/>
    <w:rsid w:val="00593966"/>
    <w:rsid w:val="005949AE"/>
    <w:rsid w:val="00594D00"/>
    <w:rsid w:val="00594D17"/>
    <w:rsid w:val="0059517B"/>
    <w:rsid w:val="005952F2"/>
    <w:rsid w:val="005957AC"/>
    <w:rsid w:val="0059586B"/>
    <w:rsid w:val="005963DB"/>
    <w:rsid w:val="005967BA"/>
    <w:rsid w:val="00597C5B"/>
    <w:rsid w:val="00597D8C"/>
    <w:rsid w:val="005A34E1"/>
    <w:rsid w:val="005A3CC5"/>
    <w:rsid w:val="005A3F77"/>
    <w:rsid w:val="005A4C29"/>
    <w:rsid w:val="005A508C"/>
    <w:rsid w:val="005A5104"/>
    <w:rsid w:val="005A5908"/>
    <w:rsid w:val="005A60B6"/>
    <w:rsid w:val="005A771E"/>
    <w:rsid w:val="005B0092"/>
    <w:rsid w:val="005B07BB"/>
    <w:rsid w:val="005B1A63"/>
    <w:rsid w:val="005B5DAB"/>
    <w:rsid w:val="005B6DEB"/>
    <w:rsid w:val="005C0194"/>
    <w:rsid w:val="005C030C"/>
    <w:rsid w:val="005C0608"/>
    <w:rsid w:val="005C10A0"/>
    <w:rsid w:val="005C127C"/>
    <w:rsid w:val="005C2059"/>
    <w:rsid w:val="005C223C"/>
    <w:rsid w:val="005C2726"/>
    <w:rsid w:val="005C276F"/>
    <w:rsid w:val="005C4AE1"/>
    <w:rsid w:val="005C4C9E"/>
    <w:rsid w:val="005C6141"/>
    <w:rsid w:val="005C6562"/>
    <w:rsid w:val="005C66F0"/>
    <w:rsid w:val="005C6A48"/>
    <w:rsid w:val="005D070B"/>
    <w:rsid w:val="005D1726"/>
    <w:rsid w:val="005D222E"/>
    <w:rsid w:val="005D29D5"/>
    <w:rsid w:val="005D3D0E"/>
    <w:rsid w:val="005D510A"/>
    <w:rsid w:val="005D594F"/>
    <w:rsid w:val="005D5B37"/>
    <w:rsid w:val="005D7BA1"/>
    <w:rsid w:val="005E130D"/>
    <w:rsid w:val="005E1433"/>
    <w:rsid w:val="005E1691"/>
    <w:rsid w:val="005E2A69"/>
    <w:rsid w:val="005E36BF"/>
    <w:rsid w:val="005E3CFD"/>
    <w:rsid w:val="005E5574"/>
    <w:rsid w:val="005E5B4C"/>
    <w:rsid w:val="005E5B6A"/>
    <w:rsid w:val="005E5E0B"/>
    <w:rsid w:val="005E6561"/>
    <w:rsid w:val="005E6A8E"/>
    <w:rsid w:val="005E7424"/>
    <w:rsid w:val="005E7BAD"/>
    <w:rsid w:val="005F082F"/>
    <w:rsid w:val="005F13AD"/>
    <w:rsid w:val="005F235F"/>
    <w:rsid w:val="005F29FE"/>
    <w:rsid w:val="005F4091"/>
    <w:rsid w:val="005F471A"/>
    <w:rsid w:val="005F52C2"/>
    <w:rsid w:val="005F54E6"/>
    <w:rsid w:val="005F5DFB"/>
    <w:rsid w:val="005F68FC"/>
    <w:rsid w:val="005F6F67"/>
    <w:rsid w:val="005F74EB"/>
    <w:rsid w:val="00600EFB"/>
    <w:rsid w:val="00601477"/>
    <w:rsid w:val="00601BD3"/>
    <w:rsid w:val="0060243C"/>
    <w:rsid w:val="00602A83"/>
    <w:rsid w:val="00602FD3"/>
    <w:rsid w:val="00603A19"/>
    <w:rsid w:val="00603D11"/>
    <w:rsid w:val="00603E62"/>
    <w:rsid w:val="006047C5"/>
    <w:rsid w:val="00604A2E"/>
    <w:rsid w:val="00604F02"/>
    <w:rsid w:val="00604F26"/>
    <w:rsid w:val="00605ACB"/>
    <w:rsid w:val="00605C88"/>
    <w:rsid w:val="00606120"/>
    <w:rsid w:val="00607496"/>
    <w:rsid w:val="00607A74"/>
    <w:rsid w:val="00610EB6"/>
    <w:rsid w:val="006137D1"/>
    <w:rsid w:val="006143A2"/>
    <w:rsid w:val="00614851"/>
    <w:rsid w:val="006149E7"/>
    <w:rsid w:val="00616DDB"/>
    <w:rsid w:val="00617DF8"/>
    <w:rsid w:val="00617FDC"/>
    <w:rsid w:val="006201D7"/>
    <w:rsid w:val="0062059D"/>
    <w:rsid w:val="00621057"/>
    <w:rsid w:val="00621D04"/>
    <w:rsid w:val="00621DCF"/>
    <w:rsid w:val="00622868"/>
    <w:rsid w:val="006229E0"/>
    <w:rsid w:val="00623A07"/>
    <w:rsid w:val="00624547"/>
    <w:rsid w:val="00624F4A"/>
    <w:rsid w:val="00626B21"/>
    <w:rsid w:val="00626C02"/>
    <w:rsid w:val="00626EA3"/>
    <w:rsid w:val="00626EDB"/>
    <w:rsid w:val="00627AC9"/>
    <w:rsid w:val="00630C5C"/>
    <w:rsid w:val="00631277"/>
    <w:rsid w:val="00632897"/>
    <w:rsid w:val="00633BD5"/>
    <w:rsid w:val="0063455B"/>
    <w:rsid w:val="006366AB"/>
    <w:rsid w:val="006372B9"/>
    <w:rsid w:val="00637562"/>
    <w:rsid w:val="006379DA"/>
    <w:rsid w:val="00640AEB"/>
    <w:rsid w:val="00640B11"/>
    <w:rsid w:val="00642467"/>
    <w:rsid w:val="00642A7E"/>
    <w:rsid w:val="006440FA"/>
    <w:rsid w:val="00644E71"/>
    <w:rsid w:val="00644F27"/>
    <w:rsid w:val="00645333"/>
    <w:rsid w:val="00646C5B"/>
    <w:rsid w:val="0064791C"/>
    <w:rsid w:val="00647BC9"/>
    <w:rsid w:val="006515A8"/>
    <w:rsid w:val="00651709"/>
    <w:rsid w:val="0065193E"/>
    <w:rsid w:val="00653888"/>
    <w:rsid w:val="00653AC2"/>
    <w:rsid w:val="006550A1"/>
    <w:rsid w:val="00655BEE"/>
    <w:rsid w:val="006578D1"/>
    <w:rsid w:val="00657E21"/>
    <w:rsid w:val="006601A7"/>
    <w:rsid w:val="00660758"/>
    <w:rsid w:val="006609AA"/>
    <w:rsid w:val="00660ABA"/>
    <w:rsid w:val="00662225"/>
    <w:rsid w:val="006638EE"/>
    <w:rsid w:val="00664956"/>
    <w:rsid w:val="0066500A"/>
    <w:rsid w:val="00665A4B"/>
    <w:rsid w:val="006668B2"/>
    <w:rsid w:val="0066725B"/>
    <w:rsid w:val="006677D8"/>
    <w:rsid w:val="00667B5C"/>
    <w:rsid w:val="00667DD2"/>
    <w:rsid w:val="00670496"/>
    <w:rsid w:val="0067089A"/>
    <w:rsid w:val="0067260B"/>
    <w:rsid w:val="0067345A"/>
    <w:rsid w:val="00673617"/>
    <w:rsid w:val="00673CA8"/>
    <w:rsid w:val="00673CEB"/>
    <w:rsid w:val="0067405E"/>
    <w:rsid w:val="0067455F"/>
    <w:rsid w:val="00674ADA"/>
    <w:rsid w:val="006757B2"/>
    <w:rsid w:val="00675826"/>
    <w:rsid w:val="006765E6"/>
    <w:rsid w:val="0067742C"/>
    <w:rsid w:val="0067798B"/>
    <w:rsid w:val="0068092E"/>
    <w:rsid w:val="006822CC"/>
    <w:rsid w:val="00683055"/>
    <w:rsid w:val="0068381E"/>
    <w:rsid w:val="00683AAF"/>
    <w:rsid w:val="00684C4B"/>
    <w:rsid w:val="006854C2"/>
    <w:rsid w:val="00685773"/>
    <w:rsid w:val="00685942"/>
    <w:rsid w:val="0068660A"/>
    <w:rsid w:val="00686C3E"/>
    <w:rsid w:val="006875DE"/>
    <w:rsid w:val="00687EDB"/>
    <w:rsid w:val="00687EDD"/>
    <w:rsid w:val="00691730"/>
    <w:rsid w:val="00691BD6"/>
    <w:rsid w:val="00692C77"/>
    <w:rsid w:val="00692D3E"/>
    <w:rsid w:val="00692F8C"/>
    <w:rsid w:val="0069327A"/>
    <w:rsid w:val="006937FA"/>
    <w:rsid w:val="00694085"/>
    <w:rsid w:val="006944D7"/>
    <w:rsid w:val="00695A60"/>
    <w:rsid w:val="00695BC7"/>
    <w:rsid w:val="00695E1A"/>
    <w:rsid w:val="00697EC7"/>
    <w:rsid w:val="006A0114"/>
    <w:rsid w:val="006A029C"/>
    <w:rsid w:val="006A03A9"/>
    <w:rsid w:val="006A1187"/>
    <w:rsid w:val="006A316C"/>
    <w:rsid w:val="006A3519"/>
    <w:rsid w:val="006A352F"/>
    <w:rsid w:val="006A4037"/>
    <w:rsid w:val="006A5169"/>
    <w:rsid w:val="006A5539"/>
    <w:rsid w:val="006A5676"/>
    <w:rsid w:val="006A59F0"/>
    <w:rsid w:val="006A5E2A"/>
    <w:rsid w:val="006A5EA0"/>
    <w:rsid w:val="006A62E3"/>
    <w:rsid w:val="006A6410"/>
    <w:rsid w:val="006A64CA"/>
    <w:rsid w:val="006A6694"/>
    <w:rsid w:val="006A7DDD"/>
    <w:rsid w:val="006B03FE"/>
    <w:rsid w:val="006B0A21"/>
    <w:rsid w:val="006B0D35"/>
    <w:rsid w:val="006B165A"/>
    <w:rsid w:val="006B204A"/>
    <w:rsid w:val="006B2325"/>
    <w:rsid w:val="006B2DAE"/>
    <w:rsid w:val="006B4233"/>
    <w:rsid w:val="006B439E"/>
    <w:rsid w:val="006B5806"/>
    <w:rsid w:val="006B6423"/>
    <w:rsid w:val="006B6A75"/>
    <w:rsid w:val="006B6EE4"/>
    <w:rsid w:val="006B7071"/>
    <w:rsid w:val="006C02F0"/>
    <w:rsid w:val="006C04A2"/>
    <w:rsid w:val="006C0BAD"/>
    <w:rsid w:val="006C13C3"/>
    <w:rsid w:val="006C185E"/>
    <w:rsid w:val="006C1F60"/>
    <w:rsid w:val="006C3521"/>
    <w:rsid w:val="006C4F39"/>
    <w:rsid w:val="006C782F"/>
    <w:rsid w:val="006D00E9"/>
    <w:rsid w:val="006D0327"/>
    <w:rsid w:val="006D1225"/>
    <w:rsid w:val="006D13C1"/>
    <w:rsid w:val="006D25DD"/>
    <w:rsid w:val="006D2A55"/>
    <w:rsid w:val="006D462A"/>
    <w:rsid w:val="006D4D7C"/>
    <w:rsid w:val="006D5169"/>
    <w:rsid w:val="006D5398"/>
    <w:rsid w:val="006D58A8"/>
    <w:rsid w:val="006D6B88"/>
    <w:rsid w:val="006D6FEC"/>
    <w:rsid w:val="006E08CE"/>
    <w:rsid w:val="006E0A24"/>
    <w:rsid w:val="006E0E66"/>
    <w:rsid w:val="006E135A"/>
    <w:rsid w:val="006E2312"/>
    <w:rsid w:val="006E35B8"/>
    <w:rsid w:val="006E3EB8"/>
    <w:rsid w:val="006E5CF1"/>
    <w:rsid w:val="006E62ED"/>
    <w:rsid w:val="006E6705"/>
    <w:rsid w:val="006E6CD0"/>
    <w:rsid w:val="006E71E7"/>
    <w:rsid w:val="006E7254"/>
    <w:rsid w:val="006E7B2F"/>
    <w:rsid w:val="006F09CD"/>
    <w:rsid w:val="006F0C16"/>
    <w:rsid w:val="006F1DC2"/>
    <w:rsid w:val="006F2565"/>
    <w:rsid w:val="006F2DAC"/>
    <w:rsid w:val="006F3A38"/>
    <w:rsid w:val="006F3B65"/>
    <w:rsid w:val="006F414D"/>
    <w:rsid w:val="006F4653"/>
    <w:rsid w:val="006F4B08"/>
    <w:rsid w:val="006F554E"/>
    <w:rsid w:val="006F5E3D"/>
    <w:rsid w:val="006F69F1"/>
    <w:rsid w:val="006F70C7"/>
    <w:rsid w:val="006F7E8D"/>
    <w:rsid w:val="00700AD3"/>
    <w:rsid w:val="0070119F"/>
    <w:rsid w:val="00701760"/>
    <w:rsid w:val="00702543"/>
    <w:rsid w:val="007026E2"/>
    <w:rsid w:val="00702EB5"/>
    <w:rsid w:val="00704D32"/>
    <w:rsid w:val="00705DDC"/>
    <w:rsid w:val="007066D6"/>
    <w:rsid w:val="007068DD"/>
    <w:rsid w:val="007068EB"/>
    <w:rsid w:val="00706ECC"/>
    <w:rsid w:val="007070E0"/>
    <w:rsid w:val="00707370"/>
    <w:rsid w:val="00707F96"/>
    <w:rsid w:val="0071035F"/>
    <w:rsid w:val="00710411"/>
    <w:rsid w:val="007135EB"/>
    <w:rsid w:val="00713926"/>
    <w:rsid w:val="00713E85"/>
    <w:rsid w:val="00714712"/>
    <w:rsid w:val="00715B6D"/>
    <w:rsid w:val="00715CF3"/>
    <w:rsid w:val="00716C65"/>
    <w:rsid w:val="00717066"/>
    <w:rsid w:val="007206FB"/>
    <w:rsid w:val="007207D8"/>
    <w:rsid w:val="00720FD1"/>
    <w:rsid w:val="0072187D"/>
    <w:rsid w:val="00721E95"/>
    <w:rsid w:val="00723602"/>
    <w:rsid w:val="007246B9"/>
    <w:rsid w:val="0072474D"/>
    <w:rsid w:val="007259D6"/>
    <w:rsid w:val="00725BE8"/>
    <w:rsid w:val="00725E01"/>
    <w:rsid w:val="00725F96"/>
    <w:rsid w:val="00726461"/>
    <w:rsid w:val="0072660A"/>
    <w:rsid w:val="0072664D"/>
    <w:rsid w:val="00726883"/>
    <w:rsid w:val="0072719B"/>
    <w:rsid w:val="007271CE"/>
    <w:rsid w:val="0072754D"/>
    <w:rsid w:val="00730719"/>
    <w:rsid w:val="0073088B"/>
    <w:rsid w:val="00730B03"/>
    <w:rsid w:val="0073140F"/>
    <w:rsid w:val="007314E2"/>
    <w:rsid w:val="00731AB6"/>
    <w:rsid w:val="0073216A"/>
    <w:rsid w:val="0073253E"/>
    <w:rsid w:val="00733383"/>
    <w:rsid w:val="00733519"/>
    <w:rsid w:val="00734F26"/>
    <w:rsid w:val="00735CE6"/>
    <w:rsid w:val="00735D05"/>
    <w:rsid w:val="00735FD2"/>
    <w:rsid w:val="00737205"/>
    <w:rsid w:val="007378F4"/>
    <w:rsid w:val="00737A64"/>
    <w:rsid w:val="00737AF2"/>
    <w:rsid w:val="00740925"/>
    <w:rsid w:val="00742C3D"/>
    <w:rsid w:val="00744510"/>
    <w:rsid w:val="00744E6A"/>
    <w:rsid w:val="007459AA"/>
    <w:rsid w:val="00745CEC"/>
    <w:rsid w:val="007479B9"/>
    <w:rsid w:val="00750B45"/>
    <w:rsid w:val="00750C71"/>
    <w:rsid w:val="007523C0"/>
    <w:rsid w:val="007524DF"/>
    <w:rsid w:val="007529B0"/>
    <w:rsid w:val="0075397A"/>
    <w:rsid w:val="00753E0C"/>
    <w:rsid w:val="00753F69"/>
    <w:rsid w:val="007542D4"/>
    <w:rsid w:val="00754810"/>
    <w:rsid w:val="0075489C"/>
    <w:rsid w:val="00755F47"/>
    <w:rsid w:val="00757D79"/>
    <w:rsid w:val="00760D0E"/>
    <w:rsid w:val="00761013"/>
    <w:rsid w:val="0076154C"/>
    <w:rsid w:val="0076471C"/>
    <w:rsid w:val="00764AB5"/>
    <w:rsid w:val="0076544A"/>
    <w:rsid w:val="0076599C"/>
    <w:rsid w:val="0076649D"/>
    <w:rsid w:val="00767302"/>
    <w:rsid w:val="00770185"/>
    <w:rsid w:val="007705E3"/>
    <w:rsid w:val="00771AD9"/>
    <w:rsid w:val="007739C0"/>
    <w:rsid w:val="007753D1"/>
    <w:rsid w:val="00775487"/>
    <w:rsid w:val="00776422"/>
    <w:rsid w:val="00780426"/>
    <w:rsid w:val="007812C1"/>
    <w:rsid w:val="00781703"/>
    <w:rsid w:val="00781CE2"/>
    <w:rsid w:val="00781D55"/>
    <w:rsid w:val="00782A3A"/>
    <w:rsid w:val="00782C49"/>
    <w:rsid w:val="007840A2"/>
    <w:rsid w:val="00785585"/>
    <w:rsid w:val="007857E3"/>
    <w:rsid w:val="00787198"/>
    <w:rsid w:val="007900CB"/>
    <w:rsid w:val="007902AB"/>
    <w:rsid w:val="00790A45"/>
    <w:rsid w:val="0079149B"/>
    <w:rsid w:val="007914A5"/>
    <w:rsid w:val="007915A7"/>
    <w:rsid w:val="00791BD9"/>
    <w:rsid w:val="00792362"/>
    <w:rsid w:val="007927E7"/>
    <w:rsid w:val="007930C8"/>
    <w:rsid w:val="00794663"/>
    <w:rsid w:val="00794EAA"/>
    <w:rsid w:val="00796D39"/>
    <w:rsid w:val="00797416"/>
    <w:rsid w:val="007975E4"/>
    <w:rsid w:val="00797E1C"/>
    <w:rsid w:val="007A0BFF"/>
    <w:rsid w:val="007A18F4"/>
    <w:rsid w:val="007A1A54"/>
    <w:rsid w:val="007A1D20"/>
    <w:rsid w:val="007A1FB0"/>
    <w:rsid w:val="007A1FEA"/>
    <w:rsid w:val="007A4BA6"/>
    <w:rsid w:val="007A53A0"/>
    <w:rsid w:val="007A612A"/>
    <w:rsid w:val="007A67D1"/>
    <w:rsid w:val="007A6C72"/>
    <w:rsid w:val="007A7191"/>
    <w:rsid w:val="007B21BC"/>
    <w:rsid w:val="007B2794"/>
    <w:rsid w:val="007B3D3A"/>
    <w:rsid w:val="007B3F49"/>
    <w:rsid w:val="007B4738"/>
    <w:rsid w:val="007B4B11"/>
    <w:rsid w:val="007B528A"/>
    <w:rsid w:val="007B5F76"/>
    <w:rsid w:val="007B6D28"/>
    <w:rsid w:val="007B7A69"/>
    <w:rsid w:val="007C041A"/>
    <w:rsid w:val="007C0474"/>
    <w:rsid w:val="007C10FB"/>
    <w:rsid w:val="007C1816"/>
    <w:rsid w:val="007C19F3"/>
    <w:rsid w:val="007C2BD8"/>
    <w:rsid w:val="007C2E7E"/>
    <w:rsid w:val="007C2F30"/>
    <w:rsid w:val="007C3660"/>
    <w:rsid w:val="007C42E5"/>
    <w:rsid w:val="007C4ADE"/>
    <w:rsid w:val="007C628E"/>
    <w:rsid w:val="007C63EB"/>
    <w:rsid w:val="007C67E0"/>
    <w:rsid w:val="007C76BB"/>
    <w:rsid w:val="007C7A39"/>
    <w:rsid w:val="007C7EAF"/>
    <w:rsid w:val="007D0F1C"/>
    <w:rsid w:val="007D126F"/>
    <w:rsid w:val="007D2238"/>
    <w:rsid w:val="007D2642"/>
    <w:rsid w:val="007D2780"/>
    <w:rsid w:val="007D3673"/>
    <w:rsid w:val="007D476F"/>
    <w:rsid w:val="007D5563"/>
    <w:rsid w:val="007D5661"/>
    <w:rsid w:val="007D5B4A"/>
    <w:rsid w:val="007D6660"/>
    <w:rsid w:val="007D67B9"/>
    <w:rsid w:val="007D6B6B"/>
    <w:rsid w:val="007D7B5E"/>
    <w:rsid w:val="007D7BBD"/>
    <w:rsid w:val="007D7BF8"/>
    <w:rsid w:val="007E0225"/>
    <w:rsid w:val="007E2DB6"/>
    <w:rsid w:val="007E333F"/>
    <w:rsid w:val="007E3E15"/>
    <w:rsid w:val="007E4492"/>
    <w:rsid w:val="007E4785"/>
    <w:rsid w:val="007E482F"/>
    <w:rsid w:val="007E514C"/>
    <w:rsid w:val="007E5427"/>
    <w:rsid w:val="007E5A96"/>
    <w:rsid w:val="007E5B06"/>
    <w:rsid w:val="007E5D22"/>
    <w:rsid w:val="007E6CB9"/>
    <w:rsid w:val="007E718F"/>
    <w:rsid w:val="007E74B6"/>
    <w:rsid w:val="007E74BA"/>
    <w:rsid w:val="007E7FD4"/>
    <w:rsid w:val="007F1250"/>
    <w:rsid w:val="007F1A30"/>
    <w:rsid w:val="007F23FD"/>
    <w:rsid w:val="007F2BDF"/>
    <w:rsid w:val="007F7610"/>
    <w:rsid w:val="007F7B64"/>
    <w:rsid w:val="007F7E04"/>
    <w:rsid w:val="007F7F71"/>
    <w:rsid w:val="00802C0E"/>
    <w:rsid w:val="00803444"/>
    <w:rsid w:val="00804692"/>
    <w:rsid w:val="00805664"/>
    <w:rsid w:val="00806580"/>
    <w:rsid w:val="00807364"/>
    <w:rsid w:val="008122CF"/>
    <w:rsid w:val="00812444"/>
    <w:rsid w:val="00812DEF"/>
    <w:rsid w:val="0081340A"/>
    <w:rsid w:val="0081357D"/>
    <w:rsid w:val="00813716"/>
    <w:rsid w:val="00813B33"/>
    <w:rsid w:val="0081421F"/>
    <w:rsid w:val="008153A4"/>
    <w:rsid w:val="00815612"/>
    <w:rsid w:val="00815EFD"/>
    <w:rsid w:val="00815F4E"/>
    <w:rsid w:val="00815F6E"/>
    <w:rsid w:val="00816D4F"/>
    <w:rsid w:val="0081741D"/>
    <w:rsid w:val="00820CF3"/>
    <w:rsid w:val="00820D82"/>
    <w:rsid w:val="0082174F"/>
    <w:rsid w:val="00822388"/>
    <w:rsid w:val="008224EF"/>
    <w:rsid w:val="00822D1C"/>
    <w:rsid w:val="008231A8"/>
    <w:rsid w:val="0082396B"/>
    <w:rsid w:val="008248BE"/>
    <w:rsid w:val="00824CD1"/>
    <w:rsid w:val="00825900"/>
    <w:rsid w:val="00826A5C"/>
    <w:rsid w:val="00826F37"/>
    <w:rsid w:val="008273A0"/>
    <w:rsid w:val="00830862"/>
    <w:rsid w:val="00830B10"/>
    <w:rsid w:val="00830B96"/>
    <w:rsid w:val="00830C46"/>
    <w:rsid w:val="00830C9A"/>
    <w:rsid w:val="00830E41"/>
    <w:rsid w:val="008316D8"/>
    <w:rsid w:val="00831719"/>
    <w:rsid w:val="00831A28"/>
    <w:rsid w:val="00832245"/>
    <w:rsid w:val="00832DBB"/>
    <w:rsid w:val="0083387C"/>
    <w:rsid w:val="00834126"/>
    <w:rsid w:val="0083445E"/>
    <w:rsid w:val="00835991"/>
    <w:rsid w:val="00835D30"/>
    <w:rsid w:val="00836BE4"/>
    <w:rsid w:val="008378AA"/>
    <w:rsid w:val="00837A6B"/>
    <w:rsid w:val="00837BC4"/>
    <w:rsid w:val="008415F4"/>
    <w:rsid w:val="00841A81"/>
    <w:rsid w:val="0084268A"/>
    <w:rsid w:val="008436F8"/>
    <w:rsid w:val="00843AE6"/>
    <w:rsid w:val="00844410"/>
    <w:rsid w:val="0084465B"/>
    <w:rsid w:val="00844932"/>
    <w:rsid w:val="00844A73"/>
    <w:rsid w:val="00844F3C"/>
    <w:rsid w:val="00845CCF"/>
    <w:rsid w:val="00845F6D"/>
    <w:rsid w:val="0084642F"/>
    <w:rsid w:val="00846614"/>
    <w:rsid w:val="00846E22"/>
    <w:rsid w:val="00847EA0"/>
    <w:rsid w:val="00850366"/>
    <w:rsid w:val="00852087"/>
    <w:rsid w:val="0085243F"/>
    <w:rsid w:val="00853404"/>
    <w:rsid w:val="00853FEB"/>
    <w:rsid w:val="0085419B"/>
    <w:rsid w:val="008544ED"/>
    <w:rsid w:val="00855F6D"/>
    <w:rsid w:val="00856A7B"/>
    <w:rsid w:val="00856CF5"/>
    <w:rsid w:val="00856E43"/>
    <w:rsid w:val="0085789A"/>
    <w:rsid w:val="00857EC6"/>
    <w:rsid w:val="00857F02"/>
    <w:rsid w:val="008604AF"/>
    <w:rsid w:val="008606EE"/>
    <w:rsid w:val="008607F2"/>
    <w:rsid w:val="00861569"/>
    <w:rsid w:val="008618BE"/>
    <w:rsid w:val="00861BFA"/>
    <w:rsid w:val="008624BE"/>
    <w:rsid w:val="008626AA"/>
    <w:rsid w:val="00862E59"/>
    <w:rsid w:val="00862F7E"/>
    <w:rsid w:val="008634CD"/>
    <w:rsid w:val="0086359F"/>
    <w:rsid w:val="008635DC"/>
    <w:rsid w:val="00863940"/>
    <w:rsid w:val="00864C2A"/>
    <w:rsid w:val="008679B5"/>
    <w:rsid w:val="00867BDF"/>
    <w:rsid w:val="008702DF"/>
    <w:rsid w:val="0087106C"/>
    <w:rsid w:val="00871190"/>
    <w:rsid w:val="00871B62"/>
    <w:rsid w:val="008722A5"/>
    <w:rsid w:val="00872ADE"/>
    <w:rsid w:val="008733DE"/>
    <w:rsid w:val="008737FB"/>
    <w:rsid w:val="00874FBF"/>
    <w:rsid w:val="00875008"/>
    <w:rsid w:val="008750B6"/>
    <w:rsid w:val="00875602"/>
    <w:rsid w:val="00875A8A"/>
    <w:rsid w:val="00876532"/>
    <w:rsid w:val="008766A3"/>
    <w:rsid w:val="00877E91"/>
    <w:rsid w:val="008801AA"/>
    <w:rsid w:val="008802FB"/>
    <w:rsid w:val="008809DD"/>
    <w:rsid w:val="00880CC0"/>
    <w:rsid w:val="00880EF1"/>
    <w:rsid w:val="0088223E"/>
    <w:rsid w:val="00882E05"/>
    <w:rsid w:val="0088332C"/>
    <w:rsid w:val="0088373F"/>
    <w:rsid w:val="00883858"/>
    <w:rsid w:val="00883F96"/>
    <w:rsid w:val="008847CB"/>
    <w:rsid w:val="008864B0"/>
    <w:rsid w:val="00887197"/>
    <w:rsid w:val="00887BA7"/>
    <w:rsid w:val="00887E05"/>
    <w:rsid w:val="00890527"/>
    <w:rsid w:val="00890685"/>
    <w:rsid w:val="00890CED"/>
    <w:rsid w:val="008918C4"/>
    <w:rsid w:val="008923D4"/>
    <w:rsid w:val="008925B0"/>
    <w:rsid w:val="00892665"/>
    <w:rsid w:val="00892726"/>
    <w:rsid w:val="00892EA7"/>
    <w:rsid w:val="00893552"/>
    <w:rsid w:val="00893590"/>
    <w:rsid w:val="00893731"/>
    <w:rsid w:val="00894D1C"/>
    <w:rsid w:val="008953BD"/>
    <w:rsid w:val="00896030"/>
    <w:rsid w:val="00896861"/>
    <w:rsid w:val="00896A39"/>
    <w:rsid w:val="008979CF"/>
    <w:rsid w:val="008A04C2"/>
    <w:rsid w:val="008A0712"/>
    <w:rsid w:val="008A0CC5"/>
    <w:rsid w:val="008A1231"/>
    <w:rsid w:val="008A13A6"/>
    <w:rsid w:val="008A207E"/>
    <w:rsid w:val="008A2639"/>
    <w:rsid w:val="008A2AC4"/>
    <w:rsid w:val="008A3509"/>
    <w:rsid w:val="008A37C9"/>
    <w:rsid w:val="008A391A"/>
    <w:rsid w:val="008A4930"/>
    <w:rsid w:val="008A4C81"/>
    <w:rsid w:val="008A6EE4"/>
    <w:rsid w:val="008A7F28"/>
    <w:rsid w:val="008B0A0F"/>
    <w:rsid w:val="008B17E1"/>
    <w:rsid w:val="008B18F2"/>
    <w:rsid w:val="008B2853"/>
    <w:rsid w:val="008B2CA2"/>
    <w:rsid w:val="008B2DB7"/>
    <w:rsid w:val="008B314D"/>
    <w:rsid w:val="008B320A"/>
    <w:rsid w:val="008B34B6"/>
    <w:rsid w:val="008B371C"/>
    <w:rsid w:val="008B384C"/>
    <w:rsid w:val="008B49BC"/>
    <w:rsid w:val="008B4F0B"/>
    <w:rsid w:val="008B5F8F"/>
    <w:rsid w:val="008B6FD7"/>
    <w:rsid w:val="008C0275"/>
    <w:rsid w:val="008C0286"/>
    <w:rsid w:val="008C0535"/>
    <w:rsid w:val="008C19CA"/>
    <w:rsid w:val="008C1CAD"/>
    <w:rsid w:val="008C2238"/>
    <w:rsid w:val="008C2574"/>
    <w:rsid w:val="008C272F"/>
    <w:rsid w:val="008C30E1"/>
    <w:rsid w:val="008C3480"/>
    <w:rsid w:val="008C3597"/>
    <w:rsid w:val="008C370B"/>
    <w:rsid w:val="008C3C60"/>
    <w:rsid w:val="008C3D6A"/>
    <w:rsid w:val="008C4ACB"/>
    <w:rsid w:val="008C4BD9"/>
    <w:rsid w:val="008C4CA2"/>
    <w:rsid w:val="008C58D2"/>
    <w:rsid w:val="008C6272"/>
    <w:rsid w:val="008C6AB1"/>
    <w:rsid w:val="008C77AB"/>
    <w:rsid w:val="008C7C9A"/>
    <w:rsid w:val="008D02AF"/>
    <w:rsid w:val="008D07C0"/>
    <w:rsid w:val="008D0E83"/>
    <w:rsid w:val="008D12E2"/>
    <w:rsid w:val="008D4A58"/>
    <w:rsid w:val="008D6064"/>
    <w:rsid w:val="008D650B"/>
    <w:rsid w:val="008E0567"/>
    <w:rsid w:val="008E0755"/>
    <w:rsid w:val="008E1523"/>
    <w:rsid w:val="008E2215"/>
    <w:rsid w:val="008E3274"/>
    <w:rsid w:val="008E36A0"/>
    <w:rsid w:val="008E36AB"/>
    <w:rsid w:val="008E37D9"/>
    <w:rsid w:val="008E43AD"/>
    <w:rsid w:val="008E6629"/>
    <w:rsid w:val="008E750C"/>
    <w:rsid w:val="008E78E4"/>
    <w:rsid w:val="008E7B01"/>
    <w:rsid w:val="008F03C4"/>
    <w:rsid w:val="008F041C"/>
    <w:rsid w:val="008F046A"/>
    <w:rsid w:val="008F06A1"/>
    <w:rsid w:val="008F06B4"/>
    <w:rsid w:val="008F0B47"/>
    <w:rsid w:val="008F250F"/>
    <w:rsid w:val="008F2C15"/>
    <w:rsid w:val="008F2C8C"/>
    <w:rsid w:val="008F307E"/>
    <w:rsid w:val="008F31D9"/>
    <w:rsid w:val="008F321E"/>
    <w:rsid w:val="008F4C99"/>
    <w:rsid w:val="008F6AF3"/>
    <w:rsid w:val="008F6B83"/>
    <w:rsid w:val="008F72B0"/>
    <w:rsid w:val="0090075A"/>
    <w:rsid w:val="00900847"/>
    <w:rsid w:val="00900998"/>
    <w:rsid w:val="00901449"/>
    <w:rsid w:val="00901645"/>
    <w:rsid w:val="00902536"/>
    <w:rsid w:val="00902AB5"/>
    <w:rsid w:val="009031FF"/>
    <w:rsid w:val="00903E4C"/>
    <w:rsid w:val="00903E6A"/>
    <w:rsid w:val="00904865"/>
    <w:rsid w:val="00904EF6"/>
    <w:rsid w:val="0090504A"/>
    <w:rsid w:val="00905BAD"/>
    <w:rsid w:val="009068F2"/>
    <w:rsid w:val="00907B45"/>
    <w:rsid w:val="00907D9B"/>
    <w:rsid w:val="009104D2"/>
    <w:rsid w:val="009108CE"/>
    <w:rsid w:val="00910D91"/>
    <w:rsid w:val="00911A14"/>
    <w:rsid w:val="00911ABB"/>
    <w:rsid w:val="00911B2E"/>
    <w:rsid w:val="0091244E"/>
    <w:rsid w:val="00913527"/>
    <w:rsid w:val="00913738"/>
    <w:rsid w:val="00913DC0"/>
    <w:rsid w:val="00914C1A"/>
    <w:rsid w:val="00914E80"/>
    <w:rsid w:val="00914F41"/>
    <w:rsid w:val="0091508A"/>
    <w:rsid w:val="00915110"/>
    <w:rsid w:val="009163F1"/>
    <w:rsid w:val="00917814"/>
    <w:rsid w:val="00923072"/>
    <w:rsid w:val="00923C02"/>
    <w:rsid w:val="009246E4"/>
    <w:rsid w:val="00925321"/>
    <w:rsid w:val="009255AB"/>
    <w:rsid w:val="00925BFE"/>
    <w:rsid w:val="00926085"/>
    <w:rsid w:val="00926732"/>
    <w:rsid w:val="00930F16"/>
    <w:rsid w:val="0093104B"/>
    <w:rsid w:val="009317C0"/>
    <w:rsid w:val="009322FA"/>
    <w:rsid w:val="0093392C"/>
    <w:rsid w:val="00933E2F"/>
    <w:rsid w:val="00934696"/>
    <w:rsid w:val="00935A4E"/>
    <w:rsid w:val="00936082"/>
    <w:rsid w:val="00936502"/>
    <w:rsid w:val="0094031E"/>
    <w:rsid w:val="00941060"/>
    <w:rsid w:val="009419E1"/>
    <w:rsid w:val="00942B20"/>
    <w:rsid w:val="00944329"/>
    <w:rsid w:val="00944C38"/>
    <w:rsid w:val="00944D18"/>
    <w:rsid w:val="00944D1A"/>
    <w:rsid w:val="00944F5B"/>
    <w:rsid w:val="00945690"/>
    <w:rsid w:val="00946299"/>
    <w:rsid w:val="00946C16"/>
    <w:rsid w:val="00946F33"/>
    <w:rsid w:val="00946FA8"/>
    <w:rsid w:val="00947552"/>
    <w:rsid w:val="00947DBF"/>
    <w:rsid w:val="009503B7"/>
    <w:rsid w:val="009509A1"/>
    <w:rsid w:val="00950BB6"/>
    <w:rsid w:val="00951113"/>
    <w:rsid w:val="009526E4"/>
    <w:rsid w:val="00952FCD"/>
    <w:rsid w:val="00953A9E"/>
    <w:rsid w:val="00954021"/>
    <w:rsid w:val="009553DD"/>
    <w:rsid w:val="009553EA"/>
    <w:rsid w:val="009572DA"/>
    <w:rsid w:val="00963FD3"/>
    <w:rsid w:val="0096418F"/>
    <w:rsid w:val="00965B0C"/>
    <w:rsid w:val="00965C41"/>
    <w:rsid w:val="00966306"/>
    <w:rsid w:val="00966DC5"/>
    <w:rsid w:val="00970694"/>
    <w:rsid w:val="0097136E"/>
    <w:rsid w:val="009717F1"/>
    <w:rsid w:val="00971A8E"/>
    <w:rsid w:val="00971AAE"/>
    <w:rsid w:val="00971E63"/>
    <w:rsid w:val="00972A3B"/>
    <w:rsid w:val="009738D4"/>
    <w:rsid w:val="00974814"/>
    <w:rsid w:val="00975B85"/>
    <w:rsid w:val="009762DD"/>
    <w:rsid w:val="00976B92"/>
    <w:rsid w:val="0097721C"/>
    <w:rsid w:val="00980256"/>
    <w:rsid w:val="00980A41"/>
    <w:rsid w:val="00980BD1"/>
    <w:rsid w:val="00981179"/>
    <w:rsid w:val="009821FB"/>
    <w:rsid w:val="00982323"/>
    <w:rsid w:val="00983542"/>
    <w:rsid w:val="009835C6"/>
    <w:rsid w:val="009835F9"/>
    <w:rsid w:val="009836AB"/>
    <w:rsid w:val="00984833"/>
    <w:rsid w:val="00984BE6"/>
    <w:rsid w:val="00985D9C"/>
    <w:rsid w:val="00986689"/>
    <w:rsid w:val="00986E33"/>
    <w:rsid w:val="0098767E"/>
    <w:rsid w:val="00990759"/>
    <w:rsid w:val="00992636"/>
    <w:rsid w:val="009926C9"/>
    <w:rsid w:val="00992888"/>
    <w:rsid w:val="009935DE"/>
    <w:rsid w:val="0099453D"/>
    <w:rsid w:val="009946BA"/>
    <w:rsid w:val="009964B2"/>
    <w:rsid w:val="009971F7"/>
    <w:rsid w:val="009A0AF6"/>
    <w:rsid w:val="009A1635"/>
    <w:rsid w:val="009A2271"/>
    <w:rsid w:val="009A2BE9"/>
    <w:rsid w:val="009A2FE3"/>
    <w:rsid w:val="009A3AD1"/>
    <w:rsid w:val="009A3BA1"/>
    <w:rsid w:val="009A5AA8"/>
    <w:rsid w:val="009A5F4A"/>
    <w:rsid w:val="009A5F66"/>
    <w:rsid w:val="009A6198"/>
    <w:rsid w:val="009A63E1"/>
    <w:rsid w:val="009A6698"/>
    <w:rsid w:val="009A77C5"/>
    <w:rsid w:val="009B09D4"/>
    <w:rsid w:val="009B488E"/>
    <w:rsid w:val="009B4BE8"/>
    <w:rsid w:val="009B5014"/>
    <w:rsid w:val="009B5364"/>
    <w:rsid w:val="009B5584"/>
    <w:rsid w:val="009B6DF6"/>
    <w:rsid w:val="009B7A1B"/>
    <w:rsid w:val="009C0332"/>
    <w:rsid w:val="009C061B"/>
    <w:rsid w:val="009C09E0"/>
    <w:rsid w:val="009C274E"/>
    <w:rsid w:val="009C4290"/>
    <w:rsid w:val="009C4670"/>
    <w:rsid w:val="009C4901"/>
    <w:rsid w:val="009C514A"/>
    <w:rsid w:val="009C5CEE"/>
    <w:rsid w:val="009C63ED"/>
    <w:rsid w:val="009C7247"/>
    <w:rsid w:val="009C7F60"/>
    <w:rsid w:val="009D0686"/>
    <w:rsid w:val="009D23A7"/>
    <w:rsid w:val="009D3656"/>
    <w:rsid w:val="009D38FC"/>
    <w:rsid w:val="009D460C"/>
    <w:rsid w:val="009D4AA1"/>
    <w:rsid w:val="009D4D10"/>
    <w:rsid w:val="009D4F7A"/>
    <w:rsid w:val="009D50DE"/>
    <w:rsid w:val="009D559F"/>
    <w:rsid w:val="009D5F02"/>
    <w:rsid w:val="009D7452"/>
    <w:rsid w:val="009D7E7E"/>
    <w:rsid w:val="009E109F"/>
    <w:rsid w:val="009E173C"/>
    <w:rsid w:val="009E1F91"/>
    <w:rsid w:val="009E208F"/>
    <w:rsid w:val="009E2FA2"/>
    <w:rsid w:val="009E3943"/>
    <w:rsid w:val="009E5A69"/>
    <w:rsid w:val="009E5B3C"/>
    <w:rsid w:val="009E5D0C"/>
    <w:rsid w:val="009E6150"/>
    <w:rsid w:val="009E661C"/>
    <w:rsid w:val="009E7444"/>
    <w:rsid w:val="009E7839"/>
    <w:rsid w:val="009F0790"/>
    <w:rsid w:val="009F198B"/>
    <w:rsid w:val="009F1F3D"/>
    <w:rsid w:val="009F22C9"/>
    <w:rsid w:val="009F258E"/>
    <w:rsid w:val="009F3255"/>
    <w:rsid w:val="009F4314"/>
    <w:rsid w:val="009F4D36"/>
    <w:rsid w:val="009F6046"/>
    <w:rsid w:val="009F64B7"/>
    <w:rsid w:val="009F6E15"/>
    <w:rsid w:val="00A0078A"/>
    <w:rsid w:val="00A009CE"/>
    <w:rsid w:val="00A0191E"/>
    <w:rsid w:val="00A0226F"/>
    <w:rsid w:val="00A02EA8"/>
    <w:rsid w:val="00A03D1B"/>
    <w:rsid w:val="00A0562B"/>
    <w:rsid w:val="00A05B50"/>
    <w:rsid w:val="00A06293"/>
    <w:rsid w:val="00A06E73"/>
    <w:rsid w:val="00A0744A"/>
    <w:rsid w:val="00A074EC"/>
    <w:rsid w:val="00A10AA7"/>
    <w:rsid w:val="00A10E6D"/>
    <w:rsid w:val="00A10FA9"/>
    <w:rsid w:val="00A11543"/>
    <w:rsid w:val="00A117C0"/>
    <w:rsid w:val="00A11F03"/>
    <w:rsid w:val="00A1241B"/>
    <w:rsid w:val="00A12E30"/>
    <w:rsid w:val="00A1351C"/>
    <w:rsid w:val="00A14C5F"/>
    <w:rsid w:val="00A15327"/>
    <w:rsid w:val="00A15428"/>
    <w:rsid w:val="00A16EE2"/>
    <w:rsid w:val="00A17523"/>
    <w:rsid w:val="00A17A07"/>
    <w:rsid w:val="00A17A08"/>
    <w:rsid w:val="00A2052E"/>
    <w:rsid w:val="00A2078E"/>
    <w:rsid w:val="00A20C04"/>
    <w:rsid w:val="00A22118"/>
    <w:rsid w:val="00A225E6"/>
    <w:rsid w:val="00A22B00"/>
    <w:rsid w:val="00A233F2"/>
    <w:rsid w:val="00A2378C"/>
    <w:rsid w:val="00A237E3"/>
    <w:rsid w:val="00A240CA"/>
    <w:rsid w:val="00A2480A"/>
    <w:rsid w:val="00A25056"/>
    <w:rsid w:val="00A25F2B"/>
    <w:rsid w:val="00A2747D"/>
    <w:rsid w:val="00A30098"/>
    <w:rsid w:val="00A30960"/>
    <w:rsid w:val="00A3122E"/>
    <w:rsid w:val="00A3312F"/>
    <w:rsid w:val="00A33899"/>
    <w:rsid w:val="00A3446A"/>
    <w:rsid w:val="00A3487D"/>
    <w:rsid w:val="00A3792D"/>
    <w:rsid w:val="00A37EE4"/>
    <w:rsid w:val="00A40E7F"/>
    <w:rsid w:val="00A42B92"/>
    <w:rsid w:val="00A42E5D"/>
    <w:rsid w:val="00A43BF3"/>
    <w:rsid w:val="00A43EAF"/>
    <w:rsid w:val="00A44588"/>
    <w:rsid w:val="00A44B71"/>
    <w:rsid w:val="00A469BC"/>
    <w:rsid w:val="00A469D3"/>
    <w:rsid w:val="00A46B91"/>
    <w:rsid w:val="00A46BF5"/>
    <w:rsid w:val="00A46D06"/>
    <w:rsid w:val="00A5008B"/>
    <w:rsid w:val="00A50D98"/>
    <w:rsid w:val="00A51BAB"/>
    <w:rsid w:val="00A53594"/>
    <w:rsid w:val="00A53733"/>
    <w:rsid w:val="00A54235"/>
    <w:rsid w:val="00A547A9"/>
    <w:rsid w:val="00A567BB"/>
    <w:rsid w:val="00A572EC"/>
    <w:rsid w:val="00A57824"/>
    <w:rsid w:val="00A619FB"/>
    <w:rsid w:val="00A61E56"/>
    <w:rsid w:val="00A62FC7"/>
    <w:rsid w:val="00A63078"/>
    <w:rsid w:val="00A639B3"/>
    <w:rsid w:val="00A63C88"/>
    <w:rsid w:val="00A63DFD"/>
    <w:rsid w:val="00A650F9"/>
    <w:rsid w:val="00A65977"/>
    <w:rsid w:val="00A65A4D"/>
    <w:rsid w:val="00A65E9E"/>
    <w:rsid w:val="00A65F62"/>
    <w:rsid w:val="00A66388"/>
    <w:rsid w:val="00A66583"/>
    <w:rsid w:val="00A66963"/>
    <w:rsid w:val="00A66A6D"/>
    <w:rsid w:val="00A66BE8"/>
    <w:rsid w:val="00A67001"/>
    <w:rsid w:val="00A676D4"/>
    <w:rsid w:val="00A67E85"/>
    <w:rsid w:val="00A70204"/>
    <w:rsid w:val="00A722E9"/>
    <w:rsid w:val="00A72AC7"/>
    <w:rsid w:val="00A72B47"/>
    <w:rsid w:val="00A73093"/>
    <w:rsid w:val="00A7381C"/>
    <w:rsid w:val="00A740A9"/>
    <w:rsid w:val="00A74226"/>
    <w:rsid w:val="00A74371"/>
    <w:rsid w:val="00A75197"/>
    <w:rsid w:val="00A75898"/>
    <w:rsid w:val="00A76CBE"/>
    <w:rsid w:val="00A76E20"/>
    <w:rsid w:val="00A76E55"/>
    <w:rsid w:val="00A770FC"/>
    <w:rsid w:val="00A80AF2"/>
    <w:rsid w:val="00A82D25"/>
    <w:rsid w:val="00A83D2B"/>
    <w:rsid w:val="00A84A9E"/>
    <w:rsid w:val="00A84F9D"/>
    <w:rsid w:val="00A85DC2"/>
    <w:rsid w:val="00A87737"/>
    <w:rsid w:val="00A9089D"/>
    <w:rsid w:val="00A90F39"/>
    <w:rsid w:val="00A9355E"/>
    <w:rsid w:val="00A9399B"/>
    <w:rsid w:val="00A9473A"/>
    <w:rsid w:val="00A952E9"/>
    <w:rsid w:val="00A9572E"/>
    <w:rsid w:val="00A95C0D"/>
    <w:rsid w:val="00A9630D"/>
    <w:rsid w:val="00A97D9B"/>
    <w:rsid w:val="00AA04EC"/>
    <w:rsid w:val="00AA09FD"/>
    <w:rsid w:val="00AA112D"/>
    <w:rsid w:val="00AA1931"/>
    <w:rsid w:val="00AA24A3"/>
    <w:rsid w:val="00AA25BA"/>
    <w:rsid w:val="00AA3B4A"/>
    <w:rsid w:val="00AA41D5"/>
    <w:rsid w:val="00AA452A"/>
    <w:rsid w:val="00AA4CE7"/>
    <w:rsid w:val="00AA4E4E"/>
    <w:rsid w:val="00AA53AF"/>
    <w:rsid w:val="00AA6DE3"/>
    <w:rsid w:val="00AA731C"/>
    <w:rsid w:val="00AA7B6D"/>
    <w:rsid w:val="00AB07F1"/>
    <w:rsid w:val="00AB1FE9"/>
    <w:rsid w:val="00AB3433"/>
    <w:rsid w:val="00AB3520"/>
    <w:rsid w:val="00AB3661"/>
    <w:rsid w:val="00AB3751"/>
    <w:rsid w:val="00AB3CB0"/>
    <w:rsid w:val="00AB403D"/>
    <w:rsid w:val="00AB4A34"/>
    <w:rsid w:val="00AB53A0"/>
    <w:rsid w:val="00AB554E"/>
    <w:rsid w:val="00AB56DA"/>
    <w:rsid w:val="00AB7018"/>
    <w:rsid w:val="00AC0946"/>
    <w:rsid w:val="00AC13B2"/>
    <w:rsid w:val="00AC14F8"/>
    <w:rsid w:val="00AC1C86"/>
    <w:rsid w:val="00AC2A18"/>
    <w:rsid w:val="00AC2C96"/>
    <w:rsid w:val="00AC40A7"/>
    <w:rsid w:val="00AC43C1"/>
    <w:rsid w:val="00AC4502"/>
    <w:rsid w:val="00AC47AC"/>
    <w:rsid w:val="00AC4982"/>
    <w:rsid w:val="00AC4D17"/>
    <w:rsid w:val="00AC51AD"/>
    <w:rsid w:val="00AC5456"/>
    <w:rsid w:val="00AC73A1"/>
    <w:rsid w:val="00AC7425"/>
    <w:rsid w:val="00AC75A1"/>
    <w:rsid w:val="00AC7A7D"/>
    <w:rsid w:val="00AD129C"/>
    <w:rsid w:val="00AD1A51"/>
    <w:rsid w:val="00AD1A94"/>
    <w:rsid w:val="00AD1DD6"/>
    <w:rsid w:val="00AD2A8B"/>
    <w:rsid w:val="00AD2AA1"/>
    <w:rsid w:val="00AD2EE6"/>
    <w:rsid w:val="00AD33BB"/>
    <w:rsid w:val="00AD4A17"/>
    <w:rsid w:val="00AD4D97"/>
    <w:rsid w:val="00AD5C6B"/>
    <w:rsid w:val="00AD680F"/>
    <w:rsid w:val="00AD6E61"/>
    <w:rsid w:val="00AE0FCC"/>
    <w:rsid w:val="00AE12AC"/>
    <w:rsid w:val="00AE2398"/>
    <w:rsid w:val="00AE3866"/>
    <w:rsid w:val="00AE4B75"/>
    <w:rsid w:val="00AE4C14"/>
    <w:rsid w:val="00AE4ED7"/>
    <w:rsid w:val="00AE5DD2"/>
    <w:rsid w:val="00AE6FCF"/>
    <w:rsid w:val="00AF0B04"/>
    <w:rsid w:val="00AF1450"/>
    <w:rsid w:val="00AF1BA6"/>
    <w:rsid w:val="00AF1C1D"/>
    <w:rsid w:val="00AF2A99"/>
    <w:rsid w:val="00AF2D26"/>
    <w:rsid w:val="00AF2FEC"/>
    <w:rsid w:val="00AF31FC"/>
    <w:rsid w:val="00AF42D0"/>
    <w:rsid w:val="00AF4482"/>
    <w:rsid w:val="00AF58AB"/>
    <w:rsid w:val="00AF63C0"/>
    <w:rsid w:val="00AF70C7"/>
    <w:rsid w:val="00AF783C"/>
    <w:rsid w:val="00B00B6C"/>
    <w:rsid w:val="00B0176D"/>
    <w:rsid w:val="00B02175"/>
    <w:rsid w:val="00B050A8"/>
    <w:rsid w:val="00B05197"/>
    <w:rsid w:val="00B071C5"/>
    <w:rsid w:val="00B0740F"/>
    <w:rsid w:val="00B07951"/>
    <w:rsid w:val="00B10B62"/>
    <w:rsid w:val="00B13BFF"/>
    <w:rsid w:val="00B141C6"/>
    <w:rsid w:val="00B1481A"/>
    <w:rsid w:val="00B14CB5"/>
    <w:rsid w:val="00B150D9"/>
    <w:rsid w:val="00B1526B"/>
    <w:rsid w:val="00B170FF"/>
    <w:rsid w:val="00B20658"/>
    <w:rsid w:val="00B20B13"/>
    <w:rsid w:val="00B20FBD"/>
    <w:rsid w:val="00B2456F"/>
    <w:rsid w:val="00B27813"/>
    <w:rsid w:val="00B27A4C"/>
    <w:rsid w:val="00B3088D"/>
    <w:rsid w:val="00B3118B"/>
    <w:rsid w:val="00B31260"/>
    <w:rsid w:val="00B31E27"/>
    <w:rsid w:val="00B32930"/>
    <w:rsid w:val="00B32CF8"/>
    <w:rsid w:val="00B34CD0"/>
    <w:rsid w:val="00B3516D"/>
    <w:rsid w:val="00B35710"/>
    <w:rsid w:val="00B358F6"/>
    <w:rsid w:val="00B35936"/>
    <w:rsid w:val="00B359D0"/>
    <w:rsid w:val="00B35CC0"/>
    <w:rsid w:val="00B36A7B"/>
    <w:rsid w:val="00B36F4B"/>
    <w:rsid w:val="00B37040"/>
    <w:rsid w:val="00B371FA"/>
    <w:rsid w:val="00B37F95"/>
    <w:rsid w:val="00B4097B"/>
    <w:rsid w:val="00B41292"/>
    <w:rsid w:val="00B41374"/>
    <w:rsid w:val="00B423F6"/>
    <w:rsid w:val="00B42559"/>
    <w:rsid w:val="00B42D2A"/>
    <w:rsid w:val="00B43C1D"/>
    <w:rsid w:val="00B4528F"/>
    <w:rsid w:val="00B455FD"/>
    <w:rsid w:val="00B47117"/>
    <w:rsid w:val="00B47C3E"/>
    <w:rsid w:val="00B50259"/>
    <w:rsid w:val="00B5049F"/>
    <w:rsid w:val="00B50993"/>
    <w:rsid w:val="00B50EFF"/>
    <w:rsid w:val="00B51B5D"/>
    <w:rsid w:val="00B52A16"/>
    <w:rsid w:val="00B52D54"/>
    <w:rsid w:val="00B52DF5"/>
    <w:rsid w:val="00B52EB3"/>
    <w:rsid w:val="00B533A4"/>
    <w:rsid w:val="00B539FA"/>
    <w:rsid w:val="00B547E9"/>
    <w:rsid w:val="00B547F0"/>
    <w:rsid w:val="00B54ADC"/>
    <w:rsid w:val="00B54C49"/>
    <w:rsid w:val="00B565E5"/>
    <w:rsid w:val="00B57700"/>
    <w:rsid w:val="00B57937"/>
    <w:rsid w:val="00B57B54"/>
    <w:rsid w:val="00B6046A"/>
    <w:rsid w:val="00B605CE"/>
    <w:rsid w:val="00B60CDD"/>
    <w:rsid w:val="00B60D1E"/>
    <w:rsid w:val="00B61921"/>
    <w:rsid w:val="00B6254C"/>
    <w:rsid w:val="00B62C43"/>
    <w:rsid w:val="00B6352D"/>
    <w:rsid w:val="00B63769"/>
    <w:rsid w:val="00B6413A"/>
    <w:rsid w:val="00B64B68"/>
    <w:rsid w:val="00B661F9"/>
    <w:rsid w:val="00B71349"/>
    <w:rsid w:val="00B7203D"/>
    <w:rsid w:val="00B720B7"/>
    <w:rsid w:val="00B727F1"/>
    <w:rsid w:val="00B72803"/>
    <w:rsid w:val="00B74991"/>
    <w:rsid w:val="00B757A3"/>
    <w:rsid w:val="00B7593D"/>
    <w:rsid w:val="00B75F6D"/>
    <w:rsid w:val="00B777F6"/>
    <w:rsid w:val="00B80971"/>
    <w:rsid w:val="00B816C4"/>
    <w:rsid w:val="00B8192B"/>
    <w:rsid w:val="00B81B75"/>
    <w:rsid w:val="00B83CE6"/>
    <w:rsid w:val="00B85EB8"/>
    <w:rsid w:val="00B91FED"/>
    <w:rsid w:val="00B93316"/>
    <w:rsid w:val="00B9509C"/>
    <w:rsid w:val="00BA0B63"/>
    <w:rsid w:val="00BA1153"/>
    <w:rsid w:val="00BA1AF6"/>
    <w:rsid w:val="00BA23AD"/>
    <w:rsid w:val="00BA2CED"/>
    <w:rsid w:val="00BA3C48"/>
    <w:rsid w:val="00BA4E79"/>
    <w:rsid w:val="00BA7463"/>
    <w:rsid w:val="00BA7D71"/>
    <w:rsid w:val="00BB1522"/>
    <w:rsid w:val="00BB2463"/>
    <w:rsid w:val="00BB270B"/>
    <w:rsid w:val="00BB288D"/>
    <w:rsid w:val="00BB2E1A"/>
    <w:rsid w:val="00BB3A39"/>
    <w:rsid w:val="00BB3BC1"/>
    <w:rsid w:val="00BB43E9"/>
    <w:rsid w:val="00BB44D2"/>
    <w:rsid w:val="00BB6019"/>
    <w:rsid w:val="00BB6860"/>
    <w:rsid w:val="00BB6BCC"/>
    <w:rsid w:val="00BB7E0C"/>
    <w:rsid w:val="00BC01DB"/>
    <w:rsid w:val="00BC027E"/>
    <w:rsid w:val="00BC073A"/>
    <w:rsid w:val="00BC18C4"/>
    <w:rsid w:val="00BC2314"/>
    <w:rsid w:val="00BC4A03"/>
    <w:rsid w:val="00BC6990"/>
    <w:rsid w:val="00BC6CD8"/>
    <w:rsid w:val="00BC72A5"/>
    <w:rsid w:val="00BC7A86"/>
    <w:rsid w:val="00BC7E4A"/>
    <w:rsid w:val="00BD01D1"/>
    <w:rsid w:val="00BD0B96"/>
    <w:rsid w:val="00BD233A"/>
    <w:rsid w:val="00BD2D52"/>
    <w:rsid w:val="00BD51BE"/>
    <w:rsid w:val="00BD5CC8"/>
    <w:rsid w:val="00BD68CE"/>
    <w:rsid w:val="00BD6ACD"/>
    <w:rsid w:val="00BD71DF"/>
    <w:rsid w:val="00BD7DC7"/>
    <w:rsid w:val="00BE0314"/>
    <w:rsid w:val="00BE0F91"/>
    <w:rsid w:val="00BE1079"/>
    <w:rsid w:val="00BE1348"/>
    <w:rsid w:val="00BE1853"/>
    <w:rsid w:val="00BE1E8C"/>
    <w:rsid w:val="00BE2E53"/>
    <w:rsid w:val="00BE330A"/>
    <w:rsid w:val="00BE3B7E"/>
    <w:rsid w:val="00BE44E3"/>
    <w:rsid w:val="00BE45D2"/>
    <w:rsid w:val="00BE54D3"/>
    <w:rsid w:val="00BE54F8"/>
    <w:rsid w:val="00BE6402"/>
    <w:rsid w:val="00BE6729"/>
    <w:rsid w:val="00BE6881"/>
    <w:rsid w:val="00BE7AD9"/>
    <w:rsid w:val="00BF1D5C"/>
    <w:rsid w:val="00BF2394"/>
    <w:rsid w:val="00BF48FC"/>
    <w:rsid w:val="00BF49C7"/>
    <w:rsid w:val="00BF4C49"/>
    <w:rsid w:val="00BF66D3"/>
    <w:rsid w:val="00C01663"/>
    <w:rsid w:val="00C02E0C"/>
    <w:rsid w:val="00C03231"/>
    <w:rsid w:val="00C045AB"/>
    <w:rsid w:val="00C04AF5"/>
    <w:rsid w:val="00C066ED"/>
    <w:rsid w:val="00C06843"/>
    <w:rsid w:val="00C072C0"/>
    <w:rsid w:val="00C07A5D"/>
    <w:rsid w:val="00C07BEF"/>
    <w:rsid w:val="00C07CB9"/>
    <w:rsid w:val="00C10B98"/>
    <w:rsid w:val="00C10CD9"/>
    <w:rsid w:val="00C10E17"/>
    <w:rsid w:val="00C11A36"/>
    <w:rsid w:val="00C120EA"/>
    <w:rsid w:val="00C130AC"/>
    <w:rsid w:val="00C13AE4"/>
    <w:rsid w:val="00C13D5C"/>
    <w:rsid w:val="00C15C65"/>
    <w:rsid w:val="00C1693C"/>
    <w:rsid w:val="00C16D56"/>
    <w:rsid w:val="00C17726"/>
    <w:rsid w:val="00C178A8"/>
    <w:rsid w:val="00C17AEE"/>
    <w:rsid w:val="00C20318"/>
    <w:rsid w:val="00C208FE"/>
    <w:rsid w:val="00C20BBC"/>
    <w:rsid w:val="00C21419"/>
    <w:rsid w:val="00C22FC4"/>
    <w:rsid w:val="00C23B70"/>
    <w:rsid w:val="00C2408D"/>
    <w:rsid w:val="00C2429C"/>
    <w:rsid w:val="00C247AD"/>
    <w:rsid w:val="00C25347"/>
    <w:rsid w:val="00C25CF2"/>
    <w:rsid w:val="00C25F57"/>
    <w:rsid w:val="00C276A3"/>
    <w:rsid w:val="00C27E36"/>
    <w:rsid w:val="00C304FB"/>
    <w:rsid w:val="00C30E8D"/>
    <w:rsid w:val="00C32E67"/>
    <w:rsid w:val="00C3328B"/>
    <w:rsid w:val="00C337CE"/>
    <w:rsid w:val="00C33C90"/>
    <w:rsid w:val="00C342C3"/>
    <w:rsid w:val="00C3511F"/>
    <w:rsid w:val="00C358AC"/>
    <w:rsid w:val="00C36589"/>
    <w:rsid w:val="00C369AA"/>
    <w:rsid w:val="00C3757E"/>
    <w:rsid w:val="00C377E0"/>
    <w:rsid w:val="00C37A89"/>
    <w:rsid w:val="00C41B67"/>
    <w:rsid w:val="00C41BED"/>
    <w:rsid w:val="00C41CBA"/>
    <w:rsid w:val="00C42F44"/>
    <w:rsid w:val="00C45E53"/>
    <w:rsid w:val="00C464A4"/>
    <w:rsid w:val="00C46C77"/>
    <w:rsid w:val="00C46D6F"/>
    <w:rsid w:val="00C46FB1"/>
    <w:rsid w:val="00C474FE"/>
    <w:rsid w:val="00C50CCE"/>
    <w:rsid w:val="00C50DCE"/>
    <w:rsid w:val="00C513DA"/>
    <w:rsid w:val="00C525EC"/>
    <w:rsid w:val="00C52B79"/>
    <w:rsid w:val="00C52F12"/>
    <w:rsid w:val="00C52FFA"/>
    <w:rsid w:val="00C5335F"/>
    <w:rsid w:val="00C5468F"/>
    <w:rsid w:val="00C5513E"/>
    <w:rsid w:val="00C560F7"/>
    <w:rsid w:val="00C61039"/>
    <w:rsid w:val="00C6118B"/>
    <w:rsid w:val="00C613B0"/>
    <w:rsid w:val="00C614D2"/>
    <w:rsid w:val="00C62106"/>
    <w:rsid w:val="00C62C83"/>
    <w:rsid w:val="00C63598"/>
    <w:rsid w:val="00C63FA7"/>
    <w:rsid w:val="00C64070"/>
    <w:rsid w:val="00C64279"/>
    <w:rsid w:val="00C64298"/>
    <w:rsid w:val="00C648A4"/>
    <w:rsid w:val="00C64960"/>
    <w:rsid w:val="00C667FD"/>
    <w:rsid w:val="00C7016D"/>
    <w:rsid w:val="00C70817"/>
    <w:rsid w:val="00C72A50"/>
    <w:rsid w:val="00C736BD"/>
    <w:rsid w:val="00C73B04"/>
    <w:rsid w:val="00C73D09"/>
    <w:rsid w:val="00C7438E"/>
    <w:rsid w:val="00C752B3"/>
    <w:rsid w:val="00C7536D"/>
    <w:rsid w:val="00C76105"/>
    <w:rsid w:val="00C7708D"/>
    <w:rsid w:val="00C809CD"/>
    <w:rsid w:val="00C8125E"/>
    <w:rsid w:val="00C81FB8"/>
    <w:rsid w:val="00C82382"/>
    <w:rsid w:val="00C82713"/>
    <w:rsid w:val="00C8527F"/>
    <w:rsid w:val="00C859CF"/>
    <w:rsid w:val="00C85CA7"/>
    <w:rsid w:val="00C86090"/>
    <w:rsid w:val="00C86336"/>
    <w:rsid w:val="00C86A17"/>
    <w:rsid w:val="00C86CBF"/>
    <w:rsid w:val="00C870DC"/>
    <w:rsid w:val="00C87829"/>
    <w:rsid w:val="00C87E10"/>
    <w:rsid w:val="00C90A8E"/>
    <w:rsid w:val="00C92214"/>
    <w:rsid w:val="00C925FB"/>
    <w:rsid w:val="00C930C7"/>
    <w:rsid w:val="00C934C4"/>
    <w:rsid w:val="00C94F72"/>
    <w:rsid w:val="00C95495"/>
    <w:rsid w:val="00C95FD4"/>
    <w:rsid w:val="00C96D91"/>
    <w:rsid w:val="00C96EDB"/>
    <w:rsid w:val="00C97C6C"/>
    <w:rsid w:val="00CA0CE3"/>
    <w:rsid w:val="00CA0E57"/>
    <w:rsid w:val="00CA12DA"/>
    <w:rsid w:val="00CA1F08"/>
    <w:rsid w:val="00CA203A"/>
    <w:rsid w:val="00CA25FD"/>
    <w:rsid w:val="00CA2D4C"/>
    <w:rsid w:val="00CA2DD3"/>
    <w:rsid w:val="00CA4738"/>
    <w:rsid w:val="00CA4948"/>
    <w:rsid w:val="00CA4AB7"/>
    <w:rsid w:val="00CA4BA4"/>
    <w:rsid w:val="00CA5671"/>
    <w:rsid w:val="00CA5D11"/>
    <w:rsid w:val="00CA5ECD"/>
    <w:rsid w:val="00CA6039"/>
    <w:rsid w:val="00CA70DD"/>
    <w:rsid w:val="00CA7ED1"/>
    <w:rsid w:val="00CB1A6C"/>
    <w:rsid w:val="00CB2719"/>
    <w:rsid w:val="00CB3545"/>
    <w:rsid w:val="00CB3CC7"/>
    <w:rsid w:val="00CB3D4A"/>
    <w:rsid w:val="00CB5CFD"/>
    <w:rsid w:val="00CB6FE7"/>
    <w:rsid w:val="00CC0378"/>
    <w:rsid w:val="00CC0632"/>
    <w:rsid w:val="00CC0A77"/>
    <w:rsid w:val="00CC0D06"/>
    <w:rsid w:val="00CC3CC0"/>
    <w:rsid w:val="00CC4D09"/>
    <w:rsid w:val="00CC7311"/>
    <w:rsid w:val="00CC742E"/>
    <w:rsid w:val="00CD029D"/>
    <w:rsid w:val="00CD082D"/>
    <w:rsid w:val="00CD0910"/>
    <w:rsid w:val="00CD0B58"/>
    <w:rsid w:val="00CD0E4F"/>
    <w:rsid w:val="00CD155B"/>
    <w:rsid w:val="00CD1699"/>
    <w:rsid w:val="00CD27EF"/>
    <w:rsid w:val="00CD3015"/>
    <w:rsid w:val="00CD38FE"/>
    <w:rsid w:val="00CD3D6F"/>
    <w:rsid w:val="00CD3EB6"/>
    <w:rsid w:val="00CD4125"/>
    <w:rsid w:val="00CD4330"/>
    <w:rsid w:val="00CD47FE"/>
    <w:rsid w:val="00CD526F"/>
    <w:rsid w:val="00CD63E9"/>
    <w:rsid w:val="00CD684B"/>
    <w:rsid w:val="00CD6B11"/>
    <w:rsid w:val="00CE0A7C"/>
    <w:rsid w:val="00CE2720"/>
    <w:rsid w:val="00CE2CF1"/>
    <w:rsid w:val="00CE337C"/>
    <w:rsid w:val="00CE3576"/>
    <w:rsid w:val="00CE3C08"/>
    <w:rsid w:val="00CE3CD8"/>
    <w:rsid w:val="00CE419A"/>
    <w:rsid w:val="00CE4592"/>
    <w:rsid w:val="00CE5693"/>
    <w:rsid w:val="00CE591E"/>
    <w:rsid w:val="00CE65AB"/>
    <w:rsid w:val="00CE7B17"/>
    <w:rsid w:val="00CE7CB6"/>
    <w:rsid w:val="00CE7FD0"/>
    <w:rsid w:val="00CF1845"/>
    <w:rsid w:val="00CF2383"/>
    <w:rsid w:val="00CF3507"/>
    <w:rsid w:val="00CF35CD"/>
    <w:rsid w:val="00CF3AEB"/>
    <w:rsid w:val="00CF48EB"/>
    <w:rsid w:val="00CF4BB5"/>
    <w:rsid w:val="00CF4DAA"/>
    <w:rsid w:val="00CF4FCA"/>
    <w:rsid w:val="00D0186A"/>
    <w:rsid w:val="00D0193D"/>
    <w:rsid w:val="00D0200D"/>
    <w:rsid w:val="00D02480"/>
    <w:rsid w:val="00D02653"/>
    <w:rsid w:val="00D02ED6"/>
    <w:rsid w:val="00D040BC"/>
    <w:rsid w:val="00D0460F"/>
    <w:rsid w:val="00D0489C"/>
    <w:rsid w:val="00D05DE7"/>
    <w:rsid w:val="00D067DC"/>
    <w:rsid w:val="00D1025B"/>
    <w:rsid w:val="00D11418"/>
    <w:rsid w:val="00D11EA4"/>
    <w:rsid w:val="00D121A1"/>
    <w:rsid w:val="00D1283F"/>
    <w:rsid w:val="00D12BE3"/>
    <w:rsid w:val="00D13297"/>
    <w:rsid w:val="00D13AE2"/>
    <w:rsid w:val="00D160C7"/>
    <w:rsid w:val="00D16EE5"/>
    <w:rsid w:val="00D1748C"/>
    <w:rsid w:val="00D219D5"/>
    <w:rsid w:val="00D21D94"/>
    <w:rsid w:val="00D23262"/>
    <w:rsid w:val="00D233E9"/>
    <w:rsid w:val="00D2365D"/>
    <w:rsid w:val="00D23757"/>
    <w:rsid w:val="00D240DA"/>
    <w:rsid w:val="00D26209"/>
    <w:rsid w:val="00D2633D"/>
    <w:rsid w:val="00D26473"/>
    <w:rsid w:val="00D265A8"/>
    <w:rsid w:val="00D26DFC"/>
    <w:rsid w:val="00D271CB"/>
    <w:rsid w:val="00D2758C"/>
    <w:rsid w:val="00D31B8A"/>
    <w:rsid w:val="00D32843"/>
    <w:rsid w:val="00D32E7D"/>
    <w:rsid w:val="00D34263"/>
    <w:rsid w:val="00D34DF5"/>
    <w:rsid w:val="00D357FA"/>
    <w:rsid w:val="00D35B61"/>
    <w:rsid w:val="00D37C66"/>
    <w:rsid w:val="00D37E6B"/>
    <w:rsid w:val="00D417D5"/>
    <w:rsid w:val="00D41A85"/>
    <w:rsid w:val="00D4263B"/>
    <w:rsid w:val="00D43AD6"/>
    <w:rsid w:val="00D43B36"/>
    <w:rsid w:val="00D43B90"/>
    <w:rsid w:val="00D44AAB"/>
    <w:rsid w:val="00D44C31"/>
    <w:rsid w:val="00D45261"/>
    <w:rsid w:val="00D45833"/>
    <w:rsid w:val="00D4595D"/>
    <w:rsid w:val="00D45FC4"/>
    <w:rsid w:val="00D46092"/>
    <w:rsid w:val="00D46B09"/>
    <w:rsid w:val="00D4788E"/>
    <w:rsid w:val="00D50952"/>
    <w:rsid w:val="00D5121F"/>
    <w:rsid w:val="00D550E8"/>
    <w:rsid w:val="00D55B4B"/>
    <w:rsid w:val="00D578E6"/>
    <w:rsid w:val="00D57AD9"/>
    <w:rsid w:val="00D60D3A"/>
    <w:rsid w:val="00D6124E"/>
    <w:rsid w:val="00D614E1"/>
    <w:rsid w:val="00D61E36"/>
    <w:rsid w:val="00D6338E"/>
    <w:rsid w:val="00D640B8"/>
    <w:rsid w:val="00D641A7"/>
    <w:rsid w:val="00D6512B"/>
    <w:rsid w:val="00D67386"/>
    <w:rsid w:val="00D70021"/>
    <w:rsid w:val="00D70C1A"/>
    <w:rsid w:val="00D71312"/>
    <w:rsid w:val="00D71844"/>
    <w:rsid w:val="00D7213A"/>
    <w:rsid w:val="00D7276B"/>
    <w:rsid w:val="00D72C25"/>
    <w:rsid w:val="00D73668"/>
    <w:rsid w:val="00D746E3"/>
    <w:rsid w:val="00D74A73"/>
    <w:rsid w:val="00D75D6F"/>
    <w:rsid w:val="00D772F0"/>
    <w:rsid w:val="00D7747E"/>
    <w:rsid w:val="00D77522"/>
    <w:rsid w:val="00D77879"/>
    <w:rsid w:val="00D8149F"/>
    <w:rsid w:val="00D81932"/>
    <w:rsid w:val="00D82A25"/>
    <w:rsid w:val="00D83B41"/>
    <w:rsid w:val="00D83F10"/>
    <w:rsid w:val="00D84057"/>
    <w:rsid w:val="00D8412B"/>
    <w:rsid w:val="00D844B0"/>
    <w:rsid w:val="00D853E7"/>
    <w:rsid w:val="00D8710B"/>
    <w:rsid w:val="00D902A9"/>
    <w:rsid w:val="00D90681"/>
    <w:rsid w:val="00D90F12"/>
    <w:rsid w:val="00D91DE4"/>
    <w:rsid w:val="00D935DA"/>
    <w:rsid w:val="00D941BA"/>
    <w:rsid w:val="00D94E31"/>
    <w:rsid w:val="00D95FC0"/>
    <w:rsid w:val="00D96B04"/>
    <w:rsid w:val="00D97C65"/>
    <w:rsid w:val="00DA0763"/>
    <w:rsid w:val="00DA0AC5"/>
    <w:rsid w:val="00DA0B2A"/>
    <w:rsid w:val="00DA13F1"/>
    <w:rsid w:val="00DA1D73"/>
    <w:rsid w:val="00DA29BC"/>
    <w:rsid w:val="00DA2A69"/>
    <w:rsid w:val="00DA2D0E"/>
    <w:rsid w:val="00DA4457"/>
    <w:rsid w:val="00DA4835"/>
    <w:rsid w:val="00DA4BE2"/>
    <w:rsid w:val="00DA5217"/>
    <w:rsid w:val="00DA5564"/>
    <w:rsid w:val="00DA5728"/>
    <w:rsid w:val="00DA5D14"/>
    <w:rsid w:val="00DA67D1"/>
    <w:rsid w:val="00DA72BA"/>
    <w:rsid w:val="00DA74E4"/>
    <w:rsid w:val="00DA7617"/>
    <w:rsid w:val="00DA7CC8"/>
    <w:rsid w:val="00DA7CF6"/>
    <w:rsid w:val="00DB08C5"/>
    <w:rsid w:val="00DB09CD"/>
    <w:rsid w:val="00DB1461"/>
    <w:rsid w:val="00DB1CB4"/>
    <w:rsid w:val="00DB2135"/>
    <w:rsid w:val="00DB2684"/>
    <w:rsid w:val="00DB2DE9"/>
    <w:rsid w:val="00DB3C29"/>
    <w:rsid w:val="00DB6EE1"/>
    <w:rsid w:val="00DB6F7B"/>
    <w:rsid w:val="00DB7021"/>
    <w:rsid w:val="00DB71BE"/>
    <w:rsid w:val="00DB776F"/>
    <w:rsid w:val="00DB7B8A"/>
    <w:rsid w:val="00DB7C61"/>
    <w:rsid w:val="00DC0130"/>
    <w:rsid w:val="00DC0441"/>
    <w:rsid w:val="00DC1B1D"/>
    <w:rsid w:val="00DC1CF9"/>
    <w:rsid w:val="00DC20E3"/>
    <w:rsid w:val="00DC2DDC"/>
    <w:rsid w:val="00DC34D0"/>
    <w:rsid w:val="00DC3CB4"/>
    <w:rsid w:val="00DC3E1C"/>
    <w:rsid w:val="00DC4565"/>
    <w:rsid w:val="00DC4BEA"/>
    <w:rsid w:val="00DC4DCE"/>
    <w:rsid w:val="00DC6642"/>
    <w:rsid w:val="00DC69BD"/>
    <w:rsid w:val="00DC6C4D"/>
    <w:rsid w:val="00DC7A04"/>
    <w:rsid w:val="00DC7F71"/>
    <w:rsid w:val="00DD006F"/>
    <w:rsid w:val="00DD050C"/>
    <w:rsid w:val="00DD0BF0"/>
    <w:rsid w:val="00DD0F7C"/>
    <w:rsid w:val="00DD17E7"/>
    <w:rsid w:val="00DD26C9"/>
    <w:rsid w:val="00DD31AC"/>
    <w:rsid w:val="00DD35E4"/>
    <w:rsid w:val="00DD4295"/>
    <w:rsid w:val="00DD49FF"/>
    <w:rsid w:val="00DD75E5"/>
    <w:rsid w:val="00DD7A9E"/>
    <w:rsid w:val="00DE00B2"/>
    <w:rsid w:val="00DE07DE"/>
    <w:rsid w:val="00DE09F5"/>
    <w:rsid w:val="00DE1971"/>
    <w:rsid w:val="00DE1A25"/>
    <w:rsid w:val="00DE383E"/>
    <w:rsid w:val="00DE38AC"/>
    <w:rsid w:val="00DE459C"/>
    <w:rsid w:val="00DE4D45"/>
    <w:rsid w:val="00DE4EB7"/>
    <w:rsid w:val="00DE53FC"/>
    <w:rsid w:val="00DE5977"/>
    <w:rsid w:val="00DE636B"/>
    <w:rsid w:val="00DE74AC"/>
    <w:rsid w:val="00DE7583"/>
    <w:rsid w:val="00DF0819"/>
    <w:rsid w:val="00DF19F0"/>
    <w:rsid w:val="00DF2429"/>
    <w:rsid w:val="00DF357F"/>
    <w:rsid w:val="00DF3D8E"/>
    <w:rsid w:val="00DF3D9C"/>
    <w:rsid w:val="00DF53A4"/>
    <w:rsid w:val="00DF5695"/>
    <w:rsid w:val="00DF74E4"/>
    <w:rsid w:val="00DF7C89"/>
    <w:rsid w:val="00E0049E"/>
    <w:rsid w:val="00E00847"/>
    <w:rsid w:val="00E024B8"/>
    <w:rsid w:val="00E026E7"/>
    <w:rsid w:val="00E02ACD"/>
    <w:rsid w:val="00E02BE1"/>
    <w:rsid w:val="00E02D87"/>
    <w:rsid w:val="00E02E15"/>
    <w:rsid w:val="00E03429"/>
    <w:rsid w:val="00E046FD"/>
    <w:rsid w:val="00E04930"/>
    <w:rsid w:val="00E05A31"/>
    <w:rsid w:val="00E060BF"/>
    <w:rsid w:val="00E06335"/>
    <w:rsid w:val="00E070EC"/>
    <w:rsid w:val="00E10779"/>
    <w:rsid w:val="00E10D68"/>
    <w:rsid w:val="00E10E4D"/>
    <w:rsid w:val="00E10FDC"/>
    <w:rsid w:val="00E1146C"/>
    <w:rsid w:val="00E12478"/>
    <w:rsid w:val="00E131F8"/>
    <w:rsid w:val="00E142F9"/>
    <w:rsid w:val="00E14AE6"/>
    <w:rsid w:val="00E14D44"/>
    <w:rsid w:val="00E15BA7"/>
    <w:rsid w:val="00E165CD"/>
    <w:rsid w:val="00E166DC"/>
    <w:rsid w:val="00E16791"/>
    <w:rsid w:val="00E16847"/>
    <w:rsid w:val="00E1760F"/>
    <w:rsid w:val="00E21246"/>
    <w:rsid w:val="00E21AD4"/>
    <w:rsid w:val="00E22A26"/>
    <w:rsid w:val="00E22BE4"/>
    <w:rsid w:val="00E24FB0"/>
    <w:rsid w:val="00E2547D"/>
    <w:rsid w:val="00E255D0"/>
    <w:rsid w:val="00E2560E"/>
    <w:rsid w:val="00E257D5"/>
    <w:rsid w:val="00E27B7D"/>
    <w:rsid w:val="00E30343"/>
    <w:rsid w:val="00E30C6E"/>
    <w:rsid w:val="00E322CA"/>
    <w:rsid w:val="00E34187"/>
    <w:rsid w:val="00E342CA"/>
    <w:rsid w:val="00E349EE"/>
    <w:rsid w:val="00E369E2"/>
    <w:rsid w:val="00E4015E"/>
    <w:rsid w:val="00E416D0"/>
    <w:rsid w:val="00E41893"/>
    <w:rsid w:val="00E41978"/>
    <w:rsid w:val="00E4250D"/>
    <w:rsid w:val="00E439E5"/>
    <w:rsid w:val="00E43AB1"/>
    <w:rsid w:val="00E43ED4"/>
    <w:rsid w:val="00E4453C"/>
    <w:rsid w:val="00E45F82"/>
    <w:rsid w:val="00E46331"/>
    <w:rsid w:val="00E46DA0"/>
    <w:rsid w:val="00E470CB"/>
    <w:rsid w:val="00E476E6"/>
    <w:rsid w:val="00E5007E"/>
    <w:rsid w:val="00E505B0"/>
    <w:rsid w:val="00E51850"/>
    <w:rsid w:val="00E52157"/>
    <w:rsid w:val="00E52BBF"/>
    <w:rsid w:val="00E52EE8"/>
    <w:rsid w:val="00E53557"/>
    <w:rsid w:val="00E54AC2"/>
    <w:rsid w:val="00E54BCA"/>
    <w:rsid w:val="00E55ED4"/>
    <w:rsid w:val="00E573D9"/>
    <w:rsid w:val="00E5776E"/>
    <w:rsid w:val="00E57A8A"/>
    <w:rsid w:val="00E61EF1"/>
    <w:rsid w:val="00E61F0D"/>
    <w:rsid w:val="00E62C58"/>
    <w:rsid w:val="00E63459"/>
    <w:rsid w:val="00E6364B"/>
    <w:rsid w:val="00E63A76"/>
    <w:rsid w:val="00E644FE"/>
    <w:rsid w:val="00E6450F"/>
    <w:rsid w:val="00E64CC3"/>
    <w:rsid w:val="00E65285"/>
    <w:rsid w:val="00E65DE6"/>
    <w:rsid w:val="00E6714F"/>
    <w:rsid w:val="00E67EB7"/>
    <w:rsid w:val="00E70B7E"/>
    <w:rsid w:val="00E71644"/>
    <w:rsid w:val="00E7288C"/>
    <w:rsid w:val="00E72FFD"/>
    <w:rsid w:val="00E73C49"/>
    <w:rsid w:val="00E73DAA"/>
    <w:rsid w:val="00E74084"/>
    <w:rsid w:val="00E7416A"/>
    <w:rsid w:val="00E741D3"/>
    <w:rsid w:val="00E748A8"/>
    <w:rsid w:val="00E74D67"/>
    <w:rsid w:val="00E750C1"/>
    <w:rsid w:val="00E75F62"/>
    <w:rsid w:val="00E769E7"/>
    <w:rsid w:val="00E7733F"/>
    <w:rsid w:val="00E776BE"/>
    <w:rsid w:val="00E77E68"/>
    <w:rsid w:val="00E8002D"/>
    <w:rsid w:val="00E80F01"/>
    <w:rsid w:val="00E81452"/>
    <w:rsid w:val="00E82FD1"/>
    <w:rsid w:val="00E84057"/>
    <w:rsid w:val="00E84720"/>
    <w:rsid w:val="00E84D52"/>
    <w:rsid w:val="00E854BD"/>
    <w:rsid w:val="00E85936"/>
    <w:rsid w:val="00E862E6"/>
    <w:rsid w:val="00E86B79"/>
    <w:rsid w:val="00E86CA8"/>
    <w:rsid w:val="00E86CB9"/>
    <w:rsid w:val="00E87017"/>
    <w:rsid w:val="00E876A7"/>
    <w:rsid w:val="00E9121D"/>
    <w:rsid w:val="00E91B38"/>
    <w:rsid w:val="00E922C5"/>
    <w:rsid w:val="00E941E5"/>
    <w:rsid w:val="00E94B19"/>
    <w:rsid w:val="00E9547D"/>
    <w:rsid w:val="00E95A0A"/>
    <w:rsid w:val="00E97B96"/>
    <w:rsid w:val="00EA0103"/>
    <w:rsid w:val="00EA11EC"/>
    <w:rsid w:val="00EA1DCD"/>
    <w:rsid w:val="00EA258E"/>
    <w:rsid w:val="00EA36F4"/>
    <w:rsid w:val="00EA4691"/>
    <w:rsid w:val="00EA50F4"/>
    <w:rsid w:val="00EA5868"/>
    <w:rsid w:val="00EA716B"/>
    <w:rsid w:val="00EA7626"/>
    <w:rsid w:val="00EA77E1"/>
    <w:rsid w:val="00EB0446"/>
    <w:rsid w:val="00EB08AA"/>
    <w:rsid w:val="00EB2D93"/>
    <w:rsid w:val="00EB39EB"/>
    <w:rsid w:val="00EB3DEB"/>
    <w:rsid w:val="00EB5139"/>
    <w:rsid w:val="00EB6EC6"/>
    <w:rsid w:val="00EB7425"/>
    <w:rsid w:val="00EB7CBD"/>
    <w:rsid w:val="00EB7CEA"/>
    <w:rsid w:val="00EC13D1"/>
    <w:rsid w:val="00EC14BD"/>
    <w:rsid w:val="00EC1528"/>
    <w:rsid w:val="00EC1C88"/>
    <w:rsid w:val="00EC2B90"/>
    <w:rsid w:val="00EC2C39"/>
    <w:rsid w:val="00EC3B66"/>
    <w:rsid w:val="00EC3E14"/>
    <w:rsid w:val="00EC40B3"/>
    <w:rsid w:val="00EC4728"/>
    <w:rsid w:val="00EC60AE"/>
    <w:rsid w:val="00EC6530"/>
    <w:rsid w:val="00EC6CDA"/>
    <w:rsid w:val="00ED0EA2"/>
    <w:rsid w:val="00ED1CF0"/>
    <w:rsid w:val="00ED2206"/>
    <w:rsid w:val="00ED2506"/>
    <w:rsid w:val="00ED339C"/>
    <w:rsid w:val="00ED44DD"/>
    <w:rsid w:val="00ED5741"/>
    <w:rsid w:val="00ED6C7E"/>
    <w:rsid w:val="00ED70DF"/>
    <w:rsid w:val="00ED7542"/>
    <w:rsid w:val="00EE020B"/>
    <w:rsid w:val="00EE0A75"/>
    <w:rsid w:val="00EE0DF3"/>
    <w:rsid w:val="00EE15D4"/>
    <w:rsid w:val="00EE1743"/>
    <w:rsid w:val="00EE2096"/>
    <w:rsid w:val="00EE42F4"/>
    <w:rsid w:val="00EE4610"/>
    <w:rsid w:val="00EE4B7C"/>
    <w:rsid w:val="00EE4C96"/>
    <w:rsid w:val="00EE546E"/>
    <w:rsid w:val="00EE5A1E"/>
    <w:rsid w:val="00EE5D6F"/>
    <w:rsid w:val="00EE5DB6"/>
    <w:rsid w:val="00EE60C9"/>
    <w:rsid w:val="00EE7A82"/>
    <w:rsid w:val="00EF1307"/>
    <w:rsid w:val="00EF1954"/>
    <w:rsid w:val="00EF1ABD"/>
    <w:rsid w:val="00EF1D6E"/>
    <w:rsid w:val="00EF2C07"/>
    <w:rsid w:val="00EF4DDC"/>
    <w:rsid w:val="00EF5903"/>
    <w:rsid w:val="00EF6327"/>
    <w:rsid w:val="00EF683A"/>
    <w:rsid w:val="00EF6F01"/>
    <w:rsid w:val="00EF73B3"/>
    <w:rsid w:val="00F00615"/>
    <w:rsid w:val="00F016AC"/>
    <w:rsid w:val="00F024DE"/>
    <w:rsid w:val="00F03BA8"/>
    <w:rsid w:val="00F03CD5"/>
    <w:rsid w:val="00F03F80"/>
    <w:rsid w:val="00F04503"/>
    <w:rsid w:val="00F05E2D"/>
    <w:rsid w:val="00F061C1"/>
    <w:rsid w:val="00F064B7"/>
    <w:rsid w:val="00F06D12"/>
    <w:rsid w:val="00F07F55"/>
    <w:rsid w:val="00F07FE4"/>
    <w:rsid w:val="00F10147"/>
    <w:rsid w:val="00F10921"/>
    <w:rsid w:val="00F14088"/>
    <w:rsid w:val="00F14B3B"/>
    <w:rsid w:val="00F15AB2"/>
    <w:rsid w:val="00F16630"/>
    <w:rsid w:val="00F16A7A"/>
    <w:rsid w:val="00F17B04"/>
    <w:rsid w:val="00F17D90"/>
    <w:rsid w:val="00F2002A"/>
    <w:rsid w:val="00F209BB"/>
    <w:rsid w:val="00F2120D"/>
    <w:rsid w:val="00F219EE"/>
    <w:rsid w:val="00F21A86"/>
    <w:rsid w:val="00F21D81"/>
    <w:rsid w:val="00F21FC8"/>
    <w:rsid w:val="00F222F5"/>
    <w:rsid w:val="00F22629"/>
    <w:rsid w:val="00F22793"/>
    <w:rsid w:val="00F22F4E"/>
    <w:rsid w:val="00F23AFB"/>
    <w:rsid w:val="00F24E54"/>
    <w:rsid w:val="00F25398"/>
    <w:rsid w:val="00F25725"/>
    <w:rsid w:val="00F257F7"/>
    <w:rsid w:val="00F25DC4"/>
    <w:rsid w:val="00F26065"/>
    <w:rsid w:val="00F26A85"/>
    <w:rsid w:val="00F26D8B"/>
    <w:rsid w:val="00F27496"/>
    <w:rsid w:val="00F27ACE"/>
    <w:rsid w:val="00F30517"/>
    <w:rsid w:val="00F3199C"/>
    <w:rsid w:val="00F31B2D"/>
    <w:rsid w:val="00F31CFA"/>
    <w:rsid w:val="00F324B1"/>
    <w:rsid w:val="00F32619"/>
    <w:rsid w:val="00F332BE"/>
    <w:rsid w:val="00F33428"/>
    <w:rsid w:val="00F353DF"/>
    <w:rsid w:val="00F35B71"/>
    <w:rsid w:val="00F36240"/>
    <w:rsid w:val="00F37139"/>
    <w:rsid w:val="00F37162"/>
    <w:rsid w:val="00F40A5F"/>
    <w:rsid w:val="00F413BA"/>
    <w:rsid w:val="00F4182C"/>
    <w:rsid w:val="00F41A26"/>
    <w:rsid w:val="00F4310F"/>
    <w:rsid w:val="00F43C13"/>
    <w:rsid w:val="00F44E3B"/>
    <w:rsid w:val="00F44F0A"/>
    <w:rsid w:val="00F4500C"/>
    <w:rsid w:val="00F46611"/>
    <w:rsid w:val="00F466F0"/>
    <w:rsid w:val="00F467C7"/>
    <w:rsid w:val="00F46ADD"/>
    <w:rsid w:val="00F47D29"/>
    <w:rsid w:val="00F50948"/>
    <w:rsid w:val="00F51866"/>
    <w:rsid w:val="00F519B4"/>
    <w:rsid w:val="00F51FE5"/>
    <w:rsid w:val="00F53B1F"/>
    <w:rsid w:val="00F5491C"/>
    <w:rsid w:val="00F5644B"/>
    <w:rsid w:val="00F56459"/>
    <w:rsid w:val="00F56F5E"/>
    <w:rsid w:val="00F6064C"/>
    <w:rsid w:val="00F60CDE"/>
    <w:rsid w:val="00F6134B"/>
    <w:rsid w:val="00F625D8"/>
    <w:rsid w:val="00F630B7"/>
    <w:rsid w:val="00F64AA5"/>
    <w:rsid w:val="00F64E55"/>
    <w:rsid w:val="00F65C8E"/>
    <w:rsid w:val="00F65CF5"/>
    <w:rsid w:val="00F669F3"/>
    <w:rsid w:val="00F66DC4"/>
    <w:rsid w:val="00F675A2"/>
    <w:rsid w:val="00F70283"/>
    <w:rsid w:val="00F70A60"/>
    <w:rsid w:val="00F70CA1"/>
    <w:rsid w:val="00F70E2F"/>
    <w:rsid w:val="00F73370"/>
    <w:rsid w:val="00F73544"/>
    <w:rsid w:val="00F74A0C"/>
    <w:rsid w:val="00F761BA"/>
    <w:rsid w:val="00F77985"/>
    <w:rsid w:val="00F77B7F"/>
    <w:rsid w:val="00F77DA3"/>
    <w:rsid w:val="00F8043D"/>
    <w:rsid w:val="00F81713"/>
    <w:rsid w:val="00F82985"/>
    <w:rsid w:val="00F8340B"/>
    <w:rsid w:val="00F8479F"/>
    <w:rsid w:val="00F84B78"/>
    <w:rsid w:val="00F853DF"/>
    <w:rsid w:val="00F8540A"/>
    <w:rsid w:val="00F860E1"/>
    <w:rsid w:val="00F8770D"/>
    <w:rsid w:val="00F90140"/>
    <w:rsid w:val="00F91A4B"/>
    <w:rsid w:val="00F91F8A"/>
    <w:rsid w:val="00F92711"/>
    <w:rsid w:val="00F92F7F"/>
    <w:rsid w:val="00F93B66"/>
    <w:rsid w:val="00F93E83"/>
    <w:rsid w:val="00F94199"/>
    <w:rsid w:val="00F95880"/>
    <w:rsid w:val="00F95A4A"/>
    <w:rsid w:val="00F95DD9"/>
    <w:rsid w:val="00F95EFF"/>
    <w:rsid w:val="00F97BBB"/>
    <w:rsid w:val="00FA0130"/>
    <w:rsid w:val="00FA190B"/>
    <w:rsid w:val="00FA1B82"/>
    <w:rsid w:val="00FA2571"/>
    <w:rsid w:val="00FA27DE"/>
    <w:rsid w:val="00FA3645"/>
    <w:rsid w:val="00FA403F"/>
    <w:rsid w:val="00FA499B"/>
    <w:rsid w:val="00FA4D19"/>
    <w:rsid w:val="00FA5099"/>
    <w:rsid w:val="00FA5C3A"/>
    <w:rsid w:val="00FA69F6"/>
    <w:rsid w:val="00FA760C"/>
    <w:rsid w:val="00FA7987"/>
    <w:rsid w:val="00FB11FD"/>
    <w:rsid w:val="00FB2396"/>
    <w:rsid w:val="00FB33F8"/>
    <w:rsid w:val="00FB38EF"/>
    <w:rsid w:val="00FB3ACB"/>
    <w:rsid w:val="00FB3E7E"/>
    <w:rsid w:val="00FB56B1"/>
    <w:rsid w:val="00FB7038"/>
    <w:rsid w:val="00FB7185"/>
    <w:rsid w:val="00FB76DE"/>
    <w:rsid w:val="00FB798D"/>
    <w:rsid w:val="00FC0F47"/>
    <w:rsid w:val="00FC1C03"/>
    <w:rsid w:val="00FC2036"/>
    <w:rsid w:val="00FC2108"/>
    <w:rsid w:val="00FC23AA"/>
    <w:rsid w:val="00FC3D8F"/>
    <w:rsid w:val="00FC3F9F"/>
    <w:rsid w:val="00FC426A"/>
    <w:rsid w:val="00FC4A88"/>
    <w:rsid w:val="00FC575C"/>
    <w:rsid w:val="00FC625B"/>
    <w:rsid w:val="00FC6670"/>
    <w:rsid w:val="00FC696B"/>
    <w:rsid w:val="00FC779E"/>
    <w:rsid w:val="00FC7976"/>
    <w:rsid w:val="00FD0904"/>
    <w:rsid w:val="00FD0E73"/>
    <w:rsid w:val="00FD15B6"/>
    <w:rsid w:val="00FD623B"/>
    <w:rsid w:val="00FD698D"/>
    <w:rsid w:val="00FD6E2E"/>
    <w:rsid w:val="00FD75F6"/>
    <w:rsid w:val="00FE057A"/>
    <w:rsid w:val="00FE0967"/>
    <w:rsid w:val="00FE0A95"/>
    <w:rsid w:val="00FE0F1A"/>
    <w:rsid w:val="00FE0F1D"/>
    <w:rsid w:val="00FE1A7F"/>
    <w:rsid w:val="00FE20D7"/>
    <w:rsid w:val="00FE234D"/>
    <w:rsid w:val="00FE2A07"/>
    <w:rsid w:val="00FE2AE4"/>
    <w:rsid w:val="00FE2E2D"/>
    <w:rsid w:val="00FE33A2"/>
    <w:rsid w:val="00FE36AA"/>
    <w:rsid w:val="00FE3B79"/>
    <w:rsid w:val="00FE5D3F"/>
    <w:rsid w:val="00FE62FE"/>
    <w:rsid w:val="00FE6F73"/>
    <w:rsid w:val="00FE7343"/>
    <w:rsid w:val="00FF0CE9"/>
    <w:rsid w:val="00FF20D8"/>
    <w:rsid w:val="00FF49FC"/>
    <w:rsid w:val="00FF4A82"/>
    <w:rsid w:val="00FF5297"/>
    <w:rsid w:val="00FF6287"/>
    <w:rsid w:val="00FF6DDE"/>
    <w:rsid w:val="00FF7287"/>
    <w:rsid w:val="00FF73F7"/>
    <w:rsid w:val="4F000CFB"/>
    <w:rsid w:val="6F6D58A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A82"/>
    <w:pPr>
      <w:spacing w:after="100" w:line="400" w:lineRule="exact"/>
      <w:jc w:val="both"/>
    </w:pPr>
    <w:rPr>
      <w:rFonts w:ascii="Century Schoolbook" w:hAnsi="Century Schoolbook"/>
      <w:sz w:val="27"/>
    </w:rPr>
  </w:style>
  <w:style w:type="paragraph" w:styleId="Heading1">
    <w:name w:val="heading 1"/>
    <w:basedOn w:val="Normal"/>
    <w:next w:val="Normal"/>
    <w:qFormat/>
    <w:rsid w:val="00FF4A82"/>
    <w:pPr>
      <w:keepNext/>
      <w:spacing w:before="140" w:line="240" w:lineRule="atLeast"/>
      <w:jc w:val="center"/>
      <w:outlineLvl w:val="0"/>
    </w:pPr>
    <w:rPr>
      <w:b/>
      <w:smallCaps/>
    </w:rPr>
  </w:style>
  <w:style w:type="paragraph" w:styleId="Heading2">
    <w:name w:val="heading 2"/>
    <w:basedOn w:val="Normal"/>
    <w:next w:val="Normal"/>
    <w:qFormat/>
    <w:rsid w:val="00FF4A82"/>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FF4A82"/>
    <w:pPr>
      <w:keepNext/>
      <w:tabs>
        <w:tab w:val="left" w:pos="1584"/>
      </w:tabs>
      <w:spacing w:before="140" w:line="240" w:lineRule="atLeast"/>
      <w:ind w:left="1584" w:hanging="432"/>
      <w:jc w:val="left"/>
      <w:outlineLvl w:val="2"/>
    </w:pPr>
    <w:rPr>
      <w:i/>
    </w:rPr>
  </w:style>
  <w:style w:type="paragraph" w:styleId="Heading4">
    <w:name w:val="heading 4"/>
    <w:basedOn w:val="Normal"/>
    <w:rsid w:val="00FF4A82"/>
    <w:pPr>
      <w:keepNext/>
      <w:tabs>
        <w:tab w:val="left" w:pos="2016"/>
      </w:tabs>
      <w:spacing w:before="140" w:line="240" w:lineRule="atLeast"/>
      <w:ind w:left="2016" w:hanging="432"/>
      <w:jc w:val="left"/>
      <w:outlineLvl w:val="3"/>
    </w:pPr>
    <w:rPr>
      <w:i/>
    </w:rPr>
  </w:style>
  <w:style w:type="paragraph" w:styleId="Heading5">
    <w:name w:val="heading 5"/>
    <w:basedOn w:val="Normal"/>
    <w:rsid w:val="00FF4A82"/>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FF4A82"/>
    <w:pPr>
      <w:ind w:left="720"/>
    </w:pPr>
  </w:style>
  <w:style w:type="paragraph" w:styleId="Footer">
    <w:name w:val="footer"/>
    <w:basedOn w:val="Normal"/>
    <w:link w:val="FooterChar"/>
    <w:qFormat/>
    <w:rsid w:val="00FF4A82"/>
    <w:pPr>
      <w:tabs>
        <w:tab w:val="center" w:pos="3960"/>
        <w:tab w:val="right" w:pos="10080"/>
      </w:tabs>
      <w:spacing w:after="0" w:line="240" w:lineRule="auto"/>
      <w:jc w:val="center"/>
    </w:pPr>
    <w:rPr>
      <w:sz w:val="22"/>
    </w:rPr>
  </w:style>
  <w:style w:type="paragraph" w:styleId="Header">
    <w:name w:val="header"/>
    <w:basedOn w:val="Normal"/>
    <w:qFormat/>
    <w:rsid w:val="00FF4A82"/>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FF4A82"/>
    <w:rPr>
      <w:rFonts w:ascii="Century Schoolbook" w:hAnsi="Century Schoolbook"/>
      <w:b/>
      <w:i w:val="0"/>
      <w:position w:val="4"/>
      <w:sz w:val="27"/>
      <w:vertAlign w:val="superscript"/>
    </w:rPr>
  </w:style>
  <w:style w:type="paragraph" w:styleId="FootnoteText">
    <w:name w:val="footnote text"/>
    <w:basedOn w:val="Normal"/>
    <w:rsid w:val="00FF4A82"/>
    <w:pPr>
      <w:spacing w:line="300" w:lineRule="exact"/>
    </w:pPr>
  </w:style>
  <w:style w:type="paragraph" w:customStyle="1" w:styleId="Title1">
    <w:name w:val="Title1"/>
    <w:basedOn w:val="Normal"/>
    <w:rsid w:val="00FF4A82"/>
    <w:pPr>
      <w:tabs>
        <w:tab w:val="left" w:pos="5760"/>
        <w:tab w:val="left" w:pos="6480"/>
      </w:tabs>
      <w:spacing w:line="240" w:lineRule="atLeast"/>
    </w:pPr>
  </w:style>
  <w:style w:type="paragraph" w:customStyle="1" w:styleId="Recommend">
    <w:name w:val="Recommend"/>
    <w:basedOn w:val="Normal"/>
    <w:rsid w:val="00FF4A82"/>
  </w:style>
  <w:style w:type="paragraph" w:customStyle="1" w:styleId="Summary">
    <w:name w:val="Summary"/>
    <w:basedOn w:val="Normal"/>
    <w:rsid w:val="00FF4A82"/>
    <w:pPr>
      <w:ind w:left="2160" w:hanging="2160"/>
    </w:pPr>
  </w:style>
  <w:style w:type="paragraph" w:customStyle="1" w:styleId="Text">
    <w:name w:val="Text"/>
    <w:basedOn w:val="Normal"/>
    <w:rsid w:val="00FF4A82"/>
    <w:pPr>
      <w:tabs>
        <w:tab w:val="left" w:pos="720"/>
        <w:tab w:val="left" w:pos="1440"/>
        <w:tab w:val="left" w:pos="2160"/>
        <w:tab w:val="center" w:pos="4320"/>
      </w:tabs>
      <w:spacing w:line="480" w:lineRule="atLeast"/>
      <w:ind w:firstLine="540"/>
    </w:pPr>
  </w:style>
  <w:style w:type="paragraph" w:styleId="Date">
    <w:name w:val="Date"/>
    <w:basedOn w:val="Normal"/>
    <w:semiHidden/>
    <w:rsid w:val="00FF4A82"/>
    <w:pPr>
      <w:jc w:val="right"/>
    </w:pPr>
  </w:style>
  <w:style w:type="character" w:styleId="PageNumber">
    <w:name w:val="page number"/>
    <w:basedOn w:val="DefaultParagraphFont"/>
    <w:rsid w:val="00FF4A82"/>
  </w:style>
  <w:style w:type="paragraph" w:customStyle="1" w:styleId="subject">
    <w:name w:val="subject"/>
    <w:basedOn w:val="Normal"/>
    <w:rsid w:val="00FF4A82"/>
    <w:pPr>
      <w:tabs>
        <w:tab w:val="left" w:pos="1008"/>
      </w:tabs>
      <w:ind w:left="990" w:hanging="990"/>
    </w:pPr>
    <w:rPr>
      <w:b/>
    </w:rPr>
  </w:style>
  <w:style w:type="paragraph" w:customStyle="1" w:styleId="Titles">
    <w:name w:val="Titles"/>
    <w:basedOn w:val="Normal"/>
    <w:rsid w:val="00FF4A82"/>
    <w:pPr>
      <w:tabs>
        <w:tab w:val="left" w:pos="2160"/>
      </w:tabs>
      <w:ind w:left="2160" w:hanging="2160"/>
    </w:pPr>
    <w:rPr>
      <w:b/>
    </w:rPr>
  </w:style>
  <w:style w:type="paragraph" w:styleId="TOAHeading">
    <w:name w:val="toa heading"/>
    <w:basedOn w:val="Normal"/>
    <w:next w:val="Normal"/>
    <w:semiHidden/>
    <w:rsid w:val="00FF4A82"/>
    <w:pPr>
      <w:spacing w:before="120"/>
    </w:pPr>
    <w:rPr>
      <w:b/>
    </w:rPr>
  </w:style>
  <w:style w:type="paragraph" w:styleId="TOC1">
    <w:name w:val="toc 1"/>
    <w:basedOn w:val="Normal"/>
    <w:next w:val="Normal"/>
    <w:autoRedefine/>
    <w:semiHidden/>
    <w:rsid w:val="00FF4A82"/>
  </w:style>
  <w:style w:type="paragraph" w:styleId="TOC2">
    <w:name w:val="toc 2"/>
    <w:basedOn w:val="Normal"/>
    <w:next w:val="Normal"/>
    <w:autoRedefine/>
    <w:semiHidden/>
    <w:rsid w:val="00FF4A82"/>
    <w:pPr>
      <w:ind w:left="259"/>
    </w:pPr>
  </w:style>
  <w:style w:type="paragraph" w:styleId="TOC3">
    <w:name w:val="toc 3"/>
    <w:basedOn w:val="Normal"/>
    <w:next w:val="Normal"/>
    <w:autoRedefine/>
    <w:semiHidden/>
    <w:rsid w:val="00FF4A82"/>
    <w:pPr>
      <w:ind w:left="520"/>
    </w:pPr>
  </w:style>
  <w:style w:type="paragraph" w:styleId="TOC4">
    <w:name w:val="toc 4"/>
    <w:basedOn w:val="Normal"/>
    <w:next w:val="Normal"/>
    <w:autoRedefine/>
    <w:semiHidden/>
    <w:rsid w:val="00FF4A82"/>
    <w:pPr>
      <w:ind w:left="780"/>
    </w:pPr>
  </w:style>
  <w:style w:type="paragraph" w:styleId="TOC5">
    <w:name w:val="toc 5"/>
    <w:basedOn w:val="Normal"/>
    <w:next w:val="Normal"/>
    <w:autoRedefine/>
    <w:semiHidden/>
    <w:rsid w:val="00FF4A82"/>
    <w:pPr>
      <w:ind w:left="1040"/>
    </w:pPr>
  </w:style>
  <w:style w:type="paragraph" w:styleId="TOC6">
    <w:name w:val="toc 6"/>
    <w:basedOn w:val="Normal"/>
    <w:next w:val="Normal"/>
    <w:autoRedefine/>
    <w:semiHidden/>
    <w:rsid w:val="00FF4A82"/>
    <w:pPr>
      <w:ind w:left="1300"/>
    </w:pPr>
  </w:style>
  <w:style w:type="paragraph" w:styleId="TOC7">
    <w:name w:val="toc 7"/>
    <w:basedOn w:val="Normal"/>
    <w:next w:val="Normal"/>
    <w:autoRedefine/>
    <w:semiHidden/>
    <w:rsid w:val="00FF4A82"/>
    <w:pPr>
      <w:ind w:left="1560"/>
    </w:pPr>
  </w:style>
  <w:style w:type="paragraph" w:styleId="TOC8">
    <w:name w:val="toc 8"/>
    <w:basedOn w:val="Normal"/>
    <w:next w:val="Normal"/>
    <w:autoRedefine/>
    <w:semiHidden/>
    <w:rsid w:val="00FF4A82"/>
    <w:pPr>
      <w:ind w:left="1820"/>
    </w:pPr>
  </w:style>
  <w:style w:type="paragraph" w:styleId="TOC9">
    <w:name w:val="toc 9"/>
    <w:basedOn w:val="Normal"/>
    <w:next w:val="Normal"/>
    <w:autoRedefine/>
    <w:semiHidden/>
    <w:rsid w:val="00FF4A82"/>
    <w:pPr>
      <w:ind w:left="2080"/>
    </w:pPr>
  </w:style>
  <w:style w:type="paragraph" w:customStyle="1" w:styleId="Contents">
    <w:name w:val="Contents"/>
    <w:basedOn w:val="Normal"/>
    <w:rsid w:val="00FF4A82"/>
    <w:pPr>
      <w:jc w:val="center"/>
    </w:pPr>
    <w:rPr>
      <w:b/>
      <w:spacing w:val="100"/>
    </w:rPr>
  </w:style>
  <w:style w:type="paragraph" w:styleId="ListParagraph">
    <w:name w:val="List Paragraph"/>
    <w:basedOn w:val="Normal"/>
    <w:uiPriority w:val="34"/>
    <w:qFormat/>
    <w:rsid w:val="00735D05"/>
    <w:pPr>
      <w:ind w:left="720"/>
      <w:contextualSpacing/>
    </w:pPr>
  </w:style>
  <w:style w:type="paragraph" w:styleId="BalloonText">
    <w:name w:val="Balloon Text"/>
    <w:basedOn w:val="Normal"/>
    <w:link w:val="BalloonTextChar"/>
    <w:uiPriority w:val="99"/>
    <w:semiHidden/>
    <w:unhideWhenUsed/>
    <w:rsid w:val="00EF1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07"/>
    <w:rPr>
      <w:rFonts w:ascii="Segoe UI" w:hAnsi="Segoe UI" w:cs="Segoe UI"/>
      <w:sz w:val="18"/>
      <w:szCs w:val="18"/>
    </w:rPr>
  </w:style>
  <w:style w:type="character" w:styleId="CommentReference">
    <w:name w:val="annotation reference"/>
    <w:basedOn w:val="DefaultParagraphFont"/>
    <w:uiPriority w:val="99"/>
    <w:semiHidden/>
    <w:unhideWhenUsed/>
    <w:rsid w:val="00BC2314"/>
    <w:rPr>
      <w:sz w:val="16"/>
      <w:szCs w:val="16"/>
    </w:rPr>
  </w:style>
  <w:style w:type="paragraph" w:styleId="CommentText">
    <w:name w:val="annotation text"/>
    <w:basedOn w:val="Normal"/>
    <w:link w:val="CommentTextChar"/>
    <w:uiPriority w:val="99"/>
    <w:semiHidden/>
    <w:unhideWhenUsed/>
    <w:rsid w:val="00BC2314"/>
    <w:rPr>
      <w:sz w:val="20"/>
    </w:rPr>
  </w:style>
  <w:style w:type="character" w:customStyle="1" w:styleId="CommentTextChar">
    <w:name w:val="Comment Text Char"/>
    <w:basedOn w:val="DefaultParagraphFont"/>
    <w:link w:val="CommentText"/>
    <w:uiPriority w:val="99"/>
    <w:semiHidden/>
    <w:rsid w:val="00BC2314"/>
  </w:style>
  <w:style w:type="paragraph" w:styleId="CommentSubject">
    <w:name w:val="annotation subject"/>
    <w:basedOn w:val="CommentText"/>
    <w:next w:val="CommentText"/>
    <w:link w:val="CommentSubjectChar"/>
    <w:uiPriority w:val="99"/>
    <w:semiHidden/>
    <w:unhideWhenUsed/>
    <w:rsid w:val="00BC2314"/>
    <w:rPr>
      <w:b/>
      <w:bCs/>
    </w:rPr>
  </w:style>
  <w:style w:type="character" w:customStyle="1" w:styleId="CommentSubjectChar">
    <w:name w:val="Comment Subject Char"/>
    <w:basedOn w:val="CommentTextChar"/>
    <w:link w:val="CommentSubject"/>
    <w:uiPriority w:val="99"/>
    <w:semiHidden/>
    <w:rsid w:val="00BC2314"/>
    <w:rPr>
      <w:b/>
      <w:bCs/>
    </w:rPr>
  </w:style>
  <w:style w:type="paragraph" w:styleId="Revision">
    <w:name w:val="Revision"/>
    <w:hidden/>
    <w:uiPriority w:val="99"/>
    <w:semiHidden/>
    <w:rsid w:val="001314B0"/>
    <w:rPr>
      <w:sz w:val="26"/>
    </w:rPr>
  </w:style>
  <w:style w:type="character" w:styleId="Emphasis">
    <w:name w:val="Emphasis"/>
    <w:basedOn w:val="DefaultParagraphFont"/>
    <w:uiPriority w:val="20"/>
    <w:qFormat/>
    <w:rsid w:val="003959EE"/>
    <w:rPr>
      <w:i/>
      <w:iCs/>
    </w:rPr>
  </w:style>
  <w:style w:type="character" w:customStyle="1" w:styleId="costarpage">
    <w:name w:val="co_starpage"/>
    <w:basedOn w:val="DefaultParagraphFont"/>
    <w:rsid w:val="003959EE"/>
  </w:style>
  <w:style w:type="paragraph" w:styleId="BodyText">
    <w:name w:val="Body Text"/>
    <w:basedOn w:val="Normal"/>
    <w:link w:val="BodyTextChar"/>
    <w:qFormat/>
    <w:rsid w:val="00FF4A82"/>
  </w:style>
  <w:style w:type="character" w:customStyle="1" w:styleId="BodyTextChar">
    <w:name w:val="Body Text Char"/>
    <w:basedOn w:val="DefaultParagraphFont"/>
    <w:link w:val="BodyText"/>
    <w:rsid w:val="00FF4A82"/>
    <w:rPr>
      <w:rFonts w:ascii="Century Schoolbook" w:hAnsi="Century Schoolbook"/>
      <w:sz w:val="27"/>
    </w:rPr>
  </w:style>
  <w:style w:type="character" w:customStyle="1" w:styleId="FooterChar">
    <w:name w:val="Footer Char"/>
    <w:basedOn w:val="DefaultParagraphFont"/>
    <w:link w:val="Footer"/>
    <w:uiPriority w:val="99"/>
    <w:rsid w:val="00533525"/>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5.xml" /><Relationship Id="rId18" Type="http://schemas.openxmlformats.org/officeDocument/2006/relationships/footer" Target="footer6.xml" /><Relationship Id="rId19" Type="http://schemas.openxmlformats.org/officeDocument/2006/relationships/header" Target="header6.xml" /><Relationship Id="rId2" Type="http://schemas.openxmlformats.org/officeDocument/2006/relationships/webSettings" Target="webSettings.xml" /><Relationship Id="rId20" Type="http://schemas.openxmlformats.org/officeDocument/2006/relationships/footer" Target="footer7.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3EF47-9182-4456-A2EC-D2911A367D72}">
  <ds:schemaRefs>
    <ds:schemaRef ds:uri="http://schemas.openxmlformats.org/officeDocument/2006/bibliography"/>
  </ds:schemaRefs>
</ds:datastoreItem>
</file>

<file path=customXml/itemProps2.xml><?xml version="1.0" encoding="utf-8"?>
<ds:datastoreItem xmlns:ds="http://schemas.openxmlformats.org/officeDocument/2006/customXml" ds:itemID="{5EC8A4A3-EE6A-4B94-AD6A-E4AC0C4114A5}">
  <ds:schemaRefs>
    <ds:schemaRef ds:uri="http://schemas.openxmlformats.org/officeDocument/2006/bibliography"/>
  </ds:schemaRefs>
</ds:datastoreItem>
</file>

<file path=customXml/itemProps3.xml><?xml version="1.0" encoding="utf-8"?>
<ds:datastoreItem xmlns:ds="http://schemas.openxmlformats.org/officeDocument/2006/customXml" ds:itemID="{BDBEBD4C-6CDA-4C49-BE32-8956B1C1EFC8}">
  <ds:schemaRefs>
    <ds:schemaRef ds:uri="http://schemas.openxmlformats.org/officeDocument/2006/bibliography"/>
  </ds:schemaRefs>
</ds:datastoreItem>
</file>

<file path=customXml/itemProps4.xml><?xml version="1.0" encoding="utf-8"?>
<ds:datastoreItem xmlns:ds="http://schemas.openxmlformats.org/officeDocument/2006/customXml" ds:itemID="{FCE0F284-F55D-427B-9D90-A1161132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5876</Words>
  <Characters>33497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2020-06-25T15:43:17Z</dcterms:created>
  <dcterms:modified xsi:type="dcterms:W3CDTF">2020-06-25T15:43:17Z</dcterms:modified>
</cp:coreProperties>
</file>