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20031" w:rsidP="00E93A2F">
      <w:pPr>
        <w:tabs>
          <w:tab w:val="left" w:leader="underscore" w:pos="4680"/>
        </w:tabs>
        <w:spacing w:after="0"/>
        <w:jc w:val="center"/>
        <w:rPr>
          <w:sz w:val="36"/>
        </w:rPr>
      </w:pPr>
      <w:bookmarkStart w:id="0" w:name="MarkDocLoc"/>
      <w:bookmarkStart w:id="1" w:name="_GoBack"/>
      <w:bookmarkEnd w:id="0"/>
      <w:bookmarkEnd w:id="1"/>
      <w:r>
        <w:rPr>
          <w:b/>
          <w:sz w:val="36"/>
        </w:rPr>
        <w:t>IN THE SUPREME COURT OF CALIFORNIA</w:t>
      </w:r>
    </w:p>
    <w:p w:rsidR="002C23C4" w:rsidP="00E93A2F">
      <w:pPr>
        <w:tabs>
          <w:tab w:val="left" w:leader="underscore" w:pos="4680"/>
        </w:tabs>
        <w:spacing w:after="0"/>
        <w:jc w:val="center"/>
      </w:pPr>
    </w:p>
    <w:p w:rsidR="002C23C4" w:rsidP="00E93A2F">
      <w:pPr>
        <w:tabs>
          <w:tab w:val="left" w:leader="underscore" w:pos="4680"/>
        </w:tabs>
        <w:spacing w:after="0"/>
        <w:jc w:val="center"/>
      </w:pPr>
      <w:r>
        <w:t>THE PEOPLE</w:t>
      </w:r>
      <w:r w:rsidR="00E45D5B">
        <w:t>,</w:t>
      </w:r>
    </w:p>
    <w:p w:rsidR="002C23C4" w:rsidP="00E93A2F">
      <w:pPr>
        <w:tabs>
          <w:tab w:val="left" w:leader="underscore" w:pos="4680"/>
        </w:tabs>
        <w:spacing w:after="0"/>
        <w:jc w:val="center"/>
      </w:pPr>
      <w:r>
        <w:t>Plaintiff and Respondent</w:t>
      </w:r>
      <w:r w:rsidR="00E45D5B">
        <w:t>,</w:t>
      </w:r>
    </w:p>
    <w:p w:rsidR="002C23C4" w:rsidP="00E93A2F">
      <w:pPr>
        <w:tabs>
          <w:tab w:val="left" w:leader="underscore" w:pos="4680"/>
        </w:tabs>
        <w:spacing w:after="0"/>
        <w:jc w:val="center"/>
      </w:pPr>
      <w:r>
        <w:t>v.</w:t>
      </w:r>
    </w:p>
    <w:p w:rsidR="002C23C4" w:rsidP="00E93A2F">
      <w:pPr>
        <w:tabs>
          <w:tab w:val="left" w:leader="underscore" w:pos="4680"/>
        </w:tabs>
        <w:spacing w:after="0"/>
        <w:jc w:val="center"/>
      </w:pPr>
      <w:r>
        <w:t>VERNON ANDERSON</w:t>
      </w:r>
      <w:r w:rsidR="00E45D5B">
        <w:t>,</w:t>
      </w:r>
    </w:p>
    <w:p w:rsidR="002C23C4" w:rsidP="00E93A2F">
      <w:pPr>
        <w:tabs>
          <w:tab w:val="left" w:leader="underscore" w:pos="4680"/>
        </w:tabs>
        <w:spacing w:after="0"/>
        <w:jc w:val="center"/>
      </w:pPr>
      <w:r>
        <w:t>Defendant and Appellant.</w:t>
      </w:r>
    </w:p>
    <w:p w:rsidR="002C23C4" w:rsidP="00E93A2F">
      <w:pPr>
        <w:tabs>
          <w:tab w:val="left" w:leader="underscore" w:pos="4680"/>
        </w:tabs>
        <w:spacing w:after="0"/>
        <w:jc w:val="center"/>
      </w:pPr>
    </w:p>
    <w:p w:rsidR="002C23C4" w:rsidP="00E93A2F">
      <w:pPr>
        <w:tabs>
          <w:tab w:val="left" w:leader="underscore" w:pos="4680"/>
        </w:tabs>
        <w:spacing w:after="0"/>
        <w:jc w:val="center"/>
      </w:pPr>
      <w:bookmarkStart w:id="2" w:name="_Hlk43817196"/>
      <w:r>
        <w:t>S253227</w:t>
      </w:r>
    </w:p>
    <w:p w:rsidR="00E45D5B" w:rsidP="00E93A2F">
      <w:pPr>
        <w:tabs>
          <w:tab w:val="left" w:leader="underscore" w:pos="4680"/>
        </w:tabs>
        <w:spacing w:after="0"/>
        <w:jc w:val="center"/>
      </w:pPr>
      <w:bookmarkEnd w:id="2"/>
    </w:p>
    <w:p w:rsidR="00E45D5B" w:rsidP="00E93A2F">
      <w:pPr>
        <w:tabs>
          <w:tab w:val="left" w:leader="underscore" w:pos="4680"/>
        </w:tabs>
        <w:spacing w:after="0"/>
        <w:jc w:val="center"/>
      </w:pPr>
      <w:r>
        <w:t>First Appellate District, Division Three</w:t>
      </w:r>
    </w:p>
    <w:p w:rsidR="00E45D5B" w:rsidP="00E93A2F">
      <w:pPr>
        <w:tabs>
          <w:tab w:val="left" w:leader="underscore" w:pos="4680"/>
        </w:tabs>
        <w:spacing w:after="0"/>
        <w:jc w:val="center"/>
      </w:pPr>
      <w:r>
        <w:t>A136451</w:t>
      </w:r>
    </w:p>
    <w:p w:rsidR="002C23C4" w:rsidP="00E93A2F">
      <w:pPr>
        <w:tabs>
          <w:tab w:val="left" w:leader="underscore" w:pos="4680"/>
        </w:tabs>
        <w:spacing w:after="0"/>
        <w:jc w:val="center"/>
      </w:pPr>
    </w:p>
    <w:p w:rsidR="002C23C4" w:rsidP="00E93A2F">
      <w:pPr>
        <w:tabs>
          <w:tab w:val="left" w:leader="underscore" w:pos="4680"/>
        </w:tabs>
        <w:spacing w:after="0"/>
        <w:jc w:val="center"/>
      </w:pPr>
      <w:r>
        <w:t xml:space="preserve">San Francisco </w:t>
      </w:r>
      <w:r w:rsidR="00EC5CD7">
        <w:t xml:space="preserve">City and </w:t>
      </w:r>
      <w:r>
        <w:t>County</w:t>
      </w:r>
      <w:r w:rsidR="00E45D5B">
        <w:t xml:space="preserve"> Superior Court</w:t>
      </w:r>
    </w:p>
    <w:p w:rsidR="002C23C4" w:rsidP="00E93A2F">
      <w:pPr>
        <w:tabs>
          <w:tab w:val="left" w:leader="underscore" w:pos="4680"/>
        </w:tabs>
        <w:spacing w:after="0"/>
        <w:jc w:val="center"/>
      </w:pPr>
      <w:r>
        <w:t>206013</w:t>
      </w:r>
    </w:p>
    <w:p w:rsidR="002C23C4" w:rsidP="00E93A2F">
      <w:pPr>
        <w:pBdr>
          <w:bottom w:val="single" w:sz="4" w:space="1" w:color="auto"/>
        </w:pBdr>
        <w:tabs>
          <w:tab w:val="left" w:leader="underscore" w:pos="4680"/>
        </w:tabs>
        <w:spacing w:after="0"/>
        <w:jc w:val="center"/>
      </w:pPr>
    </w:p>
    <w:p w:rsidR="002C23C4" w:rsidP="00E93A2F">
      <w:pPr>
        <w:tabs>
          <w:tab w:val="left" w:leader="underscore" w:pos="4680"/>
        </w:tabs>
        <w:spacing w:after="0"/>
        <w:jc w:val="center"/>
      </w:pPr>
    </w:p>
    <w:p w:rsidR="002C23C4" w:rsidP="00E93A2F">
      <w:pPr>
        <w:tabs>
          <w:tab w:val="left" w:leader="underscore" w:pos="4680"/>
        </w:tabs>
        <w:spacing w:after="0"/>
        <w:jc w:val="center"/>
      </w:pPr>
      <w:r>
        <w:t>July 23</w:t>
      </w:r>
      <w:r w:rsidR="00960E6C">
        <w:t xml:space="preserve">, </w:t>
      </w:r>
      <w:r>
        <w:t>2020</w:t>
      </w:r>
    </w:p>
    <w:p w:rsidR="002C23C4" w:rsidP="00E93A2F">
      <w:pPr>
        <w:tabs>
          <w:tab w:val="left" w:leader="underscore" w:pos="4680"/>
        </w:tabs>
        <w:spacing w:after="0"/>
        <w:jc w:val="center"/>
      </w:pPr>
    </w:p>
    <w:p w:rsidR="002C23C4" w:rsidP="00164B21">
      <w:pPr>
        <w:pBdr>
          <w:bottom w:val="single" w:sz="4" w:space="1" w:color="auto"/>
        </w:pBdr>
        <w:tabs>
          <w:tab w:val="left" w:leader="underscore" w:pos="4680"/>
        </w:tabs>
      </w:pPr>
      <w:r>
        <w:t xml:space="preserve">Justice Kruger authored the opinion of the Court, in which </w:t>
      </w:r>
      <w:r w:rsidR="0073093C">
        <w:t>Chief Justice Cantil-Sakauye and Justices Chin, Corrigan, Liu, Cuéllar, and Groban</w:t>
      </w:r>
      <w:r>
        <w:t xml:space="preserve"> concurred.</w:t>
      </w:r>
    </w:p>
    <w:p w:rsidR="002C23C4" w:rsidRPr="002C23C4" w:rsidP="00E93A2F">
      <w:pPr>
        <w:pBdr>
          <w:bottom w:val="single" w:sz="4" w:space="1" w:color="auto"/>
        </w:pBdr>
        <w:tabs>
          <w:tab w:val="left" w:leader="underscore" w:pos="4680"/>
        </w:tabs>
        <w:spacing w:line="240" w:lineRule="atLeast"/>
        <w:jc w:val="left"/>
      </w:pPr>
      <w:bookmarkStart w:id="3" w:name="Return"/>
      <w:bookmarkEnd w:id="3"/>
    </w:p>
    <w:p w:rsidR="002C23C4">
      <w:pPr>
        <w:tabs>
          <w:tab w:val="left" w:leader="underscore" w:pos="4680"/>
        </w:tabs>
        <w:spacing w:line="240" w:lineRule="atLeast"/>
        <w:rPr>
          <w:u w:val="single"/>
        </w:rPr>
        <w:sectPr w:rsidSect="00E93A2F">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2C23C4" w:rsidRPr="00AB174F" w:rsidP="002C23C4">
      <w:pPr>
        <w:tabs>
          <w:tab w:val="left" w:leader="underscore" w:pos="4680"/>
        </w:tabs>
        <w:jc w:val="center"/>
      </w:pPr>
      <w:r w:rsidRPr="00AB174F">
        <w:t>PEOPLE v. ANDERSON</w:t>
      </w:r>
    </w:p>
    <w:p w:rsidR="002C23C4" w:rsidRPr="00AB174F" w:rsidP="002C23C4">
      <w:pPr>
        <w:tabs>
          <w:tab w:val="left" w:leader="underscore" w:pos="4680"/>
        </w:tabs>
        <w:jc w:val="center"/>
      </w:pPr>
      <w:r w:rsidRPr="00AB174F">
        <w:t>S253227</w:t>
      </w:r>
    </w:p>
    <w:p w:rsidR="002C23C4" w:rsidRPr="00AB174F" w:rsidP="002C23C4">
      <w:pPr>
        <w:tabs>
          <w:tab w:val="left" w:leader="underscore" w:pos="4680"/>
        </w:tabs>
        <w:jc w:val="center"/>
      </w:pPr>
    </w:p>
    <w:p w:rsidR="002C23C4" w:rsidP="002C23C4">
      <w:pPr>
        <w:tabs>
          <w:tab w:val="left" w:leader="underscore" w:pos="4680"/>
        </w:tabs>
        <w:jc w:val="center"/>
        <w:rPr>
          <w:u w:val="single"/>
        </w:rPr>
      </w:pPr>
      <w:r w:rsidRPr="00AB174F">
        <w:t>Opinion of the Court by Kruger, J.</w:t>
      </w:r>
    </w:p>
    <w:p w:rsidR="002C23C4" w:rsidRPr="002C23C4" w:rsidP="00AB174F">
      <w:pPr>
        <w:tabs>
          <w:tab w:val="left" w:leader="underscore" w:pos="4680"/>
        </w:tabs>
        <w:jc w:val="center"/>
        <w:rPr>
          <w:u w:val="single"/>
        </w:rPr>
      </w:pPr>
    </w:p>
    <w:p w:rsidR="00475987" w:rsidRPr="002C23C4" w:rsidP="00AB174F">
      <w:bookmarkStart w:id="4" w:name="justice"/>
      <w:bookmarkStart w:id="5" w:name="mainstory"/>
      <w:bookmarkEnd w:id="4"/>
      <w:bookmarkEnd w:id="5"/>
      <w:r w:rsidRPr="002C23C4">
        <w:tab/>
      </w:r>
      <w:r w:rsidRPr="002C23C4" w:rsidR="00BA4682">
        <w:t>A jury convicted d</w:t>
      </w:r>
      <w:r w:rsidRPr="002C23C4">
        <w:t>efendant</w:t>
      </w:r>
      <w:r w:rsidRPr="002C23C4" w:rsidR="00BA4682">
        <w:t xml:space="preserve"> </w:t>
      </w:r>
      <w:r w:rsidRPr="002C23C4">
        <w:t xml:space="preserve">Vernon Anderson </w:t>
      </w:r>
      <w:r w:rsidRPr="002C23C4" w:rsidR="0023021A">
        <w:t xml:space="preserve">of </w:t>
      </w:r>
      <w:r w:rsidR="00596F59">
        <w:t xml:space="preserve">several </w:t>
      </w:r>
      <w:r w:rsidRPr="002C23C4">
        <w:t xml:space="preserve">offenses, including </w:t>
      </w:r>
      <w:r w:rsidRPr="002C23C4" w:rsidR="00B728DB">
        <w:t xml:space="preserve">five </w:t>
      </w:r>
      <w:r w:rsidRPr="002C23C4">
        <w:t>counts of</w:t>
      </w:r>
      <w:r w:rsidRPr="002C23C4" w:rsidR="00812902">
        <w:t xml:space="preserve"> second degree</w:t>
      </w:r>
      <w:r w:rsidRPr="002C23C4">
        <w:t xml:space="preserve"> robbery.</w:t>
      </w:r>
      <w:r w:rsidRPr="002C23C4" w:rsidR="008A2D01">
        <w:t xml:space="preserve">  </w:t>
      </w:r>
      <w:r w:rsidRPr="002C23C4" w:rsidR="00EE6330">
        <w:t xml:space="preserve">As to </w:t>
      </w:r>
      <w:r w:rsidRPr="002C23C4" w:rsidR="00B728DB">
        <w:t>each of the</w:t>
      </w:r>
      <w:r w:rsidRPr="002C23C4" w:rsidR="00DF1F84">
        <w:t>se</w:t>
      </w:r>
      <w:r w:rsidRPr="002C23C4" w:rsidR="00B728DB">
        <w:t xml:space="preserve"> </w:t>
      </w:r>
      <w:r w:rsidRPr="002C23C4" w:rsidR="005C1E47">
        <w:t xml:space="preserve">five </w:t>
      </w:r>
      <w:r w:rsidRPr="002C23C4" w:rsidR="00B728DB">
        <w:t xml:space="preserve">counts, the </w:t>
      </w:r>
      <w:r w:rsidRPr="002C23C4" w:rsidR="002E0FB2">
        <w:t xml:space="preserve">operative </w:t>
      </w:r>
      <w:r w:rsidRPr="002C23C4" w:rsidR="00B728DB">
        <w:t xml:space="preserve">information alleged </w:t>
      </w:r>
      <w:r w:rsidRPr="002C23C4" w:rsidR="002A6576">
        <w:t xml:space="preserve">personal </w:t>
      </w:r>
      <w:r w:rsidRPr="002C23C4" w:rsidR="00025204">
        <w:t xml:space="preserve">firearm use enhancements that would </w:t>
      </w:r>
      <w:r w:rsidR="00E40352">
        <w:t xml:space="preserve">have </w:t>
      </w:r>
      <w:r w:rsidRPr="002C23C4" w:rsidR="00025204">
        <w:t>increase</w:t>
      </w:r>
      <w:r w:rsidR="00E40352">
        <w:t>d</w:t>
      </w:r>
      <w:r w:rsidRPr="002C23C4" w:rsidR="00025204">
        <w:t xml:space="preserve"> </w:t>
      </w:r>
      <w:r w:rsidR="00B22C3F">
        <w:t>Anderson</w:t>
      </w:r>
      <w:r w:rsidR="00E40352">
        <w:t>’s</w:t>
      </w:r>
      <w:r w:rsidRPr="002C23C4" w:rsidR="00E40352">
        <w:t xml:space="preserve"> </w:t>
      </w:r>
      <w:r w:rsidRPr="002C23C4" w:rsidR="00025204">
        <w:t xml:space="preserve">sentence by </w:t>
      </w:r>
      <w:r w:rsidR="000E2905">
        <w:t>three</w:t>
      </w:r>
      <w:r w:rsidRPr="002C23C4" w:rsidR="00025204">
        <w:t xml:space="preserve">, </w:t>
      </w:r>
      <w:r w:rsidR="000E2905">
        <w:t>four</w:t>
      </w:r>
      <w:r w:rsidRPr="002C23C4" w:rsidR="00025204">
        <w:t>, or 10 years as to each count</w:t>
      </w:r>
      <w:r w:rsidRPr="002C23C4" w:rsidR="00B728DB">
        <w:t xml:space="preserve">.  </w:t>
      </w:r>
      <w:r w:rsidRPr="002C23C4" w:rsidR="00D5251F">
        <w:t>(</w:t>
      </w:r>
      <w:bookmarkStart w:id="6" w:name="Psych_Cite_1"/>
      <w:r w:rsidRPr="002C23C4" w:rsidR="00D5251F">
        <w:t>Pen. Code, §</w:t>
      </w:r>
      <w:r w:rsidRPr="002C23C4" w:rsidR="003E7AB9">
        <w:t> </w:t>
      </w:r>
      <w:r w:rsidRPr="002C23C4" w:rsidR="00D5251F">
        <w:t>12022.53</w:t>
      </w:r>
      <w:r w:rsidRPr="002C23C4" w:rsidR="00BA4682">
        <w:t xml:space="preserve">, subd. </w:t>
      </w:r>
      <w:r w:rsidRPr="002C23C4" w:rsidR="00D5251F">
        <w:t>(b)</w:t>
      </w:r>
      <w:bookmarkEnd w:id="6"/>
      <w:r w:rsidRPr="002C23C4" w:rsidR="00025204">
        <w:t xml:space="preserve">; </w:t>
      </w:r>
      <w:bookmarkStart w:id="7" w:name="Psych_Cite_3"/>
      <w:r w:rsidRPr="002C23C4" w:rsidR="00025204">
        <w:rPr>
          <w:i/>
        </w:rPr>
        <w:t>id.</w:t>
      </w:r>
      <w:r w:rsidRPr="002C23C4" w:rsidR="00025204">
        <w:t>, §</w:t>
      </w:r>
      <w:r w:rsidRPr="002C23C4" w:rsidR="003E7AB9">
        <w:t> </w:t>
      </w:r>
      <w:r w:rsidRPr="002C23C4" w:rsidR="00025204">
        <w:t>12022.5, subd</w:t>
      </w:r>
      <w:bookmarkEnd w:id="7"/>
      <w:r w:rsidRPr="002C23C4" w:rsidR="00025204">
        <w:t>. (a)</w:t>
      </w:r>
      <w:r w:rsidRPr="002C23C4" w:rsidR="00D5251F">
        <w:t xml:space="preserve">.)  </w:t>
      </w:r>
      <w:r w:rsidRPr="002C23C4" w:rsidR="00B728DB">
        <w:t>But</w:t>
      </w:r>
      <w:r w:rsidRPr="002C23C4" w:rsidR="00032A7C">
        <w:t xml:space="preserve"> </w:t>
      </w:r>
      <w:r w:rsidRPr="002C23C4" w:rsidR="0014320B">
        <w:t>after the close of evidence</w:t>
      </w:r>
      <w:r w:rsidRPr="002C23C4" w:rsidR="00401C8F">
        <w:t xml:space="preserve">, the </w:t>
      </w:r>
      <w:r w:rsidRPr="002C23C4" w:rsidR="00AA0938">
        <w:t xml:space="preserve">trial court instructed the jury </w:t>
      </w:r>
      <w:r w:rsidRPr="002C23C4" w:rsidR="005C1E47">
        <w:t xml:space="preserve">on a </w:t>
      </w:r>
      <w:r w:rsidRPr="002C23C4" w:rsidR="00D55E64">
        <w:t xml:space="preserve">set of </w:t>
      </w:r>
      <w:r w:rsidRPr="002C23C4" w:rsidR="00401C8F">
        <w:t>more serious</w:t>
      </w:r>
      <w:r w:rsidR="00192293">
        <w:t>, 25-year-to-life</w:t>
      </w:r>
      <w:r w:rsidRPr="002C23C4" w:rsidR="00401C8F">
        <w:t xml:space="preserve"> firearm enhancement</w:t>
      </w:r>
      <w:r w:rsidRPr="002C23C4" w:rsidR="00EE6330">
        <w:t>s</w:t>
      </w:r>
      <w:r w:rsidRPr="002C23C4" w:rsidR="0053236C">
        <w:t xml:space="preserve"> based on </w:t>
      </w:r>
      <w:r w:rsidRPr="002C23C4" w:rsidR="002F5CA7">
        <w:t xml:space="preserve">a different theory:  that </w:t>
      </w:r>
      <w:r w:rsidR="00B22C3F">
        <w:t>Anderson</w:t>
      </w:r>
      <w:r w:rsidRPr="002C23C4" w:rsidR="002F5CA7">
        <w:t xml:space="preserve"> was vicariously responsible for a coparticipant’s </w:t>
      </w:r>
      <w:r w:rsidRPr="002C23C4" w:rsidR="00FF374F">
        <w:t xml:space="preserve">harmful discharge of a firearm </w:t>
      </w:r>
      <w:r w:rsidRPr="002C23C4" w:rsidR="002D3160">
        <w:t>in the commission of a gang-related crime</w:t>
      </w:r>
      <w:r w:rsidRPr="002C23C4" w:rsidR="00731CFD">
        <w:t xml:space="preserve">.  </w:t>
      </w:r>
      <w:r w:rsidRPr="00CB68E1" w:rsidR="0066793C">
        <w:rPr>
          <w:i/>
        </w:rPr>
        <w:t>(</w:t>
      </w:r>
      <w:bookmarkStart w:id="8" w:name="Psych_Cite_2"/>
      <w:r w:rsidR="004A1520">
        <w:rPr>
          <w:i/>
          <w:iCs/>
        </w:rPr>
        <w:t>Id.</w:t>
      </w:r>
      <w:r w:rsidRPr="00222427" w:rsidR="0066793C">
        <w:rPr>
          <w:i/>
          <w:iCs/>
        </w:rPr>
        <w:t>,</w:t>
      </w:r>
      <w:r w:rsidRPr="002C23C4" w:rsidR="0066793C">
        <w:t xml:space="preserve"> </w:t>
      </w:r>
      <w:r w:rsidRPr="002C23C4" w:rsidR="002D7C02">
        <w:t>§</w:t>
      </w:r>
      <w:r w:rsidRPr="002C23C4" w:rsidR="003E7AB9">
        <w:t> </w:t>
      </w:r>
      <w:r w:rsidRPr="002C23C4" w:rsidR="002D7C02">
        <w:t>12022.53</w:t>
      </w:r>
      <w:r w:rsidRPr="002C23C4" w:rsidR="00BA4682">
        <w:t>,</w:t>
      </w:r>
      <w:r w:rsidRPr="002C23C4" w:rsidR="0066793C">
        <w:t xml:space="preserve"> </w:t>
      </w:r>
      <w:r w:rsidRPr="002C23C4" w:rsidR="00BA4682">
        <w:t>subd</w:t>
      </w:r>
      <w:r w:rsidRPr="002C23C4" w:rsidR="00950FE6">
        <w:t>s</w:t>
      </w:r>
      <w:bookmarkEnd w:id="8"/>
      <w:r w:rsidRPr="002C23C4" w:rsidR="00BA4682">
        <w:t xml:space="preserve">. </w:t>
      </w:r>
      <w:r w:rsidRPr="002C23C4" w:rsidR="002D7C02">
        <w:t>(d)</w:t>
      </w:r>
      <w:r w:rsidRPr="002C23C4" w:rsidR="00BA4682">
        <w:t xml:space="preserve">, </w:t>
      </w:r>
      <w:r w:rsidRPr="002C23C4" w:rsidR="002D7C02">
        <w:t>(e)</w:t>
      </w:r>
      <w:r w:rsidRPr="002C23C4" w:rsidR="00731CFD">
        <w:t>.</w:t>
      </w:r>
      <w:r w:rsidRPr="002C23C4" w:rsidR="002D7C02">
        <w:t>)</w:t>
      </w:r>
      <w:r w:rsidRPr="002C23C4" w:rsidR="00731CFD">
        <w:t xml:space="preserve"> </w:t>
      </w:r>
      <w:r w:rsidR="004A1520">
        <w:t xml:space="preserve"> </w:t>
      </w:r>
      <w:r w:rsidRPr="002C23C4" w:rsidR="00731CFD">
        <w:t xml:space="preserve">One such </w:t>
      </w:r>
      <w:r w:rsidRPr="002C23C4" w:rsidR="00D32A49">
        <w:t>vicarious firearm</w:t>
      </w:r>
      <w:r w:rsidR="0029567E">
        <w:t xml:space="preserve"> </w:t>
      </w:r>
      <w:r w:rsidR="00F6240A">
        <w:t>discharge</w:t>
      </w:r>
      <w:r w:rsidRPr="002C23C4" w:rsidR="004E720D">
        <w:t xml:space="preserve"> </w:t>
      </w:r>
      <w:r w:rsidRPr="002C23C4" w:rsidR="00731CFD">
        <w:t xml:space="preserve">enhancement had been alleged </w:t>
      </w:r>
      <w:r w:rsidRPr="002C23C4" w:rsidR="00D6766E">
        <w:t>in connection with a different count of the information</w:t>
      </w:r>
      <w:r w:rsidR="006C05C7">
        <w:t>,</w:t>
      </w:r>
      <w:r w:rsidRPr="002C23C4" w:rsidR="00D6766E">
        <w:t xml:space="preserve"> but </w:t>
      </w:r>
      <w:r w:rsidRPr="002C23C4" w:rsidR="0048774E">
        <w:t xml:space="preserve">none had been alleged in connection with </w:t>
      </w:r>
      <w:r w:rsidRPr="002C23C4" w:rsidR="00D6766E">
        <w:t xml:space="preserve">the robbery counts.  The </w:t>
      </w:r>
      <w:r w:rsidRPr="002C23C4" w:rsidR="00574532">
        <w:t xml:space="preserve">jury returned true findings, and </w:t>
      </w:r>
      <w:r w:rsidRPr="002C23C4" w:rsidR="00BA4682">
        <w:t xml:space="preserve">the trial court enhanced </w:t>
      </w:r>
      <w:r w:rsidR="00B22C3F">
        <w:t>Anderson</w:t>
      </w:r>
      <w:r w:rsidRPr="002C23C4" w:rsidR="00D6766E">
        <w:t>’s sentence for the robberies</w:t>
      </w:r>
      <w:r w:rsidRPr="002C23C4" w:rsidR="00812902">
        <w:t xml:space="preserve"> </w:t>
      </w:r>
      <w:r w:rsidRPr="002C23C4" w:rsidR="00D6766E">
        <w:t xml:space="preserve">by five </w:t>
      </w:r>
      <w:r w:rsidRPr="002C23C4" w:rsidR="00910D0D">
        <w:t xml:space="preserve">consecutive </w:t>
      </w:r>
      <w:r w:rsidRPr="002C23C4" w:rsidR="00D6766E">
        <w:t xml:space="preserve">additional terms of 25 years to life.  </w:t>
      </w:r>
      <w:r w:rsidRPr="002C23C4" w:rsidR="00705210">
        <w:t>The Court of Appeal affirmed.</w:t>
      </w:r>
    </w:p>
    <w:p w:rsidR="009A3E18" w:rsidRPr="002C23C4" w:rsidP="00AB174F">
      <w:r w:rsidRPr="002C23C4">
        <w:tab/>
      </w:r>
      <w:r w:rsidRPr="002C23C4" w:rsidR="00616B1D">
        <w:t xml:space="preserve">We granted review to </w:t>
      </w:r>
      <w:r w:rsidRPr="002C23C4" w:rsidR="00A1560D">
        <w:t xml:space="preserve">consider </w:t>
      </w:r>
      <w:r w:rsidRPr="002C23C4" w:rsidR="006044C0">
        <w:t xml:space="preserve">whether </w:t>
      </w:r>
      <w:r w:rsidRPr="002C23C4" w:rsidR="00BA4682">
        <w:t>the</w:t>
      </w:r>
      <w:r w:rsidRPr="002C23C4" w:rsidR="006044C0">
        <w:t xml:space="preserve"> trial court properly imposed the </w:t>
      </w:r>
      <w:r w:rsidRPr="002C23C4" w:rsidR="00141A4B">
        <w:t xml:space="preserve">five </w:t>
      </w:r>
      <w:r w:rsidRPr="002C23C4" w:rsidR="006044C0">
        <w:t>25-</w:t>
      </w:r>
      <w:r w:rsidR="006C05C7">
        <w:t>year-</w:t>
      </w:r>
      <w:r w:rsidRPr="002C23C4" w:rsidR="006044C0">
        <w:t xml:space="preserve">to-life enhancements in connection with </w:t>
      </w:r>
      <w:r w:rsidRPr="002C23C4" w:rsidR="00141A4B">
        <w:t xml:space="preserve">counts as to which the enhancements had not been alleged.  </w:t>
      </w:r>
      <w:r w:rsidR="00F37F52">
        <w:t xml:space="preserve">The </w:t>
      </w:r>
      <w:r w:rsidRPr="002C23C4" w:rsidR="007A0840">
        <w:t>answer is no</w:t>
      </w:r>
      <w:r w:rsidRPr="002C23C4" w:rsidR="00E01CC4">
        <w:t>.</w:t>
      </w:r>
      <w:r w:rsidRPr="002C23C4" w:rsidR="00720656">
        <w:t xml:space="preserve">  </w:t>
      </w:r>
      <w:r w:rsidRPr="002C23C4" w:rsidR="00E01CC4">
        <w:t xml:space="preserve">Because </w:t>
      </w:r>
      <w:r w:rsidR="00B22C3F">
        <w:t xml:space="preserve">Anderson </w:t>
      </w:r>
      <w:r w:rsidRPr="002C23C4" w:rsidR="00B104AA">
        <w:t xml:space="preserve">did not </w:t>
      </w:r>
      <w:r w:rsidRPr="002C23C4" w:rsidR="00E01CC4">
        <w:t xml:space="preserve">receive </w:t>
      </w:r>
      <w:r w:rsidRPr="002C23C4" w:rsidR="00460C2F">
        <w:t xml:space="preserve">adequate </w:t>
      </w:r>
      <w:r w:rsidRPr="002C23C4" w:rsidR="00E01CC4">
        <w:t xml:space="preserve">notice that </w:t>
      </w:r>
      <w:r w:rsidRPr="002C23C4" w:rsidR="0046403B">
        <w:t>the prosecution was seeking to impose this additional punishment</w:t>
      </w:r>
      <w:r w:rsidR="00FC5996">
        <w:t xml:space="preserve"> on these counts</w:t>
      </w:r>
      <w:r w:rsidRPr="002C23C4" w:rsidR="0046403B">
        <w:t xml:space="preserve">, </w:t>
      </w:r>
      <w:r w:rsidRPr="002C23C4" w:rsidR="003A265F">
        <w:t xml:space="preserve">we </w:t>
      </w:r>
      <w:r w:rsidRPr="002C23C4" w:rsidR="00FF426F">
        <w:t>reverse and remand for resentencing.</w:t>
      </w:r>
    </w:p>
    <w:p w:rsidR="000E5681" w:rsidRPr="002C23C4" w:rsidP="00AB174F">
      <w:pPr>
        <w:pStyle w:val="Heading1"/>
      </w:pPr>
      <w:r w:rsidRPr="002C23C4">
        <w:t>I.</w:t>
      </w:r>
    </w:p>
    <w:p w:rsidR="00305182" w:rsidRPr="002C23C4" w:rsidP="00AB174F">
      <w:r w:rsidRPr="002C23C4">
        <w:tab/>
      </w:r>
      <w:r w:rsidR="00B22C3F">
        <w:t>Anderson</w:t>
      </w:r>
      <w:r w:rsidRPr="002C23C4" w:rsidR="00AC7B6E">
        <w:t xml:space="preserve">, together with </w:t>
      </w:r>
      <w:r w:rsidRPr="002C23C4" w:rsidR="00D85762">
        <w:t xml:space="preserve">a group of </w:t>
      </w:r>
      <w:r w:rsidRPr="002C23C4" w:rsidR="000242A4">
        <w:t xml:space="preserve">at least </w:t>
      </w:r>
      <w:r w:rsidRPr="002C23C4" w:rsidR="009D0B8E">
        <w:t xml:space="preserve">five other </w:t>
      </w:r>
      <w:r w:rsidRPr="002C23C4" w:rsidR="00D85762">
        <w:t>young men</w:t>
      </w:r>
      <w:r w:rsidRPr="002C23C4" w:rsidR="00AC7B6E">
        <w:t>,</w:t>
      </w:r>
      <w:r w:rsidRPr="002C23C4" w:rsidR="00D85762">
        <w:t xml:space="preserve"> arrived</w:t>
      </w:r>
      <w:r w:rsidRPr="002C23C4" w:rsidR="000242A4">
        <w:t xml:space="preserve"> </w:t>
      </w:r>
      <w:r w:rsidRPr="002C23C4" w:rsidR="00EB5EFD">
        <w:t>at</w:t>
      </w:r>
      <w:r w:rsidRPr="002C23C4" w:rsidR="000242A4">
        <w:t xml:space="preserve"> </w:t>
      </w:r>
      <w:r w:rsidRPr="002C23C4" w:rsidR="00D85762">
        <w:t>a house party in San Francisco.  The</w:t>
      </w:r>
      <w:r w:rsidRPr="002C23C4" w:rsidR="00F454B8">
        <w:t xml:space="preserve"> host asked them </w:t>
      </w:r>
      <w:r w:rsidRPr="002C23C4" w:rsidR="00D85762">
        <w:t xml:space="preserve">to leave.  </w:t>
      </w:r>
      <w:r w:rsidRPr="002C23C4" w:rsidR="0077208D">
        <w:t>The</w:t>
      </w:r>
      <w:r w:rsidR="0077208D">
        <w:t xml:space="preserve">y </w:t>
      </w:r>
      <w:r w:rsidRPr="002C23C4" w:rsidR="00F454B8">
        <w:t>left</w:t>
      </w:r>
      <w:r w:rsidRPr="002C23C4" w:rsidR="00D85762">
        <w:t xml:space="preserve"> </w:t>
      </w:r>
      <w:r w:rsidRPr="002C23C4" w:rsidR="00FE3996">
        <w:t xml:space="preserve">briefly </w:t>
      </w:r>
      <w:r w:rsidRPr="002C23C4" w:rsidR="00D85762">
        <w:t xml:space="preserve">but </w:t>
      </w:r>
      <w:r w:rsidRPr="002C23C4" w:rsidR="00AC7B6E">
        <w:t xml:space="preserve">then </w:t>
      </w:r>
      <w:r w:rsidRPr="002C23C4" w:rsidR="00D85762">
        <w:t xml:space="preserve">returned </w:t>
      </w:r>
      <w:r w:rsidR="00F37F52">
        <w:t xml:space="preserve">to the house </w:t>
      </w:r>
      <w:r w:rsidRPr="002C23C4" w:rsidR="00D85762">
        <w:t>with guns</w:t>
      </w:r>
      <w:r w:rsidR="00F37F52">
        <w:t>.  Standing outside the house, the</w:t>
      </w:r>
      <w:r w:rsidR="001E222F">
        <w:t xml:space="preserve"> </w:t>
      </w:r>
      <w:r w:rsidR="0077208D">
        <w:t xml:space="preserve">young </w:t>
      </w:r>
      <w:r w:rsidR="001E222F">
        <w:t>men</w:t>
      </w:r>
      <w:r w:rsidR="00F37F52">
        <w:t xml:space="preserve"> began </w:t>
      </w:r>
      <w:r w:rsidRPr="002C23C4" w:rsidR="00FE3996">
        <w:t>demanding money</w:t>
      </w:r>
      <w:r w:rsidRPr="002C23C4" w:rsidR="00AC7B6E">
        <w:t xml:space="preserve"> from </w:t>
      </w:r>
      <w:r w:rsidRPr="002C23C4" w:rsidR="00330075">
        <w:t xml:space="preserve">several </w:t>
      </w:r>
      <w:r w:rsidRPr="002C23C4" w:rsidR="00AC7B6E">
        <w:t>partygoers</w:t>
      </w:r>
      <w:r w:rsidRPr="002C23C4" w:rsidR="00FE3996">
        <w:t xml:space="preserve">, </w:t>
      </w:r>
      <w:r w:rsidRPr="002C23C4" w:rsidR="00D85762">
        <w:t xml:space="preserve">trying to go through </w:t>
      </w:r>
      <w:r w:rsidRPr="002C23C4" w:rsidR="00AC7B6E">
        <w:t>their</w:t>
      </w:r>
      <w:r w:rsidRPr="002C23C4" w:rsidR="00D85762">
        <w:t xml:space="preserve"> pockets</w:t>
      </w:r>
      <w:r w:rsidRPr="002C23C4" w:rsidR="00875B55">
        <w:t xml:space="preserve"> and snatching </w:t>
      </w:r>
      <w:r w:rsidRPr="002C23C4" w:rsidR="00EF2881">
        <w:t xml:space="preserve">their </w:t>
      </w:r>
      <w:r w:rsidRPr="002C23C4" w:rsidR="00875B55">
        <w:t>purses</w:t>
      </w:r>
      <w:r w:rsidRPr="002C23C4" w:rsidR="00D85762">
        <w:t>.  One of the men</w:t>
      </w:r>
      <w:r w:rsidR="00A81491">
        <w:t xml:space="preserve"> </w:t>
      </w:r>
      <w:r w:rsidRPr="002C23C4" w:rsidR="00AC7B6E">
        <w:t>—</w:t>
      </w:r>
      <w:r w:rsidR="00A81491">
        <w:t xml:space="preserve"> </w:t>
      </w:r>
      <w:r w:rsidRPr="002C23C4" w:rsidR="00AC7B6E">
        <w:t>it is not clear wh</w:t>
      </w:r>
      <w:r w:rsidRPr="002C23C4" w:rsidR="00D32A49">
        <w:t>o</w:t>
      </w:r>
      <w:r w:rsidR="00A81491">
        <w:t xml:space="preserve"> </w:t>
      </w:r>
      <w:r w:rsidRPr="002C23C4" w:rsidR="00AC7B6E">
        <w:t>—</w:t>
      </w:r>
      <w:r w:rsidR="00A81491">
        <w:t xml:space="preserve"> </w:t>
      </w:r>
      <w:r w:rsidRPr="002C23C4" w:rsidR="00BA6F78">
        <w:t xml:space="preserve">then </w:t>
      </w:r>
      <w:r w:rsidRPr="002C23C4" w:rsidR="00AC7B6E">
        <w:t>began</w:t>
      </w:r>
      <w:r w:rsidRPr="002C23C4" w:rsidR="00FE3996">
        <w:t xml:space="preserve"> shooting</w:t>
      </w:r>
      <w:r w:rsidRPr="002C23C4" w:rsidR="002915E1">
        <w:t xml:space="preserve">.  </w:t>
      </w:r>
      <w:r w:rsidRPr="002C23C4" w:rsidR="00CD5F40">
        <w:t>F</w:t>
      </w:r>
      <w:r w:rsidRPr="002C23C4" w:rsidR="002915E1">
        <w:t>ive of the</w:t>
      </w:r>
      <w:r w:rsidRPr="002C23C4" w:rsidR="00CD5F40">
        <w:t xml:space="preserve"> bullets</w:t>
      </w:r>
      <w:r w:rsidRPr="002C23C4" w:rsidR="002915E1">
        <w:t xml:space="preserve"> struck and </w:t>
      </w:r>
      <w:r w:rsidRPr="002C23C4" w:rsidR="00263068">
        <w:t>killed</w:t>
      </w:r>
      <w:r w:rsidRPr="002C23C4" w:rsidR="00D85762">
        <w:t xml:space="preserve"> Zachary Roche-Balsam</w:t>
      </w:r>
      <w:r w:rsidRPr="002C23C4" w:rsidR="002915E1">
        <w:t xml:space="preserve">, </w:t>
      </w:r>
      <w:r w:rsidRPr="002C23C4" w:rsidR="00F236FD">
        <w:t>another partygoer</w:t>
      </w:r>
      <w:r w:rsidRPr="002C23C4" w:rsidR="006421FC">
        <w:t xml:space="preserve"> </w:t>
      </w:r>
      <w:r w:rsidRPr="002C23C4" w:rsidR="00F236FD">
        <w:t xml:space="preserve">who </w:t>
      </w:r>
      <w:r w:rsidRPr="002C23C4" w:rsidR="006421FC">
        <w:t xml:space="preserve">had been </w:t>
      </w:r>
      <w:r w:rsidRPr="002C23C4" w:rsidR="002915E1">
        <w:t>standing in front of the house</w:t>
      </w:r>
      <w:r w:rsidRPr="002C23C4" w:rsidR="00AC7B6E">
        <w:t>.</w:t>
      </w:r>
      <w:r w:rsidRPr="002C23C4" w:rsidR="00FF6293">
        <w:t xml:space="preserve">  </w:t>
      </w:r>
    </w:p>
    <w:p w:rsidR="00F1502E" w:rsidRPr="002C23C4" w:rsidP="00AB174F">
      <w:r w:rsidRPr="002C23C4">
        <w:tab/>
      </w:r>
      <w:r w:rsidR="00B22C3F">
        <w:t xml:space="preserve">Anderson </w:t>
      </w:r>
      <w:r w:rsidRPr="002C23C4" w:rsidR="001F3910">
        <w:t xml:space="preserve">was charged by information </w:t>
      </w:r>
      <w:r w:rsidRPr="002C23C4" w:rsidR="00EB402A">
        <w:t xml:space="preserve">with </w:t>
      </w:r>
      <w:r w:rsidRPr="002C23C4" w:rsidR="004C35E8">
        <w:t xml:space="preserve">the </w:t>
      </w:r>
      <w:r w:rsidRPr="002C23C4" w:rsidR="00790FCC">
        <w:t xml:space="preserve">first degree </w:t>
      </w:r>
      <w:r w:rsidRPr="002C23C4" w:rsidR="00EB402A">
        <w:t>murder</w:t>
      </w:r>
      <w:r w:rsidRPr="002C23C4" w:rsidR="005A6454">
        <w:t xml:space="preserve"> </w:t>
      </w:r>
      <w:r w:rsidRPr="002C23C4" w:rsidR="004C35E8">
        <w:t xml:space="preserve">of Roche-Balsam </w:t>
      </w:r>
      <w:r w:rsidRPr="002C23C4" w:rsidR="005A6454">
        <w:t>(</w:t>
      </w:r>
      <w:bookmarkStart w:id="9" w:name="Psych_Cite_4"/>
      <w:r w:rsidRPr="002C23C4" w:rsidR="00081F65">
        <w:t>Pen</w:t>
      </w:r>
      <w:r w:rsidRPr="002C23C4" w:rsidR="003E7AB9">
        <w:t>.</w:t>
      </w:r>
      <w:r w:rsidRPr="002C23C4" w:rsidR="00081F65">
        <w:t xml:space="preserve"> Code</w:t>
      </w:r>
      <w:r w:rsidRPr="002C23C4" w:rsidR="003E7AB9">
        <w:t>,</w:t>
      </w:r>
      <w:r w:rsidRPr="002C23C4" w:rsidR="00081F65">
        <w:t xml:space="preserve"> </w:t>
      </w:r>
      <w:r w:rsidRPr="002C23C4" w:rsidR="005A6454">
        <w:t>§</w:t>
      </w:r>
      <w:r w:rsidRPr="002C23C4" w:rsidR="003E7AB9">
        <w:t> </w:t>
      </w:r>
      <w:r w:rsidRPr="002C23C4" w:rsidR="005A6454">
        <w:t>187</w:t>
      </w:r>
      <w:bookmarkEnd w:id="9"/>
      <w:r w:rsidRPr="002C23C4" w:rsidR="005A6454">
        <w:t>)</w:t>
      </w:r>
      <w:r w:rsidRPr="002C23C4" w:rsidR="0008159B">
        <w:t xml:space="preserve"> </w:t>
      </w:r>
      <w:r w:rsidRPr="002C23C4" w:rsidR="00F2623E">
        <w:t xml:space="preserve">and </w:t>
      </w:r>
      <w:r w:rsidRPr="002C23C4" w:rsidR="00FF64DE">
        <w:t>active</w:t>
      </w:r>
      <w:r w:rsidRPr="002C23C4" w:rsidR="00EB402A">
        <w:t xml:space="preserve"> participation in a street gang</w:t>
      </w:r>
      <w:r w:rsidRPr="002C23C4" w:rsidR="005A6454">
        <w:t xml:space="preserve"> (</w:t>
      </w:r>
      <w:bookmarkStart w:id="10" w:name="Psych_Cite_5"/>
      <w:r w:rsidRPr="002C23C4" w:rsidR="00081F65">
        <w:rPr>
          <w:i/>
        </w:rPr>
        <w:t>id.</w:t>
      </w:r>
      <w:r w:rsidRPr="002C23C4" w:rsidR="00081F65">
        <w:t xml:space="preserve">, </w:t>
      </w:r>
      <w:r w:rsidRPr="002C23C4" w:rsidR="005A6454">
        <w:t>§</w:t>
      </w:r>
      <w:r w:rsidRPr="002C23C4" w:rsidR="003E7AB9">
        <w:t> </w:t>
      </w:r>
      <w:r w:rsidRPr="002C23C4" w:rsidR="005A6454">
        <w:t>186.22, subd</w:t>
      </w:r>
      <w:bookmarkEnd w:id="10"/>
      <w:r w:rsidRPr="002C23C4" w:rsidR="005A6454">
        <w:t>. (a)</w:t>
      </w:r>
      <w:r w:rsidRPr="002C23C4" w:rsidR="00F2623E">
        <w:t>)</w:t>
      </w:r>
      <w:r w:rsidRPr="002C23C4" w:rsidR="00363586">
        <w:t>.</w:t>
      </w:r>
      <w:r w:rsidRPr="002C23C4" w:rsidR="00F2623E">
        <w:t xml:space="preserve">  Based on the robberies of other partygoers,</w:t>
      </w:r>
      <w:r w:rsidR="00B22C3F">
        <w:t xml:space="preserve"> Anderson </w:t>
      </w:r>
      <w:r w:rsidRPr="002C23C4" w:rsidR="00AD3CAE">
        <w:t xml:space="preserve">was </w:t>
      </w:r>
      <w:r w:rsidRPr="002C23C4" w:rsidR="00E77754">
        <w:t xml:space="preserve">originally </w:t>
      </w:r>
      <w:r w:rsidRPr="002C23C4" w:rsidR="00AD3CAE">
        <w:t xml:space="preserve">charged with </w:t>
      </w:r>
      <w:r w:rsidRPr="002C23C4" w:rsidR="00812902">
        <w:t xml:space="preserve">four </w:t>
      </w:r>
      <w:r w:rsidRPr="002C23C4" w:rsidR="002665D5">
        <w:t xml:space="preserve">counts of </w:t>
      </w:r>
      <w:r w:rsidRPr="002C23C4" w:rsidR="00EB402A">
        <w:t>second degree robbery</w:t>
      </w:r>
      <w:r w:rsidRPr="002C23C4" w:rsidR="004C35E8">
        <w:t xml:space="preserve"> </w:t>
      </w:r>
      <w:r w:rsidRPr="002C23C4" w:rsidR="005A6454">
        <w:t>(</w:t>
      </w:r>
      <w:bookmarkStart w:id="11" w:name="Psych_Cite_6"/>
      <w:r w:rsidRPr="002C23C4" w:rsidR="00081F65">
        <w:rPr>
          <w:i/>
        </w:rPr>
        <w:t>id.</w:t>
      </w:r>
      <w:r w:rsidRPr="002C23C4" w:rsidR="00081F65">
        <w:t xml:space="preserve">, </w:t>
      </w:r>
      <w:r w:rsidRPr="002C23C4" w:rsidR="005A6454">
        <w:t>§</w:t>
      </w:r>
      <w:r w:rsidRPr="002C23C4" w:rsidR="003E7AB9">
        <w:t> </w:t>
      </w:r>
      <w:r w:rsidRPr="002C23C4" w:rsidR="005A6454">
        <w:t>212.5, subd</w:t>
      </w:r>
      <w:bookmarkEnd w:id="11"/>
      <w:r w:rsidRPr="002C23C4" w:rsidR="005A6454">
        <w:t>. (c))</w:t>
      </w:r>
      <w:r w:rsidRPr="002C23C4" w:rsidR="00812902">
        <w:t>, including two completed robberies and two attempts</w:t>
      </w:r>
      <w:r w:rsidRPr="002C23C4" w:rsidR="005A6454">
        <w:t xml:space="preserve"> (</w:t>
      </w:r>
      <w:bookmarkStart w:id="12" w:name="Psych_Cite_7"/>
      <w:r w:rsidRPr="002C23C4" w:rsidR="00081F65">
        <w:rPr>
          <w:i/>
        </w:rPr>
        <w:t>id.</w:t>
      </w:r>
      <w:r w:rsidRPr="002C23C4" w:rsidR="00081F65">
        <w:t xml:space="preserve">, </w:t>
      </w:r>
      <w:r w:rsidRPr="002C23C4" w:rsidR="005A6454">
        <w:t>§§</w:t>
      </w:r>
      <w:r w:rsidRPr="002C23C4" w:rsidR="003E7AB9">
        <w:t> </w:t>
      </w:r>
      <w:r w:rsidRPr="002C23C4" w:rsidR="005A6454">
        <w:t>664, 212.5, subd</w:t>
      </w:r>
      <w:bookmarkEnd w:id="12"/>
      <w:r w:rsidRPr="002C23C4" w:rsidR="005A6454">
        <w:t>. (c)</w:t>
      </w:r>
      <w:r w:rsidRPr="002C23C4" w:rsidR="006D00F2">
        <w:t>)</w:t>
      </w:r>
      <w:r w:rsidRPr="002C23C4" w:rsidR="00363586">
        <w:t>.</w:t>
      </w:r>
      <w:r w:rsidRPr="002C23C4" w:rsidR="006D00F2">
        <w:t xml:space="preserve">  Finally</w:t>
      </w:r>
      <w:r w:rsidRPr="002C23C4" w:rsidR="0008159B">
        <w:t xml:space="preserve">, </w:t>
      </w:r>
      <w:r w:rsidR="00B22C3F">
        <w:t xml:space="preserve">Anderson </w:t>
      </w:r>
      <w:r w:rsidRPr="002C23C4" w:rsidR="0008159B">
        <w:t>was charged with</w:t>
      </w:r>
      <w:r w:rsidRPr="002C23C4" w:rsidR="00A15E38">
        <w:t xml:space="preserve"> </w:t>
      </w:r>
      <w:r w:rsidRPr="002C23C4" w:rsidR="00EB402A">
        <w:t>conspiracy to commit second degree robbery</w:t>
      </w:r>
      <w:r w:rsidRPr="002C23C4" w:rsidR="005A6454">
        <w:t xml:space="preserve"> (</w:t>
      </w:r>
      <w:bookmarkStart w:id="13" w:name="Psych_Cite_8"/>
      <w:r w:rsidRPr="002C23C4" w:rsidR="00081F65">
        <w:rPr>
          <w:i/>
        </w:rPr>
        <w:t>id.</w:t>
      </w:r>
      <w:r w:rsidRPr="002C23C4" w:rsidR="00081F65">
        <w:t xml:space="preserve">, </w:t>
      </w:r>
      <w:r w:rsidRPr="002C23C4" w:rsidR="005A6454">
        <w:t>§§</w:t>
      </w:r>
      <w:r w:rsidRPr="002C23C4" w:rsidR="003E7AB9">
        <w:t> </w:t>
      </w:r>
      <w:r w:rsidRPr="002C23C4" w:rsidR="005A6454">
        <w:t>182, subd</w:t>
      </w:r>
      <w:bookmarkEnd w:id="13"/>
      <w:r w:rsidRPr="002C23C4" w:rsidR="005A6454">
        <w:t>. (a)(1), 212.5, subd. (b))</w:t>
      </w:r>
      <w:r w:rsidRPr="002C23C4" w:rsidR="0008159B">
        <w:t xml:space="preserve"> </w:t>
      </w:r>
      <w:r w:rsidRPr="002C23C4" w:rsidR="00EB402A">
        <w:t>and</w:t>
      </w:r>
      <w:r w:rsidRPr="002C23C4" w:rsidR="002665D5">
        <w:t xml:space="preserve"> two counts of</w:t>
      </w:r>
      <w:r w:rsidRPr="002C23C4" w:rsidR="00EB402A">
        <w:t xml:space="preserve"> discharging a firearm at an inhabited dwelling</w:t>
      </w:r>
      <w:r w:rsidRPr="002C23C4" w:rsidR="005A6454">
        <w:t xml:space="preserve"> (</w:t>
      </w:r>
      <w:bookmarkStart w:id="14" w:name="Psych_Cite_9"/>
      <w:r w:rsidRPr="002C23C4" w:rsidR="00081F65">
        <w:rPr>
          <w:i/>
        </w:rPr>
        <w:t>id.</w:t>
      </w:r>
      <w:r w:rsidRPr="002C23C4" w:rsidR="00081F65">
        <w:t xml:space="preserve">, </w:t>
      </w:r>
      <w:r w:rsidRPr="002C23C4" w:rsidR="00071B3E">
        <w:t>§</w:t>
      </w:r>
      <w:r w:rsidRPr="002C23C4" w:rsidR="003E7AB9">
        <w:t> </w:t>
      </w:r>
      <w:r w:rsidRPr="002C23C4" w:rsidR="00071B3E">
        <w:t>246</w:t>
      </w:r>
      <w:bookmarkEnd w:id="14"/>
      <w:r w:rsidRPr="002C23C4" w:rsidR="00071B3E">
        <w:t>)</w:t>
      </w:r>
      <w:r w:rsidRPr="002C23C4" w:rsidR="00EB402A">
        <w:t>.</w:t>
      </w:r>
      <w:r w:rsidR="00B2638F">
        <w:t xml:space="preserve">  </w:t>
      </w:r>
      <w:r w:rsidRPr="002C23C4" w:rsidR="00812902">
        <w:t>During trial, the prosecution successfully moved to amend the original information to add an</w:t>
      </w:r>
      <w:r w:rsidR="00957F69">
        <w:t>other</w:t>
      </w:r>
      <w:r w:rsidRPr="002C23C4" w:rsidR="00812902">
        <w:t xml:space="preserve"> </w:t>
      </w:r>
      <w:r w:rsidR="001E222F">
        <w:t xml:space="preserve">attempted </w:t>
      </w:r>
      <w:r w:rsidRPr="002C23C4" w:rsidR="00812902">
        <w:t>robbery count</w:t>
      </w:r>
      <w:r w:rsidR="001E222F">
        <w:t>,</w:t>
      </w:r>
      <w:r w:rsidRPr="002C23C4" w:rsidR="00F0155F">
        <w:t xml:space="preserve"> for a total of five robbery counts</w:t>
      </w:r>
      <w:r w:rsidRPr="002C23C4" w:rsidR="00812902">
        <w:t xml:space="preserve">. </w:t>
      </w:r>
      <w:r w:rsidR="00960E6C">
        <w:t xml:space="preserve"> </w:t>
      </w:r>
      <w:r w:rsidRPr="002C23C4" w:rsidR="00E77754">
        <w:t xml:space="preserve">Other than the additional robbery count </w:t>
      </w:r>
      <w:r w:rsidR="00507694">
        <w:t>(</w:t>
      </w:r>
      <w:r w:rsidRPr="002C23C4" w:rsidR="00E77754">
        <w:t>and the enhancements attached to it</w:t>
      </w:r>
      <w:r w:rsidR="00507694">
        <w:t xml:space="preserve">, </w:t>
      </w:r>
      <w:r w:rsidR="00545BD4">
        <w:t xml:space="preserve">which are </w:t>
      </w:r>
      <w:r w:rsidR="00507694">
        <w:t>described further below)</w:t>
      </w:r>
      <w:r w:rsidRPr="002C23C4" w:rsidR="00E77754">
        <w:t xml:space="preserve">, this first amended information was substantively identical to the original.  </w:t>
      </w:r>
    </w:p>
    <w:p w:rsidR="000F62FE" w:rsidRPr="002C23C4" w:rsidP="00AB174F">
      <w:r w:rsidRPr="002C23C4">
        <w:tab/>
      </w:r>
      <w:r w:rsidR="00545BD4">
        <w:t xml:space="preserve">For each of the </w:t>
      </w:r>
      <w:r w:rsidR="00276210">
        <w:t>substantive offenses charged, t</w:t>
      </w:r>
      <w:r w:rsidRPr="002C23C4" w:rsidR="00974194">
        <w:t>h</w:t>
      </w:r>
      <w:r w:rsidRPr="002C23C4" w:rsidR="00E77754">
        <w:t xml:space="preserve">e </w:t>
      </w:r>
      <w:r w:rsidRPr="002C23C4" w:rsidR="00974194">
        <w:t xml:space="preserve">information alleged </w:t>
      </w:r>
      <w:r w:rsidRPr="002C23C4" w:rsidR="001858D7">
        <w:t xml:space="preserve">various </w:t>
      </w:r>
      <w:r w:rsidRPr="002C23C4" w:rsidR="002F6C79">
        <w:t>sentenc</w:t>
      </w:r>
      <w:r w:rsidRPr="002C23C4" w:rsidR="00A47CE5">
        <w:t>e</w:t>
      </w:r>
      <w:r w:rsidRPr="002C23C4" w:rsidR="002F6C79">
        <w:t xml:space="preserve"> </w:t>
      </w:r>
      <w:r w:rsidRPr="002C23C4" w:rsidR="00974194">
        <w:t>enhancements</w:t>
      </w:r>
      <w:r w:rsidRPr="002C23C4" w:rsidR="00AF32C0">
        <w:t xml:space="preserve">.  </w:t>
      </w:r>
      <w:r w:rsidRPr="002C23C4" w:rsidR="00166241">
        <w:t xml:space="preserve">This case concerns </w:t>
      </w:r>
      <w:r w:rsidRPr="002C23C4" w:rsidR="00EF20CA">
        <w:t xml:space="preserve">firearm </w:t>
      </w:r>
      <w:r w:rsidRPr="002C23C4" w:rsidR="00166241">
        <w:t xml:space="preserve">enhancements </w:t>
      </w:r>
      <w:r w:rsidRPr="002C23C4" w:rsidR="00EF20CA">
        <w:t xml:space="preserve">under </w:t>
      </w:r>
      <w:bookmarkStart w:id="15" w:name="Psych_Cite_10"/>
      <w:r w:rsidRPr="002C23C4" w:rsidR="005C29FC">
        <w:t>Penal Code</w:t>
      </w:r>
      <w:r w:rsidRPr="002C23C4" w:rsidR="00166241">
        <w:t xml:space="preserve"> </w:t>
      </w:r>
      <w:r w:rsidRPr="002C23C4" w:rsidR="001858D7">
        <w:t>section 12022.53</w:t>
      </w:r>
      <w:r w:rsidR="00A229A3">
        <w:t xml:space="preserve"> (section 12022.53)</w:t>
      </w:r>
      <w:bookmarkEnd w:id="15"/>
      <w:r w:rsidRPr="002C23C4" w:rsidR="005C29FC">
        <w:t>.  That provision “</w:t>
      </w:r>
      <w:bookmarkStart w:id="16" w:name="QUOTE_BOOKMARK_IS_CONFIRMED_1"/>
      <w:r w:rsidR="005D0673">
        <w:t xml:space="preserve">imposes sentence </w:t>
      </w:r>
      <w:r w:rsidR="005D0673">
        <w:t>enhancements for firearm use applicable to certain enumerated felonies.  [Citations.]  These enhancements vary in length, corresponding to various uses of a firearm.</w:t>
      </w:r>
      <w:bookmarkEnd w:id="16"/>
      <w:r w:rsidRPr="002C23C4" w:rsidR="005C29FC">
        <w:t>”  (</w:t>
      </w:r>
      <w:bookmarkStart w:id="17" w:name="Psych_Cite_13"/>
      <w:r w:rsidRPr="002C23C4" w:rsidR="005C29FC">
        <w:rPr>
          <w:i/>
        </w:rPr>
        <w:t>People v. Garcia</w:t>
      </w:r>
      <w:r w:rsidRPr="002C23C4" w:rsidR="005C29FC">
        <w:t xml:space="preserve"> (2002) 28 Cal.4th 1166, 1171</w:t>
      </w:r>
      <w:bookmarkEnd w:id="17"/>
      <w:r w:rsidRPr="002C23C4" w:rsidR="005C29FC">
        <w:t>.)  I</w:t>
      </w:r>
      <w:r w:rsidRPr="002C23C4" w:rsidR="00142088">
        <w:t xml:space="preserve">n connection </w:t>
      </w:r>
      <w:r w:rsidRPr="002C23C4" w:rsidR="00AF32C0">
        <w:t xml:space="preserve">with the murder count, which was </w:t>
      </w:r>
      <w:r w:rsidRPr="002C23C4" w:rsidR="00C02EC3">
        <w:t>c</w:t>
      </w:r>
      <w:r w:rsidRPr="002C23C4" w:rsidR="00AF32C0">
        <w:t xml:space="preserve">ount 1, </w:t>
      </w:r>
      <w:r w:rsidRPr="002C23C4" w:rsidR="00A5153A">
        <w:t xml:space="preserve">the </w:t>
      </w:r>
      <w:r w:rsidRPr="002C23C4" w:rsidR="00E77754">
        <w:t xml:space="preserve">first amended </w:t>
      </w:r>
      <w:r w:rsidRPr="002C23C4" w:rsidR="00A5153A">
        <w:t xml:space="preserve">information alleged </w:t>
      </w:r>
      <w:r w:rsidR="00B22C3F">
        <w:t xml:space="preserve">Anderson </w:t>
      </w:r>
      <w:r w:rsidRPr="002C23C4" w:rsidR="00A05ACF">
        <w:t xml:space="preserve">was </w:t>
      </w:r>
      <w:r w:rsidRPr="002C23C4" w:rsidR="00A5153A">
        <w:t xml:space="preserve">subject to a 25-year-to-life enhancement </w:t>
      </w:r>
      <w:r w:rsidRPr="002C23C4" w:rsidR="00B819E4">
        <w:t xml:space="preserve">based on vicarious liability for </w:t>
      </w:r>
      <w:r w:rsidRPr="002C23C4" w:rsidR="00113A3F">
        <w:t xml:space="preserve">the injurious discharge of a firearm by a </w:t>
      </w:r>
      <w:r w:rsidRPr="002C23C4" w:rsidR="00B819E4">
        <w:t xml:space="preserve">coparticipant in a gang-related </w:t>
      </w:r>
      <w:r w:rsidRPr="002C23C4" w:rsidR="00C01141">
        <w:t>offense</w:t>
      </w:r>
      <w:r w:rsidRPr="002C23C4" w:rsidR="00990EE8">
        <w:t>.</w:t>
      </w:r>
      <w:r w:rsidRPr="002C23C4" w:rsidR="00C01141">
        <w:t xml:space="preserve"> </w:t>
      </w:r>
      <w:r w:rsidRPr="002C23C4" w:rsidR="00990EE8">
        <w:t xml:space="preserve"> </w:t>
      </w:r>
      <w:r w:rsidRPr="002C23C4" w:rsidR="00D6603E">
        <w:t>(</w:t>
      </w:r>
      <w:bookmarkStart w:id="18" w:name="Psych_Cite_11"/>
      <w:r w:rsidRPr="002C23C4" w:rsidR="00D6603E">
        <w:t>§</w:t>
      </w:r>
      <w:r w:rsidRPr="002C23C4" w:rsidR="003E7AB9">
        <w:t> </w:t>
      </w:r>
      <w:r w:rsidRPr="002C23C4" w:rsidR="00D6603E">
        <w:t>12022.53, subd</w:t>
      </w:r>
      <w:bookmarkEnd w:id="18"/>
      <w:r w:rsidRPr="002C23C4" w:rsidR="00D6603E">
        <w:t>s. (d)</w:t>
      </w:r>
      <w:r w:rsidRPr="002C23C4" w:rsidR="00950FE6">
        <w:t>,</w:t>
      </w:r>
      <w:r w:rsidRPr="002C23C4" w:rsidR="00D6603E">
        <w:t xml:space="preserve"> (e)</w:t>
      </w:r>
      <w:r w:rsidRPr="002C23C4" w:rsidR="00990EE8">
        <w:t>.</w:t>
      </w:r>
      <w:r w:rsidRPr="002C23C4" w:rsidR="00D6603E">
        <w:t xml:space="preserve">)  </w:t>
      </w:r>
      <w:r w:rsidRPr="002C23C4" w:rsidR="0061409D">
        <w:t>B</w:t>
      </w:r>
      <w:r w:rsidRPr="002C23C4" w:rsidR="00662294">
        <w:t>y contrast, i</w:t>
      </w:r>
      <w:r w:rsidRPr="002C23C4" w:rsidR="00B30309">
        <w:t xml:space="preserve">n connection with </w:t>
      </w:r>
      <w:r w:rsidRPr="002C23C4" w:rsidR="00147B8B">
        <w:t xml:space="preserve">each of </w:t>
      </w:r>
      <w:r w:rsidRPr="002C23C4" w:rsidR="00B30309">
        <w:t xml:space="preserve">the </w:t>
      </w:r>
      <w:r w:rsidRPr="002C23C4" w:rsidR="0028344D">
        <w:t>robbery counts</w:t>
      </w:r>
      <w:r w:rsidRPr="002C23C4" w:rsidR="00B30309">
        <w:t xml:space="preserve">, which were </w:t>
      </w:r>
      <w:r w:rsidRPr="002C23C4" w:rsidR="00C02EC3">
        <w:t>c</w:t>
      </w:r>
      <w:r w:rsidRPr="002C23C4" w:rsidR="00B30309">
        <w:t xml:space="preserve">ounts 3 through 7, </w:t>
      </w:r>
      <w:r w:rsidRPr="002C23C4" w:rsidR="0028344D">
        <w:t>the</w:t>
      </w:r>
      <w:r w:rsidRPr="002C23C4" w:rsidR="00E77754">
        <w:t xml:space="preserve"> </w:t>
      </w:r>
      <w:r w:rsidRPr="002C23C4" w:rsidR="0028344D">
        <w:t xml:space="preserve">information </w:t>
      </w:r>
      <w:r w:rsidRPr="002C23C4" w:rsidR="00D6603E">
        <w:t xml:space="preserve">alleged </w:t>
      </w:r>
      <w:r w:rsidRPr="002C23C4" w:rsidR="00EF2881">
        <w:t>two personal use firearm enhancements</w:t>
      </w:r>
      <w:r w:rsidR="006C05C7">
        <w:t xml:space="preserve"> </w:t>
      </w:r>
      <w:r w:rsidRPr="002C23C4" w:rsidR="00EF2881">
        <w:t>—</w:t>
      </w:r>
      <w:r w:rsidR="006C05C7">
        <w:t xml:space="preserve"> </w:t>
      </w:r>
      <w:r w:rsidRPr="002C23C4" w:rsidR="00EF2881">
        <w:t xml:space="preserve">one </w:t>
      </w:r>
      <w:r w:rsidRPr="002C23C4" w:rsidR="00D6603E">
        <w:t xml:space="preserve">a 10-year enhancement </w:t>
      </w:r>
      <w:r w:rsidRPr="002C23C4" w:rsidR="00EF2881">
        <w:t>(</w:t>
      </w:r>
      <w:bookmarkStart w:id="19" w:name="Psych_Cite_12"/>
      <w:r w:rsidRPr="002C23C4" w:rsidR="00721D7E">
        <w:rPr>
          <w:i/>
        </w:rPr>
        <w:t>i</w:t>
      </w:r>
      <w:r w:rsidRPr="002C23C4" w:rsidR="00EF2881">
        <w:rPr>
          <w:i/>
        </w:rPr>
        <w:t>d.</w:t>
      </w:r>
      <w:r w:rsidRPr="002C23C4" w:rsidR="00EF2881">
        <w:t>, su</w:t>
      </w:r>
      <w:bookmarkEnd w:id="19"/>
      <w:r w:rsidRPr="002C23C4" w:rsidR="00EF2881">
        <w:t xml:space="preserve">bd. (b)) and the other a </w:t>
      </w:r>
      <w:r w:rsidR="007214DE">
        <w:t>three</w:t>
      </w:r>
      <w:r w:rsidRPr="002C23C4" w:rsidR="00EF2881">
        <w:t xml:space="preserve">-, </w:t>
      </w:r>
      <w:r w:rsidR="007214DE">
        <w:t>four</w:t>
      </w:r>
      <w:r w:rsidRPr="002C23C4" w:rsidR="00EF2881">
        <w:t>-, or 10-year enhancement (</w:t>
      </w:r>
      <w:r w:rsidR="006C23AB">
        <w:rPr>
          <w:i/>
        </w:rPr>
        <w:t>id.</w:t>
      </w:r>
      <w:r w:rsidRPr="002C23C4" w:rsidR="003E7AB9">
        <w:t>,</w:t>
      </w:r>
      <w:r w:rsidRPr="002C23C4" w:rsidR="00EF2881">
        <w:t xml:space="preserve"> §</w:t>
      </w:r>
      <w:r w:rsidRPr="002C23C4" w:rsidR="003E7AB9">
        <w:t> </w:t>
      </w:r>
      <w:r w:rsidRPr="002C23C4" w:rsidR="00EF2881">
        <w:t>12022.5</w:t>
      </w:r>
      <w:r w:rsidRPr="002C23C4" w:rsidR="00721D7E">
        <w:t xml:space="preserve">, subd. </w:t>
      </w:r>
      <w:r w:rsidRPr="002C23C4" w:rsidR="00EF2881">
        <w:t>(a))</w:t>
      </w:r>
      <w:r w:rsidRPr="002C23C4" w:rsidR="00CD4C6E">
        <w:t xml:space="preserve">.  </w:t>
      </w:r>
      <w:r w:rsidRPr="002C23C4" w:rsidR="001020E1">
        <w:t>None of the five</w:t>
      </w:r>
      <w:r w:rsidRPr="002C23C4" w:rsidR="00025204">
        <w:t xml:space="preserve"> robbery</w:t>
      </w:r>
      <w:r w:rsidRPr="002C23C4" w:rsidR="001020E1">
        <w:t xml:space="preserve"> counts </w:t>
      </w:r>
      <w:r w:rsidRPr="002C23C4" w:rsidR="00DF1F84">
        <w:t xml:space="preserve">included </w:t>
      </w:r>
      <w:r w:rsidRPr="002C23C4" w:rsidR="00025204">
        <w:t xml:space="preserve">a </w:t>
      </w:r>
      <w:r w:rsidRPr="002C23C4" w:rsidR="001020E1">
        <w:t>25-</w:t>
      </w:r>
      <w:r w:rsidR="006C05C7">
        <w:t>year-</w:t>
      </w:r>
      <w:r w:rsidRPr="002C23C4" w:rsidR="001020E1">
        <w:t xml:space="preserve">to-life </w:t>
      </w:r>
      <w:r w:rsidRPr="002C23C4" w:rsidR="00025204">
        <w:t xml:space="preserve">vicarious firearm </w:t>
      </w:r>
      <w:r w:rsidR="0029567E">
        <w:t xml:space="preserve">discharge </w:t>
      </w:r>
      <w:r w:rsidRPr="002C23C4" w:rsidR="001020E1">
        <w:t xml:space="preserve">enhancement </w:t>
      </w:r>
      <w:r w:rsidR="00A01A91">
        <w:t xml:space="preserve">allegation </w:t>
      </w:r>
      <w:r w:rsidRPr="002C23C4" w:rsidR="0028344D">
        <w:t xml:space="preserve">under </w:t>
      </w:r>
      <w:bookmarkStart w:id="20" w:name="Psych_Cite_15"/>
      <w:r w:rsidRPr="002C23C4" w:rsidR="0028344D">
        <w:t>section 12022.53</w:t>
      </w:r>
      <w:r w:rsidR="00641626">
        <w:t xml:space="preserve">, subdivision </w:t>
      </w:r>
      <w:r w:rsidRPr="002C23C4" w:rsidR="0028344D">
        <w:t>(e)</w:t>
      </w:r>
      <w:bookmarkStart w:id="21" w:name="_Hlk43814287"/>
      <w:r w:rsidR="00641626">
        <w:t xml:space="preserve"> (section 12022.53(e</w:t>
      </w:r>
      <w:bookmarkEnd w:id="20"/>
      <w:r w:rsidR="00641626">
        <w:t>))</w:t>
      </w:r>
      <w:r w:rsidRPr="002C23C4" w:rsidR="0028344D">
        <w:t xml:space="preserve">.  </w:t>
      </w:r>
      <w:bookmarkEnd w:id="21"/>
    </w:p>
    <w:p w:rsidR="0012628C" w:rsidRPr="002C23C4" w:rsidP="00AB174F">
      <w:r w:rsidRPr="002C23C4">
        <w:tab/>
      </w:r>
      <w:r w:rsidRPr="002C23C4" w:rsidR="007530B3">
        <w:t>Before trial, t</w:t>
      </w:r>
      <w:r w:rsidRPr="002C23C4" w:rsidR="004C1F9B">
        <w:t>he prosecution</w:t>
      </w:r>
      <w:r w:rsidRPr="002C23C4">
        <w:t xml:space="preserve"> offered </w:t>
      </w:r>
      <w:r w:rsidRPr="002C23C4" w:rsidR="002469EE">
        <w:t xml:space="preserve">to strike all charges and enhancements if </w:t>
      </w:r>
      <w:r w:rsidR="00135D5E">
        <w:t>Anderson</w:t>
      </w:r>
      <w:r w:rsidRPr="002C23C4" w:rsidR="004C1F9B">
        <w:t xml:space="preserve"> </w:t>
      </w:r>
      <w:r w:rsidRPr="002C23C4" w:rsidR="001F4CF8">
        <w:t>plead</w:t>
      </w:r>
      <w:r w:rsidRPr="002C23C4" w:rsidR="002469EE">
        <w:t>ed</w:t>
      </w:r>
      <w:r w:rsidRPr="002C23C4" w:rsidR="001F4CF8">
        <w:t xml:space="preserve"> guilty</w:t>
      </w:r>
      <w:r w:rsidRPr="002C23C4">
        <w:t xml:space="preserve"> to</w:t>
      </w:r>
      <w:r w:rsidRPr="002C23C4" w:rsidR="001F4CF8">
        <w:t xml:space="preserve"> second degree murder with </w:t>
      </w:r>
      <w:r w:rsidRPr="002C23C4" w:rsidR="00A560A5">
        <w:t xml:space="preserve">a </w:t>
      </w:r>
      <w:r w:rsidRPr="002C23C4" w:rsidR="00081F65">
        <w:t>15</w:t>
      </w:r>
      <w:r w:rsidRPr="002C23C4" w:rsidR="00A560A5">
        <w:t>-</w:t>
      </w:r>
      <w:r w:rsidRPr="002C23C4">
        <w:t>year</w:t>
      </w:r>
      <w:r w:rsidRPr="002C23C4" w:rsidR="00A560A5">
        <w:t>-</w:t>
      </w:r>
      <w:r w:rsidRPr="002C23C4" w:rsidR="001F4CF8">
        <w:t>to</w:t>
      </w:r>
      <w:r w:rsidRPr="002C23C4" w:rsidR="00A560A5">
        <w:t>-</w:t>
      </w:r>
      <w:r w:rsidRPr="002C23C4" w:rsidR="001F4CF8">
        <w:t>life</w:t>
      </w:r>
      <w:r w:rsidRPr="002C23C4" w:rsidR="005742D2">
        <w:t xml:space="preserve"> penalty</w:t>
      </w:r>
      <w:r w:rsidRPr="002C23C4">
        <w:t>,</w:t>
      </w:r>
      <w:r w:rsidRPr="002C23C4" w:rsidR="001F4CF8">
        <w:t xml:space="preserve"> as well as to one </w:t>
      </w:r>
      <w:r w:rsidRPr="002C23C4" w:rsidR="002E36BB">
        <w:t xml:space="preserve">count of </w:t>
      </w:r>
      <w:r w:rsidRPr="002C23C4" w:rsidR="001F4CF8">
        <w:t>robbery and one count of being an active participant in a street gang</w:t>
      </w:r>
      <w:r w:rsidRPr="002C23C4" w:rsidR="004F7E7B">
        <w:t xml:space="preserve">.  </w:t>
      </w:r>
      <w:r w:rsidR="00B22C3F">
        <w:t xml:space="preserve">Anderson </w:t>
      </w:r>
      <w:r w:rsidRPr="002C23C4" w:rsidR="005742D2">
        <w:t>rejected the deal</w:t>
      </w:r>
      <w:r w:rsidRPr="002C23C4" w:rsidR="001F4CF8">
        <w:t xml:space="preserve">.  </w:t>
      </w:r>
      <w:r w:rsidRPr="002C23C4" w:rsidR="00843FAD">
        <w:t>At that time, t</w:t>
      </w:r>
      <w:r w:rsidRPr="002C23C4" w:rsidR="00E27B5D">
        <w:t xml:space="preserve">he prosecutor </w:t>
      </w:r>
      <w:r w:rsidRPr="002C23C4" w:rsidR="00843FAD">
        <w:t>stated</w:t>
      </w:r>
      <w:r w:rsidRPr="002C23C4" w:rsidR="00E27B5D">
        <w:t xml:space="preserve"> in open court that</w:t>
      </w:r>
      <w:r w:rsidRPr="002C23C4" w:rsidR="00FE2CBE">
        <w:t>, by his calculations,</w:t>
      </w:r>
      <w:r w:rsidRPr="002C23C4" w:rsidR="00912B7A">
        <w:t xml:space="preserve"> </w:t>
      </w:r>
      <w:r w:rsidR="00B22C3F">
        <w:t>Anderson</w:t>
      </w:r>
      <w:r w:rsidRPr="002C23C4" w:rsidR="00DC15E4">
        <w:t>,</w:t>
      </w:r>
      <w:r w:rsidRPr="002C23C4" w:rsidR="001871DD">
        <w:t xml:space="preserve"> then age </w:t>
      </w:r>
      <w:bookmarkStart w:id="22" w:name="Psych_Cite_17"/>
      <w:r w:rsidRPr="002C23C4" w:rsidR="001871DD">
        <w:t>25,</w:t>
      </w:r>
      <w:r w:rsidRPr="002C23C4">
        <w:t xml:space="preserve"> fac</w:t>
      </w:r>
      <w:bookmarkEnd w:id="22"/>
      <w:r w:rsidRPr="002C23C4">
        <w:t xml:space="preserve">ed </w:t>
      </w:r>
      <w:r w:rsidRPr="002C23C4" w:rsidR="009479F6">
        <w:t xml:space="preserve">approximately </w:t>
      </w:r>
      <w:r w:rsidRPr="002C23C4">
        <w:t xml:space="preserve">“60 years to life or more” if he </w:t>
      </w:r>
      <w:r w:rsidRPr="002C23C4" w:rsidR="0081202E">
        <w:t>lost</w:t>
      </w:r>
      <w:r w:rsidRPr="002C23C4" w:rsidR="007530B3">
        <w:t xml:space="preserve"> at</w:t>
      </w:r>
      <w:r w:rsidRPr="002C23C4">
        <w:t xml:space="preserve"> trial</w:t>
      </w:r>
      <w:r w:rsidR="00A81491">
        <w:t xml:space="preserve"> </w:t>
      </w:r>
      <w:r w:rsidRPr="002C23C4" w:rsidR="005B4537">
        <w:t>—</w:t>
      </w:r>
      <w:r w:rsidR="00A81491">
        <w:t xml:space="preserve"> </w:t>
      </w:r>
      <w:r w:rsidRPr="002C23C4" w:rsidR="00C56493">
        <w:t xml:space="preserve">a calculation </w:t>
      </w:r>
      <w:r w:rsidRPr="002C23C4" w:rsidR="001471C2">
        <w:t>apparently</w:t>
      </w:r>
      <w:r w:rsidRPr="002C23C4" w:rsidR="00C56493">
        <w:t xml:space="preserve"> based </w:t>
      </w:r>
      <w:r w:rsidRPr="002C23C4" w:rsidR="007D2FDD">
        <w:t xml:space="preserve">on </w:t>
      </w:r>
      <w:r w:rsidRPr="002C23C4" w:rsidR="00E30E05">
        <w:t xml:space="preserve">the premise </w:t>
      </w:r>
      <w:r w:rsidRPr="002C23C4" w:rsidR="007E322D">
        <w:t xml:space="preserve">that </w:t>
      </w:r>
      <w:r w:rsidR="00135D5E">
        <w:t>Anderson</w:t>
      </w:r>
      <w:r w:rsidRPr="002C23C4" w:rsidR="007E322D">
        <w:t xml:space="preserve"> faced only one </w:t>
      </w:r>
      <w:r w:rsidRPr="002C23C4">
        <w:t>25</w:t>
      </w:r>
      <w:r w:rsidRPr="002C23C4" w:rsidR="002E36BB">
        <w:t>-</w:t>
      </w:r>
      <w:r w:rsidR="00641626">
        <w:t>year-</w:t>
      </w:r>
      <w:r w:rsidRPr="002C23C4">
        <w:t>to-life enhancement</w:t>
      </w:r>
      <w:r w:rsidR="0040245B">
        <w:t>, the enhancement alleged in connection with the murder count.</w:t>
      </w:r>
      <w:r w:rsidRPr="002C23C4">
        <w:t xml:space="preserve">  </w:t>
      </w:r>
    </w:p>
    <w:p w:rsidR="003079D0" w:rsidRPr="002C23C4" w:rsidP="00AB174F">
      <w:r w:rsidRPr="002C23C4">
        <w:tab/>
      </w:r>
      <w:r w:rsidRPr="002C23C4" w:rsidR="005562B1">
        <w:t xml:space="preserve">At trial, the evidence </w:t>
      </w:r>
      <w:r w:rsidRPr="002C23C4" w:rsidR="00455BFF">
        <w:t>connected</w:t>
      </w:r>
      <w:r w:rsidRPr="002C23C4" w:rsidR="002634C9">
        <w:t xml:space="preserve"> </w:t>
      </w:r>
      <w:r w:rsidR="00B22C3F">
        <w:t>Anderson</w:t>
      </w:r>
      <w:r w:rsidRPr="002C23C4" w:rsidR="005562B1">
        <w:t xml:space="preserve"> </w:t>
      </w:r>
      <w:r w:rsidRPr="002C23C4" w:rsidR="00455BFF">
        <w:t>to</w:t>
      </w:r>
      <w:r w:rsidRPr="002C23C4">
        <w:t xml:space="preserve"> </w:t>
      </w:r>
      <w:r w:rsidRPr="002C23C4" w:rsidR="00937821">
        <w:t>the</w:t>
      </w:r>
      <w:r w:rsidRPr="002C23C4" w:rsidR="007530B3">
        <w:t xml:space="preserve"> </w:t>
      </w:r>
      <w:r w:rsidRPr="002C23C4">
        <w:t>robberies</w:t>
      </w:r>
      <w:r w:rsidRPr="002C23C4" w:rsidR="002634C9">
        <w:t xml:space="preserve"> </w:t>
      </w:r>
      <w:r w:rsidRPr="002C23C4">
        <w:t xml:space="preserve">outside </w:t>
      </w:r>
      <w:r w:rsidRPr="002C23C4" w:rsidR="00937821">
        <w:t xml:space="preserve">the house </w:t>
      </w:r>
      <w:r w:rsidRPr="002C23C4">
        <w:t>party</w:t>
      </w:r>
      <w:r w:rsidRPr="002C23C4" w:rsidR="002634C9">
        <w:t xml:space="preserve"> in San Francisco</w:t>
      </w:r>
      <w:r w:rsidRPr="002C23C4">
        <w:t xml:space="preserve">.  No witness </w:t>
      </w:r>
      <w:r w:rsidRPr="002C23C4" w:rsidR="00212B4F">
        <w:t>could clearly identify</w:t>
      </w:r>
      <w:r w:rsidRPr="002C23C4">
        <w:t xml:space="preserve"> the </w:t>
      </w:r>
      <w:r w:rsidRPr="002C23C4" w:rsidR="00937821">
        <w:t>person who shot and killed Roche-Balsam</w:t>
      </w:r>
      <w:r w:rsidRPr="002C23C4" w:rsidR="002E36BB">
        <w:t>,</w:t>
      </w:r>
      <w:r w:rsidRPr="002C23C4" w:rsidR="006C17EF">
        <w:t xml:space="preserve"> but witnesses </w:t>
      </w:r>
      <w:r w:rsidRPr="002C23C4" w:rsidR="00CB2A45">
        <w:t>identified</w:t>
      </w:r>
      <w:r w:rsidRPr="002C23C4" w:rsidR="006C17EF">
        <w:t xml:space="preserve"> </w:t>
      </w:r>
      <w:r w:rsidR="00B22C3F">
        <w:t>Anderson</w:t>
      </w:r>
      <w:r w:rsidRPr="002C23C4" w:rsidR="006C17EF">
        <w:t xml:space="preserve"> </w:t>
      </w:r>
      <w:r w:rsidRPr="002C23C4" w:rsidR="00CB2A45">
        <w:t xml:space="preserve">as </w:t>
      </w:r>
      <w:r w:rsidRPr="002C23C4" w:rsidR="00B2548F">
        <w:t xml:space="preserve">one of </w:t>
      </w:r>
      <w:r w:rsidRPr="002C23C4" w:rsidR="00C01141">
        <w:t xml:space="preserve">several people </w:t>
      </w:r>
      <w:r w:rsidRPr="002C23C4" w:rsidR="00CB2A45">
        <w:t>holding a gun</w:t>
      </w:r>
      <w:r w:rsidRPr="002C23C4" w:rsidR="00000CAE">
        <w:t xml:space="preserve"> and robbing</w:t>
      </w:r>
      <w:r w:rsidRPr="002C23C4" w:rsidR="00CB2A45">
        <w:t xml:space="preserve"> </w:t>
      </w:r>
      <w:r w:rsidRPr="002C23C4" w:rsidR="00E03F8A">
        <w:t>partygoers</w:t>
      </w:r>
      <w:r w:rsidRPr="002C23C4" w:rsidR="002634C9">
        <w:t xml:space="preserve">. </w:t>
      </w:r>
      <w:r w:rsidRPr="002C23C4" w:rsidR="00AA2D8A">
        <w:t xml:space="preserve"> </w:t>
      </w:r>
      <w:r w:rsidRPr="002C23C4" w:rsidR="00212B4F">
        <w:t xml:space="preserve">An expert witness </w:t>
      </w:r>
      <w:r w:rsidRPr="002C23C4" w:rsidR="005A144C">
        <w:t xml:space="preserve">opined </w:t>
      </w:r>
      <w:r w:rsidRPr="002C23C4" w:rsidR="005A144C">
        <w:t xml:space="preserve">that </w:t>
      </w:r>
      <w:r w:rsidR="00B22C3F">
        <w:t>Anderson</w:t>
      </w:r>
      <w:r w:rsidRPr="002C23C4">
        <w:t xml:space="preserve"> </w:t>
      </w:r>
      <w:r w:rsidRPr="002C23C4" w:rsidR="005A144C">
        <w:t>was</w:t>
      </w:r>
      <w:r w:rsidRPr="002C23C4">
        <w:t xml:space="preserve"> </w:t>
      </w:r>
      <w:r w:rsidRPr="002C23C4" w:rsidR="002634C9">
        <w:t xml:space="preserve">a </w:t>
      </w:r>
      <w:r w:rsidRPr="002C23C4" w:rsidR="00354BE7">
        <w:t>member</w:t>
      </w:r>
      <w:r w:rsidRPr="002C23C4">
        <w:t xml:space="preserve"> </w:t>
      </w:r>
      <w:r w:rsidRPr="002C23C4" w:rsidR="00BC0955">
        <w:t xml:space="preserve">of a gang called Randolph Mob </w:t>
      </w:r>
      <w:r w:rsidRPr="002C23C4">
        <w:t>and that the crimes</w:t>
      </w:r>
      <w:r w:rsidRPr="002C23C4" w:rsidR="00212B4F">
        <w:t xml:space="preserve"> </w:t>
      </w:r>
      <w:r w:rsidRPr="002C23C4" w:rsidR="005A144C">
        <w:t xml:space="preserve">were </w:t>
      </w:r>
      <w:r w:rsidRPr="002C23C4">
        <w:t>gang</w:t>
      </w:r>
      <w:r w:rsidR="00A229A3">
        <w:t xml:space="preserve"> </w:t>
      </w:r>
      <w:r w:rsidRPr="002C23C4">
        <w:t xml:space="preserve">related.  </w:t>
      </w:r>
    </w:p>
    <w:p w:rsidR="0070485E" w:rsidRPr="002C23C4" w:rsidP="00AB174F">
      <w:r w:rsidRPr="002C23C4">
        <w:tab/>
      </w:r>
      <w:r w:rsidRPr="002C23C4" w:rsidR="008902D5">
        <w:t>T</w:t>
      </w:r>
      <w:r w:rsidRPr="002C23C4" w:rsidR="00F640FC">
        <w:t>he</w:t>
      </w:r>
      <w:r w:rsidRPr="002C23C4" w:rsidR="00076C24">
        <w:t xml:space="preserve"> trial court instructed the</w:t>
      </w:r>
      <w:r w:rsidRPr="002C23C4" w:rsidR="00F640FC">
        <w:t xml:space="preserve"> jury </w:t>
      </w:r>
      <w:r w:rsidRPr="002C23C4" w:rsidR="00A6149C">
        <w:t>that it could find that the prosecution proved the elements of the</w:t>
      </w:r>
      <w:r w:rsidRPr="002C23C4" w:rsidR="008814C3">
        <w:t xml:space="preserve"> </w:t>
      </w:r>
      <w:r w:rsidRPr="002C23C4" w:rsidR="000D767D">
        <w:t>25-</w:t>
      </w:r>
      <w:r w:rsidR="00641626">
        <w:t>year-</w:t>
      </w:r>
      <w:r w:rsidRPr="002C23C4" w:rsidR="00025204">
        <w:t xml:space="preserve">to-life </w:t>
      </w:r>
      <w:r w:rsidRPr="002C23C4" w:rsidR="00950FE6">
        <w:t xml:space="preserve">vicarious </w:t>
      </w:r>
      <w:r w:rsidRPr="002C23C4" w:rsidR="00962B62">
        <w:t xml:space="preserve">firearm </w:t>
      </w:r>
      <w:r w:rsidR="00AB00FF">
        <w:t xml:space="preserve">discharge </w:t>
      </w:r>
      <w:r w:rsidRPr="002C23C4" w:rsidR="00962B62">
        <w:t xml:space="preserve">enhancements under </w:t>
      </w:r>
      <w:bookmarkStart w:id="23" w:name="Psych_Cite_18"/>
      <w:r w:rsidRPr="002C23C4" w:rsidR="008814C3">
        <w:t>section 12022.53(e)</w:t>
      </w:r>
      <w:bookmarkEnd w:id="23"/>
      <w:r w:rsidRPr="002C23C4" w:rsidR="00A6149C">
        <w:t xml:space="preserve"> as to the robbery counts</w:t>
      </w:r>
      <w:r w:rsidR="00A81491">
        <w:t xml:space="preserve"> </w:t>
      </w:r>
      <w:r w:rsidR="006E2581">
        <w:t>—</w:t>
      </w:r>
      <w:r w:rsidR="00A81491">
        <w:t xml:space="preserve"> </w:t>
      </w:r>
      <w:r w:rsidRPr="002C23C4" w:rsidR="00A6149C">
        <w:t xml:space="preserve">even though they were not alleged in the </w:t>
      </w:r>
      <w:r w:rsidRPr="002C23C4" w:rsidR="0004146F">
        <w:t xml:space="preserve">operative </w:t>
      </w:r>
      <w:r w:rsidRPr="002C23C4" w:rsidR="00A6149C">
        <w:t>informatio</w:t>
      </w:r>
      <w:r w:rsidR="006E2581">
        <w:t>n</w:t>
      </w:r>
      <w:r w:rsidR="00A81491">
        <w:t xml:space="preserve"> </w:t>
      </w:r>
      <w:r w:rsidR="006E2581">
        <w:t>—</w:t>
      </w:r>
      <w:r w:rsidR="00A81491">
        <w:t xml:space="preserve"> </w:t>
      </w:r>
      <w:r w:rsidRPr="002C23C4" w:rsidR="000E7C1F">
        <w:t>and approved verdict forms to the same effect</w:t>
      </w:r>
      <w:r w:rsidRPr="002C23C4" w:rsidR="00122A46">
        <w:t>.</w:t>
      </w:r>
      <w:r w:rsidRPr="002C23C4" w:rsidR="008814C3">
        <w:t xml:space="preserve"> </w:t>
      </w:r>
      <w:r w:rsidRPr="002C23C4" w:rsidR="00122A46">
        <w:t xml:space="preserve"> </w:t>
      </w:r>
      <w:r w:rsidRPr="002C23C4" w:rsidR="00CD71B9">
        <w:t xml:space="preserve">The </w:t>
      </w:r>
      <w:r w:rsidRPr="002C23C4" w:rsidR="000C47ED">
        <w:t>record does not show definitively how this occurred</w:t>
      </w:r>
      <w:r w:rsidRPr="002C23C4" w:rsidR="00CC0A3A">
        <w:t xml:space="preserve">, </w:t>
      </w:r>
      <w:r w:rsidRPr="002C23C4" w:rsidR="003A4F07">
        <w:t>but</w:t>
      </w:r>
      <w:r w:rsidRPr="002C23C4" w:rsidR="00CC0A3A">
        <w:t xml:space="preserve"> it appears the prosecution requested th</w:t>
      </w:r>
      <w:r w:rsidRPr="002C23C4" w:rsidR="0004146F">
        <w:t>is</w:t>
      </w:r>
      <w:r w:rsidRPr="002C23C4" w:rsidR="003A4F07">
        <w:t xml:space="preserve"> </w:t>
      </w:r>
      <w:r w:rsidRPr="002C23C4" w:rsidR="00CC0A3A">
        <w:t>instruction</w:t>
      </w:r>
      <w:r w:rsidRPr="002C23C4" w:rsidR="003A4F07">
        <w:t xml:space="preserve"> </w:t>
      </w:r>
      <w:r w:rsidRPr="002C23C4" w:rsidR="00C24ACF">
        <w:t xml:space="preserve">as to the robbery counts </w:t>
      </w:r>
      <w:r w:rsidRPr="002C23C4" w:rsidR="00067A71">
        <w:t>after the close of the evidence</w:t>
      </w:r>
      <w:r w:rsidRPr="002C23C4" w:rsidR="000C47ED">
        <w:t xml:space="preserve">.  </w:t>
      </w:r>
      <w:r w:rsidRPr="002C23C4" w:rsidR="00076C24">
        <w:t>The jury</w:t>
      </w:r>
      <w:r w:rsidRPr="002C23C4" w:rsidR="00122A46">
        <w:t xml:space="preserve"> convicted </w:t>
      </w:r>
      <w:r w:rsidR="00B22C3F">
        <w:t>Anderson</w:t>
      </w:r>
      <w:r w:rsidRPr="002C23C4" w:rsidR="002E36BB">
        <w:t xml:space="preserve"> </w:t>
      </w:r>
      <w:r w:rsidRPr="002C23C4" w:rsidR="00122A46">
        <w:t xml:space="preserve">on all </w:t>
      </w:r>
      <w:r w:rsidRPr="002C23C4" w:rsidR="00C02EC3">
        <w:t>10</w:t>
      </w:r>
      <w:r w:rsidRPr="002C23C4" w:rsidR="00122A46">
        <w:t xml:space="preserve"> counts</w:t>
      </w:r>
      <w:r w:rsidRPr="002C23C4" w:rsidR="00A8220D">
        <w:t xml:space="preserve"> and returned true findings on </w:t>
      </w:r>
      <w:r w:rsidRPr="002C23C4">
        <w:t xml:space="preserve">all </w:t>
      </w:r>
      <w:r w:rsidRPr="002C23C4" w:rsidR="00A8220D">
        <w:t>the enhancement allegations</w:t>
      </w:r>
      <w:r w:rsidRPr="002C23C4">
        <w:t xml:space="preserve"> contained in the verdict forms</w:t>
      </w:r>
      <w:r w:rsidRPr="002C23C4" w:rsidR="00122A46">
        <w:t xml:space="preserve">.  </w:t>
      </w:r>
    </w:p>
    <w:p w:rsidR="00723212" w:rsidRPr="002C23C4" w:rsidP="00AB174F">
      <w:r w:rsidRPr="002C23C4">
        <w:tab/>
        <w:t xml:space="preserve">At </w:t>
      </w:r>
      <w:r w:rsidRPr="002C23C4" w:rsidR="00D32A49">
        <w:t xml:space="preserve">the </w:t>
      </w:r>
      <w:r w:rsidRPr="002C23C4">
        <w:t xml:space="preserve">sentencing </w:t>
      </w:r>
      <w:r w:rsidRPr="002C23C4" w:rsidR="00D32A49">
        <w:t xml:space="preserve">hearing </w:t>
      </w:r>
      <w:r w:rsidRPr="002C23C4">
        <w:t>t</w:t>
      </w:r>
      <w:r w:rsidRPr="002C23C4" w:rsidR="00FE79A7">
        <w:t>he prosecution</w:t>
      </w:r>
      <w:r w:rsidRPr="002C23C4" w:rsidR="00D83B09">
        <w:t xml:space="preserve"> </w:t>
      </w:r>
      <w:r w:rsidRPr="002C23C4" w:rsidR="00E03F8A">
        <w:t>initially asked</w:t>
      </w:r>
      <w:r w:rsidRPr="002C23C4" w:rsidR="008814C3">
        <w:t xml:space="preserve"> the court to impose the </w:t>
      </w:r>
      <w:r w:rsidRPr="002C23C4" w:rsidR="007B158F">
        <w:t xml:space="preserve">less severe </w:t>
      </w:r>
      <w:r w:rsidRPr="002C23C4" w:rsidR="003A000B">
        <w:t xml:space="preserve">10-year </w:t>
      </w:r>
      <w:r w:rsidR="00E40352">
        <w:t xml:space="preserve">personal </w:t>
      </w:r>
      <w:r w:rsidRPr="002C23C4" w:rsidR="007B158F">
        <w:t>firearm</w:t>
      </w:r>
      <w:r w:rsidRPr="002C23C4" w:rsidR="002E36BB">
        <w:t>-</w:t>
      </w:r>
      <w:r w:rsidRPr="002C23C4" w:rsidR="007B158F">
        <w:t xml:space="preserve">use </w:t>
      </w:r>
      <w:r w:rsidRPr="002C23C4" w:rsidR="008814C3">
        <w:t>enhancements</w:t>
      </w:r>
      <w:r w:rsidR="003A1981">
        <w:t>, which</w:t>
      </w:r>
      <w:r w:rsidRPr="002C23C4" w:rsidR="00CF2726">
        <w:t xml:space="preserve"> had been</w:t>
      </w:r>
      <w:r w:rsidRPr="002C23C4" w:rsidR="009828B9">
        <w:t xml:space="preserve"> pleaded</w:t>
      </w:r>
      <w:r w:rsidRPr="002C23C4" w:rsidR="00000CAE">
        <w:t xml:space="preserve"> in the information</w:t>
      </w:r>
      <w:r w:rsidR="003A1981">
        <w:t>,</w:t>
      </w:r>
      <w:r w:rsidRPr="002C23C4" w:rsidR="00A131B9">
        <w:t xml:space="preserve"> and to </w:t>
      </w:r>
      <w:r w:rsidR="00142048">
        <w:t xml:space="preserve">“[i]mpose and </w:t>
      </w:r>
      <w:r w:rsidRPr="002C23C4" w:rsidR="00A131B9">
        <w:t>stay</w:t>
      </w:r>
      <w:r w:rsidR="00142048">
        <w:t>”</w:t>
      </w:r>
      <w:r w:rsidRPr="002C23C4" w:rsidR="00A131B9">
        <w:t xml:space="preserve"> the 25-</w:t>
      </w:r>
      <w:r w:rsidR="00641626">
        <w:t>year-</w:t>
      </w:r>
      <w:r w:rsidRPr="002C23C4" w:rsidR="00A131B9">
        <w:t xml:space="preserve">to-life </w:t>
      </w:r>
      <w:r w:rsidRPr="002C23C4" w:rsidR="00025204">
        <w:t xml:space="preserve">vicarious firearm </w:t>
      </w:r>
      <w:r w:rsidR="00AB00FF">
        <w:t xml:space="preserve">discharge </w:t>
      </w:r>
      <w:r w:rsidRPr="002C23C4" w:rsidR="00A131B9">
        <w:t>enhancements</w:t>
      </w:r>
      <w:r w:rsidR="00142048">
        <w:t xml:space="preserve"> as to the robbery counts</w:t>
      </w:r>
      <w:r w:rsidRPr="002C23C4" w:rsidR="007B158F">
        <w:t>.</w:t>
      </w:r>
      <w:r w:rsidRPr="002C23C4" w:rsidR="008814C3">
        <w:t xml:space="preserve">  </w:t>
      </w:r>
      <w:r w:rsidR="00D001E9">
        <w:t xml:space="preserve">Uncertain whether </w:t>
      </w:r>
      <w:r w:rsidR="00900ECD">
        <w:t xml:space="preserve">the court had the authority to </w:t>
      </w:r>
      <w:r w:rsidR="00AB00FF">
        <w:t>impose and stay</w:t>
      </w:r>
      <w:r w:rsidR="00900ECD">
        <w:t xml:space="preserve"> </w:t>
      </w:r>
      <w:r w:rsidR="00FB5D8E">
        <w:t>the enhancements</w:t>
      </w:r>
      <w:r w:rsidR="00D001E9">
        <w:t>, the defense</w:t>
      </w:r>
      <w:r w:rsidR="00FB5D8E">
        <w:t xml:space="preserve"> </w:t>
      </w:r>
      <w:r w:rsidR="00900ECD">
        <w:t xml:space="preserve">asked </w:t>
      </w:r>
      <w:r w:rsidR="00FB5D8E">
        <w:t>the court to strike them altogether</w:t>
      </w:r>
      <w:r w:rsidR="00FE1BFE">
        <w:t xml:space="preserve">.  </w:t>
      </w:r>
      <w:r w:rsidR="007027AD">
        <w:t>After a short recess to study the issue, the prosecution</w:t>
      </w:r>
      <w:r w:rsidR="00FE1BFE">
        <w:t xml:space="preserve"> </w:t>
      </w:r>
      <w:r w:rsidR="000F1F92">
        <w:t xml:space="preserve">pointed </w:t>
      </w:r>
      <w:r w:rsidR="007027AD">
        <w:t>the court to</w:t>
      </w:r>
      <w:r w:rsidR="000F1F92">
        <w:t xml:space="preserve"> </w:t>
      </w:r>
      <w:bookmarkStart w:id="24" w:name="Psych_Cite_20"/>
      <w:r w:rsidR="00142048">
        <w:rPr>
          <w:i/>
          <w:iCs/>
        </w:rPr>
        <w:t xml:space="preserve">People v. Palacios </w:t>
      </w:r>
      <w:r w:rsidR="00142048">
        <w:t>(2007) 41 Cal.4th 720</w:t>
      </w:r>
      <w:bookmarkEnd w:id="24"/>
      <w:r w:rsidR="000F1F92">
        <w:t xml:space="preserve">, </w:t>
      </w:r>
      <w:r w:rsidR="007027AD">
        <w:t xml:space="preserve">which </w:t>
      </w:r>
      <w:r w:rsidR="00AF1359">
        <w:t xml:space="preserve">held that </w:t>
      </w:r>
      <w:bookmarkStart w:id="25" w:name="Psych_Cite_19"/>
      <w:r w:rsidR="00AF1359">
        <w:t>Penal Code section 654</w:t>
      </w:r>
      <w:bookmarkEnd w:id="25"/>
      <w:r w:rsidR="00AF1359">
        <w:t xml:space="preserve"> does not preclude imposing multiple </w:t>
      </w:r>
      <w:bookmarkStart w:id="26" w:name="Psych_Cite_23"/>
      <w:r w:rsidR="00AF1359">
        <w:t>section 12022.53</w:t>
      </w:r>
      <w:bookmarkEnd w:id="26"/>
      <w:r w:rsidR="00AF1359">
        <w:t xml:space="preserve"> enhancements, even when the enhancements are based on a single shot fired at a single victim.  </w:t>
      </w:r>
      <w:r w:rsidR="00142048">
        <w:t>(</w:t>
      </w:r>
      <w:bookmarkStart w:id="27" w:name="Psych_Cite_21"/>
      <w:r w:rsidRPr="00641626" w:rsidR="00641626">
        <w:rPr>
          <w:i/>
          <w:iCs/>
        </w:rPr>
        <w:t>Palacios</w:t>
      </w:r>
      <w:r w:rsidR="00641626">
        <w:t xml:space="preserve">, </w:t>
      </w:r>
      <w:r w:rsidR="00142048">
        <w:t>at pp.</w:t>
      </w:r>
      <w:r w:rsidR="00235E89">
        <w:t> </w:t>
      </w:r>
      <w:r w:rsidR="00142048">
        <w:t>723–733</w:t>
      </w:r>
      <w:bookmarkEnd w:id="27"/>
      <w:r w:rsidR="00142048">
        <w:t xml:space="preserve">.)  </w:t>
      </w:r>
      <w:r w:rsidR="003E2703">
        <w:t xml:space="preserve">Based on </w:t>
      </w:r>
      <w:r w:rsidR="003E2703">
        <w:rPr>
          <w:i/>
          <w:iCs/>
        </w:rPr>
        <w:t>Palacios</w:t>
      </w:r>
      <w:r w:rsidR="003E2703">
        <w:t xml:space="preserve">, </w:t>
      </w:r>
      <w:bookmarkStart w:id="28" w:name="_Hlk32577534"/>
      <w:r w:rsidR="003E2703">
        <w:t>t</w:t>
      </w:r>
      <w:r w:rsidR="007027AD">
        <w:t>he</w:t>
      </w:r>
      <w:r w:rsidRPr="002C23C4" w:rsidR="008814C3">
        <w:t xml:space="preserve"> prosecution asked the </w:t>
      </w:r>
      <w:r w:rsidRPr="002C23C4" w:rsidR="00962B62">
        <w:t xml:space="preserve">trial </w:t>
      </w:r>
      <w:r w:rsidRPr="002C23C4" w:rsidR="008814C3">
        <w:t>court to impose</w:t>
      </w:r>
      <w:r w:rsidR="006E2581">
        <w:t xml:space="preserve"> </w:t>
      </w:r>
      <w:r w:rsidRPr="002C23C4" w:rsidR="008814C3">
        <w:t>the</w:t>
      </w:r>
      <w:r w:rsidRPr="002C23C4" w:rsidR="007B158F">
        <w:t xml:space="preserve"> </w:t>
      </w:r>
      <w:r w:rsidRPr="002C23C4" w:rsidR="00875B55">
        <w:t>25-</w:t>
      </w:r>
      <w:r w:rsidR="00641626">
        <w:t>year-</w:t>
      </w:r>
      <w:r w:rsidRPr="002C23C4" w:rsidR="00875B55">
        <w:t>to-life</w:t>
      </w:r>
      <w:r w:rsidRPr="002C23C4" w:rsidR="009828B9">
        <w:t xml:space="preserve"> </w:t>
      </w:r>
      <w:r w:rsidRPr="002C23C4" w:rsidR="008814C3">
        <w:t xml:space="preserve">enhancements </w:t>
      </w:r>
      <w:r w:rsidRPr="002C23C4" w:rsidR="00025204">
        <w:t xml:space="preserve">as to the five robbery counts </w:t>
      </w:r>
      <w:r w:rsidRPr="002C23C4" w:rsidR="008814C3">
        <w:t>after all</w:t>
      </w:r>
      <w:r w:rsidR="00D41ED9">
        <w:t xml:space="preserve">.  </w:t>
      </w:r>
      <w:bookmarkEnd w:id="28"/>
      <w:r w:rsidRPr="002C23C4" w:rsidR="00146125">
        <w:t xml:space="preserve">The defense objected on </w:t>
      </w:r>
      <w:r w:rsidR="00A01A91">
        <w:t xml:space="preserve">the </w:t>
      </w:r>
      <w:r w:rsidRPr="002C23C4" w:rsidR="00146125">
        <w:t>ground</w:t>
      </w:r>
      <w:r w:rsidRPr="002C23C4" w:rsidR="008B1E91">
        <w:t xml:space="preserve"> that </w:t>
      </w:r>
      <w:r w:rsidRPr="002C23C4" w:rsidR="002E7840">
        <w:t xml:space="preserve">the </w:t>
      </w:r>
      <w:r w:rsidRPr="002C23C4" w:rsidR="00000CAE">
        <w:t>prosecution’s</w:t>
      </w:r>
      <w:r w:rsidRPr="002C23C4" w:rsidR="00F1012D">
        <w:t xml:space="preserve"> recommended sentence would constitute cruel and unusual</w:t>
      </w:r>
      <w:r w:rsidRPr="002C23C4" w:rsidR="002E7840">
        <w:t xml:space="preserve"> punishment</w:t>
      </w:r>
      <w:r w:rsidRPr="002C23C4" w:rsidR="00146125">
        <w:t xml:space="preserve">.  </w:t>
      </w:r>
      <w:r w:rsidRPr="002C23C4" w:rsidR="002E7840">
        <w:t xml:space="preserve">(See </w:t>
      </w:r>
      <w:bookmarkStart w:id="29" w:name="Psych_Cite_22"/>
      <w:r w:rsidRPr="002C23C4" w:rsidR="002E7840">
        <w:t>U.S. Const., 8th Amend</w:t>
      </w:r>
      <w:bookmarkEnd w:id="29"/>
      <w:r w:rsidRPr="002C23C4" w:rsidR="002E7840">
        <w:t xml:space="preserve">.)  </w:t>
      </w:r>
      <w:r w:rsidRPr="002C23C4" w:rsidR="00110EC2">
        <w:t xml:space="preserve">The court </w:t>
      </w:r>
      <w:r w:rsidRPr="002C23C4" w:rsidR="00962B62">
        <w:t xml:space="preserve">overruled </w:t>
      </w:r>
      <w:r w:rsidRPr="002C23C4" w:rsidR="00962B62">
        <w:t xml:space="preserve">the objection and </w:t>
      </w:r>
      <w:r w:rsidRPr="002C23C4" w:rsidR="000F62FE">
        <w:t xml:space="preserve">sentenced </w:t>
      </w:r>
      <w:r w:rsidR="00B22C3F">
        <w:t xml:space="preserve">Anderson </w:t>
      </w:r>
      <w:r w:rsidRPr="002C23C4" w:rsidR="000F62FE">
        <w:t>to</w:t>
      </w:r>
      <w:r w:rsidRPr="002C23C4" w:rsidR="008814C3">
        <w:t xml:space="preserve"> a total of</w:t>
      </w:r>
      <w:r w:rsidRPr="002C23C4" w:rsidR="000F62FE">
        <w:t xml:space="preserve"> 189 years</w:t>
      </w:r>
      <w:r w:rsidRPr="002C23C4" w:rsidR="002A4B05">
        <w:t xml:space="preserve"> </w:t>
      </w:r>
      <w:r w:rsidRPr="002C23C4" w:rsidR="000F62FE">
        <w:t>to</w:t>
      </w:r>
      <w:r w:rsidRPr="002C23C4" w:rsidR="002A4B05">
        <w:t xml:space="preserve"> </w:t>
      </w:r>
      <w:r w:rsidRPr="002C23C4" w:rsidR="000F62FE">
        <w:t>life</w:t>
      </w:r>
      <w:r w:rsidRPr="002C23C4" w:rsidR="00F51865">
        <w:t xml:space="preserve">, </w:t>
      </w:r>
      <w:r w:rsidRPr="002C23C4" w:rsidR="00DF1F84">
        <w:t>including</w:t>
      </w:r>
      <w:r w:rsidRPr="002C23C4" w:rsidR="00850154">
        <w:t xml:space="preserve"> </w:t>
      </w:r>
      <w:r w:rsidRPr="002C23C4" w:rsidR="00314AB5">
        <w:t xml:space="preserve">a total of </w:t>
      </w:r>
      <w:r w:rsidRPr="002C23C4" w:rsidR="00962B62">
        <w:t>125 years</w:t>
      </w:r>
      <w:r w:rsidRPr="002C23C4" w:rsidR="002A4B05">
        <w:t xml:space="preserve"> </w:t>
      </w:r>
      <w:r w:rsidRPr="002C23C4" w:rsidR="00962B62">
        <w:t>to</w:t>
      </w:r>
      <w:r w:rsidRPr="002C23C4" w:rsidR="002A4B05">
        <w:t xml:space="preserve"> </w:t>
      </w:r>
      <w:r w:rsidRPr="002C23C4" w:rsidR="00962B62">
        <w:t>life for</w:t>
      </w:r>
      <w:r w:rsidRPr="002C23C4" w:rsidR="00D719F0">
        <w:t xml:space="preserve"> </w:t>
      </w:r>
      <w:r w:rsidRPr="002C23C4" w:rsidR="00314AB5">
        <w:t xml:space="preserve">the enhancements </w:t>
      </w:r>
      <w:r w:rsidRPr="002C23C4" w:rsidR="00B703C6">
        <w:t xml:space="preserve">corresponding </w:t>
      </w:r>
      <w:r w:rsidRPr="002C23C4" w:rsidR="00314AB5">
        <w:t xml:space="preserve">to the five </w:t>
      </w:r>
      <w:r w:rsidRPr="002C23C4" w:rsidR="00F51865">
        <w:t>robbery counts</w:t>
      </w:r>
      <w:r w:rsidRPr="002C23C4" w:rsidR="00707F8A">
        <w:t xml:space="preserve">. </w:t>
      </w:r>
      <w:r w:rsidRPr="002C23C4" w:rsidR="000F62FE">
        <w:t xml:space="preserve"> </w:t>
      </w:r>
    </w:p>
    <w:p w:rsidR="00297639" w:rsidRPr="00A229A3" w:rsidP="00AB174F">
      <w:pPr>
        <w:rPr>
          <w:iCs/>
        </w:rPr>
      </w:pPr>
      <w:r w:rsidRPr="002C23C4">
        <w:tab/>
      </w:r>
      <w:r w:rsidR="00290FDE">
        <w:t xml:space="preserve">On appeal, </w:t>
      </w:r>
      <w:r w:rsidR="00B22C3F">
        <w:t xml:space="preserve">Anderson </w:t>
      </w:r>
      <w:r w:rsidRPr="002C23C4" w:rsidR="00076C24">
        <w:t xml:space="preserve">argued </w:t>
      </w:r>
      <w:r w:rsidR="00553499">
        <w:t xml:space="preserve">for the first time </w:t>
      </w:r>
      <w:r w:rsidRPr="002C23C4" w:rsidR="000F62FE">
        <w:t xml:space="preserve">that </w:t>
      </w:r>
      <w:r w:rsidR="001003F9">
        <w:t xml:space="preserve">the trial court erred in </w:t>
      </w:r>
      <w:r w:rsidRPr="002C23C4" w:rsidR="006C7C67">
        <w:t xml:space="preserve">imposing </w:t>
      </w:r>
      <w:r w:rsidRPr="002C23C4" w:rsidR="000F62FE">
        <w:t xml:space="preserve">the </w:t>
      </w:r>
      <w:r w:rsidR="001003F9">
        <w:t xml:space="preserve">five </w:t>
      </w:r>
      <w:r w:rsidRPr="002C23C4" w:rsidR="003B5720">
        <w:t xml:space="preserve">unpleaded </w:t>
      </w:r>
      <w:r w:rsidRPr="002C23C4" w:rsidR="00DC3D19">
        <w:t>25-</w:t>
      </w:r>
      <w:r w:rsidR="006C05C7">
        <w:t>year-</w:t>
      </w:r>
      <w:r w:rsidRPr="002C23C4" w:rsidR="00DC3D19">
        <w:t xml:space="preserve">to-life </w:t>
      </w:r>
      <w:r w:rsidRPr="002C23C4" w:rsidR="000F62FE">
        <w:t>enhancements</w:t>
      </w:r>
      <w:r w:rsidR="00553499">
        <w:t xml:space="preserve"> because the enhancements had not been adequately pleaded</w:t>
      </w:r>
      <w:r w:rsidR="002C1B18">
        <w:t xml:space="preserve"> in the charging document</w:t>
      </w:r>
      <w:r w:rsidR="001003F9">
        <w:t xml:space="preserve">.  </w:t>
      </w:r>
      <w:r w:rsidR="00B22C3F">
        <w:t xml:space="preserve">Anderson </w:t>
      </w:r>
      <w:r w:rsidR="001003F9">
        <w:t xml:space="preserve">relied on </w:t>
      </w:r>
      <w:bookmarkStart w:id="30" w:name="_Hlk43814395"/>
      <w:bookmarkStart w:id="31" w:name="Psych_Cite_25"/>
      <w:r w:rsidRPr="002C23C4" w:rsidR="00B7301F">
        <w:rPr>
          <w:i/>
        </w:rPr>
        <w:t xml:space="preserve">People v. </w:t>
      </w:r>
      <w:r w:rsidRPr="002C23C4" w:rsidR="000F62FE">
        <w:rPr>
          <w:i/>
        </w:rPr>
        <w:t>Mancebo</w:t>
      </w:r>
      <w:r w:rsidRPr="002C23C4" w:rsidR="000C2190">
        <w:t xml:space="preserve"> (2002) 27 </w:t>
      </w:r>
      <w:bookmarkStart w:id="32" w:name="_Hlk30076259"/>
      <w:r w:rsidRPr="002C23C4">
        <w:t>Cal.4th</w:t>
      </w:r>
      <w:r w:rsidRPr="002C23C4" w:rsidR="000F7F55">
        <w:t xml:space="preserve"> 735</w:t>
      </w:r>
      <w:bookmarkEnd w:id="32"/>
      <w:r w:rsidRPr="002C23C4" w:rsidR="00EB5C12">
        <w:t xml:space="preserve"> (</w:t>
      </w:r>
      <w:r w:rsidRPr="002C23C4" w:rsidR="00EB5C12">
        <w:rPr>
          <w:i/>
        </w:rPr>
        <w:t>Mancebo</w:t>
      </w:r>
      <w:r w:rsidRPr="002C23C4" w:rsidR="00EB5C12">
        <w:t>)</w:t>
      </w:r>
      <w:bookmarkEnd w:id="30"/>
      <w:bookmarkEnd w:id="31"/>
      <w:r w:rsidRPr="002C23C4" w:rsidR="00DA26C1">
        <w:t xml:space="preserve">, </w:t>
      </w:r>
      <w:r w:rsidRPr="002C23C4" w:rsidR="00990EE8">
        <w:t>where</w:t>
      </w:r>
      <w:r w:rsidRPr="002C23C4" w:rsidR="00B426FA">
        <w:t xml:space="preserve"> </w:t>
      </w:r>
      <w:r w:rsidRPr="002C23C4" w:rsidR="00EB5C12">
        <w:t>we</w:t>
      </w:r>
      <w:r w:rsidRPr="002C23C4" w:rsidR="00143B65">
        <w:t xml:space="preserve"> held that a court could not impose a sentence under the </w:t>
      </w:r>
      <w:r w:rsidRPr="002C23C4" w:rsidR="00A4021B">
        <w:t>“</w:t>
      </w:r>
      <w:r w:rsidRPr="002C23C4" w:rsidR="00DA26C1">
        <w:t>One Strike</w:t>
      </w:r>
      <w:r w:rsidRPr="002C23C4" w:rsidR="00A4021B">
        <w:t>”</w:t>
      </w:r>
      <w:r w:rsidRPr="002C23C4" w:rsidR="00DA26C1">
        <w:t xml:space="preserve"> law (</w:t>
      </w:r>
      <w:bookmarkStart w:id="33" w:name="Psych_Cite_24"/>
      <w:r w:rsidRPr="002C23C4" w:rsidR="00DA26C1">
        <w:t>Pen. Code, §</w:t>
      </w:r>
      <w:r w:rsidRPr="002C23C4" w:rsidR="00B12CB4">
        <w:t> </w:t>
      </w:r>
      <w:r w:rsidRPr="002C23C4" w:rsidR="00DA26C1">
        <w:t>667.61</w:t>
      </w:r>
      <w:bookmarkEnd w:id="33"/>
      <w:r w:rsidRPr="002C23C4" w:rsidR="00DA26C1">
        <w:t>)</w:t>
      </w:r>
      <w:r w:rsidRPr="002C23C4" w:rsidR="00143B65">
        <w:t xml:space="preserve"> based on a multiple-victim circumstance not alleged</w:t>
      </w:r>
      <w:r w:rsidRPr="002C23C4" w:rsidR="00C01141">
        <w:t xml:space="preserve"> in the accusatory pleading</w:t>
      </w:r>
      <w:r w:rsidRPr="002C23C4" w:rsidR="00143B65">
        <w:t>.</w:t>
      </w:r>
      <w:r w:rsidRPr="002C23C4" w:rsidR="00DA26C1">
        <w:t xml:space="preserve">  </w:t>
      </w:r>
      <w:r w:rsidR="00A229A3">
        <w:t>(</w:t>
      </w:r>
      <w:r w:rsidRPr="002C23C4" w:rsidR="00A229A3">
        <w:rPr>
          <w:i/>
        </w:rPr>
        <w:t>Mancebo</w:t>
      </w:r>
      <w:r w:rsidR="00A229A3">
        <w:rPr>
          <w:iCs/>
        </w:rPr>
        <w:t>, at p.</w:t>
      </w:r>
      <w:r w:rsidR="00446ACE">
        <w:rPr>
          <w:iCs/>
        </w:rPr>
        <w:t> </w:t>
      </w:r>
      <w:r w:rsidR="002C0FA3">
        <w:rPr>
          <w:iCs/>
        </w:rPr>
        <w:t>739</w:t>
      </w:r>
      <w:r w:rsidR="00A229A3">
        <w:rPr>
          <w:iCs/>
        </w:rPr>
        <w:t>.)</w:t>
      </w:r>
    </w:p>
    <w:p w:rsidR="00654865" w:rsidRPr="002C23C4" w:rsidP="00AB174F">
      <w:pPr>
        <w:rPr>
          <w:b/>
          <w:vertAlign w:val="superscript"/>
        </w:rPr>
      </w:pPr>
      <w:r>
        <w:tab/>
      </w:r>
      <w:r w:rsidRPr="002C23C4" w:rsidR="000F62FE">
        <w:t xml:space="preserve">The Court of Appeal rejected </w:t>
      </w:r>
      <w:r w:rsidR="00B22C3F">
        <w:t>Anderson</w:t>
      </w:r>
      <w:r w:rsidRPr="002C23C4" w:rsidR="00200A78">
        <w:t xml:space="preserve">’s </w:t>
      </w:r>
      <w:r w:rsidRPr="002C23C4" w:rsidR="000F62FE">
        <w:t>argument in a footnote</w:t>
      </w:r>
      <w:r w:rsidRPr="002C23C4" w:rsidR="00D32C24">
        <w:t xml:space="preserve"> of its unpublished opinion</w:t>
      </w:r>
      <w:r w:rsidR="00A229A3">
        <w:t xml:space="preserve"> (</w:t>
      </w:r>
      <w:r w:rsidR="00A229A3">
        <w:rPr>
          <w:i/>
          <w:iCs/>
        </w:rPr>
        <w:t xml:space="preserve">People v. Anderson </w:t>
      </w:r>
      <w:r w:rsidR="00A229A3">
        <w:t>(</w:t>
      </w:r>
      <w:r w:rsidR="00EC1651">
        <w:t>Nov. 19, 2018, A136451</w:t>
      </w:r>
      <w:r w:rsidR="00A229A3">
        <w:t>))</w:t>
      </w:r>
      <w:r w:rsidRPr="002C23C4" w:rsidR="000F62FE">
        <w:t xml:space="preserve">, </w:t>
      </w:r>
      <w:r w:rsidRPr="002C23C4" w:rsidR="00C13887">
        <w:t xml:space="preserve">concluding “defendant was properly sentenced in conformity with </w:t>
      </w:r>
      <w:bookmarkStart w:id="34" w:name="Psych_Cite_26"/>
      <w:r w:rsidRPr="002C23C4" w:rsidR="000F62FE">
        <w:rPr>
          <w:i/>
        </w:rPr>
        <w:t>People v. Riva</w:t>
      </w:r>
      <w:r w:rsidRPr="002C23C4" w:rsidR="000F62FE">
        <w:t xml:space="preserve"> (2003) 112 Cal.App.4th 981</w:t>
      </w:r>
      <w:bookmarkEnd w:id="34"/>
      <w:r w:rsidRPr="002C23C4" w:rsidR="003F444C">
        <w:t>.</w:t>
      </w:r>
      <w:r w:rsidRPr="002C23C4" w:rsidR="00C13887">
        <w:t>”</w:t>
      </w:r>
      <w:r>
        <w:rPr>
          <w:rStyle w:val="FootnoteReference"/>
        </w:rPr>
        <w:footnoteReference w:id="3"/>
      </w:r>
      <w:r w:rsidRPr="002C23C4" w:rsidR="003F444C">
        <w:t xml:space="preserve">  In </w:t>
      </w:r>
      <w:r w:rsidRPr="002C23C4" w:rsidR="003F444C">
        <w:rPr>
          <w:i/>
        </w:rPr>
        <w:t>Riva</w:t>
      </w:r>
      <w:r w:rsidRPr="002C23C4" w:rsidR="003F444C">
        <w:t>, the Court of Appeal</w:t>
      </w:r>
      <w:r w:rsidR="00940690">
        <w:t xml:space="preserve"> </w:t>
      </w:r>
      <w:r w:rsidR="00854097">
        <w:t>held</w:t>
      </w:r>
      <w:r w:rsidR="00E97027">
        <w:t xml:space="preserve"> </w:t>
      </w:r>
      <w:r w:rsidR="00854097">
        <w:t xml:space="preserve">that </w:t>
      </w:r>
      <w:r w:rsidRPr="002C23C4" w:rsidR="00E901F2">
        <w:t>an information adequately plead</w:t>
      </w:r>
      <w:r w:rsidRPr="002C23C4" w:rsidR="00000903">
        <w:t>ed</w:t>
      </w:r>
      <w:r w:rsidRPr="002C23C4" w:rsidR="00E901F2">
        <w:t xml:space="preserve"> a </w:t>
      </w:r>
      <w:bookmarkStart w:id="37" w:name="Psych_Cite_29"/>
      <w:r w:rsidRPr="002C23C4" w:rsidR="00E901F2">
        <w:t>section 12022.53</w:t>
      </w:r>
      <w:r w:rsidRPr="002C23C4" w:rsidR="00950FE6">
        <w:t xml:space="preserve">, subdivision </w:t>
      </w:r>
      <w:r w:rsidRPr="002C23C4" w:rsidR="00E901F2">
        <w:t xml:space="preserve">(d) </w:t>
      </w:r>
      <w:r w:rsidRPr="002C23C4" w:rsidR="002268EE">
        <w:t>(</w:t>
      </w:r>
      <w:bookmarkStart w:id="38" w:name="_Hlk43817446"/>
      <w:r w:rsidRPr="002C23C4" w:rsidR="002268EE">
        <w:t>section 12022.53(d)</w:t>
      </w:r>
      <w:bookmarkEnd w:id="37"/>
      <w:r w:rsidRPr="002C23C4" w:rsidR="002268EE">
        <w:t xml:space="preserve">) </w:t>
      </w:r>
      <w:bookmarkEnd w:id="38"/>
      <w:r w:rsidRPr="002C23C4" w:rsidR="00D56F3D">
        <w:t xml:space="preserve">firearm </w:t>
      </w:r>
      <w:r w:rsidRPr="002C23C4" w:rsidR="00E901F2">
        <w:t xml:space="preserve">enhancement </w:t>
      </w:r>
      <w:r w:rsidRPr="002C23C4" w:rsidR="00937821">
        <w:t xml:space="preserve">as to one count by alleging </w:t>
      </w:r>
      <w:r w:rsidRPr="002C23C4">
        <w:t xml:space="preserve">the enhancement as to other counts based on the same </w:t>
      </w:r>
      <w:r w:rsidRPr="002C23C4" w:rsidR="007520A9">
        <w:t>set of facts</w:t>
      </w:r>
      <w:r w:rsidRPr="002C23C4" w:rsidR="00E901F2">
        <w:t>.</w:t>
      </w:r>
      <w:r w:rsidRPr="002C23C4" w:rsidR="00C13887">
        <w:t xml:space="preserve">  </w:t>
      </w:r>
      <w:r w:rsidRPr="002C23C4" w:rsidR="00F128F8">
        <w:t>(</w:t>
      </w:r>
      <w:bookmarkStart w:id="39" w:name="Psych_Cite_27"/>
      <w:r w:rsidRPr="002C23C4" w:rsidR="00F128F8">
        <w:rPr>
          <w:i/>
          <w:iCs/>
        </w:rPr>
        <w:t>Riva</w:t>
      </w:r>
      <w:r w:rsidRPr="002C23C4" w:rsidR="00F128F8">
        <w:t>, at pp.</w:t>
      </w:r>
      <w:r w:rsidR="00235E89">
        <w:t> </w:t>
      </w:r>
      <w:r w:rsidRPr="002C23C4" w:rsidR="00F128F8">
        <w:t>1000–100</w:t>
      </w:r>
      <w:bookmarkEnd w:id="39"/>
      <w:r w:rsidRPr="002C23C4" w:rsidR="00F128F8">
        <w:t>3.)</w:t>
      </w:r>
      <w:r w:rsidR="00854097">
        <w:t xml:space="preserve">  The court distinguished </w:t>
      </w:r>
      <w:r w:rsidR="00854097">
        <w:rPr>
          <w:i/>
          <w:iCs/>
        </w:rPr>
        <w:t>Mancebo</w:t>
      </w:r>
      <w:r w:rsidR="00854097">
        <w:t xml:space="preserve"> on the ground </w:t>
      </w:r>
      <w:r w:rsidR="007E50D1">
        <w:t xml:space="preserve">that the enhancement at issue in that case had not been pleaded as to any count, while in </w:t>
      </w:r>
      <w:r w:rsidR="007E50D1">
        <w:rPr>
          <w:i/>
          <w:iCs/>
        </w:rPr>
        <w:t>Riva</w:t>
      </w:r>
      <w:r w:rsidR="007E50D1">
        <w:t xml:space="preserve"> the relevant enhancement “was pled by number and description as to some of the counts in the information, just not the one on which the trial court imposed it.”  (</w:t>
      </w:r>
      <w:bookmarkStart w:id="40" w:name="Psych_Cite_28"/>
      <w:r w:rsidRPr="00641626" w:rsidR="00641626">
        <w:rPr>
          <w:i/>
          <w:iCs/>
        </w:rPr>
        <w:t>Riva</w:t>
      </w:r>
      <w:r w:rsidR="00641626">
        <w:t xml:space="preserve">, </w:t>
      </w:r>
      <w:r w:rsidR="007E50D1">
        <w:t>at p.</w:t>
      </w:r>
      <w:r w:rsidR="00235E89">
        <w:t> </w:t>
      </w:r>
      <w:r w:rsidR="007E50D1">
        <w:t>100</w:t>
      </w:r>
      <w:bookmarkEnd w:id="40"/>
      <w:r w:rsidR="007E50D1">
        <w:t>2.)</w:t>
      </w:r>
    </w:p>
    <w:p w:rsidR="00EC1EA4" w:rsidRPr="002C23C4" w:rsidP="00AB174F">
      <w:r w:rsidRPr="002C23C4">
        <w:rPr>
          <w:b/>
          <w:vertAlign w:val="superscript"/>
        </w:rPr>
        <w:tab/>
      </w:r>
      <w:r w:rsidRPr="002C23C4" w:rsidR="00707F8A">
        <w:t>We granted review</w:t>
      </w:r>
      <w:r w:rsidRPr="002C23C4" w:rsidR="00975FF0">
        <w:t xml:space="preserve"> to decide whether </w:t>
      </w:r>
      <w:r w:rsidR="00027FA0">
        <w:t>the</w:t>
      </w:r>
      <w:r w:rsidRPr="002C23C4" w:rsidR="00541D0B">
        <w:t xml:space="preserve"> </w:t>
      </w:r>
      <w:r w:rsidRPr="002C23C4" w:rsidR="00975FF0">
        <w:t>trial court err</w:t>
      </w:r>
      <w:r w:rsidR="00027FA0">
        <w:t>ed</w:t>
      </w:r>
      <w:r w:rsidRPr="002C23C4" w:rsidR="00975FF0">
        <w:t xml:space="preserve"> by imposing </w:t>
      </w:r>
      <w:r w:rsidRPr="002C23C4" w:rsidR="00541D0B">
        <w:t xml:space="preserve">firearm </w:t>
      </w:r>
      <w:r w:rsidRPr="002C23C4" w:rsidR="00975FF0">
        <w:t>enhancements</w:t>
      </w:r>
      <w:r w:rsidRPr="002C23C4" w:rsidR="00541D0B">
        <w:t xml:space="preserve"> </w:t>
      </w:r>
      <w:r w:rsidRPr="002C23C4" w:rsidR="00ED5AC0">
        <w:t xml:space="preserve">under </w:t>
      </w:r>
      <w:bookmarkStart w:id="41" w:name="Psych_Cite_31"/>
      <w:r w:rsidRPr="002C23C4" w:rsidR="00ED5AC0">
        <w:t>section 12022.53(e)</w:t>
      </w:r>
      <w:bookmarkEnd w:id="41"/>
      <w:r w:rsidR="005956F4">
        <w:t xml:space="preserve"> that </w:t>
      </w:r>
      <w:r w:rsidRPr="002C23C4" w:rsidR="00990EE8">
        <w:t>were not</w:t>
      </w:r>
      <w:r w:rsidRPr="002C23C4" w:rsidR="00147694">
        <w:t xml:space="preserve"> </w:t>
      </w:r>
      <w:r w:rsidRPr="002C23C4" w:rsidR="00541D0B">
        <w:t>pleaded in</w:t>
      </w:r>
      <w:r w:rsidRPr="002C23C4" w:rsidR="006F6311">
        <w:t xml:space="preserve"> connection with the relevant counts</w:t>
      </w:r>
      <w:r w:rsidRPr="002C23C4" w:rsidR="00707F8A">
        <w:t>.</w:t>
      </w:r>
    </w:p>
    <w:p w:rsidR="00C902A0" w:rsidRPr="002C23C4" w:rsidP="00AB174F">
      <w:pPr>
        <w:pStyle w:val="Heading1"/>
      </w:pPr>
      <w:r w:rsidRPr="002C23C4">
        <w:t>II.</w:t>
      </w:r>
    </w:p>
    <w:p w:rsidR="00354C14" w:rsidRPr="002C23C4" w:rsidP="00AB174F">
      <w:r w:rsidRPr="002C23C4">
        <w:tab/>
      </w:r>
      <w:r w:rsidR="0029567E">
        <w:t xml:space="preserve">As a rule, </w:t>
      </w:r>
      <w:r w:rsidRPr="002C23C4" w:rsidR="00D25484">
        <w:t>a</w:t>
      </w:r>
      <w:r w:rsidRPr="002C23C4" w:rsidR="00425159">
        <w:t>ll</w:t>
      </w:r>
      <w:r w:rsidRPr="002C23C4" w:rsidR="00D25484">
        <w:t xml:space="preserve"> sentence enhancement</w:t>
      </w:r>
      <w:r w:rsidRPr="002C23C4" w:rsidR="00425159">
        <w:t>s</w:t>
      </w:r>
      <w:r w:rsidRPr="002C23C4" w:rsidR="00D25484">
        <w:t xml:space="preserve"> </w:t>
      </w:r>
      <w:r w:rsidRPr="002C23C4" w:rsidR="0068666D">
        <w:t>“</w:t>
      </w:r>
      <w:r w:rsidRPr="002C23C4" w:rsidR="00A669BC">
        <w:t xml:space="preserve">shall </w:t>
      </w:r>
      <w:r w:rsidRPr="002C23C4" w:rsidR="0068666D">
        <w:t xml:space="preserve">be alleged in the accusatory pleading and either admitted by the defendant in open </w:t>
      </w:r>
      <w:r w:rsidRPr="002C23C4" w:rsidR="00D25484">
        <w:t xml:space="preserve">court or found </w:t>
      </w:r>
      <w:r w:rsidRPr="002C23C4" w:rsidR="00A4021B">
        <w:t xml:space="preserve">to be </w:t>
      </w:r>
      <w:r w:rsidRPr="002C23C4" w:rsidR="00D25484">
        <w:t>true by the trier of fact.</w:t>
      </w:r>
      <w:r w:rsidRPr="002C23C4" w:rsidR="0068666D">
        <w:t>”</w:t>
      </w:r>
      <w:r w:rsidRPr="002C23C4" w:rsidR="00D25484">
        <w:t xml:space="preserve"> </w:t>
      </w:r>
      <w:r w:rsidR="00235E89">
        <w:t xml:space="preserve"> </w:t>
      </w:r>
      <w:r w:rsidRPr="002C23C4" w:rsidR="00D25484">
        <w:t>(</w:t>
      </w:r>
      <w:bookmarkStart w:id="42" w:name="Psych_Cite_32"/>
      <w:r w:rsidRPr="002C23C4" w:rsidR="00D25484">
        <w:t>Pen. Code, §</w:t>
      </w:r>
      <w:r w:rsidRPr="002C23C4" w:rsidR="00B12CB4">
        <w:t> </w:t>
      </w:r>
      <w:r w:rsidRPr="002C23C4" w:rsidR="00D25484">
        <w:t>1170.1, subd. (e)</w:t>
      </w:r>
      <w:r w:rsidRPr="002C23C4" w:rsidR="00882775">
        <w:t xml:space="preserve"> (section 1170.1(e))</w:t>
      </w:r>
      <w:bookmarkEnd w:id="42"/>
      <w:r w:rsidRPr="002C23C4" w:rsidR="00D25484">
        <w:t>.)</w:t>
      </w:r>
      <w:r w:rsidRPr="002C23C4" w:rsidR="00A61D06">
        <w:t xml:space="preserve"> </w:t>
      </w:r>
      <w:r w:rsidR="00235E89">
        <w:t xml:space="preserve"> </w:t>
      </w:r>
      <w:r w:rsidR="00EA447F">
        <w:t>Firearm</w:t>
      </w:r>
      <w:r w:rsidRPr="002C23C4" w:rsidR="00EA447F">
        <w:t xml:space="preserve"> </w:t>
      </w:r>
      <w:r w:rsidRPr="002C23C4" w:rsidR="004202B5">
        <w:t xml:space="preserve">enhancements under </w:t>
      </w:r>
      <w:bookmarkStart w:id="43" w:name="Psych_Cite_38"/>
      <w:r w:rsidRPr="002C23C4" w:rsidR="004202B5">
        <w:t>section 12022.53(e)</w:t>
      </w:r>
      <w:bookmarkEnd w:id="43"/>
      <w:r w:rsidRPr="002C23C4" w:rsidR="004202B5">
        <w:t xml:space="preserve"> are no exception</w:t>
      </w:r>
      <w:r w:rsidRPr="002C23C4" w:rsidR="001E5754">
        <w:t xml:space="preserve"> to this rule</w:t>
      </w:r>
      <w:r w:rsidRPr="002C23C4" w:rsidR="004202B5">
        <w:t>.  Another statutory pleading provision</w:t>
      </w:r>
      <w:r w:rsidRPr="002C23C4" w:rsidR="001E5754">
        <w:t xml:space="preserve">, </w:t>
      </w:r>
      <w:r w:rsidRPr="002C23C4" w:rsidR="004202B5">
        <w:t xml:space="preserve">specific to </w:t>
      </w:r>
      <w:bookmarkStart w:id="44" w:name="Psych_Cite_39"/>
      <w:r w:rsidRPr="002C23C4" w:rsidR="00BD613F">
        <w:t>section 12022.53</w:t>
      </w:r>
      <w:bookmarkEnd w:id="44"/>
      <w:r w:rsidR="00EA447F">
        <w:t xml:space="preserve"> enhancements</w:t>
      </w:r>
      <w:r w:rsidRPr="002C23C4" w:rsidR="00BD613F">
        <w:t xml:space="preserve">, restates </w:t>
      </w:r>
      <w:r w:rsidRPr="002C23C4" w:rsidR="00C92F15">
        <w:t xml:space="preserve">the </w:t>
      </w:r>
      <w:r w:rsidRPr="002C23C4" w:rsidR="008A2175">
        <w:t xml:space="preserve">same basic </w:t>
      </w:r>
      <w:r w:rsidRPr="002C23C4" w:rsidR="0001668C">
        <w:t>point:  F</w:t>
      </w:r>
      <w:r w:rsidRPr="002C23C4" w:rsidR="00A4683C">
        <w:t xml:space="preserve">or any of the </w:t>
      </w:r>
      <w:r w:rsidRPr="002C23C4" w:rsidR="00AC2D7B">
        <w:t xml:space="preserve">firearm enhancements </w:t>
      </w:r>
      <w:r w:rsidRPr="002C23C4" w:rsidR="00A4683C">
        <w:t xml:space="preserve">prescribed by </w:t>
      </w:r>
      <w:bookmarkStart w:id="45" w:name="Psych_Cite_40"/>
      <w:r w:rsidRPr="002C23C4" w:rsidR="00AC2D7B">
        <w:t>section 12022.53</w:t>
      </w:r>
      <w:bookmarkEnd w:id="45"/>
      <w:r w:rsidRPr="002C23C4" w:rsidR="00AC2D7B">
        <w:t xml:space="preserve"> </w:t>
      </w:r>
      <w:r w:rsidRPr="002C23C4" w:rsidR="00A4683C">
        <w:t>to apply, “the existence of any fact required [by the relevant provision] shall be alleged in the accusatory pleading and either admitted by the defendant in open court or found to be true by the trier of fact.”  (</w:t>
      </w:r>
      <w:bookmarkStart w:id="46" w:name="Psych_Cite_34"/>
      <w:r w:rsidRPr="002C23C4" w:rsidR="00A4683C">
        <w:t>§</w:t>
      </w:r>
      <w:r w:rsidRPr="002C23C4" w:rsidR="00B12CB4">
        <w:t> </w:t>
      </w:r>
      <w:r w:rsidRPr="002C23C4" w:rsidR="00A4683C">
        <w:t>12022.53, subd</w:t>
      </w:r>
      <w:bookmarkEnd w:id="46"/>
      <w:r w:rsidRPr="002C23C4" w:rsidR="00A4683C">
        <w:t>. (j)</w:t>
      </w:r>
      <w:r w:rsidRPr="002C23C4" w:rsidR="008C6177">
        <w:t xml:space="preserve">; </w:t>
      </w:r>
      <w:bookmarkStart w:id="47" w:name="Psych_Cite_36"/>
      <w:r w:rsidRPr="002C23C4" w:rsidR="008C6177">
        <w:t xml:space="preserve">see </w:t>
      </w:r>
      <w:r w:rsidR="00C80CB9">
        <w:rPr>
          <w:i/>
          <w:iCs/>
        </w:rPr>
        <w:t xml:space="preserve">People v. </w:t>
      </w:r>
      <w:r w:rsidRPr="002C23C4" w:rsidR="008C6177">
        <w:rPr>
          <w:i/>
        </w:rPr>
        <w:t>Garcia</w:t>
      </w:r>
      <w:r w:rsidRPr="002C23C4" w:rsidR="008C6177">
        <w:t xml:space="preserve">, </w:t>
      </w:r>
      <w:r w:rsidRPr="002C23C4" w:rsidR="008C6177">
        <w:rPr>
          <w:i/>
        </w:rPr>
        <w:t>supra</w:t>
      </w:r>
      <w:r w:rsidRPr="002C23C4" w:rsidR="008C6177">
        <w:t>, 28 Cal.4th at p.</w:t>
      </w:r>
      <w:r w:rsidRPr="002C23C4" w:rsidR="00B12CB4">
        <w:t> </w:t>
      </w:r>
      <w:r w:rsidRPr="002C23C4" w:rsidR="008C6177">
        <w:t xml:space="preserve">1175 </w:t>
      </w:r>
      <w:r w:rsidRPr="002C23C4" w:rsidR="00200C66">
        <w:t>[describing this provision as “simply a restatement of section 1170.1</w:t>
      </w:r>
      <w:r w:rsidRPr="002C23C4" w:rsidR="00A4021B">
        <w:t>[</w:t>
      </w:r>
      <w:r w:rsidR="00714670">
        <w:t>]</w:t>
      </w:r>
      <w:r w:rsidRPr="002C23C4" w:rsidR="00200C66">
        <w:t>(e)</w:t>
      </w:r>
      <w:bookmarkEnd w:id="47"/>
      <w:r w:rsidRPr="002C23C4" w:rsidR="006A0148">
        <w:t>”</w:t>
      </w:r>
      <w:r w:rsidRPr="002C23C4" w:rsidR="00200C66">
        <w:t>].)</w:t>
      </w:r>
      <w:r w:rsidRPr="002C23C4" w:rsidR="000A4EC3">
        <w:t xml:space="preserve">  </w:t>
      </w:r>
      <w:r w:rsidRPr="002C23C4" w:rsidR="001E5754">
        <w:t xml:space="preserve">And </w:t>
      </w:r>
      <w:r w:rsidR="00C04D61">
        <w:t xml:space="preserve">still </w:t>
      </w:r>
      <w:r w:rsidRPr="002C23C4" w:rsidR="001E5754">
        <w:t xml:space="preserve">another statutory provision, specific to the particular vicarious liability </w:t>
      </w:r>
      <w:r w:rsidR="00B26073">
        <w:t xml:space="preserve">firearm </w:t>
      </w:r>
      <w:r w:rsidRPr="002C23C4" w:rsidR="00572E2B">
        <w:t xml:space="preserve">enhancement </w:t>
      </w:r>
      <w:r w:rsidR="00A01A91">
        <w:t>at issue</w:t>
      </w:r>
      <w:r w:rsidRPr="002C23C4" w:rsidR="00A01A91">
        <w:t xml:space="preserve"> </w:t>
      </w:r>
      <w:r w:rsidRPr="002C23C4" w:rsidR="001E5754">
        <w:t xml:space="preserve">here, </w:t>
      </w:r>
      <w:r w:rsidRPr="002C23C4" w:rsidR="003912F2">
        <w:t xml:space="preserve">sets out </w:t>
      </w:r>
      <w:r w:rsidRPr="002C23C4" w:rsidR="001E5754">
        <w:t xml:space="preserve">its own </w:t>
      </w:r>
      <w:r w:rsidRPr="002C23C4" w:rsidR="00234518">
        <w:t>pleading</w:t>
      </w:r>
      <w:r w:rsidRPr="002C23C4" w:rsidR="00631052">
        <w:t xml:space="preserve"> </w:t>
      </w:r>
      <w:r w:rsidRPr="002C23C4" w:rsidR="00234518">
        <w:t>requirement</w:t>
      </w:r>
      <w:r w:rsidRPr="002C23C4" w:rsidR="001E5754">
        <w:t>s</w:t>
      </w:r>
      <w:r w:rsidRPr="002C23C4" w:rsidR="00234518">
        <w:t xml:space="preserve">:  </w:t>
      </w:r>
      <w:bookmarkStart w:id="48" w:name="Psych_Cite_42"/>
      <w:r w:rsidRPr="002C23C4" w:rsidR="00335126">
        <w:t>Section 12022.53(e</w:t>
      </w:r>
      <w:bookmarkEnd w:id="48"/>
      <w:r w:rsidRPr="002C23C4" w:rsidR="00335126">
        <w:t xml:space="preserve">) </w:t>
      </w:r>
      <w:r w:rsidRPr="002C23C4" w:rsidR="00B767AE">
        <w:t>says</w:t>
      </w:r>
      <w:r w:rsidRPr="002C23C4" w:rsidR="00076C24">
        <w:t xml:space="preserve"> the </w:t>
      </w:r>
      <w:r w:rsidRPr="002C23C4" w:rsidR="00335126">
        <w:t xml:space="preserve">vicarious liability </w:t>
      </w:r>
      <w:r w:rsidRPr="002C23C4" w:rsidR="00B767AE">
        <w:t>enhancement</w:t>
      </w:r>
      <w:r w:rsidRPr="002C23C4" w:rsidR="00E03F8A">
        <w:t>s</w:t>
      </w:r>
      <w:r w:rsidRPr="002C23C4" w:rsidR="008C7D3B">
        <w:t xml:space="preserve"> </w:t>
      </w:r>
      <w:r w:rsidRPr="002C23C4" w:rsidR="006339B7">
        <w:t>shall apply</w:t>
      </w:r>
      <w:r w:rsidRPr="002C23C4" w:rsidR="00B767AE">
        <w:t xml:space="preserve"> </w:t>
      </w:r>
      <w:r w:rsidRPr="002C23C4" w:rsidR="00105F0F">
        <w:t xml:space="preserve">only </w:t>
      </w:r>
      <w:r w:rsidRPr="002C23C4" w:rsidR="00B767AE">
        <w:t xml:space="preserve">if </w:t>
      </w:r>
      <w:r w:rsidRPr="002C23C4" w:rsidR="00B428AE">
        <w:t>the prosecution has</w:t>
      </w:r>
      <w:r w:rsidRPr="002C23C4" w:rsidR="00B767AE">
        <w:t xml:space="preserve"> </w:t>
      </w:r>
      <w:r w:rsidRPr="002C23C4" w:rsidR="004579CF">
        <w:t>both</w:t>
      </w:r>
      <w:r w:rsidRPr="002C23C4" w:rsidR="00B767AE">
        <w:t xml:space="preserve"> “</w:t>
      </w:r>
      <w:bookmarkStart w:id="49" w:name="QUOTE_BOOKMARK_IS_CONFIRMED_2"/>
      <w:r w:rsidR="005D0673">
        <w:t>pled and proved</w:t>
      </w:r>
      <w:bookmarkEnd w:id="49"/>
      <w:r w:rsidRPr="002C23C4" w:rsidR="00B767AE">
        <w:t xml:space="preserve">” that the defendant </w:t>
      </w:r>
      <w:r w:rsidRPr="002C23C4" w:rsidR="008C7D3B">
        <w:t>committed a felony on behalf of a street gang (</w:t>
      </w:r>
      <w:bookmarkStart w:id="50" w:name="Psych_Cite_33"/>
      <w:r w:rsidRPr="002C23C4" w:rsidR="008C7D3B">
        <w:t xml:space="preserve">see </w:t>
      </w:r>
      <w:r w:rsidRPr="002C23C4" w:rsidR="00026DBE">
        <w:t>Pen</w:t>
      </w:r>
      <w:r w:rsidRPr="002C23C4" w:rsidR="00B12CB4">
        <w:t>.</w:t>
      </w:r>
      <w:r w:rsidRPr="002C23C4" w:rsidR="00026DBE">
        <w:t xml:space="preserve"> Code</w:t>
      </w:r>
      <w:r w:rsidRPr="002C23C4" w:rsidR="00B12CB4">
        <w:t>,</w:t>
      </w:r>
      <w:r w:rsidRPr="002C23C4" w:rsidR="00026DBE">
        <w:t xml:space="preserve"> </w:t>
      </w:r>
      <w:r w:rsidRPr="002C23C4" w:rsidR="008C7D3B">
        <w:t>§</w:t>
      </w:r>
      <w:r w:rsidRPr="002C23C4" w:rsidR="00B12CB4">
        <w:t> </w:t>
      </w:r>
      <w:r w:rsidRPr="002C23C4" w:rsidR="008C7D3B">
        <w:t>186.2</w:t>
      </w:r>
      <w:bookmarkEnd w:id="50"/>
      <w:r w:rsidRPr="002C23C4" w:rsidR="008C7D3B">
        <w:t>2) and</w:t>
      </w:r>
      <w:r w:rsidRPr="002C23C4" w:rsidR="005A50A1">
        <w:t xml:space="preserve"> that</w:t>
      </w:r>
      <w:r w:rsidRPr="002C23C4" w:rsidR="008C7D3B">
        <w:t xml:space="preserve"> a “principal </w:t>
      </w:r>
      <w:r w:rsidRPr="002C23C4" w:rsidR="00A4021B">
        <w:t>in</w:t>
      </w:r>
      <w:r w:rsidRPr="002C23C4" w:rsidR="008C7D3B">
        <w:t xml:space="preserve"> the offense committed any act specified in subdivision (b), (c), or (d)”</w:t>
      </w:r>
      <w:r w:rsidR="00446ACE">
        <w:t xml:space="preserve"> </w:t>
      </w:r>
      <w:r w:rsidRPr="002C23C4" w:rsidR="000C046A">
        <w:t>—</w:t>
      </w:r>
      <w:r w:rsidR="00446ACE">
        <w:t xml:space="preserve"> </w:t>
      </w:r>
      <w:r w:rsidRPr="002C23C4" w:rsidR="000C046A">
        <w:t>that is, an act that would trigger a firearm enhancement</w:t>
      </w:r>
      <w:r w:rsidRPr="002C23C4" w:rsidR="00B65E9B">
        <w:t xml:space="preserve"> </w:t>
      </w:r>
      <w:r w:rsidRPr="002C23C4" w:rsidR="004222B5">
        <w:t>had the defendant committed that act</w:t>
      </w:r>
      <w:r w:rsidRPr="002C23C4" w:rsidR="00834582">
        <w:t xml:space="preserve"> personally</w:t>
      </w:r>
      <w:r w:rsidRPr="002C23C4" w:rsidR="004222B5">
        <w:t xml:space="preserve">.  </w:t>
      </w:r>
      <w:r w:rsidRPr="002C23C4" w:rsidR="003404DD">
        <w:t>(</w:t>
      </w:r>
      <w:bookmarkStart w:id="51" w:name="Psych_Cite_35"/>
      <w:r w:rsidRPr="002C23C4" w:rsidR="003404DD">
        <w:t>§</w:t>
      </w:r>
      <w:r w:rsidRPr="002C23C4" w:rsidR="00B12CB4">
        <w:t> </w:t>
      </w:r>
      <w:r w:rsidRPr="002C23C4" w:rsidR="003404DD">
        <w:t>12022.53</w:t>
      </w:r>
      <w:bookmarkEnd w:id="51"/>
      <w:r w:rsidRPr="002C23C4" w:rsidR="003404DD">
        <w:t>(e)(1).)</w:t>
      </w:r>
    </w:p>
    <w:p w:rsidR="00404044" w:rsidRPr="002C23C4" w:rsidP="00AB174F">
      <w:r w:rsidRPr="002C23C4">
        <w:tab/>
      </w:r>
      <w:r w:rsidRPr="002C23C4" w:rsidR="00F7490D">
        <w:t>Be</w:t>
      </w:r>
      <w:r w:rsidRPr="002C23C4" w:rsidR="00FA2412">
        <w:t xml:space="preserve">neath </w:t>
      </w:r>
      <w:r w:rsidRPr="002C23C4" w:rsidR="00FF60A6">
        <w:t xml:space="preserve">all three statutory pleading requirements </w:t>
      </w:r>
      <w:r w:rsidRPr="002C23C4" w:rsidR="00AD17E0">
        <w:t>lies a bedrock principle</w:t>
      </w:r>
      <w:r w:rsidRPr="002C23C4" w:rsidR="00D16A30">
        <w:t xml:space="preserve"> of due process</w:t>
      </w:r>
      <w:r w:rsidRPr="002C23C4" w:rsidR="00EB0734">
        <w:t>.</w:t>
      </w:r>
      <w:r w:rsidRPr="002C23C4" w:rsidR="00B52597">
        <w:t xml:space="preserve">  “</w:t>
      </w:r>
      <w:bookmarkStart w:id="52" w:name="QUOTE_BOOKMARK_IS_CONFIRMED_3"/>
      <w:r w:rsidR="00881B8C">
        <w:t> </w:t>
      </w:r>
      <w:r w:rsidR="005D0673">
        <w:t>‘No principle of procedural due process is more clearly established than that notice of the specific charge, and a chance to be heard in a trial of the issues raised by that charge, if desired, are among the constitutional rights of every accused in a criminal proceeding in all courts, state or federal.’  [Citations.]  ‘A criminal defendant must be given fair notice of the charges against him in order that he may have a reasonable opportunity properly to prepare a defense and avoid unfair surprise at trial.’</w:t>
      </w:r>
      <w:r w:rsidR="0002491C">
        <w:t> </w:t>
      </w:r>
      <w:bookmarkEnd w:id="52"/>
      <w:r w:rsidRPr="002C23C4" w:rsidR="00B52597">
        <w:t xml:space="preserve">”  </w:t>
      </w:r>
      <w:bookmarkStart w:id="53" w:name="_Hlk43814773"/>
      <w:r w:rsidRPr="002C23C4" w:rsidR="00B52597">
        <w:t>(</w:t>
      </w:r>
      <w:bookmarkStart w:id="54" w:name="Psych_Cite_43"/>
      <w:r w:rsidRPr="002C23C4" w:rsidR="00B52597">
        <w:rPr>
          <w:i/>
        </w:rPr>
        <w:t>People v. Toro</w:t>
      </w:r>
      <w:r w:rsidRPr="002C23C4" w:rsidR="00B52597">
        <w:t xml:space="preserve"> (1989) 47 Cal.3d 966, 973</w:t>
      </w:r>
      <w:r w:rsidRPr="002C23C4" w:rsidR="00345651">
        <w:t xml:space="preserve"> (</w:t>
      </w:r>
      <w:r w:rsidRPr="002C23C4" w:rsidR="00345651">
        <w:rPr>
          <w:i/>
        </w:rPr>
        <w:t>Toro</w:t>
      </w:r>
      <w:r w:rsidRPr="002C23C4" w:rsidR="00345651">
        <w:t>)</w:t>
      </w:r>
      <w:bookmarkEnd w:id="54"/>
      <w:r w:rsidRPr="002C23C4" w:rsidR="00B52597">
        <w:t>.)</w:t>
      </w:r>
      <w:r w:rsidRPr="002C23C4" w:rsidR="00BF0A06">
        <w:t xml:space="preserve">  </w:t>
      </w:r>
      <w:bookmarkEnd w:id="53"/>
      <w:r w:rsidRPr="002C23C4" w:rsidR="00723B82">
        <w:t>Th</w:t>
      </w:r>
      <w:r w:rsidRPr="002C23C4" w:rsidR="00BF0486">
        <w:t xml:space="preserve">is goes for sentence enhancements as well as </w:t>
      </w:r>
      <w:r w:rsidRPr="002C23C4" w:rsidR="008B2CFD">
        <w:t>substantive offenses</w:t>
      </w:r>
      <w:r w:rsidRPr="002C23C4" w:rsidR="002F71CA">
        <w:t xml:space="preserve">:  A defendant </w:t>
      </w:r>
      <w:r w:rsidRPr="002C23C4" w:rsidR="0010641B">
        <w:t xml:space="preserve">has the </w:t>
      </w:r>
      <w:r w:rsidRPr="002C23C4" w:rsidR="006A3831">
        <w:t>“</w:t>
      </w:r>
      <w:r w:rsidRPr="002C23C4" w:rsidR="009E3A66">
        <w:t>right to fair notice of the specific sentence enhancement allegations that will be invoked to increase punishment for his crimes.”  (</w:t>
      </w:r>
      <w:bookmarkStart w:id="55" w:name="Psych_Cite_44"/>
      <w:r w:rsidRPr="002C23C4" w:rsidR="009E3A66">
        <w:rPr>
          <w:i/>
        </w:rPr>
        <w:t>Mancebo</w:t>
      </w:r>
      <w:r w:rsidRPr="002C23C4" w:rsidR="00EB5C12">
        <w:t xml:space="preserve">, </w:t>
      </w:r>
      <w:r w:rsidRPr="002C23C4" w:rsidR="00EB5C12">
        <w:rPr>
          <w:i/>
        </w:rPr>
        <w:t>supra</w:t>
      </w:r>
      <w:r w:rsidRPr="002C23C4" w:rsidR="00EB5C12">
        <w:t>,</w:t>
      </w:r>
      <w:r w:rsidRPr="002C23C4" w:rsidR="009E3A66">
        <w:t xml:space="preserve"> 27 Cal.4th </w:t>
      </w:r>
      <w:r w:rsidRPr="002C23C4" w:rsidR="00EB5C12">
        <w:t>at p.</w:t>
      </w:r>
      <w:r w:rsidRPr="002C23C4" w:rsidR="00B12CB4">
        <w:t> </w:t>
      </w:r>
      <w:r w:rsidRPr="002C23C4" w:rsidR="009E3A66">
        <w:t>747</w:t>
      </w:r>
      <w:bookmarkEnd w:id="55"/>
      <w:r w:rsidRPr="002C23C4" w:rsidR="00F7490D">
        <w:t>.</w:t>
      </w:r>
      <w:r w:rsidRPr="002C23C4" w:rsidR="003C59DF">
        <w:t>)</w:t>
      </w:r>
      <w:r w:rsidRPr="002C23C4" w:rsidR="008F01EF">
        <w:t xml:space="preserve">  </w:t>
      </w:r>
    </w:p>
    <w:p w:rsidR="00C0601B" w:rsidRPr="002C23C4" w:rsidP="00AB174F">
      <w:r w:rsidRPr="002C23C4">
        <w:tab/>
      </w:r>
      <w:r w:rsidRPr="002C23C4" w:rsidR="000B5E0C">
        <w:t xml:space="preserve">The question before us is whether the accusatory pleading </w:t>
      </w:r>
      <w:r w:rsidRPr="002C23C4" w:rsidR="00C32F30">
        <w:t xml:space="preserve">in this case </w:t>
      </w:r>
      <w:r w:rsidRPr="002C23C4" w:rsidR="00990EE8">
        <w:t xml:space="preserve">gave </w:t>
      </w:r>
      <w:r w:rsidR="00B22C3F">
        <w:t>Anderson</w:t>
      </w:r>
      <w:r w:rsidRPr="002C23C4" w:rsidR="000B5E0C">
        <w:t xml:space="preserve"> adequate notice</w:t>
      </w:r>
      <w:r w:rsidRPr="002C23C4" w:rsidR="00631052">
        <w:t xml:space="preserve"> of the allegations that </w:t>
      </w:r>
      <w:r w:rsidR="00220614">
        <w:t xml:space="preserve">were ultimately </w:t>
      </w:r>
      <w:r w:rsidRPr="002C23C4" w:rsidR="00631052">
        <w:t xml:space="preserve">invoked </w:t>
      </w:r>
      <w:r w:rsidRPr="002C23C4" w:rsidR="0034556B">
        <w:t xml:space="preserve">to add </w:t>
      </w:r>
      <w:r w:rsidR="00220614">
        <w:t xml:space="preserve">at least </w:t>
      </w:r>
      <w:r w:rsidRPr="002C23C4" w:rsidR="0034556B">
        <w:t>125 years</w:t>
      </w:r>
      <w:r w:rsidR="00220614">
        <w:t xml:space="preserve"> </w:t>
      </w:r>
      <w:r w:rsidRPr="002C23C4" w:rsidR="0034556B">
        <w:t xml:space="preserve">to </w:t>
      </w:r>
      <w:r w:rsidR="00A01A91">
        <w:t xml:space="preserve">his </w:t>
      </w:r>
      <w:r w:rsidRPr="002C23C4" w:rsidR="0034556B">
        <w:t>sentence</w:t>
      </w:r>
      <w:r w:rsidRPr="002C23C4" w:rsidR="000B5E0C">
        <w:t>.</w:t>
      </w:r>
      <w:r w:rsidRPr="002C23C4">
        <w:t xml:space="preserve">  </w:t>
      </w:r>
      <w:r w:rsidRPr="002C23C4" w:rsidR="000B5E0C">
        <w:t>T</w:t>
      </w:r>
      <w:r w:rsidRPr="002C23C4" w:rsidR="003119B7">
        <w:t xml:space="preserve">he information </w:t>
      </w:r>
      <w:r w:rsidRPr="002C23C4" w:rsidR="000B5E0C">
        <w:t xml:space="preserve">alleged </w:t>
      </w:r>
      <w:r w:rsidRPr="002C23C4" w:rsidR="003119B7">
        <w:t xml:space="preserve">a </w:t>
      </w:r>
      <w:bookmarkStart w:id="56" w:name="Psych_Cite_45"/>
      <w:r w:rsidRPr="002C23C4" w:rsidR="003119B7">
        <w:t>section 12022.53(e)</w:t>
      </w:r>
      <w:bookmarkEnd w:id="56"/>
      <w:r w:rsidRPr="002C23C4" w:rsidR="003119B7">
        <w:t xml:space="preserve"> </w:t>
      </w:r>
      <w:r w:rsidR="00EA447F">
        <w:t xml:space="preserve">vicarious liability </w:t>
      </w:r>
      <w:r w:rsidRPr="002C23C4" w:rsidR="003119B7">
        <w:t>enhancement as to the murder count but not as to the robbery counts.</w:t>
      </w:r>
      <w:r w:rsidRPr="002C23C4" w:rsidR="00EC7699">
        <w:t xml:space="preserve">  </w:t>
      </w:r>
      <w:r w:rsidRPr="002C23C4" w:rsidR="00E725AA">
        <w:t xml:space="preserve">Both parties </w:t>
      </w:r>
      <w:r w:rsidRPr="002C23C4" w:rsidR="00E577B7">
        <w:t xml:space="preserve">now </w:t>
      </w:r>
      <w:r w:rsidRPr="002C23C4" w:rsidR="00404B07">
        <w:t xml:space="preserve">agree </w:t>
      </w:r>
      <w:r w:rsidRPr="002C23C4" w:rsidR="008D02AC">
        <w:t xml:space="preserve">that </w:t>
      </w:r>
      <w:r w:rsidR="00A728B4">
        <w:t xml:space="preserve">the operative information did not provide </w:t>
      </w:r>
      <w:r w:rsidR="00B22C3F">
        <w:t>Anderson</w:t>
      </w:r>
      <w:r w:rsidRPr="002C23C4" w:rsidR="008D02AC">
        <w:t xml:space="preserve"> with </w:t>
      </w:r>
      <w:r w:rsidRPr="002C23C4" w:rsidR="00243375">
        <w:t xml:space="preserve">statutorily </w:t>
      </w:r>
      <w:r w:rsidRPr="002C23C4" w:rsidR="008D02AC">
        <w:t xml:space="preserve">adequate notice </w:t>
      </w:r>
      <w:r w:rsidRPr="002C23C4" w:rsidR="005D2F03">
        <w:t xml:space="preserve">that the prosecution </w:t>
      </w:r>
      <w:r w:rsidR="00283862">
        <w:t>would seek</w:t>
      </w:r>
      <w:r w:rsidRPr="002C23C4" w:rsidR="00283862">
        <w:t xml:space="preserve"> </w:t>
      </w:r>
      <w:r w:rsidRPr="002C23C4" w:rsidR="005D2F03">
        <w:t xml:space="preserve">to invoke </w:t>
      </w:r>
      <w:r w:rsidR="00EA447F">
        <w:t xml:space="preserve">vicarious liability </w:t>
      </w:r>
      <w:r w:rsidRPr="002C23C4" w:rsidR="00786337">
        <w:t>enhancements</w:t>
      </w:r>
      <w:r w:rsidR="00283862">
        <w:t xml:space="preserve"> </w:t>
      </w:r>
      <w:r w:rsidR="00227038">
        <w:t xml:space="preserve">as to each of the robberies.  </w:t>
      </w:r>
      <w:r w:rsidR="00E55381">
        <w:t>We</w:t>
      </w:r>
      <w:r w:rsidRPr="002C23C4" w:rsidR="00E55381">
        <w:t xml:space="preserve"> </w:t>
      </w:r>
      <w:r w:rsidRPr="002C23C4" w:rsidR="00E725AA">
        <w:t>agree as well.</w:t>
      </w:r>
    </w:p>
    <w:p w:rsidR="000B4438" w:rsidRPr="002C23C4" w:rsidP="00AB174F">
      <w:r w:rsidRPr="002C23C4">
        <w:tab/>
      </w:r>
      <w:r w:rsidRPr="002C23C4" w:rsidR="00C55C16">
        <w:t xml:space="preserve">The starting point for our inquiry is </w:t>
      </w:r>
      <w:bookmarkStart w:id="57" w:name="Psych_Cite_50"/>
      <w:r w:rsidRPr="002C23C4" w:rsidR="008D02AC">
        <w:rPr>
          <w:i/>
        </w:rPr>
        <w:t>Mancebo</w:t>
      </w:r>
      <w:bookmarkEnd w:id="57"/>
      <w:r w:rsidRPr="002C23C4" w:rsidR="00E15350">
        <w:t>.  That case</w:t>
      </w:r>
      <w:r w:rsidRPr="002C23C4" w:rsidR="00AF14F7">
        <w:t xml:space="preserve"> concerned the pleading requirements </w:t>
      </w:r>
      <w:r w:rsidRPr="002C23C4" w:rsidR="00C55C16">
        <w:t xml:space="preserve">under </w:t>
      </w:r>
      <w:r w:rsidRPr="002C23C4" w:rsidR="00AF14F7">
        <w:t xml:space="preserve">the One Strike </w:t>
      </w:r>
      <w:r w:rsidRPr="002C23C4" w:rsidR="00273923">
        <w:t>l</w:t>
      </w:r>
      <w:r w:rsidRPr="002C23C4" w:rsidR="00AF14F7">
        <w:t xml:space="preserve">aw, </w:t>
      </w:r>
      <w:bookmarkStart w:id="58" w:name="Psych_Cite_46"/>
      <w:r w:rsidRPr="002C23C4" w:rsidR="00AF14F7">
        <w:t xml:space="preserve">Penal Code section 667.61 </w:t>
      </w:r>
      <w:bookmarkStart w:id="59" w:name="_Hlk43814518"/>
      <w:r w:rsidRPr="002C23C4" w:rsidR="00AF14F7">
        <w:t>(section 667.61)</w:t>
      </w:r>
      <w:bookmarkEnd w:id="58"/>
      <w:bookmarkEnd w:id="59"/>
      <w:r w:rsidRPr="002C23C4" w:rsidR="008D27AC">
        <w:t xml:space="preserve">, </w:t>
      </w:r>
      <w:r w:rsidRPr="002C23C4" w:rsidR="00273923">
        <w:t>which provides an alternative, more severe set of penalties for certain sex offenses committed under certain enumerated circumstances</w:t>
      </w:r>
      <w:r w:rsidRPr="002C23C4" w:rsidR="00AF14F7">
        <w:t xml:space="preserve">.  We held </w:t>
      </w:r>
      <w:r w:rsidRPr="002C23C4" w:rsidR="00273923">
        <w:t xml:space="preserve">in </w:t>
      </w:r>
      <w:r w:rsidRPr="002C23C4" w:rsidR="00273923">
        <w:rPr>
          <w:i/>
        </w:rPr>
        <w:t>Mancebo</w:t>
      </w:r>
      <w:r w:rsidRPr="002C23C4" w:rsidR="00273923">
        <w:t xml:space="preserve"> </w:t>
      </w:r>
      <w:r w:rsidRPr="002C23C4" w:rsidR="008D02AC">
        <w:t>that the trial court had erred by imposing a One Strike sentence based on an unple</w:t>
      </w:r>
      <w:r w:rsidRPr="002C23C4" w:rsidR="00875B55">
        <w:t>aded</w:t>
      </w:r>
      <w:r w:rsidRPr="002C23C4" w:rsidR="008D02AC">
        <w:t xml:space="preserve"> multiple victim circumstance</w:t>
      </w:r>
      <w:r w:rsidRPr="002C23C4" w:rsidR="00AF14F7">
        <w:t xml:space="preserve">.  </w:t>
      </w:r>
      <w:r w:rsidRPr="002C23C4" w:rsidR="008D02AC">
        <w:t>(</w:t>
      </w:r>
      <w:bookmarkStart w:id="60" w:name="Psych_Cite_51"/>
      <w:r w:rsidRPr="002C23C4" w:rsidR="008D02AC">
        <w:rPr>
          <w:i/>
        </w:rPr>
        <w:t>Mancebo</w:t>
      </w:r>
      <w:r w:rsidRPr="002C23C4" w:rsidR="008D02AC">
        <w:t xml:space="preserve">, </w:t>
      </w:r>
      <w:r w:rsidRPr="002C23C4" w:rsidR="008D02AC">
        <w:rPr>
          <w:i/>
        </w:rPr>
        <w:t>supra</w:t>
      </w:r>
      <w:r w:rsidRPr="002C23C4" w:rsidR="008D02AC">
        <w:t>, 27 Cal.4th at pp.</w:t>
      </w:r>
      <w:r w:rsidRPr="002C23C4" w:rsidR="009960AA">
        <w:t> </w:t>
      </w:r>
      <w:r w:rsidRPr="002C23C4" w:rsidR="008D02AC">
        <w:t>739–754</w:t>
      </w:r>
      <w:bookmarkEnd w:id="60"/>
      <w:r w:rsidRPr="002C23C4" w:rsidR="008D02AC">
        <w:t>.)</w:t>
      </w:r>
      <w:r w:rsidRPr="002C23C4" w:rsidR="00D06C0F">
        <w:t xml:space="preserve">  </w:t>
      </w:r>
      <w:r w:rsidRPr="002C23C4" w:rsidR="008D02AC">
        <w:t>We</w:t>
      </w:r>
      <w:r w:rsidRPr="002C23C4" w:rsidR="00990EE8">
        <w:t xml:space="preserve"> relied</w:t>
      </w:r>
      <w:r w:rsidRPr="002C23C4" w:rsidR="00C926D1">
        <w:t xml:space="preserve"> </w:t>
      </w:r>
      <w:r w:rsidRPr="002C23C4" w:rsidR="005657C2">
        <w:t xml:space="preserve">primarily on </w:t>
      </w:r>
      <w:r w:rsidRPr="002C23C4" w:rsidR="008D02AC">
        <w:t xml:space="preserve">the plain language of </w:t>
      </w:r>
      <w:bookmarkStart w:id="61" w:name="Psych_Cite_57"/>
      <w:r w:rsidRPr="002C23C4" w:rsidR="008D02AC">
        <w:t>section 667.61</w:t>
      </w:r>
      <w:bookmarkEnd w:id="61"/>
      <w:r w:rsidRPr="002C23C4" w:rsidR="008D02AC">
        <w:t>.  (</w:t>
      </w:r>
      <w:bookmarkStart w:id="62" w:name="Psych_Cite_52"/>
      <w:r w:rsidRPr="002C23C4" w:rsidR="00A4021B">
        <w:rPr>
          <w:i/>
        </w:rPr>
        <w:t>Mancebo</w:t>
      </w:r>
      <w:r w:rsidRPr="002C23C4" w:rsidR="00A4021B">
        <w:t>,</w:t>
      </w:r>
      <w:r w:rsidRPr="002C23C4" w:rsidR="008D02AC">
        <w:rPr>
          <w:i/>
        </w:rPr>
        <w:t xml:space="preserve"> </w:t>
      </w:r>
      <w:r w:rsidRPr="002C23C4" w:rsidR="008D02AC">
        <w:t>at p.</w:t>
      </w:r>
      <w:r w:rsidRPr="002C23C4" w:rsidR="009960AA">
        <w:t> </w:t>
      </w:r>
      <w:r w:rsidRPr="002C23C4" w:rsidR="008D02AC">
        <w:t>743</w:t>
      </w:r>
      <w:bookmarkEnd w:id="62"/>
      <w:r w:rsidRPr="002C23C4" w:rsidR="008D02AC">
        <w:t xml:space="preserve">.)  </w:t>
      </w:r>
      <w:bookmarkStart w:id="63" w:name="Psych_Cite_58"/>
      <w:r w:rsidRPr="002C23C4" w:rsidR="008D02AC">
        <w:t>Section 667.61, subdivision (i)</w:t>
      </w:r>
      <w:bookmarkEnd w:id="63"/>
      <w:r w:rsidRPr="002C23C4" w:rsidR="008D02AC">
        <w:t>, at the time, read:  “</w:t>
      </w:r>
      <w:bookmarkStart w:id="64" w:name="QUOTE_BOOKMARK_IS_CONFIRMED_4"/>
      <w:r w:rsidR="0002491C">
        <w:t> </w:t>
      </w:r>
      <w:r w:rsidR="005D0673">
        <w:t>‘For the penalties provided in this section to apply, the existence of any fact required under subdivision (d) or (e) shall be alleged in the accusatory pleading and either admitted by the defendant in open court or found to be true by the trier of fact.’</w:t>
      </w:r>
      <w:bookmarkEnd w:id="64"/>
      <w:r w:rsidR="00116F1F">
        <w:t> </w:t>
      </w:r>
      <w:r w:rsidRPr="002C23C4" w:rsidR="008D02AC">
        <w:t>”  (</w:t>
      </w:r>
      <w:bookmarkStart w:id="65" w:name="Psych_Cite_53"/>
      <w:r w:rsidRPr="00641626" w:rsidR="00641626">
        <w:rPr>
          <w:i/>
          <w:iCs/>
        </w:rPr>
        <w:t>Mancebo</w:t>
      </w:r>
      <w:r w:rsidR="00641626">
        <w:t xml:space="preserve">, </w:t>
      </w:r>
      <w:r w:rsidRPr="002C23C4" w:rsidR="008D02AC">
        <w:t>at p.</w:t>
      </w:r>
      <w:r w:rsidRPr="002C23C4" w:rsidR="00025FE2">
        <w:t> </w:t>
      </w:r>
      <w:r w:rsidRPr="002C23C4" w:rsidR="008D02AC">
        <w:t>74</w:t>
      </w:r>
      <w:r w:rsidRPr="002C23C4" w:rsidR="00A4021B">
        <w:t>2</w:t>
      </w:r>
      <w:r w:rsidRPr="002C23C4" w:rsidR="008D02AC">
        <w:t>, fn. 4, quoting §</w:t>
      </w:r>
      <w:r w:rsidRPr="002C23C4" w:rsidR="009960AA">
        <w:t> </w:t>
      </w:r>
      <w:r w:rsidRPr="002C23C4" w:rsidR="008D02AC">
        <w:t>667.61,</w:t>
      </w:r>
      <w:r w:rsidR="00641626">
        <w:t xml:space="preserve"> former </w:t>
      </w:r>
      <w:r w:rsidRPr="002C23C4" w:rsidR="008D02AC">
        <w:t>subd. (i)</w:t>
      </w:r>
      <w:r w:rsidR="0033582C">
        <w:t xml:space="preserve">, </w:t>
      </w:r>
      <w:r w:rsidRPr="002C23C4" w:rsidR="0033582C">
        <w:t xml:space="preserve">as amended by Stats. </w:t>
      </w:r>
      <w:r w:rsidR="0014240E">
        <w:t>1997</w:t>
      </w:r>
      <w:r w:rsidRPr="002C23C4" w:rsidR="0033582C">
        <w:t xml:space="preserve">, ch. </w:t>
      </w:r>
      <w:r w:rsidR="0014240E">
        <w:t>817</w:t>
      </w:r>
      <w:r w:rsidRPr="002C23C4" w:rsidR="0033582C">
        <w:t>, § </w:t>
      </w:r>
      <w:r w:rsidR="0014240E">
        <w:t>6</w:t>
      </w:r>
      <w:r w:rsidR="00DB35AC">
        <w:t>, p. 5577</w:t>
      </w:r>
      <w:r w:rsidRPr="002C23C4" w:rsidR="008D02AC">
        <w:t>.)  Section 667.61, subdivision (f)</w:t>
      </w:r>
      <w:bookmarkEnd w:id="65"/>
      <w:r w:rsidRPr="002C23C4" w:rsidR="008D02AC">
        <w:t xml:space="preserve"> </w:t>
      </w:r>
      <w:r w:rsidRPr="002C23C4" w:rsidR="009E22E6">
        <w:t xml:space="preserve">further </w:t>
      </w:r>
      <w:r w:rsidRPr="002C23C4" w:rsidR="008D02AC">
        <w:t xml:space="preserve">said that the </w:t>
      </w:r>
      <w:r w:rsidRPr="002C23C4" w:rsidR="00B725BB">
        <w:t>“</w:t>
      </w:r>
      <w:bookmarkStart w:id="66" w:name="QUOTE_BOOKMARK_IS_CONFIRMED_5"/>
      <w:r w:rsidR="00116F1F">
        <w:t> </w:t>
      </w:r>
      <w:r w:rsidR="005D0673">
        <w:t>‘circumstances . . . required for the punishment’</w:t>
      </w:r>
      <w:bookmarkEnd w:id="66"/>
      <w:r w:rsidR="00116F1F">
        <w:t> </w:t>
      </w:r>
      <w:r w:rsidRPr="002C23C4" w:rsidR="00B725BB">
        <w:t xml:space="preserve">” under the One Strike law </w:t>
      </w:r>
      <w:r w:rsidRPr="002C23C4" w:rsidR="008D02AC">
        <w:t>had to be “</w:t>
      </w:r>
      <w:bookmarkStart w:id="67" w:name="QUOTE_BOOKMARK_IS_CONFIRMED_6"/>
      <w:r w:rsidR="00116F1F">
        <w:t> </w:t>
      </w:r>
      <w:r w:rsidR="005D0673">
        <w:t>‘pled and proved.’</w:t>
      </w:r>
      <w:bookmarkEnd w:id="67"/>
      <w:r w:rsidR="00116F1F">
        <w:t> </w:t>
      </w:r>
      <w:r w:rsidRPr="002C23C4" w:rsidR="008D02AC">
        <w:t>”  (</w:t>
      </w:r>
      <w:bookmarkStart w:id="68" w:name="Psych_Cite_54"/>
      <w:r w:rsidRPr="002C23C4" w:rsidR="00A4021B">
        <w:rPr>
          <w:i/>
        </w:rPr>
        <w:t>Mancebo</w:t>
      </w:r>
      <w:r w:rsidRPr="002C23C4" w:rsidR="00A4021B">
        <w:t xml:space="preserve">, </w:t>
      </w:r>
      <w:r w:rsidRPr="002C23C4" w:rsidR="008D02AC">
        <w:t>at p.</w:t>
      </w:r>
      <w:r w:rsidRPr="002C23C4" w:rsidR="009960AA">
        <w:t> </w:t>
      </w:r>
      <w:r w:rsidRPr="002C23C4" w:rsidR="008D02AC">
        <w:t>74</w:t>
      </w:r>
      <w:r w:rsidRPr="002C23C4" w:rsidR="00A4021B">
        <w:t>2</w:t>
      </w:r>
      <w:r w:rsidRPr="002C23C4" w:rsidR="008D02AC">
        <w:t xml:space="preserve">, </w:t>
      </w:r>
      <w:r w:rsidR="00CD56E8">
        <w:t>fn.</w:t>
      </w:r>
      <w:bookmarkEnd w:id="68"/>
      <w:r w:rsidR="0023373B">
        <w:t> </w:t>
      </w:r>
      <w:r w:rsidR="00CD56E8">
        <w:t xml:space="preserve">4, </w:t>
      </w:r>
      <w:r w:rsidRPr="002C23C4" w:rsidR="008D02AC">
        <w:t>quoting §</w:t>
      </w:r>
      <w:r w:rsidRPr="002C23C4" w:rsidR="009960AA">
        <w:t> </w:t>
      </w:r>
      <w:r w:rsidRPr="002C23C4" w:rsidR="008D02AC">
        <w:t xml:space="preserve">667.61, </w:t>
      </w:r>
      <w:r w:rsidR="00641626">
        <w:t xml:space="preserve">former </w:t>
      </w:r>
      <w:r w:rsidRPr="002C23C4" w:rsidR="008D02AC">
        <w:t xml:space="preserve">subd. (f).)  </w:t>
      </w:r>
      <w:r w:rsidRPr="002C23C4" w:rsidR="0024507C">
        <w:t xml:space="preserve">Even though the facts </w:t>
      </w:r>
      <w:r w:rsidRPr="002C23C4">
        <w:t xml:space="preserve">that would </w:t>
      </w:r>
      <w:r w:rsidRPr="002C23C4" w:rsidR="000E78FC">
        <w:t xml:space="preserve">establish </w:t>
      </w:r>
      <w:r w:rsidRPr="002C23C4" w:rsidR="0024507C">
        <w:t xml:space="preserve">the multiple victim circumstance (i.e., that </w:t>
      </w:r>
      <w:r w:rsidR="004A1520">
        <w:t>the defendant</w:t>
      </w:r>
      <w:r w:rsidRPr="002C23C4" w:rsidR="004A1520">
        <w:t xml:space="preserve">’s </w:t>
      </w:r>
      <w:r w:rsidRPr="002C23C4" w:rsidR="00411D54">
        <w:t>crimes involved multiple victims</w:t>
      </w:r>
      <w:r w:rsidRPr="002C23C4" w:rsidR="0024507C">
        <w:t>)</w:t>
      </w:r>
      <w:r w:rsidRPr="002C23C4" w:rsidR="009E3A03">
        <w:t xml:space="preserve"> </w:t>
      </w:r>
      <w:r w:rsidRPr="002C23C4" w:rsidR="0024507C">
        <w:t xml:space="preserve">were evident from the information, </w:t>
      </w:r>
      <w:r w:rsidRPr="002C23C4" w:rsidR="00A962DF">
        <w:t xml:space="preserve">nothing in the information revealed that the </w:t>
      </w:r>
      <w:r w:rsidRPr="002C23C4" w:rsidR="00411D54">
        <w:t xml:space="preserve">prosecution sought to use the multiple victim circumstance as </w:t>
      </w:r>
      <w:r w:rsidRPr="002C23C4">
        <w:t>a</w:t>
      </w:r>
      <w:r w:rsidRPr="002C23C4" w:rsidR="00411D54">
        <w:t xml:space="preserve"> basis for One Strike sentencing.</w:t>
      </w:r>
      <w:r>
        <w:rPr>
          <w:rStyle w:val="FootnoteReference"/>
        </w:rPr>
        <w:footnoteReference w:id="4"/>
      </w:r>
      <w:r w:rsidRPr="002C23C4" w:rsidR="00D26955">
        <w:t xml:space="preserve">  This, we held, violated “</w:t>
      </w:r>
      <w:r w:rsidRPr="002C23C4" w:rsidR="008D02AC">
        <w:t xml:space="preserve">the explicit pleading provisions of the One Strike </w:t>
      </w:r>
      <w:r w:rsidRPr="002C23C4" w:rsidR="00A4021B">
        <w:t>l</w:t>
      </w:r>
      <w:r w:rsidRPr="002C23C4" w:rsidR="008D02AC">
        <w:t>aw</w:t>
      </w:r>
      <w:r w:rsidRPr="002C23C4" w:rsidR="00EB347F">
        <w:t>,</w:t>
      </w:r>
      <w:r w:rsidRPr="002C23C4" w:rsidR="008D02AC">
        <w:t xml:space="preserve">” </w:t>
      </w:r>
      <w:r w:rsidRPr="002C23C4" w:rsidR="00EB347F">
        <w:t xml:space="preserve">as well as the due process principles </w:t>
      </w:r>
      <w:r w:rsidRPr="002C23C4" w:rsidR="000076E0">
        <w:t xml:space="preserve">underlying them.  </w:t>
      </w:r>
      <w:r w:rsidRPr="002C23C4" w:rsidR="008D02AC">
        <w:t>(</w:t>
      </w:r>
      <w:bookmarkStart w:id="75" w:name="Psych_Cite_55"/>
      <w:r w:rsidRPr="002C23C4" w:rsidR="00A4021B">
        <w:rPr>
          <w:i/>
        </w:rPr>
        <w:t>Mancebo</w:t>
      </w:r>
      <w:r w:rsidRPr="002C23C4" w:rsidR="00A4021B">
        <w:t xml:space="preserve">, </w:t>
      </w:r>
      <w:r w:rsidRPr="002C23C4" w:rsidR="008D02AC">
        <w:t xml:space="preserve">at </w:t>
      </w:r>
      <w:r w:rsidRPr="002C23C4" w:rsidR="006939A5">
        <w:t>p</w:t>
      </w:r>
      <w:r w:rsidRPr="002C23C4" w:rsidR="008D02AC">
        <w:t>.</w:t>
      </w:r>
      <w:r w:rsidRPr="002C23C4" w:rsidR="00C10299">
        <w:t> </w:t>
      </w:r>
      <w:r w:rsidRPr="002C23C4" w:rsidR="008D02AC">
        <w:t>74</w:t>
      </w:r>
      <w:bookmarkEnd w:id="75"/>
      <w:r w:rsidRPr="002C23C4" w:rsidR="008D02AC">
        <w:t>3</w:t>
      </w:r>
      <w:r w:rsidRPr="002C23C4" w:rsidR="00C10299">
        <w:t xml:space="preserve">; </w:t>
      </w:r>
      <w:bookmarkStart w:id="76" w:name="Psych_Cite_47"/>
      <w:r w:rsidRPr="002C23C4" w:rsidR="00C10299">
        <w:t xml:space="preserve">see </w:t>
      </w:r>
      <w:r w:rsidRPr="002C23C4" w:rsidR="00C10299">
        <w:rPr>
          <w:i/>
        </w:rPr>
        <w:t>id.</w:t>
      </w:r>
      <w:r w:rsidRPr="002C23C4" w:rsidR="00C10299">
        <w:t xml:space="preserve"> at pp. 739, 75</w:t>
      </w:r>
      <w:bookmarkEnd w:id="76"/>
      <w:r w:rsidRPr="002C23C4" w:rsidR="00C10299">
        <w:t>3</w:t>
      </w:r>
      <w:r w:rsidRPr="002C23C4" w:rsidR="008D02AC">
        <w:t>.)</w:t>
      </w:r>
      <w:r w:rsidRPr="002C23C4" w:rsidR="000B5C54">
        <w:t xml:space="preserve">  </w:t>
      </w:r>
      <w:r w:rsidR="003B411A">
        <w:t>We explained that t</w:t>
      </w:r>
      <w:r w:rsidRPr="002C23C4" w:rsidR="00327560">
        <w:t>he prosecution</w:t>
      </w:r>
      <w:r w:rsidR="003B411A">
        <w:t xml:space="preserve"> </w:t>
      </w:r>
      <w:r w:rsidRPr="002C23C4" w:rsidR="00327560">
        <w:t xml:space="preserve">has the power to make discretionary charging decisions, and the information </w:t>
      </w:r>
      <w:r w:rsidRPr="002C23C4" w:rsidR="004F65B7">
        <w:t xml:space="preserve">was reasonably read to indicate </w:t>
      </w:r>
      <w:r w:rsidRPr="002C23C4" w:rsidR="00327560">
        <w:t xml:space="preserve">that the prosecution </w:t>
      </w:r>
      <w:r w:rsidRPr="002C23C4" w:rsidR="004F65B7">
        <w:t>had chosen to exercise that discretion in not charging a multiple victim circumstance.  (</w:t>
      </w:r>
      <w:bookmarkStart w:id="77" w:name="Psych_Cite_48"/>
      <w:r w:rsidRPr="002C23C4" w:rsidR="004F65B7">
        <w:rPr>
          <w:i/>
        </w:rPr>
        <w:t>Id.</w:t>
      </w:r>
      <w:r w:rsidRPr="002C23C4" w:rsidR="004F65B7">
        <w:t xml:space="preserve"> at p.</w:t>
      </w:r>
      <w:r w:rsidRPr="002C23C4" w:rsidR="009960AA">
        <w:t> </w:t>
      </w:r>
      <w:r w:rsidRPr="002C23C4" w:rsidR="004F65B7">
        <w:t>74</w:t>
      </w:r>
      <w:bookmarkEnd w:id="77"/>
      <w:r w:rsidRPr="002C23C4" w:rsidR="004F65B7">
        <w:t>9.)</w:t>
      </w:r>
      <w:r w:rsidRPr="002C23C4" w:rsidR="00171F31">
        <w:t xml:space="preserve">  </w:t>
      </w:r>
      <w:r w:rsidRPr="002C23C4" w:rsidR="00963B55">
        <w:t>The information failed to provide the defendant with fair notice</w:t>
      </w:r>
      <w:r w:rsidRPr="002C23C4" w:rsidR="00F73D3D">
        <w:t xml:space="preserve"> that the prosecution would instead seek to rely on </w:t>
      </w:r>
      <w:r w:rsidRPr="002C23C4" w:rsidR="0050756E">
        <w:t>th</w:t>
      </w:r>
      <w:r w:rsidR="0050756E">
        <w:t>at</w:t>
      </w:r>
      <w:r w:rsidRPr="002C23C4" w:rsidR="0050756E">
        <w:t xml:space="preserve"> </w:t>
      </w:r>
      <w:r w:rsidRPr="002C23C4" w:rsidR="00F73D3D">
        <w:t xml:space="preserve">allegation to increase </w:t>
      </w:r>
      <w:r w:rsidRPr="002C23C4" w:rsidR="00990EE8">
        <w:t xml:space="preserve">his </w:t>
      </w:r>
      <w:r w:rsidRPr="002C23C4" w:rsidR="00F73D3D">
        <w:t xml:space="preserve">punishment.  </w:t>
      </w:r>
      <w:r w:rsidRPr="002C23C4" w:rsidR="00963B55">
        <w:t>(</w:t>
      </w:r>
      <w:bookmarkStart w:id="78" w:name="Psych_Cite_49"/>
      <w:r w:rsidRPr="002C23C4" w:rsidR="00963B55">
        <w:rPr>
          <w:i/>
        </w:rPr>
        <w:t>Id.</w:t>
      </w:r>
      <w:r w:rsidRPr="002C23C4" w:rsidR="00963B55">
        <w:t xml:space="preserve"> at p.</w:t>
      </w:r>
      <w:r w:rsidRPr="002C23C4" w:rsidR="001031A7">
        <w:t> </w:t>
      </w:r>
      <w:r w:rsidRPr="002C23C4" w:rsidR="00F73D3D">
        <w:t>75</w:t>
      </w:r>
      <w:bookmarkEnd w:id="78"/>
      <w:r w:rsidRPr="002C23C4" w:rsidR="00F73D3D">
        <w:t>3.)</w:t>
      </w:r>
    </w:p>
    <w:p w:rsidR="00635119" w:rsidRPr="002C23C4" w:rsidP="00AB174F">
      <w:r w:rsidRPr="002C23C4">
        <w:tab/>
      </w:r>
      <w:r w:rsidRPr="002C23C4" w:rsidR="00551BE8">
        <w:rPr>
          <w:i/>
        </w:rPr>
        <w:t>Mancebo</w:t>
      </w:r>
      <w:r w:rsidRPr="002C23C4" w:rsidR="001F5031">
        <w:t>’s holding was limited to</w:t>
      </w:r>
      <w:r w:rsidRPr="002C23C4" w:rsidR="008841E3">
        <w:t xml:space="preserve"> </w:t>
      </w:r>
      <w:r w:rsidRPr="002C23C4" w:rsidR="00551BE8">
        <w:t xml:space="preserve">the pleading requirements of </w:t>
      </w:r>
      <w:bookmarkStart w:id="79" w:name="Psych_Cite_67"/>
      <w:r w:rsidRPr="002C23C4">
        <w:t>section 667.1, subdivisions (f) and (i)</w:t>
      </w:r>
      <w:bookmarkEnd w:id="79"/>
      <w:r w:rsidRPr="002C23C4" w:rsidR="00DE0A20">
        <w:t>.  (</w:t>
      </w:r>
      <w:bookmarkStart w:id="80" w:name="Psych_Cite_61"/>
      <w:r w:rsidRPr="002C23C4" w:rsidR="00DE0A20">
        <w:rPr>
          <w:i/>
        </w:rPr>
        <w:t>Mancebo</w:t>
      </w:r>
      <w:r w:rsidRPr="002C23C4" w:rsidR="00DE0A20">
        <w:t xml:space="preserve">, </w:t>
      </w:r>
      <w:r w:rsidRPr="002C23C4" w:rsidR="00F5425B">
        <w:rPr>
          <w:i/>
        </w:rPr>
        <w:t>supra</w:t>
      </w:r>
      <w:r w:rsidRPr="002C23C4" w:rsidR="00F5425B">
        <w:t xml:space="preserve">, 27 Cal.4th </w:t>
      </w:r>
      <w:r w:rsidRPr="002C23C4" w:rsidR="00DE0A20">
        <w:t>at p.</w:t>
      </w:r>
      <w:r w:rsidRPr="002C23C4" w:rsidR="001031A7">
        <w:t> </w:t>
      </w:r>
      <w:r w:rsidRPr="002C23C4" w:rsidR="00DE0A20">
        <w:t>745, fn.</w:t>
      </w:r>
      <w:r w:rsidRPr="002C23C4" w:rsidR="001031A7">
        <w:t> </w:t>
      </w:r>
      <w:r w:rsidRPr="002C23C4" w:rsidR="00DE0A20">
        <w:t>5</w:t>
      </w:r>
      <w:bookmarkEnd w:id="80"/>
      <w:r w:rsidRPr="002C23C4" w:rsidR="00DE0A20">
        <w:t>.)</w:t>
      </w:r>
      <w:r w:rsidRPr="002C23C4" w:rsidR="008040D0">
        <w:t xml:space="preserve">  But </w:t>
      </w:r>
      <w:r w:rsidRPr="002C23C4" w:rsidR="00EB0102">
        <w:rPr>
          <w:i/>
        </w:rPr>
        <w:t>Mancebo</w:t>
      </w:r>
      <w:r w:rsidRPr="002C23C4" w:rsidR="00EB0102">
        <w:t xml:space="preserve">’s reasoning </w:t>
      </w:r>
      <w:r w:rsidR="00D96C18">
        <w:t>wa</w:t>
      </w:r>
      <w:r w:rsidRPr="002C23C4" w:rsidR="00EB0102">
        <w:t xml:space="preserve">s not so limited.  California courts </w:t>
      </w:r>
      <w:r w:rsidR="00D96C18">
        <w:t xml:space="preserve">accordingly </w:t>
      </w:r>
      <w:r w:rsidRPr="002C23C4" w:rsidR="00EB0102">
        <w:t xml:space="preserve">have </w:t>
      </w:r>
      <w:r w:rsidRPr="002C23C4" w:rsidR="00554CB6">
        <w:t xml:space="preserve">followed </w:t>
      </w:r>
      <w:r w:rsidRPr="002C23C4" w:rsidR="00554CB6">
        <w:rPr>
          <w:i/>
        </w:rPr>
        <w:t>Mancebo</w:t>
      </w:r>
      <w:r w:rsidRPr="002C23C4" w:rsidR="00554CB6">
        <w:t xml:space="preserve">’s lead </w:t>
      </w:r>
      <w:r w:rsidRPr="002C23C4" w:rsidR="00AE73AE">
        <w:t xml:space="preserve">in interpreting various other statutory pleading requirements, including </w:t>
      </w:r>
      <w:bookmarkStart w:id="81" w:name="Psych_Cite_68"/>
      <w:r w:rsidRPr="002C23C4" w:rsidR="0029567E">
        <w:t>section 12022.53(e)</w:t>
      </w:r>
      <w:bookmarkEnd w:id="81"/>
      <w:r w:rsidR="0029567E">
        <w:t xml:space="preserve">’s </w:t>
      </w:r>
      <w:r w:rsidRPr="002C23C4" w:rsidR="00AE73AE">
        <w:t>requirement</w:t>
      </w:r>
      <w:r w:rsidRPr="002C23C4" w:rsidR="0029567E">
        <w:t xml:space="preserve"> </w:t>
      </w:r>
      <w:r w:rsidRPr="002C23C4">
        <w:t xml:space="preserve">that certain facts </w:t>
      </w:r>
      <w:r w:rsidR="009A1A92">
        <w:t xml:space="preserve">must </w:t>
      </w:r>
      <w:r w:rsidRPr="002C23C4">
        <w:t>be “</w:t>
      </w:r>
      <w:bookmarkStart w:id="82" w:name="QUOTE_BOOKMARK_IS_CONFIRMED_7"/>
      <w:r w:rsidR="005D0673">
        <w:t>pled and proved</w:t>
      </w:r>
      <w:bookmarkEnd w:id="82"/>
      <w:r w:rsidRPr="002C23C4">
        <w:t xml:space="preserve">” in connection with the defendant’s “offense.”  </w:t>
      </w:r>
      <w:r w:rsidRPr="002C23C4" w:rsidR="00F77755">
        <w:t xml:space="preserve">In </w:t>
      </w:r>
      <w:bookmarkStart w:id="83" w:name="Psych_Cite_62"/>
      <w:r w:rsidRPr="002C23C4" w:rsidR="00B43025">
        <w:rPr>
          <w:i/>
        </w:rPr>
        <w:t>People v. Botello</w:t>
      </w:r>
      <w:r w:rsidRPr="002C23C4" w:rsidR="00B43025">
        <w:t xml:space="preserve"> (2010) 183 Cal.App.4th 1014, </w:t>
      </w:r>
      <w:r w:rsidRPr="002C23C4" w:rsidR="008040D0">
        <w:t>1022–1026</w:t>
      </w:r>
      <w:bookmarkEnd w:id="83"/>
      <w:r w:rsidRPr="002C23C4">
        <w:t>, for example, two codefendants were charged with and convicted for their roles in a gang-related shooting</w:t>
      </w:r>
      <w:r w:rsidR="00ED0DA0">
        <w:t xml:space="preserve"> and t</w:t>
      </w:r>
      <w:r w:rsidRPr="002C23C4">
        <w:t xml:space="preserve">he jury found true allegations supporting an enhancement under </w:t>
      </w:r>
      <w:bookmarkStart w:id="84" w:name="Psych_Cite_69"/>
      <w:r w:rsidRPr="002C23C4">
        <w:t>section 12022.53(d)</w:t>
      </w:r>
      <w:bookmarkEnd w:id="84"/>
      <w:r w:rsidRPr="002C23C4">
        <w:t xml:space="preserve"> for having personally discharged a firearm in the commission of the offense, causing great bodily injury.  On appeal, </w:t>
      </w:r>
      <w:r w:rsidRPr="002C23C4" w:rsidR="005D43C3">
        <w:t xml:space="preserve">because </w:t>
      </w:r>
      <w:r w:rsidRPr="002C23C4" w:rsidR="00335C8F">
        <w:t xml:space="preserve">no evidence showed which of the two defendants was the shooter, the People conceded the personal use enhancements could not stand.  </w:t>
      </w:r>
      <w:r w:rsidRPr="002C23C4" w:rsidR="00712ED5">
        <w:t>(</w:t>
      </w:r>
      <w:bookmarkStart w:id="85" w:name="Psych_Cite_63"/>
      <w:r w:rsidRPr="002C23C4" w:rsidR="00A4021B">
        <w:rPr>
          <w:i/>
        </w:rPr>
        <w:t>Botello</w:t>
      </w:r>
      <w:r w:rsidRPr="002C23C4" w:rsidR="00A4021B">
        <w:t>,</w:t>
      </w:r>
      <w:r w:rsidRPr="002C23C4" w:rsidR="00712ED5">
        <w:rPr>
          <w:i/>
        </w:rPr>
        <w:t xml:space="preserve"> </w:t>
      </w:r>
      <w:r w:rsidRPr="002C23C4" w:rsidR="00712ED5">
        <w:t>at p.</w:t>
      </w:r>
      <w:r w:rsidRPr="002C23C4" w:rsidR="001031A7">
        <w:t> </w:t>
      </w:r>
      <w:r w:rsidRPr="002C23C4" w:rsidR="00712ED5">
        <w:t>1022</w:t>
      </w:r>
      <w:bookmarkEnd w:id="85"/>
      <w:r w:rsidRPr="002C23C4" w:rsidR="00712ED5">
        <w:t xml:space="preserve">.)  </w:t>
      </w:r>
      <w:r w:rsidRPr="002C23C4" w:rsidR="00335C8F">
        <w:t xml:space="preserve">But the People asked the court </w:t>
      </w:r>
      <w:r w:rsidR="00821B72">
        <w:t xml:space="preserve">instead </w:t>
      </w:r>
      <w:r w:rsidRPr="002C23C4" w:rsidR="00335C8F">
        <w:t xml:space="preserve">to impose vicarious liability enhancements under </w:t>
      </w:r>
      <w:bookmarkStart w:id="86" w:name="Psych_Cite_70"/>
      <w:r w:rsidRPr="002C23C4" w:rsidR="00335C8F">
        <w:t>section 12022.53(e)</w:t>
      </w:r>
      <w:bookmarkEnd w:id="86"/>
      <w:r w:rsidRPr="002C23C4" w:rsidR="00335C8F">
        <w:t xml:space="preserve">, noting that all the necessary findings had been made by the jury in connection with other charges.  </w:t>
      </w:r>
      <w:r w:rsidRPr="002C23C4" w:rsidR="00712ED5">
        <w:t>(</w:t>
      </w:r>
      <w:bookmarkStart w:id="87" w:name="Psych_Cite_64"/>
      <w:r w:rsidRPr="00641626" w:rsidR="00A4021B">
        <w:rPr>
          <w:i/>
        </w:rPr>
        <w:t>Botello</w:t>
      </w:r>
      <w:r w:rsidRPr="002C23C4" w:rsidR="00A4021B">
        <w:t>, at p. 1022</w:t>
      </w:r>
      <w:r w:rsidRPr="002C23C4" w:rsidR="00712ED5">
        <w:rPr>
          <w:i/>
        </w:rPr>
        <w:t>.</w:t>
      </w:r>
      <w:r w:rsidRPr="002C23C4" w:rsidR="00712ED5">
        <w:t xml:space="preserve">)  </w:t>
      </w:r>
      <w:r w:rsidRPr="002C23C4" w:rsidR="00335C8F">
        <w:t xml:space="preserve">Citing </w:t>
      </w:r>
      <w:r w:rsidRPr="002C23C4" w:rsidR="00335C8F">
        <w:rPr>
          <w:i/>
        </w:rPr>
        <w:t>Mancebo</w:t>
      </w:r>
      <w:r w:rsidRPr="002C23C4" w:rsidR="00335C8F">
        <w:t xml:space="preserve">, the Court of Appeal refused.  </w:t>
      </w:r>
      <w:r w:rsidRPr="002C23C4" w:rsidR="00712ED5">
        <w:t>(</w:t>
      </w:r>
      <w:r w:rsidRPr="00641626" w:rsidR="00641626">
        <w:rPr>
          <w:i/>
          <w:iCs/>
        </w:rPr>
        <w:t>Botello</w:t>
      </w:r>
      <w:r w:rsidR="00641626">
        <w:t xml:space="preserve">, </w:t>
      </w:r>
      <w:r w:rsidRPr="002C23C4" w:rsidR="00712ED5">
        <w:t>at pp.</w:t>
      </w:r>
      <w:r w:rsidRPr="002C23C4" w:rsidR="001031A7">
        <w:t> </w:t>
      </w:r>
      <w:r w:rsidRPr="002C23C4" w:rsidR="00712ED5">
        <w:t>1022–1027</w:t>
      </w:r>
      <w:bookmarkEnd w:id="87"/>
      <w:r w:rsidRPr="002C23C4" w:rsidR="00712ED5">
        <w:t xml:space="preserve">.)  </w:t>
      </w:r>
      <w:r w:rsidRPr="002C23C4" w:rsidR="00335C8F">
        <w:t xml:space="preserve">It explained that </w:t>
      </w:r>
      <w:r w:rsidRPr="002C23C4" w:rsidR="005867C7">
        <w:t xml:space="preserve">the accusatory pleading had charged defendants only with personal use enhancements, not vicarious liability enhancements.  </w:t>
      </w:r>
      <w:r w:rsidRPr="002C23C4" w:rsidR="00712ED5">
        <w:t>(</w:t>
      </w:r>
      <w:bookmarkStart w:id="88" w:name="Psych_Cite_60"/>
      <w:r w:rsidRPr="002C23C4" w:rsidR="00712ED5">
        <w:rPr>
          <w:i/>
        </w:rPr>
        <w:t xml:space="preserve">Id. </w:t>
      </w:r>
      <w:r w:rsidRPr="002C23C4" w:rsidR="00712ED5">
        <w:t>at p.</w:t>
      </w:r>
      <w:r w:rsidRPr="002C23C4" w:rsidR="001031A7">
        <w:t> </w:t>
      </w:r>
      <w:r w:rsidRPr="002C23C4" w:rsidR="00712ED5">
        <w:t>1027</w:t>
      </w:r>
      <w:bookmarkEnd w:id="88"/>
      <w:r w:rsidRPr="002C23C4" w:rsidR="00712ED5">
        <w:t xml:space="preserve">.)  </w:t>
      </w:r>
      <w:r w:rsidRPr="002C23C4" w:rsidR="00EC5D17">
        <w:t xml:space="preserve">Under </w:t>
      </w:r>
      <w:r w:rsidRPr="002C23C4" w:rsidR="00EC5D17">
        <w:rPr>
          <w:i/>
        </w:rPr>
        <w:t>Mancebo</w:t>
      </w:r>
      <w:r w:rsidRPr="002C23C4" w:rsidR="00F272F4">
        <w:t xml:space="preserve">, </w:t>
      </w:r>
      <w:r w:rsidRPr="002C23C4" w:rsidR="005867C7">
        <w:t>“</w:t>
      </w:r>
      <w:r w:rsidRPr="002C23C4" w:rsidR="00F272F4">
        <w:t>t</w:t>
      </w:r>
      <w:r w:rsidRPr="002C23C4" w:rsidR="005867C7">
        <w:t xml:space="preserve">o apply </w:t>
      </w:r>
      <w:bookmarkStart w:id="89" w:name="Psych_Cite_71"/>
      <w:r w:rsidRPr="002C23C4" w:rsidR="005867C7">
        <w:t>section 12022.53</w:t>
      </w:r>
      <w:r w:rsidR="00DB5B1C">
        <w:t>, subdivision (e)(1)</w:t>
      </w:r>
      <w:bookmarkEnd w:id="89"/>
      <w:r w:rsidRPr="002C23C4" w:rsidR="005867C7">
        <w:t xml:space="preserve"> for the first time on appeal would violate the express pleading requirement </w:t>
      </w:r>
      <w:r w:rsidRPr="002C23C4" w:rsidR="00F272F4">
        <w:t>of that provision, and defendants’ due process right to notice that subdivision (e)(1) would be used to increase their sentences.”  (</w:t>
      </w:r>
      <w:bookmarkStart w:id="90" w:name="Psych_Cite_66"/>
      <w:r w:rsidRPr="002C23C4" w:rsidR="001F06AA">
        <w:rPr>
          <w:i/>
        </w:rPr>
        <w:t>Botello</w:t>
      </w:r>
      <w:r w:rsidRPr="002C23C4" w:rsidR="001F06AA">
        <w:t>, at p. 1027</w:t>
      </w:r>
      <w:bookmarkEnd w:id="90"/>
      <w:r w:rsidRPr="002C23C4" w:rsidR="00712ED5">
        <w:rPr>
          <w:i/>
        </w:rPr>
        <w:t>.</w:t>
      </w:r>
      <w:r w:rsidRPr="002C23C4" w:rsidR="00F272F4">
        <w:t>)</w:t>
      </w:r>
    </w:p>
    <w:p w:rsidR="005E61D0" w:rsidRPr="002C23C4" w:rsidP="00AB174F">
      <w:r w:rsidRPr="002C23C4">
        <w:tab/>
      </w:r>
      <w:r w:rsidR="00E55381">
        <w:t>We</w:t>
      </w:r>
      <w:r w:rsidRPr="002C23C4" w:rsidR="00B97352">
        <w:t xml:space="preserve"> </w:t>
      </w:r>
      <w:r w:rsidRPr="002C23C4" w:rsidR="00594760">
        <w:t xml:space="preserve">now </w:t>
      </w:r>
      <w:r w:rsidRPr="002C23C4" w:rsidR="001847F6">
        <w:t xml:space="preserve">confirm that </w:t>
      </w:r>
      <w:r w:rsidRPr="002C23C4" w:rsidR="00C83CC0">
        <w:t xml:space="preserve">the reasoning of </w:t>
      </w:r>
      <w:r w:rsidRPr="002C23C4" w:rsidR="00C83CC0">
        <w:rPr>
          <w:i/>
        </w:rPr>
        <w:t>Mancebo</w:t>
      </w:r>
      <w:r w:rsidRPr="002C23C4" w:rsidR="00C83CC0">
        <w:t xml:space="preserve"> applies equally </w:t>
      </w:r>
      <w:r w:rsidRPr="002C23C4" w:rsidR="0036692C">
        <w:t xml:space="preserve">to a sentence enhancement imposed under </w:t>
      </w:r>
      <w:bookmarkStart w:id="91" w:name="Psych_Cite_72"/>
      <w:r w:rsidRPr="002C23C4" w:rsidR="0036692C">
        <w:t>section 12022.53</w:t>
      </w:r>
      <w:bookmarkEnd w:id="91"/>
      <w:r w:rsidRPr="002C23C4" w:rsidR="00A34E8E">
        <w:t xml:space="preserve"> and </w:t>
      </w:r>
      <w:r w:rsidR="00851CB6">
        <w:t xml:space="preserve">hold </w:t>
      </w:r>
      <w:r w:rsidRPr="002C23C4" w:rsidR="00A34E8E">
        <w:t xml:space="preserve">that the </w:t>
      </w:r>
      <w:r w:rsidR="0050756E">
        <w:t>information</w:t>
      </w:r>
      <w:r w:rsidRPr="002C23C4" w:rsidR="0050756E">
        <w:t xml:space="preserve"> </w:t>
      </w:r>
      <w:r w:rsidRPr="002C23C4" w:rsidR="00A34E8E">
        <w:t xml:space="preserve">in this case did not comport with </w:t>
      </w:r>
      <w:r w:rsidR="0050756E">
        <w:t xml:space="preserve">the relevant statutory pleading </w:t>
      </w:r>
      <w:r w:rsidRPr="002C23C4" w:rsidR="00A34E8E">
        <w:t>requirements</w:t>
      </w:r>
      <w:r w:rsidRPr="002C23C4" w:rsidR="00D55F71">
        <w:t xml:space="preserve">.  </w:t>
      </w:r>
      <w:r w:rsidR="00B22C3F">
        <w:t xml:space="preserve">Anderson </w:t>
      </w:r>
      <w:r w:rsidRPr="002C23C4" w:rsidR="003D13CE">
        <w:t xml:space="preserve">was entitled to a pleading that provided </w:t>
      </w:r>
      <w:r w:rsidR="00821B72">
        <w:t xml:space="preserve">him with </w:t>
      </w:r>
      <w:r w:rsidRPr="002C23C4" w:rsidR="003D13CE">
        <w:t xml:space="preserve">fair notice </w:t>
      </w:r>
      <w:r w:rsidRPr="002C23C4" w:rsidR="00024224">
        <w:t>that he faced</w:t>
      </w:r>
      <w:r w:rsidRPr="002C23C4" w:rsidR="0042324E">
        <w:t xml:space="preserve"> </w:t>
      </w:r>
      <w:r w:rsidRPr="002C23C4" w:rsidR="00980D14">
        <w:t>25-</w:t>
      </w:r>
      <w:r w:rsidR="009A1A92">
        <w:t>year-</w:t>
      </w:r>
      <w:r w:rsidRPr="002C23C4" w:rsidR="009020F9">
        <w:t xml:space="preserve">to-life </w:t>
      </w:r>
      <w:r w:rsidRPr="002C23C4" w:rsidR="00980D14">
        <w:t>enhancements</w:t>
      </w:r>
      <w:r w:rsidRPr="002C23C4" w:rsidR="00A21E10">
        <w:t xml:space="preserve"> under </w:t>
      </w:r>
      <w:bookmarkStart w:id="92" w:name="Psych_Cite_73"/>
      <w:r w:rsidRPr="002C23C4" w:rsidR="00A21E10">
        <w:t>section 12022.53(e)</w:t>
      </w:r>
      <w:bookmarkEnd w:id="92"/>
      <w:r w:rsidRPr="002C23C4" w:rsidR="00BC4C64">
        <w:t xml:space="preserve"> </w:t>
      </w:r>
      <w:r w:rsidRPr="002C23C4" w:rsidR="00E34590">
        <w:t>as to</w:t>
      </w:r>
      <w:r w:rsidRPr="002C23C4" w:rsidR="00503149">
        <w:t xml:space="preserve"> each </w:t>
      </w:r>
      <w:r w:rsidRPr="002C23C4" w:rsidR="00D76200">
        <w:t xml:space="preserve">charged </w:t>
      </w:r>
      <w:r w:rsidRPr="002C23C4" w:rsidR="00834582">
        <w:t xml:space="preserve">robbery </w:t>
      </w:r>
      <w:r w:rsidRPr="002C23C4" w:rsidR="00503149">
        <w:t>offense</w:t>
      </w:r>
      <w:r w:rsidRPr="002C23C4" w:rsidR="00EC4E6F">
        <w:t xml:space="preserve"> if </w:t>
      </w:r>
      <w:r w:rsidRPr="002C23C4" w:rsidR="00671AAE">
        <w:t xml:space="preserve">this </w:t>
      </w:r>
      <w:r w:rsidRPr="002C23C4" w:rsidR="00EC4E6F">
        <w:t>was the prosecution’s intent</w:t>
      </w:r>
      <w:r w:rsidRPr="002C23C4" w:rsidR="00F0116F">
        <w:t xml:space="preserve">.  </w:t>
      </w:r>
      <w:r w:rsidRPr="002C23C4" w:rsidR="00252CCE">
        <w:t xml:space="preserve">The </w:t>
      </w:r>
      <w:r w:rsidRPr="002C23C4" w:rsidR="00C04015">
        <w:t xml:space="preserve">operative </w:t>
      </w:r>
      <w:r w:rsidRPr="002C23C4" w:rsidR="00252CCE">
        <w:t>information here</w:t>
      </w:r>
      <w:r w:rsidRPr="002C23C4" w:rsidR="00757905">
        <w:t xml:space="preserve"> </w:t>
      </w:r>
      <w:r w:rsidRPr="002C23C4" w:rsidR="00252CCE">
        <w:t xml:space="preserve">did not allege that a </w:t>
      </w:r>
      <w:r w:rsidRPr="002C23C4" w:rsidR="00E34590">
        <w:t xml:space="preserve">coparticipant </w:t>
      </w:r>
      <w:r w:rsidRPr="002C23C4" w:rsidR="001727B4">
        <w:t xml:space="preserve">in </w:t>
      </w:r>
      <w:r w:rsidRPr="002C23C4" w:rsidR="00252CCE">
        <w:t xml:space="preserve">the robbery </w:t>
      </w:r>
      <w:r w:rsidRPr="002C23C4" w:rsidR="00E34590">
        <w:t xml:space="preserve">offenses </w:t>
      </w:r>
      <w:r w:rsidRPr="002C23C4" w:rsidR="00252CCE">
        <w:t>discharged a firearm, causing great bodily injury or death</w:t>
      </w:r>
      <w:r w:rsidRPr="002C23C4" w:rsidR="00430281">
        <w:t xml:space="preserve">; it alleged only that </w:t>
      </w:r>
      <w:r w:rsidR="00135D5E">
        <w:t>Anderson</w:t>
      </w:r>
      <w:r w:rsidRPr="002C23C4" w:rsidR="00430281">
        <w:t xml:space="preserve"> personally used a firearm in the commission of those crimes</w:t>
      </w:r>
      <w:r w:rsidRPr="002C23C4" w:rsidR="00BB14FC">
        <w:t>.</w:t>
      </w:r>
      <w:r w:rsidRPr="002C23C4" w:rsidR="00821440">
        <w:t xml:space="preserve">  The information </w:t>
      </w:r>
      <w:r w:rsidRPr="002C23C4">
        <w:t>therefore did not comply with the</w:t>
      </w:r>
      <w:r w:rsidRPr="002C23C4" w:rsidR="00671AAE">
        <w:t xml:space="preserve"> </w:t>
      </w:r>
      <w:r w:rsidR="00821B72">
        <w:t xml:space="preserve">applicable </w:t>
      </w:r>
      <w:r w:rsidRPr="002C23C4" w:rsidR="00671AAE">
        <w:t>statutory pleading</w:t>
      </w:r>
      <w:r w:rsidRPr="002C23C4">
        <w:t xml:space="preserve"> requirements</w:t>
      </w:r>
      <w:r w:rsidR="00821B72">
        <w:t xml:space="preserve">, nor did it </w:t>
      </w:r>
      <w:r w:rsidR="004D7E1A">
        <w:t xml:space="preserve">comport with </w:t>
      </w:r>
      <w:r w:rsidR="00821B72">
        <w:t>the due process principles underlying those requirements.</w:t>
      </w:r>
    </w:p>
    <w:p w:rsidR="00CB1904" w:rsidRPr="002C23C4" w:rsidP="00AB174F">
      <w:pPr>
        <w:rPr>
          <w:i/>
        </w:rPr>
      </w:pPr>
      <w:r w:rsidRPr="002C23C4">
        <w:tab/>
      </w:r>
      <w:r w:rsidRPr="002C23C4" w:rsidR="00264F85">
        <w:t xml:space="preserve">In </w:t>
      </w:r>
      <w:r w:rsidRPr="002C23C4" w:rsidR="00F17488">
        <w:t>concluding otherwise</w:t>
      </w:r>
      <w:r w:rsidRPr="002C23C4" w:rsidR="00264F85">
        <w:t>, t</w:t>
      </w:r>
      <w:r w:rsidRPr="002C23C4" w:rsidR="00923B9D">
        <w:t xml:space="preserve">he Court of Appeal </w:t>
      </w:r>
      <w:r w:rsidRPr="002C23C4" w:rsidR="00D85308">
        <w:t xml:space="preserve">relied on </w:t>
      </w:r>
      <w:bookmarkStart w:id="93" w:name="Psych_Cite_76"/>
      <w:r w:rsidRPr="002C23C4" w:rsidR="00923B9D">
        <w:rPr>
          <w:i/>
        </w:rPr>
        <w:t>Riva</w:t>
      </w:r>
      <w:bookmarkEnd w:id="93"/>
      <w:r w:rsidRPr="002C23C4" w:rsidR="008F2037">
        <w:t xml:space="preserve">, </w:t>
      </w:r>
      <w:r w:rsidR="00F1713C">
        <w:t xml:space="preserve">which </w:t>
      </w:r>
      <w:r w:rsidRPr="002C23C4" w:rsidR="008F2037">
        <w:t>concern</w:t>
      </w:r>
      <w:r w:rsidR="00F1713C">
        <w:t>ed</w:t>
      </w:r>
      <w:r w:rsidRPr="002C23C4" w:rsidR="008F2037">
        <w:t xml:space="preserve"> the pleading of enhancements under </w:t>
      </w:r>
      <w:bookmarkStart w:id="94" w:name="Psych_Cite_80"/>
      <w:r w:rsidRPr="002C23C4" w:rsidR="008F2037">
        <w:t>section 12022.53</w:t>
      </w:r>
      <w:r w:rsidRPr="002C23C4" w:rsidR="007834F5">
        <w:t>(d)</w:t>
      </w:r>
      <w:bookmarkEnd w:id="94"/>
      <w:r w:rsidRPr="002C23C4" w:rsidR="00834582">
        <w:t xml:space="preserve"> for personally discharging a firearm</w:t>
      </w:r>
      <w:r w:rsidRPr="002C23C4" w:rsidR="00923B9D">
        <w:t xml:space="preserve">.  </w:t>
      </w:r>
      <w:r w:rsidRPr="002C23C4" w:rsidR="00912DCA">
        <w:t xml:space="preserve">In </w:t>
      </w:r>
      <w:r w:rsidRPr="002C23C4" w:rsidR="009C55F8">
        <w:rPr>
          <w:i/>
        </w:rPr>
        <w:t>Riva</w:t>
      </w:r>
      <w:r w:rsidRPr="002C23C4" w:rsidR="00912DCA">
        <w:t xml:space="preserve">, the defendant </w:t>
      </w:r>
      <w:r w:rsidRPr="002C23C4" w:rsidR="00EF3789">
        <w:t xml:space="preserve">had fired </w:t>
      </w:r>
      <w:r w:rsidRPr="002C23C4" w:rsidR="00912DCA">
        <w:t>a gun from inside his car at the occupants of another car</w:t>
      </w:r>
      <w:r w:rsidRPr="002C23C4" w:rsidR="00EF3789">
        <w:t>,</w:t>
      </w:r>
      <w:r w:rsidRPr="002C23C4" w:rsidR="00250839">
        <w:t xml:space="preserve"> </w:t>
      </w:r>
      <w:r w:rsidRPr="002C23C4" w:rsidR="00912DCA">
        <w:t>injuring a nearby pedestrian.  (</w:t>
      </w:r>
      <w:bookmarkStart w:id="95" w:name="Psych_Cite_77"/>
      <w:bookmarkStart w:id="96" w:name="_Hlk43817570"/>
      <w:r w:rsidRPr="002C23C4" w:rsidR="00CF0ACB">
        <w:rPr>
          <w:i/>
        </w:rPr>
        <w:t xml:space="preserve">People v. </w:t>
      </w:r>
      <w:r w:rsidRPr="002C23C4" w:rsidR="00912DCA">
        <w:rPr>
          <w:i/>
        </w:rPr>
        <w:t>Riva</w:t>
      </w:r>
      <w:r w:rsidRPr="002C23C4" w:rsidR="00912DCA">
        <w:t xml:space="preserve">, </w:t>
      </w:r>
      <w:r w:rsidRPr="002C23C4" w:rsidR="00912DCA">
        <w:rPr>
          <w:i/>
        </w:rPr>
        <w:t>supra</w:t>
      </w:r>
      <w:r w:rsidRPr="002C23C4" w:rsidR="00912DCA">
        <w:t>, 112 Cal.App.4th at p.</w:t>
      </w:r>
      <w:r w:rsidRPr="002C23C4" w:rsidR="001031A7">
        <w:t> </w:t>
      </w:r>
      <w:r w:rsidRPr="002C23C4" w:rsidR="00912DCA">
        <w:t>986</w:t>
      </w:r>
      <w:r w:rsidRPr="002C23C4" w:rsidR="00CF0ACB">
        <w:t xml:space="preserve"> (</w:t>
      </w:r>
      <w:r w:rsidRPr="002C23C4" w:rsidR="00CF0ACB">
        <w:rPr>
          <w:i/>
        </w:rPr>
        <w:t>Riva</w:t>
      </w:r>
      <w:r w:rsidRPr="002C23C4" w:rsidR="00CF0ACB">
        <w:t>)</w:t>
      </w:r>
      <w:bookmarkEnd w:id="95"/>
      <w:r w:rsidRPr="002C23C4" w:rsidR="00912DCA">
        <w:t xml:space="preserve">.)  </w:t>
      </w:r>
      <w:bookmarkEnd w:id="96"/>
      <w:r w:rsidRPr="002C23C4" w:rsidR="00ED1578">
        <w:t>The d</w:t>
      </w:r>
      <w:r w:rsidRPr="002C23C4" w:rsidR="003B6C81">
        <w:t xml:space="preserve">efendant was charged by information with attempted voluntary manslaughter, assault, and shooting at an occupied vehicle.  </w:t>
      </w:r>
      <w:r w:rsidRPr="002C23C4" w:rsidR="00FE7139">
        <w:t>(</w:t>
      </w:r>
      <w:bookmarkStart w:id="97" w:name="Psych_Cite_74"/>
      <w:r w:rsidRPr="002C23C4" w:rsidR="00FE7139">
        <w:rPr>
          <w:i/>
        </w:rPr>
        <w:t>Ibid.</w:t>
      </w:r>
      <w:bookmarkEnd w:id="97"/>
      <w:r w:rsidRPr="002C23C4" w:rsidR="00FE7139">
        <w:t xml:space="preserve">)  </w:t>
      </w:r>
      <w:r w:rsidRPr="002C23C4" w:rsidR="007F283B">
        <w:t xml:space="preserve">The information </w:t>
      </w:r>
      <w:r w:rsidRPr="002C23C4" w:rsidR="003B6C81">
        <w:t xml:space="preserve">also </w:t>
      </w:r>
      <w:r w:rsidRPr="002C23C4" w:rsidR="007F283B">
        <w:t>alleged a</w:t>
      </w:r>
      <w:r w:rsidRPr="002C23C4" w:rsidR="003B6C81">
        <w:t xml:space="preserve"> firearm</w:t>
      </w:r>
      <w:r w:rsidRPr="002C23C4" w:rsidR="007F283B">
        <w:t xml:space="preserve"> enhancement under </w:t>
      </w:r>
      <w:bookmarkStart w:id="98" w:name="Psych_Cite_81"/>
      <w:r w:rsidRPr="002C23C4" w:rsidR="007F283B">
        <w:t>section 12022.53(d)</w:t>
      </w:r>
      <w:bookmarkEnd w:id="98"/>
      <w:r w:rsidRPr="002C23C4" w:rsidR="007F283B">
        <w:t xml:space="preserve"> </w:t>
      </w:r>
      <w:r w:rsidRPr="002C23C4" w:rsidR="003B6C81">
        <w:t>in connection with the attempted voluntary manslaughter and assault counts</w:t>
      </w:r>
      <w:r w:rsidRPr="002C23C4" w:rsidR="007F283B">
        <w:t xml:space="preserve">.  </w:t>
      </w:r>
      <w:r w:rsidRPr="002C23C4" w:rsidR="00912DCA">
        <w:t>(</w:t>
      </w:r>
      <w:bookmarkStart w:id="99" w:name="Psych_Cite_78"/>
      <w:r w:rsidRPr="002C23C4" w:rsidR="00CF0ACB">
        <w:rPr>
          <w:i/>
        </w:rPr>
        <w:t>Riva</w:t>
      </w:r>
      <w:r w:rsidRPr="002C23C4" w:rsidR="00CF0ACB">
        <w:t>,</w:t>
      </w:r>
      <w:r w:rsidRPr="002C23C4" w:rsidR="001031A7">
        <w:t xml:space="preserve"> </w:t>
      </w:r>
      <w:r w:rsidRPr="002C23C4" w:rsidR="00912DCA">
        <w:t xml:space="preserve">at </w:t>
      </w:r>
      <w:r w:rsidRPr="002C23C4" w:rsidR="001031A7">
        <w:t>p. </w:t>
      </w:r>
      <w:r w:rsidRPr="002C23C4" w:rsidR="00912DCA">
        <w:t>1000</w:t>
      </w:r>
      <w:bookmarkEnd w:id="99"/>
      <w:r w:rsidRPr="002C23C4" w:rsidR="00912DCA">
        <w:t xml:space="preserve">.)  </w:t>
      </w:r>
      <w:r w:rsidRPr="002C23C4" w:rsidR="003B6C81">
        <w:t xml:space="preserve">Although the information did not </w:t>
      </w:r>
      <w:r w:rsidR="00CB2C09">
        <w:t>also</w:t>
      </w:r>
      <w:r w:rsidRPr="002C23C4" w:rsidR="00CB2C09">
        <w:t xml:space="preserve"> </w:t>
      </w:r>
      <w:r w:rsidRPr="002C23C4" w:rsidR="003B6C81">
        <w:t>allege a firearm enhancement in connection with the shooting-at-an-occupied</w:t>
      </w:r>
      <w:r w:rsidR="00CD56E8">
        <w:t>-</w:t>
      </w:r>
      <w:r w:rsidRPr="002C23C4" w:rsidR="003B6C81">
        <w:t xml:space="preserve">vehicle count, </w:t>
      </w:r>
      <w:r w:rsidRPr="002C23C4" w:rsidR="00C66F57">
        <w:t xml:space="preserve">the verdict forms </w:t>
      </w:r>
      <w:r w:rsidRPr="002C23C4" w:rsidR="00B7056A">
        <w:t xml:space="preserve">nonetheless </w:t>
      </w:r>
      <w:r w:rsidRPr="002C23C4" w:rsidR="00C66F57">
        <w:t>asked the jurors to determine whether the prosecution had proved the enhancements as to all three counts, and the jury found them</w:t>
      </w:r>
      <w:r w:rsidRPr="002C23C4">
        <w:t xml:space="preserve"> </w:t>
      </w:r>
      <w:r w:rsidRPr="002C23C4" w:rsidR="00C66F57">
        <w:t>true</w:t>
      </w:r>
      <w:r w:rsidRPr="002C23C4" w:rsidR="00250839">
        <w:t xml:space="preserve"> as to all three</w:t>
      </w:r>
      <w:r w:rsidRPr="002C23C4" w:rsidR="00C66F57">
        <w:t>.  (</w:t>
      </w:r>
      <w:bookmarkStart w:id="100" w:name="Psych_Cite_75"/>
      <w:r w:rsidRPr="002C23C4" w:rsidR="00C66F57">
        <w:rPr>
          <w:i/>
        </w:rPr>
        <w:t>Ibid.</w:t>
      </w:r>
      <w:bookmarkEnd w:id="100"/>
      <w:r w:rsidRPr="002C23C4" w:rsidR="00C66F57">
        <w:t xml:space="preserve">)  The trial court </w:t>
      </w:r>
      <w:r w:rsidRPr="002C23C4">
        <w:t xml:space="preserve">then </w:t>
      </w:r>
      <w:r w:rsidRPr="002C23C4" w:rsidR="00C66F57">
        <w:t xml:space="preserve">imposed the </w:t>
      </w:r>
      <w:bookmarkStart w:id="101" w:name="Psych_Cite_82"/>
      <w:r w:rsidRPr="002C23C4" w:rsidR="00C66F57">
        <w:t>section 12022.53(d)</w:t>
      </w:r>
      <w:bookmarkEnd w:id="101"/>
      <w:r w:rsidRPr="002C23C4" w:rsidR="00C66F57">
        <w:t xml:space="preserve"> enhancement </w:t>
      </w:r>
      <w:r w:rsidRPr="002C23C4" w:rsidR="002A4B05">
        <w:t xml:space="preserve">only </w:t>
      </w:r>
      <w:r w:rsidR="00CD56E8">
        <w:t>for</w:t>
      </w:r>
      <w:r w:rsidR="000A48E2">
        <w:t xml:space="preserve"> </w:t>
      </w:r>
      <w:r w:rsidRPr="002C23C4" w:rsidR="00C66F57">
        <w:t>the shooting-at-an-occupied-vehicle count</w:t>
      </w:r>
      <w:r w:rsidR="00A81491">
        <w:t xml:space="preserve"> </w:t>
      </w:r>
      <w:r w:rsidRPr="002C23C4" w:rsidR="00C66F57">
        <w:t>—</w:t>
      </w:r>
      <w:r w:rsidR="00A81491">
        <w:t xml:space="preserve"> </w:t>
      </w:r>
      <w:r w:rsidRPr="002C23C4" w:rsidR="00C66F57">
        <w:t xml:space="preserve">the </w:t>
      </w:r>
      <w:r w:rsidRPr="002C23C4" w:rsidR="00283F74">
        <w:t xml:space="preserve">one </w:t>
      </w:r>
      <w:r w:rsidRPr="002C23C4" w:rsidR="00C66F57">
        <w:t xml:space="preserve">count as to which </w:t>
      </w:r>
      <w:r w:rsidRPr="002C23C4" w:rsidR="00283F74">
        <w:t xml:space="preserve">the enhancement </w:t>
      </w:r>
      <w:r w:rsidRPr="002C23C4" w:rsidR="00C66F57">
        <w:t xml:space="preserve">was not </w:t>
      </w:r>
      <w:r w:rsidRPr="002C23C4" w:rsidR="004807C5">
        <w:t>pleaded</w:t>
      </w:r>
      <w:r w:rsidRPr="002C23C4" w:rsidR="00C66F57">
        <w:t>.  (</w:t>
      </w:r>
      <w:bookmarkStart w:id="102" w:name="Psych_Cite_79"/>
      <w:r w:rsidRPr="002C23C4" w:rsidR="00CF0ACB">
        <w:rPr>
          <w:i/>
        </w:rPr>
        <w:t>Riva</w:t>
      </w:r>
      <w:r w:rsidRPr="002C23C4" w:rsidR="00CF0ACB">
        <w:t>,</w:t>
      </w:r>
      <w:r w:rsidRPr="002C23C4" w:rsidR="001031A7">
        <w:t xml:space="preserve"> at p</w:t>
      </w:r>
      <w:r w:rsidRPr="002C23C4" w:rsidR="002268EE">
        <w:t>p</w:t>
      </w:r>
      <w:r w:rsidRPr="002C23C4" w:rsidR="001031A7">
        <w:t>. </w:t>
      </w:r>
      <w:r w:rsidRPr="002C23C4" w:rsidR="002268EE">
        <w:t>1000–</w:t>
      </w:r>
      <w:r w:rsidRPr="002C23C4" w:rsidR="001031A7">
        <w:t>100</w:t>
      </w:r>
      <w:r w:rsidRPr="002C23C4" w:rsidR="00CF0ACB">
        <w:t>1</w:t>
      </w:r>
      <w:bookmarkEnd w:id="102"/>
      <w:r w:rsidRPr="002C23C4" w:rsidR="00C66F57">
        <w:rPr>
          <w:i/>
        </w:rPr>
        <w:t>.</w:t>
      </w:r>
      <w:r w:rsidRPr="002C23C4" w:rsidR="00C66F57">
        <w:t>)</w:t>
      </w:r>
      <w:r w:rsidRPr="002C23C4" w:rsidR="00912DCA">
        <w:rPr>
          <w:i/>
        </w:rPr>
        <w:t xml:space="preserve"> </w:t>
      </w:r>
      <w:r w:rsidRPr="002C23C4" w:rsidR="00C66F57">
        <w:rPr>
          <w:i/>
        </w:rPr>
        <w:t xml:space="preserve"> </w:t>
      </w:r>
    </w:p>
    <w:p w:rsidR="009E1BDA" w:rsidRPr="002C23C4" w:rsidP="00AB174F">
      <w:r w:rsidRPr="002C23C4">
        <w:rPr>
          <w:i/>
        </w:rPr>
        <w:tab/>
      </w:r>
      <w:r w:rsidRPr="002C23C4" w:rsidR="006472CE">
        <w:t xml:space="preserve">The Court of Appeal in </w:t>
      </w:r>
      <w:r w:rsidRPr="002C23C4" w:rsidR="00912DCA">
        <w:rPr>
          <w:i/>
        </w:rPr>
        <w:t xml:space="preserve">Riva </w:t>
      </w:r>
      <w:r w:rsidRPr="002C23C4" w:rsidR="00912DCA">
        <w:t>held that the information satisfied the statutory pleading requirement</w:t>
      </w:r>
      <w:r w:rsidRPr="002C23C4" w:rsidR="00250839">
        <w:t>s</w:t>
      </w:r>
      <w:r w:rsidRPr="002C23C4" w:rsidR="008C02A9">
        <w:t>, notwithstanding this omission,</w:t>
      </w:r>
      <w:r w:rsidRPr="002C23C4" w:rsidR="00912DCA">
        <w:t xml:space="preserve"> because “the enhancement under </w:t>
      </w:r>
      <w:bookmarkStart w:id="103" w:name="Psych_Cite_87"/>
      <w:r w:rsidRPr="002C23C4" w:rsidR="00912DCA">
        <w:t>section 12022.53</w:t>
      </w:r>
      <w:r w:rsidRPr="002C23C4" w:rsidR="00CF0ACB">
        <w:t>[</w:t>
      </w:r>
      <w:r w:rsidR="00CD56E8">
        <w:t>]</w:t>
      </w:r>
      <w:r w:rsidRPr="002C23C4" w:rsidR="00912DCA">
        <w:t>(d)</w:t>
      </w:r>
      <w:bookmarkEnd w:id="103"/>
      <w:r w:rsidRPr="002C23C4" w:rsidR="00912DCA">
        <w:t xml:space="preserve"> was pled by number and description as to some of the counts in the information,</w:t>
      </w:r>
      <w:r w:rsidRPr="002C23C4" w:rsidR="00912DCA">
        <w:rPr>
          <w:i/>
        </w:rPr>
        <w:t xml:space="preserve"> just not the one on which the trial court imposed it</w:t>
      </w:r>
      <w:r w:rsidRPr="002C23C4" w:rsidR="00912DCA">
        <w:t>.”  (</w:t>
      </w:r>
      <w:bookmarkStart w:id="104" w:name="Psych_Cite_84"/>
      <w:r w:rsidRPr="002C23C4" w:rsidR="007834F5">
        <w:rPr>
          <w:i/>
        </w:rPr>
        <w:t>Riva</w:t>
      </w:r>
      <w:r w:rsidRPr="002C23C4" w:rsidR="007834F5">
        <w:t xml:space="preserve">, </w:t>
      </w:r>
      <w:r w:rsidRPr="002C23C4" w:rsidR="007834F5">
        <w:rPr>
          <w:i/>
        </w:rPr>
        <w:t>supra</w:t>
      </w:r>
      <w:r w:rsidRPr="002C23C4" w:rsidR="007834F5">
        <w:t>, 112 Cal.App.4th</w:t>
      </w:r>
      <w:r w:rsidRPr="002C23C4" w:rsidR="00912DCA">
        <w:rPr>
          <w:i/>
        </w:rPr>
        <w:t xml:space="preserve"> </w:t>
      </w:r>
      <w:r w:rsidRPr="002C23C4" w:rsidR="00912DCA">
        <w:t>at p.</w:t>
      </w:r>
      <w:r w:rsidRPr="002C23C4" w:rsidR="001031A7">
        <w:t> </w:t>
      </w:r>
      <w:r w:rsidRPr="002C23C4" w:rsidR="00912DCA">
        <w:t>1002</w:t>
      </w:r>
      <w:bookmarkEnd w:id="104"/>
      <w:r w:rsidRPr="002C23C4" w:rsidR="00912DCA">
        <w:t xml:space="preserve">, italics added.)  The pleading, the court ruled, </w:t>
      </w:r>
      <w:r w:rsidRPr="002C23C4" w:rsidR="00C84B71">
        <w:t xml:space="preserve">thus </w:t>
      </w:r>
      <w:r w:rsidRPr="002C23C4" w:rsidR="00912DCA">
        <w:t xml:space="preserve">“complied with the literal language” of </w:t>
      </w:r>
      <w:bookmarkStart w:id="105" w:name="Psych_Cite_88"/>
      <w:r w:rsidRPr="002C23C4" w:rsidR="007834F5">
        <w:t>section 12022.53</w:t>
      </w:r>
      <w:r w:rsidR="00F722AB">
        <w:t xml:space="preserve">, subdivision </w:t>
      </w:r>
      <w:r w:rsidRPr="002C23C4" w:rsidR="00912DCA">
        <w:t>(j)</w:t>
      </w:r>
      <w:bookmarkEnd w:id="105"/>
      <w:r w:rsidRPr="002C23C4" w:rsidR="00DE1794">
        <w:t xml:space="preserve">, which </w:t>
      </w:r>
      <w:r w:rsidRPr="002C23C4" w:rsidR="00B45388">
        <w:t xml:space="preserve">requires </w:t>
      </w:r>
      <w:r w:rsidRPr="002C23C4" w:rsidR="004771DE">
        <w:t xml:space="preserve">that the accusatory pleading allege </w:t>
      </w:r>
      <w:r w:rsidRPr="002C23C4" w:rsidR="00B45388">
        <w:t xml:space="preserve">the facts supporting any </w:t>
      </w:r>
      <w:bookmarkStart w:id="106" w:name="Psych_Cite_89"/>
      <w:r w:rsidRPr="002C23C4" w:rsidR="00B45388">
        <w:t>section 12022.53</w:t>
      </w:r>
      <w:bookmarkEnd w:id="106"/>
      <w:r w:rsidRPr="002C23C4" w:rsidR="00B45388">
        <w:t xml:space="preserve"> firearm enhancement</w:t>
      </w:r>
      <w:r w:rsidRPr="002C23C4" w:rsidR="009C79E7">
        <w:t xml:space="preserve"> but does not expressly require </w:t>
      </w:r>
      <w:r w:rsidR="009A1A92">
        <w:t>that the information</w:t>
      </w:r>
      <w:r w:rsidRPr="002C23C4" w:rsidR="004771DE">
        <w:t xml:space="preserve"> allege </w:t>
      </w:r>
      <w:r w:rsidRPr="002C23C4" w:rsidR="009C79E7">
        <w:t>th</w:t>
      </w:r>
      <w:r w:rsidR="00030442">
        <w:t>ose</w:t>
      </w:r>
      <w:r w:rsidRPr="002C23C4" w:rsidR="009C79E7">
        <w:t xml:space="preserve"> facts in connection with a particular count</w:t>
      </w:r>
      <w:r w:rsidRPr="002C23C4" w:rsidR="00DE1794">
        <w:t>.  (</w:t>
      </w:r>
      <w:bookmarkStart w:id="107" w:name="Psych_Cite_85"/>
      <w:r w:rsidRPr="002C23C4" w:rsidR="00CF0ACB">
        <w:rPr>
          <w:i/>
        </w:rPr>
        <w:t>Riva</w:t>
      </w:r>
      <w:r w:rsidRPr="002C23C4" w:rsidR="00CF0ACB">
        <w:t xml:space="preserve">, </w:t>
      </w:r>
      <w:r w:rsidRPr="002C23C4" w:rsidR="00DE1794">
        <w:t>at p.</w:t>
      </w:r>
      <w:r w:rsidRPr="002C23C4" w:rsidR="001031A7">
        <w:t> </w:t>
      </w:r>
      <w:r w:rsidRPr="002C23C4" w:rsidR="00DE1794">
        <w:t>1001</w:t>
      </w:r>
      <w:bookmarkEnd w:id="107"/>
      <w:r w:rsidRPr="002C23C4" w:rsidR="00DE1794">
        <w:t xml:space="preserve">.)  The court </w:t>
      </w:r>
      <w:r w:rsidRPr="002C23C4" w:rsidR="00C84B71">
        <w:t xml:space="preserve">underscored </w:t>
      </w:r>
      <w:r w:rsidRPr="002C23C4" w:rsidR="00DE1794">
        <w:t xml:space="preserve">that the information in that case </w:t>
      </w:r>
      <w:r w:rsidRPr="002C23C4" w:rsidR="002C42B0">
        <w:t xml:space="preserve">did allege </w:t>
      </w:r>
      <w:r w:rsidRPr="002C23C4" w:rsidR="00912DCA">
        <w:t>the relevant facts</w:t>
      </w:r>
      <w:r w:rsidRPr="002C23C4" w:rsidR="002C42B0">
        <w:t xml:space="preserve"> supporting the enhancement in connection with </w:t>
      </w:r>
      <w:r w:rsidR="009A1A92">
        <w:t>other</w:t>
      </w:r>
      <w:r w:rsidRPr="002C23C4" w:rsidR="009A1A92">
        <w:t xml:space="preserve"> </w:t>
      </w:r>
      <w:r w:rsidRPr="002C23C4" w:rsidR="002C42B0">
        <w:t>counts of the information</w:t>
      </w:r>
      <w:r w:rsidRPr="002C23C4" w:rsidR="00912DCA">
        <w:t>.  (</w:t>
      </w:r>
      <w:bookmarkStart w:id="108" w:name="Psych_Cite_83"/>
      <w:r w:rsidRPr="002C23C4" w:rsidR="007834F5">
        <w:rPr>
          <w:i/>
        </w:rPr>
        <w:t>Ibid.</w:t>
      </w:r>
      <w:bookmarkEnd w:id="108"/>
      <w:r w:rsidRPr="002C23C4" w:rsidR="00912DCA">
        <w:t>)</w:t>
      </w:r>
      <w:r w:rsidRPr="002C23C4" w:rsidR="00E577B7">
        <w:t xml:space="preserve">  The court also </w:t>
      </w:r>
      <w:r w:rsidRPr="002C23C4" w:rsidR="005772E0">
        <w:t xml:space="preserve">reasoned that </w:t>
      </w:r>
      <w:r w:rsidRPr="002C23C4" w:rsidR="00E577B7">
        <w:t xml:space="preserve">the case raised no concerns about fair notice comparable to </w:t>
      </w:r>
      <w:r w:rsidRPr="002C23C4" w:rsidR="00671AAE">
        <w:t>those</w:t>
      </w:r>
      <w:r w:rsidRPr="002C23C4" w:rsidR="00E577B7">
        <w:t xml:space="preserve"> in </w:t>
      </w:r>
      <w:r w:rsidRPr="002C23C4" w:rsidR="00E577B7">
        <w:rPr>
          <w:i/>
        </w:rPr>
        <w:t>Mancebo</w:t>
      </w:r>
      <w:r w:rsidRPr="002C23C4" w:rsidR="00E577B7">
        <w:t>:</w:t>
      </w:r>
      <w:r w:rsidRPr="002C23C4" w:rsidR="00E9456B">
        <w:t xml:space="preserve">  The information put the defendant on notice that he had to defend against the allegation that he personally and intentionally discharged a firearm </w:t>
      </w:r>
      <w:r w:rsidRPr="002C23C4" w:rsidR="00834582">
        <w:t>causing</w:t>
      </w:r>
      <w:r w:rsidRPr="002C23C4" w:rsidR="00E9456B">
        <w:t xml:space="preserve"> great bodily injury</w:t>
      </w:r>
      <w:r w:rsidRPr="002C23C4" w:rsidR="00C82331">
        <w:t xml:space="preserve"> </w:t>
      </w:r>
      <w:r w:rsidRPr="002C23C4" w:rsidR="0080165D">
        <w:t xml:space="preserve">in the course of the shooting </w:t>
      </w:r>
      <w:r w:rsidRPr="002C23C4" w:rsidR="00C82331">
        <w:t>because the allegation was pleaded as to two other counts stemming from</w:t>
      </w:r>
      <w:r w:rsidR="009A1A92">
        <w:t xml:space="preserve"> the</w:t>
      </w:r>
      <w:r w:rsidRPr="002C23C4" w:rsidR="00C82331">
        <w:t xml:space="preserve"> </w:t>
      </w:r>
      <w:r w:rsidRPr="002C23C4" w:rsidR="005772E0">
        <w:t xml:space="preserve">defendant’s </w:t>
      </w:r>
      <w:r w:rsidRPr="002C23C4" w:rsidR="00671AAE">
        <w:t xml:space="preserve">same </w:t>
      </w:r>
      <w:r w:rsidRPr="002C23C4" w:rsidR="00C82331">
        <w:t>conduct</w:t>
      </w:r>
      <w:r w:rsidRPr="002C23C4" w:rsidR="00E9456B">
        <w:t>.  (</w:t>
      </w:r>
      <w:bookmarkStart w:id="109" w:name="Psych_Cite_86"/>
      <w:r w:rsidRPr="00641626" w:rsidR="00641626">
        <w:rPr>
          <w:i/>
          <w:iCs/>
        </w:rPr>
        <w:t>Riva</w:t>
      </w:r>
      <w:r w:rsidR="00641626">
        <w:t>,</w:t>
      </w:r>
      <w:r w:rsidRPr="002C23C4" w:rsidR="00E9456B">
        <w:t xml:space="preserve"> at p.</w:t>
      </w:r>
      <w:r w:rsidRPr="002C23C4" w:rsidR="001031A7">
        <w:t> </w:t>
      </w:r>
      <w:r w:rsidRPr="002C23C4" w:rsidR="00E9456B">
        <w:t>1003</w:t>
      </w:r>
      <w:bookmarkEnd w:id="109"/>
      <w:r w:rsidRPr="002C23C4" w:rsidR="00E9456B">
        <w:t>.)</w:t>
      </w:r>
    </w:p>
    <w:p w:rsidR="000C2136" w:rsidP="000C2136">
      <w:r w:rsidRPr="002C23C4">
        <w:tab/>
        <w:t xml:space="preserve">The </w:t>
      </w:r>
      <w:r w:rsidRPr="002C23C4" w:rsidR="00C56331">
        <w:t xml:space="preserve">Attorney General </w:t>
      </w:r>
      <w:r w:rsidRPr="002C23C4" w:rsidR="002832BD">
        <w:t xml:space="preserve">does not rely </w:t>
      </w:r>
      <w:r w:rsidRPr="002C23C4" w:rsidR="0042324E">
        <w:t xml:space="preserve">on </w:t>
      </w:r>
      <w:r w:rsidRPr="002C23C4" w:rsidR="00C56331">
        <w:rPr>
          <w:i/>
        </w:rPr>
        <w:t>Riva</w:t>
      </w:r>
      <w:r w:rsidRPr="002C23C4" w:rsidR="00C210FD">
        <w:t xml:space="preserve">, </w:t>
      </w:r>
      <w:r w:rsidRPr="002C23C4" w:rsidR="00941C9D">
        <w:t xml:space="preserve">instead </w:t>
      </w:r>
      <w:r w:rsidRPr="002C23C4" w:rsidR="00AC21CF">
        <w:t>conced</w:t>
      </w:r>
      <w:r w:rsidRPr="002C23C4" w:rsidR="00941C9D">
        <w:t>ing</w:t>
      </w:r>
      <w:r w:rsidRPr="002C23C4" w:rsidR="00AC21CF">
        <w:t xml:space="preserve"> </w:t>
      </w:r>
      <w:r w:rsidRPr="002C23C4" w:rsidR="00891C6B">
        <w:t>that</w:t>
      </w:r>
      <w:r w:rsidRPr="002C23C4" w:rsidR="00C210FD">
        <w:t xml:space="preserve"> the prosecution was required to </w:t>
      </w:r>
      <w:r w:rsidRPr="002C23C4" w:rsidR="007C54DC">
        <w:t xml:space="preserve">plead </w:t>
      </w:r>
      <w:r w:rsidRPr="002C23C4" w:rsidR="000E51D0">
        <w:t xml:space="preserve">the vicarious liability enhancements </w:t>
      </w:r>
      <w:r w:rsidRPr="002C23C4" w:rsidR="00C13A58">
        <w:t xml:space="preserve">under </w:t>
      </w:r>
      <w:bookmarkStart w:id="110" w:name="Psych_Cite_96"/>
      <w:r w:rsidRPr="002C23C4" w:rsidR="00C13A58">
        <w:t>section 12022.53(e)</w:t>
      </w:r>
      <w:bookmarkEnd w:id="110"/>
      <w:r w:rsidRPr="002C23C4" w:rsidR="00C13A58">
        <w:t xml:space="preserve"> </w:t>
      </w:r>
      <w:r w:rsidRPr="002C23C4" w:rsidR="007C54DC">
        <w:t>in connection with the robbery count</w:t>
      </w:r>
      <w:r w:rsidRPr="002C23C4" w:rsidR="0075075D">
        <w:t>s if it wished for the court to impose those enhancements</w:t>
      </w:r>
      <w:r w:rsidRPr="002C23C4" w:rsidR="00834582">
        <w:t xml:space="preserve"> as to those counts</w:t>
      </w:r>
      <w:r w:rsidRPr="002C23C4" w:rsidR="00C13A58">
        <w:t>.</w:t>
      </w:r>
      <w:r w:rsidRPr="002C23C4" w:rsidR="006A215F">
        <w:t xml:space="preserve">  </w:t>
      </w:r>
      <w:r w:rsidR="00E55381">
        <w:t xml:space="preserve">We </w:t>
      </w:r>
      <w:r w:rsidRPr="002C23C4" w:rsidR="008009DC">
        <w:t>accept the concession</w:t>
      </w:r>
      <w:r w:rsidR="00000185">
        <w:t xml:space="preserve"> </w:t>
      </w:r>
      <w:r w:rsidR="008F0970">
        <w:t>and</w:t>
      </w:r>
      <w:r w:rsidR="00D70A31">
        <w:t>, further,</w:t>
      </w:r>
      <w:r w:rsidR="00FA7E07">
        <w:t xml:space="preserve"> </w:t>
      </w:r>
      <w:r w:rsidR="00571233">
        <w:t xml:space="preserve">disapprove </w:t>
      </w:r>
      <w:bookmarkStart w:id="111" w:name="Psych_Cite_92"/>
      <w:r w:rsidRPr="002C23C4" w:rsidR="00CD56E8">
        <w:rPr>
          <w:i/>
        </w:rPr>
        <w:t>People v. Riva</w:t>
      </w:r>
      <w:r w:rsidRPr="002C23C4" w:rsidR="00CD56E8">
        <w:t xml:space="preserve">, </w:t>
      </w:r>
      <w:r w:rsidRPr="002C23C4" w:rsidR="00CD56E8">
        <w:rPr>
          <w:i/>
        </w:rPr>
        <w:t>supra</w:t>
      </w:r>
      <w:r w:rsidRPr="002C23C4" w:rsidR="00CD56E8">
        <w:t>, 112</w:t>
      </w:r>
      <w:bookmarkEnd w:id="111"/>
      <w:r w:rsidRPr="002C23C4" w:rsidR="00CD56E8">
        <w:t xml:space="preserve"> Cal.App.4th</w:t>
      </w:r>
      <w:r w:rsidR="00CD56E8">
        <w:t xml:space="preserve"> </w:t>
      </w:r>
      <w:r w:rsidR="00E74ABA">
        <w:t>981</w:t>
      </w:r>
      <w:r w:rsidR="00FA7E07">
        <w:t xml:space="preserve">.  </w:t>
      </w:r>
      <w:r w:rsidR="00E55381">
        <w:t xml:space="preserve">The statutory pleading requirements of </w:t>
      </w:r>
      <w:bookmarkStart w:id="112" w:name="Psych_Cite_97"/>
      <w:r w:rsidR="00E55381">
        <w:t>section 12022.53</w:t>
      </w:r>
      <w:bookmarkEnd w:id="112"/>
      <w:r w:rsidR="00E55381">
        <w:t xml:space="preserve"> and </w:t>
      </w:r>
      <w:bookmarkStart w:id="113" w:name="Psych_Cite_98"/>
      <w:r w:rsidRPr="002C23C4" w:rsidR="00E00DD4">
        <w:t>section 1170.1(e)</w:t>
      </w:r>
      <w:bookmarkEnd w:id="113"/>
      <w:r w:rsidR="00E55381">
        <w:t xml:space="preserve">, </w:t>
      </w:r>
      <w:r w:rsidR="00DA0200">
        <w:t xml:space="preserve">read </w:t>
      </w:r>
      <w:r w:rsidR="00840760">
        <w:t xml:space="preserve">against the backdrop of </w:t>
      </w:r>
      <w:r w:rsidR="00DA0200">
        <w:t xml:space="preserve">due process, require </w:t>
      </w:r>
      <w:r w:rsidR="00CB2C09">
        <w:t xml:space="preserve">more than simply alleging the facts supporting an enhancement somewhere in the information.  </w:t>
      </w:r>
      <w:r w:rsidRPr="002C23C4" w:rsidR="00CB2C09">
        <w:t>(</w:t>
      </w:r>
      <w:bookmarkStart w:id="114" w:name="Psych_Cite_93"/>
      <w:r w:rsidR="00BA05D1">
        <w:t>Contra,</w:t>
      </w:r>
      <w:r w:rsidR="00CB2C09">
        <w:t xml:space="preserve"> </w:t>
      </w:r>
      <w:r w:rsidRPr="002C23C4" w:rsidR="00CB2C09">
        <w:rPr>
          <w:i/>
        </w:rPr>
        <w:t>Riva</w:t>
      </w:r>
      <w:r w:rsidRPr="002C23C4" w:rsidR="00CB2C09">
        <w:t>, at p. 1001</w:t>
      </w:r>
      <w:bookmarkEnd w:id="114"/>
      <w:r w:rsidRPr="002C23C4" w:rsidR="00CB2C09">
        <w:t xml:space="preserve">.)  </w:t>
      </w:r>
      <w:r w:rsidR="00CB2C09">
        <w:t xml:space="preserve">The pleading must </w:t>
      </w:r>
      <w:r w:rsidR="00000185">
        <w:t xml:space="preserve">provide the defendant </w:t>
      </w:r>
      <w:r w:rsidR="00CB2C09">
        <w:t xml:space="preserve">with </w:t>
      </w:r>
      <w:r w:rsidR="00C610C6">
        <w:t xml:space="preserve">fair </w:t>
      </w:r>
      <w:r w:rsidR="00CB2C09">
        <w:t xml:space="preserve">notice of the potential </w:t>
      </w:r>
      <w:r w:rsidR="00901693">
        <w:t>sentence</w:t>
      </w:r>
      <w:r w:rsidR="00220614">
        <w:t>.  A</w:t>
      </w:r>
      <w:r w:rsidR="00546A0D">
        <w:t xml:space="preserve"> </w:t>
      </w:r>
      <w:r w:rsidR="00030442">
        <w:t>pleading that alleges</w:t>
      </w:r>
      <w:r w:rsidR="00CB2C09">
        <w:t xml:space="preserve"> an</w:t>
      </w:r>
      <w:r w:rsidR="00000185">
        <w:t xml:space="preserve"> enhancement </w:t>
      </w:r>
      <w:r w:rsidR="00CB2C09">
        <w:t xml:space="preserve">as to one count </w:t>
      </w:r>
      <w:r w:rsidR="00030442">
        <w:t>does not</w:t>
      </w:r>
      <w:r w:rsidR="00CB2C09">
        <w:t xml:space="preserve"> </w:t>
      </w:r>
      <w:r w:rsidR="00901693">
        <w:t xml:space="preserve">provide </w:t>
      </w:r>
      <w:r w:rsidR="00030442">
        <w:t>fair</w:t>
      </w:r>
      <w:r w:rsidR="00901693">
        <w:t xml:space="preserve"> notice </w:t>
      </w:r>
      <w:r w:rsidR="00CB2C09">
        <w:t xml:space="preserve">that the same enhancement </w:t>
      </w:r>
      <w:r w:rsidR="00000185">
        <w:t>might be imposed as to a different count</w:t>
      </w:r>
      <w:r w:rsidR="00571233">
        <w:t>.</w:t>
      </w:r>
      <w:r w:rsidR="00BC3331">
        <w:t xml:space="preserve">  When a pleading alleges an enhancement in connection with one count but not another, the defendant </w:t>
      </w:r>
      <w:r w:rsidR="008060E2">
        <w:t xml:space="preserve">is ordinarily entitled to assume </w:t>
      </w:r>
      <w:r w:rsidR="00030442">
        <w:t>the prosecution made</w:t>
      </w:r>
      <w:r w:rsidR="00CB2C09">
        <w:t xml:space="preserve"> a discretionary choice </w:t>
      </w:r>
      <w:r w:rsidR="00030442">
        <w:t xml:space="preserve">not to </w:t>
      </w:r>
      <w:r w:rsidR="008060E2">
        <w:t>pursue the enhancement on the second count</w:t>
      </w:r>
      <w:r w:rsidR="00220614">
        <w:t xml:space="preserve">, and to </w:t>
      </w:r>
      <w:r w:rsidR="00F95BD3">
        <w:t xml:space="preserve">rely on that </w:t>
      </w:r>
      <w:r w:rsidR="007F6529">
        <w:t>choice</w:t>
      </w:r>
      <w:r w:rsidR="009B46D1">
        <w:t xml:space="preserve"> in making decisions such as whether to plead guilty or proceed to trial</w:t>
      </w:r>
      <w:r w:rsidR="00CB2C09">
        <w:t xml:space="preserve">.  </w:t>
      </w:r>
      <w:r w:rsidRPr="002C23C4" w:rsidR="00451412">
        <w:t>(</w:t>
      </w:r>
      <w:bookmarkStart w:id="115" w:name="Psych_Cite_94"/>
      <w:r w:rsidRPr="002C23C4" w:rsidR="00451412">
        <w:t xml:space="preserve">See </w:t>
      </w:r>
      <w:r w:rsidRPr="002C23C4" w:rsidR="00451412">
        <w:rPr>
          <w:i/>
        </w:rPr>
        <w:t xml:space="preserve">People v. Sweeney </w:t>
      </w:r>
      <w:r w:rsidRPr="002C23C4" w:rsidR="00451412">
        <w:t>(2016) 4 Cal.App.5th 295, 301 [information alleging gang enhancements under Pen. Code, § 186.22, subd. (b) did not give</w:t>
      </w:r>
      <w:r w:rsidR="003B3E83">
        <w:t xml:space="preserve"> the</w:t>
      </w:r>
      <w:r w:rsidRPr="002C23C4" w:rsidR="00451412">
        <w:t xml:space="preserve"> defendant adequate notice that enhancement under Pen. Code, § 186.22, subd. (d)</w:t>
      </w:r>
      <w:r w:rsidR="00107FD8">
        <w:t xml:space="preserve"> might apply</w:t>
      </w:r>
      <w:r w:rsidRPr="002C23C4" w:rsidR="00451412">
        <w:t>]</w:t>
      </w:r>
      <w:bookmarkEnd w:id="115"/>
      <w:r w:rsidRPr="002C23C4" w:rsidR="00451412">
        <w:t xml:space="preserve">.)  </w:t>
      </w:r>
      <w:r w:rsidR="008D16FC">
        <w:t xml:space="preserve">Fair notice requires that every </w:t>
      </w:r>
      <w:r w:rsidR="007F6529">
        <w:t>sentenc</w:t>
      </w:r>
      <w:r w:rsidR="008D16FC">
        <w:t>e</w:t>
      </w:r>
      <w:r w:rsidR="007F6529">
        <w:t xml:space="preserve"> enhancement be pleaded in connection with every count as to which it is imposed.  (</w:t>
      </w:r>
      <w:bookmarkStart w:id="116" w:name="Psych_Cite_95"/>
      <w:r w:rsidR="007F6529">
        <w:t xml:space="preserve">See </w:t>
      </w:r>
      <w:r w:rsidR="007F6529">
        <w:rPr>
          <w:i/>
        </w:rPr>
        <w:t>People v. Nguyen</w:t>
      </w:r>
      <w:r w:rsidR="007F6529">
        <w:t xml:space="preserve"> (2017) 18 Cal.App.5th 260, 267</w:t>
      </w:r>
      <w:bookmarkEnd w:id="116"/>
      <w:r w:rsidR="007F6529">
        <w:t>.)</w:t>
      </w:r>
    </w:p>
    <w:p w:rsidR="00E55381" w:rsidRPr="002C23C4" w:rsidP="007B299A">
      <w:r>
        <w:tab/>
      </w:r>
      <w:r w:rsidR="00BD48F1">
        <w:t xml:space="preserve">The </w:t>
      </w:r>
      <w:r w:rsidR="00BD48F1">
        <w:rPr>
          <w:i/>
          <w:iCs/>
        </w:rPr>
        <w:t xml:space="preserve">Riva </w:t>
      </w:r>
      <w:r w:rsidR="00BD48F1">
        <w:t xml:space="preserve">court reasoned that the </w:t>
      </w:r>
      <w:r w:rsidR="006970E5">
        <w:t xml:space="preserve">pleading failure </w:t>
      </w:r>
      <w:r w:rsidR="00BD48F1">
        <w:t xml:space="preserve">there did not interfere with the defendant’s ability to contest the factual basis for the </w:t>
      </w:r>
      <w:r w:rsidR="00CE71E8">
        <w:t>allegation</w:t>
      </w:r>
      <w:r w:rsidR="00BD48F1">
        <w:t xml:space="preserve"> at trial because the same </w:t>
      </w:r>
      <w:r w:rsidR="00CE71E8">
        <w:t>enhancement</w:t>
      </w:r>
      <w:r w:rsidR="00BD48F1">
        <w:t xml:space="preserve"> was pleaded as to other counts.  (</w:t>
      </w:r>
      <w:bookmarkStart w:id="117" w:name="Psych_Cite_100"/>
      <w:r w:rsidR="00BD48F1">
        <w:rPr>
          <w:i/>
          <w:iCs/>
        </w:rPr>
        <w:t>Riva</w:t>
      </w:r>
      <w:r w:rsidR="00BD48F1">
        <w:t xml:space="preserve">, </w:t>
      </w:r>
      <w:r w:rsidR="00BD48F1">
        <w:rPr>
          <w:i/>
          <w:iCs/>
        </w:rPr>
        <w:t>supra</w:t>
      </w:r>
      <w:r w:rsidR="00BD48F1">
        <w:t>, 112 Cal.App.4th at p.</w:t>
      </w:r>
      <w:r w:rsidR="00865EC3">
        <w:t> </w:t>
      </w:r>
      <w:r w:rsidR="00BD48F1">
        <w:t>1003</w:t>
      </w:r>
      <w:bookmarkEnd w:id="117"/>
      <w:r w:rsidR="00BD48F1">
        <w:t xml:space="preserve">.)  </w:t>
      </w:r>
      <w:r w:rsidR="00271C71">
        <w:t xml:space="preserve">Given </w:t>
      </w:r>
      <w:r w:rsidR="006970E5">
        <w:t xml:space="preserve">the specific </w:t>
      </w:r>
      <w:r w:rsidR="000F280B">
        <w:t xml:space="preserve">circumstances </w:t>
      </w:r>
      <w:r w:rsidR="006970E5">
        <w:t>of th</w:t>
      </w:r>
      <w:r w:rsidR="00271C71">
        <w:t>e</w:t>
      </w:r>
      <w:r w:rsidR="006970E5">
        <w:t xml:space="preserve"> case, </w:t>
      </w:r>
      <w:r w:rsidR="00BD48F1">
        <w:t>the defendant was “on notice he had to defend against the allegation</w:t>
      </w:r>
      <w:r w:rsidR="006970E5">
        <w:t>,</w:t>
      </w:r>
      <w:r w:rsidR="00BD48F1">
        <w:t>” and</w:t>
      </w:r>
      <w:r w:rsidR="006970E5">
        <w:t xml:space="preserve"> </w:t>
      </w:r>
      <w:r w:rsidR="00BD48F1">
        <w:t xml:space="preserve">it seemed unlikely </w:t>
      </w:r>
      <w:r w:rsidR="006970E5">
        <w:t xml:space="preserve">the error </w:t>
      </w:r>
      <w:r w:rsidR="00BD48F1">
        <w:t>“affected his decision whether to plea bargain.</w:t>
      </w:r>
      <w:r w:rsidR="006970E5">
        <w:t>”</w:t>
      </w:r>
      <w:r w:rsidR="00BD48F1">
        <w:t xml:space="preserve">  (</w:t>
      </w:r>
      <w:bookmarkStart w:id="118" w:name="Psych_Cite_99"/>
      <w:r w:rsidR="00BD48F1">
        <w:rPr>
          <w:i/>
          <w:iCs/>
        </w:rPr>
        <w:t>Ibid.</w:t>
      </w:r>
      <w:bookmarkEnd w:id="118"/>
      <w:r w:rsidR="00BD48F1">
        <w:t>)  These are not</w:t>
      </w:r>
      <w:r w:rsidR="00271C71">
        <w:t>, however,</w:t>
      </w:r>
      <w:r w:rsidR="00BD48F1">
        <w:t xml:space="preserve"> reasons </w:t>
      </w:r>
      <w:r w:rsidR="00271C71">
        <w:t xml:space="preserve">to conclude that no pleading error occurred; they are reasons to conclude the </w:t>
      </w:r>
      <w:r w:rsidR="00BD48F1">
        <w:t xml:space="preserve">error was not prejudicial.  </w:t>
      </w:r>
      <w:r w:rsidR="001E42DE">
        <w:t>T</w:t>
      </w:r>
      <w:r w:rsidR="00DA0200">
        <w:t>he</w:t>
      </w:r>
      <w:r w:rsidR="00E00DD4">
        <w:t xml:space="preserve"> </w:t>
      </w:r>
      <w:r>
        <w:rPr>
          <w:i/>
        </w:rPr>
        <w:t>Riva</w:t>
      </w:r>
      <w:r>
        <w:t xml:space="preserve"> </w:t>
      </w:r>
      <w:r w:rsidR="00DA0200">
        <w:t xml:space="preserve">court </w:t>
      </w:r>
      <w:r w:rsidR="00C610C6">
        <w:t>erred by</w:t>
      </w:r>
      <w:r w:rsidR="00DA0200">
        <w:t xml:space="preserve"> </w:t>
      </w:r>
      <w:r>
        <w:t xml:space="preserve">confusing </w:t>
      </w:r>
      <w:r>
        <w:t xml:space="preserve">the question whether the pleading was adequate with </w:t>
      </w:r>
      <w:r w:rsidR="00E00DD4">
        <w:t>the</w:t>
      </w:r>
      <w:r w:rsidR="00901693">
        <w:t xml:space="preserve"> </w:t>
      </w:r>
      <w:r w:rsidR="00DA0200">
        <w:t xml:space="preserve">separate </w:t>
      </w:r>
      <w:r w:rsidR="00E00DD4">
        <w:t xml:space="preserve">question </w:t>
      </w:r>
      <w:r>
        <w:t>whether the pleading defect prejudiced the defendan</w:t>
      </w:r>
      <w:r w:rsidR="00E00DD4">
        <w:t>t</w:t>
      </w:r>
      <w:r w:rsidR="00571233">
        <w:t xml:space="preserve"> (see</w:t>
      </w:r>
      <w:r>
        <w:t xml:space="preserve"> p</w:t>
      </w:r>
      <w:r w:rsidR="00865EC3">
        <w:t>t.</w:t>
      </w:r>
      <w:r>
        <w:t xml:space="preserve"> III</w:t>
      </w:r>
      <w:r w:rsidR="00571233">
        <w:t xml:space="preserve">, </w:t>
      </w:r>
      <w:r w:rsidR="00571233">
        <w:rPr>
          <w:i/>
          <w:iCs/>
        </w:rPr>
        <w:t>post</w:t>
      </w:r>
      <w:r>
        <w:t>)</w:t>
      </w:r>
      <w:r w:rsidR="00571233">
        <w:t>.</w:t>
      </w:r>
      <w:r>
        <w:t xml:space="preserve">  </w:t>
      </w:r>
    </w:p>
    <w:p w:rsidR="00E974AA" w:rsidRPr="002C23C4" w:rsidP="00107FD8">
      <w:r w:rsidRPr="002C23C4">
        <w:tab/>
      </w:r>
      <w:r w:rsidR="00BA05D1">
        <w:t>Here</w:t>
      </w:r>
      <w:r w:rsidR="00C901B1">
        <w:t xml:space="preserve"> </w:t>
      </w:r>
      <w:r w:rsidRPr="002C23C4" w:rsidR="001A48BB">
        <w:t xml:space="preserve">the </w:t>
      </w:r>
      <w:bookmarkStart w:id="119" w:name="Psych_Cite_101"/>
      <w:r w:rsidRPr="002C23C4" w:rsidR="00FF2EA1">
        <w:t>section 12022.53(e)</w:t>
      </w:r>
      <w:bookmarkEnd w:id="119"/>
      <w:r w:rsidRPr="002C23C4" w:rsidR="00FF2EA1">
        <w:t xml:space="preserve"> vicarious</w:t>
      </w:r>
      <w:r w:rsidRPr="002C23C4" w:rsidR="008C2763">
        <w:t xml:space="preserve"> </w:t>
      </w:r>
      <w:r w:rsidR="00CD5F99">
        <w:t xml:space="preserve">firearm discharge </w:t>
      </w:r>
      <w:r w:rsidRPr="002C23C4" w:rsidR="00FF2EA1">
        <w:t xml:space="preserve">allegation </w:t>
      </w:r>
      <w:r w:rsidRPr="002C23C4" w:rsidR="008C7CAC">
        <w:t xml:space="preserve">as to </w:t>
      </w:r>
      <w:r w:rsidRPr="002C23C4" w:rsidR="00FF2EA1">
        <w:t xml:space="preserve">the murder count </w:t>
      </w:r>
      <w:r w:rsidR="00C610C6">
        <w:t>failed to</w:t>
      </w:r>
      <w:r w:rsidRPr="002C23C4" w:rsidR="001A48BB">
        <w:t xml:space="preserve"> p</w:t>
      </w:r>
      <w:r w:rsidR="00451412">
        <w:t>rovide</w:t>
      </w:r>
      <w:r w:rsidRPr="002C23C4" w:rsidR="001A48BB">
        <w:t xml:space="preserve"> </w:t>
      </w:r>
      <w:r w:rsidR="00135D5E">
        <w:t xml:space="preserve">Anderson </w:t>
      </w:r>
      <w:r w:rsidR="00451412">
        <w:t xml:space="preserve">with fair notice </w:t>
      </w:r>
      <w:r w:rsidRPr="002C23C4" w:rsidR="001A48BB">
        <w:t xml:space="preserve">that the prosecution </w:t>
      </w:r>
      <w:r w:rsidRPr="002C23C4" w:rsidR="00451412">
        <w:t>w</w:t>
      </w:r>
      <w:r w:rsidR="00451412">
        <w:t>ould</w:t>
      </w:r>
      <w:r w:rsidRPr="002C23C4" w:rsidR="00451412">
        <w:t xml:space="preserve"> </w:t>
      </w:r>
      <w:r w:rsidRPr="002C23C4" w:rsidR="00335C6B">
        <w:t xml:space="preserve">seek </w:t>
      </w:r>
      <w:r w:rsidRPr="002C23C4" w:rsidR="003D2FF9">
        <w:t>additional vicarious firearm</w:t>
      </w:r>
      <w:r w:rsidRPr="002C23C4" w:rsidR="007C2546">
        <w:t xml:space="preserve"> </w:t>
      </w:r>
      <w:r w:rsidR="0010068E">
        <w:t xml:space="preserve">discharge </w:t>
      </w:r>
      <w:r w:rsidRPr="002C23C4" w:rsidR="007C2546">
        <w:t>enhancement</w:t>
      </w:r>
      <w:r w:rsidRPr="002C23C4" w:rsidR="003D2FF9">
        <w:t>s</w:t>
      </w:r>
      <w:r w:rsidRPr="002C23C4" w:rsidR="007C2546">
        <w:t xml:space="preserve"> </w:t>
      </w:r>
      <w:r w:rsidRPr="002C23C4" w:rsidR="003D2FF9">
        <w:t>as</w:t>
      </w:r>
      <w:r w:rsidRPr="002C23C4" w:rsidR="007C2546">
        <w:t xml:space="preserve"> to each of the </w:t>
      </w:r>
      <w:r w:rsidRPr="002C23C4" w:rsidR="00DC2288">
        <w:t xml:space="preserve">five </w:t>
      </w:r>
      <w:r w:rsidRPr="002C23C4" w:rsidR="007C2546">
        <w:t>robberies</w:t>
      </w:r>
      <w:r w:rsidR="0010068E">
        <w:t xml:space="preserve">, </w:t>
      </w:r>
      <w:r w:rsidR="00044FFC">
        <w:t xml:space="preserve">with </w:t>
      </w:r>
      <w:r w:rsidR="0010068E">
        <w:t xml:space="preserve">each </w:t>
      </w:r>
      <w:r w:rsidR="00044FFC">
        <w:t xml:space="preserve">enhancement </w:t>
      </w:r>
      <w:r w:rsidR="0010068E">
        <w:t xml:space="preserve">carrying an additional </w:t>
      </w:r>
      <w:r w:rsidR="00044FFC">
        <w:t xml:space="preserve">penalty of </w:t>
      </w:r>
      <w:r w:rsidR="0010068E">
        <w:t>25 years to life</w:t>
      </w:r>
      <w:r w:rsidRPr="002C23C4" w:rsidR="005F629B">
        <w:t>.</w:t>
      </w:r>
      <w:r w:rsidRPr="002C23C4" w:rsidR="001D5C19">
        <w:t xml:space="preserve">  </w:t>
      </w:r>
      <w:r w:rsidRPr="002C23C4" w:rsidR="005F629B">
        <w:t>I</w:t>
      </w:r>
      <w:r w:rsidR="000A3702">
        <w:t>ndeed</w:t>
      </w:r>
      <w:r w:rsidRPr="002C23C4" w:rsidR="005F629B">
        <w:t xml:space="preserve">, </w:t>
      </w:r>
      <w:r w:rsidR="00B22C3F">
        <w:t xml:space="preserve">Anderson </w:t>
      </w:r>
      <w:r w:rsidRPr="002C23C4" w:rsidR="00535A58">
        <w:t xml:space="preserve">had </w:t>
      </w:r>
      <w:r w:rsidRPr="002C23C4" w:rsidR="005F629B">
        <w:t xml:space="preserve">reason to believe the prosecution was </w:t>
      </w:r>
      <w:r w:rsidRPr="002C23C4" w:rsidR="002F7D50">
        <w:t xml:space="preserve">exercising its discretion </w:t>
      </w:r>
      <w:r w:rsidRPr="002C23C4" w:rsidR="005F629B">
        <w:rPr>
          <w:i/>
        </w:rPr>
        <w:t>not</w:t>
      </w:r>
      <w:r w:rsidRPr="002C23C4" w:rsidR="005F629B">
        <w:t xml:space="preserve"> </w:t>
      </w:r>
      <w:r w:rsidRPr="002C23C4" w:rsidR="00D46169">
        <w:t xml:space="preserve">to </w:t>
      </w:r>
      <w:r w:rsidRPr="002C23C4" w:rsidR="005F629B">
        <w:t>seek the same 25-</w:t>
      </w:r>
      <w:r w:rsidR="00BB0AE3">
        <w:t>year-</w:t>
      </w:r>
      <w:r w:rsidRPr="002C23C4" w:rsidR="009020F9">
        <w:t>to-life</w:t>
      </w:r>
      <w:r w:rsidRPr="002C23C4" w:rsidR="005F629B">
        <w:t xml:space="preserve"> enhancement </w:t>
      </w:r>
      <w:r w:rsidRPr="002C23C4" w:rsidR="00081813">
        <w:t xml:space="preserve">as to </w:t>
      </w:r>
      <w:r w:rsidRPr="002C23C4" w:rsidR="005F629B">
        <w:t>the robbery counts</w:t>
      </w:r>
      <w:r w:rsidRPr="002C23C4" w:rsidR="001D5C19">
        <w:t xml:space="preserve">:  With respect to those counts, the prosecution chose to allege </w:t>
      </w:r>
      <w:r w:rsidRPr="002C23C4" w:rsidR="00081813">
        <w:t xml:space="preserve">other, lesser enhancements </w:t>
      </w:r>
      <w:r w:rsidRPr="002C23C4" w:rsidR="001D5C19">
        <w:t>for personal use of a firearm</w:t>
      </w:r>
      <w:r w:rsidRPr="002C23C4" w:rsidR="00A73F92">
        <w:t xml:space="preserve"> under </w:t>
      </w:r>
      <w:bookmarkStart w:id="120" w:name="Psych_Cite_102"/>
      <w:r w:rsidRPr="002C23C4" w:rsidR="00A73F92">
        <w:t>section 12022.53</w:t>
      </w:r>
      <w:r w:rsidRPr="002C23C4" w:rsidR="00CF0ACB">
        <w:t xml:space="preserve">, subdivision </w:t>
      </w:r>
      <w:r w:rsidRPr="002C23C4" w:rsidR="00A73F92">
        <w:t>(b)</w:t>
      </w:r>
      <w:bookmarkEnd w:id="120"/>
      <w:r w:rsidRPr="002C23C4" w:rsidR="00081813">
        <w:t xml:space="preserve"> and </w:t>
      </w:r>
      <w:bookmarkStart w:id="121" w:name="Psych_Cite_103"/>
      <w:r w:rsidR="00F032E4">
        <w:t xml:space="preserve">Penal Code </w:t>
      </w:r>
      <w:r w:rsidRPr="002C23C4" w:rsidR="00081813">
        <w:t>section 12022.5</w:t>
      </w:r>
      <w:r w:rsidR="00EC1651">
        <w:t xml:space="preserve">, subdivision </w:t>
      </w:r>
      <w:r w:rsidRPr="002C23C4" w:rsidR="00081813">
        <w:t>(a)</w:t>
      </w:r>
      <w:bookmarkEnd w:id="121"/>
      <w:r w:rsidRPr="002C23C4" w:rsidR="00A73F92">
        <w:t>.</w:t>
      </w:r>
      <w:r w:rsidRPr="002C23C4" w:rsidR="00AF5546">
        <w:t xml:space="preserve">  </w:t>
      </w:r>
      <w:r w:rsidR="002C0B9D">
        <w:t xml:space="preserve">Insofar as the prosecution nevertheless sought to impose the uncharged vicarious liability enhancements </w:t>
      </w:r>
      <w:r w:rsidR="00044FFC">
        <w:t>as</w:t>
      </w:r>
      <w:r w:rsidR="002C0B9D">
        <w:t xml:space="preserve"> to the robbery counts, w</w:t>
      </w:r>
      <w:r w:rsidR="00C610C6">
        <w:t xml:space="preserve">e </w:t>
      </w:r>
      <w:r w:rsidR="00901693">
        <w:t xml:space="preserve">agree with both parties that the operative information failed to comply with the relevant </w:t>
      </w:r>
      <w:r w:rsidR="008D2123">
        <w:t>statutor</w:t>
      </w:r>
      <w:r w:rsidR="00901693">
        <w:t>y pleading requirements.</w:t>
      </w:r>
    </w:p>
    <w:p w:rsidR="00943185" w:rsidRPr="002C23C4" w:rsidP="00A61F5F">
      <w:r w:rsidRPr="002C23C4">
        <w:tab/>
      </w:r>
      <w:r w:rsidR="004B4D05">
        <w:t xml:space="preserve">We do not </w:t>
      </w:r>
      <w:r w:rsidR="00044FFC">
        <w:t xml:space="preserve">mean to </w:t>
      </w:r>
      <w:r w:rsidR="004B4D05">
        <w:t xml:space="preserve">suggest that </w:t>
      </w:r>
      <w:r w:rsidRPr="002C23C4" w:rsidR="0031082C">
        <w:t xml:space="preserve">an information that fails to plead the specific numerical subdivision of an enhancement is </w:t>
      </w:r>
      <w:r w:rsidRPr="002C23C4" w:rsidR="00814FC1">
        <w:t xml:space="preserve">necessarily </w:t>
      </w:r>
      <w:r w:rsidRPr="002C23C4" w:rsidR="0031082C">
        <w:t>inadequate.  (</w:t>
      </w:r>
      <w:bookmarkStart w:id="122" w:name="Psych_Cite_104"/>
      <w:r w:rsidRPr="002C23C4" w:rsidR="0031082C">
        <w:rPr>
          <w:i/>
        </w:rPr>
        <w:t>Mancebo</w:t>
      </w:r>
      <w:r w:rsidRPr="002C23C4" w:rsidR="0031082C">
        <w:t xml:space="preserve">, </w:t>
      </w:r>
      <w:r w:rsidRPr="002C23C4" w:rsidR="0031082C">
        <w:rPr>
          <w:i/>
        </w:rPr>
        <w:t>supra</w:t>
      </w:r>
      <w:r w:rsidRPr="002C23C4" w:rsidR="0031082C">
        <w:t>, 27 Cal.4th at p.</w:t>
      </w:r>
      <w:r w:rsidRPr="002C23C4" w:rsidR="001031A7">
        <w:t> </w:t>
      </w:r>
      <w:r w:rsidRPr="002C23C4" w:rsidR="0031082C">
        <w:t>753</w:t>
      </w:r>
      <w:bookmarkEnd w:id="122"/>
      <w:r w:rsidRPr="002C23C4" w:rsidR="0031082C">
        <w:t xml:space="preserve">.)  Neither the relevant statutes nor </w:t>
      </w:r>
      <w:r w:rsidRPr="002C23C4" w:rsidR="00F31F83">
        <w:t xml:space="preserve">the </w:t>
      </w:r>
      <w:r w:rsidRPr="002C23C4" w:rsidR="00814FC1">
        <w:t>d</w:t>
      </w:r>
      <w:r w:rsidRPr="002C23C4" w:rsidR="0031082C">
        <w:t xml:space="preserve">ue </w:t>
      </w:r>
      <w:r w:rsidRPr="002C23C4" w:rsidR="00814FC1">
        <w:t>p</w:t>
      </w:r>
      <w:r w:rsidRPr="002C23C4" w:rsidR="00F31F83">
        <w:t xml:space="preserve">rocess </w:t>
      </w:r>
      <w:r w:rsidRPr="002C23C4" w:rsidR="00814FC1">
        <w:t>c</w:t>
      </w:r>
      <w:r w:rsidRPr="002C23C4" w:rsidR="00F31F83">
        <w:t>lause</w:t>
      </w:r>
      <w:r w:rsidRPr="002C23C4" w:rsidR="0031082C">
        <w:t xml:space="preserve"> require</w:t>
      </w:r>
      <w:r w:rsidR="00000185">
        <w:t>s</w:t>
      </w:r>
      <w:r w:rsidRPr="002C23C4" w:rsidR="0031082C">
        <w:t xml:space="preserve"> rigid code pleading</w:t>
      </w:r>
      <w:r w:rsidRPr="002C23C4" w:rsidR="00F600C0">
        <w:t xml:space="preserve"> or </w:t>
      </w:r>
      <w:r w:rsidRPr="002C23C4" w:rsidR="00814FC1">
        <w:t xml:space="preserve">the incantation of </w:t>
      </w:r>
      <w:r w:rsidRPr="002C23C4" w:rsidR="00F31F83">
        <w:t>magic words</w:t>
      </w:r>
      <w:r w:rsidRPr="002C23C4" w:rsidR="0031082C">
        <w:t>.</w:t>
      </w:r>
      <w:r w:rsidRPr="002C23C4" w:rsidR="00F31F83">
        <w:t xml:space="preserve">  But the </w:t>
      </w:r>
      <w:r w:rsidRPr="002C23C4" w:rsidR="008A679D">
        <w:t xml:space="preserve">accusatory </w:t>
      </w:r>
      <w:r w:rsidRPr="002C23C4" w:rsidR="00F31F83">
        <w:t xml:space="preserve">pleading </w:t>
      </w:r>
      <w:r w:rsidRPr="002C23C4" w:rsidR="00081813">
        <w:t xml:space="preserve">must </w:t>
      </w:r>
      <w:r w:rsidRPr="002C23C4" w:rsidR="00F31F83">
        <w:t xml:space="preserve">adequately inform the defendant as to how the prosecution </w:t>
      </w:r>
      <w:r w:rsidRPr="002C23C4" w:rsidR="00BA7446">
        <w:t>will seek</w:t>
      </w:r>
      <w:r w:rsidRPr="002C23C4" w:rsidR="00F31F83">
        <w:t xml:space="preserve"> to exercise its discretion.  </w:t>
      </w:r>
      <w:r w:rsidRPr="002C23C4" w:rsidR="00F600C0">
        <w:t>Here t</w:t>
      </w:r>
      <w:r w:rsidRPr="002C23C4" w:rsidR="00F31F83">
        <w:t>he information</w:t>
      </w:r>
      <w:r w:rsidRPr="002C23C4" w:rsidR="00081813">
        <w:t xml:space="preserve"> </w:t>
      </w:r>
      <w:r w:rsidRPr="002C23C4" w:rsidR="00F31F83">
        <w:t xml:space="preserve">had to inform </w:t>
      </w:r>
      <w:r w:rsidR="00B22C3F">
        <w:t xml:space="preserve">Anderson </w:t>
      </w:r>
      <w:r w:rsidRPr="002C23C4" w:rsidR="00F31F83">
        <w:t>that he faced five additional 25-</w:t>
      </w:r>
      <w:r w:rsidR="00BB0AE3">
        <w:t>year-</w:t>
      </w:r>
      <w:r w:rsidRPr="002C23C4" w:rsidR="00F600C0">
        <w:t>to-life</w:t>
      </w:r>
      <w:r w:rsidRPr="002C23C4" w:rsidR="00F31F83">
        <w:t xml:space="preserve"> enhancements in connection with the </w:t>
      </w:r>
      <w:r w:rsidRPr="002C23C4" w:rsidR="00F0155F">
        <w:t xml:space="preserve">five </w:t>
      </w:r>
      <w:r w:rsidRPr="002C23C4" w:rsidR="00F31F83">
        <w:t>robbery counts.</w:t>
      </w:r>
      <w:r w:rsidRPr="002C23C4" w:rsidR="00081813">
        <w:t xml:space="preserve">  It failed to do so.</w:t>
      </w:r>
    </w:p>
    <w:p w:rsidR="00C902A0" w:rsidRPr="002C23C4" w:rsidP="00A61F5F">
      <w:pPr>
        <w:pStyle w:val="Heading1"/>
      </w:pPr>
      <w:r w:rsidRPr="002C23C4">
        <w:t>III.</w:t>
      </w:r>
    </w:p>
    <w:p w:rsidR="0023373B" w:rsidP="00A61F5F">
      <w:pPr>
        <w:tabs>
          <w:tab w:val="left" w:pos="1440"/>
        </w:tabs>
        <w:ind w:firstLine="720"/>
      </w:pPr>
      <w:r w:rsidRPr="002C23C4">
        <w:t>Although t</w:t>
      </w:r>
      <w:r w:rsidRPr="002C23C4" w:rsidR="006E5B55">
        <w:t xml:space="preserve">he Attorney General acknowledges that the </w:t>
      </w:r>
      <w:r w:rsidRPr="002C23C4">
        <w:t xml:space="preserve">information did not satisfy the applicable statutory pleading requirements, he </w:t>
      </w:r>
      <w:r w:rsidRPr="002C23C4" w:rsidR="0019782F">
        <w:t xml:space="preserve">urges us to </w:t>
      </w:r>
      <w:r w:rsidRPr="002C23C4" w:rsidR="00FD3343">
        <w:t xml:space="preserve">uphold </w:t>
      </w:r>
      <w:r w:rsidR="00135D5E">
        <w:t>Anderson</w:t>
      </w:r>
      <w:r w:rsidRPr="002C23C4" w:rsidR="00FD3343">
        <w:t xml:space="preserve">’s sentence </w:t>
      </w:r>
      <w:r w:rsidRPr="002C23C4" w:rsidR="00776969">
        <w:t xml:space="preserve">on </w:t>
      </w:r>
      <w:r w:rsidRPr="002C23C4">
        <w:t xml:space="preserve">the </w:t>
      </w:r>
      <w:r w:rsidRPr="002C23C4" w:rsidR="00776969">
        <w:t xml:space="preserve">ground that </w:t>
      </w:r>
      <w:r w:rsidRPr="002C23C4" w:rsidR="007148AB">
        <w:t>the jury instructions and verdict forms</w:t>
      </w:r>
      <w:r w:rsidRPr="002C23C4" w:rsidR="00DB7B34">
        <w:t xml:space="preserve"> </w:t>
      </w:r>
      <w:r w:rsidRPr="002C23C4" w:rsidR="009740EC">
        <w:t xml:space="preserve">gave </w:t>
      </w:r>
      <w:r w:rsidR="00135D5E">
        <w:t>Anderson</w:t>
      </w:r>
      <w:r w:rsidRPr="002C23C4" w:rsidR="009740EC">
        <w:t xml:space="preserve"> </w:t>
      </w:r>
      <w:r w:rsidR="004779A1">
        <w:t>sufficient</w:t>
      </w:r>
      <w:r w:rsidRPr="002C23C4" w:rsidR="004779A1">
        <w:t xml:space="preserve"> </w:t>
      </w:r>
      <w:r w:rsidRPr="002C23C4" w:rsidR="007148AB">
        <w:t xml:space="preserve">notice </w:t>
      </w:r>
      <w:r w:rsidRPr="002C23C4" w:rsidR="00776969">
        <w:t xml:space="preserve">that he </w:t>
      </w:r>
      <w:r w:rsidRPr="002C23C4" w:rsidR="00853F71">
        <w:t xml:space="preserve">faced </w:t>
      </w:r>
      <w:r w:rsidRPr="002C23C4" w:rsidR="00F600C0">
        <w:t xml:space="preserve">the five </w:t>
      </w:r>
      <w:r w:rsidRPr="002C23C4" w:rsidR="00853F71">
        <w:t>25</w:t>
      </w:r>
      <w:r w:rsidRPr="002C23C4" w:rsidR="00F600C0">
        <w:t>-</w:t>
      </w:r>
      <w:r w:rsidR="00152DB4">
        <w:t>year-</w:t>
      </w:r>
      <w:r w:rsidRPr="002C23C4" w:rsidR="00F600C0">
        <w:t>to-life</w:t>
      </w:r>
      <w:r w:rsidRPr="002C23C4" w:rsidR="00853F71">
        <w:t xml:space="preserve"> </w:t>
      </w:r>
      <w:r w:rsidRPr="002C23C4" w:rsidR="00F600C0">
        <w:t xml:space="preserve">additional </w:t>
      </w:r>
      <w:r w:rsidRPr="002C23C4" w:rsidR="007A7068">
        <w:t>vicarious</w:t>
      </w:r>
      <w:r w:rsidRPr="002C23C4" w:rsidR="008C2763">
        <w:t xml:space="preserve"> </w:t>
      </w:r>
      <w:r w:rsidR="0010068E">
        <w:t xml:space="preserve">firearm discharge </w:t>
      </w:r>
      <w:r w:rsidRPr="002C23C4" w:rsidR="00853F71">
        <w:t xml:space="preserve">enhancements </w:t>
      </w:r>
      <w:r w:rsidRPr="002C23C4" w:rsidR="00045C76">
        <w:t xml:space="preserve">as to </w:t>
      </w:r>
      <w:r w:rsidRPr="002C23C4" w:rsidR="00853F71">
        <w:t>the robbery counts</w:t>
      </w:r>
      <w:r w:rsidRPr="002C23C4" w:rsidR="00AC40C5">
        <w:t xml:space="preserve">.  </w:t>
      </w:r>
      <w:r w:rsidRPr="002C23C4" w:rsidR="00A1179B">
        <w:t xml:space="preserve">The Attorney General </w:t>
      </w:r>
      <w:r w:rsidRPr="002C23C4" w:rsidR="00100DC7">
        <w:t xml:space="preserve">makes three arguments in this vein.  He first </w:t>
      </w:r>
      <w:r w:rsidRPr="002C23C4" w:rsidR="00A1179B">
        <w:t>argues that</w:t>
      </w:r>
      <w:r w:rsidRPr="002C23C4" w:rsidR="00345651">
        <w:t>,</w:t>
      </w:r>
      <w:r w:rsidRPr="002C23C4" w:rsidR="00A1179B">
        <w:t xml:space="preserve"> </w:t>
      </w:r>
      <w:r w:rsidRPr="002C23C4" w:rsidR="00E46071">
        <w:t xml:space="preserve">because </w:t>
      </w:r>
      <w:r w:rsidR="00135D5E">
        <w:t xml:space="preserve">Anderson </w:t>
      </w:r>
      <w:r w:rsidRPr="002C23C4" w:rsidR="00E46071">
        <w:t xml:space="preserve">failed to </w:t>
      </w:r>
      <w:r w:rsidRPr="002C23C4" w:rsidR="00A14E57">
        <w:t xml:space="preserve">object </w:t>
      </w:r>
      <w:r w:rsidRPr="002C23C4" w:rsidR="00F71A35">
        <w:t>to the instructions or verdict forms</w:t>
      </w:r>
      <w:r w:rsidRPr="002C23C4" w:rsidR="00100DC7">
        <w:t xml:space="preserve"> </w:t>
      </w:r>
      <w:r w:rsidRPr="002C23C4" w:rsidR="00045C76">
        <w:t>submitting</w:t>
      </w:r>
      <w:r w:rsidRPr="002C23C4" w:rsidR="00100DC7">
        <w:t xml:space="preserve"> the challenged vicarious</w:t>
      </w:r>
      <w:r w:rsidRPr="002C23C4" w:rsidR="008C2763">
        <w:t xml:space="preserve"> firearm</w:t>
      </w:r>
      <w:r w:rsidRPr="002C23C4" w:rsidR="00100DC7">
        <w:t xml:space="preserve"> </w:t>
      </w:r>
      <w:r w:rsidR="00EB77BA">
        <w:t xml:space="preserve">discharge </w:t>
      </w:r>
      <w:r w:rsidRPr="002C23C4" w:rsidR="00100DC7">
        <w:t>enhancements to the jury</w:t>
      </w:r>
      <w:r w:rsidRPr="002C23C4" w:rsidR="00E46071">
        <w:t xml:space="preserve">, </w:t>
      </w:r>
      <w:r w:rsidRPr="002C23C4" w:rsidR="00345651">
        <w:t xml:space="preserve">he </w:t>
      </w:r>
      <w:r w:rsidRPr="002C23C4" w:rsidR="00100DC7">
        <w:t xml:space="preserve">impliedly consented to an informal amendment of the information.  Alternatively, the Attorney General argues </w:t>
      </w:r>
      <w:r w:rsidR="00135D5E">
        <w:t>Anderson</w:t>
      </w:r>
      <w:r w:rsidRPr="002C23C4" w:rsidR="00100DC7">
        <w:t xml:space="preserve">’s failure to object </w:t>
      </w:r>
      <w:r w:rsidRPr="002C23C4" w:rsidR="00F90F00">
        <w:t xml:space="preserve">forfeited his </w:t>
      </w:r>
      <w:r w:rsidRPr="002C23C4" w:rsidR="00100DC7">
        <w:t xml:space="preserve">right to raise the issue on appeal.  Finally, </w:t>
      </w:r>
      <w:r w:rsidRPr="002C23C4" w:rsidR="000540D7">
        <w:t xml:space="preserve">the Attorney General argues </w:t>
      </w:r>
      <w:r w:rsidR="00135D5E">
        <w:t xml:space="preserve">Anderson </w:t>
      </w:r>
      <w:r w:rsidRPr="002C23C4" w:rsidR="006D36D7">
        <w:t>cannot show he was harmed by the pleading defect</w:t>
      </w:r>
      <w:r w:rsidRPr="002C23C4" w:rsidR="00613B66">
        <w:t xml:space="preserve"> and has thus failed to establish reversible error</w:t>
      </w:r>
      <w:r w:rsidRPr="002C23C4" w:rsidR="006D36D7">
        <w:t>.</w:t>
      </w:r>
      <w:r w:rsidRPr="002C23C4" w:rsidR="00345651">
        <w:t xml:space="preserve"> </w:t>
      </w:r>
      <w:r w:rsidRPr="002C23C4" w:rsidR="000E0D07">
        <w:t xml:space="preserve"> </w:t>
      </w:r>
      <w:r w:rsidR="007C0FFF">
        <w:t>We</w:t>
      </w:r>
      <w:r w:rsidRPr="002C23C4" w:rsidR="00ED1B12">
        <w:t xml:space="preserve"> </w:t>
      </w:r>
      <w:r w:rsidRPr="002C23C4" w:rsidR="00EF45A6">
        <w:t>reject all three arguments.</w:t>
      </w:r>
      <w:r w:rsidRPr="00A61F5F" w:rsidR="00DD2BA4">
        <w:rPr>
          <w:rStyle w:val="FootnoteReference"/>
        </w:rPr>
        <w:t xml:space="preserve"> </w:t>
      </w:r>
    </w:p>
    <w:p w:rsidR="0023373B">
      <w:pPr>
        <w:spacing w:after="0" w:line="240" w:lineRule="auto"/>
        <w:jc w:val="left"/>
      </w:pPr>
      <w:r>
        <w:br w:type="page"/>
      </w:r>
    </w:p>
    <w:p w:rsidR="00EF45A6" w:rsidRPr="002C23C4" w:rsidP="00A61F5F">
      <w:pPr>
        <w:tabs>
          <w:tab w:val="left" w:pos="1440"/>
        </w:tabs>
        <w:spacing w:before="240"/>
        <w:jc w:val="center"/>
        <w:rPr>
          <w:b/>
        </w:rPr>
      </w:pPr>
      <w:r w:rsidRPr="002C23C4">
        <w:rPr>
          <w:b/>
        </w:rPr>
        <w:t>A.</w:t>
      </w:r>
    </w:p>
    <w:p w:rsidR="00B50501" w:rsidRPr="002C23C4" w:rsidP="00A61F5F">
      <w:r w:rsidRPr="002C23C4">
        <w:tab/>
      </w:r>
      <w:r w:rsidRPr="002C23C4" w:rsidR="008648C1">
        <w:t xml:space="preserve">As previously noted, although the information </w:t>
      </w:r>
      <w:r w:rsidRPr="002C23C4" w:rsidR="009B703F">
        <w:t>did not plead vicarious</w:t>
      </w:r>
      <w:r w:rsidRPr="002C23C4" w:rsidR="008C2763">
        <w:t xml:space="preserve"> </w:t>
      </w:r>
      <w:r w:rsidR="004779A1">
        <w:t xml:space="preserve">firearm discharge </w:t>
      </w:r>
      <w:r w:rsidRPr="002C23C4" w:rsidR="009B703F">
        <w:t>enhancements with respect to the five robbery counts, the jury instructions and verdict form</w:t>
      </w:r>
      <w:r w:rsidRPr="002C23C4" w:rsidR="00345651">
        <w:t>s</w:t>
      </w:r>
      <w:r w:rsidRPr="002C23C4" w:rsidR="009B703F">
        <w:t xml:space="preserve"> </w:t>
      </w:r>
      <w:r w:rsidRPr="002C23C4" w:rsidR="003F4393">
        <w:t>nonetheless asked the jury to return findings that would support the</w:t>
      </w:r>
      <w:r w:rsidRPr="002C23C4" w:rsidR="00345651">
        <w:t>se</w:t>
      </w:r>
      <w:r w:rsidRPr="002C23C4" w:rsidR="003F4393">
        <w:t xml:space="preserve"> enhancements.  </w:t>
      </w:r>
      <w:r w:rsidRPr="002C23C4" w:rsidR="00001DA1">
        <w:t xml:space="preserve">The record does not reveal precisely how </w:t>
      </w:r>
      <w:r w:rsidRPr="002C23C4" w:rsidR="00DF1F84">
        <w:t xml:space="preserve">this came to </w:t>
      </w:r>
      <w:r w:rsidR="004779A1">
        <w:t>pass</w:t>
      </w:r>
      <w:r w:rsidRPr="002C23C4" w:rsidR="00001DA1">
        <w:t xml:space="preserve">.  </w:t>
      </w:r>
      <w:r w:rsidRPr="002C23C4" w:rsidR="00DF1F84">
        <w:t>But we know d</w:t>
      </w:r>
      <w:r w:rsidRPr="002C23C4" w:rsidR="00001DA1">
        <w:t xml:space="preserve">efense counsel </w:t>
      </w:r>
      <w:r w:rsidRPr="002C23C4" w:rsidR="003E64D8">
        <w:t xml:space="preserve">did not object to the </w:t>
      </w:r>
      <w:r w:rsidRPr="002C23C4" w:rsidR="008A36D6">
        <w:t>instructions or verdict form</w:t>
      </w:r>
      <w:r w:rsidRPr="002C23C4" w:rsidR="00045C76">
        <w:t>s</w:t>
      </w:r>
      <w:r w:rsidRPr="002C23C4" w:rsidR="008A36D6">
        <w:t xml:space="preserve">, instead </w:t>
      </w:r>
      <w:r w:rsidRPr="002C23C4" w:rsidR="00001DA1">
        <w:t>initial</w:t>
      </w:r>
      <w:r w:rsidRPr="002C23C4" w:rsidR="008A36D6">
        <w:t>ing</w:t>
      </w:r>
      <w:r w:rsidRPr="002C23C4" w:rsidR="00001DA1">
        <w:t xml:space="preserve"> the relevant documents and </w:t>
      </w:r>
      <w:r w:rsidRPr="002C23C4" w:rsidR="008A36D6">
        <w:t xml:space="preserve">telling </w:t>
      </w:r>
      <w:r w:rsidRPr="002C23C4" w:rsidR="008648C1">
        <w:t xml:space="preserve">the court the instructions “appear to be in order and complete.”  </w:t>
      </w:r>
      <w:r w:rsidRPr="002C23C4">
        <w:t>The Attorney General</w:t>
      </w:r>
      <w:r w:rsidRPr="002C23C4" w:rsidR="00943185">
        <w:t xml:space="preserve"> argues</w:t>
      </w:r>
      <w:r w:rsidRPr="002C23C4">
        <w:t xml:space="preserve"> that</w:t>
      </w:r>
      <w:r w:rsidRPr="002C23C4" w:rsidR="00345651">
        <w:t>,</w:t>
      </w:r>
      <w:r w:rsidRPr="002C23C4">
        <w:t xml:space="preserve"> </w:t>
      </w:r>
      <w:r w:rsidRPr="002C23C4" w:rsidR="001D29AF">
        <w:t xml:space="preserve">by </w:t>
      </w:r>
      <w:r w:rsidRPr="002C23C4" w:rsidR="008A36D6">
        <w:t>failing to object</w:t>
      </w:r>
      <w:r w:rsidRPr="002C23C4" w:rsidR="001D29AF">
        <w:t xml:space="preserve">, </w:t>
      </w:r>
      <w:r w:rsidR="00135D5E">
        <w:t>Anderson</w:t>
      </w:r>
      <w:r w:rsidRPr="002C23C4" w:rsidR="001D29AF">
        <w:t xml:space="preserve"> impliedly </w:t>
      </w:r>
      <w:r w:rsidRPr="002C23C4" w:rsidR="00C4033C">
        <w:t xml:space="preserve">consented </w:t>
      </w:r>
      <w:r w:rsidRPr="002C23C4" w:rsidR="001D29AF">
        <w:t xml:space="preserve">to </w:t>
      </w:r>
      <w:r w:rsidRPr="002C23C4">
        <w:t>an informal amendment of the information</w:t>
      </w:r>
      <w:r w:rsidRPr="002C23C4" w:rsidR="008860C3">
        <w:t xml:space="preserve"> to add the </w:t>
      </w:r>
      <w:r w:rsidRPr="002C23C4" w:rsidR="00F600C0">
        <w:t>additional</w:t>
      </w:r>
      <w:r w:rsidRPr="002C23C4" w:rsidR="00345651">
        <w:t xml:space="preserve"> </w:t>
      </w:r>
      <w:r w:rsidRPr="002C23C4" w:rsidR="002C53C3">
        <w:t xml:space="preserve">enhancement allegations </w:t>
      </w:r>
      <w:r w:rsidRPr="002C23C4" w:rsidR="00345651">
        <w:t xml:space="preserve">as </w:t>
      </w:r>
      <w:r w:rsidRPr="002C23C4" w:rsidR="002C53C3">
        <w:t>to the robbery counts</w:t>
      </w:r>
      <w:r w:rsidRPr="002C23C4">
        <w:t xml:space="preserve">.  </w:t>
      </w:r>
    </w:p>
    <w:p w:rsidR="00F600C0" w:rsidRPr="002C23C4" w:rsidP="00A61F5F">
      <w:r w:rsidRPr="002C23C4">
        <w:tab/>
      </w:r>
      <w:r w:rsidRPr="002C23C4" w:rsidR="00041A0B">
        <w:t xml:space="preserve">Under the Penal Code, </w:t>
      </w:r>
      <w:r w:rsidRPr="002C23C4" w:rsidR="00AC5E8A">
        <w:t xml:space="preserve">an </w:t>
      </w:r>
      <w:r w:rsidRPr="002C23C4" w:rsidR="00A03AFA">
        <w:t>accusatory pleading may be amended for “defect or insufficiency, at any stage of the proceedings</w:t>
      </w:r>
      <w:r w:rsidRPr="002C23C4" w:rsidR="003846E3">
        <w:t>.”</w:t>
      </w:r>
      <w:r w:rsidRPr="002C23C4" w:rsidR="00A03AFA">
        <w:t xml:space="preserve">  </w:t>
      </w:r>
      <w:r w:rsidRPr="002C23C4" w:rsidR="008E68E2">
        <w:t>(</w:t>
      </w:r>
      <w:bookmarkStart w:id="123" w:name="Psych_Cite_105"/>
      <w:r w:rsidRPr="002C23C4" w:rsidR="00045C76">
        <w:t>Pen. Code</w:t>
      </w:r>
      <w:r w:rsidRPr="002C23C4" w:rsidR="00E6390A">
        <w:t>,</w:t>
      </w:r>
      <w:r w:rsidRPr="002C23C4" w:rsidR="00045C76">
        <w:t xml:space="preserve"> </w:t>
      </w:r>
      <w:r w:rsidRPr="002C23C4" w:rsidR="008E68E2">
        <w:t>§</w:t>
      </w:r>
      <w:r w:rsidRPr="002C23C4" w:rsidR="001031A7">
        <w:t> </w:t>
      </w:r>
      <w:r w:rsidRPr="002C23C4" w:rsidR="008E68E2">
        <w:t>1009</w:t>
      </w:r>
      <w:bookmarkEnd w:id="123"/>
      <w:r w:rsidRPr="002C23C4" w:rsidR="008E68E2">
        <w:t xml:space="preserve">.)  </w:t>
      </w:r>
      <w:r w:rsidRPr="002C23C4" w:rsidR="004463EA">
        <w:t xml:space="preserve">After </w:t>
      </w:r>
      <w:r w:rsidRPr="002C23C4" w:rsidR="00CD6BAF">
        <w:t>the defendant</w:t>
      </w:r>
      <w:r w:rsidRPr="002C23C4" w:rsidR="00B35282">
        <w:t xml:space="preserve"> has</w:t>
      </w:r>
      <w:r w:rsidRPr="002C23C4" w:rsidR="00CD6BAF">
        <w:t xml:space="preserve"> enter</w:t>
      </w:r>
      <w:r w:rsidRPr="002C23C4" w:rsidR="00B35282">
        <w:t>ed</w:t>
      </w:r>
      <w:r w:rsidRPr="002C23C4" w:rsidR="00CD6BAF">
        <w:t xml:space="preserve"> a plea</w:t>
      </w:r>
      <w:r w:rsidRPr="002C23C4" w:rsidR="004463EA">
        <w:t xml:space="preserve">, </w:t>
      </w:r>
      <w:r w:rsidRPr="002C23C4" w:rsidR="003846E3">
        <w:t xml:space="preserve">amending the </w:t>
      </w:r>
      <w:r w:rsidRPr="002C23C4" w:rsidR="00CD6BAF">
        <w:t xml:space="preserve">accusatory </w:t>
      </w:r>
      <w:r w:rsidRPr="002C23C4" w:rsidR="003846E3">
        <w:t>pleading</w:t>
      </w:r>
      <w:r w:rsidRPr="002C23C4" w:rsidR="00A03AFA">
        <w:t xml:space="preserve"> requires leave of court, which may be granted or denied in </w:t>
      </w:r>
      <w:r w:rsidRPr="002C23C4" w:rsidR="003846E3">
        <w:t>the court’s</w:t>
      </w:r>
      <w:r w:rsidRPr="002C23C4" w:rsidR="00A03AFA">
        <w:t xml:space="preserve"> discretion</w:t>
      </w:r>
      <w:r w:rsidRPr="002C23C4" w:rsidR="00795251">
        <w:t xml:space="preserve"> provided the amendment does not </w:t>
      </w:r>
      <w:r w:rsidRPr="002C23C4" w:rsidR="003846E3">
        <w:t xml:space="preserve">“change the offense charged” or otherwise </w:t>
      </w:r>
      <w:r w:rsidRPr="002C23C4" w:rsidR="00795251">
        <w:t>prejudice the defendant’s substantial rights</w:t>
      </w:r>
      <w:r w:rsidRPr="002C23C4" w:rsidR="00A03AFA">
        <w:t xml:space="preserve">. </w:t>
      </w:r>
      <w:r w:rsidR="0023373B">
        <w:t xml:space="preserve"> </w:t>
      </w:r>
      <w:r w:rsidRPr="002C23C4" w:rsidR="00A03AFA">
        <w:t>(</w:t>
      </w:r>
      <w:bookmarkStart w:id="124" w:name="Psych_Cite_106"/>
      <w:r w:rsidRPr="002C23C4" w:rsidR="00A03AFA">
        <w:rPr>
          <w:i/>
        </w:rPr>
        <w:t>Ibid.</w:t>
      </w:r>
      <w:bookmarkEnd w:id="124"/>
      <w:r w:rsidRPr="002C23C4" w:rsidR="00A03AFA">
        <w:t xml:space="preserve">; </w:t>
      </w:r>
      <w:bookmarkStart w:id="125" w:name="Psych_Cite_107"/>
      <w:r w:rsidRPr="002C23C4" w:rsidR="00A03AFA">
        <w:rPr>
          <w:i/>
        </w:rPr>
        <w:t>People v. Birks</w:t>
      </w:r>
      <w:r w:rsidRPr="002C23C4" w:rsidR="00A03AFA">
        <w:t xml:space="preserve"> (1998) 19 Cal.4th 108, 129</w:t>
      </w:r>
      <w:bookmarkEnd w:id="125"/>
      <w:r w:rsidRPr="002C23C4" w:rsidR="00A03AFA">
        <w:t xml:space="preserve">.) </w:t>
      </w:r>
      <w:r w:rsidRPr="002C23C4" w:rsidR="007E506C">
        <w:t xml:space="preserve"> </w:t>
      </w:r>
      <w:r w:rsidRPr="002C23C4" w:rsidR="00234C8E">
        <w:t xml:space="preserve">Here the Attorney General did not seek leave to amend the information, nor was leave granted.  But in certain limited circumstances, we have </w:t>
      </w:r>
      <w:r w:rsidRPr="002C23C4" w:rsidR="00296B69">
        <w:t>recognize</w:t>
      </w:r>
      <w:r w:rsidRPr="002C23C4" w:rsidR="00234C8E">
        <w:t>d</w:t>
      </w:r>
      <w:r w:rsidRPr="002C23C4" w:rsidR="00296B69">
        <w:t xml:space="preserve"> informal, unwritten amendments</w:t>
      </w:r>
      <w:r w:rsidRPr="002C23C4" w:rsidR="005E455B">
        <w:t xml:space="preserve"> as effective</w:t>
      </w:r>
      <w:r w:rsidRPr="002C23C4" w:rsidR="00296B69">
        <w:t xml:space="preserve">.  This is what the Attorney General argues we should do here.  </w:t>
      </w:r>
    </w:p>
    <w:p w:rsidR="005D6539" w:rsidRPr="002C23C4" w:rsidP="00A61F5F">
      <w:r w:rsidRPr="002C23C4">
        <w:tab/>
        <w:t>The Attorney General</w:t>
      </w:r>
      <w:r w:rsidRPr="002C23C4" w:rsidR="00296B69">
        <w:t>’s</w:t>
      </w:r>
      <w:r w:rsidRPr="002C23C4" w:rsidR="000D34FD">
        <w:t xml:space="preserve"> </w:t>
      </w:r>
      <w:r w:rsidRPr="002C23C4" w:rsidR="006919CB">
        <w:t xml:space="preserve">argument relies </w:t>
      </w:r>
      <w:r w:rsidRPr="002C23C4" w:rsidR="005C7D18">
        <w:t xml:space="preserve">primarily </w:t>
      </w:r>
      <w:r w:rsidRPr="002C23C4" w:rsidR="006919CB">
        <w:t xml:space="preserve">on </w:t>
      </w:r>
      <w:bookmarkStart w:id="126" w:name="Psych_Cite_113"/>
      <w:r w:rsidRPr="002C23C4" w:rsidR="006919CB">
        <w:rPr>
          <w:i/>
        </w:rPr>
        <w:t>Toro</w:t>
      </w:r>
      <w:bookmarkEnd w:id="126"/>
      <w:r w:rsidRPr="002C23C4" w:rsidR="006919CB">
        <w:t xml:space="preserve">. </w:t>
      </w:r>
      <w:r w:rsidRPr="002C23C4" w:rsidR="00CD6BAF">
        <w:t xml:space="preserve"> </w:t>
      </w:r>
      <w:r w:rsidRPr="002C23C4" w:rsidR="006919CB">
        <w:t xml:space="preserve">In that case, we held that the defendant’s failure to object on notice grounds to </w:t>
      </w:r>
      <w:r w:rsidR="00957F69">
        <w:t xml:space="preserve">the </w:t>
      </w:r>
      <w:r w:rsidRPr="002C23C4" w:rsidR="006919CB">
        <w:t>inclusion of a lesser related offense on the verdict form forfeited his inadequate notice claim on appeal.  (</w:t>
      </w:r>
      <w:bookmarkStart w:id="127" w:name="Psych_Cite_114"/>
      <w:r w:rsidRPr="002C23C4" w:rsidR="00345651">
        <w:rPr>
          <w:i/>
        </w:rPr>
        <w:t>Toro</w:t>
      </w:r>
      <w:r w:rsidRPr="002C23C4" w:rsidR="00345651">
        <w:t>,</w:t>
      </w:r>
      <w:r w:rsidRPr="002C23C4" w:rsidR="006919CB">
        <w:rPr>
          <w:i/>
        </w:rPr>
        <w:t xml:space="preserve"> </w:t>
      </w:r>
      <w:r w:rsidRPr="002C23C4" w:rsidR="00A0588C">
        <w:rPr>
          <w:i/>
        </w:rPr>
        <w:t>supra</w:t>
      </w:r>
      <w:r w:rsidRPr="002C23C4" w:rsidR="00A0588C">
        <w:t>,</w:t>
      </w:r>
      <w:r w:rsidRPr="002C23C4" w:rsidR="00A0588C">
        <w:rPr>
          <w:i/>
        </w:rPr>
        <w:t xml:space="preserve"> </w:t>
      </w:r>
      <w:r w:rsidRPr="002C23C4" w:rsidR="00345651">
        <w:t xml:space="preserve">47 Cal.3d </w:t>
      </w:r>
      <w:r w:rsidRPr="002C23C4" w:rsidR="006919CB">
        <w:t>at pp.</w:t>
      </w:r>
      <w:r w:rsidRPr="002C23C4" w:rsidR="001031A7">
        <w:t> </w:t>
      </w:r>
      <w:r w:rsidRPr="002C23C4" w:rsidR="006919CB">
        <w:t>976–977</w:t>
      </w:r>
      <w:bookmarkEnd w:id="127"/>
      <w:r w:rsidRPr="002C23C4" w:rsidR="006919CB">
        <w:t>.)  We considered</w:t>
      </w:r>
      <w:r w:rsidRPr="002C23C4" w:rsidR="00345651">
        <w:t xml:space="preserve"> this</w:t>
      </w:r>
      <w:r w:rsidRPr="002C23C4" w:rsidR="006919CB">
        <w:t xml:space="preserve"> failure to object </w:t>
      </w:r>
      <w:r w:rsidR="00D532D8">
        <w:t>to be</w:t>
      </w:r>
      <w:r w:rsidRPr="002C23C4" w:rsidR="00D532D8">
        <w:t xml:space="preserve"> </w:t>
      </w:r>
      <w:r w:rsidRPr="002C23C4" w:rsidR="006919CB">
        <w:t>implied consent to treat the information as informally amended to include the lesser offense.  (</w:t>
      </w:r>
      <w:bookmarkStart w:id="128" w:name="Psych_Cite_108"/>
      <w:r w:rsidRPr="002C23C4" w:rsidR="006919CB">
        <w:rPr>
          <w:i/>
        </w:rPr>
        <w:t>Ibid.</w:t>
      </w:r>
      <w:bookmarkEnd w:id="128"/>
      <w:r w:rsidRPr="002C23C4" w:rsidR="006919CB">
        <w:t xml:space="preserve">)  </w:t>
      </w:r>
      <w:r w:rsidRPr="002C23C4" w:rsidR="007A7068">
        <w:t>But o</w:t>
      </w:r>
      <w:r w:rsidRPr="002C23C4" w:rsidR="006919CB">
        <w:t xml:space="preserve">ur </w:t>
      </w:r>
      <w:r w:rsidRPr="002C23C4" w:rsidR="007A7068">
        <w:t xml:space="preserve">willingness to imply </w:t>
      </w:r>
      <w:r w:rsidRPr="002C23C4" w:rsidR="00345651">
        <w:t xml:space="preserve">the defendant’s </w:t>
      </w:r>
      <w:r w:rsidRPr="002C23C4" w:rsidR="007A7068">
        <w:t xml:space="preserve">consent </w:t>
      </w:r>
      <w:r w:rsidRPr="002C23C4" w:rsidR="00B50501">
        <w:t xml:space="preserve">to amend </w:t>
      </w:r>
      <w:r w:rsidRPr="002C23C4" w:rsidR="007A7068">
        <w:t xml:space="preserve">from his silence rested on considerations specific </w:t>
      </w:r>
      <w:r w:rsidRPr="002C23C4" w:rsidR="00DB45C0">
        <w:t>to th</w:t>
      </w:r>
      <w:r w:rsidRPr="002C23C4" w:rsidR="00FA7846">
        <w:t>at</w:t>
      </w:r>
      <w:r w:rsidRPr="002C23C4" w:rsidR="00DB45C0">
        <w:t xml:space="preserve"> situation.  </w:t>
      </w:r>
      <w:r w:rsidRPr="002C23C4" w:rsidR="006643DD">
        <w:t xml:space="preserve">We emphasized that </w:t>
      </w:r>
      <w:r w:rsidRPr="002C23C4" w:rsidR="006919CB">
        <w:t xml:space="preserve">“submission of lesser related offenses to the jury enhances the reliability of the fact-finding process </w:t>
      </w:r>
      <w:r w:rsidRPr="002C23C4" w:rsidR="006919CB">
        <w:rPr>
          <w:i/>
        </w:rPr>
        <w:t>to the benefit of both the defendant and the People</w:t>
      </w:r>
      <w:r w:rsidRPr="002C23C4" w:rsidR="006919CB">
        <w:t>.”  (</w:t>
      </w:r>
      <w:bookmarkStart w:id="129" w:name="Psych_Cite_109"/>
      <w:r w:rsidRPr="002C23C4" w:rsidR="006919CB">
        <w:rPr>
          <w:i/>
        </w:rPr>
        <w:t xml:space="preserve">Id. </w:t>
      </w:r>
      <w:r w:rsidRPr="002C23C4" w:rsidR="006919CB">
        <w:t>at p</w:t>
      </w:r>
      <w:r w:rsidRPr="002C23C4" w:rsidR="00A0588C">
        <w:t>p</w:t>
      </w:r>
      <w:r w:rsidRPr="002C23C4" w:rsidR="006919CB">
        <w:t>.</w:t>
      </w:r>
      <w:r w:rsidRPr="002C23C4" w:rsidR="001031A7">
        <w:t> </w:t>
      </w:r>
      <w:r w:rsidRPr="002C23C4" w:rsidR="00A0588C">
        <w:t>969–</w:t>
      </w:r>
      <w:r w:rsidRPr="002C23C4" w:rsidR="006919CB">
        <w:t>970, italics added</w:t>
      </w:r>
      <w:bookmarkEnd w:id="129"/>
      <w:r w:rsidRPr="002C23C4" w:rsidR="00DB45C0">
        <w:t xml:space="preserve">; </w:t>
      </w:r>
      <w:bookmarkStart w:id="130" w:name="Psych_Cite_110"/>
      <w:r w:rsidRPr="002C23C4" w:rsidR="00DB45C0">
        <w:t xml:space="preserve">see also </w:t>
      </w:r>
      <w:r w:rsidRPr="002C23C4" w:rsidR="00DB45C0">
        <w:rPr>
          <w:i/>
        </w:rPr>
        <w:t>id.</w:t>
      </w:r>
      <w:r w:rsidRPr="002C23C4" w:rsidR="00DB45C0">
        <w:t xml:space="preserve"> at p.</w:t>
      </w:r>
      <w:r w:rsidRPr="002C23C4" w:rsidR="001031A7">
        <w:t> </w:t>
      </w:r>
      <w:r w:rsidRPr="002C23C4" w:rsidR="00DB45C0">
        <w:t>977 [“Lesser related offense instructions generally are beneficial to defendants</w:t>
      </w:r>
      <w:r w:rsidR="003563B3">
        <w:t xml:space="preserve"> and in a given case only the defendant knows whether his substantial rights will be prejudicially affected by submitting a lesser related offense to the jury</w:t>
      </w:r>
      <w:r w:rsidRPr="002C23C4" w:rsidR="00DB45C0">
        <w:t>”]</w:t>
      </w:r>
      <w:bookmarkEnd w:id="130"/>
      <w:r w:rsidRPr="002C23C4" w:rsidR="00C84116">
        <w:t>.</w:t>
      </w:r>
      <w:r w:rsidRPr="002C23C4" w:rsidR="00DB45C0">
        <w:t>)</w:t>
      </w:r>
      <w:r w:rsidRPr="002C23C4" w:rsidR="0070126A">
        <w:t xml:space="preserve">  </w:t>
      </w:r>
      <w:r w:rsidRPr="002C23C4" w:rsidR="00DA293F">
        <w:t xml:space="preserve">This was true in </w:t>
      </w:r>
      <w:r w:rsidRPr="002C23C4" w:rsidR="00DA293F">
        <w:rPr>
          <w:i/>
        </w:rPr>
        <w:t>Toro</w:t>
      </w:r>
      <w:r w:rsidRPr="002C23C4" w:rsidR="00DA293F">
        <w:t xml:space="preserve"> itself, where submission of the lesser related instruction to the jury permitted the defendant to escape far more severe punishment for an admitted act of violence.  </w:t>
      </w:r>
      <w:r w:rsidRPr="002C23C4" w:rsidR="0070126A">
        <w:t>(</w:t>
      </w:r>
      <w:bookmarkStart w:id="131" w:name="Psych_Cite_111"/>
      <w:r w:rsidRPr="002C23C4" w:rsidR="0070126A">
        <w:rPr>
          <w:i/>
        </w:rPr>
        <w:t>Id.</w:t>
      </w:r>
      <w:r w:rsidRPr="002C23C4" w:rsidR="00A0588C">
        <w:rPr>
          <w:i/>
        </w:rPr>
        <w:t xml:space="preserve"> </w:t>
      </w:r>
      <w:r w:rsidRPr="002C23C4" w:rsidR="00A0588C">
        <w:t>at p</w:t>
      </w:r>
      <w:r w:rsidRPr="002C23C4" w:rsidR="00D7032D">
        <w:t>p</w:t>
      </w:r>
      <w:r w:rsidRPr="002C23C4" w:rsidR="00A0588C">
        <w:t>. 970</w:t>
      </w:r>
      <w:r w:rsidRPr="002C23C4" w:rsidR="00D7032D">
        <w:t>–971</w:t>
      </w:r>
      <w:r w:rsidRPr="002C23C4" w:rsidR="0070126A">
        <w:t xml:space="preserve"> [</w:t>
      </w:r>
      <w:r w:rsidRPr="002C23C4" w:rsidR="008D0671">
        <w:t xml:space="preserve">explaining that </w:t>
      </w:r>
      <w:r w:rsidRPr="002C23C4" w:rsidR="00D7032D">
        <w:t xml:space="preserve">the </w:t>
      </w:r>
      <w:r w:rsidRPr="002C23C4" w:rsidR="0070126A">
        <w:t xml:space="preserve">defendant, who had initially been charged with attempted murder and assault with a deadly weapon, put on no defense at trial and conceded he had stabbed the victim; court was entitled to imply </w:t>
      </w:r>
      <w:r w:rsidRPr="002C23C4" w:rsidR="00D7032D">
        <w:t xml:space="preserve">the </w:t>
      </w:r>
      <w:r w:rsidRPr="002C23C4" w:rsidR="0070126A">
        <w:t xml:space="preserve">defendant’s consent to submit lesser related charge of battery with serious bodily injury </w:t>
      </w:r>
      <w:r w:rsidRPr="002C23C4" w:rsidR="00522EB7">
        <w:t xml:space="preserve">for </w:t>
      </w:r>
      <w:r w:rsidRPr="002C23C4" w:rsidR="0070126A">
        <w:t>the jury’s consideration]</w:t>
      </w:r>
      <w:bookmarkEnd w:id="131"/>
      <w:r w:rsidRPr="002C23C4" w:rsidR="007A1E18">
        <w:t xml:space="preserve">.)  We </w:t>
      </w:r>
      <w:r w:rsidRPr="002C23C4" w:rsidR="0025446A">
        <w:t xml:space="preserve">drew support from out-of-state cases holding </w:t>
      </w:r>
      <w:r w:rsidRPr="002C23C4" w:rsidR="007338DE">
        <w:t xml:space="preserve">that “instructing on a nonincluded offense may not be cited as error on appeal if the defendant had an opportunity to object to the instructions but failed to do so </w:t>
      </w:r>
      <w:r w:rsidRPr="002C23C4" w:rsidR="007338DE">
        <w:rPr>
          <w:i/>
        </w:rPr>
        <w:t>and the offense is lesser in degree and penalty than the charged offense</w:t>
      </w:r>
      <w:r w:rsidRPr="002C23C4" w:rsidR="007338DE">
        <w:t>.”  (</w:t>
      </w:r>
      <w:bookmarkStart w:id="132" w:name="Psych_Cite_112"/>
      <w:r w:rsidRPr="002C23C4" w:rsidR="007338DE">
        <w:rPr>
          <w:i/>
        </w:rPr>
        <w:t>Id.</w:t>
      </w:r>
      <w:r w:rsidRPr="002C23C4" w:rsidR="00A0588C">
        <w:t xml:space="preserve"> at p. 977</w:t>
      </w:r>
      <w:r w:rsidRPr="002C23C4" w:rsidR="007338DE">
        <w:t xml:space="preserve">, </w:t>
      </w:r>
      <w:r w:rsidRPr="002C23C4" w:rsidR="00A0588C">
        <w:t xml:space="preserve">italics added, </w:t>
      </w:r>
      <w:r w:rsidRPr="002C23C4" w:rsidR="007338DE">
        <w:t xml:space="preserve">citing </w:t>
      </w:r>
      <w:r w:rsidRPr="002C23C4" w:rsidR="0070126A">
        <w:rPr>
          <w:i/>
        </w:rPr>
        <w:t>Ray v. State</w:t>
      </w:r>
      <w:r w:rsidRPr="002C23C4" w:rsidR="0070126A">
        <w:t xml:space="preserve"> (Fla. 1981) 403 So.2d 956, 96</w:t>
      </w:r>
      <w:r w:rsidRPr="002C23C4" w:rsidR="007338DE">
        <w:t>1</w:t>
      </w:r>
      <w:bookmarkEnd w:id="132"/>
      <w:r w:rsidRPr="002C23C4" w:rsidR="0070126A">
        <w:t>.</w:t>
      </w:r>
      <w:r w:rsidRPr="002C23C4" w:rsidR="00B50501">
        <w:t>)</w:t>
      </w:r>
    </w:p>
    <w:p w:rsidR="00F06840">
      <w:r w:rsidRPr="002C23C4">
        <w:tab/>
      </w:r>
      <w:r w:rsidRPr="002C23C4" w:rsidR="00807F32">
        <w:t xml:space="preserve">The </w:t>
      </w:r>
      <w:r w:rsidR="004779A1">
        <w:t xml:space="preserve">situation in </w:t>
      </w:r>
      <w:r w:rsidRPr="002C23C4" w:rsidR="00807F32">
        <w:rPr>
          <w:i/>
        </w:rPr>
        <w:t>Toro</w:t>
      </w:r>
      <w:r w:rsidRPr="002C23C4" w:rsidR="00807F32">
        <w:t xml:space="preserve">, in which </w:t>
      </w:r>
      <w:r w:rsidR="004779A1">
        <w:t xml:space="preserve">the jury was given the option of convicting the defendant of </w:t>
      </w:r>
      <w:r w:rsidRPr="002C23C4" w:rsidR="00807F32">
        <w:t xml:space="preserve">a </w:t>
      </w:r>
      <w:r w:rsidRPr="002C23C4" w:rsidR="00041E3B">
        <w:t>lesser offense</w:t>
      </w:r>
      <w:r w:rsidRPr="002C23C4" w:rsidR="00807F32">
        <w:t xml:space="preserve">, </w:t>
      </w:r>
      <w:r w:rsidR="002950CC">
        <w:t>wa</w:t>
      </w:r>
      <w:r w:rsidRPr="002C23C4" w:rsidR="00041E3B">
        <w:t xml:space="preserve">s quite </w:t>
      </w:r>
      <w:r w:rsidR="0081059F">
        <w:t xml:space="preserve">different from </w:t>
      </w:r>
      <w:r w:rsidRPr="002C23C4" w:rsidR="00807F32">
        <w:t xml:space="preserve">the </w:t>
      </w:r>
      <w:r w:rsidRPr="002C23C4" w:rsidR="00041E3B">
        <w:t>situation</w:t>
      </w:r>
      <w:r w:rsidRPr="002C23C4" w:rsidR="00807F32">
        <w:t xml:space="preserve"> we confront in this case</w:t>
      </w:r>
      <w:r w:rsidRPr="002C23C4" w:rsidR="00B16F01">
        <w:t xml:space="preserve">.  </w:t>
      </w:r>
      <w:r w:rsidR="002221C7">
        <w:t xml:space="preserve">Unlike the defendant in </w:t>
      </w:r>
      <w:r w:rsidR="002221C7">
        <w:rPr>
          <w:i/>
          <w:iCs/>
        </w:rPr>
        <w:t>Toro</w:t>
      </w:r>
      <w:r w:rsidR="002221C7">
        <w:t xml:space="preserve">, </w:t>
      </w:r>
      <w:r w:rsidR="00B22C3F">
        <w:t xml:space="preserve">Anderson </w:t>
      </w:r>
      <w:r w:rsidRPr="002C23C4" w:rsidR="00345651">
        <w:t xml:space="preserve">derived </w:t>
      </w:r>
      <w:r w:rsidRPr="002C23C4" w:rsidR="0070126A">
        <w:t xml:space="preserve">no possible benefit </w:t>
      </w:r>
      <w:r w:rsidRPr="002C23C4" w:rsidR="00345651">
        <w:t>from</w:t>
      </w:r>
      <w:r w:rsidRPr="002C23C4" w:rsidR="0070126A">
        <w:t xml:space="preserve"> submitting the unpleaded 25-</w:t>
      </w:r>
      <w:r w:rsidR="00152DB4">
        <w:t>year-</w:t>
      </w:r>
      <w:r w:rsidRPr="002C23C4" w:rsidR="0070126A">
        <w:t>to-life enhancements to the jury</w:t>
      </w:r>
      <w:r w:rsidRPr="002C23C4" w:rsidR="00B16F01">
        <w:t xml:space="preserve">.  There is </w:t>
      </w:r>
      <w:r w:rsidRPr="002C23C4" w:rsidR="00F600C0">
        <w:t xml:space="preserve">therefore </w:t>
      </w:r>
      <w:r w:rsidRPr="002C23C4" w:rsidR="00B16F01">
        <w:t xml:space="preserve">no reason to presume from </w:t>
      </w:r>
      <w:r w:rsidR="00CB7028">
        <w:t xml:space="preserve">defense </w:t>
      </w:r>
      <w:r w:rsidR="00D532D8">
        <w:t xml:space="preserve">counsel’s </w:t>
      </w:r>
      <w:r w:rsidRPr="002C23C4" w:rsidR="00B16F01">
        <w:t xml:space="preserve">silence that </w:t>
      </w:r>
      <w:r w:rsidR="00B22C3F">
        <w:t xml:space="preserve">Anderson </w:t>
      </w:r>
      <w:r w:rsidRPr="002C23C4" w:rsidR="0070126A">
        <w:t xml:space="preserve">consented to </w:t>
      </w:r>
      <w:r w:rsidRPr="002C23C4" w:rsidR="00B16F01">
        <w:t>this procedure</w:t>
      </w:r>
      <w:r w:rsidRPr="002C23C4" w:rsidR="0070126A">
        <w:t>.</w:t>
      </w:r>
      <w:r w:rsidRPr="002C23C4" w:rsidR="00B16F01">
        <w:t xml:space="preserve">  (</w:t>
      </w:r>
      <w:bookmarkStart w:id="133" w:name="Psych_Cite_117"/>
      <w:r w:rsidRPr="002C23C4" w:rsidR="00B16F01">
        <w:t xml:space="preserve">Cf., e.g., </w:t>
      </w:r>
      <w:r w:rsidRPr="002C23C4" w:rsidR="00B16F01">
        <w:rPr>
          <w:i/>
        </w:rPr>
        <w:t>People v. Ramirez</w:t>
      </w:r>
      <w:r w:rsidRPr="002C23C4" w:rsidR="00B16F01">
        <w:t xml:space="preserve"> (1987) 189 Cal.App.3d 603, 623 [“Conviction for an uncharged greater offense not only raises the problem of notice but makes the inference of consent more difficult, as there is no reason why a defendant should acquiesce in substitution of a greater for a lesser offense.”]</w:t>
      </w:r>
      <w:bookmarkEnd w:id="133"/>
      <w:r w:rsidRPr="002C23C4" w:rsidR="00B16F01">
        <w:t xml:space="preserve">; </w:t>
      </w:r>
      <w:bookmarkStart w:id="134" w:name="Psych_Cite_118"/>
      <w:r w:rsidRPr="002C23C4" w:rsidR="00B16F01">
        <w:rPr>
          <w:i/>
        </w:rPr>
        <w:t>People v. Haskin</w:t>
      </w:r>
      <w:r w:rsidRPr="002C23C4" w:rsidR="00B16F01">
        <w:t xml:space="preserve"> (1992) 4 Cal.App.</w:t>
      </w:r>
      <w:r w:rsidRPr="002C23C4" w:rsidR="00E4419A">
        <w:t>4th</w:t>
      </w:r>
      <w:r w:rsidRPr="002C23C4" w:rsidR="00B16F01">
        <w:t xml:space="preserve"> 1434</w:t>
      </w:r>
      <w:r w:rsidRPr="002C23C4" w:rsidR="00652582">
        <w:t>, 1440 [applying same principle in context of sentence enhancements]</w:t>
      </w:r>
      <w:bookmarkEnd w:id="134"/>
      <w:r w:rsidRPr="002C23C4" w:rsidR="00652582">
        <w:t>.)</w:t>
      </w:r>
    </w:p>
    <w:p w:rsidR="0094262E" w:rsidRPr="00A61F5F" w:rsidP="00A61F5F">
      <w:pPr>
        <w:rPr>
          <w:sz w:val="26"/>
          <w:szCs w:val="26"/>
        </w:rPr>
      </w:pPr>
      <w:r>
        <w:tab/>
      </w:r>
      <w:r w:rsidR="003D5E89">
        <w:t>The</w:t>
      </w:r>
      <w:r>
        <w:t xml:space="preserve"> reasoning of </w:t>
      </w:r>
      <w:bookmarkStart w:id="135" w:name="Psych_Cite_121"/>
      <w:r>
        <w:rPr>
          <w:i/>
          <w:iCs/>
        </w:rPr>
        <w:t xml:space="preserve">People v. Arias </w:t>
      </w:r>
      <w:r>
        <w:t>(2010) 182 Cal.App.4th 1009</w:t>
      </w:r>
      <w:bookmarkEnd w:id="135"/>
      <w:r>
        <w:t xml:space="preserve"> </w:t>
      </w:r>
      <w:r w:rsidR="003D5E89">
        <w:t xml:space="preserve">is </w:t>
      </w:r>
      <w:r>
        <w:t xml:space="preserve">persuasive on this point.  </w:t>
      </w:r>
      <w:r w:rsidR="00B5173E">
        <w:t>In that case</w:t>
      </w:r>
      <w:r>
        <w:t xml:space="preserve"> the Court of Appeal </w:t>
      </w:r>
      <w:r w:rsidR="0011399B">
        <w:t>held</w:t>
      </w:r>
      <w:r>
        <w:t xml:space="preserve"> that the defendant’s sentences for two attempted murders violated the </w:t>
      </w:r>
      <w:r w:rsidR="00CB7028">
        <w:t xml:space="preserve">relevant statutory </w:t>
      </w:r>
      <w:r>
        <w:t>pleading requirements because the prosecution failed to allege that the offenses were committed willfully, deliberately, and with premeditation</w:t>
      </w:r>
      <w:r w:rsidR="001415B4">
        <w:t xml:space="preserve"> </w:t>
      </w:r>
      <w:r>
        <w:t>—</w:t>
      </w:r>
      <w:r w:rsidR="001415B4">
        <w:t xml:space="preserve"> </w:t>
      </w:r>
      <w:r>
        <w:t>a</w:t>
      </w:r>
      <w:r w:rsidR="00804357">
        <w:t xml:space="preserve"> fact that </w:t>
      </w:r>
      <w:r>
        <w:t>increased the defendant’s punishment.  (</w:t>
      </w:r>
      <w:bookmarkStart w:id="136" w:name="Psych_Cite_120"/>
      <w:r>
        <w:rPr>
          <w:i/>
          <w:iCs/>
        </w:rPr>
        <w:t xml:space="preserve">Id. </w:t>
      </w:r>
      <w:r>
        <w:t>at p</w:t>
      </w:r>
      <w:r w:rsidR="00804357">
        <w:t>p</w:t>
      </w:r>
      <w:r>
        <w:t>.</w:t>
      </w:r>
      <w:r w:rsidR="00865EC3">
        <w:t> </w:t>
      </w:r>
      <w:r>
        <w:t>1016–1020</w:t>
      </w:r>
      <w:bookmarkEnd w:id="136"/>
      <w:r>
        <w:t xml:space="preserve">; </w:t>
      </w:r>
      <w:bookmarkStart w:id="137" w:name="Psych_Cite_119"/>
      <w:r w:rsidRPr="00E32CB2">
        <w:rPr>
          <w:sz w:val="26"/>
          <w:szCs w:val="26"/>
        </w:rPr>
        <w:t>Pen. Code, § 664, subd. (a)</w:t>
      </w:r>
      <w:bookmarkEnd w:id="137"/>
      <w:r>
        <w:rPr>
          <w:sz w:val="26"/>
          <w:szCs w:val="26"/>
        </w:rPr>
        <w:t>.</w:t>
      </w:r>
      <w:r w:rsidRPr="00E32CB2">
        <w:rPr>
          <w:sz w:val="26"/>
          <w:szCs w:val="26"/>
        </w:rPr>
        <w:t>)</w:t>
      </w:r>
      <w:r>
        <w:rPr>
          <w:sz w:val="26"/>
          <w:szCs w:val="26"/>
        </w:rPr>
        <w:t xml:space="preserve">  </w:t>
      </w:r>
      <w:r w:rsidRPr="00CB68E1">
        <w:t xml:space="preserve">The </w:t>
      </w:r>
      <w:r w:rsidRPr="00CB68E1">
        <w:t>People</w:t>
      </w:r>
      <w:r w:rsidRPr="00CB68E1">
        <w:t xml:space="preserve"> argued the defendant impliedly consented to an informal amendment of the information by approving jury instructions and verdict forms that asked the jury to determine whether the defendant acted willfully, deliberately, and with premeditation.</w:t>
      </w:r>
      <w:r w:rsidRPr="00CB68E1">
        <w:t xml:space="preserve"> </w:t>
      </w:r>
      <w:r w:rsidRPr="00CB68E1">
        <w:t xml:space="preserve"> (</w:t>
      </w:r>
      <w:bookmarkStart w:id="138" w:name="Psych_Cite_122"/>
      <w:r w:rsidRPr="00CB68E1">
        <w:rPr>
          <w:i/>
        </w:rPr>
        <w:t>Arias</w:t>
      </w:r>
      <w:r w:rsidRPr="00CB68E1">
        <w:t>, at p.</w:t>
      </w:r>
      <w:r w:rsidRPr="00CB68E1" w:rsidR="00865EC3">
        <w:t> </w:t>
      </w:r>
      <w:r w:rsidRPr="00CB68E1">
        <w:t>1020</w:t>
      </w:r>
      <w:bookmarkEnd w:id="138"/>
      <w:r w:rsidRPr="00CB68E1">
        <w:t>.)  The court rejected this argument</w:t>
      </w:r>
      <w:r w:rsidRPr="00CB68E1" w:rsidR="002C54D2">
        <w:t xml:space="preserve">, distinguishing </w:t>
      </w:r>
      <w:r w:rsidRPr="00CB68E1" w:rsidR="002C54D2">
        <w:rPr>
          <w:i/>
        </w:rPr>
        <w:t>Toro</w:t>
      </w:r>
      <w:r w:rsidRPr="00CB68E1" w:rsidR="002C54D2">
        <w:t>:  Unlike with lesser related offense instructions, the “defense will generally have no tactical interest in presenting the jury with a new avenue for imposing greater punishment.  Had the prosecution sought to amend the information to include the missing allegations, the defense may well have objected.  Of course, it</w:t>
      </w:r>
      <w:r w:rsidRPr="00CB68E1">
        <w:t xml:space="preserve"> is the People’s burden to show implied consent by the defense.  Given the absence of anything in the record showing an amendment</w:t>
      </w:r>
      <w:r w:rsidRPr="005750BE" w:rsidR="00A81491">
        <w:rPr>
          <w:szCs w:val="27"/>
        </w:rPr>
        <w:t xml:space="preserve"> </w:t>
      </w:r>
      <w:r w:rsidRPr="005750BE">
        <w:rPr>
          <w:szCs w:val="27"/>
        </w:rPr>
        <w:t>—</w:t>
      </w:r>
      <w:r w:rsidRPr="005750BE" w:rsidR="00A81491">
        <w:rPr>
          <w:szCs w:val="27"/>
        </w:rPr>
        <w:t xml:space="preserve"> </w:t>
      </w:r>
      <w:r w:rsidRPr="00CB68E1">
        <w:t>and because the defense had no apparent reason to consent to one</w:t>
      </w:r>
      <w:r w:rsidRPr="005750BE" w:rsidR="00A81491">
        <w:rPr>
          <w:szCs w:val="27"/>
        </w:rPr>
        <w:t xml:space="preserve"> </w:t>
      </w:r>
      <w:r w:rsidRPr="005750BE">
        <w:rPr>
          <w:szCs w:val="27"/>
        </w:rPr>
        <w:t>—</w:t>
      </w:r>
      <w:r w:rsidRPr="005750BE" w:rsidR="00A81491">
        <w:rPr>
          <w:szCs w:val="27"/>
        </w:rPr>
        <w:t xml:space="preserve"> </w:t>
      </w:r>
      <w:r w:rsidRPr="00CB68E1">
        <w:t xml:space="preserve">we decline to extend the </w:t>
      </w:r>
      <w:r w:rsidRPr="00CB68E1">
        <w:rPr>
          <w:i/>
        </w:rPr>
        <w:t xml:space="preserve">Toro </w:t>
      </w:r>
      <w:r w:rsidRPr="00CB68E1">
        <w:t>holding to this situation.”  (</w:t>
      </w:r>
      <w:bookmarkStart w:id="139" w:name="Psych_Cite_123"/>
      <w:r w:rsidRPr="00CB68E1" w:rsidR="00641626">
        <w:rPr>
          <w:i/>
        </w:rPr>
        <w:t>Arias</w:t>
      </w:r>
      <w:r w:rsidRPr="00CB68E1" w:rsidR="00641626">
        <w:t>, at p. 1021</w:t>
      </w:r>
      <w:bookmarkEnd w:id="139"/>
      <w:r w:rsidRPr="00CB68E1">
        <w:t>.)</w:t>
      </w:r>
      <w:r>
        <w:rPr>
          <w:sz w:val="26"/>
          <w:szCs w:val="26"/>
        </w:rPr>
        <w:t xml:space="preserve">  </w:t>
      </w:r>
    </w:p>
    <w:p w:rsidR="00264177" w:rsidRPr="002C23C4" w:rsidP="00A61F5F">
      <w:r w:rsidRPr="002C23C4">
        <w:tab/>
      </w:r>
      <w:bookmarkStart w:id="140" w:name="Psych_Cite_129"/>
      <w:r w:rsidRPr="002C23C4" w:rsidR="00CD6BAF">
        <w:t xml:space="preserve">Based on </w:t>
      </w:r>
      <w:r w:rsidRPr="002C23C4" w:rsidR="00CD6BAF">
        <w:rPr>
          <w:i/>
        </w:rPr>
        <w:t>People v. Sandoval</w:t>
      </w:r>
      <w:r w:rsidRPr="002C23C4" w:rsidR="00CD6BAF">
        <w:t xml:space="preserve"> (2006) 140 Cal.App.4th 111, 132–134</w:t>
      </w:r>
      <w:bookmarkEnd w:id="140"/>
      <w:r w:rsidRPr="002C23C4" w:rsidR="00CD6BAF">
        <w:t>,</w:t>
      </w:r>
      <w:r w:rsidRPr="002C23C4">
        <w:t xml:space="preserve"> </w:t>
      </w:r>
      <w:r w:rsidRPr="002C23C4" w:rsidR="00CD6BAF">
        <w:t xml:space="preserve">the Attorney General argues </w:t>
      </w:r>
      <w:r w:rsidRPr="002C23C4" w:rsidR="00BE7AE1">
        <w:t xml:space="preserve">courts may </w:t>
      </w:r>
      <w:r w:rsidRPr="002C23C4">
        <w:t xml:space="preserve">apply the </w:t>
      </w:r>
      <w:r w:rsidRPr="002C23C4" w:rsidR="00AA0CA0">
        <w:t xml:space="preserve">so-called </w:t>
      </w:r>
      <w:r w:rsidRPr="002C23C4">
        <w:t>informal amendment doctrine</w:t>
      </w:r>
      <w:r w:rsidRPr="002C23C4" w:rsidR="0070126A">
        <w:t xml:space="preserve"> </w:t>
      </w:r>
      <w:r w:rsidRPr="002C23C4" w:rsidR="00BE7AE1">
        <w:t>not just where it benefits</w:t>
      </w:r>
      <w:r w:rsidRPr="002C23C4" w:rsidR="00CD6BAF">
        <w:t xml:space="preserve"> the</w:t>
      </w:r>
      <w:r w:rsidRPr="002C23C4" w:rsidR="00BE7AE1">
        <w:t xml:space="preserve"> defendant</w:t>
      </w:r>
      <w:r w:rsidRPr="002C23C4" w:rsidR="0070126A">
        <w:t xml:space="preserve"> </w:t>
      </w:r>
      <w:r w:rsidRPr="002C23C4" w:rsidR="00BE7AE1">
        <w:t xml:space="preserve">but also </w:t>
      </w:r>
      <w:r w:rsidRPr="002C23C4">
        <w:t>to allow for the addition of greater crimes or additional enhancements</w:t>
      </w:r>
      <w:r w:rsidRPr="002C23C4" w:rsidR="0070126A">
        <w:t xml:space="preserve">.  </w:t>
      </w:r>
      <w:r w:rsidRPr="002C23C4">
        <w:t xml:space="preserve">In </w:t>
      </w:r>
      <w:r w:rsidRPr="002C23C4" w:rsidR="00A82ABE">
        <w:rPr>
          <w:i/>
        </w:rPr>
        <w:t>Sandoval</w:t>
      </w:r>
      <w:r w:rsidRPr="002C23C4">
        <w:t>, the prosecution</w:t>
      </w:r>
      <w:r w:rsidRPr="002C23C4" w:rsidR="00BE7AE1">
        <w:t>,</w:t>
      </w:r>
      <w:r w:rsidRPr="002C23C4" w:rsidR="00061EC7">
        <w:t xml:space="preserve"> </w:t>
      </w:r>
      <w:r w:rsidRPr="002C23C4">
        <w:t>formally</w:t>
      </w:r>
      <w:r w:rsidRPr="002C23C4" w:rsidR="00BE7AE1">
        <w:t>,</w:t>
      </w:r>
      <w:r w:rsidRPr="002C23C4">
        <w:t xml:space="preserve"> in open court, </w:t>
      </w:r>
      <w:r w:rsidRPr="002C23C4" w:rsidR="00BE7AE1">
        <w:t xml:space="preserve">and </w:t>
      </w:r>
      <w:r w:rsidRPr="002C23C4">
        <w:t>with the defendant and counsel present</w:t>
      </w:r>
      <w:r w:rsidRPr="002C23C4" w:rsidR="00BE7AE1">
        <w:t>,</w:t>
      </w:r>
      <w:r w:rsidRPr="002C23C4">
        <w:t xml:space="preserve"> orally requested and was granted an amendment to the information to allege a prior strike conviction that increased </w:t>
      </w:r>
      <w:r w:rsidRPr="002C23C4" w:rsidR="00D7032D">
        <w:t xml:space="preserve">the </w:t>
      </w:r>
      <w:r w:rsidRPr="002C23C4">
        <w:t>defendant’s sentence.  (</w:t>
      </w:r>
      <w:bookmarkStart w:id="141" w:name="Psych_Cite_124"/>
      <w:r w:rsidRPr="002C23C4">
        <w:rPr>
          <w:i/>
        </w:rPr>
        <w:t xml:space="preserve">Id. </w:t>
      </w:r>
      <w:r w:rsidRPr="002C23C4">
        <w:t>at p.</w:t>
      </w:r>
      <w:r w:rsidRPr="002C23C4" w:rsidR="00C84116">
        <w:t> </w:t>
      </w:r>
      <w:r w:rsidRPr="002C23C4">
        <w:t>134</w:t>
      </w:r>
      <w:bookmarkEnd w:id="141"/>
      <w:r w:rsidRPr="002C23C4">
        <w:t xml:space="preserve">.)  </w:t>
      </w:r>
      <w:r w:rsidRPr="002C23C4" w:rsidR="00652582">
        <w:t>Defense counsel stated she had no objection to the amendment.  (</w:t>
      </w:r>
      <w:bookmarkStart w:id="142" w:name="Psych_Cite_125"/>
      <w:r w:rsidRPr="002C23C4" w:rsidR="00652582">
        <w:rPr>
          <w:i/>
        </w:rPr>
        <w:t>Ibid.</w:t>
      </w:r>
      <w:bookmarkEnd w:id="142"/>
      <w:r w:rsidRPr="002C23C4" w:rsidR="00652582">
        <w:t xml:space="preserve">)  </w:t>
      </w:r>
      <w:r w:rsidRPr="002C23C4" w:rsidR="00D82D29">
        <w:t xml:space="preserve">The defendant </w:t>
      </w:r>
      <w:r w:rsidRPr="002C23C4" w:rsidR="00061EC7">
        <w:t xml:space="preserve">then </w:t>
      </w:r>
      <w:r w:rsidRPr="002C23C4" w:rsidR="00D82D29">
        <w:t>admitted the strike in open court and signed a plea form admitting the same.  (</w:t>
      </w:r>
      <w:bookmarkStart w:id="143" w:name="Psych_Cite_126"/>
      <w:r w:rsidRPr="002C23C4" w:rsidR="00D82D29">
        <w:rPr>
          <w:i/>
        </w:rPr>
        <w:t>Ibid.</w:t>
      </w:r>
      <w:bookmarkEnd w:id="143"/>
      <w:r w:rsidRPr="002C23C4" w:rsidR="00D82D29">
        <w:t xml:space="preserve">)  </w:t>
      </w:r>
      <w:r w:rsidR="006629E6">
        <w:t xml:space="preserve">The record </w:t>
      </w:r>
      <w:r w:rsidR="001B3E2C">
        <w:t xml:space="preserve">there </w:t>
      </w:r>
      <w:r w:rsidR="006629E6">
        <w:t xml:space="preserve">made clear that the defendant “had reasonable notice of the prior strike allegation and that any defect in the form of the allegation did not prejudice </w:t>
      </w:r>
      <w:r w:rsidR="005F26EA">
        <w:t>[him]</w:t>
      </w:r>
      <w:r w:rsidR="006629E6">
        <w:t>.”  (</w:t>
      </w:r>
      <w:bookmarkStart w:id="144" w:name="Psych_Cite_127"/>
      <w:r w:rsidR="006629E6">
        <w:rPr>
          <w:i/>
          <w:iCs/>
        </w:rPr>
        <w:t>Ibid.</w:t>
      </w:r>
      <w:bookmarkEnd w:id="144"/>
      <w:r w:rsidR="006629E6">
        <w:t xml:space="preserve">)  </w:t>
      </w:r>
      <w:r w:rsidR="001B3E2C">
        <w:t>The</w:t>
      </w:r>
      <w:r w:rsidRPr="002C23C4" w:rsidR="00061EC7">
        <w:t xml:space="preserve"> </w:t>
      </w:r>
      <w:r w:rsidR="001B3E2C">
        <w:t xml:space="preserve">oral amendment of the information, therefore, </w:t>
      </w:r>
      <w:r w:rsidRPr="002C23C4" w:rsidR="00BE7AE1">
        <w:t>provided</w:t>
      </w:r>
      <w:r w:rsidRPr="002C23C4" w:rsidR="00D82D29">
        <w:t xml:space="preserve"> </w:t>
      </w:r>
      <w:r w:rsidR="001B3E2C">
        <w:t xml:space="preserve">the defendant with </w:t>
      </w:r>
      <w:r w:rsidRPr="002C23C4" w:rsidR="00061EC7">
        <w:t>adequate</w:t>
      </w:r>
      <w:r w:rsidRPr="002C23C4" w:rsidR="00D82D29">
        <w:t xml:space="preserve"> notice of the prior strike allegation.  (</w:t>
      </w:r>
      <w:bookmarkStart w:id="145" w:name="Psych_Cite_128"/>
      <w:r w:rsidRPr="002C23C4" w:rsidR="00D82D29">
        <w:rPr>
          <w:i/>
        </w:rPr>
        <w:t>Ibid.</w:t>
      </w:r>
      <w:bookmarkEnd w:id="145"/>
      <w:r w:rsidRPr="002C23C4" w:rsidR="00D82D29">
        <w:t>)</w:t>
      </w:r>
    </w:p>
    <w:p w:rsidR="00047C38" w:rsidRPr="002C23C4" w:rsidP="00A61F5F">
      <w:r w:rsidRPr="002C23C4">
        <w:tab/>
      </w:r>
      <w:r w:rsidRPr="002C23C4" w:rsidR="00514D22">
        <w:rPr>
          <w:i/>
        </w:rPr>
        <w:t>Sandoval</w:t>
      </w:r>
      <w:r w:rsidRPr="002C23C4" w:rsidR="00514D22">
        <w:t xml:space="preserve"> </w:t>
      </w:r>
      <w:r w:rsidRPr="002C23C4">
        <w:t xml:space="preserve">makes clear </w:t>
      </w:r>
      <w:r w:rsidRPr="002C23C4" w:rsidR="00514D22">
        <w:t xml:space="preserve">that </w:t>
      </w:r>
      <w:r w:rsidRPr="002C23C4" w:rsidR="008D5EB0">
        <w:t>not every amendment to a pleading</w:t>
      </w:r>
      <w:r w:rsidR="00A81491">
        <w:t xml:space="preserve"> </w:t>
      </w:r>
      <w:r w:rsidRPr="002C23C4" w:rsidR="00882658">
        <w:t>—</w:t>
      </w:r>
      <w:r w:rsidR="00A81491">
        <w:t xml:space="preserve"> </w:t>
      </w:r>
      <w:r w:rsidRPr="002C23C4" w:rsidR="00882658">
        <w:t>even one that increases the defendant’s potential criminal liability</w:t>
      </w:r>
      <w:r w:rsidR="00A81491">
        <w:t xml:space="preserve"> </w:t>
      </w:r>
      <w:r w:rsidRPr="002C23C4" w:rsidR="00882658">
        <w:t>—</w:t>
      </w:r>
      <w:r w:rsidR="00A81491">
        <w:t xml:space="preserve"> </w:t>
      </w:r>
      <w:r w:rsidRPr="002C23C4" w:rsidR="008D5EB0">
        <w:t xml:space="preserve">need be made in writing.  But </w:t>
      </w:r>
      <w:r w:rsidRPr="002C23C4" w:rsidR="00E535F0">
        <w:t xml:space="preserve">the problem in this case is not </w:t>
      </w:r>
      <w:r w:rsidR="0011399B">
        <w:t>just</w:t>
      </w:r>
      <w:r w:rsidRPr="002C23C4" w:rsidR="0011399B">
        <w:t xml:space="preserve"> </w:t>
      </w:r>
      <w:r w:rsidRPr="002C23C4" w:rsidR="00E535F0">
        <w:t xml:space="preserve">that </w:t>
      </w:r>
      <w:r w:rsidRPr="002C23C4" w:rsidR="00EF2031">
        <w:t>there was no written amendment to the informatio</w:t>
      </w:r>
      <w:r w:rsidR="0011399B">
        <w:t>n</w:t>
      </w:r>
      <w:r w:rsidRPr="002C23C4" w:rsidR="00EF2031">
        <w:t xml:space="preserve">.  </w:t>
      </w:r>
      <w:r w:rsidRPr="002C23C4" w:rsidR="00227A08">
        <w:t>Here, i</w:t>
      </w:r>
      <w:r w:rsidRPr="002C23C4" w:rsidR="00926B68">
        <w:t xml:space="preserve">n contrast to </w:t>
      </w:r>
      <w:r w:rsidRPr="002C23C4" w:rsidR="00926B68">
        <w:rPr>
          <w:i/>
        </w:rPr>
        <w:t>Sandoval</w:t>
      </w:r>
      <w:r w:rsidRPr="002C23C4" w:rsidR="00926B68">
        <w:t xml:space="preserve">, there was </w:t>
      </w:r>
      <w:r w:rsidRPr="002C23C4">
        <w:t xml:space="preserve">no hearing in open court where the prosecution </w:t>
      </w:r>
      <w:r w:rsidRPr="002C23C4" w:rsidR="008D5EB0">
        <w:t xml:space="preserve">asked to make </w:t>
      </w:r>
      <w:r w:rsidRPr="002C23C4">
        <w:t xml:space="preserve">an oral amendment to the information to add the </w:t>
      </w:r>
      <w:bookmarkStart w:id="146" w:name="Psych_Cite_130"/>
      <w:r w:rsidRPr="002C23C4">
        <w:t>section 12022.53(e)</w:t>
      </w:r>
      <w:bookmarkEnd w:id="146"/>
      <w:r w:rsidRPr="002C23C4">
        <w:t xml:space="preserve"> enhancements as to the robbery counts</w:t>
      </w:r>
      <w:r w:rsidRPr="002C23C4" w:rsidR="008D5EB0">
        <w:t xml:space="preserve">, nor </w:t>
      </w:r>
      <w:r w:rsidRPr="002C23C4" w:rsidR="00E029BE">
        <w:t xml:space="preserve">was </w:t>
      </w:r>
      <w:r w:rsidR="00B22C3F">
        <w:t xml:space="preserve">Anderson </w:t>
      </w:r>
      <w:r w:rsidRPr="002C23C4" w:rsidR="00E029BE">
        <w:t xml:space="preserve">asked if he consented to the </w:t>
      </w:r>
      <w:r w:rsidRPr="002C23C4" w:rsidR="008D5EB0">
        <w:t>amendment</w:t>
      </w:r>
      <w:r w:rsidRPr="002C23C4" w:rsidR="00E029BE">
        <w:t>, nor did the trial court ever grant such a request</w:t>
      </w:r>
      <w:r w:rsidRPr="002C23C4">
        <w:t>.</w:t>
      </w:r>
    </w:p>
    <w:p w:rsidR="00152DB4" w:rsidRPr="002C23C4" w:rsidP="00A61F5F">
      <w:r w:rsidRPr="002C23C4">
        <w:tab/>
      </w:r>
      <w:r w:rsidRPr="002C23C4" w:rsidR="00C23DFF">
        <w:t>All we are left with</w:t>
      </w:r>
      <w:r w:rsidR="00C00835">
        <w:t xml:space="preserve">, then, </w:t>
      </w:r>
      <w:r w:rsidRPr="002C23C4" w:rsidR="00C23DFF">
        <w:t xml:space="preserve">is counsel’s failure to </w:t>
      </w:r>
      <w:r w:rsidRPr="002C23C4" w:rsidR="008D5EB0">
        <w:t xml:space="preserve">object to certain </w:t>
      </w:r>
      <w:r w:rsidRPr="002C23C4" w:rsidR="00D82D29">
        <w:t>jury instructions and verdict forms</w:t>
      </w:r>
      <w:r w:rsidRPr="002C23C4" w:rsidR="007250B8">
        <w:t xml:space="preserve"> that presented </w:t>
      </w:r>
      <w:r w:rsidRPr="002C23C4" w:rsidR="00D9218D">
        <w:t>a set of</w:t>
      </w:r>
      <w:r w:rsidRPr="002C23C4" w:rsidR="007250B8">
        <w:t xml:space="preserve"> issue</w:t>
      </w:r>
      <w:r w:rsidRPr="002C23C4" w:rsidR="00D32A49">
        <w:t>s</w:t>
      </w:r>
      <w:r w:rsidRPr="002C23C4" w:rsidR="007250B8">
        <w:t xml:space="preserve"> to the jury that radically increased the potential penalties </w:t>
      </w:r>
      <w:r w:rsidR="00135D5E">
        <w:t xml:space="preserve">Anderson </w:t>
      </w:r>
      <w:r w:rsidRPr="002C23C4" w:rsidR="007250B8">
        <w:t>faced</w:t>
      </w:r>
      <w:r w:rsidRPr="002C23C4" w:rsidR="00D82D29">
        <w:t>.</w:t>
      </w:r>
      <w:r w:rsidRPr="002C23C4" w:rsidR="008D5EB0">
        <w:t xml:space="preserve">  </w:t>
      </w:r>
      <w:r w:rsidRPr="002C23C4" w:rsidR="007250B8">
        <w:t>F</w:t>
      </w:r>
      <w:r w:rsidRPr="002C23C4" w:rsidR="008D5EB0">
        <w:t xml:space="preserve">or all the record shows, the drafting of the instructions and verdict forms </w:t>
      </w:r>
      <w:r w:rsidRPr="002C23C4" w:rsidR="00E029BE">
        <w:t xml:space="preserve">may have simply been a mistake the parties </w:t>
      </w:r>
      <w:r w:rsidRPr="002C23C4" w:rsidR="00094A94">
        <w:t xml:space="preserve">did not </w:t>
      </w:r>
      <w:r w:rsidRPr="002C23C4" w:rsidR="00E029BE">
        <w:t xml:space="preserve">manage to catch before it was too late.  </w:t>
      </w:r>
      <w:r w:rsidRPr="002C23C4" w:rsidR="00C71FA5">
        <w:t>Under these circumstances, t</w:t>
      </w:r>
      <w:r w:rsidRPr="002C23C4" w:rsidR="00E029BE">
        <w:t>o treat defense counsel’s lack of objection</w:t>
      </w:r>
      <w:r w:rsidRPr="002C23C4" w:rsidR="00C71FA5">
        <w:t xml:space="preserve"> </w:t>
      </w:r>
      <w:r w:rsidRPr="002C23C4" w:rsidR="00E029BE">
        <w:t xml:space="preserve">as </w:t>
      </w:r>
      <w:r w:rsidRPr="002C23C4" w:rsidR="005338CF">
        <w:t xml:space="preserve">acquiescence or consent </w:t>
      </w:r>
      <w:r w:rsidRPr="002C23C4" w:rsidR="00E029BE">
        <w:t>would go a long way toward eroding</w:t>
      </w:r>
      <w:r w:rsidR="0011399B">
        <w:t xml:space="preserve"> </w:t>
      </w:r>
      <w:r w:rsidR="00B22C3F">
        <w:t>Anderson</w:t>
      </w:r>
      <w:r w:rsidRPr="002C23C4" w:rsidR="00E029BE">
        <w:t xml:space="preserve">’s right </w:t>
      </w:r>
      <w:r w:rsidRPr="002C23C4" w:rsidR="00F3683E">
        <w:t xml:space="preserve">to </w:t>
      </w:r>
      <w:r w:rsidRPr="002C23C4" w:rsidR="00E029BE">
        <w:t>notice</w:t>
      </w:r>
      <w:r w:rsidRPr="002C23C4" w:rsidR="00F3683E">
        <w:t xml:space="preserve"> of the </w:t>
      </w:r>
      <w:r w:rsidRPr="002C23C4" w:rsidR="00457847">
        <w:t>potential penalties he face</w:t>
      </w:r>
      <w:r w:rsidR="0011399B">
        <w:t>d</w:t>
      </w:r>
      <w:r w:rsidRPr="002C23C4" w:rsidR="00F3683E">
        <w:t>.</w:t>
      </w:r>
      <w:r w:rsidRPr="002C23C4" w:rsidR="00E029BE">
        <w:t xml:space="preserve">  </w:t>
      </w:r>
      <w:r w:rsidR="007C0FFF">
        <w:t>We</w:t>
      </w:r>
      <w:r w:rsidRPr="002C23C4" w:rsidR="006919CB">
        <w:t xml:space="preserve"> conclude </w:t>
      </w:r>
      <w:r w:rsidRPr="002C23C4" w:rsidR="00EB49F6">
        <w:t>no</w:t>
      </w:r>
      <w:r w:rsidRPr="002C23C4" w:rsidR="006919CB">
        <w:t xml:space="preserve"> informal amendment of the information</w:t>
      </w:r>
      <w:r w:rsidRPr="002C23C4" w:rsidR="002B4B77">
        <w:t xml:space="preserve"> </w:t>
      </w:r>
      <w:r w:rsidRPr="002C23C4" w:rsidR="00E029BE">
        <w:t xml:space="preserve">occurred </w:t>
      </w:r>
      <w:r w:rsidRPr="002C23C4" w:rsidR="002B4B77">
        <w:t>here</w:t>
      </w:r>
      <w:r w:rsidRPr="002C23C4" w:rsidR="006919CB">
        <w:t>.</w:t>
      </w:r>
    </w:p>
    <w:p w:rsidR="004D665D" w:rsidRPr="002C23C4" w:rsidP="00A61F5F">
      <w:pPr>
        <w:tabs>
          <w:tab w:val="left" w:pos="1440"/>
        </w:tabs>
        <w:jc w:val="center"/>
        <w:rPr>
          <w:b/>
        </w:rPr>
      </w:pPr>
      <w:r w:rsidRPr="002C23C4">
        <w:rPr>
          <w:b/>
        </w:rPr>
        <w:t>B.</w:t>
      </w:r>
    </w:p>
    <w:p w:rsidR="006919CB" w:rsidP="00536BF3">
      <w:pPr>
        <w:tabs>
          <w:tab w:val="left" w:pos="1440"/>
        </w:tabs>
        <w:ind w:firstLine="720"/>
      </w:pPr>
      <w:r w:rsidRPr="002C23C4">
        <w:t xml:space="preserve">The Attorney General </w:t>
      </w:r>
      <w:r w:rsidRPr="002C23C4" w:rsidR="00943185">
        <w:t>next</w:t>
      </w:r>
      <w:r w:rsidRPr="002C23C4">
        <w:t xml:space="preserve"> argues </w:t>
      </w:r>
      <w:r w:rsidR="00B22C3F">
        <w:t xml:space="preserve">Anderson </w:t>
      </w:r>
      <w:r w:rsidRPr="002C23C4">
        <w:t xml:space="preserve">forfeited his statutory notice claim by failing to raise it </w:t>
      </w:r>
      <w:r w:rsidR="00C00835">
        <w:t>in the trial court</w:t>
      </w:r>
      <w:r w:rsidRPr="002C23C4">
        <w:t xml:space="preserve">.  </w:t>
      </w:r>
      <w:r w:rsidR="00536BF3">
        <w:t>As noted</w:t>
      </w:r>
      <w:r w:rsidR="00C00835">
        <w:t xml:space="preserve"> above</w:t>
      </w:r>
      <w:r w:rsidR="00536BF3">
        <w:t>, when it became clear, on the day of sentencing, that the prosecution intended to ask the court to impose the 25-</w:t>
      </w:r>
      <w:r w:rsidR="008C398A">
        <w:t>year-</w:t>
      </w:r>
      <w:r w:rsidR="00536BF3">
        <w:t xml:space="preserve">to-life enhancements as to each of the five robbery counts, defense counsel objected in writing and orally, but only on Eighth Amendment cruel and unusual punishment grounds.  (See </w:t>
      </w:r>
      <w:bookmarkStart w:id="147" w:name="Psych_Cite_131"/>
      <w:r w:rsidR="00536BF3">
        <w:t>U.S. Const., 8th Amen</w:t>
      </w:r>
      <w:bookmarkEnd w:id="147"/>
      <w:r w:rsidR="00536BF3">
        <w:t xml:space="preserve">d.)  She did not call the trial court’s attention to any deficiency in the information as to these enhancements.  </w:t>
      </w:r>
      <w:r w:rsidR="0011399B">
        <w:t xml:space="preserve">We </w:t>
      </w:r>
      <w:r w:rsidRPr="002C23C4">
        <w:t>conclude</w:t>
      </w:r>
      <w:r w:rsidR="00536BF3">
        <w:t>, however, that</w:t>
      </w:r>
      <w:r w:rsidRPr="002C23C4">
        <w:t xml:space="preserve"> the pleading failure here is the type of error we should address even though </w:t>
      </w:r>
      <w:r w:rsidR="00B22C3F">
        <w:t>Anderson</w:t>
      </w:r>
      <w:r w:rsidRPr="002C23C4">
        <w:t xml:space="preserve"> did not bring it to the trial court’s attention</w:t>
      </w:r>
      <w:r w:rsidRPr="002C23C4" w:rsidR="00AF5BB8">
        <w:t>.</w:t>
      </w:r>
      <w:r w:rsidRPr="002C23C4">
        <w:t xml:space="preserve">  </w:t>
      </w:r>
    </w:p>
    <w:p w:rsidR="00097389" w:rsidRPr="002C23C4" w:rsidP="00A61F5F">
      <w:pPr>
        <w:tabs>
          <w:tab w:val="left" w:pos="1440"/>
        </w:tabs>
        <w:ind w:firstLine="720"/>
      </w:pPr>
      <w:r w:rsidRPr="002C23C4">
        <w:t xml:space="preserve">As a general rule, a criminal defendant who fails to object at trial to a purportedly erroneous ruling forfeits the right to challenge that ruling on appeal.  </w:t>
      </w:r>
      <w:bookmarkStart w:id="148" w:name="_Hlk43818033"/>
      <w:r w:rsidRPr="002C23C4">
        <w:t>(</w:t>
      </w:r>
      <w:bookmarkStart w:id="149" w:name="Psych_Cite_132"/>
      <w:r w:rsidRPr="002C23C4">
        <w:rPr>
          <w:i/>
        </w:rPr>
        <w:t xml:space="preserve">People v. Smith </w:t>
      </w:r>
      <w:r w:rsidRPr="002C23C4">
        <w:t>(2001) 24 Cal.4th 849, 852</w:t>
      </w:r>
      <w:bookmarkEnd w:id="149"/>
      <w:r w:rsidRPr="002C23C4">
        <w:t>.)</w:t>
      </w:r>
      <w:r w:rsidRPr="002C23C4" w:rsidR="00A20F5A">
        <w:t xml:space="preserve">  </w:t>
      </w:r>
      <w:bookmarkEnd w:id="148"/>
      <w:r w:rsidRPr="002C23C4">
        <w:t xml:space="preserve">But </w:t>
      </w:r>
      <w:r w:rsidRPr="002C23C4" w:rsidR="001328BA">
        <w:t>there are exceptions to th</w:t>
      </w:r>
      <w:r w:rsidRPr="002C23C4" w:rsidR="00DF1F84">
        <w:t>is</w:t>
      </w:r>
      <w:r w:rsidRPr="002C23C4" w:rsidR="001328BA">
        <w:t xml:space="preserve"> rule</w:t>
      </w:r>
      <w:r w:rsidRPr="002C23C4">
        <w:t xml:space="preserve">.  </w:t>
      </w:r>
      <w:bookmarkStart w:id="150" w:name="_Hlk43818048"/>
      <w:r w:rsidRPr="002C23C4">
        <w:t>(</w:t>
      </w:r>
      <w:bookmarkStart w:id="151" w:name="Psych_Cite_133"/>
      <w:r w:rsidRPr="002C23C4">
        <w:t xml:space="preserve">See </w:t>
      </w:r>
      <w:r w:rsidRPr="002C23C4">
        <w:rPr>
          <w:i/>
        </w:rPr>
        <w:t>In re Sheena K.</w:t>
      </w:r>
      <w:r w:rsidRPr="002C23C4">
        <w:t xml:space="preserve"> (2007) 40 Cal.4th 875, 881, fn. 2 (</w:t>
      </w:r>
      <w:r w:rsidRPr="002C23C4">
        <w:rPr>
          <w:i/>
        </w:rPr>
        <w:t>Sheena K.</w:t>
      </w:r>
      <w:r w:rsidRPr="002C23C4">
        <w:t>)</w:t>
      </w:r>
      <w:bookmarkEnd w:id="151"/>
      <w:r w:rsidRPr="002C23C4">
        <w:t xml:space="preserve">.)  </w:t>
      </w:r>
      <w:bookmarkEnd w:id="150"/>
      <w:r w:rsidR="00B22C3F">
        <w:t xml:space="preserve">Anderson </w:t>
      </w:r>
      <w:r w:rsidRPr="002C23C4">
        <w:t xml:space="preserve">argues his case falls into </w:t>
      </w:r>
      <w:r w:rsidRPr="002C23C4" w:rsidR="00CB5FF9">
        <w:t xml:space="preserve">a </w:t>
      </w:r>
      <w:r w:rsidRPr="002C23C4">
        <w:t>“narrow exception” for “</w:t>
      </w:r>
      <w:r w:rsidR="00F032E4">
        <w:t> </w:t>
      </w:r>
      <w:r w:rsidR="0033582C">
        <w:t>‘</w:t>
      </w:r>
      <w:r w:rsidRPr="002C23C4">
        <w:t>unauthorized sentence</w:t>
      </w:r>
      <w:r w:rsidR="0033582C">
        <w:t>[</w:t>
      </w:r>
      <w:r w:rsidRPr="002C23C4">
        <w:t>s</w:t>
      </w:r>
      <w:r w:rsidR="0033582C">
        <w:t>]’</w:t>
      </w:r>
      <w:r w:rsidR="00F032E4">
        <w:t> </w:t>
      </w:r>
      <w:r w:rsidRPr="002C23C4">
        <w:t>” or those entered in “</w:t>
      </w:r>
      <w:bookmarkStart w:id="152" w:name="QUOTE_BOOKMARK_IS_CONFIRMED_8"/>
      <w:r w:rsidR="00F032E4">
        <w:t> </w:t>
      </w:r>
      <w:r w:rsidR="005D0673">
        <w:t>‘excess of jurisdiction.’</w:t>
      </w:r>
      <w:bookmarkEnd w:id="152"/>
      <w:r w:rsidR="00F032E4">
        <w:t> </w:t>
      </w:r>
      <w:r w:rsidRPr="002C23C4">
        <w:t>”  (</w:t>
      </w:r>
      <w:bookmarkStart w:id="153" w:name="Psych_Cite_134"/>
      <w:r w:rsidRPr="002C23C4" w:rsidR="00287926">
        <w:rPr>
          <w:i/>
        </w:rPr>
        <w:t xml:space="preserve">People v. </w:t>
      </w:r>
      <w:r w:rsidRPr="002C23C4">
        <w:rPr>
          <w:i/>
        </w:rPr>
        <w:t>Scott</w:t>
      </w:r>
      <w:r w:rsidRPr="002C23C4" w:rsidR="00D7032D">
        <w:t xml:space="preserve"> (1994)</w:t>
      </w:r>
      <w:r w:rsidRPr="002C23C4">
        <w:t xml:space="preserve"> 9 Cal.4th</w:t>
      </w:r>
      <w:r w:rsidRPr="002C23C4" w:rsidR="00287926">
        <w:t xml:space="preserve"> 331,</w:t>
      </w:r>
      <w:r w:rsidRPr="002C23C4">
        <w:t xml:space="preserve"> 354</w:t>
      </w:r>
      <w:bookmarkEnd w:id="153"/>
      <w:r w:rsidRPr="002C23C4">
        <w:t xml:space="preserve">.)  </w:t>
      </w:r>
    </w:p>
    <w:p w:rsidR="00DB6A81" w:rsidRPr="002C23C4" w:rsidP="00A61F5F">
      <w:pPr>
        <w:tabs>
          <w:tab w:val="left" w:pos="1440"/>
        </w:tabs>
        <w:ind w:firstLine="720"/>
      </w:pPr>
      <w:r>
        <w:t>Anderson</w:t>
      </w:r>
      <w:r w:rsidRPr="002C23C4" w:rsidR="00E510AA">
        <w:t xml:space="preserve">’s argument relies heavily on </w:t>
      </w:r>
      <w:r w:rsidRPr="002C23C4" w:rsidR="00E510AA">
        <w:rPr>
          <w:i/>
        </w:rPr>
        <w:t>Mancebo</w:t>
      </w:r>
      <w:r w:rsidRPr="002C23C4" w:rsidR="00E510AA">
        <w:t xml:space="preserve">, </w:t>
      </w:r>
      <w:r w:rsidR="00B5173E">
        <w:t>where</w:t>
      </w:r>
      <w:r w:rsidRPr="002C23C4" w:rsidR="00E510AA">
        <w:t xml:space="preserve"> we reached the merits of the </w:t>
      </w:r>
      <w:r w:rsidRPr="002C23C4" w:rsidR="003F48ED">
        <w:t xml:space="preserve">pleading deficiency issue </w:t>
      </w:r>
      <w:r w:rsidRPr="002C23C4" w:rsidR="00E510AA">
        <w:t xml:space="preserve">even though </w:t>
      </w:r>
      <w:r w:rsidRPr="002C23C4" w:rsidR="003F48ED">
        <w:t xml:space="preserve">the defendant had not </w:t>
      </w:r>
      <w:r w:rsidRPr="002C23C4" w:rsidR="00B50501">
        <w:t>object</w:t>
      </w:r>
      <w:r w:rsidRPr="002C23C4" w:rsidR="005E1442">
        <w:t>ed</w:t>
      </w:r>
      <w:r w:rsidRPr="002C23C4" w:rsidR="00B50501">
        <w:t xml:space="preserve"> </w:t>
      </w:r>
      <w:r w:rsidRPr="002C23C4" w:rsidR="00F90C68">
        <w:t xml:space="preserve">at </w:t>
      </w:r>
      <w:r w:rsidRPr="002C23C4" w:rsidR="00165D82">
        <w:t xml:space="preserve">the time of </w:t>
      </w:r>
      <w:r w:rsidRPr="002C23C4" w:rsidR="00E510AA">
        <w:t>sentencing.  (</w:t>
      </w:r>
      <w:bookmarkStart w:id="154" w:name="Psych_Cite_138"/>
      <w:r w:rsidRPr="002C23C4" w:rsidR="00E510AA">
        <w:rPr>
          <w:i/>
        </w:rPr>
        <w:t>Mancebo</w:t>
      </w:r>
      <w:r w:rsidRPr="002C23C4" w:rsidR="00E510AA">
        <w:t xml:space="preserve">, </w:t>
      </w:r>
      <w:r w:rsidRPr="002C23C4" w:rsidR="00E510AA">
        <w:rPr>
          <w:i/>
        </w:rPr>
        <w:t>supra</w:t>
      </w:r>
      <w:r w:rsidRPr="002C23C4" w:rsidR="00E510AA">
        <w:t>, 27 Cal.4th at p.</w:t>
      </w:r>
      <w:r w:rsidRPr="002C23C4" w:rsidR="00C84116">
        <w:t> </w:t>
      </w:r>
      <w:r w:rsidRPr="002C23C4" w:rsidR="00E510AA">
        <w:t>749, fn.</w:t>
      </w:r>
      <w:r w:rsidR="00325A52">
        <w:t> </w:t>
      </w:r>
      <w:r w:rsidRPr="002C23C4" w:rsidR="00E510AA">
        <w:t>7</w:t>
      </w:r>
      <w:bookmarkEnd w:id="154"/>
      <w:r w:rsidRPr="002C23C4" w:rsidR="00E510AA">
        <w:t xml:space="preserve">.)  We explained:  “In </w:t>
      </w:r>
      <w:r w:rsidRPr="002C23C4" w:rsidR="00E510AA">
        <w:rPr>
          <w:i/>
        </w:rPr>
        <w:t>People v. Scott</w:t>
      </w:r>
      <w:r w:rsidRPr="002C23C4" w:rsidR="00D7032D">
        <w:t>[,</w:t>
      </w:r>
      <w:r w:rsidRPr="002C23C4" w:rsidR="00D7032D">
        <w:rPr>
          <w:i/>
        </w:rPr>
        <w:t xml:space="preserve"> supra</w:t>
      </w:r>
      <w:r w:rsidRPr="002C23C4" w:rsidR="00D7032D">
        <w:t xml:space="preserve">,] </w:t>
      </w:r>
      <w:r w:rsidRPr="002C23C4" w:rsidR="00E510AA">
        <w:t>9 Cal.4th 331, we held that ‘complaints about the manner in which the trial court exercises its sentencing discretion and articulates its supporting reasons cannot be raised for the first time on appeal.’  (</w:t>
      </w:r>
      <w:bookmarkStart w:id="155" w:name="Psych_Cite_135"/>
      <w:r w:rsidRPr="002C23C4" w:rsidR="00E510AA">
        <w:rPr>
          <w:i/>
        </w:rPr>
        <w:t>Id.</w:t>
      </w:r>
      <w:r w:rsidRPr="002C23C4" w:rsidR="00E510AA">
        <w:t xml:space="preserve"> at p.</w:t>
      </w:r>
      <w:r w:rsidRPr="002C23C4" w:rsidR="00C84116">
        <w:t> </w:t>
      </w:r>
      <w:r w:rsidRPr="002C23C4" w:rsidR="00E510AA">
        <w:t>356</w:t>
      </w:r>
      <w:bookmarkEnd w:id="155"/>
      <w:r w:rsidRPr="002C23C4" w:rsidR="00E510AA">
        <w:t>.)  We distinguished as outside the scope of the rule nonwaivable errors such as ‘legal error resulting in an unauthorized sentence [that] commonly occurs where the court violates mandatory provisions governing the length of confinement.’  (</w:t>
      </w:r>
      <w:bookmarkStart w:id="156" w:name="Psych_Cite_136"/>
      <w:r w:rsidRPr="002C23C4" w:rsidR="00E510AA">
        <w:rPr>
          <w:i/>
        </w:rPr>
        <w:t>Id.</w:t>
      </w:r>
      <w:r w:rsidRPr="002C23C4" w:rsidR="00E510AA">
        <w:t xml:space="preserve"> at p.</w:t>
      </w:r>
      <w:r w:rsidRPr="002C23C4" w:rsidR="00C84116">
        <w:t> </w:t>
      </w:r>
      <w:r w:rsidRPr="002C23C4" w:rsidR="00E510AA">
        <w:t>354, fn. omitted</w:t>
      </w:r>
      <w:bookmarkEnd w:id="156"/>
      <w:r w:rsidRPr="002C23C4" w:rsidR="00E510AA">
        <w:t>.)”  (</w:t>
      </w:r>
      <w:bookmarkStart w:id="157" w:name="Psych_Cite_140"/>
      <w:r w:rsidRPr="002C23C4" w:rsidR="00D7032D">
        <w:rPr>
          <w:i/>
        </w:rPr>
        <w:t>Mancebo</w:t>
      </w:r>
      <w:r w:rsidRPr="002C23C4" w:rsidR="00D7032D">
        <w:t>, at p</w:t>
      </w:r>
      <w:r w:rsidRPr="002C23C4" w:rsidR="001F06AA">
        <w:t>p</w:t>
      </w:r>
      <w:r w:rsidRPr="002C23C4" w:rsidR="00D7032D">
        <w:t>. 749</w:t>
      </w:r>
      <w:r w:rsidRPr="002C23C4" w:rsidR="001F06AA">
        <w:t>–750</w:t>
      </w:r>
      <w:r w:rsidRPr="002C23C4" w:rsidR="00D7032D">
        <w:t>, fn. 7</w:t>
      </w:r>
      <w:bookmarkEnd w:id="157"/>
      <w:r w:rsidRPr="002C23C4" w:rsidR="00E510AA">
        <w:rPr>
          <w:i/>
        </w:rPr>
        <w:t>.</w:t>
      </w:r>
      <w:r w:rsidRPr="002C23C4" w:rsidR="00E510AA">
        <w:t xml:space="preserve">)  Because the One Strike </w:t>
      </w:r>
      <w:r w:rsidRPr="002C23C4" w:rsidR="00C10299">
        <w:t>l</w:t>
      </w:r>
      <w:r w:rsidRPr="002C23C4" w:rsidR="00E510AA">
        <w:t>aw precluded the trial court from imposing the unpleaded enhancement, leaving no room for the exercise of sentencing discretion, we held that “</w:t>
      </w:r>
      <w:bookmarkStart w:id="158" w:name="QUOTE_BOOKMARK_IS_CONFIRMED_9"/>
      <w:r w:rsidR="005D0673">
        <w:t xml:space="preserve">the waiver rule announced in </w:t>
      </w:r>
      <w:r w:rsidRPr="00116F1F" w:rsidR="005D0673">
        <w:rPr>
          <w:i/>
        </w:rPr>
        <w:t>Scott</w:t>
      </w:r>
      <w:r w:rsidR="005D0673">
        <w:t xml:space="preserve"> is inapplicable here.</w:t>
      </w:r>
      <w:bookmarkEnd w:id="158"/>
      <w:r w:rsidRPr="002C23C4" w:rsidR="00E510AA">
        <w:t>”  (</w:t>
      </w:r>
      <w:bookmarkStart w:id="159" w:name="Psych_Cite_137"/>
      <w:r w:rsidRPr="002C23C4" w:rsidR="0033582C">
        <w:rPr>
          <w:i/>
        </w:rPr>
        <w:t>Id.</w:t>
      </w:r>
      <w:r w:rsidRPr="002C23C4" w:rsidR="0033582C">
        <w:t xml:space="preserve"> at p. </w:t>
      </w:r>
      <w:r w:rsidR="0033582C">
        <w:t>750, fn.</w:t>
      </w:r>
      <w:r w:rsidR="00F032E4">
        <w:t> </w:t>
      </w:r>
      <w:r w:rsidR="0033582C">
        <w:t>7</w:t>
      </w:r>
      <w:bookmarkEnd w:id="159"/>
      <w:r w:rsidR="00F032E4">
        <w:t>.</w:t>
      </w:r>
      <w:r w:rsidRPr="002C23C4" w:rsidR="00E510AA">
        <w:t>)</w:t>
      </w:r>
      <w:r w:rsidRPr="002C23C4" w:rsidR="00B35900">
        <w:t xml:space="preserve">  </w:t>
      </w:r>
      <w:r>
        <w:t xml:space="preserve">Anderson </w:t>
      </w:r>
      <w:r w:rsidRPr="002C23C4" w:rsidR="00662583">
        <w:t xml:space="preserve">reads </w:t>
      </w:r>
      <w:r w:rsidRPr="002C23C4" w:rsidR="00B35900">
        <w:t xml:space="preserve">this </w:t>
      </w:r>
      <w:r w:rsidRPr="002C23C4" w:rsidR="00662583">
        <w:t xml:space="preserve">footnote to mean </w:t>
      </w:r>
      <w:r w:rsidRPr="002C23C4" w:rsidR="00E510AA">
        <w:t xml:space="preserve">that the imposition of an unpleaded enhancement </w:t>
      </w:r>
      <w:r w:rsidRPr="002C23C4" w:rsidR="00FA1465">
        <w:t xml:space="preserve">necessarily </w:t>
      </w:r>
      <w:r w:rsidRPr="002C23C4" w:rsidR="00E510AA">
        <w:t>results in an unauthorized sentence.</w:t>
      </w:r>
    </w:p>
    <w:p w:rsidR="001C334C" w:rsidRPr="002C23C4" w:rsidP="00A61F5F">
      <w:pPr>
        <w:tabs>
          <w:tab w:val="left" w:pos="1440"/>
        </w:tabs>
        <w:ind w:firstLine="720"/>
      </w:pPr>
      <w:r>
        <w:t xml:space="preserve">Anderson </w:t>
      </w:r>
      <w:r w:rsidRPr="002C23C4" w:rsidR="00662583">
        <w:t xml:space="preserve">is not alone in this reading.  </w:t>
      </w:r>
      <w:r w:rsidRPr="002C23C4" w:rsidR="00E510AA">
        <w:t>(</w:t>
      </w:r>
      <w:bookmarkStart w:id="160" w:name="Psych_Cite_141"/>
      <w:r w:rsidRPr="002C23C4" w:rsidR="00CD66A6">
        <w:t xml:space="preserve">See, e.g., </w:t>
      </w:r>
      <w:r w:rsidRPr="002C23C4" w:rsidR="00E510AA">
        <w:rPr>
          <w:i/>
        </w:rPr>
        <w:t>Mancebo</w:t>
      </w:r>
      <w:r w:rsidRPr="002C23C4" w:rsidR="00E510AA">
        <w:t xml:space="preserve">, </w:t>
      </w:r>
      <w:r w:rsidRPr="002C23C4" w:rsidR="00E510AA">
        <w:rPr>
          <w:i/>
        </w:rPr>
        <w:t>supra</w:t>
      </w:r>
      <w:r w:rsidRPr="002C23C4" w:rsidR="00E510AA">
        <w:t>, 27 Cal.4th at pp.</w:t>
      </w:r>
      <w:r w:rsidRPr="002C23C4" w:rsidR="00C84116">
        <w:t> </w:t>
      </w:r>
      <w:r w:rsidRPr="002C23C4" w:rsidR="00E510AA">
        <w:t>755, 758 (dis. opn. of Brown, J.) [criticizing the majority for its expansion of the unauthorized sentence doctrine]</w:t>
      </w:r>
      <w:bookmarkEnd w:id="160"/>
      <w:r w:rsidRPr="002C23C4" w:rsidR="00E510AA">
        <w:t>.)</w:t>
      </w:r>
      <w:r w:rsidRPr="002C23C4" w:rsidR="00DB6A81">
        <w:t xml:space="preserve">  But </w:t>
      </w:r>
      <w:r w:rsidR="00B808F4">
        <w:t xml:space="preserve">as subsequent cases make clear, </w:t>
      </w:r>
      <w:r w:rsidRPr="002C23C4" w:rsidR="00797AD6">
        <w:rPr>
          <w:i/>
        </w:rPr>
        <w:t>Mancebo</w:t>
      </w:r>
      <w:r w:rsidR="00B808F4">
        <w:rPr>
          <w:i/>
        </w:rPr>
        <w:t xml:space="preserve"> </w:t>
      </w:r>
      <w:r w:rsidRPr="002C23C4" w:rsidR="00797AD6">
        <w:t xml:space="preserve">does not stand for the </w:t>
      </w:r>
      <w:r w:rsidRPr="002C23C4" w:rsidR="00B234A4">
        <w:t>broad proposition that</w:t>
      </w:r>
      <w:r w:rsidRPr="002C23C4" w:rsidR="00CC0EA7">
        <w:t xml:space="preserve"> </w:t>
      </w:r>
      <w:r w:rsidRPr="002C23C4" w:rsidR="006404C1">
        <w:t xml:space="preserve">imposition of an unpleaded enhancement necessarily results in an unauthorized sentence that may be raised, and corrected, for the first time </w:t>
      </w:r>
      <w:r w:rsidRPr="002C23C4" w:rsidR="00B234A4">
        <w:t xml:space="preserve">on appeal. </w:t>
      </w:r>
    </w:p>
    <w:p w:rsidR="0078642B" w:rsidRPr="002C23C4" w:rsidP="00A61F5F">
      <w:pPr>
        <w:tabs>
          <w:tab w:val="left" w:pos="1440"/>
        </w:tabs>
        <w:ind w:firstLine="720"/>
      </w:pPr>
      <w:r w:rsidRPr="002C23C4">
        <w:t xml:space="preserve">The unauthorized sentence </w:t>
      </w:r>
      <w:r w:rsidRPr="002C23C4" w:rsidR="006919CB">
        <w:t xml:space="preserve">doctrine </w:t>
      </w:r>
      <w:r w:rsidRPr="002C23C4">
        <w:t xml:space="preserve">is designed to </w:t>
      </w:r>
      <w:r w:rsidRPr="002C23C4" w:rsidR="006919CB">
        <w:t>provide relief from forfeiture for “obvious legal errors at sentencing that are correctable without referring to factual findings in the record or remanding for further findings.”  (</w:t>
      </w:r>
      <w:bookmarkStart w:id="161" w:name="Psych_Cite_142"/>
      <w:r w:rsidR="00590F67">
        <w:rPr>
          <w:i/>
          <w:iCs/>
        </w:rPr>
        <w:t xml:space="preserve">People v. </w:t>
      </w:r>
      <w:r w:rsidRPr="002C23C4" w:rsidR="006919CB">
        <w:rPr>
          <w:i/>
        </w:rPr>
        <w:t>Smith</w:t>
      </w:r>
      <w:r w:rsidRPr="002C23C4" w:rsidR="006919CB">
        <w:t xml:space="preserve">, </w:t>
      </w:r>
      <w:r w:rsidRPr="002C23C4" w:rsidR="006919CB">
        <w:rPr>
          <w:i/>
        </w:rPr>
        <w:t>supra</w:t>
      </w:r>
      <w:r w:rsidRPr="002C23C4" w:rsidR="006919CB">
        <w:t>, 24 Cal.4th at p.</w:t>
      </w:r>
      <w:r w:rsidRPr="002C23C4" w:rsidR="00C84116">
        <w:t> </w:t>
      </w:r>
      <w:r w:rsidRPr="002C23C4" w:rsidR="006919CB">
        <w:t>852</w:t>
      </w:r>
      <w:bookmarkEnd w:id="161"/>
      <w:r w:rsidRPr="002C23C4" w:rsidR="006919CB">
        <w:t>.)  It applies when the trial court has imposed a sentence that “could not lawfully be imposed under any circumstance in the particular case.”  (</w:t>
      </w:r>
      <w:bookmarkStart w:id="162" w:name="Psych_Cite_143"/>
      <w:r w:rsidRPr="002C23C4" w:rsidR="00D7032D">
        <w:rPr>
          <w:i/>
        </w:rPr>
        <w:t xml:space="preserve">People v. </w:t>
      </w:r>
      <w:r w:rsidRPr="002C23C4" w:rsidR="006919CB">
        <w:rPr>
          <w:i/>
        </w:rPr>
        <w:t>Scott</w:t>
      </w:r>
      <w:r w:rsidRPr="002C23C4" w:rsidR="006919CB">
        <w:t xml:space="preserve">, </w:t>
      </w:r>
      <w:r w:rsidRPr="002C23C4" w:rsidR="00CD509C">
        <w:rPr>
          <w:i/>
        </w:rPr>
        <w:t>supra</w:t>
      </w:r>
      <w:r w:rsidRPr="002C23C4" w:rsidR="00CD509C">
        <w:t xml:space="preserve">, 9 Cal.4th </w:t>
      </w:r>
      <w:r w:rsidRPr="002C23C4" w:rsidR="006919CB">
        <w:t>at p.</w:t>
      </w:r>
      <w:r w:rsidRPr="002C23C4" w:rsidR="00C84116">
        <w:t> </w:t>
      </w:r>
      <w:r w:rsidRPr="002C23C4" w:rsidR="006919CB">
        <w:t>354</w:t>
      </w:r>
      <w:bookmarkEnd w:id="162"/>
      <w:r w:rsidRPr="002C23C4" w:rsidR="006919CB">
        <w:rPr>
          <w:i/>
        </w:rPr>
        <w:t>.</w:t>
      </w:r>
      <w:r w:rsidRPr="002C23C4" w:rsidR="006919CB">
        <w:t>)</w:t>
      </w:r>
      <w:r w:rsidRPr="002C23C4" w:rsidR="00670684">
        <w:t xml:space="preserve">  </w:t>
      </w:r>
      <w:r w:rsidRPr="002C23C4" w:rsidR="00F9525A">
        <w:t>Take, for example, a sentence in excess of the statutory maximum</w:t>
      </w:r>
      <w:r w:rsidRPr="002C23C4" w:rsidR="005A3721">
        <w:t xml:space="preserve">.  </w:t>
      </w:r>
      <w:r w:rsidRPr="002C23C4" w:rsidR="001524AD">
        <w:t>A</w:t>
      </w:r>
      <w:r w:rsidRPr="002C23C4" w:rsidR="00695C1E">
        <w:t>n</w:t>
      </w:r>
      <w:r w:rsidRPr="002C23C4" w:rsidR="00F9525A">
        <w:t xml:space="preserve"> appellate court </w:t>
      </w:r>
      <w:r w:rsidRPr="002C23C4" w:rsidR="00695C1E">
        <w:t>would be</w:t>
      </w:r>
      <w:r w:rsidRPr="002C23C4" w:rsidR="003B1EA7">
        <w:t xml:space="preserve"> required to</w:t>
      </w:r>
      <w:r w:rsidRPr="002C23C4" w:rsidR="00F9525A">
        <w:t xml:space="preserve"> correct such an error even if raised for the first time on appeal</w:t>
      </w:r>
      <w:r w:rsidRPr="002C23C4" w:rsidR="001524AD">
        <w:t>, since such a correction would require no fact-specific inquiry and the sentence would be unlawful under any circumstances.</w:t>
      </w:r>
      <w:r w:rsidRPr="002C23C4" w:rsidR="00F9525A">
        <w:t xml:space="preserve">  (</w:t>
      </w:r>
      <w:bookmarkStart w:id="163" w:name="Psych_Cite_144"/>
      <w:r w:rsidRPr="002C23C4" w:rsidR="00F9525A">
        <w:t xml:space="preserve">See </w:t>
      </w:r>
      <w:r w:rsidRPr="002C23C4" w:rsidR="00F9525A">
        <w:rPr>
          <w:i/>
        </w:rPr>
        <w:t>People v.</w:t>
      </w:r>
      <w:bookmarkStart w:id="164" w:name="_Hlk43818711"/>
      <w:r w:rsidRPr="002C23C4" w:rsidR="00F9525A">
        <w:rPr>
          <w:i/>
        </w:rPr>
        <w:t xml:space="preserve"> Rivera</w:t>
      </w:r>
      <w:r w:rsidRPr="002C23C4" w:rsidR="00F9525A">
        <w:t xml:space="preserve"> </w:t>
      </w:r>
      <w:bookmarkEnd w:id="164"/>
      <w:r w:rsidRPr="002C23C4" w:rsidR="00F9525A">
        <w:t>(2019) 7 Cal.5th 306, 349</w:t>
      </w:r>
      <w:bookmarkEnd w:id="163"/>
      <w:r w:rsidRPr="002C23C4" w:rsidR="00F9525A">
        <w:t xml:space="preserve">.)  </w:t>
      </w:r>
    </w:p>
    <w:p w:rsidR="00F624FC" w:rsidRPr="002C23C4" w:rsidP="00A61F5F">
      <w:pPr>
        <w:tabs>
          <w:tab w:val="left" w:pos="1440"/>
        </w:tabs>
        <w:ind w:firstLine="720"/>
      </w:pPr>
      <w:r w:rsidRPr="002C23C4">
        <w:t>To impose unpleaded sentence enhancements is an error of a different variety</w:t>
      </w:r>
      <w:r w:rsidR="00B808F4">
        <w:t xml:space="preserve">, </w:t>
      </w:r>
      <w:r w:rsidR="00BB0AE3">
        <w:t xml:space="preserve">a point </w:t>
      </w:r>
      <w:r w:rsidR="00B808F4">
        <w:t xml:space="preserve">we made </w:t>
      </w:r>
      <w:r w:rsidRPr="002C23C4" w:rsidR="00504D12">
        <w:t xml:space="preserve">clear in </w:t>
      </w:r>
      <w:bookmarkStart w:id="165" w:name="Psych_Cite_149"/>
      <w:bookmarkStart w:id="166" w:name="_Hlk43818745"/>
      <w:r w:rsidRPr="002C23C4" w:rsidR="00E2649B">
        <w:rPr>
          <w:i/>
        </w:rPr>
        <w:t>People v. Houston</w:t>
      </w:r>
      <w:r w:rsidRPr="002C23C4" w:rsidR="00E2649B">
        <w:t xml:space="preserve"> (2012) 54 Cal.4th 1186, 1227</w:t>
      </w:r>
      <w:r w:rsidRPr="002C23C4" w:rsidR="00C10299">
        <w:t xml:space="preserve"> (</w:t>
      </w:r>
      <w:r w:rsidRPr="002C23C4" w:rsidR="00C10299">
        <w:rPr>
          <w:i/>
        </w:rPr>
        <w:t>Houston</w:t>
      </w:r>
      <w:r w:rsidRPr="002C23C4" w:rsidR="00C10299">
        <w:t>)</w:t>
      </w:r>
      <w:bookmarkEnd w:id="165"/>
      <w:r w:rsidRPr="002C23C4" w:rsidR="00C12DDD">
        <w:t xml:space="preserve">.  </w:t>
      </w:r>
      <w:bookmarkEnd w:id="166"/>
      <w:r w:rsidR="00B5173E">
        <w:t>In that case</w:t>
      </w:r>
      <w:r w:rsidRPr="002C23C4" w:rsidR="00C12DDD">
        <w:t xml:space="preserve">, </w:t>
      </w:r>
      <w:r w:rsidRPr="002C23C4" w:rsidR="00B5224A">
        <w:t xml:space="preserve">a capital </w:t>
      </w:r>
      <w:r w:rsidRPr="002C23C4" w:rsidR="006919CB">
        <w:t>defendant contended he was improperly sentenced to life imprisonment for attempted murder, in addition to his death sentence, because the indictment failed to allege that the attempted murders were willful, deliberate, and premeditated.  (</w:t>
      </w:r>
      <w:bookmarkStart w:id="167" w:name="Psych_Cite_146"/>
      <w:r w:rsidRPr="002C23C4" w:rsidR="006919CB">
        <w:rPr>
          <w:i/>
        </w:rPr>
        <w:t xml:space="preserve">Id. </w:t>
      </w:r>
      <w:r w:rsidRPr="002C23C4" w:rsidR="006919CB">
        <w:t>at p.</w:t>
      </w:r>
      <w:r w:rsidRPr="002C23C4" w:rsidR="00C84116">
        <w:t> </w:t>
      </w:r>
      <w:r w:rsidRPr="002C23C4" w:rsidR="006919CB">
        <w:t>1225</w:t>
      </w:r>
      <w:bookmarkEnd w:id="167"/>
      <w:r w:rsidRPr="002C23C4" w:rsidR="006919CB">
        <w:t xml:space="preserve">.)  </w:t>
      </w:r>
      <w:r w:rsidRPr="002C23C4" w:rsidR="00217651">
        <w:t xml:space="preserve">Much as in this case, </w:t>
      </w:r>
      <w:r w:rsidRPr="002C23C4" w:rsidR="00542E54">
        <w:t xml:space="preserve">the defendant claimed </w:t>
      </w:r>
      <w:r w:rsidRPr="002C23C4" w:rsidR="00217651">
        <w:t xml:space="preserve">the </w:t>
      </w:r>
      <w:r w:rsidRPr="002C23C4" w:rsidR="00B424D2">
        <w:t>omission violated an express statutory pleading requiremen</w:t>
      </w:r>
      <w:r w:rsidRPr="002C23C4" w:rsidR="00217651">
        <w:t xml:space="preserve">t; the </w:t>
      </w:r>
      <w:r w:rsidRPr="002C23C4" w:rsidR="006919CB">
        <w:t>relevant statute required that “</w:t>
      </w:r>
      <w:r w:rsidR="00700117">
        <w:t> </w:t>
      </w:r>
      <w:r w:rsidR="005D0673">
        <w:t>‘</w:t>
      </w:r>
      <w:bookmarkStart w:id="168" w:name="QUOTE_BOOKMARK_IS_CONFIRMED_10"/>
      <w:r w:rsidR="005D0673">
        <w:t>the fact that the attempted murder was willful, deliberate, and premeditated [must be] charged in the accusatory pleading . . . .’</w:t>
      </w:r>
      <w:bookmarkEnd w:id="168"/>
      <w:r w:rsidR="00700117">
        <w:t> </w:t>
      </w:r>
      <w:r w:rsidRPr="002C23C4" w:rsidR="006919CB">
        <w:t>”  (</w:t>
      </w:r>
      <w:bookmarkStart w:id="169" w:name="Psych_Cite_147"/>
      <w:r w:rsidRPr="002C23C4" w:rsidR="006919CB">
        <w:rPr>
          <w:i/>
        </w:rPr>
        <w:t>Ibid</w:t>
      </w:r>
      <w:r w:rsidRPr="002C23C4" w:rsidR="00D7032D">
        <w:rPr>
          <w:i/>
        </w:rPr>
        <w:t>.</w:t>
      </w:r>
      <w:r w:rsidRPr="002C23C4" w:rsidR="006919CB">
        <w:t xml:space="preserve">, quoting </w:t>
      </w:r>
      <w:r w:rsidRPr="002C23C4" w:rsidR="00D7032D">
        <w:t xml:space="preserve">Pen. Code, </w:t>
      </w:r>
      <w:r w:rsidRPr="002C23C4" w:rsidR="006919CB">
        <w:t>§</w:t>
      </w:r>
      <w:r w:rsidRPr="002C23C4" w:rsidR="00D7032D">
        <w:t> </w:t>
      </w:r>
      <w:r w:rsidRPr="002C23C4" w:rsidR="006919CB">
        <w:t>664</w:t>
      </w:r>
      <w:bookmarkEnd w:id="169"/>
      <w:r w:rsidRPr="002C23C4" w:rsidR="006919CB">
        <w:t xml:space="preserve">, </w:t>
      </w:r>
      <w:r w:rsidRPr="002C23C4" w:rsidR="00D7032D">
        <w:t xml:space="preserve">former </w:t>
      </w:r>
      <w:r w:rsidRPr="002C23C4" w:rsidR="006919CB">
        <w:t>subd.</w:t>
      </w:r>
      <w:r w:rsidRPr="002C23C4" w:rsidR="00D7032D">
        <w:t> </w:t>
      </w:r>
      <w:r w:rsidRPr="002C23C4" w:rsidR="006919CB">
        <w:t>1, as amended by Stats.</w:t>
      </w:r>
      <w:r w:rsidRPr="002C23C4" w:rsidR="008C6E1C">
        <w:t xml:space="preserve"> </w:t>
      </w:r>
      <w:r w:rsidRPr="002C23C4" w:rsidR="006919CB">
        <w:t>1986, ch. 519, §</w:t>
      </w:r>
      <w:r w:rsidRPr="002C23C4" w:rsidR="00C84116">
        <w:t> </w:t>
      </w:r>
      <w:r w:rsidRPr="002C23C4" w:rsidR="006919CB">
        <w:t>2, p.</w:t>
      </w:r>
      <w:r w:rsidRPr="002C23C4" w:rsidR="00C84116">
        <w:t> </w:t>
      </w:r>
      <w:r w:rsidRPr="002C23C4" w:rsidR="006919CB">
        <w:t xml:space="preserve">1859.)  </w:t>
      </w:r>
      <w:r w:rsidRPr="002C23C4" w:rsidR="008B5130">
        <w:t xml:space="preserve">We </w:t>
      </w:r>
      <w:r w:rsidRPr="002C23C4" w:rsidR="006919CB">
        <w:t xml:space="preserve">held that the defendant </w:t>
      </w:r>
      <w:r w:rsidRPr="002C23C4" w:rsidR="00542E54">
        <w:t xml:space="preserve">forfeited the claim. </w:t>
      </w:r>
      <w:r w:rsidRPr="002C23C4" w:rsidR="00304C52">
        <w:t xml:space="preserve"> </w:t>
      </w:r>
      <w:r w:rsidRPr="002C23C4" w:rsidR="006919CB">
        <w:t>(</w:t>
      </w:r>
      <w:bookmarkStart w:id="170" w:name="Psych_Cite_150"/>
      <w:r w:rsidRPr="002C23C4" w:rsidR="00304C52">
        <w:rPr>
          <w:i/>
        </w:rPr>
        <w:t>Houston</w:t>
      </w:r>
      <w:r w:rsidRPr="002C23C4" w:rsidR="00304C52">
        <w:t>,</w:t>
      </w:r>
      <w:r w:rsidRPr="002C23C4" w:rsidR="006919CB">
        <w:rPr>
          <w:i/>
        </w:rPr>
        <w:t xml:space="preserve"> </w:t>
      </w:r>
      <w:r w:rsidRPr="002C23C4" w:rsidR="006919CB">
        <w:t>at pp.</w:t>
      </w:r>
      <w:r w:rsidRPr="002C23C4" w:rsidR="00C84116">
        <w:t> </w:t>
      </w:r>
      <w:r w:rsidRPr="002C23C4" w:rsidR="006919CB">
        <w:t>1228–1229</w:t>
      </w:r>
      <w:bookmarkEnd w:id="170"/>
      <w:r w:rsidRPr="002C23C4" w:rsidR="006919CB">
        <w:t xml:space="preserve">.)  </w:t>
      </w:r>
      <w:r w:rsidRPr="002C23C4" w:rsidR="00EA07D4">
        <w:t>T</w:t>
      </w:r>
      <w:r w:rsidRPr="002C23C4" w:rsidR="00542E54">
        <w:t xml:space="preserve">he </w:t>
      </w:r>
      <w:r w:rsidRPr="002C23C4" w:rsidR="006919CB">
        <w:t xml:space="preserve">trial court had, during trial, given the defendant notice of </w:t>
      </w:r>
      <w:r w:rsidRPr="002C23C4" w:rsidR="00F600C0">
        <w:t xml:space="preserve">his </w:t>
      </w:r>
      <w:r w:rsidRPr="002C23C4" w:rsidR="006919CB">
        <w:t xml:space="preserve">potential sentence on the attempted murder count and asked the parties </w:t>
      </w:r>
      <w:r w:rsidRPr="002C23C4" w:rsidR="00EB5508">
        <w:t>if they had objections</w:t>
      </w:r>
      <w:r w:rsidRPr="002C23C4" w:rsidR="001B1E57">
        <w:t xml:space="preserve"> to instructions and verdict forms </w:t>
      </w:r>
      <w:r w:rsidRPr="002C23C4" w:rsidR="00EA07D4">
        <w:t>asking</w:t>
      </w:r>
      <w:r w:rsidRPr="002C23C4" w:rsidR="001B1E57">
        <w:t xml:space="preserve"> the jury to determine whether the attempted murders were willful, deliberate, and premeditated</w:t>
      </w:r>
      <w:r w:rsidRPr="002C23C4" w:rsidR="006919CB">
        <w:t>.  (</w:t>
      </w:r>
      <w:bookmarkStart w:id="171" w:name="Psych_Cite_148"/>
      <w:r w:rsidRPr="002C23C4" w:rsidR="006919CB">
        <w:rPr>
          <w:i/>
        </w:rPr>
        <w:t xml:space="preserve">Id. </w:t>
      </w:r>
      <w:r w:rsidRPr="002C23C4" w:rsidR="006919CB">
        <w:t>at p.</w:t>
      </w:r>
      <w:r w:rsidRPr="002C23C4" w:rsidR="00C84116">
        <w:t> </w:t>
      </w:r>
      <w:r w:rsidRPr="002C23C4" w:rsidR="006919CB">
        <w:t>1227</w:t>
      </w:r>
      <w:bookmarkEnd w:id="171"/>
      <w:r w:rsidRPr="002C23C4" w:rsidR="006919CB">
        <w:t xml:space="preserve">.)  </w:t>
      </w:r>
      <w:r w:rsidRPr="002C23C4" w:rsidR="00463F9E">
        <w:t>We distingu</w:t>
      </w:r>
      <w:r w:rsidRPr="002C23C4" w:rsidR="00067F28">
        <w:t xml:space="preserve">ished a follow-on case to </w:t>
      </w:r>
      <w:r w:rsidRPr="002C23C4" w:rsidR="00067F28">
        <w:rPr>
          <w:i/>
        </w:rPr>
        <w:t>Mancebo</w:t>
      </w:r>
      <w:r w:rsidR="00A81491">
        <w:rPr>
          <w:i/>
        </w:rPr>
        <w:t xml:space="preserve"> </w:t>
      </w:r>
      <w:r w:rsidRPr="002C23C4" w:rsidR="00067F28">
        <w:t>—</w:t>
      </w:r>
      <w:r w:rsidR="00A81491">
        <w:t xml:space="preserve"> </w:t>
      </w:r>
      <w:r w:rsidRPr="002C23C4" w:rsidR="00067F28">
        <w:t xml:space="preserve">and, by </w:t>
      </w:r>
      <w:r w:rsidRPr="002C23C4" w:rsidR="00F80136">
        <w:t>implication</w:t>
      </w:r>
      <w:r w:rsidRPr="002C23C4" w:rsidR="00067F28">
        <w:t xml:space="preserve">, </w:t>
      </w:r>
      <w:r w:rsidRPr="002C23C4" w:rsidR="00067F28">
        <w:rPr>
          <w:i/>
        </w:rPr>
        <w:t xml:space="preserve">Mancebo </w:t>
      </w:r>
      <w:r w:rsidRPr="002C23C4" w:rsidR="00067F28">
        <w:t>itself</w:t>
      </w:r>
      <w:r w:rsidR="00A81491">
        <w:t xml:space="preserve"> </w:t>
      </w:r>
      <w:r w:rsidRPr="002C23C4" w:rsidR="00067F28">
        <w:t>—</w:t>
      </w:r>
      <w:r w:rsidR="00A81491">
        <w:t xml:space="preserve"> </w:t>
      </w:r>
      <w:r w:rsidRPr="002C23C4" w:rsidR="00067F28">
        <w:t xml:space="preserve">on the ground that </w:t>
      </w:r>
      <w:r w:rsidRPr="002C23C4" w:rsidR="009020F9">
        <w:t xml:space="preserve">the court </w:t>
      </w:r>
      <w:r w:rsidRPr="002C23C4" w:rsidR="00F600C0">
        <w:t xml:space="preserve">in </w:t>
      </w:r>
      <w:r w:rsidRPr="002C23C4" w:rsidR="00F600C0">
        <w:rPr>
          <w:i/>
        </w:rPr>
        <w:t>Houston</w:t>
      </w:r>
      <w:r w:rsidRPr="002C23C4" w:rsidR="00586C3D">
        <w:t xml:space="preserve"> “actually notified defendant of the possible sentence he faced before his case was submitted to the jury, and defendant had sufficient opportunity to object to the indictment and request additional time to formulate a defense.”  (</w:t>
      </w:r>
      <w:bookmarkStart w:id="172" w:name="Psych_Cite_151"/>
      <w:r w:rsidRPr="008C398A" w:rsidR="008C398A">
        <w:rPr>
          <w:i/>
          <w:iCs/>
        </w:rPr>
        <w:t>Houston</w:t>
      </w:r>
      <w:r w:rsidR="008C398A">
        <w:t xml:space="preserve">, </w:t>
      </w:r>
      <w:r w:rsidRPr="002C23C4" w:rsidR="00582D72">
        <w:t xml:space="preserve">at </w:t>
      </w:r>
      <w:r w:rsidRPr="002C23C4" w:rsidR="00471F4C">
        <w:t>p</w:t>
      </w:r>
      <w:r w:rsidRPr="002C23C4" w:rsidR="00582D72">
        <w:t>.</w:t>
      </w:r>
      <w:r w:rsidRPr="002C23C4" w:rsidR="00C84116">
        <w:t> </w:t>
      </w:r>
      <w:r w:rsidRPr="002C23C4" w:rsidR="00582D72">
        <w:t>1229</w:t>
      </w:r>
      <w:bookmarkEnd w:id="172"/>
      <w:r w:rsidRPr="002C23C4" w:rsidR="00582D72">
        <w:t>.)</w:t>
      </w:r>
      <w:r w:rsidRPr="002C23C4">
        <w:t xml:space="preserve">  </w:t>
      </w:r>
      <w:r w:rsidRPr="002C23C4" w:rsidR="009020F9">
        <w:t>By affirming on forfeiture grounds</w:t>
      </w:r>
      <w:r w:rsidRPr="002C23C4" w:rsidR="006C4E8A">
        <w:t xml:space="preserve">, </w:t>
      </w:r>
      <w:r w:rsidRPr="002C23C4" w:rsidR="006919CB">
        <w:rPr>
          <w:i/>
        </w:rPr>
        <w:t xml:space="preserve">Houston </w:t>
      </w:r>
      <w:r w:rsidRPr="002C23C4" w:rsidR="00115EB0">
        <w:t>effect</w:t>
      </w:r>
      <w:r w:rsidRPr="002C23C4" w:rsidR="00031E61">
        <w:t xml:space="preserve">ively </w:t>
      </w:r>
      <w:r w:rsidRPr="002C23C4" w:rsidR="008C4EDD">
        <w:t xml:space="preserve">rejected the notion </w:t>
      </w:r>
      <w:r w:rsidRPr="002C23C4" w:rsidR="00031E61">
        <w:t xml:space="preserve">that a </w:t>
      </w:r>
      <w:r w:rsidRPr="002C23C4" w:rsidR="00EA07D4">
        <w:t xml:space="preserve">pleading defect </w:t>
      </w:r>
      <w:r w:rsidRPr="002C23C4" w:rsidR="00031E61">
        <w:t xml:space="preserve">necessarily results in </w:t>
      </w:r>
      <w:r w:rsidRPr="002C23C4" w:rsidR="00157554">
        <w:t>an unauthorized sentence.</w:t>
      </w:r>
    </w:p>
    <w:p w:rsidR="006919CB" w:rsidRPr="002C23C4" w:rsidP="00A61F5F">
      <w:pPr>
        <w:tabs>
          <w:tab w:val="left" w:pos="1440"/>
        </w:tabs>
        <w:ind w:firstLine="720"/>
      </w:pPr>
      <w:r w:rsidRPr="002C23C4">
        <w:t>Even so</w:t>
      </w:r>
      <w:r w:rsidRPr="002C23C4">
        <w:t xml:space="preserve">, </w:t>
      </w:r>
      <w:r w:rsidRPr="002C23C4" w:rsidR="00280AD8">
        <w:t xml:space="preserve">as </w:t>
      </w:r>
      <w:r w:rsidRPr="002C23C4" w:rsidR="00280AD8">
        <w:rPr>
          <w:i/>
        </w:rPr>
        <w:t>Mancebo</w:t>
      </w:r>
      <w:r w:rsidRPr="002C23C4" w:rsidR="00280AD8">
        <w:t xml:space="preserve"> </w:t>
      </w:r>
      <w:r w:rsidR="00B808F4">
        <w:t xml:space="preserve">itself </w:t>
      </w:r>
      <w:r w:rsidRPr="002C23C4" w:rsidR="00280AD8">
        <w:t xml:space="preserve">illustrates, </w:t>
      </w:r>
      <w:r w:rsidRPr="002C23C4">
        <w:t xml:space="preserve">we </w:t>
      </w:r>
      <w:r w:rsidRPr="002C23C4" w:rsidR="00280AD8">
        <w:t xml:space="preserve">have the </w:t>
      </w:r>
      <w:r w:rsidRPr="002C23C4" w:rsidR="00925638">
        <w:t xml:space="preserve">power </w:t>
      </w:r>
      <w:r w:rsidRPr="002C23C4" w:rsidR="00280AD8">
        <w:t xml:space="preserve">to </w:t>
      </w:r>
      <w:r w:rsidRPr="002C23C4">
        <w:t xml:space="preserve">reach the merits of </w:t>
      </w:r>
      <w:r w:rsidR="00B22C3F">
        <w:t>Anderson</w:t>
      </w:r>
      <w:r w:rsidRPr="002C23C4">
        <w:t>’s claim here</w:t>
      </w:r>
      <w:r w:rsidRPr="002C23C4" w:rsidR="00470968">
        <w:t xml:space="preserve">, notwithstanding </w:t>
      </w:r>
      <w:r w:rsidRPr="002C23C4" w:rsidR="00EA07D4">
        <w:t xml:space="preserve">his </w:t>
      </w:r>
      <w:r w:rsidRPr="002C23C4" w:rsidR="00470968">
        <w:t>failure to object below</w:t>
      </w:r>
      <w:r w:rsidRPr="002C23C4">
        <w:t xml:space="preserve">.  </w:t>
      </w:r>
      <w:r w:rsidRPr="002C23C4" w:rsidR="00280AD8">
        <w:t>It is well settled that a</w:t>
      </w:r>
      <w:r w:rsidRPr="002C23C4">
        <w:t xml:space="preserve">n appellate court </w:t>
      </w:r>
      <w:r w:rsidRPr="002C23C4" w:rsidR="00C7492D">
        <w:t xml:space="preserve">may </w:t>
      </w:r>
      <w:r w:rsidRPr="002C23C4">
        <w:t>decide an otherwise forfeited claim where the trial court has made an error affecting “</w:t>
      </w:r>
      <w:bookmarkStart w:id="173" w:name="QUOTE_BOOKMARK_IS_CONFIRMED_11"/>
      <w:r w:rsidR="005D0673">
        <w:t>an important issue of constitutional law or a substantial right.</w:t>
      </w:r>
      <w:bookmarkEnd w:id="173"/>
      <w:r w:rsidRPr="002C23C4">
        <w:t>”  (</w:t>
      </w:r>
      <w:bookmarkStart w:id="174" w:name="Psych_Cite_153"/>
      <w:r w:rsidRPr="002C23C4">
        <w:rPr>
          <w:i/>
        </w:rPr>
        <w:t>Sheena K.</w:t>
      </w:r>
      <w:r w:rsidRPr="002C23C4">
        <w:t xml:space="preserve">, </w:t>
      </w:r>
      <w:r w:rsidRPr="002C23C4">
        <w:rPr>
          <w:i/>
        </w:rPr>
        <w:t>supra</w:t>
      </w:r>
      <w:r w:rsidRPr="002C23C4">
        <w:t>, 40 Cal.4th at p.</w:t>
      </w:r>
      <w:r w:rsidRPr="002C23C4" w:rsidR="00C84116">
        <w:t> </w:t>
      </w:r>
      <w:bookmarkStart w:id="175" w:name="Psych_Cite_152"/>
      <w:bookmarkEnd w:id="174"/>
      <w:r w:rsidRPr="002C23C4">
        <w:t>887, fn.</w:t>
      </w:r>
      <w:r w:rsidR="00325A52">
        <w:t> </w:t>
      </w:r>
      <w:r w:rsidRPr="002C23C4">
        <w:t>7</w:t>
      </w:r>
      <w:bookmarkEnd w:id="175"/>
      <w:r w:rsidRPr="002C23C4">
        <w:t>.)</w:t>
      </w:r>
      <w:r w:rsidRPr="002C23C4" w:rsidR="00182B50">
        <w:rPr>
          <w:i/>
        </w:rPr>
        <w:t xml:space="preserve">  </w:t>
      </w:r>
      <w:r w:rsidRPr="002C23C4" w:rsidR="00182B50">
        <w:t xml:space="preserve">In </w:t>
      </w:r>
      <w:r w:rsidRPr="002C23C4" w:rsidR="00182B50">
        <w:rPr>
          <w:i/>
        </w:rPr>
        <w:t>Mancebo</w:t>
      </w:r>
      <w:r w:rsidRPr="002C23C4" w:rsidR="00182B50">
        <w:t>, the trial court made such an error</w:t>
      </w:r>
      <w:r w:rsidRPr="002C23C4" w:rsidR="008D7A93">
        <w:t xml:space="preserve">, and it was therefore within our discretion to </w:t>
      </w:r>
      <w:r w:rsidRPr="002C23C4" w:rsidR="0046035C">
        <w:t>correct it notwithstanding the absence of a timely objection</w:t>
      </w:r>
      <w:r w:rsidRPr="002C23C4" w:rsidR="00182B50">
        <w:t>.</w:t>
      </w:r>
      <w:r w:rsidRPr="002C23C4" w:rsidR="00B10DF7">
        <w:t xml:space="preserve">  </w:t>
      </w:r>
      <w:r w:rsidR="007C0FFF">
        <w:t>The</w:t>
      </w:r>
      <w:r w:rsidRPr="002C23C4">
        <w:t xml:space="preserve"> trial court </w:t>
      </w:r>
      <w:r w:rsidRPr="002C23C4" w:rsidR="00B10DF7">
        <w:t xml:space="preserve">in this case </w:t>
      </w:r>
      <w:r w:rsidRPr="002C23C4">
        <w:t xml:space="preserve">made </w:t>
      </w:r>
      <w:r w:rsidRPr="002C23C4" w:rsidR="00B20050">
        <w:t xml:space="preserve">much the same sort of </w:t>
      </w:r>
      <w:r w:rsidRPr="002C23C4">
        <w:t>error</w:t>
      </w:r>
      <w:r w:rsidRPr="002C23C4" w:rsidR="00F160F3">
        <w:t xml:space="preserve">, and </w:t>
      </w:r>
      <w:r w:rsidRPr="002C23C4" w:rsidR="00BE4A63">
        <w:t xml:space="preserve">we address it </w:t>
      </w:r>
      <w:r w:rsidRPr="002C23C4" w:rsidR="00F160F3">
        <w:t>for much the same reasons</w:t>
      </w:r>
      <w:r w:rsidRPr="002C23C4" w:rsidR="00943D93">
        <w:t>.</w:t>
      </w:r>
    </w:p>
    <w:p w:rsidR="009C3812" w:rsidP="009C3812">
      <w:pPr>
        <w:tabs>
          <w:tab w:val="left" w:pos="1440"/>
        </w:tabs>
        <w:ind w:firstLine="720"/>
      </w:pPr>
      <w:r w:rsidRPr="002C23C4">
        <w:t xml:space="preserve">First of all, </w:t>
      </w:r>
      <w:r w:rsidRPr="002C23C4" w:rsidR="006919CB">
        <w:t xml:space="preserve">the error here is </w:t>
      </w:r>
      <w:r w:rsidRPr="002C23C4" w:rsidR="003D1455">
        <w:t>clear and obvi</w:t>
      </w:r>
      <w:r w:rsidRPr="002C23C4" w:rsidR="00BE45B0">
        <w:t>ous</w:t>
      </w:r>
      <w:r w:rsidRPr="002C23C4" w:rsidR="006919CB">
        <w:t>.  The trial court imposed five 25-</w:t>
      </w:r>
      <w:r w:rsidR="00175300">
        <w:t>year-</w:t>
      </w:r>
      <w:r w:rsidRPr="002C23C4" w:rsidR="006919CB">
        <w:t>to-life enhancements even though they were never pleade</w:t>
      </w:r>
      <w:r w:rsidRPr="002C23C4" w:rsidR="00586501">
        <w:t>d</w:t>
      </w:r>
      <w:r w:rsidRPr="002C23C4" w:rsidR="00BD68FD">
        <w:t xml:space="preserve">, in contravention of the express </w:t>
      </w:r>
      <w:r w:rsidR="00B808F4">
        <w:t xml:space="preserve">pleading </w:t>
      </w:r>
      <w:r w:rsidRPr="002C23C4" w:rsidR="00BD68FD">
        <w:t>requirements of the relevant statu</w:t>
      </w:r>
      <w:r w:rsidRPr="002C23C4" w:rsidR="006027FA">
        <w:t>te</w:t>
      </w:r>
      <w:r w:rsidRPr="002C23C4" w:rsidR="00287926">
        <w:t>s</w:t>
      </w:r>
      <w:r w:rsidRPr="002C23C4" w:rsidR="006027FA">
        <w:t>.</w:t>
      </w:r>
      <w:r w:rsidRPr="002C23C4" w:rsidR="001A441F">
        <w:t xml:space="preserve">  </w:t>
      </w:r>
      <w:r w:rsidRPr="002C23C4" w:rsidR="006919CB">
        <w:t xml:space="preserve">Second, the error affected substantial rights by depriving </w:t>
      </w:r>
      <w:r w:rsidR="00135D5E">
        <w:t>Anderson</w:t>
      </w:r>
      <w:r w:rsidRPr="002C23C4" w:rsidR="006919CB">
        <w:t xml:space="preserve"> of timely notice of the potential sentence he faced.</w:t>
      </w:r>
      <w:r w:rsidRPr="002C23C4" w:rsidR="00943D93">
        <w:t xml:space="preserve">  In this case</w:t>
      </w:r>
      <w:r w:rsidR="00A81491">
        <w:t xml:space="preserve"> </w:t>
      </w:r>
      <w:r w:rsidRPr="002C23C4" w:rsidR="00943D93">
        <w:t>—</w:t>
      </w:r>
      <w:r w:rsidR="00A81491">
        <w:t xml:space="preserve"> </w:t>
      </w:r>
      <w:r w:rsidRPr="002C23C4" w:rsidR="00943D93">
        <w:t xml:space="preserve">like </w:t>
      </w:r>
      <w:r w:rsidRPr="002C23C4" w:rsidR="00943D93">
        <w:rPr>
          <w:i/>
        </w:rPr>
        <w:t>Mancebo</w:t>
      </w:r>
      <w:r w:rsidRPr="002C23C4" w:rsidR="00943D93">
        <w:t xml:space="preserve"> and unlike </w:t>
      </w:r>
      <w:r w:rsidRPr="002C23C4" w:rsidR="00943D93">
        <w:rPr>
          <w:i/>
        </w:rPr>
        <w:t>Houston</w:t>
      </w:r>
      <w:r w:rsidR="00A81491">
        <w:rPr>
          <w:i/>
        </w:rPr>
        <w:t xml:space="preserve"> </w:t>
      </w:r>
      <w:r w:rsidRPr="002C23C4" w:rsidR="00943D93">
        <w:t>—</w:t>
      </w:r>
      <w:r w:rsidR="00A81491">
        <w:t xml:space="preserve"> </w:t>
      </w:r>
      <w:r w:rsidRPr="002C23C4" w:rsidR="00943D93">
        <w:t>there was no midtrial discussion highlighting the prosecution’s intent to seek the more serious vicarious firearm enhancements instead of the less serious personal-use enhancements charged in the information.  Rather, as discussed in more detail below (</w:t>
      </w:r>
      <w:r w:rsidRPr="002C23C4" w:rsidR="00943D93">
        <w:rPr>
          <w:i/>
        </w:rPr>
        <w:t>post</w:t>
      </w:r>
      <w:r w:rsidRPr="002C23C4" w:rsidR="00943D93">
        <w:t xml:space="preserve">, </w:t>
      </w:r>
      <w:r w:rsidRPr="002C23C4" w:rsidR="00C84116">
        <w:t>p</w:t>
      </w:r>
      <w:r w:rsidR="00325A52">
        <w:t>t.</w:t>
      </w:r>
      <w:r w:rsidR="0023373B">
        <w:t> </w:t>
      </w:r>
      <w:r w:rsidRPr="002C23C4" w:rsidR="00943D93">
        <w:t xml:space="preserve">C), the prosecution’s intentions did not become clear until the </w:t>
      </w:r>
      <w:r w:rsidRPr="002C23C4" w:rsidR="00CC00B9">
        <w:t xml:space="preserve">day </w:t>
      </w:r>
      <w:r w:rsidRPr="002C23C4" w:rsidR="00943D93">
        <w:t xml:space="preserve">of the sentencing hearing.  </w:t>
      </w:r>
      <w:r w:rsidRPr="002C23C4" w:rsidR="00F0234A">
        <w:t xml:space="preserve">And </w:t>
      </w:r>
      <w:r w:rsidRPr="002C23C4" w:rsidR="0041615C">
        <w:t xml:space="preserve">finally, </w:t>
      </w:r>
      <w:r w:rsidRPr="002C23C4" w:rsidR="00F0234A">
        <w:t>the error was</w:t>
      </w:r>
      <w:r w:rsidRPr="002C23C4" w:rsidR="0041615C">
        <w:t xml:space="preserve"> </w:t>
      </w:r>
      <w:r w:rsidRPr="002C23C4" w:rsidR="00F0234A">
        <w:t xml:space="preserve">one that </w:t>
      </w:r>
      <w:r w:rsidRPr="002C23C4" w:rsidR="00943D93">
        <w:t xml:space="preserve">goes to </w:t>
      </w:r>
      <w:r w:rsidRPr="002C23C4" w:rsidR="00F0234A">
        <w:t xml:space="preserve">the </w:t>
      </w:r>
      <w:r w:rsidRPr="002C23C4" w:rsidR="00943D93">
        <w:t xml:space="preserve">overall </w:t>
      </w:r>
      <w:r w:rsidRPr="002C23C4" w:rsidR="00F0234A">
        <w:t>fairness of the proceeding.</w:t>
      </w:r>
      <w:r w:rsidRPr="002C23C4" w:rsidR="00943D93">
        <w:t xml:space="preserve">  </w:t>
      </w:r>
      <w:r w:rsidR="007C0FFF">
        <w:t>We thus</w:t>
      </w:r>
      <w:r w:rsidRPr="002C23C4" w:rsidR="00943D93">
        <w:t xml:space="preserve"> </w:t>
      </w:r>
      <w:r w:rsidRPr="002C23C4" w:rsidR="00A20D5E">
        <w:t xml:space="preserve">conclude this is a case where we should reach the merits of </w:t>
      </w:r>
      <w:r w:rsidR="00B22C3F">
        <w:t>Anderson</w:t>
      </w:r>
      <w:r w:rsidRPr="002C23C4" w:rsidR="00A20D5E">
        <w:t>’s claim.</w:t>
      </w:r>
    </w:p>
    <w:p w:rsidR="005D28D1" w:rsidRPr="002C23C4" w:rsidP="00DB35AC">
      <w:pPr>
        <w:tabs>
          <w:tab w:val="left" w:pos="1440"/>
        </w:tabs>
        <w:jc w:val="center"/>
        <w:rPr>
          <w:b/>
        </w:rPr>
      </w:pPr>
      <w:r w:rsidRPr="002C23C4">
        <w:rPr>
          <w:b/>
        </w:rPr>
        <w:t>C.</w:t>
      </w:r>
    </w:p>
    <w:p w:rsidR="0046487F" w:rsidRPr="002C23C4" w:rsidP="00A61F5F">
      <w:pPr>
        <w:tabs>
          <w:tab w:val="left" w:pos="1440"/>
        </w:tabs>
        <w:ind w:firstLine="720"/>
      </w:pPr>
      <w:r w:rsidRPr="002C23C4">
        <w:t>The Attorney General</w:t>
      </w:r>
      <w:r w:rsidRPr="002C23C4" w:rsidR="00943185">
        <w:t>’s final argument is that</w:t>
      </w:r>
      <w:r w:rsidRPr="002C23C4">
        <w:t xml:space="preserve"> the pleading error here was harmless</w:t>
      </w:r>
      <w:r w:rsidRPr="002C23C4" w:rsidR="008E3B5D">
        <w:t xml:space="preserve"> </w:t>
      </w:r>
      <w:r w:rsidRPr="002C23C4">
        <w:t xml:space="preserve">because </w:t>
      </w:r>
      <w:r w:rsidR="00B22C3F">
        <w:t xml:space="preserve">Anderson </w:t>
      </w:r>
      <w:r w:rsidRPr="002C23C4">
        <w:t xml:space="preserve">received adequate notice before the trial court imposed the sentence enhancements </w:t>
      </w:r>
      <w:r w:rsidRPr="002C23C4" w:rsidR="00B4033A">
        <w:t xml:space="preserve">and could </w:t>
      </w:r>
      <w:r w:rsidRPr="002C23C4" w:rsidR="00883602">
        <w:t xml:space="preserve">thus </w:t>
      </w:r>
      <w:r w:rsidRPr="002C23C4" w:rsidR="00B4033A">
        <w:t>prepare his defense strategy accordingly</w:t>
      </w:r>
      <w:r w:rsidRPr="002C23C4">
        <w:t>.</w:t>
      </w:r>
      <w:r w:rsidRPr="002C23C4" w:rsidR="0041615C">
        <w:t xml:space="preserve">  </w:t>
      </w:r>
      <w:r w:rsidR="00DD1C99">
        <w:t xml:space="preserve">(See Pen. Code, </w:t>
      </w:r>
      <w:r w:rsidRPr="002C23C4" w:rsidR="00DD1C99">
        <w:t>§ </w:t>
      </w:r>
      <w:r w:rsidR="00DD1C99">
        <w:t xml:space="preserve">960.)  </w:t>
      </w:r>
      <w:r w:rsidR="00B808F4">
        <w:t xml:space="preserve">We disagree.  </w:t>
      </w:r>
      <w:r w:rsidRPr="002C23C4" w:rsidR="00BD342A">
        <w:t>T</w:t>
      </w:r>
      <w:r w:rsidRPr="002C23C4" w:rsidR="00437B84">
        <w:t xml:space="preserve">he record does not support a conclusion that </w:t>
      </w:r>
      <w:r w:rsidR="00B22C3F">
        <w:t xml:space="preserve">Anderson </w:t>
      </w:r>
      <w:r w:rsidRPr="002C23C4" w:rsidR="00950C8D">
        <w:t xml:space="preserve">had adequate notice of the prosecution’s intention to seek the additional </w:t>
      </w:r>
      <w:bookmarkStart w:id="176" w:name="Psych_Cite_154"/>
      <w:r w:rsidRPr="002C23C4" w:rsidR="009831BD">
        <w:t>section 12022.53(e)</w:t>
      </w:r>
      <w:bookmarkEnd w:id="176"/>
      <w:r w:rsidRPr="002C23C4" w:rsidR="009831BD">
        <w:t xml:space="preserve"> enhancements as to the robbery counts</w:t>
      </w:r>
      <w:r w:rsidRPr="002C23C4" w:rsidR="00153A08">
        <w:t>, notwithstanding the prosecution’s failure to plead those enhancements in the information</w:t>
      </w:r>
      <w:r w:rsidRPr="002C23C4" w:rsidR="009831BD">
        <w:t xml:space="preserve">.  </w:t>
      </w:r>
    </w:p>
    <w:p w:rsidR="00BD342A" w:rsidRPr="002C23C4" w:rsidP="00A61F5F">
      <w:pPr>
        <w:tabs>
          <w:tab w:val="left" w:pos="1440"/>
        </w:tabs>
        <w:ind w:firstLine="720"/>
      </w:pPr>
      <w:bookmarkStart w:id="177" w:name="_Hlk32576963"/>
      <w:r w:rsidRPr="002C23C4">
        <w:t xml:space="preserve">In the middle of trial, the prosecution filed proposed jury instructions that listed the </w:t>
      </w:r>
      <w:r w:rsidR="009A3B51">
        <w:t xml:space="preserve">Judicial Council of </w:t>
      </w:r>
      <w:r w:rsidRPr="002C23C4">
        <w:t>California Criminal Jury Instruction numbers for those instructions it planned to request.  Th</w:t>
      </w:r>
      <w:r w:rsidR="00294685">
        <w:t>e</w:t>
      </w:r>
      <w:r w:rsidRPr="002C23C4">
        <w:t xml:space="preserve"> list included </w:t>
      </w:r>
      <w:r w:rsidR="009A3B51">
        <w:t>CALCRIM</w:t>
      </w:r>
      <w:r w:rsidRPr="002C23C4" w:rsidR="009A3B51">
        <w:t xml:space="preserve"> </w:t>
      </w:r>
      <w:r w:rsidR="009A3B51">
        <w:t>No.</w:t>
      </w:r>
      <w:r w:rsidR="0023373B">
        <w:t> </w:t>
      </w:r>
      <w:r w:rsidRPr="002C23C4">
        <w:t>1402</w:t>
      </w:r>
      <w:r w:rsidR="00164B21">
        <w:t xml:space="preserve"> </w:t>
      </w:r>
      <w:r w:rsidRPr="002C23C4">
        <w:t>—</w:t>
      </w:r>
      <w:r w:rsidR="0023373B">
        <w:t xml:space="preserve"> </w:t>
      </w:r>
      <w:r w:rsidRPr="002C23C4">
        <w:t xml:space="preserve">the citation for the vicarious </w:t>
      </w:r>
      <w:r w:rsidR="00294685">
        <w:t xml:space="preserve">firearm discharge </w:t>
      </w:r>
      <w:r w:rsidRPr="002C23C4">
        <w:t xml:space="preserve">instruction.  But </w:t>
      </w:r>
      <w:r w:rsidR="00294685">
        <w:t xml:space="preserve">the proposed instructions </w:t>
      </w:r>
      <w:r w:rsidRPr="002C23C4">
        <w:t xml:space="preserve">did not specify whether the prosecution was asking the court to give that instruction as to the murder count or as to the robbery counts.  </w:t>
      </w:r>
      <w:r w:rsidR="00294685">
        <w:t>Based on the filed information, t</w:t>
      </w:r>
      <w:r w:rsidRPr="002C23C4">
        <w:t xml:space="preserve">he defense </w:t>
      </w:r>
      <w:r w:rsidR="00294685">
        <w:t xml:space="preserve">would </w:t>
      </w:r>
      <w:r w:rsidRPr="002C23C4">
        <w:t xml:space="preserve">reasonably </w:t>
      </w:r>
      <w:r w:rsidR="00294685">
        <w:t xml:space="preserve">have </w:t>
      </w:r>
      <w:r w:rsidRPr="002C23C4">
        <w:t>assumed</w:t>
      </w:r>
      <w:r w:rsidR="00294685">
        <w:t xml:space="preserve"> </w:t>
      </w:r>
      <w:r w:rsidRPr="002C23C4">
        <w:t>that the prosecution planned to request the 25-</w:t>
      </w:r>
      <w:r w:rsidR="00175300">
        <w:t>year-</w:t>
      </w:r>
      <w:r w:rsidRPr="002C23C4">
        <w:t xml:space="preserve">to-life enhancement instruction </w:t>
      </w:r>
      <w:r w:rsidR="00B5173E">
        <w:t xml:space="preserve">only </w:t>
      </w:r>
      <w:r w:rsidRPr="002C23C4">
        <w:t xml:space="preserve">as to the murder count.  </w:t>
      </w:r>
    </w:p>
    <w:p w:rsidR="00BD342A" w:rsidRPr="002C23C4" w:rsidP="00A61F5F">
      <w:pPr>
        <w:tabs>
          <w:tab w:val="left" w:pos="1440"/>
        </w:tabs>
        <w:ind w:firstLine="720"/>
      </w:pPr>
      <w:r w:rsidRPr="002C23C4">
        <w:t>Then</w:t>
      </w:r>
      <w:r w:rsidR="00294685">
        <w:t>,</w:t>
      </w:r>
      <w:r w:rsidRPr="002C23C4">
        <w:t xml:space="preserve"> the day before the parties rested, the prosecution filed a written, amended information, which did not include any vicarious firearm enhancements as to the robbery counts.  Again, it appeared the prosecution planned to exercise its discretion not to pursue the 25</w:t>
      </w:r>
      <w:r w:rsidR="00175300">
        <w:t>-year</w:t>
      </w:r>
      <w:r w:rsidRPr="002C23C4">
        <w:t xml:space="preserve">-to-life enhancements as to the five robbery counts.  </w:t>
      </w:r>
    </w:p>
    <w:p w:rsidR="00BD342A" w:rsidRPr="002C23C4" w:rsidP="00A61F5F">
      <w:pPr>
        <w:tabs>
          <w:tab w:val="left" w:pos="1440"/>
        </w:tabs>
        <w:ind w:firstLine="720"/>
      </w:pPr>
      <w:r w:rsidRPr="002C23C4">
        <w:t xml:space="preserve">After the parties rested, they reviewed the requested jury instructions with the court.  It is, again, unclear from the record whether both parties knew at that time that the court intended to give the vicarious </w:t>
      </w:r>
      <w:r w:rsidR="00294685">
        <w:t xml:space="preserve">firearm discharge </w:t>
      </w:r>
      <w:r w:rsidRPr="002C23C4">
        <w:t xml:space="preserve">instruction as to the five robbery counts or only as to the murder count.  </w:t>
      </w:r>
      <w:r w:rsidRPr="002C23C4" w:rsidR="00D33742">
        <w:t>In the end</w:t>
      </w:r>
      <w:r w:rsidRPr="002C23C4">
        <w:t>, the instructions and verdict forms given to the jury include</w:t>
      </w:r>
      <w:r w:rsidR="0055558A">
        <w:t>d</w:t>
      </w:r>
      <w:r w:rsidRPr="002C23C4">
        <w:t xml:space="preserve"> the unpleaded enhancements as to the robbery counts.  </w:t>
      </w:r>
      <w:r w:rsidRPr="002C23C4" w:rsidR="00627FF3">
        <w:t>But e</w:t>
      </w:r>
      <w:r w:rsidRPr="002C23C4">
        <w:t xml:space="preserve">ven after the jury convicted, the prosecution did not ask the court to impose the vicarious firearm </w:t>
      </w:r>
      <w:r w:rsidR="00294685">
        <w:t xml:space="preserve">discharge </w:t>
      </w:r>
      <w:r w:rsidRPr="002C23C4">
        <w:t xml:space="preserve">enhancements </w:t>
      </w:r>
      <w:r w:rsidR="00267221">
        <w:t>in connection with</w:t>
      </w:r>
      <w:r w:rsidRPr="002C23C4">
        <w:t xml:space="preserve"> the robbery counts.  I</w:t>
      </w:r>
      <w:r w:rsidRPr="002C23C4" w:rsidR="00C81901">
        <w:t xml:space="preserve">n its first </w:t>
      </w:r>
      <w:r w:rsidRPr="002C23C4" w:rsidR="00365C17">
        <w:t xml:space="preserve">two (of three) </w:t>
      </w:r>
      <w:r w:rsidRPr="002C23C4" w:rsidR="00C81901">
        <w:t>sentencing memorand</w:t>
      </w:r>
      <w:r w:rsidRPr="002C23C4" w:rsidR="00365C17">
        <w:t>a</w:t>
      </w:r>
      <w:r w:rsidRPr="002C23C4" w:rsidR="00C81901">
        <w:t xml:space="preserve">, </w:t>
      </w:r>
      <w:r w:rsidRPr="002C23C4" w:rsidR="00CC00B9">
        <w:t>the prosecution instead</w:t>
      </w:r>
      <w:r w:rsidRPr="002C23C4">
        <w:t xml:space="preserve"> asked that the court impose lesser firearm use enhancements that had been pleaded.  The prosecution’s intention to ask for the </w:t>
      </w:r>
      <w:r w:rsidR="00267221">
        <w:t xml:space="preserve">five </w:t>
      </w:r>
      <w:r w:rsidRPr="002C23C4">
        <w:t>unpleaded, 25-</w:t>
      </w:r>
      <w:r w:rsidR="008C398A">
        <w:t>year-</w:t>
      </w:r>
      <w:r w:rsidRPr="002C23C4">
        <w:t xml:space="preserve">to-life enhancements only became </w:t>
      </w:r>
      <w:r w:rsidRPr="002C23C4" w:rsidR="00365C17">
        <w:t xml:space="preserve">apparent on the day of </w:t>
      </w:r>
      <w:r w:rsidRPr="002C23C4">
        <w:t xml:space="preserve">the sentencing hearing.  </w:t>
      </w:r>
    </w:p>
    <w:p w:rsidR="00BD342A" w:rsidRPr="002C23C4" w:rsidP="00A61F5F">
      <w:pPr>
        <w:tabs>
          <w:tab w:val="left" w:pos="1440"/>
        </w:tabs>
        <w:ind w:firstLine="720"/>
      </w:pPr>
      <w:r w:rsidRPr="002C23C4">
        <w:t xml:space="preserve">As </w:t>
      </w:r>
      <w:bookmarkStart w:id="178" w:name="Psych_Cite_155"/>
      <w:r w:rsidRPr="002C23C4">
        <w:rPr>
          <w:i/>
        </w:rPr>
        <w:t>Mancebo</w:t>
      </w:r>
      <w:bookmarkEnd w:id="178"/>
      <w:r w:rsidRPr="002C23C4">
        <w:t xml:space="preserve"> makes clear, the purpose of a statutory pleading requirement is not simply to ensure the defendant has notice of the potential sentence on the day of sentencing.  It is meant to give </w:t>
      </w:r>
      <w:r w:rsidR="00363AE6">
        <w:t xml:space="preserve">sufficient notice to permit </w:t>
      </w:r>
      <w:r w:rsidR="00644DDF">
        <w:t xml:space="preserve">the defense </w:t>
      </w:r>
      <w:r w:rsidRPr="002C23C4">
        <w:t>to make informed decisions about the case, including whether to plead guilty, how to allocate investigatory resources, and what strategy to deploy at trial.  (</w:t>
      </w:r>
      <w:bookmarkStart w:id="179" w:name="Psych_Cite_156"/>
      <w:r w:rsidRPr="002C23C4">
        <w:rPr>
          <w:i/>
        </w:rPr>
        <w:t>Mancebo</w:t>
      </w:r>
      <w:r w:rsidRPr="002C23C4">
        <w:t xml:space="preserve">, </w:t>
      </w:r>
      <w:r w:rsidRPr="002C23C4">
        <w:rPr>
          <w:i/>
        </w:rPr>
        <w:t>supra</w:t>
      </w:r>
      <w:r w:rsidRPr="002C23C4">
        <w:t>, 2</w:t>
      </w:r>
      <w:r w:rsidRPr="002C23C4" w:rsidR="00304C52">
        <w:t>7</w:t>
      </w:r>
      <w:r w:rsidRPr="002C23C4">
        <w:t xml:space="preserve"> Cal.4th at p.</w:t>
      </w:r>
      <w:r w:rsidRPr="002C23C4" w:rsidR="00C84116">
        <w:t> </w:t>
      </w:r>
      <w:r w:rsidRPr="002C23C4">
        <w:t>752</w:t>
      </w:r>
      <w:bookmarkEnd w:id="179"/>
      <w:r w:rsidRPr="002C23C4">
        <w:t xml:space="preserve">.)  Here </w:t>
      </w:r>
      <w:r w:rsidR="00B22C3F">
        <w:t xml:space="preserve">Anderson </w:t>
      </w:r>
      <w:r w:rsidRPr="002C23C4">
        <w:t xml:space="preserve">learned how many years he </w:t>
      </w:r>
      <w:r w:rsidRPr="002C23C4">
        <w:rPr>
          <w:i/>
        </w:rPr>
        <w:t>might</w:t>
      </w:r>
      <w:r w:rsidRPr="002C23C4">
        <w:t xml:space="preserve"> expect to serve only just before the jury left to deliberate on his guilt</w:t>
      </w:r>
      <w:r w:rsidR="00363AE6">
        <w:t>, and t</w:t>
      </w:r>
      <w:r w:rsidRPr="002C23C4">
        <w:t xml:space="preserve">he prosecution did not clarify its actual intentions </w:t>
      </w:r>
      <w:r w:rsidR="00294685">
        <w:t>regarding the enhancements</w:t>
      </w:r>
      <w:r w:rsidRPr="002C23C4">
        <w:t xml:space="preserve"> until midway through the sentencing </w:t>
      </w:r>
      <w:r w:rsidR="00294685">
        <w:t>hearing</w:t>
      </w:r>
      <w:r w:rsidRPr="002C23C4">
        <w:t xml:space="preserve">.  </w:t>
      </w:r>
      <w:r w:rsidRPr="002C23C4" w:rsidR="007B4CCE">
        <w:t xml:space="preserve">Indeed, </w:t>
      </w:r>
      <w:r w:rsidRPr="002C23C4" w:rsidR="00D33742">
        <w:t xml:space="preserve">on the day of sentencing, </w:t>
      </w:r>
      <w:r w:rsidRPr="002C23C4" w:rsidR="007B4CCE">
        <w:t xml:space="preserve">defense counsel remarked that, up until that afternoon, she and her client “were looking at it as if 50 to life on the murder charge and the enhancement for the murder charge was the more significant charge because we weren’t looking at the 12022.53 as it related to the other counts.”  </w:t>
      </w:r>
      <w:r w:rsidRPr="002C23C4">
        <w:t>At that point, the damage was done</w:t>
      </w:r>
      <w:r w:rsidR="00A81491">
        <w:t xml:space="preserve"> </w:t>
      </w:r>
      <w:r w:rsidRPr="002C23C4">
        <w:t>—</w:t>
      </w:r>
      <w:r w:rsidR="00A81491">
        <w:t xml:space="preserve"> </w:t>
      </w:r>
      <w:r w:rsidR="002622E3">
        <w:t xml:space="preserve">it was by then too late to consider the prosecution’s </w:t>
      </w:r>
      <w:r w:rsidRPr="002C23C4">
        <w:t xml:space="preserve">pretrial plea deal or </w:t>
      </w:r>
      <w:r w:rsidR="00294685">
        <w:t>reshape his trial strategy</w:t>
      </w:r>
      <w:r w:rsidRPr="002C23C4">
        <w:t xml:space="preserve">.  This </w:t>
      </w:r>
      <w:r w:rsidR="00294685">
        <w:t xml:space="preserve">would be </w:t>
      </w:r>
      <w:r w:rsidRPr="002C23C4">
        <w:t>a different case if the prosecut</w:t>
      </w:r>
      <w:r w:rsidR="00B22C3F">
        <w:t>ion</w:t>
      </w:r>
      <w:r w:rsidRPr="002C23C4">
        <w:t xml:space="preserve"> had told </w:t>
      </w:r>
      <w:r w:rsidR="00B22C3F">
        <w:t>Anderson</w:t>
      </w:r>
      <w:r w:rsidRPr="002C23C4">
        <w:t xml:space="preserve"> from the outset that it planned to seek the </w:t>
      </w:r>
      <w:bookmarkStart w:id="180" w:name="Psych_Cite_158"/>
      <w:r w:rsidR="00267221">
        <w:t xml:space="preserve">section </w:t>
      </w:r>
      <w:r w:rsidRPr="002C23C4">
        <w:t>12022.53(e)</w:t>
      </w:r>
      <w:bookmarkEnd w:id="180"/>
      <w:r w:rsidRPr="002C23C4">
        <w:t xml:space="preserve"> enhancements as to the robbery counts but for some reason failed to include them in the information. </w:t>
      </w:r>
      <w:r w:rsidR="00325A52">
        <w:t xml:space="preserve"> </w:t>
      </w:r>
      <w:r w:rsidRPr="002C23C4">
        <w:t>(</w:t>
      </w:r>
      <w:bookmarkStart w:id="181" w:name="Psych_Cite_157"/>
      <w:r w:rsidRPr="002C23C4">
        <w:t xml:space="preserve">See </w:t>
      </w:r>
      <w:r w:rsidRPr="002C23C4">
        <w:rPr>
          <w:i/>
        </w:rPr>
        <w:t>Houston</w:t>
      </w:r>
      <w:r w:rsidRPr="002C23C4">
        <w:t xml:space="preserve">, </w:t>
      </w:r>
      <w:r w:rsidRPr="002C23C4">
        <w:rPr>
          <w:i/>
        </w:rPr>
        <w:t>supra</w:t>
      </w:r>
      <w:r w:rsidRPr="002C23C4" w:rsidR="00C10299">
        <w:t>, 54 Cal.4th at pp. 1227–1228</w:t>
      </w:r>
      <w:bookmarkEnd w:id="181"/>
      <w:r w:rsidRPr="002C23C4">
        <w:t>.)  But no such discussion occurred here.  Here the notice given was too late</w:t>
      </w:r>
      <w:r w:rsidRPr="002C23C4" w:rsidR="00627FF3">
        <w:t xml:space="preserve"> to cure the defective pleading</w:t>
      </w:r>
      <w:r w:rsidRPr="002C23C4">
        <w:t xml:space="preserve">.  </w:t>
      </w:r>
      <w:r w:rsidR="00B22C3F">
        <w:t xml:space="preserve">Anderson </w:t>
      </w:r>
      <w:r w:rsidRPr="002C23C4">
        <w:t>received inadequate notice of the potential sentence he faced</w:t>
      </w:r>
      <w:r w:rsidRPr="002C23C4" w:rsidR="00D33742">
        <w:t>, and th</w:t>
      </w:r>
      <w:r w:rsidR="00363AE6">
        <w:t>e</w:t>
      </w:r>
      <w:r w:rsidRPr="002C23C4" w:rsidR="00D33742">
        <w:t xml:space="preserve"> deficiency was not harmless.</w:t>
      </w:r>
    </w:p>
    <w:p w:rsidR="00C902A0" w:rsidRPr="002C23C4">
      <w:pPr>
        <w:pStyle w:val="Heading1"/>
      </w:pPr>
      <w:bookmarkEnd w:id="177"/>
      <w:r w:rsidRPr="002C23C4">
        <w:t>IV.</w:t>
      </w:r>
    </w:p>
    <w:p w:rsidR="00B551F5" w:rsidRPr="002C23C4" w:rsidP="00A61F5F">
      <w:r w:rsidRPr="002C23C4">
        <w:tab/>
      </w:r>
      <w:r w:rsidR="007C0FFF">
        <w:t>We</w:t>
      </w:r>
      <w:r w:rsidRPr="002C23C4">
        <w:t xml:space="preserve"> reverse </w:t>
      </w:r>
      <w:r w:rsidR="00363AE6">
        <w:t xml:space="preserve">the judgment of the Court of Appeal </w:t>
      </w:r>
      <w:r w:rsidRPr="002C23C4">
        <w:t xml:space="preserve">and remand </w:t>
      </w:r>
      <w:r w:rsidR="003453E0">
        <w:t xml:space="preserve">with instructions to </w:t>
      </w:r>
      <w:r w:rsidR="005F7C26">
        <w:t>remand</w:t>
      </w:r>
      <w:r w:rsidR="003453E0">
        <w:t xml:space="preserve"> the case to the trial court </w:t>
      </w:r>
      <w:r w:rsidRPr="002C23C4">
        <w:t>for resentencing.</w:t>
      </w:r>
    </w:p>
    <w:p w:rsidR="00B551F5" w:rsidP="00A61F5F">
      <w:pPr>
        <w:rPr>
          <w:b/>
        </w:rPr>
      </w:pPr>
      <w:r w:rsidRPr="002C23C4">
        <w:tab/>
      </w:r>
      <w:r w:rsidRPr="002C23C4">
        <w:tab/>
      </w:r>
      <w:r w:rsidRPr="002C23C4">
        <w:tab/>
      </w:r>
      <w:r w:rsidRPr="002C23C4">
        <w:tab/>
      </w:r>
      <w:r w:rsidRPr="002C23C4">
        <w:tab/>
      </w:r>
      <w:r w:rsidRPr="002C23C4">
        <w:tab/>
      </w:r>
      <w:r w:rsidRPr="002C23C4">
        <w:tab/>
      </w:r>
      <w:r w:rsidR="00325A52">
        <w:t xml:space="preserve">               </w:t>
      </w:r>
      <w:r w:rsidRPr="002C23C4">
        <w:rPr>
          <w:b/>
        </w:rPr>
        <w:t>KRUGER, J.</w:t>
      </w:r>
    </w:p>
    <w:p w:rsidR="00DB35AC" w:rsidP="00A61F5F">
      <w:pPr>
        <w:rPr>
          <w:b/>
        </w:rPr>
      </w:pPr>
    </w:p>
    <w:p w:rsidR="00325A52" w:rsidP="00A61F5F">
      <w:pPr>
        <w:rPr>
          <w:b/>
        </w:rPr>
      </w:pPr>
      <w:r>
        <w:rPr>
          <w:b/>
        </w:rPr>
        <w:t>We Concur:</w:t>
      </w:r>
    </w:p>
    <w:p w:rsidR="0073093C" w:rsidP="0073093C">
      <w:pPr>
        <w:spacing w:after="0" w:line="240" w:lineRule="auto"/>
        <w:rPr>
          <w:b/>
        </w:rPr>
      </w:pPr>
      <w:r>
        <w:rPr>
          <w:b/>
        </w:rPr>
        <w:t>CANTIL-SAKAUYE, C. J.</w:t>
      </w:r>
    </w:p>
    <w:p w:rsidR="0073093C" w:rsidP="0073093C">
      <w:pPr>
        <w:spacing w:after="0" w:line="240" w:lineRule="auto"/>
        <w:rPr>
          <w:b/>
        </w:rPr>
      </w:pPr>
      <w:r>
        <w:rPr>
          <w:b/>
        </w:rPr>
        <w:t>CHIN, J.</w:t>
      </w:r>
    </w:p>
    <w:p w:rsidR="0073093C" w:rsidP="0073093C">
      <w:pPr>
        <w:spacing w:after="0" w:line="240" w:lineRule="auto"/>
        <w:rPr>
          <w:b/>
        </w:rPr>
      </w:pPr>
      <w:r>
        <w:rPr>
          <w:b/>
        </w:rPr>
        <w:t>CORRIGAN, J.</w:t>
      </w:r>
    </w:p>
    <w:p w:rsidR="0073093C" w:rsidP="0073093C">
      <w:pPr>
        <w:spacing w:after="0" w:line="240" w:lineRule="auto"/>
        <w:rPr>
          <w:b/>
        </w:rPr>
      </w:pPr>
      <w:r>
        <w:rPr>
          <w:b/>
        </w:rPr>
        <w:t>LIU, J.</w:t>
      </w:r>
    </w:p>
    <w:p w:rsidR="0073093C" w:rsidP="0073093C">
      <w:pPr>
        <w:spacing w:after="0" w:line="240" w:lineRule="auto"/>
        <w:rPr>
          <w:b/>
        </w:rPr>
      </w:pPr>
      <w:r>
        <w:rPr>
          <w:b/>
        </w:rPr>
        <w:t>CUÉLLAR, J.</w:t>
      </w:r>
    </w:p>
    <w:p w:rsidR="00325A52" w:rsidP="00CB68E1">
      <w:pPr>
        <w:spacing w:after="0" w:line="240" w:lineRule="auto"/>
        <w:rPr>
          <w:b/>
        </w:rPr>
      </w:pPr>
      <w:r>
        <w:rPr>
          <w:b/>
        </w:rPr>
        <w:t>GRO</w:t>
      </w:r>
      <w:r w:rsidR="0023373B">
        <w:rPr>
          <w:b/>
        </w:rPr>
        <w:t>B</w:t>
      </w:r>
      <w:r>
        <w:rPr>
          <w:b/>
        </w:rPr>
        <w:t>AN, J.</w:t>
      </w:r>
    </w:p>
    <w:p w:rsidR="00AE19FE" w:rsidP="00CB68E1">
      <w:pPr>
        <w:spacing w:after="0" w:line="240" w:lineRule="auto"/>
        <w:sectPr w:rsidSect="00446ACE">
          <w:footerReference w:type="first" r:id="rId11"/>
          <w:pgSz w:w="12240" w:h="15840"/>
          <w:pgMar w:top="1800" w:right="2160" w:bottom="1440" w:left="2160" w:header="720" w:footer="720" w:gutter="0"/>
          <w:pgNumType w:start="1"/>
          <w:cols w:space="720"/>
          <w:titlePg/>
          <w:docGrid w:linePitch="367"/>
        </w:sectPr>
      </w:pPr>
    </w:p>
    <w:p w:rsidR="00682011" w:rsidRPr="00682011" w:rsidP="00682011">
      <w:pPr>
        <w:spacing w:after="0" w:line="240" w:lineRule="auto"/>
        <w:jc w:val="left"/>
        <w:rPr>
          <w:rFonts w:ascii="Times New Roman" w:hAnsi="Times New Roman"/>
          <w:i/>
          <w:sz w:val="20"/>
        </w:rPr>
      </w:pPr>
      <w:r w:rsidRPr="00682011">
        <w:rPr>
          <w:rFonts w:ascii="Times New Roman" w:hAnsi="Times New Roman"/>
          <w:i/>
          <w:sz w:val="20"/>
        </w:rPr>
        <w:t>See next page for addresses and telephone numbers for counsel who argued in Supreme Court.</w:t>
      </w:r>
    </w:p>
    <w:p w:rsidR="00682011" w:rsidRPr="00682011" w:rsidP="00682011">
      <w:pPr>
        <w:spacing w:after="0" w:line="240" w:lineRule="auto"/>
        <w:jc w:val="left"/>
        <w:rPr>
          <w:rFonts w:ascii="Times New Roman" w:hAnsi="Times New Roman"/>
          <w:i/>
          <w:sz w:val="20"/>
        </w:rPr>
      </w:pPr>
    </w:p>
    <w:p w:rsidR="00682011" w:rsidRPr="00682011" w:rsidP="00682011">
      <w:pPr>
        <w:spacing w:after="0" w:line="240" w:lineRule="auto"/>
        <w:jc w:val="left"/>
        <w:rPr>
          <w:rFonts w:ascii="Times New Roman" w:hAnsi="Times New Roman"/>
          <w:b/>
          <w:sz w:val="20"/>
        </w:rPr>
      </w:pPr>
      <w:r w:rsidRPr="00682011">
        <w:rPr>
          <w:rFonts w:ascii="Times New Roman" w:hAnsi="Times New Roman"/>
          <w:b/>
          <w:sz w:val="20"/>
        </w:rPr>
        <w:t xml:space="preserve">Name of Opinion </w:t>
      </w:r>
      <w:r w:rsidRPr="00682011">
        <w:rPr>
          <w:rFonts w:ascii="Times New Roman" w:hAnsi="Times New Roman"/>
          <w:bCs/>
          <w:sz w:val="20"/>
        </w:rPr>
        <w:t>People v. Anderson</w:t>
      </w:r>
      <w:r w:rsidRPr="00682011">
        <w:rPr>
          <w:rFonts w:ascii="Times New Roman" w:hAnsi="Times New Roman"/>
          <w:b/>
          <w:sz w:val="20"/>
        </w:rPr>
        <w:t xml:space="preserve"> </w:t>
      </w:r>
      <w:r w:rsidRPr="00682011">
        <w:rPr>
          <w:rFonts w:ascii="Times New Roman" w:hAnsi="Times New Roman"/>
          <w:bCs/>
          <w:sz w:val="20"/>
        </w:rPr>
        <w:t xml:space="preserve"> </w:t>
      </w:r>
      <w:r w:rsidRPr="00682011">
        <w:rPr>
          <w:rFonts w:ascii="Times New Roman" w:hAnsi="Times New Roman"/>
          <w:sz w:val="20"/>
        </w:rPr>
        <w:t xml:space="preserve"> </w:t>
      </w:r>
      <w:r w:rsidRPr="00682011">
        <w:rPr>
          <w:rFonts w:ascii="Times New Roman" w:hAnsi="Times New Roman"/>
          <w:b/>
          <w:sz w:val="20"/>
        </w:rPr>
        <w:t>__________________________________________________________________________________</w:t>
      </w:r>
    </w:p>
    <w:p w:rsidR="00682011" w:rsidRPr="00682011" w:rsidP="00682011">
      <w:pPr>
        <w:spacing w:after="0" w:line="240" w:lineRule="auto"/>
        <w:jc w:val="left"/>
        <w:rPr>
          <w:rFonts w:ascii="Times New Roman" w:hAnsi="Times New Roman"/>
          <w:b/>
          <w:sz w:val="20"/>
        </w:rPr>
      </w:pPr>
    </w:p>
    <w:p w:rsidR="00682011" w:rsidRPr="00682011" w:rsidP="00682011">
      <w:pPr>
        <w:spacing w:after="0" w:line="240" w:lineRule="auto"/>
        <w:jc w:val="left"/>
        <w:rPr>
          <w:rFonts w:ascii="Times New Roman" w:hAnsi="Times New Roman"/>
          <w:bCs/>
          <w:sz w:val="20"/>
        </w:rPr>
      </w:pPr>
      <w:r w:rsidRPr="00682011">
        <w:rPr>
          <w:rFonts w:ascii="Times New Roman" w:hAnsi="Times New Roman"/>
          <w:b/>
          <w:sz w:val="20"/>
        </w:rPr>
        <w:t xml:space="preserve">Unpublished Opinion </w:t>
      </w:r>
      <w:r w:rsidRPr="00682011">
        <w:rPr>
          <w:rFonts w:ascii="Times New Roman" w:hAnsi="Times New Roman"/>
          <w:sz w:val="20"/>
        </w:rPr>
        <w:t>XXX NP opn. filed 11/19/18 – 1st Dist., Div. 3</w:t>
      </w:r>
    </w:p>
    <w:p w:rsidR="00682011" w:rsidRPr="00682011" w:rsidP="00682011">
      <w:pPr>
        <w:spacing w:after="0" w:line="240" w:lineRule="auto"/>
        <w:jc w:val="left"/>
        <w:rPr>
          <w:rFonts w:ascii="Times New Roman" w:hAnsi="Times New Roman"/>
          <w:sz w:val="20"/>
        </w:rPr>
      </w:pPr>
      <w:r w:rsidRPr="00682011">
        <w:rPr>
          <w:rFonts w:ascii="Times New Roman" w:hAnsi="Times New Roman"/>
          <w:b/>
          <w:sz w:val="20"/>
        </w:rPr>
        <w:t>Original Appeal</w:t>
      </w:r>
    </w:p>
    <w:p w:rsidR="00682011" w:rsidRPr="00682011" w:rsidP="00682011">
      <w:pPr>
        <w:spacing w:after="0" w:line="240" w:lineRule="auto"/>
        <w:jc w:val="left"/>
        <w:rPr>
          <w:rFonts w:ascii="Times New Roman" w:hAnsi="Times New Roman"/>
          <w:b/>
          <w:sz w:val="20"/>
        </w:rPr>
      </w:pPr>
      <w:r w:rsidRPr="00682011">
        <w:rPr>
          <w:rFonts w:ascii="Times New Roman" w:hAnsi="Times New Roman"/>
          <w:b/>
          <w:sz w:val="20"/>
        </w:rPr>
        <w:t xml:space="preserve">Original Proceeding </w:t>
      </w:r>
    </w:p>
    <w:p w:rsidR="00682011" w:rsidRPr="00682011" w:rsidP="00682011">
      <w:pPr>
        <w:spacing w:after="0" w:line="240" w:lineRule="auto"/>
        <w:jc w:val="left"/>
        <w:rPr>
          <w:rFonts w:ascii="Times New Roman" w:hAnsi="Times New Roman"/>
          <w:bCs/>
          <w:sz w:val="20"/>
        </w:rPr>
      </w:pPr>
      <w:r w:rsidRPr="00682011">
        <w:rPr>
          <w:rFonts w:ascii="Times New Roman" w:hAnsi="Times New Roman"/>
          <w:b/>
          <w:sz w:val="20"/>
        </w:rPr>
        <w:t xml:space="preserve">Review Granted </w:t>
      </w:r>
      <w:r w:rsidRPr="00682011">
        <w:rPr>
          <w:rFonts w:ascii="Times New Roman" w:hAnsi="Times New Roman"/>
          <w:bCs/>
          <w:sz w:val="20"/>
        </w:rPr>
        <w:t xml:space="preserve">   </w:t>
      </w:r>
    </w:p>
    <w:p w:rsidR="00682011" w:rsidRPr="00682011" w:rsidP="00682011">
      <w:pPr>
        <w:spacing w:after="0" w:line="240" w:lineRule="auto"/>
        <w:jc w:val="left"/>
        <w:rPr>
          <w:rFonts w:ascii="Times New Roman" w:hAnsi="Times New Roman"/>
          <w:b/>
          <w:sz w:val="20"/>
        </w:rPr>
      </w:pPr>
      <w:r w:rsidRPr="00682011">
        <w:rPr>
          <w:rFonts w:ascii="Times New Roman" w:hAnsi="Times New Roman"/>
          <w:b/>
          <w:sz w:val="20"/>
        </w:rPr>
        <w:t>Rehearing Granted</w:t>
      </w:r>
    </w:p>
    <w:p w:rsidR="00682011" w:rsidRPr="00682011" w:rsidP="00682011">
      <w:pPr>
        <w:spacing w:after="0" w:line="240" w:lineRule="auto"/>
        <w:jc w:val="left"/>
        <w:rPr>
          <w:rFonts w:ascii="Times New Roman" w:hAnsi="Times New Roman"/>
          <w:b/>
          <w:sz w:val="20"/>
        </w:rPr>
      </w:pPr>
    </w:p>
    <w:p w:rsidR="00682011" w:rsidRPr="00682011" w:rsidP="00682011">
      <w:pPr>
        <w:spacing w:after="0" w:line="240" w:lineRule="auto"/>
        <w:jc w:val="left"/>
        <w:rPr>
          <w:rFonts w:ascii="Times New Roman" w:hAnsi="Times New Roman"/>
          <w:b/>
          <w:sz w:val="20"/>
        </w:rPr>
      </w:pPr>
      <w:r w:rsidRPr="00682011">
        <w:rPr>
          <w:rFonts w:ascii="Times New Roman" w:hAnsi="Times New Roman"/>
          <w:b/>
          <w:sz w:val="20"/>
        </w:rPr>
        <w:t>__________________________________________________________________________________</w:t>
      </w:r>
    </w:p>
    <w:p w:rsidR="00682011" w:rsidRPr="00682011" w:rsidP="00682011">
      <w:pPr>
        <w:spacing w:after="0" w:line="240" w:lineRule="auto"/>
        <w:jc w:val="left"/>
        <w:rPr>
          <w:rFonts w:ascii="Times New Roman" w:hAnsi="Times New Roman"/>
          <w:b/>
          <w:sz w:val="20"/>
        </w:rPr>
      </w:pPr>
    </w:p>
    <w:p w:rsidR="00682011" w:rsidRPr="00682011" w:rsidP="00682011">
      <w:pPr>
        <w:spacing w:after="0" w:line="240" w:lineRule="auto"/>
        <w:jc w:val="left"/>
        <w:rPr>
          <w:rFonts w:ascii="Times New Roman" w:hAnsi="Times New Roman"/>
          <w:bCs/>
          <w:sz w:val="20"/>
        </w:rPr>
      </w:pPr>
      <w:r w:rsidRPr="00682011">
        <w:rPr>
          <w:rFonts w:ascii="Times New Roman" w:hAnsi="Times New Roman"/>
          <w:b/>
          <w:sz w:val="20"/>
        </w:rPr>
        <w:t>Opinion No.</w:t>
      </w:r>
      <w:r w:rsidRPr="00682011">
        <w:rPr>
          <w:rFonts w:ascii="Times New Roman" w:hAnsi="Times New Roman"/>
          <w:sz w:val="20"/>
        </w:rPr>
        <w:t xml:space="preserve"> S253227 </w:t>
      </w:r>
    </w:p>
    <w:p w:rsidR="00682011" w:rsidRPr="00682011" w:rsidP="00682011">
      <w:pPr>
        <w:spacing w:after="0" w:line="240" w:lineRule="auto"/>
        <w:jc w:val="left"/>
        <w:rPr>
          <w:rFonts w:ascii="Times New Roman" w:hAnsi="Times New Roman"/>
          <w:bCs/>
          <w:sz w:val="20"/>
        </w:rPr>
      </w:pPr>
      <w:r w:rsidRPr="00682011">
        <w:rPr>
          <w:rFonts w:ascii="Times New Roman" w:hAnsi="Times New Roman"/>
          <w:b/>
          <w:sz w:val="20"/>
        </w:rPr>
        <w:t xml:space="preserve">Date Filed:  </w:t>
      </w:r>
      <w:r w:rsidRPr="00682011">
        <w:rPr>
          <w:rFonts w:ascii="Times New Roman" w:hAnsi="Times New Roman"/>
          <w:bCs/>
          <w:sz w:val="20"/>
        </w:rPr>
        <w:t>July 23, 2020</w:t>
      </w:r>
    </w:p>
    <w:p w:rsidR="00682011" w:rsidRPr="00682011" w:rsidP="00682011">
      <w:pPr>
        <w:spacing w:after="0" w:line="240" w:lineRule="auto"/>
        <w:jc w:val="left"/>
        <w:rPr>
          <w:rFonts w:ascii="Times New Roman" w:hAnsi="Times New Roman"/>
          <w:b/>
          <w:sz w:val="20"/>
        </w:rPr>
      </w:pPr>
      <w:r w:rsidRPr="00682011">
        <w:rPr>
          <w:rFonts w:ascii="Times New Roman" w:hAnsi="Times New Roman"/>
          <w:b/>
          <w:sz w:val="20"/>
        </w:rPr>
        <w:t>__________________________________________________________________________________</w:t>
      </w:r>
    </w:p>
    <w:p w:rsidR="00682011" w:rsidRPr="00682011" w:rsidP="00682011">
      <w:pPr>
        <w:spacing w:after="0" w:line="240" w:lineRule="auto"/>
        <w:jc w:val="left"/>
        <w:rPr>
          <w:rFonts w:ascii="Times New Roman" w:hAnsi="Times New Roman"/>
          <w:b/>
          <w:sz w:val="20"/>
        </w:rPr>
      </w:pPr>
    </w:p>
    <w:p w:rsidR="00682011" w:rsidRPr="00682011" w:rsidP="00682011">
      <w:pPr>
        <w:spacing w:after="0" w:line="240" w:lineRule="auto"/>
        <w:jc w:val="left"/>
        <w:rPr>
          <w:rFonts w:ascii="Times New Roman" w:hAnsi="Times New Roman"/>
          <w:bCs/>
          <w:sz w:val="20"/>
        </w:rPr>
      </w:pPr>
      <w:r w:rsidRPr="00682011">
        <w:rPr>
          <w:rFonts w:ascii="Times New Roman" w:hAnsi="Times New Roman"/>
          <w:b/>
          <w:sz w:val="20"/>
        </w:rPr>
        <w:t xml:space="preserve">Court: </w:t>
      </w:r>
      <w:r w:rsidRPr="00682011">
        <w:rPr>
          <w:rFonts w:ascii="Times New Roman" w:hAnsi="Times New Roman"/>
          <w:bCs/>
          <w:sz w:val="20"/>
        </w:rPr>
        <w:t xml:space="preserve"> Superior  </w:t>
      </w:r>
      <w:r w:rsidRPr="00682011">
        <w:rPr>
          <w:rFonts w:ascii="Times New Roman" w:hAnsi="Times New Roman"/>
          <w:b/>
          <w:sz w:val="20"/>
        </w:rPr>
        <w:t xml:space="preserve">   </w:t>
      </w:r>
    </w:p>
    <w:p w:rsidR="00682011" w:rsidRPr="00682011" w:rsidP="00682011">
      <w:pPr>
        <w:spacing w:after="0" w:line="240" w:lineRule="auto"/>
        <w:jc w:val="left"/>
        <w:rPr>
          <w:rFonts w:ascii="Times New Roman" w:hAnsi="Times New Roman"/>
          <w:bCs/>
          <w:sz w:val="20"/>
        </w:rPr>
      </w:pPr>
      <w:r w:rsidRPr="00682011">
        <w:rPr>
          <w:rFonts w:ascii="Times New Roman" w:hAnsi="Times New Roman"/>
          <w:b/>
          <w:sz w:val="20"/>
        </w:rPr>
        <w:t xml:space="preserve">County:  </w:t>
      </w:r>
      <w:r w:rsidRPr="00682011">
        <w:rPr>
          <w:rFonts w:ascii="Times New Roman" w:hAnsi="Times New Roman"/>
          <w:bCs/>
          <w:sz w:val="20"/>
        </w:rPr>
        <w:t xml:space="preserve">San Francisco  </w:t>
      </w:r>
      <w:r w:rsidRPr="00682011">
        <w:rPr>
          <w:rFonts w:ascii="Times New Roman" w:hAnsi="Times New Roman"/>
          <w:b/>
          <w:sz w:val="20"/>
        </w:rPr>
        <w:t xml:space="preserve">  </w:t>
      </w:r>
      <w:r w:rsidRPr="00682011">
        <w:rPr>
          <w:rFonts w:ascii="Times New Roman" w:hAnsi="Times New Roman"/>
          <w:bCs/>
          <w:sz w:val="20"/>
        </w:rPr>
        <w:t xml:space="preserve"> </w:t>
      </w:r>
    </w:p>
    <w:p w:rsidR="00682011" w:rsidRPr="00682011" w:rsidP="00682011">
      <w:pPr>
        <w:spacing w:after="0" w:line="240" w:lineRule="auto"/>
        <w:ind w:left="720" w:hanging="720"/>
        <w:jc w:val="left"/>
        <w:rPr>
          <w:rFonts w:ascii="Times New Roman" w:hAnsi="Times New Roman"/>
          <w:bCs/>
          <w:sz w:val="20"/>
        </w:rPr>
      </w:pPr>
      <w:r w:rsidRPr="00682011">
        <w:rPr>
          <w:rFonts w:ascii="Times New Roman" w:hAnsi="Times New Roman"/>
          <w:b/>
          <w:sz w:val="20"/>
        </w:rPr>
        <w:t xml:space="preserve">Judge:  </w:t>
      </w:r>
      <w:r w:rsidRPr="00682011">
        <w:rPr>
          <w:rFonts w:ascii="Times New Roman" w:hAnsi="Times New Roman"/>
          <w:bCs/>
          <w:sz w:val="20"/>
        </w:rPr>
        <w:t xml:space="preserve">Anne-Christine Massullo  </w:t>
      </w:r>
      <w:r w:rsidRPr="00682011">
        <w:rPr>
          <w:rFonts w:ascii="Times New Roman" w:hAnsi="Times New Roman"/>
          <w:b/>
          <w:sz w:val="20"/>
        </w:rPr>
        <w:t xml:space="preserve">  </w:t>
      </w:r>
      <w:r w:rsidRPr="00682011">
        <w:rPr>
          <w:rFonts w:ascii="Times New Roman" w:hAnsi="Times New Roman"/>
          <w:bCs/>
          <w:sz w:val="20"/>
        </w:rPr>
        <w:t xml:space="preserve"> </w:t>
      </w:r>
    </w:p>
    <w:p w:rsidR="00682011" w:rsidRPr="00682011" w:rsidP="00682011">
      <w:pPr>
        <w:spacing w:after="0" w:line="240" w:lineRule="auto"/>
        <w:jc w:val="left"/>
        <w:rPr>
          <w:rFonts w:ascii="Times New Roman" w:hAnsi="Times New Roman"/>
          <w:b/>
          <w:sz w:val="20"/>
        </w:rPr>
      </w:pPr>
    </w:p>
    <w:p w:rsidR="00682011" w:rsidRPr="00682011" w:rsidP="00682011">
      <w:pPr>
        <w:spacing w:after="0" w:line="240" w:lineRule="auto"/>
        <w:jc w:val="left"/>
        <w:rPr>
          <w:rFonts w:ascii="Times New Roman" w:hAnsi="Times New Roman"/>
          <w:b/>
          <w:sz w:val="20"/>
        </w:rPr>
      </w:pPr>
      <w:r w:rsidRPr="00682011">
        <w:rPr>
          <w:rFonts w:ascii="Times New Roman" w:hAnsi="Times New Roman"/>
          <w:b/>
          <w:sz w:val="20"/>
        </w:rPr>
        <w:t>__________________________________________________________________________________</w:t>
      </w:r>
    </w:p>
    <w:p w:rsidR="00682011" w:rsidRPr="00682011" w:rsidP="00682011">
      <w:pPr>
        <w:spacing w:after="0" w:line="240" w:lineRule="auto"/>
        <w:jc w:val="left"/>
        <w:rPr>
          <w:rFonts w:ascii="Times New Roman" w:hAnsi="Times New Roman"/>
          <w:b/>
          <w:sz w:val="20"/>
        </w:rPr>
      </w:pPr>
    </w:p>
    <w:p w:rsidR="00682011" w:rsidRPr="00682011" w:rsidP="00682011">
      <w:pPr>
        <w:spacing w:after="0" w:line="240" w:lineRule="auto"/>
        <w:jc w:val="left"/>
        <w:rPr>
          <w:rFonts w:ascii="Times New Roman" w:hAnsi="Times New Roman"/>
          <w:b/>
          <w:sz w:val="20"/>
        </w:rPr>
      </w:pPr>
      <w:r w:rsidRPr="00682011">
        <w:rPr>
          <w:rFonts w:ascii="Times New Roman" w:hAnsi="Times New Roman"/>
          <w:b/>
          <w:sz w:val="20"/>
        </w:rPr>
        <w:t>Counsel:</w:t>
      </w:r>
    </w:p>
    <w:p w:rsidR="00682011" w:rsidRPr="00682011" w:rsidP="00682011">
      <w:pPr>
        <w:spacing w:after="0" w:line="240" w:lineRule="auto"/>
        <w:jc w:val="left"/>
        <w:rPr>
          <w:rFonts w:ascii="Times New Roman" w:hAnsi="Times New Roman"/>
          <w:b/>
          <w:sz w:val="20"/>
        </w:rPr>
      </w:pPr>
    </w:p>
    <w:p w:rsidR="00682011" w:rsidRPr="00682011" w:rsidP="00682011">
      <w:pPr>
        <w:spacing w:after="0" w:line="240" w:lineRule="auto"/>
        <w:jc w:val="left"/>
        <w:rPr>
          <w:rFonts w:ascii="Times New Roman" w:hAnsi="Times New Roman"/>
          <w:bCs/>
          <w:sz w:val="20"/>
        </w:rPr>
      </w:pPr>
      <w:r w:rsidRPr="00682011">
        <w:rPr>
          <w:rFonts w:ascii="Times New Roman" w:hAnsi="Times New Roman"/>
          <w:bCs/>
          <w:sz w:val="20"/>
        </w:rPr>
        <w:t>John Ward, under appointment by the Supreme Court, for Defendant and Appellant.</w:t>
      </w:r>
    </w:p>
    <w:p w:rsidR="00682011" w:rsidRPr="00682011" w:rsidP="00682011">
      <w:pPr>
        <w:spacing w:after="0" w:line="240" w:lineRule="auto"/>
        <w:jc w:val="left"/>
        <w:rPr>
          <w:rFonts w:ascii="Times New Roman" w:hAnsi="Times New Roman"/>
          <w:bCs/>
          <w:sz w:val="20"/>
        </w:rPr>
      </w:pPr>
    </w:p>
    <w:p w:rsidR="00682011" w:rsidRPr="00682011" w:rsidP="00682011">
      <w:pPr>
        <w:spacing w:after="0" w:line="240" w:lineRule="auto"/>
        <w:jc w:val="left"/>
        <w:rPr>
          <w:rFonts w:ascii="Times New Roman" w:hAnsi="Times New Roman"/>
          <w:bCs/>
          <w:sz w:val="20"/>
        </w:rPr>
      </w:pPr>
      <w:r w:rsidRPr="00682011">
        <w:rPr>
          <w:rFonts w:ascii="Times New Roman" w:hAnsi="Times New Roman"/>
          <w:bCs/>
          <w:sz w:val="20"/>
        </w:rPr>
        <w:t>Kamala Harris and Xavier Becerra, Attorneys General, Gerald Engler, Chief Assistant Attorney General, Edward C. DuMont, State Solicitor General, Jeffrey M. Laurence, Assistant Attorney General, Samuel P. Siegel, Deputy State Solicitor General, Catherine A. Rivlin, Ann P. Wathen and Greg E. Zywicke, Deputy Attorneys General, for Plaintiff and Respondent.</w:t>
      </w:r>
      <w:r w:rsidRPr="00682011">
        <w:rPr>
          <w:rFonts w:ascii="Times New Roman" w:hAnsi="Times New Roman"/>
          <w:bCs/>
          <w:color w:val="FF0000"/>
          <w:sz w:val="20"/>
        </w:rPr>
        <w:t xml:space="preserve"> </w:t>
      </w:r>
    </w:p>
    <w:p w:rsidR="00682011" w:rsidRPr="00682011" w:rsidP="00682011">
      <w:pPr>
        <w:spacing w:after="0" w:line="240" w:lineRule="auto"/>
        <w:jc w:val="left"/>
        <w:rPr>
          <w:rFonts w:ascii="Times New Roman" w:hAnsi="Times New Roman"/>
          <w:bCs/>
          <w:sz w:val="20"/>
        </w:rPr>
      </w:pPr>
    </w:p>
    <w:p w:rsidR="00682011" w:rsidRPr="00682011" w:rsidP="00682011">
      <w:pPr>
        <w:spacing w:after="0" w:line="240" w:lineRule="auto"/>
        <w:jc w:val="left"/>
        <w:rPr>
          <w:rFonts w:ascii="Times New Roman" w:hAnsi="Times New Roman"/>
          <w:bCs/>
          <w:sz w:val="20"/>
        </w:rPr>
      </w:pPr>
    </w:p>
    <w:p w:rsidR="00682011" w:rsidRPr="00682011" w:rsidP="00682011">
      <w:pPr>
        <w:spacing w:after="0" w:line="240" w:lineRule="auto"/>
        <w:jc w:val="left"/>
        <w:rPr>
          <w:rFonts w:ascii="Times New Roman" w:hAnsi="Times New Roman"/>
          <w:b/>
          <w:sz w:val="20"/>
        </w:rPr>
      </w:pPr>
    </w:p>
    <w:p w:rsidR="00682011" w:rsidRPr="00682011" w:rsidP="00682011">
      <w:pPr>
        <w:spacing w:after="0" w:line="240" w:lineRule="auto"/>
        <w:jc w:val="left"/>
        <w:rPr>
          <w:rFonts w:ascii="Times New Roman" w:hAnsi="Times New Roman"/>
          <w:b/>
          <w:sz w:val="20"/>
        </w:rPr>
      </w:pPr>
    </w:p>
    <w:p w:rsidR="00682011" w:rsidRPr="00682011" w:rsidP="00682011">
      <w:pPr>
        <w:spacing w:after="0" w:line="240" w:lineRule="auto"/>
        <w:jc w:val="left"/>
        <w:rPr>
          <w:rFonts w:ascii="Times New Roman" w:hAnsi="Times New Roman"/>
          <w:b/>
          <w:sz w:val="20"/>
        </w:rPr>
      </w:pPr>
    </w:p>
    <w:p w:rsidR="00682011" w:rsidRPr="00682011" w:rsidP="00682011">
      <w:pPr>
        <w:spacing w:after="0" w:line="240" w:lineRule="auto"/>
        <w:jc w:val="left"/>
        <w:rPr>
          <w:rFonts w:ascii="Times New Roman" w:hAnsi="Times New Roman"/>
          <w:b/>
          <w:sz w:val="20"/>
        </w:rPr>
      </w:pPr>
      <w:r w:rsidRPr="00682011">
        <w:rPr>
          <w:rFonts w:ascii="Times New Roman" w:hAnsi="Times New Roman"/>
          <w:b/>
          <w:sz w:val="20"/>
        </w:rPr>
        <w:br w:type="page"/>
      </w:r>
    </w:p>
    <w:p w:rsidR="00682011" w:rsidRPr="00682011" w:rsidP="00682011">
      <w:pPr>
        <w:spacing w:after="0" w:line="240" w:lineRule="auto"/>
        <w:jc w:val="left"/>
        <w:rPr>
          <w:rFonts w:ascii="Times New Roman" w:hAnsi="Times New Roman"/>
          <w:b/>
          <w:sz w:val="20"/>
        </w:rPr>
      </w:pPr>
    </w:p>
    <w:p w:rsidR="00682011" w:rsidRPr="00682011" w:rsidP="00682011">
      <w:pPr>
        <w:spacing w:after="0" w:line="240" w:lineRule="auto"/>
        <w:jc w:val="left"/>
        <w:rPr>
          <w:rFonts w:ascii="Times New Roman" w:hAnsi="Times New Roman"/>
          <w:b/>
          <w:sz w:val="20"/>
        </w:rPr>
      </w:pPr>
    </w:p>
    <w:p w:rsidR="00682011" w:rsidRPr="00682011" w:rsidP="00682011">
      <w:pPr>
        <w:spacing w:after="0" w:line="240" w:lineRule="auto"/>
        <w:jc w:val="left"/>
        <w:rPr>
          <w:rFonts w:ascii="Times New Roman" w:hAnsi="Times New Roman"/>
          <w:b/>
          <w:sz w:val="20"/>
        </w:rPr>
      </w:pPr>
    </w:p>
    <w:p w:rsidR="00682011" w:rsidRPr="00682011" w:rsidP="00682011">
      <w:pPr>
        <w:spacing w:after="0" w:line="240" w:lineRule="auto"/>
        <w:jc w:val="left"/>
        <w:rPr>
          <w:rFonts w:ascii="Times New Roman" w:hAnsi="Times New Roman"/>
          <w:b/>
          <w:sz w:val="20"/>
        </w:rPr>
      </w:pPr>
      <w:r w:rsidRPr="00682011">
        <w:rPr>
          <w:rFonts w:ascii="Times New Roman" w:hAnsi="Times New Roman"/>
          <w:b/>
          <w:sz w:val="20"/>
        </w:rPr>
        <w:t>Counsel who argued in Supreme Court (not intended for publication with opinion):</w:t>
      </w:r>
    </w:p>
    <w:p w:rsidR="00682011" w:rsidRPr="00682011" w:rsidP="00682011">
      <w:pPr>
        <w:spacing w:after="0" w:line="240" w:lineRule="auto"/>
        <w:jc w:val="left"/>
        <w:rPr>
          <w:rFonts w:ascii="Times New Roman" w:hAnsi="Times New Roman"/>
          <w:b/>
          <w:sz w:val="20"/>
        </w:rPr>
      </w:pPr>
    </w:p>
    <w:p w:rsidR="00682011" w:rsidRPr="00682011" w:rsidP="00682011">
      <w:pPr>
        <w:spacing w:after="0" w:line="240" w:lineRule="auto"/>
        <w:jc w:val="left"/>
        <w:rPr>
          <w:rFonts w:ascii="Times New Roman" w:hAnsi="Times New Roman"/>
          <w:sz w:val="20"/>
        </w:rPr>
      </w:pPr>
      <w:r w:rsidRPr="00682011">
        <w:rPr>
          <w:rFonts w:ascii="Times New Roman" w:hAnsi="Times New Roman"/>
          <w:bCs/>
          <w:sz w:val="20"/>
        </w:rPr>
        <w:t>John Ward</w:t>
      </w:r>
      <w:r w:rsidRPr="00682011">
        <w:rPr>
          <w:rFonts w:ascii="Times New Roman" w:hAnsi="Times New Roman"/>
          <w:sz w:val="20"/>
        </w:rPr>
        <w:t xml:space="preserve">  </w:t>
      </w:r>
    </w:p>
    <w:p w:rsidR="00682011" w:rsidRPr="00682011" w:rsidP="00682011">
      <w:pPr>
        <w:spacing w:after="0" w:line="240" w:lineRule="auto"/>
        <w:jc w:val="left"/>
        <w:rPr>
          <w:rFonts w:ascii="Times New Roman" w:hAnsi="Times New Roman"/>
          <w:sz w:val="20"/>
        </w:rPr>
      </w:pPr>
      <w:r w:rsidRPr="00682011">
        <w:rPr>
          <w:rFonts w:ascii="Times New Roman" w:hAnsi="Times New Roman"/>
          <w:sz w:val="20"/>
        </w:rPr>
        <w:t>Attorney at Law</w:t>
      </w:r>
    </w:p>
    <w:p w:rsidR="00682011" w:rsidRPr="00682011" w:rsidP="00682011">
      <w:pPr>
        <w:spacing w:after="0" w:line="240" w:lineRule="auto"/>
        <w:jc w:val="left"/>
        <w:rPr>
          <w:rFonts w:ascii="Times New Roman" w:hAnsi="Times New Roman"/>
          <w:sz w:val="20"/>
        </w:rPr>
      </w:pPr>
      <w:r w:rsidRPr="00682011">
        <w:rPr>
          <w:rFonts w:ascii="Times New Roman" w:hAnsi="Times New Roman"/>
          <w:sz w:val="20"/>
        </w:rPr>
        <w:t>584 Castro Street, No. 802</w:t>
      </w:r>
    </w:p>
    <w:p w:rsidR="00682011" w:rsidRPr="00682011" w:rsidP="00682011">
      <w:pPr>
        <w:spacing w:after="0" w:line="240" w:lineRule="auto"/>
        <w:jc w:val="left"/>
        <w:rPr>
          <w:rFonts w:ascii="Times New Roman" w:hAnsi="Times New Roman"/>
          <w:sz w:val="20"/>
        </w:rPr>
      </w:pPr>
      <w:r w:rsidRPr="00682011">
        <w:rPr>
          <w:rFonts w:ascii="Times New Roman" w:hAnsi="Times New Roman"/>
          <w:sz w:val="20"/>
        </w:rPr>
        <w:t>San Francisco, CA 94114</w:t>
      </w:r>
    </w:p>
    <w:p w:rsidR="00682011" w:rsidRPr="00682011" w:rsidP="00682011">
      <w:pPr>
        <w:spacing w:after="0" w:line="240" w:lineRule="auto"/>
        <w:jc w:val="left"/>
        <w:rPr>
          <w:rFonts w:ascii="Times New Roman" w:hAnsi="Times New Roman"/>
          <w:sz w:val="20"/>
        </w:rPr>
      </w:pPr>
      <w:r w:rsidRPr="00682011">
        <w:rPr>
          <w:rFonts w:ascii="Times New Roman" w:hAnsi="Times New Roman"/>
          <w:sz w:val="20"/>
        </w:rPr>
        <w:t>(415) 255-4996</w:t>
      </w:r>
    </w:p>
    <w:p w:rsidR="00682011" w:rsidRPr="00682011" w:rsidP="00682011">
      <w:pPr>
        <w:spacing w:after="0" w:line="240" w:lineRule="auto"/>
        <w:jc w:val="left"/>
        <w:rPr>
          <w:rFonts w:ascii="Times New Roman" w:hAnsi="Times New Roman"/>
          <w:sz w:val="20"/>
        </w:rPr>
      </w:pPr>
    </w:p>
    <w:p w:rsidR="00682011" w:rsidRPr="00682011" w:rsidP="00682011">
      <w:pPr>
        <w:spacing w:after="0" w:line="240" w:lineRule="auto"/>
        <w:jc w:val="left"/>
        <w:rPr>
          <w:rFonts w:ascii="Times New Roman" w:hAnsi="Times New Roman"/>
          <w:bCs/>
          <w:sz w:val="20"/>
        </w:rPr>
      </w:pPr>
      <w:r w:rsidRPr="00682011">
        <w:rPr>
          <w:rFonts w:ascii="Times New Roman" w:hAnsi="Times New Roman"/>
          <w:bCs/>
          <w:sz w:val="20"/>
        </w:rPr>
        <w:t>Samuel P. Siegel</w:t>
      </w:r>
    </w:p>
    <w:p w:rsidR="00682011" w:rsidRPr="00682011" w:rsidP="00682011">
      <w:pPr>
        <w:spacing w:after="0" w:line="240" w:lineRule="auto"/>
        <w:jc w:val="left"/>
        <w:rPr>
          <w:rFonts w:ascii="Times New Roman" w:hAnsi="Times New Roman"/>
          <w:bCs/>
          <w:sz w:val="20"/>
        </w:rPr>
      </w:pPr>
      <w:r w:rsidRPr="00682011">
        <w:rPr>
          <w:rFonts w:ascii="Times New Roman" w:hAnsi="Times New Roman"/>
          <w:bCs/>
          <w:sz w:val="20"/>
        </w:rPr>
        <w:t>Deputy State Solicitor General</w:t>
      </w:r>
    </w:p>
    <w:p w:rsidR="00682011" w:rsidRPr="00682011" w:rsidP="00682011">
      <w:pPr>
        <w:spacing w:after="0" w:line="240" w:lineRule="auto"/>
        <w:jc w:val="left"/>
        <w:rPr>
          <w:rFonts w:ascii="Times New Roman" w:hAnsi="Times New Roman"/>
          <w:bCs/>
          <w:sz w:val="20"/>
        </w:rPr>
      </w:pPr>
      <w:r w:rsidRPr="00682011">
        <w:rPr>
          <w:rFonts w:ascii="Times New Roman" w:hAnsi="Times New Roman"/>
          <w:bCs/>
          <w:sz w:val="20"/>
        </w:rPr>
        <w:t>1300 I Street</w:t>
      </w:r>
    </w:p>
    <w:p w:rsidR="00682011" w:rsidRPr="00682011" w:rsidP="00682011">
      <w:pPr>
        <w:spacing w:after="0" w:line="240" w:lineRule="auto"/>
        <w:jc w:val="left"/>
        <w:rPr>
          <w:rFonts w:ascii="Times New Roman" w:hAnsi="Times New Roman"/>
          <w:bCs/>
          <w:sz w:val="20"/>
        </w:rPr>
      </w:pPr>
      <w:r w:rsidRPr="00682011">
        <w:rPr>
          <w:rFonts w:ascii="Times New Roman" w:hAnsi="Times New Roman"/>
          <w:bCs/>
          <w:sz w:val="20"/>
        </w:rPr>
        <w:t>Sacramento, CA 95819</w:t>
      </w:r>
    </w:p>
    <w:p w:rsidR="00682011" w:rsidRPr="00682011" w:rsidP="00682011">
      <w:pPr>
        <w:spacing w:after="0" w:line="240" w:lineRule="auto"/>
        <w:jc w:val="left"/>
        <w:rPr>
          <w:rFonts w:ascii="Times New Roman" w:hAnsi="Times New Roman"/>
          <w:bCs/>
          <w:sz w:val="20"/>
        </w:rPr>
      </w:pPr>
      <w:r w:rsidRPr="00682011">
        <w:rPr>
          <w:rFonts w:ascii="Times New Roman" w:hAnsi="Times New Roman"/>
          <w:bCs/>
          <w:sz w:val="20"/>
        </w:rPr>
        <w:t>(916) 210-6269</w:t>
      </w:r>
    </w:p>
    <w:p w:rsidR="00682011" w:rsidRPr="00682011" w:rsidP="00682011">
      <w:pPr>
        <w:spacing w:after="0" w:line="240" w:lineRule="auto"/>
        <w:jc w:val="left"/>
        <w:rPr>
          <w:rFonts w:ascii="Times New Roman" w:hAnsi="Times New Roman"/>
          <w:bCs/>
          <w:sz w:val="20"/>
        </w:rPr>
      </w:pPr>
    </w:p>
    <w:p w:rsidR="00682011" w:rsidRPr="00682011" w:rsidP="00682011">
      <w:pPr>
        <w:spacing w:after="0" w:line="240" w:lineRule="auto"/>
        <w:jc w:val="left"/>
        <w:rPr>
          <w:rFonts w:ascii="Times New Roman" w:hAnsi="Times New Roman"/>
          <w:sz w:val="20"/>
        </w:rPr>
      </w:pPr>
    </w:p>
    <w:p w:rsidR="00AE19FE" w:rsidRPr="002C23C4" w:rsidP="00CB68E1">
      <w:pPr>
        <w:spacing w:after="0" w:line="240" w:lineRule="auto"/>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3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6CBC">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37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3C4">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E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E4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5D34">
      <w:r>
        <w:separator/>
      </w:r>
    </w:p>
  </w:footnote>
  <w:footnote w:type="continuationSeparator" w:id="1">
    <w:p w:rsidR="00575D34">
      <w:pPr>
        <w:rPr>
          <w:sz w:val="22"/>
        </w:rPr>
      </w:pPr>
      <w:r>
        <w:continuationSeparator/>
      </w:r>
    </w:p>
  </w:footnote>
  <w:footnote w:type="continuationNotice" w:id="2">
    <w:p w:rsidR="00575D34">
      <w:pPr>
        <w:jc w:val="right"/>
        <w:rPr>
          <w:i/>
          <w:sz w:val="20"/>
        </w:rPr>
      </w:pPr>
    </w:p>
  </w:footnote>
  <w:footnote w:id="3">
    <w:p w:rsidR="00990EE8" w:rsidP="002C23C4">
      <w:pPr>
        <w:pStyle w:val="FootnoteText"/>
      </w:pPr>
      <w:r>
        <w:rPr>
          <w:rStyle w:val="FootnoteReference"/>
        </w:rPr>
        <w:footnoteRef/>
      </w:r>
      <w:r>
        <w:t xml:space="preserve"> </w:t>
      </w:r>
      <w:r>
        <w:tab/>
        <w:t xml:space="preserve">The Court of Appeal remanded </w:t>
      </w:r>
      <w:r w:rsidR="00F30FFA">
        <w:t xml:space="preserve">the matter </w:t>
      </w:r>
      <w:r>
        <w:t xml:space="preserve">to the trial court for it to exercise its newly acquired discretion under </w:t>
      </w:r>
      <w:bookmarkStart w:id="35" w:name="Psych_Cite_159"/>
      <w:r>
        <w:t>section 12022.53</w:t>
      </w:r>
      <w:bookmarkEnd w:id="35"/>
      <w:r>
        <w:t xml:space="preserve">, </w:t>
      </w:r>
      <w:r w:rsidR="000948F4">
        <w:t xml:space="preserve">amended </w:t>
      </w:r>
      <w:r>
        <w:t xml:space="preserve">subdivision (h) </w:t>
      </w:r>
      <w:r w:rsidRPr="009E6B45">
        <w:t>(</w:t>
      </w:r>
      <w:r w:rsidR="000948F4">
        <w:t>Stats.</w:t>
      </w:r>
      <w:r w:rsidR="00714670">
        <w:t xml:space="preserve"> 2017</w:t>
      </w:r>
      <w:r w:rsidR="000948F4">
        <w:t xml:space="preserve">, ch. 682, </w:t>
      </w:r>
      <w:r w:rsidRPr="002C23C4" w:rsidR="000948F4">
        <w:t>§</w:t>
      </w:r>
      <w:bookmarkStart w:id="36" w:name="Psych_Cite_160"/>
      <w:r w:rsidR="0002491C">
        <w:t> </w:t>
      </w:r>
      <w:r w:rsidR="000948F4">
        <w:t>2)</w:t>
      </w:r>
      <w:bookmarkEnd w:id="36"/>
      <w:r>
        <w:t xml:space="preserve">, to strike the enhancements imposed under that section and for </w:t>
      </w:r>
      <w:r w:rsidR="00135D5E">
        <w:t>Anderson</w:t>
      </w:r>
      <w:r>
        <w:t xml:space="preserve"> to augment the record with information relevant to </w:t>
      </w:r>
      <w:r w:rsidR="00692656">
        <w:t xml:space="preserve">his </w:t>
      </w:r>
      <w:r>
        <w:t xml:space="preserve">youth offender parole hearing, but otherwise affirmed.  </w:t>
      </w:r>
    </w:p>
  </w:footnote>
  <w:footnote w:id="4">
    <w:p w:rsidR="00F56CBC" w:rsidP="007034E8">
      <w:pPr>
        <w:spacing w:line="300" w:lineRule="exact"/>
      </w:pPr>
      <w:r>
        <w:rPr>
          <w:rStyle w:val="FootnoteReference"/>
        </w:rPr>
        <w:footnoteRef/>
      </w:r>
      <w:r>
        <w:t xml:space="preserve"> </w:t>
      </w:r>
      <w:r>
        <w:tab/>
        <w:t xml:space="preserve">The information </w:t>
      </w:r>
      <w:r w:rsidR="00990EE8">
        <w:t xml:space="preserve">had </w:t>
      </w:r>
      <w:r>
        <w:t>alleged two qualifying circumstances with respect to each victim.  (</w:t>
      </w:r>
      <w:bookmarkStart w:id="69" w:name="Psych_Cite_164"/>
      <w:r>
        <w:rPr>
          <w:i/>
        </w:rPr>
        <w:t>Mancebo</w:t>
      </w:r>
      <w:r>
        <w:t xml:space="preserve">, </w:t>
      </w:r>
      <w:r>
        <w:rPr>
          <w:i/>
        </w:rPr>
        <w:t>supra</w:t>
      </w:r>
      <w:r>
        <w:t>, 27 Cal.4th at pp.</w:t>
      </w:r>
      <w:r w:rsidR="00025FE2">
        <w:t> </w:t>
      </w:r>
      <w:r>
        <w:t>742–743</w:t>
      </w:r>
      <w:bookmarkEnd w:id="69"/>
      <w:r>
        <w:t xml:space="preserve">.)  As to victim Y., it </w:t>
      </w:r>
      <w:r w:rsidR="00990EE8">
        <w:t xml:space="preserve">had </w:t>
      </w:r>
      <w:r>
        <w:t>alleged kidnapping and firearm use circumstances.  (</w:t>
      </w:r>
      <w:bookmarkStart w:id="70" w:name="Psych_Cite_162"/>
      <w:r>
        <w:rPr>
          <w:i/>
        </w:rPr>
        <w:t xml:space="preserve">Id. </w:t>
      </w:r>
      <w:r>
        <w:t>at p.</w:t>
      </w:r>
      <w:r w:rsidR="00025FE2">
        <w:t> </w:t>
      </w:r>
      <w:r>
        <w:t>742</w:t>
      </w:r>
      <w:bookmarkEnd w:id="70"/>
      <w:r>
        <w:t xml:space="preserve">.)  As to victim R., it </w:t>
      </w:r>
      <w:r w:rsidR="00990EE8">
        <w:t xml:space="preserve">had </w:t>
      </w:r>
      <w:r>
        <w:t>alleged firearm use and binding.  (</w:t>
      </w:r>
      <w:bookmarkStart w:id="71" w:name="Psych_Cite_163"/>
      <w:r>
        <w:rPr>
          <w:i/>
        </w:rPr>
        <w:t xml:space="preserve">Id. </w:t>
      </w:r>
      <w:r>
        <w:t>at pp.</w:t>
      </w:r>
      <w:r w:rsidR="00025FE2">
        <w:t> </w:t>
      </w:r>
      <w:r>
        <w:t>742–743</w:t>
      </w:r>
      <w:bookmarkEnd w:id="71"/>
      <w:r>
        <w:t xml:space="preserve">.)  </w:t>
      </w:r>
      <w:r w:rsidR="00990EE8">
        <w:t>When it came to sentencing, t</w:t>
      </w:r>
      <w:r>
        <w:t xml:space="preserve">he trial court </w:t>
      </w:r>
      <w:r w:rsidR="00990EE8">
        <w:t>imposed a</w:t>
      </w:r>
      <w:r>
        <w:t xml:space="preserve"> One Strike </w:t>
      </w:r>
      <w:r w:rsidR="00990EE8">
        <w:t>sentence</w:t>
      </w:r>
      <w:r>
        <w:t xml:space="preserve"> but also a </w:t>
      </w:r>
      <w:r w:rsidR="00A4021B">
        <w:t>10</w:t>
      </w:r>
      <w:r>
        <w:t>-year firearm</w:t>
      </w:r>
      <w:r w:rsidR="0029567E">
        <w:t xml:space="preserve"> </w:t>
      </w:r>
      <w:r>
        <w:t xml:space="preserve">use enhancement under </w:t>
      </w:r>
      <w:bookmarkStart w:id="72" w:name="Psych_Cite_161"/>
      <w:r>
        <w:t>Penal Code section 12022.5, subdivision (a)</w:t>
      </w:r>
      <w:bookmarkEnd w:id="72"/>
      <w:r>
        <w:t>.  (</w:t>
      </w:r>
      <w:bookmarkStart w:id="73" w:name="Psych_Cite_165"/>
      <w:r w:rsidRPr="001031A7" w:rsidR="001031A7">
        <w:rPr>
          <w:i/>
        </w:rPr>
        <w:t>Mancebo</w:t>
      </w:r>
      <w:r w:rsidR="001031A7">
        <w:t xml:space="preserve">, </w:t>
      </w:r>
      <w:r>
        <w:t>at p.</w:t>
      </w:r>
      <w:r w:rsidR="00025FE2">
        <w:t> </w:t>
      </w:r>
      <w:r>
        <w:t>744</w:t>
      </w:r>
      <w:bookmarkEnd w:id="73"/>
      <w:r>
        <w:t xml:space="preserve">.)  </w:t>
      </w:r>
      <w:r w:rsidR="00990EE8">
        <w:t xml:space="preserve">The relevant statute prohibited the court from using the firearm use circumstances both as the basis for this </w:t>
      </w:r>
      <w:r w:rsidR="00A4021B">
        <w:t>10</w:t>
      </w:r>
      <w:r w:rsidR="00990EE8">
        <w:t xml:space="preserve">-year firearm-use enhancement and as the basis </w:t>
      </w:r>
      <w:r>
        <w:t>for One Strike sentencing.  (See §</w:t>
      </w:r>
      <w:r w:rsidR="001031A7">
        <w:t> </w:t>
      </w:r>
      <w:r>
        <w:t xml:space="preserve">667.61, subd. (f).)  To get around this problem, the trial court had substituted the </w:t>
      </w:r>
      <w:r w:rsidR="00990EE8">
        <w:t xml:space="preserve">unpleaded </w:t>
      </w:r>
      <w:r>
        <w:t>multiple victim circumstance</w:t>
      </w:r>
      <w:r w:rsidR="00990EE8">
        <w:t xml:space="preserve"> </w:t>
      </w:r>
      <w:r>
        <w:t xml:space="preserve">for the </w:t>
      </w:r>
      <w:r w:rsidR="00990EE8">
        <w:t xml:space="preserve">pleaded </w:t>
      </w:r>
      <w:r>
        <w:t>firearm use circumstances.  (</w:t>
      </w:r>
      <w:bookmarkStart w:id="74" w:name="Psych_Cite_166"/>
      <w:r>
        <w:rPr>
          <w:i/>
        </w:rPr>
        <w:t>Mancebo</w:t>
      </w:r>
      <w:r>
        <w:t>,</w:t>
      </w:r>
      <w:r>
        <w:rPr>
          <w:i/>
        </w:rPr>
        <w:t xml:space="preserve"> </w:t>
      </w:r>
      <w:r>
        <w:t>at pp.</w:t>
      </w:r>
      <w:r w:rsidR="001031A7">
        <w:t> </w:t>
      </w:r>
      <w:r>
        <w:t>738–739</w:t>
      </w:r>
      <w:bookmarkEnd w:id="74"/>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3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3C4">
    <w:pPr>
      <w:pStyle w:val="Header"/>
    </w:pPr>
    <w:r>
      <w:t>PEOPLE v. ANDERSON</w:t>
    </w:r>
  </w:p>
  <w:p w:rsidR="002C23C4">
    <w:pPr>
      <w:pStyle w:val="Header"/>
    </w:pPr>
    <w:r>
      <w:t>Opinion of the Court by Kruger, J.</w:t>
    </w:r>
  </w:p>
  <w:p w:rsidR="002C23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37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E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E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3C4"/>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2C23C4"/>
    <w:pPr>
      <w:keepNext/>
      <w:spacing w:before="140" w:line="240" w:lineRule="atLeast"/>
      <w:jc w:val="center"/>
      <w:outlineLvl w:val="0"/>
    </w:pPr>
    <w:rPr>
      <w:b/>
      <w:smallCaps/>
    </w:rPr>
  </w:style>
  <w:style w:type="paragraph" w:styleId="Heading2">
    <w:name w:val="heading 2"/>
    <w:basedOn w:val="Normal"/>
    <w:next w:val="Normal"/>
    <w:qFormat/>
    <w:rsid w:val="002C23C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2C23C4"/>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2C23C4"/>
    <w:pPr>
      <w:keepNext/>
      <w:tabs>
        <w:tab w:val="left" w:pos="2016"/>
      </w:tabs>
      <w:spacing w:before="140" w:line="240" w:lineRule="atLeast"/>
      <w:ind w:left="2016" w:hanging="432"/>
      <w:jc w:val="left"/>
      <w:outlineLvl w:val="3"/>
    </w:pPr>
    <w:rPr>
      <w:i/>
    </w:rPr>
  </w:style>
  <w:style w:type="paragraph" w:styleId="Heading5">
    <w:name w:val="heading 5"/>
    <w:basedOn w:val="Normal"/>
    <w:rsid w:val="002C23C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C23C4"/>
    <w:pPr>
      <w:ind w:left="720"/>
    </w:pPr>
  </w:style>
  <w:style w:type="paragraph" w:styleId="Footer">
    <w:name w:val="footer"/>
    <w:basedOn w:val="Normal"/>
    <w:qFormat/>
    <w:rsid w:val="002C23C4"/>
    <w:pPr>
      <w:tabs>
        <w:tab w:val="center" w:pos="3960"/>
        <w:tab w:val="right" w:pos="10080"/>
      </w:tabs>
      <w:spacing w:after="0" w:line="240" w:lineRule="auto"/>
      <w:jc w:val="center"/>
    </w:pPr>
    <w:rPr>
      <w:sz w:val="22"/>
    </w:rPr>
  </w:style>
  <w:style w:type="paragraph" w:styleId="Header">
    <w:name w:val="header"/>
    <w:basedOn w:val="Normal"/>
    <w:qFormat/>
    <w:rsid w:val="002C23C4"/>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C23C4"/>
    <w:rPr>
      <w:rFonts w:ascii="Century Schoolbook" w:hAnsi="Century Schoolbook"/>
      <w:b/>
      <w:i w:val="0"/>
      <w:position w:val="4"/>
      <w:sz w:val="27"/>
      <w:vertAlign w:val="superscript"/>
    </w:rPr>
  </w:style>
  <w:style w:type="paragraph" w:styleId="FootnoteText">
    <w:name w:val="footnote text"/>
    <w:basedOn w:val="Normal"/>
    <w:link w:val="FootnoteTextChar"/>
    <w:rsid w:val="002C23C4"/>
    <w:pPr>
      <w:spacing w:line="300" w:lineRule="exact"/>
    </w:pPr>
  </w:style>
  <w:style w:type="paragraph" w:customStyle="1" w:styleId="Title1">
    <w:name w:val="Title1"/>
    <w:basedOn w:val="Normal"/>
    <w:rsid w:val="002C23C4"/>
    <w:pPr>
      <w:tabs>
        <w:tab w:val="left" w:pos="5760"/>
        <w:tab w:val="left" w:pos="6480"/>
      </w:tabs>
      <w:spacing w:line="240" w:lineRule="atLeast"/>
    </w:pPr>
  </w:style>
  <w:style w:type="paragraph" w:customStyle="1" w:styleId="Recommend">
    <w:name w:val="Recommend"/>
    <w:basedOn w:val="Normal"/>
    <w:rsid w:val="002C23C4"/>
  </w:style>
  <w:style w:type="paragraph" w:customStyle="1" w:styleId="Summary">
    <w:name w:val="Summary"/>
    <w:basedOn w:val="Normal"/>
    <w:rsid w:val="002C23C4"/>
    <w:pPr>
      <w:ind w:left="2160" w:hanging="2160"/>
    </w:pPr>
  </w:style>
  <w:style w:type="paragraph" w:customStyle="1" w:styleId="Text">
    <w:name w:val="Text"/>
    <w:basedOn w:val="Normal"/>
    <w:rsid w:val="002C23C4"/>
    <w:pPr>
      <w:tabs>
        <w:tab w:val="left" w:pos="720"/>
        <w:tab w:val="left" w:pos="1440"/>
        <w:tab w:val="left" w:pos="2160"/>
        <w:tab w:val="center" w:pos="4320"/>
      </w:tabs>
      <w:spacing w:line="480" w:lineRule="atLeast"/>
      <w:ind w:firstLine="540"/>
    </w:pPr>
  </w:style>
  <w:style w:type="paragraph" w:styleId="Date">
    <w:name w:val="Date"/>
    <w:basedOn w:val="Normal"/>
    <w:semiHidden/>
    <w:rsid w:val="002C23C4"/>
    <w:pPr>
      <w:jc w:val="right"/>
    </w:pPr>
  </w:style>
  <w:style w:type="character" w:styleId="PageNumber">
    <w:name w:val="page number"/>
    <w:basedOn w:val="DefaultParagraphFont"/>
    <w:semiHidden/>
    <w:rsid w:val="002C23C4"/>
  </w:style>
  <w:style w:type="paragraph" w:customStyle="1" w:styleId="subject">
    <w:name w:val="subject"/>
    <w:basedOn w:val="Normal"/>
    <w:rsid w:val="002C23C4"/>
    <w:pPr>
      <w:tabs>
        <w:tab w:val="left" w:pos="1008"/>
      </w:tabs>
      <w:ind w:left="990" w:hanging="990"/>
    </w:pPr>
    <w:rPr>
      <w:b/>
    </w:rPr>
  </w:style>
  <w:style w:type="paragraph" w:customStyle="1" w:styleId="Titles">
    <w:name w:val="Titles"/>
    <w:basedOn w:val="Normal"/>
    <w:rsid w:val="002C23C4"/>
    <w:pPr>
      <w:tabs>
        <w:tab w:val="left" w:pos="2160"/>
      </w:tabs>
      <w:ind w:left="2160" w:hanging="2160"/>
    </w:pPr>
    <w:rPr>
      <w:b/>
    </w:rPr>
  </w:style>
  <w:style w:type="paragraph" w:styleId="TOAHeading">
    <w:name w:val="toa heading"/>
    <w:basedOn w:val="Normal"/>
    <w:next w:val="Normal"/>
    <w:semiHidden/>
    <w:rsid w:val="002C23C4"/>
    <w:pPr>
      <w:spacing w:before="120"/>
    </w:pPr>
    <w:rPr>
      <w:b/>
    </w:rPr>
  </w:style>
  <w:style w:type="paragraph" w:styleId="TOC1">
    <w:name w:val="toc 1"/>
    <w:basedOn w:val="Normal"/>
    <w:next w:val="Normal"/>
    <w:autoRedefine/>
    <w:semiHidden/>
    <w:rsid w:val="002C23C4"/>
  </w:style>
  <w:style w:type="paragraph" w:styleId="TOC2">
    <w:name w:val="toc 2"/>
    <w:basedOn w:val="Normal"/>
    <w:next w:val="Normal"/>
    <w:autoRedefine/>
    <w:semiHidden/>
    <w:rsid w:val="002C23C4"/>
    <w:pPr>
      <w:ind w:left="259"/>
    </w:pPr>
  </w:style>
  <w:style w:type="paragraph" w:styleId="TOC3">
    <w:name w:val="toc 3"/>
    <w:basedOn w:val="Normal"/>
    <w:next w:val="Normal"/>
    <w:autoRedefine/>
    <w:semiHidden/>
    <w:rsid w:val="002C23C4"/>
    <w:pPr>
      <w:ind w:left="520"/>
    </w:pPr>
  </w:style>
  <w:style w:type="paragraph" w:styleId="TOC4">
    <w:name w:val="toc 4"/>
    <w:basedOn w:val="Normal"/>
    <w:next w:val="Normal"/>
    <w:autoRedefine/>
    <w:semiHidden/>
    <w:rsid w:val="002C23C4"/>
    <w:pPr>
      <w:ind w:left="780"/>
    </w:pPr>
  </w:style>
  <w:style w:type="paragraph" w:styleId="TOC5">
    <w:name w:val="toc 5"/>
    <w:basedOn w:val="Normal"/>
    <w:next w:val="Normal"/>
    <w:autoRedefine/>
    <w:semiHidden/>
    <w:rsid w:val="002C23C4"/>
    <w:pPr>
      <w:ind w:left="1040"/>
    </w:pPr>
  </w:style>
  <w:style w:type="paragraph" w:styleId="TOC6">
    <w:name w:val="toc 6"/>
    <w:basedOn w:val="Normal"/>
    <w:next w:val="Normal"/>
    <w:autoRedefine/>
    <w:semiHidden/>
    <w:rsid w:val="002C23C4"/>
    <w:pPr>
      <w:ind w:left="1300"/>
    </w:pPr>
  </w:style>
  <w:style w:type="paragraph" w:styleId="TOC7">
    <w:name w:val="toc 7"/>
    <w:basedOn w:val="Normal"/>
    <w:next w:val="Normal"/>
    <w:autoRedefine/>
    <w:semiHidden/>
    <w:rsid w:val="002C23C4"/>
    <w:pPr>
      <w:ind w:left="1560"/>
    </w:pPr>
  </w:style>
  <w:style w:type="paragraph" w:styleId="TOC8">
    <w:name w:val="toc 8"/>
    <w:basedOn w:val="Normal"/>
    <w:next w:val="Normal"/>
    <w:autoRedefine/>
    <w:semiHidden/>
    <w:rsid w:val="002C23C4"/>
    <w:pPr>
      <w:ind w:left="1820"/>
    </w:pPr>
  </w:style>
  <w:style w:type="paragraph" w:styleId="TOC9">
    <w:name w:val="toc 9"/>
    <w:basedOn w:val="Normal"/>
    <w:next w:val="Normal"/>
    <w:autoRedefine/>
    <w:semiHidden/>
    <w:rsid w:val="002C23C4"/>
    <w:pPr>
      <w:ind w:left="2080"/>
    </w:pPr>
  </w:style>
  <w:style w:type="paragraph" w:customStyle="1" w:styleId="Contents">
    <w:name w:val="Contents"/>
    <w:basedOn w:val="Normal"/>
    <w:rsid w:val="002C23C4"/>
    <w:pPr>
      <w:jc w:val="center"/>
    </w:pPr>
    <w:rPr>
      <w:b/>
      <w:spacing w:val="100"/>
    </w:rPr>
  </w:style>
  <w:style w:type="character" w:customStyle="1" w:styleId="Heading1Char">
    <w:name w:val="Heading 1 Char"/>
    <w:basedOn w:val="DefaultParagraphFont"/>
    <w:link w:val="Heading1"/>
    <w:rsid w:val="000637BE"/>
    <w:rPr>
      <w:rFonts w:ascii="Century Schoolbook" w:hAnsi="Century Schoolbook"/>
      <w:b/>
      <w:smallCaps/>
      <w:sz w:val="27"/>
    </w:rPr>
  </w:style>
  <w:style w:type="character" w:customStyle="1" w:styleId="FootnoteTextChar">
    <w:name w:val="Footnote Text Char"/>
    <w:basedOn w:val="DefaultParagraphFont"/>
    <w:link w:val="FootnoteText"/>
    <w:rsid w:val="000637BE"/>
    <w:rPr>
      <w:rFonts w:ascii="Century Schoolbook" w:hAnsi="Century Schoolbook"/>
      <w:sz w:val="27"/>
    </w:rPr>
  </w:style>
  <w:style w:type="paragraph" w:styleId="BalloonText">
    <w:name w:val="Balloon Text"/>
    <w:basedOn w:val="Normal"/>
    <w:link w:val="BalloonTextChar"/>
    <w:uiPriority w:val="99"/>
    <w:semiHidden/>
    <w:unhideWhenUsed/>
    <w:rsid w:val="008D4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2A"/>
    <w:rPr>
      <w:rFonts w:ascii="Segoe UI" w:hAnsi="Segoe UI" w:cs="Segoe UI"/>
      <w:sz w:val="18"/>
      <w:szCs w:val="18"/>
    </w:rPr>
  </w:style>
  <w:style w:type="character" w:styleId="Emphasis">
    <w:name w:val="Emphasis"/>
    <w:basedOn w:val="DefaultParagraphFont"/>
    <w:uiPriority w:val="20"/>
    <w:qFormat/>
    <w:rsid w:val="00AC709F"/>
    <w:rPr>
      <w:i/>
      <w:iCs/>
    </w:rPr>
  </w:style>
  <w:style w:type="character" w:customStyle="1" w:styleId="costarpage">
    <w:name w:val="co_starpage"/>
    <w:basedOn w:val="DefaultParagraphFont"/>
    <w:rsid w:val="00AC709F"/>
  </w:style>
  <w:style w:type="character" w:customStyle="1" w:styleId="Heading4Char">
    <w:name w:val="Heading 4 Char"/>
    <w:link w:val="Heading4"/>
    <w:rsid w:val="00EF45A6"/>
    <w:rPr>
      <w:rFonts w:ascii="Century Schoolbook" w:hAnsi="Century Schoolbook"/>
      <w:i/>
      <w:sz w:val="27"/>
    </w:rPr>
  </w:style>
  <w:style w:type="character" w:customStyle="1" w:styleId="cohl">
    <w:name w:val="co_hl"/>
    <w:basedOn w:val="DefaultParagraphFont"/>
    <w:rsid w:val="00730F6D"/>
  </w:style>
  <w:style w:type="character" w:styleId="CommentReference">
    <w:name w:val="annotation reference"/>
    <w:basedOn w:val="DefaultParagraphFont"/>
    <w:uiPriority w:val="99"/>
    <w:semiHidden/>
    <w:unhideWhenUsed/>
    <w:rsid w:val="00081F65"/>
    <w:rPr>
      <w:sz w:val="16"/>
      <w:szCs w:val="16"/>
    </w:rPr>
  </w:style>
  <w:style w:type="paragraph" w:styleId="CommentText">
    <w:name w:val="annotation text"/>
    <w:basedOn w:val="Normal"/>
    <w:link w:val="CommentTextChar"/>
    <w:uiPriority w:val="99"/>
    <w:unhideWhenUsed/>
    <w:rsid w:val="00081F65"/>
    <w:rPr>
      <w:sz w:val="20"/>
    </w:rPr>
  </w:style>
  <w:style w:type="character" w:customStyle="1" w:styleId="CommentTextChar">
    <w:name w:val="Comment Text Char"/>
    <w:basedOn w:val="DefaultParagraphFont"/>
    <w:link w:val="CommentText"/>
    <w:uiPriority w:val="99"/>
    <w:rsid w:val="00081F65"/>
  </w:style>
  <w:style w:type="paragraph" w:styleId="CommentSubject">
    <w:name w:val="annotation subject"/>
    <w:basedOn w:val="CommentText"/>
    <w:next w:val="CommentText"/>
    <w:link w:val="CommentSubjectChar"/>
    <w:uiPriority w:val="99"/>
    <w:semiHidden/>
    <w:unhideWhenUsed/>
    <w:rsid w:val="00081F65"/>
    <w:rPr>
      <w:b/>
      <w:bCs/>
    </w:rPr>
  </w:style>
  <w:style w:type="character" w:customStyle="1" w:styleId="CommentSubjectChar">
    <w:name w:val="Comment Subject Char"/>
    <w:basedOn w:val="CommentTextChar"/>
    <w:link w:val="CommentSubject"/>
    <w:uiPriority w:val="99"/>
    <w:semiHidden/>
    <w:rsid w:val="00081F65"/>
    <w:rPr>
      <w:b/>
      <w:bCs/>
    </w:rPr>
  </w:style>
  <w:style w:type="paragraph" w:styleId="Revision">
    <w:name w:val="Revision"/>
    <w:hidden/>
    <w:uiPriority w:val="99"/>
    <w:semiHidden/>
    <w:rsid w:val="00B30383"/>
    <w:rPr>
      <w:sz w:val="26"/>
    </w:rPr>
  </w:style>
  <w:style w:type="character" w:styleId="Hyperlink">
    <w:name w:val="Hyperlink"/>
    <w:basedOn w:val="DefaultParagraphFont"/>
    <w:uiPriority w:val="99"/>
    <w:unhideWhenUsed/>
    <w:rsid w:val="00D857A0"/>
    <w:rPr>
      <w:color w:val="0000FF" w:themeColor="hyperlink"/>
      <w:u w:val="single"/>
    </w:rPr>
  </w:style>
  <w:style w:type="character" w:customStyle="1" w:styleId="UnresolvedMention">
    <w:name w:val="Unresolved Mention"/>
    <w:basedOn w:val="DefaultParagraphFont"/>
    <w:uiPriority w:val="99"/>
    <w:semiHidden/>
    <w:unhideWhenUsed/>
    <w:rsid w:val="00D857A0"/>
    <w:rPr>
      <w:color w:val="605E5C"/>
      <w:shd w:val="clear" w:color="auto" w:fill="E1DFDD"/>
    </w:rPr>
  </w:style>
  <w:style w:type="character" w:customStyle="1" w:styleId="coconcept2846">
    <w:name w:val="co_concept_28_46"/>
    <w:basedOn w:val="DefaultParagraphFont"/>
    <w:rsid w:val="00F9525A"/>
  </w:style>
  <w:style w:type="paragraph" w:styleId="BodyText">
    <w:name w:val="Body Text"/>
    <w:basedOn w:val="Normal"/>
    <w:link w:val="BodyTextChar"/>
    <w:qFormat/>
    <w:rsid w:val="002C23C4"/>
  </w:style>
  <w:style w:type="character" w:customStyle="1" w:styleId="BodyTextChar">
    <w:name w:val="Body Text Char"/>
    <w:basedOn w:val="DefaultParagraphFont"/>
    <w:link w:val="BodyText"/>
    <w:rsid w:val="002C23C4"/>
    <w:rPr>
      <w:rFonts w:ascii="Century Schoolbook" w:hAnsi="Century Schoolbook"/>
      <w:sz w:val="27"/>
    </w:rPr>
  </w:style>
  <w:style w:type="character" w:customStyle="1" w:styleId="apple-converted-space">
    <w:name w:val="apple-converted-space"/>
    <w:basedOn w:val="DefaultParagraphFont"/>
    <w:rsid w:val="0094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6749</Words>
  <Characters>38472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2020-07-23T15:44:37Z</dcterms:created>
  <dcterms:modified xsi:type="dcterms:W3CDTF">2020-07-23T15:44:37Z</dcterms:modified>
</cp:coreProperties>
</file>