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5190A" w:rsidP="00313559">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313559" w:rsidP="00313559">
      <w:pPr>
        <w:tabs>
          <w:tab w:val="left" w:pos="1440"/>
          <w:tab w:val="left" w:pos="4680"/>
          <w:tab w:val="center" w:pos="7200"/>
        </w:tabs>
        <w:spacing w:after="0"/>
        <w:jc w:val="center"/>
      </w:pPr>
    </w:p>
    <w:p w:rsidR="00313559" w:rsidP="00313559">
      <w:pPr>
        <w:tabs>
          <w:tab w:val="left" w:pos="1440"/>
          <w:tab w:val="left" w:pos="4680"/>
          <w:tab w:val="center" w:pos="7200"/>
        </w:tabs>
        <w:spacing w:after="0"/>
        <w:jc w:val="center"/>
      </w:pPr>
      <w:r>
        <w:t>FRANK C. HART et al.,</w:t>
      </w:r>
    </w:p>
    <w:p w:rsidR="00313559" w:rsidP="00313559">
      <w:pPr>
        <w:tabs>
          <w:tab w:val="left" w:pos="1440"/>
          <w:tab w:val="left" w:pos="4680"/>
          <w:tab w:val="center" w:pos="7200"/>
        </w:tabs>
        <w:spacing w:after="0"/>
        <w:jc w:val="center"/>
      </w:pPr>
      <w:r>
        <w:t>Plaintiffs and Respondents,</w:t>
      </w:r>
    </w:p>
    <w:p w:rsidR="00313559" w:rsidP="00313559">
      <w:pPr>
        <w:tabs>
          <w:tab w:val="left" w:pos="1440"/>
          <w:tab w:val="left" w:pos="4680"/>
          <w:tab w:val="center" w:pos="7200"/>
        </w:tabs>
        <w:spacing w:after="0"/>
        <w:jc w:val="center"/>
      </w:pPr>
      <w:r>
        <w:t>v.</w:t>
      </w:r>
    </w:p>
    <w:p w:rsidR="00313559" w:rsidP="00313559">
      <w:pPr>
        <w:tabs>
          <w:tab w:val="left" w:pos="1440"/>
          <w:tab w:val="left" w:pos="4680"/>
          <w:tab w:val="center" w:pos="7200"/>
        </w:tabs>
        <w:spacing w:after="0"/>
        <w:jc w:val="center"/>
      </w:pPr>
      <w:r>
        <w:t>KEENAN PROPERTIES, INC.,</w:t>
      </w:r>
    </w:p>
    <w:p w:rsidR="00313559" w:rsidP="00313559">
      <w:pPr>
        <w:tabs>
          <w:tab w:val="left" w:pos="1440"/>
          <w:tab w:val="left" w:pos="4680"/>
          <w:tab w:val="center" w:pos="7200"/>
        </w:tabs>
        <w:spacing w:after="0"/>
        <w:jc w:val="center"/>
      </w:pPr>
      <w:r>
        <w:t>Defendant and Appellant.</w:t>
      </w:r>
    </w:p>
    <w:p w:rsidR="00313559" w:rsidP="00313559">
      <w:pPr>
        <w:tabs>
          <w:tab w:val="left" w:pos="1440"/>
          <w:tab w:val="left" w:pos="4680"/>
          <w:tab w:val="center" w:pos="7200"/>
        </w:tabs>
        <w:spacing w:after="0"/>
        <w:jc w:val="center"/>
      </w:pPr>
    </w:p>
    <w:p w:rsidR="00313559" w:rsidP="00313559">
      <w:pPr>
        <w:tabs>
          <w:tab w:val="left" w:pos="1440"/>
          <w:tab w:val="left" w:pos="4680"/>
          <w:tab w:val="center" w:pos="7200"/>
        </w:tabs>
        <w:spacing w:after="0"/>
        <w:jc w:val="center"/>
      </w:pPr>
      <w:r>
        <w:t>S253295</w:t>
      </w:r>
    </w:p>
    <w:p w:rsidR="00313559" w:rsidP="00313559">
      <w:pPr>
        <w:tabs>
          <w:tab w:val="left" w:pos="1440"/>
          <w:tab w:val="left" w:pos="4680"/>
          <w:tab w:val="center" w:pos="7200"/>
        </w:tabs>
        <w:spacing w:after="0"/>
        <w:jc w:val="center"/>
      </w:pPr>
    </w:p>
    <w:p w:rsidR="00313559" w:rsidP="00313559">
      <w:pPr>
        <w:tabs>
          <w:tab w:val="left" w:pos="1440"/>
          <w:tab w:val="left" w:pos="4680"/>
          <w:tab w:val="center" w:pos="7200"/>
        </w:tabs>
        <w:spacing w:after="0"/>
        <w:jc w:val="center"/>
      </w:pPr>
      <w:r>
        <w:t>First Appellate District, Division Five</w:t>
      </w:r>
    </w:p>
    <w:p w:rsidR="00313559" w:rsidP="00313559">
      <w:pPr>
        <w:tabs>
          <w:tab w:val="left" w:pos="1440"/>
          <w:tab w:val="left" w:pos="4680"/>
          <w:tab w:val="center" w:pos="7200"/>
        </w:tabs>
        <w:spacing w:after="0"/>
        <w:jc w:val="center"/>
      </w:pPr>
      <w:r>
        <w:t>A152692</w:t>
      </w:r>
    </w:p>
    <w:p w:rsidR="00313559" w:rsidP="00313559">
      <w:pPr>
        <w:tabs>
          <w:tab w:val="left" w:pos="1440"/>
          <w:tab w:val="left" w:pos="4680"/>
          <w:tab w:val="center" w:pos="7200"/>
        </w:tabs>
        <w:spacing w:after="0"/>
        <w:jc w:val="center"/>
      </w:pPr>
    </w:p>
    <w:p w:rsidR="00313559" w:rsidP="00313559">
      <w:pPr>
        <w:tabs>
          <w:tab w:val="left" w:pos="1440"/>
          <w:tab w:val="left" w:pos="4680"/>
          <w:tab w:val="center" w:pos="7200"/>
        </w:tabs>
        <w:spacing w:after="0"/>
        <w:jc w:val="center"/>
      </w:pPr>
      <w:r>
        <w:t>Alameda County Superior Court</w:t>
      </w:r>
    </w:p>
    <w:p w:rsidR="00313559" w:rsidP="00313559">
      <w:pPr>
        <w:tabs>
          <w:tab w:val="left" w:pos="1440"/>
          <w:tab w:val="left" w:pos="4680"/>
          <w:tab w:val="center" w:pos="7200"/>
        </w:tabs>
        <w:spacing w:after="0"/>
        <w:jc w:val="center"/>
      </w:pPr>
      <w:r>
        <w:t>RG16838191</w:t>
      </w:r>
    </w:p>
    <w:p w:rsidR="00313559" w:rsidP="00313559">
      <w:pPr>
        <w:pBdr>
          <w:bottom w:val="single" w:sz="4" w:space="1" w:color="auto"/>
        </w:pBdr>
        <w:tabs>
          <w:tab w:val="left" w:pos="1440"/>
          <w:tab w:val="left" w:pos="4680"/>
          <w:tab w:val="center" w:pos="7200"/>
        </w:tabs>
        <w:spacing w:after="0"/>
        <w:jc w:val="center"/>
      </w:pPr>
    </w:p>
    <w:p w:rsidR="00313559" w:rsidP="00313559">
      <w:pPr>
        <w:tabs>
          <w:tab w:val="left" w:pos="1440"/>
          <w:tab w:val="left" w:pos="4680"/>
          <w:tab w:val="center" w:pos="7200"/>
        </w:tabs>
        <w:spacing w:after="0"/>
        <w:jc w:val="center"/>
      </w:pPr>
    </w:p>
    <w:p w:rsidR="00313559" w:rsidP="00313559">
      <w:pPr>
        <w:tabs>
          <w:tab w:val="left" w:pos="1440"/>
          <w:tab w:val="left" w:pos="4680"/>
          <w:tab w:val="center" w:pos="7200"/>
        </w:tabs>
        <w:spacing w:after="0"/>
        <w:jc w:val="center"/>
      </w:pPr>
      <w:r>
        <w:t>May 21</w:t>
      </w:r>
      <w:r>
        <w:t>, 2020</w:t>
      </w:r>
    </w:p>
    <w:p w:rsidR="00313559" w:rsidP="00313559">
      <w:pPr>
        <w:tabs>
          <w:tab w:val="left" w:pos="1440"/>
          <w:tab w:val="left" w:pos="4680"/>
          <w:tab w:val="center" w:pos="7200"/>
        </w:tabs>
        <w:spacing w:after="0"/>
        <w:jc w:val="center"/>
      </w:pPr>
    </w:p>
    <w:p w:rsidR="00313559" w:rsidP="00313559">
      <w:pPr>
        <w:tabs>
          <w:tab w:val="left" w:pos="1440"/>
          <w:tab w:val="left" w:pos="4680"/>
          <w:tab w:val="center" w:pos="7200"/>
        </w:tabs>
        <w:spacing w:after="0"/>
        <w:jc w:val="left"/>
      </w:pPr>
      <w:r>
        <w:t xml:space="preserve">Justice Corrigan authored the opinion of the Court, in which </w:t>
      </w:r>
      <w:r w:rsidR="00037367">
        <w:t>Chief Justice Cantil-Sakauye and Justices Chin, Liu, Cuéllar, Kruger, and Groban</w:t>
      </w:r>
      <w:r>
        <w:t xml:space="preserve"> concurred.  </w:t>
      </w:r>
    </w:p>
    <w:p w:rsidR="00313559" w:rsidRPr="00313559" w:rsidP="00313559">
      <w:pPr>
        <w:pBdr>
          <w:bottom w:val="single" w:sz="4" w:space="1" w:color="auto"/>
        </w:pBdr>
        <w:tabs>
          <w:tab w:val="left" w:pos="1440"/>
          <w:tab w:val="left" w:pos="4680"/>
          <w:tab w:val="center" w:pos="7200"/>
        </w:tabs>
        <w:spacing w:line="480" w:lineRule="atLeast"/>
        <w:jc w:val="left"/>
      </w:pPr>
      <w:bookmarkStart w:id="2" w:name="Return"/>
      <w:bookmarkEnd w:id="2"/>
    </w:p>
    <w:p w:rsidR="00313559" w:rsidP="00D5190A">
      <w:pPr>
        <w:tabs>
          <w:tab w:val="left" w:pos="1440"/>
          <w:tab w:val="left" w:pos="4680"/>
          <w:tab w:val="center" w:pos="7200"/>
        </w:tabs>
        <w:spacing w:line="480" w:lineRule="atLeast"/>
        <w:sectPr w:rsidSect="00313559">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313559" w:rsidP="00313559">
      <w:pPr>
        <w:tabs>
          <w:tab w:val="left" w:pos="1440"/>
          <w:tab w:val="left" w:pos="4680"/>
          <w:tab w:val="center" w:pos="7200"/>
        </w:tabs>
        <w:jc w:val="center"/>
      </w:pPr>
      <w:r>
        <w:t>HART v. KEENAN PROPERTIES, INC.,</w:t>
      </w:r>
    </w:p>
    <w:p w:rsidR="00313559" w:rsidP="00313559">
      <w:pPr>
        <w:tabs>
          <w:tab w:val="left" w:pos="1440"/>
          <w:tab w:val="left" w:pos="4680"/>
          <w:tab w:val="center" w:pos="7200"/>
        </w:tabs>
        <w:jc w:val="center"/>
      </w:pPr>
      <w:r>
        <w:t>S253295</w:t>
      </w:r>
    </w:p>
    <w:p w:rsidR="00313559" w:rsidP="00313559">
      <w:pPr>
        <w:tabs>
          <w:tab w:val="left" w:pos="1440"/>
          <w:tab w:val="left" w:pos="4680"/>
          <w:tab w:val="center" w:pos="7200"/>
        </w:tabs>
        <w:jc w:val="center"/>
      </w:pPr>
    </w:p>
    <w:p w:rsidR="00313559" w:rsidP="00313559">
      <w:pPr>
        <w:tabs>
          <w:tab w:val="left" w:pos="1440"/>
          <w:tab w:val="left" w:pos="4680"/>
          <w:tab w:val="center" w:pos="7200"/>
        </w:tabs>
        <w:jc w:val="center"/>
      </w:pPr>
      <w:r>
        <w:t>Opinion of the Court by Corrigan, J.</w:t>
      </w:r>
    </w:p>
    <w:p w:rsidR="00313559" w:rsidRPr="00313559" w:rsidP="00313559">
      <w:pPr>
        <w:tabs>
          <w:tab w:val="left" w:pos="1440"/>
          <w:tab w:val="left" w:pos="4680"/>
          <w:tab w:val="center" w:pos="7200"/>
        </w:tabs>
        <w:jc w:val="center"/>
      </w:pPr>
    </w:p>
    <w:p w:rsidR="00D5190A" w:rsidRPr="00313559" w:rsidP="00313559">
      <w:pPr>
        <w:tabs>
          <w:tab w:val="left" w:pos="1440"/>
        </w:tabs>
        <w:rPr>
          <w:b/>
          <w:caps/>
        </w:rPr>
      </w:pPr>
      <w:bookmarkStart w:id="3" w:name="justice"/>
      <w:bookmarkEnd w:id="3"/>
    </w:p>
    <w:p w:rsidR="00080714" w:rsidRPr="00313559" w:rsidP="00313559">
      <w:pPr>
        <w:tabs>
          <w:tab w:val="left" w:pos="1440"/>
        </w:tabs>
        <w:ind w:firstLine="720"/>
      </w:pPr>
      <w:r w:rsidRPr="00313559">
        <w:t xml:space="preserve">We granted review to determine whether a company’s name and logo </w:t>
      </w:r>
      <w:r w:rsidRPr="00313559" w:rsidR="004E11A4">
        <w:t>appearing</w:t>
      </w:r>
      <w:r w:rsidRPr="00313559">
        <w:t xml:space="preserve"> on an invoice can constitute hearsay.  </w:t>
      </w:r>
      <w:r w:rsidRPr="00313559" w:rsidR="00FE0BFB">
        <w:t>U</w:t>
      </w:r>
      <w:r w:rsidRPr="00313559">
        <w:t xml:space="preserve">nder the facts </w:t>
      </w:r>
      <w:r w:rsidRPr="00313559" w:rsidR="00FE0BFB">
        <w:t>pres</w:t>
      </w:r>
      <w:r w:rsidRPr="00313559" w:rsidR="00244253">
        <w:t>e</w:t>
      </w:r>
      <w:r w:rsidRPr="00313559" w:rsidR="00FE0BFB">
        <w:t>nted</w:t>
      </w:r>
      <w:r w:rsidRPr="00313559" w:rsidR="00F72141">
        <w:t>,</w:t>
      </w:r>
      <w:r w:rsidRPr="00313559">
        <w:t xml:space="preserve"> </w:t>
      </w:r>
      <w:r w:rsidRPr="00313559" w:rsidR="004E11A4">
        <w:t xml:space="preserve">a witness’s observation of the name and logo was circumstantial evidence of identity, not proof </w:t>
      </w:r>
      <w:r w:rsidRPr="00313559" w:rsidR="00906E02">
        <w:t>of the truth of matters asserted in the document.  Because the observation was not offered for a hearsay purpose, defendant’s hearsay objection was properly rejected.</w:t>
      </w:r>
    </w:p>
    <w:p w:rsidR="00A50135" w:rsidRPr="00313559" w:rsidP="00313559">
      <w:pPr>
        <w:pStyle w:val="Heading1"/>
      </w:pPr>
      <w:r w:rsidRPr="00313559">
        <w:t xml:space="preserve">I.  </w:t>
      </w:r>
      <w:r w:rsidRPr="00313559" w:rsidR="00255F8E">
        <w:t>FACTS</w:t>
      </w:r>
    </w:p>
    <w:p w:rsidR="00C82E82" w:rsidRPr="00313559" w:rsidP="00313559">
      <w:pPr>
        <w:tabs>
          <w:tab w:val="left" w:pos="1440"/>
        </w:tabs>
        <w:ind w:firstLine="720"/>
      </w:pPr>
      <w:bookmarkStart w:id="4" w:name="_Hlk21355651"/>
      <w:r w:rsidRPr="00313559">
        <w:t xml:space="preserve">After </w:t>
      </w:r>
      <w:r w:rsidRPr="00313559" w:rsidR="001B76B0">
        <w:t xml:space="preserve">Frank Hart </w:t>
      </w:r>
      <w:r w:rsidRPr="00313559" w:rsidR="00036524">
        <w:t>developed</w:t>
      </w:r>
      <w:r w:rsidRPr="00313559" w:rsidR="009802CC">
        <w:t xml:space="preserve"> mesothelioma</w:t>
      </w:r>
      <w:r w:rsidRPr="00313559">
        <w:t xml:space="preserve">, he </w:t>
      </w:r>
      <w:r w:rsidRPr="00313559" w:rsidR="007F4E46">
        <w:t xml:space="preserve">and </w:t>
      </w:r>
      <w:r w:rsidRPr="00313559" w:rsidR="00E0689F">
        <w:t xml:space="preserve">his wife, Cynthia, </w:t>
      </w:r>
      <w:r w:rsidRPr="00313559" w:rsidR="00036524">
        <w:t>sued</w:t>
      </w:r>
      <w:r w:rsidRPr="00313559" w:rsidR="00E0689F">
        <w:t xml:space="preserve"> Keenan Properties, Inc.</w:t>
      </w:r>
      <w:r w:rsidRPr="00313559" w:rsidR="00036524">
        <w:t xml:space="preserve"> (Keenan)</w:t>
      </w:r>
      <w:r w:rsidRPr="00313559" w:rsidR="00503022">
        <w:t xml:space="preserve"> </w:t>
      </w:r>
      <w:r w:rsidRPr="00313559" w:rsidR="00E0689F">
        <w:t xml:space="preserve">and other entities involved in the distribution </w:t>
      </w:r>
      <w:r w:rsidRPr="00313559" w:rsidR="00503022">
        <w:t xml:space="preserve">and use </w:t>
      </w:r>
      <w:r w:rsidRPr="00313559" w:rsidR="00E0689F">
        <w:t>of pipes containing asbestos</w:t>
      </w:r>
      <w:r w:rsidRPr="00313559" w:rsidR="00503022">
        <w:t>.  Only Keenan</w:t>
      </w:r>
      <w:r w:rsidRPr="00313559" w:rsidR="00036524">
        <w:t>’s</w:t>
      </w:r>
      <w:r w:rsidRPr="00313559" w:rsidR="00503022">
        <w:t xml:space="preserve"> liability is at issue</w:t>
      </w:r>
      <w:r w:rsidRPr="00313559">
        <w:t xml:space="preserve">, and </w:t>
      </w:r>
      <w:r w:rsidRPr="00313559" w:rsidR="00036524">
        <w:t xml:space="preserve">turns on whether sufficient evidence shows it was </w:t>
      </w:r>
      <w:r w:rsidRPr="00313559" w:rsidR="00906E02">
        <w:t>the</w:t>
      </w:r>
      <w:r w:rsidRPr="00313559" w:rsidR="00036524">
        <w:t xml:space="preserve"> source of </w:t>
      </w:r>
      <w:r w:rsidRPr="00313559" w:rsidR="00906E02">
        <w:t xml:space="preserve">the </w:t>
      </w:r>
      <w:r w:rsidRPr="00313559" w:rsidR="00036524">
        <w:t>pipes.</w:t>
      </w:r>
    </w:p>
    <w:p w:rsidR="00923C82" w:rsidRPr="00313559" w:rsidP="00313559">
      <w:pPr>
        <w:tabs>
          <w:tab w:val="left" w:pos="1440"/>
        </w:tabs>
        <w:ind w:firstLine="720"/>
      </w:pPr>
      <w:r w:rsidRPr="00313559">
        <w:t>From September 1976 to March 1977,</w:t>
      </w:r>
      <w:r w:rsidRPr="00313559" w:rsidR="002A79F2">
        <w:t xml:space="preserve"> </w:t>
      </w:r>
      <w:r w:rsidRPr="00313559" w:rsidR="00536C55">
        <w:t>Hart</w:t>
      </w:r>
      <w:r w:rsidRPr="00313559">
        <w:t xml:space="preserve"> </w:t>
      </w:r>
      <w:r w:rsidRPr="00313559" w:rsidR="00244253">
        <w:t>installed</w:t>
      </w:r>
      <w:r w:rsidRPr="00313559" w:rsidR="00B03508">
        <w:t xml:space="preserve"> pipes </w:t>
      </w:r>
      <w:r w:rsidRPr="00313559">
        <w:t>for Christeve Corporation (Christeve) in McKinleyville</w:t>
      </w:r>
      <w:r w:rsidRPr="00313559" w:rsidR="001B5ABC">
        <w:t xml:space="preserve">.  </w:t>
      </w:r>
      <w:r w:rsidRPr="00313559" w:rsidR="008A5B5E">
        <w:t>H</w:t>
      </w:r>
      <w:r w:rsidRPr="00313559">
        <w:t xml:space="preserve">is job involved cutting </w:t>
      </w:r>
      <w:r w:rsidRPr="00313559" w:rsidR="0032162E">
        <w:t xml:space="preserve">and beveling </w:t>
      </w:r>
      <w:r w:rsidRPr="00313559">
        <w:t xml:space="preserve">asbestos-cement pipe manufactured by </w:t>
      </w:r>
      <w:r w:rsidRPr="00313559" w:rsidR="000C1345">
        <w:t xml:space="preserve">the </w:t>
      </w:r>
      <w:r w:rsidRPr="00313559">
        <w:t xml:space="preserve">Johns-Manville Corporation (Johns-Manville).  </w:t>
      </w:r>
      <w:r w:rsidRPr="00313559" w:rsidR="00B03508">
        <w:t>Although the process released dust, Hart worked without respiratory protection.</w:t>
      </w:r>
      <w:r w:rsidRPr="00313559" w:rsidR="0032162E">
        <w:t xml:space="preserve">  </w:t>
      </w:r>
    </w:p>
    <w:p w:rsidR="00DD2C2C" w:rsidRPr="00313559" w:rsidP="00313559">
      <w:pPr>
        <w:tabs>
          <w:tab w:val="left" w:pos="1440"/>
        </w:tabs>
        <w:ind w:firstLine="720"/>
      </w:pPr>
      <w:r w:rsidRPr="00313559">
        <w:t>Keenan Pipe and Supply</w:t>
      </w:r>
      <w:r w:rsidRPr="00313559" w:rsidR="00244253">
        <w:t>,</w:t>
      </w:r>
      <w:r w:rsidRPr="00313559">
        <w:t xml:space="preserve"> a </w:t>
      </w:r>
      <w:r w:rsidRPr="00313559" w:rsidR="002E267C">
        <w:t xml:space="preserve">wholesale </w:t>
      </w:r>
      <w:r w:rsidRPr="00313559">
        <w:t>distributor</w:t>
      </w:r>
      <w:r w:rsidRPr="00313559" w:rsidR="00244253">
        <w:t>,</w:t>
      </w:r>
      <w:r w:rsidRPr="00313559">
        <w:t xml:space="preserve"> </w:t>
      </w:r>
      <w:r w:rsidRPr="00313559" w:rsidR="000C1345">
        <w:t>sold asbestos-cement pipe between 1965 and 1983</w:t>
      </w:r>
      <w:r w:rsidRPr="00313559" w:rsidR="004F5034">
        <w:t xml:space="preserve">.  </w:t>
      </w:r>
      <w:r w:rsidRPr="00313559" w:rsidR="002E267C">
        <w:t>In 1977, it changed its name to Keenan Supply</w:t>
      </w:r>
      <w:r w:rsidRPr="00313559" w:rsidR="006838F5">
        <w:t>.</w:t>
      </w:r>
      <w:r w:rsidRPr="00313559" w:rsidR="000E436B">
        <w:t xml:space="preserve"> </w:t>
      </w:r>
      <w:r w:rsidRPr="00313559" w:rsidR="002E267C">
        <w:t xml:space="preserve"> </w:t>
      </w:r>
      <w:r w:rsidRPr="00313559" w:rsidR="000C1345">
        <w:t xml:space="preserve">The logo for both Keenan Pipe and Supply and Keenan Supply was the letter “K” drawn </w:t>
      </w:r>
      <w:r w:rsidRPr="00313559" w:rsidR="000C1345">
        <w:t>to resemble a straight pipe and an angled pipe, enclosed in a circle.</w:t>
      </w:r>
      <w:r>
        <w:rPr>
          <w:rStyle w:val="FootnoteReference"/>
        </w:rPr>
        <w:footnoteReference w:id="3"/>
      </w:r>
      <w:r w:rsidRPr="00313559" w:rsidR="000C1345">
        <w:t xml:space="preserve">  </w:t>
      </w:r>
      <w:r w:rsidRPr="00313559" w:rsidR="00415DA3">
        <w:t xml:space="preserve">Successor </w:t>
      </w:r>
      <w:r w:rsidRPr="00313559" w:rsidR="00222098">
        <w:t xml:space="preserve">Keenan </w:t>
      </w:r>
      <w:r w:rsidRPr="00313559" w:rsidR="00415DA3">
        <w:t xml:space="preserve">retained no sales </w:t>
      </w:r>
      <w:r w:rsidRPr="00313559" w:rsidR="00244253">
        <w:t xml:space="preserve">records </w:t>
      </w:r>
      <w:r w:rsidRPr="00313559" w:rsidR="00415DA3">
        <w:t xml:space="preserve">or invoices from the relevant period.  Its representative </w:t>
      </w:r>
      <w:r w:rsidRPr="00313559" w:rsidR="000C671B">
        <w:t xml:space="preserve">testified </w:t>
      </w:r>
      <w:r w:rsidRPr="00313559" w:rsidR="00415DA3">
        <w:t xml:space="preserve">the company logo </w:t>
      </w:r>
      <w:r w:rsidRPr="00313559" w:rsidR="000C671B">
        <w:t>was originally rendered in green and white, then changed in the 1970s to red and white</w:t>
      </w:r>
      <w:r w:rsidRPr="00313559" w:rsidR="008F373E">
        <w:t>.  The witness also acknowledged what appeared to be a copy of a Keenan invoice, which bore Keenan’s name and logo.  He agreed that Keenan would have sent a sales invoice to its customers.</w:t>
      </w:r>
      <w:r w:rsidRPr="00313559" w:rsidR="007C675B">
        <w:t xml:space="preserve"> </w:t>
      </w:r>
    </w:p>
    <w:p w:rsidR="00222098" w:rsidRPr="00313559" w:rsidP="00313559">
      <w:pPr>
        <w:tabs>
          <w:tab w:val="left" w:pos="1440"/>
        </w:tabs>
        <w:ind w:firstLine="720"/>
      </w:pPr>
      <w:r w:rsidRPr="00313559">
        <w:t xml:space="preserve">Christeve’s bookkeeper, Olga Mitrovich, </w:t>
      </w:r>
      <w:r w:rsidRPr="00313559" w:rsidR="00550B4E">
        <w:t xml:space="preserve">testified that </w:t>
      </w:r>
      <w:r w:rsidRPr="00313559" w:rsidR="00700FFD">
        <w:t xml:space="preserve">when </w:t>
      </w:r>
      <w:r w:rsidRPr="00313559">
        <w:t>Christeve closed in 200</w:t>
      </w:r>
      <w:r w:rsidRPr="00313559" w:rsidR="00BC2739">
        <w:t>1</w:t>
      </w:r>
      <w:r w:rsidRPr="00313559" w:rsidR="00A71DC3">
        <w:t>,</w:t>
      </w:r>
      <w:r w:rsidRPr="00313559" w:rsidR="00550B4E">
        <w:t xml:space="preserve"> </w:t>
      </w:r>
      <w:r w:rsidRPr="00313559" w:rsidR="00612C06">
        <w:t xml:space="preserve">she </w:t>
      </w:r>
      <w:r w:rsidRPr="00313559" w:rsidR="00BB76C2">
        <w:t>retained</w:t>
      </w:r>
      <w:r w:rsidRPr="00313559">
        <w:t xml:space="preserve"> no documents related to the McKinleyville project.  </w:t>
      </w:r>
      <w:r w:rsidRPr="00313559" w:rsidR="00A71DC3">
        <w:t>She</w:t>
      </w:r>
      <w:r w:rsidRPr="00313559" w:rsidR="00F51602">
        <w:t xml:space="preserve"> remember</w:t>
      </w:r>
      <w:r w:rsidRPr="00313559" w:rsidR="00A71DC3">
        <w:t>ed</w:t>
      </w:r>
      <w:r w:rsidRPr="00313559" w:rsidR="00F51602">
        <w:t xml:space="preserve"> the logo of Keenan Pipe and Supply as “the K with a circle around it.”  Asked why, she replied: </w:t>
      </w:r>
      <w:r w:rsidR="008A4D6C">
        <w:t xml:space="preserve"> </w:t>
      </w:r>
      <w:r w:rsidRPr="00313559" w:rsidR="00F51602">
        <w:t>“Because I know that we dealt with them</w:t>
      </w:r>
      <w:r w:rsidRPr="00313559" w:rsidR="00A6262F">
        <w:t>,</w:t>
      </w:r>
      <w:r w:rsidRPr="00313559" w:rsidR="00F51602">
        <w:t xml:space="preserve"> and [the logo] was unique, and I like it.”</w:t>
      </w:r>
      <w:r w:rsidRPr="00313559" w:rsidR="00DD2C2C">
        <w:t xml:space="preserve">  </w:t>
      </w:r>
    </w:p>
    <w:p w:rsidR="00D92CAB" w:rsidRPr="00313559" w:rsidP="00313559">
      <w:pPr>
        <w:tabs>
          <w:tab w:val="left" w:pos="1440"/>
        </w:tabs>
        <w:ind w:firstLine="720"/>
      </w:pPr>
      <w:r w:rsidRPr="00313559">
        <w:t>Foreman John Glamuzina was Hart’s supervisor from January to March 1977</w:t>
      </w:r>
      <w:r w:rsidRPr="00313559">
        <w:t>.</w:t>
      </w:r>
      <w:r>
        <w:rPr>
          <w:rStyle w:val="FootnoteReference"/>
        </w:rPr>
        <w:footnoteReference w:id="4"/>
      </w:r>
      <w:r w:rsidRPr="00313559">
        <w:t xml:space="preserve">  </w:t>
      </w:r>
      <w:r w:rsidRPr="00313559">
        <w:t xml:space="preserve">He was familiar with asbestos-cement </w:t>
      </w:r>
      <w:r w:rsidRPr="00313559">
        <w:t>pipe, and recalled that it was used on the McKinleyville project.</w:t>
      </w:r>
      <w:r w:rsidRPr="00313559" w:rsidR="0073279D">
        <w:t xml:space="preserve">  </w:t>
      </w:r>
      <w:r w:rsidRPr="00313559" w:rsidR="003C739C">
        <w:t xml:space="preserve">Glamuzina </w:t>
      </w:r>
      <w:r w:rsidRPr="00313559">
        <w:t xml:space="preserve">explained:  </w:t>
      </w:r>
      <w:r w:rsidRPr="00313559" w:rsidR="003C739C">
        <w:t>“</w:t>
      </w:r>
      <w:r w:rsidRPr="00313559" w:rsidR="00A6262F">
        <w:t>[</w:t>
      </w:r>
      <w:r w:rsidRPr="00313559">
        <w:t>T</w:t>
      </w:r>
      <w:r w:rsidRPr="00313559" w:rsidR="00A6262F">
        <w:t>]</w:t>
      </w:r>
      <w:r w:rsidRPr="00313559" w:rsidR="003C739C">
        <w:t xml:space="preserve">here would be different invoices to sign when the truckers would come up with a load.”  </w:t>
      </w:r>
      <w:r w:rsidRPr="00313559">
        <w:t xml:space="preserve">When he received materials delivered to the worksite, </w:t>
      </w:r>
      <w:r w:rsidRPr="00313559">
        <w:t xml:space="preserve">he </w:t>
      </w:r>
      <w:r w:rsidRPr="00313559" w:rsidR="002C7A2B">
        <w:t xml:space="preserve">“would just check the load for my </w:t>
      </w:r>
      <w:r w:rsidRPr="00313559" w:rsidR="00DD2FDA">
        <w:t xml:space="preserve">eight-inch pipe, shorts or whatever came </w:t>
      </w:r>
      <w:r w:rsidRPr="00313559" w:rsidR="00A6262F">
        <w:t>on</w:t>
      </w:r>
      <w:r w:rsidRPr="00313559" w:rsidR="00DD2FDA">
        <w:t xml:space="preserve"> the pipe, that’s all I would check on that.”  He would also check the invoices to make sure the supplies listed matched what was being delivered.  </w:t>
      </w:r>
      <w:r w:rsidRPr="00313559">
        <w:t xml:space="preserve">If the information </w:t>
      </w:r>
      <w:r w:rsidRPr="00313559" w:rsidR="00791DD0">
        <w:t>was correct</w:t>
      </w:r>
      <w:r w:rsidRPr="00313559">
        <w:t>, he signed the invoice</w:t>
      </w:r>
      <w:r w:rsidRPr="00313559" w:rsidR="00791DD0">
        <w:t xml:space="preserve"> and</w:t>
      </w:r>
      <w:r w:rsidRPr="00313559">
        <w:t xml:space="preserve"> retained a copy, </w:t>
      </w:r>
      <w:r w:rsidRPr="00313559" w:rsidR="00791DD0">
        <w:t xml:space="preserve">which he </w:t>
      </w:r>
      <w:r w:rsidRPr="00313559">
        <w:t xml:space="preserve">turned in to the </w:t>
      </w:r>
      <w:r w:rsidRPr="00313559" w:rsidR="00791DD0">
        <w:t>site</w:t>
      </w:r>
      <w:r w:rsidRPr="00313559" w:rsidR="00B83D24">
        <w:t xml:space="preserve"> </w:t>
      </w:r>
      <w:r w:rsidRPr="00313559">
        <w:t xml:space="preserve">office.  He </w:t>
      </w:r>
      <w:r w:rsidRPr="00313559" w:rsidR="00791DD0">
        <w:t xml:space="preserve">did remember </w:t>
      </w:r>
      <w:r w:rsidRPr="00313559">
        <w:t>seeing the name “Keenan” on invoices</w:t>
      </w:r>
      <w:r w:rsidRPr="00313559" w:rsidR="00B47260">
        <w:t xml:space="preserve"> </w:t>
      </w:r>
      <w:r w:rsidRPr="00313559" w:rsidR="00EC17F8">
        <w:t>but could not “recall exactly” how Keenan’s name was printed</w:t>
      </w:r>
      <w:r w:rsidRPr="00313559" w:rsidR="00582BF8">
        <w:t xml:space="preserve"> </w:t>
      </w:r>
      <w:r w:rsidRPr="00313559" w:rsidR="008E37AA">
        <w:t xml:space="preserve">or how many times he saw </w:t>
      </w:r>
      <w:r w:rsidRPr="00313559" w:rsidR="00791DD0">
        <w:t>the</w:t>
      </w:r>
      <w:r w:rsidRPr="00313559" w:rsidR="008E37AA">
        <w:t xml:space="preserve"> name on invoices.</w:t>
      </w:r>
      <w:r w:rsidRPr="00313559" w:rsidR="00EC17F8">
        <w:t xml:space="preserve">  He testified he did not see names of any other suppliers and </w:t>
      </w:r>
      <w:r w:rsidRPr="00313559" w:rsidR="007F658A">
        <w:t xml:space="preserve">explained that “[w]hen you’re working </w:t>
      </w:r>
      <w:r w:rsidRPr="00313559" w:rsidR="00A6262F">
        <w:t xml:space="preserve">out </w:t>
      </w:r>
      <w:r w:rsidRPr="00313559" w:rsidR="007F658A">
        <w:t>in the field, you’re in a hurry . . . </w:t>
      </w:r>
      <w:r w:rsidRPr="00313559" w:rsidR="00EC17F8">
        <w:t>.</w:t>
      </w:r>
      <w:r w:rsidRPr="00313559" w:rsidR="007F658A">
        <w:t>”</w:t>
      </w:r>
      <w:r w:rsidRPr="00313559" w:rsidR="00EC17F8">
        <w:t xml:space="preserve">  </w:t>
      </w:r>
      <w:r w:rsidRPr="00313559" w:rsidR="00A71DC3">
        <w:t>When a</w:t>
      </w:r>
      <w:r w:rsidRPr="00313559">
        <w:t xml:space="preserve">sked why “Keenan sticks out in your mind,” he </w:t>
      </w:r>
      <w:r w:rsidRPr="00313559" w:rsidR="00F52504">
        <w:t>replied</w:t>
      </w:r>
      <w:r w:rsidRPr="00313559" w:rsidR="0074444F">
        <w:t xml:space="preserve">: </w:t>
      </w:r>
      <w:r w:rsidRPr="00313559">
        <w:t xml:space="preserve"> “Just the way the </w:t>
      </w:r>
      <w:r w:rsidRPr="00313559" w:rsidR="004906CF">
        <w:t xml:space="preserve">— </w:t>
      </w:r>
      <w:r w:rsidRPr="00313559">
        <w:t xml:space="preserve">their K and stuff is all </w:t>
      </w:r>
      <w:r w:rsidRPr="00313559" w:rsidR="004906CF">
        <w:t xml:space="preserve">— </w:t>
      </w:r>
      <w:r w:rsidRPr="00313559">
        <w:t>I don’t know.”</w:t>
      </w:r>
      <w:r w:rsidRPr="00313559" w:rsidR="00CF6FA1">
        <w:rPr>
          <w:vertAlign w:val="superscript"/>
        </w:rPr>
        <w:t xml:space="preserve"> </w:t>
      </w:r>
      <w:r w:rsidRPr="00313559" w:rsidR="00CF6FA1">
        <w:t xml:space="preserve"> </w:t>
      </w:r>
      <w:r w:rsidRPr="00313559" w:rsidR="00B14936">
        <w:t xml:space="preserve"> </w:t>
      </w:r>
    </w:p>
    <w:p w:rsidR="00AE36AA" w:rsidRPr="00313559" w:rsidP="00313559">
      <w:pPr>
        <w:tabs>
          <w:tab w:val="left" w:pos="1440"/>
        </w:tabs>
        <w:ind w:firstLine="720"/>
      </w:pPr>
      <w:r w:rsidRPr="00313559">
        <w:t xml:space="preserve">Keenan moved to exclude </w:t>
      </w:r>
      <w:r w:rsidRPr="00313559" w:rsidR="0016101F">
        <w:t xml:space="preserve">any reference </w:t>
      </w:r>
      <w:r w:rsidRPr="00313559">
        <w:t xml:space="preserve">by Glamuzina </w:t>
      </w:r>
      <w:r w:rsidRPr="00313559" w:rsidR="0016101F">
        <w:t>to Keenan invoices</w:t>
      </w:r>
      <w:r w:rsidRPr="00313559" w:rsidR="0074444F">
        <w:t xml:space="preserve">. </w:t>
      </w:r>
      <w:r w:rsidRPr="00313559" w:rsidR="005F0EBF">
        <w:t xml:space="preserve"> </w:t>
      </w:r>
      <w:r w:rsidRPr="00313559" w:rsidR="0074444F">
        <w:t>It argued, inter alia, that any reference to “Keen</w:t>
      </w:r>
      <w:r w:rsidRPr="00313559" w:rsidR="00923C82">
        <w:t>a</w:t>
      </w:r>
      <w:r w:rsidRPr="00313559" w:rsidR="0074444F">
        <w:t>n” on the invoices constituted inadmissible hearsay.</w:t>
      </w:r>
      <w:r>
        <w:rPr>
          <w:rStyle w:val="FootnoteReference"/>
        </w:rPr>
        <w:footnoteReference w:id="5"/>
      </w:r>
      <w:r w:rsidRPr="00313559">
        <w:t xml:space="preserve"> </w:t>
      </w:r>
      <w:r w:rsidRPr="00313559" w:rsidR="00AA3DC1">
        <w:t xml:space="preserve"> </w:t>
      </w:r>
      <w:r w:rsidRPr="00313559" w:rsidR="0074444F">
        <w:t>The court rejected Keenan’s hearsay argument</w:t>
      </w:r>
      <w:r w:rsidRPr="00313559">
        <w:t>, giving two reasons.  First it held the evidence was not hearsay but merely circumstantial evidence of identity</w:t>
      </w:r>
      <w:r w:rsidRPr="00313559" w:rsidR="0074444F">
        <w:t xml:space="preserve">.  </w:t>
      </w:r>
      <w:r w:rsidRPr="00313559">
        <w:t xml:space="preserve">Second, even if hearsay, the evidence fell under an exception as the statement of a party opponent.  </w:t>
      </w:r>
      <w:r w:rsidRPr="00313559" w:rsidR="00827084">
        <w:t xml:space="preserve">It admitted Glamuzina’s testimony </w:t>
      </w:r>
      <w:r w:rsidRPr="00313559" w:rsidR="00B476C0">
        <w:t xml:space="preserve">as to </w:t>
      </w:r>
      <w:r w:rsidR="0058086E">
        <w:t xml:space="preserve">the name and logo he saw printed </w:t>
      </w:r>
      <w:r w:rsidRPr="00313559" w:rsidR="00B476C0">
        <w:t>on the</w:t>
      </w:r>
      <w:r w:rsidRPr="00313559" w:rsidR="00B476C0">
        <w:rPr>
          <w:i/>
        </w:rPr>
        <w:t xml:space="preserve"> </w:t>
      </w:r>
      <w:r w:rsidRPr="00313559" w:rsidR="00B476C0">
        <w:t xml:space="preserve">invoices given to him when pipes </w:t>
      </w:r>
      <w:r w:rsidRPr="00313559" w:rsidR="00B476C0">
        <w:t xml:space="preserve">were delivered.  </w:t>
      </w:r>
      <w:r w:rsidR="00EA520E">
        <w:t xml:space="preserve">Keenan did not request a limiting instruction on the </w:t>
      </w:r>
      <w:r w:rsidR="005E65A2">
        <w:t>permissible</w:t>
      </w:r>
      <w:r w:rsidR="00EA520E">
        <w:t xml:space="preserve"> </w:t>
      </w:r>
      <w:r w:rsidR="005E65A2">
        <w:t xml:space="preserve">consideration of </w:t>
      </w:r>
      <w:r w:rsidR="00EA520E">
        <w:t>Glamuzina’s testimony.</w:t>
      </w:r>
    </w:p>
    <w:p w:rsidR="00875AF7" w:rsidRPr="00313559" w:rsidP="00313559">
      <w:pPr>
        <w:tabs>
          <w:tab w:val="left" w:pos="1440"/>
        </w:tabs>
        <w:ind w:firstLine="720"/>
      </w:pPr>
      <w:r w:rsidRPr="00313559">
        <w:t xml:space="preserve">The jury returned a plaintiff’s verdict, </w:t>
      </w:r>
      <w:r w:rsidRPr="00313559" w:rsidR="008943EB">
        <w:t>with</w:t>
      </w:r>
      <w:r w:rsidRPr="00313559">
        <w:t xml:space="preserve"> a special finding that Hart was exposed to asbestos from pipe supplied by Keen</w:t>
      </w:r>
      <w:r w:rsidRPr="00313559" w:rsidR="00B95D90">
        <w:t>a</w:t>
      </w:r>
      <w:r w:rsidRPr="00313559">
        <w:t>n.  Following apportionment of fault and settlements by other defendants, a judgment of $1,626,5</w:t>
      </w:r>
      <w:r w:rsidRPr="00313559" w:rsidR="00EB088A">
        <w:t>1</w:t>
      </w:r>
      <w:r w:rsidRPr="00313559">
        <w:t>7.82 was entered against Kee</w:t>
      </w:r>
      <w:r w:rsidRPr="00313559" w:rsidR="00B95D90">
        <w:t>n</w:t>
      </w:r>
      <w:r w:rsidRPr="00313559">
        <w:t>an.</w:t>
      </w:r>
      <w:r w:rsidRPr="00313559" w:rsidR="00792F4B">
        <w:t xml:space="preserve">  </w:t>
      </w:r>
    </w:p>
    <w:p w:rsidR="00792F4B" w:rsidRPr="00313559" w:rsidP="00313559">
      <w:pPr>
        <w:tabs>
          <w:tab w:val="left" w:pos="1440"/>
        </w:tabs>
        <w:ind w:firstLine="720"/>
      </w:pPr>
      <w:r w:rsidRPr="00313559">
        <w:t>The Court of Appeal reversed</w:t>
      </w:r>
      <w:r w:rsidRPr="00313559" w:rsidR="00B476C0">
        <w:t>, concluding Glamuzina’s descriptions of the invoices were hearsay</w:t>
      </w:r>
      <w:r w:rsidRPr="00313559" w:rsidR="008A22D0">
        <w:t xml:space="preserve">. </w:t>
      </w:r>
      <w:r w:rsidRPr="00313559">
        <w:t xml:space="preserve"> </w:t>
      </w:r>
      <w:r w:rsidRPr="00313559" w:rsidR="00184650">
        <w:t>(</w:t>
      </w:r>
      <w:r w:rsidRPr="00313559" w:rsidR="00184650">
        <w:rPr>
          <w:i/>
        </w:rPr>
        <w:t>Hart v. Keenan Properties, Inc</w:t>
      </w:r>
      <w:r w:rsidRPr="00313559" w:rsidR="00184650">
        <w:t>. (2018) 29 Cal.App.5th 203</w:t>
      </w:r>
      <w:r w:rsidRPr="00313559" w:rsidR="00EB088A">
        <w:t xml:space="preserve">, </w:t>
      </w:r>
      <w:r w:rsidRPr="00313559" w:rsidR="00B476C0">
        <w:t>213</w:t>
      </w:r>
      <w:r w:rsidRPr="00313559" w:rsidR="00184650">
        <w:t xml:space="preserve">.)  </w:t>
      </w:r>
      <w:r w:rsidRPr="00313559" w:rsidR="00B476C0">
        <w:t xml:space="preserve">We apply a different analysis to that question and reverse the </w:t>
      </w:r>
      <w:r w:rsidRPr="00313559" w:rsidR="00FD6CD1">
        <w:t>judgment</w:t>
      </w:r>
      <w:r w:rsidRPr="00313559">
        <w:t xml:space="preserve"> </w:t>
      </w:r>
      <w:r w:rsidRPr="00313559" w:rsidR="008E736E">
        <w:t>of the Court of Appeal</w:t>
      </w:r>
      <w:r w:rsidRPr="00313559">
        <w:t>.</w:t>
      </w:r>
    </w:p>
    <w:p w:rsidR="00A50135" w:rsidRPr="00313559" w:rsidP="00313559">
      <w:pPr>
        <w:pStyle w:val="Heading1"/>
      </w:pPr>
      <w:bookmarkEnd w:id="4"/>
      <w:r w:rsidRPr="00313559">
        <w:t xml:space="preserve">II.  </w:t>
      </w:r>
      <w:r w:rsidRPr="00313559">
        <w:t>DISCUSSION</w:t>
      </w:r>
    </w:p>
    <w:p w:rsidR="00AE36AA" w:rsidRPr="00313559" w:rsidP="00313559">
      <w:pPr>
        <w:tabs>
          <w:tab w:val="left" w:pos="1440"/>
        </w:tabs>
        <w:ind w:firstLine="720"/>
      </w:pPr>
      <w:r w:rsidRPr="00313559">
        <w:t>Hearsay is an out</w:t>
      </w:r>
      <w:r w:rsidRPr="00313559" w:rsidR="00557303">
        <w:t>-</w:t>
      </w:r>
      <w:r w:rsidRPr="00313559">
        <w:t>of</w:t>
      </w:r>
      <w:r w:rsidRPr="00313559" w:rsidR="00557303">
        <w:t>-</w:t>
      </w:r>
      <w:r w:rsidRPr="00313559">
        <w:t>court statement offered to prove the truth of its content.</w:t>
      </w:r>
      <w:r>
        <w:rPr>
          <w:rStyle w:val="FootnoteReference"/>
        </w:rPr>
        <w:footnoteReference w:id="6"/>
      </w:r>
      <w:r w:rsidRPr="00313559">
        <w:t xml:space="preserve">  (</w:t>
      </w:r>
      <w:r w:rsidRPr="00313559">
        <w:rPr>
          <w:i/>
          <w:iCs/>
          <w:color w:val="000000"/>
          <w:szCs w:val="26"/>
          <w:bdr w:val="none" w:sz="0" w:space="0" w:color="auto" w:frame="1"/>
        </w:rPr>
        <w:t>People v. Sanchez</w:t>
      </w:r>
      <w:r w:rsidRPr="00313559">
        <w:rPr>
          <w:color w:val="000000"/>
          <w:szCs w:val="26"/>
        </w:rPr>
        <w:t xml:space="preserve"> (2016) 63 Cal.4th 665, 674.)  </w:t>
      </w:r>
      <w:r w:rsidRPr="00313559">
        <w:t>Section 225</w:t>
      </w:r>
      <w:r w:rsidRPr="00313559" w:rsidR="00062625">
        <w:t xml:space="preserve"> defines the term </w:t>
      </w:r>
      <w:r w:rsidRPr="00313559">
        <w:t xml:space="preserve">“statement” as either “oral or written verbal expression” </w:t>
      </w:r>
      <w:r w:rsidRPr="00313559">
        <w:rPr>
          <w:iCs/>
        </w:rPr>
        <w:t>or</w:t>
      </w:r>
      <w:r w:rsidRPr="00313559">
        <w:t xml:space="preserve"> “nonverbal conduct of a person intended by him as a substitute for oral or written verbal expression.”  Verbal expression means “relating to, or expressed in words.”  (Garner, Dict. of Modern American Usage (1998) p. 676; see also Black’s Law Dict. (11th ed. 2019) p. 1870.)  Non-verbal expression refers to “conduct intended as a substitute for </w:t>
      </w:r>
      <w:r w:rsidRPr="00313559" w:rsidR="00AE2951">
        <w:t xml:space="preserve">the </w:t>
      </w:r>
      <w:r w:rsidRPr="00313559">
        <w:t>actual use of words.”  (</w:t>
      </w:r>
      <w:r w:rsidRPr="00313559">
        <w:rPr>
          <w:i/>
          <w:iCs/>
        </w:rPr>
        <w:t>People v. Gonzalez</w:t>
      </w:r>
      <w:r w:rsidRPr="00313559">
        <w:t xml:space="preserve"> (2017) 2 Cal.5th 1138, 1143, fn. omitted.)</w:t>
      </w:r>
      <w:r w:rsidRPr="00313559" w:rsidR="00062625">
        <w:t xml:space="preserve">  </w:t>
      </w:r>
      <w:r w:rsidRPr="00313559">
        <w:t xml:space="preserve">A document </w:t>
      </w:r>
      <w:r w:rsidRPr="00313559" w:rsidR="00062625">
        <w:t xml:space="preserve">is generally a form of written verbal expression.  If it is prepared </w:t>
      </w:r>
      <w:r w:rsidRPr="00313559">
        <w:t>before trial and offered to prove the truth of the words it contains</w:t>
      </w:r>
      <w:r w:rsidRPr="00313559" w:rsidR="00062625">
        <w:t xml:space="preserve">, it </w:t>
      </w:r>
      <w:r w:rsidRPr="00313559">
        <w:t>is hearsay</w:t>
      </w:r>
      <w:r w:rsidRPr="00313559">
        <w:t>.</w:t>
      </w:r>
    </w:p>
    <w:p w:rsidR="00AE36AA" w:rsidRPr="00313559" w:rsidP="00313559">
      <w:pPr>
        <w:tabs>
          <w:tab w:val="left" w:pos="1440"/>
        </w:tabs>
        <w:ind w:firstLine="720"/>
      </w:pPr>
      <w:r w:rsidRPr="00313559">
        <w:t xml:space="preserve">As noted, the trial court relied on alternate theories </w:t>
      </w:r>
      <w:r w:rsidRPr="00313559" w:rsidR="008943EB">
        <w:t>to</w:t>
      </w:r>
      <w:r w:rsidRPr="00313559">
        <w:t xml:space="preserve"> admit Glamuzina’s </w:t>
      </w:r>
      <w:r w:rsidRPr="00313559" w:rsidR="00672452">
        <w:t xml:space="preserve">testimony about </w:t>
      </w:r>
      <w:r w:rsidRPr="00313559" w:rsidR="00F0504D">
        <w:t>the content of</w:t>
      </w:r>
      <w:r w:rsidRPr="00313559" w:rsidR="00672452">
        <w:t xml:space="preserve"> the invoices.  First, it concluded that Glamuzina did not convey hearsay, because the name and logo were not offered to prove the truth of any statement contained in the invoice.  Instead, his observations were circumstantial evidence of Keenan’s identity as the source of the pipes.  </w:t>
      </w:r>
      <w:r w:rsidRPr="00313559" w:rsidR="00C526E3">
        <w:t>Based on the facts here, the court was correct.  As a result, we do not further consider the alternative basis for its ruling</w:t>
      </w:r>
      <w:r w:rsidRPr="00313559" w:rsidR="00F0504D">
        <w:t>.</w:t>
      </w:r>
    </w:p>
    <w:p w:rsidR="00672452" w:rsidRPr="00313559" w:rsidP="00313559">
      <w:pPr>
        <w:pStyle w:val="Heading2"/>
        <w:numPr>
          <w:ilvl w:val="0"/>
          <w:numId w:val="4"/>
        </w:numPr>
      </w:pPr>
      <w:r w:rsidRPr="00313559">
        <w:t xml:space="preserve">Relevance When </w:t>
      </w:r>
      <w:r w:rsidRPr="00313559" w:rsidR="005A6D88">
        <w:t>N</w:t>
      </w:r>
      <w:r w:rsidRPr="00313559">
        <w:t>ot Offered for Truth of Content</w:t>
      </w:r>
    </w:p>
    <w:p w:rsidR="00672452" w:rsidRPr="00313559" w:rsidP="00313559">
      <w:pPr>
        <w:tabs>
          <w:tab w:val="left" w:pos="1440"/>
        </w:tabs>
        <w:ind w:firstLine="720"/>
        <w:rPr>
          <w:szCs w:val="26"/>
        </w:rPr>
      </w:pPr>
      <w:r w:rsidRPr="00313559">
        <w:rPr>
          <w:szCs w:val="26"/>
        </w:rPr>
        <w:t xml:space="preserve">“When evidence that certain words were spoken or written is admitted to prove that the words were uttered </w:t>
      </w:r>
      <w:r w:rsidRPr="00313559" w:rsidR="00602590">
        <w:rPr>
          <w:szCs w:val="26"/>
        </w:rPr>
        <w:t xml:space="preserve">[or written] </w:t>
      </w:r>
      <w:r w:rsidRPr="00313559">
        <w:rPr>
          <w:szCs w:val="26"/>
        </w:rPr>
        <w:t>and not to prove their truth, the evidence is not hearsay.  (</w:t>
      </w:r>
      <w:r w:rsidRPr="00313559">
        <w:rPr>
          <w:i/>
          <w:szCs w:val="26"/>
        </w:rPr>
        <w:t>People v. Smith</w:t>
      </w:r>
      <w:r w:rsidR="00FE2E44">
        <w:rPr>
          <w:szCs w:val="26"/>
        </w:rPr>
        <w:t>[</w:t>
      </w:r>
      <w:r w:rsidRPr="00313559">
        <w:rPr>
          <w:szCs w:val="26"/>
        </w:rPr>
        <w:t xml:space="preserve"> (2002)</w:t>
      </w:r>
      <w:r w:rsidR="00FE2E44">
        <w:rPr>
          <w:szCs w:val="26"/>
        </w:rPr>
        <w:t>]</w:t>
      </w:r>
      <w:r w:rsidRPr="00313559">
        <w:rPr>
          <w:szCs w:val="26"/>
        </w:rPr>
        <w:t xml:space="preserve"> 179 Cal.App.4th 986, 1003</w:t>
      </w:r>
      <w:r w:rsidR="00FE2E44">
        <w:rPr>
          <w:szCs w:val="26"/>
        </w:rPr>
        <w:t xml:space="preserve"> . . .</w:t>
      </w:r>
      <w:r w:rsidR="00072582">
        <w:rPr>
          <w:szCs w:val="26"/>
        </w:rPr>
        <w:t xml:space="preserve"> .) </w:t>
      </w:r>
      <w:r w:rsidR="00FE2E44">
        <w:rPr>
          <w:szCs w:val="26"/>
        </w:rPr>
        <w:t xml:space="preserve"> </w:t>
      </w:r>
      <w:r w:rsidRPr="00313559">
        <w:rPr>
          <w:szCs w:val="26"/>
        </w:rPr>
        <w:t>(</w:t>
      </w:r>
      <w:r w:rsidRPr="00313559" w:rsidR="005A6D88">
        <w:rPr>
          <w:szCs w:val="26"/>
        </w:rPr>
        <w:t>T</w:t>
      </w:r>
      <w:r w:rsidRPr="00313559">
        <w:rPr>
          <w:szCs w:val="26"/>
        </w:rPr>
        <w:t>ext cited with approv</w:t>
      </w:r>
      <w:r w:rsidRPr="00313559" w:rsidR="00A91234">
        <w:rPr>
          <w:szCs w:val="26"/>
        </w:rPr>
        <w:t xml:space="preserve">al </w:t>
      </w:r>
      <w:r w:rsidRPr="00313559">
        <w:rPr>
          <w:szCs w:val="26"/>
        </w:rPr>
        <w:t xml:space="preserve">in </w:t>
      </w:r>
      <w:r w:rsidRPr="00313559">
        <w:rPr>
          <w:i/>
          <w:szCs w:val="26"/>
        </w:rPr>
        <w:t>People v. Armstrong</w:t>
      </w:r>
      <w:r w:rsidR="009D6BC7">
        <w:rPr>
          <w:iCs/>
          <w:szCs w:val="26"/>
        </w:rPr>
        <w:t xml:space="preserve"> </w:t>
      </w:r>
      <w:r w:rsidR="00FE2E44">
        <w:rPr>
          <w:szCs w:val="26"/>
        </w:rPr>
        <w:t>[</w:t>
      </w:r>
      <w:r w:rsidRPr="00313559">
        <w:rPr>
          <w:szCs w:val="26"/>
        </w:rPr>
        <w:t xml:space="preserve"> (2019)</w:t>
      </w:r>
      <w:r w:rsidR="00FE2E44">
        <w:rPr>
          <w:szCs w:val="26"/>
        </w:rPr>
        <w:t>]</w:t>
      </w:r>
      <w:r w:rsidRPr="00313559">
        <w:rPr>
          <w:szCs w:val="26"/>
        </w:rPr>
        <w:t xml:space="preserve"> 6 Cal.5th 735, 786</w:t>
      </w:r>
      <w:r w:rsidR="00FE2E44">
        <w:rPr>
          <w:szCs w:val="26"/>
        </w:rPr>
        <w:t xml:space="preserve"> . . . </w:t>
      </w:r>
      <w:r w:rsidRPr="00313559" w:rsidR="005A6D88">
        <w:rPr>
          <w:szCs w:val="26"/>
        </w:rPr>
        <w:t>.)  ‘The first and most basic requirement for apply</w:t>
      </w:r>
      <w:r w:rsidRPr="00313559" w:rsidR="000402EB">
        <w:rPr>
          <w:szCs w:val="26"/>
        </w:rPr>
        <w:t>ing</w:t>
      </w:r>
      <w:r w:rsidRPr="00313559" w:rsidR="005A6D88">
        <w:rPr>
          <w:szCs w:val="26"/>
        </w:rPr>
        <w:t xml:space="preserve"> the not-for-the-truth limitation . . . is that the out-of-court statement must be offered for some purpose </w:t>
      </w:r>
      <w:r w:rsidRPr="00313559" w:rsidR="005A6D88">
        <w:rPr>
          <w:i/>
          <w:iCs/>
          <w:szCs w:val="26"/>
        </w:rPr>
        <w:t>independent</w:t>
      </w:r>
      <w:r w:rsidRPr="00313559" w:rsidR="005A6D88">
        <w:rPr>
          <w:szCs w:val="26"/>
        </w:rPr>
        <w:t xml:space="preserve"> of the truth of the matters it asserts. </w:t>
      </w:r>
      <w:r w:rsidRPr="00313559" w:rsidR="00F0504D">
        <w:rPr>
          <w:szCs w:val="26"/>
        </w:rPr>
        <w:t xml:space="preserve"> </w:t>
      </w:r>
      <w:r w:rsidRPr="00313559" w:rsidR="005A6D88">
        <w:rPr>
          <w:szCs w:val="26"/>
        </w:rPr>
        <w:t>That means that the statement must be capable of serving its nonhearsay purpose regardless of whether the jury believes the matters asserted to be true.  [Citations.]</w:t>
      </w:r>
      <w:r w:rsidRPr="00313559" w:rsidR="004928C8">
        <w:rPr>
          <w:szCs w:val="26"/>
        </w:rPr>
        <w:t>’</w:t>
      </w:r>
      <w:r w:rsidRPr="00313559" w:rsidR="005A6D88">
        <w:rPr>
          <w:szCs w:val="26"/>
        </w:rPr>
        <w:t xml:space="preserve">  (</w:t>
      </w:r>
      <w:r w:rsidRPr="00313559" w:rsidR="005A6D88">
        <w:rPr>
          <w:i/>
          <w:szCs w:val="26"/>
        </w:rPr>
        <w:t>People v. Hopson</w:t>
      </w:r>
      <w:r w:rsidR="002E3F61">
        <w:rPr>
          <w:iCs/>
          <w:szCs w:val="26"/>
        </w:rPr>
        <w:t xml:space="preserve"> </w:t>
      </w:r>
      <w:r w:rsidR="00FE2E44">
        <w:rPr>
          <w:szCs w:val="26"/>
        </w:rPr>
        <w:t>[</w:t>
      </w:r>
      <w:r w:rsidRPr="00313559" w:rsidR="005A6D88">
        <w:rPr>
          <w:szCs w:val="26"/>
        </w:rPr>
        <w:t>(2017)</w:t>
      </w:r>
      <w:r w:rsidR="00FE2E44">
        <w:rPr>
          <w:szCs w:val="26"/>
        </w:rPr>
        <w:t>]</w:t>
      </w:r>
      <w:r w:rsidRPr="00313559" w:rsidR="005A6D88">
        <w:rPr>
          <w:szCs w:val="26"/>
        </w:rPr>
        <w:t xml:space="preserve"> 3 Cal.5th 424, 432</w:t>
      </w:r>
      <w:r w:rsidR="00FE2E44">
        <w:rPr>
          <w:szCs w:val="26"/>
        </w:rPr>
        <w:t xml:space="preserve"> . . .</w:t>
      </w:r>
      <w:r w:rsidR="002E3F61">
        <w:rPr>
          <w:szCs w:val="26"/>
        </w:rPr>
        <w:t> </w:t>
      </w:r>
      <w:r w:rsidRPr="00313559" w:rsidR="005A6D88">
        <w:rPr>
          <w:szCs w:val="26"/>
        </w:rPr>
        <w:t>.)”  (Simons, Cal. Evid. Manual (2020)</w:t>
      </w:r>
      <w:r w:rsidR="00FE2E44">
        <w:rPr>
          <w:szCs w:val="26"/>
        </w:rPr>
        <w:t xml:space="preserve"> Hearsay Evidence,</w:t>
      </w:r>
      <w:r w:rsidRPr="00313559" w:rsidR="005A6D88">
        <w:rPr>
          <w:szCs w:val="26"/>
        </w:rPr>
        <w:t xml:space="preserve"> § 2:5, p. 84.)</w:t>
      </w:r>
      <w:r w:rsidRPr="00313559" w:rsidR="008E736E">
        <w:rPr>
          <w:szCs w:val="26"/>
        </w:rPr>
        <w:t xml:space="preserve">  </w:t>
      </w:r>
      <w:r w:rsidRPr="00313559" w:rsidR="00AE2951">
        <w:rPr>
          <w:szCs w:val="26"/>
        </w:rPr>
        <w:t>For example, s</w:t>
      </w:r>
      <w:r w:rsidRPr="00313559" w:rsidR="008E736E">
        <w:rPr>
          <w:szCs w:val="26"/>
        </w:rPr>
        <w:t>uppose A hit B after B said</w:t>
      </w:r>
      <w:r w:rsidR="00DC64EF">
        <w:rPr>
          <w:szCs w:val="26"/>
        </w:rPr>
        <w:t>,</w:t>
      </w:r>
      <w:r w:rsidR="00FE2E44">
        <w:rPr>
          <w:szCs w:val="26"/>
        </w:rPr>
        <w:t xml:space="preserve"> </w:t>
      </w:r>
      <w:r w:rsidRPr="00313559" w:rsidR="008E736E">
        <w:rPr>
          <w:szCs w:val="26"/>
        </w:rPr>
        <w:t>“</w:t>
      </w:r>
      <w:r w:rsidRPr="00313559" w:rsidR="00602590">
        <w:rPr>
          <w:szCs w:val="26"/>
        </w:rPr>
        <w:t>Y</w:t>
      </w:r>
      <w:r w:rsidRPr="00313559" w:rsidR="008E736E">
        <w:rPr>
          <w:szCs w:val="26"/>
        </w:rPr>
        <w:t>ou’re stupid.”  B’s out</w:t>
      </w:r>
      <w:r w:rsidRPr="00313559" w:rsidR="00557303">
        <w:rPr>
          <w:szCs w:val="26"/>
        </w:rPr>
        <w:t>-</w:t>
      </w:r>
      <w:r w:rsidRPr="00313559" w:rsidR="008E736E">
        <w:rPr>
          <w:szCs w:val="26"/>
        </w:rPr>
        <w:t>of</w:t>
      </w:r>
      <w:r w:rsidRPr="00313559" w:rsidR="00557303">
        <w:rPr>
          <w:szCs w:val="26"/>
        </w:rPr>
        <w:t>-</w:t>
      </w:r>
      <w:r w:rsidRPr="00313559" w:rsidR="008E736E">
        <w:rPr>
          <w:szCs w:val="26"/>
        </w:rPr>
        <w:t>court statement assert</w:t>
      </w:r>
      <w:r w:rsidRPr="00313559" w:rsidR="00C526E3">
        <w:rPr>
          <w:szCs w:val="26"/>
        </w:rPr>
        <w:t>s</w:t>
      </w:r>
      <w:r w:rsidRPr="00313559" w:rsidR="008E736E">
        <w:rPr>
          <w:szCs w:val="26"/>
        </w:rPr>
        <w:t xml:space="preserve"> that A is stupid.  If those words are offered to prove that A is, indeed, stupid</w:t>
      </w:r>
      <w:r w:rsidRPr="00313559" w:rsidR="00C526E3">
        <w:rPr>
          <w:szCs w:val="26"/>
        </w:rPr>
        <w:t>,</w:t>
      </w:r>
      <w:r w:rsidRPr="00313559" w:rsidR="008E736E">
        <w:rPr>
          <w:szCs w:val="26"/>
        </w:rPr>
        <w:t xml:space="preserve"> they constitute hearsay and would be inadmissible unless they fell under a</w:t>
      </w:r>
      <w:r w:rsidRPr="00313559" w:rsidR="00AE2951">
        <w:rPr>
          <w:szCs w:val="26"/>
        </w:rPr>
        <w:t xml:space="preserve"> hearsay</w:t>
      </w:r>
      <w:r w:rsidRPr="00313559" w:rsidR="008E736E">
        <w:rPr>
          <w:szCs w:val="26"/>
        </w:rPr>
        <w:t xml:space="preserve"> exception.  </w:t>
      </w:r>
      <w:r w:rsidRPr="00313559" w:rsidR="00883556">
        <w:rPr>
          <w:szCs w:val="26"/>
        </w:rPr>
        <w:t xml:space="preserve">However, those same words might be admissible for a non-hearsay purpose: </w:t>
      </w:r>
      <w:r w:rsidR="008A4D6C">
        <w:rPr>
          <w:szCs w:val="26"/>
        </w:rPr>
        <w:t xml:space="preserve"> </w:t>
      </w:r>
      <w:r w:rsidRPr="00313559" w:rsidR="00883556">
        <w:rPr>
          <w:szCs w:val="26"/>
        </w:rPr>
        <w:t xml:space="preserve">to prove that A had a motive to assault B.  </w:t>
      </w:r>
      <w:bookmarkStart w:id="5" w:name="_Hlk39823036"/>
      <w:r w:rsidRPr="00313559" w:rsidR="00883556">
        <w:rPr>
          <w:szCs w:val="26"/>
        </w:rPr>
        <w:t xml:space="preserve">The distinction turns not on the words themselves, but what they are offered to prove.  The concept can prove analytically </w:t>
      </w:r>
      <w:r w:rsidR="004B0D8B">
        <w:rPr>
          <w:szCs w:val="26"/>
        </w:rPr>
        <w:t>elusive</w:t>
      </w:r>
      <w:r w:rsidRPr="00313559" w:rsidR="00883556">
        <w:rPr>
          <w:szCs w:val="26"/>
        </w:rPr>
        <w:t xml:space="preserve"> when the words themselves also make an assertion. (See </w:t>
      </w:r>
      <w:r w:rsidR="0054315D">
        <w:rPr>
          <w:szCs w:val="26"/>
        </w:rPr>
        <w:t xml:space="preserve">1 </w:t>
      </w:r>
      <w:r w:rsidRPr="00313559" w:rsidR="00883556">
        <w:rPr>
          <w:szCs w:val="26"/>
        </w:rPr>
        <w:t xml:space="preserve">Witkin, Cal. </w:t>
      </w:r>
      <w:r w:rsidRPr="00313559" w:rsidR="0054315D">
        <w:rPr>
          <w:szCs w:val="26"/>
        </w:rPr>
        <w:t>Evid</w:t>
      </w:r>
      <w:r w:rsidR="0054315D">
        <w:rPr>
          <w:szCs w:val="26"/>
        </w:rPr>
        <w:t>ence</w:t>
      </w:r>
      <w:r w:rsidRPr="00313559" w:rsidR="00883556">
        <w:rPr>
          <w:szCs w:val="26"/>
        </w:rPr>
        <w:t xml:space="preserve"> (5th ed. 2018) Hearsay</w:t>
      </w:r>
      <w:r w:rsidR="0054315D">
        <w:rPr>
          <w:szCs w:val="26"/>
        </w:rPr>
        <w:t>,</w:t>
      </w:r>
      <w:r w:rsidRPr="00313559" w:rsidR="00883556">
        <w:rPr>
          <w:szCs w:val="26"/>
        </w:rPr>
        <w:t xml:space="preserve"> § 37, p. 832 [“The distinction between the</w:t>
      </w:r>
      <w:r w:rsidR="00835ACE">
        <w:rPr>
          <w:szCs w:val="26"/>
        </w:rPr>
        <w:t>se</w:t>
      </w:r>
      <w:r w:rsidRPr="00313559" w:rsidR="00883556">
        <w:rPr>
          <w:szCs w:val="26"/>
        </w:rPr>
        <w:t xml:space="preserve"> two uses of the evidence is not always readily apparent”]</w:t>
      </w:r>
      <w:r w:rsidR="00835ACE">
        <w:rPr>
          <w:szCs w:val="26"/>
        </w:rPr>
        <w:t>.</w:t>
      </w:r>
      <w:r w:rsidRPr="00313559" w:rsidR="00883556">
        <w:rPr>
          <w:szCs w:val="26"/>
        </w:rPr>
        <w:t>)</w:t>
      </w:r>
      <w:bookmarkEnd w:id="5"/>
      <w:r w:rsidRPr="00313559" w:rsidR="00883556">
        <w:rPr>
          <w:szCs w:val="26"/>
        </w:rPr>
        <w:t xml:space="preserve">  If the words are admitted for a non-hearsay purpose the jury is not allowed to consider the truth of any substantive assertion, and is often instructed to that effect.</w:t>
      </w:r>
    </w:p>
    <w:p w:rsidR="005A6D88" w:rsidRPr="00313559" w:rsidP="00313559">
      <w:pPr>
        <w:tabs>
          <w:tab w:val="left" w:pos="1440"/>
        </w:tabs>
        <w:ind w:firstLine="720"/>
        <w:rPr>
          <w:szCs w:val="26"/>
        </w:rPr>
      </w:pPr>
      <w:r w:rsidRPr="00313559">
        <w:rPr>
          <w:szCs w:val="26"/>
        </w:rPr>
        <w:t xml:space="preserve">Otherwise competent evidence must also be relevant.  </w:t>
      </w:r>
      <w:r w:rsidRPr="00313559" w:rsidR="00883556">
        <w:rPr>
          <w:szCs w:val="26"/>
        </w:rPr>
        <w:t>So</w:t>
      </w:r>
      <w:r w:rsidRPr="00313559" w:rsidR="006D6BF8">
        <w:rPr>
          <w:szCs w:val="26"/>
        </w:rPr>
        <w:t xml:space="preserve">, the non-truth purpose for which a statement is offered must be relevant.  </w:t>
      </w:r>
      <w:r w:rsidRPr="00313559" w:rsidR="00883556">
        <w:rPr>
          <w:szCs w:val="26"/>
        </w:rPr>
        <w:t>Evidence is relevant if it has a “tendency in reason to prove or disprove any disputed fact that is of consequence to the determination of the action.”  (</w:t>
      </w:r>
      <w:r w:rsidRPr="00313559" w:rsidR="00602590">
        <w:t>§ </w:t>
      </w:r>
      <w:r w:rsidRPr="00313559" w:rsidR="00883556">
        <w:rPr>
          <w:szCs w:val="26"/>
        </w:rPr>
        <w:t>210.)  D</w:t>
      </w:r>
      <w:r w:rsidRPr="00313559">
        <w:rPr>
          <w:szCs w:val="26"/>
        </w:rPr>
        <w:t xml:space="preserve">ocuments and other items found at a location may be relevant to show a person has a connection with that place.  </w:t>
      </w:r>
      <w:r w:rsidRPr="00313559" w:rsidR="00E73D38">
        <w:rPr>
          <w:i/>
          <w:szCs w:val="26"/>
        </w:rPr>
        <w:t>People v. Goodall</w:t>
      </w:r>
      <w:r w:rsidRPr="00313559" w:rsidR="00E73D38">
        <w:rPr>
          <w:szCs w:val="26"/>
        </w:rPr>
        <w:t xml:space="preserve"> (1982) </w:t>
      </w:r>
      <w:r w:rsidRPr="00313559" w:rsidR="007314C5">
        <w:rPr>
          <w:szCs w:val="26"/>
        </w:rPr>
        <w:t>131 Cal.App.3d 129</w:t>
      </w:r>
      <w:r w:rsidRPr="00313559" w:rsidR="00AE5F01">
        <w:rPr>
          <w:szCs w:val="26"/>
        </w:rPr>
        <w:t xml:space="preserve"> </w:t>
      </w:r>
      <w:r w:rsidRPr="00313559" w:rsidR="007314C5">
        <w:rPr>
          <w:szCs w:val="26"/>
        </w:rPr>
        <w:t xml:space="preserve">held that various items, including documents, were admissible to show Goodall was linked to a home where drugs were manufactured.  Evidence recovered at the site included a summons, various receipts, and Goodall’s driver’s license, as well as photographs of her at the residence.  </w:t>
      </w:r>
      <w:r w:rsidRPr="00313559" w:rsidR="006D6BF8">
        <w:rPr>
          <w:szCs w:val="26"/>
        </w:rPr>
        <w:t xml:space="preserve">The court held that the documents were relevant regardless of the truth of their content.  </w:t>
      </w:r>
      <w:r w:rsidRPr="00313559" w:rsidR="007314C5">
        <w:rPr>
          <w:szCs w:val="26"/>
        </w:rPr>
        <w:t xml:space="preserve">“Without considering the documents for the truth of the matter stated therein, it is relevant that documents bearing appellant’s name or other items </w:t>
      </w:r>
      <w:r w:rsidR="00FE2E44">
        <w:rPr>
          <w:szCs w:val="26"/>
        </w:rPr>
        <w:t>reasonably</w:t>
      </w:r>
      <w:r w:rsidRPr="00313559" w:rsidR="007314C5">
        <w:rPr>
          <w:szCs w:val="26"/>
        </w:rPr>
        <w:t xml:space="preserve"> identifiable as appellant’s were found at the residence. . . . </w:t>
      </w:r>
      <w:r w:rsidRPr="00313559" w:rsidR="00317B94">
        <w:rPr>
          <w:szCs w:val="26"/>
        </w:rPr>
        <w:t xml:space="preserve"> The jury could infer that these items would not have been so located unless [Goodall]” had sufficient connection with the site to exercise control or was aware of the illicit activity there.  (</w:t>
      </w:r>
      <w:r w:rsidRPr="00313559" w:rsidR="00317B94">
        <w:rPr>
          <w:i/>
          <w:szCs w:val="26"/>
        </w:rPr>
        <w:t>Id</w:t>
      </w:r>
      <w:r w:rsidRPr="00313559" w:rsidR="00317B94">
        <w:rPr>
          <w:szCs w:val="26"/>
        </w:rPr>
        <w:t xml:space="preserve">. at p. 143.) </w:t>
      </w:r>
    </w:p>
    <w:p w:rsidR="006D6BF8" w:rsidRPr="00313559" w:rsidP="00313559">
      <w:pPr>
        <w:tabs>
          <w:tab w:val="left" w:pos="1440"/>
        </w:tabs>
        <w:ind w:firstLine="720"/>
        <w:rPr>
          <w:szCs w:val="26"/>
        </w:rPr>
      </w:pPr>
      <w:r w:rsidRPr="00313559">
        <w:rPr>
          <w:szCs w:val="26"/>
        </w:rPr>
        <w:t xml:space="preserve">The Harts rely principally on the similar case of </w:t>
      </w:r>
      <w:r w:rsidRPr="00313559">
        <w:rPr>
          <w:i/>
          <w:szCs w:val="26"/>
        </w:rPr>
        <w:t>People v. Williams</w:t>
      </w:r>
      <w:r w:rsidRPr="00313559">
        <w:rPr>
          <w:szCs w:val="26"/>
        </w:rPr>
        <w:t xml:space="preserve"> (1992) 3 Cal.App.4th 1535 (</w:t>
      </w:r>
      <w:r w:rsidRPr="00313559">
        <w:rPr>
          <w:i/>
          <w:szCs w:val="26"/>
        </w:rPr>
        <w:t>Williams</w:t>
      </w:r>
      <w:r w:rsidRPr="00313559">
        <w:rPr>
          <w:szCs w:val="26"/>
        </w:rPr>
        <w:t xml:space="preserve">).  Williams sought to establish standing to challenge an apartment search by offering proof he lived there.  He called the searching officer who had recovered a fishing license and </w:t>
      </w:r>
      <w:r w:rsidRPr="00313559">
        <w:rPr>
          <w:szCs w:val="26"/>
        </w:rPr>
        <w:t xml:space="preserve">a </w:t>
      </w:r>
      <w:r w:rsidRPr="00313559">
        <w:rPr>
          <w:szCs w:val="26"/>
        </w:rPr>
        <w:t>paycheck made out to him.  Both documents</w:t>
      </w:r>
      <w:r w:rsidRPr="00313559">
        <w:rPr>
          <w:szCs w:val="26"/>
        </w:rPr>
        <w:t>, bearing</w:t>
      </w:r>
      <w:r w:rsidRPr="00313559">
        <w:rPr>
          <w:szCs w:val="26"/>
        </w:rPr>
        <w:t xml:space="preserve"> </w:t>
      </w:r>
      <w:r w:rsidRPr="00313559">
        <w:rPr>
          <w:szCs w:val="26"/>
        </w:rPr>
        <w:t>the defendant’s</w:t>
      </w:r>
      <w:r w:rsidRPr="00313559">
        <w:rPr>
          <w:szCs w:val="26"/>
        </w:rPr>
        <w:t xml:space="preserve"> name and the apartment address</w:t>
      </w:r>
      <w:r w:rsidRPr="00313559">
        <w:rPr>
          <w:szCs w:val="26"/>
        </w:rPr>
        <w:t xml:space="preserve">, </w:t>
      </w:r>
      <w:r w:rsidRPr="00313559">
        <w:rPr>
          <w:szCs w:val="26"/>
        </w:rPr>
        <w:t xml:space="preserve">were recovered from a dresser in </w:t>
      </w:r>
      <w:r w:rsidRPr="00313559" w:rsidR="008E736E">
        <w:rPr>
          <w:szCs w:val="26"/>
        </w:rPr>
        <w:t>the</w:t>
      </w:r>
      <w:r w:rsidRPr="00313559">
        <w:rPr>
          <w:szCs w:val="26"/>
        </w:rPr>
        <w:t xml:space="preserve"> bedroom where contraband was found. “The trial court opined that the documents were being offered for the truth of the matter being asserted therein — i.e., that the defendant lived at the apartment, as indicated by the address on the license and on the checks.”</w:t>
      </w:r>
      <w:r>
        <w:rPr>
          <w:rStyle w:val="FootnoteReference"/>
          <w:szCs w:val="26"/>
        </w:rPr>
        <w:footnoteReference w:id="7"/>
      </w:r>
      <w:r w:rsidRPr="00313559">
        <w:rPr>
          <w:szCs w:val="26"/>
        </w:rPr>
        <w:t xml:space="preserve">  (</w:t>
      </w:r>
      <w:r w:rsidRPr="00313559">
        <w:rPr>
          <w:i/>
          <w:szCs w:val="26"/>
        </w:rPr>
        <w:t>Id</w:t>
      </w:r>
      <w:r w:rsidRPr="00313559">
        <w:rPr>
          <w:szCs w:val="26"/>
        </w:rPr>
        <w:t>. at p. 1541</w:t>
      </w:r>
      <w:r w:rsidRPr="00313559" w:rsidR="00AE2951">
        <w:rPr>
          <w:szCs w:val="26"/>
        </w:rPr>
        <w:t>, fn. omitted</w:t>
      </w:r>
      <w:r w:rsidRPr="00313559">
        <w:rPr>
          <w:szCs w:val="26"/>
        </w:rPr>
        <w:t xml:space="preserve">.)  </w:t>
      </w:r>
    </w:p>
    <w:p w:rsidR="00317B94" w:rsidRPr="00313559" w:rsidP="00313559">
      <w:pPr>
        <w:tabs>
          <w:tab w:val="left" w:pos="1440"/>
        </w:tabs>
        <w:ind w:firstLine="720"/>
        <w:rPr>
          <w:szCs w:val="26"/>
        </w:rPr>
      </w:pPr>
      <w:r w:rsidRPr="00313559">
        <w:rPr>
          <w:szCs w:val="26"/>
        </w:rPr>
        <w:t xml:space="preserve">The Court of Appeal rejected that analysis.  It explained that even if the documents had not contained the address of the searched apartment, “the fishing </w:t>
      </w:r>
      <w:r w:rsidRPr="00313559" w:rsidR="00F35FAB">
        <w:rPr>
          <w:szCs w:val="26"/>
        </w:rPr>
        <w:t>license and two checks at issue here are more likely to be found in the residence of the person named</w:t>
      </w:r>
      <w:r w:rsidRPr="00313559" w:rsidR="00250BCD">
        <w:rPr>
          <w:szCs w:val="26"/>
        </w:rPr>
        <w:t xml:space="preserve"> on those documents</w:t>
      </w:r>
      <w:r w:rsidRPr="00313559" w:rsidR="00752372">
        <w:rPr>
          <w:szCs w:val="26"/>
        </w:rPr>
        <w:t xml:space="preserve"> than in the residence of any other person.”  (</w:t>
      </w:r>
      <w:r w:rsidRPr="00313559" w:rsidR="00D879A0">
        <w:rPr>
          <w:i/>
          <w:iCs/>
          <w:szCs w:val="26"/>
        </w:rPr>
        <w:t>Williams, supra</w:t>
      </w:r>
      <w:r w:rsidRPr="00313559" w:rsidR="00D879A0">
        <w:rPr>
          <w:iCs/>
          <w:szCs w:val="26"/>
        </w:rPr>
        <w:t xml:space="preserve">, </w:t>
      </w:r>
      <w:r w:rsidRPr="00313559" w:rsidR="00782DB1">
        <w:rPr>
          <w:szCs w:val="26"/>
        </w:rPr>
        <w:t>3 Cal.App.4th</w:t>
      </w:r>
      <w:r w:rsidRPr="00313559" w:rsidR="00752372">
        <w:rPr>
          <w:szCs w:val="26"/>
        </w:rPr>
        <w:t xml:space="preserve"> at </w:t>
      </w:r>
      <w:r w:rsidR="005D0205">
        <w:rPr>
          <w:szCs w:val="26"/>
        </w:rPr>
        <w:t xml:space="preserve">p. </w:t>
      </w:r>
      <w:r w:rsidRPr="00313559" w:rsidR="00752372">
        <w:rPr>
          <w:szCs w:val="26"/>
        </w:rPr>
        <w:t xml:space="preserve">1542.)  In other words, the license and checks were not </w:t>
      </w:r>
      <w:r w:rsidRPr="00313559" w:rsidR="00CE5C19">
        <w:rPr>
          <w:szCs w:val="26"/>
        </w:rPr>
        <w:t xml:space="preserve">admitted to prove </w:t>
      </w:r>
      <w:r w:rsidRPr="00313559" w:rsidR="006D6BF8">
        <w:rPr>
          <w:szCs w:val="26"/>
        </w:rPr>
        <w:t xml:space="preserve">what the defendant’s name was, that he </w:t>
      </w:r>
      <w:r w:rsidRPr="00313559" w:rsidR="00CE5C19">
        <w:rPr>
          <w:szCs w:val="26"/>
        </w:rPr>
        <w:t>was permitted to fish in California waters</w:t>
      </w:r>
      <w:r w:rsidRPr="00313559" w:rsidR="006D6BF8">
        <w:rPr>
          <w:szCs w:val="26"/>
        </w:rPr>
        <w:t>,</w:t>
      </w:r>
      <w:r w:rsidRPr="00313559" w:rsidR="00CE5C19">
        <w:rPr>
          <w:szCs w:val="26"/>
        </w:rPr>
        <w:t xml:space="preserve"> or that the issuers of the checks </w:t>
      </w:r>
      <w:r w:rsidRPr="00313559" w:rsidR="008E736E">
        <w:rPr>
          <w:szCs w:val="26"/>
        </w:rPr>
        <w:t>paid</w:t>
      </w:r>
      <w:r w:rsidRPr="00313559" w:rsidR="00CE5C19">
        <w:rPr>
          <w:szCs w:val="26"/>
        </w:rPr>
        <w:t xml:space="preserve"> him money in a certain amount.  Instead, the fact that documents bearing his name were found at the apartment </w:t>
      </w:r>
      <w:r w:rsidRPr="00313559" w:rsidR="00FE7DE5">
        <w:rPr>
          <w:szCs w:val="26"/>
        </w:rPr>
        <w:t>was</w:t>
      </w:r>
      <w:r w:rsidRPr="00313559" w:rsidR="008E736E">
        <w:rPr>
          <w:szCs w:val="26"/>
        </w:rPr>
        <w:t xml:space="preserve"> relevant on a different point.  They </w:t>
      </w:r>
      <w:r w:rsidRPr="00313559" w:rsidR="00CE5C19">
        <w:rPr>
          <w:szCs w:val="26"/>
        </w:rPr>
        <w:t>tended to support an inference that the person named lived there.  The items were “circumstantial evidence that a person with the same name as the defendant resided in the apartment from which they were seized.”  (</w:t>
      </w:r>
      <w:r w:rsidRPr="00313559" w:rsidR="00CE5C19">
        <w:rPr>
          <w:i/>
          <w:iCs/>
          <w:szCs w:val="26"/>
        </w:rPr>
        <w:t>Ibid</w:t>
      </w:r>
      <w:r w:rsidRPr="00313559" w:rsidR="00CE5C19">
        <w:rPr>
          <w:szCs w:val="26"/>
        </w:rPr>
        <w:t>.)</w:t>
      </w:r>
    </w:p>
    <w:p w:rsidR="00700FFD" w:rsidRPr="00313559" w:rsidP="00313559">
      <w:pPr>
        <w:tabs>
          <w:tab w:val="left" w:pos="1440"/>
        </w:tabs>
        <w:ind w:firstLine="720"/>
        <w:rPr>
          <w:szCs w:val="26"/>
        </w:rPr>
      </w:pPr>
      <w:r w:rsidRPr="00313559">
        <w:rPr>
          <w:szCs w:val="26"/>
        </w:rPr>
        <w:t xml:space="preserve">In </w:t>
      </w:r>
      <w:r w:rsidRPr="00313559">
        <w:rPr>
          <w:i/>
          <w:iCs/>
          <w:szCs w:val="26"/>
        </w:rPr>
        <w:t>Goodall</w:t>
      </w:r>
      <w:r w:rsidRPr="00313559">
        <w:rPr>
          <w:szCs w:val="26"/>
        </w:rPr>
        <w:t xml:space="preserve"> and </w:t>
      </w:r>
      <w:r w:rsidRPr="00313559">
        <w:rPr>
          <w:i/>
          <w:iCs/>
          <w:szCs w:val="26"/>
        </w:rPr>
        <w:t>Williams</w:t>
      </w:r>
      <w:r w:rsidRPr="00313559">
        <w:rPr>
          <w:szCs w:val="26"/>
        </w:rPr>
        <w:t xml:space="preserve"> the documents were relevant regardless of their truth.  </w:t>
      </w:r>
      <w:r w:rsidRPr="00313559">
        <w:rPr>
          <w:szCs w:val="26"/>
        </w:rPr>
        <w:t xml:space="preserve">It was the presence of the documents, not the truth of their content, that linked </w:t>
      </w:r>
      <w:r w:rsidRPr="00313559" w:rsidR="00FE7DE5">
        <w:rPr>
          <w:szCs w:val="26"/>
        </w:rPr>
        <w:t>those defendants</w:t>
      </w:r>
      <w:r w:rsidRPr="00313559">
        <w:rPr>
          <w:szCs w:val="26"/>
        </w:rPr>
        <w:t xml:space="preserve"> to the residences.  Even if the documents bore false aliases, they could still be evidence of the disputed link, if it could be established that Goodall and Williams used those false names.  The documents were offered to prove the link, not the truth of the words on them.  The same inference of a link could be drawn from the presence of items containing no hearsay at all, like a distinctive ring </w:t>
      </w:r>
      <w:r w:rsidRPr="00313559" w:rsidR="00F52504">
        <w:rPr>
          <w:szCs w:val="26"/>
        </w:rPr>
        <w:t xml:space="preserve">belonging to Goodall </w:t>
      </w:r>
      <w:r w:rsidRPr="00313559">
        <w:rPr>
          <w:szCs w:val="26"/>
        </w:rPr>
        <w:t>or a photo of Williams with his mother.</w:t>
      </w:r>
    </w:p>
    <w:p w:rsidR="00E667C6" w:rsidRPr="00313559" w:rsidP="00313559">
      <w:pPr>
        <w:tabs>
          <w:tab w:val="left" w:pos="1440"/>
        </w:tabs>
        <w:ind w:firstLine="720"/>
        <w:rPr>
          <w:szCs w:val="26"/>
        </w:rPr>
      </w:pPr>
      <w:r w:rsidRPr="00313559">
        <w:rPr>
          <w:szCs w:val="26"/>
        </w:rPr>
        <w:t xml:space="preserve">Here the disputed fact was whether Keenan supplied pipes for the McKinleyville project.  To prove that fact, plaintiffs had to establish a link between Keenan and the pipes Glamuzina recalled being delivered.  The appearance of the name and logo was relevant for that purpose, even if the company name and logo were not expressive of Keenan’s identity as the source.  If Keenan did not use its name and had no logo, the appearance of a document that could be shown to be theirs would be relevant evidence if offered to prove the link.  </w:t>
      </w:r>
      <w:r w:rsidRPr="00313559" w:rsidR="00911AC4">
        <w:rPr>
          <w:szCs w:val="26"/>
        </w:rPr>
        <w:t xml:space="preserve">Suppose that Glamuzina testified that the pipes were accompanied by a document bearing the legend: </w:t>
      </w:r>
      <w:r w:rsidR="008A4D6C">
        <w:rPr>
          <w:szCs w:val="26"/>
        </w:rPr>
        <w:t xml:space="preserve"> </w:t>
      </w:r>
      <w:r w:rsidRPr="00313559" w:rsidR="00911AC4">
        <w:rPr>
          <w:szCs w:val="26"/>
        </w:rPr>
        <w:t xml:space="preserve">“Best Pipes On The Planet,” and the company representative testified that Keenan printed that slogan on their invoices.  That evidence, taken together would have a tendency in reason to prove the disputed link. </w:t>
      </w:r>
      <w:r w:rsidRPr="00313559" w:rsidR="00AE2951">
        <w:rPr>
          <w:szCs w:val="26"/>
        </w:rPr>
        <w:t xml:space="preserve"> </w:t>
      </w:r>
      <w:r w:rsidRPr="00313559" w:rsidR="00E826B1">
        <w:rPr>
          <w:szCs w:val="26"/>
        </w:rPr>
        <w:t>T</w:t>
      </w:r>
      <w:r w:rsidRPr="00313559" w:rsidR="00911AC4">
        <w:rPr>
          <w:szCs w:val="26"/>
        </w:rPr>
        <w:t>he words would not be admissible to prove that Keenan’s pipes were the best on Earth, as the slogan asserted.  They would, however, be admissible as circumstantial evidence that the pipes that were delivered along with the identified invoice came from Kee</w:t>
      </w:r>
      <w:r w:rsidR="00D94EFD">
        <w:rPr>
          <w:szCs w:val="26"/>
        </w:rPr>
        <w:t>n</w:t>
      </w:r>
      <w:r w:rsidRPr="00313559" w:rsidR="00911AC4">
        <w:rPr>
          <w:szCs w:val="26"/>
        </w:rPr>
        <w:t>an.  The inference would be valid regardless of whether the assertion in the slogan is true.  It is the combination of some characteristic that makes the document identifiable and the independent evidence connecting Keenan to the identifiable document that establishes the link.  The fact that the point of identification is words is not sufficient to make the words hearsay, unless the words are offered to prove the truth of their content.</w:t>
      </w:r>
    </w:p>
    <w:p w:rsidR="00911AC4" w:rsidRPr="00313559" w:rsidP="00313559">
      <w:pPr>
        <w:tabs>
          <w:tab w:val="left" w:pos="1440"/>
        </w:tabs>
        <w:ind w:firstLine="720"/>
        <w:rPr>
          <w:szCs w:val="26"/>
        </w:rPr>
      </w:pPr>
      <w:r w:rsidRPr="00313559">
        <w:rPr>
          <w:szCs w:val="26"/>
        </w:rPr>
        <w:t xml:space="preserve">Here the link between Keenan and the pipes does not depend on the word “Keenan” being a true statement that Keenan supplied the pipes.  Instead, the link </w:t>
      </w:r>
      <w:r w:rsidR="00D94EFD">
        <w:rPr>
          <w:szCs w:val="26"/>
        </w:rPr>
        <w:t>relies on several circumstances demonstrated by the evidence.</w:t>
      </w:r>
      <w:r w:rsidRPr="00313559">
        <w:rPr>
          <w:szCs w:val="26"/>
        </w:rPr>
        <w:t xml:space="preserve">  The foreman testified that when the pipes were delivered</w:t>
      </w:r>
      <w:r w:rsidRPr="00313559" w:rsidR="00E826B1">
        <w:rPr>
          <w:szCs w:val="26"/>
        </w:rPr>
        <w:t>,</w:t>
      </w:r>
      <w:r w:rsidRPr="00313559">
        <w:rPr>
          <w:szCs w:val="26"/>
        </w:rPr>
        <w:t xml:space="preserve"> he was given an invoice bearing Keenan’s name and logo and that the invoice matched the load delivered.  Book</w:t>
      </w:r>
      <w:r w:rsidRPr="00313559" w:rsidR="00E826B1">
        <w:rPr>
          <w:szCs w:val="26"/>
        </w:rPr>
        <w:t>k</w:t>
      </w:r>
      <w:r w:rsidRPr="00313559">
        <w:rPr>
          <w:szCs w:val="26"/>
        </w:rPr>
        <w:t>eeper Mitrovich testified she would not pay for a delivery without receiving paperwork from the foreman.  Keenan’s representative identified its logo and testified that it was printed on Keenan invoices.  He also confirmed the practice of providing an invoice to customers.  Taken together</w:t>
      </w:r>
      <w:r w:rsidRPr="00313559" w:rsidR="00430627">
        <w:rPr>
          <w:szCs w:val="26"/>
        </w:rPr>
        <w:t>,</w:t>
      </w:r>
      <w:r w:rsidRPr="00313559">
        <w:rPr>
          <w:szCs w:val="26"/>
        </w:rPr>
        <w:t xml:space="preserve"> the evidence was relevant to prove the disputed link between Keenan and the pipes, regardless of the content the words on the invoice might otherwise have asserted.</w:t>
      </w:r>
    </w:p>
    <w:p w:rsidR="0029167B" w:rsidRPr="00313559" w:rsidP="00313559">
      <w:pPr>
        <w:pStyle w:val="Heading2"/>
        <w:numPr>
          <w:ilvl w:val="0"/>
          <w:numId w:val="4"/>
        </w:numPr>
      </w:pPr>
      <w:r w:rsidRPr="00313559">
        <w:t xml:space="preserve">Other Arguments by </w:t>
      </w:r>
      <w:r w:rsidRPr="00313559" w:rsidR="00653275">
        <w:t>Keenan</w:t>
      </w:r>
    </w:p>
    <w:p w:rsidR="00C6265E" w:rsidRPr="00313559" w:rsidP="00313559">
      <w:pPr>
        <w:tabs>
          <w:tab w:val="left" w:pos="1440"/>
        </w:tabs>
        <w:ind w:firstLine="720"/>
        <w:rPr>
          <w:color w:val="000000"/>
          <w:szCs w:val="26"/>
        </w:rPr>
      </w:pPr>
      <w:r w:rsidRPr="00313559">
        <w:rPr>
          <w:color w:val="000000"/>
          <w:szCs w:val="26"/>
        </w:rPr>
        <w:t xml:space="preserve">Keenan objects that the actual documents Glamuzina described were not available, and </w:t>
      </w:r>
      <w:r w:rsidRPr="00313559" w:rsidR="00B43EC8">
        <w:rPr>
          <w:color w:val="000000"/>
          <w:szCs w:val="26"/>
        </w:rPr>
        <w:t xml:space="preserve">that </w:t>
      </w:r>
      <w:r w:rsidRPr="00313559">
        <w:rPr>
          <w:color w:val="000000"/>
          <w:szCs w:val="26"/>
        </w:rPr>
        <w:t xml:space="preserve">their contents </w:t>
      </w:r>
      <w:r w:rsidRPr="00313559" w:rsidR="00B43EC8">
        <w:rPr>
          <w:color w:val="000000"/>
          <w:szCs w:val="26"/>
        </w:rPr>
        <w:t xml:space="preserve">were </w:t>
      </w:r>
      <w:r w:rsidRPr="00313559">
        <w:rPr>
          <w:color w:val="000000"/>
          <w:szCs w:val="26"/>
        </w:rPr>
        <w:t>not authenticated</w:t>
      </w:r>
      <w:r w:rsidRPr="00313559">
        <w:rPr>
          <w:color w:val="000000"/>
          <w:szCs w:val="26"/>
        </w:rPr>
        <w:t xml:space="preserve"> as required by section 1401</w:t>
      </w:r>
      <w:r w:rsidRPr="00313559">
        <w:rPr>
          <w:color w:val="000000"/>
          <w:szCs w:val="26"/>
        </w:rPr>
        <w:t xml:space="preserve">.  Those arguments </w:t>
      </w:r>
      <w:r w:rsidRPr="00313559" w:rsidR="00B716C9">
        <w:rPr>
          <w:color w:val="000000"/>
          <w:szCs w:val="26"/>
        </w:rPr>
        <w:t>are unavailing</w:t>
      </w:r>
      <w:r w:rsidRPr="00313559">
        <w:rPr>
          <w:color w:val="000000"/>
          <w:szCs w:val="26"/>
        </w:rPr>
        <w:t xml:space="preserve">.  </w:t>
      </w:r>
      <w:r w:rsidRPr="00313559" w:rsidR="00E04A1B">
        <w:rPr>
          <w:color w:val="000000"/>
          <w:szCs w:val="26"/>
        </w:rPr>
        <w:t xml:space="preserve">The absence of </w:t>
      </w:r>
      <w:r w:rsidRPr="00313559" w:rsidR="00715C14">
        <w:rPr>
          <w:color w:val="000000"/>
          <w:szCs w:val="26"/>
        </w:rPr>
        <w:t xml:space="preserve">a </w:t>
      </w:r>
      <w:r w:rsidRPr="00313559" w:rsidR="002141C0">
        <w:rPr>
          <w:color w:val="000000"/>
          <w:szCs w:val="26"/>
        </w:rPr>
        <w:t xml:space="preserve">document does not </w:t>
      </w:r>
      <w:r w:rsidRPr="00313559" w:rsidR="00D56AE2">
        <w:rPr>
          <w:color w:val="000000"/>
          <w:szCs w:val="26"/>
        </w:rPr>
        <w:t xml:space="preserve">always </w:t>
      </w:r>
      <w:r w:rsidRPr="00313559" w:rsidR="002141C0">
        <w:rPr>
          <w:color w:val="000000"/>
          <w:szCs w:val="26"/>
        </w:rPr>
        <w:t xml:space="preserve">preclude admission of its contents. </w:t>
      </w:r>
      <w:r w:rsidRPr="00313559" w:rsidR="00F8158D">
        <w:rPr>
          <w:color w:val="000000"/>
          <w:szCs w:val="26"/>
        </w:rPr>
        <w:t xml:space="preserve"> Although</w:t>
      </w:r>
      <w:r w:rsidR="00DC64EF">
        <w:rPr>
          <w:color w:val="000000"/>
          <w:szCs w:val="26"/>
        </w:rPr>
        <w:t>,</w:t>
      </w:r>
      <w:r w:rsidRPr="00313559" w:rsidR="00F8158D">
        <w:rPr>
          <w:color w:val="000000"/>
          <w:szCs w:val="26"/>
        </w:rPr>
        <w:t xml:space="preserve"> generally, “oral testimony is not admissible to prove the content of a writing” (§ 1523, subd. (a)), </w:t>
      </w:r>
      <w:r w:rsidRPr="00313559">
        <w:rPr>
          <w:color w:val="000000"/>
          <w:szCs w:val="26"/>
        </w:rPr>
        <w:t xml:space="preserve">such secondary evidence may be admitted </w:t>
      </w:r>
      <w:r w:rsidRPr="00313559" w:rsidR="00F8158D">
        <w:rPr>
          <w:color w:val="000000"/>
          <w:szCs w:val="26"/>
        </w:rPr>
        <w:t>“i</w:t>
      </w:r>
      <w:r w:rsidRPr="00313559" w:rsidR="002141C0">
        <w:rPr>
          <w:color w:val="000000"/>
          <w:szCs w:val="26"/>
        </w:rPr>
        <w:t xml:space="preserve">f </w:t>
      </w:r>
      <w:r w:rsidRPr="00313559" w:rsidR="00C5601A">
        <w:rPr>
          <w:color w:val="000000"/>
          <w:szCs w:val="26"/>
        </w:rPr>
        <w:t xml:space="preserve">the proponent does not have possession or control of a copy of the writing and the original is lost or has been destroyed without fraudulent intent </w:t>
      </w:r>
      <w:r w:rsidRPr="00313559" w:rsidR="008969F2">
        <w:rPr>
          <w:color w:val="000000"/>
          <w:szCs w:val="26"/>
        </w:rPr>
        <w:t xml:space="preserve">on the part of the proponent </w:t>
      </w:r>
      <w:r w:rsidRPr="00313559" w:rsidR="00F8158D">
        <w:rPr>
          <w:color w:val="000000"/>
          <w:szCs w:val="26"/>
        </w:rPr>
        <w:t>of the evidence.”  (</w:t>
      </w:r>
      <w:r w:rsidRPr="00313559" w:rsidR="00F8158D">
        <w:rPr>
          <w:i/>
          <w:color w:val="000000"/>
          <w:szCs w:val="26"/>
        </w:rPr>
        <w:t>Id</w:t>
      </w:r>
      <w:r w:rsidRPr="00313559" w:rsidR="00F8158D">
        <w:rPr>
          <w:color w:val="000000"/>
          <w:szCs w:val="26"/>
        </w:rPr>
        <w:t>., subd. (b)</w:t>
      </w:r>
      <w:r w:rsidRPr="00313559" w:rsidR="00D56AE2">
        <w:rPr>
          <w:color w:val="000000"/>
          <w:szCs w:val="26"/>
        </w:rPr>
        <w:t>.)  Here, the Harts never possessed the documents</w:t>
      </w:r>
      <w:r w:rsidRPr="00313559">
        <w:rPr>
          <w:color w:val="000000"/>
          <w:szCs w:val="26"/>
        </w:rPr>
        <w:t xml:space="preserve"> and were not responsible for their destruction.</w:t>
      </w:r>
    </w:p>
    <w:p w:rsidR="00E40B1E" w:rsidRPr="00313559" w:rsidP="00313559">
      <w:pPr>
        <w:tabs>
          <w:tab w:val="left" w:pos="1440"/>
        </w:tabs>
        <w:ind w:firstLine="720"/>
        <w:rPr>
          <w:color w:val="000000"/>
          <w:szCs w:val="26"/>
        </w:rPr>
      </w:pPr>
      <w:r w:rsidRPr="00313559">
        <w:rPr>
          <w:color w:val="000000"/>
          <w:szCs w:val="26"/>
        </w:rPr>
        <w:t>“Authentication is to be determined by the trial court as a preliminary fact (§ 403, subd. (a)(3)) and is statutorily defined as ‘the introduction of evidence sufficient to sustain a finding that it is the writing that the proponent of the evidence claims it is’ . . .  (§ 1400)</w:t>
      </w:r>
      <w:r w:rsidR="00DC64EF">
        <w:rPr>
          <w:color w:val="000000"/>
          <w:szCs w:val="26"/>
        </w:rPr>
        <w:t>.</w:t>
      </w:r>
      <w:r w:rsidRPr="00313559">
        <w:rPr>
          <w:color w:val="000000"/>
          <w:szCs w:val="26"/>
        </w:rPr>
        <w:t>”  (</w:t>
      </w:r>
      <w:r w:rsidRPr="00313559">
        <w:rPr>
          <w:i/>
          <w:color w:val="000000"/>
          <w:szCs w:val="26"/>
        </w:rPr>
        <w:t>People v. Goldsmith</w:t>
      </w:r>
      <w:r w:rsidRPr="00313559">
        <w:rPr>
          <w:color w:val="000000"/>
          <w:szCs w:val="26"/>
        </w:rPr>
        <w:t xml:space="preserve"> (2014) 59 Cal.4th 258, 266</w:t>
      </w:r>
      <w:r w:rsidRPr="00313559" w:rsidR="00E72B35">
        <w:rPr>
          <w:color w:val="000000"/>
          <w:szCs w:val="26"/>
        </w:rPr>
        <w:t>.</w:t>
      </w:r>
      <w:r w:rsidRPr="00313559">
        <w:rPr>
          <w:color w:val="000000"/>
          <w:szCs w:val="26"/>
        </w:rPr>
        <w:t xml:space="preserve">)  </w:t>
      </w:r>
      <w:r w:rsidRPr="00313559" w:rsidR="0029441B">
        <w:rPr>
          <w:color w:val="000000"/>
          <w:szCs w:val="26"/>
        </w:rPr>
        <w:t>“Essentially, what is necessary is a prima facie case.  ‘As long as the evidence would support a finding of authenticity, the writing is admissible.  The fact conflicting inferences can be drawn regarding authenticity goes to the document’s weight as evidence, not its admissibility.’ ”  (</w:t>
      </w:r>
      <w:r w:rsidRPr="00313559" w:rsidR="0029441B">
        <w:rPr>
          <w:i/>
          <w:color w:val="000000"/>
          <w:szCs w:val="26"/>
        </w:rPr>
        <w:t>Id</w:t>
      </w:r>
      <w:r w:rsidRPr="00313559" w:rsidR="0029441B">
        <w:rPr>
          <w:color w:val="000000"/>
          <w:szCs w:val="26"/>
        </w:rPr>
        <w:t xml:space="preserve">. at p. 267.)  </w:t>
      </w:r>
      <w:r w:rsidRPr="00313559" w:rsidR="008F527F">
        <w:rPr>
          <w:color w:val="000000"/>
          <w:szCs w:val="26"/>
        </w:rPr>
        <w:t>“</w:t>
      </w:r>
      <w:r w:rsidRPr="00313559" w:rsidR="008F527F">
        <w:rPr>
          <w:color w:val="000000"/>
          <w:szCs w:val="26"/>
          <w:shd w:val="clear" w:color="auto" w:fill="FFFFFF"/>
        </w:rPr>
        <w:t>The determination regarding the sufficiency of the foundational evidence is a matter left to the court’s discretion.  [Citation.]  Such determinations will not be disturbed on appeal unless an abuse of discretion is shown.”  (</w:t>
      </w:r>
      <w:r w:rsidRPr="00313559" w:rsidR="008F527F">
        <w:rPr>
          <w:i/>
          <w:iCs/>
          <w:color w:val="000000"/>
          <w:szCs w:val="26"/>
          <w:bdr w:val="none" w:sz="0" w:space="0" w:color="auto" w:frame="1"/>
        </w:rPr>
        <w:t>People v. Brooks</w:t>
      </w:r>
      <w:r w:rsidRPr="00313559" w:rsidR="00D177C0">
        <w:rPr>
          <w:color w:val="000000"/>
          <w:szCs w:val="26"/>
        </w:rPr>
        <w:t xml:space="preserve"> </w:t>
      </w:r>
      <w:r w:rsidRPr="00313559" w:rsidR="008F527F">
        <w:rPr>
          <w:color w:val="000000"/>
          <w:szCs w:val="26"/>
        </w:rPr>
        <w:t>(2017) 3 Cal.5th 1, 47</w:t>
      </w:r>
      <w:r w:rsidRPr="00313559" w:rsidR="00D177C0">
        <w:rPr>
          <w:color w:val="000000"/>
          <w:szCs w:val="26"/>
        </w:rPr>
        <w:t>.)</w:t>
      </w:r>
    </w:p>
    <w:p w:rsidR="00F91572" w:rsidRPr="00313559" w:rsidP="00313559">
      <w:pPr>
        <w:tabs>
          <w:tab w:val="left" w:pos="1440"/>
        </w:tabs>
        <w:ind w:firstLine="720"/>
        <w:rPr>
          <w:color w:val="000000"/>
          <w:szCs w:val="26"/>
        </w:rPr>
      </w:pPr>
      <w:r w:rsidRPr="00313559">
        <w:rPr>
          <w:color w:val="000000"/>
          <w:szCs w:val="26"/>
        </w:rPr>
        <w:t xml:space="preserve">“The means </w:t>
      </w:r>
      <w:r w:rsidRPr="00313559" w:rsidR="009D4871">
        <w:rPr>
          <w:color w:val="000000"/>
          <w:szCs w:val="26"/>
          <w:shd w:val="clear" w:color="auto" w:fill="FFFFFF"/>
        </w:rPr>
        <w:t>of authenticating a writing are not limited to those specified in the Evidence Code.  [Citations.]  For example, a writing can be authenticated by circumstantial evidence and by its contents.”  (</w:t>
      </w:r>
      <w:r w:rsidRPr="00313559" w:rsidR="009D4871">
        <w:rPr>
          <w:i/>
          <w:iCs/>
          <w:color w:val="000000"/>
          <w:szCs w:val="26"/>
          <w:bdr w:val="none" w:sz="0" w:space="0" w:color="auto" w:frame="1"/>
        </w:rPr>
        <w:t>People v. Skiles</w:t>
      </w:r>
      <w:r w:rsidRPr="00313559" w:rsidR="009D4871">
        <w:rPr>
          <w:color w:val="000000"/>
          <w:szCs w:val="26"/>
        </w:rPr>
        <w:t> (2011) 51 Cal.4th 1178, 1187</w:t>
      </w:r>
      <w:r w:rsidRPr="00313559" w:rsidR="00E728C0">
        <w:rPr>
          <w:color w:val="000000"/>
          <w:szCs w:val="26"/>
        </w:rPr>
        <w:t xml:space="preserve"> (</w:t>
      </w:r>
      <w:r w:rsidRPr="00313559" w:rsidR="00E728C0">
        <w:rPr>
          <w:i/>
          <w:color w:val="000000"/>
          <w:szCs w:val="26"/>
        </w:rPr>
        <w:t>Skiles</w:t>
      </w:r>
      <w:r w:rsidRPr="00313559" w:rsidR="00E728C0">
        <w:rPr>
          <w:color w:val="000000"/>
          <w:szCs w:val="26"/>
        </w:rPr>
        <w:t>)</w:t>
      </w:r>
      <w:r w:rsidRPr="00313559" w:rsidR="00EA4514">
        <w:rPr>
          <w:color w:val="000000"/>
          <w:szCs w:val="26"/>
        </w:rPr>
        <w:t xml:space="preserve">.)  </w:t>
      </w:r>
      <w:r w:rsidRPr="002E3F61" w:rsidR="00D8451C">
        <w:rPr>
          <w:szCs w:val="26"/>
        </w:rPr>
        <w:t xml:space="preserve">Section </w:t>
      </w:r>
      <w:r w:rsidRPr="002E3F61" w:rsidR="006D3FEB">
        <w:rPr>
          <w:szCs w:val="26"/>
        </w:rPr>
        <w:t xml:space="preserve">1410 </w:t>
      </w:r>
      <w:r w:rsidRPr="002E3F61" w:rsidR="00D8451C">
        <w:rPr>
          <w:szCs w:val="26"/>
        </w:rPr>
        <w:t xml:space="preserve">clarifies: </w:t>
      </w:r>
      <w:r w:rsidRPr="002E3F61" w:rsidR="008A4D6C">
        <w:rPr>
          <w:szCs w:val="26"/>
        </w:rPr>
        <w:t xml:space="preserve"> </w:t>
      </w:r>
      <w:r w:rsidRPr="002E3F61" w:rsidR="006D3FEB">
        <w:rPr>
          <w:szCs w:val="26"/>
          <w:shd w:val="clear" w:color="auto" w:fill="FFFFFF"/>
        </w:rPr>
        <w:t>“</w:t>
      </w:r>
      <w:r w:rsidR="00BA292B">
        <w:rPr>
          <w:szCs w:val="26"/>
          <w:shd w:val="clear" w:color="auto" w:fill="FFFFFF"/>
        </w:rPr>
        <w:t>N</w:t>
      </w:r>
      <w:r w:rsidRPr="002E3F61" w:rsidR="006D3FEB">
        <w:rPr>
          <w:szCs w:val="26"/>
          <w:shd w:val="clear" w:color="auto" w:fill="FFFFFF"/>
        </w:rPr>
        <w:t>othing in this article shall be construed to limit the means by which a writing may be authenticated or proved</w:t>
      </w:r>
      <w:r w:rsidRPr="002E3F61" w:rsidR="00D8451C">
        <w:rPr>
          <w:szCs w:val="26"/>
          <w:shd w:val="clear" w:color="auto" w:fill="FFFFFF"/>
        </w:rPr>
        <w:t>.</w:t>
      </w:r>
      <w:r w:rsidRPr="002E3F61" w:rsidR="00E72B35">
        <w:rPr>
          <w:szCs w:val="26"/>
          <w:shd w:val="clear" w:color="auto" w:fill="FFFFFF"/>
        </w:rPr>
        <w:t>”</w:t>
      </w:r>
      <w:r w:rsidRPr="00313559" w:rsidR="00D8451C">
        <w:rPr>
          <w:szCs w:val="26"/>
          <w:shd w:val="clear" w:color="auto" w:fill="FFFFFF"/>
        </w:rPr>
        <w:t xml:space="preserve">  </w:t>
      </w:r>
      <w:r w:rsidRPr="00313559" w:rsidR="00D56AE2">
        <w:rPr>
          <w:color w:val="000000"/>
          <w:szCs w:val="26"/>
        </w:rPr>
        <w:t>In</w:t>
      </w:r>
      <w:r w:rsidRPr="00313559" w:rsidR="00FB5E82">
        <w:rPr>
          <w:color w:val="000000"/>
          <w:szCs w:val="26"/>
        </w:rPr>
        <w:t xml:space="preserve"> </w:t>
      </w:r>
      <w:r w:rsidRPr="00313559" w:rsidR="00FB5E82">
        <w:rPr>
          <w:i/>
          <w:color w:val="000000"/>
          <w:szCs w:val="26"/>
        </w:rPr>
        <w:t>People v. Gibson</w:t>
      </w:r>
      <w:r w:rsidRPr="00313559" w:rsidR="00FB5E82">
        <w:rPr>
          <w:color w:val="000000"/>
          <w:szCs w:val="26"/>
        </w:rPr>
        <w:t xml:space="preserve"> (</w:t>
      </w:r>
      <w:r w:rsidRPr="00313559">
        <w:rPr>
          <w:color w:val="000000"/>
          <w:szCs w:val="26"/>
        </w:rPr>
        <w:t>2001) 90 Cal.App.4th 371</w:t>
      </w:r>
      <w:r w:rsidRPr="00313559" w:rsidR="000560D4">
        <w:rPr>
          <w:color w:val="000000"/>
          <w:szCs w:val="26"/>
        </w:rPr>
        <w:t xml:space="preserve"> (</w:t>
      </w:r>
      <w:r w:rsidRPr="00313559" w:rsidR="000560D4">
        <w:rPr>
          <w:i/>
          <w:color w:val="000000"/>
          <w:szCs w:val="26"/>
        </w:rPr>
        <w:t>Gibson</w:t>
      </w:r>
      <w:r w:rsidRPr="00313559" w:rsidR="000560D4">
        <w:rPr>
          <w:color w:val="000000"/>
          <w:szCs w:val="26"/>
        </w:rPr>
        <w:t>)</w:t>
      </w:r>
      <w:r w:rsidRPr="00313559">
        <w:rPr>
          <w:color w:val="000000"/>
          <w:szCs w:val="26"/>
        </w:rPr>
        <w:t>, manuscripts</w:t>
      </w:r>
      <w:r w:rsidRPr="00313559" w:rsidR="002F22F1">
        <w:rPr>
          <w:color w:val="000000"/>
          <w:szCs w:val="26"/>
        </w:rPr>
        <w:t xml:space="preserve"> describing a prostitution enterprise were</w:t>
      </w:r>
      <w:r w:rsidRPr="00313559">
        <w:rPr>
          <w:color w:val="000000"/>
          <w:szCs w:val="26"/>
        </w:rPr>
        <w:t xml:space="preserve"> found in the </w:t>
      </w:r>
      <w:r w:rsidRPr="00313559" w:rsidR="004013FE">
        <w:rPr>
          <w:color w:val="000000"/>
          <w:szCs w:val="26"/>
        </w:rPr>
        <w:t>appellant’s</w:t>
      </w:r>
      <w:r w:rsidRPr="00313559">
        <w:rPr>
          <w:color w:val="000000"/>
          <w:szCs w:val="26"/>
        </w:rPr>
        <w:t xml:space="preserve"> hotel room and her home.  </w:t>
      </w:r>
      <w:r w:rsidRPr="00313559" w:rsidR="004013FE">
        <w:rPr>
          <w:color w:val="000000"/>
          <w:szCs w:val="26"/>
        </w:rPr>
        <w:t xml:space="preserve">The Court of Appeal acknowledged </w:t>
      </w:r>
      <w:r w:rsidRPr="00313559" w:rsidR="00B43EC8">
        <w:rPr>
          <w:color w:val="000000"/>
          <w:szCs w:val="26"/>
        </w:rPr>
        <w:t xml:space="preserve">that </w:t>
      </w:r>
      <w:r w:rsidRPr="00313559" w:rsidR="003C516D">
        <w:rPr>
          <w:color w:val="000000"/>
          <w:szCs w:val="26"/>
        </w:rPr>
        <w:t>“</w:t>
      </w:r>
      <w:r w:rsidRPr="00313559" w:rsidR="004013FE">
        <w:rPr>
          <w:color w:val="000000"/>
          <w:szCs w:val="26"/>
        </w:rPr>
        <w:t>[t]</w:t>
      </w:r>
      <w:r w:rsidRPr="00313559" w:rsidR="003C516D">
        <w:rPr>
          <w:color w:val="000000"/>
          <w:szCs w:val="26"/>
        </w:rPr>
        <w:t>here was no evidence presented that appellant actually wrote or typed either manuscript, nor were any fingerprints obtained from either document</w:t>
      </w:r>
      <w:r w:rsidRPr="00313559" w:rsidR="00D56AE2">
        <w:rPr>
          <w:color w:val="000000"/>
          <w:szCs w:val="26"/>
        </w:rPr>
        <w:t>.</w:t>
      </w:r>
      <w:r w:rsidRPr="00313559" w:rsidR="004013FE">
        <w:rPr>
          <w:color w:val="000000"/>
          <w:szCs w:val="26"/>
        </w:rPr>
        <w:t>”</w:t>
      </w:r>
      <w:r w:rsidRPr="00313559" w:rsidR="00D56AE2">
        <w:rPr>
          <w:color w:val="000000"/>
          <w:szCs w:val="26"/>
        </w:rPr>
        <w:t xml:space="preserve"> </w:t>
      </w:r>
      <w:r w:rsidRPr="00313559" w:rsidR="004013FE">
        <w:rPr>
          <w:color w:val="000000"/>
          <w:szCs w:val="26"/>
        </w:rPr>
        <w:t xml:space="preserve"> (</w:t>
      </w:r>
      <w:r w:rsidRPr="00313559" w:rsidR="00D56AE2">
        <w:rPr>
          <w:i/>
          <w:color w:val="000000"/>
          <w:szCs w:val="26"/>
        </w:rPr>
        <w:t>I</w:t>
      </w:r>
      <w:r w:rsidRPr="00313559" w:rsidR="004013FE">
        <w:rPr>
          <w:i/>
          <w:color w:val="000000"/>
          <w:szCs w:val="26"/>
        </w:rPr>
        <w:t>d</w:t>
      </w:r>
      <w:r w:rsidRPr="00313559" w:rsidR="004013FE">
        <w:rPr>
          <w:color w:val="000000"/>
          <w:szCs w:val="26"/>
        </w:rPr>
        <w:t>. at p. 382</w:t>
      </w:r>
      <w:r w:rsidRPr="00313559" w:rsidR="00D56AE2">
        <w:rPr>
          <w:color w:val="000000"/>
          <w:szCs w:val="26"/>
        </w:rPr>
        <w:t>.</w:t>
      </w:r>
      <w:r w:rsidRPr="00313559" w:rsidR="004013FE">
        <w:rPr>
          <w:color w:val="000000"/>
          <w:szCs w:val="26"/>
        </w:rPr>
        <w:t>)</w:t>
      </w:r>
      <w:r w:rsidRPr="00313559" w:rsidR="00D56AE2">
        <w:rPr>
          <w:color w:val="000000"/>
          <w:szCs w:val="26"/>
        </w:rPr>
        <w:t xml:space="preserve">  However, </w:t>
      </w:r>
      <w:r w:rsidRPr="00313559" w:rsidR="004013FE">
        <w:rPr>
          <w:color w:val="000000"/>
          <w:szCs w:val="26"/>
        </w:rPr>
        <w:t xml:space="preserve">circumstantial evidence properly authenticated the manuscripts.  “There are clear references to the author being ‘Sasha,’ one of appellant’s aliases.  The evidence clearly showed that appellant was operating as a madam, that the manuscripts discussed the prostitution business, and that the locations where these items were seized were each a residence of appellant.  Moreover, no evidence showed that these items belonged to anyone else.”  </w:t>
      </w:r>
      <w:r w:rsidRPr="00313559" w:rsidR="00813962">
        <w:rPr>
          <w:color w:val="000000"/>
          <w:szCs w:val="26"/>
        </w:rPr>
        <w:t>(</w:t>
      </w:r>
      <w:r w:rsidRPr="00313559" w:rsidR="00813962">
        <w:rPr>
          <w:i/>
          <w:color w:val="000000"/>
          <w:szCs w:val="26"/>
        </w:rPr>
        <w:t>Id</w:t>
      </w:r>
      <w:r w:rsidRPr="00313559" w:rsidR="00813962">
        <w:rPr>
          <w:color w:val="000000"/>
          <w:szCs w:val="26"/>
        </w:rPr>
        <w:t xml:space="preserve">. at p. 383.) </w:t>
      </w:r>
      <w:r w:rsidRPr="00313559" w:rsidR="004F57FE">
        <w:rPr>
          <w:color w:val="000000"/>
          <w:szCs w:val="26"/>
        </w:rPr>
        <w:t xml:space="preserve"> We note here that authentication is a </w:t>
      </w:r>
      <w:r w:rsidRPr="00313559" w:rsidR="004F57FE">
        <w:rPr>
          <w:iCs/>
          <w:color w:val="000000"/>
          <w:szCs w:val="26"/>
        </w:rPr>
        <w:t xml:space="preserve">threshold </w:t>
      </w:r>
      <w:r w:rsidRPr="00313559" w:rsidR="00C6265E">
        <w:rPr>
          <w:iCs/>
          <w:color w:val="000000"/>
          <w:szCs w:val="26"/>
        </w:rPr>
        <w:t xml:space="preserve">admissibility </w:t>
      </w:r>
      <w:r w:rsidRPr="00313559" w:rsidR="004F57FE">
        <w:rPr>
          <w:iCs/>
          <w:color w:val="000000"/>
          <w:szCs w:val="26"/>
        </w:rPr>
        <w:t xml:space="preserve">question for the court, which may look to the document’s content.  </w:t>
      </w:r>
      <w:r w:rsidRPr="00313559" w:rsidR="003A417A">
        <w:rPr>
          <w:iCs/>
          <w:color w:val="000000"/>
          <w:szCs w:val="26"/>
        </w:rPr>
        <w:t>Whether the trier of fact can consider the content of an admitted document for its truth in resolving a disputed fact is a separate question</w:t>
      </w:r>
      <w:r w:rsidRPr="00313559" w:rsidR="004F57FE">
        <w:rPr>
          <w:i/>
          <w:color w:val="000000"/>
          <w:szCs w:val="26"/>
        </w:rPr>
        <w:t>.</w:t>
      </w:r>
    </w:p>
    <w:p w:rsidR="008F02B3" w:rsidRPr="00313559" w:rsidP="00313559">
      <w:pPr>
        <w:tabs>
          <w:tab w:val="left" w:pos="1440"/>
        </w:tabs>
        <w:ind w:firstLine="720"/>
      </w:pPr>
      <w:r w:rsidRPr="00313559">
        <w:rPr>
          <w:color w:val="000000"/>
          <w:szCs w:val="26"/>
        </w:rPr>
        <w:t>H</w:t>
      </w:r>
      <w:r w:rsidRPr="00313559" w:rsidR="001272C7">
        <w:rPr>
          <w:color w:val="000000"/>
          <w:szCs w:val="26"/>
        </w:rPr>
        <w:t xml:space="preserve">ere, </w:t>
      </w:r>
      <w:r w:rsidRPr="00313559" w:rsidR="003E4D84">
        <w:rPr>
          <w:color w:val="000000"/>
          <w:szCs w:val="26"/>
        </w:rPr>
        <w:t xml:space="preserve">evidence </w:t>
      </w:r>
      <w:r w:rsidRPr="00313559">
        <w:rPr>
          <w:color w:val="000000"/>
          <w:szCs w:val="26"/>
        </w:rPr>
        <w:t>showed</w:t>
      </w:r>
      <w:r w:rsidRPr="00313559" w:rsidR="003E4D84">
        <w:rPr>
          <w:color w:val="000000"/>
          <w:szCs w:val="26"/>
        </w:rPr>
        <w:t xml:space="preserve"> Keenan was in the business of selling asbestos</w:t>
      </w:r>
      <w:r w:rsidRPr="00313559" w:rsidR="00B01091">
        <w:rPr>
          <w:color w:val="000000"/>
          <w:szCs w:val="26"/>
        </w:rPr>
        <w:t>-</w:t>
      </w:r>
      <w:r w:rsidRPr="00313559" w:rsidR="003E4D84">
        <w:rPr>
          <w:color w:val="000000"/>
          <w:szCs w:val="26"/>
        </w:rPr>
        <w:t>cement pipe</w:t>
      </w:r>
      <w:r w:rsidRPr="00313559">
        <w:rPr>
          <w:color w:val="000000"/>
          <w:szCs w:val="26"/>
        </w:rPr>
        <w:t xml:space="preserve"> and</w:t>
      </w:r>
      <w:r w:rsidRPr="00313559" w:rsidR="00C45198">
        <w:rPr>
          <w:color w:val="000000"/>
          <w:szCs w:val="26"/>
        </w:rPr>
        <w:t xml:space="preserve"> did business with Christeve.  O</w:t>
      </w:r>
      <w:r w:rsidRPr="00313559">
        <w:rPr>
          <w:color w:val="000000"/>
          <w:szCs w:val="26"/>
        </w:rPr>
        <w:t xml:space="preserve">ne of </w:t>
      </w:r>
      <w:r w:rsidRPr="00313559" w:rsidR="001272C7">
        <w:t>Glamuzina</w:t>
      </w:r>
      <w:r w:rsidRPr="00313559" w:rsidR="008C5CC2">
        <w:t>’s duties was to check invoices</w:t>
      </w:r>
      <w:r w:rsidRPr="00313559" w:rsidR="0086167D">
        <w:t xml:space="preserve">.  His </w:t>
      </w:r>
      <w:r w:rsidRPr="00313559" w:rsidR="001272C7">
        <w:t xml:space="preserve">description of the logo </w:t>
      </w:r>
      <w:r w:rsidRPr="00313559" w:rsidR="0086167D">
        <w:t>was</w:t>
      </w:r>
      <w:r w:rsidRPr="00313559" w:rsidR="001272C7">
        <w:t xml:space="preserve"> consistent with the exemplar of a Keenan invoice</w:t>
      </w:r>
      <w:r w:rsidRPr="00313559" w:rsidR="00C6265E">
        <w:t xml:space="preserve"> that its representative acknowledged</w:t>
      </w:r>
      <w:r w:rsidRPr="00313559" w:rsidR="0086167D">
        <w:t xml:space="preserve">.  </w:t>
      </w:r>
      <w:r w:rsidRPr="00313559" w:rsidR="00C6265E">
        <w:t>The foundation for authenticity was sufficient.</w:t>
      </w:r>
    </w:p>
    <w:p w:rsidR="00BF7C8A" w:rsidRPr="00313559" w:rsidP="00313559">
      <w:pPr>
        <w:tabs>
          <w:tab w:val="left" w:pos="1440"/>
        </w:tabs>
        <w:ind w:firstLine="720"/>
      </w:pPr>
      <w:r w:rsidRPr="00313559">
        <w:t xml:space="preserve">Keenan </w:t>
      </w:r>
      <w:r w:rsidRPr="00313559" w:rsidR="00E32642">
        <w:t xml:space="preserve">seems to assert the invoices could be </w:t>
      </w:r>
      <w:r w:rsidRPr="00313559" w:rsidR="002E60EA">
        <w:t>authenticated</w:t>
      </w:r>
      <w:r w:rsidRPr="00313559" w:rsidR="00E32642">
        <w:t xml:space="preserve"> only by someone associated with Keenan.  </w:t>
      </w:r>
      <w:r w:rsidRPr="00313559" w:rsidR="009635A9">
        <w:t>It</w:t>
      </w:r>
      <w:r w:rsidRPr="00313559" w:rsidR="00C70A48">
        <w:t xml:space="preserve"> </w:t>
      </w:r>
      <w:r w:rsidRPr="00313559" w:rsidR="0085354B">
        <w:t>urges that</w:t>
      </w:r>
      <w:r w:rsidRPr="00313559" w:rsidR="00E36345">
        <w:t xml:space="preserve"> Glamuzina was not a party-opponent and “cannot stand in as a surrogate for Keenan.”  </w:t>
      </w:r>
      <w:r w:rsidRPr="00313559" w:rsidR="0085354B">
        <w:t xml:space="preserve">The argument fails.  </w:t>
      </w:r>
      <w:r w:rsidRPr="00313559" w:rsidR="00E36345">
        <w:t xml:space="preserve">Glamuzina’s testimony did not purport to make representations on </w:t>
      </w:r>
      <w:r w:rsidRPr="00313559" w:rsidR="00D8451C">
        <w:t xml:space="preserve">Keenan’s </w:t>
      </w:r>
      <w:r w:rsidRPr="00313559" w:rsidR="00E36345">
        <w:t xml:space="preserve">behalf.  Rather, he </w:t>
      </w:r>
      <w:r w:rsidR="0058086E">
        <w:t xml:space="preserve">conveyed his own observations of documents he reviewed </w:t>
      </w:r>
      <w:r w:rsidRPr="00313559" w:rsidR="00E36345">
        <w:t xml:space="preserve">when </w:t>
      </w:r>
      <w:r w:rsidR="0058086E">
        <w:t xml:space="preserve">the </w:t>
      </w:r>
      <w:r w:rsidRPr="00313559" w:rsidR="00E36345">
        <w:t xml:space="preserve">pipes were delivered.  </w:t>
      </w:r>
      <w:r w:rsidR="00D94EFD">
        <w:t>(</w:t>
      </w:r>
      <w:r w:rsidRPr="006D338D" w:rsidR="00D94EFD">
        <w:rPr>
          <w:i/>
        </w:rPr>
        <w:t>People v. Veamatah</w:t>
      </w:r>
      <w:r w:rsidR="00D94EFD">
        <w:rPr>
          <w:i/>
        </w:rPr>
        <w:t>a</w:t>
      </w:r>
      <w:r w:rsidRPr="006D338D" w:rsidR="00D94EFD">
        <w:rPr>
          <w:i/>
        </w:rPr>
        <w:t>u</w:t>
      </w:r>
      <w:r w:rsidR="00D94EFD">
        <w:t xml:space="preserve"> (2020) 9 Cal.5th 16, 27.)  </w:t>
      </w:r>
      <w:r w:rsidRPr="00313559" w:rsidR="00E32642">
        <w:t xml:space="preserve">Although testimony by </w:t>
      </w:r>
      <w:r w:rsidRPr="00313559" w:rsidR="00D8451C">
        <w:t xml:space="preserve">Keenan’s agent </w:t>
      </w:r>
      <w:r w:rsidRPr="00313559" w:rsidR="00E32642">
        <w:t xml:space="preserve">would have been another </w:t>
      </w:r>
      <w:r w:rsidRPr="00313559" w:rsidR="002E60EA">
        <w:t xml:space="preserve">way to authenticate </w:t>
      </w:r>
      <w:r w:rsidRPr="00313559" w:rsidR="00D8451C">
        <w:t xml:space="preserve">the </w:t>
      </w:r>
      <w:r w:rsidRPr="00313559" w:rsidR="002E60EA">
        <w:t xml:space="preserve">invoices, </w:t>
      </w:r>
      <w:r w:rsidRPr="00313559" w:rsidR="00D8451C">
        <w:t>it was not the only way</w:t>
      </w:r>
      <w:r w:rsidRPr="00313559" w:rsidR="00E32642">
        <w:t xml:space="preserve">.  </w:t>
      </w:r>
    </w:p>
    <w:p w:rsidR="0085354B" w:rsidRPr="00313559" w:rsidP="00313559">
      <w:pPr>
        <w:tabs>
          <w:tab w:val="left" w:pos="1440"/>
        </w:tabs>
        <w:ind w:firstLine="720"/>
      </w:pPr>
      <w:r w:rsidRPr="00313559">
        <w:t xml:space="preserve">Keenan </w:t>
      </w:r>
      <w:r w:rsidRPr="00313559" w:rsidR="00A36F6B">
        <w:t xml:space="preserve">also </w:t>
      </w:r>
      <w:r w:rsidRPr="00313559" w:rsidR="00D177C0">
        <w:t xml:space="preserve">questions the </w:t>
      </w:r>
      <w:r w:rsidRPr="00313559" w:rsidR="00863F93">
        <w:t xml:space="preserve">trial court’s reliance on </w:t>
      </w:r>
      <w:r w:rsidRPr="00313559" w:rsidR="00D177C0">
        <w:t>Glamuzina’s testimony</w:t>
      </w:r>
      <w:r w:rsidRPr="00313559" w:rsidR="00205BEB">
        <w:t xml:space="preserve">, for </w:t>
      </w:r>
      <w:r w:rsidRPr="00313559" w:rsidR="00D8451C">
        <w:t>several</w:t>
      </w:r>
      <w:r w:rsidRPr="00313559" w:rsidR="00205BEB">
        <w:t xml:space="preserve"> reasons</w:t>
      </w:r>
      <w:r w:rsidRPr="00313559" w:rsidR="00863F93">
        <w:t xml:space="preserve">.  </w:t>
      </w:r>
      <w:r w:rsidRPr="00313559" w:rsidR="00205BEB">
        <w:t>First, i</w:t>
      </w:r>
      <w:r w:rsidRPr="00313559" w:rsidR="00863F93">
        <w:t xml:space="preserve">t states the evidence </w:t>
      </w:r>
      <w:r w:rsidRPr="00313559" w:rsidR="00A36F6B">
        <w:t>was provided by “an 81-year-old witness burdened by all the fallibility of human memory</w:t>
      </w:r>
      <w:r w:rsidRPr="00313559" w:rsidR="00895C49">
        <w:t>,</w:t>
      </w:r>
      <w:r w:rsidRPr="00313559" w:rsidR="00D00F2D">
        <w:t>”</w:t>
      </w:r>
      <w:r w:rsidRPr="00313559" w:rsidR="00A36F6B">
        <w:t xml:space="preserve"> </w:t>
      </w:r>
      <w:r w:rsidRPr="00313559" w:rsidR="00D00F2D">
        <w:t xml:space="preserve">and </w:t>
      </w:r>
      <w:r w:rsidRPr="00313559" w:rsidR="00863F93">
        <w:t xml:space="preserve">notes </w:t>
      </w:r>
      <w:r w:rsidRPr="00313559" w:rsidR="00B43EC8">
        <w:t xml:space="preserve">that </w:t>
      </w:r>
      <w:r w:rsidRPr="00313559" w:rsidR="00F303B7">
        <w:t>the testimony</w:t>
      </w:r>
      <w:r w:rsidRPr="00313559" w:rsidR="00863F93">
        <w:t xml:space="preserve"> </w:t>
      </w:r>
      <w:r w:rsidRPr="00313559" w:rsidR="00D00F2D">
        <w:t xml:space="preserve">related to events </w:t>
      </w:r>
      <w:r w:rsidRPr="00313559" w:rsidR="004F57FE">
        <w:t xml:space="preserve">occurring </w:t>
      </w:r>
      <w:r w:rsidRPr="00313559" w:rsidR="00D00F2D">
        <w:t>40 years earlier</w:t>
      </w:r>
      <w:r w:rsidRPr="00313559" w:rsidR="00863F93">
        <w:t xml:space="preserve">.  </w:t>
      </w:r>
      <w:r w:rsidRPr="00313559" w:rsidR="00AA0966">
        <w:t>A</w:t>
      </w:r>
      <w:r w:rsidRPr="00313559" w:rsidR="00205BEB">
        <w:t xml:space="preserve"> witness’s memory and credibility may affect how </w:t>
      </w:r>
      <w:r w:rsidRPr="00313559" w:rsidR="00E32642">
        <w:t>a court</w:t>
      </w:r>
      <w:r w:rsidRPr="00313559" w:rsidR="00205BEB">
        <w:t xml:space="preserve"> exercises its discretion, </w:t>
      </w:r>
      <w:r w:rsidRPr="00313559" w:rsidR="00AA0966">
        <w:t xml:space="preserve">but </w:t>
      </w:r>
      <w:r w:rsidRPr="00313559" w:rsidR="00205BEB">
        <w:t xml:space="preserve">it </w:t>
      </w:r>
      <w:r w:rsidRPr="00313559" w:rsidR="00247218">
        <w:t>was</w:t>
      </w:r>
      <w:r w:rsidRPr="00313559" w:rsidR="00205BEB">
        <w:t xml:space="preserve"> for the trial court to </w:t>
      </w:r>
      <w:r w:rsidRPr="00313559" w:rsidR="001505EF">
        <w:t xml:space="preserve">evaluate Glamuzina’s demeanor and testimony in deciding whether </w:t>
      </w:r>
      <w:r w:rsidRPr="00313559">
        <w:t>a preliminary fact had been adequately demonstrated.</w:t>
      </w:r>
    </w:p>
    <w:p w:rsidR="000D6340" w:rsidRPr="00313559" w:rsidP="00313559">
      <w:pPr>
        <w:tabs>
          <w:tab w:val="left" w:pos="1440"/>
        </w:tabs>
        <w:ind w:firstLine="720"/>
      </w:pPr>
      <w:r w:rsidRPr="00313559">
        <w:t xml:space="preserve">Second, </w:t>
      </w:r>
      <w:r w:rsidRPr="00313559" w:rsidR="00E32642">
        <w:t>Keenan</w:t>
      </w:r>
      <w:r w:rsidRPr="00313559">
        <w:t xml:space="preserve"> </w:t>
      </w:r>
      <w:r w:rsidRPr="00313559" w:rsidR="00863F93">
        <w:t>complains Glamuzina did not explain what he meant by “their K and stuff</w:t>
      </w:r>
      <w:r w:rsidRPr="00313559" w:rsidR="001505EF">
        <w:t>.</w:t>
      </w:r>
      <w:r w:rsidRPr="00313559" w:rsidR="00863F93">
        <w:t xml:space="preserve">” </w:t>
      </w:r>
      <w:r w:rsidRPr="00313559" w:rsidR="001505EF">
        <w:t xml:space="preserve"> </w:t>
      </w:r>
      <w:r w:rsidRPr="00313559" w:rsidR="0085354B">
        <w:t>However, there was evidence that Keenan used a distinctive K logo</w:t>
      </w:r>
      <w:r w:rsidRPr="00313559" w:rsidR="009F7126">
        <w:t xml:space="preserve"> which continues in use today and </w:t>
      </w:r>
      <w:r w:rsidRPr="00313559" w:rsidR="001505EF">
        <w:t xml:space="preserve">which </w:t>
      </w:r>
      <w:r w:rsidRPr="00313559" w:rsidR="00311414">
        <w:t>bookkeeper</w:t>
      </w:r>
      <w:r w:rsidRPr="00313559" w:rsidR="001505EF">
        <w:t xml:space="preserve"> Mitrovich described as “unique</w:t>
      </w:r>
      <w:r w:rsidRPr="00313559" w:rsidR="00BF21D8">
        <w:t>.</w:t>
      </w:r>
      <w:r w:rsidRPr="00313559" w:rsidR="001505EF">
        <w:t xml:space="preserve">” </w:t>
      </w:r>
      <w:r w:rsidRPr="00313559" w:rsidR="00BF21D8">
        <w:t xml:space="preserve"> I</w:t>
      </w:r>
      <w:r w:rsidRPr="00313559" w:rsidR="00863F93">
        <w:t xml:space="preserve">t </w:t>
      </w:r>
      <w:r w:rsidRPr="00313559" w:rsidR="002E60EA">
        <w:t>was</w:t>
      </w:r>
      <w:r w:rsidRPr="00313559" w:rsidR="00B70B30">
        <w:t xml:space="preserve"> </w:t>
      </w:r>
      <w:r w:rsidRPr="00313559" w:rsidR="00863F93">
        <w:t xml:space="preserve">not unreasonable to infer Glamuzina was referring to the </w:t>
      </w:r>
      <w:r w:rsidRPr="00313559" w:rsidR="00D8451C">
        <w:t xml:space="preserve">K </w:t>
      </w:r>
      <w:r w:rsidRPr="00313559" w:rsidR="00863F93">
        <w:t xml:space="preserve">logo acknowledged by Keenan’s representative.  </w:t>
      </w:r>
    </w:p>
    <w:p w:rsidR="00D4442B" w:rsidRPr="00313559" w:rsidP="00313559">
      <w:pPr>
        <w:tabs>
          <w:tab w:val="left" w:pos="1440"/>
        </w:tabs>
        <w:ind w:firstLine="720"/>
      </w:pPr>
      <w:r w:rsidRPr="00313559">
        <w:t xml:space="preserve">Third, </w:t>
      </w:r>
      <w:r w:rsidRPr="00313559" w:rsidR="00B70B30">
        <w:t xml:space="preserve">Keenan </w:t>
      </w:r>
      <w:r w:rsidRPr="00313559" w:rsidR="00AA0966">
        <w:t xml:space="preserve">asserts </w:t>
      </w:r>
      <w:r w:rsidRPr="00313559" w:rsidR="00B70B30">
        <w:t xml:space="preserve">there were dissimilarities between </w:t>
      </w:r>
      <w:r w:rsidRPr="00313559" w:rsidR="00AA0966">
        <w:t>Glamuzina’s</w:t>
      </w:r>
      <w:r w:rsidRPr="00313559" w:rsidR="00B70B30">
        <w:t xml:space="preserve"> testimony and the invoice</w:t>
      </w:r>
      <w:r w:rsidRPr="00313559" w:rsidR="00D8451C">
        <w:t xml:space="preserve"> exemplar</w:t>
      </w:r>
      <w:r w:rsidRPr="00313559" w:rsidR="00B70B30">
        <w:t xml:space="preserve">.  In particular, </w:t>
      </w:r>
      <w:r w:rsidRPr="00313559" w:rsidR="00F303B7">
        <w:t>when asked what information was on the invoices, Glamuzina responded, “</w:t>
      </w:r>
      <w:r w:rsidRPr="00313559" w:rsidR="009B30B4">
        <w:t>[W]</w:t>
      </w:r>
      <w:r w:rsidRPr="00313559" w:rsidR="00F303B7">
        <w:t>hat [the trucker] had on his load</w:t>
      </w:r>
      <w:r w:rsidRPr="00313559">
        <w:t xml:space="preserve">, and I’d just double-check it, see </w:t>
      </w:r>
      <w:r w:rsidRPr="00313559" w:rsidR="009B30B4">
        <w:t xml:space="preserve">— </w:t>
      </w:r>
      <w:r w:rsidRPr="00313559">
        <w:t xml:space="preserve">usually it tells you where it came from.  That’s all.”  </w:t>
      </w:r>
      <w:r w:rsidRPr="00313559" w:rsidR="00AA0966">
        <w:t>Asked what he meant by “where it came from,” he responded</w:t>
      </w:r>
      <w:r w:rsidRPr="00313559" w:rsidR="00AD7E60">
        <w:t>,</w:t>
      </w:r>
      <w:r w:rsidRPr="00313559" w:rsidR="00B70B30">
        <w:t xml:space="preserve"> </w:t>
      </w:r>
      <w:r w:rsidRPr="00313559" w:rsidR="00AA0966">
        <w:t>“What plant or</w:t>
      </w:r>
      <w:r w:rsidRPr="00313559" w:rsidR="009B30B4">
        <w:t xml:space="preserve"> — s</w:t>
      </w:r>
      <w:r w:rsidRPr="00313559" w:rsidR="00AA0966">
        <w:t xml:space="preserve">tuff like that . . . .”  </w:t>
      </w:r>
      <w:r w:rsidRPr="00313559" w:rsidR="00F93762">
        <w:t>Keenan notes that t</w:t>
      </w:r>
      <w:r w:rsidRPr="00313559" w:rsidR="00AA0966">
        <w:t xml:space="preserve">he sample </w:t>
      </w:r>
      <w:r w:rsidRPr="00313559" w:rsidR="00F93762">
        <w:t xml:space="preserve">of a </w:t>
      </w:r>
      <w:r w:rsidRPr="00313559" w:rsidR="00AA0966">
        <w:t>Keenan invoice does not identify a “plant</w:t>
      </w:r>
      <w:r w:rsidRPr="00313559" w:rsidR="00F93762">
        <w:t>.</w:t>
      </w:r>
      <w:r w:rsidRPr="00313559" w:rsidR="00AA0966">
        <w:t xml:space="preserve">” </w:t>
      </w:r>
      <w:r w:rsidRPr="00313559" w:rsidR="00F93762">
        <w:t xml:space="preserve"> The exemplar does, however, </w:t>
      </w:r>
      <w:r w:rsidRPr="00313559" w:rsidR="00AA0966">
        <w:t>include a street address</w:t>
      </w:r>
      <w:r w:rsidRPr="00313559" w:rsidR="00EF228B">
        <w:t xml:space="preserve"> in Los Angeles and </w:t>
      </w:r>
      <w:r w:rsidRPr="00313559" w:rsidR="000B421E">
        <w:t>list</w:t>
      </w:r>
      <w:r w:rsidRPr="00313559" w:rsidR="0075130A">
        <w:t>s</w:t>
      </w:r>
      <w:r w:rsidRPr="00313559" w:rsidR="00EF228B">
        <w:t xml:space="preserve"> various cities where Keenan apparently had offices</w:t>
      </w:r>
      <w:r w:rsidRPr="00313559" w:rsidR="00AA0966">
        <w:t xml:space="preserve">.  </w:t>
      </w:r>
      <w:r w:rsidRPr="00313559">
        <w:t xml:space="preserve">It is not clear </w:t>
      </w:r>
      <w:r w:rsidRPr="00313559" w:rsidR="00C81510">
        <w:t>what</w:t>
      </w:r>
      <w:r w:rsidRPr="00313559">
        <w:t xml:space="preserve"> Glamuzina meant by “plant</w:t>
      </w:r>
      <w:r w:rsidRPr="00313559" w:rsidR="00BF21D8">
        <w:t>.</w:t>
      </w:r>
      <w:r w:rsidRPr="00313559">
        <w:t xml:space="preserve">” </w:t>
      </w:r>
      <w:r w:rsidRPr="00313559" w:rsidR="00BF21D8">
        <w:t xml:space="preserve"> B</w:t>
      </w:r>
      <w:r w:rsidRPr="00313559">
        <w:t xml:space="preserve">ut whatever ambiguity or dissimilarity is reflected in his recollection </w:t>
      </w:r>
      <w:r w:rsidRPr="00313559" w:rsidR="00D22A4E">
        <w:t>again goes to weight</w:t>
      </w:r>
      <w:r w:rsidRPr="00313559" w:rsidR="00E72B35">
        <w:t>,</w:t>
      </w:r>
      <w:r w:rsidRPr="00313559" w:rsidR="00D22A4E">
        <w:t xml:space="preserve"> not admissibility.  </w:t>
      </w:r>
      <w:r w:rsidRPr="00313559" w:rsidR="00895C49">
        <w:t>T</w:t>
      </w:r>
      <w:r w:rsidRPr="00313559">
        <w:t xml:space="preserve">he trial court’s conclusion that </w:t>
      </w:r>
      <w:r w:rsidRPr="00313559" w:rsidR="00BF21D8">
        <w:t xml:space="preserve">the </w:t>
      </w:r>
      <w:r w:rsidRPr="00313559" w:rsidR="00D22A4E">
        <w:t xml:space="preserve">foundational </w:t>
      </w:r>
      <w:r w:rsidRPr="00313559" w:rsidR="00BF21D8">
        <w:t xml:space="preserve">evidence of authenticity was sufficient was neither </w:t>
      </w:r>
      <w:r w:rsidRPr="00313559" w:rsidR="007E1255">
        <w:t>arbitrary</w:t>
      </w:r>
      <w:r w:rsidRPr="00313559" w:rsidR="0029441B">
        <w:t xml:space="preserve"> </w:t>
      </w:r>
      <w:r w:rsidRPr="00313559" w:rsidR="00BF21D8">
        <w:t>n</w:t>
      </w:r>
      <w:r w:rsidRPr="00313559" w:rsidR="0029441B">
        <w:t>or</w:t>
      </w:r>
      <w:r w:rsidRPr="00313559" w:rsidR="007E1255">
        <w:t xml:space="preserve"> capricious</w:t>
      </w:r>
      <w:r w:rsidRPr="00313559">
        <w:t>.</w:t>
      </w:r>
    </w:p>
    <w:p w:rsidR="00EC7448" w:rsidRPr="00313559" w:rsidP="00313559">
      <w:pPr>
        <w:tabs>
          <w:tab w:val="left" w:pos="1440"/>
        </w:tabs>
        <w:ind w:firstLine="720"/>
      </w:pPr>
      <w:r w:rsidRPr="00313559">
        <w:t xml:space="preserve">Fourth, </w:t>
      </w:r>
      <w:r w:rsidRPr="00313559">
        <w:t xml:space="preserve">Keenan claims Glamuzina’s testimony </w:t>
      </w:r>
      <w:r w:rsidRPr="00313559" w:rsidR="00DD1186">
        <w:t>was inconsistent with</w:t>
      </w:r>
      <w:r w:rsidRPr="00313559">
        <w:t xml:space="preserve"> the Harts’ </w:t>
      </w:r>
      <w:r w:rsidRPr="00313559" w:rsidR="00FB3DD9">
        <w:t xml:space="preserve">trial </w:t>
      </w:r>
      <w:r w:rsidRPr="00313559">
        <w:t xml:space="preserve">theory </w:t>
      </w:r>
      <w:r w:rsidRPr="00313559" w:rsidR="006A6BEA">
        <w:t xml:space="preserve">that the presence of a Keenan branch near the McKinleyville worksite supported the conclusion </w:t>
      </w:r>
      <w:r w:rsidRPr="00313559" w:rsidR="00B43EC8">
        <w:t xml:space="preserve">that </w:t>
      </w:r>
      <w:r w:rsidRPr="00313559" w:rsidR="006A6BEA">
        <w:t xml:space="preserve">the pipe </w:t>
      </w:r>
      <w:r w:rsidRPr="00313559" w:rsidR="00D22A4E">
        <w:t>was theirs</w:t>
      </w:r>
      <w:r w:rsidRPr="00313559" w:rsidR="006A6BEA">
        <w:t xml:space="preserve">.  </w:t>
      </w:r>
      <w:r w:rsidRPr="00313559" w:rsidR="00BF21D8">
        <w:t>Asked</w:t>
      </w:r>
      <w:r w:rsidRPr="00313559" w:rsidR="00D25613">
        <w:t xml:space="preserve"> how Christeve ordered materials for the McKinleyville job, </w:t>
      </w:r>
      <w:r w:rsidRPr="00313559">
        <w:t xml:space="preserve">Glamuzina </w:t>
      </w:r>
      <w:r w:rsidRPr="00313559" w:rsidR="00BF21D8">
        <w:t>said</w:t>
      </w:r>
      <w:r w:rsidRPr="00313559" w:rsidR="00D25613">
        <w:t xml:space="preserve"> </w:t>
      </w:r>
      <w:r w:rsidRPr="00313559" w:rsidR="00C6265E">
        <w:t>Christeve’s</w:t>
      </w:r>
      <w:r w:rsidRPr="00313559" w:rsidR="001B713C">
        <w:t xml:space="preserve"> owner “</w:t>
      </w:r>
      <w:r w:rsidRPr="00313559" w:rsidR="00D25613">
        <w:t>would order his pipe down in Southern California and whatever they did to get it to up north.”  He was then asked, “So to the best o</w:t>
      </w:r>
      <w:r w:rsidR="00EA520E">
        <w:t>f</w:t>
      </w:r>
      <w:r w:rsidRPr="00313559" w:rsidR="00D25613">
        <w:t xml:space="preserve"> your understanding, he ordered from someone in Southern California, and Keenan was delivering it to the jobsite in Northern California?”  Glamuzina confirmed that understanding.  </w:t>
      </w:r>
      <w:r w:rsidRPr="00313559" w:rsidR="00C20D8B">
        <w:t>S</w:t>
      </w:r>
      <w:r w:rsidRPr="00313559">
        <w:t xml:space="preserve">ubsequently asked </w:t>
      </w:r>
      <w:r w:rsidRPr="00313559" w:rsidR="00D22A4E">
        <w:t>whether</w:t>
      </w:r>
      <w:r w:rsidRPr="00313559">
        <w:t xml:space="preserve"> the owner “would get supplies from Southern California,” </w:t>
      </w:r>
      <w:r w:rsidRPr="00313559" w:rsidR="006D33A4">
        <w:t>Glamuzina</w:t>
      </w:r>
      <w:r w:rsidRPr="00313559">
        <w:t xml:space="preserve"> responded, “He would order pipe . . . down there, and it would always come from up north or wherever we were working, it would always come from a different place.”</w:t>
      </w:r>
      <w:r w:rsidRPr="00313559" w:rsidR="00D25613">
        <w:t xml:space="preserve">  </w:t>
      </w:r>
      <w:r w:rsidRPr="00313559" w:rsidR="00BF1F92">
        <w:t xml:space="preserve">It is not clear </w:t>
      </w:r>
      <w:r w:rsidRPr="00313559" w:rsidR="00D22A4E">
        <w:t>that</w:t>
      </w:r>
      <w:r w:rsidRPr="00313559" w:rsidR="00BF1F92">
        <w:t xml:space="preserve"> Glamuzina’s testimony </w:t>
      </w:r>
      <w:r w:rsidRPr="00313559" w:rsidR="00D22A4E">
        <w:t>wa</w:t>
      </w:r>
      <w:r w:rsidRPr="00313559" w:rsidR="00BF1F92">
        <w:t xml:space="preserve">s inconsistent with the Harts’ </w:t>
      </w:r>
      <w:r w:rsidRPr="00313559" w:rsidR="00D22A4E">
        <w:t xml:space="preserve">reliance on </w:t>
      </w:r>
      <w:r w:rsidRPr="00313559" w:rsidR="00A11EE6">
        <w:t>the proximity of a Keenan branch to the worksite</w:t>
      </w:r>
      <w:r w:rsidRPr="00313559" w:rsidR="00D22A4E">
        <w:t>.  B</w:t>
      </w:r>
      <w:r w:rsidRPr="00313559" w:rsidR="00BF1F92">
        <w:t xml:space="preserve">ut regardless of </w:t>
      </w:r>
      <w:r w:rsidRPr="00313559" w:rsidR="00BF21D8">
        <w:t xml:space="preserve">how </w:t>
      </w:r>
      <w:r w:rsidRPr="00313559" w:rsidR="00A11EE6">
        <w:t>any</w:t>
      </w:r>
      <w:r w:rsidRPr="00313559" w:rsidR="00BF1F92">
        <w:t xml:space="preserve"> inconsistency might </w:t>
      </w:r>
      <w:r w:rsidRPr="00313559" w:rsidR="00BF21D8">
        <w:t xml:space="preserve">be weighed by the jury, it does not follow that </w:t>
      </w:r>
      <w:r w:rsidRPr="00313559" w:rsidR="00BF1F92">
        <w:t xml:space="preserve">the trial court abused its discretion in </w:t>
      </w:r>
      <w:r w:rsidRPr="00313559" w:rsidR="00617229">
        <w:t xml:space="preserve">finding a preliminary showing of </w:t>
      </w:r>
      <w:r w:rsidRPr="00313559" w:rsidR="00BF1F92">
        <w:t xml:space="preserve">authenticity. </w:t>
      </w:r>
    </w:p>
    <w:p w:rsidR="00D4442B" w:rsidRPr="00313559" w:rsidP="00313559">
      <w:pPr>
        <w:tabs>
          <w:tab w:val="left" w:pos="1440"/>
        </w:tabs>
        <w:ind w:firstLine="720"/>
      </w:pPr>
      <w:r w:rsidRPr="00313559">
        <w:t xml:space="preserve">In addition to challenging the adequacy of Glamuzina’s testimony, Keenan contends contrary evidence precludes </w:t>
      </w:r>
      <w:r w:rsidRPr="00313559" w:rsidR="00617229">
        <w:t xml:space="preserve">a </w:t>
      </w:r>
      <w:r w:rsidRPr="00313559">
        <w:t xml:space="preserve">finding </w:t>
      </w:r>
      <w:r w:rsidRPr="00313559" w:rsidR="00617229">
        <w:t xml:space="preserve">of </w:t>
      </w:r>
      <w:r w:rsidRPr="00313559">
        <w:t xml:space="preserve">adequate authentication.  </w:t>
      </w:r>
      <w:r w:rsidRPr="00313559" w:rsidR="00B61245">
        <w:t xml:space="preserve">It cites </w:t>
      </w:r>
      <w:r w:rsidRPr="00313559" w:rsidR="00617229">
        <w:t xml:space="preserve">other </w:t>
      </w:r>
      <w:r w:rsidRPr="00313559" w:rsidR="00B61245">
        <w:t xml:space="preserve">invoices </w:t>
      </w:r>
      <w:r w:rsidRPr="00313559" w:rsidR="00617229">
        <w:t>showing</w:t>
      </w:r>
      <w:r w:rsidRPr="00313559" w:rsidR="00B61245">
        <w:t xml:space="preserve"> </w:t>
      </w:r>
      <w:r w:rsidRPr="00313559" w:rsidR="00617229">
        <w:t>that</w:t>
      </w:r>
      <w:r w:rsidRPr="00313559" w:rsidR="00B61245">
        <w:t xml:space="preserve"> Johns-Manville </w:t>
      </w:r>
      <w:r w:rsidRPr="00313559" w:rsidR="00617229">
        <w:t>sold asbestos</w:t>
      </w:r>
      <w:r w:rsidRPr="00313559" w:rsidR="00C20287">
        <w:t>-cement</w:t>
      </w:r>
      <w:r w:rsidRPr="00313559" w:rsidR="00617229">
        <w:t xml:space="preserve"> pipe </w:t>
      </w:r>
      <w:r w:rsidRPr="00313559" w:rsidR="00B61245">
        <w:t xml:space="preserve">to Christeve and shipped </w:t>
      </w:r>
      <w:r w:rsidRPr="00313559" w:rsidR="00617229">
        <w:t xml:space="preserve">it </w:t>
      </w:r>
      <w:r w:rsidRPr="00313559" w:rsidR="00B61245">
        <w:t xml:space="preserve">to the McKinleyville site.  </w:t>
      </w:r>
      <w:r w:rsidRPr="00313559" w:rsidR="00D40CC7">
        <w:t>The court admitted two invoices from Johns-Manville to Christeve and a letter from Christeve to Johns-Manville, based on Olga Mit</w:t>
      </w:r>
      <w:r w:rsidR="00EA520E">
        <w:t>r</w:t>
      </w:r>
      <w:r w:rsidRPr="00313559" w:rsidR="00D40CC7">
        <w:t xml:space="preserve">ovich’s recognition of handwriting on </w:t>
      </w:r>
      <w:r w:rsidRPr="00313559" w:rsidR="001A51C6">
        <w:t>those items</w:t>
      </w:r>
      <w:r w:rsidRPr="00313559" w:rsidR="00D40CC7">
        <w:t xml:space="preserve">, but </w:t>
      </w:r>
      <w:r w:rsidRPr="00313559" w:rsidR="00A11EE6">
        <w:t xml:space="preserve">it </w:t>
      </w:r>
      <w:r w:rsidRPr="00313559" w:rsidR="00D40CC7">
        <w:t>excluded other Johns-Manville invoices</w:t>
      </w:r>
      <w:r w:rsidRPr="00313559" w:rsidR="00592495">
        <w:t xml:space="preserve">. </w:t>
      </w:r>
      <w:r w:rsidRPr="00313559" w:rsidR="00B61245">
        <w:t xml:space="preserve"> </w:t>
      </w:r>
      <w:r w:rsidRPr="00313559" w:rsidR="00547981">
        <w:t xml:space="preserve">According to Glamuzina, more than 60,000 feet of </w:t>
      </w:r>
      <w:r w:rsidRPr="00313559" w:rsidR="00617229">
        <w:t>asbestos-cement</w:t>
      </w:r>
      <w:r w:rsidRPr="00313559" w:rsidR="00547981">
        <w:t xml:space="preserve"> pipe </w:t>
      </w:r>
      <w:r w:rsidRPr="00313559" w:rsidR="00C11EF4">
        <w:t xml:space="preserve">was installed </w:t>
      </w:r>
      <w:r w:rsidRPr="00313559" w:rsidR="00C6265E">
        <w:t>at</w:t>
      </w:r>
      <w:r w:rsidRPr="00313559" w:rsidR="00C11EF4">
        <w:t xml:space="preserve"> the McKinleyville site.  </w:t>
      </w:r>
      <w:r w:rsidRPr="00313559" w:rsidR="00C0427F">
        <w:t>While relevant</w:t>
      </w:r>
      <w:r w:rsidRPr="00313559" w:rsidR="00A11EE6">
        <w:t>, e</w:t>
      </w:r>
      <w:r w:rsidRPr="00313559" w:rsidR="00B61245">
        <w:t xml:space="preserve">vidence </w:t>
      </w:r>
      <w:r w:rsidRPr="00313559" w:rsidR="00C11EF4">
        <w:t>that a different</w:t>
      </w:r>
      <w:r w:rsidRPr="00313559" w:rsidR="00B61245">
        <w:t xml:space="preserve"> </w:t>
      </w:r>
      <w:r w:rsidRPr="00313559" w:rsidR="00C11EF4">
        <w:t xml:space="preserve">company supplied </w:t>
      </w:r>
      <w:r w:rsidRPr="00313559" w:rsidR="00617229">
        <w:t xml:space="preserve">asbestos-cement </w:t>
      </w:r>
      <w:r w:rsidRPr="00313559" w:rsidR="00B61245">
        <w:t xml:space="preserve">pipe to the worksite does not </w:t>
      </w:r>
      <w:r w:rsidRPr="00313559" w:rsidR="00C36EB1">
        <w:t xml:space="preserve">preclude </w:t>
      </w:r>
      <w:r w:rsidR="005E65A2">
        <w:t>an inference</w:t>
      </w:r>
      <w:r w:rsidRPr="00313559" w:rsidR="00C36EB1">
        <w:t xml:space="preserve"> </w:t>
      </w:r>
      <w:r w:rsidRPr="00313559" w:rsidR="00C11EF4">
        <w:t xml:space="preserve">that </w:t>
      </w:r>
      <w:r w:rsidRPr="00313559" w:rsidR="00B61245">
        <w:t xml:space="preserve">Keenan </w:t>
      </w:r>
      <w:r w:rsidRPr="00313559" w:rsidR="00617229">
        <w:t>did as well.</w:t>
      </w:r>
    </w:p>
    <w:p w:rsidR="00D02F9C" w:rsidRPr="00313559" w:rsidP="00313559">
      <w:pPr>
        <w:tabs>
          <w:tab w:val="left" w:pos="1440"/>
        </w:tabs>
        <w:ind w:firstLine="720"/>
        <w:rPr>
          <w:color w:val="000000"/>
          <w:szCs w:val="26"/>
        </w:rPr>
      </w:pPr>
      <w:r w:rsidRPr="00313559">
        <w:rPr>
          <w:color w:val="000000"/>
          <w:szCs w:val="26"/>
        </w:rPr>
        <w:t>Keenan</w:t>
      </w:r>
      <w:r w:rsidRPr="00313559" w:rsidR="00BF46B9">
        <w:rPr>
          <w:color w:val="000000"/>
          <w:szCs w:val="26"/>
        </w:rPr>
        <w:t xml:space="preserve"> </w:t>
      </w:r>
      <w:r w:rsidRPr="00313559" w:rsidR="00C6265E">
        <w:rPr>
          <w:color w:val="000000"/>
          <w:szCs w:val="26"/>
        </w:rPr>
        <w:t xml:space="preserve">also </w:t>
      </w:r>
      <w:r w:rsidRPr="00313559" w:rsidR="00617229">
        <w:rPr>
          <w:color w:val="000000"/>
          <w:szCs w:val="26"/>
        </w:rPr>
        <w:t>relies on</w:t>
      </w:r>
      <w:r w:rsidRPr="00313559" w:rsidR="00BF46B9">
        <w:rPr>
          <w:color w:val="000000"/>
          <w:szCs w:val="26"/>
        </w:rPr>
        <w:t xml:space="preserve"> various cases </w:t>
      </w:r>
      <w:r w:rsidRPr="00313559" w:rsidR="00617229">
        <w:rPr>
          <w:color w:val="000000"/>
          <w:szCs w:val="26"/>
        </w:rPr>
        <w:t xml:space="preserve">to argue </w:t>
      </w:r>
      <w:r w:rsidRPr="00313559" w:rsidR="004917D3">
        <w:rPr>
          <w:color w:val="000000"/>
          <w:szCs w:val="26"/>
        </w:rPr>
        <w:t>the</w:t>
      </w:r>
      <w:r w:rsidRPr="00313559" w:rsidR="00617229">
        <w:rPr>
          <w:color w:val="000000"/>
          <w:szCs w:val="26"/>
        </w:rPr>
        <w:t xml:space="preserve"> authentication evidence </w:t>
      </w:r>
      <w:r w:rsidRPr="00313559" w:rsidR="00BF46B9">
        <w:rPr>
          <w:color w:val="000000"/>
          <w:szCs w:val="26"/>
        </w:rPr>
        <w:t xml:space="preserve">was inadequate.  It relies principally on </w:t>
      </w:r>
      <w:r w:rsidRPr="00313559" w:rsidR="001A580C">
        <w:rPr>
          <w:i/>
          <w:color w:val="000000"/>
          <w:szCs w:val="26"/>
        </w:rPr>
        <w:t>Osborne v. Todd Farm Service</w:t>
      </w:r>
      <w:r w:rsidRPr="00313559" w:rsidR="001A580C">
        <w:rPr>
          <w:color w:val="000000"/>
          <w:szCs w:val="26"/>
        </w:rPr>
        <w:t xml:space="preserve"> (2016) 247 Cal.App.4th 43</w:t>
      </w:r>
      <w:r w:rsidRPr="00313559" w:rsidR="00BF46B9">
        <w:rPr>
          <w:color w:val="000000"/>
          <w:szCs w:val="26"/>
        </w:rPr>
        <w:t xml:space="preserve">. </w:t>
      </w:r>
      <w:r w:rsidRPr="00313559" w:rsidR="007B0847">
        <w:rPr>
          <w:color w:val="000000"/>
          <w:szCs w:val="26"/>
        </w:rPr>
        <w:t xml:space="preserve"> </w:t>
      </w:r>
      <w:r w:rsidRPr="00313559" w:rsidR="00617229">
        <w:rPr>
          <w:color w:val="000000"/>
          <w:szCs w:val="26"/>
        </w:rPr>
        <w:t xml:space="preserve">Osborne </w:t>
      </w:r>
      <w:r w:rsidRPr="00313559" w:rsidR="0015556A">
        <w:rPr>
          <w:color w:val="000000"/>
          <w:szCs w:val="26"/>
        </w:rPr>
        <w:t>was injured while moving hay bales</w:t>
      </w:r>
      <w:r w:rsidRPr="00313559" w:rsidR="000A77DF">
        <w:rPr>
          <w:color w:val="000000"/>
          <w:szCs w:val="26"/>
        </w:rPr>
        <w:t>.  She</w:t>
      </w:r>
      <w:r w:rsidRPr="00313559" w:rsidR="007B0847">
        <w:rPr>
          <w:color w:val="000000"/>
          <w:szCs w:val="26"/>
        </w:rPr>
        <w:t xml:space="preserve"> sought to establish that Berrington, a </w:t>
      </w:r>
      <w:r w:rsidRPr="00313559" w:rsidR="000A77DF">
        <w:rPr>
          <w:color w:val="000000"/>
          <w:szCs w:val="26"/>
        </w:rPr>
        <w:t xml:space="preserve">hay </w:t>
      </w:r>
      <w:r w:rsidRPr="00313559" w:rsidR="007B0847">
        <w:rPr>
          <w:color w:val="000000"/>
          <w:szCs w:val="26"/>
        </w:rPr>
        <w:t xml:space="preserve">supplier, had sold a particular bale </w:t>
      </w:r>
      <w:r w:rsidRPr="00313559" w:rsidR="005F2AD5">
        <w:rPr>
          <w:color w:val="000000"/>
          <w:szCs w:val="26"/>
        </w:rPr>
        <w:t>to Todd Farm Service</w:t>
      </w:r>
      <w:r w:rsidRPr="00313559" w:rsidR="007B0847">
        <w:rPr>
          <w:color w:val="000000"/>
          <w:szCs w:val="26"/>
        </w:rPr>
        <w:t xml:space="preserve">.  </w:t>
      </w:r>
      <w:r w:rsidRPr="00313559" w:rsidR="00BB27AF">
        <w:rPr>
          <w:color w:val="000000"/>
          <w:szCs w:val="26"/>
        </w:rPr>
        <w:t xml:space="preserve">The trial court rejected the plaintiff’s offer </w:t>
      </w:r>
      <w:r w:rsidRPr="00313559" w:rsidR="007B0847">
        <w:rPr>
          <w:color w:val="000000"/>
          <w:szCs w:val="26"/>
        </w:rPr>
        <w:t xml:space="preserve">to testify that she saw a delivery person </w:t>
      </w:r>
      <w:r w:rsidRPr="00313559" w:rsidR="00C877A3">
        <w:rPr>
          <w:color w:val="000000"/>
          <w:szCs w:val="26"/>
        </w:rPr>
        <w:t xml:space="preserve">from Todd Farm </w:t>
      </w:r>
      <w:r w:rsidRPr="00313559" w:rsidR="001D31E7">
        <w:rPr>
          <w:color w:val="000000"/>
          <w:szCs w:val="26"/>
        </w:rPr>
        <w:t xml:space="preserve">Service </w:t>
      </w:r>
      <w:r w:rsidRPr="00313559" w:rsidR="007B0847">
        <w:rPr>
          <w:color w:val="000000"/>
          <w:szCs w:val="26"/>
        </w:rPr>
        <w:t xml:space="preserve">with a receipt identifying Berrington as the supplier of the bale.  </w:t>
      </w:r>
      <w:r w:rsidRPr="00313559" w:rsidR="00BB27AF">
        <w:rPr>
          <w:color w:val="000000"/>
          <w:szCs w:val="26"/>
        </w:rPr>
        <w:t xml:space="preserve">The Court of Appeal </w:t>
      </w:r>
      <w:r w:rsidRPr="00313559" w:rsidR="005F2AD5">
        <w:rPr>
          <w:color w:val="000000"/>
          <w:szCs w:val="26"/>
        </w:rPr>
        <w:t xml:space="preserve">upheld the </w:t>
      </w:r>
      <w:r w:rsidRPr="00313559" w:rsidR="000A77DF">
        <w:rPr>
          <w:color w:val="000000"/>
          <w:szCs w:val="26"/>
        </w:rPr>
        <w:t xml:space="preserve">ruling.  </w:t>
      </w:r>
      <w:r w:rsidRPr="00313559" w:rsidR="005F2AD5">
        <w:rPr>
          <w:color w:val="000000"/>
          <w:szCs w:val="26"/>
        </w:rPr>
        <w:t xml:space="preserve">It </w:t>
      </w:r>
      <w:r w:rsidRPr="00313559" w:rsidR="00BB27AF">
        <w:rPr>
          <w:color w:val="000000"/>
          <w:szCs w:val="26"/>
        </w:rPr>
        <w:t xml:space="preserve">noted the plaintiff did not possess the receipt, no other witness </w:t>
      </w:r>
      <w:r w:rsidRPr="00313559" w:rsidR="000F6026">
        <w:rPr>
          <w:color w:val="000000"/>
          <w:szCs w:val="26"/>
        </w:rPr>
        <w:t>claimed to have seen</w:t>
      </w:r>
      <w:r w:rsidRPr="00313559" w:rsidR="00BB27AF">
        <w:rPr>
          <w:color w:val="000000"/>
          <w:szCs w:val="26"/>
        </w:rPr>
        <w:t xml:space="preserve"> </w:t>
      </w:r>
      <w:r w:rsidRPr="00313559" w:rsidR="00C0427F">
        <w:rPr>
          <w:color w:val="000000"/>
          <w:szCs w:val="26"/>
        </w:rPr>
        <w:t>it</w:t>
      </w:r>
      <w:r w:rsidRPr="00313559" w:rsidR="00BB27AF">
        <w:rPr>
          <w:color w:val="000000"/>
          <w:szCs w:val="26"/>
        </w:rPr>
        <w:t xml:space="preserve">, and </w:t>
      </w:r>
      <w:r w:rsidRPr="00313559" w:rsidR="000F6026">
        <w:rPr>
          <w:color w:val="000000"/>
          <w:szCs w:val="26"/>
        </w:rPr>
        <w:t xml:space="preserve">Todd Farm Service, </w:t>
      </w:r>
      <w:r w:rsidRPr="00313559" w:rsidR="003C4875">
        <w:rPr>
          <w:color w:val="000000"/>
          <w:szCs w:val="26"/>
        </w:rPr>
        <w:t>“</w:t>
      </w:r>
      <w:r w:rsidRPr="00313559" w:rsidR="000F6026">
        <w:rPr>
          <w:color w:val="000000"/>
          <w:szCs w:val="26"/>
        </w:rPr>
        <w:t xml:space="preserve">the alleged source of the document, testified that no such receipt ever existed.  </w:t>
      </w:r>
      <w:r w:rsidRPr="00313559" w:rsidR="000A77DF">
        <w:rPr>
          <w:color w:val="000000"/>
          <w:szCs w:val="26"/>
        </w:rPr>
        <w:t>[Todd]</w:t>
      </w:r>
      <w:r w:rsidRPr="00313559" w:rsidR="000F6026">
        <w:rPr>
          <w:color w:val="000000"/>
          <w:szCs w:val="26"/>
        </w:rPr>
        <w:t xml:space="preserve"> did not segregate hay in his barn by supplier and he did not document the supplier of hay included in any delivery.  Based on this evidence, it was well within the trial court’s discretion to find that [the pla</w:t>
      </w:r>
      <w:r w:rsidRPr="00313559" w:rsidR="003C4875">
        <w:rPr>
          <w:color w:val="000000"/>
          <w:szCs w:val="26"/>
        </w:rPr>
        <w:t>i</w:t>
      </w:r>
      <w:r w:rsidRPr="00313559" w:rsidR="000F6026">
        <w:rPr>
          <w:color w:val="000000"/>
          <w:szCs w:val="26"/>
        </w:rPr>
        <w:t>ntiff] failed to prove the preliminary facts necessary to admit her testimony about the delivery receipt into evidence.”  (</w:t>
      </w:r>
      <w:r w:rsidRPr="00313559" w:rsidR="000F6026">
        <w:rPr>
          <w:i/>
          <w:iCs/>
          <w:color w:val="000000"/>
          <w:szCs w:val="26"/>
        </w:rPr>
        <w:t>Id</w:t>
      </w:r>
      <w:r w:rsidRPr="00313559" w:rsidR="000F6026">
        <w:rPr>
          <w:color w:val="000000"/>
          <w:szCs w:val="26"/>
        </w:rPr>
        <w:t xml:space="preserve">. at p. 53.)  </w:t>
      </w:r>
    </w:p>
    <w:p w:rsidR="000A77DF" w:rsidRPr="00313559" w:rsidP="00313559">
      <w:pPr>
        <w:tabs>
          <w:tab w:val="left" w:pos="1440"/>
        </w:tabs>
        <w:ind w:firstLine="720"/>
        <w:rPr>
          <w:color w:val="000000"/>
          <w:szCs w:val="26"/>
        </w:rPr>
      </w:pPr>
      <w:r w:rsidRPr="00313559">
        <w:rPr>
          <w:color w:val="000000"/>
          <w:szCs w:val="26"/>
        </w:rPr>
        <w:t>This case is different from</w:t>
      </w:r>
      <w:r w:rsidRPr="00313559" w:rsidR="004A5446">
        <w:rPr>
          <w:color w:val="000000"/>
          <w:szCs w:val="26"/>
        </w:rPr>
        <w:t xml:space="preserve"> </w:t>
      </w:r>
      <w:r w:rsidRPr="00313559" w:rsidR="004A5446">
        <w:rPr>
          <w:i/>
          <w:color w:val="000000"/>
          <w:szCs w:val="26"/>
        </w:rPr>
        <w:t>Osborne</w:t>
      </w:r>
      <w:r w:rsidRPr="00313559">
        <w:rPr>
          <w:color w:val="000000"/>
          <w:szCs w:val="26"/>
        </w:rPr>
        <w:t>, where</w:t>
      </w:r>
      <w:r w:rsidRPr="00313559" w:rsidR="008D59DE">
        <w:rPr>
          <w:color w:val="000000"/>
          <w:szCs w:val="26"/>
        </w:rPr>
        <w:t xml:space="preserve"> all evidence except the plaintiff’s recollection </w:t>
      </w:r>
      <w:r w:rsidRPr="00313559">
        <w:rPr>
          <w:color w:val="000000"/>
          <w:szCs w:val="26"/>
        </w:rPr>
        <w:t>showed</w:t>
      </w:r>
      <w:r w:rsidRPr="00313559" w:rsidR="008D59DE">
        <w:rPr>
          <w:color w:val="000000"/>
          <w:szCs w:val="26"/>
        </w:rPr>
        <w:t xml:space="preserve"> no such receipt ever existed</w:t>
      </w:r>
      <w:r w:rsidRPr="00313559">
        <w:rPr>
          <w:color w:val="000000"/>
          <w:szCs w:val="26"/>
        </w:rPr>
        <w:t>.  In contrast</w:t>
      </w:r>
      <w:r w:rsidRPr="00313559" w:rsidR="008D59DE">
        <w:rPr>
          <w:color w:val="000000"/>
          <w:szCs w:val="26"/>
        </w:rPr>
        <w:t xml:space="preserve">, </w:t>
      </w:r>
      <w:r w:rsidRPr="00313559" w:rsidR="000F6026">
        <w:rPr>
          <w:color w:val="000000"/>
          <w:szCs w:val="26"/>
        </w:rPr>
        <w:t xml:space="preserve">Keenan </w:t>
      </w:r>
      <w:r w:rsidRPr="00313559" w:rsidR="001C5322">
        <w:rPr>
          <w:color w:val="000000"/>
          <w:szCs w:val="26"/>
        </w:rPr>
        <w:t xml:space="preserve">admitted it </w:t>
      </w:r>
      <w:r w:rsidRPr="00313559" w:rsidR="000F6026">
        <w:rPr>
          <w:color w:val="000000"/>
          <w:szCs w:val="26"/>
        </w:rPr>
        <w:t xml:space="preserve">sent invoices and </w:t>
      </w:r>
      <w:r w:rsidRPr="00313559" w:rsidR="00DE10C1">
        <w:rPr>
          <w:color w:val="000000"/>
          <w:szCs w:val="26"/>
        </w:rPr>
        <w:t>acknowledged a</w:t>
      </w:r>
      <w:r w:rsidRPr="00313559" w:rsidR="00BF46B9">
        <w:rPr>
          <w:color w:val="000000"/>
          <w:szCs w:val="26"/>
        </w:rPr>
        <w:t xml:space="preserve">n exemplar </w:t>
      </w:r>
      <w:r w:rsidRPr="00313559">
        <w:rPr>
          <w:color w:val="000000"/>
          <w:szCs w:val="26"/>
        </w:rPr>
        <w:t>with</w:t>
      </w:r>
      <w:r w:rsidRPr="00313559" w:rsidR="00BF46B9">
        <w:rPr>
          <w:color w:val="000000"/>
          <w:szCs w:val="26"/>
        </w:rPr>
        <w:t xml:space="preserve"> a</w:t>
      </w:r>
      <w:r w:rsidRPr="00313559" w:rsidR="00DE10C1">
        <w:rPr>
          <w:color w:val="000000"/>
          <w:szCs w:val="26"/>
        </w:rPr>
        <w:t xml:space="preserve"> </w:t>
      </w:r>
      <w:r w:rsidRPr="00313559" w:rsidR="004A5446">
        <w:rPr>
          <w:color w:val="000000"/>
          <w:szCs w:val="26"/>
        </w:rPr>
        <w:t xml:space="preserve">Keenan logo on it.  </w:t>
      </w:r>
      <w:r w:rsidRPr="00313559">
        <w:rPr>
          <w:color w:val="000000"/>
          <w:szCs w:val="26"/>
        </w:rPr>
        <w:t>R</w:t>
      </w:r>
      <w:r w:rsidRPr="00313559" w:rsidR="008555FB">
        <w:rPr>
          <w:color w:val="000000"/>
          <w:szCs w:val="26"/>
        </w:rPr>
        <w:t xml:space="preserve">eviewing invoices </w:t>
      </w:r>
      <w:r w:rsidRPr="00313559" w:rsidR="00495179">
        <w:rPr>
          <w:color w:val="000000"/>
          <w:szCs w:val="26"/>
        </w:rPr>
        <w:t>was one of Glamuzina’s responsibilities</w:t>
      </w:r>
      <w:r w:rsidRPr="00313559" w:rsidR="00D02F9C">
        <w:rPr>
          <w:color w:val="000000"/>
          <w:szCs w:val="26"/>
        </w:rPr>
        <w:t xml:space="preserve">, </w:t>
      </w:r>
      <w:r w:rsidRPr="00313559">
        <w:rPr>
          <w:color w:val="000000"/>
          <w:szCs w:val="26"/>
        </w:rPr>
        <w:t>which</w:t>
      </w:r>
      <w:r w:rsidRPr="00313559" w:rsidR="00D02F9C">
        <w:rPr>
          <w:color w:val="000000"/>
          <w:szCs w:val="26"/>
        </w:rPr>
        <w:t xml:space="preserve"> lends weight to his recollection of </w:t>
      </w:r>
      <w:r w:rsidRPr="00313559">
        <w:rPr>
          <w:color w:val="000000"/>
          <w:szCs w:val="26"/>
        </w:rPr>
        <w:t xml:space="preserve">how the </w:t>
      </w:r>
      <w:r w:rsidRPr="00313559" w:rsidR="00D02F9C">
        <w:rPr>
          <w:color w:val="000000"/>
          <w:szCs w:val="26"/>
        </w:rPr>
        <w:t>invoices</w:t>
      </w:r>
      <w:r w:rsidRPr="00313559">
        <w:rPr>
          <w:color w:val="000000"/>
          <w:szCs w:val="26"/>
        </w:rPr>
        <w:t xml:space="preserve"> looked</w:t>
      </w:r>
      <w:r w:rsidRPr="00313559" w:rsidR="00D02F9C">
        <w:rPr>
          <w:color w:val="000000"/>
          <w:szCs w:val="26"/>
        </w:rPr>
        <w:t xml:space="preserve">.  </w:t>
      </w:r>
      <w:r w:rsidRPr="00313559">
        <w:rPr>
          <w:color w:val="000000"/>
          <w:szCs w:val="26"/>
        </w:rPr>
        <w:t xml:space="preserve">In addition, </w:t>
      </w:r>
      <w:r w:rsidRPr="00313559" w:rsidR="00D02F9C">
        <w:rPr>
          <w:color w:val="000000"/>
          <w:szCs w:val="26"/>
        </w:rPr>
        <w:t xml:space="preserve">the invoices were seen at a worksite accompanying a delivery of </w:t>
      </w:r>
      <w:r w:rsidRPr="00313559">
        <w:rPr>
          <w:color w:val="000000"/>
          <w:szCs w:val="26"/>
        </w:rPr>
        <w:t>asbestos-cement</w:t>
      </w:r>
      <w:r w:rsidRPr="00313559" w:rsidR="00D02F9C">
        <w:rPr>
          <w:color w:val="000000"/>
          <w:szCs w:val="26"/>
        </w:rPr>
        <w:t xml:space="preserve"> pipe, a product </w:t>
      </w:r>
      <w:r w:rsidRPr="00313559">
        <w:rPr>
          <w:color w:val="000000"/>
          <w:szCs w:val="26"/>
        </w:rPr>
        <w:t xml:space="preserve">Keenan </w:t>
      </w:r>
      <w:r w:rsidRPr="00313559" w:rsidR="00D02F9C">
        <w:rPr>
          <w:color w:val="000000"/>
          <w:szCs w:val="26"/>
        </w:rPr>
        <w:t>sold</w:t>
      </w:r>
      <w:r w:rsidRPr="00313559" w:rsidR="00495179">
        <w:rPr>
          <w:color w:val="000000"/>
          <w:szCs w:val="26"/>
        </w:rPr>
        <w:t>.</w:t>
      </w:r>
      <w:r w:rsidRPr="00313559" w:rsidR="00D02F9C">
        <w:rPr>
          <w:color w:val="000000"/>
          <w:szCs w:val="26"/>
        </w:rPr>
        <w:t xml:space="preserve">  </w:t>
      </w:r>
      <w:r w:rsidRPr="00313559" w:rsidR="00BF46B9">
        <w:rPr>
          <w:i/>
          <w:color w:val="000000"/>
          <w:szCs w:val="26"/>
        </w:rPr>
        <w:t>Osborne</w:t>
      </w:r>
      <w:r w:rsidRPr="00313559" w:rsidR="00BF46B9">
        <w:rPr>
          <w:color w:val="000000"/>
          <w:szCs w:val="26"/>
        </w:rPr>
        <w:t xml:space="preserve"> concluded only that the trial court in that case did not abuse its discretion</w:t>
      </w:r>
      <w:r w:rsidRPr="00313559">
        <w:rPr>
          <w:color w:val="000000"/>
          <w:szCs w:val="26"/>
        </w:rPr>
        <w:t xml:space="preserve"> in excluding the evidence.  That holding does not preclude a different court</w:t>
      </w:r>
      <w:r w:rsidRPr="00313559" w:rsidR="003D0895">
        <w:rPr>
          <w:color w:val="000000"/>
          <w:szCs w:val="26"/>
        </w:rPr>
        <w:t>,</w:t>
      </w:r>
      <w:r w:rsidRPr="00313559">
        <w:rPr>
          <w:color w:val="000000"/>
          <w:szCs w:val="26"/>
        </w:rPr>
        <w:t xml:space="preserve"> faced with some but not all of the circumstances present in </w:t>
      </w:r>
      <w:r w:rsidRPr="00313559">
        <w:rPr>
          <w:i/>
          <w:color w:val="000000"/>
          <w:szCs w:val="26"/>
        </w:rPr>
        <w:t>Osborne</w:t>
      </w:r>
      <w:r w:rsidRPr="00313559" w:rsidR="003D0895">
        <w:rPr>
          <w:i/>
          <w:color w:val="000000"/>
          <w:szCs w:val="26"/>
        </w:rPr>
        <w:t>,</w:t>
      </w:r>
      <w:r w:rsidRPr="00313559">
        <w:rPr>
          <w:color w:val="000000"/>
          <w:szCs w:val="26"/>
        </w:rPr>
        <w:t xml:space="preserve"> from exercising its discretion </w:t>
      </w:r>
      <w:r w:rsidRPr="00313559" w:rsidR="00C0427F">
        <w:rPr>
          <w:color w:val="000000"/>
          <w:szCs w:val="26"/>
        </w:rPr>
        <w:t>differently</w:t>
      </w:r>
      <w:r w:rsidRPr="00313559">
        <w:rPr>
          <w:color w:val="000000"/>
          <w:szCs w:val="26"/>
        </w:rPr>
        <w:t>.</w:t>
      </w:r>
    </w:p>
    <w:p w:rsidR="00271EF9" w:rsidRPr="00313559" w:rsidP="00313559">
      <w:pPr>
        <w:tabs>
          <w:tab w:val="left" w:pos="1440"/>
        </w:tabs>
        <w:ind w:firstLine="720"/>
        <w:rPr>
          <w:color w:val="000000"/>
          <w:szCs w:val="26"/>
        </w:rPr>
      </w:pPr>
      <w:r w:rsidRPr="00313559">
        <w:rPr>
          <w:color w:val="000000"/>
          <w:szCs w:val="26"/>
        </w:rPr>
        <w:t xml:space="preserve">Finally, </w:t>
      </w:r>
      <w:r w:rsidRPr="00313559" w:rsidR="00B23BCF">
        <w:rPr>
          <w:color w:val="000000"/>
          <w:szCs w:val="26"/>
        </w:rPr>
        <w:t xml:space="preserve">Keenan </w:t>
      </w:r>
      <w:r w:rsidRPr="00313559" w:rsidR="000A77DF">
        <w:rPr>
          <w:color w:val="000000"/>
          <w:szCs w:val="26"/>
        </w:rPr>
        <w:t>argues</w:t>
      </w:r>
      <w:r w:rsidRPr="00313559" w:rsidR="000560D4">
        <w:rPr>
          <w:color w:val="000000"/>
          <w:szCs w:val="26"/>
        </w:rPr>
        <w:t xml:space="preserve"> </w:t>
      </w:r>
      <w:r w:rsidRPr="00313559" w:rsidR="009B30B4">
        <w:rPr>
          <w:color w:val="000000"/>
          <w:szCs w:val="26"/>
        </w:rPr>
        <w:t xml:space="preserve">that </w:t>
      </w:r>
      <w:r w:rsidRPr="00313559" w:rsidR="000560D4">
        <w:rPr>
          <w:color w:val="000000"/>
          <w:szCs w:val="26"/>
        </w:rPr>
        <w:t xml:space="preserve">other cases </w:t>
      </w:r>
      <w:r w:rsidRPr="00313559" w:rsidR="0015193F">
        <w:rPr>
          <w:color w:val="000000"/>
          <w:szCs w:val="26"/>
        </w:rPr>
        <w:t>suggest a document cannot be authenticated if there is no copy before the court</w:t>
      </w:r>
      <w:r w:rsidRPr="00313559" w:rsidR="00957BE0">
        <w:rPr>
          <w:color w:val="000000"/>
          <w:szCs w:val="26"/>
        </w:rPr>
        <w:t xml:space="preserve"> and only one witness testifies to seeing </w:t>
      </w:r>
      <w:r w:rsidRPr="00313559" w:rsidR="0051096C">
        <w:rPr>
          <w:color w:val="000000"/>
          <w:szCs w:val="26"/>
        </w:rPr>
        <w:t>the document</w:t>
      </w:r>
      <w:r w:rsidRPr="00313559" w:rsidR="00957BE0">
        <w:rPr>
          <w:color w:val="000000"/>
          <w:szCs w:val="26"/>
        </w:rPr>
        <w:t xml:space="preserve">. </w:t>
      </w:r>
      <w:r w:rsidRPr="00313559" w:rsidR="000560D4">
        <w:rPr>
          <w:color w:val="000000"/>
          <w:szCs w:val="26"/>
        </w:rPr>
        <w:t xml:space="preserve"> </w:t>
      </w:r>
      <w:bookmarkStart w:id="6" w:name="_Hlk40359349"/>
      <w:r w:rsidRPr="00313559" w:rsidR="00C6265E">
        <w:rPr>
          <w:color w:val="000000"/>
          <w:szCs w:val="26"/>
        </w:rPr>
        <w:t xml:space="preserve">It points to </w:t>
      </w:r>
      <w:r w:rsidRPr="00313559" w:rsidR="00E728C0">
        <w:rPr>
          <w:i/>
          <w:iCs/>
          <w:color w:val="000000"/>
          <w:szCs w:val="26"/>
          <w:bdr w:val="none" w:sz="0" w:space="0" w:color="auto" w:frame="1"/>
        </w:rPr>
        <w:t>Skiles, supra</w:t>
      </w:r>
      <w:r w:rsidRPr="00313559" w:rsidR="00E728C0">
        <w:rPr>
          <w:iCs/>
          <w:color w:val="000000"/>
          <w:szCs w:val="26"/>
          <w:bdr w:val="none" w:sz="0" w:space="0" w:color="auto" w:frame="1"/>
        </w:rPr>
        <w:t xml:space="preserve">, </w:t>
      </w:r>
      <w:r w:rsidRPr="00313559" w:rsidR="00E728C0">
        <w:rPr>
          <w:color w:val="000000"/>
          <w:szCs w:val="26"/>
        </w:rPr>
        <w:t xml:space="preserve">51 Cal.4th </w:t>
      </w:r>
      <w:r w:rsidRPr="00313559" w:rsidR="00E72B35">
        <w:rPr>
          <w:color w:val="000000"/>
          <w:szCs w:val="26"/>
        </w:rPr>
        <w:t>at p</w:t>
      </w:r>
      <w:r w:rsidR="00BA292B">
        <w:rPr>
          <w:color w:val="000000"/>
          <w:szCs w:val="26"/>
        </w:rPr>
        <w:t>age</w:t>
      </w:r>
      <w:r w:rsidRPr="00313559" w:rsidR="00E72B35">
        <w:rPr>
          <w:color w:val="000000"/>
          <w:szCs w:val="26"/>
        </w:rPr>
        <w:t xml:space="preserve"> </w:t>
      </w:r>
      <w:r w:rsidRPr="00313559" w:rsidR="00E728C0">
        <w:rPr>
          <w:color w:val="000000"/>
          <w:szCs w:val="26"/>
        </w:rPr>
        <w:t xml:space="preserve">1182; </w:t>
      </w:r>
      <w:r w:rsidRPr="00313559" w:rsidR="00E728C0">
        <w:rPr>
          <w:i/>
          <w:color w:val="000000"/>
          <w:szCs w:val="26"/>
        </w:rPr>
        <w:t>People ex rel. Harris v. Sarpas</w:t>
      </w:r>
      <w:r w:rsidRPr="00313559" w:rsidR="00E728C0">
        <w:rPr>
          <w:color w:val="000000"/>
          <w:szCs w:val="26"/>
        </w:rPr>
        <w:t xml:space="preserve"> </w:t>
      </w:r>
      <w:r w:rsidRPr="00313559" w:rsidR="002200C7">
        <w:rPr>
          <w:color w:val="000000"/>
          <w:szCs w:val="26"/>
        </w:rPr>
        <w:t xml:space="preserve">(2014) 225 Cal.App.4th 1539, 1570-1571; </w:t>
      </w:r>
      <w:r w:rsidRPr="00313559" w:rsidR="000560D4">
        <w:rPr>
          <w:i/>
          <w:color w:val="000000"/>
          <w:szCs w:val="26"/>
        </w:rPr>
        <w:t>Gibson, supra</w:t>
      </w:r>
      <w:r w:rsidRPr="00313559" w:rsidR="000560D4">
        <w:rPr>
          <w:color w:val="000000"/>
          <w:szCs w:val="26"/>
        </w:rPr>
        <w:t>, 90 Cal.App.4th</w:t>
      </w:r>
      <w:r w:rsidRPr="00313559" w:rsidR="00E72B35">
        <w:rPr>
          <w:color w:val="000000"/>
          <w:szCs w:val="26"/>
        </w:rPr>
        <w:t xml:space="preserve"> at p</w:t>
      </w:r>
      <w:r w:rsidR="00BA292B">
        <w:rPr>
          <w:color w:val="000000"/>
          <w:szCs w:val="26"/>
        </w:rPr>
        <w:t>age</w:t>
      </w:r>
      <w:r w:rsidRPr="00313559" w:rsidR="00E728C0">
        <w:rPr>
          <w:color w:val="000000"/>
          <w:szCs w:val="26"/>
        </w:rPr>
        <w:t xml:space="preserve"> 379</w:t>
      </w:r>
      <w:r w:rsidRPr="00313559" w:rsidR="000560D4">
        <w:rPr>
          <w:color w:val="000000"/>
          <w:szCs w:val="26"/>
        </w:rPr>
        <w:t>;</w:t>
      </w:r>
      <w:r w:rsidR="002E3F61">
        <w:rPr>
          <w:color w:val="000000"/>
          <w:szCs w:val="26"/>
        </w:rPr>
        <w:t xml:space="preserve"> and</w:t>
      </w:r>
      <w:r w:rsidRPr="00313559" w:rsidR="000560D4">
        <w:rPr>
          <w:color w:val="000000"/>
          <w:szCs w:val="26"/>
        </w:rPr>
        <w:t xml:space="preserve"> </w:t>
      </w:r>
      <w:r w:rsidRPr="00313559" w:rsidR="000560D4">
        <w:rPr>
          <w:i/>
          <w:color w:val="000000"/>
          <w:szCs w:val="26"/>
        </w:rPr>
        <w:t>Young v. Soren</w:t>
      </w:r>
      <w:r w:rsidRPr="00313559" w:rsidR="00E728C0">
        <w:rPr>
          <w:i/>
          <w:color w:val="000000"/>
          <w:szCs w:val="26"/>
        </w:rPr>
        <w:t>son</w:t>
      </w:r>
      <w:r w:rsidRPr="00313559" w:rsidR="00E728C0">
        <w:rPr>
          <w:color w:val="000000"/>
          <w:szCs w:val="26"/>
        </w:rPr>
        <w:t xml:space="preserve"> (1975) 47 Cal.App.3d 911, 915-916</w:t>
      </w:r>
      <w:bookmarkEnd w:id="6"/>
      <w:r w:rsidRPr="00313559">
        <w:rPr>
          <w:color w:val="000000"/>
          <w:szCs w:val="26"/>
        </w:rPr>
        <w:t xml:space="preserve">.  </w:t>
      </w:r>
      <w:r w:rsidRPr="00313559" w:rsidR="000A77DF">
        <w:rPr>
          <w:color w:val="000000"/>
          <w:szCs w:val="26"/>
        </w:rPr>
        <w:t xml:space="preserve">Those cases do not sweep as broadly as Keenan contends.  </w:t>
      </w:r>
      <w:r w:rsidRPr="00313559" w:rsidR="00957BE0">
        <w:rPr>
          <w:color w:val="000000"/>
          <w:szCs w:val="26"/>
        </w:rPr>
        <w:t xml:space="preserve">As noted, </w:t>
      </w:r>
      <w:r w:rsidRPr="00313559" w:rsidR="00512234">
        <w:rPr>
          <w:color w:val="000000"/>
          <w:szCs w:val="26"/>
        </w:rPr>
        <w:t>section 1523</w:t>
      </w:r>
      <w:r w:rsidRPr="00313559" w:rsidR="00E72B35">
        <w:rPr>
          <w:color w:val="000000"/>
          <w:szCs w:val="26"/>
        </w:rPr>
        <w:t>, subdivision (b)</w:t>
      </w:r>
      <w:r w:rsidRPr="00313559" w:rsidR="0015193F">
        <w:rPr>
          <w:color w:val="000000"/>
          <w:szCs w:val="26"/>
        </w:rPr>
        <w:t xml:space="preserve"> provides</w:t>
      </w:r>
      <w:r w:rsidRPr="00313559" w:rsidR="00512234">
        <w:rPr>
          <w:color w:val="000000"/>
          <w:szCs w:val="26"/>
        </w:rPr>
        <w:t xml:space="preserve"> </w:t>
      </w:r>
      <w:r w:rsidRPr="00313559" w:rsidR="00B74D63">
        <w:rPr>
          <w:color w:val="000000"/>
          <w:szCs w:val="26"/>
        </w:rPr>
        <w:t xml:space="preserve">that </w:t>
      </w:r>
      <w:r w:rsidRPr="00313559" w:rsidR="00512234">
        <w:rPr>
          <w:color w:val="000000"/>
          <w:szCs w:val="26"/>
        </w:rPr>
        <w:t xml:space="preserve">the contents of a writing </w:t>
      </w:r>
      <w:r w:rsidRPr="00313559" w:rsidR="00D65A15">
        <w:rPr>
          <w:color w:val="000000"/>
          <w:szCs w:val="26"/>
        </w:rPr>
        <w:t>may be proven by oral testimony when the proponent does not have a copy and “the original is lost or has been destroyed without fraudulent intent on the part of the proponent of the evidence.”</w:t>
      </w:r>
      <w:r w:rsidRPr="00313559" w:rsidR="00DC4BCA">
        <w:rPr>
          <w:color w:val="000000"/>
          <w:szCs w:val="26"/>
        </w:rPr>
        <w:t xml:space="preserve">  </w:t>
      </w:r>
      <w:r w:rsidRPr="00313559" w:rsidR="00957BE0">
        <w:rPr>
          <w:color w:val="000000"/>
          <w:szCs w:val="26"/>
        </w:rPr>
        <w:t xml:space="preserve">The </w:t>
      </w:r>
      <w:r w:rsidRPr="00313559" w:rsidR="00F27840">
        <w:rPr>
          <w:color w:val="000000"/>
          <w:szCs w:val="26"/>
        </w:rPr>
        <w:t>statute</w:t>
      </w:r>
      <w:r w:rsidRPr="00313559" w:rsidR="00957BE0">
        <w:rPr>
          <w:color w:val="000000"/>
          <w:szCs w:val="26"/>
        </w:rPr>
        <w:t xml:space="preserve"> does not </w:t>
      </w:r>
      <w:r w:rsidRPr="00313559" w:rsidR="00F27840">
        <w:rPr>
          <w:color w:val="000000"/>
          <w:szCs w:val="26"/>
        </w:rPr>
        <w:t>impose any additional evidentiary requirement</w:t>
      </w:r>
      <w:r w:rsidRPr="00313559" w:rsidR="004A3573">
        <w:rPr>
          <w:color w:val="000000"/>
          <w:szCs w:val="26"/>
        </w:rPr>
        <w:t>.  T</w:t>
      </w:r>
      <w:r w:rsidRPr="00313559" w:rsidR="00F27840">
        <w:rPr>
          <w:color w:val="000000"/>
          <w:szCs w:val="26"/>
        </w:rPr>
        <w:t xml:space="preserve">he strength of </w:t>
      </w:r>
      <w:r w:rsidRPr="00313559" w:rsidR="004A3573">
        <w:rPr>
          <w:color w:val="000000"/>
          <w:szCs w:val="26"/>
        </w:rPr>
        <w:t xml:space="preserve">authenticity </w:t>
      </w:r>
      <w:r w:rsidRPr="00313559" w:rsidR="00F27840">
        <w:rPr>
          <w:color w:val="000000"/>
          <w:szCs w:val="26"/>
        </w:rPr>
        <w:t>evidence in other cases does not establish the trial court abused its discretion</w:t>
      </w:r>
      <w:r w:rsidRPr="00313559" w:rsidR="00C0427F">
        <w:rPr>
          <w:color w:val="000000"/>
          <w:szCs w:val="26"/>
        </w:rPr>
        <w:t xml:space="preserve"> here</w:t>
      </w:r>
      <w:r w:rsidRPr="00313559" w:rsidR="009F68D5">
        <w:rPr>
          <w:color w:val="000000"/>
          <w:szCs w:val="26"/>
        </w:rPr>
        <w:t xml:space="preserve">. </w:t>
      </w:r>
    </w:p>
    <w:p w:rsidR="009A69CA" w:rsidRPr="00313559" w:rsidP="00313559">
      <w:pPr>
        <w:pStyle w:val="Heading1"/>
      </w:pPr>
      <w:r w:rsidRPr="00313559">
        <w:t xml:space="preserve">III.  </w:t>
      </w:r>
      <w:r w:rsidRPr="00313559">
        <w:t>DISPOSITION</w:t>
      </w:r>
    </w:p>
    <w:p w:rsidR="00670D97" w:rsidRPr="00313559" w:rsidP="00313559">
      <w:pPr>
        <w:tabs>
          <w:tab w:val="left" w:pos="1440"/>
        </w:tabs>
        <w:ind w:firstLine="720"/>
        <w:rPr>
          <w:color w:val="000000"/>
          <w:szCs w:val="26"/>
        </w:rPr>
      </w:pPr>
      <w:r w:rsidRPr="00313559">
        <w:rPr>
          <w:color w:val="000000"/>
          <w:szCs w:val="26"/>
        </w:rPr>
        <w:t>T</w:t>
      </w:r>
      <w:r w:rsidRPr="00313559" w:rsidR="009A69CA">
        <w:rPr>
          <w:color w:val="000000"/>
          <w:szCs w:val="26"/>
        </w:rPr>
        <w:t>he judgment</w:t>
      </w:r>
      <w:r w:rsidRPr="00313559">
        <w:rPr>
          <w:color w:val="000000"/>
          <w:szCs w:val="26"/>
        </w:rPr>
        <w:t xml:space="preserve"> is reversed</w:t>
      </w:r>
      <w:r w:rsidRPr="00313559" w:rsidR="009A69CA">
        <w:rPr>
          <w:color w:val="000000"/>
          <w:szCs w:val="26"/>
        </w:rPr>
        <w:t xml:space="preserve"> and the matter </w:t>
      </w:r>
      <w:r w:rsidRPr="00313559" w:rsidR="00163AAD">
        <w:rPr>
          <w:color w:val="000000"/>
          <w:szCs w:val="26"/>
        </w:rPr>
        <w:t xml:space="preserve">remanded </w:t>
      </w:r>
      <w:r w:rsidRPr="00313559" w:rsidR="009A69CA">
        <w:rPr>
          <w:color w:val="000000"/>
          <w:szCs w:val="26"/>
        </w:rPr>
        <w:t xml:space="preserve">to the Court of Appeal </w:t>
      </w:r>
      <w:r w:rsidRPr="00313559" w:rsidR="007B6F8F">
        <w:rPr>
          <w:color w:val="000000"/>
          <w:szCs w:val="26"/>
        </w:rPr>
        <w:t xml:space="preserve">for </w:t>
      </w:r>
      <w:r w:rsidRPr="00313559" w:rsidR="004A3573">
        <w:rPr>
          <w:color w:val="000000"/>
          <w:szCs w:val="26"/>
        </w:rPr>
        <w:t>consideration of other contentions left unresolved</w:t>
      </w:r>
      <w:r w:rsidRPr="00313559" w:rsidR="00EA60C4">
        <w:rPr>
          <w:color w:val="000000"/>
          <w:szCs w:val="26"/>
        </w:rPr>
        <w:t>.</w:t>
      </w:r>
    </w:p>
    <w:p w:rsidR="00B74D63" w:rsidRPr="00313559" w:rsidP="00313559">
      <w:pPr>
        <w:tabs>
          <w:tab w:val="left" w:pos="1440"/>
        </w:tabs>
        <w:ind w:firstLine="720"/>
        <w:rPr>
          <w:color w:val="000000"/>
          <w:szCs w:val="26"/>
        </w:rPr>
      </w:pPr>
    </w:p>
    <w:p w:rsidR="00670D97" w:rsidRPr="00313559" w:rsidP="00313559">
      <w:pPr>
        <w:tabs>
          <w:tab w:val="left" w:pos="1440"/>
        </w:tabs>
        <w:ind w:firstLine="720"/>
        <w:rPr>
          <w:color w:val="000000"/>
          <w:szCs w:val="26"/>
        </w:rPr>
      </w:pPr>
      <w:r w:rsidRPr="00313559">
        <w:rPr>
          <w:color w:val="000000"/>
          <w:szCs w:val="26"/>
        </w:rPr>
        <w:tab/>
      </w:r>
      <w:r w:rsidRPr="00313559">
        <w:rPr>
          <w:color w:val="000000"/>
          <w:szCs w:val="26"/>
        </w:rPr>
        <w:tab/>
      </w:r>
      <w:r w:rsidRPr="00313559">
        <w:rPr>
          <w:color w:val="000000"/>
          <w:szCs w:val="26"/>
        </w:rPr>
        <w:tab/>
      </w:r>
      <w:r w:rsidRPr="00313559">
        <w:rPr>
          <w:color w:val="000000"/>
          <w:szCs w:val="26"/>
        </w:rPr>
        <w:tab/>
      </w:r>
      <w:r w:rsidRPr="00313559">
        <w:rPr>
          <w:color w:val="000000"/>
          <w:szCs w:val="26"/>
        </w:rPr>
        <w:tab/>
      </w:r>
      <w:r w:rsidRPr="00313559">
        <w:rPr>
          <w:color w:val="000000"/>
          <w:szCs w:val="26"/>
        </w:rPr>
        <w:tab/>
      </w:r>
      <w:r w:rsidRPr="00313559">
        <w:rPr>
          <w:color w:val="000000"/>
          <w:szCs w:val="26"/>
        </w:rPr>
        <w:tab/>
      </w:r>
      <w:r w:rsidRPr="00313559">
        <w:rPr>
          <w:b/>
        </w:rPr>
        <w:t>CORRIGAN, J.</w:t>
      </w:r>
    </w:p>
    <w:p w:rsidR="00037367" w:rsidP="00E0026E">
      <w:pPr>
        <w:rPr>
          <w:b/>
          <w:szCs w:val="26"/>
        </w:rPr>
      </w:pPr>
      <w:r>
        <w:rPr>
          <w:b/>
          <w:szCs w:val="26"/>
        </w:rPr>
        <w:t>We Concur:</w:t>
      </w:r>
    </w:p>
    <w:p w:rsidR="00037367" w:rsidP="00037367">
      <w:pPr>
        <w:spacing w:after="0" w:line="240" w:lineRule="auto"/>
        <w:rPr>
          <w:b/>
          <w:szCs w:val="26"/>
        </w:rPr>
      </w:pPr>
      <w:r>
        <w:rPr>
          <w:b/>
          <w:szCs w:val="26"/>
        </w:rPr>
        <w:t>CANTIL-SAKAUYE, C. J.</w:t>
      </w:r>
    </w:p>
    <w:p w:rsidR="00037367" w:rsidP="00037367">
      <w:pPr>
        <w:spacing w:after="0" w:line="240" w:lineRule="auto"/>
        <w:rPr>
          <w:b/>
          <w:szCs w:val="26"/>
        </w:rPr>
      </w:pPr>
      <w:r>
        <w:rPr>
          <w:b/>
          <w:szCs w:val="26"/>
        </w:rPr>
        <w:t>CHIN, J.</w:t>
      </w:r>
    </w:p>
    <w:p w:rsidR="00037367" w:rsidP="00037367">
      <w:pPr>
        <w:spacing w:after="0" w:line="240" w:lineRule="auto"/>
        <w:rPr>
          <w:b/>
          <w:szCs w:val="26"/>
        </w:rPr>
      </w:pPr>
      <w:r>
        <w:rPr>
          <w:b/>
          <w:szCs w:val="26"/>
        </w:rPr>
        <w:t>LIU, J.</w:t>
      </w:r>
    </w:p>
    <w:p w:rsidR="00037367" w:rsidP="00037367">
      <w:pPr>
        <w:spacing w:after="0" w:line="240" w:lineRule="auto"/>
        <w:rPr>
          <w:b/>
          <w:szCs w:val="26"/>
        </w:rPr>
      </w:pPr>
      <w:r>
        <w:rPr>
          <w:b/>
          <w:szCs w:val="26"/>
        </w:rPr>
        <w:t>CUÉLLAR, J.</w:t>
      </w:r>
    </w:p>
    <w:p w:rsidR="00037367" w:rsidP="00037367">
      <w:pPr>
        <w:spacing w:after="0" w:line="240" w:lineRule="auto"/>
        <w:rPr>
          <w:b/>
        </w:rPr>
      </w:pPr>
      <w:r>
        <w:rPr>
          <w:b/>
        </w:rPr>
        <w:t>KRUGER, J.</w:t>
      </w:r>
    </w:p>
    <w:p w:rsidR="00037367" w:rsidRPr="000D54AF" w:rsidP="00037367">
      <w:pPr>
        <w:spacing w:after="0" w:line="240" w:lineRule="auto"/>
        <w:rPr>
          <w:b/>
        </w:rPr>
      </w:pPr>
      <w:r>
        <w:rPr>
          <w:b/>
        </w:rPr>
        <w:t>GROBAN, J.</w:t>
      </w:r>
    </w:p>
    <w:p w:rsidR="00AB2455" w:rsidP="00037367">
      <w:pPr>
        <w:tabs>
          <w:tab w:val="left" w:pos="1440"/>
        </w:tabs>
        <w:rPr>
          <w:color w:val="000000"/>
          <w:szCs w:val="26"/>
        </w:rPr>
        <w:sectPr w:rsidSect="00313559">
          <w:footerReference w:type="first" r:id="rId11"/>
          <w:pgSz w:w="12240" w:h="15840"/>
          <w:pgMar w:top="1800" w:right="2160" w:bottom="1440" w:left="2160" w:header="720" w:footer="720" w:gutter="0"/>
          <w:pgNumType w:start="1"/>
          <w:cols w:space="720"/>
          <w:titlePg/>
          <w:docGrid w:linePitch="367"/>
        </w:sectPr>
      </w:pPr>
    </w:p>
    <w:p w:rsidR="00B12503" w:rsidRPr="00B12503" w:rsidP="00B12503">
      <w:pPr>
        <w:spacing w:after="0" w:line="240" w:lineRule="auto"/>
        <w:jc w:val="left"/>
        <w:rPr>
          <w:rFonts w:ascii="Times New Roman" w:hAnsi="Times New Roman"/>
          <w:i/>
          <w:sz w:val="20"/>
        </w:rPr>
      </w:pPr>
      <w:r w:rsidRPr="00B12503">
        <w:rPr>
          <w:rFonts w:ascii="Times New Roman" w:hAnsi="Times New Roman"/>
          <w:i/>
          <w:sz w:val="20"/>
        </w:rPr>
        <w:t>See next page for addresses and telephone numbers for counsel who argued in Supreme Court.</w:t>
      </w:r>
    </w:p>
    <w:p w:rsidR="00B12503" w:rsidRPr="00B12503" w:rsidP="00B12503">
      <w:pPr>
        <w:spacing w:after="0" w:line="240" w:lineRule="auto"/>
        <w:jc w:val="left"/>
        <w:rPr>
          <w:rFonts w:ascii="Times New Roman" w:hAnsi="Times New Roman"/>
          <w:i/>
          <w:sz w:val="20"/>
        </w:rPr>
      </w:pPr>
    </w:p>
    <w:p w:rsidR="00B12503" w:rsidRPr="00B12503" w:rsidP="00B12503">
      <w:pPr>
        <w:spacing w:after="0" w:line="240" w:lineRule="auto"/>
        <w:jc w:val="left"/>
        <w:rPr>
          <w:rFonts w:ascii="Times New Roman" w:hAnsi="Times New Roman"/>
          <w:b/>
          <w:sz w:val="20"/>
        </w:rPr>
      </w:pPr>
      <w:r w:rsidRPr="00B12503">
        <w:rPr>
          <w:rFonts w:ascii="Times New Roman" w:hAnsi="Times New Roman"/>
          <w:b/>
          <w:sz w:val="20"/>
        </w:rPr>
        <w:t xml:space="preserve">Name of Opinion  </w:t>
      </w:r>
      <w:r w:rsidRPr="00B12503">
        <w:rPr>
          <w:rFonts w:ascii="Times New Roman" w:hAnsi="Times New Roman"/>
          <w:bCs/>
          <w:sz w:val="20"/>
        </w:rPr>
        <w:t>Hart v. Keenan Properties, Inc.</w:t>
      </w:r>
      <w:r w:rsidRPr="00B12503">
        <w:rPr>
          <w:rFonts w:ascii="Times New Roman" w:hAnsi="Times New Roman"/>
          <w:sz w:val="20"/>
        </w:rPr>
        <w:t xml:space="preserve"> </w:t>
      </w:r>
      <w:r w:rsidRPr="00B12503">
        <w:rPr>
          <w:rFonts w:ascii="Times New Roman" w:hAnsi="Times New Roman"/>
          <w:b/>
          <w:sz w:val="20"/>
        </w:rPr>
        <w:t>__________________________________________________________________________________</w:t>
      </w: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Cs/>
          <w:sz w:val="20"/>
        </w:rPr>
      </w:pPr>
      <w:r w:rsidRPr="00B12503">
        <w:rPr>
          <w:rFonts w:ascii="Times New Roman" w:hAnsi="Times New Roman"/>
          <w:b/>
          <w:sz w:val="20"/>
        </w:rPr>
        <w:t>Unpublished Opinion</w:t>
      </w:r>
    </w:p>
    <w:p w:rsidR="00B12503" w:rsidRPr="00B12503" w:rsidP="00B12503">
      <w:pPr>
        <w:spacing w:after="0" w:line="240" w:lineRule="auto"/>
        <w:jc w:val="left"/>
        <w:rPr>
          <w:rFonts w:ascii="Times New Roman" w:hAnsi="Times New Roman"/>
          <w:sz w:val="20"/>
        </w:rPr>
      </w:pPr>
      <w:r w:rsidRPr="00B12503">
        <w:rPr>
          <w:rFonts w:ascii="Times New Roman" w:hAnsi="Times New Roman"/>
          <w:b/>
          <w:sz w:val="20"/>
        </w:rPr>
        <w:t>Original Appeal</w:t>
      </w:r>
    </w:p>
    <w:p w:rsidR="00B12503" w:rsidRPr="00B12503" w:rsidP="00B12503">
      <w:pPr>
        <w:spacing w:after="0" w:line="240" w:lineRule="auto"/>
        <w:jc w:val="left"/>
        <w:rPr>
          <w:rFonts w:ascii="Times New Roman" w:hAnsi="Times New Roman"/>
          <w:b/>
          <w:sz w:val="20"/>
        </w:rPr>
      </w:pPr>
      <w:r w:rsidRPr="00B12503">
        <w:rPr>
          <w:rFonts w:ascii="Times New Roman" w:hAnsi="Times New Roman"/>
          <w:b/>
          <w:sz w:val="20"/>
        </w:rPr>
        <w:t xml:space="preserve">Original Proceeding </w:t>
      </w:r>
    </w:p>
    <w:p w:rsidR="00B12503" w:rsidRPr="00B12503" w:rsidP="00B12503">
      <w:pPr>
        <w:spacing w:after="0" w:line="240" w:lineRule="auto"/>
        <w:jc w:val="left"/>
        <w:rPr>
          <w:rFonts w:ascii="Times New Roman" w:hAnsi="Times New Roman"/>
          <w:sz w:val="20"/>
        </w:rPr>
      </w:pPr>
      <w:r w:rsidRPr="00B12503">
        <w:rPr>
          <w:rFonts w:ascii="Times New Roman" w:hAnsi="Times New Roman"/>
          <w:b/>
          <w:sz w:val="20"/>
        </w:rPr>
        <w:t xml:space="preserve">Review Granted </w:t>
      </w:r>
      <w:r w:rsidRPr="00B12503">
        <w:rPr>
          <w:rFonts w:ascii="Times New Roman" w:hAnsi="Times New Roman"/>
          <w:bCs/>
          <w:sz w:val="20"/>
        </w:rPr>
        <w:t>XXX 29 Cal.App.5th 203</w:t>
      </w:r>
    </w:p>
    <w:p w:rsidR="00B12503" w:rsidRPr="00B12503" w:rsidP="00B12503">
      <w:pPr>
        <w:spacing w:after="0" w:line="240" w:lineRule="auto"/>
        <w:jc w:val="left"/>
        <w:rPr>
          <w:rFonts w:ascii="Times New Roman" w:hAnsi="Times New Roman"/>
          <w:b/>
          <w:sz w:val="20"/>
        </w:rPr>
      </w:pPr>
      <w:r w:rsidRPr="00B12503">
        <w:rPr>
          <w:rFonts w:ascii="Times New Roman" w:hAnsi="Times New Roman"/>
          <w:b/>
          <w:sz w:val="20"/>
        </w:rPr>
        <w:t>Rehearing Granted</w:t>
      </w: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
          <w:sz w:val="20"/>
        </w:rPr>
      </w:pPr>
      <w:r w:rsidRPr="00B12503">
        <w:rPr>
          <w:rFonts w:ascii="Times New Roman" w:hAnsi="Times New Roman"/>
          <w:b/>
          <w:sz w:val="20"/>
        </w:rPr>
        <w:t>__________________________________________________________________________________</w:t>
      </w: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Cs/>
          <w:sz w:val="20"/>
        </w:rPr>
      </w:pPr>
      <w:r w:rsidRPr="00B12503">
        <w:rPr>
          <w:rFonts w:ascii="Times New Roman" w:hAnsi="Times New Roman"/>
          <w:b/>
          <w:sz w:val="20"/>
        </w:rPr>
        <w:t>Opinion No.</w:t>
      </w:r>
      <w:r w:rsidRPr="00B12503">
        <w:rPr>
          <w:rFonts w:ascii="Times New Roman" w:hAnsi="Times New Roman"/>
          <w:sz w:val="20"/>
        </w:rPr>
        <w:t xml:space="preserve"> S253295</w:t>
      </w:r>
    </w:p>
    <w:p w:rsidR="00B12503" w:rsidRPr="00B12503" w:rsidP="00B12503">
      <w:pPr>
        <w:spacing w:after="0" w:line="240" w:lineRule="auto"/>
        <w:jc w:val="left"/>
        <w:rPr>
          <w:rFonts w:ascii="Times New Roman" w:hAnsi="Times New Roman"/>
          <w:bCs/>
          <w:sz w:val="20"/>
        </w:rPr>
      </w:pPr>
      <w:r w:rsidRPr="00B12503">
        <w:rPr>
          <w:rFonts w:ascii="Times New Roman" w:hAnsi="Times New Roman"/>
          <w:b/>
          <w:sz w:val="20"/>
        </w:rPr>
        <w:t>Date Filed:</w:t>
      </w:r>
      <w:r w:rsidRPr="00B12503">
        <w:rPr>
          <w:rFonts w:ascii="Times New Roman" w:hAnsi="Times New Roman"/>
          <w:sz w:val="20"/>
        </w:rPr>
        <w:t xml:space="preserve">  May 21, 2020</w:t>
      </w:r>
    </w:p>
    <w:p w:rsidR="00B12503" w:rsidRPr="00B12503" w:rsidP="00B12503">
      <w:pPr>
        <w:spacing w:after="0" w:line="240" w:lineRule="auto"/>
        <w:jc w:val="left"/>
        <w:rPr>
          <w:rFonts w:ascii="Times New Roman" w:hAnsi="Times New Roman"/>
          <w:b/>
          <w:sz w:val="20"/>
        </w:rPr>
      </w:pPr>
      <w:r w:rsidRPr="00B12503">
        <w:rPr>
          <w:rFonts w:ascii="Times New Roman" w:hAnsi="Times New Roman"/>
          <w:b/>
          <w:sz w:val="20"/>
        </w:rPr>
        <w:t>__________________________________________________________________________________</w:t>
      </w: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Cs/>
          <w:sz w:val="20"/>
        </w:rPr>
      </w:pPr>
      <w:r w:rsidRPr="00B12503">
        <w:rPr>
          <w:rFonts w:ascii="Times New Roman" w:hAnsi="Times New Roman"/>
          <w:b/>
          <w:sz w:val="20"/>
        </w:rPr>
        <w:t xml:space="preserve">Court:  </w:t>
      </w:r>
      <w:r w:rsidRPr="00B12503">
        <w:rPr>
          <w:rFonts w:ascii="Times New Roman" w:hAnsi="Times New Roman"/>
          <w:bCs/>
          <w:sz w:val="20"/>
        </w:rPr>
        <w:t>Superior</w:t>
      </w:r>
    </w:p>
    <w:p w:rsidR="00B12503" w:rsidRPr="00B12503" w:rsidP="00B12503">
      <w:pPr>
        <w:spacing w:after="0" w:line="240" w:lineRule="auto"/>
        <w:jc w:val="left"/>
        <w:rPr>
          <w:rFonts w:ascii="Times New Roman" w:hAnsi="Times New Roman"/>
          <w:bCs/>
          <w:sz w:val="20"/>
        </w:rPr>
      </w:pPr>
      <w:r w:rsidRPr="00B12503">
        <w:rPr>
          <w:rFonts w:ascii="Times New Roman" w:hAnsi="Times New Roman"/>
          <w:b/>
          <w:sz w:val="20"/>
        </w:rPr>
        <w:t xml:space="preserve">County:  </w:t>
      </w:r>
      <w:r w:rsidRPr="00B12503">
        <w:rPr>
          <w:rFonts w:ascii="Times New Roman" w:hAnsi="Times New Roman"/>
          <w:bCs/>
          <w:sz w:val="20"/>
        </w:rPr>
        <w:t>Alameda</w:t>
      </w:r>
    </w:p>
    <w:p w:rsidR="00B12503" w:rsidRPr="00B12503" w:rsidP="00B12503">
      <w:pPr>
        <w:spacing w:after="0" w:line="240" w:lineRule="auto"/>
        <w:ind w:left="720" w:hanging="720"/>
        <w:jc w:val="left"/>
        <w:rPr>
          <w:rFonts w:ascii="Times New Roman" w:hAnsi="Times New Roman"/>
          <w:bCs/>
          <w:sz w:val="20"/>
        </w:rPr>
      </w:pPr>
      <w:r w:rsidRPr="00B12503">
        <w:rPr>
          <w:rFonts w:ascii="Times New Roman" w:hAnsi="Times New Roman"/>
          <w:b/>
          <w:sz w:val="20"/>
        </w:rPr>
        <w:t xml:space="preserve">Judge:  </w:t>
      </w:r>
      <w:r w:rsidRPr="00B12503">
        <w:rPr>
          <w:rFonts w:ascii="Times New Roman" w:hAnsi="Times New Roman"/>
          <w:bCs/>
          <w:sz w:val="20"/>
        </w:rPr>
        <w:t>Brad Seligman</w:t>
      </w: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
          <w:sz w:val="20"/>
        </w:rPr>
      </w:pPr>
      <w:r w:rsidRPr="00B12503">
        <w:rPr>
          <w:rFonts w:ascii="Times New Roman" w:hAnsi="Times New Roman"/>
          <w:b/>
          <w:sz w:val="20"/>
        </w:rPr>
        <w:t>__________________________________________________________________________________</w:t>
      </w: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
          <w:sz w:val="20"/>
        </w:rPr>
      </w:pPr>
      <w:r w:rsidRPr="00B12503">
        <w:rPr>
          <w:rFonts w:ascii="Times New Roman" w:hAnsi="Times New Roman"/>
          <w:b/>
          <w:sz w:val="20"/>
        </w:rPr>
        <w:t>Counsel:</w:t>
      </w: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color w:val="373739"/>
          <w:sz w:val="20"/>
          <w:shd w:val="clear" w:color="auto" w:fill="FFFFFF"/>
        </w:rPr>
      </w:pPr>
      <w:r w:rsidRPr="00B12503">
        <w:rPr>
          <w:rFonts w:ascii="Times New Roman" w:hAnsi="Times New Roman"/>
          <w:color w:val="373739"/>
          <w:sz w:val="20"/>
          <w:shd w:val="clear" w:color="auto" w:fill="FFFFFF"/>
        </w:rPr>
        <w:t>CMBG3 Law, W. Joseph Gunter and </w:t>
      </w:r>
      <w:r w:rsidRPr="00B12503">
        <w:rPr>
          <w:rFonts w:ascii="Times New Roman" w:hAnsi="Times New Roman"/>
          <w:sz w:val="20"/>
          <w:bdr w:val="none" w:sz="0" w:space="0" w:color="auto" w:frame="1"/>
          <w:shd w:val="clear" w:color="auto" w:fill="FFFFFF"/>
        </w:rPr>
        <w:t>Gilliam F. Stewart</w:t>
      </w:r>
      <w:r w:rsidRPr="00B12503">
        <w:rPr>
          <w:rFonts w:ascii="Times New Roman" w:hAnsi="Times New Roman"/>
          <w:color w:val="373739"/>
          <w:sz w:val="20"/>
          <w:shd w:val="clear" w:color="auto" w:fill="FFFFFF"/>
        </w:rPr>
        <w:t> for Defendant and Appellant.</w:t>
      </w:r>
    </w:p>
    <w:p w:rsidR="00B12503" w:rsidRPr="00B12503" w:rsidP="00B12503">
      <w:pPr>
        <w:spacing w:after="0" w:line="240" w:lineRule="auto"/>
        <w:jc w:val="left"/>
        <w:rPr>
          <w:rFonts w:ascii="Times New Roman" w:hAnsi="Times New Roman"/>
          <w:color w:val="373739"/>
          <w:sz w:val="20"/>
          <w:shd w:val="clear" w:color="auto" w:fill="FFFFFF"/>
        </w:rPr>
      </w:pPr>
    </w:p>
    <w:p w:rsidR="00B12503" w:rsidRPr="00B12503" w:rsidP="00B12503">
      <w:pPr>
        <w:spacing w:after="0" w:line="240" w:lineRule="auto"/>
        <w:jc w:val="left"/>
        <w:rPr>
          <w:rFonts w:ascii="Times New Roman" w:hAnsi="Times New Roman"/>
          <w:sz w:val="20"/>
        </w:rPr>
      </w:pPr>
      <w:r w:rsidRPr="00B12503">
        <w:rPr>
          <w:rFonts w:ascii="Times New Roman" w:hAnsi="Times New Roman"/>
          <w:sz w:val="20"/>
          <w:bdr w:val="none" w:sz="0" w:space="0" w:color="auto" w:frame="1"/>
          <w:shd w:val="clear" w:color="auto" w:fill="FFFFFF"/>
        </w:rPr>
        <w:t>Maune Raichle Hartley French &amp; Mudd</w:t>
      </w:r>
      <w:r w:rsidRPr="00B12503">
        <w:rPr>
          <w:rFonts w:ascii="Times New Roman" w:hAnsi="Times New Roman"/>
          <w:color w:val="373739"/>
          <w:sz w:val="20"/>
          <w:shd w:val="clear" w:color="auto" w:fill="FFFFFF"/>
        </w:rPr>
        <w:t>, </w:t>
      </w:r>
      <w:r w:rsidRPr="00B12503">
        <w:rPr>
          <w:rFonts w:ascii="Times New Roman" w:hAnsi="Times New Roman"/>
          <w:sz w:val="20"/>
          <w:bdr w:val="none" w:sz="0" w:space="0" w:color="auto" w:frame="1"/>
          <w:shd w:val="clear" w:color="auto" w:fill="FFFFFF"/>
        </w:rPr>
        <w:t>David L. Amell</w:t>
      </w:r>
      <w:r w:rsidRPr="00B12503">
        <w:rPr>
          <w:rFonts w:ascii="Times New Roman" w:hAnsi="Times New Roman"/>
          <w:color w:val="373739"/>
          <w:sz w:val="20"/>
          <w:shd w:val="clear" w:color="auto" w:fill="FFFFFF"/>
        </w:rPr>
        <w:t xml:space="preserve">, </w:t>
      </w:r>
      <w:r w:rsidRPr="00B12503">
        <w:rPr>
          <w:rFonts w:ascii="Times New Roman" w:hAnsi="Times New Roman"/>
          <w:sz w:val="20"/>
          <w:bdr w:val="none" w:sz="0" w:space="0" w:color="auto" w:frame="1"/>
          <w:shd w:val="clear" w:color="auto" w:fill="FFFFFF"/>
        </w:rPr>
        <w:t>Marissa Y. Uchimura;</w:t>
      </w:r>
      <w:r w:rsidRPr="00B12503">
        <w:rPr>
          <w:rFonts w:ascii="Times New Roman" w:hAnsi="Times New Roman"/>
          <w:color w:val="373739"/>
          <w:sz w:val="20"/>
          <w:shd w:val="clear" w:color="auto" w:fill="FFFFFF"/>
        </w:rPr>
        <w:t> Kazan, McClain, Satterly &amp; Greenwood, Denyse F. Clancy and Ted W. Pelletier for Plaintiffs and Respondents.</w:t>
      </w:r>
    </w:p>
    <w:p w:rsidR="00B12503" w:rsidRPr="00B12503" w:rsidP="00B12503">
      <w:pPr>
        <w:spacing w:after="0" w:line="240" w:lineRule="auto"/>
        <w:jc w:val="left"/>
        <w:rPr>
          <w:rFonts w:ascii="Times New Roman" w:hAnsi="Times New Roman"/>
          <w:sz w:val="20"/>
        </w:rPr>
      </w:pPr>
    </w:p>
    <w:p w:rsidR="00B12503" w:rsidRPr="00B12503" w:rsidP="00B12503">
      <w:pPr>
        <w:spacing w:after="0" w:line="240" w:lineRule="auto"/>
        <w:jc w:val="left"/>
        <w:rPr>
          <w:rFonts w:ascii="Times New Roman" w:hAnsi="Times New Roman"/>
          <w:sz w:val="20"/>
        </w:rPr>
      </w:pPr>
      <w:r w:rsidRPr="00B12503">
        <w:rPr>
          <w:rFonts w:ascii="Times New Roman" w:hAnsi="Times New Roman"/>
          <w:sz w:val="20"/>
          <w:shd w:val="clear" w:color="auto" w:fill="FFFFFF"/>
        </w:rPr>
        <w:t>The Arkin Law Firm and Sharon J. Arkin for Consumer Attorneys of California as Amicus Curiae on behalf of Plaintiffs and Respondents.</w:t>
      </w:r>
    </w:p>
    <w:p w:rsidR="00B12503" w:rsidRPr="00B12503" w:rsidP="00B12503">
      <w:pPr>
        <w:spacing w:after="0" w:line="240" w:lineRule="auto"/>
        <w:jc w:val="left"/>
        <w:rPr>
          <w:rFonts w:ascii="Times New Roman" w:hAnsi="Times New Roman"/>
          <w:sz w:val="20"/>
        </w:rPr>
      </w:pPr>
    </w:p>
    <w:p w:rsidR="00B12503" w:rsidRPr="00B12503" w:rsidP="00B12503">
      <w:pPr>
        <w:spacing w:after="0" w:line="240" w:lineRule="auto"/>
        <w:jc w:val="left"/>
        <w:rPr>
          <w:rFonts w:ascii="Times New Roman" w:hAnsi="Times New Roman"/>
          <w:sz w:val="20"/>
        </w:rPr>
      </w:pP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
          <w:sz w:val="20"/>
        </w:rPr>
      </w:pPr>
      <w:r w:rsidRPr="00B12503">
        <w:rPr>
          <w:rFonts w:ascii="Times New Roman" w:hAnsi="Times New Roman"/>
          <w:b/>
          <w:sz w:val="20"/>
        </w:rPr>
        <w:br w:type="page"/>
      </w: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b/>
          <w:sz w:val="20"/>
        </w:rPr>
      </w:pPr>
      <w:r w:rsidRPr="00B12503">
        <w:rPr>
          <w:rFonts w:ascii="Times New Roman" w:hAnsi="Times New Roman"/>
          <w:b/>
          <w:sz w:val="20"/>
        </w:rPr>
        <w:t>Counsel who argued in Supreme Court (not intended for publication with opinion):</w:t>
      </w:r>
    </w:p>
    <w:p w:rsidR="00B12503" w:rsidRPr="00B12503" w:rsidP="00B12503">
      <w:pPr>
        <w:spacing w:after="0" w:line="240" w:lineRule="auto"/>
        <w:jc w:val="left"/>
        <w:rPr>
          <w:rFonts w:ascii="Times New Roman" w:hAnsi="Times New Roman"/>
          <w:b/>
          <w:sz w:val="20"/>
        </w:rPr>
      </w:pPr>
    </w:p>
    <w:p w:rsidR="00B12503" w:rsidRPr="00B12503" w:rsidP="00B12503">
      <w:pPr>
        <w:spacing w:after="0" w:line="240" w:lineRule="auto"/>
        <w:jc w:val="left"/>
        <w:rPr>
          <w:rFonts w:ascii="Times New Roman" w:hAnsi="Times New Roman"/>
          <w:color w:val="373739"/>
          <w:sz w:val="20"/>
          <w:shd w:val="clear" w:color="auto" w:fill="FFFFFF"/>
        </w:rPr>
      </w:pPr>
      <w:r w:rsidRPr="00B12503">
        <w:rPr>
          <w:rFonts w:ascii="Times New Roman" w:hAnsi="Times New Roman"/>
          <w:color w:val="373739"/>
          <w:sz w:val="20"/>
          <w:shd w:val="clear" w:color="auto" w:fill="FFFFFF"/>
        </w:rPr>
        <w:t>W. Joseph Gunter</w:t>
      </w:r>
    </w:p>
    <w:p w:rsidR="00B12503" w:rsidRPr="00B12503" w:rsidP="00B12503">
      <w:pPr>
        <w:spacing w:after="0" w:line="240" w:lineRule="auto"/>
        <w:jc w:val="left"/>
        <w:rPr>
          <w:rFonts w:ascii="Times New Roman" w:hAnsi="Times New Roman"/>
          <w:color w:val="373739"/>
          <w:sz w:val="20"/>
          <w:shd w:val="clear" w:color="auto" w:fill="FFFFFF"/>
        </w:rPr>
      </w:pPr>
      <w:r w:rsidRPr="00B12503">
        <w:rPr>
          <w:rFonts w:ascii="Times New Roman" w:hAnsi="Times New Roman"/>
          <w:color w:val="373739"/>
          <w:sz w:val="20"/>
          <w:shd w:val="clear" w:color="auto" w:fill="FFFFFF"/>
        </w:rPr>
        <w:t>CMBG3 Law LLP</w:t>
      </w:r>
    </w:p>
    <w:p w:rsidR="00B12503" w:rsidRPr="00B12503" w:rsidP="00B12503">
      <w:pPr>
        <w:spacing w:after="0" w:line="240" w:lineRule="auto"/>
        <w:jc w:val="left"/>
        <w:rPr>
          <w:rFonts w:ascii="Times New Roman" w:hAnsi="Times New Roman"/>
          <w:color w:val="373739"/>
          <w:sz w:val="20"/>
          <w:shd w:val="clear" w:color="auto" w:fill="FFFFFF"/>
        </w:rPr>
      </w:pPr>
      <w:r w:rsidRPr="00B12503">
        <w:rPr>
          <w:rFonts w:ascii="Times New Roman" w:hAnsi="Times New Roman"/>
          <w:color w:val="373739"/>
          <w:sz w:val="20"/>
          <w:shd w:val="clear" w:color="auto" w:fill="FFFFFF"/>
        </w:rPr>
        <w:t>100 Spectrum Center Drive, Suite 820</w:t>
      </w:r>
    </w:p>
    <w:p w:rsidR="00B12503" w:rsidRPr="00B12503" w:rsidP="00B12503">
      <w:pPr>
        <w:spacing w:after="0" w:line="240" w:lineRule="auto"/>
        <w:jc w:val="left"/>
        <w:rPr>
          <w:rFonts w:ascii="Times New Roman" w:hAnsi="Times New Roman"/>
          <w:color w:val="373739"/>
          <w:sz w:val="20"/>
          <w:shd w:val="clear" w:color="auto" w:fill="FFFFFF"/>
        </w:rPr>
      </w:pPr>
      <w:r w:rsidRPr="00B12503">
        <w:rPr>
          <w:rFonts w:ascii="Times New Roman" w:hAnsi="Times New Roman"/>
          <w:color w:val="373739"/>
          <w:sz w:val="20"/>
          <w:shd w:val="clear" w:color="auto" w:fill="FFFFFF"/>
        </w:rPr>
        <w:t>Irvine, CA 92618</w:t>
      </w:r>
    </w:p>
    <w:p w:rsidR="00B12503" w:rsidRPr="00B12503" w:rsidP="00B12503">
      <w:pPr>
        <w:spacing w:after="0" w:line="240" w:lineRule="auto"/>
        <w:jc w:val="left"/>
        <w:rPr>
          <w:rFonts w:ascii="Times New Roman" w:hAnsi="Times New Roman"/>
          <w:color w:val="373739"/>
          <w:sz w:val="20"/>
          <w:shd w:val="clear" w:color="auto" w:fill="FFFFFF"/>
        </w:rPr>
      </w:pPr>
      <w:r w:rsidRPr="00B12503">
        <w:rPr>
          <w:rFonts w:ascii="Times New Roman" w:hAnsi="Times New Roman"/>
          <w:color w:val="373739"/>
          <w:sz w:val="20"/>
          <w:shd w:val="clear" w:color="auto" w:fill="FFFFFF"/>
        </w:rPr>
        <w:t>(949) 467-9500</w:t>
      </w:r>
    </w:p>
    <w:p w:rsidR="00B12503" w:rsidRPr="00B12503" w:rsidP="00B12503">
      <w:pPr>
        <w:spacing w:after="0" w:line="240" w:lineRule="auto"/>
        <w:jc w:val="left"/>
        <w:rPr>
          <w:rFonts w:ascii="Times New Roman" w:hAnsi="Times New Roman"/>
          <w:color w:val="373739"/>
          <w:sz w:val="20"/>
          <w:shd w:val="clear" w:color="auto" w:fill="FFFFFF"/>
        </w:rPr>
      </w:pPr>
    </w:p>
    <w:p w:rsidR="00B12503" w:rsidRPr="00B12503" w:rsidP="00B12503">
      <w:pPr>
        <w:spacing w:after="0" w:line="240" w:lineRule="auto"/>
        <w:jc w:val="left"/>
        <w:rPr>
          <w:rFonts w:ascii="Times New Roman" w:hAnsi="Times New Roman"/>
          <w:color w:val="373739"/>
          <w:sz w:val="20"/>
          <w:shd w:val="clear" w:color="auto" w:fill="FFFFFF"/>
        </w:rPr>
      </w:pPr>
      <w:r w:rsidRPr="00B12503">
        <w:rPr>
          <w:rFonts w:ascii="Times New Roman" w:hAnsi="Times New Roman"/>
          <w:color w:val="373739"/>
          <w:sz w:val="20"/>
          <w:shd w:val="clear" w:color="auto" w:fill="FFFFFF"/>
        </w:rPr>
        <w:t>Denyse F. Clancy</w:t>
      </w:r>
    </w:p>
    <w:p w:rsidR="00B12503" w:rsidRPr="00B12503" w:rsidP="00B12503">
      <w:pPr>
        <w:spacing w:after="0" w:line="240" w:lineRule="auto"/>
        <w:jc w:val="left"/>
        <w:rPr>
          <w:rFonts w:ascii="Times New Roman" w:hAnsi="Times New Roman"/>
          <w:color w:val="373739"/>
          <w:sz w:val="20"/>
          <w:shd w:val="clear" w:color="auto" w:fill="FFFFFF"/>
        </w:rPr>
      </w:pPr>
      <w:r w:rsidRPr="00B12503">
        <w:rPr>
          <w:rFonts w:ascii="Times New Roman" w:hAnsi="Times New Roman"/>
          <w:color w:val="373739"/>
          <w:sz w:val="20"/>
          <w:shd w:val="clear" w:color="auto" w:fill="FFFFFF"/>
        </w:rPr>
        <w:t>Kazan, McClain, Satterley &amp; Greenwood</w:t>
      </w:r>
    </w:p>
    <w:p w:rsidR="00B12503" w:rsidRPr="00B12503" w:rsidP="00B12503">
      <w:pPr>
        <w:spacing w:after="0" w:line="240" w:lineRule="auto"/>
        <w:jc w:val="left"/>
        <w:rPr>
          <w:rFonts w:ascii="Times New Roman" w:hAnsi="Times New Roman"/>
          <w:color w:val="373739"/>
          <w:sz w:val="20"/>
          <w:shd w:val="clear" w:color="auto" w:fill="FFFFFF"/>
        </w:rPr>
      </w:pPr>
      <w:r w:rsidRPr="00B12503">
        <w:rPr>
          <w:rFonts w:ascii="Times New Roman" w:hAnsi="Times New Roman"/>
          <w:color w:val="373739"/>
          <w:sz w:val="20"/>
          <w:shd w:val="clear" w:color="auto" w:fill="FFFFFF"/>
        </w:rPr>
        <w:t>55 Harrison Street, Suite 400</w:t>
      </w:r>
    </w:p>
    <w:p w:rsidR="00B12503" w:rsidRPr="00B12503" w:rsidP="00B12503">
      <w:pPr>
        <w:spacing w:after="0" w:line="240" w:lineRule="auto"/>
        <w:jc w:val="left"/>
        <w:rPr>
          <w:rFonts w:ascii="Times New Roman" w:hAnsi="Times New Roman"/>
          <w:color w:val="373739"/>
          <w:sz w:val="20"/>
          <w:shd w:val="clear" w:color="auto" w:fill="FFFFFF"/>
        </w:rPr>
      </w:pPr>
      <w:r w:rsidRPr="00B12503">
        <w:rPr>
          <w:rFonts w:ascii="Times New Roman" w:hAnsi="Times New Roman"/>
          <w:color w:val="373739"/>
          <w:sz w:val="20"/>
          <w:shd w:val="clear" w:color="auto" w:fill="FFFFFF"/>
        </w:rPr>
        <w:t>Oakland, CA 94607</w:t>
      </w:r>
    </w:p>
    <w:p w:rsidR="00B12503" w:rsidRPr="00B12503" w:rsidP="00B12503">
      <w:pPr>
        <w:spacing w:after="0" w:line="240" w:lineRule="auto"/>
        <w:jc w:val="left"/>
        <w:rPr>
          <w:rFonts w:ascii="Times New Roman" w:hAnsi="Times New Roman"/>
          <w:sz w:val="20"/>
        </w:rPr>
      </w:pPr>
      <w:r w:rsidRPr="00B12503">
        <w:rPr>
          <w:rFonts w:ascii="Times New Roman" w:hAnsi="Times New Roman"/>
          <w:color w:val="373739"/>
          <w:sz w:val="20"/>
          <w:shd w:val="clear" w:color="auto" w:fill="FFFFFF"/>
        </w:rPr>
        <w:t>(510) 302-1000</w:t>
      </w:r>
    </w:p>
    <w:p w:rsidR="003E3414" w:rsidRPr="00313559" w:rsidP="00037367">
      <w:pPr>
        <w:tabs>
          <w:tab w:val="left" w:pos="1440"/>
        </w:tabs>
        <w:rPr>
          <w:color w:val="000000"/>
          <w:szCs w:val="26"/>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714">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0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559">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A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A7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46A4">
      <w:r>
        <w:separator/>
      </w:r>
    </w:p>
  </w:footnote>
  <w:footnote w:type="continuationSeparator" w:id="1">
    <w:p w:rsidR="004C46A4">
      <w:r>
        <w:continuationSeparator/>
      </w:r>
    </w:p>
  </w:footnote>
  <w:footnote w:type="continuationNotice" w:id="2">
    <w:p w:rsidR="004C46A4">
      <w:pPr>
        <w:jc w:val="right"/>
        <w:rPr>
          <w:i/>
          <w:iCs/>
          <w:sz w:val="20"/>
        </w:rPr>
      </w:pPr>
    </w:p>
  </w:footnote>
  <w:footnote w:id="3">
    <w:p w:rsidR="000C1345" w:rsidP="00313559">
      <w:pPr>
        <w:pStyle w:val="FootnoteText"/>
      </w:pPr>
      <w:r>
        <w:rPr>
          <w:rStyle w:val="FootnoteReference"/>
        </w:rPr>
        <w:footnoteRef/>
      </w:r>
      <w:r>
        <w:t xml:space="preserve"> </w:t>
      </w:r>
      <w:r>
        <w:tab/>
      </w:r>
      <w:r w:rsidR="00595E5A">
        <w:t xml:space="preserve">In 1983, </w:t>
      </w:r>
      <w:r w:rsidR="00235AC7">
        <w:t xml:space="preserve">Keenan Supply </w:t>
      </w:r>
      <w:r w:rsidR="00595E5A">
        <w:t xml:space="preserve">sold </w:t>
      </w:r>
      <w:r w:rsidR="00235AC7">
        <w:t>its</w:t>
      </w:r>
      <w:r w:rsidR="00595E5A">
        <w:t xml:space="preserve"> name and most of </w:t>
      </w:r>
      <w:r w:rsidR="00235AC7">
        <w:t>its</w:t>
      </w:r>
      <w:r w:rsidR="00595E5A">
        <w:t xml:space="preserve"> assets to Hajoca Corporation</w:t>
      </w:r>
      <w:r w:rsidR="00235AC7">
        <w:t>, which continues to use Keenan’s</w:t>
      </w:r>
      <w:r>
        <w:t xml:space="preserve"> logo</w:t>
      </w:r>
      <w:r w:rsidR="00F51602">
        <w:t>:</w:t>
      </w:r>
      <w:r w:rsidR="00235AC7">
        <w:t xml:space="preserve">  </w:t>
      </w:r>
    </w:p>
    <w:p w:rsidR="00A6262F" w:rsidP="00313559">
      <w:pPr>
        <w:spacing w:after="0" w:line="240" w:lineRule="auto"/>
      </w:pPr>
      <w:r>
        <w:rPr>
          <w:noProof/>
        </w:rPr>
        <w:drawing>
          <wp:inline distT="0" distB="0" distL="0" distR="0">
            <wp:extent cx="10096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
                      <a:extLst>
                        <a:ext xmlns:a="http://schemas.openxmlformats.org/drawingml/2006/main" uri="{BEBA8EAE-BF5A-486C-A8C5-ECC9F3942E4B}">
                          <a14:imgProps xmlns:a14="http://schemas.microsoft.com/office/drawing/2010/main">
                            <a14:imgLayer xmlns:r="http://schemas.openxmlformats.org/officeDocument/2006/relationships" r:embed="rId2">
                              <a14:imgEffect>
                                <a14:backgroundRemoval b="90000" l="10000" r="90000" t="1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1009650" cy="590550"/>
                    </a:xfrm>
                    <a:prstGeom prst="rect">
                      <a:avLst/>
                    </a:prstGeom>
                    <a:noFill/>
                    <a:ln>
                      <a:noFill/>
                    </a:ln>
                  </pic:spPr>
                </pic:pic>
              </a:graphicData>
            </a:graphic>
          </wp:inline>
        </w:drawing>
      </w:r>
    </w:p>
    <w:p w:rsidR="005F230D" w:rsidP="00313559">
      <w:pPr>
        <w:spacing w:line="300" w:lineRule="exact"/>
      </w:pPr>
      <w:r>
        <w:t>(</w:t>
      </w:r>
      <w:r w:rsidRPr="003A767A">
        <w:t>Keenan Supply</w:t>
      </w:r>
      <w:r w:rsidRPr="003A767A" w:rsidR="003A767A">
        <w:t xml:space="preserve"> </w:t>
      </w:r>
      <w:r w:rsidR="00313559">
        <w:t xml:space="preserve">| </w:t>
      </w:r>
      <w:r w:rsidRPr="003A767A">
        <w:t>Eureka, CA</w:t>
      </w:r>
      <w:r w:rsidRPr="00A6262F">
        <w:t xml:space="preserve"> &lt;</w:t>
      </w:r>
      <w:r w:rsidRPr="00093AFD" w:rsidR="00F72141">
        <w:t>https://keenaneureka.com/</w:t>
      </w:r>
      <w:r w:rsidR="00313559">
        <w:t xml:space="preserve">&gt;  </w:t>
      </w:r>
      <w:r w:rsidRPr="00313559">
        <w:t>[as</w:t>
      </w:r>
      <w:r>
        <w:t xml:space="preserve"> of </w:t>
      </w:r>
      <w:r w:rsidR="00037367">
        <w:t>May 21</w:t>
      </w:r>
      <w:r w:rsidR="00550B4E">
        <w:t>, 2020</w:t>
      </w:r>
      <w:r>
        <w:t xml:space="preserve">].  All internet citations in this opinion are archived by year, docket number and case name at &lt;http://www.courts.ca.gov/38324.htm&gt;.)  </w:t>
      </w:r>
    </w:p>
    <w:p w:rsidR="000C1345" w:rsidP="000C1345">
      <w:pPr>
        <w:pStyle w:val="FootnoteText"/>
      </w:pPr>
    </w:p>
  </w:footnote>
  <w:footnote w:id="4">
    <w:p w:rsidR="008F373E" w:rsidP="00313559">
      <w:pPr>
        <w:pStyle w:val="FootnoteText"/>
      </w:pPr>
      <w:r>
        <w:rPr>
          <w:rStyle w:val="FootnoteReference"/>
        </w:rPr>
        <w:footnoteRef/>
      </w:r>
      <w:r>
        <w:t xml:space="preserve"> </w:t>
      </w:r>
      <w:r>
        <w:tab/>
        <w:t xml:space="preserve">Glamuzina was unavailable </w:t>
      </w:r>
      <w:r w:rsidR="00A71DC3">
        <w:t>at the time of trial</w:t>
      </w:r>
      <w:r>
        <w:t xml:space="preserve">.  The jury was shown </w:t>
      </w:r>
      <w:r w:rsidR="00375B6C">
        <w:t xml:space="preserve">video </w:t>
      </w:r>
      <w:r w:rsidR="00AE36AA">
        <w:t>clips from his deposition testimony.</w:t>
      </w:r>
      <w:r w:rsidR="005E65A2">
        <w:t xml:space="preserve">  (Evid. Code, § 1291</w:t>
      </w:r>
      <w:r w:rsidRPr="009B30B4" w:rsidR="005E65A2">
        <w:t>); all further statutory references are to the Evidence Code.)</w:t>
      </w:r>
    </w:p>
    <w:p w:rsidR="00FF0F33">
      <w:pPr>
        <w:pStyle w:val="FootnoteText"/>
      </w:pPr>
    </w:p>
  </w:footnote>
  <w:footnote w:id="5">
    <w:p w:rsidR="0074444F" w:rsidP="00313559">
      <w:pPr>
        <w:pStyle w:val="FootnoteText"/>
      </w:pPr>
      <w:r>
        <w:rPr>
          <w:rStyle w:val="FootnoteReference"/>
        </w:rPr>
        <w:footnoteRef/>
      </w:r>
      <w:r>
        <w:t xml:space="preserve"> </w:t>
      </w:r>
      <w:r>
        <w:tab/>
        <w:t xml:space="preserve">Keenan also argued that the invoices did not exist, and if they did exist, they were not authenticated.  </w:t>
      </w:r>
    </w:p>
    <w:p w:rsidR="00F52382">
      <w:pPr>
        <w:pStyle w:val="FootnoteText"/>
      </w:pPr>
    </w:p>
  </w:footnote>
  <w:footnote w:id="6">
    <w:p w:rsidR="008943EB" w:rsidP="00313559">
      <w:pPr>
        <w:pStyle w:val="FootnoteText"/>
      </w:pPr>
      <w:r>
        <w:rPr>
          <w:rStyle w:val="FootnoteReference"/>
        </w:rPr>
        <w:footnoteRef/>
      </w:r>
      <w:r>
        <w:t xml:space="preserve"> </w:t>
      </w:r>
      <w:r>
        <w:tab/>
        <w:t>“ ‘Hearsay evidence’ is evidence of a statement that was made other than by a witness while testifying at the hearing and that is offered to prove the truth of the matter stated.”  (§ 1200</w:t>
      </w:r>
      <w:r w:rsidR="005E65A2">
        <w:t>.</w:t>
      </w:r>
      <w:r w:rsidRPr="009B30B4" w:rsidR="00C526E3">
        <w:t>)</w:t>
      </w:r>
    </w:p>
  </w:footnote>
  <w:footnote w:id="7">
    <w:p w:rsidR="00317B94" w:rsidP="00313559">
      <w:pPr>
        <w:pStyle w:val="FootnoteText"/>
      </w:pPr>
      <w:r>
        <w:rPr>
          <w:rStyle w:val="FootnoteReference"/>
        </w:rPr>
        <w:footnoteRef/>
      </w:r>
      <w:r>
        <w:t xml:space="preserve"> </w:t>
      </w:r>
      <w:r>
        <w:tab/>
        <w:t>A second check made out to Williams was also found, but apparently did not bear his 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559">
    <w:pPr>
      <w:pStyle w:val="Header"/>
    </w:pPr>
    <w:r>
      <w:t>HART v. KEENAN PROPERTIES, INC.,</w:t>
    </w:r>
  </w:p>
  <w:p w:rsidR="00313559">
    <w:pPr>
      <w:pStyle w:val="Header"/>
    </w:pPr>
    <w:r>
      <w:t>Opinion of the Court by Corrigan, J.</w:t>
    </w:r>
  </w:p>
  <w:p w:rsidR="00313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0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A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A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B4742"/>
    <w:multiLevelType w:val="hybridMultilevel"/>
    <w:tmpl w:val="970E6CF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3F1E118F"/>
    <w:multiLevelType w:val="hybridMultilevel"/>
    <w:tmpl w:val="2940E13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44EF3ADC"/>
    <w:multiLevelType w:val="hybridMultilevel"/>
    <w:tmpl w:val="934EA6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A457F9A"/>
    <w:multiLevelType w:val="hybridMultilevel"/>
    <w:tmpl w:val="A970B8D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C4E2E4C"/>
    <w:multiLevelType w:val="hybridMultilevel"/>
    <w:tmpl w:val="2940E13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559"/>
    <w:pPr>
      <w:spacing w:after="100" w:line="400" w:lineRule="exact"/>
      <w:jc w:val="both"/>
    </w:pPr>
    <w:rPr>
      <w:rFonts w:ascii="Century Schoolbook" w:hAnsi="Century Schoolbook"/>
      <w:sz w:val="27"/>
    </w:rPr>
  </w:style>
  <w:style w:type="paragraph" w:styleId="Heading1">
    <w:name w:val="heading 1"/>
    <w:basedOn w:val="Normal"/>
    <w:next w:val="Normal"/>
    <w:qFormat/>
    <w:rsid w:val="00313559"/>
    <w:pPr>
      <w:keepNext/>
      <w:spacing w:before="140" w:line="240" w:lineRule="atLeast"/>
      <w:jc w:val="center"/>
      <w:outlineLvl w:val="0"/>
    </w:pPr>
    <w:rPr>
      <w:b/>
      <w:smallCaps/>
    </w:rPr>
  </w:style>
  <w:style w:type="paragraph" w:styleId="Heading2">
    <w:name w:val="heading 2"/>
    <w:basedOn w:val="Normal"/>
    <w:next w:val="Normal"/>
    <w:qFormat/>
    <w:rsid w:val="0031355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313559"/>
    <w:pPr>
      <w:keepNext/>
      <w:tabs>
        <w:tab w:val="left" w:pos="1584"/>
      </w:tabs>
      <w:spacing w:before="140" w:line="240" w:lineRule="atLeast"/>
      <w:ind w:left="1584" w:hanging="432"/>
      <w:jc w:val="left"/>
      <w:outlineLvl w:val="2"/>
    </w:pPr>
    <w:rPr>
      <w:i/>
    </w:rPr>
  </w:style>
  <w:style w:type="paragraph" w:styleId="Heading4">
    <w:name w:val="heading 4"/>
    <w:basedOn w:val="Normal"/>
    <w:rsid w:val="00313559"/>
    <w:pPr>
      <w:keepNext/>
      <w:tabs>
        <w:tab w:val="left" w:pos="2016"/>
      </w:tabs>
      <w:spacing w:before="140" w:line="240" w:lineRule="atLeast"/>
      <w:ind w:left="2016" w:hanging="432"/>
      <w:jc w:val="left"/>
      <w:outlineLvl w:val="3"/>
    </w:pPr>
    <w:rPr>
      <w:i/>
    </w:rPr>
  </w:style>
  <w:style w:type="paragraph" w:styleId="Heading5">
    <w:name w:val="heading 5"/>
    <w:basedOn w:val="Normal"/>
    <w:rsid w:val="0031355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313559"/>
    <w:pPr>
      <w:tabs>
        <w:tab w:val="center" w:pos="3960"/>
        <w:tab w:val="right" w:pos="10080"/>
      </w:tabs>
      <w:spacing w:after="0" w:line="240" w:lineRule="auto"/>
      <w:jc w:val="center"/>
    </w:pPr>
    <w:rPr>
      <w:sz w:val="22"/>
    </w:rPr>
  </w:style>
  <w:style w:type="character" w:styleId="FootnoteReference">
    <w:name w:val="footnote reference"/>
    <w:basedOn w:val="DefaultParagraphFont"/>
    <w:rsid w:val="00313559"/>
    <w:rPr>
      <w:rFonts w:ascii="Century Schoolbook" w:hAnsi="Century Schoolbook"/>
      <w:b/>
      <w:i w:val="0"/>
      <w:position w:val="4"/>
      <w:sz w:val="27"/>
      <w:vertAlign w:val="superscript"/>
    </w:rPr>
  </w:style>
  <w:style w:type="paragraph" w:styleId="FootnoteText">
    <w:name w:val="footnote text"/>
    <w:basedOn w:val="Normal"/>
    <w:link w:val="FootnoteTextChar"/>
    <w:rsid w:val="00313559"/>
    <w:pPr>
      <w:spacing w:line="300" w:lineRule="exact"/>
    </w:pPr>
  </w:style>
  <w:style w:type="paragraph" w:styleId="Date">
    <w:name w:val="Date"/>
    <w:basedOn w:val="Normal"/>
    <w:semiHidden/>
    <w:rsid w:val="00313559"/>
    <w:pPr>
      <w:jc w:val="right"/>
    </w:pPr>
  </w:style>
  <w:style w:type="paragraph" w:styleId="Header">
    <w:name w:val="header"/>
    <w:basedOn w:val="Normal"/>
    <w:qFormat/>
    <w:rsid w:val="00313559"/>
    <w:pPr>
      <w:tabs>
        <w:tab w:val="center" w:pos="3960"/>
        <w:tab w:val="right" w:pos="10080"/>
      </w:tabs>
      <w:spacing w:after="80" w:line="240" w:lineRule="auto"/>
      <w:jc w:val="center"/>
    </w:pPr>
    <w:rPr>
      <w:sz w:val="22"/>
    </w:rPr>
  </w:style>
  <w:style w:type="paragraph" w:styleId="NormalIndent">
    <w:name w:val="Normal Indent"/>
    <w:basedOn w:val="Normal"/>
    <w:semiHidden/>
    <w:rsid w:val="00313559"/>
    <w:pPr>
      <w:ind w:left="720"/>
    </w:pPr>
  </w:style>
  <w:style w:type="character" w:styleId="PageNumber">
    <w:name w:val="page number"/>
    <w:basedOn w:val="DefaultParagraphFont"/>
    <w:semiHidden/>
    <w:rsid w:val="00313559"/>
  </w:style>
  <w:style w:type="paragraph" w:customStyle="1" w:styleId="Recommend">
    <w:name w:val="Recommend"/>
    <w:basedOn w:val="Normal"/>
    <w:rsid w:val="00313559"/>
  </w:style>
  <w:style w:type="paragraph" w:customStyle="1" w:styleId="subject">
    <w:name w:val="subject"/>
    <w:basedOn w:val="Normal"/>
    <w:rsid w:val="00313559"/>
    <w:pPr>
      <w:tabs>
        <w:tab w:val="left" w:pos="1008"/>
      </w:tabs>
      <w:ind w:left="990" w:hanging="990"/>
    </w:pPr>
    <w:rPr>
      <w:b/>
    </w:rPr>
  </w:style>
  <w:style w:type="paragraph" w:customStyle="1" w:styleId="Summary">
    <w:name w:val="Summary"/>
    <w:basedOn w:val="Normal"/>
    <w:rsid w:val="00313559"/>
    <w:pPr>
      <w:ind w:left="2160" w:hanging="2160"/>
    </w:pPr>
  </w:style>
  <w:style w:type="paragraph" w:customStyle="1" w:styleId="Text">
    <w:name w:val="Text"/>
    <w:basedOn w:val="Normal"/>
    <w:rsid w:val="00313559"/>
    <w:pPr>
      <w:tabs>
        <w:tab w:val="left" w:pos="720"/>
        <w:tab w:val="left" w:pos="1440"/>
        <w:tab w:val="left" w:pos="2160"/>
        <w:tab w:val="center" w:pos="4320"/>
      </w:tabs>
      <w:spacing w:line="480" w:lineRule="atLeast"/>
      <w:ind w:firstLine="540"/>
    </w:pPr>
  </w:style>
  <w:style w:type="paragraph" w:customStyle="1" w:styleId="Title1">
    <w:name w:val="Title1"/>
    <w:basedOn w:val="Normal"/>
    <w:rsid w:val="00313559"/>
    <w:pPr>
      <w:tabs>
        <w:tab w:val="left" w:pos="5760"/>
        <w:tab w:val="left" w:pos="6480"/>
      </w:tabs>
      <w:spacing w:line="240" w:lineRule="atLeast"/>
    </w:pPr>
  </w:style>
  <w:style w:type="paragraph" w:customStyle="1" w:styleId="Titles">
    <w:name w:val="Titles"/>
    <w:basedOn w:val="Normal"/>
    <w:rsid w:val="00313559"/>
    <w:pPr>
      <w:tabs>
        <w:tab w:val="left" w:pos="2160"/>
      </w:tabs>
      <w:ind w:left="2160" w:hanging="2160"/>
    </w:pPr>
    <w:rPr>
      <w:b/>
    </w:rPr>
  </w:style>
  <w:style w:type="paragraph" w:styleId="TOAHeading">
    <w:name w:val="toa heading"/>
    <w:basedOn w:val="Normal"/>
    <w:next w:val="Normal"/>
    <w:semiHidden/>
    <w:rsid w:val="00313559"/>
    <w:pPr>
      <w:spacing w:before="120"/>
    </w:pPr>
    <w:rPr>
      <w:b/>
    </w:rPr>
  </w:style>
  <w:style w:type="paragraph" w:styleId="TOC1">
    <w:name w:val="toc 1"/>
    <w:basedOn w:val="Normal"/>
    <w:next w:val="Normal"/>
    <w:autoRedefine/>
    <w:semiHidden/>
    <w:rsid w:val="00313559"/>
  </w:style>
  <w:style w:type="paragraph" w:styleId="TOC2">
    <w:name w:val="toc 2"/>
    <w:basedOn w:val="Normal"/>
    <w:next w:val="Normal"/>
    <w:autoRedefine/>
    <w:semiHidden/>
    <w:rsid w:val="00313559"/>
    <w:pPr>
      <w:ind w:left="259"/>
    </w:pPr>
  </w:style>
  <w:style w:type="paragraph" w:styleId="TOC3">
    <w:name w:val="toc 3"/>
    <w:basedOn w:val="Normal"/>
    <w:next w:val="Normal"/>
    <w:autoRedefine/>
    <w:semiHidden/>
    <w:rsid w:val="00313559"/>
    <w:pPr>
      <w:ind w:left="520"/>
    </w:pPr>
  </w:style>
  <w:style w:type="paragraph" w:styleId="TOC4">
    <w:name w:val="toc 4"/>
    <w:basedOn w:val="Normal"/>
    <w:next w:val="Normal"/>
    <w:autoRedefine/>
    <w:semiHidden/>
    <w:rsid w:val="00313559"/>
    <w:pPr>
      <w:ind w:left="780"/>
    </w:pPr>
  </w:style>
  <w:style w:type="paragraph" w:styleId="TOC5">
    <w:name w:val="toc 5"/>
    <w:basedOn w:val="Normal"/>
    <w:next w:val="Normal"/>
    <w:autoRedefine/>
    <w:semiHidden/>
    <w:rsid w:val="00313559"/>
    <w:pPr>
      <w:ind w:left="1040"/>
    </w:pPr>
  </w:style>
  <w:style w:type="paragraph" w:styleId="TOC6">
    <w:name w:val="toc 6"/>
    <w:basedOn w:val="Normal"/>
    <w:next w:val="Normal"/>
    <w:autoRedefine/>
    <w:semiHidden/>
    <w:rsid w:val="00313559"/>
    <w:pPr>
      <w:ind w:left="1300"/>
    </w:pPr>
  </w:style>
  <w:style w:type="paragraph" w:styleId="TOC7">
    <w:name w:val="toc 7"/>
    <w:basedOn w:val="Normal"/>
    <w:next w:val="Normal"/>
    <w:autoRedefine/>
    <w:semiHidden/>
    <w:rsid w:val="00313559"/>
    <w:pPr>
      <w:ind w:left="1560"/>
    </w:pPr>
  </w:style>
  <w:style w:type="paragraph" w:styleId="TOC8">
    <w:name w:val="toc 8"/>
    <w:basedOn w:val="Normal"/>
    <w:next w:val="Normal"/>
    <w:autoRedefine/>
    <w:semiHidden/>
    <w:rsid w:val="00313559"/>
    <w:pPr>
      <w:ind w:left="1820"/>
    </w:pPr>
  </w:style>
  <w:style w:type="paragraph" w:styleId="TOC9">
    <w:name w:val="toc 9"/>
    <w:basedOn w:val="Normal"/>
    <w:next w:val="Normal"/>
    <w:autoRedefine/>
    <w:semiHidden/>
    <w:rsid w:val="00313559"/>
    <w:pPr>
      <w:ind w:left="2080"/>
    </w:pPr>
  </w:style>
  <w:style w:type="paragraph" w:customStyle="1" w:styleId="Contents">
    <w:name w:val="Contents"/>
    <w:basedOn w:val="Normal"/>
    <w:rsid w:val="00313559"/>
    <w:pPr>
      <w:jc w:val="center"/>
    </w:pPr>
    <w:rPr>
      <w:b/>
      <w:spacing w:val="100"/>
    </w:rPr>
  </w:style>
  <w:style w:type="character" w:customStyle="1" w:styleId="FootnoteTextChar">
    <w:name w:val="Footnote Text Char"/>
    <w:link w:val="FootnoteText"/>
    <w:rsid w:val="00D33A4B"/>
    <w:rPr>
      <w:rFonts w:ascii="Century Schoolbook" w:hAnsi="Century Schoolbook"/>
      <w:sz w:val="27"/>
    </w:rPr>
  </w:style>
  <w:style w:type="character" w:customStyle="1" w:styleId="costarpage">
    <w:name w:val="co_starpage"/>
    <w:basedOn w:val="DefaultParagraphFont"/>
    <w:rsid w:val="007E4025"/>
  </w:style>
  <w:style w:type="paragraph" w:styleId="BalloonText">
    <w:name w:val="Balloon Text"/>
    <w:basedOn w:val="Normal"/>
    <w:link w:val="BalloonTextChar"/>
    <w:uiPriority w:val="99"/>
    <w:semiHidden/>
    <w:unhideWhenUsed/>
    <w:rsid w:val="00BA466C"/>
    <w:rPr>
      <w:sz w:val="18"/>
      <w:szCs w:val="18"/>
    </w:rPr>
  </w:style>
  <w:style w:type="character" w:customStyle="1" w:styleId="BalloonTextChar">
    <w:name w:val="Balloon Text Char"/>
    <w:basedOn w:val="DefaultParagraphFont"/>
    <w:link w:val="BalloonText"/>
    <w:uiPriority w:val="99"/>
    <w:semiHidden/>
    <w:rsid w:val="00BA466C"/>
    <w:rPr>
      <w:sz w:val="18"/>
      <w:szCs w:val="18"/>
    </w:rPr>
  </w:style>
  <w:style w:type="character" w:customStyle="1" w:styleId="apple-converted-space">
    <w:name w:val="apple-converted-space"/>
    <w:basedOn w:val="DefaultParagraphFont"/>
    <w:rsid w:val="00D373B8"/>
  </w:style>
  <w:style w:type="character" w:styleId="Emphasis">
    <w:name w:val="Emphasis"/>
    <w:basedOn w:val="DefaultParagraphFont"/>
    <w:uiPriority w:val="20"/>
    <w:qFormat/>
    <w:rsid w:val="00D373B8"/>
    <w:rPr>
      <w:i/>
      <w:iCs/>
    </w:rPr>
  </w:style>
  <w:style w:type="paragraph" w:styleId="ListParagraph">
    <w:name w:val="List Paragraph"/>
    <w:basedOn w:val="Normal"/>
    <w:uiPriority w:val="34"/>
    <w:qFormat/>
    <w:rsid w:val="008001D0"/>
    <w:pPr>
      <w:ind w:left="720"/>
      <w:contextualSpacing/>
    </w:pPr>
  </w:style>
  <w:style w:type="character" w:styleId="Strong">
    <w:name w:val="Strong"/>
    <w:basedOn w:val="DefaultParagraphFont"/>
    <w:uiPriority w:val="22"/>
    <w:qFormat/>
    <w:rsid w:val="00C14731"/>
    <w:rPr>
      <w:b/>
      <w:bCs/>
    </w:rPr>
  </w:style>
  <w:style w:type="character" w:styleId="Hyperlink">
    <w:name w:val="Hyperlink"/>
    <w:basedOn w:val="DefaultParagraphFont"/>
    <w:uiPriority w:val="99"/>
    <w:unhideWhenUsed/>
    <w:rsid w:val="000C1345"/>
    <w:rPr>
      <w:color w:val="0000FF"/>
      <w:u w:val="single"/>
    </w:rPr>
  </w:style>
  <w:style w:type="character" w:styleId="FollowedHyperlink">
    <w:name w:val="FollowedHyperlink"/>
    <w:basedOn w:val="DefaultParagraphFont"/>
    <w:uiPriority w:val="99"/>
    <w:semiHidden/>
    <w:unhideWhenUsed/>
    <w:rsid w:val="00F72141"/>
    <w:rPr>
      <w:color w:val="800080" w:themeColor="followedHyperlink"/>
      <w:u w:val="single"/>
    </w:rPr>
  </w:style>
  <w:style w:type="character" w:customStyle="1" w:styleId="UnresolvedMention">
    <w:name w:val="Unresolved Mention"/>
    <w:basedOn w:val="DefaultParagraphFont"/>
    <w:uiPriority w:val="99"/>
    <w:semiHidden/>
    <w:unhideWhenUsed/>
    <w:rsid w:val="005F230D"/>
    <w:rPr>
      <w:color w:val="605E5C"/>
      <w:shd w:val="clear" w:color="auto" w:fill="E1DFDD"/>
    </w:rPr>
  </w:style>
  <w:style w:type="paragraph" w:styleId="BodyText">
    <w:name w:val="Body Text"/>
    <w:basedOn w:val="Normal"/>
    <w:link w:val="BodyTextChar"/>
    <w:qFormat/>
    <w:rsid w:val="00313559"/>
  </w:style>
  <w:style w:type="character" w:customStyle="1" w:styleId="BodyTextChar">
    <w:name w:val="Body Text Char"/>
    <w:basedOn w:val="DefaultParagraphFont"/>
    <w:link w:val="BodyText"/>
    <w:rsid w:val="0031355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2020-05-21T16:07:59Z</dcterms:created>
  <dcterms:modified xsi:type="dcterms:W3CDTF">2020-05-21T16:07:59Z</dcterms:modified>
</cp:coreProperties>
</file>