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30459" w:rsidP="00A30459">
      <w:pPr>
        <w:tabs>
          <w:tab w:val="left" w:pos="720"/>
        </w:tabs>
        <w:spacing w:after="0"/>
        <w:jc w:val="center"/>
        <w:rPr>
          <w:sz w:val="36"/>
        </w:rPr>
      </w:pPr>
      <w:bookmarkStart w:id="0" w:name="_GoBack"/>
      <w:bookmarkEnd w:id="0"/>
      <w:r>
        <w:rPr>
          <w:b/>
          <w:sz w:val="36"/>
        </w:rPr>
        <w:t>IN THE SUPREME COURT OF CALIFORNIA</w:t>
      </w:r>
    </w:p>
    <w:p w:rsidR="00A30459" w:rsidP="00A30459">
      <w:pPr>
        <w:tabs>
          <w:tab w:val="left" w:pos="720"/>
        </w:tabs>
        <w:spacing w:after="0"/>
        <w:jc w:val="center"/>
      </w:pPr>
    </w:p>
    <w:p w:rsidR="00A30459" w:rsidP="00A30459">
      <w:pPr>
        <w:tabs>
          <w:tab w:val="left" w:pos="720"/>
        </w:tabs>
        <w:spacing w:after="0"/>
        <w:jc w:val="center"/>
      </w:pPr>
      <w:r>
        <w:t>THE PEOPLE</w:t>
      </w:r>
      <w:r w:rsidR="00702E0A">
        <w:t>,</w:t>
      </w:r>
    </w:p>
    <w:p w:rsidR="00A30459" w:rsidP="00A30459">
      <w:pPr>
        <w:tabs>
          <w:tab w:val="left" w:pos="720"/>
        </w:tabs>
        <w:spacing w:after="0"/>
        <w:jc w:val="center"/>
      </w:pPr>
      <w:r>
        <w:t>Plaintiff and Respondent</w:t>
      </w:r>
      <w:r w:rsidR="00702E0A">
        <w:t>,</w:t>
      </w:r>
    </w:p>
    <w:p w:rsidR="00A30459" w:rsidP="00A30459">
      <w:pPr>
        <w:tabs>
          <w:tab w:val="left" w:pos="720"/>
        </w:tabs>
        <w:spacing w:after="0"/>
        <w:jc w:val="center"/>
      </w:pPr>
      <w:r>
        <w:t>v.</w:t>
      </w:r>
    </w:p>
    <w:p w:rsidR="00A30459" w:rsidP="00A30459">
      <w:pPr>
        <w:tabs>
          <w:tab w:val="left" w:pos="720"/>
        </w:tabs>
        <w:spacing w:after="0"/>
        <w:jc w:val="center"/>
      </w:pPr>
      <w:r>
        <w:t>RAUL OSUNA GUERRERO</w:t>
      </w:r>
      <w:r w:rsidR="00702E0A">
        <w:t>,</w:t>
      </w:r>
    </w:p>
    <w:p w:rsidR="00A30459" w:rsidP="00A30459">
      <w:pPr>
        <w:tabs>
          <w:tab w:val="left" w:pos="720"/>
        </w:tabs>
        <w:spacing w:after="0"/>
        <w:jc w:val="center"/>
      </w:pPr>
      <w:r>
        <w:t>Defendant and Appellant.</w:t>
      </w:r>
    </w:p>
    <w:p w:rsidR="00A30459" w:rsidP="00A30459">
      <w:pPr>
        <w:tabs>
          <w:tab w:val="left" w:pos="720"/>
        </w:tabs>
        <w:spacing w:after="0"/>
        <w:jc w:val="center"/>
      </w:pPr>
    </w:p>
    <w:p w:rsidR="00A30459" w:rsidP="00A30459">
      <w:pPr>
        <w:tabs>
          <w:tab w:val="left" w:pos="720"/>
        </w:tabs>
        <w:spacing w:after="0"/>
        <w:jc w:val="center"/>
      </w:pPr>
      <w:r>
        <w:t>S253405</w:t>
      </w:r>
    </w:p>
    <w:p w:rsidR="00A30459" w:rsidP="00A30459">
      <w:pPr>
        <w:tabs>
          <w:tab w:val="left" w:pos="720"/>
        </w:tabs>
        <w:spacing w:after="0"/>
        <w:jc w:val="center"/>
      </w:pPr>
    </w:p>
    <w:p w:rsidR="00A30459" w:rsidP="00A30459">
      <w:pPr>
        <w:tabs>
          <w:tab w:val="left" w:pos="720"/>
        </w:tabs>
        <w:spacing w:after="0"/>
        <w:jc w:val="center"/>
      </w:pPr>
      <w:r>
        <w:t>Sixth Appellate District</w:t>
      </w:r>
    </w:p>
    <w:p w:rsidR="00A30459" w:rsidP="00A30459">
      <w:pPr>
        <w:tabs>
          <w:tab w:val="left" w:pos="720"/>
        </w:tabs>
        <w:spacing w:after="0"/>
        <w:jc w:val="center"/>
      </w:pPr>
      <w:r>
        <w:t>H041900</w:t>
      </w:r>
    </w:p>
    <w:p w:rsidR="00A30459" w:rsidP="00A30459">
      <w:pPr>
        <w:tabs>
          <w:tab w:val="left" w:pos="720"/>
        </w:tabs>
        <w:spacing w:after="0"/>
        <w:jc w:val="center"/>
      </w:pPr>
    </w:p>
    <w:p w:rsidR="00A30459" w:rsidP="00A30459">
      <w:pPr>
        <w:tabs>
          <w:tab w:val="left" w:pos="720"/>
        </w:tabs>
        <w:spacing w:after="0"/>
        <w:jc w:val="center"/>
      </w:pPr>
      <w:r>
        <w:t>Santa Clara County</w:t>
      </w:r>
      <w:r w:rsidR="00BB22EE">
        <w:t xml:space="preserve"> Superior Court</w:t>
      </w:r>
    </w:p>
    <w:p w:rsidR="00A30459" w:rsidP="00A30459">
      <w:pPr>
        <w:tabs>
          <w:tab w:val="left" w:pos="720"/>
        </w:tabs>
        <w:spacing w:after="0"/>
        <w:jc w:val="center"/>
      </w:pPr>
      <w:r>
        <w:t>C1476320</w:t>
      </w:r>
    </w:p>
    <w:p w:rsidR="00A30459" w:rsidP="00A30459">
      <w:pPr>
        <w:pBdr>
          <w:bottom w:val="single" w:sz="4" w:space="1" w:color="auto"/>
        </w:pBdr>
        <w:tabs>
          <w:tab w:val="left" w:pos="720"/>
        </w:tabs>
        <w:spacing w:after="0"/>
        <w:jc w:val="center"/>
      </w:pPr>
    </w:p>
    <w:p w:rsidR="00A30459" w:rsidP="00A30459">
      <w:pPr>
        <w:tabs>
          <w:tab w:val="left" w:pos="720"/>
        </w:tabs>
        <w:spacing w:after="0"/>
        <w:jc w:val="center"/>
      </w:pPr>
    </w:p>
    <w:p w:rsidR="00A30459" w:rsidP="00A30459">
      <w:pPr>
        <w:tabs>
          <w:tab w:val="left" w:pos="720"/>
        </w:tabs>
        <w:spacing w:after="0"/>
        <w:jc w:val="center"/>
      </w:pPr>
      <w:r>
        <w:t xml:space="preserve">April </w:t>
      </w:r>
      <w:r w:rsidRPr="00CE3842" w:rsidR="00CE3842">
        <w:t>30</w:t>
      </w:r>
      <w:r>
        <w:t>, 2020</w:t>
      </w:r>
    </w:p>
    <w:p w:rsidR="00A30459" w:rsidP="00A30459">
      <w:pPr>
        <w:tabs>
          <w:tab w:val="left" w:pos="720"/>
        </w:tabs>
        <w:spacing w:after="0"/>
        <w:jc w:val="center"/>
      </w:pPr>
    </w:p>
    <w:p w:rsidR="00B83896" w:rsidP="00A30459">
      <w:pPr>
        <w:tabs>
          <w:tab w:val="left" w:pos="720"/>
        </w:tabs>
        <w:spacing w:after="0"/>
        <w:jc w:val="left"/>
      </w:pPr>
      <w:r>
        <w:t xml:space="preserve">Justice Liu authored the opinion of the Court, in which </w:t>
      </w:r>
      <w:r w:rsidRPr="00BC1C5E" w:rsidR="00BC1C5E">
        <w:t>Chief Justice Cantil-Sakauye and Justices Chin, Corrigan, Cuéllar, Kruger, and Groban</w:t>
      </w:r>
      <w:r>
        <w:t xml:space="preserve"> concurred.</w:t>
      </w:r>
    </w:p>
    <w:p w:rsidR="00A30459" w:rsidRPr="00A30459" w:rsidP="00A30459">
      <w:pPr>
        <w:pBdr>
          <w:bottom w:val="single" w:sz="4" w:space="1" w:color="auto"/>
        </w:pBdr>
        <w:tabs>
          <w:tab w:val="left" w:pos="720"/>
        </w:tabs>
        <w:spacing w:line="480" w:lineRule="atLeast"/>
        <w:jc w:val="left"/>
      </w:pPr>
      <w:bookmarkStart w:id="1" w:name="Return"/>
      <w:bookmarkEnd w:id="1"/>
    </w:p>
    <w:p w:rsidR="00A30459" w:rsidP="00E909F8">
      <w:pPr>
        <w:tabs>
          <w:tab w:val="left" w:pos="720"/>
        </w:tabs>
        <w:spacing w:line="480" w:lineRule="atLeast"/>
        <w:sectPr w:rsidSect="00A30459">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A30459" w:rsidP="00A30459">
      <w:pPr>
        <w:tabs>
          <w:tab w:val="left" w:pos="720"/>
        </w:tabs>
        <w:jc w:val="center"/>
      </w:pPr>
      <w:r>
        <w:t>PEOPLE v. GUERRERO</w:t>
      </w:r>
    </w:p>
    <w:p w:rsidR="00A30459" w:rsidP="00A30459">
      <w:pPr>
        <w:tabs>
          <w:tab w:val="left" w:pos="720"/>
        </w:tabs>
        <w:jc w:val="center"/>
      </w:pPr>
      <w:r>
        <w:t>S253405</w:t>
      </w:r>
    </w:p>
    <w:p w:rsidR="00A30459" w:rsidP="00A30459">
      <w:pPr>
        <w:tabs>
          <w:tab w:val="left" w:pos="720"/>
        </w:tabs>
        <w:jc w:val="center"/>
      </w:pPr>
    </w:p>
    <w:p w:rsidR="00A30459" w:rsidP="00A30459">
      <w:pPr>
        <w:tabs>
          <w:tab w:val="left" w:pos="720"/>
        </w:tabs>
        <w:jc w:val="center"/>
      </w:pPr>
      <w:r>
        <w:t>Opinion of the Court by Liu, J.</w:t>
      </w:r>
    </w:p>
    <w:p w:rsidR="00BE291F" w:rsidP="00A30459">
      <w:pPr>
        <w:tabs>
          <w:tab w:val="left" w:pos="720"/>
        </w:tabs>
        <w:jc w:val="center"/>
      </w:pPr>
    </w:p>
    <w:p w:rsidR="00E909F8" w:rsidRPr="00A30459" w:rsidP="00DA1EE9">
      <w:pPr>
        <w:tabs>
          <w:tab w:val="left" w:pos="720"/>
        </w:tabs>
        <w:rPr>
          <w:rFonts w:cstheme="minorHAnsi"/>
          <w:szCs w:val="26"/>
        </w:rPr>
      </w:pPr>
      <w:r>
        <w:tab/>
      </w:r>
      <w:r w:rsidRPr="00A30459" w:rsidR="00644CB0">
        <w:t>Proposition 47</w:t>
      </w:r>
      <w:r w:rsidR="00BE291F">
        <w:t xml:space="preserve"> </w:t>
      </w:r>
      <w:r w:rsidRPr="00A30459" w:rsidR="00644CB0">
        <w:t xml:space="preserve">reduced </w:t>
      </w:r>
      <w:r w:rsidRPr="00A30459" w:rsidR="00995366">
        <w:t xml:space="preserve">the punishment for </w:t>
      </w:r>
      <w:r w:rsidRPr="00A30459" w:rsidR="0080319C">
        <w:t>certain</w:t>
      </w:r>
      <w:r w:rsidRPr="00A30459" w:rsidR="00644CB0">
        <w:t xml:space="preserve"> </w:t>
      </w:r>
      <w:r w:rsidRPr="00A30459" w:rsidR="00F94992">
        <w:t xml:space="preserve">nonserious, nonviolent </w:t>
      </w:r>
      <w:r w:rsidRPr="00A30459" w:rsidR="00FA299A">
        <w:t>crimes</w:t>
      </w:r>
      <w:r w:rsidRPr="00A30459" w:rsidR="00644CB0">
        <w:t xml:space="preserve"> </w:t>
      </w:r>
      <w:r w:rsidRPr="00A30459" w:rsidR="0080319C">
        <w:t xml:space="preserve">previously classified as </w:t>
      </w:r>
      <w:r w:rsidRPr="00A30459" w:rsidR="00644CB0">
        <w:t>“wobbler</w:t>
      </w:r>
      <w:r w:rsidRPr="00A30459" w:rsidR="004464F2">
        <w:t>s</w:t>
      </w:r>
      <w:r w:rsidRPr="00A30459" w:rsidR="0080319C">
        <w:t>,</w:t>
      </w:r>
      <w:r w:rsidRPr="00A30459" w:rsidR="004464F2">
        <w:t xml:space="preserve">” </w:t>
      </w:r>
      <w:r w:rsidRPr="00A30459" w:rsidR="0080319C">
        <w:t xml:space="preserve">which </w:t>
      </w:r>
      <w:r w:rsidR="009D2CCE">
        <w:t>were</w:t>
      </w:r>
      <w:r w:rsidRPr="00A30459" w:rsidR="009D2CCE">
        <w:t xml:space="preserve"> </w:t>
      </w:r>
      <w:r w:rsidRPr="00A30459" w:rsidR="004464F2">
        <w:t xml:space="preserve">punishable either </w:t>
      </w:r>
      <w:r w:rsidRPr="00A30459" w:rsidR="00642200">
        <w:t xml:space="preserve">as </w:t>
      </w:r>
      <w:r w:rsidRPr="00A30459" w:rsidR="004464F2">
        <w:t xml:space="preserve">a felony or </w:t>
      </w:r>
      <w:r w:rsidRPr="00A30459" w:rsidR="00642200">
        <w:t xml:space="preserve">as a </w:t>
      </w:r>
      <w:r w:rsidRPr="00A30459" w:rsidR="004464F2">
        <w:t>misdemeanor</w:t>
      </w:r>
      <w:r w:rsidRPr="00A30459" w:rsidR="0080319C">
        <w:t>.</w:t>
      </w:r>
      <w:r w:rsidRPr="00A30459" w:rsidR="00644CB0">
        <w:t xml:space="preserve">  </w:t>
      </w:r>
      <w:r w:rsidRPr="00A30459" w:rsidR="00644CB0">
        <w:rPr>
          <w:rFonts w:cstheme="minorHAnsi"/>
          <w:szCs w:val="26"/>
        </w:rPr>
        <w:t xml:space="preserve">Among the </w:t>
      </w:r>
      <w:r w:rsidRPr="00A30459" w:rsidR="00FA299A">
        <w:rPr>
          <w:rFonts w:cstheme="minorHAnsi"/>
          <w:szCs w:val="26"/>
        </w:rPr>
        <w:t>offenses</w:t>
      </w:r>
      <w:r w:rsidRPr="00A30459" w:rsidR="00644CB0">
        <w:rPr>
          <w:rFonts w:cstheme="minorHAnsi"/>
          <w:szCs w:val="26"/>
        </w:rPr>
        <w:t xml:space="preserve"> it amended was </w:t>
      </w:r>
      <w:r w:rsidRPr="00A30459" w:rsidR="006F7ED9">
        <w:rPr>
          <w:rFonts w:cstheme="minorHAnsi"/>
          <w:szCs w:val="26"/>
        </w:rPr>
        <w:t>forgery not exceeding $950 dollars.</w:t>
      </w:r>
      <w:r w:rsidRPr="00A30459" w:rsidR="00F94992">
        <w:rPr>
          <w:rFonts w:cstheme="minorHAnsi"/>
          <w:szCs w:val="26"/>
        </w:rPr>
        <w:t xml:space="preserve"> </w:t>
      </w:r>
      <w:r w:rsidRPr="00A30459" w:rsidR="006F7ED9">
        <w:rPr>
          <w:rFonts w:cstheme="minorHAnsi"/>
          <w:szCs w:val="26"/>
        </w:rPr>
        <w:t xml:space="preserve"> (Pen</w:t>
      </w:r>
      <w:r w:rsidR="00BE291F">
        <w:rPr>
          <w:rFonts w:cstheme="minorHAnsi"/>
          <w:szCs w:val="26"/>
        </w:rPr>
        <w:t>.</w:t>
      </w:r>
      <w:r w:rsidRPr="00A30459" w:rsidR="006F7ED9">
        <w:rPr>
          <w:rFonts w:cstheme="minorHAnsi"/>
          <w:szCs w:val="26"/>
        </w:rPr>
        <w:t xml:space="preserve"> Code, § 473, subd. (b)</w:t>
      </w:r>
      <w:r w:rsidRPr="00A30459" w:rsidR="00642200">
        <w:rPr>
          <w:rFonts w:cstheme="minorHAnsi"/>
          <w:szCs w:val="26"/>
        </w:rPr>
        <w:t xml:space="preserve"> (section 473(b))</w:t>
      </w:r>
      <w:r w:rsidRPr="00A30459" w:rsidR="009A6B6C">
        <w:rPr>
          <w:rFonts w:cstheme="minorHAnsi"/>
          <w:szCs w:val="26"/>
        </w:rPr>
        <w:t>; a</w:t>
      </w:r>
      <w:r w:rsidRPr="00A30459" w:rsidR="00E33972">
        <w:t xml:space="preserve">ll undesignated statutory references are to </w:t>
      </w:r>
      <w:r w:rsidRPr="00A30459" w:rsidR="009A6B6C">
        <w:t>this code</w:t>
      </w:r>
      <w:r w:rsidRPr="00A30459" w:rsidR="00E33972">
        <w:t>.)</w:t>
      </w:r>
      <w:r w:rsidRPr="00A30459" w:rsidR="00F94992">
        <w:rPr>
          <w:rFonts w:cstheme="minorHAnsi"/>
          <w:szCs w:val="26"/>
        </w:rPr>
        <w:t xml:space="preserve">  </w:t>
      </w:r>
      <w:r w:rsidRPr="00A30459" w:rsidR="003E2FD9">
        <w:rPr>
          <w:rFonts w:cstheme="minorHAnsi"/>
          <w:szCs w:val="26"/>
        </w:rPr>
        <w:t>But</w:t>
      </w:r>
      <w:r w:rsidRPr="00A30459" w:rsidR="004A1AB6">
        <w:rPr>
          <w:rFonts w:cstheme="minorHAnsi"/>
          <w:szCs w:val="26"/>
        </w:rPr>
        <w:t xml:space="preserve"> Proposition 47 also </w:t>
      </w:r>
      <w:r w:rsidRPr="00A30459" w:rsidR="003E2FD9">
        <w:rPr>
          <w:rFonts w:cstheme="minorHAnsi"/>
          <w:szCs w:val="26"/>
        </w:rPr>
        <w:t xml:space="preserve">included an exception to that amendment.  </w:t>
      </w:r>
      <w:r w:rsidRPr="00A30459" w:rsidR="000322BD">
        <w:rPr>
          <w:rFonts w:cstheme="minorHAnsi"/>
          <w:szCs w:val="26"/>
        </w:rPr>
        <w:t>The exception</w:t>
      </w:r>
      <w:r w:rsidRPr="00A30459" w:rsidR="003E2FD9">
        <w:rPr>
          <w:rFonts w:cstheme="minorHAnsi"/>
          <w:szCs w:val="26"/>
        </w:rPr>
        <w:t xml:space="preserve"> </w:t>
      </w:r>
      <w:r w:rsidRPr="00A30459" w:rsidR="004A1AB6">
        <w:rPr>
          <w:rFonts w:cstheme="minorHAnsi"/>
          <w:szCs w:val="26"/>
        </w:rPr>
        <w:t>provide</w:t>
      </w:r>
      <w:r w:rsidRPr="00A30459" w:rsidR="00642200">
        <w:rPr>
          <w:rFonts w:cstheme="minorHAnsi"/>
          <w:szCs w:val="26"/>
        </w:rPr>
        <w:t>s</w:t>
      </w:r>
      <w:r w:rsidRPr="00A30459" w:rsidR="004A1AB6">
        <w:rPr>
          <w:rFonts w:cstheme="minorHAnsi"/>
          <w:szCs w:val="26"/>
        </w:rPr>
        <w:t xml:space="preserve"> that the sentencing reduction</w:t>
      </w:r>
      <w:r w:rsidRPr="00A30459" w:rsidR="003A6203">
        <w:rPr>
          <w:rFonts w:cstheme="minorHAnsi"/>
          <w:szCs w:val="26"/>
        </w:rPr>
        <w:t xml:space="preserve"> for forgery</w:t>
      </w:r>
      <w:r w:rsidRPr="00A30459" w:rsidR="005F2AC0">
        <w:rPr>
          <w:rFonts w:cstheme="minorHAnsi"/>
          <w:szCs w:val="26"/>
        </w:rPr>
        <w:t xml:space="preserve"> is not “applicable to any person who is convicted both of forgery and of identity theft</w:t>
      </w:r>
      <w:r w:rsidR="00BB6CE3">
        <w:rPr>
          <w:rFonts w:cstheme="minorHAnsi"/>
          <w:szCs w:val="26"/>
        </w:rPr>
        <w:t>, as defined in Section 530.5</w:t>
      </w:r>
      <w:r w:rsidRPr="00A30459" w:rsidR="005F2AC0">
        <w:rPr>
          <w:rFonts w:cstheme="minorHAnsi"/>
          <w:szCs w:val="26"/>
        </w:rPr>
        <w:t>.”  (</w:t>
      </w:r>
      <w:r w:rsidRPr="00A30459" w:rsidR="000322BD">
        <w:rPr>
          <w:rFonts w:cstheme="minorHAnsi"/>
          <w:szCs w:val="26"/>
        </w:rPr>
        <w:t>§ 473(b)</w:t>
      </w:r>
      <w:r w:rsidRPr="00A30459" w:rsidR="005F2AC0">
        <w:rPr>
          <w:rFonts w:cstheme="minorHAnsi"/>
          <w:szCs w:val="26"/>
        </w:rPr>
        <w:t>.)</w:t>
      </w:r>
    </w:p>
    <w:p w:rsidR="00C33BE4" w:rsidRPr="00A30459" w:rsidP="00A30459">
      <w:pPr>
        <w:tabs>
          <w:tab w:val="left" w:pos="720"/>
        </w:tabs>
      </w:pPr>
      <w:r w:rsidRPr="00A30459">
        <w:tab/>
      </w:r>
      <w:r w:rsidRPr="00A30459" w:rsidR="00642200">
        <w:t xml:space="preserve">In </w:t>
      </w:r>
      <w:r w:rsidRPr="00A30459" w:rsidR="005F2AC0">
        <w:rPr>
          <w:i/>
        </w:rPr>
        <w:t xml:space="preserve">People v. </w:t>
      </w:r>
      <w:r w:rsidRPr="00A30459" w:rsidR="00C727FF">
        <w:rPr>
          <w:i/>
        </w:rPr>
        <w:t>Gonzales</w:t>
      </w:r>
      <w:r w:rsidRPr="00A30459" w:rsidR="005F2AC0">
        <w:t xml:space="preserve"> (2018) 6 Cal.5th </w:t>
      </w:r>
      <w:r w:rsidRPr="00A30459">
        <w:t>44</w:t>
      </w:r>
      <w:r w:rsidRPr="00A30459" w:rsidR="00642200">
        <w:t xml:space="preserve"> (</w:t>
      </w:r>
      <w:r w:rsidRPr="00A30459" w:rsidR="00642200">
        <w:rPr>
          <w:i/>
        </w:rPr>
        <w:t>Gonzales</w:t>
      </w:r>
      <w:r w:rsidRPr="00A30459" w:rsidR="00642200">
        <w:t>)</w:t>
      </w:r>
      <w:r w:rsidRPr="00A30459" w:rsidR="00C727FF">
        <w:t>,</w:t>
      </w:r>
      <w:r w:rsidRPr="00A30459" w:rsidR="00490CC3">
        <w:t xml:space="preserve"> </w:t>
      </w:r>
      <w:r w:rsidRPr="00A30459" w:rsidR="00642200">
        <w:t xml:space="preserve">we </w:t>
      </w:r>
      <w:r w:rsidRPr="00A30459" w:rsidR="00C727FF">
        <w:t>held that</w:t>
      </w:r>
      <w:r w:rsidRPr="00A30459" w:rsidR="00DE3585">
        <w:t xml:space="preserve"> </w:t>
      </w:r>
      <w:r w:rsidRPr="00A30459">
        <w:t xml:space="preserve">this exception </w:t>
      </w:r>
      <w:r w:rsidRPr="00A30459" w:rsidR="00C76C27">
        <w:t xml:space="preserve">applies only when </w:t>
      </w:r>
      <w:r w:rsidRPr="00A30459" w:rsidR="0081783D">
        <w:t xml:space="preserve">there is a “meaningful connection” between </w:t>
      </w:r>
      <w:r w:rsidRPr="00A30459" w:rsidR="003E1AAE">
        <w:t xml:space="preserve">a defendant’s forgery </w:t>
      </w:r>
      <w:r w:rsidR="00BF07AA">
        <w:t xml:space="preserve">conviction </w:t>
      </w:r>
      <w:r w:rsidRPr="00A30459" w:rsidR="003E1AAE">
        <w:t xml:space="preserve">and </w:t>
      </w:r>
      <w:r w:rsidR="00CD24CA">
        <w:t>his conviction for misuse of personal identifying information (§ </w:t>
      </w:r>
      <w:r w:rsidR="001E2204">
        <w:t>530.5), commonly referred to as identity theft.</w:t>
      </w:r>
      <w:r w:rsidR="00B823EB">
        <w:t xml:space="preserve">  </w:t>
      </w:r>
      <w:r w:rsidRPr="00A30459" w:rsidR="00642200">
        <w:t>(</w:t>
      </w:r>
      <w:r w:rsidR="00B823EB">
        <w:rPr>
          <w:i/>
        </w:rPr>
        <w:t>Gonzales</w:t>
      </w:r>
      <w:r w:rsidR="00B823EB">
        <w:t xml:space="preserve">, </w:t>
      </w:r>
      <w:r w:rsidRPr="00A30459" w:rsidR="00642200">
        <w:t>at p. 53.)</w:t>
      </w:r>
      <w:r w:rsidRPr="00A30459" w:rsidR="00F0409D">
        <w:t xml:space="preserve">  </w:t>
      </w:r>
      <w:r w:rsidRPr="00A30459">
        <w:t>We concluded that t</w:t>
      </w:r>
      <w:r w:rsidRPr="00A30459" w:rsidR="00DE3585">
        <w:t xml:space="preserve">he mere fact that </w:t>
      </w:r>
      <w:r w:rsidRPr="00A30459" w:rsidR="00EB6E9C">
        <w:t>those convictions were secured</w:t>
      </w:r>
      <w:r w:rsidRPr="00A30459" w:rsidR="006E7171">
        <w:t xml:space="preserve"> in the same proceeding</w:t>
      </w:r>
      <w:r w:rsidRPr="00A30459" w:rsidR="00EB6E9C">
        <w:t xml:space="preserve"> does not demonstrate such a connection.</w:t>
      </w:r>
      <w:r w:rsidRPr="00A30459" w:rsidR="00642200">
        <w:t xml:space="preserve">  (</w:t>
      </w:r>
      <w:r w:rsidRPr="00A30459" w:rsidR="00642200">
        <w:rPr>
          <w:i/>
        </w:rPr>
        <w:t>Id.</w:t>
      </w:r>
      <w:r w:rsidRPr="00A30459" w:rsidR="00642200">
        <w:t xml:space="preserve"> at p.</w:t>
      </w:r>
      <w:r w:rsidR="00355BD8">
        <w:t> </w:t>
      </w:r>
      <w:r w:rsidRPr="00A30459" w:rsidR="00E1342C">
        <w:t>54</w:t>
      </w:r>
      <w:r w:rsidRPr="00A30459" w:rsidR="00642200">
        <w:t>.)</w:t>
      </w:r>
    </w:p>
    <w:p w:rsidR="006E7171" w:rsidRPr="00A30459" w:rsidP="00A30459">
      <w:pPr>
        <w:tabs>
          <w:tab w:val="left" w:pos="720"/>
        </w:tabs>
      </w:pPr>
      <w:r w:rsidRPr="00A30459">
        <w:tab/>
      </w:r>
      <w:r w:rsidR="00980B68">
        <w:t>In this case</w:t>
      </w:r>
      <w:r w:rsidR="00DE5C56">
        <w:t>,</w:t>
      </w:r>
      <w:r w:rsidR="00980B68">
        <w:t xml:space="preserve"> we are asked to </w:t>
      </w:r>
      <w:r w:rsidR="00AD1F8D">
        <w:t xml:space="preserve">further </w:t>
      </w:r>
      <w:r w:rsidR="005F4995">
        <w:t xml:space="preserve">clarify </w:t>
      </w:r>
      <w:r w:rsidR="00031155">
        <w:t>the meaningful connection</w:t>
      </w:r>
      <w:r w:rsidR="005F4995">
        <w:t xml:space="preserve"> standard</w:t>
      </w:r>
      <w:r w:rsidR="00031155">
        <w:t xml:space="preserve"> by answering</w:t>
      </w:r>
      <w:r w:rsidR="005F4995">
        <w:t xml:space="preserve"> </w:t>
      </w:r>
      <w:r w:rsidRPr="00A30459">
        <w:t>a related question</w:t>
      </w:r>
      <w:r w:rsidRPr="00A30459" w:rsidR="00051F22">
        <w:t>:</w:t>
      </w:r>
      <w:r w:rsidRPr="00A30459">
        <w:t xml:space="preserve"> </w:t>
      </w:r>
      <w:r w:rsidRPr="00A30459" w:rsidR="00051F22">
        <w:t xml:space="preserve"> D</w:t>
      </w:r>
      <w:r w:rsidRPr="00A30459" w:rsidR="0073496D">
        <w:t xml:space="preserve">oes the fact that a defendant possessed separate stolen identification and forged instruments together at the same time provide a sufficient connection between the two offenses to bar him from </w:t>
      </w:r>
      <w:r w:rsidRPr="00A30459" w:rsidR="0073496D">
        <w:t xml:space="preserve">a sentence reduction pursuant to section 473(b)? </w:t>
      </w:r>
      <w:r w:rsidRPr="00A30459" w:rsidR="00A007CA">
        <w:t xml:space="preserve"> </w:t>
      </w:r>
      <w:r w:rsidR="00A86DF7">
        <w:t>W</w:t>
      </w:r>
      <w:r w:rsidRPr="00A30459" w:rsidR="00A86DF7">
        <w:t xml:space="preserve">e </w:t>
      </w:r>
      <w:r w:rsidRPr="00A30459" w:rsidR="0073496D">
        <w:t xml:space="preserve">hold that it does not.  </w:t>
      </w:r>
      <w:r w:rsidR="00F757F6">
        <w:t>A</w:t>
      </w:r>
      <w:r w:rsidRPr="00A30459" w:rsidR="0073496D">
        <w:t xml:space="preserve"> meaningful connection between forgery </w:t>
      </w:r>
      <w:r w:rsidRPr="00A30459" w:rsidR="00B3042B">
        <w:t xml:space="preserve">and identity theft for purposes of the identity theft exception </w:t>
      </w:r>
      <w:r w:rsidR="00F757F6">
        <w:t>requires</w:t>
      </w:r>
      <w:r w:rsidRPr="00A30459" w:rsidR="00F757F6">
        <w:t xml:space="preserve"> </w:t>
      </w:r>
      <w:r w:rsidR="00BB65A4">
        <w:t>a facilitative relationship between the two offenses.  T</w:t>
      </w:r>
      <w:r w:rsidRPr="00A30459" w:rsidR="005E1452">
        <w:t xml:space="preserve">he </w:t>
      </w:r>
      <w:r w:rsidRPr="00A30459" w:rsidR="00642200">
        <w:t xml:space="preserve">mere </w:t>
      </w:r>
      <w:r w:rsidRPr="00A30459" w:rsidR="005E1452">
        <w:t xml:space="preserve">fact that a defendant possessed two separate items of contraband at the same time does not demonstrate such a </w:t>
      </w:r>
      <w:r w:rsidR="00BB65A4">
        <w:t>relationship</w:t>
      </w:r>
      <w:r w:rsidRPr="00A30459" w:rsidR="005E1452">
        <w:t>.</w:t>
      </w:r>
    </w:p>
    <w:p w:rsidR="00C0094F" w:rsidRPr="00A30459" w:rsidP="00602CA6">
      <w:pPr>
        <w:tabs>
          <w:tab w:val="left" w:pos="1440"/>
        </w:tabs>
        <w:jc w:val="center"/>
        <w:rPr>
          <w:b/>
        </w:rPr>
      </w:pPr>
      <w:r w:rsidRPr="00A30459">
        <w:rPr>
          <w:b/>
        </w:rPr>
        <w:t>I.</w:t>
      </w:r>
    </w:p>
    <w:p w:rsidR="00BB346A" w:rsidRPr="00A30459" w:rsidP="00A30459">
      <w:pPr>
        <w:tabs>
          <w:tab w:val="left" w:pos="720"/>
          <w:tab w:val="left" w:pos="1440"/>
        </w:tabs>
      </w:pPr>
      <w:r w:rsidRPr="00A30459">
        <w:tab/>
      </w:r>
      <w:r w:rsidRPr="00A30459" w:rsidR="00642200">
        <w:t xml:space="preserve">Defendant </w:t>
      </w:r>
      <w:r w:rsidRPr="00A30459" w:rsidR="00AA2A5C">
        <w:t xml:space="preserve">Raul </w:t>
      </w:r>
      <w:r w:rsidR="00BE291F">
        <w:t xml:space="preserve">Osuna </w:t>
      </w:r>
      <w:r w:rsidRPr="00A30459" w:rsidR="00AA2A5C">
        <w:t>Guerrero</w:t>
      </w:r>
      <w:r w:rsidRPr="00A30459" w:rsidR="003D57F3">
        <w:t xml:space="preserve"> was arrested </w:t>
      </w:r>
      <w:r w:rsidR="0009622B">
        <w:t>in</w:t>
      </w:r>
      <w:r w:rsidRPr="00A30459" w:rsidR="00D84A58">
        <w:t xml:space="preserve"> 2014 </w:t>
      </w:r>
      <w:r w:rsidRPr="00A30459" w:rsidR="007404B5">
        <w:t xml:space="preserve">for violating a no-contact protective order after he refused to leave </w:t>
      </w:r>
      <w:r w:rsidRPr="00A30459">
        <w:t>his</w:t>
      </w:r>
      <w:r w:rsidRPr="00A30459" w:rsidR="007404B5">
        <w:t xml:space="preserve"> daughter’s </w:t>
      </w:r>
      <w:r w:rsidRPr="00A30459" w:rsidR="00751A22">
        <w:t xml:space="preserve">apartment.  </w:t>
      </w:r>
      <w:r w:rsidRPr="00A30459" w:rsidR="00F303DD">
        <w:t>When o</w:t>
      </w:r>
      <w:r w:rsidRPr="00A30459" w:rsidR="00475553">
        <w:t>ne of the arresting officers searched Guerrero</w:t>
      </w:r>
      <w:r w:rsidRPr="00A30459" w:rsidR="00F303DD">
        <w:t xml:space="preserve">, he </w:t>
      </w:r>
      <w:r w:rsidRPr="00A30459" w:rsidR="00475553">
        <w:t xml:space="preserve">found a </w:t>
      </w:r>
      <w:r w:rsidRPr="00A30459" w:rsidR="00D40BC7">
        <w:t xml:space="preserve">wallet in </w:t>
      </w:r>
      <w:r w:rsidRPr="00A30459" w:rsidR="00F303DD">
        <w:t>Guerrero’s</w:t>
      </w:r>
      <w:r w:rsidRPr="00A30459" w:rsidR="00D40BC7">
        <w:t xml:space="preserve"> jacket</w:t>
      </w:r>
      <w:r w:rsidRPr="00A30459" w:rsidR="00C70350">
        <w:t xml:space="preserve"> and </w:t>
      </w:r>
      <w:r w:rsidRPr="00A30459" w:rsidR="002D6327">
        <w:t xml:space="preserve">placed </w:t>
      </w:r>
      <w:r w:rsidRPr="00A30459" w:rsidR="00C70350">
        <w:t xml:space="preserve">it </w:t>
      </w:r>
      <w:r w:rsidRPr="00A30459" w:rsidR="002D6327">
        <w:t xml:space="preserve">in a plastic bag </w:t>
      </w:r>
      <w:r w:rsidRPr="00A30459" w:rsidR="009C1CFC">
        <w:t xml:space="preserve">along </w:t>
      </w:r>
      <w:r w:rsidRPr="00A30459" w:rsidR="002D6327">
        <w:t xml:space="preserve">with Guerrero’s other personal </w:t>
      </w:r>
      <w:r w:rsidRPr="00A30459" w:rsidR="00C70350">
        <w:t>belongings</w:t>
      </w:r>
      <w:r w:rsidRPr="00A30459" w:rsidR="002D6327">
        <w:t>.</w:t>
      </w:r>
      <w:r w:rsidRPr="00A30459" w:rsidR="00ED47D6">
        <w:t xml:space="preserve"> </w:t>
      </w:r>
      <w:r w:rsidRPr="00A30459" w:rsidR="00573EC6">
        <w:t xml:space="preserve"> </w:t>
      </w:r>
      <w:r w:rsidRPr="00A30459" w:rsidR="004C030A">
        <w:t xml:space="preserve">Guerrero was booked into Santa Clara County jail </w:t>
      </w:r>
      <w:r w:rsidRPr="00A30459" w:rsidR="00B02244">
        <w:t>that</w:t>
      </w:r>
      <w:r w:rsidRPr="00A30459" w:rsidR="004C030A">
        <w:t xml:space="preserve"> same day, </w:t>
      </w:r>
      <w:r w:rsidRPr="00A30459" w:rsidR="0029293B">
        <w:t xml:space="preserve">where </w:t>
      </w:r>
      <w:r w:rsidRPr="00A30459" w:rsidR="00B02244">
        <w:t xml:space="preserve">a corrections officer inventoried his </w:t>
      </w:r>
      <w:r w:rsidR="006804F2">
        <w:t>possessions</w:t>
      </w:r>
      <w:r w:rsidRPr="00A30459" w:rsidR="00B02244">
        <w:t>.</w:t>
      </w:r>
      <w:r w:rsidRPr="00A30459" w:rsidR="00622A53">
        <w:t xml:space="preserve">  </w:t>
      </w:r>
      <w:r w:rsidRPr="00A30459" w:rsidR="00B02244">
        <w:t>Inside Guerrero’s wallet</w:t>
      </w:r>
      <w:r w:rsidRPr="00A30459" w:rsidR="006358FA">
        <w:t xml:space="preserve">, the officer found </w:t>
      </w:r>
      <w:r w:rsidRPr="00A30459" w:rsidR="003A453F">
        <w:t>a driver’s license belonging to another person, a benefits card belonging to another person, a counterfeit $50 bill</w:t>
      </w:r>
      <w:r w:rsidRPr="00A30459" w:rsidR="00B36E3B">
        <w:t>,</w:t>
      </w:r>
      <w:r w:rsidRPr="00A30459" w:rsidR="007D5746">
        <w:t xml:space="preserve"> a check</w:t>
      </w:r>
      <w:r w:rsidRPr="00A30459" w:rsidR="00A958BD">
        <w:t xml:space="preserve"> from </w:t>
      </w:r>
      <w:r w:rsidRPr="00A30459" w:rsidR="004A201E">
        <w:t>the St. Thomas More Society of Santa Clara Count</w:t>
      </w:r>
      <w:r w:rsidRPr="00A30459" w:rsidR="00A00C11">
        <w:t>y</w:t>
      </w:r>
      <w:r w:rsidRPr="00A30459" w:rsidR="007D5746">
        <w:t>, and four personal checks neither owned by Guerrero nor made out to him.</w:t>
      </w:r>
    </w:p>
    <w:p w:rsidR="000F3D5F" w:rsidRPr="00A30459" w:rsidP="00A30459">
      <w:pPr>
        <w:tabs>
          <w:tab w:val="left" w:pos="720"/>
          <w:tab w:val="left" w:pos="1440"/>
        </w:tabs>
      </w:pPr>
      <w:r w:rsidRPr="00A30459">
        <w:tab/>
        <w:t xml:space="preserve">Based on Guerrero’s conduct and the items found in his wallet, he </w:t>
      </w:r>
      <w:r w:rsidRPr="00A30459" w:rsidR="008A3BD7">
        <w:t xml:space="preserve">was charged with </w:t>
      </w:r>
      <w:r w:rsidRPr="00A30459" w:rsidR="000A4980">
        <w:t>one</w:t>
      </w:r>
      <w:r w:rsidRPr="00A30459" w:rsidR="00372D28">
        <w:t xml:space="preserve"> misdemeanor count of possessing </w:t>
      </w:r>
      <w:r w:rsidR="00DE5C56">
        <w:t xml:space="preserve">the </w:t>
      </w:r>
      <w:r w:rsidRPr="00A30459" w:rsidR="00372D28">
        <w:t>personal identifying information of another</w:t>
      </w:r>
      <w:r w:rsidRPr="00A30459" w:rsidR="000B692A">
        <w:t xml:space="preserve"> person</w:t>
      </w:r>
      <w:r w:rsidRPr="00A30459" w:rsidR="000A4980">
        <w:t xml:space="preserve"> </w:t>
      </w:r>
      <w:r w:rsidRPr="00A30459" w:rsidR="00622A53">
        <w:t>(§</w:t>
      </w:r>
      <w:r w:rsidRPr="00A30459" w:rsidR="00642200">
        <w:t> </w:t>
      </w:r>
      <w:r w:rsidRPr="00A30459" w:rsidR="008A3BD7">
        <w:t xml:space="preserve">530.5, </w:t>
      </w:r>
      <w:r w:rsidRPr="00A30459" w:rsidR="00622A53">
        <w:t>subd.</w:t>
      </w:r>
      <w:r w:rsidRPr="00A30459" w:rsidR="00642200">
        <w:t> </w:t>
      </w:r>
      <w:r w:rsidRPr="00A30459" w:rsidR="008A3BD7">
        <w:t>(c)(1)</w:t>
      </w:r>
      <w:r w:rsidRPr="00A30459" w:rsidR="00622A53">
        <w:t>)</w:t>
      </w:r>
      <w:r w:rsidRPr="00A30459" w:rsidR="00642200">
        <w:t>,</w:t>
      </w:r>
      <w:r w:rsidRPr="00A30459" w:rsidR="000A4980">
        <w:t xml:space="preserve"> one felony count of concealing or withholding stolen property </w:t>
      </w:r>
      <w:r w:rsidRPr="00A30459" w:rsidR="00622A53">
        <w:t>(§</w:t>
      </w:r>
      <w:r w:rsidRPr="00A30459" w:rsidR="00642200">
        <w:t> </w:t>
      </w:r>
      <w:r w:rsidRPr="00A30459" w:rsidR="000A4980">
        <w:t xml:space="preserve">496, </w:t>
      </w:r>
      <w:r w:rsidRPr="00A30459" w:rsidR="00622A53">
        <w:t>subd.</w:t>
      </w:r>
      <w:r w:rsidRPr="00A30459" w:rsidR="00642200">
        <w:t> </w:t>
      </w:r>
      <w:r w:rsidRPr="00A30459" w:rsidR="000A4980">
        <w:t>(a)</w:t>
      </w:r>
      <w:r w:rsidRPr="00A30459" w:rsidR="00622A53">
        <w:t>)</w:t>
      </w:r>
      <w:r w:rsidRPr="00A30459" w:rsidR="00642200">
        <w:t>,</w:t>
      </w:r>
      <w:r w:rsidRPr="00A30459" w:rsidR="000A4980">
        <w:t xml:space="preserve"> one misdemeanor count </w:t>
      </w:r>
      <w:r w:rsidRPr="00A30459" w:rsidR="00CC7022">
        <w:t xml:space="preserve">of contempt of court </w:t>
      </w:r>
      <w:r w:rsidRPr="00A30459" w:rsidR="00622A53">
        <w:t>(§</w:t>
      </w:r>
      <w:r w:rsidRPr="00A30459" w:rsidR="00642200">
        <w:t> </w:t>
      </w:r>
      <w:r w:rsidRPr="00A30459" w:rsidR="00CC7022">
        <w:t>166, subd</w:t>
      </w:r>
      <w:r w:rsidRPr="00A30459" w:rsidR="00622A53">
        <w:t>.</w:t>
      </w:r>
      <w:r w:rsidRPr="00A30459" w:rsidR="00642200">
        <w:t> </w:t>
      </w:r>
      <w:r w:rsidRPr="00A30459" w:rsidR="00CC7022">
        <w:t>(a)(4)</w:t>
      </w:r>
      <w:r w:rsidRPr="00A30459" w:rsidR="00622A53">
        <w:t>)</w:t>
      </w:r>
      <w:r w:rsidRPr="00A30459" w:rsidR="00642200">
        <w:t>,</w:t>
      </w:r>
      <w:r w:rsidRPr="00A30459" w:rsidR="00CC7022">
        <w:t xml:space="preserve"> and one felony count of forgery by possess</w:t>
      </w:r>
      <w:r w:rsidRPr="00A30459" w:rsidR="00E22732">
        <w:t>ion</w:t>
      </w:r>
      <w:r w:rsidRPr="00A30459" w:rsidR="00CC7022">
        <w:t xml:space="preserve"> of fictitious bill </w:t>
      </w:r>
      <w:r w:rsidRPr="00A30459" w:rsidR="00622A53">
        <w:t>(§</w:t>
      </w:r>
      <w:r w:rsidRPr="00A30459" w:rsidR="00642200">
        <w:t> </w:t>
      </w:r>
      <w:r w:rsidRPr="00A30459" w:rsidR="00CC7022">
        <w:t>476</w:t>
      </w:r>
      <w:r w:rsidRPr="00A30459" w:rsidR="00622A53">
        <w:t>)</w:t>
      </w:r>
      <w:r w:rsidRPr="00A30459" w:rsidR="00CC7022">
        <w:t>.</w:t>
      </w:r>
      <w:r w:rsidRPr="00A30459" w:rsidR="00833ACB">
        <w:t xml:space="preserve"> </w:t>
      </w:r>
      <w:r w:rsidRPr="00A30459" w:rsidR="00707DBC">
        <w:t xml:space="preserve"> </w:t>
      </w:r>
      <w:r w:rsidRPr="00A30459" w:rsidR="00C65D96">
        <w:t xml:space="preserve">The prosecution also alleged that Guerrero had a prior robbery conviction </w:t>
      </w:r>
      <w:r w:rsidRPr="00A30459" w:rsidR="00642200">
        <w:t xml:space="preserve">that </w:t>
      </w:r>
      <w:r w:rsidRPr="00A30459" w:rsidR="00C65D96">
        <w:t xml:space="preserve">counted as a strike within the meaning of the </w:t>
      </w:r>
      <w:r w:rsidR="00BE291F">
        <w:t>“</w:t>
      </w:r>
      <w:r w:rsidRPr="00A30459" w:rsidR="00C65D96">
        <w:t>Three Strikes</w:t>
      </w:r>
      <w:r w:rsidR="00BE291F">
        <w:t>”</w:t>
      </w:r>
      <w:r w:rsidRPr="00A30459" w:rsidR="00C65D96">
        <w:t xml:space="preserve"> law.  </w:t>
      </w:r>
      <w:r w:rsidRPr="00A30459" w:rsidR="00E91822">
        <w:t>(§§</w:t>
      </w:r>
      <w:r w:rsidRPr="00A30459" w:rsidR="00642200">
        <w:t> </w:t>
      </w:r>
      <w:r w:rsidRPr="00A30459" w:rsidR="00E91822">
        <w:t>667, subds.</w:t>
      </w:r>
      <w:r w:rsidRPr="00A30459" w:rsidR="00642200">
        <w:t> </w:t>
      </w:r>
      <w:r w:rsidRPr="00A30459" w:rsidR="00E91822">
        <w:t>(b)</w:t>
      </w:r>
      <w:r w:rsidRPr="00A30459" w:rsidR="00A0179D">
        <w:t>–</w:t>
      </w:r>
      <w:r w:rsidRPr="00A30459" w:rsidR="00E91822">
        <w:t>(i), 1170.12.)</w:t>
      </w:r>
      <w:r w:rsidRPr="00A30459" w:rsidR="00C70A5D">
        <w:t xml:space="preserve">  </w:t>
      </w:r>
      <w:r w:rsidRPr="00A30459" w:rsidR="00DE3869">
        <w:t>A jury found Guerrero guilty of all charges</w:t>
      </w:r>
      <w:r w:rsidRPr="00A30459" w:rsidR="00642200">
        <w:t>,</w:t>
      </w:r>
      <w:r w:rsidRPr="00A30459" w:rsidR="00DE3869">
        <w:t xml:space="preserve"> and the trial court found the strike allegation true.</w:t>
      </w:r>
    </w:p>
    <w:p w:rsidR="00A06E7C" w:rsidRPr="00A30459" w:rsidP="00A30459">
      <w:pPr>
        <w:tabs>
          <w:tab w:val="left" w:pos="720"/>
          <w:tab w:val="left" w:pos="1440"/>
        </w:tabs>
      </w:pPr>
      <w:r w:rsidRPr="00A30459">
        <w:tab/>
      </w:r>
      <w:r w:rsidRPr="00A30459" w:rsidR="00296171">
        <w:t xml:space="preserve">After Guerrero was convicted but before he was sentenced, </w:t>
      </w:r>
      <w:r w:rsidRPr="00A30459" w:rsidR="00844BDC">
        <w:t xml:space="preserve">the electorate </w:t>
      </w:r>
      <w:r w:rsidRPr="00A30459" w:rsidR="002A2A79">
        <w:t>approved</w:t>
      </w:r>
      <w:r w:rsidRPr="00A30459" w:rsidR="00844BDC">
        <w:t xml:space="preserve"> Proposition 47</w:t>
      </w:r>
      <w:r w:rsidR="00BE291F">
        <w:t xml:space="preserve"> in November 2014</w:t>
      </w:r>
      <w:r w:rsidRPr="00A30459" w:rsidR="00844BDC">
        <w:t>, the Safe Neighborhoods and Schools Act,</w:t>
      </w:r>
      <w:r w:rsidRPr="00A30459" w:rsidR="00D47E21">
        <w:t xml:space="preserve"> which reduced the punishment for </w:t>
      </w:r>
      <w:r w:rsidRPr="00A30459" w:rsidR="00707DBC">
        <w:t>certain</w:t>
      </w:r>
      <w:r w:rsidRPr="00A30459" w:rsidR="00D47E21">
        <w:t xml:space="preserve"> crimes previously punish</w:t>
      </w:r>
      <w:r w:rsidRPr="00A30459" w:rsidR="00E22732">
        <w:t>able</w:t>
      </w:r>
      <w:r w:rsidRPr="00A30459" w:rsidR="00D47E21">
        <w:t xml:space="preserve"> as felonies.</w:t>
      </w:r>
      <w:r w:rsidRPr="00A30459" w:rsidR="00707DBC">
        <w:t xml:space="preserve">  </w:t>
      </w:r>
      <w:r w:rsidRPr="00A30459" w:rsidR="00D654D0">
        <w:t>At sentencing</w:t>
      </w:r>
      <w:r w:rsidRPr="00A30459" w:rsidR="0029277B">
        <w:t xml:space="preserve">, the trial court </w:t>
      </w:r>
      <w:r w:rsidRPr="00A30459" w:rsidR="00595C1A">
        <w:t>found that Proposition 47 reduced Guerrero’s felony stolen property conviction (§ 496, subd. (a)) to a misdemeanor</w:t>
      </w:r>
      <w:r w:rsidRPr="00A30459" w:rsidR="00642200">
        <w:t>.  B</w:t>
      </w:r>
      <w:r w:rsidRPr="00A30459" w:rsidR="00935A05">
        <w:t xml:space="preserve">ut </w:t>
      </w:r>
      <w:r w:rsidRPr="00A30459" w:rsidR="00642200">
        <w:t xml:space="preserve">the court </w:t>
      </w:r>
      <w:r w:rsidRPr="00A30459" w:rsidR="00935A05">
        <w:t>did not make the same finding with respect to his felony forgery conviction</w:t>
      </w:r>
      <w:r w:rsidRPr="00A30459" w:rsidR="00633895">
        <w:t xml:space="preserve"> (§ </w:t>
      </w:r>
      <w:r w:rsidRPr="00A30459" w:rsidR="005A57D9">
        <w:t>476)</w:t>
      </w:r>
      <w:r w:rsidRPr="00A30459" w:rsidR="00935A05">
        <w:t>.</w:t>
      </w:r>
      <w:r w:rsidRPr="00A30459" w:rsidR="00CF6B46">
        <w:t xml:space="preserve">  </w:t>
      </w:r>
      <w:r w:rsidRPr="00A30459" w:rsidR="00786910">
        <w:t xml:space="preserve">The court sentenced </w:t>
      </w:r>
      <w:r w:rsidRPr="00A30459" w:rsidR="00732DD7">
        <w:t>Guerrero</w:t>
      </w:r>
      <w:r w:rsidRPr="00A30459" w:rsidR="00786910">
        <w:t xml:space="preserve"> to a four-year term </w:t>
      </w:r>
      <w:r w:rsidRPr="00A30459" w:rsidR="009D5F56">
        <w:t xml:space="preserve">for </w:t>
      </w:r>
      <w:r w:rsidRPr="00A30459" w:rsidR="0054778F">
        <w:t xml:space="preserve">forgery </w:t>
      </w:r>
      <w:r w:rsidRPr="00A30459" w:rsidR="00786910">
        <w:t xml:space="preserve">and to two-month terms </w:t>
      </w:r>
      <w:r w:rsidRPr="00A30459" w:rsidR="0054778F">
        <w:t>for each remaining count</w:t>
      </w:r>
      <w:r w:rsidR="00E71E72">
        <w:t>, all running concurrently</w:t>
      </w:r>
      <w:r w:rsidRPr="00A30459" w:rsidR="00786910">
        <w:t>.</w:t>
      </w:r>
      <w:r w:rsidRPr="00A30459" w:rsidR="00DA6167">
        <w:t xml:space="preserve"> </w:t>
      </w:r>
    </w:p>
    <w:p w:rsidR="00C01270" w:rsidRPr="00A30459" w:rsidP="00A30459">
      <w:pPr>
        <w:tabs>
          <w:tab w:val="left" w:pos="720"/>
          <w:tab w:val="left" w:pos="1440"/>
        </w:tabs>
      </w:pPr>
      <w:r w:rsidRPr="00A30459">
        <w:tab/>
        <w:t xml:space="preserve">On appeal, Guerrero argued, among other things, </w:t>
      </w:r>
      <w:r w:rsidRPr="00A30459" w:rsidR="00DF7F79">
        <w:t>that section 473(b) reduced his forgery conviction to a misdemeanor because the counterfeit bill on which his conviction was based was less than $950.</w:t>
      </w:r>
      <w:r w:rsidRPr="00A30459" w:rsidR="008A79AA">
        <w:t xml:space="preserve">  </w:t>
      </w:r>
      <w:r w:rsidRPr="00A30459" w:rsidR="00D03425">
        <w:t xml:space="preserve">The </w:t>
      </w:r>
      <w:r w:rsidRPr="00A30459" w:rsidR="00A0179D">
        <w:t>Court of Appeal</w:t>
      </w:r>
      <w:r w:rsidRPr="00A30459" w:rsidR="00D03425">
        <w:t xml:space="preserve"> </w:t>
      </w:r>
      <w:r w:rsidRPr="00A30459" w:rsidR="008A79AA">
        <w:t xml:space="preserve">rejected this argument and </w:t>
      </w:r>
      <w:r w:rsidRPr="00A30459" w:rsidR="00D03425">
        <w:t xml:space="preserve">affirmed </w:t>
      </w:r>
      <w:r w:rsidRPr="00A30459" w:rsidR="00211DE5">
        <w:t xml:space="preserve">Guerrero’s sentence </w:t>
      </w:r>
      <w:r w:rsidRPr="00A30459" w:rsidR="00621E9C">
        <w:t>in an unpublished opinion</w:t>
      </w:r>
      <w:r w:rsidRPr="00A30459" w:rsidR="007B56C0">
        <w:t xml:space="preserve">, reasoning that </w:t>
      </w:r>
      <w:r w:rsidRPr="00A30459" w:rsidR="008A79AA">
        <w:t>the sentence reduction for forgery in section 473(b) does not apply</w:t>
      </w:r>
      <w:r w:rsidRPr="00A30459" w:rsidR="00D33288">
        <w:t xml:space="preserve"> </w:t>
      </w:r>
      <w:r w:rsidRPr="00A30459" w:rsidR="008A79AA">
        <w:t>“</w:t>
      </w:r>
      <w:r w:rsidRPr="00A30459" w:rsidR="00D33288">
        <w:t>where a defendant is concurrently convicted of both forgery and identity theft</w:t>
      </w:r>
      <w:r w:rsidRPr="00A30459" w:rsidR="00ED061C">
        <w:t xml:space="preserve"> </w:t>
      </w:r>
      <w:r w:rsidRPr="00A30459" w:rsidR="002C35BF">
        <w:t>[</w:t>
      </w:r>
      <w:r w:rsidRPr="00A30459" w:rsidR="00ED061C">
        <w:t>which</w:t>
      </w:r>
      <w:r w:rsidRPr="00A30459" w:rsidR="002C35BF">
        <w:t>]</w:t>
      </w:r>
      <w:r w:rsidRPr="00A30459" w:rsidR="00ED061C">
        <w:t xml:space="preserve"> is what occurred in this </w:t>
      </w:r>
      <w:r w:rsidRPr="00A30459" w:rsidR="0098339B">
        <w:t>case</w:t>
      </w:r>
      <w:r w:rsidRPr="00A30459" w:rsidR="00ED061C">
        <w:t>.</w:t>
      </w:r>
      <w:r w:rsidRPr="00A30459" w:rsidR="00793B37">
        <w:t>”</w:t>
      </w:r>
    </w:p>
    <w:p w:rsidR="00D15952" w:rsidRPr="00A30459" w:rsidP="00A30459">
      <w:pPr>
        <w:tabs>
          <w:tab w:val="left" w:pos="720"/>
          <w:tab w:val="left" w:pos="1440"/>
        </w:tabs>
      </w:pPr>
      <w:r w:rsidRPr="00A30459">
        <w:tab/>
      </w:r>
      <w:r w:rsidRPr="00A30459" w:rsidR="000907B1">
        <w:t xml:space="preserve">After the </w:t>
      </w:r>
      <w:r w:rsidRPr="00A30459" w:rsidR="00A0179D">
        <w:t>Court of Appeal</w:t>
      </w:r>
      <w:r w:rsidRPr="00A30459" w:rsidR="000907B1">
        <w:t xml:space="preserve"> affirmed</w:t>
      </w:r>
      <w:r w:rsidRPr="00A30459" w:rsidR="00FC11A2">
        <w:t xml:space="preserve"> Guerrero’s </w:t>
      </w:r>
      <w:r w:rsidRPr="00A30459">
        <w:t>sentence</w:t>
      </w:r>
      <w:r w:rsidRPr="00A30459" w:rsidR="000907B1">
        <w:t xml:space="preserve">, </w:t>
      </w:r>
      <w:r w:rsidRPr="00A30459" w:rsidR="00FC11A2">
        <w:t xml:space="preserve">we </w:t>
      </w:r>
      <w:r w:rsidRPr="00A30459" w:rsidR="00642200">
        <w:t xml:space="preserve">held in </w:t>
      </w:r>
      <w:r w:rsidRPr="00A30459" w:rsidR="006052A7">
        <w:rPr>
          <w:i/>
        </w:rPr>
        <w:t>Gonzale</w:t>
      </w:r>
      <w:r w:rsidRPr="00A30459" w:rsidR="00935E7E">
        <w:rPr>
          <w:i/>
        </w:rPr>
        <w:t>s</w:t>
      </w:r>
      <w:r w:rsidRPr="00A30459" w:rsidR="000B70E6">
        <w:t xml:space="preserve"> that a forgery conviction </w:t>
      </w:r>
      <w:r w:rsidRPr="00A30459" w:rsidR="00295252">
        <w:t>under section 473</w:t>
      </w:r>
      <w:r w:rsidR="00295252">
        <w:t xml:space="preserve"> </w:t>
      </w:r>
      <w:r w:rsidRPr="00A30459" w:rsidR="000B70E6">
        <w:t>not exceeding $950 must be</w:t>
      </w:r>
      <w:r w:rsidRPr="00A30459" w:rsidR="009903C5">
        <w:t xml:space="preserve"> punished as</w:t>
      </w:r>
      <w:r w:rsidRPr="00A30459" w:rsidR="000B70E6">
        <w:t xml:space="preserve"> a misdemeanor unless </w:t>
      </w:r>
      <w:r w:rsidRPr="00A30459" w:rsidR="001F2331">
        <w:t xml:space="preserve">the underlying conduct </w:t>
      </w:r>
      <w:r w:rsidRPr="00A30459" w:rsidR="003067AC">
        <w:t xml:space="preserve">was </w:t>
      </w:r>
      <w:r w:rsidRPr="00A30459" w:rsidR="001F2331">
        <w:t>committed</w:t>
      </w:r>
      <w:r w:rsidRPr="00A30459" w:rsidR="003067AC">
        <w:t xml:space="preserve"> “</w:t>
      </w:r>
      <w:r w:rsidR="005D5D36">
        <w:t> ‘</w:t>
      </w:r>
      <w:r w:rsidRPr="00A30459" w:rsidR="003067AC">
        <w:t>in connection with</w:t>
      </w:r>
      <w:r w:rsidR="005D5D36">
        <w:t>’ </w:t>
      </w:r>
      <w:r w:rsidRPr="00A30459" w:rsidR="003067AC">
        <w:t xml:space="preserve">” </w:t>
      </w:r>
      <w:r w:rsidRPr="00A30459" w:rsidR="001F2331">
        <w:t xml:space="preserve">conduct underlying </w:t>
      </w:r>
      <w:r w:rsidRPr="00A30459" w:rsidR="006127BF">
        <w:t>an identity theft conviction.</w:t>
      </w:r>
      <w:r w:rsidRPr="00A30459" w:rsidR="00642200">
        <w:t xml:space="preserve">  (</w:t>
      </w:r>
      <w:r w:rsidRPr="00A30459" w:rsidR="00642200">
        <w:rPr>
          <w:i/>
        </w:rPr>
        <w:t>Gonzales</w:t>
      </w:r>
      <w:r w:rsidRPr="00A30459" w:rsidR="00642200">
        <w:t xml:space="preserve">, </w:t>
      </w:r>
      <w:r w:rsidRPr="00A30459" w:rsidR="00642200">
        <w:rPr>
          <w:i/>
        </w:rPr>
        <w:t>supra</w:t>
      </w:r>
      <w:r w:rsidRPr="00A30459" w:rsidR="00642200">
        <w:t>, 6 Cal.5th at p. </w:t>
      </w:r>
      <w:r w:rsidRPr="00A30459" w:rsidR="00E1342C">
        <w:t xml:space="preserve">53.)  </w:t>
      </w:r>
      <w:r w:rsidRPr="00A30459" w:rsidR="00935E7E">
        <w:t>W</w:t>
      </w:r>
      <w:r w:rsidRPr="00A30459" w:rsidR="003E71B9">
        <w:t xml:space="preserve">e </w:t>
      </w:r>
      <w:r w:rsidRPr="00A30459">
        <w:t xml:space="preserve">then </w:t>
      </w:r>
      <w:r w:rsidRPr="00A30459" w:rsidR="003E71B9">
        <w:t>granted Guerrero’s petition for review and tran</w:t>
      </w:r>
      <w:r w:rsidRPr="00A30459" w:rsidR="00D84378">
        <w:t xml:space="preserve">sferred </w:t>
      </w:r>
      <w:r w:rsidRPr="00A30459" w:rsidR="005D53F9">
        <w:t>his case</w:t>
      </w:r>
      <w:r w:rsidRPr="00A30459" w:rsidR="00D84378">
        <w:t xml:space="preserve"> to the C</w:t>
      </w:r>
      <w:r w:rsidRPr="00A30459" w:rsidR="005D53F9">
        <w:t>ourt of Appeal</w:t>
      </w:r>
      <w:r w:rsidRPr="00A30459" w:rsidR="00D84378">
        <w:t xml:space="preserve"> with directions to vacate its decision and to reconsider Guerrero’s appeal </w:t>
      </w:r>
      <w:r w:rsidRPr="00A30459" w:rsidR="00935E7E">
        <w:t>in light of</w:t>
      </w:r>
      <w:r w:rsidRPr="00A30459" w:rsidR="005D53F9">
        <w:rPr>
          <w:i/>
        </w:rPr>
        <w:t xml:space="preserve"> </w:t>
      </w:r>
      <w:r w:rsidRPr="00A30459" w:rsidR="001F2331">
        <w:rPr>
          <w:i/>
        </w:rPr>
        <w:t>Gonzales</w:t>
      </w:r>
      <w:r w:rsidRPr="00A30459" w:rsidR="00935E7E">
        <w:t>.</w:t>
      </w:r>
      <w:r w:rsidRPr="00A30459" w:rsidR="008443DA">
        <w:t xml:space="preserve"> </w:t>
      </w:r>
    </w:p>
    <w:p w:rsidR="00E614B9" w:rsidRPr="00A30459" w:rsidP="00A30459">
      <w:pPr>
        <w:tabs>
          <w:tab w:val="left" w:pos="720"/>
          <w:tab w:val="left" w:pos="1440"/>
        </w:tabs>
      </w:pPr>
      <w:r w:rsidRPr="00A30459">
        <w:tab/>
      </w:r>
      <w:r w:rsidRPr="00A30459" w:rsidR="008F4B5E">
        <w:t>On reconsideration, t</w:t>
      </w:r>
      <w:r w:rsidRPr="00A30459" w:rsidR="00471AD3">
        <w:t xml:space="preserve">he </w:t>
      </w:r>
      <w:r w:rsidRPr="00A30459" w:rsidR="00A0179D">
        <w:t>Court of Appeal</w:t>
      </w:r>
      <w:r w:rsidRPr="00A30459" w:rsidR="00471AD3">
        <w:t xml:space="preserve"> again affirmed Guerrero’s </w:t>
      </w:r>
      <w:r w:rsidRPr="00A30459" w:rsidR="008F4B5E">
        <w:t>forgery sentence</w:t>
      </w:r>
      <w:r w:rsidRPr="00A30459">
        <w:t>,</w:t>
      </w:r>
      <w:r w:rsidRPr="00A30459" w:rsidR="004A7816">
        <w:t xml:space="preserve"> </w:t>
      </w:r>
      <w:r w:rsidRPr="00A30459">
        <w:t xml:space="preserve">concluding </w:t>
      </w:r>
      <w:r w:rsidRPr="00A30459" w:rsidR="004A7816">
        <w:t xml:space="preserve">that </w:t>
      </w:r>
      <w:r w:rsidRPr="00A30459" w:rsidR="004A7816">
        <w:rPr>
          <w:i/>
        </w:rPr>
        <w:t xml:space="preserve">Gonzales </w:t>
      </w:r>
      <w:r w:rsidRPr="00A30459" w:rsidR="004A7816">
        <w:t>did not change the outcome</w:t>
      </w:r>
      <w:r w:rsidRPr="00A30459" w:rsidR="000F2740">
        <w:t>.</w:t>
      </w:r>
      <w:r w:rsidRPr="00A30459" w:rsidR="004A7816">
        <w:t xml:space="preserve"> </w:t>
      </w:r>
      <w:r w:rsidRPr="00A30459" w:rsidR="009D1C29">
        <w:t xml:space="preserve"> </w:t>
      </w:r>
      <w:r w:rsidRPr="00A30459" w:rsidR="009903C5">
        <w:t xml:space="preserve">The court </w:t>
      </w:r>
      <w:r w:rsidRPr="00A30459" w:rsidR="000F2740">
        <w:t xml:space="preserve">held that </w:t>
      </w:r>
      <w:r w:rsidRPr="00A30459" w:rsidR="004A7816">
        <w:t xml:space="preserve">there was a meaningful connection between Guerrero’s forgery and identity theft convictions </w:t>
      </w:r>
      <w:r w:rsidRPr="00A30459" w:rsidR="00621548">
        <w:t xml:space="preserve">because he </w:t>
      </w:r>
      <w:r w:rsidRPr="00A30459" w:rsidR="008D18F5">
        <w:t>“contemporaneously possessed another person’s personal identifying information and a fictitious $50 bill.”</w:t>
      </w:r>
      <w:r w:rsidRPr="00A30459" w:rsidR="000F2740">
        <w:t xml:space="preserve">  </w:t>
      </w:r>
      <w:r w:rsidRPr="00A30459">
        <w:t>We granted review.</w:t>
      </w:r>
    </w:p>
    <w:p w:rsidR="000F2740" w:rsidRPr="00A30459" w:rsidP="00602CA6">
      <w:pPr>
        <w:tabs>
          <w:tab w:val="left" w:pos="1440"/>
        </w:tabs>
        <w:jc w:val="center"/>
      </w:pPr>
      <w:r w:rsidRPr="00A30459">
        <w:rPr>
          <w:b/>
        </w:rPr>
        <w:t>II.</w:t>
      </w:r>
    </w:p>
    <w:p w:rsidR="007F0137" w:rsidRPr="00A30459" w:rsidP="00A30459">
      <w:pPr>
        <w:tabs>
          <w:tab w:val="left" w:pos="720"/>
        </w:tabs>
      </w:pPr>
      <w:r w:rsidRPr="00A30459">
        <w:tab/>
      </w:r>
      <w:r w:rsidRPr="00A30459" w:rsidR="002368DF">
        <w:t xml:space="preserve">Forgery is a wobbler crime punishable either as a felony or </w:t>
      </w:r>
      <w:r w:rsidRPr="00A30459" w:rsidR="009903C5">
        <w:t xml:space="preserve">as </w:t>
      </w:r>
      <w:r w:rsidRPr="00A30459" w:rsidR="002368DF">
        <w:t xml:space="preserve">a misdemeanor. </w:t>
      </w:r>
      <w:r w:rsidRPr="00A30459">
        <w:t xml:space="preserve"> </w:t>
      </w:r>
      <w:r w:rsidRPr="00A30459" w:rsidR="002368DF">
        <w:t>(</w:t>
      </w:r>
      <w:r w:rsidRPr="00A30459">
        <w:t xml:space="preserve">§ 473, subd. (a).)  </w:t>
      </w:r>
      <w:r w:rsidRPr="00A30459" w:rsidR="0011040B">
        <w:t xml:space="preserve">Proposition 47 </w:t>
      </w:r>
      <w:r w:rsidRPr="00A30459" w:rsidR="000F2740">
        <w:t>reduce</w:t>
      </w:r>
      <w:r w:rsidRPr="00A30459" w:rsidR="0011040B">
        <w:t>d</w:t>
      </w:r>
      <w:r w:rsidRPr="00A30459" w:rsidR="000F2740">
        <w:t xml:space="preserve"> forgery offenses to a misdemeanor when the amount in question does not exceed $950.</w:t>
      </w:r>
      <w:r w:rsidRPr="00A30459" w:rsidR="00213166">
        <w:t xml:space="preserve">  It</w:t>
      </w:r>
      <w:r w:rsidRPr="00A30459" w:rsidR="00F44391">
        <w:t xml:space="preserve"> </w:t>
      </w:r>
      <w:r w:rsidRPr="00A30459" w:rsidR="0011040B">
        <w:t xml:space="preserve">added section 473(b), which </w:t>
      </w:r>
      <w:r w:rsidRPr="00A30459" w:rsidR="00F44391">
        <w:t xml:space="preserve">provides that </w:t>
      </w:r>
      <w:r w:rsidRPr="00A30459" w:rsidR="003C5FA2">
        <w:t>“forgery relating to a check, bond, bank bill, note, cashier’s check, traveler’s check, or money order, where the value</w:t>
      </w:r>
      <w:r w:rsidRPr="00A30459" w:rsidR="00F44391">
        <w:t xml:space="preserve"> of the</w:t>
      </w:r>
      <w:r w:rsidRPr="00A30459" w:rsidR="003C5FA2">
        <w:t xml:space="preserve"> [instrument] does not exceed nine hundred fifty dollars ($950)</w:t>
      </w:r>
      <w:r w:rsidRPr="00A30459" w:rsidR="009903C5">
        <w:t>,</w:t>
      </w:r>
      <w:r w:rsidRPr="00A30459" w:rsidR="00F44391">
        <w:t xml:space="preserve"> shall be punishable by imprisonment in a county jail for not more than one year</w:t>
      </w:r>
      <w:r w:rsidRPr="00A30459" w:rsidR="009903C5">
        <w:t xml:space="preserve"> . . . .</w:t>
      </w:r>
      <w:r w:rsidRPr="00A30459" w:rsidR="00F44391">
        <w:t>”</w:t>
      </w:r>
      <w:r w:rsidRPr="00A30459" w:rsidR="009903C5">
        <w:t xml:space="preserve">  </w:t>
      </w:r>
      <w:r w:rsidR="009F4A17">
        <w:t>S</w:t>
      </w:r>
      <w:r w:rsidRPr="00A30459" w:rsidR="009903C5">
        <w:t xml:space="preserve">ection 473(b) goes on to provide </w:t>
      </w:r>
      <w:r w:rsidRPr="00A30459" w:rsidR="000077BB">
        <w:t>two</w:t>
      </w:r>
      <w:r w:rsidRPr="00A30459" w:rsidR="00D32D72">
        <w:t xml:space="preserve"> exceptions</w:t>
      </w:r>
      <w:r w:rsidRPr="00A30459" w:rsidR="009903C5">
        <w:t>:</w:t>
      </w:r>
      <w:r w:rsidRPr="00A30459" w:rsidR="006A2FD6">
        <w:t xml:space="preserve">  </w:t>
      </w:r>
      <w:r w:rsidRPr="00A30459" w:rsidR="009E559C">
        <w:t xml:space="preserve">First, regardless of </w:t>
      </w:r>
      <w:r w:rsidRPr="00A30459" w:rsidR="00A965B7">
        <w:t xml:space="preserve">the </w:t>
      </w:r>
      <w:r w:rsidRPr="00A30459" w:rsidR="009E559C">
        <w:t>value</w:t>
      </w:r>
      <w:r w:rsidRPr="00A30459" w:rsidR="00A965B7">
        <w:t xml:space="preserve"> of the offense</w:t>
      </w:r>
      <w:r w:rsidRPr="00A30459" w:rsidR="009E559C">
        <w:t xml:space="preserve">, forgery may </w:t>
      </w:r>
      <w:r w:rsidRPr="00A30459" w:rsidR="00861CF6">
        <w:t>be</w:t>
      </w:r>
      <w:r w:rsidRPr="00A30459" w:rsidR="00A965B7">
        <w:t xml:space="preserve"> </w:t>
      </w:r>
      <w:r w:rsidRPr="00A30459" w:rsidR="009E559C">
        <w:t xml:space="preserve">punished as a felony </w:t>
      </w:r>
      <w:r w:rsidRPr="00A30459" w:rsidR="00D32D72">
        <w:t>“if that person has one or more prior convictions for an offense specified in clause (iv) of subparagraph (C) of paragraph (2) of subdivision (e) of Section 667 or for an offense requiring registration pursuant to subdivision (c) of Section 290.”</w:t>
      </w:r>
      <w:r w:rsidRPr="00A30459" w:rsidR="00A965B7">
        <w:t xml:space="preserve">  </w:t>
      </w:r>
      <w:r w:rsidRPr="00A30459" w:rsidR="002013FF">
        <w:t xml:space="preserve"> </w:t>
      </w:r>
      <w:r w:rsidRPr="00A30459" w:rsidR="009E559C">
        <w:t xml:space="preserve">Second, section 473(b) does not apply </w:t>
      </w:r>
      <w:r w:rsidRPr="00A30459" w:rsidR="00F44391">
        <w:t>“to any person who is convicted both of forgery and of identity theft, as defined in Section 530.5.”</w:t>
      </w:r>
      <w:r w:rsidRPr="00A30459" w:rsidR="009E559C">
        <w:t xml:space="preserve">  </w:t>
      </w:r>
      <w:r w:rsidRPr="00A30459" w:rsidR="008D3FCA">
        <w:t>T</w:t>
      </w:r>
      <w:r w:rsidRPr="00A30459" w:rsidR="009E559C">
        <w:t>he second exception</w:t>
      </w:r>
      <w:r w:rsidRPr="00A30459" w:rsidR="009903C5">
        <w:t xml:space="preserve"> — </w:t>
      </w:r>
      <w:r w:rsidRPr="00A30459" w:rsidR="006235F0">
        <w:t>the identity theft exception</w:t>
      </w:r>
      <w:r w:rsidRPr="00A30459" w:rsidR="009903C5">
        <w:t xml:space="preserve"> —</w:t>
      </w:r>
      <w:r w:rsidRPr="00A30459" w:rsidR="009E559C">
        <w:t xml:space="preserve"> is at issue in this case.</w:t>
      </w:r>
    </w:p>
    <w:p w:rsidR="00D5484F" w:rsidRPr="00A30459" w:rsidP="00A30459">
      <w:pPr>
        <w:tabs>
          <w:tab w:val="left" w:pos="720"/>
        </w:tabs>
      </w:pPr>
      <w:r w:rsidRPr="00A30459">
        <w:tab/>
      </w:r>
      <w:r w:rsidRPr="00A30459" w:rsidR="00106BE8">
        <w:t>We</w:t>
      </w:r>
      <w:r w:rsidRPr="00A30459" w:rsidR="00FB5689">
        <w:t xml:space="preserve"> recently</w:t>
      </w:r>
      <w:r w:rsidRPr="00A30459" w:rsidR="00106BE8">
        <w:t xml:space="preserve"> interpreted </w:t>
      </w:r>
      <w:r w:rsidRPr="00A30459" w:rsidR="001A6D84">
        <w:t>section 473</w:t>
      </w:r>
      <w:r w:rsidR="009F4A17">
        <w:t>(b)</w:t>
      </w:r>
      <w:r w:rsidRPr="00A30459" w:rsidR="00543671">
        <w:t xml:space="preserve">’s </w:t>
      </w:r>
      <w:r w:rsidRPr="00A30459" w:rsidR="006235F0">
        <w:t xml:space="preserve">identity theft exception </w:t>
      </w:r>
      <w:r w:rsidRPr="00A30459" w:rsidR="00106BE8">
        <w:t xml:space="preserve">in </w:t>
      </w:r>
      <w:r w:rsidRPr="00A30459" w:rsidR="00106BE8">
        <w:rPr>
          <w:i/>
        </w:rPr>
        <w:t>Gonzales</w:t>
      </w:r>
      <w:r w:rsidRPr="00A30459" w:rsidR="000A316B">
        <w:t>.</w:t>
      </w:r>
      <w:r w:rsidRPr="00A30459" w:rsidR="00A25DA0">
        <w:t xml:space="preserve">  T</w:t>
      </w:r>
      <w:r w:rsidRPr="00A30459" w:rsidR="00922AAB">
        <w:t>he</w:t>
      </w:r>
      <w:r w:rsidRPr="00A30459" w:rsidR="000F14CB">
        <w:t xml:space="preserve"> defendant</w:t>
      </w:r>
      <w:r w:rsidRPr="00A30459" w:rsidR="00D11F71">
        <w:t xml:space="preserve"> </w:t>
      </w:r>
      <w:r w:rsidRPr="00A30459" w:rsidR="00A25DA0">
        <w:t xml:space="preserve">in that case </w:t>
      </w:r>
      <w:r w:rsidRPr="00A30459" w:rsidR="00D11F71">
        <w:t>was charged with</w:t>
      </w:r>
      <w:r w:rsidRPr="00A30459" w:rsidR="00F869D9">
        <w:t xml:space="preserve"> </w:t>
      </w:r>
      <w:r w:rsidRPr="00A30459" w:rsidR="00D54EED">
        <w:t xml:space="preserve">felony </w:t>
      </w:r>
      <w:r w:rsidRPr="00A30459" w:rsidR="00F869D9">
        <w:t xml:space="preserve">forgery and identity theft </w:t>
      </w:r>
      <w:r w:rsidRPr="00A30459" w:rsidR="00D11F71">
        <w:t>in the same information</w:t>
      </w:r>
      <w:r w:rsidR="009F4A17">
        <w:t xml:space="preserve"> but</w:t>
      </w:r>
      <w:r w:rsidRPr="00A30459" w:rsidR="00403FEF">
        <w:t xml:space="preserve"> the conduct underlying those two charges occurred </w:t>
      </w:r>
      <w:r w:rsidRPr="00A30459" w:rsidR="00E4117B">
        <w:t>years apart</w:t>
      </w:r>
      <w:r w:rsidRPr="00A30459" w:rsidR="00283211">
        <w:t xml:space="preserve"> and had no relationship to each other</w:t>
      </w:r>
      <w:r w:rsidRPr="00A30459" w:rsidR="00D11F71">
        <w:t xml:space="preserve">.  </w:t>
      </w:r>
      <w:r w:rsidRPr="00A30459" w:rsidR="00446F14">
        <w:t>(</w:t>
      </w:r>
      <w:r w:rsidR="00A541CF">
        <w:rPr>
          <w:i/>
        </w:rPr>
        <w:t>Gonzales</w:t>
      </w:r>
      <w:r w:rsidRPr="00A30459" w:rsidR="00A541CF">
        <w:t xml:space="preserve">, </w:t>
      </w:r>
      <w:r w:rsidRPr="00A30459" w:rsidR="00A541CF">
        <w:rPr>
          <w:i/>
        </w:rPr>
        <w:t>supra</w:t>
      </w:r>
      <w:r w:rsidRPr="00A30459" w:rsidR="00A541CF">
        <w:t xml:space="preserve">, 6 Cal.5th </w:t>
      </w:r>
      <w:r w:rsidRPr="00A30459" w:rsidR="00446F14">
        <w:t>at p. </w:t>
      </w:r>
      <w:r w:rsidRPr="00A30459" w:rsidR="00EF3F5F">
        <w:t xml:space="preserve">47.)  </w:t>
      </w:r>
      <w:r w:rsidRPr="00A30459" w:rsidR="00D11F71">
        <w:t>The defendant plead</w:t>
      </w:r>
      <w:r w:rsidRPr="00A30459" w:rsidR="00A25DA0">
        <w:t>ed</w:t>
      </w:r>
      <w:r w:rsidRPr="00A30459" w:rsidR="00D11F71">
        <w:t xml:space="preserve"> guilty to those charges</w:t>
      </w:r>
      <w:r w:rsidRPr="00A30459" w:rsidR="008328D4">
        <w:t xml:space="preserve"> and</w:t>
      </w:r>
      <w:r w:rsidRPr="00A30459" w:rsidR="00D54EED">
        <w:t>, after passage of Proposition 47, sought reduction of his forgery conviction to a misdemeanor.</w:t>
      </w:r>
      <w:r w:rsidRPr="00A30459" w:rsidR="00A25DA0">
        <w:t xml:space="preserve">  </w:t>
      </w:r>
      <w:r w:rsidRPr="00A30459" w:rsidR="00D54EED">
        <w:t>We held that</w:t>
      </w:r>
      <w:r w:rsidRPr="00A30459" w:rsidR="00446F14">
        <w:t xml:space="preserve"> </w:t>
      </w:r>
      <w:r w:rsidRPr="00A30459" w:rsidR="00D54EED">
        <w:t xml:space="preserve">section </w:t>
      </w:r>
      <w:r w:rsidRPr="00A30459" w:rsidR="00446F14">
        <w:t>473(b) did not preclude his resentencing.</w:t>
      </w:r>
      <w:r w:rsidRPr="00A30459" w:rsidR="00283211">
        <w:t xml:space="preserve">  (</w:t>
      </w:r>
      <w:r w:rsidRPr="00A30459" w:rsidR="009903C5">
        <w:rPr>
          <w:i/>
        </w:rPr>
        <w:t>Gonzales</w:t>
      </w:r>
      <w:r w:rsidRPr="00A30459" w:rsidR="009903C5">
        <w:t>,</w:t>
      </w:r>
      <w:r w:rsidRPr="00A30459" w:rsidR="00283211">
        <w:t xml:space="preserve"> at p. </w:t>
      </w:r>
      <w:r w:rsidRPr="00A30459" w:rsidR="00553283">
        <w:t>56.)</w:t>
      </w:r>
    </w:p>
    <w:p w:rsidR="008977AD" w:rsidRPr="00A30459" w:rsidP="00A30459">
      <w:pPr>
        <w:tabs>
          <w:tab w:val="left" w:pos="720"/>
        </w:tabs>
      </w:pPr>
      <w:r w:rsidRPr="00A30459">
        <w:tab/>
      </w:r>
      <w:r w:rsidRPr="00A30459" w:rsidR="00446F14">
        <w:t>We</w:t>
      </w:r>
      <w:r w:rsidRPr="00A30459" w:rsidR="00106BE8">
        <w:t xml:space="preserve"> </w:t>
      </w:r>
      <w:r w:rsidRPr="00A30459" w:rsidR="0019455C">
        <w:t>began by noting</w:t>
      </w:r>
      <w:r w:rsidRPr="00A30459" w:rsidR="00106BE8">
        <w:t xml:space="preserve"> that </w:t>
      </w:r>
      <w:r w:rsidRPr="00A30459" w:rsidR="009903C5">
        <w:t xml:space="preserve">section 473(b)’s </w:t>
      </w:r>
      <w:r w:rsidRPr="00A30459" w:rsidR="000A316B">
        <w:t xml:space="preserve">language </w:t>
      </w:r>
      <w:r w:rsidRPr="00A30459" w:rsidR="00284DE4">
        <w:t>is</w:t>
      </w:r>
      <w:r w:rsidRPr="00A30459" w:rsidR="00106BE8">
        <w:t xml:space="preserve"> ambiguous as </w:t>
      </w:r>
      <w:r w:rsidRPr="00A30459" w:rsidR="000A316B">
        <w:t xml:space="preserve">to </w:t>
      </w:r>
      <w:r w:rsidRPr="00A30459" w:rsidR="009903C5">
        <w:t xml:space="preserve">what </w:t>
      </w:r>
      <w:r w:rsidRPr="00A30459" w:rsidR="0019455C">
        <w:t>relationship between forgery and identity theft</w:t>
      </w:r>
      <w:r w:rsidRPr="00A30459" w:rsidR="00284DE4">
        <w:t xml:space="preserve"> </w:t>
      </w:r>
      <w:r w:rsidRPr="00A30459" w:rsidR="009903C5">
        <w:t xml:space="preserve">is </w:t>
      </w:r>
      <w:r w:rsidRPr="00A30459" w:rsidR="00861CF6">
        <w:t xml:space="preserve">required </w:t>
      </w:r>
      <w:r w:rsidRPr="00A30459">
        <w:t xml:space="preserve">to </w:t>
      </w:r>
      <w:r w:rsidRPr="00A30459" w:rsidR="0019455C">
        <w:t>trigger the exception.</w:t>
      </w:r>
      <w:r w:rsidRPr="00A30459">
        <w:t xml:space="preserve">  </w:t>
      </w:r>
      <w:r w:rsidRPr="00A30459" w:rsidR="00561DB7">
        <w:t>(</w:t>
      </w:r>
      <w:r w:rsidRPr="00A30459" w:rsidR="00561DB7">
        <w:rPr>
          <w:i/>
          <w:iCs/>
        </w:rPr>
        <w:t>Gonzales</w:t>
      </w:r>
      <w:r w:rsidRPr="00A30459" w:rsidR="00561DB7">
        <w:t xml:space="preserve">, </w:t>
      </w:r>
      <w:r w:rsidRPr="00A30459" w:rsidR="00561DB7">
        <w:rPr>
          <w:i/>
        </w:rPr>
        <w:t>supra</w:t>
      </w:r>
      <w:r w:rsidRPr="00A30459" w:rsidR="00561DB7">
        <w:t>, 6 Cal.5th at p. </w:t>
      </w:r>
      <w:r w:rsidRPr="00A30459" w:rsidR="00EC4C68">
        <w:t>52</w:t>
      </w:r>
      <w:r w:rsidRPr="00A30459" w:rsidR="00561DB7">
        <w:t xml:space="preserve">.)  </w:t>
      </w:r>
      <w:r w:rsidR="000247F7">
        <w:t>T</w:t>
      </w:r>
      <w:r w:rsidRPr="00A30459" w:rsidR="0019455C">
        <w:t xml:space="preserve">he word “both” </w:t>
      </w:r>
      <w:r w:rsidRPr="00A30459" w:rsidR="00284DE4">
        <w:t>can</w:t>
      </w:r>
      <w:r w:rsidRPr="00A30459" w:rsidR="0019455C">
        <w:t xml:space="preserve"> be </w:t>
      </w:r>
      <w:r w:rsidRPr="00A30459" w:rsidR="00982476">
        <w:t xml:space="preserve">reasonably </w:t>
      </w:r>
      <w:r w:rsidRPr="00A30459" w:rsidR="0019455C">
        <w:t xml:space="preserve">construed to mean </w:t>
      </w:r>
      <w:r w:rsidRPr="00A30459" w:rsidR="00064CA0">
        <w:t>that a</w:t>
      </w:r>
      <w:r w:rsidRPr="00A30459" w:rsidR="0019455C">
        <w:t xml:space="preserve"> defendant</w:t>
      </w:r>
      <w:r w:rsidRPr="00A30459" w:rsidR="00064CA0">
        <w:t>’s</w:t>
      </w:r>
      <w:r w:rsidRPr="00A30459" w:rsidR="0019455C">
        <w:t xml:space="preserve"> forgery </w:t>
      </w:r>
      <w:r w:rsidRPr="00A30459" w:rsidR="00064CA0">
        <w:t xml:space="preserve">conviction </w:t>
      </w:r>
      <w:r w:rsidRPr="00A30459" w:rsidR="00982476">
        <w:t>is punishable</w:t>
      </w:r>
      <w:r w:rsidRPr="00A30459" w:rsidR="00064CA0">
        <w:t xml:space="preserve"> as a felony</w:t>
      </w:r>
      <w:r w:rsidRPr="00A30459" w:rsidR="0019455C">
        <w:t xml:space="preserve"> </w:t>
      </w:r>
      <w:r w:rsidRPr="00A30459" w:rsidR="000A316B">
        <w:t>“(1) whenever the defendant has also been convicted of identity theft; (2) whenever the defendant is convicted of identity theft at the same time he is convicted of forgery; or (3) whenever the defendant is convicted of identity theft for the same conduct as his forgery conviction.”  (</w:t>
      </w:r>
      <w:r w:rsidR="005D5D36">
        <w:rPr>
          <w:i/>
        </w:rPr>
        <w:t>Ibid</w:t>
      </w:r>
      <w:r w:rsidRPr="00A30459" w:rsidR="00284DE4">
        <w:t>.</w:t>
      </w:r>
      <w:r w:rsidRPr="00A30459" w:rsidR="000A316B">
        <w:t>)</w:t>
      </w:r>
    </w:p>
    <w:p w:rsidR="00B65CD9" w:rsidRPr="00A30459" w:rsidP="00A30459">
      <w:pPr>
        <w:tabs>
          <w:tab w:val="left" w:pos="720"/>
        </w:tabs>
      </w:pPr>
      <w:r w:rsidRPr="00A30459">
        <w:tab/>
      </w:r>
      <w:r w:rsidRPr="00A30459" w:rsidR="00284DE4">
        <w:t xml:space="preserve">We rejected the first construction as contrary to the text and structure of the </w:t>
      </w:r>
      <w:r w:rsidRPr="00A30459" w:rsidR="007A6E12">
        <w:t>statute</w:t>
      </w:r>
      <w:r w:rsidRPr="00A30459" w:rsidR="00284DE4">
        <w:t>.</w:t>
      </w:r>
      <w:r w:rsidRPr="00A30459">
        <w:t xml:space="preserve">  </w:t>
      </w:r>
      <w:r w:rsidRPr="00A30459" w:rsidR="007F681B">
        <w:t>(</w:t>
      </w:r>
      <w:r w:rsidRPr="00A30459" w:rsidR="007F681B">
        <w:rPr>
          <w:i/>
          <w:iCs/>
        </w:rPr>
        <w:t>Gonzales</w:t>
      </w:r>
      <w:r w:rsidRPr="00A30459" w:rsidR="007F681B">
        <w:t xml:space="preserve">, </w:t>
      </w:r>
      <w:r w:rsidRPr="00A30459" w:rsidR="007F681B">
        <w:rPr>
          <w:i/>
        </w:rPr>
        <w:t>supra</w:t>
      </w:r>
      <w:r w:rsidRPr="00A30459" w:rsidR="007F681B">
        <w:t>, 6 Cal.5th at p. </w:t>
      </w:r>
      <w:r w:rsidRPr="00A30459" w:rsidR="00EC4C68">
        <w:t>54</w:t>
      </w:r>
      <w:r w:rsidRPr="00A30459" w:rsidR="007F681B">
        <w:t xml:space="preserve">.)  </w:t>
      </w:r>
      <w:r w:rsidRPr="00A30459" w:rsidR="00284DE4">
        <w:t xml:space="preserve">The </w:t>
      </w:r>
      <w:r w:rsidR="009F4A17">
        <w:t xml:space="preserve">identity theft </w:t>
      </w:r>
      <w:r w:rsidRPr="00A30459" w:rsidR="00284DE4">
        <w:t>exception</w:t>
      </w:r>
      <w:r w:rsidRPr="00A30459" w:rsidR="00543671">
        <w:t>,</w:t>
      </w:r>
      <w:r w:rsidRPr="00A30459" w:rsidR="00284DE4">
        <w:t xml:space="preserve"> </w:t>
      </w:r>
      <w:r w:rsidRPr="00A30459" w:rsidR="00B04B08">
        <w:t xml:space="preserve">we explained, </w:t>
      </w:r>
      <w:r w:rsidRPr="00A30459" w:rsidR="00284DE4">
        <w:t>is phrased in the present tense</w:t>
      </w:r>
      <w:r w:rsidRPr="00A30459" w:rsidR="009903C5">
        <w:t>:</w:t>
      </w:r>
      <w:r w:rsidRPr="00A30459" w:rsidR="00284DE4">
        <w:t xml:space="preserve">  </w:t>
      </w:r>
      <w:r w:rsidRPr="00A30459" w:rsidR="00730BF1">
        <w:t>Protection from felony punishment</w:t>
      </w:r>
      <w:r w:rsidRPr="00A30459" w:rsidR="00284DE4">
        <w:t xml:space="preserve"> is unavailable “to any person who </w:t>
      </w:r>
      <w:r w:rsidRPr="00A30459" w:rsidR="00284DE4">
        <w:rPr>
          <w:i/>
        </w:rPr>
        <w:t>is</w:t>
      </w:r>
      <w:r w:rsidRPr="00A30459" w:rsidR="00284DE4">
        <w:t xml:space="preserve"> convicted both of forgery and</w:t>
      </w:r>
      <w:r w:rsidR="005D5D36">
        <w:t xml:space="preserve"> of</w:t>
      </w:r>
      <w:r w:rsidRPr="00A30459" w:rsidR="00284DE4">
        <w:t xml:space="preserve"> identity theft.”  (§ 473(b)</w:t>
      </w:r>
      <w:r w:rsidRPr="00A30459" w:rsidR="000077BB">
        <w:t>, italics added</w:t>
      </w:r>
      <w:r w:rsidRPr="00A30459" w:rsidR="00284DE4">
        <w:t>.)</w:t>
      </w:r>
      <w:r w:rsidRPr="00A30459">
        <w:t xml:space="preserve">  This is in contrast with</w:t>
      </w:r>
      <w:r w:rsidRPr="00A30459" w:rsidR="000077BB">
        <w:t xml:space="preserve"> </w:t>
      </w:r>
      <w:r w:rsidRPr="00A30459" w:rsidR="009903C5">
        <w:t>other language in section 473(b) disqualifying</w:t>
      </w:r>
      <w:r w:rsidRPr="00A30459" w:rsidR="00FB5689">
        <w:t xml:space="preserve"> a forgery conviction for </w:t>
      </w:r>
      <w:r w:rsidRPr="00A30459" w:rsidR="009903C5">
        <w:t>reduction</w:t>
      </w:r>
      <w:r w:rsidRPr="00A30459" w:rsidR="00FB5689">
        <w:t xml:space="preserve"> </w:t>
      </w:r>
      <w:r w:rsidRPr="00A30459" w:rsidR="009903C5">
        <w:t xml:space="preserve">to a misdemeanor </w:t>
      </w:r>
      <w:r w:rsidRPr="00A30459" w:rsidR="00FB5689">
        <w:t>if the defendant has “prior convictions” for specified violent felonies and sex offenses.</w:t>
      </w:r>
      <w:r w:rsidRPr="00A30459" w:rsidR="0085161F">
        <w:t xml:space="preserve">  </w:t>
      </w:r>
      <w:r w:rsidRPr="00A30459" w:rsidR="00FB5689">
        <w:t xml:space="preserve">If </w:t>
      </w:r>
      <w:r w:rsidRPr="00A30459" w:rsidR="00D32D72">
        <w:t xml:space="preserve">Proposition 47 had intended </w:t>
      </w:r>
      <w:r w:rsidRPr="00A30459" w:rsidR="000077BB">
        <w:t xml:space="preserve">to </w:t>
      </w:r>
      <w:r w:rsidRPr="00A30459" w:rsidR="009E5995">
        <w:t xml:space="preserve">preclude a forgery defendant from relief whenever </w:t>
      </w:r>
      <w:r w:rsidR="005D5D36">
        <w:t>the defendant</w:t>
      </w:r>
      <w:r w:rsidRPr="00A30459" w:rsidR="009E5995">
        <w:t xml:space="preserve"> also had an identity theft conviction </w:t>
      </w:r>
      <w:r w:rsidR="005C208D">
        <w:t>regardless of when it was received, Proposition 47</w:t>
      </w:r>
      <w:r w:rsidRPr="00A30459" w:rsidR="005C208D">
        <w:t xml:space="preserve"> </w:t>
      </w:r>
      <w:r w:rsidRPr="00A30459" w:rsidR="000077BB">
        <w:t xml:space="preserve">would have </w:t>
      </w:r>
      <w:r w:rsidRPr="00A30459" w:rsidR="001817CF">
        <w:t>included identity theft among those previous disqualifying convictions</w:t>
      </w:r>
      <w:r w:rsidRPr="00A30459" w:rsidR="000077BB">
        <w:t>.  Instead, the drafters added a separate exception</w:t>
      </w:r>
      <w:r w:rsidRPr="00A30459" w:rsidR="00991E94">
        <w:t xml:space="preserve"> using the present tense</w:t>
      </w:r>
      <w:r w:rsidRPr="00A30459" w:rsidR="0017717B">
        <w:t>,</w:t>
      </w:r>
      <w:r w:rsidRPr="00A30459" w:rsidR="00FA3121">
        <w:t xml:space="preserve"> </w:t>
      </w:r>
      <w:r w:rsidRPr="00A30459" w:rsidR="0017717B">
        <w:t>indicating that</w:t>
      </w:r>
      <w:r w:rsidRPr="00A30459" w:rsidR="00D32D72">
        <w:t xml:space="preserve"> </w:t>
      </w:r>
      <w:r w:rsidRPr="00A30459" w:rsidR="00C80D7D">
        <w:t>“conviction for the forgery offense must at least occur in a timeframe concurrent with the conviction for identity theft.”</w:t>
      </w:r>
      <w:r w:rsidRPr="00A30459" w:rsidR="00D32D72">
        <w:t xml:space="preserve">  (</w:t>
      </w:r>
      <w:r w:rsidRPr="00A30459" w:rsidR="00B526D1">
        <w:rPr>
          <w:i/>
        </w:rPr>
        <w:t>Gonzales</w:t>
      </w:r>
      <w:r w:rsidRPr="00A30459" w:rsidR="00D32D72">
        <w:t>, at p. 54.)</w:t>
      </w:r>
    </w:p>
    <w:p w:rsidR="0057048A" w:rsidRPr="00A30459" w:rsidP="00A30459">
      <w:pPr>
        <w:tabs>
          <w:tab w:val="left" w:pos="720"/>
        </w:tabs>
      </w:pPr>
      <w:r w:rsidRPr="00A30459">
        <w:tab/>
      </w:r>
      <w:r w:rsidRPr="00A30459" w:rsidR="00D32D72">
        <w:t xml:space="preserve">We </w:t>
      </w:r>
      <w:r w:rsidRPr="00A30459" w:rsidR="000077BB">
        <w:t xml:space="preserve">also rejected the second </w:t>
      </w:r>
      <w:r w:rsidRPr="00A30459">
        <w:t xml:space="preserve">possible </w:t>
      </w:r>
      <w:r w:rsidRPr="00A30459" w:rsidR="000077BB">
        <w:t>construction</w:t>
      </w:r>
      <w:r w:rsidRPr="00A30459" w:rsidR="009903C5">
        <w:t>, i.e.,</w:t>
      </w:r>
      <w:r w:rsidRPr="00A30459" w:rsidR="000077BB">
        <w:t xml:space="preserve"> that a forgery conviction is </w:t>
      </w:r>
      <w:r w:rsidRPr="00A30459" w:rsidR="00730BF1">
        <w:t>punishable as a felony “</w:t>
      </w:r>
      <w:r w:rsidRPr="00A30459" w:rsidR="00A322AE">
        <w:t>whenever the defendant is convicted of identity theft at the same time he is convicted of forgery.</w:t>
      </w:r>
      <w:r w:rsidRPr="00A30459" w:rsidR="00730BF1">
        <w:t>”  (</w:t>
      </w:r>
      <w:r w:rsidRPr="00A30459" w:rsidR="00B526D1">
        <w:rPr>
          <w:i/>
        </w:rPr>
        <w:t>Gonzales</w:t>
      </w:r>
      <w:r w:rsidRPr="00A30459" w:rsidR="00730BF1">
        <w:t xml:space="preserve">, </w:t>
      </w:r>
      <w:r w:rsidRPr="00A30459" w:rsidR="00730BF1">
        <w:rPr>
          <w:i/>
        </w:rPr>
        <w:t>supra</w:t>
      </w:r>
      <w:r w:rsidRPr="00A30459" w:rsidR="00730BF1">
        <w:t>, 6 Cal.5th at p. 52.)</w:t>
      </w:r>
      <w:r w:rsidRPr="00A30459">
        <w:t xml:space="preserve">  </w:t>
      </w:r>
      <w:r w:rsidRPr="00A30459" w:rsidR="00313E84">
        <w:t>We indicated that such a construction would be arbitrary</w:t>
      </w:r>
      <w:r w:rsidRPr="00A30459" w:rsidR="00D83DB0">
        <w:t xml:space="preserve">.  It </w:t>
      </w:r>
      <w:r w:rsidRPr="00A30459" w:rsidR="00A47BB1">
        <w:t>would mean</w:t>
      </w:r>
      <w:r w:rsidRPr="00A30459" w:rsidR="00D83DB0">
        <w:t xml:space="preserve"> that</w:t>
      </w:r>
      <w:r w:rsidRPr="00A30459" w:rsidR="00A47BB1">
        <w:t xml:space="preserve"> a defendant </w:t>
      </w:r>
      <w:r w:rsidRPr="00A30459" w:rsidR="00550F91">
        <w:t xml:space="preserve">convicted of forgery and identity theft in the same proceeding </w:t>
      </w:r>
      <w:r w:rsidRPr="00A30459" w:rsidR="00A47BB1">
        <w:t xml:space="preserve">could </w:t>
      </w:r>
      <w:r w:rsidRPr="00A30459">
        <w:t>have his forgery conviction punished as a felony</w:t>
      </w:r>
      <w:r w:rsidRPr="00A30459" w:rsidR="00A47BB1">
        <w:t xml:space="preserve"> “simply because he was convicted and sentenced in a consolidated proceeding, whereas another defendant in a comparable situation [could not] if he were convicted in separate proceedings.”  (</w:t>
      </w:r>
      <w:r w:rsidRPr="00A30459" w:rsidR="00A47BB1">
        <w:rPr>
          <w:i/>
        </w:rPr>
        <w:t>Id</w:t>
      </w:r>
      <w:r w:rsidRPr="00A30459" w:rsidR="00A47BB1">
        <w:t>. at p. 51.)</w:t>
      </w:r>
      <w:r w:rsidRPr="00A30459">
        <w:t xml:space="preserve">  </w:t>
      </w:r>
      <w:r w:rsidRPr="00A30459" w:rsidR="00A47BB1">
        <w:t xml:space="preserve">Nothing in </w:t>
      </w:r>
      <w:r w:rsidRPr="00A30459" w:rsidR="00934CF6">
        <w:t xml:space="preserve">the statute </w:t>
      </w:r>
      <w:r w:rsidRPr="00A30459" w:rsidR="00A47BB1">
        <w:t xml:space="preserve">suggests </w:t>
      </w:r>
      <w:r w:rsidRPr="00A30459" w:rsidR="00204800">
        <w:t>that e</w:t>
      </w:r>
      <w:r w:rsidRPr="00A30459" w:rsidR="00A47BB1">
        <w:t xml:space="preserve">ligibility for felony punishment should turn on the </w:t>
      </w:r>
      <w:r w:rsidRPr="00A30459" w:rsidR="00204800">
        <w:t>procedural sequence of a defendant’s forgery and identity theft convictions.</w:t>
      </w:r>
    </w:p>
    <w:p w:rsidR="005529E3" w:rsidRPr="00A30459" w:rsidP="00A30459">
      <w:pPr>
        <w:tabs>
          <w:tab w:val="left" w:pos="720"/>
        </w:tabs>
      </w:pPr>
      <w:r w:rsidRPr="00A30459">
        <w:tab/>
      </w:r>
      <w:r w:rsidRPr="00A30459" w:rsidR="005B4D07">
        <w:t xml:space="preserve">Instead, </w:t>
      </w:r>
      <w:r w:rsidRPr="00A30459" w:rsidR="0017717B">
        <w:rPr>
          <w:i/>
        </w:rPr>
        <w:t>Gonzales</w:t>
      </w:r>
      <w:r w:rsidRPr="00A30459" w:rsidR="005B4D07">
        <w:t xml:space="preserve"> held that the </w:t>
      </w:r>
      <w:r w:rsidRPr="00A30459">
        <w:t>identity theft</w:t>
      </w:r>
      <w:r w:rsidRPr="00A30459" w:rsidR="005B4D07">
        <w:t xml:space="preserve"> exception</w:t>
      </w:r>
      <w:r w:rsidRPr="00A30459" w:rsidR="009705E6">
        <w:t xml:space="preserve"> makes forgery not exceeding $950 punishable as a felony </w:t>
      </w:r>
      <w:r w:rsidRPr="00A30459" w:rsidR="001A3759">
        <w:t xml:space="preserve">only </w:t>
      </w:r>
      <w:r w:rsidRPr="00A30459" w:rsidR="009705E6">
        <w:t xml:space="preserve">if the defendant is also convicted of identity theft in the same proceeding and the </w:t>
      </w:r>
      <w:r w:rsidRPr="00A30459" w:rsidR="005B4D07">
        <w:t>“conduct related to the forgery and identity theft convictions were made ‘in connection with’ each other.”</w:t>
      </w:r>
      <w:r w:rsidRPr="00A30459" w:rsidR="009705E6">
        <w:t xml:space="preserve">  (</w:t>
      </w:r>
      <w:r w:rsidRPr="00A30459" w:rsidR="00B526D1">
        <w:rPr>
          <w:i/>
        </w:rPr>
        <w:t>Gonzales</w:t>
      </w:r>
      <w:r w:rsidRPr="00A30459" w:rsidR="00B526D1">
        <w:t xml:space="preserve">, </w:t>
      </w:r>
      <w:r w:rsidRPr="00A30459" w:rsidR="00B526D1">
        <w:rPr>
          <w:i/>
        </w:rPr>
        <w:t>supra</w:t>
      </w:r>
      <w:r w:rsidRPr="00A30459" w:rsidR="00B526D1">
        <w:t>, 6 Cal.5th at p. 50.)</w:t>
      </w:r>
      <w:r w:rsidRPr="00A30459" w:rsidR="009E10A4">
        <w:t xml:space="preserve">  </w:t>
      </w:r>
      <w:r w:rsidRPr="00A30459" w:rsidR="00515D29">
        <w:t>The two convictions “must bear some meaningful relationship to each other</w:t>
      </w:r>
      <w:r w:rsidRPr="00A30459" w:rsidR="00934CF6">
        <w:t xml:space="preserve"> </w:t>
      </w:r>
      <w:r w:rsidRPr="00A30459" w:rsidR="00C41592">
        <w:t>—</w:t>
      </w:r>
      <w:r w:rsidRPr="00A30459" w:rsidR="00934CF6">
        <w:t xml:space="preserve"> </w:t>
      </w:r>
      <w:r w:rsidRPr="00A30459" w:rsidR="00C41592">
        <w:t>beyond the</w:t>
      </w:r>
      <w:r w:rsidR="005D5D36">
        <w:t xml:space="preserve"> convictions’</w:t>
      </w:r>
      <w:r w:rsidRPr="00A30459" w:rsidR="00C41592">
        <w:t xml:space="preserve"> inclusion in the same judgment.” </w:t>
      </w:r>
      <w:r w:rsidRPr="00A30459" w:rsidR="00AC7421">
        <w:t xml:space="preserve"> </w:t>
      </w:r>
      <w:r w:rsidRPr="00A30459" w:rsidR="00C41592">
        <w:t>(</w:t>
      </w:r>
      <w:r w:rsidRPr="00A30459" w:rsidR="00C41592">
        <w:rPr>
          <w:i/>
        </w:rPr>
        <w:t>Id</w:t>
      </w:r>
      <w:r w:rsidRPr="00A30459" w:rsidR="00C41592">
        <w:t>. at p. 54.)</w:t>
      </w:r>
      <w:r w:rsidRPr="00A30459" w:rsidR="00934CF6">
        <w:t xml:space="preserve">  </w:t>
      </w:r>
      <w:r w:rsidRPr="00A30459" w:rsidR="00843F4B">
        <w:t xml:space="preserve">We </w:t>
      </w:r>
      <w:r w:rsidRPr="00A30459" w:rsidR="00934CF6">
        <w:t xml:space="preserve">reached </w:t>
      </w:r>
      <w:r w:rsidRPr="00A30459" w:rsidR="00843F4B">
        <w:t xml:space="preserve">this </w:t>
      </w:r>
      <w:r w:rsidRPr="00A30459" w:rsidR="00934CF6">
        <w:t xml:space="preserve">conclusion </w:t>
      </w:r>
      <w:r w:rsidRPr="00A30459" w:rsidR="00843F4B">
        <w:t>based on t</w:t>
      </w:r>
      <w:r w:rsidRPr="00A30459" w:rsidR="00E55138">
        <w:t xml:space="preserve">he </w:t>
      </w:r>
      <w:r w:rsidRPr="00A30459" w:rsidR="00124FC6">
        <w:t xml:space="preserve">legislative history </w:t>
      </w:r>
      <w:r w:rsidRPr="00A30459" w:rsidR="007A5C1F">
        <w:t xml:space="preserve">and purpose </w:t>
      </w:r>
      <w:r w:rsidRPr="00A30459" w:rsidR="00E55138">
        <w:t xml:space="preserve">of </w:t>
      </w:r>
      <w:r w:rsidRPr="00A30459" w:rsidR="00305DAE">
        <w:t>Proposition 47</w:t>
      </w:r>
      <w:r w:rsidRPr="00A30459" w:rsidR="007A5C1F">
        <w:t>.  T</w:t>
      </w:r>
      <w:r w:rsidRPr="00A30459" w:rsidR="00932B44">
        <w:t xml:space="preserve">he </w:t>
      </w:r>
      <w:r w:rsidRPr="00A30459" w:rsidR="00AA2551">
        <w:t>Legislative Analyst’s interpretation of section 473(b)</w:t>
      </w:r>
      <w:r w:rsidRPr="00A30459" w:rsidR="007A5C1F">
        <w:t xml:space="preserve"> </w:t>
      </w:r>
      <w:r w:rsidRPr="00A30459" w:rsidR="00AA2551">
        <w:t>explained</w:t>
      </w:r>
      <w:r w:rsidRPr="00A30459" w:rsidR="00562DB3">
        <w:t xml:space="preserve"> that</w:t>
      </w:r>
      <w:r w:rsidRPr="00A30459" w:rsidR="00AA2551">
        <w:t xml:space="preserve"> “</w:t>
      </w:r>
      <w:r w:rsidRPr="00A30459" w:rsidR="00562DB3">
        <w:t>[u]</w:t>
      </w:r>
      <w:r w:rsidRPr="00A30459" w:rsidR="00AA2551">
        <w:t xml:space="preserve">nder this measure, forging a check worth $950 or less would always be a misdemeanor, except that it would remain a wobbler crime if the offender commits identity theft </w:t>
      </w:r>
      <w:r w:rsidRPr="00A30459" w:rsidR="00AA2551">
        <w:rPr>
          <w:i/>
        </w:rPr>
        <w:t xml:space="preserve">in connection with </w:t>
      </w:r>
      <w:r w:rsidRPr="00A30459" w:rsidR="00AA2551">
        <w:t xml:space="preserve">forging a check.” </w:t>
      </w:r>
      <w:r w:rsidRPr="00A30459" w:rsidR="00034490">
        <w:t xml:space="preserve"> </w:t>
      </w:r>
      <w:r w:rsidRPr="00A30459" w:rsidR="00AA2551">
        <w:t>(Voter Information Guide, Gen. Elec. (Nov. 4, 2014) analysis of Prop. 47 by Legis. Analyst, p.</w:t>
      </w:r>
      <w:r w:rsidR="00B131E2">
        <w:t> </w:t>
      </w:r>
      <w:r w:rsidRPr="00A30459" w:rsidR="00AA2551">
        <w:t>35, italics added.)</w:t>
      </w:r>
      <w:r w:rsidRPr="00A30459" w:rsidR="009E0757">
        <w:t xml:space="preserve">  </w:t>
      </w:r>
      <w:r w:rsidRPr="00A30459" w:rsidR="00A53231">
        <w:t xml:space="preserve">Moreover, we found that </w:t>
      </w:r>
      <w:r w:rsidRPr="00A30459" w:rsidR="0007447B">
        <w:t>the electorate had a purpose in combining the two offenses</w:t>
      </w:r>
      <w:r w:rsidRPr="00A30459" w:rsidR="00934CF6">
        <w:t>:</w:t>
      </w:r>
      <w:r w:rsidRPr="00A30459" w:rsidR="0007447B">
        <w:t xml:space="preserve">  Forgery and identity theft </w:t>
      </w:r>
      <w:r w:rsidRPr="00A30459" w:rsidR="00EF3B34">
        <w:t xml:space="preserve">“tend to facilitate each other and, committed together, arguably trigger heightened law enforcement concerns. </w:t>
      </w:r>
      <w:r w:rsidRPr="00A30459" w:rsidR="00A9666C">
        <w:t xml:space="preserve"> </w:t>
      </w:r>
      <w:r w:rsidRPr="00A30459" w:rsidR="00EF3B34">
        <w:t>A person who commits forgery by imitating the victim</w:t>
      </w:r>
      <w:r w:rsidRPr="00A30459" w:rsidR="00023237">
        <w:t>’</w:t>
      </w:r>
      <w:r w:rsidRPr="00A30459" w:rsidR="00EF3B34">
        <w:t xml:space="preserve">s signature on a check, for example, will often present identification to falsely represent his or her identity.” </w:t>
      </w:r>
      <w:r w:rsidRPr="00A30459" w:rsidR="00A9666C">
        <w:t xml:space="preserve"> </w:t>
      </w:r>
      <w:r w:rsidRPr="00A30459" w:rsidR="00EF3B34">
        <w:t>(</w:t>
      </w:r>
      <w:r w:rsidRPr="00A30459" w:rsidR="007B0713">
        <w:rPr>
          <w:i/>
        </w:rPr>
        <w:t>Gonzales</w:t>
      </w:r>
      <w:r w:rsidRPr="00A30459" w:rsidR="007B0713">
        <w:t>, at p. 54.)</w:t>
      </w:r>
      <w:r w:rsidRPr="00A30459" w:rsidR="00DC68F4">
        <w:t xml:space="preserve"> </w:t>
      </w:r>
      <w:r w:rsidRPr="00A30459" w:rsidR="006965A3">
        <w:t xml:space="preserve"> </w:t>
      </w:r>
      <w:r w:rsidRPr="00A30459" w:rsidR="00321696">
        <w:t>At the same time</w:t>
      </w:r>
      <w:r w:rsidRPr="00A30459" w:rsidR="00934CF6">
        <w:t>,</w:t>
      </w:r>
      <w:r w:rsidRPr="00A30459" w:rsidR="00321696">
        <w:t xml:space="preserve"> w</w:t>
      </w:r>
      <w:r w:rsidRPr="00A30459" w:rsidR="0066664E">
        <w:t xml:space="preserve">e declined to adopt </w:t>
      </w:r>
      <w:r w:rsidRPr="00A30459" w:rsidR="00934CF6">
        <w:t xml:space="preserve">a requirement that the </w:t>
      </w:r>
      <w:r w:rsidRPr="00A30459" w:rsidR="005B79D8">
        <w:t xml:space="preserve">forgery and identity theft offenses </w:t>
      </w:r>
      <w:r w:rsidRPr="00A30459" w:rsidR="00BE43E4">
        <w:t>must be</w:t>
      </w:r>
      <w:r w:rsidRPr="00A30459" w:rsidR="005B79D8">
        <w:t xml:space="preserve"> </w:t>
      </w:r>
      <w:r w:rsidRPr="00A30459" w:rsidR="0066664E">
        <w:t xml:space="preserve">“committed in a </w:t>
      </w:r>
      <w:r w:rsidRPr="00A30459" w:rsidR="00934CF6">
        <w:t>transactionally</w:t>
      </w:r>
      <w:r w:rsidRPr="00A30459" w:rsidR="0066664E">
        <w:t xml:space="preserve"> related manner” </w:t>
      </w:r>
      <w:r w:rsidRPr="00A30459" w:rsidR="00BE43E4">
        <w:t>(</w:t>
      </w:r>
      <w:r w:rsidRPr="00A30459" w:rsidR="00B41F60">
        <w:rPr>
          <w:i/>
        </w:rPr>
        <w:t>i</w:t>
      </w:r>
      <w:r w:rsidRPr="00A30459" w:rsidR="0057017A">
        <w:rPr>
          <w:i/>
        </w:rPr>
        <w:t>d.</w:t>
      </w:r>
      <w:r w:rsidRPr="00A30459" w:rsidR="00BE43E4">
        <w:t xml:space="preserve"> at </w:t>
      </w:r>
      <w:r w:rsidRPr="00A30459" w:rsidR="0066664E">
        <w:t>p. 53</w:t>
      </w:r>
      <w:r w:rsidRPr="00A30459" w:rsidR="00BE43E4">
        <w:t xml:space="preserve">) or that </w:t>
      </w:r>
      <w:r w:rsidRPr="00A30459" w:rsidR="0057017A">
        <w:t xml:space="preserve">they must relate to the </w:t>
      </w:r>
      <w:r w:rsidRPr="00A30459" w:rsidR="0066664E">
        <w:t>“same instrument”</w:t>
      </w:r>
      <w:r w:rsidRPr="00A30459" w:rsidR="00B41F60">
        <w:t xml:space="preserve"> </w:t>
      </w:r>
      <w:r w:rsidRPr="00A30459" w:rsidR="0057017A">
        <w:t>(</w:t>
      </w:r>
      <w:r w:rsidRPr="00A30459" w:rsidR="00131A26">
        <w:rPr>
          <w:i/>
        </w:rPr>
        <w:t>i</w:t>
      </w:r>
      <w:r w:rsidRPr="00A30459" w:rsidR="0057017A">
        <w:rPr>
          <w:i/>
        </w:rPr>
        <w:t xml:space="preserve">d. </w:t>
      </w:r>
      <w:r w:rsidRPr="00A30459" w:rsidR="0057017A">
        <w:t xml:space="preserve">at </w:t>
      </w:r>
      <w:r w:rsidRPr="00A30459" w:rsidR="0066664E">
        <w:t>p. 57</w:t>
      </w:r>
      <w:r w:rsidR="000D60C5">
        <w:t xml:space="preserve">; see also </w:t>
      </w:r>
      <w:r w:rsidRPr="00BD752A" w:rsidR="000D60C5">
        <w:rPr>
          <w:i/>
        </w:rPr>
        <w:t>id</w:t>
      </w:r>
      <w:r w:rsidR="000D60C5">
        <w:t>. at p. </w:t>
      </w:r>
      <w:r w:rsidR="001A3CFD">
        <w:t>53, fn. 6</w:t>
      </w:r>
      <w:r w:rsidRPr="00A30459" w:rsidR="0057017A">
        <w:t>).</w:t>
      </w:r>
      <w:r w:rsidRPr="00A30459" w:rsidR="00934CF6">
        <w:t xml:space="preserve">  </w:t>
      </w:r>
      <w:r w:rsidRPr="00A30459" w:rsidR="007E02D4">
        <w:t xml:space="preserve">Because </w:t>
      </w:r>
      <w:r w:rsidRPr="00A30459" w:rsidR="0087303C">
        <w:t>the conduct underlying Gonzales’s forgery and identity theft convictions</w:t>
      </w:r>
      <w:r w:rsidRPr="00A30459" w:rsidR="009660F0">
        <w:t xml:space="preserve"> </w:t>
      </w:r>
      <w:r w:rsidRPr="00A30459" w:rsidR="00934CF6">
        <w:t xml:space="preserve">occurred </w:t>
      </w:r>
      <w:r w:rsidRPr="00A30459" w:rsidR="0087303C">
        <w:t>years apart</w:t>
      </w:r>
      <w:r w:rsidRPr="00A30459" w:rsidR="009660F0">
        <w:t xml:space="preserve"> </w:t>
      </w:r>
      <w:r w:rsidRPr="00A30459" w:rsidR="00934CF6">
        <w:t xml:space="preserve">and </w:t>
      </w:r>
      <w:r w:rsidRPr="00A30459" w:rsidR="0087303C">
        <w:t>w</w:t>
      </w:r>
      <w:r w:rsidR="005D5D36">
        <w:t>as</w:t>
      </w:r>
      <w:r w:rsidRPr="00A30459" w:rsidR="0087303C">
        <w:t xml:space="preserve"> unrelated</w:t>
      </w:r>
      <w:r w:rsidRPr="00A30459" w:rsidR="00C70C89">
        <w:t xml:space="preserve">, we held that </w:t>
      </w:r>
      <w:r w:rsidRPr="00A30459" w:rsidR="003576FD">
        <w:t>section 473(b) did not preclude reduction of his forgery conviction to a misdemeanor.</w:t>
      </w:r>
      <w:r w:rsidRPr="00A30459">
        <w:t xml:space="preserve">  (</w:t>
      </w:r>
      <w:r w:rsidRPr="00A30459">
        <w:rPr>
          <w:i/>
        </w:rPr>
        <w:t>Gonzales</w:t>
      </w:r>
      <w:r w:rsidRPr="00A30459">
        <w:t>, at p. 5</w:t>
      </w:r>
      <w:r w:rsidRPr="00A30459" w:rsidR="007944A8">
        <w:t>6</w:t>
      </w:r>
      <w:r w:rsidRPr="00A30459">
        <w:t>.)</w:t>
      </w:r>
    </w:p>
    <w:p w:rsidR="00EC0150" w:rsidRPr="00A30459" w:rsidP="00A30459">
      <w:pPr>
        <w:tabs>
          <w:tab w:val="left" w:pos="720"/>
        </w:tabs>
      </w:pPr>
      <w:r w:rsidRPr="00A30459">
        <w:tab/>
      </w:r>
      <w:r w:rsidRPr="00A30459" w:rsidR="00934CF6">
        <w:t xml:space="preserve">Our reasoning and holding in </w:t>
      </w:r>
      <w:r w:rsidRPr="00A30459">
        <w:rPr>
          <w:i/>
        </w:rPr>
        <w:t>Gonzales</w:t>
      </w:r>
      <w:r w:rsidRPr="00A30459" w:rsidR="00F42DDE">
        <w:t xml:space="preserve"> </w:t>
      </w:r>
      <w:r w:rsidRPr="00A30459" w:rsidR="00934CF6">
        <w:t>are instructive on the question now before us:  w</w:t>
      </w:r>
      <w:r w:rsidRPr="00A30459" w:rsidR="00E23FB0">
        <w:t xml:space="preserve">hether </w:t>
      </w:r>
      <w:r w:rsidRPr="00A30459" w:rsidR="007A3435">
        <w:t xml:space="preserve">forgery and identity theft </w:t>
      </w:r>
      <w:r w:rsidRPr="00A30459" w:rsidR="008052DF">
        <w:t xml:space="preserve">are undertaken in connection with each other </w:t>
      </w:r>
      <w:r w:rsidRPr="00A30459" w:rsidR="003C0751">
        <w:t xml:space="preserve">for purposes of </w:t>
      </w:r>
      <w:r w:rsidRPr="00A30459" w:rsidR="003B7C13">
        <w:t xml:space="preserve">the identity theft exception </w:t>
      </w:r>
      <w:r w:rsidRPr="00A30459" w:rsidR="005242D5">
        <w:t xml:space="preserve">in </w:t>
      </w:r>
      <w:r w:rsidRPr="00A30459" w:rsidR="003C0751">
        <w:t>section 473(b)</w:t>
      </w:r>
      <w:r w:rsidRPr="00A30459" w:rsidR="00B1292D">
        <w:t xml:space="preserve"> </w:t>
      </w:r>
      <w:r w:rsidRPr="00A30459" w:rsidR="00153056">
        <w:t>simply because</w:t>
      </w:r>
      <w:r w:rsidRPr="00A30459" w:rsidR="007A3435">
        <w:t xml:space="preserve"> </w:t>
      </w:r>
      <w:r w:rsidRPr="00A30459" w:rsidR="00B1292D">
        <w:t>a defendant possesse</w:t>
      </w:r>
      <w:r w:rsidR="00FD03C3">
        <w:t>d</w:t>
      </w:r>
      <w:r w:rsidRPr="00A30459" w:rsidR="00B1292D">
        <w:t xml:space="preserve"> </w:t>
      </w:r>
      <w:r w:rsidRPr="00A30459" w:rsidR="00153056">
        <w:t xml:space="preserve">separate </w:t>
      </w:r>
      <w:r w:rsidRPr="00A30459" w:rsidR="007A3435">
        <w:t xml:space="preserve">stolen identification and forged instruments </w:t>
      </w:r>
      <w:r w:rsidRPr="00A30459" w:rsidR="000838B8">
        <w:t>together at the same time</w:t>
      </w:r>
      <w:r w:rsidRPr="00A30459" w:rsidR="00E010FC">
        <w:t xml:space="preserve">.  </w:t>
      </w:r>
      <w:r w:rsidRPr="00A30459" w:rsidR="00962CA6">
        <w:t xml:space="preserve">Guerrero contends that </w:t>
      </w:r>
      <w:r w:rsidRPr="00A30459" w:rsidR="00E8484E">
        <w:t xml:space="preserve">concurrent </w:t>
      </w:r>
      <w:r w:rsidRPr="00A30459" w:rsidR="00F17EF8">
        <w:t>possession</w:t>
      </w:r>
      <w:r w:rsidRPr="00A30459" w:rsidR="00207BB3">
        <w:t>, without more,</w:t>
      </w:r>
      <w:r w:rsidRPr="00A30459" w:rsidR="003A7B6E">
        <w:t xml:space="preserve"> </w:t>
      </w:r>
      <w:r w:rsidRPr="00A30459" w:rsidR="003C604F">
        <w:t>i</w:t>
      </w:r>
      <w:r w:rsidRPr="00A30459" w:rsidR="00071B2A">
        <w:t>s</w:t>
      </w:r>
      <w:r w:rsidRPr="00A30459" w:rsidR="003C604F">
        <w:t xml:space="preserve"> not enough to </w:t>
      </w:r>
      <w:r w:rsidRPr="00A30459" w:rsidR="00E8484E">
        <w:t xml:space="preserve">establish a </w:t>
      </w:r>
      <w:r w:rsidRPr="00A30459" w:rsidR="00E010FC">
        <w:t xml:space="preserve">meaningful </w:t>
      </w:r>
      <w:r w:rsidRPr="00A30459" w:rsidR="00E8484E">
        <w:t xml:space="preserve">connection between his </w:t>
      </w:r>
      <w:r w:rsidRPr="00A30459" w:rsidR="00E010FC">
        <w:t xml:space="preserve">forgery and identity theft </w:t>
      </w:r>
      <w:r w:rsidRPr="00A30459" w:rsidR="00E8484E">
        <w:t>convictions.</w:t>
      </w:r>
      <w:r w:rsidRPr="00A30459" w:rsidR="004D49AE">
        <w:t xml:space="preserve">  </w:t>
      </w:r>
      <w:r w:rsidRPr="00A30459" w:rsidR="006C3EB2">
        <w:t>The A</w:t>
      </w:r>
      <w:r w:rsidRPr="00A30459" w:rsidR="00A0179D">
        <w:t>ttorney General</w:t>
      </w:r>
      <w:r w:rsidRPr="00A30459" w:rsidR="006C3EB2">
        <w:t xml:space="preserve"> </w:t>
      </w:r>
      <w:r w:rsidRPr="00A30459" w:rsidR="005E194E">
        <w:t xml:space="preserve">argues that </w:t>
      </w:r>
      <w:r w:rsidRPr="00A30459" w:rsidR="00B33579">
        <w:t>the answer</w:t>
      </w:r>
      <w:r w:rsidRPr="00A30459" w:rsidR="009726C7">
        <w:t xml:space="preserve"> </w:t>
      </w:r>
      <w:r w:rsidRPr="00A30459" w:rsidR="005E194E">
        <w:t xml:space="preserve">depends </w:t>
      </w:r>
      <w:r w:rsidRPr="00A30459" w:rsidR="00F4214A">
        <w:t>on the</w:t>
      </w:r>
      <w:r w:rsidRPr="00A30459" w:rsidR="00962CA6">
        <w:t xml:space="preserve"> “totality of the circumstances</w:t>
      </w:r>
      <w:r w:rsidRPr="00A30459" w:rsidR="009726C7">
        <w:t>,</w:t>
      </w:r>
      <w:r w:rsidRPr="00A30459" w:rsidR="00963ED0">
        <w:t>”</w:t>
      </w:r>
      <w:r w:rsidRPr="00A30459" w:rsidR="005B0981">
        <w:t xml:space="preserve"> including wheth</w:t>
      </w:r>
      <w:r w:rsidRPr="00A30459" w:rsidR="00E8484E">
        <w:t>e</w:t>
      </w:r>
      <w:r w:rsidRPr="00A30459" w:rsidR="005B0981">
        <w:t xml:space="preserve">r </w:t>
      </w:r>
      <w:r w:rsidRPr="00A30459" w:rsidR="00207BB3">
        <w:t>the convictions</w:t>
      </w:r>
      <w:r w:rsidRPr="00A30459" w:rsidR="00286825">
        <w:t xml:space="preserve"> </w:t>
      </w:r>
      <w:r w:rsidRPr="00A30459" w:rsidR="00246A01">
        <w:t>“</w:t>
      </w:r>
      <w:r w:rsidRPr="00A30459" w:rsidR="00286825">
        <w:t>are linked in time</w:t>
      </w:r>
      <w:r w:rsidRPr="00A30459" w:rsidR="00246A01">
        <w:t xml:space="preserve"> or place, whether the crimes required an identical or similar intent, whether the same course of conduct played a significant part in both convictions, and whether the crimes facilitated one another or shared some other transactional relationship.”</w:t>
      </w:r>
      <w:r w:rsidRPr="00A30459" w:rsidR="00FA7E39">
        <w:t xml:space="preserve">  </w:t>
      </w:r>
      <w:r w:rsidRPr="00A30459" w:rsidR="00934CF6">
        <w:t>According to the Attorney General, b</w:t>
      </w:r>
      <w:r w:rsidRPr="00A30459" w:rsidR="00292224">
        <w:t>ecause Guerrero</w:t>
      </w:r>
      <w:r w:rsidRPr="00A30459" w:rsidR="00961B73">
        <w:t xml:space="preserve"> possessed the counterfeit bill and the stolen identification </w:t>
      </w:r>
      <w:r w:rsidRPr="00A30459" w:rsidR="007E1CD1">
        <w:t>in the same place,</w:t>
      </w:r>
      <w:r w:rsidRPr="00A30459" w:rsidR="006658C2">
        <w:t xml:space="preserve"> with the intent to defraud</w:t>
      </w:r>
      <w:r w:rsidRPr="00A30459" w:rsidR="00FA7E39">
        <w:t xml:space="preserve"> in both cases</w:t>
      </w:r>
      <w:r w:rsidRPr="00A30459" w:rsidR="006658C2">
        <w:t xml:space="preserve">, and because proof of each crime relied on </w:t>
      </w:r>
      <w:r w:rsidRPr="00A30459" w:rsidR="00FA7E39">
        <w:t xml:space="preserve">largely </w:t>
      </w:r>
      <w:r w:rsidRPr="00A30459" w:rsidR="006658C2">
        <w:t xml:space="preserve">the same evidence, </w:t>
      </w:r>
      <w:r w:rsidRPr="00A30459" w:rsidR="008C16FC">
        <w:t xml:space="preserve">there was a sufficient relationship between </w:t>
      </w:r>
      <w:r w:rsidRPr="00A30459" w:rsidR="00595C81">
        <w:t>his identity theft and forgery conviction</w:t>
      </w:r>
      <w:r w:rsidRPr="00A30459" w:rsidR="007F61C1">
        <w:t>s</w:t>
      </w:r>
      <w:r w:rsidRPr="00A30459" w:rsidR="00036043">
        <w:t xml:space="preserve"> to disqualify him </w:t>
      </w:r>
      <w:r w:rsidRPr="00A30459" w:rsidR="00934CF6">
        <w:t xml:space="preserve">from </w:t>
      </w:r>
      <w:r w:rsidRPr="00A30459" w:rsidR="00036043">
        <w:t>a sentence reduction</w:t>
      </w:r>
      <w:r w:rsidRPr="00A30459" w:rsidR="008C16FC">
        <w:t>.</w:t>
      </w:r>
      <w:r w:rsidRPr="00A30459" w:rsidR="007F61C1">
        <w:t xml:space="preserve"> </w:t>
      </w:r>
    </w:p>
    <w:p w:rsidR="002931F8" w:rsidRPr="00A30459" w:rsidP="00A30459">
      <w:pPr>
        <w:tabs>
          <w:tab w:val="left" w:pos="720"/>
        </w:tabs>
      </w:pPr>
      <w:r w:rsidRPr="00A30459">
        <w:tab/>
      </w:r>
      <w:r w:rsidR="003A385F">
        <w:t>W</w:t>
      </w:r>
      <w:r w:rsidRPr="00A30459" w:rsidR="003E1C10">
        <w:t xml:space="preserve">e agree </w:t>
      </w:r>
      <w:r w:rsidR="003A385F">
        <w:t>with Guerrero that concurrent possession, without more</w:t>
      </w:r>
      <w:r w:rsidR="007C613C">
        <w:t xml:space="preserve">, does not establish a meaningful connection </w:t>
      </w:r>
      <w:r w:rsidR="00174FEE">
        <w:t>between</w:t>
      </w:r>
      <w:r w:rsidR="00CA751E">
        <w:t xml:space="preserve"> the</w:t>
      </w:r>
      <w:r w:rsidR="00174FEE">
        <w:t xml:space="preserve"> two offenses </w:t>
      </w:r>
      <w:r w:rsidR="007C613C">
        <w:t xml:space="preserve">for purposes of the identity theft </w:t>
      </w:r>
      <w:r w:rsidR="00174FEE">
        <w:t>exception</w:t>
      </w:r>
      <w:r w:rsidR="007C613C">
        <w:t xml:space="preserve">.  </w:t>
      </w:r>
      <w:r w:rsidR="00EA1CCE">
        <w:t xml:space="preserve">As we </w:t>
      </w:r>
      <w:r w:rsidR="00B56B3D">
        <w:t>said</w:t>
      </w:r>
      <w:r w:rsidR="00EA1CCE">
        <w:t xml:space="preserve"> in </w:t>
      </w:r>
      <w:r w:rsidR="00EA1CCE">
        <w:rPr>
          <w:i/>
        </w:rPr>
        <w:t>Gonzale</w:t>
      </w:r>
      <w:r w:rsidR="002A2D7B">
        <w:rPr>
          <w:i/>
        </w:rPr>
        <w:t>s</w:t>
      </w:r>
      <w:r w:rsidR="00EA1CCE">
        <w:t xml:space="preserve">, </w:t>
      </w:r>
      <w:r w:rsidR="00B56B3D">
        <w:t>t</w:t>
      </w:r>
      <w:r w:rsidRPr="00A30459" w:rsidR="00B56B3D">
        <w:t xml:space="preserve">he identity theft exception does not arbitrarily combine two unrelated </w:t>
      </w:r>
      <w:r w:rsidR="00CA751E">
        <w:t>crimes</w:t>
      </w:r>
      <w:r w:rsidRPr="00A30459" w:rsidR="00B56B3D">
        <w:t>; it</w:t>
      </w:r>
      <w:r w:rsidRPr="002A2D7B" w:rsidR="002A2D7B">
        <w:t xml:space="preserve"> </w:t>
      </w:r>
      <w:r w:rsidR="002A2D7B">
        <w:t>“</w:t>
      </w:r>
      <w:r w:rsidRPr="002A2D7B" w:rsidR="002A2D7B">
        <w:t xml:space="preserve">lists two offenses that tend to </w:t>
      </w:r>
      <w:r w:rsidRPr="006E3CE2" w:rsidR="002A2D7B">
        <w:rPr>
          <w:i/>
        </w:rPr>
        <w:t>facilitate</w:t>
      </w:r>
      <w:r w:rsidRPr="002A2D7B" w:rsidR="002A2D7B">
        <w:t xml:space="preserve"> each other and, committed together, arguably trigger heightened law enforcement concerns.</w:t>
      </w:r>
      <w:r w:rsidR="002A2D7B">
        <w:t>”  (</w:t>
      </w:r>
      <w:r w:rsidR="002A2D7B">
        <w:rPr>
          <w:i/>
        </w:rPr>
        <w:t>Gonzales</w:t>
      </w:r>
      <w:r w:rsidR="002A2D7B">
        <w:t xml:space="preserve">, </w:t>
      </w:r>
      <w:r w:rsidR="002A2D7B">
        <w:rPr>
          <w:i/>
        </w:rPr>
        <w:t>supra</w:t>
      </w:r>
      <w:r w:rsidR="002A2D7B">
        <w:t>, 6 Cal.5th at p. 54</w:t>
      </w:r>
      <w:r w:rsidR="005D5D36">
        <w:t>, italics added</w:t>
      </w:r>
      <w:r w:rsidR="002A2D7B">
        <w:t xml:space="preserve">.)  </w:t>
      </w:r>
      <w:r w:rsidR="00C04B3B">
        <w:t xml:space="preserve">Although our reference to facilitation in </w:t>
      </w:r>
      <w:r w:rsidR="00C04B3B">
        <w:rPr>
          <w:i/>
        </w:rPr>
        <w:t xml:space="preserve">Gonzales </w:t>
      </w:r>
      <w:r w:rsidR="00C04B3B">
        <w:t>was illustrative, we now conclude that it provides the clearest standard</w:t>
      </w:r>
      <w:r w:rsidR="008D77FE">
        <w:t xml:space="preserve"> rooted in the purpose of </w:t>
      </w:r>
      <w:r w:rsidR="00A541CF">
        <w:t>P</w:t>
      </w:r>
      <w:r w:rsidR="00CA751E">
        <w:t>roposition</w:t>
      </w:r>
      <w:r w:rsidR="00C04B3B">
        <w:t xml:space="preserve"> </w:t>
      </w:r>
      <w:r w:rsidR="00A541CF">
        <w:t xml:space="preserve">47 </w:t>
      </w:r>
      <w:r w:rsidR="00CB608D">
        <w:t xml:space="preserve">to evaluate whether a meaningful connection </w:t>
      </w:r>
      <w:r w:rsidR="008D77FE">
        <w:t xml:space="preserve">between forgery and identity theft </w:t>
      </w:r>
      <w:r w:rsidR="00CB608D">
        <w:t xml:space="preserve">exists. </w:t>
      </w:r>
      <w:r w:rsidR="00CA751E">
        <w:t xml:space="preserve"> T</w:t>
      </w:r>
      <w:r w:rsidR="00752BCD">
        <w:t>o disqualify a defendant for relief under section 473(b),</w:t>
      </w:r>
      <w:r w:rsidR="00CB608D">
        <w:t xml:space="preserve"> </w:t>
      </w:r>
      <w:r w:rsidR="00526FA0">
        <w:t>t</w:t>
      </w:r>
      <w:r w:rsidR="002A2D7B">
        <w:t>he prosecution must show</w:t>
      </w:r>
      <w:r w:rsidR="00F030F6">
        <w:t xml:space="preserve"> that </w:t>
      </w:r>
      <w:r w:rsidR="00A541CF">
        <w:t>the</w:t>
      </w:r>
      <w:r w:rsidR="0053033B">
        <w:t xml:space="preserve"> forgery </w:t>
      </w:r>
      <w:r w:rsidR="00A541CF">
        <w:t xml:space="preserve">offense </w:t>
      </w:r>
      <w:r w:rsidR="00174FEE">
        <w:t xml:space="preserve">facilitated </w:t>
      </w:r>
      <w:r w:rsidR="00A541CF">
        <w:t>the identity theft offense, or vice versa</w:t>
      </w:r>
      <w:r w:rsidR="00174FEE">
        <w:t>.  T</w:t>
      </w:r>
      <w:r w:rsidRPr="00A30459" w:rsidR="00157051">
        <w:t xml:space="preserve">he fact </w:t>
      </w:r>
      <w:r w:rsidR="00C008CB">
        <w:t>that both offenses were committed at the same time and place</w:t>
      </w:r>
      <w:r w:rsidR="001759D0">
        <w:t>, or</w:t>
      </w:r>
      <w:r w:rsidR="00F00FC5">
        <w:t xml:space="preserve"> the fact</w:t>
      </w:r>
      <w:r w:rsidR="001759D0">
        <w:t xml:space="preserve"> that evidence of both offenses </w:t>
      </w:r>
      <w:r w:rsidR="0028032D">
        <w:t>was found at the same time and place,</w:t>
      </w:r>
      <w:r w:rsidR="00C008CB">
        <w:t xml:space="preserve"> does not</w:t>
      </w:r>
      <w:r w:rsidRPr="00A30459" w:rsidR="00B74B70">
        <w:t xml:space="preserve"> </w:t>
      </w:r>
      <w:r w:rsidRPr="00A30459" w:rsidR="00157051">
        <w:t xml:space="preserve">by itself mean that </w:t>
      </w:r>
      <w:r w:rsidR="00A541CF">
        <w:t>one</w:t>
      </w:r>
      <w:r w:rsidR="00174FEE">
        <w:t xml:space="preserve"> </w:t>
      </w:r>
      <w:r w:rsidR="00D0475D">
        <w:t>offense</w:t>
      </w:r>
      <w:r w:rsidRPr="00A30459" w:rsidR="00D0475D">
        <w:t xml:space="preserve"> </w:t>
      </w:r>
      <w:r w:rsidR="00174FEE">
        <w:t>facilitated the other</w:t>
      </w:r>
      <w:r w:rsidRPr="00A30459" w:rsidR="00074544">
        <w:t>.</w:t>
      </w:r>
    </w:p>
    <w:p w:rsidR="001E4558" w:rsidP="001B33F5">
      <w:pPr>
        <w:tabs>
          <w:tab w:val="left" w:pos="720"/>
        </w:tabs>
      </w:pPr>
      <w:r w:rsidRPr="00A30459">
        <w:tab/>
      </w:r>
      <w:r w:rsidRPr="00A30459" w:rsidR="00A11594">
        <w:t>A</w:t>
      </w:r>
      <w:r w:rsidRPr="00A30459" w:rsidR="00BE30C1">
        <w:t xml:space="preserve">s we </w:t>
      </w:r>
      <w:r w:rsidRPr="00A30459" w:rsidR="00F11710">
        <w:t xml:space="preserve">have </w:t>
      </w:r>
      <w:r w:rsidRPr="00A30459" w:rsidR="00314B2E">
        <w:t>explained</w:t>
      </w:r>
      <w:r w:rsidRPr="00A30459" w:rsidR="00BE30C1">
        <w:t xml:space="preserve">, </w:t>
      </w:r>
      <w:r w:rsidRPr="00A30459" w:rsidR="009D09FD">
        <w:t xml:space="preserve">section 473(b) does not disqualify a defendant from </w:t>
      </w:r>
      <w:r w:rsidRPr="00A30459">
        <w:t>relief</w:t>
      </w:r>
      <w:r w:rsidRPr="00A30459" w:rsidR="009D09FD">
        <w:t xml:space="preserve"> </w:t>
      </w:r>
      <w:r w:rsidRPr="00A30459" w:rsidR="00F11710">
        <w:t>when</w:t>
      </w:r>
      <w:r w:rsidR="00CE41E7">
        <w:t>ever</w:t>
      </w:r>
      <w:r w:rsidRPr="00A30459" w:rsidR="00B04C0B">
        <w:t xml:space="preserve"> there is</w:t>
      </w:r>
      <w:r w:rsidRPr="00A30459" w:rsidR="00254D33">
        <w:t xml:space="preserve"> </w:t>
      </w:r>
      <w:r w:rsidRPr="00B8792C" w:rsidR="00254D33">
        <w:t>any</w:t>
      </w:r>
      <w:r w:rsidR="00CE41E7">
        <w:t xml:space="preserve"> superficial</w:t>
      </w:r>
      <w:r w:rsidRPr="00A30459" w:rsidR="00254D33">
        <w:t xml:space="preserve"> connection between his forgery and identify theft convictions;</w:t>
      </w:r>
      <w:r w:rsidRPr="00A30459" w:rsidR="009D09FD">
        <w:t xml:space="preserve"> </w:t>
      </w:r>
      <w:r w:rsidRPr="00A30459" w:rsidR="000A291D">
        <w:t>the</w:t>
      </w:r>
      <w:r w:rsidRPr="00A30459" w:rsidR="00D84631">
        <w:t xml:space="preserve"> connection </w:t>
      </w:r>
      <w:r w:rsidRPr="00A30459" w:rsidR="00873D6C">
        <w:t xml:space="preserve">must </w:t>
      </w:r>
      <w:r w:rsidRPr="00A30459" w:rsidR="00D84631">
        <w:t>be a “meaningful” one</w:t>
      </w:r>
      <w:r w:rsidRPr="00A30459" w:rsidR="00003B1D">
        <w:t>.</w:t>
      </w:r>
      <w:r w:rsidRPr="00A30459" w:rsidR="005A69FF">
        <w:t xml:space="preserve">  (</w:t>
      </w:r>
      <w:r w:rsidRPr="00A30459" w:rsidR="005A69FF">
        <w:rPr>
          <w:i/>
        </w:rPr>
        <w:t>Gonzales</w:t>
      </w:r>
      <w:r w:rsidRPr="00A30459" w:rsidR="005A69FF">
        <w:t xml:space="preserve">, </w:t>
      </w:r>
      <w:r w:rsidRPr="00A30459" w:rsidR="005A69FF">
        <w:rPr>
          <w:i/>
        </w:rPr>
        <w:t>supra</w:t>
      </w:r>
      <w:r w:rsidRPr="00A30459" w:rsidR="005A69FF">
        <w:t>, 6 Cal.5th at p. </w:t>
      </w:r>
      <w:r w:rsidRPr="00A30459" w:rsidR="00D436C0">
        <w:t>53.)</w:t>
      </w:r>
      <w:r w:rsidRPr="00A30459" w:rsidR="00C109A7">
        <w:t xml:space="preserve">  </w:t>
      </w:r>
      <w:r w:rsidRPr="00A30459" w:rsidR="005D571B">
        <w:t>Here,</w:t>
      </w:r>
      <w:r w:rsidRPr="00A30459" w:rsidR="00F11710">
        <w:t xml:space="preserve"> as in </w:t>
      </w:r>
      <w:r w:rsidRPr="00A30459" w:rsidR="00F11710">
        <w:rPr>
          <w:i/>
        </w:rPr>
        <w:t>Gonzales</w:t>
      </w:r>
      <w:r w:rsidRPr="00A30459" w:rsidR="00F11710">
        <w:t>,</w:t>
      </w:r>
      <w:r w:rsidRPr="00A30459" w:rsidR="005D571B">
        <w:t xml:space="preserve"> </w:t>
      </w:r>
      <w:r w:rsidR="00976561">
        <w:t>Proposition 47’s</w:t>
      </w:r>
      <w:r w:rsidRPr="00A30459" w:rsidR="00976561">
        <w:t xml:space="preserve"> </w:t>
      </w:r>
      <w:r w:rsidRPr="00A30459" w:rsidR="00CE3401">
        <w:t xml:space="preserve">remedial </w:t>
      </w:r>
      <w:r w:rsidRPr="00A30459" w:rsidR="00925B5D">
        <w:t>objective</w:t>
      </w:r>
      <w:r w:rsidRPr="00A30459" w:rsidR="006A64B5">
        <w:t>s</w:t>
      </w:r>
      <w:r w:rsidR="00861E6E">
        <w:t xml:space="preserve"> </w:t>
      </w:r>
      <w:r w:rsidR="00A541CF">
        <w:t xml:space="preserve">as well as the </w:t>
      </w:r>
      <w:r w:rsidR="00861E6E">
        <w:t>limits</w:t>
      </w:r>
      <w:r w:rsidR="00A541CF">
        <w:t xml:space="preserve"> of those objectives</w:t>
      </w:r>
      <w:r w:rsidRPr="00A30459" w:rsidR="00CE3401">
        <w:t xml:space="preserve"> </w:t>
      </w:r>
      <w:r w:rsidRPr="00A30459" w:rsidR="005D571B">
        <w:t xml:space="preserve">inform our interpretation of the identity theft exception. </w:t>
      </w:r>
      <w:r w:rsidRPr="00A30459" w:rsidR="00322616">
        <w:t xml:space="preserve"> (</w:t>
      </w:r>
      <w:r w:rsidRPr="00A30459" w:rsidR="005D571B">
        <w:rPr>
          <w:i/>
        </w:rPr>
        <w:t>Gonzales</w:t>
      </w:r>
      <w:r w:rsidRPr="00A30459" w:rsidR="005D571B">
        <w:t>,</w:t>
      </w:r>
      <w:r w:rsidRPr="00A30459" w:rsidR="00322616">
        <w:t xml:space="preserve"> at p. 52</w:t>
      </w:r>
      <w:r w:rsidRPr="00A30459" w:rsidR="00E4024C">
        <w:t xml:space="preserve">, </w:t>
      </w:r>
      <w:r w:rsidRPr="00A30459" w:rsidR="00E57028">
        <w:t xml:space="preserve">citing </w:t>
      </w:r>
      <w:r w:rsidRPr="00A30459" w:rsidR="00AF22D5">
        <w:rPr>
          <w:i/>
        </w:rPr>
        <w:t>People v. Dehoyos</w:t>
      </w:r>
      <w:r w:rsidRPr="00A30459" w:rsidR="00AF22D5">
        <w:t xml:space="preserve"> (2018) 4 Cal.5th 594, 597</w:t>
      </w:r>
      <w:r w:rsidRPr="00A30459" w:rsidR="00A0179D">
        <w:t>–</w:t>
      </w:r>
      <w:r w:rsidRPr="00A30459" w:rsidR="00AF22D5">
        <w:t>599</w:t>
      </w:r>
      <w:r w:rsidRPr="00A30459" w:rsidR="00740D47">
        <w:t>.</w:t>
      </w:r>
      <w:r w:rsidRPr="00A30459" w:rsidR="00322616">
        <w:t>)</w:t>
      </w:r>
      <w:r w:rsidRPr="00A30459" w:rsidR="00740D47">
        <w:t xml:space="preserve"> </w:t>
      </w:r>
      <w:r w:rsidRPr="00A30459" w:rsidR="0089229E">
        <w:t xml:space="preserve"> </w:t>
      </w:r>
      <w:r w:rsidRPr="00A30459" w:rsidR="00740D47">
        <w:t>Proposition 47 intended</w:t>
      </w:r>
      <w:r w:rsidRPr="00A30459" w:rsidR="00744FE2">
        <w:t xml:space="preserve"> </w:t>
      </w:r>
      <w:r w:rsidRPr="00A30459" w:rsidR="0089229E">
        <w:t xml:space="preserve">“to ensure that prison spending is focused on violent and serious offenses, </w:t>
      </w:r>
      <w:r w:rsidRPr="00A30459" w:rsidR="00F53B88">
        <w:t xml:space="preserve">[and] </w:t>
      </w:r>
      <w:r w:rsidRPr="00A30459" w:rsidR="0089229E">
        <w:t>to maximize alternatives for nonserious, nonviolent crime</w:t>
      </w:r>
      <w:r w:rsidRPr="00A30459" w:rsidR="008E4BF1">
        <w:t>.</w:t>
      </w:r>
      <w:r w:rsidRPr="00A30459" w:rsidR="0089229E">
        <w:t>”</w:t>
      </w:r>
      <w:r w:rsidRPr="00A30459" w:rsidR="008E4BF1">
        <w:t xml:space="preserve"> </w:t>
      </w:r>
      <w:r w:rsidRPr="00A30459" w:rsidR="00AA671E">
        <w:t xml:space="preserve"> </w:t>
      </w:r>
      <w:r w:rsidRPr="00A30459" w:rsidR="00744FE2">
        <w:t>(Voter Information Guide,</w:t>
      </w:r>
      <w:r w:rsidR="005D5D36">
        <w:t xml:space="preserve"> Gen. Elec.,</w:t>
      </w:r>
      <w:r w:rsidRPr="00A30459" w:rsidR="00744FE2">
        <w:t xml:space="preserve"> </w:t>
      </w:r>
      <w:r w:rsidRPr="00B8792C" w:rsidR="009D1181">
        <w:rPr>
          <w:i/>
        </w:rPr>
        <w:t>supra</w:t>
      </w:r>
      <w:r w:rsidR="009D1181">
        <w:t xml:space="preserve">, </w:t>
      </w:r>
      <w:r w:rsidRPr="00A30459" w:rsidR="00744FE2">
        <w:t>text of Prop. 47, § 2, p. 70</w:t>
      </w:r>
      <w:r w:rsidRPr="00A30459" w:rsidR="008E4BF1">
        <w:t>.)</w:t>
      </w:r>
      <w:r w:rsidRPr="00A30459" w:rsidR="00772539">
        <w:t xml:space="preserve">  </w:t>
      </w:r>
      <w:r w:rsidRPr="00A30459" w:rsidR="000F7DEF">
        <w:t xml:space="preserve">To </w:t>
      </w:r>
      <w:r w:rsidRPr="00A30459" w:rsidR="00586ABF">
        <w:t>this end</w:t>
      </w:r>
      <w:r w:rsidRPr="00A30459" w:rsidR="000F7DEF">
        <w:t xml:space="preserve">, </w:t>
      </w:r>
      <w:r w:rsidRPr="00A30459" w:rsidR="00F9611B">
        <w:t>Proposition 47</w:t>
      </w:r>
      <w:r w:rsidRPr="00A30459" w:rsidR="00AC7378">
        <w:t xml:space="preserve"> redefined several theft-related offenses</w:t>
      </w:r>
      <w:r w:rsidRPr="00A30459" w:rsidR="00906E3A">
        <w:t xml:space="preserve"> as misdemeanors instead of wobblers</w:t>
      </w:r>
      <w:r w:rsidRPr="00A30459" w:rsidR="008A60BC">
        <w:t>, including forgery of instruments worth $950 or less</w:t>
      </w:r>
      <w:r w:rsidR="000E63DD">
        <w:t>.</w:t>
      </w:r>
      <w:r w:rsidR="003C3239">
        <w:t xml:space="preserve">  </w:t>
      </w:r>
      <w:r w:rsidR="000E63DD">
        <w:t>At the same time,</w:t>
      </w:r>
      <w:r w:rsidR="00F1023D">
        <w:t xml:space="preserve"> </w:t>
      </w:r>
      <w:r w:rsidR="00A541CF">
        <w:t>Proposition 47</w:t>
      </w:r>
      <w:r w:rsidR="00F1023D">
        <w:t xml:space="preserve"> limited its ameliorative reach</w:t>
      </w:r>
      <w:r w:rsidR="000E63DD">
        <w:t xml:space="preserve"> </w:t>
      </w:r>
      <w:r w:rsidR="00F1023D">
        <w:t xml:space="preserve">by </w:t>
      </w:r>
      <w:r w:rsidR="000E63DD">
        <w:t>exclud</w:t>
      </w:r>
      <w:r w:rsidR="00F1023D">
        <w:t>ing</w:t>
      </w:r>
      <w:r w:rsidR="000E63DD">
        <w:t xml:space="preserve"> </w:t>
      </w:r>
      <w:r w:rsidRPr="00A30459" w:rsidR="00586ABF">
        <w:t xml:space="preserve">more serious offenses from </w:t>
      </w:r>
      <w:r w:rsidR="00F1023D">
        <w:t>relief</w:t>
      </w:r>
      <w:r w:rsidRPr="00A30459" w:rsidR="00906E3A">
        <w:t>.</w:t>
      </w:r>
      <w:r w:rsidR="00A541CF">
        <w:t xml:space="preserve">  W</w:t>
      </w:r>
      <w:r w:rsidRPr="00A30459" w:rsidR="00976561">
        <w:t xml:space="preserve">e infer that the voters disqualified defendants convicted of both forgery and identity theft from sentence reduction because they believed that </w:t>
      </w:r>
      <w:r w:rsidR="003C3239">
        <w:t>the commission of one of those crimes to facilitate the other “</w:t>
      </w:r>
      <w:r w:rsidRPr="00A30459" w:rsidR="0034347F">
        <w:t>arguably trigger</w:t>
      </w:r>
      <w:r w:rsidR="003C3239">
        <w:t>[s]</w:t>
      </w:r>
      <w:r w:rsidRPr="00A30459" w:rsidR="0034347F">
        <w:t xml:space="preserve"> heightened law enforcement concerns.”  (</w:t>
      </w:r>
      <w:r w:rsidRPr="00A30459" w:rsidR="00286477">
        <w:rPr>
          <w:i/>
        </w:rPr>
        <w:t>Gonzales</w:t>
      </w:r>
      <w:r w:rsidRPr="00A30459" w:rsidR="00286477">
        <w:t xml:space="preserve">, </w:t>
      </w:r>
      <w:r w:rsidRPr="00A30459" w:rsidR="00194EAA">
        <w:rPr>
          <w:i/>
        </w:rPr>
        <w:t>supra</w:t>
      </w:r>
      <w:r w:rsidRPr="00A30459" w:rsidR="00194EAA">
        <w:t xml:space="preserve">, 6 Cal.5th </w:t>
      </w:r>
      <w:r w:rsidRPr="00A30459" w:rsidR="0034347F">
        <w:t>at p. 54</w:t>
      </w:r>
      <w:r w:rsidR="002C1BA9">
        <w:t>; see also Voter Information Guide,</w:t>
      </w:r>
      <w:r w:rsidR="005D5D36">
        <w:t xml:space="preserve"> Gen. Elec.,</w:t>
      </w:r>
      <w:r w:rsidR="002C1BA9">
        <w:t xml:space="preserve"> </w:t>
      </w:r>
      <w:r w:rsidR="002C1BA9">
        <w:rPr>
          <w:i/>
        </w:rPr>
        <w:t>supra</w:t>
      </w:r>
      <w:r w:rsidR="002C1BA9">
        <w:t xml:space="preserve">, </w:t>
      </w:r>
      <w:r w:rsidRPr="00A30459" w:rsidR="00751E69">
        <w:t>analysis of Prop. 47 by Legis. Analyst, p.</w:t>
      </w:r>
      <w:r w:rsidR="00751E69">
        <w:t> </w:t>
      </w:r>
      <w:r w:rsidRPr="00A30459" w:rsidR="00751E69">
        <w:t>35</w:t>
      </w:r>
      <w:r w:rsidR="00751E69">
        <w:t xml:space="preserve"> [forgery “</w:t>
      </w:r>
      <w:r w:rsidRPr="00751E69" w:rsidR="00751E69">
        <w:t>would remain a wobbler crime if the offender commits identity theft in connection with forging a check</w:t>
      </w:r>
      <w:r w:rsidR="00751E69">
        <w:t xml:space="preserve">”].) </w:t>
      </w:r>
      <w:r w:rsidRPr="00A30459" w:rsidR="00E63A1B">
        <w:t xml:space="preserve"> </w:t>
      </w:r>
      <w:r w:rsidR="0008280D">
        <w:t xml:space="preserve">Forgery offenses that either facilitate or are facilitated by identity theft may result in greater economic </w:t>
      </w:r>
      <w:r w:rsidR="003C3239">
        <w:t xml:space="preserve">and personal </w:t>
      </w:r>
      <w:r w:rsidR="0008280D">
        <w:t>harm</w:t>
      </w:r>
      <w:r w:rsidR="003C3239">
        <w:t>s</w:t>
      </w:r>
      <w:r w:rsidR="0008280D">
        <w:t xml:space="preserve">.  </w:t>
      </w:r>
      <w:r w:rsidR="003C3239">
        <w:t>Other</w:t>
      </w:r>
      <w:r w:rsidR="00C008CB">
        <w:t xml:space="preserve"> Penal Code</w:t>
      </w:r>
      <w:r w:rsidR="003C3239">
        <w:t xml:space="preserve"> provisions </w:t>
      </w:r>
      <w:r w:rsidR="00C008CB">
        <w:t xml:space="preserve">recognize </w:t>
      </w:r>
      <w:r w:rsidR="0008280D">
        <w:t>these heightened concerns</w:t>
      </w:r>
      <w:r w:rsidR="00C008CB">
        <w:t xml:space="preserve"> by</w:t>
      </w:r>
      <w:r>
        <w:t xml:space="preserve"> specifically punish</w:t>
      </w:r>
      <w:r w:rsidR="00C008CB">
        <w:t>ing</w:t>
      </w:r>
      <w:r>
        <w:t xml:space="preserve"> the falsification </w:t>
      </w:r>
      <w:r w:rsidR="003C3239">
        <w:t>or</w:t>
      </w:r>
      <w:r>
        <w:t xml:space="preserve"> possession of false driver’s licenses and identification cards “with the intent that [they] be used to facilitate the commission of any </w:t>
      </w:r>
      <w:r w:rsidR="00B358DE">
        <w:t>forgery</w:t>
      </w:r>
      <w:r>
        <w:t>.”  (§§ 470a, 470b.)</w:t>
      </w:r>
    </w:p>
    <w:p w:rsidR="00B1242A" w:rsidP="00A30459">
      <w:pPr>
        <w:tabs>
          <w:tab w:val="left" w:pos="720"/>
        </w:tabs>
      </w:pPr>
      <w:r>
        <w:tab/>
      </w:r>
      <w:r w:rsidR="009C534A">
        <w:t xml:space="preserve">Requiring a showing of facilitation provides </w:t>
      </w:r>
      <w:r w:rsidR="00B358DE">
        <w:t xml:space="preserve">a </w:t>
      </w:r>
      <w:r w:rsidR="00FB1381">
        <w:t>familiar and workable</w:t>
      </w:r>
      <w:r w:rsidR="009C534A">
        <w:t xml:space="preserve"> </w:t>
      </w:r>
      <w:r w:rsidR="00F63179">
        <w:t>standard</w:t>
      </w:r>
      <w:r w:rsidR="00A2187F">
        <w:t xml:space="preserve"> </w:t>
      </w:r>
      <w:r w:rsidR="007935A2">
        <w:t>for</w:t>
      </w:r>
      <w:r w:rsidR="00A2187F">
        <w:t xml:space="preserve"> determin</w:t>
      </w:r>
      <w:r w:rsidR="007935A2">
        <w:t>ing</w:t>
      </w:r>
      <w:r w:rsidR="00A2187F">
        <w:t xml:space="preserve"> whether a meaningful connection exists.</w:t>
      </w:r>
      <w:r w:rsidR="00870088">
        <w:t xml:space="preserve">  Courts and juries </w:t>
      </w:r>
      <w:r w:rsidR="00CB1767">
        <w:t xml:space="preserve">are </w:t>
      </w:r>
      <w:r w:rsidR="00870088">
        <w:t xml:space="preserve">frequently </w:t>
      </w:r>
      <w:r w:rsidR="00CB1767">
        <w:t xml:space="preserve">asked to </w:t>
      </w:r>
      <w:r w:rsidR="00D1512F">
        <w:t xml:space="preserve">determine whether </w:t>
      </w:r>
      <w:r w:rsidR="00CB1767">
        <w:t>c</w:t>
      </w:r>
      <w:r w:rsidR="00FE7D6C">
        <w:t>onduct aids or facilitates</w:t>
      </w:r>
      <w:r w:rsidR="005743A2">
        <w:t xml:space="preserve"> </w:t>
      </w:r>
      <w:r w:rsidR="00CB1767">
        <w:t>the commission of an offense (</w:t>
      </w:r>
      <w:r w:rsidR="001B33F5">
        <w:t>e.g.,</w:t>
      </w:r>
      <w:r w:rsidR="00FE5FE2">
        <w:t xml:space="preserve"> </w:t>
      </w:r>
      <w:r w:rsidR="00CB1767">
        <w:t>§ 31 [aiding and abetting]) or whether a defendant harbored the intent to facilitate (</w:t>
      </w:r>
      <w:r w:rsidR="001B1B90">
        <w:t>§</w:t>
      </w:r>
      <w:r w:rsidR="00CB1767">
        <w:t>§ </w:t>
      </w:r>
      <w:r w:rsidR="001B1B90">
        <w:t xml:space="preserve">470a </w:t>
      </w:r>
      <w:r w:rsidR="00EB0373">
        <w:t>[</w:t>
      </w:r>
      <w:r w:rsidR="00B358DE">
        <w:t>falsifying identification to facilitate forgery]</w:t>
      </w:r>
      <w:r w:rsidR="00D278F8">
        <w:t>,</w:t>
      </w:r>
      <w:r w:rsidR="001B1B90">
        <w:t xml:space="preserve"> 470b</w:t>
      </w:r>
      <w:r w:rsidR="00B358DE">
        <w:t xml:space="preserve"> [possessing false identification to facilitate forgery]).</w:t>
      </w:r>
      <w:r w:rsidR="008252C6">
        <w:t xml:space="preserve">  </w:t>
      </w:r>
      <w:r w:rsidR="001B33F5">
        <w:t xml:space="preserve">We said in </w:t>
      </w:r>
      <w:r w:rsidR="001B33F5">
        <w:rPr>
          <w:i/>
        </w:rPr>
        <w:t>Gonzales</w:t>
      </w:r>
      <w:r w:rsidR="001B33F5">
        <w:t xml:space="preserve"> that “[w]</w:t>
      </w:r>
      <w:r w:rsidRPr="006C084A" w:rsidR="001B33F5">
        <w:t xml:space="preserve">e can reasonably distinguish </w:t>
      </w:r>
      <w:r w:rsidR="001B33F5">
        <w:t>. . .</w:t>
      </w:r>
      <w:r w:rsidRPr="006C084A" w:rsidR="001B33F5">
        <w:t xml:space="preserve"> between foreclosing relief to those convicted of felony forgery that was also </w:t>
      </w:r>
      <w:r w:rsidRPr="00447855" w:rsidR="001B33F5">
        <w:rPr>
          <w:i/>
        </w:rPr>
        <w:t>facilitated</w:t>
      </w:r>
      <w:r w:rsidRPr="006C084A" w:rsidR="001B33F5">
        <w:t xml:space="preserve"> by the felony offense of identity theft, and barring relief for anyone who happens to have been convicted, at some point in his or her life, of unrelated forgery and identity theft offenses</w:t>
      </w:r>
      <w:r w:rsidR="001B33F5">
        <w:t>.”  (</w:t>
      </w:r>
      <w:r w:rsidR="001B33F5">
        <w:rPr>
          <w:i/>
        </w:rPr>
        <w:t>Gonzales</w:t>
      </w:r>
      <w:r w:rsidR="001B33F5">
        <w:t xml:space="preserve">, </w:t>
      </w:r>
      <w:r w:rsidRPr="00447855" w:rsidR="001B33F5">
        <w:rPr>
          <w:i/>
        </w:rPr>
        <w:t>supra</w:t>
      </w:r>
      <w:r w:rsidR="001B33F5">
        <w:t>, 6 Cal.5th at p. 55</w:t>
      </w:r>
      <w:r w:rsidR="005D5D36">
        <w:t>, italics added</w:t>
      </w:r>
      <w:r w:rsidR="001B33F5">
        <w:t>.)  And w</w:t>
      </w:r>
      <w:r w:rsidR="00D22451">
        <w:t xml:space="preserve">e </w:t>
      </w:r>
      <w:r w:rsidR="001B33F5">
        <w:t xml:space="preserve">provided </w:t>
      </w:r>
      <w:r w:rsidR="00BE3FEA">
        <w:t xml:space="preserve">a typical </w:t>
      </w:r>
      <w:r w:rsidR="001B33F5">
        <w:t>example</w:t>
      </w:r>
      <w:r w:rsidR="00BE3FEA">
        <w:t>:</w:t>
      </w:r>
      <w:r w:rsidRPr="00A30459" w:rsidR="006245E4">
        <w:t xml:space="preserve"> </w:t>
      </w:r>
      <w:r w:rsidR="00784CB8">
        <w:t xml:space="preserve"> </w:t>
      </w:r>
      <w:r w:rsidR="006245E4">
        <w:t>“</w:t>
      </w:r>
      <w:r w:rsidRPr="00A30459" w:rsidR="006245E4">
        <w:t>A person who commits forgery by imitating the victim’s signature on a check, for example, will often present identification to falsely represent his or her identity.”</w:t>
      </w:r>
      <w:r w:rsidR="006245E4">
        <w:t xml:space="preserve">  </w:t>
      </w:r>
      <w:r w:rsidRPr="00A30459" w:rsidR="006245E4">
        <w:t>(</w:t>
      </w:r>
      <w:r w:rsidR="001B33F5">
        <w:rPr>
          <w:i/>
        </w:rPr>
        <w:t>Id.</w:t>
      </w:r>
      <w:r w:rsidRPr="00A30459" w:rsidR="006245E4">
        <w:t xml:space="preserve"> at p. 54.)</w:t>
      </w:r>
      <w:r w:rsidR="00BE3FEA">
        <w:t xml:space="preserve">  </w:t>
      </w:r>
      <w:r w:rsidR="006F67DF">
        <w:t xml:space="preserve">Identity theft may also facilitate forgery in relation to the same instrument.  For example, </w:t>
      </w:r>
      <w:r w:rsidR="00513770">
        <w:t xml:space="preserve">a person </w:t>
      </w:r>
      <w:r w:rsidR="00C130B9">
        <w:t xml:space="preserve">may </w:t>
      </w:r>
      <w:r w:rsidR="00513770">
        <w:t xml:space="preserve">obtain </w:t>
      </w:r>
      <w:r w:rsidR="00141237">
        <w:t xml:space="preserve">a victim’s home address or checking account number to </w:t>
      </w:r>
      <w:r w:rsidR="00C130B9">
        <w:t>create a forged check.</w:t>
      </w:r>
      <w:r w:rsidR="00AC174B">
        <w:t xml:space="preserve">  </w:t>
      </w:r>
      <w:r w:rsidR="00FC0052">
        <w:t xml:space="preserve">This </w:t>
      </w:r>
      <w:r w:rsidR="00176075">
        <w:t xml:space="preserve">standard </w:t>
      </w:r>
      <w:r w:rsidR="005C76FB">
        <w:t>i</w:t>
      </w:r>
      <w:r w:rsidR="00AB018C">
        <w:t xml:space="preserve">s preferable to the </w:t>
      </w:r>
      <w:r>
        <w:t xml:space="preserve">totality of the circumstances </w:t>
      </w:r>
      <w:r w:rsidR="00FC0052">
        <w:t>approach</w:t>
      </w:r>
      <w:r w:rsidR="001B33F5">
        <w:t xml:space="preserve"> proposed by the Attorney General</w:t>
      </w:r>
      <w:r w:rsidR="00AB018C">
        <w:t xml:space="preserve">, which </w:t>
      </w:r>
      <w:r w:rsidR="00F613DA">
        <w:t xml:space="preserve">may </w:t>
      </w:r>
      <w:r w:rsidR="00515E11">
        <w:t xml:space="preserve">create further uncertainty and </w:t>
      </w:r>
      <w:r w:rsidR="00F613DA">
        <w:t>result in inconsistent application</w:t>
      </w:r>
      <w:r w:rsidR="00F66F3F">
        <w:t>.</w:t>
      </w:r>
    </w:p>
    <w:p w:rsidR="00874D3D" w:rsidRPr="00A30459">
      <w:pPr>
        <w:tabs>
          <w:tab w:val="left" w:pos="720"/>
        </w:tabs>
      </w:pPr>
      <w:r>
        <w:tab/>
      </w:r>
      <w:r w:rsidR="00E06172">
        <w:t xml:space="preserve">An individual can commit forgery by possessing a forged instrument </w:t>
      </w:r>
      <w:r w:rsidRPr="00A30459" w:rsidR="00FB1DFD">
        <w:t>(§ </w:t>
      </w:r>
      <w:r w:rsidR="00B77F4A">
        <w:t>476</w:t>
      </w:r>
      <w:r w:rsidR="00FB1DFD">
        <w:t>)</w:t>
      </w:r>
      <w:r w:rsidR="000F7F2A">
        <w:t>,</w:t>
      </w:r>
      <w:r w:rsidR="00B77F4A">
        <w:t xml:space="preserve"> </w:t>
      </w:r>
      <w:r w:rsidR="00FB1DFD">
        <w:t xml:space="preserve">and </w:t>
      </w:r>
      <w:r w:rsidR="00924552">
        <w:t>an</w:t>
      </w:r>
      <w:r w:rsidR="00096FEA">
        <w:t xml:space="preserve"> individual </w:t>
      </w:r>
      <w:r w:rsidR="00FB1DFD">
        <w:t xml:space="preserve">can commit identity theft by possessing </w:t>
      </w:r>
      <w:r w:rsidR="00DA6147">
        <w:t>stolen identification (§ </w:t>
      </w:r>
      <w:r w:rsidRPr="00A30459" w:rsidR="00B77F4A">
        <w:t>530.5, subd. (c)(1))</w:t>
      </w:r>
      <w:r w:rsidR="00406ADB">
        <w:t>.  But s</w:t>
      </w:r>
      <w:r w:rsidRPr="00A30459" w:rsidR="00F07C0B">
        <w:t>imultaneous p</w:t>
      </w:r>
      <w:r w:rsidRPr="00A30459" w:rsidR="00593347">
        <w:t>ossess</w:t>
      </w:r>
      <w:r w:rsidRPr="00A30459" w:rsidR="009D592B">
        <w:t xml:space="preserve">ion of </w:t>
      </w:r>
      <w:r w:rsidRPr="00A30459" w:rsidR="00593347">
        <w:t>separate stolen identification and forged instruments</w:t>
      </w:r>
      <w:r w:rsidRPr="00A30459" w:rsidR="000F1BEE">
        <w:t>, without more, does not raise the same heightened law enforcement concerns</w:t>
      </w:r>
      <w:r w:rsidR="00F14E90">
        <w:t xml:space="preserve"> </w:t>
      </w:r>
      <w:r w:rsidR="003F5FB6">
        <w:t xml:space="preserve">that </w:t>
      </w:r>
      <w:r w:rsidR="00A6299F">
        <w:t xml:space="preserve">the identity theft exception in </w:t>
      </w:r>
      <w:r w:rsidR="003F5FB6">
        <w:t>section 473</w:t>
      </w:r>
      <w:r w:rsidR="00A65A56">
        <w:t>(b)</w:t>
      </w:r>
      <w:r w:rsidR="003F5FB6">
        <w:t xml:space="preserve"> intended to address </w:t>
      </w:r>
      <w:r w:rsidR="00EF3129">
        <w:t xml:space="preserve">and is not sufficient to show </w:t>
      </w:r>
      <w:r w:rsidR="004B7289">
        <w:t>a facilitative relationship</w:t>
      </w:r>
      <w:r w:rsidR="003327AD">
        <w:t>.</w:t>
      </w:r>
      <w:r w:rsidRPr="00A30459" w:rsidR="00F229DD">
        <w:t xml:space="preserve"> </w:t>
      </w:r>
      <w:r w:rsidR="00F14E90">
        <w:t xml:space="preserve"> </w:t>
      </w:r>
      <w:r w:rsidRPr="00A30459" w:rsidR="008B1239">
        <w:t xml:space="preserve">Of course, </w:t>
      </w:r>
      <w:r w:rsidRPr="00A30459" w:rsidR="00F6129E">
        <w:t>when a defendant possesses two items of contraband at the same time, those items are connected in a superficial sense — the same person possess</w:t>
      </w:r>
      <w:r w:rsidRPr="00A30459" w:rsidR="007931E7">
        <w:t>es</w:t>
      </w:r>
      <w:r w:rsidRPr="00A30459" w:rsidR="00F6129E">
        <w:t xml:space="preserve"> them.</w:t>
      </w:r>
      <w:r w:rsidRPr="00A30459" w:rsidR="008B1239">
        <w:t xml:space="preserve"> </w:t>
      </w:r>
      <w:r w:rsidRPr="00A30459" w:rsidR="00F229DD">
        <w:t xml:space="preserve"> </w:t>
      </w:r>
      <w:r w:rsidRPr="00A30459" w:rsidR="00F6129E">
        <w:t xml:space="preserve">But </w:t>
      </w:r>
      <w:r w:rsidRPr="00A30459" w:rsidR="00AF5E08">
        <w:t xml:space="preserve">without additional evidence of </w:t>
      </w:r>
      <w:r w:rsidRPr="00A30459" w:rsidR="00C36461">
        <w:t xml:space="preserve">a connection, </w:t>
      </w:r>
      <w:r w:rsidRPr="00A30459" w:rsidR="003A7127">
        <w:t>that is all that can be said</w:t>
      </w:r>
      <w:r w:rsidRPr="00A30459" w:rsidR="00026DAA">
        <w:t>.</w:t>
      </w:r>
      <w:r w:rsidRPr="00A30459" w:rsidR="00AE6B28">
        <w:t xml:space="preserve">  </w:t>
      </w:r>
      <w:r w:rsidRPr="00A30459" w:rsidR="00302EB8">
        <w:t>Possession of one instrument need not have facilitated possession of the other.</w:t>
      </w:r>
      <w:r w:rsidRPr="00A30459" w:rsidR="00AE6B28">
        <w:t xml:space="preserve">  </w:t>
      </w:r>
      <w:r w:rsidRPr="00A30459" w:rsidR="003449F2">
        <w:t xml:space="preserve">(Cf. </w:t>
      </w:r>
      <w:r w:rsidRPr="00A30459" w:rsidR="003449F2">
        <w:rPr>
          <w:i/>
        </w:rPr>
        <w:t>Ondarza v. Superior Court</w:t>
      </w:r>
      <w:r w:rsidRPr="00A30459" w:rsidR="003449F2">
        <w:t xml:space="preserve"> (1980) 106 Cal.App.3d 195, 203 [“</w:t>
      </w:r>
      <w:r w:rsidRPr="00A30459" w:rsidR="0045495B">
        <w:t>c</w:t>
      </w:r>
      <w:r w:rsidRPr="00A30459" w:rsidR="009C53DE">
        <w:t>ommission of two separate crimes on the same day does not justify an inference that they were necessarily connected”]</w:t>
      </w:r>
      <w:r w:rsidRPr="00A30459" w:rsidR="00C25FC4">
        <w:t xml:space="preserve">; </w:t>
      </w:r>
      <w:r w:rsidRPr="00A30459" w:rsidR="008B6C8E">
        <w:rPr>
          <w:i/>
        </w:rPr>
        <w:t>People v. Saldana</w:t>
      </w:r>
      <w:r w:rsidRPr="00A30459" w:rsidR="008B6C8E">
        <w:t xml:space="preserve"> (1965) 233 Cal.App.2d 24, 30 [“</w:t>
      </w:r>
      <w:r w:rsidRPr="00A30459" w:rsidR="0045495B">
        <w:t>l</w:t>
      </w:r>
      <w:r w:rsidRPr="00A30459" w:rsidR="008B6C8E">
        <w:t xml:space="preserve">ogic supports the inference that the Legislature did not intend the phrase </w:t>
      </w:r>
      <w:r w:rsidRPr="00A30459" w:rsidR="005E3924">
        <w:t>‘</w:t>
      </w:r>
      <w:r w:rsidRPr="00A30459" w:rsidR="008B6C8E">
        <w:t>two or more different offenses connected together in their commission</w:t>
      </w:r>
      <w:r w:rsidRPr="00A30459" w:rsidR="005E3924">
        <w:t>’</w:t>
      </w:r>
      <w:r w:rsidRPr="00A30459" w:rsidR="008B6C8E">
        <w:t xml:space="preserve"> to apply to two wholly unrelated crimes merely because they were committed on the same day or . . . at the same time”</w:t>
      </w:r>
      <w:r w:rsidRPr="00A30459" w:rsidR="007A1AC7">
        <w:t xml:space="preserve"> (</w:t>
      </w:r>
      <w:r w:rsidRPr="00A30459" w:rsidR="005E3924">
        <w:t>quoting</w:t>
      </w:r>
      <w:r w:rsidRPr="00A30459" w:rsidR="007A1AC7">
        <w:t xml:space="preserve"> § </w:t>
      </w:r>
      <w:r w:rsidRPr="00A30459" w:rsidR="005E3924">
        <w:t>954)</w:t>
      </w:r>
      <w:r w:rsidRPr="00A30459" w:rsidR="008B6C8E">
        <w:t>].</w:t>
      </w:r>
      <w:r w:rsidRPr="00A30459" w:rsidR="009C53DE">
        <w:t>)</w:t>
      </w:r>
    </w:p>
    <w:p w:rsidR="00D221B1" w:rsidP="00A30459">
      <w:pPr>
        <w:tabs>
          <w:tab w:val="left" w:pos="720"/>
        </w:tabs>
      </w:pPr>
      <w:r w:rsidRPr="00A30459">
        <w:tab/>
        <w:t xml:space="preserve">The </w:t>
      </w:r>
      <w:r w:rsidRPr="00A30459" w:rsidR="00A0179D">
        <w:t>Attorney General</w:t>
      </w:r>
      <w:r w:rsidRPr="00A30459" w:rsidR="006727FC">
        <w:t xml:space="preserve"> </w:t>
      </w:r>
      <w:r w:rsidRPr="00A30459">
        <w:t>contends</w:t>
      </w:r>
      <w:r w:rsidRPr="00A30459" w:rsidR="004D2FB0">
        <w:t xml:space="preserve"> that</w:t>
      </w:r>
      <w:r w:rsidRPr="00A30459" w:rsidR="00CB225D">
        <w:t xml:space="preserve"> a defendant “found in possession of the personal identifying information of one person and an altered check of another person” </w:t>
      </w:r>
      <w:r w:rsidRPr="00A30459" w:rsidR="00123726">
        <w:t>raise</w:t>
      </w:r>
      <w:r w:rsidRPr="00A30459">
        <w:t>s</w:t>
      </w:r>
      <w:r w:rsidRPr="00A30459" w:rsidR="00123726">
        <w:t xml:space="preserve"> heightened law enforcement concerns because </w:t>
      </w:r>
      <w:r w:rsidRPr="00A30459" w:rsidR="00E025FC">
        <w:t xml:space="preserve">concurrent possession </w:t>
      </w:r>
      <w:r w:rsidRPr="00A30459" w:rsidR="00123726">
        <w:t xml:space="preserve">demonstrates that the defendant is “engaged in broad </w:t>
      </w:r>
      <w:r w:rsidRPr="00A30459" w:rsidR="00107212">
        <w:t>and</w:t>
      </w:r>
      <w:r w:rsidRPr="00A30459" w:rsidR="00123726">
        <w:t xml:space="preserve"> wide-ranging efforts to defraud multiple victims.” </w:t>
      </w:r>
      <w:r w:rsidRPr="00A30459" w:rsidR="001D7B34">
        <w:t xml:space="preserve"> </w:t>
      </w:r>
      <w:r w:rsidR="007B3C36">
        <w:t xml:space="preserve">First, </w:t>
      </w:r>
      <w:r w:rsidR="007D2EBA">
        <w:t xml:space="preserve">we doubt </w:t>
      </w:r>
      <w:r w:rsidR="00E42D78">
        <w:t>that</w:t>
      </w:r>
      <w:r w:rsidR="005A2FDB">
        <w:t xml:space="preserve"> voters intended to </w:t>
      </w:r>
      <w:r w:rsidR="009F05F5">
        <w:t xml:space="preserve">preclude a </w:t>
      </w:r>
      <w:r w:rsidR="00E52BB5">
        <w:t xml:space="preserve">forgery </w:t>
      </w:r>
      <w:r w:rsidR="009F05F5">
        <w:t>defendant from relief</w:t>
      </w:r>
      <w:r w:rsidR="00CB5DAF">
        <w:t xml:space="preserve"> s</w:t>
      </w:r>
      <w:r w:rsidR="002D6569">
        <w:t xml:space="preserve">imply because </w:t>
      </w:r>
      <w:r w:rsidR="00CB5DAF">
        <w:t>he</w:t>
      </w:r>
      <w:r w:rsidR="002D6569">
        <w:t xml:space="preserve"> </w:t>
      </w:r>
      <w:r w:rsidR="00503F3E">
        <w:t xml:space="preserve">engaged in a scheme to </w:t>
      </w:r>
      <w:r w:rsidR="002D6569">
        <w:t>defraud multiple victims</w:t>
      </w:r>
      <w:r w:rsidR="00CB5DAF">
        <w:t>.</w:t>
      </w:r>
      <w:r w:rsidR="00F67185">
        <w:t xml:space="preserve">  </w:t>
      </w:r>
      <w:r w:rsidR="00806012">
        <w:t xml:space="preserve">If </w:t>
      </w:r>
      <w:r w:rsidR="00232DC6">
        <w:t xml:space="preserve">they </w:t>
      </w:r>
      <w:r w:rsidR="00806012">
        <w:t xml:space="preserve">did, section 473(b) would </w:t>
      </w:r>
      <w:r w:rsidR="00232DC6">
        <w:t xml:space="preserve">have </w:t>
      </w:r>
      <w:r w:rsidR="00806012">
        <w:t xml:space="preserve">also </w:t>
      </w:r>
      <w:r w:rsidR="00D278F8">
        <w:t>precluded</w:t>
      </w:r>
      <w:r w:rsidR="007A2F45">
        <w:t xml:space="preserve"> relief </w:t>
      </w:r>
      <w:r w:rsidR="00D278F8">
        <w:t xml:space="preserve">for </w:t>
      </w:r>
      <w:r w:rsidR="00806012">
        <w:t>defendants convicted of two forgery offenses</w:t>
      </w:r>
      <w:r w:rsidR="000E09EA">
        <w:t>,</w:t>
      </w:r>
      <w:r w:rsidR="00806012">
        <w:t xml:space="preserve"> two identity theft offenses</w:t>
      </w:r>
      <w:r w:rsidR="000E09EA">
        <w:t xml:space="preserve">, or </w:t>
      </w:r>
      <w:r w:rsidR="00843ED2">
        <w:t>more than</w:t>
      </w:r>
      <w:r w:rsidR="000E09EA">
        <w:t xml:space="preserve"> </w:t>
      </w:r>
      <w:r w:rsidR="00232DC6">
        <w:t xml:space="preserve">one </w:t>
      </w:r>
      <w:r w:rsidR="000E09EA">
        <w:t xml:space="preserve">of </w:t>
      </w:r>
      <w:r w:rsidR="00843ED2">
        <w:t xml:space="preserve">any number of </w:t>
      </w:r>
      <w:r w:rsidR="000E09EA">
        <w:t>other fraud offenses (see</w:t>
      </w:r>
      <w:r w:rsidR="00843ED2">
        <w:t>, e.g.,</w:t>
      </w:r>
      <w:r w:rsidR="000E09EA">
        <w:t xml:space="preserve"> §</w:t>
      </w:r>
      <w:r w:rsidR="00843ED2">
        <w:t>§ </w:t>
      </w:r>
      <w:r w:rsidR="000E09EA">
        <w:t>477 [counterfeiting</w:t>
      </w:r>
      <w:r w:rsidR="0042230D">
        <w:t xml:space="preserve"> coin]</w:t>
      </w:r>
      <w:r w:rsidR="00D278F8">
        <w:t>,</w:t>
      </w:r>
      <w:r w:rsidR="0042230D">
        <w:t xml:space="preserve"> </w:t>
      </w:r>
      <w:r w:rsidR="00EE56CE">
        <w:t xml:space="preserve">532a [making false </w:t>
      </w:r>
      <w:r w:rsidR="00E95D1D">
        <w:t>representations</w:t>
      </w:r>
      <w:r w:rsidR="00EE56CE">
        <w:t>])</w:t>
      </w:r>
      <w:r w:rsidR="00577096">
        <w:t xml:space="preserve"> so long as those offenses had different victims</w:t>
      </w:r>
      <w:r w:rsidR="00806012">
        <w:t>.</w:t>
      </w:r>
      <w:r w:rsidR="00577096">
        <w:t xml:space="preserve"> </w:t>
      </w:r>
      <w:r w:rsidR="00D93E4C">
        <w:t xml:space="preserve"> </w:t>
      </w:r>
      <w:r w:rsidR="00B82E4F">
        <w:t>The electorate</w:t>
      </w:r>
      <w:r w:rsidR="001B33F5">
        <w:t xml:space="preserve"> instead</w:t>
      </w:r>
      <w:r w:rsidR="00B82E4F">
        <w:t xml:space="preserve"> chose </w:t>
      </w:r>
      <w:r w:rsidR="00461E4C">
        <w:t xml:space="preserve">to </w:t>
      </w:r>
      <w:r w:rsidR="00C650A7">
        <w:t xml:space="preserve">exclude </w:t>
      </w:r>
      <w:r w:rsidR="00FD6042">
        <w:t xml:space="preserve">defendants who committed </w:t>
      </w:r>
      <w:r w:rsidR="00B82E4F">
        <w:t xml:space="preserve">two </w:t>
      </w:r>
      <w:r w:rsidR="00F84FDF">
        <w:t xml:space="preserve">and only two </w:t>
      </w:r>
      <w:r w:rsidR="00461E4C">
        <w:t xml:space="preserve">distinct </w:t>
      </w:r>
      <w:r w:rsidR="00B82E4F">
        <w:t>fraud offenses</w:t>
      </w:r>
      <w:r w:rsidR="00C650A7">
        <w:t xml:space="preserve"> </w:t>
      </w:r>
      <w:r w:rsidR="00FD6042">
        <w:t xml:space="preserve">together.  </w:t>
      </w:r>
      <w:r w:rsidR="00577096">
        <w:t>Moreover, the law already accounts for the heightened seriousness of a criminal scheme to defraud multiple victims</w:t>
      </w:r>
      <w:r w:rsidR="001B33F5">
        <w:t>:</w:t>
      </w:r>
      <w:r w:rsidR="00577096">
        <w:t xml:space="preserve"> </w:t>
      </w:r>
      <w:r w:rsidR="001B33F5">
        <w:t xml:space="preserve"> T</w:t>
      </w:r>
      <w:r w:rsidR="00D93E4C">
        <w:t xml:space="preserve">he more separate counts of forgery and identity theft a defendant commits, the more convictions he </w:t>
      </w:r>
      <w:r w:rsidR="001B33F5">
        <w:t>may</w:t>
      </w:r>
      <w:r w:rsidR="00D93E4C">
        <w:t xml:space="preserve"> </w:t>
      </w:r>
      <w:r w:rsidR="001B33F5">
        <w:t>suffer</w:t>
      </w:r>
      <w:r w:rsidR="00D93E4C">
        <w:t>.</w:t>
      </w:r>
    </w:p>
    <w:p w:rsidR="00BD1CB0" w:rsidRPr="00A30459" w:rsidP="00A30459">
      <w:pPr>
        <w:tabs>
          <w:tab w:val="left" w:pos="720"/>
        </w:tabs>
      </w:pPr>
      <w:r>
        <w:tab/>
        <w:t>Second,</w:t>
      </w:r>
      <w:r w:rsidR="00B50FDB">
        <w:t xml:space="preserve"> even if </w:t>
      </w:r>
      <w:r w:rsidR="00A736F6">
        <w:t xml:space="preserve">the electorate intended to exclude defendants </w:t>
      </w:r>
      <w:r w:rsidR="00315DAD">
        <w:t xml:space="preserve">engaged in </w:t>
      </w:r>
      <w:r w:rsidR="00B50FDB">
        <w:t xml:space="preserve">“broad and wide-ranging </w:t>
      </w:r>
      <w:r w:rsidR="00A736F6">
        <w:t>efforts to defraud multiple victims</w:t>
      </w:r>
      <w:r w:rsidR="00315DAD">
        <w:t>,” t</w:t>
      </w:r>
      <w:r w:rsidRPr="00A30459" w:rsidR="00B05877">
        <w:t>he bare fact that a defendant possesse</w:t>
      </w:r>
      <w:r w:rsidRPr="00A30459" w:rsidR="00022E4A">
        <w:t>d</w:t>
      </w:r>
      <w:r w:rsidRPr="00A30459" w:rsidR="00B05877">
        <w:t xml:space="preserve"> two separate items of contraband</w:t>
      </w:r>
      <w:r w:rsidRPr="00A30459" w:rsidR="00022E4A">
        <w:t xml:space="preserve"> at the same time</w:t>
      </w:r>
      <w:r w:rsidRPr="00A30459" w:rsidR="00E22A48">
        <w:t>, without evidence of how and when the defendant came into possession of the contraband,</w:t>
      </w:r>
      <w:r w:rsidRPr="00A30459" w:rsidR="00022E4A">
        <w:t xml:space="preserve"> does not </w:t>
      </w:r>
      <w:r w:rsidRPr="00A30459" w:rsidR="00DB312A">
        <w:t xml:space="preserve">itself </w:t>
      </w:r>
      <w:r w:rsidRPr="00A30459" w:rsidR="00B05877">
        <w:t>demonstrate such a connection.</w:t>
      </w:r>
      <w:r w:rsidRPr="00A30459" w:rsidR="000B5A40">
        <w:t xml:space="preserve">  </w:t>
      </w:r>
      <w:r w:rsidRPr="00A30459" w:rsidR="00AA0EFC">
        <w:t>If t</w:t>
      </w:r>
      <w:r w:rsidRPr="00A30459" w:rsidR="00BF2BA8">
        <w:t xml:space="preserve">he defendant </w:t>
      </w:r>
      <w:r w:rsidRPr="00A30459" w:rsidR="00AA0EFC">
        <w:t xml:space="preserve">came </w:t>
      </w:r>
      <w:r w:rsidRPr="00A30459" w:rsidR="00BF2BA8">
        <w:t xml:space="preserve">to possess the two items at different times through unrelated </w:t>
      </w:r>
      <w:r w:rsidRPr="00A30459" w:rsidR="0047472B">
        <w:t>conduct</w:t>
      </w:r>
      <w:r w:rsidRPr="00A30459" w:rsidR="00AA0EFC">
        <w:t xml:space="preserve">, the fact that </w:t>
      </w:r>
      <w:r w:rsidRPr="00A30459" w:rsidR="0047472B">
        <w:t xml:space="preserve">he was found with both items at the same time </w:t>
      </w:r>
      <w:r w:rsidRPr="00A30459" w:rsidR="00AA0EFC">
        <w:t xml:space="preserve">would </w:t>
      </w:r>
      <w:r w:rsidRPr="00A30459" w:rsidR="0047472B">
        <w:t>not</w:t>
      </w:r>
      <w:r w:rsidRPr="00A30459" w:rsidR="00AA0EFC">
        <w:t xml:space="preserve"> indicate</w:t>
      </w:r>
      <w:r w:rsidRPr="00A30459" w:rsidR="0047472B">
        <w:t xml:space="preserve"> that the items are part of a common scheme.</w:t>
      </w:r>
      <w:r w:rsidRPr="00A30459" w:rsidR="00BF2BA8">
        <w:t xml:space="preserve">  </w:t>
      </w:r>
      <w:r w:rsidRPr="00A30459" w:rsidR="0047472B">
        <w:t xml:space="preserve">(Cf. </w:t>
      </w:r>
      <w:r w:rsidRPr="00A30459" w:rsidR="0047472B">
        <w:rPr>
          <w:i/>
        </w:rPr>
        <w:t>People v. Ewoldt</w:t>
      </w:r>
      <w:r w:rsidRPr="00A30459" w:rsidR="0047472B">
        <w:t xml:space="preserve"> (1994) 7 Cal.4th 380, 403 [“To establish the existence of a common design or plan, the common features must indicate the existence of a plan rather than a series of similar spontaneous acts . . . .”].)</w:t>
      </w:r>
    </w:p>
    <w:p w:rsidR="00D15451" w:rsidRPr="00A30459" w:rsidP="00A30459">
      <w:pPr>
        <w:tabs>
          <w:tab w:val="left" w:pos="720"/>
        </w:tabs>
      </w:pPr>
      <w:r w:rsidRPr="00A30459">
        <w:tab/>
      </w:r>
      <w:r w:rsidRPr="00A30459" w:rsidR="005F6E75">
        <w:t>In this case,</w:t>
      </w:r>
      <w:r w:rsidRPr="00A30459" w:rsidR="004636D5">
        <w:t xml:space="preserve"> the </w:t>
      </w:r>
      <w:r w:rsidRPr="00A30459">
        <w:t>stolen identification information</w:t>
      </w:r>
      <w:r w:rsidRPr="00A30459" w:rsidR="004636D5">
        <w:t xml:space="preserve"> and the counterfeit $50 bill </w:t>
      </w:r>
      <w:r w:rsidRPr="00A30459" w:rsidR="00595454">
        <w:t xml:space="preserve">were not shown to be connected in any way </w:t>
      </w:r>
      <w:r w:rsidRPr="00A30459" w:rsidR="004636D5">
        <w:t xml:space="preserve">except that they were both found in Guerrero’s wallet. </w:t>
      </w:r>
      <w:r w:rsidRPr="00A30459" w:rsidR="00380C7F">
        <w:t xml:space="preserve"> There was no evidence that Guerrero used </w:t>
      </w:r>
      <w:r w:rsidRPr="00A30459" w:rsidR="00B201C9">
        <w:t>the stolen</w:t>
      </w:r>
      <w:r w:rsidRPr="00A30459" w:rsidR="00380C7F">
        <w:t xml:space="preserve"> information to obtain the counterfeit bill.  </w:t>
      </w:r>
      <w:r w:rsidRPr="00A30459" w:rsidR="00014D4B">
        <w:t xml:space="preserve">Without such evidence, we cannot </w:t>
      </w:r>
      <w:r w:rsidRPr="00A30459" w:rsidR="00595454">
        <w:t xml:space="preserve">draw any conclusion beyond the fact </w:t>
      </w:r>
      <w:r w:rsidRPr="00A30459" w:rsidR="00014D4B">
        <w:t xml:space="preserve">that Guerrero happened to possess </w:t>
      </w:r>
      <w:r w:rsidRPr="00A30459" w:rsidR="00595454">
        <w:t xml:space="preserve">both items of </w:t>
      </w:r>
      <w:r w:rsidRPr="00A30459" w:rsidR="00014D4B">
        <w:t>contraband at the same time.</w:t>
      </w:r>
    </w:p>
    <w:p w:rsidR="00890CD1" w:rsidRPr="00A30459" w:rsidP="007B7895">
      <w:pPr>
        <w:keepNext/>
        <w:tabs>
          <w:tab w:val="left" w:pos="5760"/>
        </w:tabs>
        <w:jc w:val="center"/>
        <w:rPr>
          <w:b/>
        </w:rPr>
      </w:pPr>
      <w:r w:rsidRPr="00A30459">
        <w:rPr>
          <w:b/>
        </w:rPr>
        <w:t>CONCLUSION</w:t>
      </w:r>
    </w:p>
    <w:p w:rsidR="00A7245A" w:rsidRPr="00A30459" w:rsidP="00A30459">
      <w:pPr>
        <w:tabs>
          <w:tab w:val="left" w:pos="720"/>
          <w:tab w:val="left" w:pos="5760"/>
        </w:tabs>
      </w:pPr>
      <w:r w:rsidRPr="00A30459">
        <w:tab/>
      </w:r>
      <w:r w:rsidR="001B33F5">
        <w:t>W</w:t>
      </w:r>
      <w:r w:rsidR="00A27155">
        <w:t xml:space="preserve">e hold that </w:t>
      </w:r>
      <w:r w:rsidRPr="00A30459">
        <w:t>the</w:t>
      </w:r>
      <w:r w:rsidR="0083636D">
        <w:t xml:space="preserve"> meaningful connection requirement</w:t>
      </w:r>
      <w:r w:rsidR="00136EBF">
        <w:t xml:space="preserve"> of section 473(b)’s identity theft exception is satisfied </w:t>
      </w:r>
      <w:r w:rsidR="003221EA">
        <w:t xml:space="preserve">only if </w:t>
      </w:r>
      <w:r w:rsidR="00DF1C58">
        <w:t xml:space="preserve">a defendant convicted of forgery is </w:t>
      </w:r>
      <w:r w:rsidR="00A27155">
        <w:t xml:space="preserve">also convicted of identity theft in the same proceeding and </w:t>
      </w:r>
      <w:r w:rsidR="001B33F5">
        <w:t xml:space="preserve">only if </w:t>
      </w:r>
      <w:r w:rsidR="00A27155">
        <w:t xml:space="preserve">one of </w:t>
      </w:r>
      <w:r w:rsidR="001B33F5">
        <w:t>the offenses</w:t>
      </w:r>
      <w:r w:rsidR="00A27155">
        <w:t xml:space="preserve"> facilitated the other.  T</w:t>
      </w:r>
      <w:r w:rsidRPr="00A30459">
        <w:t xml:space="preserve">he </w:t>
      </w:r>
      <w:r w:rsidR="00467794">
        <w:t xml:space="preserve">sole </w:t>
      </w:r>
      <w:r w:rsidRPr="00A30459">
        <w:t xml:space="preserve">fact that a defendant </w:t>
      </w:r>
      <w:r w:rsidRPr="00A30459" w:rsidR="008F09CE">
        <w:t xml:space="preserve">happened to </w:t>
      </w:r>
      <w:r w:rsidRPr="00A30459">
        <w:t>possess</w:t>
      </w:r>
      <w:r w:rsidRPr="00A30459" w:rsidR="008F09CE">
        <w:t xml:space="preserve"> </w:t>
      </w:r>
      <w:r w:rsidRPr="00A30459">
        <w:t xml:space="preserve">two separate items of contraband at the same time does not demonstrate such a </w:t>
      </w:r>
      <w:r w:rsidR="00A27155">
        <w:t>facilitative relationship</w:t>
      </w:r>
      <w:r w:rsidRPr="00A30459">
        <w:t>.</w:t>
      </w:r>
      <w:r w:rsidRPr="00A30459" w:rsidR="004D00D6">
        <w:t xml:space="preserve"> </w:t>
      </w:r>
      <w:r w:rsidRPr="00A30459" w:rsidR="00DD4C0E">
        <w:t xml:space="preserve"> </w:t>
      </w:r>
      <w:r w:rsidRPr="00A30459" w:rsidR="00BB3110">
        <w:t>Simultaneous possession of contraband</w:t>
      </w:r>
      <w:r w:rsidRPr="00A30459" w:rsidR="000D323C">
        <w:t xml:space="preserve">, without </w:t>
      </w:r>
      <w:r w:rsidRPr="00A30459" w:rsidR="00893AD0">
        <w:t>more</w:t>
      </w:r>
      <w:r w:rsidRPr="00A30459" w:rsidR="000D323C">
        <w:t>,</w:t>
      </w:r>
      <w:r w:rsidRPr="00A30459" w:rsidR="001612C1">
        <w:t xml:space="preserve"> does not raise the same law enforcement concerns that </w:t>
      </w:r>
      <w:r w:rsidRPr="00A30459" w:rsidR="001849EE">
        <w:t>the electorate</w:t>
      </w:r>
      <w:r w:rsidRPr="00A30459" w:rsidR="001612C1">
        <w:t xml:space="preserve"> intended to</w:t>
      </w:r>
      <w:r w:rsidRPr="00A30459" w:rsidR="00A543B4">
        <w:t xml:space="preserve"> address when it </w:t>
      </w:r>
      <w:r w:rsidRPr="00A30459" w:rsidR="001B2094">
        <w:t>excluded</w:t>
      </w:r>
      <w:r w:rsidRPr="00A30459" w:rsidR="00E84105">
        <w:t xml:space="preserve"> defendants </w:t>
      </w:r>
      <w:r w:rsidRPr="00A30459" w:rsidR="00E84105">
        <w:rPr>
          <w:rFonts w:cstheme="minorHAnsi"/>
          <w:szCs w:val="26"/>
        </w:rPr>
        <w:t xml:space="preserve">“convicted both of forgery and of identity theft” from </w:t>
      </w:r>
      <w:r w:rsidRPr="00A30459" w:rsidR="00BA5FD5">
        <w:t>sentencing relief.</w:t>
      </w:r>
      <w:r w:rsidRPr="00A30459" w:rsidR="00E441B6">
        <w:t xml:space="preserve">  </w:t>
      </w:r>
      <w:r w:rsidRPr="00A30459" w:rsidR="00E441B6">
        <w:rPr>
          <w:rFonts w:cstheme="minorHAnsi"/>
          <w:szCs w:val="26"/>
        </w:rPr>
        <w:t>(§ 473(b).)</w:t>
      </w:r>
    </w:p>
    <w:p w:rsidR="00482B54" w:rsidRPr="00A30459" w:rsidP="00A30459">
      <w:pPr>
        <w:tabs>
          <w:tab w:val="left" w:pos="720"/>
          <w:tab w:val="left" w:pos="5760"/>
        </w:tabs>
      </w:pPr>
      <w:r w:rsidRPr="00A30459">
        <w:tab/>
      </w:r>
      <w:r w:rsidRPr="00A30459" w:rsidR="00B550AA">
        <w:t xml:space="preserve">Because Guerrero had not yet been sentenced at the time Proposition </w:t>
      </w:r>
      <w:r w:rsidRPr="00A30459" w:rsidR="002E03DF">
        <w:t xml:space="preserve">47 </w:t>
      </w:r>
      <w:r w:rsidRPr="00A30459" w:rsidR="00B550AA">
        <w:t>became effecti</w:t>
      </w:r>
      <w:r w:rsidRPr="00A30459" w:rsidR="003A62DE">
        <w:t xml:space="preserve">ve, its ameliorative provisions apply directly </w:t>
      </w:r>
      <w:r w:rsidRPr="00A30459" w:rsidR="00250FD8">
        <w:t>to his case.</w:t>
      </w:r>
      <w:r w:rsidRPr="00A30459" w:rsidR="00F9381E">
        <w:t xml:space="preserve"> </w:t>
      </w:r>
      <w:r w:rsidRPr="00A30459" w:rsidR="00E441B6">
        <w:t xml:space="preserve"> </w:t>
      </w:r>
      <w:r w:rsidRPr="00A30459" w:rsidR="00F9381E">
        <w:t>(</w:t>
      </w:r>
      <w:r w:rsidRPr="00A30459" w:rsidR="00F9381E">
        <w:rPr>
          <w:i/>
        </w:rPr>
        <w:t>People v. Lara</w:t>
      </w:r>
      <w:r w:rsidRPr="00A30459" w:rsidR="00F9381E">
        <w:t xml:space="preserve"> (2019) 6 Cal.5th 1128, 1135.)  </w:t>
      </w:r>
      <w:r w:rsidRPr="00A30459" w:rsidR="00BD5DCC">
        <w:t xml:space="preserve">It is uncontested that </w:t>
      </w:r>
      <w:r w:rsidRPr="00A30459" w:rsidR="0081707E">
        <w:t>the only evidence supporting his forgery conviction was the counterfeit $50 bill</w:t>
      </w:r>
      <w:r w:rsidRPr="00A30459" w:rsidR="00C13143">
        <w:t xml:space="preserve">, </w:t>
      </w:r>
      <w:r w:rsidR="00E233DB">
        <w:t>which is valued at</w:t>
      </w:r>
      <w:r w:rsidRPr="00A30459" w:rsidR="00E441B6">
        <w:t xml:space="preserve"> far less </w:t>
      </w:r>
      <w:r w:rsidRPr="00A30459" w:rsidR="00C13143">
        <w:t xml:space="preserve">than </w:t>
      </w:r>
      <w:r w:rsidRPr="00A30459" w:rsidR="00832F8B">
        <w:t xml:space="preserve">the $950 threshold </w:t>
      </w:r>
      <w:r w:rsidRPr="00A30459" w:rsidR="0048595B">
        <w:t xml:space="preserve">below which a forgery conviction must be </w:t>
      </w:r>
      <w:r w:rsidRPr="00A30459" w:rsidR="00E441B6">
        <w:t xml:space="preserve">punished </w:t>
      </w:r>
      <w:r w:rsidRPr="00A30459" w:rsidR="0048595B">
        <w:t>as a misdemeanor</w:t>
      </w:r>
      <w:r w:rsidRPr="00A30459" w:rsidR="00C13143">
        <w:t xml:space="preserve">. </w:t>
      </w:r>
      <w:r w:rsidRPr="00A30459">
        <w:t xml:space="preserve"> </w:t>
      </w:r>
      <w:r w:rsidRPr="00A30459" w:rsidR="00150711">
        <w:t xml:space="preserve">Guerrero is therefore entitled to reduction of his </w:t>
      </w:r>
      <w:r w:rsidRPr="00A30459" w:rsidR="00214B82">
        <w:t xml:space="preserve">forgery </w:t>
      </w:r>
      <w:r w:rsidRPr="00A30459" w:rsidR="00150711">
        <w:t>conviction to a misdemeanor.</w:t>
      </w:r>
      <w:r w:rsidRPr="00A30459" w:rsidR="00E441B6">
        <w:t xml:space="preserve">  </w:t>
      </w:r>
      <w:r w:rsidRPr="00A30459" w:rsidR="00150711">
        <w:t xml:space="preserve">Accordingly, </w:t>
      </w:r>
      <w:r w:rsidRPr="00A30459" w:rsidR="000B20A8">
        <w:t xml:space="preserve">we reverse the judgment of the Court of Appeal </w:t>
      </w:r>
      <w:r w:rsidR="00646520">
        <w:t xml:space="preserve">with instructions to </w:t>
      </w:r>
      <w:r w:rsidRPr="00A30459" w:rsidR="000B20A8">
        <w:t xml:space="preserve">remand </w:t>
      </w:r>
      <w:r w:rsidR="00AB017E">
        <w:t xml:space="preserve">to the trial court </w:t>
      </w:r>
      <w:r w:rsidRPr="00A30459" w:rsidR="000B20A8">
        <w:t xml:space="preserve">to </w:t>
      </w:r>
      <w:r w:rsidR="005D5CBD">
        <w:t>reduce</w:t>
      </w:r>
      <w:r w:rsidRPr="00A30459" w:rsidR="005D5CBD">
        <w:t xml:space="preserve"> </w:t>
      </w:r>
      <w:r w:rsidRPr="00A30459" w:rsidR="00357BE7">
        <w:t>Guerrero’s</w:t>
      </w:r>
      <w:r w:rsidRPr="00A30459" w:rsidR="004A4C21">
        <w:t xml:space="preserve"> </w:t>
      </w:r>
      <w:r w:rsidR="005D5CBD">
        <w:t>forgery conviction to a misdemeanor</w:t>
      </w:r>
      <w:r w:rsidRPr="00A30459" w:rsidR="004A4C21">
        <w:t>.</w:t>
      </w:r>
    </w:p>
    <w:p w:rsidR="00E441B6" w:rsidRPr="00A30459" w:rsidP="00A30459">
      <w:pPr>
        <w:tabs>
          <w:tab w:val="left" w:pos="5760"/>
        </w:tabs>
        <w:rPr>
          <w:b/>
        </w:rPr>
      </w:pPr>
    </w:p>
    <w:p w:rsidR="00BC1C5E" w:rsidP="00BC1C5E">
      <w:pPr>
        <w:spacing w:line="240" w:lineRule="auto"/>
        <w:ind w:left="4320" w:firstLine="720"/>
        <w:rPr>
          <w:b/>
        </w:rPr>
      </w:pPr>
      <w:r w:rsidRPr="00A30459">
        <w:rPr>
          <w:b/>
        </w:rPr>
        <w:tab/>
      </w:r>
      <w:r w:rsidR="00A63022">
        <w:rPr>
          <w:b/>
        </w:rPr>
        <w:t>LIU, J.</w:t>
      </w:r>
      <w:r w:rsidRPr="00BC1C5E">
        <w:rPr>
          <w:b/>
        </w:rPr>
        <w:t xml:space="preserve"> </w:t>
      </w:r>
    </w:p>
    <w:p w:rsidR="00BC1C5E" w:rsidP="00BC1C5E">
      <w:pPr>
        <w:spacing w:line="240" w:lineRule="auto"/>
        <w:ind w:left="4320" w:firstLine="720"/>
        <w:rPr>
          <w:b/>
        </w:rPr>
      </w:pPr>
    </w:p>
    <w:p w:rsidR="00BC1C5E" w:rsidP="00153F15">
      <w:pPr>
        <w:rPr>
          <w:b/>
        </w:rPr>
      </w:pPr>
      <w:r>
        <w:rPr>
          <w:b/>
        </w:rPr>
        <w:t>We Concur:</w:t>
      </w:r>
    </w:p>
    <w:p w:rsidR="00BC1C5E" w:rsidRPr="00146FD3" w:rsidP="00BC1C5E">
      <w:pPr>
        <w:spacing w:after="0" w:line="240" w:lineRule="auto"/>
        <w:rPr>
          <w:rFonts w:ascii="Calibri" w:hAnsi="Calibri"/>
          <w:b/>
          <w:sz w:val="22"/>
          <w:lang w:val="it-IT"/>
        </w:rPr>
      </w:pPr>
      <w:r w:rsidRPr="00146FD3">
        <w:rPr>
          <w:b/>
          <w:lang w:val="it-IT"/>
        </w:rPr>
        <w:t>CANTIL-SAKAUYE, C.</w:t>
      </w:r>
      <w:r w:rsidR="00220A5F">
        <w:rPr>
          <w:b/>
          <w:lang w:val="it-IT"/>
        </w:rPr>
        <w:t xml:space="preserve"> </w:t>
      </w:r>
      <w:r w:rsidRPr="00146FD3">
        <w:rPr>
          <w:b/>
          <w:lang w:val="it-IT"/>
        </w:rPr>
        <w:t>J.</w:t>
      </w:r>
    </w:p>
    <w:p w:rsidR="00BC1C5E" w:rsidRPr="00146FD3" w:rsidP="00BC1C5E">
      <w:pPr>
        <w:spacing w:after="0" w:line="240" w:lineRule="auto"/>
        <w:rPr>
          <w:b/>
          <w:lang w:val="it-IT"/>
        </w:rPr>
      </w:pPr>
      <w:r w:rsidRPr="00146FD3">
        <w:rPr>
          <w:b/>
          <w:lang w:val="it-IT"/>
        </w:rPr>
        <w:t>CHIN, J.</w:t>
      </w:r>
    </w:p>
    <w:p w:rsidR="00BC1C5E" w:rsidRPr="00146FD3" w:rsidP="00BC1C5E">
      <w:pPr>
        <w:spacing w:after="0" w:line="240" w:lineRule="auto"/>
        <w:rPr>
          <w:b/>
          <w:lang w:val="it-IT"/>
        </w:rPr>
      </w:pPr>
      <w:r w:rsidRPr="00146FD3">
        <w:rPr>
          <w:b/>
          <w:lang w:val="it-IT"/>
        </w:rPr>
        <w:t>CORRIGAN, J.</w:t>
      </w:r>
    </w:p>
    <w:p w:rsidR="00BC1C5E" w:rsidRPr="00146FD3" w:rsidP="00BC1C5E">
      <w:pPr>
        <w:spacing w:after="0" w:line="240" w:lineRule="auto"/>
        <w:rPr>
          <w:b/>
          <w:lang w:val="it-IT"/>
        </w:rPr>
      </w:pPr>
      <w:r w:rsidRPr="00146FD3">
        <w:rPr>
          <w:b/>
          <w:lang w:val="it-IT"/>
        </w:rPr>
        <w:t>CUÉLLAR, J.</w:t>
      </w:r>
    </w:p>
    <w:p w:rsidR="00BC1C5E" w:rsidP="00BC1C5E">
      <w:pPr>
        <w:spacing w:after="0" w:line="240" w:lineRule="auto"/>
        <w:jc w:val="left"/>
        <w:rPr>
          <w:b/>
          <w:lang w:val="it-IT"/>
        </w:rPr>
      </w:pPr>
      <w:r w:rsidRPr="00146FD3">
        <w:rPr>
          <w:b/>
          <w:lang w:val="it-IT"/>
        </w:rPr>
        <w:t>KRUGER, J.</w:t>
      </w:r>
    </w:p>
    <w:p w:rsidR="009D3475">
      <w:pPr>
        <w:spacing w:after="0" w:line="240" w:lineRule="auto"/>
        <w:jc w:val="left"/>
        <w:rPr>
          <w:b/>
        </w:rPr>
      </w:pPr>
      <w:r>
        <w:rPr>
          <w:b/>
        </w:rPr>
        <w:t>GROBAN, J.</w:t>
      </w:r>
    </w:p>
    <w:p w:rsidR="00085A63">
      <w:pPr>
        <w:spacing w:after="0" w:line="240" w:lineRule="auto"/>
        <w:jc w:val="left"/>
        <w:rPr>
          <w:b/>
        </w:rPr>
        <w:sectPr w:rsidSect="00A30459">
          <w:footerReference w:type="first" r:id="rId10"/>
          <w:pgSz w:w="12240" w:h="15840"/>
          <w:pgMar w:top="1800" w:right="2160" w:bottom="1440" w:left="2160" w:header="720" w:footer="720" w:gutter="0"/>
          <w:pgNumType w:start="1"/>
          <w:cols w:space="720"/>
          <w:titlePg/>
          <w:docGrid w:linePitch="367"/>
        </w:sectPr>
      </w:pPr>
    </w:p>
    <w:p w:rsidR="00085A63" w:rsidRPr="00085A63" w:rsidP="00085A63">
      <w:pPr>
        <w:spacing w:after="0" w:line="240" w:lineRule="auto"/>
        <w:jc w:val="left"/>
        <w:rPr>
          <w:rFonts w:ascii="Times New Roman" w:hAnsi="Times New Roman"/>
          <w:i/>
          <w:sz w:val="20"/>
        </w:rPr>
      </w:pPr>
      <w:r w:rsidRPr="00085A63">
        <w:rPr>
          <w:rFonts w:ascii="Times New Roman" w:hAnsi="Times New Roman"/>
          <w:i/>
          <w:sz w:val="20"/>
        </w:rPr>
        <w:t>See next page for addresses and telephone numbers for counsel who argued in Supreme Court.</w:t>
      </w:r>
    </w:p>
    <w:p w:rsidR="00085A63" w:rsidRPr="00085A63" w:rsidP="00085A63">
      <w:pPr>
        <w:spacing w:after="0" w:line="240" w:lineRule="auto"/>
        <w:jc w:val="left"/>
        <w:rPr>
          <w:rFonts w:ascii="Times New Roman" w:hAnsi="Times New Roman"/>
          <w:i/>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 xml:space="preserve">Name of Opinion </w:t>
      </w:r>
      <w:r w:rsidRPr="00085A63">
        <w:rPr>
          <w:rFonts w:ascii="Times New Roman" w:hAnsi="Times New Roman"/>
          <w:bCs/>
          <w:sz w:val="20"/>
        </w:rPr>
        <w:t>People v. Guerrero</w:t>
      </w:r>
      <w:r w:rsidRPr="00085A63">
        <w:rPr>
          <w:rFonts w:ascii="Times New Roman" w:hAnsi="Times New Roman"/>
          <w:sz w:val="20"/>
        </w:rPr>
        <w:t xml:space="preserve"> </w:t>
      </w:r>
      <w:r w:rsidRPr="00085A63">
        <w:rPr>
          <w:rFonts w:ascii="Times New Roman" w:hAnsi="Times New Roman"/>
          <w:b/>
          <w:sz w:val="20"/>
        </w:rPr>
        <w:t>__________________________________________________________________________________</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Cs/>
          <w:sz w:val="20"/>
        </w:rPr>
      </w:pPr>
      <w:r w:rsidRPr="00085A63">
        <w:rPr>
          <w:rFonts w:ascii="Times New Roman" w:hAnsi="Times New Roman"/>
          <w:b/>
          <w:sz w:val="20"/>
        </w:rPr>
        <w:t xml:space="preserve">Unpublished Opinion </w:t>
      </w:r>
      <w:r w:rsidRPr="00085A63">
        <w:rPr>
          <w:rFonts w:ascii="Times New Roman" w:hAnsi="Times New Roman"/>
          <w:bCs/>
          <w:sz w:val="20"/>
        </w:rPr>
        <w:t>XXX NP opn. Filed 12/5/18 – 6th Dist.</w:t>
      </w:r>
    </w:p>
    <w:p w:rsidR="00085A63" w:rsidRPr="00085A63" w:rsidP="00085A63">
      <w:pPr>
        <w:spacing w:after="0" w:line="240" w:lineRule="auto"/>
        <w:jc w:val="left"/>
        <w:rPr>
          <w:rFonts w:ascii="Times New Roman" w:hAnsi="Times New Roman"/>
          <w:sz w:val="20"/>
        </w:rPr>
      </w:pPr>
      <w:r w:rsidRPr="00085A63">
        <w:rPr>
          <w:rFonts w:ascii="Times New Roman" w:hAnsi="Times New Roman"/>
          <w:b/>
          <w:sz w:val="20"/>
        </w:rPr>
        <w:t>Original Appeal</w:t>
      </w: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 xml:space="preserve">Original Proceeding </w:t>
      </w:r>
    </w:p>
    <w:p w:rsidR="00085A63" w:rsidRPr="00085A63" w:rsidP="00085A63">
      <w:pPr>
        <w:spacing w:after="0" w:line="240" w:lineRule="auto"/>
        <w:jc w:val="left"/>
        <w:rPr>
          <w:rFonts w:ascii="Times New Roman" w:hAnsi="Times New Roman"/>
          <w:sz w:val="20"/>
        </w:rPr>
      </w:pPr>
      <w:r w:rsidRPr="00085A63">
        <w:rPr>
          <w:rFonts w:ascii="Times New Roman" w:hAnsi="Times New Roman"/>
          <w:b/>
          <w:sz w:val="20"/>
        </w:rPr>
        <w:t>Review Granted</w:t>
      </w: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Rehearing Granted</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__________________________________________________________________________________</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Cs/>
          <w:sz w:val="20"/>
        </w:rPr>
      </w:pPr>
      <w:r w:rsidRPr="00085A63">
        <w:rPr>
          <w:rFonts w:ascii="Times New Roman" w:hAnsi="Times New Roman"/>
          <w:b/>
          <w:sz w:val="20"/>
        </w:rPr>
        <w:t>Opinion No.</w:t>
      </w:r>
      <w:r w:rsidRPr="00085A63">
        <w:rPr>
          <w:rFonts w:ascii="Times New Roman" w:hAnsi="Times New Roman"/>
          <w:sz w:val="20"/>
        </w:rPr>
        <w:t xml:space="preserve"> S253405</w:t>
      </w:r>
    </w:p>
    <w:p w:rsidR="00085A63" w:rsidRPr="00085A63" w:rsidP="00085A63">
      <w:pPr>
        <w:spacing w:after="0" w:line="240" w:lineRule="auto"/>
        <w:jc w:val="left"/>
        <w:rPr>
          <w:rFonts w:ascii="Times New Roman" w:hAnsi="Times New Roman"/>
          <w:bCs/>
          <w:sz w:val="20"/>
        </w:rPr>
      </w:pPr>
      <w:r w:rsidRPr="00085A63">
        <w:rPr>
          <w:rFonts w:ascii="Times New Roman" w:hAnsi="Times New Roman"/>
          <w:b/>
          <w:sz w:val="20"/>
        </w:rPr>
        <w:t>Date Filed:</w:t>
      </w:r>
      <w:r w:rsidRPr="00085A63">
        <w:rPr>
          <w:rFonts w:ascii="Times New Roman" w:hAnsi="Times New Roman"/>
          <w:sz w:val="20"/>
        </w:rPr>
        <w:t xml:space="preserve"> April 30, 2020</w:t>
      </w: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__________________________________________________________________________________</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Cs/>
          <w:sz w:val="20"/>
        </w:rPr>
      </w:pPr>
      <w:r w:rsidRPr="00085A63">
        <w:rPr>
          <w:rFonts w:ascii="Times New Roman" w:hAnsi="Times New Roman"/>
          <w:b/>
          <w:sz w:val="20"/>
        </w:rPr>
        <w:t xml:space="preserve">Court:  </w:t>
      </w:r>
      <w:r w:rsidRPr="00085A63">
        <w:rPr>
          <w:rFonts w:ascii="Times New Roman" w:hAnsi="Times New Roman"/>
          <w:bCs/>
          <w:sz w:val="20"/>
        </w:rPr>
        <w:t>Superior</w:t>
      </w:r>
    </w:p>
    <w:p w:rsidR="00085A63" w:rsidRPr="00085A63" w:rsidP="00085A63">
      <w:pPr>
        <w:spacing w:after="0" w:line="240" w:lineRule="auto"/>
        <w:jc w:val="left"/>
        <w:rPr>
          <w:rFonts w:ascii="Times New Roman" w:hAnsi="Times New Roman"/>
          <w:bCs/>
          <w:sz w:val="20"/>
        </w:rPr>
      </w:pPr>
      <w:r w:rsidRPr="00085A63">
        <w:rPr>
          <w:rFonts w:ascii="Times New Roman" w:hAnsi="Times New Roman"/>
          <w:b/>
          <w:sz w:val="20"/>
        </w:rPr>
        <w:t xml:space="preserve">County:  </w:t>
      </w:r>
      <w:r w:rsidRPr="00085A63">
        <w:rPr>
          <w:rFonts w:ascii="Times New Roman" w:hAnsi="Times New Roman"/>
          <w:bCs/>
          <w:sz w:val="20"/>
        </w:rPr>
        <w:t>Santa Clara</w:t>
      </w:r>
    </w:p>
    <w:p w:rsidR="00085A63" w:rsidRPr="00085A63" w:rsidP="00085A63">
      <w:pPr>
        <w:spacing w:after="0" w:line="240" w:lineRule="auto"/>
        <w:ind w:left="720" w:hanging="720"/>
        <w:jc w:val="left"/>
        <w:rPr>
          <w:rFonts w:ascii="Times New Roman" w:hAnsi="Times New Roman"/>
          <w:bCs/>
          <w:sz w:val="20"/>
        </w:rPr>
      </w:pPr>
      <w:r w:rsidRPr="00085A63">
        <w:rPr>
          <w:rFonts w:ascii="Times New Roman" w:hAnsi="Times New Roman"/>
          <w:b/>
          <w:sz w:val="20"/>
        </w:rPr>
        <w:t xml:space="preserve">Judge:  </w:t>
      </w:r>
      <w:r w:rsidRPr="00085A63">
        <w:rPr>
          <w:rFonts w:ascii="Times New Roman" w:hAnsi="Times New Roman"/>
          <w:bCs/>
          <w:sz w:val="20"/>
        </w:rPr>
        <w:t>Linda R. Clark</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__________________________________________________________________________________</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Counsel:</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Randall Conner, under appointment by the Supreme Court, for Defendant and Appellant.</w:t>
      </w:r>
    </w:p>
    <w:p w:rsidR="00085A63" w:rsidRPr="00085A63" w:rsidP="00085A63">
      <w:pPr>
        <w:spacing w:after="0" w:line="240" w:lineRule="auto"/>
        <w:jc w:val="left"/>
        <w:rPr>
          <w:rFonts w:ascii="Times New Roman" w:hAnsi="Times New Roman"/>
          <w:sz w:val="20"/>
        </w:rPr>
      </w:pP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Kamala Harris and Xavier Becerra, Attorneys General, Jeffrey M. Laurence and Gerald A. Engler, Assistant Attorneys General, Seth K. Schalit, Lisa Ashley Ott, Catherine A. Rivlin and Claudia H. Amaral, Deputy Attorneys General, for Plaintiff and Respondent.</w:t>
      </w:r>
    </w:p>
    <w:p w:rsidR="00085A63" w:rsidRPr="00085A63" w:rsidP="00085A63">
      <w:pPr>
        <w:spacing w:after="0" w:line="240" w:lineRule="auto"/>
        <w:jc w:val="left"/>
        <w:rPr>
          <w:rFonts w:ascii="Times New Roman" w:hAnsi="Times New Roman"/>
          <w:sz w:val="20"/>
        </w:rPr>
      </w:pP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br w:type="page"/>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b/>
          <w:sz w:val="20"/>
        </w:rPr>
      </w:pPr>
      <w:r w:rsidRPr="00085A63">
        <w:rPr>
          <w:rFonts w:ascii="Times New Roman" w:hAnsi="Times New Roman"/>
          <w:b/>
          <w:sz w:val="20"/>
        </w:rPr>
        <w:t>Counsel who argued in Supreme Court (not intended for publication with opinion):</w:t>
      </w:r>
    </w:p>
    <w:p w:rsidR="00085A63" w:rsidRPr="00085A63" w:rsidP="00085A63">
      <w:pPr>
        <w:spacing w:after="0" w:line="240" w:lineRule="auto"/>
        <w:jc w:val="left"/>
        <w:rPr>
          <w:rFonts w:ascii="Times New Roman" w:hAnsi="Times New Roman"/>
          <w:b/>
          <w:sz w:val="20"/>
        </w:rPr>
      </w:pP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Randall Conner</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State Public Defender</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717 Washington Street, Second Floor</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Oakland, CA 94607</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(415) 264-1238</w:t>
      </w:r>
    </w:p>
    <w:p w:rsidR="00085A63" w:rsidRPr="00085A63" w:rsidP="00085A63">
      <w:pPr>
        <w:spacing w:after="0" w:line="240" w:lineRule="auto"/>
        <w:jc w:val="left"/>
        <w:rPr>
          <w:rFonts w:ascii="Times New Roman" w:hAnsi="Times New Roman"/>
          <w:sz w:val="20"/>
        </w:rPr>
      </w:pP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Lisa Ashley Ott</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Deputy Attorney General</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455 Golden Gate Ave., Suite 11000</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San Francisco, CA 94102-7004</w:t>
      </w:r>
    </w:p>
    <w:p w:rsidR="00085A63" w:rsidRPr="00085A63" w:rsidP="00085A63">
      <w:pPr>
        <w:spacing w:after="0" w:line="240" w:lineRule="auto"/>
        <w:jc w:val="left"/>
        <w:rPr>
          <w:rFonts w:ascii="Times New Roman" w:hAnsi="Times New Roman"/>
          <w:sz w:val="20"/>
        </w:rPr>
      </w:pPr>
      <w:r w:rsidRPr="00085A63">
        <w:rPr>
          <w:rFonts w:ascii="Times New Roman" w:hAnsi="Times New Roman"/>
          <w:sz w:val="20"/>
        </w:rPr>
        <w:t>(415) 510-3839</w:t>
      </w:r>
    </w:p>
    <w:p w:rsidR="00085A63" w:rsidRPr="00BC1C5E">
      <w:pPr>
        <w:spacing w:after="0" w:line="240" w:lineRule="auto"/>
        <w:jc w:val="left"/>
        <w:rPr>
          <w:b/>
        </w:rPr>
      </w:pPr>
    </w:p>
    <w:sectPr w:rsidSect="00085A63">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081">
    <w:pPr>
      <w:pStyle w:val="Footer"/>
    </w:pPr>
    <w:r>
      <w:rPr>
        <w:noProof/>
      </w:rPr>
      <w:fldChar w:fldCharType="begin"/>
    </w:r>
    <w:r>
      <w:rPr>
        <w:noProof/>
      </w:rPr>
      <w:instrText>PAGE</w:instrText>
    </w:r>
    <w:r>
      <w:rPr>
        <w:noProof/>
      </w:rPr>
      <w:fldChar w:fldCharType="separate"/>
    </w:r>
    <w:r w:rsidR="0047472B">
      <w:rPr>
        <w:noProof/>
      </w:rPr>
      <w:t>10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7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459">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A63" w:rsidRPr="00085A63" w:rsidP="00085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A63" w:rsidRPr="00085A63" w:rsidP="00085A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459">
    <w:pPr>
      <w:pStyle w:val="Header"/>
    </w:pPr>
    <w:r>
      <w:t>PEOPLE v. GUERRERO</w:t>
    </w:r>
  </w:p>
  <w:p w:rsidR="00A30459">
    <w:pPr>
      <w:pStyle w:val="Header"/>
    </w:pPr>
    <w:r>
      <w:t>Opinion of the Court by Liu, J.</w:t>
    </w:r>
  </w:p>
  <w:p w:rsidR="00A30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7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A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DE1024"/>
    <w:multiLevelType w:val="hybridMultilevel"/>
    <w:tmpl w:val="D88E55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459"/>
    <w:pPr>
      <w:spacing w:after="100" w:line="400" w:lineRule="exact"/>
      <w:jc w:val="both"/>
    </w:pPr>
    <w:rPr>
      <w:rFonts w:ascii="Century Schoolbook" w:hAnsi="Century Schoolbook"/>
      <w:sz w:val="27"/>
    </w:rPr>
  </w:style>
  <w:style w:type="paragraph" w:styleId="Heading1">
    <w:name w:val="heading 1"/>
    <w:basedOn w:val="Normal"/>
    <w:next w:val="Normal"/>
    <w:qFormat/>
    <w:rsid w:val="00A30459"/>
    <w:pPr>
      <w:keepNext/>
      <w:spacing w:before="140" w:line="240" w:lineRule="atLeast"/>
      <w:jc w:val="center"/>
      <w:outlineLvl w:val="0"/>
    </w:pPr>
    <w:rPr>
      <w:b/>
      <w:smallCaps/>
    </w:rPr>
  </w:style>
  <w:style w:type="paragraph" w:styleId="Heading2">
    <w:name w:val="heading 2"/>
    <w:basedOn w:val="Normal"/>
    <w:next w:val="Normal"/>
    <w:qFormat/>
    <w:rsid w:val="00A3045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30459"/>
    <w:pPr>
      <w:keepNext/>
      <w:tabs>
        <w:tab w:val="left" w:pos="1584"/>
      </w:tabs>
      <w:spacing w:before="140" w:line="240" w:lineRule="atLeast"/>
      <w:ind w:left="1584" w:hanging="432"/>
      <w:jc w:val="left"/>
      <w:outlineLvl w:val="2"/>
    </w:pPr>
    <w:rPr>
      <w:i/>
    </w:rPr>
  </w:style>
  <w:style w:type="paragraph" w:styleId="Heading4">
    <w:name w:val="heading 4"/>
    <w:basedOn w:val="Normal"/>
    <w:rsid w:val="00A30459"/>
    <w:pPr>
      <w:keepNext/>
      <w:tabs>
        <w:tab w:val="left" w:pos="2016"/>
      </w:tabs>
      <w:spacing w:before="140" w:line="240" w:lineRule="atLeast"/>
      <w:ind w:left="2016" w:hanging="432"/>
      <w:jc w:val="left"/>
      <w:outlineLvl w:val="3"/>
    </w:pPr>
    <w:rPr>
      <w:i/>
    </w:rPr>
  </w:style>
  <w:style w:type="paragraph" w:styleId="Heading5">
    <w:name w:val="heading 5"/>
    <w:basedOn w:val="Normal"/>
    <w:rsid w:val="00A3045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30459"/>
    <w:pPr>
      <w:ind w:left="720"/>
    </w:pPr>
  </w:style>
  <w:style w:type="paragraph" w:styleId="Footer">
    <w:name w:val="footer"/>
    <w:basedOn w:val="Normal"/>
    <w:qFormat/>
    <w:rsid w:val="00A30459"/>
    <w:pPr>
      <w:tabs>
        <w:tab w:val="center" w:pos="3960"/>
        <w:tab w:val="right" w:pos="10080"/>
      </w:tabs>
      <w:spacing w:after="0" w:line="240" w:lineRule="auto"/>
      <w:jc w:val="center"/>
    </w:pPr>
    <w:rPr>
      <w:sz w:val="22"/>
    </w:rPr>
  </w:style>
  <w:style w:type="paragraph" w:styleId="Header">
    <w:name w:val="header"/>
    <w:basedOn w:val="Normal"/>
    <w:qFormat/>
    <w:rsid w:val="00A3045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30459"/>
    <w:rPr>
      <w:rFonts w:ascii="Century Schoolbook" w:hAnsi="Century Schoolbook"/>
      <w:b/>
      <w:i w:val="0"/>
      <w:position w:val="4"/>
      <w:sz w:val="27"/>
      <w:vertAlign w:val="superscript"/>
    </w:rPr>
  </w:style>
  <w:style w:type="paragraph" w:styleId="FootnoteText">
    <w:name w:val="footnote text"/>
    <w:basedOn w:val="Normal"/>
    <w:rsid w:val="00A30459"/>
    <w:pPr>
      <w:spacing w:line="300" w:lineRule="exact"/>
    </w:pPr>
  </w:style>
  <w:style w:type="paragraph" w:customStyle="1" w:styleId="Title1">
    <w:name w:val="Title1"/>
    <w:basedOn w:val="Normal"/>
    <w:rsid w:val="00A30459"/>
    <w:pPr>
      <w:tabs>
        <w:tab w:val="left" w:pos="5760"/>
        <w:tab w:val="left" w:pos="6480"/>
      </w:tabs>
      <w:spacing w:line="240" w:lineRule="atLeast"/>
    </w:pPr>
  </w:style>
  <w:style w:type="paragraph" w:customStyle="1" w:styleId="Recommend">
    <w:name w:val="Recommend"/>
    <w:basedOn w:val="Normal"/>
    <w:rsid w:val="00A30459"/>
  </w:style>
  <w:style w:type="paragraph" w:customStyle="1" w:styleId="Summary">
    <w:name w:val="Summary"/>
    <w:basedOn w:val="Normal"/>
    <w:rsid w:val="00A30459"/>
    <w:pPr>
      <w:ind w:left="2160" w:hanging="2160"/>
    </w:pPr>
  </w:style>
  <w:style w:type="paragraph" w:customStyle="1" w:styleId="Text">
    <w:name w:val="Text"/>
    <w:basedOn w:val="Normal"/>
    <w:rsid w:val="00A30459"/>
    <w:pPr>
      <w:tabs>
        <w:tab w:val="left" w:pos="720"/>
        <w:tab w:val="left" w:pos="1440"/>
        <w:tab w:val="left" w:pos="2160"/>
        <w:tab w:val="center" w:pos="4320"/>
      </w:tabs>
      <w:spacing w:line="480" w:lineRule="atLeast"/>
      <w:ind w:firstLine="540"/>
    </w:pPr>
  </w:style>
  <w:style w:type="paragraph" w:styleId="Date">
    <w:name w:val="Date"/>
    <w:basedOn w:val="Normal"/>
    <w:semiHidden/>
    <w:rsid w:val="00A30459"/>
    <w:pPr>
      <w:jc w:val="right"/>
    </w:pPr>
  </w:style>
  <w:style w:type="character" w:styleId="PageNumber">
    <w:name w:val="page number"/>
    <w:basedOn w:val="DefaultParagraphFont"/>
    <w:rsid w:val="00A30459"/>
  </w:style>
  <w:style w:type="paragraph" w:customStyle="1" w:styleId="subject">
    <w:name w:val="subject"/>
    <w:basedOn w:val="Normal"/>
    <w:rsid w:val="00A30459"/>
    <w:pPr>
      <w:tabs>
        <w:tab w:val="left" w:pos="1008"/>
      </w:tabs>
      <w:ind w:left="990" w:hanging="990"/>
    </w:pPr>
    <w:rPr>
      <w:b/>
    </w:rPr>
  </w:style>
  <w:style w:type="paragraph" w:customStyle="1" w:styleId="Titles">
    <w:name w:val="Titles"/>
    <w:basedOn w:val="Normal"/>
    <w:rsid w:val="00A30459"/>
    <w:pPr>
      <w:tabs>
        <w:tab w:val="left" w:pos="2160"/>
      </w:tabs>
      <w:ind w:left="2160" w:hanging="2160"/>
    </w:pPr>
    <w:rPr>
      <w:b/>
    </w:rPr>
  </w:style>
  <w:style w:type="paragraph" w:styleId="TOAHeading">
    <w:name w:val="toa heading"/>
    <w:basedOn w:val="Normal"/>
    <w:next w:val="Normal"/>
    <w:semiHidden/>
    <w:rsid w:val="00A30459"/>
    <w:pPr>
      <w:spacing w:before="120"/>
    </w:pPr>
    <w:rPr>
      <w:b/>
    </w:rPr>
  </w:style>
  <w:style w:type="paragraph" w:styleId="TOC1">
    <w:name w:val="toc 1"/>
    <w:basedOn w:val="Normal"/>
    <w:next w:val="Normal"/>
    <w:autoRedefine/>
    <w:semiHidden/>
    <w:rsid w:val="00A30459"/>
  </w:style>
  <w:style w:type="paragraph" w:styleId="TOC2">
    <w:name w:val="toc 2"/>
    <w:basedOn w:val="Normal"/>
    <w:next w:val="Normal"/>
    <w:autoRedefine/>
    <w:semiHidden/>
    <w:rsid w:val="00A30459"/>
    <w:pPr>
      <w:ind w:left="259"/>
    </w:pPr>
  </w:style>
  <w:style w:type="paragraph" w:styleId="TOC3">
    <w:name w:val="toc 3"/>
    <w:basedOn w:val="Normal"/>
    <w:next w:val="Normal"/>
    <w:autoRedefine/>
    <w:semiHidden/>
    <w:rsid w:val="00A30459"/>
    <w:pPr>
      <w:ind w:left="520"/>
    </w:pPr>
  </w:style>
  <w:style w:type="paragraph" w:styleId="TOC4">
    <w:name w:val="toc 4"/>
    <w:basedOn w:val="Normal"/>
    <w:next w:val="Normal"/>
    <w:autoRedefine/>
    <w:semiHidden/>
    <w:rsid w:val="00A30459"/>
    <w:pPr>
      <w:ind w:left="780"/>
    </w:pPr>
  </w:style>
  <w:style w:type="paragraph" w:styleId="TOC5">
    <w:name w:val="toc 5"/>
    <w:basedOn w:val="Normal"/>
    <w:next w:val="Normal"/>
    <w:autoRedefine/>
    <w:semiHidden/>
    <w:rsid w:val="00A30459"/>
    <w:pPr>
      <w:ind w:left="1040"/>
    </w:pPr>
  </w:style>
  <w:style w:type="paragraph" w:styleId="TOC6">
    <w:name w:val="toc 6"/>
    <w:basedOn w:val="Normal"/>
    <w:next w:val="Normal"/>
    <w:autoRedefine/>
    <w:semiHidden/>
    <w:rsid w:val="00A30459"/>
    <w:pPr>
      <w:ind w:left="1300"/>
    </w:pPr>
  </w:style>
  <w:style w:type="paragraph" w:styleId="TOC7">
    <w:name w:val="toc 7"/>
    <w:basedOn w:val="Normal"/>
    <w:next w:val="Normal"/>
    <w:autoRedefine/>
    <w:semiHidden/>
    <w:rsid w:val="00A30459"/>
    <w:pPr>
      <w:ind w:left="1560"/>
    </w:pPr>
  </w:style>
  <w:style w:type="paragraph" w:styleId="TOC8">
    <w:name w:val="toc 8"/>
    <w:basedOn w:val="Normal"/>
    <w:next w:val="Normal"/>
    <w:autoRedefine/>
    <w:semiHidden/>
    <w:rsid w:val="00A30459"/>
    <w:pPr>
      <w:ind w:left="1820"/>
    </w:pPr>
  </w:style>
  <w:style w:type="paragraph" w:styleId="TOC9">
    <w:name w:val="toc 9"/>
    <w:basedOn w:val="Normal"/>
    <w:next w:val="Normal"/>
    <w:autoRedefine/>
    <w:semiHidden/>
    <w:rsid w:val="00A30459"/>
    <w:pPr>
      <w:ind w:left="2080"/>
    </w:pPr>
  </w:style>
  <w:style w:type="paragraph" w:customStyle="1" w:styleId="Contents">
    <w:name w:val="Contents"/>
    <w:basedOn w:val="Normal"/>
    <w:rsid w:val="00A30459"/>
    <w:pPr>
      <w:jc w:val="center"/>
    </w:pPr>
    <w:rPr>
      <w:b/>
      <w:spacing w:val="100"/>
    </w:rPr>
  </w:style>
  <w:style w:type="paragraph" w:styleId="ListParagraph">
    <w:name w:val="List Paragraph"/>
    <w:basedOn w:val="Normal"/>
    <w:uiPriority w:val="34"/>
    <w:qFormat/>
    <w:rsid w:val="005F536F"/>
    <w:pPr>
      <w:ind w:left="720"/>
      <w:contextualSpacing/>
    </w:pPr>
  </w:style>
  <w:style w:type="character" w:styleId="CommentReference">
    <w:name w:val="annotation reference"/>
    <w:basedOn w:val="DefaultParagraphFont"/>
    <w:uiPriority w:val="99"/>
    <w:semiHidden/>
    <w:unhideWhenUsed/>
    <w:rsid w:val="00051F22"/>
    <w:rPr>
      <w:sz w:val="16"/>
      <w:szCs w:val="16"/>
    </w:rPr>
  </w:style>
  <w:style w:type="paragraph" w:styleId="CommentText">
    <w:name w:val="annotation text"/>
    <w:basedOn w:val="Normal"/>
    <w:link w:val="CommentTextChar"/>
    <w:uiPriority w:val="99"/>
    <w:semiHidden/>
    <w:unhideWhenUsed/>
    <w:rsid w:val="00051F22"/>
    <w:rPr>
      <w:sz w:val="20"/>
    </w:rPr>
  </w:style>
  <w:style w:type="character" w:customStyle="1" w:styleId="CommentTextChar">
    <w:name w:val="Comment Text Char"/>
    <w:basedOn w:val="DefaultParagraphFont"/>
    <w:link w:val="CommentText"/>
    <w:uiPriority w:val="99"/>
    <w:semiHidden/>
    <w:rsid w:val="00051F22"/>
  </w:style>
  <w:style w:type="paragraph" w:styleId="CommentSubject">
    <w:name w:val="annotation subject"/>
    <w:basedOn w:val="CommentText"/>
    <w:next w:val="CommentText"/>
    <w:link w:val="CommentSubjectChar"/>
    <w:uiPriority w:val="99"/>
    <w:semiHidden/>
    <w:unhideWhenUsed/>
    <w:rsid w:val="00051F22"/>
    <w:rPr>
      <w:b/>
      <w:bCs/>
    </w:rPr>
  </w:style>
  <w:style w:type="character" w:customStyle="1" w:styleId="CommentSubjectChar">
    <w:name w:val="Comment Subject Char"/>
    <w:basedOn w:val="CommentTextChar"/>
    <w:link w:val="CommentSubject"/>
    <w:uiPriority w:val="99"/>
    <w:semiHidden/>
    <w:rsid w:val="00051F22"/>
    <w:rPr>
      <w:b/>
      <w:bCs/>
    </w:rPr>
  </w:style>
  <w:style w:type="paragraph" w:styleId="BalloonText">
    <w:name w:val="Balloon Text"/>
    <w:basedOn w:val="Normal"/>
    <w:link w:val="BalloonTextChar"/>
    <w:uiPriority w:val="99"/>
    <w:semiHidden/>
    <w:unhideWhenUsed/>
    <w:rsid w:val="00051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F22"/>
    <w:rPr>
      <w:rFonts w:ascii="Segoe UI" w:hAnsi="Segoe UI" w:cs="Segoe UI"/>
      <w:sz w:val="18"/>
      <w:szCs w:val="18"/>
    </w:rPr>
  </w:style>
  <w:style w:type="paragraph" w:styleId="Revision">
    <w:name w:val="Revision"/>
    <w:hidden/>
    <w:uiPriority w:val="99"/>
    <w:semiHidden/>
    <w:rsid w:val="005D7641"/>
    <w:rPr>
      <w:sz w:val="26"/>
    </w:rPr>
  </w:style>
  <w:style w:type="paragraph" w:styleId="BodyText">
    <w:name w:val="Body Text"/>
    <w:basedOn w:val="Normal"/>
    <w:link w:val="BodyTextChar"/>
    <w:qFormat/>
    <w:rsid w:val="00A30459"/>
  </w:style>
  <w:style w:type="character" w:customStyle="1" w:styleId="BodyTextChar">
    <w:name w:val="Body Text Char"/>
    <w:basedOn w:val="DefaultParagraphFont"/>
    <w:link w:val="BodyText"/>
    <w:rsid w:val="00A3045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header" Target="head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3614</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2020-04-30T15:42:40Z</dcterms:created>
  <dcterms:modified xsi:type="dcterms:W3CDTF">2020-04-30T15:42:40Z</dcterms:modified>
</cp:coreProperties>
</file>