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4207" w14:textId="01CFCE21" w:rsidR="009D5D32" w:rsidRDefault="00A01CA8" w:rsidP="007640FB">
      <w:pPr>
        <w:tabs>
          <w:tab w:val="left" w:pos="1440"/>
          <w:tab w:val="left" w:pos="4680"/>
          <w:tab w:val="center" w:pos="7200"/>
        </w:tabs>
        <w:spacing w:after="0"/>
        <w:jc w:val="center"/>
        <w:rPr>
          <w:sz w:val="36"/>
        </w:rPr>
      </w:pPr>
      <w:r>
        <w:rPr>
          <w:b/>
          <w:sz w:val="36"/>
        </w:rPr>
        <w:t>I</w:t>
      </w:r>
      <w:r w:rsidR="007640FB">
        <w:rPr>
          <w:b/>
          <w:sz w:val="36"/>
        </w:rPr>
        <w:t>N THE SUPREME COURT OF CALIFORNIA</w:t>
      </w:r>
    </w:p>
    <w:p w14:paraId="1703F629" w14:textId="0E073181" w:rsidR="007640FB" w:rsidRDefault="007640FB" w:rsidP="007640FB">
      <w:pPr>
        <w:tabs>
          <w:tab w:val="left" w:pos="1440"/>
          <w:tab w:val="left" w:pos="4680"/>
          <w:tab w:val="center" w:pos="7200"/>
        </w:tabs>
        <w:spacing w:after="0"/>
        <w:jc w:val="center"/>
      </w:pPr>
    </w:p>
    <w:p w14:paraId="4502D497" w14:textId="2CB82647" w:rsidR="007640FB" w:rsidRDefault="007640FB" w:rsidP="007640FB">
      <w:pPr>
        <w:tabs>
          <w:tab w:val="left" w:pos="1440"/>
          <w:tab w:val="left" w:pos="4680"/>
          <w:tab w:val="center" w:pos="7200"/>
        </w:tabs>
        <w:spacing w:after="0"/>
        <w:jc w:val="center"/>
      </w:pPr>
      <w:r>
        <w:t>LEOPOLDO PENA MENDOZA et al.,</w:t>
      </w:r>
    </w:p>
    <w:p w14:paraId="2FA13C46" w14:textId="56792AA3" w:rsidR="007640FB" w:rsidRDefault="007640FB" w:rsidP="007640FB">
      <w:pPr>
        <w:tabs>
          <w:tab w:val="left" w:pos="1440"/>
          <w:tab w:val="left" w:pos="4680"/>
          <w:tab w:val="center" w:pos="7200"/>
        </w:tabs>
        <w:spacing w:after="0"/>
        <w:jc w:val="center"/>
      </w:pPr>
      <w:r>
        <w:t>Plaintiffs and Appellants</w:t>
      </w:r>
      <w:r w:rsidR="005C373A">
        <w:t>,</w:t>
      </w:r>
    </w:p>
    <w:p w14:paraId="11D40C33" w14:textId="79725E28" w:rsidR="007640FB" w:rsidRDefault="007640FB" w:rsidP="007640FB">
      <w:pPr>
        <w:tabs>
          <w:tab w:val="left" w:pos="1440"/>
          <w:tab w:val="left" w:pos="4680"/>
          <w:tab w:val="center" w:pos="7200"/>
        </w:tabs>
        <w:spacing w:after="0"/>
        <w:jc w:val="center"/>
      </w:pPr>
      <w:r>
        <w:t>v.</w:t>
      </w:r>
    </w:p>
    <w:p w14:paraId="33932B67" w14:textId="7BF532CD" w:rsidR="007640FB" w:rsidRDefault="007640FB" w:rsidP="007640FB">
      <w:pPr>
        <w:tabs>
          <w:tab w:val="left" w:pos="1440"/>
          <w:tab w:val="left" w:pos="4680"/>
          <w:tab w:val="center" w:pos="7200"/>
        </w:tabs>
        <w:spacing w:after="0"/>
        <w:jc w:val="center"/>
      </w:pPr>
      <w:r>
        <w:t xml:space="preserve">FONSECA </w:t>
      </w:r>
      <w:proofErr w:type="spellStart"/>
      <w:r>
        <w:t>M</w:t>
      </w:r>
      <w:r w:rsidR="00573DDC">
        <w:rPr>
          <w:smallCaps/>
        </w:rPr>
        <w:t>c</w:t>
      </w:r>
      <w:r>
        <w:t>ELROY</w:t>
      </w:r>
      <w:proofErr w:type="spellEnd"/>
      <w:r>
        <w:t xml:space="preserve"> GRINDING CO.</w:t>
      </w:r>
      <w:r w:rsidR="003424D9">
        <w:t>,</w:t>
      </w:r>
      <w:r w:rsidR="00573DDC">
        <w:t xml:space="preserve"> INC.,</w:t>
      </w:r>
      <w:r w:rsidR="003424D9">
        <w:t xml:space="preserve"> et al.,</w:t>
      </w:r>
    </w:p>
    <w:p w14:paraId="093BB552" w14:textId="0165810A" w:rsidR="007640FB" w:rsidRDefault="007640FB" w:rsidP="007640FB">
      <w:pPr>
        <w:tabs>
          <w:tab w:val="left" w:pos="1440"/>
          <w:tab w:val="left" w:pos="4680"/>
          <w:tab w:val="center" w:pos="7200"/>
        </w:tabs>
        <w:spacing w:after="0"/>
        <w:jc w:val="center"/>
      </w:pPr>
      <w:r>
        <w:t>Defendants and Respondents</w:t>
      </w:r>
      <w:r w:rsidR="005C373A">
        <w:t>.</w:t>
      </w:r>
    </w:p>
    <w:p w14:paraId="72ED2C59" w14:textId="0FCB52FD" w:rsidR="007640FB" w:rsidRDefault="007640FB" w:rsidP="007640FB">
      <w:pPr>
        <w:tabs>
          <w:tab w:val="left" w:pos="1440"/>
          <w:tab w:val="left" w:pos="4680"/>
          <w:tab w:val="center" w:pos="7200"/>
        </w:tabs>
        <w:spacing w:after="0"/>
        <w:jc w:val="center"/>
      </w:pPr>
    </w:p>
    <w:p w14:paraId="063B62BF" w14:textId="729C2B61" w:rsidR="007640FB" w:rsidRDefault="007640FB" w:rsidP="007640FB">
      <w:pPr>
        <w:tabs>
          <w:tab w:val="left" w:pos="1440"/>
          <w:tab w:val="left" w:pos="4680"/>
          <w:tab w:val="center" w:pos="7200"/>
        </w:tabs>
        <w:spacing w:after="0"/>
        <w:jc w:val="center"/>
      </w:pPr>
      <w:r>
        <w:t>S253574</w:t>
      </w:r>
    </w:p>
    <w:p w14:paraId="532AC51F" w14:textId="77777777" w:rsidR="00D35C12" w:rsidRDefault="00D35C12" w:rsidP="00D35C12">
      <w:pPr>
        <w:tabs>
          <w:tab w:val="left" w:pos="1440"/>
          <w:tab w:val="left" w:pos="4680"/>
          <w:tab w:val="center" w:pos="7200"/>
        </w:tabs>
        <w:spacing w:after="0"/>
        <w:jc w:val="center"/>
      </w:pPr>
    </w:p>
    <w:p w14:paraId="2AD92409" w14:textId="77777777" w:rsidR="00D35C12" w:rsidRDefault="00D35C12" w:rsidP="00D35C12">
      <w:pPr>
        <w:tabs>
          <w:tab w:val="left" w:pos="1440"/>
          <w:tab w:val="left" w:pos="4680"/>
          <w:tab w:val="center" w:pos="7200"/>
        </w:tabs>
        <w:spacing w:after="0"/>
        <w:jc w:val="center"/>
      </w:pPr>
      <w:r>
        <w:t>Ninth Circuit</w:t>
      </w:r>
    </w:p>
    <w:p w14:paraId="674824B7" w14:textId="7120A4C7" w:rsidR="00D35C12" w:rsidRDefault="00D35C12" w:rsidP="00D35C12">
      <w:pPr>
        <w:tabs>
          <w:tab w:val="left" w:pos="1440"/>
          <w:tab w:val="left" w:pos="4680"/>
          <w:tab w:val="center" w:pos="7200"/>
        </w:tabs>
        <w:spacing w:after="0"/>
        <w:jc w:val="center"/>
      </w:pPr>
      <w:r>
        <w:t>1</w:t>
      </w:r>
      <w:r w:rsidR="003424D9">
        <w:t>7-15221</w:t>
      </w:r>
    </w:p>
    <w:p w14:paraId="55B56A34" w14:textId="77777777" w:rsidR="00D35C12" w:rsidRDefault="00D35C12" w:rsidP="00D35C12">
      <w:pPr>
        <w:tabs>
          <w:tab w:val="left" w:pos="1440"/>
          <w:tab w:val="left" w:pos="4680"/>
          <w:tab w:val="center" w:pos="7200"/>
        </w:tabs>
        <w:spacing w:after="0"/>
        <w:jc w:val="center"/>
      </w:pPr>
    </w:p>
    <w:p w14:paraId="2BB8320C" w14:textId="77777777" w:rsidR="00D35C12" w:rsidRDefault="00D35C12" w:rsidP="00D35C12">
      <w:pPr>
        <w:tabs>
          <w:tab w:val="left" w:pos="1440"/>
          <w:tab w:val="left" w:pos="4680"/>
          <w:tab w:val="center" w:pos="7200"/>
        </w:tabs>
        <w:spacing w:after="0"/>
        <w:jc w:val="center"/>
      </w:pPr>
      <w:r>
        <w:t>Northern District of California</w:t>
      </w:r>
    </w:p>
    <w:p w14:paraId="5464B214" w14:textId="2CAC6EBD" w:rsidR="00D35C12" w:rsidRDefault="003424D9" w:rsidP="00D35C12">
      <w:pPr>
        <w:tabs>
          <w:tab w:val="left" w:pos="1440"/>
          <w:tab w:val="left" w:pos="4680"/>
          <w:tab w:val="center" w:pos="7200"/>
        </w:tabs>
        <w:spacing w:after="0"/>
        <w:jc w:val="center"/>
      </w:pPr>
      <w:r>
        <w:t>3:15-cv-05143-WHO</w:t>
      </w:r>
    </w:p>
    <w:p w14:paraId="6D356FB8" w14:textId="360BE047" w:rsidR="007640FB" w:rsidRDefault="007640FB" w:rsidP="007640FB">
      <w:pPr>
        <w:pBdr>
          <w:bottom w:val="single" w:sz="4" w:space="1" w:color="auto"/>
        </w:pBdr>
        <w:tabs>
          <w:tab w:val="left" w:pos="1440"/>
          <w:tab w:val="left" w:pos="4680"/>
          <w:tab w:val="center" w:pos="7200"/>
        </w:tabs>
        <w:spacing w:after="0"/>
        <w:jc w:val="center"/>
      </w:pPr>
    </w:p>
    <w:p w14:paraId="00A7D625" w14:textId="41CEEE75" w:rsidR="007640FB" w:rsidRDefault="007640FB" w:rsidP="007640FB">
      <w:pPr>
        <w:tabs>
          <w:tab w:val="left" w:pos="1440"/>
          <w:tab w:val="left" w:pos="4680"/>
          <w:tab w:val="center" w:pos="7200"/>
        </w:tabs>
        <w:spacing w:after="0"/>
        <w:jc w:val="center"/>
      </w:pPr>
    </w:p>
    <w:p w14:paraId="3A9ECE01" w14:textId="39A6D7C3" w:rsidR="007640FB" w:rsidRDefault="007F2BA0" w:rsidP="007640FB">
      <w:pPr>
        <w:tabs>
          <w:tab w:val="left" w:pos="1440"/>
          <w:tab w:val="left" w:pos="4680"/>
          <w:tab w:val="center" w:pos="7200"/>
        </w:tabs>
        <w:spacing w:after="0"/>
        <w:jc w:val="center"/>
      </w:pPr>
      <w:r>
        <w:t>August 16</w:t>
      </w:r>
      <w:r w:rsidR="007640FB">
        <w:t>, 2021</w:t>
      </w:r>
    </w:p>
    <w:p w14:paraId="50B02789" w14:textId="10E9887E" w:rsidR="000D4AF3" w:rsidRDefault="000D4AF3" w:rsidP="007640FB">
      <w:pPr>
        <w:tabs>
          <w:tab w:val="left" w:pos="1440"/>
          <w:tab w:val="left" w:pos="4680"/>
          <w:tab w:val="center" w:pos="7200"/>
        </w:tabs>
        <w:spacing w:after="0"/>
        <w:jc w:val="center"/>
      </w:pPr>
    </w:p>
    <w:p w14:paraId="3103346A" w14:textId="131ECDDF" w:rsidR="003424D9" w:rsidRDefault="003424D9" w:rsidP="003424D9">
      <w:pPr>
        <w:tabs>
          <w:tab w:val="left" w:pos="1440"/>
          <w:tab w:val="left" w:pos="4680"/>
          <w:tab w:val="center" w:pos="7200"/>
        </w:tabs>
        <w:spacing w:after="0"/>
        <w:jc w:val="left"/>
      </w:pPr>
      <w:r>
        <w:t xml:space="preserve">Justice Corrigan authored the opinion of the Court, in which </w:t>
      </w:r>
      <w:r w:rsidR="007F2BA0">
        <w:t>Chief Justice Cantil-Sakauye and Justices Kruger, Groban, and Jenkins</w:t>
      </w:r>
      <w:r>
        <w:t xml:space="preserve"> concurred.</w:t>
      </w:r>
    </w:p>
    <w:p w14:paraId="0AAEB4DF" w14:textId="1FCCABF2" w:rsidR="007640FB" w:rsidRDefault="007640FB" w:rsidP="007640FB">
      <w:pPr>
        <w:pBdr>
          <w:bottom w:val="single" w:sz="4" w:space="1" w:color="auto"/>
        </w:pBdr>
        <w:tabs>
          <w:tab w:val="left" w:pos="1440"/>
          <w:tab w:val="left" w:pos="4680"/>
          <w:tab w:val="center" w:pos="7200"/>
        </w:tabs>
        <w:spacing w:after="0"/>
        <w:jc w:val="left"/>
      </w:pPr>
    </w:p>
    <w:p w14:paraId="09ED24C8" w14:textId="3E076648" w:rsidR="007F2BA0" w:rsidRDefault="007F2BA0" w:rsidP="007640FB">
      <w:pPr>
        <w:pBdr>
          <w:bottom w:val="single" w:sz="4" w:space="1" w:color="auto"/>
        </w:pBdr>
        <w:tabs>
          <w:tab w:val="left" w:pos="1440"/>
          <w:tab w:val="left" w:pos="4680"/>
          <w:tab w:val="center" w:pos="7200"/>
        </w:tabs>
        <w:spacing w:after="0"/>
        <w:jc w:val="left"/>
      </w:pPr>
      <w:r w:rsidRPr="007F2BA0">
        <w:t xml:space="preserve">Justice Cuéllar filed a dissenting opinion, in which Justice Liu concurred.  </w:t>
      </w:r>
    </w:p>
    <w:p w14:paraId="7EF3551A" w14:textId="77777777" w:rsidR="007640FB" w:rsidRPr="007640FB" w:rsidRDefault="007640FB" w:rsidP="007640FB">
      <w:pPr>
        <w:pBdr>
          <w:bottom w:val="single" w:sz="4" w:space="1" w:color="auto"/>
        </w:pBdr>
        <w:tabs>
          <w:tab w:val="left" w:pos="1440"/>
          <w:tab w:val="left" w:pos="4680"/>
          <w:tab w:val="center" w:pos="7200"/>
        </w:tabs>
        <w:spacing w:line="480" w:lineRule="atLeast"/>
        <w:jc w:val="left"/>
      </w:pPr>
      <w:bookmarkStart w:id="0" w:name="Return"/>
      <w:bookmarkEnd w:id="0"/>
    </w:p>
    <w:p w14:paraId="3B8B3D6C" w14:textId="77777777" w:rsidR="007640FB" w:rsidRDefault="007640FB">
      <w:pPr>
        <w:tabs>
          <w:tab w:val="left" w:pos="1440"/>
          <w:tab w:val="left" w:pos="4680"/>
          <w:tab w:val="center" w:pos="7200"/>
        </w:tabs>
        <w:spacing w:line="480" w:lineRule="atLeast"/>
        <w:sectPr w:rsidR="007640FB" w:rsidSect="00F3300C">
          <w:headerReference w:type="default" r:id="rId8"/>
          <w:footerReference w:type="default" r:id="rId9"/>
          <w:footerReference w:type="first" r:id="rId10"/>
          <w:pgSz w:w="12240" w:h="15840"/>
          <w:pgMar w:top="1800" w:right="2160" w:bottom="1440" w:left="2160" w:header="720" w:footer="720" w:gutter="0"/>
          <w:pgNumType w:start="1"/>
          <w:cols w:space="720"/>
          <w:titlePg/>
          <w:docGrid w:linePitch="367"/>
        </w:sectPr>
      </w:pPr>
    </w:p>
    <w:p w14:paraId="2D8376CB" w14:textId="50DAD862" w:rsidR="003424D9" w:rsidRPr="00490164" w:rsidRDefault="003424D9" w:rsidP="003424D9">
      <w:pPr>
        <w:tabs>
          <w:tab w:val="left" w:leader="underscore" w:pos="4680"/>
        </w:tabs>
        <w:jc w:val="center"/>
        <w:rPr>
          <w:szCs w:val="26"/>
        </w:rPr>
      </w:pPr>
      <w:r>
        <w:rPr>
          <w:szCs w:val="26"/>
        </w:rPr>
        <w:lastRenderedPageBreak/>
        <w:t xml:space="preserve">MENDOZA v. </w:t>
      </w:r>
      <w:r>
        <w:t xml:space="preserve">FONSECA </w:t>
      </w:r>
      <w:proofErr w:type="spellStart"/>
      <w:r>
        <w:t>M</w:t>
      </w:r>
      <w:r w:rsidR="00573DDC">
        <w:rPr>
          <w:smallCaps/>
        </w:rPr>
        <w:t>c</w:t>
      </w:r>
      <w:r>
        <w:t>ELROY</w:t>
      </w:r>
      <w:proofErr w:type="spellEnd"/>
      <w:r>
        <w:t xml:space="preserve"> GRINDING CO.</w:t>
      </w:r>
      <w:r w:rsidR="00573DDC">
        <w:t>, INC.</w:t>
      </w:r>
    </w:p>
    <w:p w14:paraId="27711833" w14:textId="772735DD" w:rsidR="003424D9" w:rsidRPr="00490164" w:rsidRDefault="003424D9" w:rsidP="003424D9">
      <w:pPr>
        <w:tabs>
          <w:tab w:val="left" w:leader="underscore" w:pos="4680"/>
        </w:tabs>
        <w:jc w:val="center"/>
        <w:rPr>
          <w:szCs w:val="26"/>
        </w:rPr>
      </w:pPr>
      <w:r w:rsidRPr="00490164">
        <w:rPr>
          <w:szCs w:val="26"/>
        </w:rPr>
        <w:t>S2</w:t>
      </w:r>
      <w:r>
        <w:rPr>
          <w:szCs w:val="26"/>
        </w:rPr>
        <w:t>53574</w:t>
      </w:r>
    </w:p>
    <w:p w14:paraId="38BA16D3" w14:textId="77777777" w:rsidR="003424D9" w:rsidRPr="00490164" w:rsidRDefault="003424D9" w:rsidP="003424D9">
      <w:pPr>
        <w:tabs>
          <w:tab w:val="left" w:leader="underscore" w:pos="4680"/>
        </w:tabs>
        <w:jc w:val="center"/>
        <w:rPr>
          <w:szCs w:val="26"/>
        </w:rPr>
      </w:pPr>
    </w:p>
    <w:p w14:paraId="560A5C44" w14:textId="77777777" w:rsidR="003424D9" w:rsidRPr="00490164" w:rsidRDefault="003424D9" w:rsidP="003424D9">
      <w:pPr>
        <w:tabs>
          <w:tab w:val="left" w:leader="underscore" w:pos="4680"/>
        </w:tabs>
        <w:jc w:val="center"/>
        <w:rPr>
          <w:szCs w:val="26"/>
        </w:rPr>
      </w:pPr>
      <w:r w:rsidRPr="00490164">
        <w:rPr>
          <w:szCs w:val="26"/>
        </w:rPr>
        <w:t xml:space="preserve">Opinion of the Court by </w:t>
      </w:r>
      <w:r>
        <w:rPr>
          <w:szCs w:val="26"/>
        </w:rPr>
        <w:t>Corrigan, </w:t>
      </w:r>
      <w:r w:rsidRPr="00490164">
        <w:rPr>
          <w:szCs w:val="26"/>
        </w:rPr>
        <w:t>J.</w:t>
      </w:r>
    </w:p>
    <w:p w14:paraId="66827EB5" w14:textId="77777777" w:rsidR="003424D9" w:rsidRPr="0028600B" w:rsidRDefault="003424D9" w:rsidP="003424D9">
      <w:pPr>
        <w:tabs>
          <w:tab w:val="left" w:pos="1440"/>
        </w:tabs>
      </w:pPr>
    </w:p>
    <w:p w14:paraId="4374CC74" w14:textId="6327781D" w:rsidR="005C3D2D" w:rsidRPr="0028600B" w:rsidRDefault="002C1FA2" w:rsidP="005D7EC6">
      <w:pPr>
        <w:tabs>
          <w:tab w:val="left" w:pos="1440"/>
        </w:tabs>
        <w:ind w:firstLine="720"/>
      </w:pPr>
      <w:bookmarkStart w:id="1" w:name="_Hlk75338712"/>
      <w:bookmarkStart w:id="2" w:name="_Hlk27381960"/>
      <w:r w:rsidRPr="0028600B">
        <w:t xml:space="preserve">California’s </w:t>
      </w:r>
      <w:r w:rsidR="004B1AD8" w:rsidRPr="0028600B">
        <w:t>Labor Code</w:t>
      </w:r>
      <w:r w:rsidR="006F543D" w:rsidRPr="0028600B">
        <w:t xml:space="preserve"> requires that certain kinds of jobs performed on a public works project be compensated at a </w:t>
      </w:r>
      <w:r w:rsidR="009A5079" w:rsidRPr="0028600B">
        <w:t xml:space="preserve">per diem </w:t>
      </w:r>
      <w:r w:rsidR="006F543D" w:rsidRPr="0028600B">
        <w:t>rate no less tha</w:t>
      </w:r>
      <w:r w:rsidR="004B1AD8" w:rsidRPr="0028600B">
        <w:t xml:space="preserve">n the prevailing wage </w:t>
      </w:r>
      <w:r w:rsidR="009A5079" w:rsidRPr="0028600B">
        <w:t>paid in the area where the work is done</w:t>
      </w:r>
      <w:r w:rsidR="006C4756" w:rsidRPr="0028600B">
        <w:t>.</w:t>
      </w:r>
      <w:r w:rsidR="0028600B" w:rsidRPr="0028600B">
        <w:t xml:space="preserve">  </w:t>
      </w:r>
      <w:r w:rsidR="0028600B">
        <w:t>(Lab. Code,</w:t>
      </w:r>
      <w:r w:rsidR="0028600B" w:rsidRPr="0028600B">
        <w:rPr>
          <w:rStyle w:val="FootnoteReference"/>
        </w:rPr>
        <w:footnoteReference w:id="2"/>
      </w:r>
      <w:r w:rsidR="0028600B">
        <w:t xml:space="preserve"> § 1771.)  </w:t>
      </w:r>
      <w:r w:rsidR="006C4756" w:rsidRPr="0028600B">
        <w:t>The</w:t>
      </w:r>
      <w:r w:rsidR="00B340C2">
        <w:t xml:space="preserve"> Labor </w:t>
      </w:r>
      <w:r w:rsidR="006C4756" w:rsidRPr="0028600B">
        <w:t xml:space="preserve">Code delineates with specificity the kinds of </w:t>
      </w:r>
      <w:r w:rsidR="0028600B">
        <w:t xml:space="preserve">“public </w:t>
      </w:r>
      <w:r w:rsidR="00617078">
        <w:t>work”</w:t>
      </w:r>
      <w:r w:rsidR="006C4756" w:rsidRPr="0028600B">
        <w:t xml:space="preserve"> covered by the prevailing wage statutes.</w:t>
      </w:r>
      <w:r w:rsidR="002D55CA">
        <w:t xml:space="preserve">  (</w:t>
      </w:r>
      <w:r w:rsidR="00617078">
        <w:t xml:space="preserve">See </w:t>
      </w:r>
      <w:r w:rsidR="002D55CA">
        <w:t>§§ 1720–1720.9.)</w:t>
      </w:r>
    </w:p>
    <w:p w14:paraId="3F2367A6" w14:textId="77777777" w:rsidR="00B13268" w:rsidRPr="007640FB" w:rsidRDefault="00533828" w:rsidP="00B13268">
      <w:pPr>
        <w:tabs>
          <w:tab w:val="left" w:pos="1440"/>
        </w:tabs>
        <w:ind w:firstLine="720"/>
      </w:pPr>
      <w:r>
        <w:t xml:space="preserve">The question here is whether the prevailing wage must be paid for plaintiffs’ mobilization work, which involved transporting heavy machinery to and from a public works site.  </w:t>
      </w:r>
      <w:r w:rsidR="005D7EC6">
        <w:t xml:space="preserve">It </w:t>
      </w:r>
      <w:r w:rsidR="006C6B68">
        <w:t>is undisputed that operation of the machinery at the site qualifies as “public work</w:t>
      </w:r>
      <w:r w:rsidR="0028600B">
        <w:t>.</w:t>
      </w:r>
      <w:r>
        <w:t>”</w:t>
      </w:r>
      <w:r w:rsidR="0028600B">
        <w:t xml:space="preserve">  </w:t>
      </w:r>
      <w:r w:rsidR="005D7EC6">
        <w:t xml:space="preserve">However, </w:t>
      </w:r>
      <w:r w:rsidR="006C6B68">
        <w:t>plaintiff</w:t>
      </w:r>
      <w:r w:rsidR="00B51F75">
        <w:t>s</w:t>
      </w:r>
      <w:r w:rsidR="00A01469">
        <w:t xml:space="preserve"> </w:t>
      </w:r>
      <w:r w:rsidR="007F08DB">
        <w:t>d</w:t>
      </w:r>
      <w:r w:rsidR="005D7EC6">
        <w:t>o</w:t>
      </w:r>
      <w:r w:rsidR="007F08DB">
        <w:t xml:space="preserve"> not contend that mobilization </w:t>
      </w:r>
      <w:r>
        <w:t xml:space="preserve">is </w:t>
      </w:r>
      <w:r w:rsidR="007F08DB">
        <w:t xml:space="preserve">“public work” </w:t>
      </w:r>
      <w:r w:rsidR="00A01469">
        <w:t>as</w:t>
      </w:r>
      <w:r>
        <w:t xml:space="preserve"> that term is</w:t>
      </w:r>
      <w:r w:rsidR="00A01469">
        <w:t xml:space="preserve"> </w:t>
      </w:r>
      <w:r>
        <w:t>d</w:t>
      </w:r>
      <w:r w:rsidR="00A01469">
        <w:t xml:space="preserve">efined in the </w:t>
      </w:r>
      <w:r w:rsidR="0028600B">
        <w:t>applicable statutes</w:t>
      </w:r>
      <w:r w:rsidR="00A01469">
        <w:t>.</w:t>
      </w:r>
      <w:r w:rsidR="005D7EC6">
        <w:t xml:space="preserve">  </w:t>
      </w:r>
      <w:r w:rsidR="00A01469">
        <w:t>Instead,</w:t>
      </w:r>
      <w:r w:rsidR="0028600B">
        <w:t xml:space="preserve"> they </w:t>
      </w:r>
      <w:r w:rsidR="00617078">
        <w:t>argue</w:t>
      </w:r>
      <w:r w:rsidR="00617078">
        <w:rPr>
          <w:rStyle w:val="CommentReference"/>
        </w:rPr>
        <w:t xml:space="preserve"> </w:t>
      </w:r>
      <w:r w:rsidR="0028600B">
        <w:t xml:space="preserve">that, </w:t>
      </w:r>
      <w:r w:rsidR="00A80DCC" w:rsidRPr="0028600B">
        <w:t xml:space="preserve">under Labor Code </w:t>
      </w:r>
      <w:r w:rsidR="00B744AE">
        <w:t>s</w:t>
      </w:r>
      <w:r w:rsidR="00A80DCC" w:rsidRPr="0028600B">
        <w:t xml:space="preserve">ection </w:t>
      </w:r>
      <w:r w:rsidR="00292632" w:rsidRPr="0028600B">
        <w:t xml:space="preserve">1772, </w:t>
      </w:r>
      <w:r w:rsidR="00D1588F">
        <w:t>they are “</w:t>
      </w:r>
      <w:r w:rsidR="005D7EC6">
        <w:t xml:space="preserve">deemed to be employed upon public work” </w:t>
      </w:r>
      <w:r w:rsidR="003A6A59">
        <w:t>because their mobilization work was performed “in the execution” of a public works contract</w:t>
      </w:r>
      <w:r w:rsidR="005D7EC6">
        <w:t>.</w:t>
      </w:r>
      <w:r w:rsidR="00D74903">
        <w:t xml:space="preserve">  Plaintiffs urge an interpretation </w:t>
      </w:r>
      <w:r w:rsidR="002D3234">
        <w:t xml:space="preserve">of section 1772 </w:t>
      </w:r>
      <w:r w:rsidR="00D74903">
        <w:t xml:space="preserve">that </w:t>
      </w:r>
      <w:r w:rsidR="002D3234">
        <w:t xml:space="preserve">would </w:t>
      </w:r>
      <w:r w:rsidR="007F1FFD">
        <w:t>enlarge</w:t>
      </w:r>
      <w:r w:rsidR="00D74903">
        <w:t xml:space="preserve"> the scope of the prevailing wage law to encompass </w:t>
      </w:r>
      <w:r w:rsidR="00D74903" w:rsidRPr="0028600B">
        <w:t xml:space="preserve">activities </w:t>
      </w:r>
      <w:r w:rsidR="005B5F87" w:rsidRPr="0028600B">
        <w:t xml:space="preserve">that the Legislature has </w:t>
      </w:r>
      <w:r w:rsidR="00D74903" w:rsidRPr="0028600B">
        <w:t xml:space="preserve">not </w:t>
      </w:r>
      <w:r w:rsidR="002D3234">
        <w:t>otherwise</w:t>
      </w:r>
      <w:r w:rsidR="00D74903">
        <w:t xml:space="preserve"> defined as public work</w:t>
      </w:r>
      <w:r w:rsidR="00EA4F87">
        <w:t>.</w:t>
      </w:r>
    </w:p>
    <w:p w14:paraId="47727901" w14:textId="77777777" w:rsidR="00B13268" w:rsidRPr="007640FB" w:rsidRDefault="00D74903" w:rsidP="00B13268">
      <w:pPr>
        <w:tabs>
          <w:tab w:val="left" w:pos="1440"/>
        </w:tabs>
        <w:ind w:firstLine="720"/>
      </w:pPr>
      <w:r>
        <w:t xml:space="preserve">This expansive interpretation is </w:t>
      </w:r>
      <w:r w:rsidR="0028600B">
        <w:t>unsupported by either the statutory language</w:t>
      </w:r>
      <w:r>
        <w:t xml:space="preserve"> or legislative history.</w:t>
      </w:r>
      <w:r w:rsidR="0028600B">
        <w:t xml:space="preserve">  </w:t>
      </w:r>
      <w:r>
        <w:t xml:space="preserve">Section 1772 was not intended to define or expand the categories of work covered by </w:t>
      </w:r>
      <w:r>
        <w:lastRenderedPageBreak/>
        <w:t>the prevailing wage law</w:t>
      </w:r>
      <w:r w:rsidR="002223BA">
        <w:t>.</w:t>
      </w:r>
      <w:r w:rsidR="0028600B">
        <w:t xml:space="preserve">  As a result, plaintiffs’ reliance</w:t>
      </w:r>
      <w:r w:rsidR="009875F0">
        <w:t xml:space="preserve"> </w:t>
      </w:r>
      <w:r w:rsidR="00AA78B4">
        <w:t>on that statute</w:t>
      </w:r>
      <w:r w:rsidR="0028600B">
        <w:t xml:space="preserve"> is misplaced.</w:t>
      </w:r>
      <w:bookmarkEnd w:id="1"/>
      <w:r w:rsidR="006A3E1D">
        <w:rPr>
          <w:rStyle w:val="FootnoteReference"/>
        </w:rPr>
        <w:footnoteReference w:id="3"/>
      </w:r>
    </w:p>
    <w:bookmarkEnd w:id="2"/>
    <w:p w14:paraId="17F65ACE" w14:textId="77777777" w:rsidR="005B3434" w:rsidRPr="007640FB" w:rsidRDefault="00B96D1D" w:rsidP="00AF1F8B">
      <w:pPr>
        <w:keepNext/>
        <w:tabs>
          <w:tab w:val="left" w:pos="1440"/>
        </w:tabs>
        <w:jc w:val="center"/>
      </w:pPr>
      <w:r w:rsidRPr="007640FB">
        <w:t>I.  BACKGROUND</w:t>
      </w:r>
    </w:p>
    <w:p w14:paraId="61065BB0" w14:textId="6D838A47" w:rsidR="00812FD3" w:rsidRPr="007640FB" w:rsidRDefault="005B3434" w:rsidP="007640FB">
      <w:pPr>
        <w:tabs>
          <w:tab w:val="left" w:pos="1440"/>
        </w:tabs>
        <w:ind w:firstLine="720"/>
      </w:pPr>
      <w:r w:rsidRPr="007640FB">
        <w:t>Defendants</w:t>
      </w:r>
      <w:r w:rsidR="00E122DF" w:rsidRPr="007640FB">
        <w:t xml:space="preserve"> are a roadwork </w:t>
      </w:r>
      <w:r w:rsidR="00B51C33" w:rsidRPr="007640FB">
        <w:t>construction company and its successor</w:t>
      </w:r>
      <w:r w:rsidR="00C969C3" w:rsidRPr="007640FB">
        <w:t xml:space="preserve">, which </w:t>
      </w:r>
      <w:r w:rsidR="00B340C2">
        <w:t xml:space="preserve">work on </w:t>
      </w:r>
      <w:r w:rsidR="00C969C3" w:rsidRPr="007640FB">
        <w:t>both public and private projects</w:t>
      </w:r>
      <w:r w:rsidR="00E122DF" w:rsidRPr="007640FB">
        <w:t>.</w:t>
      </w:r>
      <w:r w:rsidR="007D008B">
        <w:t xml:space="preserve">  P</w:t>
      </w:r>
      <w:r w:rsidR="00E122DF" w:rsidRPr="007640FB">
        <w:t>art of the</w:t>
      </w:r>
      <w:r w:rsidR="00B340C2">
        <w:t xml:space="preserve"> road construction </w:t>
      </w:r>
      <w:r w:rsidR="00E122DF" w:rsidRPr="007640FB">
        <w:t xml:space="preserve">process involves using </w:t>
      </w:r>
      <w:r w:rsidR="007D008B">
        <w:t xml:space="preserve">milling </w:t>
      </w:r>
      <w:r w:rsidR="00E122DF" w:rsidRPr="007640FB">
        <w:t>equipment to break up existing roadbeds so that new roads can be built.  Plaintiffs are unionized engineers who</w:t>
      </w:r>
      <w:r w:rsidR="00627117" w:rsidRPr="007640FB">
        <w:t xml:space="preserve"> </w:t>
      </w:r>
      <w:r w:rsidR="0079673F">
        <w:t>operate the equipment</w:t>
      </w:r>
      <w:r w:rsidR="00E122DF" w:rsidRPr="007640FB">
        <w:t>.</w:t>
      </w:r>
      <w:r w:rsidR="00C66FFF" w:rsidRPr="007640FB">
        <w:t xml:space="preserve">  Sometimes the heavy </w:t>
      </w:r>
      <w:r w:rsidR="0079673F">
        <w:t xml:space="preserve">milling </w:t>
      </w:r>
      <w:r w:rsidR="00C66FFF" w:rsidRPr="007640FB">
        <w:t xml:space="preserve">machines </w:t>
      </w:r>
      <w:r w:rsidR="00FD450E" w:rsidRPr="007640FB">
        <w:t>are</w:t>
      </w:r>
      <w:r w:rsidR="00627117" w:rsidRPr="007640FB">
        <w:t xml:space="preserve"> not kept at the job site but </w:t>
      </w:r>
      <w:r w:rsidR="00FD450E" w:rsidRPr="007640FB">
        <w:t xml:space="preserve">are stored </w:t>
      </w:r>
      <w:r w:rsidR="00627117" w:rsidRPr="007640FB">
        <w:t>instead</w:t>
      </w:r>
      <w:r w:rsidR="00C66FFF" w:rsidRPr="007640FB">
        <w:t xml:space="preserve"> at a permanent yard or other offsite location</w:t>
      </w:r>
      <w:r w:rsidR="009326F3" w:rsidRPr="007640FB">
        <w:t>.</w:t>
      </w:r>
      <w:r w:rsidR="00C66FFF" w:rsidRPr="007640FB">
        <w:t xml:space="preserve">  </w:t>
      </w:r>
      <w:r w:rsidR="00627117" w:rsidRPr="007640FB">
        <w:t xml:space="preserve">In such cases, plaintiffs report to the offsite location, load the </w:t>
      </w:r>
      <w:r w:rsidR="00491F0D" w:rsidRPr="007640FB">
        <w:t>equipment</w:t>
      </w:r>
      <w:r w:rsidR="00627117" w:rsidRPr="007640FB">
        <w:t xml:space="preserve"> onto trailers, and bring it to the job site.</w:t>
      </w:r>
      <w:r w:rsidR="00637D64" w:rsidRPr="007640FB">
        <w:t xml:space="preserve">  </w:t>
      </w:r>
      <w:r w:rsidR="00627117" w:rsidRPr="007640FB">
        <w:t>This</w:t>
      </w:r>
      <w:r w:rsidR="00AA1B30" w:rsidRPr="007640FB">
        <w:t xml:space="preserve"> preparatory </w:t>
      </w:r>
      <w:r w:rsidR="00FD450E" w:rsidRPr="007640FB">
        <w:t>activity</w:t>
      </w:r>
      <w:r w:rsidR="00AA1B30" w:rsidRPr="007640FB">
        <w:t xml:space="preserve"> and </w:t>
      </w:r>
      <w:r w:rsidR="00B340C2">
        <w:t xml:space="preserve">equipment </w:t>
      </w:r>
      <w:r w:rsidR="00AA1B30" w:rsidRPr="007640FB">
        <w:t>transportation is</w:t>
      </w:r>
      <w:r w:rsidR="00627117" w:rsidRPr="007640FB">
        <w:t xml:space="preserve"> known as mobilization.</w:t>
      </w:r>
      <w:r w:rsidR="00627117" w:rsidRPr="007640FB">
        <w:rPr>
          <w:rStyle w:val="FootnoteReference"/>
        </w:rPr>
        <w:footnoteReference w:id="4"/>
      </w:r>
    </w:p>
    <w:p w14:paraId="2C4949C9" w14:textId="05723E7F" w:rsidR="00985F43" w:rsidRPr="00F97292" w:rsidRDefault="00AA1B30" w:rsidP="007640FB">
      <w:pPr>
        <w:tabs>
          <w:tab w:val="left" w:pos="1440"/>
        </w:tabs>
        <w:ind w:firstLine="720"/>
        <w:rPr>
          <w:color w:val="00B050"/>
        </w:rPr>
      </w:pPr>
      <w:r w:rsidRPr="007640FB">
        <w:t>A master agreement between defendants and plaintiffs’ union established wage rates for onsite construction</w:t>
      </w:r>
      <w:r w:rsidR="0079041F">
        <w:t>.</w:t>
      </w:r>
      <w:r w:rsidR="00EA7AA2">
        <w:t xml:space="preserve">  </w:t>
      </w:r>
      <w:r w:rsidR="008847C4" w:rsidRPr="007640FB">
        <w:t>A</w:t>
      </w:r>
      <w:r w:rsidR="00E43A3F">
        <w:t xml:space="preserve"> </w:t>
      </w:r>
      <w:r w:rsidR="00340F7B" w:rsidRPr="007640FB">
        <w:t xml:space="preserve">separate </w:t>
      </w:r>
      <w:r w:rsidR="008847C4" w:rsidRPr="007640FB">
        <w:t xml:space="preserve">memorandum of agreement </w:t>
      </w:r>
      <w:r w:rsidRPr="007640FB">
        <w:t>(memorandum) set a lower wage rate for mobilization.</w:t>
      </w:r>
      <w:r w:rsidR="00985F43">
        <w:t xml:space="preserve">  </w:t>
      </w:r>
      <w:r w:rsidRPr="007640FB">
        <w:t xml:space="preserve">When assigned to public works projects, </w:t>
      </w:r>
      <w:r w:rsidR="00A906D5">
        <w:t>p</w:t>
      </w:r>
      <w:r w:rsidR="003C13AF" w:rsidRPr="007640FB">
        <w:t xml:space="preserve">laintiffs here were paid </w:t>
      </w:r>
      <w:r w:rsidRPr="007640FB">
        <w:t>according to the master agreement and memorandum, receiving the prevailing wage for onsite work and the lesser memorandum rate for mobilization</w:t>
      </w:r>
      <w:r w:rsidR="00637D64" w:rsidRPr="007640FB">
        <w:t>.</w:t>
      </w:r>
    </w:p>
    <w:p w14:paraId="3A60A6AC" w14:textId="77777777" w:rsidR="00381AAE" w:rsidRPr="007640FB" w:rsidRDefault="008C0A0F" w:rsidP="00381AAE">
      <w:pPr>
        <w:tabs>
          <w:tab w:val="left" w:pos="1440"/>
        </w:tabs>
        <w:ind w:firstLine="720"/>
      </w:pPr>
      <w:r w:rsidRPr="007640FB">
        <w:lastRenderedPageBreak/>
        <w:t xml:space="preserve">Plaintiffs </w:t>
      </w:r>
      <w:r w:rsidR="004C19F9" w:rsidRPr="007640FB">
        <w:t>sued</w:t>
      </w:r>
      <w:r w:rsidRPr="007640FB">
        <w:t xml:space="preserve"> in federal court</w:t>
      </w:r>
      <w:r w:rsidR="00A906D5">
        <w:t xml:space="preserve"> alleging, inter alia,</w:t>
      </w:r>
      <w:r w:rsidR="004D1DF3">
        <w:rPr>
          <w:color w:val="00B050"/>
        </w:rPr>
        <w:t xml:space="preserve"> </w:t>
      </w:r>
      <w:r w:rsidR="004C19F9" w:rsidRPr="00EC016C">
        <w:t>failure</w:t>
      </w:r>
      <w:r w:rsidR="00340F7B" w:rsidRPr="007640FB">
        <w:t xml:space="preserve"> to pay the prevailing wage for mobilizatio</w:t>
      </w:r>
      <w:r w:rsidR="005A76F4" w:rsidRPr="007640FB">
        <w:t>n done</w:t>
      </w:r>
      <w:r w:rsidR="00B5570A">
        <w:t xml:space="preserve"> </w:t>
      </w:r>
      <w:r w:rsidR="00EC016C" w:rsidRPr="00B5570A">
        <w:t xml:space="preserve">in connection with </w:t>
      </w:r>
      <w:r w:rsidR="00C13376" w:rsidRPr="00B5570A">
        <w:t>public works projects.</w:t>
      </w:r>
      <w:r w:rsidR="00985F43" w:rsidRPr="00B5570A">
        <w:t xml:space="preserve">  </w:t>
      </w:r>
      <w:r w:rsidR="006958B5" w:rsidRPr="00B5570A">
        <w:t>The parties fil</w:t>
      </w:r>
      <w:r w:rsidR="006958B5" w:rsidRPr="007640FB">
        <w:t xml:space="preserve">ed cross-motions for partial summary judgment limited to </w:t>
      </w:r>
      <w:r w:rsidR="0000505F" w:rsidRPr="007640FB">
        <w:t>w</w:t>
      </w:r>
      <w:r w:rsidR="006958B5" w:rsidRPr="007640FB">
        <w:t>hether mobilization</w:t>
      </w:r>
      <w:r w:rsidR="0000505F" w:rsidRPr="007640FB">
        <w:t xml:space="preserve"> </w:t>
      </w:r>
      <w:r w:rsidR="004C114E" w:rsidRPr="00956CD0">
        <w:t>fell under</w:t>
      </w:r>
      <w:r w:rsidR="004C114E">
        <w:rPr>
          <w:color w:val="00B050"/>
        </w:rPr>
        <w:t xml:space="preserve"> </w:t>
      </w:r>
      <w:r w:rsidR="006958B5" w:rsidRPr="007640FB">
        <w:t>the prevailing wage law.</w:t>
      </w:r>
      <w:r w:rsidR="00985F43">
        <w:t xml:space="preserve">  </w:t>
      </w:r>
      <w:r w:rsidR="00E61024">
        <w:t>The district court</w:t>
      </w:r>
      <w:r w:rsidR="0038113B">
        <w:t xml:space="preserve"> ruled for </w:t>
      </w:r>
      <w:r w:rsidR="0038113B" w:rsidRPr="00956CD0">
        <w:t>defendants</w:t>
      </w:r>
      <w:r w:rsidR="00A308B9" w:rsidRPr="00956CD0">
        <w:t>, c</w:t>
      </w:r>
      <w:r w:rsidR="00FD1D02" w:rsidRPr="00956CD0">
        <w:t>onclu</w:t>
      </w:r>
      <w:r w:rsidR="00A308B9" w:rsidRPr="00956CD0">
        <w:t>ding that mobilization was not covered by</w:t>
      </w:r>
      <w:r w:rsidR="00296416" w:rsidRPr="00956CD0">
        <w:t xml:space="preserve"> prevailing wage protection</w:t>
      </w:r>
      <w:r w:rsidR="00956CD0">
        <w:t>.</w:t>
      </w:r>
    </w:p>
    <w:p w14:paraId="22191E09" w14:textId="395A4A81" w:rsidR="00381AAE" w:rsidRPr="007640FB" w:rsidRDefault="00B07680" w:rsidP="00381AAE">
      <w:pPr>
        <w:tabs>
          <w:tab w:val="left" w:pos="1440"/>
        </w:tabs>
        <w:ind w:firstLine="720"/>
      </w:pPr>
      <w:r w:rsidRPr="007640FB">
        <w:t xml:space="preserve">After </w:t>
      </w:r>
      <w:r w:rsidR="008227FA" w:rsidRPr="007640FB">
        <w:t xml:space="preserve">all remaining issues were settled, </w:t>
      </w:r>
      <w:r w:rsidR="004D486D" w:rsidRPr="007640FB">
        <w:t>plaintiffs</w:t>
      </w:r>
      <w:r w:rsidRPr="007640FB">
        <w:t xml:space="preserve"> appealed the </w:t>
      </w:r>
      <w:r w:rsidR="008227FA" w:rsidRPr="007640FB">
        <w:t xml:space="preserve">mobilization </w:t>
      </w:r>
      <w:r w:rsidRPr="007640FB">
        <w:t>decision</w:t>
      </w:r>
      <w:r w:rsidR="000079EF" w:rsidRPr="007640FB">
        <w:t xml:space="preserve"> to the United States Court of Appeals for the Ninth Circuit</w:t>
      </w:r>
      <w:r w:rsidRPr="007640FB">
        <w:t>.</w:t>
      </w:r>
      <w:r w:rsidR="00985F43">
        <w:t xml:space="preserve">  </w:t>
      </w:r>
      <w:r w:rsidR="0038113B">
        <w:t>The sole issue raised was “whether transporting heavy equipment to be used on public works construction is</w:t>
      </w:r>
      <w:r w:rsidR="001702EB">
        <w:t xml:space="preserve"> </w:t>
      </w:r>
      <w:r w:rsidR="001702EB" w:rsidRPr="00956CD0">
        <w:t>[done]</w:t>
      </w:r>
      <w:r w:rsidR="0038113B">
        <w:t xml:space="preserve"> ‘in the execution of the contract’ under California Labor Code section 1772.”</w:t>
      </w:r>
      <w:r w:rsidR="00594A5A">
        <w:t xml:space="preserve">  </w:t>
      </w:r>
      <w:r w:rsidR="005417C4">
        <w:t>W</w:t>
      </w:r>
      <w:r w:rsidRPr="007640FB">
        <w:t>e accepted the Ninth Circuit’s request</w:t>
      </w:r>
      <w:r w:rsidR="000079EF" w:rsidRPr="007640FB">
        <w:rPr>
          <w:rStyle w:val="FootnoteReference"/>
        </w:rPr>
        <w:footnoteReference w:id="5"/>
      </w:r>
      <w:r w:rsidRPr="007640FB">
        <w:t xml:space="preserve"> to </w:t>
      </w:r>
      <w:r w:rsidR="000079EF" w:rsidRPr="007640FB">
        <w:t xml:space="preserve">decide whether </w:t>
      </w:r>
      <w:r w:rsidR="00956CD0">
        <w:t xml:space="preserve">the </w:t>
      </w:r>
      <w:r w:rsidR="000079EF" w:rsidRPr="007640FB">
        <w:t xml:space="preserve">mobilization </w:t>
      </w:r>
      <w:r w:rsidR="008227FA" w:rsidRPr="007640FB">
        <w:t xml:space="preserve">activity </w:t>
      </w:r>
      <w:r w:rsidR="000079EF" w:rsidRPr="007640FB">
        <w:t>was</w:t>
      </w:r>
      <w:r w:rsidR="000079EF" w:rsidRPr="00956CD0">
        <w:t xml:space="preserve"> </w:t>
      </w:r>
      <w:r w:rsidR="000E5E38" w:rsidRPr="00956CD0">
        <w:t>covered by</w:t>
      </w:r>
      <w:r w:rsidR="000E5E38">
        <w:rPr>
          <w:color w:val="00B050"/>
        </w:rPr>
        <w:t xml:space="preserve"> </w:t>
      </w:r>
      <w:r w:rsidR="000079EF" w:rsidRPr="007640FB">
        <w:t>section 1772</w:t>
      </w:r>
      <w:r w:rsidR="00956CD0">
        <w:t>.</w:t>
      </w:r>
      <w:r w:rsidR="000079EF" w:rsidRPr="007640FB">
        <w:rPr>
          <w:rStyle w:val="FootnoteReference"/>
        </w:rPr>
        <w:footnoteReference w:id="6"/>
      </w:r>
    </w:p>
    <w:p w14:paraId="45557DE0" w14:textId="77777777" w:rsidR="00273796" w:rsidRPr="007640FB" w:rsidRDefault="00B96D1D" w:rsidP="00AF1F8B">
      <w:pPr>
        <w:keepNext/>
        <w:tabs>
          <w:tab w:val="left" w:pos="1440"/>
        </w:tabs>
        <w:jc w:val="center"/>
      </w:pPr>
      <w:r w:rsidRPr="007640FB">
        <w:t>II.  DISCUSSION</w:t>
      </w:r>
    </w:p>
    <w:p w14:paraId="7BCAE43F" w14:textId="77777777" w:rsidR="005D5B7D" w:rsidRPr="007640FB" w:rsidRDefault="005D5B7D" w:rsidP="007640FB">
      <w:pPr>
        <w:keepNext/>
        <w:tabs>
          <w:tab w:val="left" w:pos="1440"/>
        </w:tabs>
        <w:ind w:firstLine="720"/>
      </w:pPr>
      <w:r w:rsidRPr="007640FB">
        <w:t>A.</w:t>
      </w:r>
      <w:r w:rsidRPr="007640FB">
        <w:tab/>
      </w:r>
      <w:r w:rsidR="00960BB6" w:rsidRPr="007640FB">
        <w:rPr>
          <w:i/>
        </w:rPr>
        <w:t>P</w:t>
      </w:r>
      <w:r w:rsidR="0072255C" w:rsidRPr="007640FB">
        <w:rPr>
          <w:i/>
        </w:rPr>
        <w:t xml:space="preserve">revailing </w:t>
      </w:r>
      <w:r w:rsidR="00960BB6" w:rsidRPr="007640FB">
        <w:rPr>
          <w:i/>
        </w:rPr>
        <w:t>W</w:t>
      </w:r>
      <w:r w:rsidR="00254ABA" w:rsidRPr="007640FB">
        <w:rPr>
          <w:i/>
        </w:rPr>
        <w:t>a</w:t>
      </w:r>
      <w:r w:rsidR="0072255C" w:rsidRPr="007640FB">
        <w:rPr>
          <w:i/>
        </w:rPr>
        <w:t xml:space="preserve">ge </w:t>
      </w:r>
      <w:r w:rsidR="00960BB6" w:rsidRPr="007640FB">
        <w:rPr>
          <w:i/>
        </w:rPr>
        <w:t>L</w:t>
      </w:r>
      <w:r w:rsidR="0072255C" w:rsidRPr="007640FB">
        <w:rPr>
          <w:i/>
        </w:rPr>
        <w:t>aw</w:t>
      </w:r>
      <w:r w:rsidR="00C62973" w:rsidRPr="007640FB">
        <w:rPr>
          <w:i/>
        </w:rPr>
        <w:t xml:space="preserve"> Overview</w:t>
      </w:r>
    </w:p>
    <w:p w14:paraId="170B4AE9" w14:textId="43EFF2B0" w:rsidR="00CF5A5E" w:rsidRDefault="0090626B" w:rsidP="00904D4A">
      <w:pPr>
        <w:tabs>
          <w:tab w:val="left" w:pos="1440"/>
        </w:tabs>
        <w:ind w:firstLine="720"/>
      </w:pPr>
      <w:r w:rsidRPr="005C68E7">
        <w:t xml:space="preserve">California’s prevailing wage law </w:t>
      </w:r>
      <w:r w:rsidR="0015704A" w:rsidRPr="005C68E7">
        <w:t>was enacted in 1931</w:t>
      </w:r>
      <w:r w:rsidR="0006091C" w:rsidRPr="005C68E7">
        <w:t xml:space="preserve"> as an uncodified measure</w:t>
      </w:r>
      <w:r w:rsidR="00754376" w:rsidRPr="005C68E7">
        <w:t>.</w:t>
      </w:r>
      <w:r w:rsidR="005C68E7">
        <w:t xml:space="preserve">  </w:t>
      </w:r>
      <w:r w:rsidR="005C68E7" w:rsidRPr="005C68E7">
        <w:t xml:space="preserve">(1931 Act; Stats. 1931, </w:t>
      </w:r>
      <w:proofErr w:type="spellStart"/>
      <w:r w:rsidR="005C68E7" w:rsidRPr="005C68E7">
        <w:t>ch.</w:t>
      </w:r>
      <w:proofErr w:type="spellEnd"/>
      <w:r w:rsidR="008235E4">
        <w:t> 397</w:t>
      </w:r>
      <w:r w:rsidR="005C68E7" w:rsidRPr="005C68E7">
        <w:t>, §§ 1–6, pp. 910–912.)</w:t>
      </w:r>
      <w:r w:rsidR="005C68E7">
        <w:t xml:space="preserve">  </w:t>
      </w:r>
      <w:r w:rsidR="000D38FF">
        <w:rPr>
          <w:noProof/>
        </w:rPr>
        <w:t>Its federal counterpart, the Davis-Bacon Act</w:t>
      </w:r>
      <w:r w:rsidR="00BD297C">
        <w:rPr>
          <w:noProof/>
        </w:rPr>
        <w:t xml:space="preserve"> (</w:t>
      </w:r>
      <w:r w:rsidR="00BD297C" w:rsidRPr="005C68E7">
        <w:t>40 U.S.C. § 3141 et seq.</w:t>
      </w:r>
      <w:r w:rsidR="00BD297C">
        <w:t>)</w:t>
      </w:r>
      <w:r w:rsidR="000D38FF">
        <w:rPr>
          <w:noProof/>
        </w:rPr>
        <w:t xml:space="preserve">, was enacted the same year but is not </w:t>
      </w:r>
      <w:r w:rsidR="000D38FF">
        <w:rPr>
          <w:noProof/>
        </w:rPr>
        <w:lastRenderedPageBreak/>
        <w:t>completely coextensive with California's version of the law.</w:t>
      </w:r>
      <w:r w:rsidR="001E4702" w:rsidRPr="005C68E7">
        <w:t xml:space="preserve"> </w:t>
      </w:r>
      <w:r w:rsidR="005C68E7" w:rsidRPr="005C68E7">
        <w:t>(</w:t>
      </w:r>
      <w:proofErr w:type="spellStart"/>
      <w:r w:rsidR="005C68E7" w:rsidRPr="005C68E7">
        <w:rPr>
          <w:i/>
          <w:iCs/>
        </w:rPr>
        <w:t>Kaanaana</w:t>
      </w:r>
      <w:proofErr w:type="spellEnd"/>
      <w:r w:rsidR="005C68E7" w:rsidRPr="005C68E7">
        <w:rPr>
          <w:i/>
          <w:iCs/>
        </w:rPr>
        <w:t xml:space="preserve"> v. Barrett Business Services, Inc.</w:t>
      </w:r>
      <w:r w:rsidR="005C68E7" w:rsidRPr="005C68E7">
        <w:t xml:space="preserve"> (2021) 11 Cal.5th 158, 165 (</w:t>
      </w:r>
      <w:proofErr w:type="spellStart"/>
      <w:r w:rsidR="005C68E7" w:rsidRPr="005C68E7">
        <w:rPr>
          <w:i/>
          <w:iCs/>
        </w:rPr>
        <w:t>Kaanaana</w:t>
      </w:r>
      <w:proofErr w:type="spellEnd"/>
      <w:r w:rsidR="005C68E7" w:rsidRPr="005C68E7">
        <w:t>).)</w:t>
      </w:r>
      <w:r w:rsidR="00CF5A5E">
        <w:t xml:space="preserve">  State and federal prevailing wage laws “responded to the dire economic conditions of the Great Depression, when private construction diminished severely and ‘the oversupply of labor was exploited by unscrupulous contractors to win government contracts . . . .’ ”  (</w:t>
      </w:r>
      <w:proofErr w:type="spellStart"/>
      <w:r w:rsidR="00CF5A5E">
        <w:rPr>
          <w:i/>
          <w:iCs/>
        </w:rPr>
        <w:t>Kaanaana</w:t>
      </w:r>
      <w:proofErr w:type="spellEnd"/>
      <w:r w:rsidR="00CF5A5E">
        <w:t xml:space="preserve">, at pp. 165–166; see </w:t>
      </w:r>
      <w:r w:rsidR="00CF5A5E">
        <w:rPr>
          <w:i/>
          <w:iCs/>
        </w:rPr>
        <w:t xml:space="preserve">Universities Research Assn. v. Coutu </w:t>
      </w:r>
      <w:r w:rsidR="00CF5A5E">
        <w:t>(1981) 450 U.S. 754, 773–774.)</w:t>
      </w:r>
      <w:r w:rsidR="005C68E7">
        <w:t xml:space="preserve">  </w:t>
      </w:r>
    </w:p>
    <w:p w14:paraId="39D427E7" w14:textId="1A06EEFE" w:rsidR="00904D4A" w:rsidRPr="00904D4A" w:rsidRDefault="00904D4A" w:rsidP="00904D4A">
      <w:pPr>
        <w:tabs>
          <w:tab w:val="left" w:pos="1440"/>
        </w:tabs>
        <w:ind w:firstLine="720"/>
      </w:pPr>
      <w:r>
        <w:t xml:space="preserve">The prevailing wage law </w:t>
      </w:r>
      <w:r w:rsidR="0090626B" w:rsidRPr="005C68E7">
        <w:t>is a minimum wage provision whose overall p</w:t>
      </w:r>
      <w:r w:rsidR="00F153A5" w:rsidRPr="005C68E7">
        <w:t xml:space="preserve">urpose is </w:t>
      </w:r>
      <w:r>
        <w:t>“</w:t>
      </w:r>
      <w:r w:rsidR="00F153A5" w:rsidRPr="005C68E7">
        <w:t>to protect and benefit employees on public works projects.</w:t>
      </w:r>
      <w:r>
        <w:t>”  (</w:t>
      </w:r>
      <w:r w:rsidRPr="00904D4A">
        <w:rPr>
          <w:i/>
          <w:iCs/>
        </w:rPr>
        <w:t xml:space="preserve">Lusardi Construction Co. v. </w:t>
      </w:r>
      <w:proofErr w:type="spellStart"/>
      <w:r w:rsidRPr="00904D4A">
        <w:rPr>
          <w:i/>
          <w:iCs/>
        </w:rPr>
        <w:t>Aubry</w:t>
      </w:r>
      <w:proofErr w:type="spellEnd"/>
      <w:r w:rsidRPr="00904D4A">
        <w:t xml:space="preserve"> (1992) 1 Cal.4th 976, 985</w:t>
      </w:r>
      <w:r w:rsidR="00883691">
        <w:t xml:space="preserve"> (</w:t>
      </w:r>
      <w:r w:rsidR="00883691">
        <w:rPr>
          <w:i/>
          <w:iCs/>
        </w:rPr>
        <w:t>Lusardi</w:t>
      </w:r>
      <w:r w:rsidR="00883691">
        <w:t>)</w:t>
      </w:r>
      <w:r w:rsidRPr="00904D4A">
        <w:t>.</w:t>
      </w:r>
      <w:r>
        <w:t xml:space="preserve">)  </w:t>
      </w:r>
      <w:r w:rsidRPr="00904D4A">
        <w:t>“This general objective subsumes within it a number of specific goals:  to protect employees from substandard wages that might be paid if contractors could recruit labor from distant cheap-labor areas; to permit union contractors to compete with nonunion contractors; to benefit the public through the superior efficiency of well-paid employees; and to compensate nonpublic employees with higher wages for the absence of job security and employment benefits enjoyed by public employees.”  (</w:t>
      </w:r>
      <w:r w:rsidRPr="00904D4A">
        <w:rPr>
          <w:i/>
          <w:iCs/>
        </w:rPr>
        <w:t>Id</w:t>
      </w:r>
      <w:r w:rsidRPr="00904D4A">
        <w:t>. at p. 987.)  Courts liberally construe the law to fulfill its purpose.  (</w:t>
      </w:r>
      <w:r w:rsidRPr="00904D4A">
        <w:rPr>
          <w:i/>
          <w:iCs/>
        </w:rPr>
        <w:t>City of Long Beach v. Department of Industrial Relations</w:t>
      </w:r>
      <w:r w:rsidRPr="00904D4A">
        <w:t xml:space="preserve"> (2004) 34 Cal.4th 942, 949–950.)</w:t>
      </w:r>
    </w:p>
    <w:p w14:paraId="2E80E942" w14:textId="4DA69115" w:rsidR="006A4407" w:rsidRPr="00402E4C" w:rsidRDefault="00542D1A" w:rsidP="00513F9E">
      <w:pPr>
        <w:tabs>
          <w:tab w:val="left" w:pos="1440"/>
        </w:tabs>
        <w:ind w:firstLine="720"/>
      </w:pPr>
      <w:r w:rsidRPr="005C68E7">
        <w:t xml:space="preserve">Those </w:t>
      </w:r>
      <w:r w:rsidR="006A4407" w:rsidRPr="005C68E7">
        <w:t>employed on “public works</w:t>
      </w:r>
      <w:r w:rsidRPr="005C68E7">
        <w:t>” must generally be paid at least the “prevailing rate of per diem wages for work of a similar character” in the area. (</w:t>
      </w:r>
      <w:r w:rsidR="00402E4C">
        <w:t>§ </w:t>
      </w:r>
      <w:r w:rsidR="00AF731E" w:rsidRPr="005C68E7">
        <w:t>1</w:t>
      </w:r>
      <w:r w:rsidR="006E277A" w:rsidRPr="005C68E7">
        <w:t>7</w:t>
      </w:r>
      <w:r w:rsidR="00AF731E" w:rsidRPr="005C68E7">
        <w:t>71</w:t>
      </w:r>
      <w:r w:rsidR="00402E4C">
        <w:t>.</w:t>
      </w:r>
      <w:r w:rsidR="00AF731E" w:rsidRPr="005C68E7">
        <w:t>)</w:t>
      </w:r>
      <w:r w:rsidR="00402E4C">
        <w:t xml:space="preserve">  </w:t>
      </w:r>
      <w:r w:rsidR="00AF731E" w:rsidRPr="005C68E7">
        <w:t xml:space="preserve">Under the current statutory scheme, </w:t>
      </w:r>
      <w:r w:rsidR="00AD7621" w:rsidRPr="005C68E7">
        <w:t xml:space="preserve">the prevailing wage law does not apply to work done by a public agency with its own labor force.  </w:t>
      </w:r>
      <w:r w:rsidR="00402E4C">
        <w:t>(</w:t>
      </w:r>
      <w:r w:rsidR="00402E4C">
        <w:rPr>
          <w:i/>
          <w:iCs/>
        </w:rPr>
        <w:t>Ibid</w:t>
      </w:r>
      <w:r w:rsidR="00402E4C">
        <w:t xml:space="preserve">.)  </w:t>
      </w:r>
      <w:r w:rsidR="00AD7621" w:rsidRPr="005C68E7">
        <w:t>As w</w:t>
      </w:r>
      <w:r w:rsidR="001A16CE" w:rsidRPr="005C68E7">
        <w:t>e will discuss at some length</w:t>
      </w:r>
      <w:r w:rsidR="00402E4C">
        <w:t>,</w:t>
      </w:r>
      <w:r w:rsidR="002E1E02" w:rsidRPr="005C68E7">
        <w:t xml:space="preserve"> this </w:t>
      </w:r>
      <w:r w:rsidR="000139AE">
        <w:t xml:space="preserve">statutory </w:t>
      </w:r>
      <w:r w:rsidR="002E1E02" w:rsidRPr="005C68E7">
        <w:t xml:space="preserve">exclusion </w:t>
      </w:r>
      <w:r w:rsidR="00B05172">
        <w:t xml:space="preserve">for </w:t>
      </w:r>
      <w:r w:rsidR="00B05172">
        <w:lastRenderedPageBreak/>
        <w:t xml:space="preserve">government workers </w:t>
      </w:r>
      <w:r w:rsidR="002E1E02" w:rsidRPr="005C68E7">
        <w:t>was not always in</w:t>
      </w:r>
      <w:r w:rsidR="00B05172">
        <w:t xml:space="preserve"> place</w:t>
      </w:r>
      <w:r w:rsidR="002E1E02" w:rsidRPr="005C68E7">
        <w:t>.</w:t>
      </w:r>
      <w:r w:rsidR="00402E4C">
        <w:t xml:space="preserve">  (See </w:t>
      </w:r>
      <w:r w:rsidR="00402E4C">
        <w:rPr>
          <w:i/>
          <w:iCs/>
        </w:rPr>
        <w:t>post</w:t>
      </w:r>
      <w:r w:rsidR="00402E4C">
        <w:t xml:space="preserve">, </w:t>
      </w:r>
      <w:r w:rsidR="007F2BA0">
        <w:t xml:space="preserve">at </w:t>
      </w:r>
      <w:r w:rsidR="00402E4C">
        <w:t xml:space="preserve">pp. </w:t>
      </w:r>
      <w:r w:rsidR="005F1FBD">
        <w:t>1</w:t>
      </w:r>
      <w:r w:rsidR="007F2BA0">
        <w:t>0</w:t>
      </w:r>
      <w:r w:rsidR="00B05172">
        <w:t>–</w:t>
      </w:r>
      <w:r w:rsidR="0071289D">
        <w:t>20</w:t>
      </w:r>
      <w:r w:rsidR="00B05172">
        <w:t>.)</w:t>
      </w:r>
    </w:p>
    <w:p w14:paraId="6C7E53D7" w14:textId="405639D0" w:rsidR="00253C3F" w:rsidRPr="005C68E7" w:rsidRDefault="001A075C" w:rsidP="00513F9E">
      <w:pPr>
        <w:tabs>
          <w:tab w:val="left" w:pos="1440"/>
        </w:tabs>
        <w:ind w:firstLine="720"/>
      </w:pPr>
      <w:r w:rsidRPr="005C68E7">
        <w:t>A contractor or subcontractor that does</w:t>
      </w:r>
      <w:r w:rsidR="0079419C" w:rsidRPr="005C68E7">
        <w:t xml:space="preserve"> </w:t>
      </w:r>
      <w:r w:rsidRPr="005C68E7">
        <w:t xml:space="preserve">not pay the prevailing </w:t>
      </w:r>
      <w:r w:rsidR="000F29FF">
        <w:t xml:space="preserve">wage </w:t>
      </w:r>
      <w:r w:rsidRPr="005C68E7">
        <w:t>rate</w:t>
      </w:r>
      <w:r w:rsidR="00BD297C">
        <w:t xml:space="preserve"> on a public works project</w:t>
      </w:r>
      <w:r w:rsidRPr="005C68E7">
        <w:t xml:space="preserve"> is liable for the </w:t>
      </w:r>
      <w:r w:rsidR="00FF119F" w:rsidRPr="005C68E7">
        <w:t xml:space="preserve">deficiency and subject to a penalty. </w:t>
      </w:r>
      <w:r w:rsidR="000F29FF">
        <w:t xml:space="preserve"> </w:t>
      </w:r>
      <w:r w:rsidR="00FF119F" w:rsidRPr="005C68E7">
        <w:t>(</w:t>
      </w:r>
      <w:r w:rsidR="000139AE">
        <w:t>§ 1</w:t>
      </w:r>
      <w:r w:rsidR="00FF119F" w:rsidRPr="005C68E7">
        <w:t>775</w:t>
      </w:r>
      <w:r w:rsidR="000139AE">
        <w:t xml:space="preserve">, </w:t>
      </w:r>
      <w:proofErr w:type="spellStart"/>
      <w:r w:rsidR="000139AE">
        <w:t>subd</w:t>
      </w:r>
      <w:proofErr w:type="spellEnd"/>
      <w:r w:rsidR="000139AE">
        <w:t xml:space="preserve">. </w:t>
      </w:r>
      <w:r w:rsidR="00FF119F" w:rsidRPr="005C68E7">
        <w:t>(a)</w:t>
      </w:r>
      <w:r w:rsidR="000139AE">
        <w:t>.</w:t>
      </w:r>
      <w:r w:rsidR="00FF119F" w:rsidRPr="005C68E7">
        <w:t>)</w:t>
      </w:r>
      <w:r w:rsidR="000139AE">
        <w:t xml:space="preserve">  </w:t>
      </w:r>
      <w:r w:rsidR="005F57BF" w:rsidRPr="005C68E7">
        <w:t xml:space="preserve">The statutory payment obligation is independent of any contractual requirement. </w:t>
      </w:r>
      <w:r w:rsidR="000139AE" w:rsidRPr="000139AE">
        <w:t>(</w:t>
      </w:r>
      <w:r w:rsidR="000139AE" w:rsidRPr="000139AE">
        <w:rPr>
          <w:i/>
          <w:iCs/>
        </w:rPr>
        <w:t>Lusardi</w:t>
      </w:r>
      <w:r w:rsidR="000139AE" w:rsidRPr="000139AE">
        <w:t xml:space="preserve">, </w:t>
      </w:r>
      <w:r w:rsidR="000139AE" w:rsidRPr="000139AE">
        <w:rPr>
          <w:i/>
          <w:iCs/>
        </w:rPr>
        <w:t>supra</w:t>
      </w:r>
      <w:r w:rsidR="000139AE" w:rsidRPr="000139AE">
        <w:t>, 1 Cal.4th at pp.</w:t>
      </w:r>
      <w:r w:rsidR="000139AE">
        <w:t> </w:t>
      </w:r>
      <w:r w:rsidR="000139AE" w:rsidRPr="000139AE">
        <w:t xml:space="preserve">981–982.)  </w:t>
      </w:r>
      <w:r w:rsidR="006D22DE" w:rsidRPr="005C68E7">
        <w:t xml:space="preserve">For that reason, the fact </w:t>
      </w:r>
      <w:r w:rsidR="000139AE">
        <w:t xml:space="preserve">that </w:t>
      </w:r>
      <w:r w:rsidR="006D22DE" w:rsidRPr="005C68E7">
        <w:t xml:space="preserve">the parties’ memorandum provides lesser pay for mobilization does not settle the question here.  If the statutory scheme requires </w:t>
      </w:r>
      <w:r w:rsidR="00144A11" w:rsidRPr="005C68E7">
        <w:t>payment of the prevailing wage for a particular type of labor, it is irrelevant th</w:t>
      </w:r>
      <w:r w:rsidR="00917FE5" w:rsidRPr="005C68E7">
        <w:t>a</w:t>
      </w:r>
      <w:r w:rsidR="00144A11" w:rsidRPr="005C68E7">
        <w:t>t the parties may have agreed to a lesser amount.</w:t>
      </w:r>
    </w:p>
    <w:p w14:paraId="57E919D8" w14:textId="77777777" w:rsidR="00381AAE" w:rsidRPr="007640FB" w:rsidRDefault="00A12F33" w:rsidP="00381AAE">
      <w:pPr>
        <w:tabs>
          <w:tab w:val="left" w:pos="1440"/>
        </w:tabs>
        <w:ind w:firstLine="720"/>
      </w:pPr>
      <w:r w:rsidRPr="005C68E7">
        <w:t>The prevailing wage law describes with particularity the kind of “public works</w:t>
      </w:r>
      <w:r w:rsidR="0027791E" w:rsidRPr="005C68E7">
        <w:t>” that fall within its scope.</w:t>
      </w:r>
      <w:r w:rsidR="000F29FF" w:rsidRPr="000F29FF">
        <w:rPr>
          <w:rStyle w:val="FootnoteReference"/>
        </w:rPr>
        <w:footnoteReference w:id="7"/>
      </w:r>
      <w:r w:rsidR="000F29FF">
        <w:t xml:space="preserve">  </w:t>
      </w:r>
      <w:r w:rsidR="00AA7617" w:rsidRPr="005C68E7">
        <w:t>Since the law’s adoption in 1931, it has encompassed certain “construction or repair work</w:t>
      </w:r>
      <w:r w:rsidR="00AB5539" w:rsidRPr="005C68E7">
        <w:t>.</w:t>
      </w:r>
      <w:r w:rsidR="00856D31" w:rsidRPr="005C68E7">
        <w:t>”</w:t>
      </w:r>
      <w:r w:rsidR="000F29FF">
        <w:t xml:space="preserve">  (Stats. 1931, </w:t>
      </w:r>
      <w:proofErr w:type="spellStart"/>
      <w:r w:rsidR="000F29FF">
        <w:t>ch.</w:t>
      </w:r>
      <w:proofErr w:type="spellEnd"/>
      <w:r w:rsidR="000F29FF">
        <w:t xml:space="preserve"> </w:t>
      </w:r>
      <w:r w:rsidR="008235E4">
        <w:t>397</w:t>
      </w:r>
      <w:r w:rsidR="000F29FF">
        <w:t xml:space="preserve">, § 4, p. 912.)  </w:t>
      </w:r>
      <w:r w:rsidR="00441D0D" w:rsidRPr="005C68E7">
        <w:t xml:space="preserve">Over the years, the </w:t>
      </w:r>
      <w:r w:rsidR="006E3233" w:rsidRPr="005C68E7">
        <w:t xml:space="preserve">statutory </w:t>
      </w:r>
      <w:r w:rsidR="00441D0D" w:rsidRPr="005C68E7">
        <w:t>definition of “public works</w:t>
      </w:r>
      <w:r w:rsidR="006E3233" w:rsidRPr="005C68E7">
        <w:t>” has been amended to clarify and expand the scope of the activities it embraces.  As applicable here</w:t>
      </w:r>
      <w:r w:rsidR="000F29FF">
        <w:t>,</w:t>
      </w:r>
      <w:r w:rsidR="006E3233" w:rsidRPr="005C68E7">
        <w:t xml:space="preserve"> </w:t>
      </w:r>
      <w:r w:rsidR="000F29FF">
        <w:t>section 1720, subdivision (a)(1) (hereafter section 1720(a)(1))</w:t>
      </w:r>
      <w:r w:rsidR="00FB5A52" w:rsidRPr="005C68E7">
        <w:t xml:space="preserve"> </w:t>
      </w:r>
      <w:r w:rsidR="006D503B" w:rsidRPr="005C68E7">
        <w:t xml:space="preserve">currently defines “public works” </w:t>
      </w:r>
      <w:r w:rsidR="00B35973" w:rsidRPr="005C68E7">
        <w:t>as “[c]</w:t>
      </w:r>
      <w:proofErr w:type="spellStart"/>
      <w:r w:rsidR="00B35973" w:rsidRPr="005C68E7">
        <w:t>onstruction</w:t>
      </w:r>
      <w:proofErr w:type="spellEnd"/>
      <w:r w:rsidR="00B35973" w:rsidRPr="005C68E7">
        <w:t xml:space="preserve">, </w:t>
      </w:r>
      <w:r w:rsidR="00441D0D" w:rsidRPr="005C68E7">
        <w:t xml:space="preserve"> </w:t>
      </w:r>
      <w:r w:rsidR="00B35973" w:rsidRPr="005C68E7">
        <w:t>alteration, demolition, installation, or repair work done under contract and paid for in whole or in part out of public funds</w:t>
      </w:r>
      <w:r w:rsidR="000F29FF">
        <w:t xml:space="preserve"> . . . .</w:t>
      </w:r>
      <w:r w:rsidR="00B35973" w:rsidRPr="005C68E7">
        <w:t>”</w:t>
      </w:r>
      <w:r w:rsidR="000F29FF" w:rsidRPr="000F29FF">
        <w:rPr>
          <w:rStyle w:val="FootnoteReference"/>
        </w:rPr>
        <w:footnoteReference w:id="8"/>
      </w:r>
      <w:r w:rsidR="000F29FF">
        <w:t xml:space="preserve">  </w:t>
      </w:r>
      <w:r w:rsidR="004B2498" w:rsidRPr="005C68E7">
        <w:t>Other provisions of section 1720</w:t>
      </w:r>
      <w:r w:rsidR="000F29FF">
        <w:t xml:space="preserve">, </w:t>
      </w:r>
      <w:r w:rsidR="000F29FF">
        <w:lastRenderedPageBreak/>
        <w:t>subdivision </w:t>
      </w:r>
      <w:r w:rsidR="004B2498" w:rsidRPr="005C68E7">
        <w:t>(a)</w:t>
      </w:r>
      <w:r w:rsidR="003A32FC" w:rsidRPr="005C68E7">
        <w:t xml:space="preserve"> </w:t>
      </w:r>
      <w:r w:rsidR="00334F01" w:rsidRPr="005C68E7">
        <w:t xml:space="preserve">not involved here </w:t>
      </w:r>
      <w:r w:rsidR="003A32FC" w:rsidRPr="005C68E7">
        <w:t>provide additional definitions of “public works” in different contexts like street an</w:t>
      </w:r>
      <w:r w:rsidR="00D73DF8" w:rsidRPr="005C68E7">
        <w:t>d</w:t>
      </w:r>
      <w:r w:rsidR="003A32FC" w:rsidRPr="005C68E7">
        <w:t xml:space="preserve"> sewer work </w:t>
      </w:r>
      <w:r w:rsidR="00D73DF8" w:rsidRPr="005C68E7">
        <w:t>(</w:t>
      </w:r>
      <w:proofErr w:type="spellStart"/>
      <w:r w:rsidR="000F29FF">
        <w:t>subd</w:t>
      </w:r>
      <w:proofErr w:type="spellEnd"/>
      <w:r w:rsidR="000F29FF">
        <w:t>. (a)(3)</w:t>
      </w:r>
      <w:r w:rsidR="00D73DF8" w:rsidRPr="005C68E7">
        <w:t xml:space="preserve">), carpet laying </w:t>
      </w:r>
      <w:r w:rsidR="00ED7086" w:rsidRPr="005C68E7">
        <w:t>(</w:t>
      </w:r>
      <w:proofErr w:type="spellStart"/>
      <w:r w:rsidR="000F29FF">
        <w:t>subd</w:t>
      </w:r>
      <w:proofErr w:type="spellEnd"/>
      <w:r w:rsidR="000F29FF">
        <w:t>. (a)(4) &amp; (5))</w:t>
      </w:r>
      <w:r w:rsidR="00ED7086" w:rsidRPr="005C68E7">
        <w:t>, and tree removal</w:t>
      </w:r>
      <w:r w:rsidR="000F29FF">
        <w:t xml:space="preserve"> (</w:t>
      </w:r>
      <w:proofErr w:type="spellStart"/>
      <w:r w:rsidR="000F29FF">
        <w:t>subd</w:t>
      </w:r>
      <w:proofErr w:type="spellEnd"/>
      <w:r w:rsidR="000F29FF">
        <w:t>. (a)(8)</w:t>
      </w:r>
      <w:r w:rsidR="00ED7086" w:rsidRPr="005C68E7">
        <w:t xml:space="preserve">).  Still other definitions </w:t>
      </w:r>
      <w:r w:rsidR="00484C5C" w:rsidRPr="005C68E7">
        <w:t>of “public works” are contained in additional statu</w:t>
      </w:r>
      <w:r w:rsidR="00BD297C">
        <w:t>t</w:t>
      </w:r>
      <w:r w:rsidR="00484C5C" w:rsidRPr="005C68E7">
        <w:t>es.</w:t>
      </w:r>
      <w:r w:rsidR="000F29FF">
        <w:t xml:space="preserve">  </w:t>
      </w:r>
      <w:r w:rsidR="00696EEB" w:rsidRPr="005C68E7">
        <w:t>(</w:t>
      </w:r>
      <w:r w:rsidR="000F29FF">
        <w:t>§§ </w:t>
      </w:r>
      <w:r w:rsidR="00484C5C" w:rsidRPr="005C68E7">
        <w:t>1720.2</w:t>
      </w:r>
      <w:r w:rsidR="000F29FF">
        <w:t>–1720.</w:t>
      </w:r>
      <w:r w:rsidR="00696EEB" w:rsidRPr="005C68E7">
        <w:t>9</w:t>
      </w:r>
      <w:r w:rsidR="000F29FF">
        <w:t>.</w:t>
      </w:r>
      <w:r w:rsidR="00696EEB" w:rsidRPr="005C68E7">
        <w:t>)</w:t>
      </w:r>
    </w:p>
    <w:p w14:paraId="0C5FDCB0" w14:textId="334D1B06" w:rsidR="00774FD2" w:rsidRPr="008F6F4B" w:rsidRDefault="00E4261F" w:rsidP="008F6F4B">
      <w:pPr>
        <w:tabs>
          <w:tab w:val="left" w:pos="1440"/>
        </w:tabs>
        <w:ind w:firstLine="720"/>
      </w:pPr>
      <w:r w:rsidRPr="00325F22">
        <w:t>Plaintiffs’ operation of milling machines at the job site clearly constitutes</w:t>
      </w:r>
      <w:r w:rsidR="003F7FD7">
        <w:rPr>
          <w:color w:val="00B050"/>
        </w:rPr>
        <w:t xml:space="preserve"> </w:t>
      </w:r>
      <w:r w:rsidRPr="00325F22">
        <w:t>“public work” under section 1720</w:t>
      </w:r>
      <w:r w:rsidR="008F6F4B">
        <w:t>(a)(1) because</w:t>
      </w:r>
      <w:r w:rsidR="003F7FD7">
        <w:rPr>
          <w:color w:val="00B050"/>
        </w:rPr>
        <w:t xml:space="preserve"> </w:t>
      </w:r>
      <w:r w:rsidR="003F7FD7" w:rsidRPr="00571CA1">
        <w:t xml:space="preserve">it </w:t>
      </w:r>
      <w:r w:rsidR="00AE74D3" w:rsidRPr="00571CA1">
        <w:t>involve</w:t>
      </w:r>
      <w:r w:rsidR="00064313" w:rsidRPr="00571CA1">
        <w:t>d</w:t>
      </w:r>
      <w:r w:rsidR="00AE74D3" w:rsidRPr="00571CA1">
        <w:t xml:space="preserve"> “[c]</w:t>
      </w:r>
      <w:proofErr w:type="spellStart"/>
      <w:r w:rsidR="00AE74D3" w:rsidRPr="00571CA1">
        <w:t>onstruction</w:t>
      </w:r>
      <w:proofErr w:type="spellEnd"/>
      <w:r w:rsidR="00AE74D3" w:rsidRPr="00571CA1">
        <w:t>,  alteration, demolition, installation, or repair work</w:t>
      </w:r>
      <w:r w:rsidR="00571CA1">
        <w:t>,</w:t>
      </w:r>
      <w:r w:rsidR="002C6C39" w:rsidRPr="00571CA1">
        <w:t>”</w:t>
      </w:r>
      <w:r w:rsidR="00AE74D3" w:rsidRPr="00571CA1">
        <w:t xml:space="preserve"> </w:t>
      </w:r>
      <w:r w:rsidR="002C6C39" w:rsidRPr="00571CA1">
        <w:t>and all the labor engaged in here was “</w:t>
      </w:r>
      <w:r w:rsidR="00AE74D3" w:rsidRPr="00571CA1">
        <w:t>done under contract and paid for in whole or in part out of public funds</w:t>
      </w:r>
      <w:r w:rsidR="00571CA1">
        <w:t xml:space="preserve"> . . . .</w:t>
      </w:r>
      <w:r w:rsidR="00AE74D3" w:rsidRPr="00571CA1">
        <w:t>”</w:t>
      </w:r>
      <w:r w:rsidR="00194FEA">
        <w:t xml:space="preserve">  </w:t>
      </w:r>
      <w:r w:rsidR="00F321A4" w:rsidRPr="00325F22">
        <w:t>But here we are concerned with mobilization</w:t>
      </w:r>
      <w:r w:rsidR="007B1FA3" w:rsidRPr="00325F22">
        <w:t xml:space="preserve">, not </w:t>
      </w:r>
      <w:r w:rsidR="009F5D33" w:rsidRPr="00571CA1">
        <w:t xml:space="preserve">onsite </w:t>
      </w:r>
      <w:r w:rsidR="007B1FA3" w:rsidRPr="00571CA1">
        <w:t>machine</w:t>
      </w:r>
      <w:r w:rsidR="00EC6F0B" w:rsidRPr="00571CA1">
        <w:t xml:space="preserve"> operation</w:t>
      </w:r>
      <w:r w:rsidR="007B1FA3" w:rsidRPr="00571CA1">
        <w:t xml:space="preserve">. </w:t>
      </w:r>
      <w:r w:rsidR="007B1FA3" w:rsidRPr="00325F22">
        <w:t xml:space="preserve"> Plaintiffs do not argue that mobilization fits within one of the definitions of “public works” in the prevailing wage law.  </w:t>
      </w:r>
      <w:r w:rsidR="00774FD2" w:rsidRPr="00571CA1">
        <w:t>Instead</w:t>
      </w:r>
      <w:r w:rsidR="00571CA1">
        <w:t>,</w:t>
      </w:r>
      <w:r w:rsidR="00774FD2" w:rsidRPr="00571CA1">
        <w:t xml:space="preserve"> they </w:t>
      </w:r>
      <w:r w:rsidR="00592286">
        <w:t>rely on section 1772, which derives from a provision in the uncodified 1931 Act</w:t>
      </w:r>
      <w:r w:rsidR="00FB1BF2">
        <w:t>.</w:t>
      </w:r>
      <w:r w:rsidR="000D38FF">
        <w:t xml:space="preserve">  </w:t>
      </w:r>
      <w:r w:rsidR="00592286">
        <w:t xml:space="preserve">(See Stats. 1931, </w:t>
      </w:r>
      <w:proofErr w:type="spellStart"/>
      <w:r w:rsidR="00592286">
        <w:t>ch.</w:t>
      </w:r>
      <w:proofErr w:type="spellEnd"/>
      <w:r w:rsidR="00592286">
        <w:t xml:space="preserve"> </w:t>
      </w:r>
      <w:r w:rsidR="008235E4">
        <w:t>397</w:t>
      </w:r>
      <w:r w:rsidR="00592286">
        <w:t xml:space="preserve">, § 1, p. 910.)  </w:t>
      </w:r>
      <w:r w:rsidR="00774FD2" w:rsidRPr="00571CA1">
        <w:t xml:space="preserve">That section </w:t>
      </w:r>
      <w:r w:rsidR="00592286">
        <w:t xml:space="preserve">currently </w:t>
      </w:r>
      <w:r w:rsidR="00774FD2" w:rsidRPr="00571CA1">
        <w:t>reads: “Workers employed by contractors or subcontractors in the execution of any contract for public work are deemed to be employed upon public work.”</w:t>
      </w:r>
      <w:r w:rsidR="00592286">
        <w:t xml:space="preserve">  (§ 1772.)  </w:t>
      </w:r>
      <w:r w:rsidR="004860F1" w:rsidRPr="00571CA1">
        <w:t xml:space="preserve">Plaintiffs claim their entitlement </w:t>
      </w:r>
      <w:r w:rsidR="00AF0EA4" w:rsidRPr="00571CA1">
        <w:t>to the prevailing wage for offsite mobilization flows from this “deeming” provision.</w:t>
      </w:r>
      <w:r w:rsidR="00AF0EA4">
        <w:rPr>
          <w:color w:val="00B050"/>
        </w:rPr>
        <w:t xml:space="preserve">  </w:t>
      </w:r>
    </w:p>
    <w:p w14:paraId="656A13A6" w14:textId="66278335" w:rsidR="00266668" w:rsidRPr="00325F22" w:rsidRDefault="00266668" w:rsidP="00EB0D70">
      <w:pPr>
        <w:tabs>
          <w:tab w:val="left" w:pos="1440"/>
        </w:tabs>
        <w:ind w:firstLine="720"/>
      </w:pPr>
      <w:r w:rsidRPr="00325F22">
        <w:t xml:space="preserve">This court has not previously </w:t>
      </w:r>
      <w:r w:rsidR="00592286">
        <w:t xml:space="preserve">interpreted section </w:t>
      </w:r>
      <w:r w:rsidR="001A4F50" w:rsidRPr="00592286">
        <w:t>1772</w:t>
      </w:r>
      <w:r w:rsidRPr="00325F22">
        <w:t xml:space="preserve">.  </w:t>
      </w:r>
      <w:r w:rsidR="00EC076E" w:rsidRPr="00325F22">
        <w:t xml:space="preserve">As discussed in more detail below, in recent decades a number of lower courts have </w:t>
      </w:r>
      <w:r w:rsidR="002565C7">
        <w:t xml:space="preserve">concluded that </w:t>
      </w:r>
      <w:r w:rsidR="00EC076E" w:rsidRPr="00325F22">
        <w:t xml:space="preserve">section 1772 </w:t>
      </w:r>
      <w:r w:rsidR="002565C7">
        <w:t xml:space="preserve">applies </w:t>
      </w:r>
      <w:r w:rsidR="00A828E1" w:rsidRPr="00325F22">
        <w:t xml:space="preserve">to tasks that </w:t>
      </w:r>
      <w:r w:rsidR="002565C7">
        <w:t xml:space="preserve">are </w:t>
      </w:r>
      <w:r w:rsidR="00A828E1" w:rsidRPr="00325F22">
        <w:t>“ ‘ “an integrated aspect of the ‘flow’ process of construction.” ’ ”  (</w:t>
      </w:r>
      <w:bookmarkStart w:id="4" w:name="_Hlk77064879"/>
      <w:r w:rsidR="00A828E1" w:rsidRPr="00325F22">
        <w:rPr>
          <w:i/>
          <w:iCs/>
        </w:rPr>
        <w:t xml:space="preserve">Williams v. </w:t>
      </w:r>
      <w:proofErr w:type="spellStart"/>
      <w:r w:rsidR="00A828E1" w:rsidRPr="00325F22">
        <w:rPr>
          <w:i/>
          <w:iCs/>
        </w:rPr>
        <w:t>SnSands</w:t>
      </w:r>
      <w:proofErr w:type="spellEnd"/>
      <w:r w:rsidR="00A828E1" w:rsidRPr="00325F22">
        <w:rPr>
          <w:i/>
          <w:iCs/>
        </w:rPr>
        <w:t xml:space="preserve"> Corp.</w:t>
      </w:r>
      <w:r w:rsidR="00A828E1" w:rsidRPr="00325F22">
        <w:t xml:space="preserve"> (2007) 156 Cal.App.4th 742, 753 (</w:t>
      </w:r>
      <w:r w:rsidR="00A828E1" w:rsidRPr="00325F22">
        <w:rPr>
          <w:i/>
          <w:iCs/>
        </w:rPr>
        <w:t>Williams</w:t>
      </w:r>
      <w:r w:rsidR="00A828E1" w:rsidRPr="00325F22">
        <w:t xml:space="preserve">); see </w:t>
      </w:r>
      <w:r w:rsidR="00A828E1" w:rsidRPr="00325F22">
        <w:rPr>
          <w:i/>
        </w:rPr>
        <w:t xml:space="preserve">Sheet Metal Workers’ </w:t>
      </w:r>
      <w:proofErr w:type="spellStart"/>
      <w:r w:rsidR="00A828E1" w:rsidRPr="00325F22">
        <w:rPr>
          <w:i/>
        </w:rPr>
        <w:t>Internat.</w:t>
      </w:r>
      <w:proofErr w:type="spellEnd"/>
      <w:r w:rsidR="00A828E1" w:rsidRPr="00325F22">
        <w:rPr>
          <w:i/>
        </w:rPr>
        <w:t xml:space="preserve"> Assn., Local 104 v. Duncan </w:t>
      </w:r>
      <w:r w:rsidR="00A828E1" w:rsidRPr="00325F22">
        <w:t>(2014) 229 Cal.App.4th 192, 205–206 (</w:t>
      </w:r>
      <w:r w:rsidR="00A828E1" w:rsidRPr="00325F22">
        <w:rPr>
          <w:i/>
        </w:rPr>
        <w:t>Sheet Metal</w:t>
      </w:r>
      <w:r w:rsidR="00A828E1" w:rsidRPr="00325F22">
        <w:t xml:space="preserve">).)  </w:t>
      </w:r>
      <w:bookmarkEnd w:id="4"/>
      <w:r w:rsidR="00A828E1" w:rsidRPr="00325F22">
        <w:t>In effect, the framework adopted by these cases</w:t>
      </w:r>
      <w:r w:rsidR="00001EAA" w:rsidRPr="00325F22">
        <w:t xml:space="preserve"> extends the coverage of the prevailing wage law to activities </w:t>
      </w:r>
      <w:r w:rsidR="002565C7">
        <w:t xml:space="preserve">not statutorily defined </w:t>
      </w:r>
      <w:r w:rsidR="00001EAA" w:rsidRPr="00325F22">
        <w:t xml:space="preserve">as “public work,” </w:t>
      </w:r>
      <w:r w:rsidR="002565C7">
        <w:t xml:space="preserve">so long as </w:t>
      </w:r>
      <w:r w:rsidR="002565C7">
        <w:lastRenderedPageBreak/>
        <w:t>that labor is</w:t>
      </w:r>
      <w:r w:rsidR="0023035C">
        <w:rPr>
          <w:color w:val="00B050"/>
        </w:rPr>
        <w:t xml:space="preserve"> </w:t>
      </w:r>
      <w:r w:rsidR="00001EAA" w:rsidRPr="00325F22">
        <w:t>integrated into construction or other defined public wor</w:t>
      </w:r>
      <w:r w:rsidR="002565C7">
        <w:t xml:space="preserve">k.  Over the years that interpretation led to controversy as to just what it meant for labor to be integrated into “the </w:t>
      </w:r>
      <w:r w:rsidR="00BD297C">
        <w:t>‘</w:t>
      </w:r>
      <w:r w:rsidR="002565C7">
        <w:t>flow</w:t>
      </w:r>
      <w:r w:rsidR="00BD297C">
        <w:t>’</w:t>
      </w:r>
      <w:r w:rsidR="002565C7">
        <w:t xml:space="preserve"> process of construction”</w:t>
      </w:r>
      <w:r w:rsidR="00BD297C">
        <w:t xml:space="preserve"> (</w:t>
      </w:r>
      <w:r w:rsidR="00BD297C">
        <w:rPr>
          <w:i/>
          <w:iCs/>
        </w:rPr>
        <w:t>Williams</w:t>
      </w:r>
      <w:r w:rsidR="00BD297C">
        <w:t>, at p. 753)</w:t>
      </w:r>
      <w:r w:rsidR="002565C7">
        <w:t xml:space="preserve"> and so </w:t>
      </w:r>
      <w:r w:rsidR="00BD297C">
        <w:t xml:space="preserve">to </w:t>
      </w:r>
      <w:r w:rsidR="002565C7">
        <w:t>qualify as part of the “execution of [a] contract for public work”</w:t>
      </w:r>
      <w:r w:rsidR="00BD297C">
        <w:t xml:space="preserve"> (§ 1772).</w:t>
      </w:r>
      <w:r w:rsidR="002565C7">
        <w:t xml:space="preserve">  </w:t>
      </w:r>
      <w:r w:rsidR="0067098A" w:rsidRPr="00325F22">
        <w:t>The federal district court applied</w:t>
      </w:r>
      <w:r w:rsidR="002565C7">
        <w:t xml:space="preserve"> </w:t>
      </w:r>
      <w:r w:rsidR="0067098A" w:rsidRPr="00325F22">
        <w:t xml:space="preserve">the “integrated aspect” test </w:t>
      </w:r>
      <w:r w:rsidR="00BD297C">
        <w:t>(</w:t>
      </w:r>
      <w:r w:rsidR="00BD297C">
        <w:rPr>
          <w:i/>
          <w:iCs/>
        </w:rPr>
        <w:t>Williams</w:t>
      </w:r>
      <w:r w:rsidR="00BD297C">
        <w:t xml:space="preserve">, at p. 753) </w:t>
      </w:r>
      <w:r w:rsidR="0067098A" w:rsidRPr="00325F22">
        <w:t>but sided with defendants, concluding that mobilization is independent</w:t>
      </w:r>
      <w:r w:rsidR="006D7D49">
        <w:t xml:space="preserve"> of</w:t>
      </w:r>
      <w:r w:rsidR="00617FD2" w:rsidRPr="002565C7">
        <w:t>, rather than integrated</w:t>
      </w:r>
      <w:r w:rsidR="006D7D49">
        <w:t xml:space="preserve"> into</w:t>
      </w:r>
      <w:r w:rsidR="00CF2CFC" w:rsidRPr="002565C7">
        <w:t>,</w:t>
      </w:r>
      <w:r w:rsidR="00617FD2" w:rsidRPr="002565C7">
        <w:t xml:space="preserve"> </w:t>
      </w:r>
      <w:r w:rsidR="006D7D49">
        <w:t xml:space="preserve">the construction work performed by plaintiffs at the public works </w:t>
      </w:r>
      <w:r w:rsidR="008360AC">
        <w:t>site</w:t>
      </w:r>
      <w:r w:rsidR="006D7D49">
        <w:t>.</w:t>
      </w:r>
    </w:p>
    <w:p w14:paraId="3480876E" w14:textId="00E18F06" w:rsidR="00266668" w:rsidRPr="00325F22" w:rsidRDefault="00EB0D70" w:rsidP="008804E3">
      <w:pPr>
        <w:tabs>
          <w:tab w:val="left" w:pos="1440"/>
        </w:tabs>
        <w:ind w:firstLine="720"/>
      </w:pPr>
      <w:r w:rsidRPr="00325F22">
        <w:t xml:space="preserve">Before </w:t>
      </w:r>
      <w:r w:rsidR="006510D1" w:rsidRPr="00325F22">
        <w:t>consider</w:t>
      </w:r>
      <w:r w:rsidR="008804E3" w:rsidRPr="00325F22">
        <w:t>ing</w:t>
      </w:r>
      <w:r w:rsidR="00AD010E" w:rsidRPr="00325F22">
        <w:t xml:space="preserve"> </w:t>
      </w:r>
      <w:r w:rsidR="002A1105" w:rsidRPr="00325F22">
        <w:t xml:space="preserve">the </w:t>
      </w:r>
      <w:r w:rsidR="00AD010E" w:rsidRPr="00325F22">
        <w:t xml:space="preserve">interpretation of section 1772 </w:t>
      </w:r>
      <w:r w:rsidR="008804E3" w:rsidRPr="00325F22">
        <w:t xml:space="preserve">adopted in recent lower court cases, we examine </w:t>
      </w:r>
      <w:r w:rsidR="00B33A8F" w:rsidRPr="00325F22">
        <w:t xml:space="preserve">the </w:t>
      </w:r>
      <w:r w:rsidR="00385981">
        <w:t>section’s meaning anew, focusing first on its language and then on its legislative history.</w:t>
      </w:r>
      <w:r w:rsidR="00266668" w:rsidRPr="00325F22">
        <w:t xml:space="preserve"> </w:t>
      </w:r>
    </w:p>
    <w:p w14:paraId="3CBC0BF4" w14:textId="3AD242DA" w:rsidR="006070DA" w:rsidRPr="007640FB" w:rsidRDefault="006070DA" w:rsidP="007640FB">
      <w:pPr>
        <w:tabs>
          <w:tab w:val="left" w:pos="1440"/>
        </w:tabs>
        <w:ind w:firstLine="720"/>
        <w:rPr>
          <w:i/>
          <w:iCs/>
        </w:rPr>
      </w:pPr>
      <w:r w:rsidRPr="007640FB">
        <w:t>B.</w:t>
      </w:r>
      <w:r w:rsidRPr="007640FB">
        <w:tab/>
      </w:r>
      <w:r w:rsidRPr="007640FB">
        <w:rPr>
          <w:i/>
          <w:iCs/>
        </w:rPr>
        <w:t>Section 1772</w:t>
      </w:r>
    </w:p>
    <w:p w14:paraId="47FE146C" w14:textId="2CA79EC9" w:rsidR="00857569" w:rsidRDefault="000B3A07" w:rsidP="007640FB">
      <w:pPr>
        <w:tabs>
          <w:tab w:val="left" w:pos="1440"/>
        </w:tabs>
        <w:ind w:firstLine="720"/>
      </w:pPr>
      <w:r w:rsidRPr="007640FB">
        <w:t>Familiar principles guide our interpretation</w:t>
      </w:r>
      <w:r w:rsidR="0043085B">
        <w:t>.</w:t>
      </w:r>
      <w:r w:rsidR="00633526">
        <w:t xml:space="preserve">  O</w:t>
      </w:r>
      <w:r w:rsidRPr="007640FB">
        <w:t>ur fundamental task is to determine the</w:t>
      </w:r>
      <w:r w:rsidR="00E943E9" w:rsidRPr="007640FB">
        <w:t xml:space="preserve"> legislative intent and</w:t>
      </w:r>
      <w:r w:rsidRPr="007640FB">
        <w:t xml:space="preserve"> effectuate the law’s purpose, giving the statutory language its plain and commonsense meaning.  We examine that language, not in isolation, but in the context of the statutory framework as a whole to discern its scope and to harmonize various parts of the enactment.  (</w:t>
      </w:r>
      <w:r w:rsidRPr="007640FB">
        <w:rPr>
          <w:i/>
          <w:iCs/>
        </w:rPr>
        <w:t xml:space="preserve">Coalition of Concerned Communities, Inc. v. City of Los Angeles </w:t>
      </w:r>
      <w:r w:rsidRPr="007640FB">
        <w:t>(2004) 34 Cal.4th 733, 737.)  “If the language is clear, courts must generally follow its plain meaning unless a literal interpretation would result in absurd consequences the Legislature did not intend.  If the statutory language permits more than one reasonable interpretation, courts may consider other aids, such as the statute’s purpose, legislative history, and public policy.”  (</w:t>
      </w:r>
      <w:r w:rsidRPr="007640FB">
        <w:rPr>
          <w:i/>
          <w:iCs/>
        </w:rPr>
        <w:t>Ibid.</w:t>
      </w:r>
      <w:r w:rsidRPr="007640FB">
        <w:t>)</w:t>
      </w:r>
    </w:p>
    <w:p w14:paraId="26F34860" w14:textId="029F6936" w:rsidR="00F354FC" w:rsidRDefault="00194FEA" w:rsidP="007640FB">
      <w:pPr>
        <w:tabs>
          <w:tab w:val="left" w:pos="1440"/>
        </w:tabs>
        <w:ind w:firstLine="720"/>
      </w:pPr>
      <w:r>
        <w:lastRenderedPageBreak/>
        <w:t>The</w:t>
      </w:r>
      <w:r w:rsidR="00AE101C">
        <w:t xml:space="preserve"> operative</w:t>
      </w:r>
      <w:r>
        <w:t xml:space="preserve"> language of section 1772 has remained largely unchanged since 193</w:t>
      </w:r>
      <w:r w:rsidR="00DA3E80">
        <w:t>1</w:t>
      </w:r>
      <w:r>
        <w:t xml:space="preserve">, </w:t>
      </w:r>
      <w:r w:rsidR="00AE101C">
        <w:t xml:space="preserve">when </w:t>
      </w:r>
      <w:r w:rsidR="00062052">
        <w:t>it first appeared as</w:t>
      </w:r>
      <w:r w:rsidR="00AE101C">
        <w:t xml:space="preserve"> part of </w:t>
      </w:r>
      <w:r w:rsidR="00062052">
        <w:t>the uncodified prevailing wage law</w:t>
      </w:r>
      <w:r w:rsidR="00AE101C">
        <w:t>.</w:t>
      </w:r>
      <w:r w:rsidR="00822375">
        <w:rPr>
          <w:rStyle w:val="FootnoteReference"/>
        </w:rPr>
        <w:footnoteReference w:id="9"/>
      </w:r>
      <w:r w:rsidR="00CF5A5E">
        <w:t xml:space="preserve">  </w:t>
      </w:r>
      <w:r w:rsidR="00AE101C">
        <w:t>(</w:t>
      </w:r>
      <w:r w:rsidR="00322190">
        <w:t xml:space="preserve">Stats. 1931, </w:t>
      </w:r>
      <w:proofErr w:type="spellStart"/>
      <w:r w:rsidR="00322190">
        <w:t>ch.</w:t>
      </w:r>
      <w:proofErr w:type="spellEnd"/>
      <w:r w:rsidR="00322190">
        <w:t xml:space="preserve"> 397, § 1, p.</w:t>
      </w:r>
      <w:r w:rsidR="00CF5A5E">
        <w:t xml:space="preserve"> 910</w:t>
      </w:r>
      <w:r w:rsidR="00AE101C">
        <w:t xml:space="preserve">.)  </w:t>
      </w:r>
      <w:r w:rsidR="00485713" w:rsidRPr="00AE101C">
        <w:t>Considering section 1772 in the context of the overall development of the prevailing wage law, it appears its aim was quite modest</w:t>
      </w:r>
      <w:r w:rsidR="00F354FC">
        <w:t>:  to ensure that the benefits of the prevailing wage law extend to those employed by contractors or subcontractors</w:t>
      </w:r>
      <w:r w:rsidR="00077403">
        <w:t>.</w:t>
      </w:r>
    </w:p>
    <w:p w14:paraId="1C4BC127" w14:textId="17BA0280" w:rsidR="00485713" w:rsidRPr="00AE101C" w:rsidRDefault="00485713" w:rsidP="007640FB">
      <w:pPr>
        <w:tabs>
          <w:tab w:val="left" w:pos="1440"/>
        </w:tabs>
        <w:ind w:firstLine="720"/>
      </w:pPr>
      <w:r w:rsidRPr="00AE101C">
        <w:t xml:space="preserve">As noted, </w:t>
      </w:r>
      <w:r w:rsidR="00062052">
        <w:t xml:space="preserve">the obligation to pay prevailing wages does not </w:t>
      </w:r>
      <w:r w:rsidR="000D38FF">
        <w:t xml:space="preserve">now </w:t>
      </w:r>
      <w:r w:rsidR="00062052">
        <w:t xml:space="preserve">apply to work carried out by a </w:t>
      </w:r>
      <w:r w:rsidRPr="00AE101C">
        <w:t>government</w:t>
      </w:r>
      <w:r w:rsidR="00062052">
        <w:t>al</w:t>
      </w:r>
      <w:r w:rsidRPr="00AE101C">
        <w:t xml:space="preserve"> entit</w:t>
      </w:r>
      <w:r w:rsidR="00062052">
        <w:t>y’s own labor force.</w:t>
      </w:r>
      <w:r w:rsidR="00BF7123">
        <w:t xml:space="preserve">  </w:t>
      </w:r>
      <w:r w:rsidR="00952D38">
        <w:t xml:space="preserve">Before the adoption of a statute expressly setting forth this exclusion </w:t>
      </w:r>
      <w:r w:rsidR="00144067">
        <w:t>(§ 1771)</w:t>
      </w:r>
      <w:r w:rsidR="00E91287">
        <w:t>,</w:t>
      </w:r>
      <w:r w:rsidR="00952D38">
        <w:t xml:space="preserve"> </w:t>
      </w:r>
      <w:r w:rsidR="00144067">
        <w:t xml:space="preserve">there was a vigorous debate about whether the prevailing wage law as originally enacted applied to government workers, </w:t>
      </w:r>
      <w:r w:rsidR="00582378" w:rsidRPr="00AE101C">
        <w:t xml:space="preserve">as we explain below.  </w:t>
      </w:r>
      <w:r w:rsidR="00E66D42" w:rsidRPr="00AE101C">
        <w:t>(</w:t>
      </w:r>
      <w:r w:rsidR="00FA6098">
        <w:t xml:space="preserve">See </w:t>
      </w:r>
      <w:r w:rsidR="00FA6098" w:rsidRPr="00FA6098">
        <w:rPr>
          <w:i/>
          <w:iCs/>
        </w:rPr>
        <w:t>p</w:t>
      </w:r>
      <w:r w:rsidR="00AE101C" w:rsidRPr="00883691">
        <w:rPr>
          <w:i/>
          <w:iCs/>
        </w:rPr>
        <w:t>ost</w:t>
      </w:r>
      <w:r w:rsidR="00AE101C">
        <w:t xml:space="preserve">, </w:t>
      </w:r>
      <w:r w:rsidR="0029706E">
        <w:t xml:space="preserve">at </w:t>
      </w:r>
      <w:r w:rsidR="00AE101C">
        <w:t xml:space="preserve">pp. </w:t>
      </w:r>
      <w:r w:rsidR="00E511AD">
        <w:t>1</w:t>
      </w:r>
      <w:r w:rsidR="007F2BA0">
        <w:t>6</w:t>
      </w:r>
      <w:r w:rsidR="00FA6098">
        <w:t>–</w:t>
      </w:r>
      <w:r w:rsidR="00E511AD">
        <w:t>1</w:t>
      </w:r>
      <w:r w:rsidR="007F2BA0">
        <w:t>8</w:t>
      </w:r>
      <w:r w:rsidR="00BF7123">
        <w:t xml:space="preserve">; see generally </w:t>
      </w:r>
      <w:r w:rsidR="00BF7123">
        <w:rPr>
          <w:i/>
          <w:iCs/>
        </w:rPr>
        <w:t xml:space="preserve">Bishop v. City of San Jose </w:t>
      </w:r>
      <w:r w:rsidR="00BF7123">
        <w:t>(1969) 1 Cal.3d 56 (</w:t>
      </w:r>
      <w:r w:rsidR="00BF7123">
        <w:rPr>
          <w:i/>
          <w:iCs/>
        </w:rPr>
        <w:t>Bishop</w:t>
      </w:r>
      <w:r w:rsidR="00BF7123">
        <w:t>)</w:t>
      </w:r>
      <w:r w:rsidR="00AE101C">
        <w:t xml:space="preserve">.)  </w:t>
      </w:r>
      <w:r w:rsidR="00883691">
        <w:t>O</w:t>
      </w:r>
      <w:r w:rsidR="00850A5E" w:rsidRPr="00AE101C">
        <w:t xml:space="preserve">ne aim of the public works scheme was and is to protect laborers who </w:t>
      </w:r>
      <w:r w:rsidR="00FB34C0" w:rsidRPr="00AE101C">
        <w:t xml:space="preserve">are </w:t>
      </w:r>
      <w:r w:rsidR="00850A5E" w:rsidRPr="00AE101C">
        <w:t xml:space="preserve">not part </w:t>
      </w:r>
      <w:r w:rsidR="00FB34C0" w:rsidRPr="00AE101C">
        <w:t xml:space="preserve">of a governmental labor force.  </w:t>
      </w:r>
      <w:r w:rsidR="00DA3E80" w:rsidRPr="00AE101C">
        <w:t>(</w:t>
      </w:r>
      <w:r w:rsidR="00490226" w:rsidRPr="00490226">
        <w:rPr>
          <w:i/>
          <w:iCs/>
        </w:rPr>
        <w:t>Lusardi</w:t>
      </w:r>
      <w:r w:rsidR="00490226">
        <w:t xml:space="preserve">, </w:t>
      </w:r>
      <w:r w:rsidR="00490226" w:rsidRPr="00490226">
        <w:rPr>
          <w:i/>
          <w:iCs/>
        </w:rPr>
        <w:t>supra</w:t>
      </w:r>
      <w:r w:rsidR="00490226">
        <w:t>, 1 Cal.4th at p. 987.</w:t>
      </w:r>
      <w:r w:rsidR="00DA3E80" w:rsidRPr="00AE101C">
        <w:t>)</w:t>
      </w:r>
    </w:p>
    <w:p w14:paraId="180F6512" w14:textId="2FE967CC" w:rsidR="00FB34C0" w:rsidRPr="00D210B4" w:rsidRDefault="00FB34C0" w:rsidP="007640FB">
      <w:pPr>
        <w:tabs>
          <w:tab w:val="left" w:pos="1440"/>
        </w:tabs>
        <w:ind w:firstLine="720"/>
      </w:pPr>
      <w:r w:rsidRPr="00D210B4">
        <w:t xml:space="preserve">A governmental entity electing not to </w:t>
      </w:r>
      <w:r w:rsidR="00C17CE5" w:rsidRPr="00D210B4">
        <w:t xml:space="preserve">use its own labor force on a public works project could, conceivably, </w:t>
      </w:r>
      <w:r w:rsidR="00EA0AAB" w:rsidRPr="00D210B4">
        <w:t xml:space="preserve">contract individually with </w:t>
      </w:r>
      <w:r w:rsidR="00DD156B" w:rsidRPr="00D210B4">
        <w:t xml:space="preserve">outside </w:t>
      </w:r>
      <w:r w:rsidR="00EA0AAB" w:rsidRPr="00D210B4">
        <w:t>workers to perform the required tasks.</w:t>
      </w:r>
      <w:r w:rsidR="00D210B4">
        <w:t xml:space="preserve">  </w:t>
      </w:r>
      <w:r w:rsidR="00EA0AAB" w:rsidRPr="00D210B4">
        <w:t xml:space="preserve">Alternatively, it could award a public works contract to a contractor or subcontractor </w:t>
      </w:r>
      <w:r w:rsidR="00D210B4">
        <w:t>that</w:t>
      </w:r>
      <w:r w:rsidR="00EA0AAB" w:rsidRPr="00D210B4">
        <w:t xml:space="preserve"> would use </w:t>
      </w:r>
      <w:r w:rsidR="00714B71" w:rsidRPr="00D210B4">
        <w:t xml:space="preserve">those it hired </w:t>
      </w:r>
      <w:r w:rsidR="002175D2" w:rsidRPr="00D210B4">
        <w:t xml:space="preserve">to do the work.  It appears that section 1772 was enacted to ensure that nongovernmental laborers were entitled to the prevailing wage whether </w:t>
      </w:r>
      <w:r w:rsidR="00963B9F" w:rsidRPr="00D210B4">
        <w:t xml:space="preserve">they worked under a contract directly with a government entity, or under an agreement with a contractor or subcontractor awarded a public works contract.  That is to say, </w:t>
      </w:r>
      <w:r w:rsidR="00D507A5" w:rsidRPr="00D210B4">
        <w:t>these nongovernment</w:t>
      </w:r>
      <w:r w:rsidR="00156E79">
        <w:t>al</w:t>
      </w:r>
      <w:r w:rsidR="00D507A5" w:rsidRPr="00D210B4">
        <w:t xml:space="preserve"> workers are entitled to the prevailing </w:t>
      </w:r>
      <w:r w:rsidR="00D507A5" w:rsidRPr="00D210B4">
        <w:lastRenderedPageBreak/>
        <w:t xml:space="preserve">wage notwithstanding their employment relationship </w:t>
      </w:r>
      <w:r w:rsidR="00F23C9E" w:rsidRPr="00D210B4">
        <w:t>with a private contractor.  Even though their employment agree</w:t>
      </w:r>
      <w:r w:rsidR="00BA2BA9" w:rsidRPr="00D210B4">
        <w:t>ment</w:t>
      </w:r>
      <w:r w:rsidR="00F23C9E" w:rsidRPr="00D210B4">
        <w:t xml:space="preserve"> was with a private entity</w:t>
      </w:r>
      <w:r w:rsidR="00092472" w:rsidRPr="00D210B4">
        <w:t>,</w:t>
      </w:r>
      <w:r w:rsidR="00F23C9E" w:rsidRPr="00D210B4">
        <w:t xml:space="preserve"> th</w:t>
      </w:r>
      <w:r w:rsidR="00092472" w:rsidRPr="00D210B4">
        <w:t>ey</w:t>
      </w:r>
      <w:r w:rsidR="00F23C9E" w:rsidRPr="00D210B4">
        <w:t xml:space="preserve"> were “deemed” to be employed </w:t>
      </w:r>
      <w:r w:rsidR="003E22E5" w:rsidRPr="00D210B4">
        <w:t>u</w:t>
      </w:r>
      <w:r w:rsidR="00F23C9E" w:rsidRPr="00D210B4">
        <w:t xml:space="preserve">pon </w:t>
      </w:r>
      <w:r w:rsidR="003E22E5" w:rsidRPr="00D210B4">
        <w:t xml:space="preserve">public work if they were engaged in the private contractor’s </w:t>
      </w:r>
      <w:r w:rsidR="00494AC4" w:rsidRPr="00D210B4">
        <w:t>“</w:t>
      </w:r>
      <w:r w:rsidR="003E22E5" w:rsidRPr="00D210B4">
        <w:t xml:space="preserve">execution of </w:t>
      </w:r>
      <w:r w:rsidR="00322190">
        <w:t>[</w:t>
      </w:r>
      <w:r w:rsidR="003E22E5" w:rsidRPr="00D210B4">
        <w:t>a</w:t>
      </w:r>
      <w:r w:rsidR="00322190">
        <w:t>]</w:t>
      </w:r>
      <w:r w:rsidR="003E22E5" w:rsidRPr="00D210B4">
        <w:t xml:space="preserve"> contract for public </w:t>
      </w:r>
      <w:r w:rsidR="00494AC4" w:rsidRPr="00D210B4">
        <w:t>work.”</w:t>
      </w:r>
      <w:r w:rsidR="00D210B4">
        <w:t xml:space="preserve">  (§ </w:t>
      </w:r>
      <w:r w:rsidR="00494AC4" w:rsidRPr="00D210B4">
        <w:t>1772</w:t>
      </w:r>
      <w:r w:rsidR="00D210B4">
        <w:t>.</w:t>
      </w:r>
      <w:r w:rsidR="00494AC4" w:rsidRPr="00D210B4">
        <w:t>)</w:t>
      </w:r>
    </w:p>
    <w:p w14:paraId="74E89A3D" w14:textId="20A9CAC3" w:rsidR="00EB234A" w:rsidRPr="00544980" w:rsidRDefault="00BB6379" w:rsidP="00D66E89">
      <w:pPr>
        <w:tabs>
          <w:tab w:val="left" w:pos="1440"/>
        </w:tabs>
        <w:ind w:firstLine="720"/>
        <w:rPr>
          <w:strike/>
        </w:rPr>
      </w:pPr>
      <w:r w:rsidRPr="00544980">
        <w:t xml:space="preserve">The obligation to </w:t>
      </w:r>
      <w:r w:rsidRPr="00544980">
        <w:rPr>
          <w:i/>
          <w:iCs/>
        </w:rPr>
        <w:t>pay</w:t>
      </w:r>
      <w:r w:rsidRPr="00544980">
        <w:t xml:space="preserve"> </w:t>
      </w:r>
      <w:r w:rsidR="004673E7" w:rsidRPr="00544980">
        <w:t>prevailing wages</w:t>
      </w:r>
      <w:r w:rsidRPr="00544980">
        <w:t xml:space="preserve"> to those employed on public works arises out of section 1771</w:t>
      </w:r>
      <w:r w:rsidR="00A07165" w:rsidRPr="00544980">
        <w:t xml:space="preserve">, which links the obligation to the </w:t>
      </w:r>
      <w:r w:rsidR="00A07165" w:rsidRPr="00544980">
        <w:rPr>
          <w:i/>
          <w:iCs/>
        </w:rPr>
        <w:t>kind</w:t>
      </w:r>
      <w:r w:rsidR="00A07165" w:rsidRPr="00544980">
        <w:t xml:space="preserve"> of work done</w:t>
      </w:r>
      <w:r w:rsidR="00857569" w:rsidRPr="00544980">
        <w:t>.</w:t>
      </w:r>
      <w:r w:rsidR="00952D30" w:rsidRPr="00544980">
        <w:t xml:space="preserve">  </w:t>
      </w:r>
      <w:r w:rsidR="00857569" w:rsidRPr="00544980">
        <w:t>Section 1772</w:t>
      </w:r>
      <w:r w:rsidRPr="00544980">
        <w:t xml:space="preserve">, in turn, </w:t>
      </w:r>
      <w:r w:rsidR="00857569" w:rsidRPr="00544980">
        <w:t xml:space="preserve">clarifies that </w:t>
      </w:r>
      <w:r w:rsidR="004673E7" w:rsidRPr="00544980">
        <w:t xml:space="preserve">workers </w:t>
      </w:r>
      <w:r w:rsidR="000A7AA9" w:rsidRPr="00544980">
        <w:t>employed by</w:t>
      </w:r>
      <w:r w:rsidR="004673E7" w:rsidRPr="00544980">
        <w:t xml:space="preserve"> contractors or subcontractors “are deemed to be employed upon public work</w:t>
      </w:r>
      <w:r w:rsidR="00FA7EDC" w:rsidRPr="00544980">
        <w:t>,</w:t>
      </w:r>
      <w:r w:rsidR="004673E7" w:rsidRPr="00544980">
        <w:t xml:space="preserve">” </w:t>
      </w:r>
      <w:r w:rsidR="005D26AF" w:rsidRPr="00544980">
        <w:t xml:space="preserve">so long as </w:t>
      </w:r>
      <w:r w:rsidR="000A7AA9" w:rsidRPr="00544980">
        <w:t>the</w:t>
      </w:r>
      <w:r w:rsidR="00544980">
        <w:t xml:space="preserve">y are </w:t>
      </w:r>
      <w:r w:rsidR="00E66D42" w:rsidRPr="00544980">
        <w:t xml:space="preserve">employed by the contractor </w:t>
      </w:r>
      <w:r w:rsidR="00544980">
        <w:t xml:space="preserve">or subcontractor </w:t>
      </w:r>
      <w:r w:rsidR="00E66D42" w:rsidRPr="00544980">
        <w:t xml:space="preserve">in </w:t>
      </w:r>
      <w:r w:rsidR="00BB15DC" w:rsidRPr="00544980">
        <w:t>“</w:t>
      </w:r>
      <w:r w:rsidR="004673E7" w:rsidRPr="00544980">
        <w:t>the execution of any contract for public work</w:t>
      </w:r>
      <w:r w:rsidR="00544980">
        <w:t>.</w:t>
      </w:r>
      <w:r w:rsidR="004673E7" w:rsidRPr="00544980">
        <w:t>”</w:t>
      </w:r>
      <w:r w:rsidR="00544980">
        <w:t xml:space="preserve">  </w:t>
      </w:r>
      <w:r w:rsidR="00366523" w:rsidRPr="00544980">
        <w:t>S</w:t>
      </w:r>
      <w:r w:rsidR="00EB234A" w:rsidRPr="00544980">
        <w:t xml:space="preserve">ection 1774 further specifies that “[t]he </w:t>
      </w:r>
      <w:r w:rsidR="00EB234A">
        <w:t>contractor to whom the contract is awarded, and any subcontractor under him, shall pay not less than the specified prevailing rates of wages to all workmen employed in the execution of the contract</w:t>
      </w:r>
      <w:r w:rsidR="00EB234A" w:rsidRPr="00544980">
        <w:t xml:space="preserve">.”  </w:t>
      </w:r>
      <w:r w:rsidR="00D410A9" w:rsidRPr="00544980">
        <w:t xml:space="preserve">  Section 1772 describes a </w:t>
      </w:r>
      <w:r w:rsidR="00D410A9" w:rsidRPr="00077403">
        <w:rPr>
          <w:i/>
          <w:iCs/>
        </w:rPr>
        <w:t>category of person</w:t>
      </w:r>
      <w:r w:rsidR="00544980" w:rsidRPr="00077403">
        <w:rPr>
          <w:i/>
          <w:iCs/>
        </w:rPr>
        <w:t>s</w:t>
      </w:r>
      <w:r w:rsidR="00D410A9" w:rsidRPr="00544980">
        <w:t xml:space="preserve"> </w:t>
      </w:r>
      <w:r w:rsidR="00D410A9" w:rsidRPr="000D38FF">
        <w:t>entitled</w:t>
      </w:r>
      <w:r w:rsidR="00D410A9" w:rsidRPr="00544980">
        <w:t xml:space="preserve"> to the prevailing wage</w:t>
      </w:r>
      <w:r w:rsidR="009D41B0" w:rsidRPr="00544980">
        <w:t xml:space="preserve"> based on the </w:t>
      </w:r>
      <w:r w:rsidR="009D41B0" w:rsidRPr="00077403">
        <w:t>work</w:t>
      </w:r>
      <w:r w:rsidR="009D41B0" w:rsidRPr="00F354FC">
        <w:t xml:space="preserve"> </w:t>
      </w:r>
      <w:r w:rsidR="009D41B0" w:rsidRPr="00544980">
        <w:t>they do</w:t>
      </w:r>
      <w:r w:rsidR="00D410A9" w:rsidRPr="00544980">
        <w:t xml:space="preserve">, </w:t>
      </w:r>
      <w:r w:rsidR="00952D30" w:rsidRPr="00544980">
        <w:t>while</w:t>
      </w:r>
      <w:r w:rsidR="00D410A9" w:rsidRPr="00544980">
        <w:t xml:space="preserve"> section 1774 describes </w:t>
      </w:r>
      <w:r w:rsidR="00D410A9" w:rsidRPr="002929EA">
        <w:rPr>
          <w:i/>
          <w:iCs/>
        </w:rPr>
        <w:t>who</w:t>
      </w:r>
      <w:r w:rsidR="00D410A9" w:rsidRPr="00544980">
        <w:t xml:space="preserve"> </w:t>
      </w:r>
      <w:r w:rsidR="00D410A9" w:rsidRPr="00544980">
        <w:rPr>
          <w:i/>
          <w:iCs/>
        </w:rPr>
        <w:t>must pay</w:t>
      </w:r>
      <w:r w:rsidR="00D410A9" w:rsidRPr="00544980">
        <w:t xml:space="preserve"> </w:t>
      </w:r>
      <w:r w:rsidR="00834935" w:rsidRPr="00544980">
        <w:t>them the prevailing wage to which they are entitled.</w:t>
      </w:r>
    </w:p>
    <w:p w14:paraId="2F6963EB" w14:textId="77777777" w:rsidR="00E23540" w:rsidRDefault="00D66E89" w:rsidP="00E23540">
      <w:pPr>
        <w:tabs>
          <w:tab w:val="left" w:pos="1440"/>
        </w:tabs>
        <w:ind w:firstLine="720"/>
      </w:pPr>
      <w:r>
        <w:t xml:space="preserve">The structure of the prevailing wage law </w:t>
      </w:r>
      <w:r w:rsidR="00047B8F">
        <w:t>tends to c</w:t>
      </w:r>
      <w:r>
        <w:t xml:space="preserve">onfirm this understanding.  </w:t>
      </w:r>
      <w:r w:rsidR="00E1678D">
        <w:t xml:space="preserve">The </w:t>
      </w:r>
      <w:r w:rsidR="00544980">
        <w:t>scheme</w:t>
      </w:r>
      <w:r w:rsidR="00E1678D" w:rsidRPr="00F15C7C">
        <w:rPr>
          <w:color w:val="FF0000"/>
        </w:rPr>
        <w:t xml:space="preserve"> </w:t>
      </w:r>
      <w:r w:rsidR="00E1678D">
        <w:t xml:space="preserve">appears in </w:t>
      </w:r>
      <w:r w:rsidR="002929EA">
        <w:t>d</w:t>
      </w:r>
      <w:r w:rsidR="00E1678D">
        <w:t xml:space="preserve">ivision 2, </w:t>
      </w:r>
      <w:r w:rsidR="002929EA">
        <w:t>p</w:t>
      </w:r>
      <w:r w:rsidR="00E1678D">
        <w:t xml:space="preserve">art 7, </w:t>
      </w:r>
      <w:r w:rsidR="002929EA">
        <w:t>c</w:t>
      </w:r>
      <w:r w:rsidR="00E1678D">
        <w:t xml:space="preserve">hapter 1 of the Labor Code.  </w:t>
      </w:r>
      <w:r>
        <w:t>Article 1 of the law, entitled “Scope an</w:t>
      </w:r>
      <w:r w:rsidRPr="00544980">
        <w:t>d Operation</w:t>
      </w:r>
      <w:r w:rsidR="00DD0A87">
        <w:t>,”</w:t>
      </w:r>
      <w:r w:rsidRPr="00544980">
        <w:t xml:space="preserve"> defines the </w:t>
      </w:r>
      <w:r w:rsidR="00D36469" w:rsidRPr="00544980">
        <w:t xml:space="preserve">extent </w:t>
      </w:r>
      <w:r w:rsidRPr="00544980">
        <w:t xml:space="preserve">of prevailing </w:t>
      </w:r>
      <w:r>
        <w:t>wage coverage.</w:t>
      </w:r>
      <w:r w:rsidR="00DD0A87">
        <w:t xml:space="preserve">  (§§ 1720–1743.)</w:t>
      </w:r>
      <w:r w:rsidR="00060688">
        <w:t xml:space="preserve">  </w:t>
      </w:r>
      <w:r w:rsidR="009B3E5B">
        <w:t>A</w:t>
      </w:r>
      <w:r>
        <w:t>rticle 2, entitled “Wages,</w:t>
      </w:r>
      <w:r w:rsidR="00DD0A87">
        <w:t>”</w:t>
      </w:r>
      <w:r>
        <w:t xml:space="preserve"> addresses the wages to be paid to </w:t>
      </w:r>
      <w:r w:rsidR="00671D46">
        <w:t>those</w:t>
      </w:r>
      <w:r>
        <w:t xml:space="preserve"> performing work </w:t>
      </w:r>
      <w:r w:rsidR="00DD0A87">
        <w:t>encompassed by the law’s defined scope.  (§§ 1770–178</w:t>
      </w:r>
      <w:r w:rsidR="002929EA">
        <w:t>5</w:t>
      </w:r>
      <w:r w:rsidR="00DD0A87">
        <w:t xml:space="preserve">.)  </w:t>
      </w:r>
      <w:r w:rsidR="00060688">
        <w:t xml:space="preserve">Section 1772 is found in </w:t>
      </w:r>
      <w:r w:rsidR="00156E79">
        <w:t>a</w:t>
      </w:r>
      <w:r w:rsidR="00060688">
        <w:t>rticle 2</w:t>
      </w:r>
      <w:r w:rsidR="00A015F7">
        <w:t>.</w:t>
      </w:r>
      <w:r w:rsidR="00A015F7">
        <w:rPr>
          <w:rStyle w:val="FootnoteReference"/>
        </w:rPr>
        <w:footnoteReference w:id="10"/>
      </w:r>
    </w:p>
    <w:p w14:paraId="631A9963" w14:textId="0E901D92" w:rsidR="009B3E5B" w:rsidRDefault="001A699C" w:rsidP="00E1678D">
      <w:pPr>
        <w:tabs>
          <w:tab w:val="left" w:pos="1440"/>
        </w:tabs>
        <w:ind w:firstLine="720"/>
      </w:pPr>
      <w:r>
        <w:lastRenderedPageBreak/>
        <w:t xml:space="preserve">In the case of the prevailing wage law, </w:t>
      </w:r>
      <w:r w:rsidR="00671D46">
        <w:t xml:space="preserve">the subject of each </w:t>
      </w:r>
      <w:r w:rsidR="00156E79">
        <w:t>a</w:t>
      </w:r>
      <w:r w:rsidR="00671D46">
        <w:t xml:space="preserve">rticle is consistent with its heading.  </w:t>
      </w:r>
      <w:r>
        <w:t>W</w:t>
      </w:r>
      <w:r w:rsidR="00060688">
        <w:t xml:space="preserve">ithin </w:t>
      </w:r>
      <w:r w:rsidR="00156E79">
        <w:t>a</w:t>
      </w:r>
      <w:r w:rsidR="00060688">
        <w:t xml:space="preserve">rticle 1, sections 1720 to 1720.9 </w:t>
      </w:r>
      <w:r w:rsidR="00502BD4">
        <w:t>describe</w:t>
      </w:r>
      <w:r w:rsidR="00060688">
        <w:t xml:space="preserve"> the</w:t>
      </w:r>
      <w:r w:rsidR="00381FAC">
        <w:t xml:space="preserve"> </w:t>
      </w:r>
      <w:r w:rsidR="00686F8B">
        <w:rPr>
          <w:i/>
          <w:iCs/>
        </w:rPr>
        <w:t xml:space="preserve">types of labor </w:t>
      </w:r>
      <w:r w:rsidR="00686F8B">
        <w:t>to which the law applies</w:t>
      </w:r>
      <w:r w:rsidR="00686F8B" w:rsidRPr="00686F8B">
        <w:t>.</w:t>
      </w:r>
      <w:r w:rsidR="00686F8B" w:rsidRPr="00686F8B">
        <w:rPr>
          <w:rStyle w:val="FootnoteReference"/>
        </w:rPr>
        <w:footnoteReference w:id="11"/>
      </w:r>
      <w:r w:rsidR="00686F8B" w:rsidRPr="00686F8B">
        <w:t xml:space="preserve">  I</w:t>
      </w:r>
      <w:r w:rsidR="00F530FA" w:rsidRPr="00686F8B">
        <w:t xml:space="preserve">n </w:t>
      </w:r>
      <w:r w:rsidR="002929EA">
        <w:t>a</w:t>
      </w:r>
      <w:r w:rsidR="00671D46" w:rsidRPr="00686F8B">
        <w:t>rticle 2, s</w:t>
      </w:r>
      <w:r w:rsidR="001C00DE" w:rsidRPr="00686F8B">
        <w:t xml:space="preserve">ection 1772 focuses on the </w:t>
      </w:r>
      <w:r w:rsidR="001C00DE" w:rsidRPr="00686F8B">
        <w:rPr>
          <w:i/>
          <w:iCs/>
        </w:rPr>
        <w:t>types of workers</w:t>
      </w:r>
      <w:r w:rsidR="001C00DE" w:rsidRPr="00686F8B">
        <w:t xml:space="preserve"> entitled to receive the prevailing wage</w:t>
      </w:r>
      <w:r w:rsidR="00AB2C6A" w:rsidRPr="00686F8B">
        <w:t xml:space="preserve"> when they perform work defined a</w:t>
      </w:r>
      <w:r w:rsidR="004558CB" w:rsidRPr="00686F8B">
        <w:t>s</w:t>
      </w:r>
      <w:r w:rsidR="00AB2C6A" w:rsidRPr="00686F8B">
        <w:t xml:space="preserve"> “public work</w:t>
      </w:r>
      <w:r w:rsidR="001C00DE" w:rsidRPr="00686F8B">
        <w:t>.</w:t>
      </w:r>
      <w:r w:rsidR="00AB2C6A" w:rsidRPr="00686F8B">
        <w:t>”</w:t>
      </w:r>
      <w:r w:rsidR="00033849" w:rsidRPr="00686F8B">
        <w:t xml:space="preserve">  </w:t>
      </w:r>
      <w:r w:rsidR="00AB2C6A" w:rsidRPr="00686F8B">
        <w:t xml:space="preserve">As we have recently pointed out, however, the </w:t>
      </w:r>
      <w:r w:rsidR="00502BD4" w:rsidRPr="00686F8B">
        <w:t>“</w:t>
      </w:r>
      <w:r w:rsidR="00502BD4">
        <w:t>protections afforded by the prevailing wage law</w:t>
      </w:r>
      <w:r w:rsidR="00740081">
        <w:t>s</w:t>
      </w:r>
      <w:r w:rsidR="00502BD4">
        <w:t xml:space="preserve"> only extend to activities that qualify as public work.”  (</w:t>
      </w:r>
      <w:proofErr w:type="spellStart"/>
      <w:r w:rsidR="00502BD4">
        <w:rPr>
          <w:i/>
          <w:iCs/>
        </w:rPr>
        <w:t>Kaanaana</w:t>
      </w:r>
      <w:proofErr w:type="spellEnd"/>
      <w:r w:rsidR="004C630C">
        <w:t xml:space="preserve">, </w:t>
      </w:r>
      <w:r w:rsidR="004C630C">
        <w:rPr>
          <w:i/>
          <w:iCs/>
        </w:rPr>
        <w:t>supra</w:t>
      </w:r>
      <w:r w:rsidR="004C630C">
        <w:t xml:space="preserve">, </w:t>
      </w:r>
      <w:r w:rsidR="00502BD4">
        <w:t xml:space="preserve">11 Cal.5th </w:t>
      </w:r>
      <w:r w:rsidR="00327A3A">
        <w:t xml:space="preserve">at p. </w:t>
      </w:r>
      <w:r w:rsidR="00502BD4">
        <w:t xml:space="preserve">167.)  </w:t>
      </w:r>
      <w:r w:rsidR="00AB4B54">
        <w:t xml:space="preserve">Nothing in the plain language of section 1772 </w:t>
      </w:r>
      <w:r w:rsidR="00546B44">
        <w:t>indicates</w:t>
      </w:r>
      <w:r w:rsidR="00AB4B54">
        <w:t xml:space="preserve"> </w:t>
      </w:r>
      <w:r w:rsidR="00A01F3E">
        <w:t xml:space="preserve">it was intended to expand </w:t>
      </w:r>
      <w:r w:rsidR="00502BD4">
        <w:t xml:space="preserve">the categories of public work </w:t>
      </w:r>
      <w:r w:rsidR="00E1678D">
        <w:t>covered by the prevailing wage law.</w:t>
      </w:r>
    </w:p>
    <w:p w14:paraId="07BE85F4" w14:textId="6782E4A3" w:rsidR="007D0F2B" w:rsidRDefault="001306C1" w:rsidP="0063217C">
      <w:pPr>
        <w:keepNext/>
        <w:tabs>
          <w:tab w:val="left" w:pos="1440"/>
        </w:tabs>
        <w:ind w:left="1440" w:hanging="720"/>
      </w:pPr>
      <w:r>
        <w:t>C</w:t>
      </w:r>
      <w:r w:rsidRPr="007640FB">
        <w:t>.</w:t>
      </w:r>
      <w:r w:rsidRPr="007640FB">
        <w:tab/>
      </w:r>
      <w:r>
        <w:rPr>
          <w:i/>
          <w:iCs/>
        </w:rPr>
        <w:t xml:space="preserve">The Evolving Context of Section 1772 and </w:t>
      </w:r>
      <w:r w:rsidR="002929EA">
        <w:rPr>
          <w:i/>
          <w:iCs/>
        </w:rPr>
        <w:t>I</w:t>
      </w:r>
      <w:r>
        <w:rPr>
          <w:i/>
          <w:iCs/>
        </w:rPr>
        <w:t>ts Continuing Vitality</w:t>
      </w:r>
      <w:r w:rsidR="00DC5988">
        <w:rPr>
          <w:i/>
          <w:iCs/>
          <w:color w:val="00B050"/>
        </w:rPr>
        <w:t xml:space="preserve"> </w:t>
      </w:r>
    </w:p>
    <w:p w14:paraId="18A95773" w14:textId="1ADCCE63" w:rsidR="00F04BCC" w:rsidRPr="00F04BCC" w:rsidRDefault="00822375" w:rsidP="00543DEA">
      <w:pPr>
        <w:tabs>
          <w:tab w:val="left" w:pos="1440"/>
        </w:tabs>
        <w:ind w:firstLine="720"/>
      </w:pPr>
      <w:r>
        <w:t>S</w:t>
      </w:r>
      <w:r w:rsidR="0003475F">
        <w:t xml:space="preserve">upport for this interpretation is found in the legislative history of </w:t>
      </w:r>
      <w:r w:rsidR="00D66E89">
        <w:t>section 1772</w:t>
      </w:r>
      <w:r w:rsidR="0003475F">
        <w:t xml:space="preserve">. </w:t>
      </w:r>
      <w:r w:rsidR="00952D38">
        <w:t xml:space="preserve"> </w:t>
      </w:r>
      <w:r w:rsidR="00F04BCC">
        <w:t xml:space="preserve">As noted, California and the federal government enacted prevailing wage laws during the Great Depression, when </w:t>
      </w:r>
      <w:proofErr w:type="gramStart"/>
      <w:r w:rsidR="00740081">
        <w:t>contractors</w:t>
      </w:r>
      <w:proofErr w:type="gramEnd"/>
      <w:r w:rsidR="00740081">
        <w:t xml:space="preserve"> </w:t>
      </w:r>
      <w:r w:rsidR="00F04BCC">
        <w:t xml:space="preserve">intent on winning government contracts were able to exploit the oversupply of labor.  (See </w:t>
      </w:r>
      <w:proofErr w:type="spellStart"/>
      <w:r w:rsidR="00F04BCC">
        <w:rPr>
          <w:i/>
          <w:iCs/>
        </w:rPr>
        <w:t>Kaanaana</w:t>
      </w:r>
      <w:proofErr w:type="spellEnd"/>
      <w:r w:rsidR="00F04BCC">
        <w:t xml:space="preserve">, </w:t>
      </w:r>
      <w:r w:rsidR="00F04BCC">
        <w:rPr>
          <w:i/>
          <w:iCs/>
        </w:rPr>
        <w:t>supra</w:t>
      </w:r>
      <w:r w:rsidR="00F04BCC">
        <w:t>, 11 Cal.5th at pp. 165–166.)</w:t>
      </w:r>
    </w:p>
    <w:p w14:paraId="1DBAF6AD" w14:textId="44FF7650" w:rsidR="00DC5FDB" w:rsidRDefault="00327A3A" w:rsidP="00DC5FDB">
      <w:pPr>
        <w:tabs>
          <w:tab w:val="left" w:pos="1440"/>
        </w:tabs>
        <w:ind w:firstLine="720"/>
      </w:pPr>
      <w:r>
        <w:t xml:space="preserve">The </w:t>
      </w:r>
      <w:r w:rsidR="001306C1">
        <w:t xml:space="preserve">current California scheme </w:t>
      </w:r>
      <w:r>
        <w:t xml:space="preserve">traces back to the 1931 Act. </w:t>
      </w:r>
      <w:r w:rsidR="00C01029">
        <w:t xml:space="preserve"> (Stats. 1931, </w:t>
      </w:r>
      <w:proofErr w:type="spellStart"/>
      <w:r w:rsidR="00C01029">
        <w:t>ch.</w:t>
      </w:r>
      <w:proofErr w:type="spellEnd"/>
      <w:r w:rsidR="00C01029">
        <w:t xml:space="preserve"> 397, § 1, p. 910.)  Section 1 of that uncodified </w:t>
      </w:r>
      <w:r w:rsidR="002929EA">
        <w:t>measure</w:t>
      </w:r>
      <w:r w:rsidR="00C01029">
        <w:t xml:space="preserve"> contained two sentence</w:t>
      </w:r>
      <w:r w:rsidR="005A1DD5">
        <w:t xml:space="preserve">s that roughly correspond to sections 1771 and 1772 in the current version of the prevailing wage law.  Section 1 of the 1931 Act provided, in relevant part:  </w:t>
      </w:r>
      <w:r w:rsidR="005A1DD5">
        <w:lastRenderedPageBreak/>
        <w:t xml:space="preserve">“Not less than the general prevailing rate of per diem wages </w:t>
      </w:r>
      <w:r w:rsidR="00C978C7">
        <w:t xml:space="preserve">for work of a similar character in the locality in which the work is performed . . . shall be paid to all laborers, workmen and mechanics </w:t>
      </w:r>
      <w:r w:rsidR="00C978C7" w:rsidRPr="00C978C7">
        <w:rPr>
          <w:i/>
          <w:iCs/>
        </w:rPr>
        <w:t>employed by or on behalf of the State of California, or by or on behalf of any county, city and county, city, town, district or other political subdivision of the said state</w:t>
      </w:r>
      <w:r w:rsidR="00C978C7">
        <w:t xml:space="preserve">, engaged in the construction of public works, exclusive of maintenance work.  Laborers, workmen and mechanics </w:t>
      </w:r>
      <w:r w:rsidR="00C978C7">
        <w:rPr>
          <w:i/>
          <w:iCs/>
        </w:rPr>
        <w:t xml:space="preserve">employed by contractors or subcontractors </w:t>
      </w:r>
      <w:r w:rsidR="00C978C7">
        <w:t xml:space="preserve">in the execution of any contract or contracts for public works with the State of California, or any officer or public body </w:t>
      </w:r>
      <w:r w:rsidR="002929EA">
        <w:t>thereof</w:t>
      </w:r>
      <w:r w:rsidR="00C978C7">
        <w:t xml:space="preserve">, [or any political subdivision], </w:t>
      </w:r>
      <w:r w:rsidR="00C978C7">
        <w:rPr>
          <w:i/>
          <w:iCs/>
        </w:rPr>
        <w:t>shall be deemed to be employed upon public works.</w:t>
      </w:r>
      <w:r w:rsidR="00C978C7" w:rsidRPr="00D71F58">
        <w:t>”</w:t>
      </w:r>
      <w:r w:rsidR="00C978C7">
        <w:t xml:space="preserve">  (Stats. 1931, </w:t>
      </w:r>
      <w:proofErr w:type="spellStart"/>
      <w:r w:rsidR="00C978C7">
        <w:t>ch.</w:t>
      </w:r>
      <w:proofErr w:type="spellEnd"/>
      <w:r w:rsidR="00C978C7">
        <w:t xml:space="preserve"> 397, § 1, p. 910, italics added.)</w:t>
      </w:r>
      <w:r w:rsidR="00AE649F">
        <w:t xml:space="preserve">  </w:t>
      </w:r>
    </w:p>
    <w:p w14:paraId="7F54090C" w14:textId="4B2F5020" w:rsidR="00DC5FDB" w:rsidRDefault="00AE649F" w:rsidP="00DC5FDB">
      <w:pPr>
        <w:tabs>
          <w:tab w:val="left" w:pos="1440"/>
        </w:tabs>
        <w:ind w:firstLine="720"/>
        <w:rPr>
          <w:color w:val="00B050"/>
        </w:rPr>
      </w:pPr>
      <w:r>
        <w:t xml:space="preserve">The first sentence </w:t>
      </w:r>
      <w:r w:rsidR="00DB69B8">
        <w:t xml:space="preserve">quoted above </w:t>
      </w:r>
      <w:r>
        <w:t>extended coverage to those “employed by</w:t>
      </w:r>
      <w:r w:rsidR="00D71F58">
        <w:t xml:space="preserve"> or on behalf</w:t>
      </w:r>
      <w:r>
        <w:t>”</w:t>
      </w:r>
      <w:r w:rsidR="00D71F58">
        <w:t xml:space="preserve"> of</w:t>
      </w:r>
      <w:r>
        <w:t xml:space="preserve"> the government </w:t>
      </w:r>
      <w:r w:rsidRPr="000D38FF">
        <w:t>in</w:t>
      </w:r>
      <w:r w:rsidR="00DC5FDB" w:rsidRPr="000D38FF">
        <w:t xml:space="preserve"> constructing</w:t>
      </w:r>
      <w:r w:rsidRPr="000D38FF">
        <w:t xml:space="preserve"> </w:t>
      </w:r>
      <w:r>
        <w:t>public works</w:t>
      </w:r>
      <w:r w:rsidR="00DC5FDB">
        <w:t>.</w:t>
      </w:r>
      <w:r w:rsidR="00DC5FDB">
        <w:rPr>
          <w:rStyle w:val="FootnoteReference"/>
        </w:rPr>
        <w:footnoteReference w:id="12"/>
      </w:r>
      <w:r w:rsidR="00DC5FDB">
        <w:t xml:space="preserve">  </w:t>
      </w:r>
      <w:r w:rsidR="00597F54">
        <w:t>T</w:t>
      </w:r>
      <w:r>
        <w:t xml:space="preserve">he second sentence “deemed to be </w:t>
      </w:r>
      <w:r>
        <w:lastRenderedPageBreak/>
        <w:t xml:space="preserve">employed upon public works” those who work for contractors or subcontractors.  </w:t>
      </w:r>
      <w:r w:rsidR="00960212">
        <w:t>T</w:t>
      </w:r>
      <w:r w:rsidR="00244626">
        <w:t>he latter sentence</w:t>
      </w:r>
      <w:r w:rsidR="001C3965">
        <w:t xml:space="preserve">, which is the predecessor of section 1772, appeared to </w:t>
      </w:r>
      <w:r w:rsidR="000A6C82">
        <w:t>clarif</w:t>
      </w:r>
      <w:r w:rsidR="00C86DEE">
        <w:t>y</w:t>
      </w:r>
      <w:r w:rsidR="001C3965">
        <w:t xml:space="preserve"> that prevailing wage protection extends not only to those employed directly by the government, as confirmed in the first sentence, but also to those who </w:t>
      </w:r>
      <w:r w:rsidR="00A32775" w:rsidRPr="00577FD2">
        <w:t xml:space="preserve">were employed by </w:t>
      </w:r>
      <w:r w:rsidR="001C3965" w:rsidRPr="00577FD2">
        <w:t>contractors or subcontractors</w:t>
      </w:r>
      <w:r w:rsidR="001C3965">
        <w:t>.</w:t>
      </w:r>
      <w:r w:rsidR="00DC5FDB">
        <w:rPr>
          <w:rStyle w:val="FootnoteReference"/>
        </w:rPr>
        <w:footnoteReference w:id="13"/>
      </w:r>
    </w:p>
    <w:p w14:paraId="63924480" w14:textId="393070A7" w:rsidR="004F1E23" w:rsidRDefault="006E5FA4" w:rsidP="00C978C7">
      <w:pPr>
        <w:tabs>
          <w:tab w:val="left" w:pos="1440"/>
        </w:tabs>
        <w:ind w:firstLine="720"/>
      </w:pPr>
      <w:r>
        <w:t>Th</w:t>
      </w:r>
      <w:r w:rsidR="00296D30">
        <w:t xml:space="preserve">e statutory construction used in the 1931 Act </w:t>
      </w:r>
      <w:r w:rsidR="004A4A85">
        <w:t>parallels</w:t>
      </w:r>
      <w:r w:rsidR="00296D30">
        <w:t xml:space="preserve"> prevailing wage legislation in other states that extended the law to workers “employed by or on behalf” of public entities. </w:t>
      </w:r>
      <w:r w:rsidR="00161E15">
        <w:t xml:space="preserve"> </w:t>
      </w:r>
      <w:r w:rsidR="00A64C57">
        <w:t>Indeed, the statutory language at issue</w:t>
      </w:r>
      <w:r w:rsidR="00D96140">
        <w:t xml:space="preserve"> appears </w:t>
      </w:r>
      <w:r w:rsidR="00A64C57">
        <w:t>in state prevailing wage laws adopted before</w:t>
      </w:r>
      <w:r w:rsidR="00D96140">
        <w:t xml:space="preserve"> the federal Davis-Bacon Act</w:t>
      </w:r>
      <w:r w:rsidR="000E185D">
        <w:rPr>
          <w:color w:val="00B050"/>
        </w:rPr>
        <w:t xml:space="preserve"> </w:t>
      </w:r>
      <w:r w:rsidR="00A64C57">
        <w:t>was enacted.</w:t>
      </w:r>
      <w:r w:rsidR="00D96140">
        <w:t xml:space="preserve">  </w:t>
      </w:r>
      <w:r w:rsidR="002929EA">
        <w:t>In an</w:t>
      </w:r>
      <w:r w:rsidR="00D96140">
        <w:t xml:space="preserve"> 1891</w:t>
      </w:r>
      <w:r w:rsidR="00161E15">
        <w:t xml:space="preserve"> Kansas law</w:t>
      </w:r>
      <w:r w:rsidR="00D96140">
        <w:t xml:space="preserve"> </w:t>
      </w:r>
      <w:r w:rsidR="00161E15">
        <w:t>applied to workers “</w:t>
      </w:r>
      <w:r w:rsidR="002929EA">
        <w:t> ‘</w:t>
      </w:r>
      <w:r w:rsidR="00161E15">
        <w:t>employed by or on behalf</w:t>
      </w:r>
      <w:r w:rsidR="002929EA">
        <w:t>’ </w:t>
      </w:r>
      <w:r w:rsidR="00161E15">
        <w:t xml:space="preserve">” of the state or its political subdivisions, the legislation clarified that </w:t>
      </w:r>
      <w:r w:rsidR="00A64C57">
        <w:t>“</w:t>
      </w:r>
      <w:r w:rsidR="002929EA">
        <w:t> ‘</w:t>
      </w:r>
      <w:r w:rsidR="00161E15" w:rsidRPr="00A64C57">
        <w:rPr>
          <w:i/>
          <w:iCs/>
        </w:rPr>
        <w:t>persons employed by contractors or subcontractors in the execution  of any contract . . . shall be deemed to be employed by or on behalf of</w:t>
      </w:r>
      <w:r w:rsidR="002929EA">
        <w:rPr>
          <w:i/>
          <w:iCs/>
        </w:rPr>
        <w:t>’ </w:t>
      </w:r>
      <w:r w:rsidR="00161E15">
        <w:t>” the state or one of its political subdivisions</w:t>
      </w:r>
      <w:r w:rsidR="006D300E">
        <w:t xml:space="preserve"> for purposes of the law</w:t>
      </w:r>
      <w:r w:rsidR="00161E15">
        <w:t xml:space="preserve">.  (Johnson, </w:t>
      </w:r>
      <w:r w:rsidR="00161E15">
        <w:rPr>
          <w:i/>
          <w:iCs/>
        </w:rPr>
        <w:t xml:space="preserve">Prevailing Wage Legislation in the States </w:t>
      </w:r>
      <w:r w:rsidR="00161E15">
        <w:t xml:space="preserve">(Aug. 1961) </w:t>
      </w:r>
      <w:r w:rsidR="002929EA">
        <w:t xml:space="preserve">84:8 </w:t>
      </w:r>
      <w:r w:rsidR="00161E15">
        <w:t>Monthly Lab. Rev. 839, 840</w:t>
      </w:r>
      <w:r w:rsidR="00A64C57">
        <w:t>, italics added</w:t>
      </w:r>
      <w:r w:rsidR="00161E15">
        <w:t xml:space="preserve">.)  </w:t>
      </w:r>
      <w:r w:rsidR="00ED240F">
        <w:t>The italicized provision</w:t>
      </w:r>
      <w:r w:rsidR="00FD1779">
        <w:t xml:space="preserve">, which could be found in other state prevailing wage </w:t>
      </w:r>
      <w:r w:rsidR="00FD1779">
        <w:lastRenderedPageBreak/>
        <w:t>laws, was</w:t>
      </w:r>
      <w:r w:rsidR="00ED240F">
        <w:t xml:space="preserve"> interpreted</w:t>
      </w:r>
      <w:r w:rsidR="00FD1779">
        <w:t xml:space="preserve"> by the Arizona Supreme Court</w:t>
      </w:r>
      <w:r w:rsidR="00ED240F">
        <w:t xml:space="preserve"> </w:t>
      </w:r>
      <w:r w:rsidR="00BD3A00">
        <w:t xml:space="preserve">to ensure that those employed by </w:t>
      </w:r>
      <w:r w:rsidR="00A64C57">
        <w:t xml:space="preserve">private </w:t>
      </w:r>
      <w:r w:rsidR="00BD3A00">
        <w:t xml:space="preserve">contractors receive the benefit of wage guarantees provided to governmental </w:t>
      </w:r>
      <w:r w:rsidR="000652FD">
        <w:t>workers</w:t>
      </w:r>
      <w:r w:rsidR="004C1091">
        <w:t xml:space="preserve"> </w:t>
      </w:r>
      <w:r w:rsidR="00D96140">
        <w:t xml:space="preserve">by deeming them to be public employees for purposes of the </w:t>
      </w:r>
      <w:r w:rsidR="000652FD">
        <w:t>law</w:t>
      </w:r>
      <w:r w:rsidR="00BD3A00">
        <w:t xml:space="preserve">.  (See </w:t>
      </w:r>
      <w:r w:rsidR="00BD3A00">
        <w:rPr>
          <w:i/>
          <w:iCs/>
        </w:rPr>
        <w:t xml:space="preserve">State v. Miser </w:t>
      </w:r>
      <w:r w:rsidR="00BD3A00">
        <w:t xml:space="preserve">(Ariz. 1937) 72 P.2d 408, </w:t>
      </w:r>
      <w:r w:rsidR="00FD1779">
        <w:t>413</w:t>
      </w:r>
      <w:r w:rsidR="00BD3A00">
        <w:t>.)</w:t>
      </w:r>
    </w:p>
    <w:p w14:paraId="4CD42D90" w14:textId="340451FE" w:rsidR="001F2D61" w:rsidRPr="00B23B74" w:rsidRDefault="00A93FFA" w:rsidP="001D3DAE">
      <w:pPr>
        <w:tabs>
          <w:tab w:val="left" w:pos="1440"/>
        </w:tabs>
        <w:ind w:firstLine="720"/>
        <w:rPr>
          <w:color w:val="00B050"/>
        </w:rPr>
      </w:pPr>
      <w:r>
        <w:t xml:space="preserve">Some </w:t>
      </w:r>
      <w:r w:rsidR="00ED240F">
        <w:t xml:space="preserve">early </w:t>
      </w:r>
      <w:r>
        <w:t xml:space="preserve">state prevailing wage laws, like the 1931 Act, </w:t>
      </w:r>
      <w:r w:rsidR="00A64C57">
        <w:t xml:space="preserve">employed a slightly different formulation, clarifying that </w:t>
      </w:r>
      <w:r>
        <w:t xml:space="preserve">those “ ‘employed by contractors or subcontractors in the execution of any contract . . . for public works . . . shall be deemed to be employed </w:t>
      </w:r>
      <w:r w:rsidRPr="00A64C57">
        <w:rPr>
          <w:i/>
          <w:iCs/>
        </w:rPr>
        <w:t>upon public works</w:t>
      </w:r>
      <w:r>
        <w:t>.’ ”  (</w:t>
      </w:r>
      <w:r>
        <w:rPr>
          <w:i/>
          <w:iCs/>
        </w:rPr>
        <w:t>Logan City v. Industrial Commission of Utah</w:t>
      </w:r>
      <w:r w:rsidR="004F1E23">
        <w:rPr>
          <w:i/>
          <w:iCs/>
        </w:rPr>
        <w:t xml:space="preserve"> </w:t>
      </w:r>
      <w:r w:rsidR="004F1E23">
        <w:t>(Utah 1934) 38 P.2d 769, 770</w:t>
      </w:r>
      <w:r w:rsidR="00A64C57">
        <w:t>, italics added</w:t>
      </w:r>
      <w:r w:rsidR="004F1E23">
        <w:t xml:space="preserve">.)  </w:t>
      </w:r>
      <w:r w:rsidR="001D3DAE">
        <w:t xml:space="preserve">Whether the “deeming” conferred by different statutes was extended to government employment status, as in Kansas, or to the status of employment on a contract for public work, the apparent purpose was the same.  Either formulation was designed to ensure that </w:t>
      </w:r>
      <w:r w:rsidR="003301C2">
        <w:t xml:space="preserve">daily wage </w:t>
      </w:r>
      <w:r w:rsidR="001D3DAE">
        <w:t>workers employed by private contractors on public works would receive the prevailing wage.</w:t>
      </w:r>
      <w:r w:rsidR="00B23B74">
        <w:rPr>
          <w:color w:val="00B050"/>
        </w:rPr>
        <w:t xml:space="preserve"> </w:t>
      </w:r>
    </w:p>
    <w:p w14:paraId="5E0478ED" w14:textId="555FF964" w:rsidR="001F2D61" w:rsidRDefault="004F1E23" w:rsidP="00C978C7">
      <w:pPr>
        <w:tabs>
          <w:tab w:val="left" w:pos="1440"/>
        </w:tabs>
        <w:ind w:firstLine="720"/>
      </w:pPr>
      <w:r>
        <w:t>The language that is now incorporated in section 1772 has no counterpart in the federal Davis-Bacon Act.  (See 40 U.S.C. §§ 3141–3148.)  That is not surprising</w:t>
      </w:r>
      <w:r w:rsidR="00490A46">
        <w:t>.  T</w:t>
      </w:r>
      <w:r>
        <w:t>he Davis-Bacon Act by its</w:t>
      </w:r>
      <w:r w:rsidR="004D0C3E">
        <w:t xml:space="preserve"> plain</w:t>
      </w:r>
      <w:r>
        <w:t xml:space="preserve"> terms </w:t>
      </w:r>
      <w:r w:rsidR="00013C94">
        <w:t>has never extended</w:t>
      </w:r>
      <w:r>
        <w:t xml:space="preserve"> to governmental employees.</w:t>
      </w:r>
      <w:r w:rsidR="008F2756">
        <w:rPr>
          <w:rStyle w:val="FootnoteReference"/>
        </w:rPr>
        <w:footnoteReference w:id="14"/>
      </w:r>
      <w:r>
        <w:t xml:space="preserve">  </w:t>
      </w:r>
      <w:r w:rsidR="004D0C3E">
        <w:t xml:space="preserve">There was no need to clarify </w:t>
      </w:r>
      <w:r w:rsidR="00D26CC1">
        <w:t xml:space="preserve">that workers </w:t>
      </w:r>
      <w:r w:rsidR="00490A46">
        <w:lastRenderedPageBreak/>
        <w:t xml:space="preserve">employed by </w:t>
      </w:r>
      <w:r w:rsidR="00603291">
        <w:t xml:space="preserve">private </w:t>
      </w:r>
      <w:r w:rsidR="00490A46">
        <w:t xml:space="preserve">contractors </w:t>
      </w:r>
      <w:r w:rsidR="00D26CC1">
        <w:t xml:space="preserve">received the benefits of </w:t>
      </w:r>
      <w:r w:rsidR="00D26CC1" w:rsidRPr="00DA59B4">
        <w:t xml:space="preserve">the </w:t>
      </w:r>
      <w:r w:rsidR="001B4C38" w:rsidRPr="00DA59B4">
        <w:t xml:space="preserve">federal </w:t>
      </w:r>
      <w:r w:rsidR="00D26CC1" w:rsidRPr="00DA59B4">
        <w:t xml:space="preserve">law because they were its </w:t>
      </w:r>
      <w:r w:rsidR="00D26CC1" w:rsidRPr="00DA59B4">
        <w:rPr>
          <w:i/>
          <w:iCs/>
        </w:rPr>
        <w:t>only</w:t>
      </w:r>
      <w:r w:rsidR="00D26CC1" w:rsidRPr="00DA59B4">
        <w:t xml:space="preserve"> intended beneficiar</w:t>
      </w:r>
      <w:r w:rsidR="00E937B8" w:rsidRPr="00DA59B4">
        <w:t xml:space="preserve">ies.  </w:t>
      </w:r>
      <w:r w:rsidR="004A57F8" w:rsidRPr="00DA59B4">
        <w:t xml:space="preserve"> </w:t>
      </w:r>
      <w:r w:rsidR="004A57F8">
        <w:t xml:space="preserve"> </w:t>
      </w:r>
      <w:r w:rsidR="001F2D61">
        <w:t>But that was not the case in California, at least at the time of the 1931 Act.</w:t>
      </w:r>
      <w:r w:rsidR="00603291">
        <w:t xml:space="preserve">  While California’s prevailing wage law is said to share the purposes of </w:t>
      </w:r>
      <w:r w:rsidR="00603291" w:rsidRPr="00DA59B4">
        <w:t xml:space="preserve">the </w:t>
      </w:r>
      <w:r w:rsidR="00B23B74" w:rsidRPr="00DA59B4">
        <w:t xml:space="preserve">federal </w:t>
      </w:r>
      <w:r w:rsidR="00603291">
        <w:t>Davis-Bacon Act (</w:t>
      </w:r>
      <w:r w:rsidR="00AC6515" w:rsidRPr="007640FB">
        <w:rPr>
          <w:i/>
        </w:rPr>
        <w:t>City of Long Beach v. Department of Industrial Relations</w:t>
      </w:r>
      <w:r w:rsidR="00AC6515">
        <w:rPr>
          <w:iCs/>
        </w:rPr>
        <w:t xml:space="preserve">, </w:t>
      </w:r>
      <w:r w:rsidR="00AC6515">
        <w:rPr>
          <w:i/>
        </w:rPr>
        <w:t>supra</w:t>
      </w:r>
      <w:r w:rsidR="00AC6515">
        <w:rPr>
          <w:iCs/>
        </w:rPr>
        <w:t xml:space="preserve">, </w:t>
      </w:r>
      <w:r w:rsidR="00AC6515" w:rsidRPr="007640FB">
        <w:t xml:space="preserve">34 Cal.4th </w:t>
      </w:r>
      <w:r w:rsidR="00AC6515">
        <w:t>at p. 954</w:t>
      </w:r>
      <w:r w:rsidR="00603291">
        <w:t xml:space="preserve">), </w:t>
      </w:r>
      <w:r w:rsidR="00AC6515">
        <w:t>the statutory language adopted in the 1931 Act bears a closer relation to state prevailing wage laws from that period.</w:t>
      </w:r>
    </w:p>
    <w:p w14:paraId="54122326" w14:textId="6262C703" w:rsidR="009B5769" w:rsidRDefault="009B5769" w:rsidP="00C978C7">
      <w:pPr>
        <w:tabs>
          <w:tab w:val="left" w:pos="1440"/>
        </w:tabs>
        <w:ind w:firstLine="720"/>
      </w:pPr>
      <w:r>
        <w:t xml:space="preserve">When the prevailing wage law was codified in 1937, </w:t>
      </w:r>
      <w:r w:rsidR="00BF30AE">
        <w:t xml:space="preserve">section 1 of the 1931 Act was split into </w:t>
      </w:r>
      <w:r w:rsidR="00595565">
        <w:t xml:space="preserve">two </w:t>
      </w:r>
      <w:r w:rsidR="00BF30AE">
        <w:t>new sections</w:t>
      </w:r>
      <w:r w:rsidR="00156E79">
        <w:t>,</w:t>
      </w:r>
      <w:r w:rsidR="00BF30AE">
        <w:t xml:space="preserve"> 1771 and 1772.  (Stats. 1937, </w:t>
      </w:r>
      <w:proofErr w:type="spellStart"/>
      <w:r w:rsidR="00BF30AE">
        <w:t>ch.</w:t>
      </w:r>
      <w:proofErr w:type="spellEnd"/>
      <w:r w:rsidR="00BF30AE">
        <w:t xml:space="preserve"> 90, p. 243.)</w:t>
      </w:r>
      <w:r w:rsidR="00747805">
        <w:t xml:space="preserve">  Section 1771 provided:  “Not less than the </w:t>
      </w:r>
      <w:r w:rsidR="00595565">
        <w:t xml:space="preserve">general </w:t>
      </w:r>
      <w:r w:rsidR="00747805">
        <w:t>prevailing rate of per diem wages for work of a similar character in the locality in which the public work is performed, and not less than the general prevailing rate of per diem wages for legal holiday and overtime work shall be paid to all workmen employed on public works, exclusive of maintenance work.”  (</w:t>
      </w:r>
      <w:r w:rsidR="00595565">
        <w:rPr>
          <w:i/>
          <w:iCs/>
        </w:rPr>
        <w:t>Ibid</w:t>
      </w:r>
      <w:r w:rsidR="00747805">
        <w:t>.)  Section 1772 provided:  “Workmen employed by contractors or subcontractors in the execution of any contract for public work are deemed to be employed upon public work.”  (</w:t>
      </w:r>
      <w:r w:rsidR="00595565">
        <w:rPr>
          <w:i/>
          <w:iCs/>
        </w:rPr>
        <w:t>Ibid</w:t>
      </w:r>
      <w:r w:rsidR="00747805">
        <w:t xml:space="preserve">.)  </w:t>
      </w:r>
    </w:p>
    <w:p w14:paraId="11DE28B1" w14:textId="5DEC932E" w:rsidR="00747805" w:rsidRDefault="00747805" w:rsidP="00C978C7">
      <w:pPr>
        <w:tabs>
          <w:tab w:val="left" w:pos="1440"/>
        </w:tabs>
        <w:ind w:firstLine="720"/>
      </w:pPr>
      <w:r>
        <w:t xml:space="preserve">Again, the original function of section 1772 appears to have been simply to ensure that those employed by a contractor or subcontractor were given the same protection as others, including those employed by the government itself.  Prevailing wages were due “all workmen employed on public works” (former </w:t>
      </w:r>
      <w:r w:rsidR="00595565">
        <w:t xml:space="preserve">§ </w:t>
      </w:r>
      <w:r>
        <w:t xml:space="preserve">1771, added by Stats 1937, </w:t>
      </w:r>
      <w:proofErr w:type="spellStart"/>
      <w:r>
        <w:t>ch.</w:t>
      </w:r>
      <w:proofErr w:type="spellEnd"/>
      <w:r>
        <w:t xml:space="preserve"> 90, p. 243)</w:t>
      </w:r>
      <w:r w:rsidR="00B9214C">
        <w:t xml:space="preserve">, with workmen employed by contractors or subcontractors “deemed to be employed upon public work” for the purposes of </w:t>
      </w:r>
      <w:r w:rsidR="00AA3DBD">
        <w:t xml:space="preserve">the statutory obligation to pay </w:t>
      </w:r>
      <w:r w:rsidR="004F1942">
        <w:t>prevailing wage</w:t>
      </w:r>
      <w:r w:rsidR="00AA3DBD">
        <w:t>s</w:t>
      </w:r>
      <w:r w:rsidR="004F1942">
        <w:t xml:space="preserve"> (former </w:t>
      </w:r>
      <w:r w:rsidR="00595565">
        <w:t xml:space="preserve">§ </w:t>
      </w:r>
      <w:r w:rsidR="004F1942">
        <w:t xml:space="preserve">1772, added by Stats 1937, </w:t>
      </w:r>
      <w:proofErr w:type="spellStart"/>
      <w:r w:rsidR="004F1942">
        <w:t>ch.</w:t>
      </w:r>
      <w:proofErr w:type="spellEnd"/>
      <w:r w:rsidR="004F1942">
        <w:t xml:space="preserve"> 90, p. 243).</w:t>
      </w:r>
    </w:p>
    <w:p w14:paraId="10CA4623" w14:textId="77777777" w:rsidR="00FB373C" w:rsidRDefault="00867142" w:rsidP="00FB373C">
      <w:pPr>
        <w:tabs>
          <w:tab w:val="left" w:pos="1440"/>
        </w:tabs>
        <w:ind w:firstLine="720"/>
      </w:pPr>
      <w:r>
        <w:lastRenderedPageBreak/>
        <w:t xml:space="preserve">The 1937 codification </w:t>
      </w:r>
      <w:r w:rsidR="00E01D79">
        <w:t xml:space="preserve">of the prevailing wage law </w:t>
      </w:r>
      <w:r w:rsidR="00F37EE9">
        <w:t>notably omit</w:t>
      </w:r>
      <w:r w:rsidR="00490A46">
        <w:t>ted</w:t>
      </w:r>
      <w:r w:rsidR="00F37EE9">
        <w:t xml:space="preserve"> the reference to those employed “by or on behalf” of the state or its political subdivisions.  (Compare former § 1771, added by Stats. 1937, </w:t>
      </w:r>
      <w:proofErr w:type="spellStart"/>
      <w:r w:rsidR="00F37EE9">
        <w:t>ch.</w:t>
      </w:r>
      <w:proofErr w:type="spellEnd"/>
      <w:r w:rsidR="00F37EE9">
        <w:t xml:space="preserve"> 90, p. 243, with Stats. 1931, </w:t>
      </w:r>
      <w:proofErr w:type="spellStart"/>
      <w:r w:rsidR="00F37EE9">
        <w:t>ch.</w:t>
      </w:r>
      <w:proofErr w:type="spellEnd"/>
      <w:r w:rsidR="00F37EE9">
        <w:t xml:space="preserve"> 397, § 1, p. 910.)  </w:t>
      </w:r>
      <w:r w:rsidR="00FA3AD7">
        <w:t xml:space="preserve">But there is little reason to believe </w:t>
      </w:r>
      <w:r w:rsidR="00B404E0">
        <w:t>the omission  reflected a legislative intent to exclude governmental workers from the scope of the prevailing wage law.</w:t>
      </w:r>
      <w:r w:rsidR="000D38FF">
        <w:rPr>
          <w:rStyle w:val="FootnoteReference"/>
        </w:rPr>
        <w:footnoteReference w:id="15"/>
      </w:r>
      <w:r w:rsidR="00B404E0">
        <w:t xml:space="preserve">  Section 1771 </w:t>
      </w:r>
      <w:r w:rsidR="00CD0383">
        <w:t xml:space="preserve">as adopted in 1937 </w:t>
      </w:r>
      <w:r w:rsidR="00B404E0">
        <w:t xml:space="preserve">applied to </w:t>
      </w:r>
      <w:r w:rsidR="00B404E0" w:rsidRPr="00CD0383">
        <w:rPr>
          <w:i/>
          <w:iCs/>
        </w:rPr>
        <w:t>all</w:t>
      </w:r>
      <w:r w:rsidR="00B404E0">
        <w:t xml:space="preserve"> “</w:t>
      </w:r>
      <w:r w:rsidR="00CD0383">
        <w:t xml:space="preserve">workmen employed on public works,” with no exclusion for direct governmental employees.  (Former § 1771, added by Stats. 1937, </w:t>
      </w:r>
      <w:proofErr w:type="spellStart"/>
      <w:r w:rsidR="00CD0383">
        <w:t>ch.</w:t>
      </w:r>
      <w:proofErr w:type="spellEnd"/>
      <w:r w:rsidR="00CD0383">
        <w:t xml:space="preserve"> 90, p. 243.)</w:t>
      </w:r>
      <w:r w:rsidR="000D38FF">
        <w:t xml:space="preserve">  </w:t>
      </w:r>
      <w:r w:rsidR="00E937B8" w:rsidRPr="00201723">
        <w:t xml:space="preserve">The explicit exclusion of prevailing wage entitlement </w:t>
      </w:r>
      <w:r w:rsidR="00761728" w:rsidRPr="00201723">
        <w:t xml:space="preserve">for government workers </w:t>
      </w:r>
      <w:r w:rsidR="00E937B8" w:rsidRPr="00201723">
        <w:t>was no</w:t>
      </w:r>
      <w:r w:rsidR="0026380A" w:rsidRPr="00201723">
        <w:t>t</w:t>
      </w:r>
      <w:r w:rsidR="00E937B8" w:rsidRPr="00201723">
        <w:t xml:space="preserve"> </w:t>
      </w:r>
      <w:r w:rsidR="0026380A" w:rsidRPr="00201723">
        <w:t xml:space="preserve">adopted by the Legislature for </w:t>
      </w:r>
      <w:r w:rsidR="00761728" w:rsidRPr="00201723">
        <w:t>nearly 40 years.</w:t>
      </w:r>
      <w:r w:rsidR="00201723">
        <w:t xml:space="preserve">  (Stats. 1974</w:t>
      </w:r>
      <w:r w:rsidR="00516AA7">
        <w:t xml:space="preserve">, </w:t>
      </w:r>
      <w:proofErr w:type="spellStart"/>
      <w:r w:rsidR="00516AA7">
        <w:t>ch.</w:t>
      </w:r>
      <w:proofErr w:type="spellEnd"/>
      <w:r w:rsidR="00516AA7">
        <w:t xml:space="preserve"> 1202, § 1, p. 2593.)</w:t>
      </w:r>
    </w:p>
    <w:p w14:paraId="53416972" w14:textId="2A902E10" w:rsidR="004422EB" w:rsidRDefault="00ED358F" w:rsidP="00C978C7">
      <w:pPr>
        <w:tabs>
          <w:tab w:val="left" w:pos="1440"/>
        </w:tabs>
        <w:ind w:firstLine="720"/>
      </w:pPr>
      <w:r>
        <w:t>Because s</w:t>
      </w:r>
      <w:r w:rsidR="000C6C31">
        <w:t>ection 1772 has not been substantively amended since it became part of the Labor Code in 1937</w:t>
      </w:r>
      <w:r>
        <w:t>,</w:t>
      </w:r>
      <w:r w:rsidR="000C6C31">
        <w:rPr>
          <w:rStyle w:val="FootnoteReference"/>
        </w:rPr>
        <w:footnoteReference w:id="16"/>
      </w:r>
      <w:r>
        <w:t xml:space="preserve"> its </w:t>
      </w:r>
      <w:r w:rsidR="00516AA7">
        <w:t xml:space="preserve">essential function as to contract work </w:t>
      </w:r>
      <w:r>
        <w:t xml:space="preserve">should </w:t>
      </w:r>
      <w:r w:rsidR="00A21362">
        <w:t>be no different than when it was originally enacted:  If public work is performed in the execution of a contract, the fact a laborer is doing that work as an employee of a contractor or subcontractor does not eliminate entitlement to prevailing wages.</w:t>
      </w:r>
    </w:p>
    <w:p w14:paraId="6A4089A1" w14:textId="5566B811" w:rsidR="00A21362" w:rsidRDefault="00391F98" w:rsidP="00C978C7">
      <w:pPr>
        <w:tabs>
          <w:tab w:val="left" w:pos="1440"/>
        </w:tabs>
        <w:ind w:firstLine="720"/>
      </w:pPr>
      <w:r>
        <w:lastRenderedPageBreak/>
        <w:t xml:space="preserve">The principal counterargument to this original understanding of section 1772 is that, at least as of today, the statute might be considered surplusage.  </w:t>
      </w:r>
      <w:r w:rsidR="00CE744B">
        <w:t>Decades after section 1772 was enacted, the companion statute, section 1771, was amended to</w:t>
      </w:r>
      <w:r w:rsidR="00516AA7">
        <w:t xml:space="preserve"> directly specify that its protections extend only to work done under outside contract</w:t>
      </w:r>
      <w:r w:rsidR="00CE744B">
        <w:t xml:space="preserve">:  “This section is applicable only to work performed under contract, and is not applicable to work carried out by a public agency with its own forces.”  (Stats. 1974, </w:t>
      </w:r>
      <w:proofErr w:type="spellStart"/>
      <w:r w:rsidR="00CE744B">
        <w:t>ch.</w:t>
      </w:r>
      <w:proofErr w:type="spellEnd"/>
      <w:r w:rsidR="00CE744B">
        <w:t xml:space="preserve"> 1202, § 1, p. 2593.)  Because section 1771</w:t>
      </w:r>
      <w:r w:rsidR="00490A46">
        <w:t xml:space="preserve"> is now expressly limited to contract work, there is no longer any need to clarify that those employed by contractors or subcontractors are also entitled to prevailing wage protection.</w:t>
      </w:r>
    </w:p>
    <w:p w14:paraId="399DC1DE" w14:textId="3E724A0C" w:rsidR="00E37EB6" w:rsidRDefault="00A06B72" w:rsidP="00FE1686">
      <w:pPr>
        <w:tabs>
          <w:tab w:val="left" w:pos="1440"/>
        </w:tabs>
        <w:ind w:firstLine="720"/>
      </w:pPr>
      <w:r>
        <w:t xml:space="preserve">Even if </w:t>
      </w:r>
      <w:r w:rsidR="00D24FFA">
        <w:t xml:space="preserve">section 1772 might be </w:t>
      </w:r>
      <w:r>
        <w:t xml:space="preserve">considered </w:t>
      </w:r>
      <w:r w:rsidR="00D24FFA">
        <w:t xml:space="preserve">surplusage now, </w:t>
      </w:r>
      <w:r>
        <w:t>that was not the case when it was first enacted</w:t>
      </w:r>
      <w:r w:rsidR="003F6C3F">
        <w:t xml:space="preserve">.  </w:t>
      </w:r>
      <w:r w:rsidR="00064A38">
        <w:t>There is considerable historical support for this interpretation in addition to the legislative history.</w:t>
      </w:r>
      <w:r w:rsidR="00FE1686">
        <w:t xml:space="preserve">  </w:t>
      </w:r>
      <w:r w:rsidR="004C3015">
        <w:t xml:space="preserve">In the years after the codification of the Labor Code, the Attorney General on several occasions confirmed the understanding that, as originally enacted, section 1771 applied to a government’s own employees.  In 1944, the Attorney General was asked </w:t>
      </w:r>
      <w:r w:rsidR="00205070">
        <w:t xml:space="preserve">to opine about a public works </w:t>
      </w:r>
      <w:r w:rsidR="004C3015">
        <w:t>project that had originally been put out to bid but that was to be completed with day laborers hired by and under the supervision of the county.  The Attorney General concluded that, under section 1771, the county was obligated to pay prevailing wages for construction work performed by the day laborers hired directly by the county.  (</w:t>
      </w:r>
      <w:r w:rsidR="00205070">
        <w:t xml:space="preserve">3 </w:t>
      </w:r>
      <w:proofErr w:type="spellStart"/>
      <w:r w:rsidR="00205070">
        <w:t>Ops.Cal.Atty.Gen</w:t>
      </w:r>
      <w:proofErr w:type="spellEnd"/>
      <w:r w:rsidR="00205070">
        <w:t xml:space="preserve"> 399, 401 (1944).)</w:t>
      </w:r>
    </w:p>
    <w:p w14:paraId="7E40DAE0" w14:textId="70B262C7" w:rsidR="00A73329" w:rsidRDefault="00205070" w:rsidP="00FE1686">
      <w:pPr>
        <w:tabs>
          <w:tab w:val="left" w:pos="1440"/>
        </w:tabs>
        <w:ind w:firstLine="720"/>
      </w:pPr>
      <w:r>
        <w:t xml:space="preserve">Sixteen years later, the Attorney General again concluded that prevailing wage requirements applied to government employees.  (35 </w:t>
      </w:r>
      <w:proofErr w:type="spellStart"/>
      <w:r>
        <w:t>Ops.Cal.Atty.Gen</w:t>
      </w:r>
      <w:proofErr w:type="spellEnd"/>
      <w:r>
        <w:t>. 1</w:t>
      </w:r>
      <w:r w:rsidR="00E37EB6">
        <w:t xml:space="preserve"> (1960)</w:t>
      </w:r>
      <w:r>
        <w:t>.)</w:t>
      </w:r>
      <w:r w:rsidR="005240AA">
        <w:t xml:space="preserve">  </w:t>
      </w:r>
      <w:r w:rsidR="00452DF8">
        <w:t xml:space="preserve">Specifically, </w:t>
      </w:r>
      <w:r w:rsidR="00E37EB6">
        <w:t xml:space="preserve">the Attorney General opined that </w:t>
      </w:r>
      <w:r w:rsidR="00452DF8">
        <w:t xml:space="preserve">prevailing wage requirements applied to employees of a flood control district while </w:t>
      </w:r>
      <w:r w:rsidR="00452DF8">
        <w:lastRenderedPageBreak/>
        <w:t>constructing things like channels and dams.  In addition, the prevailing wage law applied to county employees that constructed storm-water conduits, highway bridges, and buildings.   (</w:t>
      </w:r>
      <w:r w:rsidR="00452DF8">
        <w:rPr>
          <w:i/>
          <w:iCs/>
        </w:rPr>
        <w:t>Ibid</w:t>
      </w:r>
      <w:r w:rsidR="00452DF8">
        <w:t xml:space="preserve">.) </w:t>
      </w:r>
      <w:r w:rsidR="00E37EB6">
        <w:t xml:space="preserve"> The Attorney General noted that former section 1720, subdivision (a) (</w:t>
      </w:r>
      <w:r w:rsidR="00595565">
        <w:t>now</w:t>
      </w:r>
      <w:r w:rsidR="00E37EB6">
        <w:t xml:space="preserve"> 1720(a)(1)), which applies to contract work, was not implicated.  However, the work </w:t>
      </w:r>
      <w:r w:rsidR="00E37EB6" w:rsidRPr="00516AA7">
        <w:rPr>
          <w:i/>
          <w:iCs/>
        </w:rPr>
        <w:t>was</w:t>
      </w:r>
      <w:r w:rsidR="00E37EB6" w:rsidRPr="00BD2C89">
        <w:t xml:space="preserve"> </w:t>
      </w:r>
      <w:r w:rsidR="00E37EB6">
        <w:t xml:space="preserve">covered under former subdivisions (b) and (c) of section 1720, which applied to work done for certain special districts and to street, sewer, or other improvement work </w:t>
      </w:r>
      <w:r w:rsidR="00A5055F">
        <w:t>done under the direction and supervision of the state or one of its political subdivisions.</w:t>
      </w:r>
      <w:r w:rsidR="00A5055F">
        <w:rPr>
          <w:rStyle w:val="FootnoteReference"/>
        </w:rPr>
        <w:footnoteReference w:id="17"/>
      </w:r>
      <w:r w:rsidR="00A5055F">
        <w:t xml:space="preserve">  (35 </w:t>
      </w:r>
      <w:proofErr w:type="spellStart"/>
      <w:r w:rsidR="00A5055F">
        <w:t>Ops.Cal.Atty.Gen</w:t>
      </w:r>
      <w:proofErr w:type="spellEnd"/>
      <w:r w:rsidR="00A5055F">
        <w:t>.</w:t>
      </w:r>
      <w:r w:rsidR="00AB1F6E">
        <w:t>, at p. </w:t>
      </w:r>
      <w:r w:rsidR="00A5055F">
        <w:t>2.)</w:t>
      </w:r>
    </w:p>
    <w:p w14:paraId="63CEF08B" w14:textId="125E96CE" w:rsidR="00E37EB6" w:rsidRDefault="00A73329" w:rsidP="00FE1686">
      <w:pPr>
        <w:tabs>
          <w:tab w:val="left" w:pos="1440"/>
        </w:tabs>
        <w:ind w:firstLine="720"/>
      </w:pPr>
      <w:r>
        <w:t xml:space="preserve">Consistent with the Attorney General’s 1960 opinion, a 1961 survey of prevailing wage laws in the </w:t>
      </w:r>
      <w:r w:rsidR="00183133">
        <w:t xml:space="preserve">50 </w:t>
      </w:r>
      <w:r>
        <w:t xml:space="preserve">states reported that California’s prevailing wage law applied to specified governmental </w:t>
      </w:r>
      <w:r w:rsidR="00DB69B8">
        <w:t>employees</w:t>
      </w:r>
      <w:r>
        <w:t xml:space="preserve">:  </w:t>
      </w:r>
      <w:r w:rsidR="00FF3ED3">
        <w:t xml:space="preserve">those working on </w:t>
      </w:r>
      <w:r>
        <w:t>“irrigation, reclamation, street, and sewer projects.”  (</w:t>
      </w:r>
      <w:r w:rsidR="00183133">
        <w:t xml:space="preserve">Johnson, </w:t>
      </w:r>
      <w:r w:rsidR="00183133">
        <w:rPr>
          <w:i/>
          <w:iCs/>
        </w:rPr>
        <w:t>Prevailing Wage Legislation in the States</w:t>
      </w:r>
      <w:r w:rsidR="00183133">
        <w:t xml:space="preserve">, </w:t>
      </w:r>
      <w:r w:rsidR="00183133">
        <w:rPr>
          <w:i/>
          <w:iCs/>
        </w:rPr>
        <w:t>supra</w:t>
      </w:r>
      <w:r w:rsidR="00183133">
        <w:t xml:space="preserve">, </w:t>
      </w:r>
      <w:r w:rsidR="00595565">
        <w:t xml:space="preserve">84:8 Monthly Lab. Rev. </w:t>
      </w:r>
      <w:r w:rsidR="00183133">
        <w:t xml:space="preserve">at p. 842, fn. 17.)  </w:t>
      </w:r>
      <w:r w:rsidR="003F6C3F">
        <w:t>California was identified as one of 14 states that, at the time, extended prevailing wage protection to government workers.  (</w:t>
      </w:r>
      <w:r w:rsidR="003F6C3F">
        <w:rPr>
          <w:i/>
          <w:iCs/>
        </w:rPr>
        <w:t>Ibid</w:t>
      </w:r>
      <w:r w:rsidR="003F6C3F">
        <w:t>.)  For at least three decades following its enactment, section 1771</w:t>
      </w:r>
      <w:r w:rsidR="00201723">
        <w:t xml:space="preserve"> could </w:t>
      </w:r>
      <w:r w:rsidR="003F6C3F">
        <w:t>have been understood as covering certain governmental workers while section 1772 served the purpose of clarifying that employees of private contractors were likewise protected.</w:t>
      </w:r>
    </w:p>
    <w:p w14:paraId="6CDAC928" w14:textId="5C4A2B1F" w:rsidR="003F6C3F" w:rsidRDefault="00E11F8A" w:rsidP="00FE1686">
      <w:pPr>
        <w:tabs>
          <w:tab w:val="left" w:pos="1440"/>
        </w:tabs>
        <w:ind w:firstLine="720"/>
      </w:pPr>
      <w:r>
        <w:t>This court took a contrary view of section</w:t>
      </w:r>
      <w:r w:rsidR="00CE2D7B">
        <w:rPr>
          <w:color w:val="00B050"/>
        </w:rPr>
        <w:t xml:space="preserve"> </w:t>
      </w:r>
      <w:r>
        <w:t>1771</w:t>
      </w:r>
      <w:r w:rsidR="00201723">
        <w:t>’s coverage</w:t>
      </w:r>
      <w:r>
        <w:t xml:space="preserve"> in </w:t>
      </w:r>
      <w:r>
        <w:rPr>
          <w:i/>
          <w:iCs/>
        </w:rPr>
        <w:t>Bishop</w:t>
      </w:r>
      <w:r w:rsidR="00175D83">
        <w:t xml:space="preserve">, </w:t>
      </w:r>
      <w:r w:rsidR="00175D83">
        <w:rPr>
          <w:i/>
          <w:iCs/>
        </w:rPr>
        <w:t>supra</w:t>
      </w:r>
      <w:r w:rsidR="00175D83">
        <w:t>, 1 Cal.3d 56</w:t>
      </w:r>
      <w:r>
        <w:t xml:space="preserve">.  Interpreting that provision in light of sections 1720 and 1724, </w:t>
      </w:r>
      <w:r w:rsidR="0028676E">
        <w:t xml:space="preserve">the court concluded “that section 1771 is by its own terms applicable only to work performed </w:t>
      </w:r>
      <w:r w:rsidR="0028676E">
        <w:lastRenderedPageBreak/>
        <w:t>under contract, and is not applicable to work carried out by a public agency with its own forces.”  (</w:t>
      </w:r>
      <w:r w:rsidR="0028676E">
        <w:rPr>
          <w:i/>
          <w:iCs/>
        </w:rPr>
        <w:t>Bishop</w:t>
      </w:r>
      <w:r w:rsidR="0028676E">
        <w:t xml:space="preserve">, at p. 64.)  </w:t>
      </w:r>
      <w:r w:rsidR="00175D83">
        <w:t>Thereafter th</w:t>
      </w:r>
      <w:r w:rsidR="0028676E">
        <w:t>e Legislature codified this holding when it amended section 1771 in 1974.  (</w:t>
      </w:r>
      <w:r w:rsidR="0028676E" w:rsidRPr="007640FB">
        <w:rPr>
          <w:i/>
          <w:iCs/>
        </w:rPr>
        <w:t xml:space="preserve">O.G. Sansone Co. v. Department of Transportation </w:t>
      </w:r>
      <w:r w:rsidR="0028676E" w:rsidRPr="007640FB">
        <w:t>(1976) 55 Cal.App.3d 434</w:t>
      </w:r>
      <w:r w:rsidR="0028676E">
        <w:t>, 459</w:t>
      </w:r>
      <w:r w:rsidR="0028676E" w:rsidRPr="007640FB">
        <w:t xml:space="preserve"> (</w:t>
      </w:r>
      <w:r w:rsidR="0028676E" w:rsidRPr="007640FB">
        <w:rPr>
          <w:i/>
          <w:iCs/>
        </w:rPr>
        <w:t>Sansone</w:t>
      </w:r>
      <w:r w:rsidR="0028676E" w:rsidRPr="007640FB">
        <w:t>)</w:t>
      </w:r>
      <w:r w:rsidR="0028676E">
        <w:t>.)</w:t>
      </w:r>
    </w:p>
    <w:p w14:paraId="0F7C1801" w14:textId="0403DB98" w:rsidR="00FE1686" w:rsidRPr="00452DF8" w:rsidRDefault="00870562" w:rsidP="00FD6F2E">
      <w:pPr>
        <w:tabs>
          <w:tab w:val="left" w:pos="1440"/>
        </w:tabs>
        <w:ind w:firstLine="720"/>
      </w:pPr>
      <w:r>
        <w:rPr>
          <w:i/>
          <w:iCs/>
        </w:rPr>
        <w:t xml:space="preserve">Bishop </w:t>
      </w:r>
      <w:r>
        <w:t xml:space="preserve">was a closely contested 4–3 decision.  </w:t>
      </w:r>
      <w:r w:rsidR="008E7EF7">
        <w:t xml:space="preserve">The majority focused on provisions </w:t>
      </w:r>
      <w:r w:rsidR="0009747D">
        <w:t>in the prevailing wage law emphasizing the law’s application to contracted work, noting that “the entire tenor [of the law] discloses a legislative purpose to deal only with contracted</w:t>
      </w:r>
      <w:r w:rsidR="00595565">
        <w:t xml:space="preserve"> public</w:t>
      </w:r>
      <w:r w:rsidR="0009747D">
        <w:t xml:space="preserve"> work, and not with work done by a municipality</w:t>
      </w:r>
      <w:r w:rsidR="00595565">
        <w:t xml:space="preserve"> by</w:t>
      </w:r>
      <w:r w:rsidR="0009747D">
        <w:t xml:space="preserve"> force account.”  (</w:t>
      </w:r>
      <w:r w:rsidR="0009747D">
        <w:rPr>
          <w:i/>
          <w:iCs/>
        </w:rPr>
        <w:t>Bishop</w:t>
      </w:r>
      <w:r w:rsidR="0009747D">
        <w:t xml:space="preserve">, </w:t>
      </w:r>
      <w:r w:rsidR="0009747D">
        <w:rPr>
          <w:i/>
          <w:iCs/>
        </w:rPr>
        <w:t>supra</w:t>
      </w:r>
      <w:r w:rsidR="0009747D">
        <w:t xml:space="preserve">, 1 Cal.3d at p. 64.)  </w:t>
      </w:r>
      <w:r w:rsidR="005E0C5A">
        <w:t xml:space="preserve">It is true that the </w:t>
      </w:r>
      <w:r w:rsidR="001C2B14">
        <w:t>bidding</w:t>
      </w:r>
      <w:r w:rsidR="005E0C5A">
        <w:t xml:space="preserve"> process and the intricacies of </w:t>
      </w:r>
      <w:r w:rsidR="001C2B14">
        <w:t xml:space="preserve">private contracts </w:t>
      </w:r>
      <w:r w:rsidR="005E0C5A">
        <w:t xml:space="preserve">can require </w:t>
      </w:r>
      <w:r w:rsidR="001337AD">
        <w:t>specificity and</w:t>
      </w:r>
      <w:r w:rsidR="005E0C5A">
        <w:t xml:space="preserve"> provisions not involved when </w:t>
      </w:r>
      <w:r w:rsidR="001337AD">
        <w:t xml:space="preserve">governmental entities </w:t>
      </w:r>
      <w:r w:rsidR="00AB1F6E">
        <w:t>us</w:t>
      </w:r>
      <w:r w:rsidR="005E0C5A">
        <w:t>e</w:t>
      </w:r>
      <w:r w:rsidR="00011594">
        <w:rPr>
          <w:color w:val="00B050"/>
        </w:rPr>
        <w:t xml:space="preserve"> </w:t>
      </w:r>
      <w:r w:rsidR="001337AD">
        <w:t xml:space="preserve">their own workers.  </w:t>
      </w:r>
      <w:r w:rsidR="0009747D">
        <w:t xml:space="preserve">The court also </w:t>
      </w:r>
      <w:r w:rsidR="00C91C8D">
        <w:t xml:space="preserve">emphasized that the Legislature had not amended the prevailing wage law since </w:t>
      </w:r>
      <w:r w:rsidR="0009747D">
        <w:t xml:space="preserve">a 1959 Court of Appeal decision </w:t>
      </w:r>
      <w:r w:rsidR="00C91C8D">
        <w:t xml:space="preserve">concluded </w:t>
      </w:r>
      <w:r w:rsidR="0009747D">
        <w:t xml:space="preserve">the </w:t>
      </w:r>
      <w:r w:rsidR="0004448B">
        <w:t>“ ‘</w:t>
      </w:r>
      <w:r w:rsidR="0009747D">
        <w:t xml:space="preserve">prevailing wage </w:t>
      </w:r>
      <w:r w:rsidR="00C91C8D">
        <w:t xml:space="preserve">and competitive bidding statutes </w:t>
      </w:r>
      <w:r w:rsidR="0004448B">
        <w:t xml:space="preserve">have no application to </w:t>
      </w:r>
      <w:r w:rsidR="0009747D">
        <w:t>work undertaken by force account or day labor.</w:t>
      </w:r>
      <w:r w:rsidR="001C2B14">
        <w:t>’</w:t>
      </w:r>
      <w:r w:rsidR="00595565">
        <w:t> </w:t>
      </w:r>
      <w:r w:rsidR="0009747D">
        <w:t>”</w:t>
      </w:r>
      <w:r w:rsidR="001C2B14">
        <w:t xml:space="preserve">  (</w:t>
      </w:r>
      <w:r w:rsidR="001C2B14">
        <w:rPr>
          <w:i/>
          <w:iCs/>
        </w:rPr>
        <w:t>Id</w:t>
      </w:r>
      <w:r w:rsidR="001C2B14">
        <w:t xml:space="preserve">. at pp. 64–65, citing </w:t>
      </w:r>
      <w:r w:rsidR="001C2B14">
        <w:rPr>
          <w:i/>
          <w:iCs/>
        </w:rPr>
        <w:t xml:space="preserve">Beckwith v. County of Stanislaus </w:t>
      </w:r>
      <w:r w:rsidR="001C2B14">
        <w:t>(1959) 175 Cal.App.2d 40, 48.)</w:t>
      </w:r>
      <w:r w:rsidR="00C91C8D">
        <w:t xml:space="preserve">  But the statement in the 1959 decision was dicta and unsupported by any analysis or citation to legal authority.  (</w:t>
      </w:r>
      <w:r w:rsidR="00C91C8D">
        <w:rPr>
          <w:i/>
          <w:iCs/>
        </w:rPr>
        <w:t>Beckwith</w:t>
      </w:r>
      <w:r w:rsidR="00C91C8D">
        <w:t xml:space="preserve">, at p. 48.)  </w:t>
      </w:r>
      <w:r w:rsidR="0004448B">
        <w:t xml:space="preserve">Indeed, the case </w:t>
      </w:r>
      <w:r w:rsidR="006D0948">
        <w:t xml:space="preserve">did not concern the application of the prevailing wage law or cite a single provision in that scheme.  </w:t>
      </w:r>
      <w:r w:rsidR="00B37B2D">
        <w:t>(</w:t>
      </w:r>
      <w:r w:rsidR="00B37B2D" w:rsidRPr="00B37B2D">
        <w:rPr>
          <w:i/>
          <w:iCs/>
        </w:rPr>
        <w:t>Bishop</w:t>
      </w:r>
      <w:r w:rsidR="00B37B2D">
        <w:t xml:space="preserve">, </w:t>
      </w:r>
      <w:r w:rsidR="006F4234">
        <w:t>a</w:t>
      </w:r>
      <w:r w:rsidR="00B37B2D">
        <w:t xml:space="preserve">t p. 72 (dis. </w:t>
      </w:r>
      <w:proofErr w:type="spellStart"/>
      <w:r w:rsidR="00B37B2D">
        <w:t>opn</w:t>
      </w:r>
      <w:proofErr w:type="spellEnd"/>
      <w:r w:rsidR="00B37B2D">
        <w:t>. of Peters, J.).)  F</w:t>
      </w:r>
      <w:r w:rsidR="006D0948" w:rsidRPr="00B37B2D">
        <w:t>urther</w:t>
      </w:r>
      <w:r w:rsidR="006D0948">
        <w:t>,</w:t>
      </w:r>
      <w:r w:rsidR="00562DF3">
        <w:t xml:space="preserve"> </w:t>
      </w:r>
      <w:r w:rsidR="00FD6F2E">
        <w:t xml:space="preserve">the </w:t>
      </w:r>
      <w:r w:rsidR="00562DF3">
        <w:t>Legislature’s subsequent inactio</w:t>
      </w:r>
      <w:r w:rsidR="00FD6F2E">
        <w:t xml:space="preserve">n, assuming it was even aware of the passing reference to the prevailing wage </w:t>
      </w:r>
      <w:r w:rsidR="00B37B2D">
        <w:t xml:space="preserve">law </w:t>
      </w:r>
      <w:r w:rsidR="00FD6F2E">
        <w:t>in the 1959 decision,</w:t>
      </w:r>
      <w:r w:rsidR="00562DF3">
        <w:t xml:space="preserve"> </w:t>
      </w:r>
      <w:r w:rsidR="00FD6F2E">
        <w:t>has no bearing upon the legislative intent at the time section 1771 was enacted</w:t>
      </w:r>
      <w:r w:rsidR="00B37B2D">
        <w:t xml:space="preserve"> decades earlier</w:t>
      </w:r>
      <w:r w:rsidR="00FD6F2E">
        <w:t>.</w:t>
      </w:r>
      <w:r w:rsidR="00E37EB6">
        <w:t xml:space="preserve"> </w:t>
      </w:r>
    </w:p>
    <w:p w14:paraId="77AEC481" w14:textId="77777777" w:rsidR="002A701F" w:rsidRDefault="00B37B2D" w:rsidP="00D43090">
      <w:pPr>
        <w:tabs>
          <w:tab w:val="left" w:pos="1440"/>
        </w:tabs>
        <w:ind w:firstLine="720"/>
      </w:pPr>
      <w:r>
        <w:t xml:space="preserve">The lengthy dissent in </w:t>
      </w:r>
      <w:r>
        <w:rPr>
          <w:i/>
          <w:iCs/>
        </w:rPr>
        <w:t xml:space="preserve">Bishop </w:t>
      </w:r>
      <w:r>
        <w:t xml:space="preserve">pointed out, among other things, </w:t>
      </w:r>
      <w:r w:rsidR="006F4234">
        <w:t xml:space="preserve">that the majority’s interpretation largely </w:t>
      </w:r>
      <w:r w:rsidR="006F4234" w:rsidRPr="00AB1F6E">
        <w:t>ignored</w:t>
      </w:r>
      <w:r w:rsidR="00E348C8" w:rsidRPr="00AB1F6E">
        <w:t xml:space="preserve"> other </w:t>
      </w:r>
      <w:r w:rsidR="006F4234" w:rsidRPr="00AB1F6E">
        <w:t xml:space="preserve"> </w:t>
      </w:r>
      <w:r w:rsidR="006F4234">
        <w:lastRenderedPageBreak/>
        <w:t xml:space="preserve">subdivisions of section </w:t>
      </w:r>
      <w:r w:rsidR="00AB1F6E">
        <w:t xml:space="preserve">1720 defining </w:t>
      </w:r>
      <w:r w:rsidR="006F4234">
        <w:t xml:space="preserve">“public works” to include activities not performed under contract, including work performed by special </w:t>
      </w:r>
      <w:r w:rsidR="00AF4C47" w:rsidRPr="00AB1F6E">
        <w:t>governmental</w:t>
      </w:r>
      <w:r w:rsidR="00AF4C47">
        <w:rPr>
          <w:color w:val="00B050"/>
        </w:rPr>
        <w:t xml:space="preserve"> </w:t>
      </w:r>
      <w:r w:rsidR="006F4234">
        <w:t xml:space="preserve">districts as well as street and sewer </w:t>
      </w:r>
      <w:r w:rsidR="006026C4">
        <w:t>work</w:t>
      </w:r>
      <w:r w:rsidR="006F4234">
        <w:t>.  (</w:t>
      </w:r>
      <w:r w:rsidR="006F4234">
        <w:rPr>
          <w:i/>
          <w:iCs/>
        </w:rPr>
        <w:t>Bishop</w:t>
      </w:r>
      <w:r w:rsidR="006F4234">
        <w:t xml:space="preserve">, </w:t>
      </w:r>
      <w:r w:rsidR="006F4234">
        <w:rPr>
          <w:i/>
          <w:iCs/>
        </w:rPr>
        <w:t>supra</w:t>
      </w:r>
      <w:r w:rsidR="006F4234">
        <w:t xml:space="preserve">, 1 Cal.3d at p. 70 (dis. </w:t>
      </w:r>
      <w:proofErr w:type="spellStart"/>
      <w:r w:rsidR="006F4234">
        <w:t>opn</w:t>
      </w:r>
      <w:proofErr w:type="spellEnd"/>
      <w:r w:rsidR="006F4234">
        <w:t xml:space="preserve">. of Peters, J.).)  </w:t>
      </w:r>
      <w:r w:rsidR="00A13F39">
        <w:t xml:space="preserve">The majority also failed to consider the legislative history of section 1771 and its interplay with section 1772.  </w:t>
      </w:r>
    </w:p>
    <w:p w14:paraId="69D6C3E2" w14:textId="159072EB" w:rsidR="00D66E89" w:rsidRDefault="00EB7361" w:rsidP="00D43090">
      <w:pPr>
        <w:tabs>
          <w:tab w:val="left" w:pos="1440"/>
        </w:tabs>
        <w:ind w:firstLine="720"/>
      </w:pPr>
      <w:r>
        <w:t xml:space="preserve">The incomplete analysis in </w:t>
      </w:r>
      <w:r>
        <w:rPr>
          <w:i/>
          <w:iCs/>
        </w:rPr>
        <w:t>Bishop</w:t>
      </w:r>
      <w:r w:rsidR="002A701F">
        <w:rPr>
          <w:i/>
          <w:iCs/>
        </w:rPr>
        <w:t xml:space="preserve"> </w:t>
      </w:r>
      <w:r>
        <w:t xml:space="preserve">led to an erroneous interpretation of section 1771, and for that reason </w:t>
      </w:r>
      <w:r w:rsidR="00595565" w:rsidRPr="00595565">
        <w:rPr>
          <w:i/>
          <w:iCs/>
        </w:rPr>
        <w:t>Bishop</w:t>
      </w:r>
      <w:r w:rsidR="00595565">
        <w:rPr>
          <w:i/>
          <w:iCs/>
        </w:rPr>
        <w:t xml:space="preserve"> v. City of San Jose</w:t>
      </w:r>
      <w:r w:rsidR="00595565">
        <w:t>,</w:t>
      </w:r>
      <w:r w:rsidR="00595565">
        <w:rPr>
          <w:i/>
          <w:iCs/>
        </w:rPr>
        <w:t xml:space="preserve"> </w:t>
      </w:r>
      <w:r w:rsidR="00595565" w:rsidRPr="00595565">
        <w:rPr>
          <w:i/>
          <w:iCs/>
        </w:rPr>
        <w:t>supra</w:t>
      </w:r>
      <w:r w:rsidR="00595565">
        <w:t>, 1 Cal.3d 56</w:t>
      </w:r>
      <w:r w:rsidR="00595565">
        <w:rPr>
          <w:i/>
          <w:iCs/>
        </w:rPr>
        <w:t xml:space="preserve"> </w:t>
      </w:r>
      <w:r>
        <w:t xml:space="preserve">is </w:t>
      </w:r>
      <w:r w:rsidR="001B6908">
        <w:t>overruled</w:t>
      </w:r>
      <w:r>
        <w:t xml:space="preserve"> to the extent it is inconsistent with our conclusion that section 1771 as originally enacted applied to direct governmental employees.  Because </w:t>
      </w:r>
      <w:r>
        <w:rPr>
          <w:i/>
          <w:iCs/>
        </w:rPr>
        <w:t xml:space="preserve">Bishop </w:t>
      </w:r>
      <w:r>
        <w:t xml:space="preserve">was superseded by statute when section 1771 was amended to exclude government employees, </w:t>
      </w:r>
      <w:r w:rsidR="003675BC">
        <w:t>the overruling of</w:t>
      </w:r>
      <w:r>
        <w:t xml:space="preserve"> the </w:t>
      </w:r>
      <w:r w:rsidR="005E0C5A">
        <w:rPr>
          <w:i/>
          <w:iCs/>
        </w:rPr>
        <w:t xml:space="preserve">Bishop </w:t>
      </w:r>
      <w:r>
        <w:t>majority’s section 1771 analysis has no practical effect</w:t>
      </w:r>
      <w:r w:rsidR="009F6F35">
        <w:t xml:space="preserve">. </w:t>
      </w:r>
      <w:r w:rsidR="00DC43FF">
        <w:t xml:space="preserve"> </w:t>
      </w:r>
      <w:r w:rsidR="00ED22A0">
        <w:t>Government employees are now expressly excluded from the scope of the prevailing wage law</w:t>
      </w:r>
      <w:r w:rsidR="00473564">
        <w:t>.</w:t>
      </w:r>
      <w:r w:rsidR="006026C4">
        <w:t xml:space="preserve">  (</w:t>
      </w:r>
      <w:r w:rsidR="00ED22A0">
        <w:t xml:space="preserve">§ 1771.)  However, our </w:t>
      </w:r>
      <w:r w:rsidR="003675BC">
        <w:t>rejection</w:t>
      </w:r>
      <w:r w:rsidR="00ED22A0">
        <w:t xml:space="preserve"> of </w:t>
      </w:r>
      <w:r w:rsidR="00ED22A0">
        <w:rPr>
          <w:i/>
          <w:iCs/>
        </w:rPr>
        <w:t>Bishop</w:t>
      </w:r>
      <w:r w:rsidR="00ED22A0">
        <w:t xml:space="preserve"> does confirm that section 1772 as we have interpreted it served an important purpose at its inception, when the prevailing wage law extended to those employed directly by the government.  </w:t>
      </w:r>
      <w:r w:rsidR="00CA404C">
        <w:t>The statute</w:t>
      </w:r>
      <w:r w:rsidR="00ED22A0">
        <w:t xml:space="preserve"> was not surplusage at the time of its enactment.</w:t>
      </w:r>
    </w:p>
    <w:p w14:paraId="07F8D8A9" w14:textId="792C7EA1" w:rsidR="00C7505A" w:rsidRDefault="00C7505A" w:rsidP="00064A38">
      <w:pPr>
        <w:tabs>
          <w:tab w:val="left" w:pos="1440"/>
        </w:tabs>
        <w:ind w:firstLine="720"/>
      </w:pPr>
      <w:r>
        <w:t xml:space="preserve">Even if </w:t>
      </w:r>
      <w:r>
        <w:rPr>
          <w:i/>
          <w:iCs/>
        </w:rPr>
        <w:t xml:space="preserve">Bishop </w:t>
      </w:r>
      <w:r>
        <w:t>were correctly decided</w:t>
      </w:r>
      <w:r w:rsidR="00F9324D">
        <w:t xml:space="preserve"> and section 1771 did not apply to government workers at the time of its enactment, </w:t>
      </w:r>
      <w:r w:rsidR="008E1848">
        <w:t xml:space="preserve">section 1772 would </w:t>
      </w:r>
      <w:r w:rsidR="005E0C5A">
        <w:t xml:space="preserve">still </w:t>
      </w:r>
      <w:r w:rsidR="008E1848">
        <w:t xml:space="preserve">have served a valuable purpose, if only </w:t>
      </w:r>
      <w:r w:rsidR="005E0C5A">
        <w:t>to clarify</w:t>
      </w:r>
      <w:r w:rsidR="008E1848">
        <w:t xml:space="preserve"> the application of the law</w:t>
      </w:r>
      <w:r w:rsidR="008E1848" w:rsidRPr="006026C4">
        <w:t>.</w:t>
      </w:r>
      <w:r w:rsidR="006026C4" w:rsidRPr="006026C4">
        <w:t xml:space="preserve">  </w:t>
      </w:r>
      <w:r w:rsidR="009572F1" w:rsidRPr="006026C4">
        <w:t>It could certainly have been argued that employees of subcontractors engaged in public work came within the prevailing wa</w:t>
      </w:r>
      <w:r w:rsidR="00A03648" w:rsidRPr="006026C4">
        <w:t>ge law.  But section 1772 removed any doubt and continues to do so.</w:t>
      </w:r>
      <w:r w:rsidR="006026C4">
        <w:t xml:space="preserve">  A</w:t>
      </w:r>
      <w:r w:rsidR="00A872D2" w:rsidRPr="006026C4">
        <w:t xml:space="preserve"> contractor cannot avoid the prevailing wage </w:t>
      </w:r>
      <w:r w:rsidR="006026C4">
        <w:t>o</w:t>
      </w:r>
      <w:r w:rsidR="00E52077" w:rsidRPr="006026C4">
        <w:t xml:space="preserve">bligation </w:t>
      </w:r>
      <w:r w:rsidR="00A872D2" w:rsidRPr="006026C4">
        <w:t xml:space="preserve">by parsing </w:t>
      </w:r>
      <w:r w:rsidR="003A3BE0" w:rsidRPr="006026C4">
        <w:t>out tasks to subcontractors.</w:t>
      </w:r>
      <w:r w:rsidR="006049E9" w:rsidRPr="006026C4">
        <w:t xml:space="preserve">  </w:t>
      </w:r>
      <w:r w:rsidR="00C90ACC" w:rsidRPr="006026C4">
        <w:t xml:space="preserve">Further, section 1772 </w:t>
      </w:r>
      <w:r w:rsidR="00CD44EC" w:rsidRPr="006026C4">
        <w:t xml:space="preserve">has been interpreted to extend prevailing wage </w:t>
      </w:r>
      <w:r w:rsidR="00324D6D" w:rsidRPr="006026C4">
        <w:t xml:space="preserve">entitlement </w:t>
      </w:r>
      <w:r w:rsidR="00CD44EC" w:rsidRPr="006026C4">
        <w:t>to wor</w:t>
      </w:r>
      <w:r w:rsidR="00C90ACC" w:rsidRPr="006026C4">
        <w:t xml:space="preserve">kers whose services </w:t>
      </w:r>
      <w:r w:rsidR="00C90ACC" w:rsidRPr="006026C4">
        <w:lastRenderedPageBreak/>
        <w:t xml:space="preserve">are </w:t>
      </w:r>
      <w:r w:rsidR="002F53CE" w:rsidRPr="006026C4">
        <w:t xml:space="preserve">used by a main </w:t>
      </w:r>
      <w:r w:rsidR="00C90ACC" w:rsidRPr="006026C4">
        <w:t xml:space="preserve">contractor or subcontractor even </w:t>
      </w:r>
      <w:r w:rsidR="00CD44EC" w:rsidRPr="006026C4">
        <w:t>when there is no</w:t>
      </w:r>
      <w:r w:rsidR="00C90ACC" w:rsidRPr="006026C4">
        <w:t xml:space="preserve"> formal employment relationship</w:t>
      </w:r>
      <w:r w:rsidR="00C90ACC">
        <w:t xml:space="preserve">.  As the Public Works Manual prepared by the Office of the Labor Commissioner suggests, section 1772 extends protection to workers “whose services are </w:t>
      </w:r>
      <w:r w:rsidR="00107583">
        <w:t>‘</w:t>
      </w:r>
      <w:r w:rsidR="00C90ACC">
        <w:t>utilized</w:t>
      </w:r>
      <w:r w:rsidR="00107583">
        <w:t>’</w:t>
      </w:r>
      <w:r w:rsidR="00C90ACC">
        <w:t xml:space="preserve"> in further</w:t>
      </w:r>
      <w:r w:rsidR="00107583">
        <w:t>ance</w:t>
      </w:r>
      <w:r w:rsidR="00C90ACC">
        <w:t xml:space="preserve"> of the business of another, notwithstanding the technical absence of an employer-employee relationship, or a person ‘engaged in’ a task </w:t>
      </w:r>
      <w:r w:rsidR="00107583">
        <w:t>f</w:t>
      </w:r>
      <w:r w:rsidR="00C90ACC">
        <w:t>or another und</w:t>
      </w:r>
      <w:r w:rsidR="00107583">
        <w:t>er</w:t>
      </w:r>
      <w:r w:rsidR="00C90ACC">
        <w:t xml:space="preserve"> contract, or orders to do it.</w:t>
      </w:r>
      <w:r w:rsidR="00107583">
        <w:t xml:space="preserve">”  </w:t>
      </w:r>
      <w:r w:rsidR="00C90ACC" w:rsidRPr="007640FB">
        <w:t>(</w:t>
      </w:r>
      <w:r w:rsidR="00107583">
        <w:t>Dep</w:t>
      </w:r>
      <w:r w:rsidR="00651997">
        <w:t>.</w:t>
      </w:r>
      <w:r w:rsidR="00107583">
        <w:t xml:space="preserve"> of Industrial Relations, Div</w:t>
      </w:r>
      <w:r w:rsidR="00651997">
        <w:t>.</w:t>
      </w:r>
      <w:r w:rsidR="00107583">
        <w:t xml:space="preserve"> of Labor Standards Enforcement, </w:t>
      </w:r>
      <w:r w:rsidR="00C90ACC" w:rsidRPr="007640FB">
        <w:t>Public Works Manual (May 2018)</w:t>
      </w:r>
      <w:r w:rsidR="00107583">
        <w:t xml:space="preserve"> </w:t>
      </w:r>
      <w:r w:rsidR="00C90ACC" w:rsidRPr="007640FB">
        <w:t>§ </w:t>
      </w:r>
      <w:r w:rsidR="00107583">
        <w:t>2.2</w:t>
      </w:r>
      <w:r w:rsidR="00C90ACC" w:rsidRPr="007640FB">
        <w:t xml:space="preserve">, p. </w:t>
      </w:r>
      <w:r w:rsidR="00107583">
        <w:t>3.)</w:t>
      </w:r>
      <w:r w:rsidR="00064A38">
        <w:t xml:space="preserve">  Thus, section 1772 continues to serve an important purpose in defining the types of workers entitled to the law’s protection.</w:t>
      </w:r>
    </w:p>
    <w:p w14:paraId="6237DFFE" w14:textId="23FBAE9F" w:rsidR="001D2E24" w:rsidRPr="007640FB" w:rsidRDefault="00411439" w:rsidP="005E0C5A">
      <w:pPr>
        <w:keepNext/>
        <w:tabs>
          <w:tab w:val="left" w:pos="1440"/>
        </w:tabs>
        <w:ind w:firstLine="720"/>
        <w:rPr>
          <w:i/>
          <w:iCs/>
        </w:rPr>
      </w:pPr>
      <w:r>
        <w:t>D</w:t>
      </w:r>
      <w:r w:rsidR="001D2E24" w:rsidRPr="007640FB">
        <w:t>.</w:t>
      </w:r>
      <w:r w:rsidR="001D2E24" w:rsidRPr="007640FB">
        <w:tab/>
      </w:r>
      <w:r w:rsidR="00CC58F4">
        <w:rPr>
          <w:i/>
          <w:iCs/>
        </w:rPr>
        <w:t>Plaintiffs’ F</w:t>
      </w:r>
      <w:r w:rsidR="001D2E24">
        <w:rPr>
          <w:i/>
          <w:iCs/>
        </w:rPr>
        <w:t xml:space="preserve">ocus on </w:t>
      </w:r>
      <w:r w:rsidR="00CC58F4">
        <w:rPr>
          <w:i/>
          <w:iCs/>
        </w:rPr>
        <w:t>“Execution” and “Deemed”</w:t>
      </w:r>
    </w:p>
    <w:p w14:paraId="5E9B082B" w14:textId="77777777" w:rsidR="00411439" w:rsidRDefault="00090597" w:rsidP="00411439">
      <w:pPr>
        <w:tabs>
          <w:tab w:val="left" w:pos="1440"/>
        </w:tabs>
        <w:ind w:firstLine="720"/>
      </w:pPr>
      <w:r w:rsidRPr="00411439">
        <w:t>Plaintiffs</w:t>
      </w:r>
      <w:r w:rsidR="00411439" w:rsidRPr="00411439">
        <w:t>’</w:t>
      </w:r>
      <w:r w:rsidR="003A78BC" w:rsidRPr="00411439">
        <w:t xml:space="preserve"> </w:t>
      </w:r>
      <w:r w:rsidR="00E37DE7" w:rsidRPr="00411439">
        <w:t xml:space="preserve">attempt to </w:t>
      </w:r>
      <w:r w:rsidR="003A78BC" w:rsidRPr="00411439">
        <w:t xml:space="preserve">expand the scope of the prevailing wage law beyond the </w:t>
      </w:r>
      <w:r w:rsidR="00F60036" w:rsidRPr="00411439">
        <w:t xml:space="preserve">definition of </w:t>
      </w:r>
      <w:r w:rsidR="003A78BC" w:rsidRPr="00411439">
        <w:t xml:space="preserve">“public works” </w:t>
      </w:r>
      <w:r w:rsidR="00051A18" w:rsidRPr="00411439">
        <w:t>largely rests on the meaning of the terms “execution” and “deemed” in section 1772.</w:t>
      </w:r>
      <w:r w:rsidR="00411439">
        <w:t xml:space="preserve">  </w:t>
      </w:r>
    </w:p>
    <w:p w14:paraId="1374389D" w14:textId="261FAEE8" w:rsidR="00E1678D" w:rsidRPr="00357EAA" w:rsidRDefault="00411439" w:rsidP="00411439">
      <w:pPr>
        <w:tabs>
          <w:tab w:val="left" w:pos="1440"/>
        </w:tabs>
        <w:ind w:firstLine="720"/>
      </w:pPr>
      <w:r>
        <w:t>Plaintiffs first point to</w:t>
      </w:r>
      <w:r w:rsidR="001F4DC2">
        <w:rPr>
          <w:color w:val="00B050"/>
        </w:rPr>
        <w:t xml:space="preserve"> </w:t>
      </w:r>
      <w:r w:rsidR="0018066E">
        <w:t>the term “execution” in section 1772, as used in the phrase “in the execution of any contract for public work</w:t>
      </w:r>
      <w:r w:rsidR="00642C6F">
        <w:t>.</w:t>
      </w:r>
      <w:r w:rsidR="0018066E">
        <w:t>”</w:t>
      </w:r>
      <w:r>
        <w:t xml:space="preserve">  </w:t>
      </w:r>
      <w:r w:rsidR="0018066E">
        <w:t xml:space="preserve">They claim </w:t>
      </w:r>
      <w:r>
        <w:t xml:space="preserve">the term broadly </w:t>
      </w:r>
      <w:r w:rsidR="0018066E">
        <w:t>means “</w:t>
      </w:r>
      <w:r w:rsidR="00E1678D">
        <w:t xml:space="preserve">carrying out and completion of all provisions of the contract, regardless </w:t>
      </w:r>
      <w:r w:rsidR="00740081">
        <w:t>[</w:t>
      </w:r>
      <w:r w:rsidR="00E1678D">
        <w:t>of</w:t>
      </w:r>
      <w:r w:rsidR="00740081">
        <w:t>]</w:t>
      </w:r>
      <w:r w:rsidR="00E1678D">
        <w:t xml:space="preserve"> whether that work would constitute a public work</w:t>
      </w:r>
      <w:r w:rsidR="00740081">
        <w:t>[]</w:t>
      </w:r>
      <w:r w:rsidR="00E1678D">
        <w:t xml:space="preserve"> if it were viewed independently.</w:t>
      </w:r>
      <w:r w:rsidR="003F7A4F">
        <w:t xml:space="preserve">”  </w:t>
      </w:r>
      <w:r w:rsidR="00357EAA">
        <w:t xml:space="preserve">(See </w:t>
      </w:r>
      <w:r w:rsidR="00357EAA">
        <w:rPr>
          <w:i/>
          <w:iCs/>
        </w:rPr>
        <w:t>Williams</w:t>
      </w:r>
      <w:r w:rsidR="00357EAA">
        <w:t xml:space="preserve">, </w:t>
      </w:r>
      <w:r w:rsidR="00357EAA">
        <w:rPr>
          <w:i/>
          <w:iCs/>
        </w:rPr>
        <w:t>supra</w:t>
      </w:r>
      <w:r w:rsidR="00357EAA">
        <w:t>, 156 Cal.App.4th at p. 750.)</w:t>
      </w:r>
      <w:r w:rsidR="00A32490">
        <w:t xml:space="preserve"> </w:t>
      </w:r>
      <w:r w:rsidR="0092082A">
        <w:t xml:space="preserve"> </w:t>
      </w:r>
      <w:r>
        <w:t xml:space="preserve">This </w:t>
      </w:r>
      <w:r w:rsidR="00A32490">
        <w:t>interpretation would bring within the scope of the prevailing wage law</w:t>
      </w:r>
      <w:r w:rsidR="003618A2">
        <w:t xml:space="preserve"> any </w:t>
      </w:r>
      <w:r w:rsidR="005E71F8">
        <w:t>activity</w:t>
      </w:r>
      <w:r w:rsidR="003618A2">
        <w:t xml:space="preserve"> required to fulfill a public works contract, </w:t>
      </w:r>
      <w:r w:rsidR="00AF3F65">
        <w:t>even if th</w:t>
      </w:r>
      <w:r w:rsidR="005E71F8">
        <w:t xml:space="preserve">e work did not qualify as a defined “public work.”  </w:t>
      </w:r>
    </w:p>
    <w:p w14:paraId="59C69607" w14:textId="7792BA7A" w:rsidR="00121F1E" w:rsidRDefault="00E1678D" w:rsidP="00E1678D">
      <w:pPr>
        <w:tabs>
          <w:tab w:val="left" w:pos="1440"/>
        </w:tabs>
        <w:ind w:firstLine="720"/>
      </w:pPr>
      <w:r>
        <w:t>This expansive role for the phrase “in the execution of” is inconsistent with the Legislature’s approach to defining</w:t>
      </w:r>
      <w:r w:rsidR="005E0C5A">
        <w:t xml:space="preserve"> what is encompassed by that term.  </w:t>
      </w:r>
      <w:r>
        <w:t xml:space="preserve">When the Legislature has expanded </w:t>
      </w:r>
      <w:r>
        <w:lastRenderedPageBreak/>
        <w:t>the</w:t>
      </w:r>
      <w:r w:rsidR="00487E9F">
        <w:t xml:space="preserve"> reach of the law, </w:t>
      </w:r>
      <w:r>
        <w:t xml:space="preserve">it has done so by changing the definitions of “public works” in </w:t>
      </w:r>
      <w:r w:rsidR="00651997">
        <w:t>a</w:t>
      </w:r>
      <w:r>
        <w:t xml:space="preserve">rticle 1.  (See generally §§ 1720–1720.9.)  </w:t>
      </w:r>
      <w:r w:rsidR="00411439">
        <w:t xml:space="preserve">These amendments reflect a </w:t>
      </w:r>
      <w:r>
        <w:t xml:space="preserve">deliberate and specific intent to </w:t>
      </w:r>
      <w:r w:rsidR="00411439">
        <w:t xml:space="preserve">delineate and parse out what </w:t>
      </w:r>
      <w:r w:rsidR="005E0C5A">
        <w:t xml:space="preserve">kind of labor </w:t>
      </w:r>
      <w:r w:rsidR="00411439">
        <w:t xml:space="preserve">constitutes </w:t>
      </w:r>
      <w:r>
        <w:t>“public works.”</w:t>
      </w:r>
      <w:r w:rsidR="007F0DFB">
        <w:t xml:space="preserve">  </w:t>
      </w:r>
      <w:r w:rsidR="00411439">
        <w:t xml:space="preserve">Over the decades the Legislature has revisited and refined the scope of public works definitions.   </w:t>
      </w:r>
      <w:r w:rsidR="007F0DFB">
        <w:t xml:space="preserve">For example, the Legislature has taken care to specify that “public works” means certain hauling of refuse to an outside location, but not if the refuse consists of recyclable materials that are separated and sold.  (§ 1720.3.)  </w:t>
      </w:r>
      <w:r w:rsidR="00FD57A5">
        <w:t xml:space="preserve">As another example, </w:t>
      </w:r>
      <w:r w:rsidR="007F0DFB">
        <w:t xml:space="preserve">the hauling and delivery of ready-mixed concrete to fulfill a public works contract constitutes a “public work,” but this </w:t>
      </w:r>
      <w:r w:rsidR="002D068B">
        <w:t xml:space="preserve">same provision does not extend to the hauling and delivery of asphalt.  (§ 1720.9, </w:t>
      </w:r>
      <w:proofErr w:type="spellStart"/>
      <w:r w:rsidR="002D068B">
        <w:t>subd</w:t>
      </w:r>
      <w:proofErr w:type="spellEnd"/>
      <w:r w:rsidR="002D068B">
        <w:t>. (a).)</w:t>
      </w:r>
    </w:p>
    <w:p w14:paraId="744A6AE0" w14:textId="1685EEEA" w:rsidR="00C442C7" w:rsidRPr="00411439" w:rsidRDefault="00FD57A5" w:rsidP="00E1678D">
      <w:pPr>
        <w:tabs>
          <w:tab w:val="left" w:pos="1440"/>
        </w:tabs>
        <w:ind w:firstLine="720"/>
      </w:pPr>
      <w:r>
        <w:t xml:space="preserve">Plaintiff’s proposed interpretation would render these distinctions meaningless if section 1772 </w:t>
      </w:r>
      <w:r w:rsidR="00121F1E">
        <w:t xml:space="preserve">extends the prevailing wage law </w:t>
      </w:r>
      <w:r w:rsidR="00121F1E" w:rsidRPr="00411439">
        <w:t xml:space="preserve">to </w:t>
      </w:r>
      <w:r w:rsidR="00121F1E" w:rsidRPr="00411439">
        <w:rPr>
          <w:i/>
          <w:iCs/>
        </w:rPr>
        <w:t>any</w:t>
      </w:r>
      <w:r w:rsidR="00121F1E" w:rsidRPr="00411439">
        <w:t xml:space="preserve"> </w:t>
      </w:r>
      <w:r w:rsidR="00121F1E">
        <w:t>work required to fulfill a public works contract.</w:t>
      </w:r>
      <w:r w:rsidR="00726B3C">
        <w:t xml:space="preserve">  </w:t>
      </w:r>
      <w:r w:rsidR="00E1678D">
        <w:t xml:space="preserve">There is little reason to believe the Legislature would take great pains to specify what constitutes “public works” in </w:t>
      </w:r>
      <w:r w:rsidR="00651997">
        <w:t>a</w:t>
      </w:r>
      <w:r w:rsidR="00E1678D">
        <w:t>rticle 1 while broadening the scope of coverage through section 1772 to encompass activities not expressly falling within those carefully crafted definitions.</w:t>
      </w:r>
      <w:r w:rsidR="00102454">
        <w:t xml:space="preserve"> </w:t>
      </w:r>
      <w:r w:rsidR="003B1800" w:rsidRPr="00411439">
        <w:t xml:space="preserve">Plaintiffs provide no limiting principle to their proposed expansion.  </w:t>
      </w:r>
      <w:r w:rsidR="00C63ED7" w:rsidRPr="00411439">
        <w:t xml:space="preserve">Nor </w:t>
      </w:r>
      <w:r w:rsidR="00411439">
        <w:t xml:space="preserve">does </w:t>
      </w:r>
      <w:r w:rsidR="00E87201" w:rsidRPr="00411439">
        <w:t xml:space="preserve">the plain language of section 1772 </w:t>
      </w:r>
      <w:r w:rsidR="008E4E3B" w:rsidRPr="00411439">
        <w:t xml:space="preserve">furnish any </w:t>
      </w:r>
      <w:r w:rsidR="00E87201" w:rsidRPr="00411439">
        <w:t xml:space="preserve">limitation on plaintiffs’ proposed </w:t>
      </w:r>
      <w:r w:rsidR="005E0C5A">
        <w:t>understanding.</w:t>
      </w:r>
      <w:r w:rsidR="00C442C7" w:rsidRPr="00411439">
        <w:t xml:space="preserve">  </w:t>
      </w:r>
    </w:p>
    <w:p w14:paraId="361C2ED1" w14:textId="02180A09" w:rsidR="00F728BC" w:rsidRPr="00213DA1" w:rsidRDefault="00C442C7" w:rsidP="00E1678D">
      <w:pPr>
        <w:tabs>
          <w:tab w:val="left" w:pos="1440"/>
        </w:tabs>
        <w:ind w:firstLine="720"/>
        <w:rPr>
          <w:color w:val="00B050"/>
        </w:rPr>
      </w:pPr>
      <w:r>
        <w:t xml:space="preserve">A more reasonable interpretation of “in the execution of” is that it simply </w:t>
      </w:r>
      <w:r w:rsidR="00411439">
        <w:t xml:space="preserve">clarifies which </w:t>
      </w:r>
      <w:r w:rsidR="00994EF7">
        <w:t xml:space="preserve">workers </w:t>
      </w:r>
      <w:r w:rsidR="00411439">
        <w:t>are entitled</w:t>
      </w:r>
      <w:r w:rsidR="00994EF7">
        <w:t xml:space="preserve"> to the prevailing wage</w:t>
      </w:r>
      <w:r w:rsidR="005E0C5A">
        <w:t xml:space="preserve"> when employed by contractors</w:t>
      </w:r>
      <w:r w:rsidR="00994EF7">
        <w:t xml:space="preserve">. </w:t>
      </w:r>
      <w:r w:rsidR="001461FE">
        <w:t xml:space="preserve"> </w:t>
      </w:r>
      <w:r w:rsidR="00411439">
        <w:rPr>
          <w:i/>
          <w:iCs/>
        </w:rPr>
        <w:t xml:space="preserve">All </w:t>
      </w:r>
      <w:r w:rsidR="00411439">
        <w:t>workers are not universally so entitled.  L</w:t>
      </w:r>
      <w:r w:rsidR="001461FE" w:rsidRPr="00411439">
        <w:t>aborers</w:t>
      </w:r>
      <w:r w:rsidR="001461FE">
        <w:rPr>
          <w:color w:val="00B050"/>
        </w:rPr>
        <w:t xml:space="preserve"> </w:t>
      </w:r>
      <w:r w:rsidR="00994EF7">
        <w:t xml:space="preserve">receive the benefits of the law if they are employed to carry out public works.  The qualifier “in the execution of [a] contract for public work” in section 1772 </w:t>
      </w:r>
      <w:r w:rsidR="00994EF7">
        <w:lastRenderedPageBreak/>
        <w:t>establishes that limitation.</w:t>
      </w:r>
      <w:r w:rsidR="00213DA1">
        <w:t xml:space="preserve">  </w:t>
      </w:r>
      <w:r w:rsidR="00411439">
        <w:t xml:space="preserve">The effect of plaintiff’s proposal runs contrary to legislative intent.  The Legislature has taken great care over decades to precisely categorize, in </w:t>
      </w:r>
      <w:r w:rsidR="00651997">
        <w:t>a</w:t>
      </w:r>
      <w:r w:rsidR="00411439">
        <w:t>rticle 1, just what kinds of labor constitute public works.  Yet plaintiffs</w:t>
      </w:r>
      <w:r w:rsidR="008B034F">
        <w:t>’</w:t>
      </w:r>
      <w:r w:rsidR="00411439">
        <w:t xml:space="preserve"> approach would throw </w:t>
      </w:r>
      <w:r w:rsidR="005E0C5A">
        <w:t xml:space="preserve">aside </w:t>
      </w:r>
      <w:r w:rsidR="00411439">
        <w:t>that careful drafting by allowing a different result under a</w:t>
      </w:r>
      <w:r w:rsidR="00285438">
        <w:t>n</w:t>
      </w:r>
      <w:r w:rsidR="00411439">
        <w:t xml:space="preserve"> interpretation of an imprecise statute that has gone largely unchanged for over 90</w:t>
      </w:r>
      <w:r w:rsidR="00285438">
        <w:t xml:space="preserve"> years</w:t>
      </w:r>
      <w:r w:rsidR="005E0C5A">
        <w:t>.</w:t>
      </w:r>
      <w:r w:rsidR="00411439">
        <w:t xml:space="preserve">  If the Legislature so intends</w:t>
      </w:r>
      <w:r w:rsidR="00651997">
        <w:t>,</w:t>
      </w:r>
      <w:r w:rsidR="00411439">
        <w:t xml:space="preserve"> it is, of course, empowered to</w:t>
      </w:r>
      <w:r w:rsidR="005E0C5A">
        <w:t xml:space="preserve"> take that action</w:t>
      </w:r>
      <w:r w:rsidR="00411439">
        <w:t>.  We will not divine such an intention on its behalf.</w:t>
      </w:r>
    </w:p>
    <w:p w14:paraId="012C2536" w14:textId="77777777" w:rsidR="00E23540" w:rsidRDefault="00F728BC" w:rsidP="00E23540">
      <w:pPr>
        <w:tabs>
          <w:tab w:val="left" w:pos="1440"/>
        </w:tabs>
        <w:ind w:firstLine="720"/>
      </w:pPr>
      <w:r>
        <w:t>Plaintiffs also focus on the use of the word “deemed</w:t>
      </w:r>
      <w:r w:rsidR="00A84FC2">
        <w:t>.</w:t>
      </w:r>
      <w:r>
        <w:t>”</w:t>
      </w:r>
      <w:r w:rsidR="00A84FC2">
        <w:t xml:space="preserve"> </w:t>
      </w:r>
      <w:r>
        <w:t xml:space="preserve"> They argue that even if work being performed under contract is not “public work”</w:t>
      </w:r>
      <w:r w:rsidR="00285438">
        <w:t xml:space="preserve"> when considered in isolation,</w:t>
      </w:r>
      <w:r>
        <w:t xml:space="preserve"> it could still be “deemed” a public work if the terms of section 1772 are satisfied.</w:t>
      </w:r>
      <w:r w:rsidR="003F7A4F">
        <w:t xml:space="preserve">  </w:t>
      </w:r>
      <w:r w:rsidR="00D66E89">
        <w:t xml:space="preserve">In effect, they would expand the scope of the prevailing wage law by “deeming” as “public work” an activity </w:t>
      </w:r>
      <w:r w:rsidR="00285438">
        <w:t>the Legislature has not so designated.</w:t>
      </w:r>
    </w:p>
    <w:p w14:paraId="3A559D12" w14:textId="051ECB21" w:rsidR="00DE3659" w:rsidRPr="00F27EE4" w:rsidRDefault="00355EC9" w:rsidP="00237A5A">
      <w:pPr>
        <w:tabs>
          <w:tab w:val="left" w:pos="1440"/>
        </w:tabs>
        <w:ind w:firstLine="720"/>
      </w:pPr>
      <w:r>
        <w:t>Th</w:t>
      </w:r>
      <w:r w:rsidR="00237A5A">
        <w:t xml:space="preserve">is approach misconceives the role that “deemed” plays in section 1772.  As used in the statute, “deemed” modifies the </w:t>
      </w:r>
      <w:r w:rsidR="00237A5A">
        <w:rPr>
          <w:i/>
          <w:iCs/>
        </w:rPr>
        <w:t>types of workers</w:t>
      </w:r>
      <w:r w:rsidR="00237A5A">
        <w:t xml:space="preserve"> entitled to the prevailing wage, not the </w:t>
      </w:r>
      <w:r w:rsidR="00237A5A">
        <w:rPr>
          <w:i/>
          <w:iCs/>
        </w:rPr>
        <w:t>types of</w:t>
      </w:r>
      <w:r w:rsidR="003E3D8F">
        <w:rPr>
          <w:i/>
          <w:iCs/>
        </w:rPr>
        <w:t xml:space="preserve"> </w:t>
      </w:r>
      <w:r w:rsidR="00285438">
        <w:rPr>
          <w:i/>
          <w:iCs/>
        </w:rPr>
        <w:t xml:space="preserve">labor </w:t>
      </w:r>
      <w:r w:rsidR="00285438">
        <w:t xml:space="preserve">those workers perform.  </w:t>
      </w:r>
      <w:r w:rsidR="00237A5A">
        <w:t xml:space="preserve">The statute is not structured to say that </w:t>
      </w:r>
      <w:r w:rsidR="00237A5A" w:rsidRPr="00237A5A">
        <w:rPr>
          <w:i/>
          <w:iCs/>
        </w:rPr>
        <w:t>work</w:t>
      </w:r>
      <w:r w:rsidR="00237A5A">
        <w:t xml:space="preserve"> done “in the execution of any contract for public work [is</w:t>
      </w:r>
      <w:r w:rsidR="00A84FC2">
        <w:t>]</w:t>
      </w:r>
      <w:r w:rsidR="00237A5A">
        <w:t xml:space="preserve"> deemed to be . . . public work.”  Instead, it is the </w:t>
      </w:r>
      <w:r w:rsidR="00237A5A">
        <w:rPr>
          <w:i/>
          <w:iCs/>
        </w:rPr>
        <w:t xml:space="preserve">workers </w:t>
      </w:r>
      <w:r w:rsidR="00237A5A">
        <w:t>who are “deemed to be employed upon public work.”  (</w:t>
      </w:r>
      <w:r w:rsidR="00DE3659">
        <w:t>§ 1772.)</w:t>
      </w:r>
      <w:r w:rsidR="00285438">
        <w:t xml:space="preserve">  Section 1772 focuses on which workers are entitled to the prevailing wage, not upon the types of work that qualify for coverage.</w:t>
      </w:r>
    </w:p>
    <w:p w14:paraId="63F82A0E" w14:textId="06D3520B" w:rsidR="00487E9F" w:rsidRPr="007640FB" w:rsidRDefault="000D57B8" w:rsidP="007640FB">
      <w:pPr>
        <w:tabs>
          <w:tab w:val="left" w:pos="1440"/>
        </w:tabs>
        <w:ind w:firstLine="720"/>
      </w:pPr>
      <w:r>
        <w:t xml:space="preserve">Further, interpreting “deemed” in the sense urged by plaintiffs would assign undue importance to opaque language that does not </w:t>
      </w:r>
      <w:r w:rsidR="00D66E89">
        <w:t>otherwise signal an intent to expand the law’s scope.</w:t>
      </w:r>
      <w:r w:rsidR="001B1FCF" w:rsidRPr="001B1FCF">
        <w:t xml:space="preserve"> </w:t>
      </w:r>
      <w:r w:rsidR="001B1FCF">
        <w:t xml:space="preserve"> If the Legislature had intended to expand the scope of </w:t>
      </w:r>
      <w:r w:rsidR="001B1FCF">
        <w:lastRenderedPageBreak/>
        <w:t>the prevailing wage law to capture work that does not fit within the provisions defining “public works,” it is unlikely it would have used such a subtle approach to achieve that end.  “ ‘The Legislature “does not, one might say, hide elephants in mouseholes.” ’ ”  (</w:t>
      </w:r>
      <w:r w:rsidR="001B1FCF">
        <w:rPr>
          <w:i/>
          <w:iCs/>
        </w:rPr>
        <w:t xml:space="preserve">Jones v. Lodge at Torrey Pines Partnership </w:t>
      </w:r>
      <w:r w:rsidR="001B1FCF">
        <w:t>(2008) 42 Cal.4th 1158, 1171.</w:t>
      </w:r>
      <w:r w:rsidR="00994EF7">
        <w:t>)</w:t>
      </w:r>
    </w:p>
    <w:p w14:paraId="0F2FA315" w14:textId="4E902AA4" w:rsidR="00C967F6" w:rsidRDefault="00285438" w:rsidP="00285438">
      <w:pPr>
        <w:keepNext/>
        <w:tabs>
          <w:tab w:val="left" w:pos="1440"/>
        </w:tabs>
        <w:ind w:firstLine="720"/>
        <w:rPr>
          <w:i/>
          <w:iCs/>
        </w:rPr>
      </w:pPr>
      <w:r>
        <w:t>E</w:t>
      </w:r>
      <w:r w:rsidR="00C967F6" w:rsidRPr="007640FB">
        <w:t>.</w:t>
      </w:r>
      <w:r w:rsidR="00C967F6" w:rsidRPr="007640FB">
        <w:tab/>
      </w:r>
      <w:r w:rsidR="00C967F6">
        <w:rPr>
          <w:i/>
          <w:iCs/>
        </w:rPr>
        <w:t>Judicial and Administrative Decisions</w:t>
      </w:r>
    </w:p>
    <w:p w14:paraId="19D3C449" w14:textId="4E8F9E3B" w:rsidR="001D051A" w:rsidRPr="00676FA2" w:rsidRDefault="00676FA2" w:rsidP="00676FA2">
      <w:pPr>
        <w:tabs>
          <w:tab w:val="left" w:pos="1440"/>
        </w:tabs>
        <w:ind w:firstLine="720"/>
        <w:rPr>
          <w:i/>
          <w:iCs/>
        </w:rPr>
      </w:pPr>
      <w:r>
        <w:tab/>
        <w:t>1.</w:t>
      </w:r>
      <w:r>
        <w:tab/>
      </w:r>
      <w:r w:rsidR="0042757B" w:rsidRPr="00676FA2">
        <w:rPr>
          <w:i/>
          <w:iCs/>
        </w:rPr>
        <w:t>Court of Appeal Cases</w:t>
      </w:r>
    </w:p>
    <w:p w14:paraId="02CA2E43" w14:textId="53E1EC8D" w:rsidR="00144ED3" w:rsidRPr="007C4F88" w:rsidRDefault="00DD2725" w:rsidP="007640FB">
      <w:pPr>
        <w:tabs>
          <w:tab w:val="left" w:pos="1440"/>
        </w:tabs>
        <w:ind w:firstLine="720"/>
        <w:rPr>
          <w:color w:val="00B050"/>
        </w:rPr>
      </w:pPr>
      <w:r>
        <w:t xml:space="preserve">While this court has not previously </w:t>
      </w:r>
      <w:r w:rsidR="005E0C5A">
        <w:t xml:space="preserve">interpreted </w:t>
      </w:r>
      <w:r w:rsidR="00D93058">
        <w:t xml:space="preserve">section 1772, </w:t>
      </w:r>
      <w:r w:rsidR="005E0C5A">
        <w:t xml:space="preserve">the provision </w:t>
      </w:r>
      <w:r w:rsidR="00D93058">
        <w:t>has been the subject of</w:t>
      </w:r>
      <w:r w:rsidR="00C833AD">
        <w:t xml:space="preserve"> several </w:t>
      </w:r>
      <w:r w:rsidR="00D93058">
        <w:t xml:space="preserve">lower court </w:t>
      </w:r>
      <w:r w:rsidR="00FD0A5C">
        <w:t>opinions.</w:t>
      </w:r>
      <w:r w:rsidR="00C833AD">
        <w:t xml:space="preserve">  </w:t>
      </w:r>
      <w:r w:rsidR="008B034F">
        <w:t>N</w:t>
      </w:r>
      <w:r w:rsidR="00895DB3">
        <w:t>one of these decisions</w:t>
      </w:r>
      <w:r w:rsidR="00DE3E1B">
        <w:t xml:space="preserve"> provides a persuasive reason to depart from the </w:t>
      </w:r>
      <w:r w:rsidR="008B034F">
        <w:t xml:space="preserve">interpretation outlined </w:t>
      </w:r>
      <w:r w:rsidR="005E0C5A">
        <w:t>here</w:t>
      </w:r>
      <w:r w:rsidR="008B034F">
        <w:t>.  For the reasons explained below, we disapprove th</w:t>
      </w:r>
      <w:r w:rsidR="005E0C5A">
        <w:t xml:space="preserve">ose decisions </w:t>
      </w:r>
      <w:r w:rsidR="008B034F">
        <w:t>in whole or in part.</w:t>
      </w:r>
      <w:r w:rsidR="002975D5">
        <w:rPr>
          <w:color w:val="00B050"/>
        </w:rPr>
        <w:t xml:space="preserve"> </w:t>
      </w:r>
    </w:p>
    <w:p w14:paraId="7D120462" w14:textId="5DF0A788" w:rsidR="0002039C" w:rsidRPr="008B034F" w:rsidRDefault="004F359E" w:rsidP="00F83285">
      <w:pPr>
        <w:tabs>
          <w:tab w:val="left" w:pos="1440"/>
        </w:tabs>
        <w:ind w:firstLine="720"/>
      </w:pPr>
      <w:r w:rsidRPr="007640FB">
        <w:t xml:space="preserve">No California case </w:t>
      </w:r>
      <w:r w:rsidR="00032DC6" w:rsidRPr="007640FB">
        <w:t xml:space="preserve">meaningfully </w:t>
      </w:r>
      <w:r w:rsidR="009D4554" w:rsidRPr="007640FB">
        <w:t xml:space="preserve">touched upon </w:t>
      </w:r>
      <w:r w:rsidRPr="007640FB">
        <w:t xml:space="preserve">section 1772 </w:t>
      </w:r>
      <w:r w:rsidR="00F83285">
        <w:t xml:space="preserve">for decades after its enactment.  </w:t>
      </w:r>
      <w:r w:rsidR="003C14C8">
        <w:t>The first cas</w:t>
      </w:r>
      <w:r w:rsidR="008B034F">
        <w:t>e arguabl</w:t>
      </w:r>
      <w:r w:rsidR="000412D3">
        <w:t>y</w:t>
      </w:r>
      <w:r w:rsidR="008B034F">
        <w:t xml:space="preserve"> to do so </w:t>
      </w:r>
      <w:r w:rsidR="003C14C8">
        <w:t xml:space="preserve">was </w:t>
      </w:r>
      <w:r w:rsidR="003C14C8" w:rsidRPr="003C14C8">
        <w:rPr>
          <w:i/>
          <w:iCs/>
        </w:rPr>
        <w:t>Sansone</w:t>
      </w:r>
      <w:r w:rsidR="003C14C8">
        <w:t xml:space="preserve">, </w:t>
      </w:r>
      <w:r w:rsidR="003C14C8" w:rsidRPr="003C14C8">
        <w:rPr>
          <w:i/>
          <w:iCs/>
        </w:rPr>
        <w:t>supra</w:t>
      </w:r>
      <w:r w:rsidR="003C14C8">
        <w:t xml:space="preserve">, 55 Cal.App.3d 434, in 1976.  There, the court </w:t>
      </w:r>
      <w:r w:rsidR="00F83285">
        <w:t>considered whether truck drivers who delivered</w:t>
      </w:r>
      <w:r w:rsidR="006B0B2D">
        <w:t xml:space="preserve"> materials used in building roads </w:t>
      </w:r>
      <w:r w:rsidR="00F83285">
        <w:t xml:space="preserve">were entitled to the prevailing wage.  </w:t>
      </w:r>
      <w:r w:rsidR="00B71FED">
        <w:t>The court quoted sections 1772 and 1774 but otherwise included no analysis or discussion of those statutes.  (</w:t>
      </w:r>
      <w:r w:rsidR="00B71FED">
        <w:rPr>
          <w:i/>
          <w:iCs/>
        </w:rPr>
        <w:t>Sansone</w:t>
      </w:r>
      <w:r w:rsidR="00B71FED">
        <w:t xml:space="preserve">, at p. 441.)  </w:t>
      </w:r>
      <w:r w:rsidR="00383708" w:rsidRPr="008B034F">
        <w:t>The issue</w:t>
      </w:r>
      <w:r w:rsidR="005519FD" w:rsidRPr="008B034F">
        <w:t xml:space="preserve"> as framed</w:t>
      </w:r>
      <w:r w:rsidR="00383708" w:rsidRPr="008B034F">
        <w:t xml:space="preserve"> was whether the trucking </w:t>
      </w:r>
      <w:r w:rsidR="00383708" w:rsidRPr="008B034F">
        <w:rPr>
          <w:i/>
          <w:iCs/>
        </w:rPr>
        <w:t>companies</w:t>
      </w:r>
      <w:r w:rsidR="00383708" w:rsidRPr="008B034F">
        <w:t xml:space="preserve"> that employed </w:t>
      </w:r>
      <w:r w:rsidR="009D62E2" w:rsidRPr="008B034F">
        <w:t>the drivers</w:t>
      </w:r>
      <w:r w:rsidR="00383708" w:rsidRPr="008B034F">
        <w:t xml:space="preserve"> were subcontractors within the meaning of the prevailing wage law.  (</w:t>
      </w:r>
      <w:r w:rsidR="00383708" w:rsidRPr="008B034F">
        <w:rPr>
          <w:i/>
          <w:iCs/>
        </w:rPr>
        <w:t>I</w:t>
      </w:r>
      <w:r w:rsidR="00B71FED" w:rsidRPr="008B034F">
        <w:rPr>
          <w:i/>
          <w:iCs/>
        </w:rPr>
        <w:t>bi</w:t>
      </w:r>
      <w:r w:rsidR="00383708" w:rsidRPr="008B034F">
        <w:rPr>
          <w:i/>
          <w:iCs/>
        </w:rPr>
        <w:t>d</w:t>
      </w:r>
      <w:r w:rsidR="00383708" w:rsidRPr="008B034F">
        <w:t xml:space="preserve">.)  </w:t>
      </w:r>
    </w:p>
    <w:p w14:paraId="640CDD13" w14:textId="0B9E237F" w:rsidR="00FF5976" w:rsidRDefault="0072795B" w:rsidP="00FF5976">
      <w:pPr>
        <w:tabs>
          <w:tab w:val="left" w:pos="1440"/>
        </w:tabs>
        <w:ind w:firstLine="720"/>
      </w:pPr>
      <w:r>
        <w:t xml:space="preserve">Finding no California cases discussing who qualifies as a subcontractor under the prevailing wage law, the court turned to </w:t>
      </w:r>
      <w:r w:rsidR="00B379F6" w:rsidRPr="007640FB">
        <w:t xml:space="preserve">the federal </w:t>
      </w:r>
      <w:r w:rsidR="0002039C">
        <w:t>Davis-Bacon Act</w:t>
      </w:r>
      <w:r w:rsidR="00B379F6" w:rsidRPr="007640FB">
        <w:t xml:space="preserve"> (40 U.S.C. § 3141 et seq.).  (</w:t>
      </w:r>
      <w:r w:rsidR="00B379F6" w:rsidRPr="007640FB">
        <w:rPr>
          <w:i/>
          <w:iCs/>
        </w:rPr>
        <w:t>Sansone</w:t>
      </w:r>
      <w:r w:rsidR="00B379F6" w:rsidRPr="007640FB">
        <w:t xml:space="preserve">, </w:t>
      </w:r>
      <w:r w:rsidRPr="0072795B">
        <w:rPr>
          <w:i/>
          <w:iCs/>
        </w:rPr>
        <w:t>supra</w:t>
      </w:r>
      <w:r>
        <w:t xml:space="preserve">, 55 Cal.App.3d </w:t>
      </w:r>
      <w:r w:rsidR="00B379F6" w:rsidRPr="0072795B">
        <w:t>at</w:t>
      </w:r>
      <w:r w:rsidR="00B379F6" w:rsidRPr="007640FB">
        <w:t xml:space="preserve"> p. 442.)</w:t>
      </w:r>
      <w:r w:rsidR="004F359E" w:rsidRPr="007640FB">
        <w:t xml:space="preserve"> </w:t>
      </w:r>
      <w:r w:rsidR="00B379F6" w:rsidRPr="007640FB">
        <w:t xml:space="preserve"> </w:t>
      </w:r>
      <w:r>
        <w:t xml:space="preserve">Under </w:t>
      </w:r>
      <w:r w:rsidR="00B71FED">
        <w:t>the federal scheme</w:t>
      </w:r>
      <w:r>
        <w:t xml:space="preserve">, </w:t>
      </w:r>
      <w:r w:rsidR="00B71FED">
        <w:t xml:space="preserve">a </w:t>
      </w:r>
      <w:r w:rsidR="004F359E" w:rsidRPr="007640FB">
        <w:t>supplier of standard building materials, referred to as a “bona fide” materialman or material supplier, is</w:t>
      </w:r>
      <w:r w:rsidR="004D2B0A" w:rsidRPr="007640FB">
        <w:t xml:space="preserve"> not </w:t>
      </w:r>
      <w:r w:rsidR="004D2B0A" w:rsidRPr="007640FB">
        <w:lastRenderedPageBreak/>
        <w:t>considered a subcontractor</w:t>
      </w:r>
      <w:r w:rsidR="00B71FED">
        <w:t>.</w:t>
      </w:r>
      <w:r w:rsidR="004D2B0A" w:rsidRPr="007640FB">
        <w:t xml:space="preserve">  A bona fide material supplier is therefore </w:t>
      </w:r>
      <w:r w:rsidR="004F359E" w:rsidRPr="007640FB">
        <w:t>exempt from the obligation to pay its employees</w:t>
      </w:r>
      <w:r w:rsidR="00121281">
        <w:t>, including truck drivers,</w:t>
      </w:r>
      <w:r w:rsidR="004F359E" w:rsidRPr="007640FB">
        <w:t xml:space="preserve"> the prevailing wage</w:t>
      </w:r>
      <w:r w:rsidR="00E11927" w:rsidRPr="007640FB">
        <w:t>.</w:t>
      </w:r>
      <w:r w:rsidR="00F0176E">
        <w:t xml:space="preserve"> F</w:t>
      </w:r>
      <w:r w:rsidR="004F359E" w:rsidRPr="00F0176E">
        <w:t>or</w:t>
      </w:r>
      <w:r w:rsidR="004F359E" w:rsidRPr="007640FB">
        <w:t xml:space="preserve"> the </w:t>
      </w:r>
      <w:r w:rsidR="000412D3">
        <w:t xml:space="preserve">Davis-Bacon Act exemption </w:t>
      </w:r>
      <w:r w:rsidR="004F359E" w:rsidRPr="007640FB">
        <w:t xml:space="preserve">to apply, the supplier must sell </w:t>
      </w:r>
      <w:r w:rsidR="005E0C5A">
        <w:t>goods</w:t>
      </w:r>
      <w:r w:rsidR="004F359E" w:rsidRPr="007640FB">
        <w:t xml:space="preserve"> to the general public, the location from which the supplies are obtained may not be established specifically for the particular public works project, and the supply location cannot be situated on the public work</w:t>
      </w:r>
      <w:r w:rsidR="004D2B0A" w:rsidRPr="007640FB">
        <w:t>s</w:t>
      </w:r>
      <w:r w:rsidR="004F359E" w:rsidRPr="007640FB">
        <w:t xml:space="preserve"> site.</w:t>
      </w:r>
      <w:r w:rsidR="00721620" w:rsidRPr="007640FB">
        <w:t xml:space="preserve">  (</w:t>
      </w:r>
      <w:r w:rsidR="00721620" w:rsidRPr="007640FB">
        <w:rPr>
          <w:i/>
          <w:iCs/>
        </w:rPr>
        <w:t>Ibid.</w:t>
      </w:r>
      <w:r w:rsidR="00721620" w:rsidRPr="007640FB">
        <w:t>)</w:t>
      </w:r>
    </w:p>
    <w:p w14:paraId="00D6AF59" w14:textId="5583C922" w:rsidR="00DA5D78" w:rsidRDefault="00121281" w:rsidP="008C1579">
      <w:pPr>
        <w:tabs>
          <w:tab w:val="left" w:pos="1440"/>
        </w:tabs>
        <w:ind w:firstLine="720"/>
      </w:pPr>
      <w:r>
        <w:rPr>
          <w:i/>
          <w:iCs/>
        </w:rPr>
        <w:t xml:space="preserve">Sansone </w:t>
      </w:r>
      <w:r>
        <w:t xml:space="preserve">held the trucking companies </w:t>
      </w:r>
      <w:r w:rsidR="000412D3">
        <w:t>qualified as subcontractors who used their employees to fulfill a public works contract and, thus, were o</w:t>
      </w:r>
      <w:r>
        <w:t>bligated to pay prevailing wages.  (</w:t>
      </w:r>
      <w:r w:rsidRPr="007640FB">
        <w:rPr>
          <w:i/>
          <w:iCs/>
        </w:rPr>
        <w:t>Sansone</w:t>
      </w:r>
      <w:r w:rsidRPr="007640FB">
        <w:t xml:space="preserve">, </w:t>
      </w:r>
      <w:r w:rsidRPr="007640FB">
        <w:rPr>
          <w:i/>
          <w:iCs/>
        </w:rPr>
        <w:t>supra</w:t>
      </w:r>
      <w:r w:rsidRPr="007640FB">
        <w:t xml:space="preserve">, 55 Cal.App.3d at p. </w:t>
      </w:r>
      <w:r>
        <w:t>445</w:t>
      </w:r>
      <w:r w:rsidRPr="007640FB">
        <w:t>.</w:t>
      </w:r>
      <w:r>
        <w:t>)</w:t>
      </w:r>
      <w:r w:rsidR="00110822">
        <w:t xml:space="preserve">  </w:t>
      </w:r>
      <w:r w:rsidR="005F6EE6">
        <w:t xml:space="preserve">Two key factors </w:t>
      </w:r>
      <w:r w:rsidR="00110822">
        <w:t xml:space="preserve">distinguished the </w:t>
      </w:r>
      <w:r w:rsidR="005E0C5A">
        <w:t xml:space="preserve">companies </w:t>
      </w:r>
      <w:r w:rsidR="00110822">
        <w:t xml:space="preserve">from </w:t>
      </w:r>
      <w:r w:rsidR="00603208">
        <w:t xml:space="preserve">those </w:t>
      </w:r>
      <w:r w:rsidR="00110822">
        <w:t xml:space="preserve">material suppliers exempt </w:t>
      </w:r>
      <w:r w:rsidR="00603208">
        <w:t xml:space="preserve">from </w:t>
      </w:r>
      <w:r w:rsidR="000412D3">
        <w:t xml:space="preserve">federal </w:t>
      </w:r>
      <w:r w:rsidR="00110822">
        <w:t xml:space="preserve">prevailing wage requirements.  First, the </w:t>
      </w:r>
      <w:r w:rsidR="006B0B2D">
        <w:t xml:space="preserve">roadbuilding </w:t>
      </w:r>
      <w:r w:rsidR="005F6EE6">
        <w:t xml:space="preserve">materials </w:t>
      </w:r>
      <w:r w:rsidR="00110822">
        <w:t>were obtained from a location adjacent to the project site and established specifically to serve that site.  (</w:t>
      </w:r>
      <w:r w:rsidR="00110822">
        <w:rPr>
          <w:i/>
          <w:iCs/>
        </w:rPr>
        <w:t>Id</w:t>
      </w:r>
      <w:r w:rsidR="00110822">
        <w:t>. at pp. 443–444.)</w:t>
      </w:r>
      <w:r w:rsidR="005F6EE6">
        <w:t xml:space="preserve">  Second, the trucking companies were carrying out a term of the prime contract, which required the prime contractor to furnish the materials.  (</w:t>
      </w:r>
      <w:r w:rsidR="005F6EE6">
        <w:rPr>
          <w:i/>
          <w:iCs/>
        </w:rPr>
        <w:t>I</w:t>
      </w:r>
      <w:r w:rsidR="00740081">
        <w:rPr>
          <w:i/>
          <w:iCs/>
        </w:rPr>
        <w:t>bi</w:t>
      </w:r>
      <w:r w:rsidR="005F6EE6">
        <w:rPr>
          <w:i/>
          <w:iCs/>
        </w:rPr>
        <w:t>d</w:t>
      </w:r>
      <w:r w:rsidR="005F6EE6" w:rsidRPr="00740081">
        <w:t>.</w:t>
      </w:r>
      <w:r w:rsidR="005F6EE6">
        <w:t xml:space="preserve">)  </w:t>
      </w:r>
    </w:p>
    <w:p w14:paraId="24F298D7" w14:textId="3B16E682" w:rsidR="001B5B96" w:rsidRPr="00526F57" w:rsidRDefault="005F6EE6" w:rsidP="00A50E55">
      <w:pPr>
        <w:tabs>
          <w:tab w:val="left" w:pos="1440"/>
        </w:tabs>
        <w:ind w:firstLine="720"/>
      </w:pPr>
      <w:r>
        <w:t xml:space="preserve">In </w:t>
      </w:r>
      <w:r w:rsidR="008C1579">
        <w:t xml:space="preserve">reaching its decision, the </w:t>
      </w:r>
      <w:r w:rsidR="008C1579">
        <w:rPr>
          <w:i/>
          <w:iCs/>
        </w:rPr>
        <w:t xml:space="preserve">Sansone </w:t>
      </w:r>
      <w:r w:rsidR="008C1579">
        <w:t xml:space="preserve">court </w:t>
      </w:r>
      <w:r w:rsidR="007570B5">
        <w:t xml:space="preserve">also looked to </w:t>
      </w:r>
      <w:r w:rsidR="00FF5976">
        <w:rPr>
          <w:i/>
          <w:iCs/>
        </w:rPr>
        <w:t xml:space="preserve">Green v. Jones </w:t>
      </w:r>
      <w:r w:rsidR="00FF5976">
        <w:t>(Wis. 1964) 128 N.W.2d 551</w:t>
      </w:r>
      <w:r w:rsidR="00526F57">
        <w:t xml:space="preserve"> (</w:t>
      </w:r>
      <w:r w:rsidR="00526F57">
        <w:rPr>
          <w:i/>
          <w:iCs/>
        </w:rPr>
        <w:t>Green</w:t>
      </w:r>
      <w:r w:rsidR="00526F57">
        <w:t>)</w:t>
      </w:r>
      <w:r w:rsidR="00FF5976">
        <w:t xml:space="preserve">, </w:t>
      </w:r>
      <w:r w:rsidR="007570B5">
        <w:t>a decision of the Wisconsin Supreme Cour</w:t>
      </w:r>
      <w:r w:rsidR="00FF5976">
        <w:t>t interpreting that state’s prevailing wage law.  (</w:t>
      </w:r>
      <w:r w:rsidR="00FF5976">
        <w:rPr>
          <w:i/>
          <w:iCs/>
        </w:rPr>
        <w:t>Sansone</w:t>
      </w:r>
      <w:r w:rsidR="00FF5976">
        <w:t xml:space="preserve">, </w:t>
      </w:r>
      <w:r w:rsidR="00FF5976">
        <w:rPr>
          <w:i/>
          <w:iCs/>
        </w:rPr>
        <w:t>supra,</w:t>
      </w:r>
      <w:r w:rsidR="00FF5976">
        <w:t xml:space="preserve"> 55 Cal.App.3d at p. 443.)</w:t>
      </w:r>
      <w:r w:rsidR="00121281">
        <w:t xml:space="preserve">  </w:t>
      </w:r>
      <w:r w:rsidR="006B0B2D">
        <w:t xml:space="preserve">The Wisconsin decision </w:t>
      </w:r>
      <w:r w:rsidR="00BA1447">
        <w:t>contrasted</w:t>
      </w:r>
      <w:r w:rsidR="006B0B2D">
        <w:t xml:space="preserve"> </w:t>
      </w:r>
      <w:r w:rsidR="00BA1447">
        <w:t>hauling from a</w:t>
      </w:r>
      <w:r w:rsidR="006B0B2D">
        <w:t xml:space="preserve"> commercial location operating continuously</w:t>
      </w:r>
      <w:r w:rsidR="00BA1447">
        <w:t xml:space="preserve">, which would not be covered, </w:t>
      </w:r>
      <w:r w:rsidR="00CF5AE3">
        <w:t xml:space="preserve">with </w:t>
      </w:r>
      <w:r w:rsidR="00BA1447">
        <w:t xml:space="preserve">hauling </w:t>
      </w:r>
      <w:r w:rsidR="00CF5AE3">
        <w:t>from</w:t>
      </w:r>
      <w:r w:rsidR="00BA1447">
        <w:t xml:space="preserve"> a location set up solely to serve the project, which would be covered.  </w:t>
      </w:r>
      <w:r w:rsidR="00512046">
        <w:t>(</w:t>
      </w:r>
      <w:r w:rsidR="00512046" w:rsidRPr="00512046">
        <w:rPr>
          <w:i/>
          <w:iCs/>
        </w:rPr>
        <w:t>I</w:t>
      </w:r>
      <w:r w:rsidR="00AD65AA">
        <w:rPr>
          <w:i/>
          <w:iCs/>
        </w:rPr>
        <w:t>d</w:t>
      </w:r>
      <w:r w:rsidR="00AD65AA">
        <w:t>. at p. 444.</w:t>
      </w:r>
      <w:r w:rsidR="00512046">
        <w:t xml:space="preserve">)  </w:t>
      </w:r>
      <w:r w:rsidR="00512046" w:rsidRPr="00512046">
        <w:t>But</w:t>
      </w:r>
      <w:r w:rsidR="00512046">
        <w:t xml:space="preserve"> the Wisconsin court went further,</w:t>
      </w:r>
      <w:r w:rsidR="00BA1447">
        <w:t xml:space="preserve"> </w:t>
      </w:r>
      <w:r w:rsidR="00DA5D78">
        <w:t>stating that regardless of the source of the materials, the drivers would be covered if the materials were immediately utilized on the improvement.  (</w:t>
      </w:r>
      <w:r w:rsidR="00AD65AA">
        <w:rPr>
          <w:i/>
          <w:iCs/>
        </w:rPr>
        <w:t>Ibid.</w:t>
      </w:r>
      <w:r w:rsidR="00AD65AA">
        <w:t xml:space="preserve">)  In assessing coverage, it </w:t>
      </w:r>
      <w:r w:rsidR="00CF5AE3">
        <w:t>considered</w:t>
      </w:r>
      <w:r w:rsidR="00AD65AA">
        <w:t xml:space="preserve"> </w:t>
      </w:r>
      <w:r w:rsidR="008C1579">
        <w:t>whether “</w:t>
      </w:r>
      <w:r w:rsidR="006B0B2D">
        <w:t> ‘</w:t>
      </w:r>
      <w:r w:rsidR="008C1579">
        <w:t xml:space="preserve">[t]he drivers’ tasks were </w:t>
      </w:r>
      <w:r w:rsidR="008C1579" w:rsidRPr="000412D3">
        <w:rPr>
          <w:i/>
          <w:iCs/>
        </w:rPr>
        <w:lastRenderedPageBreak/>
        <w:t>functionally related to the process of construction</w:t>
      </w:r>
      <w:r w:rsidR="006B0B2D" w:rsidRPr="000412D3">
        <w:t>’ ”</w:t>
      </w:r>
      <w:r w:rsidR="008C1579" w:rsidRPr="000412D3">
        <w:t xml:space="preserve">  </w:t>
      </w:r>
      <w:r w:rsidR="006B0B2D" w:rsidRPr="000412D3">
        <w:t>and the</w:t>
      </w:r>
      <w:r w:rsidR="008C1579" w:rsidRPr="000412D3">
        <w:t xml:space="preserve"> “</w:t>
      </w:r>
      <w:r w:rsidR="00651997">
        <w:t> </w:t>
      </w:r>
      <w:r w:rsidR="006B0B2D" w:rsidRPr="000412D3">
        <w:t>‘</w:t>
      </w:r>
      <w:r w:rsidR="008C1579" w:rsidRPr="000412D3">
        <w:t xml:space="preserve">delivery of materials was an </w:t>
      </w:r>
      <w:r w:rsidR="008C1579" w:rsidRPr="000412D3">
        <w:rPr>
          <w:i/>
          <w:iCs/>
        </w:rPr>
        <w:t xml:space="preserve">integrated aspect of the </w:t>
      </w:r>
      <w:r w:rsidR="006B0B2D" w:rsidRPr="000412D3">
        <w:rPr>
          <w:i/>
          <w:iCs/>
        </w:rPr>
        <w:t>“</w:t>
      </w:r>
      <w:r w:rsidR="008C1579" w:rsidRPr="000412D3">
        <w:rPr>
          <w:i/>
          <w:iCs/>
        </w:rPr>
        <w:t>flow</w:t>
      </w:r>
      <w:r w:rsidR="006B0B2D" w:rsidRPr="000412D3">
        <w:rPr>
          <w:i/>
          <w:iCs/>
        </w:rPr>
        <w:t>”</w:t>
      </w:r>
      <w:r w:rsidR="008C1579" w:rsidRPr="000412D3">
        <w:rPr>
          <w:i/>
          <w:iCs/>
        </w:rPr>
        <w:t xml:space="preserve"> process of construction.</w:t>
      </w:r>
      <w:r w:rsidR="006B0B2D" w:rsidRPr="000412D3">
        <w:t>’ </w:t>
      </w:r>
      <w:r w:rsidR="008C1579" w:rsidRPr="000412D3">
        <w:t xml:space="preserve">”  </w:t>
      </w:r>
      <w:r w:rsidR="008C1579">
        <w:t>(</w:t>
      </w:r>
      <w:r w:rsidR="008C1579">
        <w:rPr>
          <w:i/>
          <w:iCs/>
        </w:rPr>
        <w:t>Ibid</w:t>
      </w:r>
      <w:r w:rsidR="008C1579">
        <w:t xml:space="preserve">., citing </w:t>
      </w:r>
      <w:r w:rsidR="008C1579">
        <w:rPr>
          <w:i/>
          <w:iCs/>
        </w:rPr>
        <w:t>Green</w:t>
      </w:r>
      <w:r w:rsidR="008C1579">
        <w:t>, at p. 563</w:t>
      </w:r>
      <w:r w:rsidR="000412D3">
        <w:t xml:space="preserve">, italics </w:t>
      </w:r>
      <w:r w:rsidR="000412D3" w:rsidRPr="00526F57">
        <w:t>added.</w:t>
      </w:r>
      <w:r w:rsidR="008C1579" w:rsidRPr="00526F57">
        <w:t xml:space="preserve">)  </w:t>
      </w:r>
      <w:r w:rsidR="007E6F55" w:rsidRPr="00526F57">
        <w:t xml:space="preserve">While </w:t>
      </w:r>
      <w:r w:rsidR="007E6F55" w:rsidRPr="00526F57">
        <w:rPr>
          <w:i/>
          <w:iCs/>
        </w:rPr>
        <w:t xml:space="preserve">Sansone </w:t>
      </w:r>
      <w:r w:rsidR="00796380" w:rsidRPr="00526F57">
        <w:t xml:space="preserve">ostensibly </w:t>
      </w:r>
      <w:r w:rsidR="00827C18" w:rsidRPr="00526F57">
        <w:t xml:space="preserve">focused on </w:t>
      </w:r>
      <w:r w:rsidR="00796380" w:rsidRPr="00526F57">
        <w:t xml:space="preserve">whether the </w:t>
      </w:r>
      <w:r w:rsidR="00796380" w:rsidRPr="00526F57">
        <w:rPr>
          <w:i/>
          <w:iCs/>
        </w:rPr>
        <w:t>trucking companies</w:t>
      </w:r>
      <w:r w:rsidR="00796380" w:rsidRPr="00526F57">
        <w:t xml:space="preserve"> were subcontractors rather than material suppliers,</w:t>
      </w:r>
      <w:r w:rsidR="00346E83">
        <w:t xml:space="preserve"> </w:t>
      </w:r>
      <w:r w:rsidR="00474333" w:rsidRPr="00526F57">
        <w:t xml:space="preserve">its approach </w:t>
      </w:r>
      <w:r w:rsidR="00157201" w:rsidRPr="00526F57">
        <w:t xml:space="preserve">has served </w:t>
      </w:r>
      <w:r w:rsidR="00474333" w:rsidRPr="00526F57">
        <w:t xml:space="preserve">to influence </w:t>
      </w:r>
      <w:r w:rsidR="00157201" w:rsidRPr="00526F57">
        <w:t xml:space="preserve">California’s section 1772 jurisprudence.  </w:t>
      </w:r>
      <w:r w:rsidR="000F25EF" w:rsidRPr="00526F57">
        <w:t xml:space="preserve">That influence </w:t>
      </w:r>
      <w:r w:rsidR="00C0313C" w:rsidRPr="00526F57">
        <w:t xml:space="preserve">was </w:t>
      </w:r>
      <w:r w:rsidR="00B3562A" w:rsidRPr="00526F57">
        <w:t xml:space="preserve">due in part to </w:t>
      </w:r>
      <w:r w:rsidR="00B3562A" w:rsidRPr="00526F57">
        <w:rPr>
          <w:i/>
          <w:iCs/>
        </w:rPr>
        <w:t xml:space="preserve">Sansone’s </w:t>
      </w:r>
      <w:r w:rsidR="00B3562A" w:rsidRPr="00526F57">
        <w:t xml:space="preserve">citation to </w:t>
      </w:r>
      <w:r w:rsidR="00B3562A" w:rsidRPr="00526F57">
        <w:rPr>
          <w:i/>
          <w:iCs/>
        </w:rPr>
        <w:t>Green</w:t>
      </w:r>
      <w:r w:rsidR="00526F57">
        <w:rPr>
          <w:i/>
          <w:iCs/>
        </w:rPr>
        <w:t xml:space="preserve"> </w:t>
      </w:r>
      <w:r w:rsidR="00526F57">
        <w:t>and</w:t>
      </w:r>
      <w:r w:rsidR="00B3562A" w:rsidRPr="00526F57">
        <w:t xml:space="preserve"> </w:t>
      </w:r>
      <w:r w:rsidR="000F00D1" w:rsidRPr="00526F57">
        <w:t>its</w:t>
      </w:r>
      <w:r w:rsidR="00C0313C" w:rsidRPr="00526F57">
        <w:t xml:space="preserve"> embrace</w:t>
      </w:r>
      <w:r w:rsidR="00753C46" w:rsidRPr="00526F57">
        <w:t xml:space="preserve"> of</w:t>
      </w:r>
      <w:r w:rsidR="00C0313C" w:rsidRPr="00526F57">
        <w:t xml:space="preserve"> </w:t>
      </w:r>
      <w:r w:rsidR="00B3562A" w:rsidRPr="00526F57">
        <w:t xml:space="preserve">the notion that work integrated into the construction process is covered under the prevailing wage law.  (See </w:t>
      </w:r>
      <w:r w:rsidR="00B3562A" w:rsidRPr="00526F57">
        <w:rPr>
          <w:i/>
          <w:iCs/>
        </w:rPr>
        <w:t>Williams</w:t>
      </w:r>
      <w:r w:rsidR="00B3562A" w:rsidRPr="00526F57">
        <w:t xml:space="preserve">, </w:t>
      </w:r>
      <w:r w:rsidR="00B3562A" w:rsidRPr="00526F57">
        <w:rPr>
          <w:i/>
          <w:iCs/>
        </w:rPr>
        <w:t>supra</w:t>
      </w:r>
      <w:r w:rsidR="00B3562A" w:rsidRPr="00526F57">
        <w:t xml:space="preserve">, </w:t>
      </w:r>
      <w:r w:rsidR="00A76670" w:rsidRPr="00526F57">
        <w:t>156 Cal.App.4th at p</w:t>
      </w:r>
      <w:r w:rsidR="00E37E83" w:rsidRPr="00526F57">
        <w:t>p</w:t>
      </w:r>
      <w:r w:rsidR="00A76670" w:rsidRPr="00526F57">
        <w:t xml:space="preserve">. </w:t>
      </w:r>
      <w:r w:rsidR="00E37E83" w:rsidRPr="00526F57">
        <w:t>752–754</w:t>
      </w:r>
      <w:r w:rsidR="00B3562A" w:rsidRPr="00526F57">
        <w:t xml:space="preserve">; </w:t>
      </w:r>
      <w:r w:rsidR="00B3562A" w:rsidRPr="00526F57">
        <w:rPr>
          <w:i/>
          <w:iCs/>
        </w:rPr>
        <w:t>Sheet Metal</w:t>
      </w:r>
      <w:r w:rsidR="00B3562A" w:rsidRPr="00526F57">
        <w:t xml:space="preserve">, </w:t>
      </w:r>
      <w:r w:rsidR="00B3562A" w:rsidRPr="00526F57">
        <w:rPr>
          <w:i/>
          <w:iCs/>
        </w:rPr>
        <w:t>supra</w:t>
      </w:r>
      <w:r w:rsidR="00B3562A" w:rsidRPr="00526F57">
        <w:t xml:space="preserve">, </w:t>
      </w:r>
      <w:r w:rsidR="00A76670" w:rsidRPr="00526F57">
        <w:t>229 Cal.App.4th at p</w:t>
      </w:r>
      <w:r w:rsidR="00E37E83" w:rsidRPr="00526F57">
        <w:t>p</w:t>
      </w:r>
      <w:r w:rsidR="00A76670" w:rsidRPr="00526F57">
        <w:t>. </w:t>
      </w:r>
      <w:r w:rsidR="00E37E83" w:rsidRPr="00526F57">
        <w:t>205–206</w:t>
      </w:r>
      <w:r w:rsidR="00B3562A" w:rsidRPr="00526F57">
        <w:t>.)</w:t>
      </w:r>
    </w:p>
    <w:p w14:paraId="73BA96FD" w14:textId="607AEACA" w:rsidR="00A76670" w:rsidRDefault="00A76670" w:rsidP="007640FB">
      <w:pPr>
        <w:tabs>
          <w:tab w:val="left" w:pos="1440"/>
        </w:tabs>
        <w:ind w:firstLine="720"/>
      </w:pPr>
      <w:r>
        <w:t xml:space="preserve">The next California case to address section 1772 was </w:t>
      </w:r>
      <w:r>
        <w:rPr>
          <w:i/>
          <w:iCs/>
        </w:rPr>
        <w:t>Williams</w:t>
      </w:r>
      <w:r>
        <w:t xml:space="preserve">, </w:t>
      </w:r>
      <w:r>
        <w:rPr>
          <w:i/>
          <w:iCs/>
        </w:rPr>
        <w:t>supra</w:t>
      </w:r>
      <w:r>
        <w:t xml:space="preserve">, 156 Cal.App.4th 742, which like </w:t>
      </w:r>
      <w:r>
        <w:rPr>
          <w:i/>
          <w:iCs/>
        </w:rPr>
        <w:t xml:space="preserve">Sansone </w:t>
      </w:r>
      <w:r>
        <w:t xml:space="preserve">involved truckers hauling materials.  </w:t>
      </w:r>
      <w:r w:rsidR="004F359E" w:rsidRPr="007640FB">
        <w:t xml:space="preserve">In </w:t>
      </w:r>
      <w:r w:rsidR="004F359E" w:rsidRPr="007640FB">
        <w:rPr>
          <w:i/>
          <w:iCs/>
        </w:rPr>
        <w:t>Williams</w:t>
      </w:r>
      <w:r w:rsidR="004F359E" w:rsidRPr="007640FB">
        <w:t xml:space="preserve">, truckers </w:t>
      </w:r>
      <w:r w:rsidR="004F359E" w:rsidRPr="00526F57">
        <w:rPr>
          <w:i/>
          <w:iCs/>
        </w:rPr>
        <w:t>removed</w:t>
      </w:r>
      <w:r w:rsidR="004F359E" w:rsidRPr="007640FB">
        <w:t xml:space="preserve"> unused construction materials like excess rock and sand from construction sites.</w:t>
      </w:r>
      <w:r w:rsidR="002A4CF7" w:rsidRPr="007640FB">
        <w:t xml:space="preserve">  </w:t>
      </w:r>
      <w:r w:rsidR="00863368" w:rsidRPr="007640FB">
        <w:t>(</w:t>
      </w:r>
      <w:r w:rsidRPr="00A76670">
        <w:rPr>
          <w:i/>
          <w:iCs/>
        </w:rPr>
        <w:t>Williams</w:t>
      </w:r>
      <w:r>
        <w:t xml:space="preserve">, </w:t>
      </w:r>
      <w:r w:rsidR="00863368" w:rsidRPr="007640FB">
        <w:t>at p</w:t>
      </w:r>
      <w:r w:rsidR="00836509" w:rsidRPr="007640FB">
        <w:t>p</w:t>
      </w:r>
      <w:r w:rsidR="00863368" w:rsidRPr="007640FB">
        <w:t xml:space="preserve">. </w:t>
      </w:r>
      <w:r w:rsidR="00836509" w:rsidRPr="007640FB">
        <w:t>746</w:t>
      </w:r>
      <w:bdo w:val="ltr">
        <w:r w:rsidR="00836509" w:rsidRPr="007640FB">
          <w:t>–747</w:t>
        </w:r>
        <w:r w:rsidR="00863368" w:rsidRPr="007640FB">
          <w:t xml:space="preserve">.)  </w:t>
        </w:r>
        <w:r w:rsidR="00232DC5">
          <w:t xml:space="preserve">The </w:t>
        </w:r>
        <w:r w:rsidR="00232DC5">
          <w:rPr>
            <w:i/>
            <w:iCs/>
          </w:rPr>
          <w:t xml:space="preserve">Williams </w:t>
        </w:r>
        <w:r w:rsidR="00232DC5">
          <w:t>court</w:t>
        </w:r>
        <w:r w:rsidR="00526F57">
          <w:t xml:space="preserve"> characterized the legal question </w:t>
        </w:r>
        <w:r w:rsidR="00FA371B">
          <w:t xml:space="preserve">as whether the truckers removing the construction materials were employed </w:t>
        </w:r>
        <w:r w:rsidR="00FE4998">
          <w:t>“</w:t>
        </w:r>
        <w:r w:rsidR="00346E83">
          <w:t> </w:t>
        </w:r>
        <w:r w:rsidR="00FE4998">
          <w:t>‘in the execution’ ” of the contract under section 1772.  (</w:t>
        </w:r>
        <w:r w:rsidR="00FE4998">
          <w:rPr>
            <w:i/>
            <w:iCs/>
          </w:rPr>
          <w:t>Williams</w:t>
        </w:r>
        <w:r w:rsidR="00FE4998">
          <w:t xml:space="preserve">, at p. 749.)  </w:t>
        </w:r>
        <w:r w:rsidR="004F359E" w:rsidRPr="007640FB">
          <w:t>The court concluded th</w:t>
        </w:r>
        <w:r w:rsidR="00FE4998">
          <w:t>e</w:t>
        </w:r>
        <w:r w:rsidR="004F359E" w:rsidRPr="007640FB">
          <w:t xml:space="preserve"> truckers were not entitled to the prevailing wage </w:t>
        </w:r>
        <w:r w:rsidR="00FE4998">
          <w:t>under that statute.</w:t>
        </w:r>
        <w:r w:rsidR="00083547" w:rsidRPr="007640FB">
          <w:t xml:space="preserve"> </w:t>
        </w:r>
        <w:r w:rsidR="00FE4998">
          <w:t xml:space="preserve"> </w:t>
        </w:r>
        <w:r w:rsidR="002A4CF7" w:rsidRPr="007640FB">
          <w:t>(</w:t>
        </w:r>
        <w:r w:rsidR="00AE046F" w:rsidRPr="00AE046F">
          <w:rPr>
            <w:i/>
            <w:iCs/>
          </w:rPr>
          <w:t>Id</w:t>
        </w:r>
        <w:r w:rsidR="00AE046F">
          <w:t xml:space="preserve">. </w:t>
        </w:r>
        <w:r w:rsidR="002A4CF7" w:rsidRPr="007640FB">
          <w:t>at p. </w:t>
        </w:r>
        <w:r w:rsidR="00083547" w:rsidRPr="007640FB">
          <w:t>753</w:t>
        </w:r>
        <w:r w:rsidR="002A4CF7" w:rsidRPr="007640FB">
          <w:t xml:space="preserve">.)  </w:t>
        </w:r>
        <w:r w:rsidR="00FF637F">
          <w:t>‬</w:t>
        </w:r>
        <w:r w:rsidR="00E4451E">
          <w:t>‬</w:t>
        </w:r>
        <w:r w:rsidR="001E4EE2">
          <w:t>‬</w:t>
        </w:r>
        <w:r w:rsidR="00F73A8E">
          <w:t>‬</w:t>
        </w:r>
        <w:r w:rsidR="00B61843">
          <w:t>‬</w:t>
        </w:r>
        <w:r w:rsidR="00FF5766">
          <w:t>‬</w:t>
        </w:r>
        <w:r w:rsidR="003F2D09">
          <w:t>‬</w:t>
        </w:r>
        <w:r w:rsidR="00E10477">
          <w:t>‬</w:t>
        </w:r>
        <w:r w:rsidR="003711EA">
          <w:t>‬</w:t>
        </w:r>
        <w:r w:rsidR="002A701F">
          <w:t>‬</w:t>
        </w:r>
        <w:r w:rsidR="00682595">
          <w:t>‬</w:t>
        </w:r>
        <w:r w:rsidR="00651997">
          <w:t>‬</w:t>
        </w:r>
        <w:r w:rsidR="005730C1">
          <w:t>‬</w:t>
        </w:r>
        <w:r w:rsidR="00A015F7">
          <w:t>‬</w:t>
        </w:r>
        <w:r w:rsidR="001B6908">
          <w:t>‬</w:t>
        </w:r>
        <w:r w:rsidR="003675BC">
          <w:t>‬</w:t>
        </w:r>
        <w:r w:rsidR="000A5B84">
          <w:t>‬</w:t>
        </w:r>
        <w:r w:rsidR="00D658EC">
          <w:t>‬</w:t>
        </w:r>
        <w:r w:rsidR="006C77A0">
          <w:t>‬</w:t>
        </w:r>
        <w:r w:rsidR="00025B37">
          <w:t>‬</w:t>
        </w:r>
        <w:r w:rsidR="00025B37">
          <w:t>‬</w:t>
        </w:r>
        <w:r w:rsidR="00492248">
          <w:t>‬</w:t>
        </w:r>
        <w:r w:rsidR="007F2BA0">
          <w:t>‬</w:t>
        </w:r>
        <w:r w:rsidR="002D33FC">
          <w:t>‬</w:t>
        </w:r>
        <w:r w:rsidR="00FF65A5">
          <w:t>‬</w:t>
        </w:r>
        <w:r w:rsidR="00FF65A5">
          <w:t>‬</w:t>
        </w:r>
      </w:bdo>
    </w:p>
    <w:p w14:paraId="5F83E20E" w14:textId="295B13FC" w:rsidR="00FE4998" w:rsidRDefault="00E80187" w:rsidP="007640FB">
      <w:pPr>
        <w:tabs>
          <w:tab w:val="left" w:pos="1440"/>
        </w:tabs>
        <w:ind w:firstLine="720"/>
      </w:pPr>
      <w:r>
        <w:rPr>
          <w:i/>
          <w:iCs/>
        </w:rPr>
        <w:t xml:space="preserve">Williams </w:t>
      </w:r>
      <w:r>
        <w:t>began the analysis by focusing on the definition of “execution” within section 1772, concluding that the term “plainly means the carrying out and completion of all provisions of the contract.”  (</w:t>
      </w:r>
      <w:r>
        <w:rPr>
          <w:i/>
          <w:iCs/>
        </w:rPr>
        <w:t>Williams</w:t>
      </w:r>
      <w:r>
        <w:t xml:space="preserve">, </w:t>
      </w:r>
      <w:r>
        <w:rPr>
          <w:i/>
          <w:iCs/>
        </w:rPr>
        <w:t>supra</w:t>
      </w:r>
      <w:r>
        <w:t>, 156 Cal.App.4th at p. 750.)  Then, w</w:t>
      </w:r>
      <w:r w:rsidR="00723D79">
        <w:t xml:space="preserve">hile </w:t>
      </w:r>
      <w:r>
        <w:t>acknowledging t</w:t>
      </w:r>
      <w:r w:rsidR="00723D79">
        <w:t xml:space="preserve">hat </w:t>
      </w:r>
      <w:r w:rsidR="00723D79">
        <w:rPr>
          <w:i/>
          <w:iCs/>
        </w:rPr>
        <w:t>Sansone</w:t>
      </w:r>
      <w:r w:rsidR="00723D79">
        <w:t xml:space="preserve"> </w:t>
      </w:r>
      <w:r>
        <w:t xml:space="preserve">concerned who is or is not a subcontractor under the prevailing wage law, </w:t>
      </w:r>
      <w:r>
        <w:rPr>
          <w:i/>
          <w:iCs/>
        </w:rPr>
        <w:t xml:space="preserve">Williams </w:t>
      </w:r>
      <w:r>
        <w:t>turned to that case to “inform</w:t>
      </w:r>
      <w:r w:rsidR="00651997">
        <w:t>[]</w:t>
      </w:r>
      <w:r>
        <w:t xml:space="preserve"> [the] assessment of the intended reach” </w:t>
      </w:r>
      <w:r w:rsidR="00804519">
        <w:t xml:space="preserve">of the law </w:t>
      </w:r>
      <w:r>
        <w:t>to workers employed “</w:t>
      </w:r>
      <w:r w:rsidR="00F21E91">
        <w:t> </w:t>
      </w:r>
      <w:r>
        <w:t xml:space="preserve">‘in the execution’ ” of a </w:t>
      </w:r>
      <w:r>
        <w:lastRenderedPageBreak/>
        <w:t xml:space="preserve">public works contract.  </w:t>
      </w:r>
      <w:r w:rsidR="00804519">
        <w:t>(</w:t>
      </w:r>
      <w:r w:rsidR="00AE046F">
        <w:rPr>
          <w:i/>
          <w:iCs/>
        </w:rPr>
        <w:t>I</w:t>
      </w:r>
      <w:r w:rsidR="00740081">
        <w:rPr>
          <w:i/>
          <w:iCs/>
        </w:rPr>
        <w:t>bi</w:t>
      </w:r>
      <w:r w:rsidR="00AE046F">
        <w:rPr>
          <w:i/>
          <w:iCs/>
        </w:rPr>
        <w:t>d</w:t>
      </w:r>
      <w:r w:rsidR="00AE046F" w:rsidRPr="00740081">
        <w:t>.</w:t>
      </w:r>
      <w:r w:rsidR="00804519">
        <w:t>)</w:t>
      </w:r>
      <w:r w:rsidR="00346E83">
        <w:t xml:space="preserve"> </w:t>
      </w:r>
      <w:r w:rsidR="00804519">
        <w:t xml:space="preserve"> </w:t>
      </w:r>
      <w:r w:rsidR="00526F57">
        <w:t xml:space="preserve">Relying on </w:t>
      </w:r>
      <w:r w:rsidR="00526F57" w:rsidRPr="00526F57">
        <w:rPr>
          <w:i/>
          <w:iCs/>
        </w:rPr>
        <w:t>S</w:t>
      </w:r>
      <w:r w:rsidR="00804519" w:rsidRPr="00526F57">
        <w:rPr>
          <w:i/>
          <w:iCs/>
        </w:rPr>
        <w:t>ansone</w:t>
      </w:r>
      <w:r w:rsidR="000A4CBF" w:rsidRPr="00526F57">
        <w:rPr>
          <w:i/>
          <w:iCs/>
        </w:rPr>
        <w:t xml:space="preserve"> </w:t>
      </w:r>
      <w:r w:rsidR="00526F57">
        <w:t>and</w:t>
      </w:r>
      <w:r w:rsidR="000A4CBF" w:rsidRPr="00526F57">
        <w:rPr>
          <w:i/>
          <w:iCs/>
        </w:rPr>
        <w:t xml:space="preserve"> Green</w:t>
      </w:r>
      <w:r w:rsidR="00804519">
        <w:t>,</w:t>
      </w:r>
      <w:r w:rsidR="00F302A8">
        <w:t xml:space="preserve"> </w:t>
      </w:r>
      <w:r w:rsidR="00804519">
        <w:rPr>
          <w:i/>
          <w:iCs/>
        </w:rPr>
        <w:t xml:space="preserve">Williams </w:t>
      </w:r>
      <w:r w:rsidR="00804519">
        <w:t>emphasized a task’s functional relationship to the process of construction and whether a task was “ ‘an integrated aspect of the “flow” process of construction.’ ”  (</w:t>
      </w:r>
      <w:r w:rsidR="00740081" w:rsidRPr="00740081">
        <w:rPr>
          <w:i/>
          <w:iCs/>
        </w:rPr>
        <w:t>Id</w:t>
      </w:r>
      <w:r w:rsidR="00740081">
        <w:t xml:space="preserve">. </w:t>
      </w:r>
      <w:r w:rsidR="00804519">
        <w:t xml:space="preserve">at p. 751, citing </w:t>
      </w:r>
      <w:r w:rsidR="00804519">
        <w:rPr>
          <w:i/>
          <w:iCs/>
        </w:rPr>
        <w:t>Green</w:t>
      </w:r>
      <w:r w:rsidR="00804519">
        <w:t xml:space="preserve">, </w:t>
      </w:r>
      <w:r w:rsidR="00804519">
        <w:rPr>
          <w:i/>
          <w:iCs/>
        </w:rPr>
        <w:t>supra</w:t>
      </w:r>
      <w:r w:rsidR="00804519">
        <w:t xml:space="preserve">, 128 N.W.2d at p. 563.)  In assessing coverage, </w:t>
      </w:r>
      <w:r w:rsidR="00804519">
        <w:rPr>
          <w:i/>
          <w:iCs/>
        </w:rPr>
        <w:t xml:space="preserve">Williams </w:t>
      </w:r>
      <w:r w:rsidR="00804519">
        <w:t>considered whether a task was required to carry out a term of the public works contract, whether the work was performed at the project site or a site “integrally connected” to the project site, and whether work performed off the actual construction site was necessary to fulfill the contract.  (</w:t>
      </w:r>
      <w:r w:rsidR="00804519">
        <w:rPr>
          <w:i/>
          <w:iCs/>
        </w:rPr>
        <w:t>Williams</w:t>
      </w:r>
      <w:r w:rsidR="00804519">
        <w:t>, at p. 752.)</w:t>
      </w:r>
    </w:p>
    <w:p w14:paraId="09DE3F02" w14:textId="0ACCD618" w:rsidR="004F359E" w:rsidRPr="00526F57" w:rsidRDefault="00526F57" w:rsidP="00526F57">
      <w:pPr>
        <w:tabs>
          <w:tab w:val="left" w:pos="1440"/>
        </w:tabs>
        <w:ind w:firstLine="720"/>
      </w:pPr>
      <w:r w:rsidRPr="00526F57">
        <w:t xml:space="preserve">There was no evidence of a functional relationship between the actual construction and the subsequent removal of unused materials.  Accordingly, </w:t>
      </w:r>
      <w:r w:rsidRPr="00526F57">
        <w:rPr>
          <w:i/>
          <w:iCs/>
        </w:rPr>
        <w:t>W</w:t>
      </w:r>
      <w:r w:rsidR="005932DB" w:rsidRPr="00526F57">
        <w:rPr>
          <w:i/>
          <w:iCs/>
        </w:rPr>
        <w:t xml:space="preserve">illiams </w:t>
      </w:r>
      <w:r w:rsidR="004F359E" w:rsidRPr="00526F57">
        <w:t xml:space="preserve">held </w:t>
      </w:r>
      <w:r w:rsidR="001D4BA9" w:rsidRPr="00526F57">
        <w:t xml:space="preserve">the removal work was </w:t>
      </w:r>
      <w:r w:rsidR="004F359E" w:rsidRPr="00526F57">
        <w:t>“unrelated to the performance of the prime public works contract</w:t>
      </w:r>
      <w:r>
        <w:t xml:space="preserve"> </w:t>
      </w:r>
      <w:r w:rsidR="00FF3DE2" w:rsidRPr="00526F57">
        <w:t>.</w:t>
      </w:r>
      <w:r>
        <w:t> . . .</w:t>
      </w:r>
      <w:r w:rsidR="004F359E" w:rsidRPr="00526F57">
        <w:t>”</w:t>
      </w:r>
      <w:r w:rsidRPr="00526F57">
        <w:t xml:space="preserve">  (</w:t>
      </w:r>
      <w:r w:rsidRPr="00526F57">
        <w:rPr>
          <w:i/>
          <w:iCs/>
        </w:rPr>
        <w:t>Williams</w:t>
      </w:r>
      <w:r w:rsidRPr="00526F57">
        <w:t>,</w:t>
      </w:r>
      <w:r w:rsidRPr="00526F57">
        <w:rPr>
          <w:i/>
          <w:iCs/>
        </w:rPr>
        <w:t xml:space="preserve"> supra</w:t>
      </w:r>
      <w:r w:rsidRPr="00526F57">
        <w:t>, 156 Cal.App.4th at p. 753.)</w:t>
      </w:r>
      <w:r w:rsidRPr="00526F57">
        <w:rPr>
          <w:rFonts w:ascii="Times New Roman" w:hAnsi="Times New Roman"/>
        </w:rPr>
        <w:t>‬</w:t>
      </w:r>
      <w:r w:rsidRPr="00526F57">
        <w:rPr>
          <w:rFonts w:ascii="Times New Roman" w:hAnsi="Times New Roman"/>
        </w:rPr>
        <w:t>‬</w:t>
      </w:r>
      <w:r w:rsidRPr="00526F57">
        <w:rPr>
          <w:rFonts w:ascii="Times New Roman" w:hAnsi="Times New Roman"/>
        </w:rPr>
        <w:t>‬</w:t>
      </w:r>
      <w:r w:rsidRPr="00526F57">
        <w:rPr>
          <w:rFonts w:ascii="Times New Roman" w:hAnsi="Times New Roman"/>
        </w:rPr>
        <w:t>‬</w:t>
      </w:r>
      <w:r w:rsidRPr="00526F57">
        <w:rPr>
          <w:rFonts w:ascii="Times New Roman" w:hAnsi="Times New Roman"/>
        </w:rPr>
        <w:t>‬</w:t>
      </w:r>
      <w:r w:rsidRPr="00526F57">
        <w:rPr>
          <w:rFonts w:ascii="Times New Roman" w:hAnsi="Times New Roman"/>
        </w:rPr>
        <w:t>‬</w:t>
      </w:r>
      <w:r w:rsidRPr="00526F57">
        <w:rPr>
          <w:rFonts w:ascii="Times New Roman" w:hAnsi="Times New Roman"/>
        </w:rPr>
        <w:t>‬</w:t>
      </w:r>
      <w:r w:rsidRPr="00526F57">
        <w:rPr>
          <w:rFonts w:ascii="Times New Roman" w:hAnsi="Times New Roman"/>
        </w:rPr>
        <w:t>‬</w:t>
      </w:r>
      <w:r w:rsidRPr="00526F57">
        <w:rPr>
          <w:rFonts w:ascii="Times New Roman" w:hAnsi="Times New Roman"/>
        </w:rPr>
        <w:t>‬</w:t>
      </w:r>
      <w:r w:rsidRPr="00526F57">
        <w:rPr>
          <w:rFonts w:ascii="Times New Roman" w:hAnsi="Times New Roman"/>
        </w:rPr>
        <w:t>‬</w:t>
      </w:r>
      <w:r w:rsidRPr="00526F57">
        <w:rPr>
          <w:rFonts w:ascii="Times New Roman" w:hAnsi="Times New Roman"/>
        </w:rPr>
        <w:t>‬</w:t>
      </w:r>
      <w:r w:rsidRPr="00526F57">
        <w:rPr>
          <w:rFonts w:ascii="Times New Roman" w:hAnsi="Times New Roman"/>
        </w:rPr>
        <w:t>‬</w:t>
      </w:r>
      <w:r w:rsidRPr="00526F57">
        <w:rPr>
          <w:rFonts w:ascii="Times New Roman" w:hAnsi="Times New Roman"/>
        </w:rPr>
        <w:t>‬</w:t>
      </w:r>
      <w:r w:rsidRPr="00526F57">
        <w:rPr>
          <w:rFonts w:ascii="Times New Roman" w:hAnsi="Times New Roman"/>
        </w:rPr>
        <w:t>‬</w:t>
      </w:r>
      <w:r w:rsidRPr="00526F57">
        <w:rPr>
          <w:rFonts w:ascii="Times New Roman" w:hAnsi="Times New Roman"/>
        </w:rPr>
        <w:t>‬</w:t>
      </w:r>
      <w:r w:rsidRPr="00526F57">
        <w:rPr>
          <w:rFonts w:ascii="Times New Roman" w:hAnsi="Times New Roman"/>
        </w:rPr>
        <w:t>‬</w:t>
      </w:r>
      <w:r w:rsidRPr="00526F57">
        <w:rPr>
          <w:rFonts w:ascii="Times New Roman" w:hAnsi="Times New Roman"/>
        </w:rPr>
        <w:t>‬</w:t>
      </w:r>
      <w:r w:rsidRPr="00526F57">
        <w:rPr>
          <w:rFonts w:ascii="Times New Roman" w:hAnsi="Times New Roman"/>
        </w:rPr>
        <w:t>‬</w:t>
      </w:r>
      <w:r w:rsidRPr="00526F57">
        <w:rPr>
          <w:rFonts w:ascii="Times New Roman" w:hAnsi="Times New Roman"/>
        </w:rPr>
        <w:t>‬</w:t>
      </w:r>
      <w:r>
        <w:rPr>
          <w:rFonts w:ascii="Times New Roman" w:hAnsi="Times New Roman"/>
        </w:rPr>
        <w:t xml:space="preserve">  </w:t>
      </w:r>
      <w:r w:rsidR="00BF14A9" w:rsidRPr="00526F57">
        <w:t xml:space="preserve">It </w:t>
      </w:r>
      <w:r w:rsidR="004F359E" w:rsidRPr="00526F57">
        <w:t>was “no more an integral part of the process of the public works project than the delivery of generic materials to the public works site by a bona fide material supplier.”</w:t>
      </w:r>
      <w:r>
        <w:t xml:space="preserve">  (</w:t>
      </w:r>
      <w:r w:rsidRPr="00526F57">
        <w:rPr>
          <w:i/>
          <w:iCs/>
        </w:rPr>
        <w:t>Ibid</w:t>
      </w:r>
      <w:r>
        <w:t xml:space="preserve">.)  </w:t>
      </w:r>
      <w:r w:rsidR="00CB778B" w:rsidRPr="00526F57">
        <w:t xml:space="preserve">According to the </w:t>
      </w:r>
      <w:r w:rsidR="00CB778B" w:rsidRPr="00526F57">
        <w:rPr>
          <w:i/>
          <w:iCs/>
        </w:rPr>
        <w:t>Williams</w:t>
      </w:r>
      <w:r w:rsidR="00CB778B" w:rsidRPr="00526F57">
        <w:t xml:space="preserve"> court, </w:t>
      </w:r>
      <w:r w:rsidR="00FC2027" w:rsidRPr="00526F57">
        <w:t xml:space="preserve">“there was no evidence from which a determination could be made that the off-hauling was ‘an integrated aspect of the </w:t>
      </w:r>
      <w:r w:rsidR="00651997">
        <w:t>“</w:t>
      </w:r>
      <w:r w:rsidR="00FC2027" w:rsidRPr="00526F57">
        <w:t>flow</w:t>
      </w:r>
      <w:r w:rsidR="00651997">
        <w:t xml:space="preserve">” </w:t>
      </w:r>
      <w:r w:rsidR="00FC2027" w:rsidRPr="00526F57">
        <w:t>process’ [cit</w:t>
      </w:r>
      <w:r w:rsidR="000D2248" w:rsidRPr="00526F57">
        <w:t>ation</w:t>
      </w:r>
      <w:r w:rsidR="00FC2027" w:rsidRPr="00526F57">
        <w:t>] of the project.”</w:t>
      </w:r>
      <w:r w:rsidR="00CE47AC" w:rsidRPr="00526F57">
        <w:rPr>
          <w:rStyle w:val="FootnoteReference"/>
        </w:rPr>
        <w:footnoteReference w:id="18"/>
      </w:r>
      <w:r w:rsidR="00FC2027" w:rsidRPr="00526F57">
        <w:t xml:space="preserve">  (</w:t>
      </w:r>
      <w:r w:rsidR="008A3273">
        <w:rPr>
          <w:i/>
          <w:iCs/>
        </w:rPr>
        <w:t>Williams</w:t>
      </w:r>
      <w:r w:rsidR="008A3273">
        <w:t>,</w:t>
      </w:r>
      <w:r w:rsidR="00740081">
        <w:t xml:space="preserve"> </w:t>
      </w:r>
      <w:r w:rsidR="00FC2027" w:rsidRPr="00526F57">
        <w:t>at p.</w:t>
      </w:r>
      <w:r w:rsidR="0069632E">
        <w:t xml:space="preserve"> 754</w:t>
      </w:r>
      <w:r w:rsidR="00FC2027" w:rsidRPr="00526F57">
        <w:t>.)</w:t>
      </w:r>
    </w:p>
    <w:p w14:paraId="2627701E" w14:textId="75B15B92" w:rsidR="0090288A" w:rsidRDefault="007B4D03" w:rsidP="0090288A">
      <w:pPr>
        <w:tabs>
          <w:tab w:val="left" w:pos="1440"/>
        </w:tabs>
        <w:ind w:firstLine="720"/>
      </w:pPr>
      <w:r>
        <w:lastRenderedPageBreak/>
        <w:t xml:space="preserve">The only other California case to consider the meaning of section 1772 is </w:t>
      </w:r>
      <w:r>
        <w:rPr>
          <w:i/>
          <w:iCs/>
        </w:rPr>
        <w:t>Sheet Metal</w:t>
      </w:r>
      <w:r>
        <w:t>, 229 Cal.App.4th 192</w:t>
      </w:r>
      <w:r w:rsidR="007366AF">
        <w:t>, which concerned coverage for offsite fabrication</w:t>
      </w:r>
      <w:r>
        <w:t xml:space="preserve">.  </w:t>
      </w:r>
      <w:r w:rsidR="007366AF">
        <w:t xml:space="preserve">In </w:t>
      </w:r>
      <w:r w:rsidR="007366AF">
        <w:rPr>
          <w:i/>
          <w:iCs/>
        </w:rPr>
        <w:t>Sheet Metal,</w:t>
      </w:r>
      <w:r w:rsidR="007366AF">
        <w:t xml:space="preserve"> </w:t>
      </w:r>
      <w:r w:rsidR="00C73EF6" w:rsidRPr="007640FB">
        <w:t>a community college entered into a public works contract to upgrade its facilities, including the update of a heating and cooling system.  A firm that</w:t>
      </w:r>
      <w:r w:rsidR="00F50172" w:rsidRPr="007640FB">
        <w:t xml:space="preserve"> made a variety of ductwork</w:t>
      </w:r>
      <w:r w:rsidR="00C73EF6" w:rsidRPr="007640FB">
        <w:t xml:space="preserve"> and other sheet metal components at its permanent offsite facility subcontracted to make</w:t>
      </w:r>
      <w:r w:rsidR="00F50172" w:rsidRPr="007640FB">
        <w:t>, and then install,</w:t>
      </w:r>
      <w:r w:rsidR="00C73EF6" w:rsidRPr="007640FB">
        <w:t xml:space="preserve"> </w:t>
      </w:r>
      <w:r w:rsidR="00F50172" w:rsidRPr="007640FB">
        <w:t>its</w:t>
      </w:r>
      <w:r w:rsidR="00C73EF6" w:rsidRPr="007640FB">
        <w:t xml:space="preserve"> components into</w:t>
      </w:r>
      <w:r w:rsidR="00F50172" w:rsidRPr="007640FB">
        <w:t xml:space="preserve"> the college</w:t>
      </w:r>
      <w:r w:rsidR="00C73EF6" w:rsidRPr="007640FB">
        <w:t xml:space="preserve"> system.  </w:t>
      </w:r>
      <w:r w:rsidR="00010CDE" w:rsidRPr="007640FB">
        <w:t>(</w:t>
      </w:r>
      <w:r w:rsidR="00010CDE" w:rsidRPr="007640FB">
        <w:rPr>
          <w:i/>
          <w:iCs/>
        </w:rPr>
        <w:t>I</w:t>
      </w:r>
      <w:r w:rsidR="0090288A">
        <w:rPr>
          <w:i/>
          <w:iCs/>
        </w:rPr>
        <w:t>d</w:t>
      </w:r>
      <w:r w:rsidR="0090288A">
        <w:t>. at p. 196</w:t>
      </w:r>
      <w:r w:rsidR="00754526" w:rsidRPr="007640FB">
        <w:t>.</w:t>
      </w:r>
      <w:r w:rsidR="00010CDE" w:rsidRPr="007640FB">
        <w:t xml:space="preserve">)  </w:t>
      </w:r>
      <w:r w:rsidR="00933588">
        <w:t>The issue was whether</w:t>
      </w:r>
      <w:r w:rsidR="0069632E">
        <w:t xml:space="preserve"> the firm’s workers who made the ductwork offsite </w:t>
      </w:r>
      <w:r w:rsidR="00933588">
        <w:t xml:space="preserve">were entitled to the prevailing wage.  </w:t>
      </w:r>
      <w:r w:rsidR="00D65069">
        <w:t xml:space="preserve">The court concluded there was no </w:t>
      </w:r>
      <w:r w:rsidR="0069632E">
        <w:t>such entitlement.  It reasoned</w:t>
      </w:r>
      <w:r w:rsidR="000B0DCC">
        <w:rPr>
          <w:color w:val="00B050"/>
        </w:rPr>
        <w:t xml:space="preserve"> </w:t>
      </w:r>
      <w:r w:rsidR="0090288A">
        <w:t>“the work was not done ‘in the execution’ of the contract within the meaning of section 1772.”  (</w:t>
      </w:r>
      <w:r w:rsidR="00740081" w:rsidRPr="00740081">
        <w:rPr>
          <w:i/>
          <w:iCs/>
        </w:rPr>
        <w:t>Id</w:t>
      </w:r>
      <w:r w:rsidR="00740081">
        <w:t xml:space="preserve">. </w:t>
      </w:r>
      <w:r w:rsidR="0090288A">
        <w:t xml:space="preserve">at p. 214.)  </w:t>
      </w:r>
      <w:r w:rsidR="0069632E">
        <w:t xml:space="preserve">It </w:t>
      </w:r>
      <w:r w:rsidR="00A64615">
        <w:t xml:space="preserve">observed that </w:t>
      </w:r>
      <w:r w:rsidR="0090288A">
        <w:t>the offsite facility’s location and existence were wholly unrelated to the particular public works project.  (</w:t>
      </w:r>
      <w:r w:rsidR="0090288A">
        <w:rPr>
          <w:i/>
          <w:iCs/>
        </w:rPr>
        <w:t>Ibid.</w:t>
      </w:r>
      <w:r w:rsidR="0090288A">
        <w:t>)</w:t>
      </w:r>
    </w:p>
    <w:p w14:paraId="3359E1D9" w14:textId="4CF1297F" w:rsidR="00C03E51" w:rsidRPr="00874BD8" w:rsidRDefault="0090288A" w:rsidP="007640FB">
      <w:pPr>
        <w:tabs>
          <w:tab w:val="left" w:pos="1440"/>
        </w:tabs>
        <w:ind w:firstLine="720"/>
      </w:pPr>
      <w:r>
        <w:rPr>
          <w:i/>
          <w:iCs/>
        </w:rPr>
        <w:t>Sheet Metal</w:t>
      </w:r>
      <w:r w:rsidR="008C4326">
        <w:t xml:space="preserve"> built upon </w:t>
      </w:r>
      <w:r w:rsidR="00A0558E">
        <w:t xml:space="preserve">the foundation </w:t>
      </w:r>
      <w:r w:rsidR="0069632E">
        <w:t xml:space="preserve">deduced from </w:t>
      </w:r>
      <w:r w:rsidR="00A0558E">
        <w:rPr>
          <w:i/>
          <w:iCs/>
        </w:rPr>
        <w:t>Sansone</w:t>
      </w:r>
      <w:r w:rsidR="00A0558E">
        <w:t xml:space="preserve"> and </w:t>
      </w:r>
      <w:r w:rsidR="00A0558E">
        <w:rPr>
          <w:i/>
          <w:iCs/>
        </w:rPr>
        <w:t>Williams</w:t>
      </w:r>
      <w:r w:rsidR="00A0558E">
        <w:t xml:space="preserve">, </w:t>
      </w:r>
      <w:r w:rsidR="0069632E">
        <w:t xml:space="preserve">which emphasized </w:t>
      </w:r>
      <w:r w:rsidR="00A0558E">
        <w:t>that the critical factor in assessing coverage under section 1772 is “whether it is integrated into the flow process of construction.”  (</w:t>
      </w:r>
      <w:r w:rsidR="00A0558E">
        <w:rPr>
          <w:i/>
          <w:iCs/>
        </w:rPr>
        <w:t>Sheet Metal</w:t>
      </w:r>
      <w:r w:rsidR="00A0558E">
        <w:t xml:space="preserve">, </w:t>
      </w:r>
      <w:r w:rsidR="00A0558E">
        <w:rPr>
          <w:i/>
          <w:iCs/>
        </w:rPr>
        <w:t>supra</w:t>
      </w:r>
      <w:r w:rsidR="00A0558E">
        <w:t xml:space="preserve">, 229 Cal.App.4th at p. 206.)  </w:t>
      </w:r>
      <w:r w:rsidR="00874BD8">
        <w:t>The decision also relied to a significant extent on a federal regulation defining the “site of the work” for purposes of the Davis-Bacon Act to exclude “ ‘permanent . . . fabrication plants .</w:t>
      </w:r>
      <w:r w:rsidR="00651997">
        <w:t> </w:t>
      </w:r>
      <w:r w:rsidR="00874BD8">
        <w:t>. . of a contractor or subcontractor whose location and continuance in operation are determined wholly without regard to a particular Federal or federally assisted contract or project.’ ”  (</w:t>
      </w:r>
      <w:r w:rsidR="00740081">
        <w:rPr>
          <w:i/>
          <w:iCs/>
        </w:rPr>
        <w:t>Sheet</w:t>
      </w:r>
      <w:r w:rsidR="00740081" w:rsidRPr="00740081">
        <w:rPr>
          <w:i/>
          <w:iCs/>
        </w:rPr>
        <w:t xml:space="preserve"> Metal</w:t>
      </w:r>
      <w:r w:rsidR="00740081">
        <w:t>,</w:t>
      </w:r>
      <w:r w:rsidR="00874BD8">
        <w:t xml:space="preserve"> at p. 210, citing </w:t>
      </w:r>
      <w:bookmarkStart w:id="6" w:name="_Hlk77065636"/>
      <w:r w:rsidR="00874BD8">
        <w:t>29 C.F.R. § 5.2(</w:t>
      </w:r>
      <w:r w:rsidR="00874BD8">
        <w:rPr>
          <w:i/>
          <w:iCs/>
        </w:rPr>
        <w:t>l</w:t>
      </w:r>
      <w:r w:rsidR="00874BD8">
        <w:t>)(3) (2014)</w:t>
      </w:r>
      <w:bookmarkEnd w:id="6"/>
      <w:r w:rsidR="00874BD8">
        <w:t xml:space="preserve">.)  </w:t>
      </w:r>
    </w:p>
    <w:p w14:paraId="6A60CB6C" w14:textId="0827C75F" w:rsidR="00D367FE" w:rsidRPr="00100FD1" w:rsidRDefault="008A688A" w:rsidP="007640FB">
      <w:pPr>
        <w:tabs>
          <w:tab w:val="left" w:pos="1440"/>
        </w:tabs>
        <w:ind w:firstLine="720"/>
      </w:pPr>
      <w:r w:rsidRPr="007640FB">
        <w:t xml:space="preserve">These </w:t>
      </w:r>
      <w:r w:rsidR="00D93BDE" w:rsidRPr="007640FB">
        <w:t xml:space="preserve">three cases are the only published </w:t>
      </w:r>
      <w:r w:rsidR="00464A0A" w:rsidRPr="007640FB">
        <w:t xml:space="preserve">California </w:t>
      </w:r>
      <w:r w:rsidR="00D93BDE" w:rsidRPr="007640FB">
        <w:t>opinions that have</w:t>
      </w:r>
      <w:r w:rsidR="007D4106">
        <w:t xml:space="preserve"> purported to interpret</w:t>
      </w:r>
      <w:r w:rsidR="00D93BDE" w:rsidRPr="007640FB">
        <w:t xml:space="preserve"> section 1772 since its enactment.  </w:t>
      </w:r>
      <w:r w:rsidR="00A736AB">
        <w:t xml:space="preserve">Plaintiffs urge </w:t>
      </w:r>
      <w:r w:rsidR="00DF3062">
        <w:t xml:space="preserve">they should </w:t>
      </w:r>
      <w:r w:rsidR="00EC16EC">
        <w:t xml:space="preserve">be disregarded </w:t>
      </w:r>
      <w:r w:rsidR="00DF3062">
        <w:t xml:space="preserve">because </w:t>
      </w:r>
      <w:r w:rsidR="00EC16EC">
        <w:lastRenderedPageBreak/>
        <w:t>they apply a standard derived from the federal Davis-Bacon Act’s limitation on coverage to persons “employed directly on the site of the work.”</w:t>
      </w:r>
      <w:r w:rsidR="007F5E9F">
        <w:rPr>
          <w:rStyle w:val="FootnoteReference"/>
        </w:rPr>
        <w:footnoteReference w:id="19"/>
      </w:r>
      <w:r w:rsidR="00EC16EC">
        <w:t xml:space="preserve">  (</w:t>
      </w:r>
      <w:bookmarkStart w:id="8" w:name="_Hlk77065651"/>
      <w:r w:rsidR="00EC16EC">
        <w:t xml:space="preserve">40 U.S.C. § 3142(c)(1).)  </w:t>
      </w:r>
      <w:bookmarkEnd w:id="8"/>
      <w:r w:rsidR="007F5E9F">
        <w:t>According to plaintiffs, California’s prevailing wage law includes no such geographical limitation on coverage.</w:t>
      </w:r>
      <w:r w:rsidR="00603208">
        <w:t xml:space="preserve">  </w:t>
      </w:r>
      <w:r w:rsidR="00E92462">
        <w:t xml:space="preserve">They argue </w:t>
      </w:r>
      <w:r w:rsidR="00D367FE">
        <w:t xml:space="preserve">that even if there was a valid reason for applying </w:t>
      </w:r>
      <w:r w:rsidR="00155C91">
        <w:t xml:space="preserve">principles derived from federal law to hauling and offsite fabrication, </w:t>
      </w:r>
      <w:r w:rsidR="00B054C4">
        <w:t xml:space="preserve">those principles should not be used more generally to </w:t>
      </w:r>
      <w:r w:rsidR="003A1A52">
        <w:t>define the scope of section</w:t>
      </w:r>
      <w:r w:rsidR="002E59EA">
        <w:t xml:space="preserve"> 1772</w:t>
      </w:r>
      <w:r w:rsidR="003A1A52">
        <w:t>.</w:t>
      </w:r>
      <w:r w:rsidR="00657BE3">
        <w:t xml:space="preserve"> </w:t>
      </w:r>
    </w:p>
    <w:p w14:paraId="3E143765" w14:textId="7B137D0B" w:rsidR="009304B9" w:rsidRDefault="003A1A52" w:rsidP="00072AFA">
      <w:pPr>
        <w:tabs>
          <w:tab w:val="left" w:pos="1440"/>
        </w:tabs>
        <w:ind w:firstLine="720"/>
      </w:pPr>
      <w:r>
        <w:t xml:space="preserve">It is unnecessary </w:t>
      </w:r>
      <w:r w:rsidR="007365B3">
        <w:t xml:space="preserve">to </w:t>
      </w:r>
      <w:r w:rsidR="003E5491">
        <w:t xml:space="preserve">consider the geographical scope of the prevailing wage law </w:t>
      </w:r>
      <w:r w:rsidR="00DD6F41">
        <w:t>to assess</w:t>
      </w:r>
      <w:r w:rsidR="003E5491">
        <w:t xml:space="preserve"> the validity of the approach </w:t>
      </w:r>
      <w:r w:rsidR="001B6651">
        <w:t xml:space="preserve">taken in </w:t>
      </w:r>
      <w:r w:rsidR="001B6651">
        <w:rPr>
          <w:i/>
          <w:iCs/>
        </w:rPr>
        <w:t>Sansone</w:t>
      </w:r>
      <w:r w:rsidR="001B6651">
        <w:t xml:space="preserve">, </w:t>
      </w:r>
      <w:r w:rsidR="001B6651">
        <w:rPr>
          <w:i/>
          <w:iCs/>
        </w:rPr>
        <w:t>Williams</w:t>
      </w:r>
      <w:r w:rsidR="001B6651">
        <w:t xml:space="preserve">, and </w:t>
      </w:r>
      <w:r w:rsidR="001B6651">
        <w:rPr>
          <w:i/>
          <w:iCs/>
        </w:rPr>
        <w:t>Sheet Metal</w:t>
      </w:r>
      <w:r w:rsidR="001B6651">
        <w:t>.</w:t>
      </w:r>
      <w:r w:rsidR="001B6651">
        <w:rPr>
          <w:rStyle w:val="FootnoteReference"/>
        </w:rPr>
        <w:footnoteReference w:id="20"/>
      </w:r>
      <w:r w:rsidR="001B6651">
        <w:t xml:space="preserve">  </w:t>
      </w:r>
      <w:r w:rsidR="00DD6F41">
        <w:t xml:space="preserve">Those cases primarily involved whether a company </w:t>
      </w:r>
      <w:r w:rsidR="00DA0AB9" w:rsidRPr="00657BE3">
        <w:rPr>
          <w:i/>
          <w:iCs/>
        </w:rPr>
        <w:t>is a subcontractor</w:t>
      </w:r>
      <w:r w:rsidR="00DA0AB9" w:rsidRPr="00657BE3">
        <w:t xml:space="preserve"> within </w:t>
      </w:r>
      <w:r w:rsidR="00DA0AB9">
        <w:t xml:space="preserve">the meaning of the prevailing wage law.  </w:t>
      </w:r>
      <w:r w:rsidR="00F728D5">
        <w:t xml:space="preserve">While </w:t>
      </w:r>
      <w:r w:rsidR="00DD6F41">
        <w:t xml:space="preserve">the factors they employed </w:t>
      </w:r>
      <w:r w:rsidR="00072AFA">
        <w:t xml:space="preserve">may be valid </w:t>
      </w:r>
      <w:r w:rsidR="00DD6F41">
        <w:t xml:space="preserve">to resolve that narrow question, they are not necessarily useful to resolve </w:t>
      </w:r>
      <w:r w:rsidR="00C70318">
        <w:t xml:space="preserve">whether an activity is performed “in the execution” of a public works contract </w:t>
      </w:r>
      <w:r w:rsidR="00072AFA">
        <w:t>under section 1772</w:t>
      </w:r>
      <w:r w:rsidR="00C70318">
        <w:t xml:space="preserve">.  </w:t>
      </w:r>
      <w:r w:rsidR="00072AFA">
        <w:t xml:space="preserve">The </w:t>
      </w:r>
      <w:r w:rsidR="00DD6F41">
        <w:t xml:space="preserve">reliance on their approach for this different purpose has led to an interpretation of section 1772 that expands its application to tasks that might </w:t>
      </w:r>
      <w:r w:rsidR="00443DAE">
        <w:t xml:space="preserve">not otherwise qualify as public works, simply because they have some functional relationship or integration with public work.  </w:t>
      </w:r>
      <w:r w:rsidR="00DD6F41">
        <w:t xml:space="preserve">That expansion </w:t>
      </w:r>
      <w:r w:rsidR="00E0630F">
        <w:t xml:space="preserve">is not supported by the language or legislative history of section </w:t>
      </w:r>
      <w:r w:rsidR="00E0630F">
        <w:lastRenderedPageBreak/>
        <w:t>1772.</w:t>
      </w:r>
      <w:r w:rsidR="00FF2E1B">
        <w:t xml:space="preserve">  It instead originates from the</w:t>
      </w:r>
      <w:r w:rsidR="00F728D5">
        <w:t xml:space="preserve"> federal Davis-Bacon Act</w:t>
      </w:r>
      <w:r w:rsidR="00FF2E1B">
        <w:t xml:space="preserve">, which </w:t>
      </w:r>
      <w:r w:rsidR="00475700">
        <w:t>contains no</w:t>
      </w:r>
      <w:r w:rsidR="009B7F1C">
        <w:rPr>
          <w:color w:val="00B050"/>
        </w:rPr>
        <w:t xml:space="preserve"> </w:t>
      </w:r>
      <w:r w:rsidR="00072AFA">
        <w:t>statutory language analogous to section 177</w:t>
      </w:r>
      <w:r w:rsidR="00FF2E1B">
        <w:t>2.</w:t>
      </w:r>
    </w:p>
    <w:p w14:paraId="1E887687" w14:textId="4D48A2AE" w:rsidR="005F121E" w:rsidRDefault="002A04BC" w:rsidP="009E2192">
      <w:pPr>
        <w:tabs>
          <w:tab w:val="left" w:pos="1440"/>
        </w:tabs>
        <w:ind w:firstLine="720"/>
      </w:pPr>
      <w:r>
        <w:t xml:space="preserve">Further, the approach in </w:t>
      </w:r>
      <w:r>
        <w:rPr>
          <w:i/>
          <w:iCs/>
        </w:rPr>
        <w:t>Sansone</w:t>
      </w:r>
      <w:r>
        <w:t xml:space="preserve">, </w:t>
      </w:r>
      <w:r>
        <w:rPr>
          <w:i/>
          <w:iCs/>
        </w:rPr>
        <w:t>Williams</w:t>
      </w:r>
      <w:r>
        <w:t xml:space="preserve">, and </w:t>
      </w:r>
      <w:r>
        <w:rPr>
          <w:i/>
          <w:iCs/>
        </w:rPr>
        <w:t>Sheet Metal</w:t>
      </w:r>
      <w:r>
        <w:t xml:space="preserve"> </w:t>
      </w:r>
      <w:r w:rsidR="00F344D2">
        <w:t>cause</w:t>
      </w:r>
      <w:r w:rsidR="00A51263">
        <w:t>s</w:t>
      </w:r>
      <w:r w:rsidR="00F344D2">
        <w:t xml:space="preserve"> coverage to </w:t>
      </w:r>
      <w:r w:rsidR="009E2192">
        <w:t>turn</w:t>
      </w:r>
      <w:r w:rsidR="00F344D2">
        <w:t xml:space="preserve"> on factors </w:t>
      </w:r>
      <w:r w:rsidR="009D171A">
        <w:t>other than an activity’s definition as a</w:t>
      </w:r>
      <w:r w:rsidR="00A51263">
        <w:t xml:space="preserve"> public work.  </w:t>
      </w:r>
      <w:r w:rsidR="00AD4B9E">
        <w:t xml:space="preserve">To the extent </w:t>
      </w:r>
      <w:r w:rsidR="00A4160D">
        <w:t xml:space="preserve">coverage </w:t>
      </w:r>
      <w:r w:rsidR="009E2192">
        <w:t xml:space="preserve">is premised </w:t>
      </w:r>
      <w:r w:rsidR="00A4160D">
        <w:t xml:space="preserve">upon whether </w:t>
      </w:r>
      <w:r w:rsidR="00FF5105">
        <w:t>an activity is integrated into the flow process of construction, the approach ignores the carefully crafted definitions of public work contained in</w:t>
      </w:r>
      <w:r w:rsidR="00D0588E">
        <w:t xml:space="preserve"> the prevailing wage law</w:t>
      </w:r>
      <w:r w:rsidR="00FF5105">
        <w:t xml:space="preserve">.  Moreover, </w:t>
      </w:r>
      <w:r w:rsidR="00404AC8">
        <w:t xml:space="preserve">it is not entirely clear what it means for an activity to be </w:t>
      </w:r>
      <w:r w:rsidR="009D171A">
        <w:t>“</w:t>
      </w:r>
      <w:r w:rsidR="00404AC8">
        <w:t>integrated</w:t>
      </w:r>
      <w:r w:rsidR="009D171A">
        <w:t>”</w:t>
      </w:r>
      <w:r w:rsidR="00404AC8">
        <w:t xml:space="preserve"> into construction or other defined public work</w:t>
      </w:r>
      <w:r w:rsidR="00F86AA8">
        <w:t>.</w:t>
      </w:r>
    </w:p>
    <w:p w14:paraId="2455E394" w14:textId="77777777" w:rsidR="00695918" w:rsidRDefault="009E2192" w:rsidP="00346E83">
      <w:pPr>
        <w:tabs>
          <w:tab w:val="left" w:pos="1440"/>
        </w:tabs>
        <w:ind w:firstLine="720"/>
      </w:pPr>
      <w:r>
        <w:t>To the extent it might be argued the Legislature</w:t>
      </w:r>
      <w:r w:rsidR="00BC0848">
        <w:t xml:space="preserve"> has acquiesced in the existing construction of section 1772 by failing to amend or clarify its provisions, the argument is not persuasive.  </w:t>
      </w:r>
      <w:r w:rsidR="00FF637F">
        <w:t>“In the area of statutory construction, an examination of what the Legislature has done (as opposed to what it has left undone) is generally the more fruitful inquiry.  ‘[L]</w:t>
      </w:r>
      <w:proofErr w:type="spellStart"/>
      <w:r w:rsidR="00FF637F">
        <w:t>egislative</w:t>
      </w:r>
      <w:proofErr w:type="spellEnd"/>
      <w:r w:rsidR="00FF637F">
        <w:t xml:space="preserve"> inaction is “ ‘a weak reed upon which to lean’ ” . . . .’ ”  (</w:t>
      </w:r>
      <w:bookmarkStart w:id="9" w:name="_Hlk77065787"/>
      <w:r w:rsidR="00FF637F">
        <w:rPr>
          <w:i/>
          <w:iCs/>
        </w:rPr>
        <w:t xml:space="preserve">Harris v. Capital Growth Investors XIV </w:t>
      </w:r>
      <w:r w:rsidR="00FF637F">
        <w:t xml:space="preserve">(1991) 52 Cal.3d 1142, 1156; accord, </w:t>
      </w:r>
      <w:r w:rsidR="00FF637F">
        <w:rPr>
          <w:i/>
          <w:iCs/>
        </w:rPr>
        <w:t xml:space="preserve">Saint Francis Memorial Hospital v. State Dept. of Public Health </w:t>
      </w:r>
      <w:r w:rsidR="00FF637F">
        <w:t>(2020) 9 Cal.5th 710, 723</w:t>
      </w:r>
      <w:bookmarkEnd w:id="9"/>
      <w:r w:rsidR="00FF637F">
        <w:t xml:space="preserve">.)  Since </w:t>
      </w:r>
      <w:r w:rsidR="00FF637F" w:rsidRPr="00FF637F">
        <w:rPr>
          <w:i/>
          <w:iCs/>
        </w:rPr>
        <w:t>Sansone</w:t>
      </w:r>
      <w:r w:rsidR="00FF637F">
        <w:t xml:space="preserve"> was decided, t</w:t>
      </w:r>
      <w:r w:rsidR="00FF637F" w:rsidRPr="00FF637F">
        <w:t>he</w:t>
      </w:r>
      <w:r w:rsidR="00FF637F">
        <w:t xml:space="preserve"> Legislature has actively defined and modified the definitions of “public works.”  (See, e.g., </w:t>
      </w:r>
      <w:bookmarkStart w:id="10" w:name="_Hlk77065847"/>
      <w:r w:rsidR="002D1B2C">
        <w:t xml:space="preserve">Stats. 2000, </w:t>
      </w:r>
      <w:proofErr w:type="spellStart"/>
      <w:r w:rsidR="002D1B2C">
        <w:t>ch.</w:t>
      </w:r>
      <w:proofErr w:type="spellEnd"/>
      <w:r w:rsidR="002D1B2C">
        <w:t xml:space="preserve"> 881, § 1, p. 6517; Stats. 2001, </w:t>
      </w:r>
      <w:proofErr w:type="spellStart"/>
      <w:r w:rsidR="002D1B2C">
        <w:t>ch.</w:t>
      </w:r>
      <w:proofErr w:type="spellEnd"/>
      <w:r w:rsidR="002D1B2C">
        <w:t xml:space="preserve"> 938, § 2, p. 7509; Stats. </w:t>
      </w:r>
      <w:r w:rsidR="002D1B2C" w:rsidRPr="001F1967">
        <w:t xml:space="preserve">2012, </w:t>
      </w:r>
      <w:proofErr w:type="spellStart"/>
      <w:r w:rsidR="002D1B2C" w:rsidRPr="001F1967">
        <w:t>ch.</w:t>
      </w:r>
      <w:proofErr w:type="spellEnd"/>
      <w:r w:rsidR="002D1B2C" w:rsidRPr="001F1967">
        <w:t xml:space="preserve"> 810, § 1; Stats. 2015, </w:t>
      </w:r>
      <w:proofErr w:type="spellStart"/>
      <w:r w:rsidR="002D1B2C" w:rsidRPr="001F1967">
        <w:t>ch.</w:t>
      </w:r>
      <w:proofErr w:type="spellEnd"/>
      <w:r w:rsidR="002D1B2C" w:rsidRPr="001F1967">
        <w:t xml:space="preserve"> 739, § 1.</w:t>
      </w:r>
      <w:bookmarkEnd w:id="10"/>
      <w:r w:rsidR="00FF637F" w:rsidRPr="001F1967">
        <w:t xml:space="preserve">)  These actions are </w:t>
      </w:r>
      <w:r w:rsidR="00676FA2">
        <w:t xml:space="preserve">not consistent </w:t>
      </w:r>
      <w:r w:rsidR="00FF637F">
        <w:t>with an interpretation of section 1772 that would expand the scope of the prevailing wage law</w:t>
      </w:r>
      <w:r w:rsidR="00B32013">
        <w:t xml:space="preserve"> </w:t>
      </w:r>
      <w:r w:rsidR="00676FA2">
        <w:t>as plaintiffs urge.</w:t>
      </w:r>
    </w:p>
    <w:p w14:paraId="111183D6" w14:textId="65846CFC" w:rsidR="00346E83" w:rsidRDefault="00346E83" w:rsidP="00346E83">
      <w:pPr>
        <w:tabs>
          <w:tab w:val="left" w:pos="1440"/>
        </w:tabs>
        <w:ind w:firstLine="720"/>
      </w:pPr>
      <w:r>
        <w:t xml:space="preserve">The prevailing wage law as written and amended does not support an interpretation of section 1772 that expands the law’s scope beyond defined “public works.”  To the extent </w:t>
      </w:r>
      <w:r w:rsidR="00651997" w:rsidRPr="00651997">
        <w:rPr>
          <w:i/>
          <w:iCs/>
        </w:rPr>
        <w:t xml:space="preserve">O.G. </w:t>
      </w:r>
      <w:r w:rsidR="003711EA" w:rsidRPr="003711EA">
        <w:rPr>
          <w:i/>
          <w:iCs/>
        </w:rPr>
        <w:t>Sansone</w:t>
      </w:r>
      <w:r w:rsidR="00651997">
        <w:rPr>
          <w:i/>
          <w:iCs/>
        </w:rPr>
        <w:t xml:space="preserve"> Co. v. Department of Transportation</w:t>
      </w:r>
      <w:r w:rsidR="003711EA">
        <w:t xml:space="preserve">, </w:t>
      </w:r>
      <w:r w:rsidR="003711EA" w:rsidRPr="003711EA">
        <w:rPr>
          <w:i/>
          <w:iCs/>
        </w:rPr>
        <w:t>supra</w:t>
      </w:r>
      <w:r w:rsidR="003711EA">
        <w:t xml:space="preserve">, </w:t>
      </w:r>
      <w:r w:rsidR="003711EA" w:rsidRPr="003711EA">
        <w:t>55</w:t>
      </w:r>
      <w:r w:rsidR="003711EA" w:rsidRPr="007640FB">
        <w:t xml:space="preserve"> </w:t>
      </w:r>
      <w:r w:rsidR="003711EA" w:rsidRPr="007640FB">
        <w:lastRenderedPageBreak/>
        <w:t>Cal.App.3d 434</w:t>
      </w:r>
      <w:r w:rsidR="003711EA">
        <w:t xml:space="preserve">, </w:t>
      </w:r>
      <w:r w:rsidR="003711EA" w:rsidRPr="00325F22">
        <w:rPr>
          <w:i/>
          <w:iCs/>
        </w:rPr>
        <w:t>Williams</w:t>
      </w:r>
      <w:r w:rsidR="00651997">
        <w:rPr>
          <w:i/>
          <w:iCs/>
        </w:rPr>
        <w:t xml:space="preserve"> v. </w:t>
      </w:r>
      <w:proofErr w:type="spellStart"/>
      <w:r w:rsidR="00651997">
        <w:rPr>
          <w:i/>
          <w:iCs/>
        </w:rPr>
        <w:t>SnSands</w:t>
      </w:r>
      <w:proofErr w:type="spellEnd"/>
      <w:r w:rsidR="00651997">
        <w:rPr>
          <w:i/>
          <w:iCs/>
        </w:rPr>
        <w:t xml:space="preserve"> Corp.</w:t>
      </w:r>
      <w:r w:rsidR="003711EA">
        <w:t xml:space="preserve">, </w:t>
      </w:r>
      <w:r w:rsidR="003711EA">
        <w:rPr>
          <w:i/>
          <w:iCs/>
        </w:rPr>
        <w:t>supra</w:t>
      </w:r>
      <w:r w:rsidR="003711EA">
        <w:t xml:space="preserve">, </w:t>
      </w:r>
      <w:r w:rsidR="003711EA" w:rsidRPr="00325F22">
        <w:t>156 Cal.App.4th 742</w:t>
      </w:r>
      <w:r w:rsidR="003711EA">
        <w:t xml:space="preserve">, and </w:t>
      </w:r>
      <w:r w:rsidR="003711EA" w:rsidRPr="000D1087">
        <w:rPr>
          <w:i/>
          <w:iCs/>
        </w:rPr>
        <w:t>Sheet</w:t>
      </w:r>
      <w:r w:rsidR="003711EA" w:rsidRPr="00325F22">
        <w:rPr>
          <w:i/>
        </w:rPr>
        <w:t xml:space="preserve"> Metal</w:t>
      </w:r>
      <w:r w:rsidR="00651997">
        <w:rPr>
          <w:i/>
        </w:rPr>
        <w:t xml:space="preserve"> Workers’ </w:t>
      </w:r>
      <w:proofErr w:type="spellStart"/>
      <w:r w:rsidR="00651997">
        <w:rPr>
          <w:i/>
        </w:rPr>
        <w:t>Internat.</w:t>
      </w:r>
      <w:proofErr w:type="spellEnd"/>
      <w:r w:rsidR="00651997">
        <w:rPr>
          <w:i/>
        </w:rPr>
        <w:t xml:space="preserve"> Assn., Local 104 v. Duncan</w:t>
      </w:r>
      <w:r w:rsidR="003711EA">
        <w:rPr>
          <w:iCs/>
        </w:rPr>
        <w:t xml:space="preserve">, </w:t>
      </w:r>
      <w:r w:rsidR="003711EA">
        <w:rPr>
          <w:i/>
        </w:rPr>
        <w:t>supra</w:t>
      </w:r>
      <w:r w:rsidR="003711EA">
        <w:rPr>
          <w:iCs/>
        </w:rPr>
        <w:t xml:space="preserve">, </w:t>
      </w:r>
      <w:r w:rsidR="003711EA" w:rsidRPr="00325F22">
        <w:t>229 Cal.App.4th 192</w:t>
      </w:r>
      <w:r w:rsidR="003711EA">
        <w:t>,</w:t>
      </w:r>
      <w:r>
        <w:rPr>
          <w:i/>
          <w:iCs/>
        </w:rPr>
        <w:t xml:space="preserve"> </w:t>
      </w:r>
      <w:r>
        <w:t>suggest to the contrary or are otherwise inconsistent with this opinion, they are disapproved.</w:t>
      </w:r>
      <w:r>
        <w:rPr>
          <w:rStyle w:val="FootnoteReference"/>
        </w:rPr>
        <w:footnoteReference w:id="21"/>
      </w:r>
      <w:r>
        <w:t xml:space="preserve"> </w:t>
      </w:r>
    </w:p>
    <w:p w14:paraId="0E910B62" w14:textId="73B758FA" w:rsidR="000D11C7" w:rsidRPr="00B54C96" w:rsidRDefault="000D11C7" w:rsidP="00F3498B">
      <w:pPr>
        <w:tabs>
          <w:tab w:val="left" w:pos="1440"/>
        </w:tabs>
        <w:ind w:firstLine="720"/>
      </w:pPr>
      <w:r>
        <w:t xml:space="preserve">In his dissent in </w:t>
      </w:r>
      <w:r>
        <w:rPr>
          <w:i/>
          <w:iCs/>
        </w:rPr>
        <w:t>Busker</w:t>
      </w:r>
      <w:r w:rsidR="002F431D">
        <w:rPr>
          <w:i/>
          <w:iCs/>
        </w:rPr>
        <w:t xml:space="preserve"> v. Wabtec Corp</w:t>
      </w:r>
      <w:r w:rsidR="002F431D" w:rsidRPr="00B13268">
        <w:t>.</w:t>
      </w:r>
      <w:r w:rsidR="002F431D">
        <w:rPr>
          <w:i/>
          <w:iCs/>
        </w:rPr>
        <w:t xml:space="preserve"> </w:t>
      </w:r>
      <w:r w:rsidR="002F431D">
        <w:t xml:space="preserve">(Aug. </w:t>
      </w:r>
      <w:r w:rsidR="007F2BA0">
        <w:t>16</w:t>
      </w:r>
      <w:r w:rsidR="002F431D">
        <w:t>, 2021, S251135)</w:t>
      </w:r>
      <w:r>
        <w:t xml:space="preserve"> ___ Cal.5th ___</w:t>
      </w:r>
      <w:r w:rsidR="002F431D">
        <w:t xml:space="preserve"> (dis. </w:t>
      </w:r>
      <w:proofErr w:type="spellStart"/>
      <w:r w:rsidR="002F431D">
        <w:t>opn</w:t>
      </w:r>
      <w:proofErr w:type="spellEnd"/>
      <w:r w:rsidR="002F431D">
        <w:t>. of Cuéllar, J.) (</w:t>
      </w:r>
      <w:r w:rsidR="002F431D">
        <w:rPr>
          <w:i/>
          <w:iCs/>
        </w:rPr>
        <w:t>Busker</w:t>
      </w:r>
      <w:r w:rsidR="002F431D">
        <w:t>)</w:t>
      </w:r>
      <w:r w:rsidR="005D4301">
        <w:t>,</w:t>
      </w:r>
      <w:r>
        <w:t xml:space="preserve"> Justice Cuéllar argues that the majority </w:t>
      </w:r>
      <w:r w:rsidR="00E809A2">
        <w:t xml:space="preserve">“overturns decades of legal decisions that </w:t>
      </w:r>
      <w:r w:rsidR="003674F2">
        <w:t xml:space="preserve">had </w:t>
      </w:r>
      <w:r w:rsidR="00E809A2">
        <w:t>established a persuasive, workable framework for interpreting and applying” section 1772.</w:t>
      </w:r>
      <w:r w:rsidR="00DC06A5">
        <w:rPr>
          <w:rStyle w:val="FootnoteReference"/>
        </w:rPr>
        <w:footnoteReference w:id="22"/>
      </w:r>
      <w:r w:rsidR="00E809A2">
        <w:t xml:space="preserve">  (</w:t>
      </w:r>
      <w:r w:rsidR="00E809A2">
        <w:rPr>
          <w:i/>
          <w:iCs/>
        </w:rPr>
        <w:t>Busker</w:t>
      </w:r>
      <w:r w:rsidR="00E809A2">
        <w:t xml:space="preserve">, at ___ [p. 3] (dis. </w:t>
      </w:r>
      <w:proofErr w:type="spellStart"/>
      <w:r w:rsidR="00E809A2">
        <w:t>opn</w:t>
      </w:r>
      <w:proofErr w:type="spellEnd"/>
      <w:r w:rsidR="00E809A2">
        <w:t>. of Cuéllar, J.).</w:t>
      </w:r>
      <w:r w:rsidR="001E54F6">
        <w:t>)</w:t>
      </w:r>
      <w:r w:rsidR="00F510B3">
        <w:t xml:space="preserve">  </w:t>
      </w:r>
      <w:r w:rsidR="00DC06A5">
        <w:t xml:space="preserve">However, </w:t>
      </w:r>
      <w:r w:rsidR="00EB1286">
        <w:t xml:space="preserve">it is precisely because </w:t>
      </w:r>
      <w:r w:rsidR="00F3498B">
        <w:t>th</w:t>
      </w:r>
      <w:r w:rsidR="00DC06A5">
        <w:t>e existing</w:t>
      </w:r>
      <w:r w:rsidR="00F3498B">
        <w:t xml:space="preserve"> “framework” is so unclear that </w:t>
      </w:r>
      <w:r w:rsidR="00C3601D">
        <w:t>the Ninth Circuit asked this court to address the application of section 1772 in two separate cases</w:t>
      </w:r>
      <w:r w:rsidR="00F3498B">
        <w:t xml:space="preserve">. </w:t>
      </w:r>
      <w:r w:rsidR="00B54C96">
        <w:t xml:space="preserve"> (See </w:t>
      </w:r>
      <w:r w:rsidR="00B54C96">
        <w:rPr>
          <w:i/>
          <w:iCs/>
        </w:rPr>
        <w:t>ante</w:t>
      </w:r>
      <w:r w:rsidR="00B54C96">
        <w:t xml:space="preserve">, </w:t>
      </w:r>
      <w:r w:rsidR="00E511AD">
        <w:t xml:space="preserve">at </w:t>
      </w:r>
      <w:r w:rsidR="00B54C96">
        <w:t xml:space="preserve">p. </w:t>
      </w:r>
      <w:r w:rsidR="001E54F6">
        <w:t>3</w:t>
      </w:r>
      <w:r w:rsidR="00B54C96">
        <w:t xml:space="preserve">; </w:t>
      </w:r>
      <w:r w:rsidR="00B54C96">
        <w:rPr>
          <w:i/>
          <w:iCs/>
        </w:rPr>
        <w:t>Busker</w:t>
      </w:r>
      <w:r w:rsidR="00B54C96">
        <w:t xml:space="preserve">, at ___ [p. </w:t>
      </w:r>
      <w:r w:rsidR="001E54F6">
        <w:t>26].)</w:t>
      </w:r>
      <w:r w:rsidR="00B54C96">
        <w:t xml:space="preserve"> </w:t>
      </w:r>
      <w:r w:rsidR="00DC06A5">
        <w:t xml:space="preserve"> The interpretation we adopt turns on careful consideration of the text of section 1772 and its history, not upon </w:t>
      </w:r>
      <w:r w:rsidR="00D53483">
        <w:t>concerns about whether the current interpretation is difficult to administer.  In any event, the existing framework could hardly be described as workable.</w:t>
      </w:r>
    </w:p>
    <w:p w14:paraId="17366AD4" w14:textId="7935E446" w:rsidR="00EF4510" w:rsidRDefault="00510D54" w:rsidP="00F3498B">
      <w:pPr>
        <w:tabs>
          <w:tab w:val="left" w:pos="1440"/>
        </w:tabs>
        <w:ind w:firstLine="720"/>
      </w:pPr>
      <w:r>
        <w:lastRenderedPageBreak/>
        <w:t xml:space="preserve">The difficulty in applying the approach taken in </w:t>
      </w:r>
      <w:r>
        <w:rPr>
          <w:i/>
          <w:iCs/>
        </w:rPr>
        <w:t>Sansone</w:t>
      </w:r>
      <w:r>
        <w:t xml:space="preserve"> and its progeny is exemplified by the</w:t>
      </w:r>
      <w:r w:rsidR="00BD1EDF">
        <w:t xml:space="preserve"> three</w:t>
      </w:r>
      <w:r>
        <w:t xml:space="preserve"> </w:t>
      </w:r>
      <w:r w:rsidR="005D4301">
        <w:t xml:space="preserve">“factors” </w:t>
      </w:r>
      <w:r w:rsidR="00E639F4">
        <w:t>the dissent</w:t>
      </w:r>
      <w:r w:rsidR="005D4301">
        <w:t xml:space="preserve"> </w:t>
      </w:r>
      <w:r w:rsidR="005D4301" w:rsidRPr="005D4301">
        <w:t>identifies</w:t>
      </w:r>
      <w:r w:rsidR="005D4301">
        <w:t xml:space="preserve"> as relevant to </w:t>
      </w:r>
      <w:r w:rsidR="00AC4BB1">
        <w:t>assessing</w:t>
      </w:r>
      <w:r w:rsidR="005D4301">
        <w:t xml:space="preserve"> </w:t>
      </w:r>
      <w:r w:rsidR="00E639F4">
        <w:t>“</w:t>
      </w:r>
      <w:r w:rsidR="005D4301">
        <w:t>whether labor is done in ‘the execution of [a] contract for public work’ under section 1772</w:t>
      </w:r>
      <w:r w:rsidR="00E511AD">
        <w:t> </w:t>
      </w:r>
      <w:r w:rsidR="005D4301">
        <w:t>. . .</w:t>
      </w:r>
      <w:r w:rsidR="00A27ADC">
        <w:t> </w:t>
      </w:r>
      <w:r w:rsidR="005D4301">
        <w:t>.”  (</w:t>
      </w:r>
      <w:r w:rsidR="00E639F4">
        <w:t xml:space="preserve">Dis. </w:t>
      </w:r>
      <w:proofErr w:type="spellStart"/>
      <w:r w:rsidR="00E639F4">
        <w:t>opn</w:t>
      </w:r>
      <w:proofErr w:type="spellEnd"/>
      <w:r w:rsidR="00E639F4">
        <w:t xml:space="preserve">. of Cuéllar, J., </w:t>
      </w:r>
      <w:r w:rsidR="00695918" w:rsidRPr="00695918">
        <w:rPr>
          <w:i/>
          <w:iCs/>
        </w:rPr>
        <w:t>post</w:t>
      </w:r>
      <w:r w:rsidR="00695918">
        <w:t xml:space="preserve">, </w:t>
      </w:r>
      <w:r w:rsidR="007F2BA0">
        <w:t xml:space="preserve">at </w:t>
      </w:r>
      <w:r w:rsidR="00E639F4">
        <w:t xml:space="preserve">p. 2.)  </w:t>
      </w:r>
      <w:r w:rsidR="005D4301">
        <w:t>The factors include “whether the labor is (1) functionally related to the construction process; (2) integrated into that process; and (3) done to fulfill the prime contractor’s obligation to complete a public works aspect of the project.”  (</w:t>
      </w:r>
      <w:r w:rsidR="005D4301">
        <w:rPr>
          <w:i/>
          <w:iCs/>
        </w:rPr>
        <w:t>Id</w:t>
      </w:r>
      <w:r w:rsidR="005D4301">
        <w:t>.</w:t>
      </w:r>
      <w:r w:rsidR="00F10FA8">
        <w:t xml:space="preserve"> at pp. </w:t>
      </w:r>
      <w:r w:rsidR="00F10FA8" w:rsidRPr="00F10FA8">
        <w:t>2</w:t>
      </w:r>
      <w:r w:rsidR="00F10FA8">
        <w:t>–</w:t>
      </w:r>
      <w:r w:rsidR="00F10FA8" w:rsidRPr="00F10FA8">
        <w:t>3</w:t>
      </w:r>
      <w:r w:rsidR="00695918">
        <w:t>, fn. omitted</w:t>
      </w:r>
      <w:r w:rsidR="00F10FA8">
        <w:t>.</w:t>
      </w:r>
      <w:r w:rsidR="005D4301">
        <w:t xml:space="preserve">)  </w:t>
      </w:r>
      <w:r w:rsidR="007D49E8">
        <w:t xml:space="preserve">These factors are not “longstanding,” as </w:t>
      </w:r>
      <w:r w:rsidR="000A51A7">
        <w:t xml:space="preserve">Justice </w:t>
      </w:r>
      <w:proofErr w:type="spellStart"/>
      <w:r w:rsidR="000A51A7">
        <w:t>Cuéllar’s</w:t>
      </w:r>
      <w:proofErr w:type="spellEnd"/>
      <w:r w:rsidR="000A51A7">
        <w:t xml:space="preserve"> </w:t>
      </w:r>
      <w:r w:rsidR="007D49E8">
        <w:rPr>
          <w:i/>
          <w:iCs/>
        </w:rPr>
        <w:t xml:space="preserve">Busker </w:t>
      </w:r>
      <w:r w:rsidR="007D49E8">
        <w:t>dissent suggests (</w:t>
      </w:r>
      <w:r w:rsidR="00E639F4" w:rsidRPr="00E639F4">
        <w:rPr>
          <w:i/>
          <w:iCs/>
        </w:rPr>
        <w:t>Busker</w:t>
      </w:r>
      <w:r w:rsidR="00E639F4">
        <w:t xml:space="preserve">, </w:t>
      </w:r>
      <w:r w:rsidR="00E639F4" w:rsidRPr="00B13268">
        <w:rPr>
          <w:i/>
          <w:iCs/>
        </w:rPr>
        <w:t>supra</w:t>
      </w:r>
      <w:r w:rsidR="00E639F4">
        <w:t xml:space="preserve">, ___ Cal.5th </w:t>
      </w:r>
      <w:r w:rsidR="007D49E8">
        <w:t>at ___ [p. 1</w:t>
      </w:r>
      <w:r w:rsidR="00025B37">
        <w:t>2</w:t>
      </w:r>
      <w:r w:rsidR="007D49E8">
        <w:t xml:space="preserve">] (dis. </w:t>
      </w:r>
      <w:proofErr w:type="spellStart"/>
      <w:r w:rsidR="007D49E8">
        <w:t>opn</w:t>
      </w:r>
      <w:proofErr w:type="spellEnd"/>
      <w:r w:rsidR="007D49E8">
        <w:t>. of Cuéllar, J.)</w:t>
      </w:r>
      <w:r w:rsidR="00A27ADC">
        <w:t>)</w:t>
      </w:r>
      <w:r w:rsidR="007D49E8">
        <w:t xml:space="preserve">, but instead are derived from a hodgepodge of considerations </w:t>
      </w:r>
      <w:r w:rsidR="00FA1632">
        <w:t xml:space="preserve">found </w:t>
      </w:r>
      <w:r w:rsidR="007D49E8">
        <w:t xml:space="preserve">in </w:t>
      </w:r>
      <w:r w:rsidR="007D49E8">
        <w:rPr>
          <w:i/>
          <w:iCs/>
        </w:rPr>
        <w:t>Sansone</w:t>
      </w:r>
      <w:r w:rsidR="007D49E8">
        <w:t xml:space="preserve">, </w:t>
      </w:r>
      <w:r w:rsidR="007D49E8">
        <w:rPr>
          <w:i/>
          <w:iCs/>
        </w:rPr>
        <w:t>Williams</w:t>
      </w:r>
      <w:r w:rsidR="007D49E8">
        <w:t xml:space="preserve">, and </w:t>
      </w:r>
      <w:r w:rsidR="007D49E8">
        <w:rPr>
          <w:i/>
          <w:iCs/>
        </w:rPr>
        <w:t>Sheet Metal</w:t>
      </w:r>
      <w:r w:rsidR="007D49E8">
        <w:t>.  Moreover, d</w:t>
      </w:r>
      <w:r w:rsidR="00FE5A65">
        <w:t xml:space="preserve">espite </w:t>
      </w:r>
      <w:r w:rsidR="000A51A7">
        <w:t xml:space="preserve">the emphasis </w:t>
      </w:r>
      <w:r w:rsidR="00AD26F4">
        <w:t xml:space="preserve">in Justice </w:t>
      </w:r>
      <w:proofErr w:type="spellStart"/>
      <w:r w:rsidR="00AD26F4">
        <w:t>Cuéllar’s</w:t>
      </w:r>
      <w:proofErr w:type="spellEnd"/>
      <w:r w:rsidR="00AD26F4">
        <w:t xml:space="preserve"> </w:t>
      </w:r>
      <w:r w:rsidR="00AD26F4">
        <w:rPr>
          <w:i/>
          <w:iCs/>
        </w:rPr>
        <w:t xml:space="preserve">Busker </w:t>
      </w:r>
      <w:r w:rsidR="00AD26F4">
        <w:t xml:space="preserve">dissent </w:t>
      </w:r>
      <w:r w:rsidR="000A51A7">
        <w:t xml:space="preserve">on </w:t>
      </w:r>
      <w:r w:rsidR="00FE5A65">
        <w:t xml:space="preserve">the importance of the </w:t>
      </w:r>
      <w:r w:rsidR="007D49E8">
        <w:t>terms “execution” and “deemed” in section 1772 (</w:t>
      </w:r>
      <w:r w:rsidR="00695918">
        <w:t xml:space="preserve">see </w:t>
      </w:r>
      <w:r w:rsidR="007D49E8">
        <w:rPr>
          <w:i/>
          <w:iCs/>
        </w:rPr>
        <w:t>Busker</w:t>
      </w:r>
      <w:r w:rsidR="007D49E8">
        <w:t xml:space="preserve">, at ___ [pp. </w:t>
      </w:r>
      <w:r w:rsidR="000A51A7">
        <w:t>3–4</w:t>
      </w:r>
      <w:r w:rsidR="007D49E8">
        <w:t xml:space="preserve">] (dis. </w:t>
      </w:r>
      <w:proofErr w:type="spellStart"/>
      <w:r w:rsidR="007D49E8">
        <w:t>opn</w:t>
      </w:r>
      <w:proofErr w:type="spellEnd"/>
      <w:r w:rsidR="007D49E8">
        <w:t>. of Cuéllar, J.)</w:t>
      </w:r>
      <w:r w:rsidR="00E639F4">
        <w:t>)</w:t>
      </w:r>
      <w:r w:rsidR="007D49E8">
        <w:t>, the three-part test does not even mention them</w:t>
      </w:r>
      <w:r w:rsidR="001B6DFF">
        <w:t>.  I</w:t>
      </w:r>
      <w:r w:rsidR="007D49E8">
        <w:t>nstead</w:t>
      </w:r>
      <w:r w:rsidR="00AD26F4">
        <w:t>, the test relies</w:t>
      </w:r>
      <w:r w:rsidR="007D49E8">
        <w:t xml:space="preserve"> on </w:t>
      </w:r>
      <w:r w:rsidR="009B47DC">
        <w:t xml:space="preserve">broad and undefined </w:t>
      </w:r>
      <w:r w:rsidR="007D49E8">
        <w:t>terms not found in the statute:  “functionally related,” “construction process,” “integrated,” and “public works aspect of the project.”  (</w:t>
      </w:r>
      <w:r w:rsidR="007D49E8">
        <w:rPr>
          <w:i/>
          <w:iCs/>
        </w:rPr>
        <w:t>Id</w:t>
      </w:r>
      <w:r w:rsidR="007D49E8">
        <w:t>. at ___ [</w:t>
      </w:r>
      <w:r w:rsidR="00695918">
        <w:t>p</w:t>
      </w:r>
      <w:r w:rsidR="007D49E8">
        <w:t>p. 10</w:t>
      </w:r>
      <w:r w:rsidR="00695918">
        <w:t>–11</w:t>
      </w:r>
      <w:r w:rsidR="007D49E8">
        <w:t xml:space="preserve">] (dis. </w:t>
      </w:r>
      <w:proofErr w:type="spellStart"/>
      <w:r w:rsidR="007D49E8">
        <w:t>opn</w:t>
      </w:r>
      <w:proofErr w:type="spellEnd"/>
      <w:r w:rsidR="007D49E8">
        <w:t xml:space="preserve">. of Cuéllar, J.).)  </w:t>
      </w:r>
    </w:p>
    <w:p w14:paraId="37086FB5" w14:textId="461FDBE6" w:rsidR="00311B0B" w:rsidRDefault="0051460D" w:rsidP="00562CA9">
      <w:pPr>
        <w:tabs>
          <w:tab w:val="left" w:pos="1440"/>
        </w:tabs>
        <w:ind w:firstLine="720"/>
      </w:pPr>
      <w:r>
        <w:t xml:space="preserve">Justice </w:t>
      </w:r>
      <w:proofErr w:type="spellStart"/>
      <w:r>
        <w:t>Cuéllar’s</w:t>
      </w:r>
      <w:proofErr w:type="spellEnd"/>
      <w:r w:rsidR="00FA1632">
        <w:t xml:space="preserve"> </w:t>
      </w:r>
      <w:r w:rsidR="00FA1632">
        <w:rPr>
          <w:i/>
          <w:iCs/>
        </w:rPr>
        <w:t xml:space="preserve">Busker </w:t>
      </w:r>
      <w:r w:rsidR="00FA1632">
        <w:t>dissent acknowledges that some “judgment” will be required “to discern whether a particular type of labor has a functional or integrated relationship with contracted-for public work.”  (</w:t>
      </w:r>
      <w:r w:rsidRPr="0051460D">
        <w:rPr>
          <w:i/>
          <w:iCs/>
        </w:rPr>
        <w:t>Busker</w:t>
      </w:r>
      <w:r>
        <w:t xml:space="preserve">, </w:t>
      </w:r>
      <w:r w:rsidRPr="0051460D">
        <w:rPr>
          <w:i/>
          <w:iCs/>
        </w:rPr>
        <w:t>supra</w:t>
      </w:r>
      <w:r>
        <w:t xml:space="preserve">, ___ Cal.5th </w:t>
      </w:r>
      <w:r w:rsidR="00FA1632">
        <w:t xml:space="preserve">at ___ [p. 14] (dis. </w:t>
      </w:r>
      <w:proofErr w:type="spellStart"/>
      <w:r w:rsidR="00FA1632">
        <w:t>opn</w:t>
      </w:r>
      <w:proofErr w:type="spellEnd"/>
      <w:r w:rsidR="00FA1632">
        <w:t xml:space="preserve">. of Cuéllar, J.).)  </w:t>
      </w:r>
      <w:r w:rsidR="00BD1EDF">
        <w:t xml:space="preserve">However, the shifting characterization of how section 1772 is to be applied points to the </w:t>
      </w:r>
      <w:r w:rsidR="002C6821">
        <w:t xml:space="preserve">extreme </w:t>
      </w:r>
      <w:r w:rsidR="00BD1EDF">
        <w:t>difficulty</w:t>
      </w:r>
      <w:r w:rsidR="00EF4510">
        <w:t xml:space="preserve"> in exercising that judgment</w:t>
      </w:r>
      <w:r w:rsidR="00BD1EDF">
        <w:t xml:space="preserve">.  At one point, </w:t>
      </w:r>
      <w:r w:rsidR="00BD2D0E">
        <w:t xml:space="preserve">Justice </w:t>
      </w:r>
      <w:proofErr w:type="spellStart"/>
      <w:r w:rsidR="00BD2D0E">
        <w:t>Cuéllar’s</w:t>
      </w:r>
      <w:proofErr w:type="spellEnd"/>
      <w:r w:rsidR="00BD1EDF">
        <w:t xml:space="preserve"> </w:t>
      </w:r>
      <w:r w:rsidR="00BD1EDF">
        <w:rPr>
          <w:i/>
          <w:iCs/>
        </w:rPr>
        <w:t>Busker</w:t>
      </w:r>
      <w:r w:rsidR="00BD1EDF">
        <w:t xml:space="preserve"> dissent refers to “</w:t>
      </w:r>
      <w:r w:rsidR="00583AC4">
        <w:t>[</w:t>
      </w:r>
      <w:r w:rsidR="00BD1EDF">
        <w:t>w</w:t>
      </w:r>
      <w:r w:rsidR="00583AC4">
        <w:t>]</w:t>
      </w:r>
      <w:proofErr w:type="spellStart"/>
      <w:r w:rsidR="00BD1EDF">
        <w:t>ork</w:t>
      </w:r>
      <w:proofErr w:type="spellEnd"/>
      <w:r w:rsidR="00BD1EDF">
        <w:t xml:space="preserve"> </w:t>
      </w:r>
      <w:r w:rsidR="00BD1EDF" w:rsidRPr="00B13268">
        <w:rPr>
          <w:i/>
          <w:iCs/>
        </w:rPr>
        <w:t>critically related</w:t>
      </w:r>
      <w:r w:rsidR="00D658EC">
        <w:t>”</w:t>
      </w:r>
      <w:r w:rsidR="00BD1EDF">
        <w:t xml:space="preserve"> to the execution of a public works contract.  (</w:t>
      </w:r>
      <w:r w:rsidR="00BD2D0E" w:rsidRPr="00B13268">
        <w:rPr>
          <w:i/>
          <w:iCs/>
        </w:rPr>
        <w:t>Busker</w:t>
      </w:r>
      <w:r w:rsidR="00BD2D0E">
        <w:t>, at ___ [</w:t>
      </w:r>
      <w:r w:rsidR="00BD1EDF" w:rsidRPr="00BD2D0E">
        <w:t>p</w:t>
      </w:r>
      <w:r w:rsidR="00BD1EDF">
        <w:t>.</w:t>
      </w:r>
      <w:r w:rsidR="00BD2D0E">
        <w:t xml:space="preserve"> </w:t>
      </w:r>
      <w:r w:rsidR="00BD1EDF">
        <w:t>2</w:t>
      </w:r>
      <w:r w:rsidR="00BD2D0E">
        <w:t xml:space="preserve">] (dis. </w:t>
      </w:r>
      <w:proofErr w:type="spellStart"/>
      <w:r w:rsidR="00BD2D0E">
        <w:t>opn</w:t>
      </w:r>
      <w:proofErr w:type="spellEnd"/>
      <w:r w:rsidR="00BD2D0E">
        <w:t>. of Cuéllar, J.)</w:t>
      </w:r>
      <w:r w:rsidR="00EC1286">
        <w:t>, italics added.</w:t>
      </w:r>
      <w:r w:rsidR="00BD1EDF">
        <w:t xml:space="preserve">)  Elsewhere, it </w:t>
      </w:r>
      <w:r w:rsidR="00BD1EDF">
        <w:lastRenderedPageBreak/>
        <w:t xml:space="preserve">refers to “labor that is not unduly attenuated from the actual construction work or other defined public work, and instead bears a </w:t>
      </w:r>
      <w:r w:rsidR="00BD1EDF" w:rsidRPr="00B13268">
        <w:rPr>
          <w:i/>
          <w:iCs/>
        </w:rPr>
        <w:t>logical connection</w:t>
      </w:r>
      <w:r w:rsidR="00BD1EDF">
        <w:t xml:space="preserve"> to the preconstruction, construction, or postconstruction process.”  (</w:t>
      </w:r>
      <w:r w:rsidR="00BD2D0E">
        <w:rPr>
          <w:i/>
          <w:iCs/>
        </w:rPr>
        <w:t>Id.</w:t>
      </w:r>
      <w:r w:rsidR="00BD2D0E">
        <w:t xml:space="preserve"> at ___ [</w:t>
      </w:r>
      <w:r w:rsidR="00BD1EDF">
        <w:t>p. 11</w:t>
      </w:r>
      <w:r w:rsidR="00BD2D0E">
        <w:t xml:space="preserve">] (dis. </w:t>
      </w:r>
      <w:proofErr w:type="spellStart"/>
      <w:r w:rsidR="00BD2D0E">
        <w:t>opn</w:t>
      </w:r>
      <w:proofErr w:type="spellEnd"/>
      <w:r w:rsidR="00BD2D0E">
        <w:t>. of Cuéllar, J.)</w:t>
      </w:r>
      <w:r w:rsidR="00EC1286">
        <w:t>, italics added.</w:t>
      </w:r>
      <w:r w:rsidR="00BD1EDF">
        <w:t>)</w:t>
      </w:r>
      <w:r w:rsidR="00BD2D0E">
        <w:t xml:space="preserve">  </w:t>
      </w:r>
      <w:r w:rsidR="00EF4510">
        <w:t>At another point, it describes “</w:t>
      </w:r>
      <w:r w:rsidR="00A239B0">
        <w:t>tasks</w:t>
      </w:r>
      <w:r w:rsidR="00EF4510">
        <w:t xml:space="preserve"> </w:t>
      </w:r>
      <w:r w:rsidR="00EF4510">
        <w:rPr>
          <w:i/>
          <w:iCs/>
        </w:rPr>
        <w:t xml:space="preserve">vital </w:t>
      </w:r>
      <w:r w:rsidR="00EF4510">
        <w:t>to the performance and completion of covered ‘public work’ . .</w:t>
      </w:r>
      <w:r w:rsidR="00F10FA8">
        <w:t> </w:t>
      </w:r>
      <w:r w:rsidR="00EF4510">
        <w:t>. .”  (</w:t>
      </w:r>
      <w:r w:rsidR="00E05212">
        <w:rPr>
          <w:i/>
          <w:iCs/>
        </w:rPr>
        <w:t>Id.</w:t>
      </w:r>
      <w:r w:rsidR="00E05212">
        <w:t xml:space="preserve"> at ___ [</w:t>
      </w:r>
      <w:r w:rsidR="00EF4510">
        <w:t xml:space="preserve">p. </w:t>
      </w:r>
      <w:r w:rsidR="00A239B0">
        <w:t>24</w:t>
      </w:r>
      <w:r w:rsidR="00E05212">
        <w:t xml:space="preserve">] (dis. </w:t>
      </w:r>
      <w:proofErr w:type="spellStart"/>
      <w:r w:rsidR="00E05212">
        <w:t>opn</w:t>
      </w:r>
      <w:proofErr w:type="spellEnd"/>
      <w:r w:rsidR="00E05212">
        <w:t>. of Cuéllar, J.)</w:t>
      </w:r>
      <w:r w:rsidR="00EC1286">
        <w:t>, italics added.</w:t>
      </w:r>
      <w:r w:rsidR="00EF4510">
        <w:t>)</w:t>
      </w:r>
      <w:r w:rsidR="00E05212">
        <w:t xml:space="preserve">  </w:t>
      </w:r>
      <w:r w:rsidR="00EF4510">
        <w:t xml:space="preserve">Finally, it describes section 1772 as covering “labor performed </w:t>
      </w:r>
      <w:r w:rsidR="00EF4510">
        <w:rPr>
          <w:i/>
          <w:iCs/>
        </w:rPr>
        <w:t xml:space="preserve">in preparation for, in furtherance of, or otherwise bearing a </w:t>
      </w:r>
      <w:r w:rsidR="003674F2">
        <w:rPr>
          <w:i/>
          <w:iCs/>
        </w:rPr>
        <w:t xml:space="preserve">critical </w:t>
      </w:r>
      <w:r w:rsidR="00EF4510">
        <w:rPr>
          <w:i/>
          <w:iCs/>
        </w:rPr>
        <w:t xml:space="preserve">relationship </w:t>
      </w:r>
      <w:r w:rsidR="00A239B0">
        <w:rPr>
          <w:i/>
          <w:iCs/>
        </w:rPr>
        <w:t>to</w:t>
      </w:r>
      <w:r w:rsidR="00EF4510">
        <w:t xml:space="preserve"> defined public work and the public works project as a whole . . . .”  (</w:t>
      </w:r>
      <w:r w:rsidR="00E05212" w:rsidRPr="00E05212">
        <w:rPr>
          <w:i/>
          <w:iCs/>
        </w:rPr>
        <w:t>Id</w:t>
      </w:r>
      <w:r w:rsidR="00E05212">
        <w:t>. at ___</w:t>
      </w:r>
      <w:r w:rsidR="00492248">
        <w:t xml:space="preserve"> </w:t>
      </w:r>
      <w:r w:rsidR="00E05212">
        <w:t>[</w:t>
      </w:r>
      <w:r w:rsidR="00EF4510" w:rsidRPr="00E05212">
        <w:t>p</w:t>
      </w:r>
      <w:r w:rsidR="00EF4510">
        <w:t>. 24</w:t>
      </w:r>
      <w:r w:rsidR="00E05212">
        <w:t xml:space="preserve">] (dis. </w:t>
      </w:r>
      <w:proofErr w:type="spellStart"/>
      <w:r w:rsidR="00E05212">
        <w:t>opn</w:t>
      </w:r>
      <w:proofErr w:type="spellEnd"/>
      <w:r w:rsidR="00E05212">
        <w:t>. of Cuéllar, J.)</w:t>
      </w:r>
      <w:r w:rsidR="00EC1286">
        <w:t>, italics added.</w:t>
      </w:r>
      <w:r w:rsidR="00EF4510">
        <w:t>)</w:t>
      </w:r>
      <w:r w:rsidR="00E05212">
        <w:t xml:space="preserve">  </w:t>
      </w:r>
      <w:r w:rsidR="00EF4510">
        <w:t xml:space="preserve">The </w:t>
      </w:r>
      <w:r w:rsidR="006C6A0C">
        <w:t xml:space="preserve">differing and </w:t>
      </w:r>
      <w:r w:rsidR="00AC4BB1">
        <w:t>expansive</w:t>
      </w:r>
      <w:r w:rsidR="006C6A0C">
        <w:t xml:space="preserve"> terms used to describe the application of section 1772</w:t>
      </w:r>
      <w:r w:rsidR="00EC1286">
        <w:t xml:space="preserve"> illustrate the inherent difficulty in applying the test laid out in </w:t>
      </w:r>
      <w:r w:rsidR="00E24811">
        <w:t>the</w:t>
      </w:r>
      <w:r w:rsidR="00EC1286">
        <w:t xml:space="preserve"> dissent.  </w:t>
      </w:r>
      <w:r w:rsidR="00AC5C97">
        <w:t xml:space="preserve">It is simply not the case </w:t>
      </w:r>
      <w:r w:rsidR="00252B44">
        <w:t xml:space="preserve">that the majority approach rejects a persuasive </w:t>
      </w:r>
      <w:r w:rsidR="0086324C">
        <w:t>or</w:t>
      </w:r>
      <w:r w:rsidR="00AC5C97">
        <w:t xml:space="preserve"> </w:t>
      </w:r>
      <w:r w:rsidR="00252B44">
        <w:t xml:space="preserve">workable framework for </w:t>
      </w:r>
      <w:r w:rsidR="002C6821">
        <w:t xml:space="preserve">interpreting and </w:t>
      </w:r>
      <w:r w:rsidR="00252B44">
        <w:t>applying section 177</w:t>
      </w:r>
      <w:r w:rsidR="00562CA9">
        <w:t>2.</w:t>
      </w:r>
    </w:p>
    <w:p w14:paraId="78EE1D00" w14:textId="77777777" w:rsidR="00B146BF" w:rsidRDefault="00676FA2" w:rsidP="00B146BF">
      <w:pPr>
        <w:tabs>
          <w:tab w:val="left" w:pos="1440"/>
        </w:tabs>
        <w:ind w:firstLine="720"/>
      </w:pPr>
      <w:r>
        <w:t>2.</w:t>
      </w:r>
      <w:r>
        <w:tab/>
      </w:r>
      <w:r>
        <w:rPr>
          <w:i/>
          <w:iCs/>
        </w:rPr>
        <w:t>Administrative Decisions</w:t>
      </w:r>
    </w:p>
    <w:p w14:paraId="6FE20207" w14:textId="5C65D259" w:rsidR="00C124B1" w:rsidRDefault="00EB12F9" w:rsidP="000F4D12">
      <w:pPr>
        <w:tabs>
          <w:tab w:val="left" w:pos="1440"/>
        </w:tabs>
        <w:ind w:firstLine="720"/>
      </w:pPr>
      <w:r>
        <w:t>In addition to case law interpreting section 1772, administrative decisions of the Department of Industrial Relations (Department)</w:t>
      </w:r>
      <w:r w:rsidR="00676FA2">
        <w:t xml:space="preserve"> have also applied t</w:t>
      </w:r>
      <w:r>
        <w:t xml:space="preserve">he statute.  Amicus curiae Division of Labor Standards Enforcement cites </w:t>
      </w:r>
      <w:r w:rsidR="00715643">
        <w:t>several</w:t>
      </w:r>
      <w:r>
        <w:t xml:space="preserve"> coverage decisions </w:t>
      </w:r>
      <w:r w:rsidR="001F6F58">
        <w:t>from the 1980</w:t>
      </w:r>
      <w:r w:rsidR="00DB69B8">
        <w:t>’</w:t>
      </w:r>
      <w:r w:rsidR="001F6F58">
        <w:t>s and 1990</w:t>
      </w:r>
      <w:r w:rsidR="002974C9">
        <w:t>’</w:t>
      </w:r>
      <w:r w:rsidR="001F6F58">
        <w:t xml:space="preserve">s </w:t>
      </w:r>
      <w:r>
        <w:t>interpreting section 1772 to apply to mobilization.</w:t>
      </w:r>
      <w:r w:rsidR="00CD1F83">
        <w:t xml:space="preserve">  </w:t>
      </w:r>
      <w:r w:rsidR="00B2088E">
        <w:t xml:space="preserve">These decisions </w:t>
      </w:r>
      <w:r w:rsidR="002C6337">
        <w:t>do not have a precedential effect</w:t>
      </w:r>
      <w:r w:rsidR="00B2088E">
        <w:t xml:space="preserve">.  (See </w:t>
      </w:r>
      <w:proofErr w:type="spellStart"/>
      <w:r w:rsidR="00B2088E" w:rsidRPr="00B2088E">
        <w:rPr>
          <w:i/>
          <w:iCs/>
        </w:rPr>
        <w:t>Kaanaana</w:t>
      </w:r>
      <w:proofErr w:type="spellEnd"/>
      <w:r w:rsidR="00B2088E">
        <w:t xml:space="preserve">, </w:t>
      </w:r>
      <w:r w:rsidR="00B2088E" w:rsidRPr="00B2088E">
        <w:rPr>
          <w:i/>
          <w:iCs/>
        </w:rPr>
        <w:t>supra</w:t>
      </w:r>
      <w:r w:rsidR="00B2088E">
        <w:t>, 11 Cal.5</w:t>
      </w:r>
      <w:r w:rsidR="0079777D">
        <w:t>th</w:t>
      </w:r>
      <w:r w:rsidR="00B2088E">
        <w:t xml:space="preserve"> at p. 179.)  </w:t>
      </w:r>
      <w:r w:rsidR="00045830">
        <w:t>Further, the Department has no comparative advantage over the courts in deciding an issue of pure statutory interpretation.  (</w:t>
      </w:r>
      <w:proofErr w:type="spellStart"/>
      <w:r w:rsidR="00045830">
        <w:rPr>
          <w:i/>
          <w:iCs/>
        </w:rPr>
        <w:t>Kaanaana</w:t>
      </w:r>
      <w:proofErr w:type="spellEnd"/>
      <w:r w:rsidR="00045830">
        <w:t xml:space="preserve">, at p. 179; </w:t>
      </w:r>
      <w:r w:rsidR="00045830">
        <w:rPr>
          <w:i/>
          <w:iCs/>
        </w:rPr>
        <w:t xml:space="preserve">Center for Biological Diversity v. Department of Fish &amp; Wildlife </w:t>
      </w:r>
      <w:r w:rsidR="00045830">
        <w:t>(2015) 62 Cal.4</w:t>
      </w:r>
      <w:r w:rsidR="0079777D">
        <w:t>th</w:t>
      </w:r>
      <w:r w:rsidR="00045830">
        <w:t xml:space="preserve"> 204, 236.)  </w:t>
      </w:r>
      <w:r w:rsidR="00B2088E">
        <w:t xml:space="preserve">Nevertheless, while “ultimate responsibility for statutory interpretation rests with the courts, an agency’s interpretation </w:t>
      </w:r>
      <w:r>
        <w:lastRenderedPageBreak/>
        <w:t>‘is “one among several tools available to the court” when judging the [statute’s] meaning and legal effect</w:t>
      </w:r>
      <w:r w:rsidR="00B2088E">
        <w:t>.</w:t>
      </w:r>
      <w:r>
        <w:t>’</w:t>
      </w:r>
      <w:r w:rsidR="0015581A">
        <w:t> ”</w:t>
      </w:r>
      <w:r>
        <w:t>  (</w:t>
      </w:r>
      <w:r w:rsidR="00B623B0" w:rsidRPr="00B623B0">
        <w:rPr>
          <w:i/>
          <w:iCs/>
        </w:rPr>
        <w:t>Id</w:t>
      </w:r>
      <w:r w:rsidR="00B623B0">
        <w:t xml:space="preserve">. </w:t>
      </w:r>
      <w:r>
        <w:t>at p. 178.)</w:t>
      </w:r>
      <w:r w:rsidR="00064414">
        <w:t xml:space="preserve">  </w:t>
      </w:r>
    </w:p>
    <w:p w14:paraId="1413E606" w14:textId="34B19555" w:rsidR="00045830" w:rsidRPr="00045830" w:rsidRDefault="000A5B84" w:rsidP="00C124B1">
      <w:pPr>
        <w:tabs>
          <w:tab w:val="left" w:pos="1440"/>
        </w:tabs>
        <w:ind w:firstLine="720"/>
      </w:pPr>
      <w:r>
        <w:t xml:space="preserve">In his </w:t>
      </w:r>
      <w:r>
        <w:rPr>
          <w:i/>
          <w:iCs/>
        </w:rPr>
        <w:t xml:space="preserve">Busker </w:t>
      </w:r>
      <w:r>
        <w:t xml:space="preserve">dissent, Justice Cuéllar </w:t>
      </w:r>
      <w:r w:rsidR="00C124B1">
        <w:t xml:space="preserve">argues </w:t>
      </w:r>
      <w:r w:rsidR="00E20BCB">
        <w:t>that t</w:t>
      </w:r>
      <w:r w:rsidR="00C124B1">
        <w:t>he</w:t>
      </w:r>
      <w:r w:rsidR="002974C9">
        <w:t xml:space="preserve"> Department’s</w:t>
      </w:r>
      <w:r w:rsidR="00C124B1">
        <w:t xml:space="preserve"> decisions deserve “serious consideration and offer </w:t>
      </w:r>
      <w:r w:rsidR="006C77A0">
        <w:t>further</w:t>
      </w:r>
      <w:r w:rsidR="00C124B1">
        <w:t xml:space="preserve"> insight into what the statute means.”  (</w:t>
      </w:r>
      <w:r w:rsidR="00C124B1">
        <w:rPr>
          <w:i/>
          <w:iCs/>
        </w:rPr>
        <w:t>Busker</w:t>
      </w:r>
      <w:r w:rsidR="00C124B1">
        <w:t xml:space="preserve">, </w:t>
      </w:r>
      <w:r w:rsidR="00C124B1">
        <w:rPr>
          <w:i/>
          <w:iCs/>
        </w:rPr>
        <w:t>supra</w:t>
      </w:r>
      <w:r w:rsidR="00C124B1">
        <w:t xml:space="preserve">, ___ Cal.5th </w:t>
      </w:r>
      <w:r w:rsidR="00492248">
        <w:t xml:space="preserve">at </w:t>
      </w:r>
      <w:r w:rsidR="00C124B1">
        <w:t>___ [p. 7]</w:t>
      </w:r>
      <w:r w:rsidR="00E20BCB">
        <w:t xml:space="preserve"> (</w:t>
      </w:r>
      <w:r w:rsidR="005A7F02">
        <w:t xml:space="preserve">dis. </w:t>
      </w:r>
      <w:proofErr w:type="spellStart"/>
      <w:r w:rsidR="005A7F02">
        <w:t>opn</w:t>
      </w:r>
      <w:proofErr w:type="spellEnd"/>
      <w:r w:rsidR="005A7F02">
        <w:t>. of Cuéllar, J.)</w:t>
      </w:r>
      <w:r w:rsidR="00C124B1">
        <w:t>.)  He acknowledges the decisions have “d</w:t>
      </w:r>
      <w:r w:rsidR="00C124B1" w:rsidRPr="00945477">
        <w:rPr>
          <w:szCs w:val="27"/>
        </w:rPr>
        <w:t xml:space="preserve">utifully applied the approach in </w:t>
      </w:r>
      <w:r w:rsidR="00C124B1" w:rsidRPr="00945477">
        <w:rPr>
          <w:i/>
          <w:iCs/>
          <w:szCs w:val="27"/>
        </w:rPr>
        <w:t>Sanso</w:t>
      </w:r>
      <w:r w:rsidR="001B6DFF">
        <w:rPr>
          <w:i/>
          <w:iCs/>
          <w:szCs w:val="27"/>
        </w:rPr>
        <w:t>n</w:t>
      </w:r>
      <w:r w:rsidR="00C124B1" w:rsidRPr="00945477">
        <w:rPr>
          <w:i/>
          <w:iCs/>
          <w:szCs w:val="27"/>
        </w:rPr>
        <w:t>e</w:t>
      </w:r>
      <w:r w:rsidR="00C124B1" w:rsidRPr="00945477">
        <w:rPr>
          <w:szCs w:val="27"/>
        </w:rPr>
        <w:t xml:space="preserve">, </w:t>
      </w:r>
      <w:r w:rsidR="00C124B1" w:rsidRPr="00945477">
        <w:rPr>
          <w:i/>
          <w:iCs/>
          <w:szCs w:val="27"/>
        </w:rPr>
        <w:t>Williams</w:t>
      </w:r>
      <w:r w:rsidR="00C124B1" w:rsidRPr="00945477">
        <w:rPr>
          <w:szCs w:val="27"/>
        </w:rPr>
        <w:t xml:space="preserve">, and </w:t>
      </w:r>
      <w:r w:rsidR="00C124B1" w:rsidRPr="00945477">
        <w:rPr>
          <w:i/>
          <w:iCs/>
          <w:szCs w:val="27"/>
        </w:rPr>
        <w:t>Sheet Metal</w:t>
      </w:r>
      <w:r w:rsidR="00C124B1" w:rsidRPr="00945477">
        <w:rPr>
          <w:szCs w:val="27"/>
        </w:rPr>
        <w:t xml:space="preserve"> for </w:t>
      </w:r>
      <w:r w:rsidR="00C124B1">
        <w:rPr>
          <w:szCs w:val="27"/>
        </w:rPr>
        <w:t>effectuating</w:t>
      </w:r>
      <w:r w:rsidR="00C124B1" w:rsidRPr="00945477">
        <w:rPr>
          <w:szCs w:val="27"/>
        </w:rPr>
        <w:t xml:space="preserve"> section 1772</w:t>
      </w:r>
      <w:r w:rsidR="00C124B1">
        <w:rPr>
          <w:szCs w:val="27"/>
        </w:rPr>
        <w:t>.”  (</w:t>
      </w:r>
      <w:r w:rsidR="00C124B1">
        <w:rPr>
          <w:i/>
          <w:iCs/>
          <w:szCs w:val="27"/>
        </w:rPr>
        <w:t>Busker</w:t>
      </w:r>
      <w:r w:rsidR="00C124B1">
        <w:rPr>
          <w:szCs w:val="27"/>
        </w:rPr>
        <w:t>, at ___ [p. 13]</w:t>
      </w:r>
      <w:r w:rsidR="00BE0B46">
        <w:rPr>
          <w:szCs w:val="27"/>
        </w:rPr>
        <w:t xml:space="preserve"> (dis. </w:t>
      </w:r>
      <w:proofErr w:type="spellStart"/>
      <w:r w:rsidR="00BE0B46">
        <w:rPr>
          <w:szCs w:val="27"/>
        </w:rPr>
        <w:t>opn</w:t>
      </w:r>
      <w:proofErr w:type="spellEnd"/>
      <w:r w:rsidR="00BE0B46">
        <w:rPr>
          <w:szCs w:val="27"/>
        </w:rPr>
        <w:t>. of Cuéllar, J.</w:t>
      </w:r>
      <w:r w:rsidR="00C124B1">
        <w:rPr>
          <w:szCs w:val="27"/>
        </w:rPr>
        <w:t>)</w:t>
      </w:r>
      <w:r w:rsidR="00661A8A">
        <w:rPr>
          <w:szCs w:val="27"/>
        </w:rPr>
        <w:t>.)</w:t>
      </w:r>
      <w:r w:rsidR="00C124B1">
        <w:rPr>
          <w:szCs w:val="27"/>
        </w:rPr>
        <w:t xml:space="preserve">  But that is precisely why they </w:t>
      </w:r>
      <w:r w:rsidR="00975378">
        <w:rPr>
          <w:szCs w:val="27"/>
        </w:rPr>
        <w:t xml:space="preserve">add nothing to the analysis.  </w:t>
      </w:r>
      <w:r w:rsidR="004C0DAF">
        <w:rPr>
          <w:szCs w:val="27"/>
        </w:rPr>
        <w:t xml:space="preserve">An </w:t>
      </w:r>
      <w:r w:rsidR="00C124B1">
        <w:rPr>
          <w:szCs w:val="27"/>
        </w:rPr>
        <w:t xml:space="preserve">administrative interpretation </w:t>
      </w:r>
      <w:r w:rsidR="00975378">
        <w:rPr>
          <w:szCs w:val="27"/>
        </w:rPr>
        <w:t xml:space="preserve">that is clearly erroneous, even if </w:t>
      </w:r>
      <w:r>
        <w:t>long-standing and consistent</w:t>
      </w:r>
      <w:r w:rsidR="00975378">
        <w:t xml:space="preserve">, is entitled to no deference.  (See </w:t>
      </w:r>
      <w:r w:rsidR="00975378">
        <w:rPr>
          <w:i/>
          <w:iCs/>
        </w:rPr>
        <w:t xml:space="preserve">Sara M. v. Superior Court </w:t>
      </w:r>
      <w:r w:rsidR="00975378">
        <w:t>(2005) 36 Cal.4th 998, 1012</w:t>
      </w:r>
      <w:r w:rsidR="00975378" w:rsidRPr="00A75709">
        <w:t>.</w:t>
      </w:r>
      <w:r w:rsidR="00975378" w:rsidRPr="004E2279">
        <w:t>)</w:t>
      </w:r>
      <w:r w:rsidR="00975378">
        <w:rPr>
          <w:b/>
          <w:bCs/>
        </w:rPr>
        <w:t xml:space="preserve"> </w:t>
      </w:r>
      <w:r w:rsidR="00045830">
        <w:rPr>
          <w:b/>
          <w:bCs/>
        </w:rPr>
        <w:t xml:space="preserve"> </w:t>
      </w:r>
      <w:r w:rsidR="00045830">
        <w:t xml:space="preserve">Because the decisions apply the same approach to section 1772 as </w:t>
      </w:r>
      <w:r w:rsidR="00045830">
        <w:rPr>
          <w:i/>
          <w:iCs/>
        </w:rPr>
        <w:t xml:space="preserve">Sansone </w:t>
      </w:r>
      <w:r w:rsidR="00045830">
        <w:t xml:space="preserve">and its progeny, they offer no valid reason to extend coverage to mobilization under that statute. </w:t>
      </w:r>
    </w:p>
    <w:p w14:paraId="7116D004" w14:textId="19307C9A" w:rsidR="00090597" w:rsidRPr="00090597" w:rsidRDefault="001F6F58" w:rsidP="00090597">
      <w:pPr>
        <w:tabs>
          <w:tab w:val="left" w:pos="1440"/>
        </w:tabs>
        <w:ind w:firstLine="720"/>
        <w:rPr>
          <w:i/>
          <w:iCs/>
        </w:rPr>
      </w:pPr>
      <w:r>
        <w:t>F</w:t>
      </w:r>
      <w:r w:rsidR="00090597" w:rsidRPr="007640FB">
        <w:t>.</w:t>
      </w:r>
      <w:r w:rsidR="00090597" w:rsidRPr="007640FB">
        <w:tab/>
      </w:r>
      <w:r w:rsidR="00090597">
        <w:rPr>
          <w:i/>
          <w:iCs/>
        </w:rPr>
        <w:t>Application to Mobilization</w:t>
      </w:r>
    </w:p>
    <w:p w14:paraId="517E5744" w14:textId="194D2C17" w:rsidR="00DB6EEC" w:rsidRDefault="00012A45" w:rsidP="003E51F7">
      <w:pPr>
        <w:tabs>
          <w:tab w:val="left" w:pos="1440"/>
        </w:tabs>
        <w:ind w:firstLine="720"/>
      </w:pPr>
      <w:r>
        <w:t xml:space="preserve">In light of our interpretation of section 1772, </w:t>
      </w:r>
      <w:r w:rsidR="00A27098">
        <w:t xml:space="preserve">the answer to the Ninth Circuit’s certified question is simple.  </w:t>
      </w:r>
      <w:r w:rsidR="00417AF6">
        <w:t xml:space="preserve">That statute does not expand coverage to </w:t>
      </w:r>
      <w:r w:rsidR="001F6F58">
        <w:t>labor</w:t>
      </w:r>
      <w:r w:rsidR="00A90F0E">
        <w:rPr>
          <w:color w:val="00B050"/>
        </w:rPr>
        <w:t xml:space="preserve"> </w:t>
      </w:r>
      <w:r w:rsidR="00417AF6">
        <w:t xml:space="preserve">not otherwise defined as public work.  </w:t>
      </w:r>
      <w:r w:rsidR="00C064C0">
        <w:t>Unless mobilization qualifies as public work, an employer has no obligation to pay the prevailing wage</w:t>
      </w:r>
      <w:r w:rsidR="00892DCE">
        <w:t xml:space="preserve"> </w:t>
      </w:r>
      <w:r w:rsidR="001F6F58">
        <w:t xml:space="preserve">to those who perform it.  </w:t>
      </w:r>
      <w:r w:rsidR="00C064C0">
        <w:t>Se</w:t>
      </w:r>
      <w:r w:rsidR="00417AF6">
        <w:t>ction 1772</w:t>
      </w:r>
      <w:r w:rsidR="003E51F7">
        <w:t xml:space="preserve"> </w:t>
      </w:r>
      <w:r w:rsidR="00DB6EEC">
        <w:t xml:space="preserve">cannot </w:t>
      </w:r>
      <w:r w:rsidR="00715643">
        <w:t xml:space="preserve">independently </w:t>
      </w:r>
      <w:r w:rsidR="00DB6EEC">
        <w:t xml:space="preserve">serve as the basis for concluding that the prevailing wage must be paid for mobilization.  </w:t>
      </w:r>
    </w:p>
    <w:p w14:paraId="4CFF5EB2" w14:textId="1667E64B" w:rsidR="00491423" w:rsidRDefault="00E70896" w:rsidP="003E51F7">
      <w:pPr>
        <w:tabs>
          <w:tab w:val="left" w:pos="1440"/>
        </w:tabs>
        <w:ind w:firstLine="720"/>
      </w:pPr>
      <w:r>
        <w:t xml:space="preserve">This conclusion does not rule out the possibility that </w:t>
      </w:r>
      <w:r w:rsidR="00BF29B3">
        <w:t xml:space="preserve">prevailing wages must be paid for mobilization work under some </w:t>
      </w:r>
      <w:r w:rsidR="00BF29B3">
        <w:lastRenderedPageBreak/>
        <w:t>other theory</w:t>
      </w:r>
      <w:r w:rsidR="001F6F58">
        <w:t>.</w:t>
      </w:r>
      <w:r w:rsidR="00CB5CB2">
        <w:rPr>
          <w:rStyle w:val="FootnoteReference"/>
        </w:rPr>
        <w:footnoteReference w:id="23"/>
      </w:r>
      <w:r w:rsidR="00BF29B3">
        <w:t xml:space="preserve">  But that issue is not before us.  The Ninth Circuit’s question is limited to whether mobilization is covered under section 1772.</w:t>
      </w:r>
    </w:p>
    <w:p w14:paraId="7BC06AC5" w14:textId="244F91EB" w:rsidR="00417AF6" w:rsidRDefault="000A4E30" w:rsidP="00D0588E">
      <w:pPr>
        <w:tabs>
          <w:tab w:val="left" w:pos="1440"/>
        </w:tabs>
        <w:ind w:firstLine="720"/>
      </w:pPr>
      <w:r>
        <w:t xml:space="preserve">While this court </w:t>
      </w:r>
      <w:r w:rsidR="001F6F58">
        <w:t xml:space="preserve">may </w:t>
      </w:r>
      <w:r>
        <w:t>restate the</w:t>
      </w:r>
      <w:r w:rsidR="00491423">
        <w:t xml:space="preserve"> certified</w:t>
      </w:r>
      <w:r>
        <w:t xml:space="preserve"> question (</w:t>
      </w:r>
      <w:bookmarkStart w:id="12" w:name="_Hlk77065889"/>
      <w:r>
        <w:t>Cal. Rules of Court, rule 8.548(f)(5)</w:t>
      </w:r>
      <w:bookmarkEnd w:id="12"/>
      <w:r>
        <w:t>), we lack the power to reshape the federal litigation that gave rise to the</w:t>
      </w:r>
      <w:r w:rsidR="001F6F58">
        <w:t xml:space="preserve"> question in the first instance.  When we decide a </w:t>
      </w:r>
      <w:r>
        <w:t>question of California law</w:t>
      </w:r>
      <w:r w:rsidR="001F6F58">
        <w:t xml:space="preserve"> posed by another </w:t>
      </w:r>
      <w:r>
        <w:t xml:space="preserve">court, we are limited to an issue that “could determine the outcome of </w:t>
      </w:r>
      <w:r w:rsidR="00651997">
        <w:t>a</w:t>
      </w:r>
      <w:r>
        <w:t xml:space="preserve"> matter pending in the requesting court.”  (</w:t>
      </w:r>
      <w:bookmarkStart w:id="13" w:name="_Hlk77065904"/>
      <w:r>
        <w:t>Cal. Rules of Court, rule 8.548(a)(1)</w:t>
      </w:r>
      <w:bookmarkEnd w:id="13"/>
      <w:r>
        <w:t xml:space="preserve">.)  </w:t>
      </w:r>
      <w:r w:rsidR="00491423">
        <w:t>T</w:t>
      </w:r>
      <w:r>
        <w:t xml:space="preserve">he </w:t>
      </w:r>
      <w:r w:rsidR="00BF29B3">
        <w:t xml:space="preserve">broader issue of whether </w:t>
      </w:r>
      <w:r w:rsidR="00CB5CB2">
        <w:t xml:space="preserve">plaintiffs are entitled to be paid the prevailing wage under any conceivable theory is beyond the scope of the </w:t>
      </w:r>
      <w:r w:rsidR="00DF4D6E">
        <w:t xml:space="preserve">pending </w:t>
      </w:r>
      <w:r w:rsidR="00CB5CB2">
        <w:t xml:space="preserve">federal litigation.  The sole issue presented on appeal to the Ninth Circuit was whether </w:t>
      </w:r>
      <w:r w:rsidR="008E2DC6">
        <w:t xml:space="preserve">section 1772 afforded coverage for </w:t>
      </w:r>
      <w:r w:rsidR="00CB5CB2">
        <w:t xml:space="preserve">mobilization.  </w:t>
      </w:r>
      <w:r w:rsidR="008E2DC6">
        <w:t>A decision</w:t>
      </w:r>
      <w:r w:rsidR="00515D58">
        <w:t xml:space="preserve"> concerning whether mobilization qualifies as “construction” or other defined “public work” would not only consider a defense to the partial summary judgment motion not raised by the plaintiffs, but it would also not address the narrow legal issue before the Ninth Circuit.</w:t>
      </w:r>
    </w:p>
    <w:p w14:paraId="6F98A914" w14:textId="0D8A3505" w:rsidR="00D9683B" w:rsidRDefault="00B73EAA" w:rsidP="00E53034">
      <w:pPr>
        <w:tabs>
          <w:tab w:val="left" w:pos="1440"/>
        </w:tabs>
        <w:ind w:firstLine="720"/>
      </w:pPr>
      <w:r>
        <w:t xml:space="preserve">Plaintiffs did raise the issue of whether </w:t>
      </w:r>
      <w:r w:rsidR="007D3F66" w:rsidRPr="007640FB">
        <w:t>transportation of equipment to the work site should</w:t>
      </w:r>
      <w:r w:rsidR="00061E29" w:rsidRPr="007640FB">
        <w:t xml:space="preserve"> be treated as “travel time,” which</w:t>
      </w:r>
      <w:r w:rsidR="007D3F66" w:rsidRPr="007640FB">
        <w:t>,</w:t>
      </w:r>
      <w:r w:rsidR="00061E29" w:rsidRPr="007640FB">
        <w:t xml:space="preserve"> they claim</w:t>
      </w:r>
      <w:r w:rsidR="007D3F66" w:rsidRPr="007640FB">
        <w:t>,</w:t>
      </w:r>
      <w:r w:rsidR="00061E29" w:rsidRPr="007640FB">
        <w:t xml:space="preserve"> must be compensated at the prevailing wage.</w:t>
      </w:r>
      <w:r>
        <w:t xml:space="preserve">  </w:t>
      </w:r>
      <w:r w:rsidR="00027FF5">
        <w:lastRenderedPageBreak/>
        <w:t xml:space="preserve">To the extent their contention is premised upon the application of section 1772, the argument fails for the reasons articulated above.  If travel time does not fall under a definition of public work, section 1772 does not </w:t>
      </w:r>
      <w:r w:rsidR="00715643">
        <w:t xml:space="preserve">independently </w:t>
      </w:r>
      <w:r w:rsidR="00027FF5">
        <w:t xml:space="preserve">provide a basis for coverage.  Insofar as there may be some </w:t>
      </w:r>
      <w:r w:rsidR="001F6F58">
        <w:t xml:space="preserve">other </w:t>
      </w:r>
      <w:r w:rsidR="00396323">
        <w:t>s</w:t>
      </w:r>
      <w:r w:rsidR="00027FF5">
        <w:t>tatutory basis</w:t>
      </w:r>
      <w:r w:rsidR="00396323" w:rsidRPr="0058593B">
        <w:rPr>
          <w:color w:val="FF0000"/>
        </w:rPr>
        <w:t xml:space="preserve"> </w:t>
      </w:r>
      <w:r w:rsidR="00027FF5">
        <w:t>for compensating travel time at the prevailing</w:t>
      </w:r>
      <w:r w:rsidR="0058593B">
        <w:t xml:space="preserve"> </w:t>
      </w:r>
      <w:r w:rsidR="001F6F58">
        <w:t>rate</w:t>
      </w:r>
      <w:r w:rsidR="00027FF5">
        <w:t xml:space="preserve">, that issue is beyond the scope of the </w:t>
      </w:r>
      <w:r w:rsidR="00E53034">
        <w:t>question certified by the Ninth Circuit.</w:t>
      </w:r>
    </w:p>
    <w:p w14:paraId="7E4068BF" w14:textId="41578E09" w:rsidR="006C7ED7" w:rsidRDefault="00265CAF" w:rsidP="006C7ED7">
      <w:pPr>
        <w:tabs>
          <w:tab w:val="left" w:pos="1440"/>
        </w:tabs>
        <w:ind w:firstLine="720"/>
      </w:pPr>
      <w:r>
        <w:t xml:space="preserve">Justice </w:t>
      </w:r>
      <w:proofErr w:type="spellStart"/>
      <w:r>
        <w:t>Cuéllar’s</w:t>
      </w:r>
      <w:proofErr w:type="spellEnd"/>
      <w:r>
        <w:t xml:space="preserve"> dissent</w:t>
      </w:r>
      <w:r w:rsidR="002D2485">
        <w:t>s</w:t>
      </w:r>
      <w:r>
        <w:t xml:space="preserve"> here and in </w:t>
      </w:r>
      <w:r>
        <w:rPr>
          <w:i/>
          <w:iCs/>
        </w:rPr>
        <w:t>Busker</w:t>
      </w:r>
      <w:r>
        <w:t xml:space="preserve"> argue in quite forceful terms that a different approach to </w:t>
      </w:r>
      <w:r w:rsidR="001B6DFF">
        <w:t>the understanding of “public works”</w:t>
      </w:r>
      <w:r>
        <w:t xml:space="preserve"> is called for.</w:t>
      </w:r>
      <w:r w:rsidR="002D2485">
        <w:t xml:space="preserve">  </w:t>
      </w:r>
      <w:r>
        <w:t>They set out what our colleagues urge would be a better interpretation of the statutory language, and they reject the notion that coverage is limited to defined “public works.”  The</w:t>
      </w:r>
      <w:r w:rsidR="00974588">
        <w:t>y</w:t>
      </w:r>
      <w:r>
        <w:t xml:space="preserve"> fail to acknowledge, however, that this is a legislative function.  The Legislature may of course choose</w:t>
      </w:r>
      <w:r w:rsidR="001B6DFF">
        <w:t>,</w:t>
      </w:r>
      <w:r>
        <w:t xml:space="preserve"> or decline</w:t>
      </w:r>
      <w:r w:rsidR="001B6DFF">
        <w:t>,</w:t>
      </w:r>
      <w:r>
        <w:t xml:space="preserve"> to modify the definitions of “public works” it has chosen over the decades.  That is a policy choice to be considered by the Legislature after input from all interested parties and the exercise of its own judgment as to how best serve the </w:t>
      </w:r>
      <w:proofErr w:type="gramStart"/>
      <w:r>
        <w:t>sometimes</w:t>
      </w:r>
      <w:r w:rsidR="00974588">
        <w:t xml:space="preserve"> </w:t>
      </w:r>
      <w:r>
        <w:t>competing</w:t>
      </w:r>
      <w:proofErr w:type="gramEnd"/>
      <w:r>
        <w:t xml:space="preserve"> goals it seeks to achieve. </w:t>
      </w:r>
    </w:p>
    <w:p w14:paraId="0AA72C8A" w14:textId="77A3B2D4" w:rsidR="006C7ED7" w:rsidRDefault="00265CAF" w:rsidP="006C7ED7">
      <w:pPr>
        <w:tabs>
          <w:tab w:val="left" w:pos="1440"/>
        </w:tabs>
        <w:ind w:firstLine="720"/>
      </w:pPr>
      <w:r>
        <w:t xml:space="preserve">In our view, it is not the role of the judiciary to usurp that legislative prerogative.  Reading existing legislative enactments with care is not </w:t>
      </w:r>
      <w:r w:rsidR="001B6DFF">
        <w:t xml:space="preserve">“pernicious” </w:t>
      </w:r>
      <w:r w:rsidR="005255AC">
        <w:t xml:space="preserve">or </w:t>
      </w:r>
      <w:r>
        <w:t>merely an exercise in “judicial modesty.”   (</w:t>
      </w:r>
      <w:r w:rsidR="002D2485">
        <w:rPr>
          <w:i/>
          <w:iCs/>
        </w:rPr>
        <w:t>Busker</w:t>
      </w:r>
      <w:r w:rsidR="002D2485">
        <w:t xml:space="preserve">, </w:t>
      </w:r>
      <w:r w:rsidR="002D2485">
        <w:rPr>
          <w:i/>
          <w:iCs/>
        </w:rPr>
        <w:t>supra</w:t>
      </w:r>
      <w:r w:rsidR="002D2485">
        <w:t>, ___ Cal.5th at ___ [pp. 2</w:t>
      </w:r>
      <w:r w:rsidR="00695918">
        <w:t xml:space="preserve">, </w:t>
      </w:r>
      <w:r w:rsidR="002D2485">
        <w:t xml:space="preserve">3] (dis. </w:t>
      </w:r>
      <w:proofErr w:type="spellStart"/>
      <w:r w:rsidR="002D2485">
        <w:t>opn</w:t>
      </w:r>
      <w:proofErr w:type="spellEnd"/>
      <w:r w:rsidR="002D2485">
        <w:t>. of Cuéllar, J.).</w:t>
      </w:r>
      <w:r>
        <w:t>)  Instead, it is an approach, firmly established in our jurisprudence</w:t>
      </w:r>
      <w:r w:rsidR="00974588">
        <w:t>,</w:t>
      </w:r>
      <w:r>
        <w:t xml:space="preserve"> that honors the important safeguards served by the separation of powers.  “</w:t>
      </w:r>
      <w:r w:rsidR="007A5C2F">
        <w:t>[</w:t>
      </w:r>
      <w:r>
        <w:t>C</w:t>
      </w:r>
      <w:r w:rsidR="007A5C2F">
        <w:t>]</w:t>
      </w:r>
      <w:proofErr w:type="spellStart"/>
      <w:r>
        <w:t>onstru</w:t>
      </w:r>
      <w:proofErr w:type="spellEnd"/>
      <w:r w:rsidR="007A5C2F">
        <w:t>[</w:t>
      </w:r>
      <w:proofErr w:type="spellStart"/>
      <w:r>
        <w:t>ing</w:t>
      </w:r>
      <w:proofErr w:type="spellEnd"/>
      <w:r w:rsidR="007A5C2F">
        <w:t>]</w:t>
      </w:r>
      <w:r>
        <w:t xml:space="preserve"> the law liberally” is a different enterprise from rewriting the law to have it read as we think best.</w:t>
      </w:r>
      <w:r w:rsidR="00974588">
        <w:t xml:space="preserve">  (</w:t>
      </w:r>
      <w:r w:rsidR="007A5C2F" w:rsidRPr="00165D04">
        <w:rPr>
          <w:i/>
          <w:iCs/>
        </w:rPr>
        <w:t>Busker</w:t>
      </w:r>
      <w:r w:rsidR="007A5C2F">
        <w:t xml:space="preserve">, at ___ [p. 2] (dis. </w:t>
      </w:r>
      <w:proofErr w:type="spellStart"/>
      <w:r w:rsidR="007A5C2F">
        <w:t>opn</w:t>
      </w:r>
      <w:proofErr w:type="spellEnd"/>
      <w:r w:rsidR="007A5C2F">
        <w:t>. of Cuéllar, J.).)</w:t>
      </w:r>
    </w:p>
    <w:p w14:paraId="0A20AF80" w14:textId="5E33B425" w:rsidR="00265CAF" w:rsidRDefault="00265CAF" w:rsidP="006C7ED7">
      <w:pPr>
        <w:tabs>
          <w:tab w:val="left" w:pos="1440"/>
        </w:tabs>
        <w:ind w:firstLine="720"/>
      </w:pPr>
      <w:r>
        <w:t xml:space="preserve">We emphasize two points, lest there be any confusion.  First, the prevailing wage law covers what the Legislature says </w:t>
      </w:r>
      <w:r>
        <w:lastRenderedPageBreak/>
        <w:t xml:space="preserve">it covers.  Second, our holding is narrow.  We merely address the question </w:t>
      </w:r>
      <w:r w:rsidR="00974588">
        <w:t>posed by the parties and the Ninth Circuit:  whether section 1772, standing alone, expands the scope of the term “public works” to embrace labor that is not covered by the definitions enacted as part of section 1720 et seq.  Nothing we say here should be read to condone any attempt to ignore the protections or obligations of the prevailing wage law.</w:t>
      </w:r>
    </w:p>
    <w:p w14:paraId="22FC57A4" w14:textId="77777777" w:rsidR="00B96D1D" w:rsidRPr="007640FB" w:rsidRDefault="00B96D1D" w:rsidP="00AF1F8B">
      <w:pPr>
        <w:keepNext/>
        <w:tabs>
          <w:tab w:val="left" w:pos="1440"/>
        </w:tabs>
        <w:jc w:val="center"/>
      </w:pPr>
      <w:r w:rsidRPr="007640FB">
        <w:t xml:space="preserve">III.  </w:t>
      </w:r>
      <w:r w:rsidR="005D69D6" w:rsidRPr="007640FB">
        <w:t>CONCLUSION</w:t>
      </w:r>
    </w:p>
    <w:p w14:paraId="6FC13415" w14:textId="1987A9E1" w:rsidR="00100CFB" w:rsidRDefault="00D93980" w:rsidP="003A16C1">
      <w:pPr>
        <w:tabs>
          <w:tab w:val="left" w:pos="1440"/>
        </w:tabs>
        <w:ind w:firstLine="720"/>
      </w:pPr>
      <w:r>
        <w:t>We answer the</w:t>
      </w:r>
      <w:r w:rsidR="00A35649" w:rsidRPr="007640FB">
        <w:t xml:space="preserve"> </w:t>
      </w:r>
      <w:r w:rsidR="00245E1B" w:rsidRPr="007640FB">
        <w:t xml:space="preserve">Ninth </w:t>
      </w:r>
      <w:r w:rsidR="00353425" w:rsidRPr="007640FB">
        <w:t>Circuit</w:t>
      </w:r>
      <w:r w:rsidR="00A35649" w:rsidRPr="007640FB">
        <w:t xml:space="preserve">’s </w:t>
      </w:r>
      <w:r w:rsidR="00B05A65" w:rsidRPr="007640FB">
        <w:t>question as follows</w:t>
      </w:r>
      <w:r w:rsidR="0019487D">
        <w:t xml:space="preserve">.  </w:t>
      </w:r>
      <w:r>
        <w:t xml:space="preserve"> </w:t>
      </w:r>
      <w:r w:rsidR="000E7237">
        <w:t xml:space="preserve">Section 1772 does not expand the categories of public work that trigger the obligation to pay at least the prevailing wage under section 1771.  </w:t>
      </w:r>
      <w:r w:rsidR="002517C0">
        <w:t xml:space="preserve">Here there is no contention that </w:t>
      </w:r>
      <w:r w:rsidR="0019487D">
        <w:t>mobilization qualifies as</w:t>
      </w:r>
      <w:r w:rsidR="002517C0">
        <w:t xml:space="preserve"> defined</w:t>
      </w:r>
      <w:r w:rsidR="0019487D">
        <w:t xml:space="preserve"> </w:t>
      </w:r>
      <w:r w:rsidR="002517C0">
        <w:t>“</w:t>
      </w:r>
      <w:r w:rsidR="0019487D">
        <w:t>public work</w:t>
      </w:r>
      <w:r w:rsidR="002517C0">
        <w:t xml:space="preserve">.”  Under the circumstances, section 1772 </w:t>
      </w:r>
      <w:r w:rsidR="0019487D">
        <w:t>does not</w:t>
      </w:r>
      <w:r w:rsidR="0022324E">
        <w:t xml:space="preserve"> provide a basis for requiring plaintiffs to be paid the prevailing wage for that work.</w:t>
      </w:r>
    </w:p>
    <w:p w14:paraId="048CE7E5" w14:textId="2CA8F6C9" w:rsidR="002A701F" w:rsidRDefault="002A701F" w:rsidP="003A16C1">
      <w:pPr>
        <w:tabs>
          <w:tab w:val="left" w:pos="1440"/>
        </w:tabs>
        <w:ind w:firstLine="720"/>
      </w:pPr>
    </w:p>
    <w:p w14:paraId="69105881" w14:textId="06DE9111" w:rsidR="002A701F" w:rsidRDefault="002A701F" w:rsidP="003A16C1">
      <w:pPr>
        <w:tabs>
          <w:tab w:val="left" w:pos="1440"/>
        </w:tabs>
        <w:ind w:firstLine="720"/>
        <w:rPr>
          <w:b/>
          <w:bCs/>
        </w:rPr>
      </w:pPr>
      <w:r>
        <w:tab/>
      </w:r>
      <w:r>
        <w:tab/>
      </w:r>
      <w:r>
        <w:tab/>
      </w:r>
      <w:r>
        <w:tab/>
      </w:r>
      <w:r>
        <w:tab/>
      </w:r>
      <w:r>
        <w:tab/>
      </w:r>
      <w:r w:rsidRPr="002A701F">
        <w:rPr>
          <w:b/>
          <w:bCs/>
        </w:rPr>
        <w:t>CORRIGAN, J.</w:t>
      </w:r>
    </w:p>
    <w:p w14:paraId="325AFB31" w14:textId="67634B5C" w:rsidR="002A701F" w:rsidRDefault="002A701F" w:rsidP="003A16C1">
      <w:pPr>
        <w:tabs>
          <w:tab w:val="left" w:pos="1440"/>
        </w:tabs>
        <w:ind w:firstLine="720"/>
        <w:rPr>
          <w:b/>
          <w:bCs/>
        </w:rPr>
      </w:pPr>
    </w:p>
    <w:p w14:paraId="674EE9FA" w14:textId="50D3A51B" w:rsidR="002A701F" w:rsidRDefault="002A701F" w:rsidP="003A16C1">
      <w:pPr>
        <w:tabs>
          <w:tab w:val="left" w:pos="1440"/>
        </w:tabs>
        <w:ind w:firstLine="720"/>
        <w:rPr>
          <w:b/>
          <w:bCs/>
        </w:rPr>
      </w:pPr>
      <w:r>
        <w:rPr>
          <w:b/>
          <w:bCs/>
        </w:rPr>
        <w:t>We Concur:</w:t>
      </w:r>
    </w:p>
    <w:p w14:paraId="479749B2" w14:textId="77777777" w:rsidR="007F2BA0" w:rsidRDefault="007F2BA0" w:rsidP="007F2BA0">
      <w:pPr>
        <w:spacing w:after="0" w:line="240" w:lineRule="auto"/>
        <w:ind w:left="720"/>
        <w:rPr>
          <w:b/>
          <w:szCs w:val="26"/>
        </w:rPr>
      </w:pPr>
      <w:r>
        <w:rPr>
          <w:b/>
          <w:szCs w:val="26"/>
        </w:rPr>
        <w:t>CANTIL-SAKAUYE, C. J.</w:t>
      </w:r>
    </w:p>
    <w:p w14:paraId="2E5A5B72" w14:textId="77777777" w:rsidR="007F2BA0" w:rsidRDefault="007F2BA0" w:rsidP="007F2BA0">
      <w:pPr>
        <w:spacing w:after="0" w:line="240" w:lineRule="auto"/>
        <w:ind w:left="720"/>
        <w:rPr>
          <w:b/>
        </w:rPr>
      </w:pPr>
      <w:r>
        <w:rPr>
          <w:b/>
        </w:rPr>
        <w:t>KRUGER, J.</w:t>
      </w:r>
    </w:p>
    <w:p w14:paraId="5B72F0FD" w14:textId="77777777" w:rsidR="007F2BA0" w:rsidRDefault="007F2BA0" w:rsidP="007F2BA0">
      <w:pPr>
        <w:spacing w:after="0" w:line="240" w:lineRule="auto"/>
        <w:ind w:left="720"/>
        <w:rPr>
          <w:b/>
        </w:rPr>
      </w:pPr>
      <w:r>
        <w:rPr>
          <w:b/>
        </w:rPr>
        <w:t>GROBAN, J.</w:t>
      </w:r>
    </w:p>
    <w:p w14:paraId="63940C2D" w14:textId="77777777" w:rsidR="007F2BA0" w:rsidRPr="000D54AF" w:rsidRDefault="007F2BA0" w:rsidP="007F2BA0">
      <w:pPr>
        <w:spacing w:after="0" w:line="240" w:lineRule="auto"/>
        <w:ind w:left="720"/>
        <w:rPr>
          <w:b/>
        </w:rPr>
      </w:pPr>
      <w:r>
        <w:rPr>
          <w:b/>
        </w:rPr>
        <w:t>JENKINS, J.</w:t>
      </w:r>
    </w:p>
    <w:p w14:paraId="1559902E" w14:textId="77777777" w:rsidR="00A10B98" w:rsidRDefault="00A10B98" w:rsidP="003A16C1">
      <w:pPr>
        <w:tabs>
          <w:tab w:val="left" w:pos="1440"/>
        </w:tabs>
        <w:ind w:firstLine="720"/>
        <w:rPr>
          <w:b/>
          <w:bCs/>
        </w:rPr>
        <w:sectPr w:rsidR="00A10B98" w:rsidSect="00F3300C">
          <w:footerReference w:type="first" r:id="rId11"/>
          <w:pgSz w:w="12240" w:h="15840"/>
          <w:pgMar w:top="1800" w:right="2160" w:bottom="1440" w:left="2160" w:header="720" w:footer="720" w:gutter="0"/>
          <w:pgNumType w:start="1"/>
          <w:cols w:space="720"/>
          <w:titlePg/>
          <w:docGrid w:linePitch="367"/>
        </w:sectPr>
      </w:pPr>
    </w:p>
    <w:p w14:paraId="0B4D9E83" w14:textId="77777777" w:rsidR="009C3862" w:rsidRDefault="009C3862" w:rsidP="009C3862">
      <w:pPr>
        <w:jc w:val="center"/>
      </w:pPr>
      <w:r>
        <w:rPr>
          <w:szCs w:val="26"/>
        </w:rPr>
        <w:lastRenderedPageBreak/>
        <w:t xml:space="preserve">MENDOZA v. </w:t>
      </w:r>
      <w:r>
        <w:t xml:space="preserve">FONSECA </w:t>
      </w:r>
      <w:proofErr w:type="spellStart"/>
      <w:r>
        <w:t>M</w:t>
      </w:r>
      <w:r w:rsidRPr="003B1DF9">
        <w:rPr>
          <w:smallCaps/>
        </w:rPr>
        <w:t>c</w:t>
      </w:r>
      <w:r>
        <w:t>ELROY</w:t>
      </w:r>
      <w:proofErr w:type="spellEnd"/>
      <w:r>
        <w:t xml:space="preserve"> GRINDING CO., INC.</w:t>
      </w:r>
    </w:p>
    <w:p w14:paraId="3BC6C8B4" w14:textId="77777777" w:rsidR="009C3862" w:rsidRDefault="009C3862" w:rsidP="009C3862">
      <w:pPr>
        <w:jc w:val="center"/>
      </w:pPr>
      <w:r>
        <w:t>S253574</w:t>
      </w:r>
    </w:p>
    <w:p w14:paraId="540E754F" w14:textId="77777777" w:rsidR="009C3862" w:rsidRDefault="009C3862" w:rsidP="009C3862">
      <w:pPr>
        <w:jc w:val="center"/>
      </w:pPr>
    </w:p>
    <w:p w14:paraId="49B74252" w14:textId="77777777" w:rsidR="009C3862" w:rsidRDefault="009C3862" w:rsidP="009C3862">
      <w:pPr>
        <w:jc w:val="center"/>
      </w:pPr>
      <w:r>
        <w:t>Dissenting Opinion by Justice Cuéllar</w:t>
      </w:r>
    </w:p>
    <w:p w14:paraId="16782FD7" w14:textId="77777777" w:rsidR="009C3862" w:rsidRDefault="009C3862" w:rsidP="009C3862">
      <w:pPr>
        <w:jc w:val="center"/>
      </w:pPr>
    </w:p>
    <w:p w14:paraId="1BCFFBBD" w14:textId="77777777" w:rsidR="009C3862" w:rsidRDefault="009C3862" w:rsidP="009C3862">
      <w:pPr>
        <w:pStyle w:val="BodyText"/>
        <w:ind w:firstLine="720"/>
      </w:pPr>
      <w:r w:rsidRPr="00F009E6">
        <w:t xml:space="preserve">Plaintiffs </w:t>
      </w:r>
      <w:r>
        <w:t xml:space="preserve">(Leopoldo Pena Mendoza, </w:t>
      </w:r>
      <w:proofErr w:type="spellStart"/>
      <w:r>
        <w:t>Elviz</w:t>
      </w:r>
      <w:proofErr w:type="spellEnd"/>
      <w:r>
        <w:t xml:space="preserve"> Sanchez, and Jose Armando Cortes)</w:t>
      </w:r>
      <w:r w:rsidRPr="00F009E6">
        <w:t xml:space="preserve"> worked as engineers for a public works roadway construction project.  They operated</w:t>
      </w:r>
      <w:r>
        <w:t xml:space="preserve"> heavy milling machines to break up the existing roadbeds so that new roads could be built.  (Maj. </w:t>
      </w:r>
      <w:proofErr w:type="spellStart"/>
      <w:r>
        <w:t>opn</w:t>
      </w:r>
      <w:proofErr w:type="spellEnd"/>
      <w:r>
        <w:t xml:space="preserve">., </w:t>
      </w:r>
      <w:r w:rsidRPr="00296E29">
        <w:rPr>
          <w:i/>
          <w:iCs/>
        </w:rPr>
        <w:t>ante</w:t>
      </w:r>
      <w:r>
        <w:t>, at p. 2.)  This was unquestionably “ ‘public works’ ” labor under Labor Code section 1720, subdivision (a)(1),</w:t>
      </w:r>
      <w:r w:rsidRPr="00FC0521">
        <w:rPr>
          <w:rStyle w:val="FootnoteReference"/>
        </w:rPr>
        <w:footnoteReference w:id="24"/>
      </w:r>
      <w:r>
        <w:t xml:space="preserve"> as it clearly involved </w:t>
      </w:r>
      <w:r w:rsidRPr="00571CA1">
        <w:t>“[c]</w:t>
      </w:r>
      <w:proofErr w:type="spellStart"/>
      <w:r w:rsidRPr="00571CA1">
        <w:t>onstruction</w:t>
      </w:r>
      <w:proofErr w:type="spellEnd"/>
      <w:r w:rsidRPr="00571CA1">
        <w:t>, alteration, demolition, installation, or repair work</w:t>
      </w:r>
      <w:r>
        <w:t xml:space="preserve"> . . . .</w:t>
      </w:r>
      <w:r w:rsidRPr="00571CA1">
        <w:t>”</w:t>
      </w:r>
      <w:r>
        <w:t xml:space="preserve">  (§ 1720, </w:t>
      </w:r>
      <w:proofErr w:type="spellStart"/>
      <w:r>
        <w:t>subd</w:t>
      </w:r>
      <w:proofErr w:type="spellEnd"/>
      <w:r>
        <w:t xml:space="preserve">. (a)(1).)  The majority agrees.  (Maj. </w:t>
      </w:r>
      <w:proofErr w:type="spellStart"/>
      <w:r>
        <w:t>opn</w:t>
      </w:r>
      <w:proofErr w:type="spellEnd"/>
      <w:r>
        <w:t xml:space="preserve">., </w:t>
      </w:r>
      <w:r w:rsidRPr="00FF700B">
        <w:rPr>
          <w:i/>
          <w:iCs/>
        </w:rPr>
        <w:t>ante</w:t>
      </w:r>
      <w:r>
        <w:t>, at p. 6.)</w:t>
      </w:r>
    </w:p>
    <w:p w14:paraId="14F930B8" w14:textId="77777777" w:rsidR="009C3862" w:rsidRPr="00F009E6" w:rsidRDefault="009C3862" w:rsidP="009C3862">
      <w:pPr>
        <w:pStyle w:val="BodyText"/>
        <w:ind w:firstLine="720"/>
      </w:pPr>
      <w:r>
        <w:t xml:space="preserve">Plaintiffs also had to engage in “mobilization” work:  transporting the milling machinery to and from offsite storage locations and preparing it for use.  (Maj. </w:t>
      </w:r>
      <w:proofErr w:type="spellStart"/>
      <w:r>
        <w:t>opn</w:t>
      </w:r>
      <w:proofErr w:type="spellEnd"/>
      <w:r>
        <w:t xml:space="preserve">., </w:t>
      </w:r>
      <w:r w:rsidRPr="0005188C">
        <w:rPr>
          <w:i/>
          <w:iCs/>
        </w:rPr>
        <w:t>ante</w:t>
      </w:r>
      <w:r>
        <w:t>, at p. 2 &amp; fn. 3.)  There was little prospect that plaintiffs could complete the construction work they were hired to do without mobilizing the machines used to repave the roadways.  The majority nonetheless rejects plaintiffs’ argument that mobilization labor qualifies for prevailing wage coverage under section 1772, which provides that “[w]</w:t>
      </w:r>
      <w:proofErr w:type="spellStart"/>
      <w:r w:rsidRPr="000451CF">
        <w:t>orkers</w:t>
      </w:r>
      <w:proofErr w:type="spellEnd"/>
      <w:r w:rsidRPr="000451CF">
        <w:t xml:space="preserve"> employed by contractors or subcontractors in the execution of any contract for public work are deemed to be employed upon public work.</w:t>
      </w:r>
      <w:r>
        <w:t>”  (</w:t>
      </w:r>
      <w:r w:rsidRPr="00224BF5">
        <w:rPr>
          <w:color w:val="000000"/>
          <w:szCs w:val="27"/>
          <w:shd w:val="clear" w:color="auto" w:fill="FFFFFF"/>
        </w:rPr>
        <w:t>§</w:t>
      </w:r>
      <w:r>
        <w:rPr>
          <w:color w:val="000000"/>
          <w:szCs w:val="27"/>
          <w:shd w:val="clear" w:color="auto" w:fill="FFFFFF"/>
        </w:rPr>
        <w:t> 1772</w:t>
      </w:r>
      <w:r>
        <w:t xml:space="preserve">.)  By its account, section 1772 in no way relates to the </w:t>
      </w:r>
      <w:r>
        <w:lastRenderedPageBreak/>
        <w:t xml:space="preserve">scope of work covered, and instead simply ensures coverage for </w:t>
      </w:r>
      <w:r w:rsidRPr="00F009E6">
        <w:t>contract workers engaged in defined public work</w:t>
      </w:r>
      <w:r>
        <w:t>s activities.</w:t>
      </w:r>
      <w:r w:rsidRPr="00F009E6">
        <w:t xml:space="preserve">  (See, e.g., </w:t>
      </w:r>
      <w:proofErr w:type="spellStart"/>
      <w:r w:rsidRPr="00F009E6">
        <w:t>maj.</w:t>
      </w:r>
      <w:proofErr w:type="spellEnd"/>
      <w:r w:rsidRPr="00F009E6">
        <w:t xml:space="preserve"> </w:t>
      </w:r>
      <w:proofErr w:type="spellStart"/>
      <w:r w:rsidRPr="00F009E6">
        <w:t>opn</w:t>
      </w:r>
      <w:proofErr w:type="spellEnd"/>
      <w:r w:rsidRPr="00F009E6">
        <w:t xml:space="preserve">., </w:t>
      </w:r>
      <w:r w:rsidRPr="00F009E6">
        <w:rPr>
          <w:i/>
          <w:iCs/>
        </w:rPr>
        <w:t>ante</w:t>
      </w:r>
      <w:r w:rsidRPr="00F009E6">
        <w:t xml:space="preserve">, at pp. 1–2, </w:t>
      </w:r>
      <w:r>
        <w:t>8</w:t>
      </w:r>
      <w:r w:rsidRPr="00F009E6">
        <w:t>–1</w:t>
      </w:r>
      <w:r>
        <w:t>0</w:t>
      </w:r>
      <w:r w:rsidRPr="00F009E6">
        <w:t xml:space="preserve">, </w:t>
      </w:r>
      <w:r>
        <w:t>14, 21</w:t>
      </w:r>
      <w:r w:rsidRPr="00F009E6">
        <w:t>–</w:t>
      </w:r>
      <w:r>
        <w:t>22</w:t>
      </w:r>
      <w:r w:rsidRPr="00F009E6">
        <w:t xml:space="preserve">.) </w:t>
      </w:r>
    </w:p>
    <w:p w14:paraId="36CEB905" w14:textId="4E1BB011" w:rsidR="009C3862" w:rsidRDefault="009C3862" w:rsidP="009C3862">
      <w:pPr>
        <w:pStyle w:val="BodyText"/>
        <w:ind w:firstLine="720"/>
      </w:pPr>
      <w:r w:rsidRPr="00F009E6">
        <w:t xml:space="preserve">That’s a conclusion I cannot embrace.  I respectfully dissent for the same reasons explained more fully in my separate dissenting opinion in the </w:t>
      </w:r>
      <w:r>
        <w:t>other</w:t>
      </w:r>
      <w:r w:rsidRPr="00F009E6">
        <w:t xml:space="preserve"> prevailing wage case we also decide</w:t>
      </w:r>
      <w:r>
        <w:t xml:space="preserve"> today, </w:t>
      </w:r>
      <w:bookmarkStart w:id="14" w:name="_Hlk79058160"/>
      <w:r>
        <w:rPr>
          <w:i/>
          <w:iCs/>
        </w:rPr>
        <w:t>Busker</w:t>
      </w:r>
      <w:r w:rsidRPr="00FB56A7">
        <w:rPr>
          <w:i/>
          <w:iCs/>
        </w:rPr>
        <w:t xml:space="preserve"> v. </w:t>
      </w:r>
      <w:r>
        <w:rPr>
          <w:i/>
          <w:iCs/>
        </w:rPr>
        <w:t>Wabtec Corp.</w:t>
      </w:r>
      <w:r w:rsidRPr="00FB56A7">
        <w:t xml:space="preserve"> </w:t>
      </w:r>
      <w:r>
        <w:t xml:space="preserve">(Aug. </w:t>
      </w:r>
      <w:r w:rsidR="00746327">
        <w:t>16</w:t>
      </w:r>
      <w:r>
        <w:t xml:space="preserve">, 2021, </w:t>
      </w:r>
      <w:r w:rsidRPr="00FB56A7">
        <w:t>S25</w:t>
      </w:r>
      <w:r>
        <w:t>1135) __ Cal.5th __ (</w:t>
      </w:r>
      <w:r w:rsidRPr="001C21A6">
        <w:rPr>
          <w:i/>
          <w:iCs/>
        </w:rPr>
        <w:t>Busker</w:t>
      </w:r>
      <w:r>
        <w:t xml:space="preserve">).  </w:t>
      </w:r>
      <w:bookmarkEnd w:id="14"/>
    </w:p>
    <w:p w14:paraId="339CB4CE" w14:textId="77777777" w:rsidR="009C3862" w:rsidRDefault="009C3862" w:rsidP="009C3862">
      <w:pPr>
        <w:pStyle w:val="BodyText"/>
        <w:ind w:firstLine="720"/>
      </w:pPr>
      <w:r>
        <w:t>Because of the prevailing wage law’s critical function in protecting workers employed on public works, we must interpret the law liberally.  (</w:t>
      </w:r>
      <w:r>
        <w:rPr>
          <w:i/>
        </w:rPr>
        <w:t xml:space="preserve">City of Long Beach v. Department of Industrial Relations </w:t>
      </w:r>
      <w:r>
        <w:t xml:space="preserve">(2004) 34 Cal.4th 942, 949–950.)  For several decades, the Courts of Appeal and </w:t>
      </w:r>
      <w:bookmarkStart w:id="15" w:name="_Hlk79058257"/>
      <w:r>
        <w:t xml:space="preserve">Department of Industrial Relations (DIR) </w:t>
      </w:r>
      <w:bookmarkEnd w:id="15"/>
      <w:r>
        <w:t>have fulfilled their obligation in construing section 1772 by interpreting it to cover certain work critically related to the “execution of” (</w:t>
      </w:r>
      <w:r>
        <w:rPr>
          <w:i/>
          <w:iCs/>
        </w:rPr>
        <w:t>ibid.</w:t>
      </w:r>
      <w:r>
        <w:t xml:space="preserve">) a public works contract.  (See, e.g., </w:t>
      </w:r>
      <w:bookmarkStart w:id="16" w:name="_Hlk79058606"/>
      <w:r w:rsidRPr="005B3C94">
        <w:rPr>
          <w:i/>
          <w:iCs/>
          <w:szCs w:val="27"/>
        </w:rPr>
        <w:t xml:space="preserve">O.G. Sansone Co. v. Department of Transportation </w:t>
      </w:r>
      <w:r w:rsidRPr="005B3C94">
        <w:rPr>
          <w:szCs w:val="27"/>
        </w:rPr>
        <w:t>(1976) 55 Cal.App.3d 434</w:t>
      </w:r>
      <w:r>
        <w:rPr>
          <w:szCs w:val="27"/>
        </w:rPr>
        <w:t>, 443–444 (</w:t>
      </w:r>
      <w:r w:rsidRPr="00D734A9">
        <w:rPr>
          <w:i/>
          <w:iCs/>
          <w:szCs w:val="27"/>
        </w:rPr>
        <w:t>Sansone</w:t>
      </w:r>
      <w:r>
        <w:rPr>
          <w:szCs w:val="27"/>
        </w:rPr>
        <w:t xml:space="preserve">); </w:t>
      </w:r>
      <w:r w:rsidRPr="00BC2BA0">
        <w:rPr>
          <w:i/>
          <w:szCs w:val="27"/>
        </w:rPr>
        <w:t xml:space="preserve">Williams v. </w:t>
      </w:r>
      <w:proofErr w:type="spellStart"/>
      <w:r w:rsidRPr="00BC2BA0">
        <w:rPr>
          <w:i/>
          <w:szCs w:val="27"/>
        </w:rPr>
        <w:t>SnSands</w:t>
      </w:r>
      <w:proofErr w:type="spellEnd"/>
      <w:r w:rsidRPr="00BC2BA0">
        <w:rPr>
          <w:i/>
          <w:szCs w:val="27"/>
        </w:rPr>
        <w:t xml:space="preserve"> Corp. </w:t>
      </w:r>
      <w:r w:rsidRPr="00BC2BA0">
        <w:rPr>
          <w:szCs w:val="27"/>
        </w:rPr>
        <w:t>(2007) 156 Cal.App.4th 742</w:t>
      </w:r>
      <w:r>
        <w:rPr>
          <w:szCs w:val="27"/>
        </w:rPr>
        <w:t>, 752–753</w:t>
      </w:r>
      <w:r>
        <w:t xml:space="preserve">; </w:t>
      </w:r>
      <w:r w:rsidRPr="00D822B9">
        <w:rPr>
          <w:i/>
          <w:szCs w:val="27"/>
        </w:rPr>
        <w:t xml:space="preserve">Sheet Metal Workers’ </w:t>
      </w:r>
      <w:proofErr w:type="spellStart"/>
      <w:r w:rsidRPr="00D822B9">
        <w:rPr>
          <w:i/>
          <w:szCs w:val="27"/>
        </w:rPr>
        <w:t>Internat.</w:t>
      </w:r>
      <w:proofErr w:type="spellEnd"/>
      <w:r w:rsidRPr="00D822B9">
        <w:rPr>
          <w:i/>
          <w:szCs w:val="27"/>
        </w:rPr>
        <w:t xml:space="preserve"> Assn., Local 104 v. Duncan </w:t>
      </w:r>
      <w:r w:rsidRPr="00D822B9">
        <w:rPr>
          <w:szCs w:val="27"/>
        </w:rPr>
        <w:t>(2014) 229 Cal.App.4th 192</w:t>
      </w:r>
      <w:r>
        <w:rPr>
          <w:szCs w:val="27"/>
        </w:rPr>
        <w:t>, 205–206, 211–214 (</w:t>
      </w:r>
      <w:r w:rsidRPr="007A42C7">
        <w:rPr>
          <w:i/>
          <w:iCs/>
          <w:szCs w:val="27"/>
        </w:rPr>
        <w:t>Sheet Metal</w:t>
      </w:r>
      <w:r>
        <w:rPr>
          <w:szCs w:val="27"/>
        </w:rPr>
        <w:t>).</w:t>
      </w:r>
      <w:r>
        <w:t xml:space="preserve">)  </w:t>
      </w:r>
      <w:bookmarkEnd w:id="16"/>
      <w:r>
        <w:t xml:space="preserve">These cases provide us with </w:t>
      </w:r>
      <w:r>
        <w:rPr>
          <w:szCs w:val="27"/>
        </w:rPr>
        <w:t xml:space="preserve">three factors that help determine whether labor </w:t>
      </w:r>
      <w:r w:rsidRPr="00625131">
        <w:rPr>
          <w:szCs w:val="27"/>
        </w:rPr>
        <w:t xml:space="preserve">is done in “the execution of [a] contract for public work” </w:t>
      </w:r>
      <w:r>
        <w:rPr>
          <w:szCs w:val="27"/>
        </w:rPr>
        <w:t xml:space="preserve">under section 1772:  whether the labor is </w:t>
      </w:r>
      <w:r w:rsidRPr="00625131">
        <w:rPr>
          <w:szCs w:val="27"/>
        </w:rPr>
        <w:t xml:space="preserve">(1) functionally related to the construction process; (2) integrated into that </w:t>
      </w:r>
      <w:r w:rsidRPr="00625131">
        <w:rPr>
          <w:szCs w:val="27"/>
        </w:rPr>
        <w:lastRenderedPageBreak/>
        <w:t>process; and (3)</w:t>
      </w:r>
      <w:r>
        <w:rPr>
          <w:szCs w:val="27"/>
        </w:rPr>
        <w:t xml:space="preserve"> </w:t>
      </w:r>
      <w:r w:rsidRPr="00625131">
        <w:rPr>
          <w:szCs w:val="27"/>
        </w:rPr>
        <w:t>done to fulfill the prime contractor’s obligation to complete a public works aspect of the project</w:t>
      </w:r>
      <w:r>
        <w:rPr>
          <w:szCs w:val="27"/>
        </w:rPr>
        <w:t>.</w:t>
      </w:r>
      <w:r>
        <w:rPr>
          <w:rStyle w:val="FootnoteReference"/>
        </w:rPr>
        <w:footnoteReference w:id="25"/>
      </w:r>
      <w:r>
        <w:t xml:space="preserve">  </w:t>
      </w:r>
    </w:p>
    <w:p w14:paraId="1DD12153" w14:textId="77777777" w:rsidR="009C3862" w:rsidRDefault="009C3862" w:rsidP="009C3862">
      <w:pPr>
        <w:pStyle w:val="BodyText"/>
        <w:ind w:firstLine="720"/>
      </w:pPr>
      <w:r>
        <w:t xml:space="preserve">The majority nonetheless breaks with this established authority without justification.  It glosses over section 1772’s language </w:t>
      </w:r>
      <w:r w:rsidRPr="00FB3B2B">
        <w:rPr>
          <w:i/>
          <w:iCs/>
        </w:rPr>
        <w:t>deeming</w:t>
      </w:r>
      <w:r>
        <w:rPr>
          <w:i/>
          <w:iCs/>
        </w:rPr>
        <w:t xml:space="preserve"> </w:t>
      </w:r>
      <w:r>
        <w:t>workers engaged in the “execution of” a public works contract — i.e., working to carry out and complete the construction or other related tasks for the project — to be employed on “public work.”  (</w:t>
      </w:r>
      <w:r w:rsidRPr="00224BF5">
        <w:rPr>
          <w:color w:val="000000"/>
          <w:szCs w:val="27"/>
          <w:shd w:val="clear" w:color="auto" w:fill="FFFFFF"/>
        </w:rPr>
        <w:t>§</w:t>
      </w:r>
      <w:r>
        <w:rPr>
          <w:color w:val="000000"/>
          <w:szCs w:val="27"/>
          <w:shd w:val="clear" w:color="auto" w:fill="FFFFFF"/>
        </w:rPr>
        <w:t> 1772</w:t>
      </w:r>
      <w:r>
        <w:t>.)  It papers over this language, and in the process disapproves of long-standing authority providing a workable framework for applying it, on the basis of an implausible reading of the section’s exceedingly spare legislative history.  And its interpretation undermines the prevailing wage law’s purposes; among other things, it encourages public works employers to segment out labor not defined as “public works,” but nonetheless constituting labor as crucial as it is integral to public works projects, so that they can pay lesser wages.</w:t>
      </w:r>
    </w:p>
    <w:p w14:paraId="7AF8227F" w14:textId="77777777" w:rsidR="009C3862" w:rsidRDefault="009C3862" w:rsidP="009C3862">
      <w:pPr>
        <w:pStyle w:val="BodyText"/>
        <w:ind w:firstLine="720"/>
      </w:pPr>
      <w:r>
        <w:t xml:space="preserve">I add two brief observations to my </w:t>
      </w:r>
      <w:r w:rsidRPr="00CA3F7A">
        <w:rPr>
          <w:i/>
          <w:iCs/>
        </w:rPr>
        <w:t>Busker</w:t>
      </w:r>
      <w:r>
        <w:t xml:space="preserve"> dissent (</w:t>
      </w:r>
      <w:r>
        <w:rPr>
          <w:i/>
          <w:iCs/>
        </w:rPr>
        <w:t>Busker</w:t>
      </w:r>
      <w:r>
        <w:t xml:space="preserve">, </w:t>
      </w:r>
      <w:r>
        <w:rPr>
          <w:i/>
          <w:iCs/>
        </w:rPr>
        <w:t>supra</w:t>
      </w:r>
      <w:r>
        <w:t>,</w:t>
      </w:r>
      <w:r>
        <w:rPr>
          <w:i/>
          <w:iCs/>
        </w:rPr>
        <w:t xml:space="preserve"> </w:t>
      </w:r>
      <w:r>
        <w:t xml:space="preserve">__ Cal.5th at p. __ [pp. 1–24] (dis. </w:t>
      </w:r>
      <w:proofErr w:type="spellStart"/>
      <w:r>
        <w:t>opn</w:t>
      </w:r>
      <w:proofErr w:type="spellEnd"/>
      <w:r>
        <w:t xml:space="preserve">. of Cuéllar, J.)), underscoring how the majority’s interpretation errs as it specifically relates to mobilization work.  First, mobilization naturally merits prevailing wage coverage based on its critical relationship with covered public work.  The three factors from the </w:t>
      </w:r>
      <w:r w:rsidRPr="00186C47">
        <w:rPr>
          <w:i/>
          <w:iCs/>
        </w:rPr>
        <w:t>Sansone</w:t>
      </w:r>
      <w:r>
        <w:t xml:space="preserve"> line of cases reinforce this conclusion.  The mobilization at issue here was functionally related to and </w:t>
      </w:r>
      <w:r>
        <w:lastRenderedPageBreak/>
        <w:t xml:space="preserve">integrated into the covered milling work and the project as a whole because the road construction as contracted for could not occur unless the machines arrived promptly, worked properly, and were removed when they served their purpose.  Moreover, plaintiffs had to engage in mobilization to fulfill the prime contractor’s contractual obligation to build new roads.  </w:t>
      </w:r>
      <w:r w:rsidRPr="00032DC6">
        <w:t xml:space="preserve">The contractor owned the </w:t>
      </w:r>
      <w:r>
        <w:t xml:space="preserve">milling </w:t>
      </w:r>
      <w:r w:rsidRPr="00032DC6">
        <w:t>machines and elected to store them offsite.  It directed its own employees to prepare and transport them so those employees could then use the machines as part of the road construction called for by the contract.</w:t>
      </w:r>
      <w:r>
        <w:t xml:space="preserve">  </w:t>
      </w:r>
    </w:p>
    <w:p w14:paraId="1C506EEE" w14:textId="77777777" w:rsidR="009C3862" w:rsidRPr="00A7227A" w:rsidRDefault="009C3862" w:rsidP="009C3862">
      <w:pPr>
        <w:pStyle w:val="BodyText"/>
        <w:ind w:firstLine="720"/>
        <w:rPr>
          <w:szCs w:val="27"/>
        </w:rPr>
      </w:pPr>
      <w:r w:rsidRPr="00A7227A">
        <w:rPr>
          <w:szCs w:val="27"/>
        </w:rPr>
        <w:t xml:space="preserve">In other words, the mobilization of specialized construction equipment by the skilled workers who would use them </w:t>
      </w:r>
      <w:r>
        <w:rPr>
          <w:szCs w:val="27"/>
        </w:rPr>
        <w:t xml:space="preserve">at the jobsite </w:t>
      </w:r>
      <w:r w:rsidRPr="00A7227A">
        <w:rPr>
          <w:szCs w:val="27"/>
        </w:rPr>
        <w:t xml:space="preserve">was sufficiently connected with the execution of a public construction project to be deemed public work under section 1772.  (Cf. </w:t>
      </w:r>
      <w:r w:rsidRPr="00A7227A">
        <w:rPr>
          <w:i/>
          <w:iCs/>
          <w:szCs w:val="27"/>
        </w:rPr>
        <w:t>Allied Concrete &amp; Supply Co. v. Baker</w:t>
      </w:r>
      <w:r w:rsidRPr="00A7227A">
        <w:rPr>
          <w:szCs w:val="27"/>
        </w:rPr>
        <w:t xml:space="preserve"> (9th Cir. 2018) 904 F.3d 1053, 1061 [explaining how prevailing wage coverage for ready-mix concrete drivers, as opposed to drivers supplying standard</w:t>
      </w:r>
      <w:r>
        <w:rPr>
          <w:szCs w:val="27"/>
        </w:rPr>
        <w:t xml:space="preserve"> building</w:t>
      </w:r>
      <w:r w:rsidRPr="00A7227A">
        <w:rPr>
          <w:szCs w:val="27"/>
        </w:rPr>
        <w:t xml:space="preserve"> materials, makes sense because the former “are more integrated into the construction process” and “are more skilled than other drivers and provide a material that is more important to public works projects than other materials such that paying the prevailing wage will attract superior drivers and improve public works”].)  Excluding this labor from coverage </w:t>
      </w:r>
      <w:r>
        <w:rPr>
          <w:szCs w:val="27"/>
        </w:rPr>
        <w:t xml:space="preserve">under section 1772 </w:t>
      </w:r>
      <w:r w:rsidRPr="00A7227A">
        <w:rPr>
          <w:szCs w:val="27"/>
        </w:rPr>
        <w:t>despite its critical role makes no sense.</w:t>
      </w:r>
    </w:p>
    <w:p w14:paraId="54BC5FA0" w14:textId="77777777" w:rsidR="009C3862" w:rsidRDefault="009C3862" w:rsidP="009C3862">
      <w:pPr>
        <w:pStyle w:val="BodyText"/>
        <w:ind w:firstLine="720"/>
      </w:pPr>
      <w:r>
        <w:t xml:space="preserve">Also calling into question the majority’s interpretation:  It flies in the face of the DIR’s </w:t>
      </w:r>
      <w:r w:rsidRPr="00510137">
        <w:rPr>
          <w:i/>
          <w:iCs/>
        </w:rPr>
        <w:t>consistent</w:t>
      </w:r>
      <w:r>
        <w:t xml:space="preserve"> position covering mobilization work under section 1772.  As the DIR’s </w:t>
      </w:r>
      <w:bookmarkStart w:id="17" w:name="_Hlk79058371"/>
      <w:r>
        <w:t>Division of Labor Standards and Enforcement</w:t>
      </w:r>
      <w:bookmarkEnd w:id="17"/>
      <w:r>
        <w:t xml:space="preserve"> argues in its amicus curiae brief and illustrates in the past coverage determinations that it provides in its request for judicial notice, the agency has for </w:t>
      </w:r>
      <w:r>
        <w:lastRenderedPageBreak/>
        <w:t xml:space="preserve">decades followed </w:t>
      </w:r>
      <w:r w:rsidRPr="00510137">
        <w:rPr>
          <w:i/>
          <w:iCs/>
        </w:rPr>
        <w:t>Sansone</w:t>
      </w:r>
      <w:r>
        <w:t xml:space="preserve"> and interpreted the section as covering mobilization labor based on the labor’s critical relationship to covered work.  Neither defendants (</w:t>
      </w:r>
      <w:r w:rsidRPr="00AA1169">
        <w:t xml:space="preserve">Fonseca McElroy Grinding Co. Inc. </w:t>
      </w:r>
      <w:r>
        <w:t>and</w:t>
      </w:r>
      <w:r w:rsidRPr="00AA1169">
        <w:t xml:space="preserve"> Granite Rock Company</w:t>
      </w:r>
      <w:r>
        <w:t>) nor the majority identify any circumstance where the DIR has determined that mobilization is not covered.</w:t>
      </w:r>
    </w:p>
    <w:p w14:paraId="59AD5BAF" w14:textId="77777777" w:rsidR="009C3862" w:rsidRDefault="009C3862" w:rsidP="009C3862">
      <w:pPr>
        <w:pStyle w:val="BodyText"/>
        <w:ind w:firstLine="720"/>
      </w:pPr>
      <w:r>
        <w:t>Because plaintiffs’ mobilization work critically facilitated the public works roadway construction project, section 1772 entitled them to prevailing wages for this labor.  They performed this labor “in the execution of” the contract for the roadway project, and section 1772’s language therefore “deemed” them “to be employed upon public work.”  (</w:t>
      </w:r>
      <w:r w:rsidRPr="00224BF5">
        <w:rPr>
          <w:color w:val="000000"/>
          <w:szCs w:val="27"/>
          <w:shd w:val="clear" w:color="auto" w:fill="FFFFFF"/>
        </w:rPr>
        <w:t>§</w:t>
      </w:r>
      <w:r>
        <w:rPr>
          <w:color w:val="000000"/>
          <w:szCs w:val="27"/>
          <w:shd w:val="clear" w:color="auto" w:fill="FFFFFF"/>
        </w:rPr>
        <w:t> 1772</w:t>
      </w:r>
      <w:r>
        <w:t xml:space="preserve">.)  But the majority narrows this statutory language beyond recognition.  </w:t>
      </w:r>
      <w:proofErr w:type="gramStart"/>
      <w:r>
        <w:t>So</w:t>
      </w:r>
      <w:proofErr w:type="gramEnd"/>
      <w:r>
        <w:t xml:space="preserve"> with respect, I dissent.</w:t>
      </w:r>
    </w:p>
    <w:p w14:paraId="6AA32B41" w14:textId="77777777" w:rsidR="009C3862" w:rsidRPr="00761DF6" w:rsidRDefault="009C3862" w:rsidP="009C3862">
      <w:pPr>
        <w:ind w:left="6030"/>
        <w:jc w:val="left"/>
        <w:rPr>
          <w:szCs w:val="26"/>
        </w:rPr>
      </w:pPr>
      <w:r w:rsidRPr="00761DF6">
        <w:rPr>
          <w:b/>
          <w:szCs w:val="26"/>
        </w:rPr>
        <w:t>CUÉLLAR, J.</w:t>
      </w:r>
    </w:p>
    <w:p w14:paraId="10BF3EEC" w14:textId="77777777" w:rsidR="009C3862" w:rsidRDefault="009C3862" w:rsidP="009C3862">
      <w:pPr>
        <w:ind w:right="720"/>
        <w:rPr>
          <w:b/>
          <w:bCs/>
          <w:color w:val="000000"/>
          <w:szCs w:val="26"/>
        </w:rPr>
      </w:pPr>
      <w:r>
        <w:rPr>
          <w:b/>
          <w:bCs/>
          <w:color w:val="000000"/>
          <w:szCs w:val="26"/>
        </w:rPr>
        <w:t>I Concur:</w:t>
      </w:r>
    </w:p>
    <w:p w14:paraId="13DDA334" w14:textId="77777777" w:rsidR="009C3862" w:rsidRPr="00C970D9" w:rsidRDefault="009C3862" w:rsidP="009C3862">
      <w:pPr>
        <w:ind w:right="720"/>
        <w:rPr>
          <w:b/>
          <w:bCs/>
          <w:color w:val="000000"/>
          <w:szCs w:val="26"/>
        </w:rPr>
      </w:pPr>
      <w:r>
        <w:rPr>
          <w:b/>
          <w:bCs/>
          <w:color w:val="000000"/>
          <w:szCs w:val="26"/>
        </w:rPr>
        <w:t>LIU, J.</w:t>
      </w:r>
    </w:p>
    <w:p w14:paraId="7F0594F0" w14:textId="77777777" w:rsidR="00CC0ED9" w:rsidRDefault="00CC0ED9" w:rsidP="00CC0ED9">
      <w:pPr>
        <w:tabs>
          <w:tab w:val="left" w:pos="1440"/>
        </w:tabs>
        <w:rPr>
          <w:b/>
          <w:bCs/>
        </w:rPr>
        <w:sectPr w:rsidR="00CC0ED9" w:rsidSect="009C3862">
          <w:headerReference w:type="default" r:id="rId12"/>
          <w:footerReference w:type="default" r:id="rId13"/>
          <w:footerReference w:type="first" r:id="rId14"/>
          <w:footnotePr>
            <w:numRestart w:val="eachSect"/>
          </w:footnotePr>
          <w:pgSz w:w="12240" w:h="15840" w:code="1"/>
          <w:pgMar w:top="1800" w:right="2160" w:bottom="1440" w:left="2160" w:header="720" w:footer="720" w:gutter="0"/>
          <w:pgNumType w:start="1"/>
          <w:cols w:space="720"/>
          <w:titlePg/>
          <w:docGrid w:linePitch="367"/>
        </w:sectPr>
      </w:pPr>
    </w:p>
    <w:p w14:paraId="7F8519DB" w14:textId="77777777" w:rsidR="00D57863" w:rsidRPr="00D57863" w:rsidRDefault="00D57863" w:rsidP="00D57863">
      <w:pPr>
        <w:spacing w:after="0" w:line="240" w:lineRule="auto"/>
        <w:jc w:val="left"/>
        <w:rPr>
          <w:i/>
          <w:sz w:val="24"/>
          <w:szCs w:val="24"/>
        </w:rPr>
      </w:pPr>
      <w:r w:rsidRPr="00D57863">
        <w:rPr>
          <w:i/>
          <w:sz w:val="24"/>
          <w:szCs w:val="24"/>
        </w:rPr>
        <w:lastRenderedPageBreak/>
        <w:t>See next page for addresses and telephone numbers for counsel who argued in Supreme Court.</w:t>
      </w:r>
    </w:p>
    <w:p w14:paraId="303DDF92" w14:textId="77777777" w:rsidR="00D57863" w:rsidRPr="00D57863" w:rsidRDefault="00D57863" w:rsidP="00D57863">
      <w:pPr>
        <w:spacing w:after="0" w:line="240" w:lineRule="auto"/>
        <w:jc w:val="left"/>
        <w:rPr>
          <w:i/>
          <w:sz w:val="24"/>
          <w:szCs w:val="24"/>
        </w:rPr>
      </w:pPr>
    </w:p>
    <w:p w14:paraId="50B6A500" w14:textId="77777777" w:rsidR="00D57863" w:rsidRPr="00D57863" w:rsidRDefault="00D57863" w:rsidP="00D57863">
      <w:pPr>
        <w:spacing w:after="0" w:line="240" w:lineRule="auto"/>
        <w:jc w:val="left"/>
        <w:rPr>
          <w:b/>
          <w:sz w:val="24"/>
          <w:szCs w:val="24"/>
        </w:rPr>
      </w:pPr>
      <w:r w:rsidRPr="00D57863">
        <w:rPr>
          <w:b/>
          <w:sz w:val="24"/>
          <w:szCs w:val="24"/>
        </w:rPr>
        <w:t xml:space="preserve">Name of Opinion </w:t>
      </w:r>
      <w:r w:rsidRPr="00D57863">
        <w:rPr>
          <w:bCs/>
          <w:sz w:val="24"/>
          <w:szCs w:val="24"/>
        </w:rPr>
        <w:t xml:space="preserve">Mendoza v. Fonseca McElroy Grinding Co., Inc. </w:t>
      </w:r>
      <w:r w:rsidRPr="00D57863">
        <w:rPr>
          <w:b/>
          <w:sz w:val="24"/>
          <w:szCs w:val="24"/>
        </w:rPr>
        <w:t xml:space="preserve">__________________________________________________________ </w:t>
      </w:r>
    </w:p>
    <w:p w14:paraId="09E4DD5A" w14:textId="77777777" w:rsidR="00D57863" w:rsidRPr="00D57863" w:rsidRDefault="00D57863" w:rsidP="00D57863">
      <w:pPr>
        <w:spacing w:after="0" w:line="240" w:lineRule="auto"/>
        <w:jc w:val="left"/>
        <w:rPr>
          <w:b/>
          <w:sz w:val="24"/>
          <w:szCs w:val="24"/>
        </w:rPr>
      </w:pPr>
    </w:p>
    <w:p w14:paraId="2C0C6BD6" w14:textId="77777777" w:rsidR="00D57863" w:rsidRPr="00D57863" w:rsidRDefault="00D57863" w:rsidP="00D57863">
      <w:pPr>
        <w:spacing w:after="0" w:line="240" w:lineRule="auto"/>
        <w:jc w:val="left"/>
        <w:rPr>
          <w:sz w:val="24"/>
          <w:szCs w:val="24"/>
        </w:rPr>
      </w:pPr>
      <w:r w:rsidRPr="00D57863">
        <w:rPr>
          <w:b/>
          <w:bCs/>
          <w:sz w:val="24"/>
          <w:szCs w:val="24"/>
          <w:u w:val="single"/>
        </w:rPr>
        <w:t>Procedural Posture</w:t>
      </w:r>
      <w:r w:rsidRPr="00D57863">
        <w:rPr>
          <w:b/>
          <w:bCs/>
          <w:sz w:val="24"/>
          <w:szCs w:val="24"/>
        </w:rPr>
        <w:t xml:space="preserve"> </w:t>
      </w:r>
      <w:r w:rsidRPr="00D57863">
        <w:rPr>
          <w:sz w:val="24"/>
          <w:szCs w:val="24"/>
        </w:rPr>
        <w:t>(see XX below)</w:t>
      </w:r>
    </w:p>
    <w:p w14:paraId="7391B5AC" w14:textId="77777777" w:rsidR="00D57863" w:rsidRPr="00D57863" w:rsidRDefault="00D57863" w:rsidP="00D57863">
      <w:pPr>
        <w:spacing w:after="0" w:line="240" w:lineRule="auto"/>
        <w:jc w:val="left"/>
        <w:rPr>
          <w:sz w:val="24"/>
          <w:szCs w:val="24"/>
        </w:rPr>
      </w:pPr>
      <w:r w:rsidRPr="00D57863">
        <w:rPr>
          <w:b/>
          <w:bCs/>
          <w:sz w:val="24"/>
          <w:szCs w:val="24"/>
        </w:rPr>
        <w:t>Original Appeal</w:t>
      </w:r>
      <w:r w:rsidRPr="00D57863">
        <w:rPr>
          <w:sz w:val="24"/>
          <w:szCs w:val="24"/>
        </w:rPr>
        <w:t xml:space="preserve"> </w:t>
      </w:r>
    </w:p>
    <w:p w14:paraId="37F38BE2" w14:textId="77777777" w:rsidR="00D57863" w:rsidRPr="00D57863" w:rsidRDefault="00D57863" w:rsidP="00D57863">
      <w:pPr>
        <w:spacing w:after="0" w:line="240" w:lineRule="auto"/>
        <w:jc w:val="left"/>
        <w:rPr>
          <w:sz w:val="24"/>
          <w:szCs w:val="24"/>
        </w:rPr>
      </w:pPr>
      <w:r w:rsidRPr="00D57863">
        <w:rPr>
          <w:b/>
          <w:bCs/>
          <w:sz w:val="24"/>
          <w:szCs w:val="24"/>
        </w:rPr>
        <w:t>Original Proceeding</w:t>
      </w:r>
      <w:r w:rsidRPr="00D57863">
        <w:rPr>
          <w:sz w:val="24"/>
          <w:szCs w:val="24"/>
        </w:rPr>
        <w:t xml:space="preserve"> XX on request by 9th Circuit (Cal. Rules of Court, rule 8.548)</w:t>
      </w:r>
    </w:p>
    <w:p w14:paraId="154A3572" w14:textId="77777777" w:rsidR="00D57863" w:rsidRPr="00D57863" w:rsidRDefault="00D57863" w:rsidP="00D57863">
      <w:pPr>
        <w:spacing w:after="0" w:line="240" w:lineRule="auto"/>
        <w:jc w:val="left"/>
        <w:rPr>
          <w:sz w:val="24"/>
          <w:szCs w:val="24"/>
        </w:rPr>
      </w:pPr>
      <w:r w:rsidRPr="00D57863">
        <w:rPr>
          <w:b/>
          <w:bCs/>
          <w:sz w:val="24"/>
          <w:szCs w:val="24"/>
        </w:rPr>
        <w:t>Review Granted</w:t>
      </w:r>
      <w:r w:rsidRPr="00D57863">
        <w:rPr>
          <w:sz w:val="24"/>
          <w:szCs w:val="24"/>
        </w:rPr>
        <w:t xml:space="preserve"> </w:t>
      </w:r>
      <w:r w:rsidRPr="00D57863">
        <w:rPr>
          <w:b/>
          <w:bCs/>
          <w:sz w:val="24"/>
          <w:szCs w:val="24"/>
        </w:rPr>
        <w:t xml:space="preserve">(published) </w:t>
      </w:r>
    </w:p>
    <w:p w14:paraId="5AF10FCF" w14:textId="77777777" w:rsidR="00D57863" w:rsidRPr="00D57863" w:rsidRDefault="00D57863" w:rsidP="00D57863">
      <w:pPr>
        <w:spacing w:after="0" w:line="240" w:lineRule="auto"/>
        <w:jc w:val="left"/>
        <w:rPr>
          <w:sz w:val="24"/>
          <w:szCs w:val="24"/>
        </w:rPr>
      </w:pPr>
      <w:r w:rsidRPr="00D57863">
        <w:rPr>
          <w:b/>
          <w:bCs/>
          <w:sz w:val="24"/>
          <w:szCs w:val="24"/>
        </w:rPr>
        <w:t xml:space="preserve">Review Granted (unpublished) </w:t>
      </w:r>
    </w:p>
    <w:p w14:paraId="6CF85748" w14:textId="77777777" w:rsidR="00D57863" w:rsidRPr="00D57863" w:rsidRDefault="00D57863" w:rsidP="00D57863">
      <w:pPr>
        <w:spacing w:after="0" w:line="240" w:lineRule="auto"/>
        <w:jc w:val="left"/>
        <w:rPr>
          <w:b/>
          <w:bCs/>
          <w:sz w:val="24"/>
          <w:szCs w:val="24"/>
        </w:rPr>
      </w:pPr>
      <w:r w:rsidRPr="00D57863">
        <w:rPr>
          <w:b/>
          <w:bCs/>
          <w:sz w:val="24"/>
          <w:szCs w:val="24"/>
        </w:rPr>
        <w:t>Rehearing Granted</w:t>
      </w:r>
    </w:p>
    <w:p w14:paraId="0E395241" w14:textId="77777777" w:rsidR="00D57863" w:rsidRPr="00D57863" w:rsidRDefault="00D57863" w:rsidP="00D57863">
      <w:pPr>
        <w:spacing w:after="0" w:line="240" w:lineRule="auto"/>
        <w:jc w:val="left"/>
        <w:rPr>
          <w:b/>
          <w:sz w:val="24"/>
          <w:szCs w:val="24"/>
        </w:rPr>
      </w:pPr>
    </w:p>
    <w:p w14:paraId="48154D12" w14:textId="77777777" w:rsidR="00D57863" w:rsidRPr="00D57863" w:rsidRDefault="00D57863" w:rsidP="00D57863">
      <w:pPr>
        <w:spacing w:after="0" w:line="240" w:lineRule="auto"/>
        <w:jc w:val="left"/>
        <w:rPr>
          <w:b/>
          <w:sz w:val="24"/>
          <w:szCs w:val="24"/>
        </w:rPr>
      </w:pPr>
      <w:r w:rsidRPr="00D57863">
        <w:rPr>
          <w:b/>
          <w:sz w:val="24"/>
          <w:szCs w:val="24"/>
        </w:rPr>
        <w:t xml:space="preserve">__________________________________________________________ </w:t>
      </w:r>
    </w:p>
    <w:p w14:paraId="743A93FC" w14:textId="77777777" w:rsidR="00D57863" w:rsidRPr="00D57863" w:rsidRDefault="00D57863" w:rsidP="00D57863">
      <w:pPr>
        <w:spacing w:after="0" w:line="240" w:lineRule="auto"/>
        <w:jc w:val="left"/>
        <w:rPr>
          <w:b/>
          <w:sz w:val="24"/>
          <w:szCs w:val="24"/>
        </w:rPr>
      </w:pPr>
    </w:p>
    <w:p w14:paraId="064C32B2" w14:textId="77777777" w:rsidR="00D57863" w:rsidRPr="00D57863" w:rsidRDefault="00D57863" w:rsidP="00D57863">
      <w:pPr>
        <w:spacing w:after="0" w:line="240" w:lineRule="auto"/>
        <w:jc w:val="left"/>
        <w:rPr>
          <w:bCs/>
          <w:sz w:val="24"/>
          <w:szCs w:val="24"/>
        </w:rPr>
      </w:pPr>
      <w:r w:rsidRPr="00D57863">
        <w:rPr>
          <w:b/>
          <w:sz w:val="24"/>
          <w:szCs w:val="24"/>
        </w:rPr>
        <w:t>Opinion No.</w:t>
      </w:r>
      <w:r w:rsidRPr="00D57863">
        <w:rPr>
          <w:rFonts w:ascii="Times New Roman" w:hAnsi="Times New Roman"/>
          <w:sz w:val="26"/>
        </w:rPr>
        <w:t xml:space="preserve"> </w:t>
      </w:r>
      <w:r w:rsidRPr="00D57863">
        <w:rPr>
          <w:bCs/>
          <w:sz w:val="24"/>
          <w:szCs w:val="24"/>
        </w:rPr>
        <w:t xml:space="preserve">S253574 </w:t>
      </w:r>
    </w:p>
    <w:p w14:paraId="34418BCA" w14:textId="77777777" w:rsidR="00D57863" w:rsidRPr="00D57863" w:rsidRDefault="00D57863" w:rsidP="00D57863">
      <w:pPr>
        <w:spacing w:after="0" w:line="240" w:lineRule="auto"/>
        <w:jc w:val="left"/>
        <w:rPr>
          <w:bCs/>
          <w:sz w:val="24"/>
          <w:szCs w:val="24"/>
        </w:rPr>
      </w:pPr>
      <w:r w:rsidRPr="00D57863">
        <w:rPr>
          <w:b/>
          <w:sz w:val="24"/>
          <w:szCs w:val="24"/>
        </w:rPr>
        <w:t>Date Filed:</w:t>
      </w:r>
      <w:r w:rsidRPr="00D57863">
        <w:rPr>
          <w:sz w:val="24"/>
          <w:szCs w:val="24"/>
        </w:rPr>
        <w:t xml:space="preserve"> August 16, 2021</w:t>
      </w:r>
    </w:p>
    <w:p w14:paraId="519C95E7" w14:textId="77777777" w:rsidR="00D57863" w:rsidRPr="00D57863" w:rsidRDefault="00D57863" w:rsidP="00D57863">
      <w:pPr>
        <w:spacing w:after="0" w:line="240" w:lineRule="auto"/>
        <w:jc w:val="left"/>
        <w:rPr>
          <w:b/>
          <w:sz w:val="24"/>
          <w:szCs w:val="24"/>
        </w:rPr>
      </w:pPr>
      <w:r w:rsidRPr="00D57863">
        <w:rPr>
          <w:b/>
          <w:sz w:val="24"/>
          <w:szCs w:val="24"/>
        </w:rPr>
        <w:t xml:space="preserve">__________________________________________________________ </w:t>
      </w:r>
    </w:p>
    <w:p w14:paraId="7F2FB0BB" w14:textId="77777777" w:rsidR="00D57863" w:rsidRPr="00D57863" w:rsidRDefault="00D57863" w:rsidP="00D57863">
      <w:pPr>
        <w:spacing w:after="0" w:line="240" w:lineRule="auto"/>
        <w:jc w:val="left"/>
        <w:rPr>
          <w:b/>
          <w:sz w:val="24"/>
          <w:szCs w:val="24"/>
        </w:rPr>
      </w:pPr>
    </w:p>
    <w:p w14:paraId="639BF2C3" w14:textId="77777777" w:rsidR="00D57863" w:rsidRPr="00D57863" w:rsidRDefault="00D57863" w:rsidP="00D57863">
      <w:pPr>
        <w:spacing w:after="0" w:line="240" w:lineRule="auto"/>
        <w:jc w:val="left"/>
        <w:rPr>
          <w:bCs/>
          <w:sz w:val="24"/>
          <w:szCs w:val="24"/>
        </w:rPr>
      </w:pPr>
      <w:r w:rsidRPr="00D57863">
        <w:rPr>
          <w:b/>
          <w:sz w:val="24"/>
          <w:szCs w:val="24"/>
        </w:rPr>
        <w:t xml:space="preserve">Court:  </w:t>
      </w:r>
    </w:p>
    <w:p w14:paraId="70BD145B" w14:textId="77777777" w:rsidR="00D57863" w:rsidRPr="00D57863" w:rsidRDefault="00D57863" w:rsidP="00D57863">
      <w:pPr>
        <w:spacing w:after="0" w:line="240" w:lineRule="auto"/>
        <w:jc w:val="left"/>
        <w:rPr>
          <w:bCs/>
          <w:sz w:val="24"/>
          <w:szCs w:val="24"/>
        </w:rPr>
      </w:pPr>
      <w:r w:rsidRPr="00D57863">
        <w:rPr>
          <w:b/>
          <w:sz w:val="24"/>
          <w:szCs w:val="24"/>
        </w:rPr>
        <w:t xml:space="preserve">County:  </w:t>
      </w:r>
    </w:p>
    <w:p w14:paraId="20C2C805" w14:textId="77777777" w:rsidR="00D57863" w:rsidRPr="00D57863" w:rsidRDefault="00D57863" w:rsidP="00D57863">
      <w:pPr>
        <w:spacing w:after="0" w:line="240" w:lineRule="auto"/>
        <w:ind w:left="720" w:hanging="720"/>
        <w:jc w:val="left"/>
        <w:rPr>
          <w:bCs/>
          <w:sz w:val="24"/>
          <w:szCs w:val="24"/>
        </w:rPr>
      </w:pPr>
      <w:r w:rsidRPr="00D57863">
        <w:rPr>
          <w:b/>
          <w:sz w:val="24"/>
          <w:szCs w:val="24"/>
        </w:rPr>
        <w:t xml:space="preserve">Judge: </w:t>
      </w:r>
    </w:p>
    <w:p w14:paraId="6B801D17" w14:textId="77777777" w:rsidR="00D57863" w:rsidRPr="00D57863" w:rsidRDefault="00D57863" w:rsidP="00D57863">
      <w:pPr>
        <w:spacing w:after="0" w:line="240" w:lineRule="auto"/>
        <w:jc w:val="left"/>
        <w:rPr>
          <w:b/>
          <w:sz w:val="24"/>
          <w:szCs w:val="24"/>
        </w:rPr>
      </w:pPr>
    </w:p>
    <w:p w14:paraId="2CE8DAD1" w14:textId="77777777" w:rsidR="00D57863" w:rsidRPr="00D57863" w:rsidRDefault="00D57863" w:rsidP="00D57863">
      <w:pPr>
        <w:spacing w:after="0" w:line="240" w:lineRule="auto"/>
        <w:jc w:val="left"/>
        <w:rPr>
          <w:b/>
          <w:sz w:val="24"/>
          <w:szCs w:val="24"/>
        </w:rPr>
      </w:pPr>
      <w:r w:rsidRPr="00D57863">
        <w:rPr>
          <w:b/>
          <w:sz w:val="24"/>
          <w:szCs w:val="24"/>
        </w:rPr>
        <w:t xml:space="preserve">__________________________________________________________  </w:t>
      </w:r>
    </w:p>
    <w:p w14:paraId="7C1F4748" w14:textId="77777777" w:rsidR="00D57863" w:rsidRPr="00D57863" w:rsidRDefault="00D57863" w:rsidP="00D57863">
      <w:pPr>
        <w:spacing w:after="0" w:line="240" w:lineRule="auto"/>
        <w:jc w:val="left"/>
        <w:rPr>
          <w:b/>
          <w:sz w:val="24"/>
          <w:szCs w:val="24"/>
        </w:rPr>
      </w:pPr>
    </w:p>
    <w:p w14:paraId="56FEA0AC" w14:textId="77777777" w:rsidR="00D57863" w:rsidRPr="00D57863" w:rsidRDefault="00D57863" w:rsidP="00D57863">
      <w:pPr>
        <w:spacing w:after="0" w:line="240" w:lineRule="auto"/>
        <w:jc w:val="left"/>
        <w:rPr>
          <w:b/>
          <w:sz w:val="24"/>
          <w:szCs w:val="24"/>
        </w:rPr>
      </w:pPr>
      <w:r w:rsidRPr="00D57863">
        <w:rPr>
          <w:b/>
          <w:sz w:val="24"/>
          <w:szCs w:val="24"/>
        </w:rPr>
        <w:t>Counsel:</w:t>
      </w:r>
    </w:p>
    <w:p w14:paraId="0166C8B8" w14:textId="77777777" w:rsidR="00D57863" w:rsidRPr="00D57863" w:rsidRDefault="00D57863" w:rsidP="00D57863">
      <w:pPr>
        <w:spacing w:after="0" w:line="240" w:lineRule="auto"/>
        <w:jc w:val="left"/>
        <w:rPr>
          <w:b/>
          <w:sz w:val="24"/>
          <w:szCs w:val="24"/>
        </w:rPr>
      </w:pPr>
    </w:p>
    <w:p w14:paraId="5F2EF357" w14:textId="77777777" w:rsidR="00D57863" w:rsidRPr="00D57863" w:rsidRDefault="00D57863" w:rsidP="00D57863">
      <w:pPr>
        <w:spacing w:after="0" w:line="240" w:lineRule="auto"/>
        <w:jc w:val="left"/>
        <w:rPr>
          <w:sz w:val="24"/>
          <w:szCs w:val="24"/>
          <w:bdr w:val="none" w:sz="0" w:space="0" w:color="auto" w:frame="1"/>
        </w:rPr>
      </w:pPr>
      <w:r w:rsidRPr="00D57863">
        <w:rPr>
          <w:sz w:val="24"/>
          <w:szCs w:val="24"/>
          <w:bdr w:val="none" w:sz="0" w:space="0" w:color="auto" w:frame="1"/>
        </w:rPr>
        <w:t xml:space="preserve">Justice At Work Law Group, Tomas E. </w:t>
      </w:r>
      <w:proofErr w:type="spellStart"/>
      <w:r w:rsidRPr="00D57863">
        <w:rPr>
          <w:sz w:val="24"/>
          <w:szCs w:val="24"/>
          <w:bdr w:val="none" w:sz="0" w:space="0" w:color="auto" w:frame="1"/>
        </w:rPr>
        <w:t>Margain</w:t>
      </w:r>
      <w:proofErr w:type="spellEnd"/>
      <w:r w:rsidRPr="00D57863">
        <w:rPr>
          <w:sz w:val="24"/>
          <w:szCs w:val="24"/>
          <w:bdr w:val="none" w:sz="0" w:space="0" w:color="auto" w:frame="1"/>
        </w:rPr>
        <w:t xml:space="preserve">; </w:t>
      </w:r>
      <w:proofErr w:type="spellStart"/>
      <w:r w:rsidRPr="00D57863">
        <w:rPr>
          <w:sz w:val="24"/>
          <w:szCs w:val="24"/>
          <w:bdr w:val="none" w:sz="0" w:space="0" w:color="auto" w:frame="1"/>
        </w:rPr>
        <w:t>Esner</w:t>
      </w:r>
      <w:proofErr w:type="spellEnd"/>
      <w:r w:rsidRPr="00D57863">
        <w:rPr>
          <w:sz w:val="24"/>
          <w:szCs w:val="24"/>
          <w:bdr w:val="none" w:sz="0" w:space="0" w:color="auto" w:frame="1"/>
        </w:rPr>
        <w:t xml:space="preserve">, Chang &amp; Boyer, Stuart B. </w:t>
      </w:r>
      <w:proofErr w:type="spellStart"/>
      <w:r w:rsidRPr="00D57863">
        <w:rPr>
          <w:sz w:val="24"/>
          <w:szCs w:val="24"/>
          <w:bdr w:val="none" w:sz="0" w:space="0" w:color="auto" w:frame="1"/>
        </w:rPr>
        <w:t>Esner</w:t>
      </w:r>
      <w:proofErr w:type="spellEnd"/>
      <w:r w:rsidRPr="00D57863">
        <w:rPr>
          <w:sz w:val="24"/>
          <w:szCs w:val="24"/>
          <w:bdr w:val="none" w:sz="0" w:space="0" w:color="auto" w:frame="1"/>
        </w:rPr>
        <w:t xml:space="preserve"> and Holly N. Boyer for Plaintiffs and Appellants.</w:t>
      </w:r>
    </w:p>
    <w:p w14:paraId="273A28CD" w14:textId="77777777" w:rsidR="00D57863" w:rsidRPr="00D57863" w:rsidRDefault="00D57863" w:rsidP="00D57863">
      <w:pPr>
        <w:spacing w:after="0" w:line="240" w:lineRule="auto"/>
        <w:jc w:val="left"/>
        <w:rPr>
          <w:sz w:val="24"/>
          <w:szCs w:val="24"/>
          <w:bdr w:val="none" w:sz="0" w:space="0" w:color="auto" w:frame="1"/>
        </w:rPr>
      </w:pPr>
    </w:p>
    <w:p w14:paraId="7D3BF764" w14:textId="77777777" w:rsidR="00D57863" w:rsidRPr="00D57863" w:rsidRDefault="00D57863" w:rsidP="00D57863">
      <w:pPr>
        <w:spacing w:after="0" w:line="240" w:lineRule="auto"/>
        <w:jc w:val="left"/>
        <w:rPr>
          <w:sz w:val="24"/>
          <w:szCs w:val="24"/>
          <w:bdr w:val="none" w:sz="0" w:space="0" w:color="auto" w:frame="1"/>
        </w:rPr>
      </w:pPr>
      <w:proofErr w:type="spellStart"/>
      <w:r w:rsidRPr="00D57863">
        <w:rPr>
          <w:sz w:val="24"/>
          <w:szCs w:val="24"/>
          <w:bdr w:val="none" w:sz="0" w:space="0" w:color="auto" w:frame="1"/>
        </w:rPr>
        <w:t>Altshuler</w:t>
      </w:r>
      <w:proofErr w:type="spellEnd"/>
      <w:r w:rsidRPr="00D57863">
        <w:rPr>
          <w:sz w:val="24"/>
          <w:szCs w:val="24"/>
          <w:bdr w:val="none" w:sz="0" w:space="0" w:color="auto" w:frame="1"/>
        </w:rPr>
        <w:t xml:space="preserve"> </w:t>
      </w:r>
      <w:proofErr w:type="spellStart"/>
      <w:r w:rsidRPr="00D57863">
        <w:rPr>
          <w:sz w:val="24"/>
          <w:szCs w:val="24"/>
          <w:bdr w:val="none" w:sz="0" w:space="0" w:color="auto" w:frame="1"/>
        </w:rPr>
        <w:t>Berzon</w:t>
      </w:r>
      <w:proofErr w:type="spellEnd"/>
      <w:r w:rsidRPr="00D57863">
        <w:rPr>
          <w:sz w:val="24"/>
          <w:szCs w:val="24"/>
          <w:bdr w:val="none" w:sz="0" w:space="0" w:color="auto" w:frame="1"/>
        </w:rPr>
        <w:t xml:space="preserve">, Eileen Goldsmith and Zoe </w:t>
      </w:r>
      <w:proofErr w:type="spellStart"/>
      <w:r w:rsidRPr="00D57863">
        <w:rPr>
          <w:sz w:val="24"/>
          <w:szCs w:val="24"/>
          <w:bdr w:val="none" w:sz="0" w:space="0" w:color="auto" w:frame="1"/>
        </w:rPr>
        <w:t>Palitz</w:t>
      </w:r>
      <w:proofErr w:type="spellEnd"/>
      <w:r w:rsidRPr="00D57863">
        <w:rPr>
          <w:sz w:val="24"/>
          <w:szCs w:val="24"/>
          <w:bdr w:val="none" w:sz="0" w:space="0" w:color="auto" w:frame="1"/>
        </w:rPr>
        <w:t xml:space="preserve"> for International Association of Sheet Metal, Air, Rail &amp; Transportation Workers, Sheet Metal Workers’ Local Union No. 104 as Amicus Curiae on behalf of Plaintiffs and Appellants.</w:t>
      </w:r>
    </w:p>
    <w:p w14:paraId="008EBD01" w14:textId="77777777" w:rsidR="00D57863" w:rsidRPr="00D57863" w:rsidRDefault="00D57863" w:rsidP="00D57863">
      <w:pPr>
        <w:spacing w:after="0" w:line="240" w:lineRule="auto"/>
        <w:jc w:val="left"/>
        <w:rPr>
          <w:sz w:val="24"/>
          <w:szCs w:val="24"/>
          <w:bdr w:val="none" w:sz="0" w:space="0" w:color="auto" w:frame="1"/>
        </w:rPr>
      </w:pPr>
    </w:p>
    <w:p w14:paraId="7EF584A2" w14:textId="77777777" w:rsidR="00D57863" w:rsidRPr="00D57863" w:rsidRDefault="00D57863" w:rsidP="00D57863">
      <w:pPr>
        <w:spacing w:after="0" w:line="240" w:lineRule="auto"/>
        <w:jc w:val="left"/>
        <w:rPr>
          <w:sz w:val="24"/>
          <w:szCs w:val="24"/>
          <w:bdr w:val="none" w:sz="0" w:space="0" w:color="auto" w:frame="1"/>
        </w:rPr>
      </w:pPr>
      <w:r w:rsidRPr="00D57863">
        <w:rPr>
          <w:sz w:val="24"/>
          <w:szCs w:val="24"/>
          <w:bdr w:val="none" w:sz="0" w:space="0" w:color="auto" w:frame="1"/>
        </w:rPr>
        <w:t xml:space="preserve">David Balter, Kristin García, Luong Chau and Lance </w:t>
      </w:r>
      <w:proofErr w:type="spellStart"/>
      <w:r w:rsidRPr="00D57863">
        <w:rPr>
          <w:sz w:val="24"/>
          <w:szCs w:val="24"/>
          <w:bdr w:val="none" w:sz="0" w:space="0" w:color="auto" w:frame="1"/>
        </w:rPr>
        <w:t>Grucela</w:t>
      </w:r>
      <w:proofErr w:type="spellEnd"/>
      <w:r w:rsidRPr="00D57863">
        <w:rPr>
          <w:sz w:val="24"/>
          <w:szCs w:val="24"/>
          <w:bdr w:val="none" w:sz="0" w:space="0" w:color="auto" w:frame="1"/>
        </w:rPr>
        <w:t xml:space="preserve"> for Department of Industrial Relations, Division of Labor Standards Enforcement as Amicus Curiae on behalf of Plaintiffs and Appellants.</w:t>
      </w:r>
    </w:p>
    <w:p w14:paraId="2BEE40AD" w14:textId="77777777" w:rsidR="00D57863" w:rsidRPr="00D57863" w:rsidRDefault="00D57863" w:rsidP="00D57863">
      <w:pPr>
        <w:spacing w:after="0" w:line="240" w:lineRule="auto"/>
        <w:jc w:val="left"/>
        <w:rPr>
          <w:sz w:val="24"/>
          <w:szCs w:val="24"/>
          <w:bdr w:val="none" w:sz="0" w:space="0" w:color="auto" w:frame="1"/>
        </w:rPr>
      </w:pPr>
    </w:p>
    <w:p w14:paraId="6E33FB98" w14:textId="77777777" w:rsidR="00D57863" w:rsidRPr="00D57863" w:rsidRDefault="00D57863" w:rsidP="00D57863">
      <w:pPr>
        <w:spacing w:after="0" w:line="240" w:lineRule="auto"/>
        <w:jc w:val="left"/>
        <w:rPr>
          <w:sz w:val="24"/>
          <w:szCs w:val="24"/>
          <w:bdr w:val="none" w:sz="0" w:space="0" w:color="auto" w:frame="1"/>
        </w:rPr>
      </w:pPr>
      <w:r w:rsidRPr="00D57863">
        <w:rPr>
          <w:sz w:val="24"/>
          <w:szCs w:val="24"/>
          <w:bdr w:val="none" w:sz="0" w:space="0" w:color="auto" w:frame="1"/>
        </w:rPr>
        <w:t>Simpson, Garrity, Innes &amp; Jacuzzi, Paul V. Simpson and Sarah E. Lucas for Defendants and Respondents.</w:t>
      </w:r>
    </w:p>
    <w:p w14:paraId="5B47F2C0" w14:textId="77777777" w:rsidR="00D57863" w:rsidRPr="00D57863" w:rsidRDefault="00D57863" w:rsidP="00D57863">
      <w:pPr>
        <w:spacing w:after="0" w:line="240" w:lineRule="auto"/>
        <w:jc w:val="left"/>
        <w:rPr>
          <w:sz w:val="24"/>
          <w:szCs w:val="24"/>
          <w:bdr w:val="none" w:sz="0" w:space="0" w:color="auto" w:frame="1"/>
        </w:rPr>
      </w:pPr>
    </w:p>
    <w:p w14:paraId="72388564" w14:textId="77777777" w:rsidR="00D57863" w:rsidRPr="00D57863" w:rsidRDefault="00D57863" w:rsidP="00D57863">
      <w:pPr>
        <w:spacing w:after="0" w:line="240" w:lineRule="auto"/>
        <w:jc w:val="left"/>
        <w:rPr>
          <w:sz w:val="24"/>
          <w:szCs w:val="24"/>
          <w:bdr w:val="none" w:sz="0" w:space="0" w:color="auto" w:frame="1"/>
        </w:rPr>
      </w:pPr>
      <w:r w:rsidRPr="00D57863">
        <w:rPr>
          <w:sz w:val="24"/>
          <w:szCs w:val="24"/>
          <w:bdr w:val="none" w:sz="0" w:space="0" w:color="auto" w:frame="1"/>
        </w:rPr>
        <w:t xml:space="preserve">Rutan &amp; Tucker, Paul </w:t>
      </w:r>
      <w:proofErr w:type="spellStart"/>
      <w:r w:rsidRPr="00D57863">
        <w:rPr>
          <w:sz w:val="24"/>
          <w:szCs w:val="24"/>
          <w:bdr w:val="none" w:sz="0" w:space="0" w:color="auto" w:frame="1"/>
        </w:rPr>
        <w:t>Aherne</w:t>
      </w:r>
      <w:proofErr w:type="spellEnd"/>
      <w:r w:rsidRPr="00D57863">
        <w:rPr>
          <w:sz w:val="24"/>
          <w:szCs w:val="24"/>
          <w:bdr w:val="none" w:sz="0" w:space="0" w:color="auto" w:frame="1"/>
        </w:rPr>
        <w:t xml:space="preserve"> and Alyssa Roy for Construction Employers’ Association as Amicus Curiae on behalf of Defendants and Respondents.</w:t>
      </w:r>
    </w:p>
    <w:p w14:paraId="7D623EC4" w14:textId="77777777" w:rsidR="00D57863" w:rsidRPr="00D57863" w:rsidRDefault="00D57863" w:rsidP="00D57863">
      <w:pPr>
        <w:spacing w:after="0" w:line="240" w:lineRule="auto"/>
        <w:jc w:val="left"/>
        <w:rPr>
          <w:sz w:val="24"/>
          <w:szCs w:val="24"/>
          <w:bdr w:val="none" w:sz="0" w:space="0" w:color="auto" w:frame="1"/>
        </w:rPr>
      </w:pPr>
    </w:p>
    <w:p w14:paraId="3D0EE5B5" w14:textId="77777777" w:rsidR="00D57863" w:rsidRPr="00D57863" w:rsidRDefault="00D57863" w:rsidP="00D57863">
      <w:pPr>
        <w:spacing w:after="0" w:line="240" w:lineRule="auto"/>
        <w:jc w:val="left"/>
        <w:rPr>
          <w:sz w:val="24"/>
          <w:szCs w:val="24"/>
          <w:bdr w:val="none" w:sz="0" w:space="0" w:color="auto" w:frame="1"/>
        </w:rPr>
      </w:pPr>
      <w:r w:rsidRPr="00D57863">
        <w:rPr>
          <w:sz w:val="24"/>
          <w:szCs w:val="24"/>
          <w:bdr w:val="none" w:sz="0" w:space="0" w:color="auto" w:frame="1"/>
        </w:rPr>
        <w:t>Cook Brown, Dennis B. Cook and Stephen McCutcheon for Modular Building Institute, Northern Alliance of Engineering Contractors and Western Electrical Contractors Association, Inc., as Amici Curiae on behalf of Defendants and Respondents.</w:t>
      </w:r>
    </w:p>
    <w:p w14:paraId="7F8F1802" w14:textId="77777777" w:rsidR="00D57863" w:rsidRPr="00D57863" w:rsidRDefault="00D57863" w:rsidP="00D57863">
      <w:pPr>
        <w:spacing w:after="0" w:line="240" w:lineRule="auto"/>
        <w:jc w:val="left"/>
        <w:rPr>
          <w:sz w:val="24"/>
          <w:szCs w:val="24"/>
          <w:bdr w:val="none" w:sz="0" w:space="0" w:color="auto" w:frame="1"/>
        </w:rPr>
      </w:pPr>
    </w:p>
    <w:p w14:paraId="2F98FAF7" w14:textId="77777777" w:rsidR="00D57863" w:rsidRPr="00D57863" w:rsidRDefault="00D57863" w:rsidP="00D57863">
      <w:pPr>
        <w:spacing w:after="0" w:line="240" w:lineRule="auto"/>
        <w:jc w:val="left"/>
        <w:rPr>
          <w:sz w:val="24"/>
          <w:szCs w:val="24"/>
          <w:bdr w:val="none" w:sz="0" w:space="0" w:color="auto" w:frame="1"/>
        </w:rPr>
      </w:pPr>
      <w:r w:rsidRPr="00D57863">
        <w:rPr>
          <w:sz w:val="24"/>
          <w:szCs w:val="24"/>
          <w:bdr w:val="none" w:sz="0" w:space="0" w:color="auto" w:frame="1"/>
        </w:rPr>
        <w:t xml:space="preserve">Sweeny, Mason, Wilson &amp; </w:t>
      </w:r>
      <w:proofErr w:type="gramStart"/>
      <w:r w:rsidRPr="00D57863">
        <w:rPr>
          <w:sz w:val="24"/>
          <w:szCs w:val="24"/>
          <w:bdr w:val="none" w:sz="0" w:space="0" w:color="auto" w:frame="1"/>
        </w:rPr>
        <w:t>Bosomworth</w:t>
      </w:r>
      <w:proofErr w:type="gramEnd"/>
      <w:r w:rsidRPr="00D57863">
        <w:rPr>
          <w:sz w:val="24"/>
          <w:szCs w:val="24"/>
          <w:bdr w:val="none" w:sz="0" w:space="0" w:color="auto" w:frame="1"/>
        </w:rPr>
        <w:t xml:space="preserve"> and Roger M. Mason for United Contractors as Amicus Curiae on behalf of Defendants and Respondents.</w:t>
      </w:r>
    </w:p>
    <w:p w14:paraId="1AE0A17C" w14:textId="77777777" w:rsidR="00D57863" w:rsidRPr="00D57863" w:rsidRDefault="00D57863" w:rsidP="00D57863">
      <w:pPr>
        <w:spacing w:after="0" w:line="240" w:lineRule="auto"/>
        <w:jc w:val="left"/>
        <w:rPr>
          <w:sz w:val="24"/>
          <w:szCs w:val="24"/>
          <w:bdr w:val="none" w:sz="0" w:space="0" w:color="auto" w:frame="1"/>
        </w:rPr>
      </w:pPr>
    </w:p>
    <w:p w14:paraId="369FDE06" w14:textId="77777777" w:rsidR="00D57863" w:rsidRPr="00D57863" w:rsidRDefault="00D57863" w:rsidP="00D57863">
      <w:pPr>
        <w:spacing w:after="0" w:line="240" w:lineRule="auto"/>
        <w:jc w:val="left"/>
        <w:rPr>
          <w:sz w:val="24"/>
          <w:szCs w:val="24"/>
          <w:bdr w:val="none" w:sz="0" w:space="0" w:color="auto" w:frame="1"/>
        </w:rPr>
      </w:pPr>
      <w:proofErr w:type="spellStart"/>
      <w:r w:rsidRPr="00D57863">
        <w:rPr>
          <w:sz w:val="24"/>
          <w:szCs w:val="24"/>
          <w:bdr w:val="none" w:sz="0" w:space="0" w:color="auto" w:frame="1"/>
        </w:rPr>
        <w:t>Jeffer</w:t>
      </w:r>
      <w:proofErr w:type="spellEnd"/>
      <w:r w:rsidRPr="00D57863">
        <w:rPr>
          <w:sz w:val="24"/>
          <w:szCs w:val="24"/>
          <w:bdr w:val="none" w:sz="0" w:space="0" w:color="auto" w:frame="1"/>
        </w:rPr>
        <w:t xml:space="preserve"> Mangels Butler &amp; Mitchell, Kerry Shapiro, Matthew D. Hinks and Martin P. </w:t>
      </w:r>
      <w:proofErr w:type="spellStart"/>
      <w:r w:rsidRPr="00D57863">
        <w:rPr>
          <w:sz w:val="24"/>
          <w:szCs w:val="24"/>
          <w:bdr w:val="none" w:sz="0" w:space="0" w:color="auto" w:frame="1"/>
        </w:rPr>
        <w:t>Stratte</w:t>
      </w:r>
      <w:proofErr w:type="spellEnd"/>
      <w:r w:rsidRPr="00D57863">
        <w:rPr>
          <w:sz w:val="24"/>
          <w:szCs w:val="24"/>
          <w:bdr w:val="none" w:sz="0" w:space="0" w:color="auto" w:frame="1"/>
        </w:rPr>
        <w:t xml:space="preserve"> for California Construction and Industrial Materials Association as Amicus Curiae on behalf of Defendants and Respondents.</w:t>
      </w:r>
    </w:p>
    <w:p w14:paraId="2E156D10" w14:textId="77777777" w:rsidR="00D57863" w:rsidRPr="00D57863" w:rsidRDefault="00D57863" w:rsidP="00D57863">
      <w:pPr>
        <w:spacing w:after="0" w:line="240" w:lineRule="auto"/>
        <w:jc w:val="left"/>
        <w:rPr>
          <w:sz w:val="24"/>
          <w:szCs w:val="24"/>
          <w:bdr w:val="none" w:sz="0" w:space="0" w:color="auto" w:frame="1"/>
        </w:rPr>
      </w:pPr>
    </w:p>
    <w:p w14:paraId="0705D356" w14:textId="77777777" w:rsidR="00D57863" w:rsidRPr="00D57863" w:rsidRDefault="00D57863" w:rsidP="00D57863">
      <w:pPr>
        <w:spacing w:after="0" w:line="240" w:lineRule="auto"/>
        <w:jc w:val="left"/>
        <w:rPr>
          <w:sz w:val="24"/>
          <w:szCs w:val="24"/>
          <w:bdr w:val="none" w:sz="0" w:space="0" w:color="auto" w:frame="1"/>
        </w:rPr>
      </w:pPr>
      <w:r w:rsidRPr="00D57863">
        <w:rPr>
          <w:sz w:val="24"/>
          <w:szCs w:val="24"/>
          <w:bdr w:val="none" w:sz="0" w:space="0" w:color="auto" w:frame="1"/>
        </w:rPr>
        <w:t xml:space="preserve">Ogletree, Deakins, Nash, Smoak &amp; Stewart, Robert R. </w:t>
      </w:r>
      <w:proofErr w:type="spellStart"/>
      <w:r w:rsidRPr="00D57863">
        <w:rPr>
          <w:sz w:val="24"/>
          <w:szCs w:val="24"/>
          <w:bdr w:val="none" w:sz="0" w:space="0" w:color="auto" w:frame="1"/>
        </w:rPr>
        <w:t>Roginson</w:t>
      </w:r>
      <w:proofErr w:type="spellEnd"/>
      <w:r w:rsidRPr="00D57863">
        <w:rPr>
          <w:sz w:val="24"/>
          <w:szCs w:val="24"/>
          <w:bdr w:val="none" w:sz="0" w:space="0" w:color="auto" w:frame="1"/>
        </w:rPr>
        <w:t xml:space="preserve"> and Ryan H. </w:t>
      </w:r>
      <w:proofErr w:type="spellStart"/>
      <w:r w:rsidRPr="00D57863">
        <w:rPr>
          <w:sz w:val="24"/>
          <w:szCs w:val="24"/>
          <w:bdr w:val="none" w:sz="0" w:space="0" w:color="auto" w:frame="1"/>
        </w:rPr>
        <w:t>Crosner</w:t>
      </w:r>
      <w:proofErr w:type="spellEnd"/>
      <w:r w:rsidRPr="00D57863">
        <w:rPr>
          <w:sz w:val="24"/>
          <w:szCs w:val="24"/>
          <w:bdr w:val="none" w:sz="0" w:space="0" w:color="auto" w:frame="1"/>
        </w:rPr>
        <w:t xml:space="preserve"> for Associated General Contractors of California as Amicus Curiae on behalf of Defendants and Respondents.</w:t>
      </w:r>
    </w:p>
    <w:p w14:paraId="05893987" w14:textId="77777777" w:rsidR="00D57863" w:rsidRPr="00D57863" w:rsidRDefault="00D57863" w:rsidP="00D57863">
      <w:pPr>
        <w:spacing w:after="0" w:line="240" w:lineRule="auto"/>
        <w:jc w:val="left"/>
        <w:rPr>
          <w:b/>
          <w:sz w:val="24"/>
          <w:szCs w:val="24"/>
        </w:rPr>
      </w:pPr>
    </w:p>
    <w:p w14:paraId="7C7094C1" w14:textId="77777777" w:rsidR="00D57863" w:rsidRPr="00D57863" w:rsidRDefault="00D57863" w:rsidP="00D57863">
      <w:pPr>
        <w:spacing w:after="0" w:line="240" w:lineRule="auto"/>
        <w:jc w:val="left"/>
        <w:rPr>
          <w:bCs/>
          <w:sz w:val="24"/>
          <w:szCs w:val="24"/>
        </w:rPr>
      </w:pPr>
      <w:r w:rsidRPr="00D57863">
        <w:rPr>
          <w:bCs/>
          <w:sz w:val="24"/>
          <w:szCs w:val="24"/>
        </w:rPr>
        <w:t xml:space="preserve">Atkinson, </w:t>
      </w:r>
      <w:proofErr w:type="spellStart"/>
      <w:r w:rsidRPr="00D57863">
        <w:rPr>
          <w:bCs/>
          <w:sz w:val="24"/>
          <w:szCs w:val="24"/>
        </w:rPr>
        <w:t>Andelson</w:t>
      </w:r>
      <w:proofErr w:type="spellEnd"/>
      <w:r w:rsidRPr="00D57863">
        <w:rPr>
          <w:bCs/>
          <w:sz w:val="24"/>
          <w:szCs w:val="24"/>
        </w:rPr>
        <w:t xml:space="preserve">, </w:t>
      </w:r>
      <w:proofErr w:type="spellStart"/>
      <w:r w:rsidRPr="00D57863">
        <w:rPr>
          <w:bCs/>
          <w:sz w:val="24"/>
          <w:szCs w:val="24"/>
        </w:rPr>
        <w:t>Loya</w:t>
      </w:r>
      <w:proofErr w:type="spellEnd"/>
      <w:r w:rsidRPr="00D57863">
        <w:rPr>
          <w:bCs/>
          <w:sz w:val="24"/>
          <w:szCs w:val="24"/>
        </w:rPr>
        <w:t>, Ruud &amp; Romo, Robert Fried, Thomas A. Lenz and Elizabeth P. Lind for Associated Builders and Contractors of California as Amicus Curiae on behalf of Defendants and Respondents.</w:t>
      </w:r>
    </w:p>
    <w:p w14:paraId="0607B078" w14:textId="77777777" w:rsidR="00D57863" w:rsidRPr="00D57863" w:rsidRDefault="00D57863" w:rsidP="00D57863">
      <w:pPr>
        <w:spacing w:after="0" w:line="240" w:lineRule="auto"/>
        <w:jc w:val="left"/>
        <w:rPr>
          <w:b/>
          <w:sz w:val="24"/>
          <w:szCs w:val="24"/>
        </w:rPr>
      </w:pPr>
      <w:r w:rsidRPr="00D57863">
        <w:rPr>
          <w:color w:val="212121"/>
          <w:sz w:val="24"/>
          <w:szCs w:val="24"/>
          <w:shd w:val="clear" w:color="auto" w:fill="FFFFFF"/>
        </w:rPr>
        <w:br w:type="page"/>
      </w:r>
      <w:r w:rsidRPr="00D57863">
        <w:rPr>
          <w:b/>
          <w:sz w:val="24"/>
          <w:szCs w:val="24"/>
        </w:rPr>
        <w:lastRenderedPageBreak/>
        <w:t>Counsel who argued in Supreme Court (not intended for publication with opinion):</w:t>
      </w:r>
    </w:p>
    <w:p w14:paraId="7009A4E9" w14:textId="77777777" w:rsidR="00D57863" w:rsidRPr="00D57863" w:rsidRDefault="00D57863" w:rsidP="00D57863">
      <w:pPr>
        <w:spacing w:after="0" w:line="240" w:lineRule="auto"/>
        <w:jc w:val="left"/>
        <w:rPr>
          <w:b/>
          <w:sz w:val="24"/>
          <w:szCs w:val="24"/>
        </w:rPr>
      </w:pPr>
    </w:p>
    <w:p w14:paraId="3D087D20" w14:textId="77777777" w:rsidR="00D57863" w:rsidRPr="00D57863" w:rsidRDefault="00D57863" w:rsidP="00D57863">
      <w:pPr>
        <w:spacing w:after="0" w:line="240" w:lineRule="auto"/>
        <w:jc w:val="left"/>
        <w:rPr>
          <w:bCs/>
          <w:sz w:val="24"/>
          <w:szCs w:val="24"/>
        </w:rPr>
      </w:pPr>
      <w:r w:rsidRPr="00D57863">
        <w:rPr>
          <w:bCs/>
          <w:sz w:val="24"/>
          <w:szCs w:val="24"/>
        </w:rPr>
        <w:t xml:space="preserve">Stuart B. </w:t>
      </w:r>
      <w:proofErr w:type="spellStart"/>
      <w:r w:rsidRPr="00D57863">
        <w:rPr>
          <w:bCs/>
          <w:sz w:val="24"/>
          <w:szCs w:val="24"/>
        </w:rPr>
        <w:t>Esner</w:t>
      </w:r>
      <w:proofErr w:type="spellEnd"/>
    </w:p>
    <w:p w14:paraId="09B4FF7B" w14:textId="77777777" w:rsidR="00D57863" w:rsidRPr="00D57863" w:rsidRDefault="00D57863" w:rsidP="00D57863">
      <w:pPr>
        <w:spacing w:after="0" w:line="240" w:lineRule="auto"/>
        <w:jc w:val="left"/>
        <w:rPr>
          <w:bCs/>
          <w:sz w:val="24"/>
          <w:szCs w:val="24"/>
        </w:rPr>
      </w:pPr>
      <w:proofErr w:type="spellStart"/>
      <w:r w:rsidRPr="00D57863">
        <w:rPr>
          <w:bCs/>
          <w:sz w:val="24"/>
          <w:szCs w:val="24"/>
        </w:rPr>
        <w:t>Esner</w:t>
      </w:r>
      <w:proofErr w:type="spellEnd"/>
      <w:r w:rsidRPr="00D57863">
        <w:rPr>
          <w:bCs/>
          <w:sz w:val="24"/>
          <w:szCs w:val="24"/>
        </w:rPr>
        <w:t>, Chang &amp; Boyer</w:t>
      </w:r>
    </w:p>
    <w:p w14:paraId="7FB9D6C4" w14:textId="77777777" w:rsidR="00D57863" w:rsidRPr="00D57863" w:rsidRDefault="00D57863" w:rsidP="00D57863">
      <w:pPr>
        <w:spacing w:after="0" w:line="240" w:lineRule="auto"/>
        <w:jc w:val="left"/>
        <w:rPr>
          <w:bCs/>
          <w:sz w:val="24"/>
          <w:szCs w:val="24"/>
        </w:rPr>
      </w:pPr>
      <w:r w:rsidRPr="00D57863">
        <w:rPr>
          <w:bCs/>
          <w:sz w:val="24"/>
          <w:szCs w:val="24"/>
        </w:rPr>
        <w:t>234 East Colorado Boulevard, Suite 975</w:t>
      </w:r>
    </w:p>
    <w:p w14:paraId="1771092D" w14:textId="77777777" w:rsidR="00D57863" w:rsidRPr="00D57863" w:rsidRDefault="00D57863" w:rsidP="00D57863">
      <w:pPr>
        <w:spacing w:after="0" w:line="240" w:lineRule="auto"/>
        <w:jc w:val="left"/>
        <w:rPr>
          <w:bCs/>
          <w:sz w:val="24"/>
          <w:szCs w:val="24"/>
        </w:rPr>
      </w:pPr>
      <w:r w:rsidRPr="00D57863">
        <w:rPr>
          <w:bCs/>
          <w:sz w:val="24"/>
          <w:szCs w:val="24"/>
        </w:rPr>
        <w:t>Pasadena, CA 91101</w:t>
      </w:r>
    </w:p>
    <w:p w14:paraId="6679D372" w14:textId="77777777" w:rsidR="00D57863" w:rsidRPr="00D57863" w:rsidRDefault="00D57863" w:rsidP="00D57863">
      <w:pPr>
        <w:spacing w:after="0" w:line="240" w:lineRule="auto"/>
        <w:jc w:val="left"/>
        <w:rPr>
          <w:bCs/>
          <w:sz w:val="24"/>
          <w:szCs w:val="24"/>
        </w:rPr>
      </w:pPr>
      <w:r w:rsidRPr="00D57863">
        <w:rPr>
          <w:bCs/>
          <w:sz w:val="24"/>
          <w:szCs w:val="24"/>
        </w:rPr>
        <w:t>(626) 535-9860</w:t>
      </w:r>
    </w:p>
    <w:p w14:paraId="6AB19CEB" w14:textId="77777777" w:rsidR="00D57863" w:rsidRPr="00D57863" w:rsidRDefault="00D57863" w:rsidP="00D57863">
      <w:pPr>
        <w:spacing w:after="0" w:line="240" w:lineRule="auto"/>
        <w:jc w:val="left"/>
        <w:rPr>
          <w:bCs/>
          <w:sz w:val="24"/>
          <w:szCs w:val="24"/>
        </w:rPr>
      </w:pPr>
    </w:p>
    <w:p w14:paraId="3ADDE1C7" w14:textId="77777777" w:rsidR="00D57863" w:rsidRPr="00D57863" w:rsidRDefault="00D57863" w:rsidP="00D57863">
      <w:pPr>
        <w:spacing w:after="0" w:line="240" w:lineRule="auto"/>
        <w:jc w:val="left"/>
        <w:rPr>
          <w:bCs/>
          <w:sz w:val="24"/>
          <w:szCs w:val="24"/>
        </w:rPr>
      </w:pPr>
      <w:r w:rsidRPr="00D57863">
        <w:rPr>
          <w:bCs/>
          <w:sz w:val="24"/>
          <w:szCs w:val="24"/>
        </w:rPr>
        <w:t xml:space="preserve">Tomas E. </w:t>
      </w:r>
      <w:proofErr w:type="spellStart"/>
      <w:r w:rsidRPr="00D57863">
        <w:rPr>
          <w:bCs/>
          <w:sz w:val="24"/>
          <w:szCs w:val="24"/>
        </w:rPr>
        <w:t>Margain</w:t>
      </w:r>
      <w:proofErr w:type="spellEnd"/>
    </w:p>
    <w:p w14:paraId="6D2B532D" w14:textId="77777777" w:rsidR="00D57863" w:rsidRPr="00D57863" w:rsidRDefault="00D57863" w:rsidP="00D57863">
      <w:pPr>
        <w:spacing w:after="0" w:line="240" w:lineRule="auto"/>
        <w:jc w:val="left"/>
        <w:rPr>
          <w:bCs/>
          <w:sz w:val="24"/>
          <w:szCs w:val="24"/>
        </w:rPr>
      </w:pPr>
      <w:r w:rsidRPr="00D57863">
        <w:rPr>
          <w:bCs/>
          <w:sz w:val="24"/>
          <w:szCs w:val="24"/>
        </w:rPr>
        <w:t>Justice At Work Law Group</w:t>
      </w:r>
    </w:p>
    <w:p w14:paraId="3222D4EB" w14:textId="77777777" w:rsidR="00D57863" w:rsidRPr="00D57863" w:rsidRDefault="00D57863" w:rsidP="00D57863">
      <w:pPr>
        <w:spacing w:after="0" w:line="240" w:lineRule="auto"/>
        <w:jc w:val="left"/>
        <w:rPr>
          <w:bCs/>
          <w:sz w:val="24"/>
          <w:szCs w:val="24"/>
        </w:rPr>
      </w:pPr>
      <w:r w:rsidRPr="00D57863">
        <w:rPr>
          <w:bCs/>
          <w:sz w:val="24"/>
          <w:szCs w:val="24"/>
        </w:rPr>
        <w:t>84 West Santa Clara Street, Suite 790</w:t>
      </w:r>
    </w:p>
    <w:p w14:paraId="7D4F00AD" w14:textId="77777777" w:rsidR="00D57863" w:rsidRPr="00D57863" w:rsidRDefault="00D57863" w:rsidP="00D57863">
      <w:pPr>
        <w:spacing w:after="0" w:line="240" w:lineRule="auto"/>
        <w:jc w:val="left"/>
        <w:rPr>
          <w:bCs/>
          <w:sz w:val="24"/>
          <w:szCs w:val="24"/>
        </w:rPr>
      </w:pPr>
      <w:r w:rsidRPr="00D57863">
        <w:rPr>
          <w:bCs/>
          <w:sz w:val="24"/>
          <w:szCs w:val="24"/>
        </w:rPr>
        <w:t>San Jose, CA 95113</w:t>
      </w:r>
    </w:p>
    <w:p w14:paraId="5AD9EDB9" w14:textId="77777777" w:rsidR="00D57863" w:rsidRPr="00D57863" w:rsidRDefault="00D57863" w:rsidP="00D57863">
      <w:pPr>
        <w:spacing w:after="0" w:line="240" w:lineRule="auto"/>
        <w:jc w:val="left"/>
        <w:rPr>
          <w:bCs/>
          <w:sz w:val="24"/>
          <w:szCs w:val="24"/>
        </w:rPr>
      </w:pPr>
      <w:r w:rsidRPr="00D57863">
        <w:rPr>
          <w:bCs/>
          <w:sz w:val="24"/>
          <w:szCs w:val="24"/>
        </w:rPr>
        <w:t>(408) 317-1100</w:t>
      </w:r>
    </w:p>
    <w:p w14:paraId="7581BC3A" w14:textId="77777777" w:rsidR="00D57863" w:rsidRPr="00D57863" w:rsidRDefault="00D57863" w:rsidP="00D57863">
      <w:pPr>
        <w:spacing w:after="0" w:line="240" w:lineRule="auto"/>
        <w:jc w:val="left"/>
        <w:rPr>
          <w:bCs/>
          <w:sz w:val="24"/>
          <w:szCs w:val="24"/>
        </w:rPr>
      </w:pPr>
    </w:p>
    <w:p w14:paraId="0D1EFE1A" w14:textId="77777777" w:rsidR="00D57863" w:rsidRPr="00D57863" w:rsidRDefault="00D57863" w:rsidP="00D57863">
      <w:pPr>
        <w:spacing w:after="0" w:line="240" w:lineRule="auto"/>
        <w:jc w:val="left"/>
        <w:rPr>
          <w:bCs/>
          <w:sz w:val="24"/>
          <w:szCs w:val="24"/>
        </w:rPr>
      </w:pPr>
      <w:r w:rsidRPr="00D57863">
        <w:rPr>
          <w:bCs/>
          <w:sz w:val="24"/>
          <w:szCs w:val="24"/>
        </w:rPr>
        <w:t>Paul V. Simpson</w:t>
      </w:r>
    </w:p>
    <w:p w14:paraId="7906D6D3" w14:textId="77777777" w:rsidR="00D57863" w:rsidRPr="00D57863" w:rsidRDefault="00D57863" w:rsidP="00D57863">
      <w:pPr>
        <w:spacing w:after="0" w:line="240" w:lineRule="auto"/>
        <w:jc w:val="left"/>
        <w:rPr>
          <w:bCs/>
          <w:sz w:val="24"/>
          <w:szCs w:val="24"/>
        </w:rPr>
      </w:pPr>
      <w:r w:rsidRPr="00D57863">
        <w:rPr>
          <w:bCs/>
          <w:sz w:val="24"/>
          <w:szCs w:val="24"/>
        </w:rPr>
        <w:t>Simpson, Garrity, Innes &amp; Jacuzzi, P.C.</w:t>
      </w:r>
    </w:p>
    <w:p w14:paraId="166C6360" w14:textId="77777777" w:rsidR="00D57863" w:rsidRPr="00D57863" w:rsidRDefault="00D57863" w:rsidP="00D57863">
      <w:pPr>
        <w:spacing w:after="0" w:line="240" w:lineRule="auto"/>
        <w:jc w:val="left"/>
        <w:rPr>
          <w:bCs/>
          <w:sz w:val="24"/>
          <w:szCs w:val="24"/>
        </w:rPr>
      </w:pPr>
      <w:r w:rsidRPr="00D57863">
        <w:rPr>
          <w:bCs/>
          <w:sz w:val="24"/>
          <w:szCs w:val="24"/>
        </w:rPr>
        <w:t>601 Gateway Boulevard, Suite 950</w:t>
      </w:r>
    </w:p>
    <w:p w14:paraId="572D2421" w14:textId="77777777" w:rsidR="00D57863" w:rsidRPr="00D57863" w:rsidRDefault="00D57863" w:rsidP="00D57863">
      <w:pPr>
        <w:spacing w:after="0" w:line="240" w:lineRule="auto"/>
        <w:jc w:val="left"/>
        <w:rPr>
          <w:bCs/>
          <w:sz w:val="24"/>
          <w:szCs w:val="24"/>
        </w:rPr>
      </w:pPr>
      <w:r w:rsidRPr="00D57863">
        <w:rPr>
          <w:bCs/>
          <w:sz w:val="24"/>
          <w:szCs w:val="24"/>
        </w:rPr>
        <w:t>South San Francisco, CA 94080</w:t>
      </w:r>
    </w:p>
    <w:p w14:paraId="79CFE00D" w14:textId="77777777" w:rsidR="00D57863" w:rsidRPr="00D57863" w:rsidRDefault="00D57863" w:rsidP="00D57863">
      <w:pPr>
        <w:spacing w:after="0" w:line="240" w:lineRule="auto"/>
        <w:jc w:val="left"/>
        <w:rPr>
          <w:bCs/>
          <w:sz w:val="24"/>
          <w:szCs w:val="24"/>
        </w:rPr>
      </w:pPr>
      <w:r w:rsidRPr="00D57863">
        <w:rPr>
          <w:bCs/>
          <w:sz w:val="24"/>
          <w:szCs w:val="24"/>
        </w:rPr>
        <w:t>(650) 615-4860</w:t>
      </w:r>
    </w:p>
    <w:p w14:paraId="36D3394D" w14:textId="77777777" w:rsidR="00D57863" w:rsidRPr="00D57863" w:rsidRDefault="00D57863" w:rsidP="00D57863">
      <w:pPr>
        <w:spacing w:after="0" w:line="240" w:lineRule="auto"/>
        <w:jc w:val="left"/>
        <w:rPr>
          <w:bCs/>
          <w:sz w:val="24"/>
          <w:szCs w:val="24"/>
        </w:rPr>
      </w:pPr>
    </w:p>
    <w:p w14:paraId="604A0C12" w14:textId="77777777" w:rsidR="00D57863" w:rsidRPr="00D57863" w:rsidRDefault="00D57863" w:rsidP="00D57863">
      <w:pPr>
        <w:spacing w:after="0" w:line="240" w:lineRule="auto"/>
        <w:jc w:val="left"/>
        <w:rPr>
          <w:bCs/>
          <w:sz w:val="24"/>
          <w:szCs w:val="24"/>
        </w:rPr>
      </w:pPr>
      <w:r w:rsidRPr="00D57863">
        <w:rPr>
          <w:bCs/>
          <w:sz w:val="24"/>
          <w:szCs w:val="24"/>
        </w:rPr>
        <w:t xml:space="preserve">Robert R. </w:t>
      </w:r>
      <w:proofErr w:type="spellStart"/>
      <w:r w:rsidRPr="00D57863">
        <w:rPr>
          <w:bCs/>
          <w:sz w:val="24"/>
          <w:szCs w:val="24"/>
        </w:rPr>
        <w:t>Roginson</w:t>
      </w:r>
      <w:proofErr w:type="spellEnd"/>
    </w:p>
    <w:p w14:paraId="13BE0B39" w14:textId="77777777" w:rsidR="00D57863" w:rsidRPr="00D57863" w:rsidRDefault="00D57863" w:rsidP="00D57863">
      <w:pPr>
        <w:spacing w:after="0" w:line="240" w:lineRule="auto"/>
        <w:jc w:val="left"/>
        <w:rPr>
          <w:bCs/>
          <w:sz w:val="24"/>
          <w:szCs w:val="24"/>
        </w:rPr>
      </w:pPr>
      <w:r w:rsidRPr="00D57863">
        <w:rPr>
          <w:sz w:val="24"/>
          <w:szCs w:val="24"/>
          <w:bdr w:val="none" w:sz="0" w:space="0" w:color="auto" w:frame="1"/>
        </w:rPr>
        <w:t>Ogletree, Deakins, Nash, Smoak &amp; Stewart, P.C.</w:t>
      </w:r>
    </w:p>
    <w:p w14:paraId="7CC146C5" w14:textId="77777777" w:rsidR="00D57863" w:rsidRPr="00D57863" w:rsidRDefault="00D57863" w:rsidP="00D57863">
      <w:pPr>
        <w:spacing w:after="0" w:line="240" w:lineRule="auto"/>
        <w:jc w:val="left"/>
        <w:rPr>
          <w:bCs/>
          <w:sz w:val="24"/>
          <w:szCs w:val="24"/>
        </w:rPr>
      </w:pPr>
      <w:r w:rsidRPr="00D57863">
        <w:rPr>
          <w:bCs/>
          <w:sz w:val="24"/>
          <w:szCs w:val="24"/>
        </w:rPr>
        <w:t>400 South Hope Street, Suite 1200</w:t>
      </w:r>
    </w:p>
    <w:p w14:paraId="1DC4F532" w14:textId="77777777" w:rsidR="00D57863" w:rsidRPr="00D57863" w:rsidRDefault="00D57863" w:rsidP="00D57863">
      <w:pPr>
        <w:spacing w:after="0" w:line="240" w:lineRule="auto"/>
        <w:jc w:val="left"/>
        <w:rPr>
          <w:bCs/>
          <w:sz w:val="24"/>
          <w:szCs w:val="24"/>
        </w:rPr>
      </w:pPr>
      <w:r w:rsidRPr="00D57863">
        <w:rPr>
          <w:bCs/>
          <w:sz w:val="24"/>
          <w:szCs w:val="24"/>
        </w:rPr>
        <w:t>Los Angeles, CA 90071</w:t>
      </w:r>
    </w:p>
    <w:p w14:paraId="27FF3BEF" w14:textId="77777777" w:rsidR="00D57863" w:rsidRPr="00D57863" w:rsidRDefault="00D57863" w:rsidP="00D57863">
      <w:pPr>
        <w:spacing w:after="0" w:line="240" w:lineRule="auto"/>
        <w:jc w:val="left"/>
        <w:rPr>
          <w:bCs/>
          <w:sz w:val="24"/>
          <w:szCs w:val="24"/>
        </w:rPr>
      </w:pPr>
      <w:r w:rsidRPr="00D57863">
        <w:rPr>
          <w:bCs/>
          <w:sz w:val="24"/>
          <w:szCs w:val="24"/>
        </w:rPr>
        <w:t>(213) 457-5873</w:t>
      </w:r>
    </w:p>
    <w:p w14:paraId="05AAFF38" w14:textId="77777777" w:rsidR="00D57863" w:rsidRPr="00D57863" w:rsidRDefault="00D57863" w:rsidP="00D57863">
      <w:pPr>
        <w:spacing w:after="0" w:line="240" w:lineRule="auto"/>
        <w:jc w:val="left"/>
        <w:rPr>
          <w:sz w:val="24"/>
          <w:szCs w:val="24"/>
        </w:rPr>
      </w:pPr>
      <w:r w:rsidRPr="00D57863">
        <w:rPr>
          <w:sz w:val="24"/>
          <w:szCs w:val="24"/>
        </w:rPr>
        <w:t xml:space="preserve"> </w:t>
      </w:r>
    </w:p>
    <w:p w14:paraId="6271ECD3" w14:textId="0B34AE0B" w:rsidR="007F2BA0" w:rsidRPr="002A701F" w:rsidRDefault="007F2BA0" w:rsidP="00CC0ED9">
      <w:pPr>
        <w:tabs>
          <w:tab w:val="left" w:pos="1440"/>
        </w:tabs>
        <w:rPr>
          <w:b/>
          <w:bCs/>
        </w:rPr>
      </w:pPr>
    </w:p>
    <w:sectPr w:rsidR="007F2BA0" w:rsidRPr="002A701F" w:rsidSect="00EC2BB8">
      <w:headerReference w:type="default" r:id="rId15"/>
      <w:footerReference w:type="default" r:id="rId16"/>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D61F" w14:textId="77777777" w:rsidR="000A5B84" w:rsidRDefault="000A5B84">
      <w:r>
        <w:separator/>
      </w:r>
    </w:p>
  </w:endnote>
  <w:endnote w:type="continuationSeparator" w:id="0">
    <w:p w14:paraId="2083EA86" w14:textId="77777777" w:rsidR="000A5B84" w:rsidRDefault="000A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576004"/>
      <w:docPartObj>
        <w:docPartGallery w:val="Page Numbers (Bottom of Page)"/>
        <w:docPartUnique/>
      </w:docPartObj>
    </w:sdtPr>
    <w:sdtEndPr>
      <w:rPr>
        <w:noProof/>
      </w:rPr>
    </w:sdtEndPr>
    <w:sdtContent>
      <w:p w14:paraId="7814D5F2" w14:textId="5F387267" w:rsidR="00F3300C" w:rsidRDefault="00F3300C">
        <w:pPr>
          <w:pStyle w:val="Footer"/>
        </w:pPr>
        <w:r>
          <w:fldChar w:fldCharType="begin"/>
        </w:r>
        <w:r>
          <w:instrText xml:space="preserve"> PAGE   \* MERGEFORMAT </w:instrText>
        </w:r>
        <w:r>
          <w:fldChar w:fldCharType="separate"/>
        </w:r>
        <w:r>
          <w:rPr>
            <w:noProof/>
          </w:rPr>
          <w:t>2</w:t>
        </w:r>
        <w:r>
          <w:rPr>
            <w:noProof/>
          </w:rPr>
          <w:fldChar w:fldCharType="end"/>
        </w:r>
      </w:p>
    </w:sdtContent>
  </w:sdt>
  <w:p w14:paraId="654105CE" w14:textId="77777777" w:rsidR="00F3300C" w:rsidRDefault="00F33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D81A" w14:textId="6A777BB9" w:rsidR="00F3300C" w:rsidRDefault="00F3300C">
    <w:pPr>
      <w:pStyle w:val="Footer"/>
    </w:pPr>
  </w:p>
  <w:p w14:paraId="62E5319D" w14:textId="13682F78" w:rsidR="00F3300C" w:rsidRDefault="00F33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678046"/>
      <w:docPartObj>
        <w:docPartGallery w:val="Page Numbers (Bottom of Page)"/>
        <w:docPartUnique/>
      </w:docPartObj>
    </w:sdtPr>
    <w:sdtEndPr>
      <w:rPr>
        <w:noProof/>
      </w:rPr>
    </w:sdtEndPr>
    <w:sdtContent>
      <w:p w14:paraId="2574EF99" w14:textId="52B86C20" w:rsidR="00F3300C" w:rsidRDefault="00F3300C">
        <w:pPr>
          <w:pStyle w:val="Footer"/>
        </w:pPr>
        <w:r>
          <w:fldChar w:fldCharType="begin"/>
        </w:r>
        <w:r>
          <w:instrText xml:space="preserve"> PAGE   \* MERGEFORMAT </w:instrText>
        </w:r>
        <w:r>
          <w:fldChar w:fldCharType="separate"/>
        </w:r>
        <w:r>
          <w:rPr>
            <w:noProof/>
          </w:rPr>
          <w:t>2</w:t>
        </w:r>
        <w:r>
          <w:rPr>
            <w:noProof/>
          </w:rPr>
          <w:fldChar w:fldCharType="end"/>
        </w:r>
      </w:p>
    </w:sdtContent>
  </w:sdt>
  <w:p w14:paraId="07168EAC" w14:textId="52052F43" w:rsidR="000A5B84" w:rsidRDefault="000A5B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C53C" w14:textId="77777777" w:rsidR="0049539D" w:rsidRDefault="002D33FC">
    <w:pPr>
      <w:pStyle w:val="Footer"/>
    </w:pPr>
    <w:r>
      <w:fldChar w:fldCharType="begin"/>
    </w:r>
    <w:r>
      <w:instrText>PAGE</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0D0A" w14:textId="77777777" w:rsidR="008851DF" w:rsidRDefault="002D33FC">
    <w:pPr>
      <w:pStyle w:val="Footer"/>
    </w:pPr>
    <w: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E119" w14:textId="151B3C13" w:rsidR="00D57863" w:rsidRPr="00D57863" w:rsidRDefault="00D57863" w:rsidP="00D57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E107" w14:textId="77777777" w:rsidR="000A5B84" w:rsidRDefault="000A5B84">
      <w:r>
        <w:separator/>
      </w:r>
    </w:p>
  </w:footnote>
  <w:footnote w:type="continuationSeparator" w:id="0">
    <w:p w14:paraId="07711DBA" w14:textId="77777777" w:rsidR="000A5B84" w:rsidRDefault="000A5B84">
      <w:pPr>
        <w:rPr>
          <w:sz w:val="22"/>
        </w:rPr>
      </w:pPr>
      <w:r>
        <w:continuationSeparator/>
      </w:r>
    </w:p>
  </w:footnote>
  <w:footnote w:type="continuationNotice" w:id="1">
    <w:p w14:paraId="79F6BFA0" w14:textId="77777777" w:rsidR="000A5B84" w:rsidRDefault="000A5B84" w:rsidP="006D5741">
      <w:pPr>
        <w:rPr>
          <w:i/>
          <w:sz w:val="20"/>
        </w:rPr>
      </w:pPr>
    </w:p>
  </w:footnote>
  <w:footnote w:id="2">
    <w:p w14:paraId="59AFED65" w14:textId="77777777" w:rsidR="000A5B84" w:rsidRDefault="000A5B84" w:rsidP="0028600B">
      <w:pPr>
        <w:pStyle w:val="FootnoteText"/>
      </w:pPr>
      <w:r>
        <w:rPr>
          <w:rStyle w:val="FootnoteReference"/>
        </w:rPr>
        <w:footnoteRef/>
      </w:r>
      <w:r>
        <w:t xml:space="preserve"> Further unspecified section references are to the Labor Code.</w:t>
      </w:r>
    </w:p>
  </w:footnote>
  <w:footnote w:id="3">
    <w:p w14:paraId="644C881E" w14:textId="543682A1" w:rsidR="000A5B84" w:rsidRPr="005023A3" w:rsidRDefault="000A5B84">
      <w:pPr>
        <w:pStyle w:val="FootnoteText"/>
      </w:pPr>
      <w:r>
        <w:rPr>
          <w:rStyle w:val="FootnoteReference"/>
        </w:rPr>
        <w:footnoteRef/>
      </w:r>
      <w:r>
        <w:t xml:space="preserve"> To be clear, although we conclude that section 1772, standing alone, does not afford coverage for mobilization, we do not hold more broadly that mobilization necessarily falls outside the scope of the prevailing wage law’s protections.  (See </w:t>
      </w:r>
      <w:r>
        <w:rPr>
          <w:i/>
          <w:iCs/>
        </w:rPr>
        <w:t>post</w:t>
      </w:r>
      <w:r>
        <w:t xml:space="preserve">, </w:t>
      </w:r>
      <w:r w:rsidR="00F22E11">
        <w:t xml:space="preserve">at </w:t>
      </w:r>
      <w:r w:rsidR="00E511AD">
        <w:t>p</w:t>
      </w:r>
      <w:r>
        <w:t xml:space="preserve">p. </w:t>
      </w:r>
      <w:r w:rsidR="00DC0311">
        <w:t>33</w:t>
      </w:r>
      <w:r w:rsidR="00E511AD">
        <w:t>–34</w:t>
      </w:r>
      <w:r>
        <w:t xml:space="preserve">.) </w:t>
      </w:r>
    </w:p>
  </w:footnote>
  <w:footnote w:id="4">
    <w:p w14:paraId="3A5A0938" w14:textId="350CAFA9" w:rsidR="000A5B84" w:rsidRDefault="000A5B84" w:rsidP="007640FB">
      <w:pPr>
        <w:pStyle w:val="FootnoteText"/>
      </w:pPr>
      <w:r>
        <w:rPr>
          <w:rStyle w:val="FootnoteReference"/>
        </w:rPr>
        <w:footnoteRef/>
      </w:r>
      <w:r>
        <w:t xml:space="preserve"> More specifically, mobilization entails:  loading the milling machines onto a trailer; securing the equipment; checking light, brake, and fluid levels of the truck transporting the trailer; driving to the construction site; and returning the truck and trailer</w:t>
      </w:r>
      <w:r>
        <w:rPr>
          <w:color w:val="00B050"/>
        </w:rPr>
        <w:t xml:space="preserve"> </w:t>
      </w:r>
      <w:r>
        <w:t>to the storage yard.</w:t>
      </w:r>
    </w:p>
  </w:footnote>
  <w:footnote w:id="5">
    <w:p w14:paraId="02AF9971" w14:textId="4BAEC766" w:rsidR="000A5B84" w:rsidRDefault="000A5B84" w:rsidP="007640FB">
      <w:pPr>
        <w:pStyle w:val="FootnoteText"/>
      </w:pPr>
      <w:r>
        <w:rPr>
          <w:rStyle w:val="FootnoteReference"/>
        </w:rPr>
        <w:footnoteRef/>
      </w:r>
      <w:r>
        <w:t xml:space="preserve"> </w:t>
      </w:r>
      <w:bookmarkStart w:id="3" w:name="_Hlk77066035"/>
      <w:r>
        <w:t>Cal. Rules of Court, rule 8.548(a)</w:t>
      </w:r>
      <w:bookmarkEnd w:id="3"/>
      <w:r>
        <w:t>.</w:t>
      </w:r>
    </w:p>
  </w:footnote>
  <w:footnote w:id="6">
    <w:p w14:paraId="259E4038" w14:textId="423581A1" w:rsidR="000A5B84" w:rsidRDefault="000A5B84" w:rsidP="007640FB">
      <w:pPr>
        <w:pStyle w:val="FootnoteText"/>
      </w:pPr>
      <w:r>
        <w:rPr>
          <w:rStyle w:val="FootnoteReference"/>
        </w:rPr>
        <w:footnoteRef/>
      </w:r>
      <w:r>
        <w:t xml:space="preserve"> The Ninth Circuit framed the question as follows:  “Is operating engineers’ offsite ‘mobilization work’ — including the transportation to and from a public works site of roadwork grinding equipment — performed ‘in the execution of [a] contract for public work,’ [section 1772], such that it entitles workers to ‘not less than the general prevailing rate of per diem wages for work of a similar character in the locality in which the public work is performed’ pursuant to section 1771 of the California Labor Code?”</w:t>
      </w:r>
    </w:p>
  </w:footnote>
  <w:footnote w:id="7">
    <w:p w14:paraId="4732DF9C" w14:textId="77777777" w:rsidR="000A5B84" w:rsidRDefault="000A5B84" w:rsidP="000F29FF">
      <w:pPr>
        <w:pStyle w:val="FootnoteText"/>
      </w:pPr>
      <w:r>
        <w:rPr>
          <w:rStyle w:val="FootnoteReference"/>
        </w:rPr>
        <w:footnoteRef/>
      </w:r>
      <w:r>
        <w:t xml:space="preserve"> The prevailing wage law uses the plural term “public works” as well as the singular term “public work.”  (See §§ 1720, subd. (a)(1) &amp; (2), 1770, 1771, 1772.)  We use the terms interchangeably.</w:t>
      </w:r>
    </w:p>
  </w:footnote>
  <w:footnote w:id="8">
    <w:p w14:paraId="31511DB0" w14:textId="77777777" w:rsidR="000A5B84" w:rsidRDefault="000A5B84" w:rsidP="000F29FF">
      <w:pPr>
        <w:pStyle w:val="FootnoteText"/>
      </w:pPr>
      <w:r>
        <w:rPr>
          <w:rStyle w:val="FootnoteReference"/>
        </w:rPr>
        <w:footnoteRef/>
      </w:r>
      <w:r>
        <w:t xml:space="preserve"> Although plaintiffs apparently did mobilization work on both public and private construction projects, we are concerned here only with work done under contract paid for in whole or in part with public funds.</w:t>
      </w:r>
    </w:p>
  </w:footnote>
  <w:footnote w:id="9">
    <w:p w14:paraId="10629073" w14:textId="33EA510A" w:rsidR="000A5B84" w:rsidRPr="00822375" w:rsidRDefault="000A5B84">
      <w:pPr>
        <w:pStyle w:val="FootnoteText"/>
      </w:pPr>
      <w:r>
        <w:rPr>
          <w:rStyle w:val="FootnoteReference"/>
        </w:rPr>
        <w:footnoteRef/>
      </w:r>
      <w:r>
        <w:t xml:space="preserve"> See </w:t>
      </w:r>
      <w:r>
        <w:rPr>
          <w:i/>
          <w:iCs/>
        </w:rPr>
        <w:t>post</w:t>
      </w:r>
      <w:r>
        <w:t xml:space="preserve">, at pages </w:t>
      </w:r>
      <w:r w:rsidR="00E511AD">
        <w:t>10</w:t>
      </w:r>
      <w:r>
        <w:t xml:space="preserve"> to 15.</w:t>
      </w:r>
    </w:p>
  </w:footnote>
  <w:footnote w:id="10">
    <w:p w14:paraId="10830C9C" w14:textId="1E1F23F2" w:rsidR="000A5B84" w:rsidRDefault="000A5B84">
      <w:pPr>
        <w:pStyle w:val="FootnoteText"/>
      </w:pPr>
      <w:r>
        <w:rPr>
          <w:rStyle w:val="FootnoteReference"/>
        </w:rPr>
        <w:footnoteRef/>
      </w:r>
      <w:r>
        <w:t xml:space="preserve"> These article </w:t>
      </w:r>
      <w:r w:rsidR="00695918">
        <w:t>enumerations</w:t>
      </w:r>
      <w:r>
        <w:t xml:space="preserve"> and headings were included in the Legislature’s 1930’s codification of the Labor Code.  (See Stats. 1937, </w:t>
      </w:r>
      <w:proofErr w:type="spellStart"/>
      <w:r>
        <w:t>ch.</w:t>
      </w:r>
      <w:proofErr w:type="spellEnd"/>
      <w:r>
        <w:t xml:space="preserve"> 90, pp. 241–243.)</w:t>
      </w:r>
    </w:p>
  </w:footnote>
  <w:footnote w:id="11">
    <w:p w14:paraId="2A6DE6C4" w14:textId="01B7075A" w:rsidR="000A5B84" w:rsidRDefault="000A5B84" w:rsidP="00686F8B">
      <w:pPr>
        <w:pStyle w:val="FootnoteText"/>
      </w:pPr>
      <w:r>
        <w:rPr>
          <w:rStyle w:val="FootnoteReference"/>
        </w:rPr>
        <w:footnoteRef/>
      </w:r>
      <w:r>
        <w:t xml:space="preserve"> An exception to this principle is found in section 1771 (of art. 2), which extends coverage to “contracts let for maintenance work.”  This exception to the general structure of the prevailing wage law was added many decades after the scheme was codified as part of the Labor Code.  (Stats. 1974, </w:t>
      </w:r>
      <w:proofErr w:type="spellStart"/>
      <w:r>
        <w:t>ch.</w:t>
      </w:r>
      <w:proofErr w:type="spellEnd"/>
      <w:r>
        <w:t xml:space="preserve"> 1202, § 1, p. 2593.)</w:t>
      </w:r>
    </w:p>
  </w:footnote>
  <w:footnote w:id="12">
    <w:p w14:paraId="7B336CE9" w14:textId="42BBADA7" w:rsidR="000A5B84" w:rsidRPr="00DC5FDB" w:rsidRDefault="000A5B84">
      <w:pPr>
        <w:pStyle w:val="FootnoteText"/>
      </w:pPr>
      <w:r>
        <w:rPr>
          <w:rStyle w:val="FootnoteReference"/>
        </w:rPr>
        <w:footnoteRef/>
      </w:r>
      <w:r>
        <w:t xml:space="preserve"> </w:t>
      </w:r>
      <w:r w:rsidRPr="00DC5FDB">
        <w:t>It appears the reference to workers “employed by” the state and its political subdivisions signified direct employees of the government</w:t>
      </w:r>
      <w:r>
        <w:t xml:space="preserve">.  While courts in two states have interpreted their prevailing wage laws to exclude direct governmental employees despite language applying the law to those employed “by or on behalf” of the government,  they did so only because of specific constitutional concerns or because the provision was overridden by a more specific statute excluding governmental employees.  (See </w:t>
      </w:r>
      <w:r>
        <w:rPr>
          <w:i/>
          <w:iCs/>
        </w:rPr>
        <w:t xml:space="preserve">Bradley v. Casey </w:t>
      </w:r>
      <w:r>
        <w:t xml:space="preserve">(Ill. 1953) 114 N.E.2d 681, 683; </w:t>
      </w:r>
      <w:r>
        <w:rPr>
          <w:i/>
          <w:iCs/>
        </w:rPr>
        <w:t xml:space="preserve">State ex rel. Tucker v. Div. of Labor </w:t>
      </w:r>
      <w:r>
        <w:t xml:space="preserve">(W.Va. 2008) 668 S.E.2d 217, 229.)  The 1931 Act contained no provision excluding government workers from its scope.  By contrast, a rudimentary prevailing wage law enacted in the 1890’s expressly excluded from its wage protections “persons employed regularly in any of the public institutions” of the state or its subdivisions.  (Stats. 1897, ch. 88, § 1, p. 90.)  That law was repealed when the 1931 Act took effect.  (See Stats. 1931, ch. 396, § 1, p. 909; Stats. 1931, ch. 397, § 1, p. 910.)  It is telling that the Legislature chose not to include a similar exclusion for government workers in the 1931 Act.  </w:t>
      </w:r>
      <w:r w:rsidRPr="00DC5FDB">
        <w:t>It only took such action in 1974.</w:t>
      </w:r>
      <w:r>
        <w:t xml:space="preserve">  (Stats. 1974, ch. 1202, § 1, p. 2593.)</w:t>
      </w:r>
    </w:p>
  </w:footnote>
  <w:footnote w:id="13">
    <w:p w14:paraId="07CBA833" w14:textId="2BB2B4AF" w:rsidR="000A5B84" w:rsidRDefault="000A5B84">
      <w:pPr>
        <w:pStyle w:val="FootnoteText"/>
      </w:pPr>
      <w:r>
        <w:rPr>
          <w:rStyle w:val="FootnoteReference"/>
        </w:rPr>
        <w:footnoteRef/>
      </w:r>
      <w:r>
        <w:t xml:space="preserve"> Although the reference in the first sentence to workers employed “on behalf of” governmental entities might be construed to extend to work done under contract, the import of that language could be subject to debate.  (See </w:t>
      </w:r>
      <w:r w:rsidRPr="00EA3482">
        <w:rPr>
          <w:i/>
          <w:iCs/>
        </w:rPr>
        <w:t>Division of Labor Stand. v. Friends of Zoo</w:t>
      </w:r>
      <w:r>
        <w:t xml:space="preserve"> </w:t>
      </w:r>
      <w:r>
        <w:rPr>
          <w:i/>
          <w:iCs/>
        </w:rPr>
        <w:t>(</w:t>
      </w:r>
      <w:r>
        <w:t>Mo. 2001) 38 S.W.3d 421, 422–424.)  The second sentence left no doubt that the protection</w:t>
      </w:r>
      <w:r w:rsidR="00695918">
        <w:t>s</w:t>
      </w:r>
      <w:r>
        <w:t xml:space="preserve"> of the law extended to employees of private contractors engaged in public works.</w:t>
      </w:r>
    </w:p>
  </w:footnote>
  <w:footnote w:id="14">
    <w:p w14:paraId="5DEF4CE4" w14:textId="7040F7D1" w:rsidR="000A5B84" w:rsidRDefault="000A5B84">
      <w:pPr>
        <w:pStyle w:val="FootnoteText"/>
      </w:pPr>
      <w:r>
        <w:rPr>
          <w:rStyle w:val="FootnoteReference"/>
        </w:rPr>
        <w:footnoteRef/>
      </w:r>
      <w:r>
        <w:t xml:space="preserve"> As originally enacted, the Davis-Bacon Act required that “every contract” for certain public work include a provision specifying that the wages paid “by the contractor or subcontractor on the public buildings covered by the contract” shall be at least the prevailing rate.  (Pub. L. No. 798 (Mar. 3, 1931) 46 Stat. 1494.)  The federal statutory scheme thus only extended to contract work.  (See also Pub. L. No. 402, § 2 (Aug. 30, 1935) 49 Stat. 1011, 1012.)  The Davis-Bacon Act continues to apply exclusively to work performed by contractors or subcontractors.  (See 40 U.S.C. </w:t>
      </w:r>
      <w:bookmarkStart w:id="5" w:name="_Hlk77156539"/>
      <w:r>
        <w:t>§</w:t>
      </w:r>
      <w:bookmarkEnd w:id="5"/>
      <w:r>
        <w:t> 3141(a) &amp; (c).)</w:t>
      </w:r>
    </w:p>
  </w:footnote>
  <w:footnote w:id="15">
    <w:p w14:paraId="321B7E46" w14:textId="781F581E" w:rsidR="000A5B84" w:rsidRDefault="000A5B84" w:rsidP="000D38FF">
      <w:pPr>
        <w:pStyle w:val="FootnoteText"/>
      </w:pPr>
      <w:r>
        <w:rPr>
          <w:rStyle w:val="FootnoteReference"/>
        </w:rPr>
        <w:footnoteRef/>
      </w:r>
      <w:r>
        <w:t xml:space="preserve"> The California Code Commission prepared a Proposed Labor Code in 1936 that recommended the codification of various labor statutes into a single Labor Code.  Notably, the Proposed Labor Code contained no comment or annotation associated with proposed section 1771</w:t>
      </w:r>
      <w:r w:rsidR="00695918">
        <w:t xml:space="preserve"> that would indicate</w:t>
      </w:r>
      <w:r>
        <w:t xml:space="preserve"> an intent to change the meaning or scope of the provision in the 1931 Act from which that statute was derived.  (Cal. Code Com. Office, Proposed Labor Code (1936) p. 88.)  </w:t>
      </w:r>
    </w:p>
  </w:footnote>
  <w:footnote w:id="16">
    <w:p w14:paraId="446E2341" w14:textId="1A09E3CA" w:rsidR="000A5B84" w:rsidRDefault="000A5B84">
      <w:pPr>
        <w:pStyle w:val="FootnoteText"/>
      </w:pPr>
      <w:r>
        <w:rPr>
          <w:rStyle w:val="FootnoteReference"/>
        </w:rPr>
        <w:footnoteRef/>
      </w:r>
      <w:r>
        <w:t xml:space="preserve"> The sole amendment to the text enacted in 1937 was to replace “[w]orkmen” with “[w]orkers.”  (Stats. 1992, ch. 1342, § 7, p. 6602.)</w:t>
      </w:r>
    </w:p>
  </w:footnote>
  <w:footnote w:id="17">
    <w:p w14:paraId="2D154730" w14:textId="685A3C75" w:rsidR="000A5B84" w:rsidRDefault="000A5B84">
      <w:pPr>
        <w:pStyle w:val="FootnoteText"/>
      </w:pPr>
      <w:r>
        <w:rPr>
          <w:rStyle w:val="FootnoteReference"/>
        </w:rPr>
        <w:footnoteRef/>
      </w:r>
      <w:r>
        <w:t xml:space="preserve"> Former subdivisions (b) and (c) of section 1720 now appear, in substance, in subdivision (a)(2) and (3) of that same statute.</w:t>
      </w:r>
    </w:p>
  </w:footnote>
  <w:footnote w:id="18">
    <w:p w14:paraId="39718ED0" w14:textId="391FDD17" w:rsidR="000A5B84" w:rsidRPr="002545BC" w:rsidRDefault="000A5B84">
      <w:pPr>
        <w:pStyle w:val="FootnoteText"/>
        <w:rPr>
          <w:color w:val="00B050"/>
        </w:rPr>
      </w:pPr>
      <w:r>
        <w:rPr>
          <w:rStyle w:val="FootnoteReference"/>
        </w:rPr>
        <w:footnoteRef/>
      </w:r>
      <w:r>
        <w:t xml:space="preserve"> After </w:t>
      </w:r>
      <w:r>
        <w:rPr>
          <w:i/>
          <w:iCs/>
        </w:rPr>
        <w:t xml:space="preserve">Williams </w:t>
      </w:r>
      <w:r>
        <w:t>the Legislature amended the definition of “hauling of refuse,” a covered public work under section 1720.3, to clarify that the term “includes, but is not limited to, hauling soil, sand, gravel, rocks, concrete, asphalt, excavation materials, and construction debris.”  (§ 1720.3, subd. (b), as amended by Stats. 2011, ch. 676, § 1.)  Consistent with our analysis here, it did so by amending the relevant section in article 1.</w:t>
      </w:r>
    </w:p>
  </w:footnote>
  <w:footnote w:id="19">
    <w:p w14:paraId="2CFB2807" w14:textId="6DACAF03" w:rsidR="000A5B84" w:rsidRPr="00AC2FDD" w:rsidRDefault="000A5B84">
      <w:pPr>
        <w:pStyle w:val="FootnoteText"/>
      </w:pPr>
      <w:r>
        <w:rPr>
          <w:rStyle w:val="FootnoteReference"/>
        </w:rPr>
        <w:footnoteRef/>
      </w:r>
      <w:r>
        <w:t xml:space="preserve"> Aside from federal authority, </w:t>
      </w:r>
      <w:r>
        <w:rPr>
          <w:i/>
          <w:iCs/>
        </w:rPr>
        <w:t xml:space="preserve">Sansone </w:t>
      </w:r>
      <w:r>
        <w:t xml:space="preserve">also relied upon the Wisconsin Supreme Court decision in </w:t>
      </w:r>
      <w:r>
        <w:rPr>
          <w:i/>
          <w:iCs/>
        </w:rPr>
        <w:t>Green</w:t>
      </w:r>
      <w:r>
        <w:t xml:space="preserve">, </w:t>
      </w:r>
      <w:r>
        <w:rPr>
          <w:i/>
          <w:iCs/>
        </w:rPr>
        <w:t>supra</w:t>
      </w:r>
      <w:r>
        <w:t>, 128 N.W.2d 1.  (</w:t>
      </w:r>
      <w:r>
        <w:rPr>
          <w:i/>
          <w:iCs/>
        </w:rPr>
        <w:t>Sansone</w:t>
      </w:r>
      <w:r>
        <w:t xml:space="preserve">, </w:t>
      </w:r>
      <w:r>
        <w:rPr>
          <w:i/>
          <w:iCs/>
        </w:rPr>
        <w:t>supra</w:t>
      </w:r>
      <w:r>
        <w:t>, 55 Cal.App.3d at pp. 443</w:t>
      </w:r>
      <w:bookmarkStart w:id="7" w:name="_Hlk79419217"/>
      <w:r>
        <w:t>–</w:t>
      </w:r>
      <w:bookmarkEnd w:id="7"/>
      <w:r>
        <w:t>444.)  Like the federal Davis-Bacon Act, Wisconsin limited its coverage to “ ‘work on the site.’ ”  (</w:t>
      </w:r>
      <w:r>
        <w:rPr>
          <w:i/>
          <w:iCs/>
        </w:rPr>
        <w:t>Green</w:t>
      </w:r>
      <w:r>
        <w:t>, at p. 6.)</w:t>
      </w:r>
    </w:p>
  </w:footnote>
  <w:footnote w:id="20">
    <w:p w14:paraId="37E7C42F" w14:textId="1DF8453E" w:rsidR="000A5B84" w:rsidRDefault="000A5B84">
      <w:pPr>
        <w:pStyle w:val="FootnoteText"/>
      </w:pPr>
      <w:r>
        <w:rPr>
          <w:rStyle w:val="FootnoteReference"/>
        </w:rPr>
        <w:footnoteRef/>
      </w:r>
      <w:r>
        <w:t xml:space="preserve"> We express no view concerning whether California’s prevailing wage law places a geographic limitation on coverage in relation to the public works site. </w:t>
      </w:r>
    </w:p>
  </w:footnote>
  <w:footnote w:id="21">
    <w:p w14:paraId="31DC98B5" w14:textId="77777777" w:rsidR="000A5B84" w:rsidRPr="00A60ACA" w:rsidRDefault="000A5B84" w:rsidP="00346E83">
      <w:pPr>
        <w:pStyle w:val="FootnoteText"/>
      </w:pPr>
      <w:r>
        <w:rPr>
          <w:rStyle w:val="FootnoteReference"/>
        </w:rPr>
        <w:footnoteRef/>
      </w:r>
      <w:r>
        <w:t xml:space="preserve"> We express no view as to whether </w:t>
      </w:r>
      <w:r>
        <w:rPr>
          <w:i/>
          <w:iCs/>
        </w:rPr>
        <w:t>Sansone</w:t>
      </w:r>
      <w:r>
        <w:t xml:space="preserve"> and its progeny have continued vitality in assessing whether an employer is a subcontractor (as opposed to bona fide material supplier) within the meaning of the prevailing wage law. </w:t>
      </w:r>
    </w:p>
  </w:footnote>
  <w:footnote w:id="22">
    <w:p w14:paraId="0F488AEE" w14:textId="2C9A9E40" w:rsidR="00DC06A5" w:rsidRPr="00C21BDA" w:rsidRDefault="00DC06A5" w:rsidP="00DC06A5">
      <w:pPr>
        <w:pStyle w:val="FootnoteText"/>
      </w:pPr>
      <w:r>
        <w:rPr>
          <w:rStyle w:val="FootnoteReference"/>
        </w:rPr>
        <w:footnoteRef/>
      </w:r>
      <w:r>
        <w:t xml:space="preserve"> The dissent has chosen to set forth the bulk of its section 1772 analysis and critique of the majority’s approach in a separate opinion filed in </w:t>
      </w:r>
      <w:r w:rsidRPr="00D27733">
        <w:rPr>
          <w:i/>
          <w:iCs/>
        </w:rPr>
        <w:t>Busker</w:t>
      </w:r>
      <w:r>
        <w:t>, a decision filed concurrently with this opinion</w:t>
      </w:r>
      <w:r w:rsidRPr="00B13268">
        <w:rPr>
          <w:i/>
          <w:iCs/>
        </w:rPr>
        <w:t>.</w:t>
      </w:r>
      <w:r>
        <w:t xml:space="preserve">  (See dis. </w:t>
      </w:r>
      <w:proofErr w:type="spellStart"/>
      <w:r>
        <w:t>opn</w:t>
      </w:r>
      <w:proofErr w:type="spellEnd"/>
      <w:r>
        <w:t>. of Cuéllar, J.,</w:t>
      </w:r>
      <w:r w:rsidR="00695918">
        <w:t xml:space="preserve"> </w:t>
      </w:r>
      <w:r w:rsidR="00695918" w:rsidRPr="00695918">
        <w:rPr>
          <w:i/>
          <w:iCs/>
        </w:rPr>
        <w:t>post</w:t>
      </w:r>
      <w:r w:rsidR="00695918">
        <w:t>,</w:t>
      </w:r>
      <w:r>
        <w:t xml:space="preserve"> </w:t>
      </w:r>
      <w:r w:rsidR="007F2BA0">
        <w:t xml:space="preserve">at </w:t>
      </w:r>
      <w:r>
        <w:t xml:space="preserve">p. 2; </w:t>
      </w:r>
      <w:r>
        <w:rPr>
          <w:i/>
          <w:iCs/>
        </w:rPr>
        <w:t>Busker</w:t>
      </w:r>
      <w:r>
        <w:t xml:space="preserve">, </w:t>
      </w:r>
      <w:r>
        <w:rPr>
          <w:i/>
          <w:iCs/>
        </w:rPr>
        <w:t>supra</w:t>
      </w:r>
      <w:r>
        <w:t xml:space="preserve">, ___ Cal.5th at ___ [p. 27, fn. 17].)  The reader is directed to Justice </w:t>
      </w:r>
      <w:proofErr w:type="spellStart"/>
      <w:r>
        <w:t>Cuéllar’s</w:t>
      </w:r>
      <w:proofErr w:type="spellEnd"/>
      <w:r>
        <w:t xml:space="preserve"> dissent in </w:t>
      </w:r>
      <w:r>
        <w:rPr>
          <w:i/>
          <w:iCs/>
        </w:rPr>
        <w:t xml:space="preserve">Busker </w:t>
      </w:r>
      <w:r>
        <w:t>for a more complete explanation of the dissent’s approach to interpreting section 1772 and its response to the majority’s analysis here.  (</w:t>
      </w:r>
      <w:r>
        <w:rPr>
          <w:i/>
          <w:iCs/>
        </w:rPr>
        <w:t>Busker</w:t>
      </w:r>
      <w:r>
        <w:t xml:space="preserve">, at ___ [pp. 1–24] (dis. </w:t>
      </w:r>
      <w:proofErr w:type="spellStart"/>
      <w:r>
        <w:t>opn</w:t>
      </w:r>
      <w:proofErr w:type="spellEnd"/>
      <w:r>
        <w:t>. of Cuéllar, J.).)</w:t>
      </w:r>
    </w:p>
  </w:footnote>
  <w:footnote w:id="23">
    <w:p w14:paraId="4F3CE8B8" w14:textId="5E8D5AE9" w:rsidR="000A5B84" w:rsidRDefault="000A5B84">
      <w:pPr>
        <w:pStyle w:val="FootnoteText"/>
      </w:pPr>
      <w:r>
        <w:rPr>
          <w:rStyle w:val="FootnoteReference"/>
        </w:rPr>
        <w:footnoteRef/>
      </w:r>
      <w:r>
        <w:t xml:space="preserve"> As used in the prevailing wage law, </w:t>
      </w:r>
      <w:r w:rsidRPr="001F6F58">
        <w:t>for example,</w:t>
      </w:r>
      <w:r>
        <w:rPr>
          <w:color w:val="00B050"/>
        </w:rPr>
        <w:t xml:space="preserve"> </w:t>
      </w:r>
      <w:r>
        <w:t xml:space="preserve">the term “ ‘construction’ ” includes “preconstruction” and “postconstruction” phases of construction work.  (§ 1720(a)(1); cf. </w:t>
      </w:r>
      <w:bookmarkStart w:id="11" w:name="_Hlk77065924"/>
      <w:r>
        <w:rPr>
          <w:i/>
          <w:iCs/>
        </w:rPr>
        <w:t xml:space="preserve">Priest v Housing Authority of City of Oxnard </w:t>
      </w:r>
      <w:r>
        <w:t>(1969) 275 Cal.App.2d 751</w:t>
      </w:r>
      <w:bookmarkEnd w:id="11"/>
      <w:r>
        <w:t>, 756.)  In addition, section 1720, subdivision (a)(3) defines “</w:t>
      </w:r>
      <w:r w:rsidR="00695918">
        <w:t> ‘</w:t>
      </w:r>
      <w:r>
        <w:t>public works</w:t>
      </w:r>
      <w:r w:rsidR="00695918">
        <w:t>’ </w:t>
      </w:r>
      <w:r>
        <w:t>” to include “[s]</w:t>
      </w:r>
      <w:proofErr w:type="spellStart"/>
      <w:r>
        <w:t>treet</w:t>
      </w:r>
      <w:proofErr w:type="spellEnd"/>
      <w:r>
        <w:t> . . . improvement work.”  We express no view as to whether mobilization qualifies as construction, street improvement work, or any other category of “</w:t>
      </w:r>
      <w:r w:rsidR="00695918">
        <w:t> ‘</w:t>
      </w:r>
      <w:r>
        <w:t>public works</w:t>
      </w:r>
      <w:r w:rsidR="00695918">
        <w:t>’ </w:t>
      </w:r>
      <w:r>
        <w:t>” defined in section 1720 et seq.</w:t>
      </w:r>
    </w:p>
  </w:footnote>
  <w:footnote w:id="24">
    <w:p w14:paraId="38CAAF99" w14:textId="77777777" w:rsidR="009C3862" w:rsidRDefault="009C3862" w:rsidP="009C3862">
      <w:pPr>
        <w:pStyle w:val="FootnoteText"/>
      </w:pPr>
      <w:r>
        <w:rPr>
          <w:rStyle w:val="FootnoteReference"/>
        </w:rPr>
        <w:footnoteRef/>
      </w:r>
      <w:r>
        <w:t xml:space="preserve"> </w:t>
      </w:r>
      <w:r>
        <w:tab/>
        <w:t>Further unspecified section references are to the Labor Code.</w:t>
      </w:r>
    </w:p>
  </w:footnote>
  <w:footnote w:id="25">
    <w:p w14:paraId="52BF52C7" w14:textId="77777777" w:rsidR="009C3862" w:rsidRDefault="009C3862" w:rsidP="009C3862">
      <w:pPr>
        <w:pStyle w:val="FootnoteText"/>
      </w:pPr>
      <w:r>
        <w:rPr>
          <w:rStyle w:val="FootnoteReference"/>
        </w:rPr>
        <w:footnoteRef/>
      </w:r>
      <w:r>
        <w:t xml:space="preserve"> </w:t>
      </w:r>
      <w:r>
        <w:tab/>
        <w:t xml:space="preserve">Although the </w:t>
      </w:r>
      <w:r w:rsidRPr="00164C50">
        <w:rPr>
          <w:i/>
          <w:iCs/>
        </w:rPr>
        <w:t>Sansone</w:t>
      </w:r>
      <w:r>
        <w:t xml:space="preserve"> line of cases refers to the “construction” process (see, e.g., </w:t>
      </w:r>
      <w:r w:rsidRPr="00AA1169">
        <w:rPr>
          <w:i/>
          <w:iCs/>
        </w:rPr>
        <w:t>Sansone</w:t>
      </w:r>
      <w:r>
        <w:t xml:space="preserve">, </w:t>
      </w:r>
      <w:r w:rsidRPr="00AA1169">
        <w:rPr>
          <w:i/>
          <w:iCs/>
        </w:rPr>
        <w:t>supra</w:t>
      </w:r>
      <w:r>
        <w:t>, 55 Cal.App.3d at p. 444), its principles would apply to any other type of activity that qualifies as “public work.”  I therefore use “construction” here as an umbrella term for all the kinds of labor defined by the statute as public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3C12" w14:textId="6CAB069F" w:rsidR="000A5B84" w:rsidRDefault="000A5B84">
    <w:pPr>
      <w:pStyle w:val="Header"/>
    </w:pPr>
    <w:r>
      <w:t xml:space="preserve">MENDOZA v. FONSECA </w:t>
    </w:r>
    <w:proofErr w:type="spellStart"/>
    <w:r>
      <w:t>M</w:t>
    </w:r>
    <w:r w:rsidRPr="00573DDC">
      <w:rPr>
        <w:smallCaps/>
      </w:rPr>
      <w:t>c</w:t>
    </w:r>
    <w:r>
      <w:t>ELROY</w:t>
    </w:r>
    <w:proofErr w:type="spellEnd"/>
    <w:r>
      <w:t xml:space="preserve"> GRINDING CO., INC.</w:t>
    </w:r>
  </w:p>
  <w:p w14:paraId="2E22D377" w14:textId="19B4BA49" w:rsidR="000A5B84" w:rsidRDefault="000A5B84">
    <w:pPr>
      <w:pStyle w:val="Header"/>
    </w:pPr>
    <w:r>
      <w:t>Opinion of the Court by Corrigan, J.</w:t>
    </w:r>
  </w:p>
  <w:p w14:paraId="393A9E32" w14:textId="77777777" w:rsidR="000A5B84" w:rsidRDefault="000A5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801A" w14:textId="77777777" w:rsidR="00CB6600" w:rsidRDefault="002D33FC" w:rsidP="00CB6600">
    <w:pPr>
      <w:pStyle w:val="Header"/>
    </w:pPr>
    <w:r>
      <w:t xml:space="preserve">MENDOZA v. FONSECA </w:t>
    </w:r>
    <w:proofErr w:type="spellStart"/>
    <w:r>
      <w:t>M</w:t>
    </w:r>
    <w:r w:rsidRPr="003B1DF9">
      <w:rPr>
        <w:smallCaps/>
      </w:rPr>
      <w:t>c</w:t>
    </w:r>
    <w:r>
      <w:t>ELROY</w:t>
    </w:r>
    <w:proofErr w:type="spellEnd"/>
    <w:r>
      <w:t xml:space="preserve"> GRINDING CO., INC.</w:t>
    </w:r>
  </w:p>
  <w:p w14:paraId="365A16D3" w14:textId="77777777" w:rsidR="0049539D" w:rsidRDefault="002D33FC">
    <w:pPr>
      <w:pStyle w:val="Header"/>
    </w:pPr>
    <w:r>
      <w:t>Cuéllar, J., dissenting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F4C6" w14:textId="444E3D33" w:rsidR="00D57863" w:rsidRPr="00D57863" w:rsidRDefault="00D57863" w:rsidP="00D57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79E"/>
    <w:multiLevelType w:val="hybridMultilevel"/>
    <w:tmpl w:val="3E406B9A"/>
    <w:lvl w:ilvl="0" w:tplc="207A72D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0B2E1D"/>
    <w:multiLevelType w:val="hybridMultilevel"/>
    <w:tmpl w:val="7A6ACCB2"/>
    <w:lvl w:ilvl="0" w:tplc="EDDE1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C1DE7"/>
    <w:multiLevelType w:val="hybridMultilevel"/>
    <w:tmpl w:val="0E900EEE"/>
    <w:lvl w:ilvl="0" w:tplc="5B9870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004A59"/>
    <w:multiLevelType w:val="hybridMultilevel"/>
    <w:tmpl w:val="448402D0"/>
    <w:lvl w:ilvl="0" w:tplc="A8FA08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D3ABC"/>
    <w:multiLevelType w:val="hybridMultilevel"/>
    <w:tmpl w:val="7FAC4908"/>
    <w:lvl w:ilvl="0" w:tplc="31702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106DD"/>
    <w:multiLevelType w:val="multilevel"/>
    <w:tmpl w:val="E6A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C21B34"/>
    <w:multiLevelType w:val="hybridMultilevel"/>
    <w:tmpl w:val="29BECC4E"/>
    <w:lvl w:ilvl="0" w:tplc="9B9C1C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C69D3"/>
    <w:multiLevelType w:val="hybridMultilevel"/>
    <w:tmpl w:val="DBF84F32"/>
    <w:lvl w:ilvl="0" w:tplc="C4323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removePersonalInformation/>
  <w:removeDateAndTime/>
  <w:printFractionalCharacterWidth/>
  <w:activeWritingStyle w:appName="MSWord" w:lang="en-US" w:vendorID="64" w:dllVersion="5" w:nlCheck="1" w:checkStyle="1"/>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1D"/>
    <w:rsid w:val="000005B3"/>
    <w:rsid w:val="00000F8F"/>
    <w:rsid w:val="000019BA"/>
    <w:rsid w:val="00001EAA"/>
    <w:rsid w:val="000023B2"/>
    <w:rsid w:val="000028FC"/>
    <w:rsid w:val="00002FAB"/>
    <w:rsid w:val="00002FAF"/>
    <w:rsid w:val="00003B32"/>
    <w:rsid w:val="000041FB"/>
    <w:rsid w:val="00004A5B"/>
    <w:rsid w:val="0000505F"/>
    <w:rsid w:val="00005353"/>
    <w:rsid w:val="0000574C"/>
    <w:rsid w:val="0000738A"/>
    <w:rsid w:val="000078E2"/>
    <w:rsid w:val="000079EF"/>
    <w:rsid w:val="00007E34"/>
    <w:rsid w:val="00010641"/>
    <w:rsid w:val="000108F7"/>
    <w:rsid w:val="00010BE6"/>
    <w:rsid w:val="00010CDE"/>
    <w:rsid w:val="0001102A"/>
    <w:rsid w:val="00011594"/>
    <w:rsid w:val="000115F7"/>
    <w:rsid w:val="00011615"/>
    <w:rsid w:val="00012456"/>
    <w:rsid w:val="00012A45"/>
    <w:rsid w:val="00012EB9"/>
    <w:rsid w:val="000131EE"/>
    <w:rsid w:val="0001380F"/>
    <w:rsid w:val="000139AE"/>
    <w:rsid w:val="00013C94"/>
    <w:rsid w:val="0001444E"/>
    <w:rsid w:val="000146C5"/>
    <w:rsid w:val="00014EF7"/>
    <w:rsid w:val="000152A3"/>
    <w:rsid w:val="00015CB0"/>
    <w:rsid w:val="00017780"/>
    <w:rsid w:val="0002035C"/>
    <w:rsid w:val="00020385"/>
    <w:rsid w:val="0002039C"/>
    <w:rsid w:val="00020566"/>
    <w:rsid w:val="00020755"/>
    <w:rsid w:val="000208B0"/>
    <w:rsid w:val="00020B88"/>
    <w:rsid w:val="00020FB5"/>
    <w:rsid w:val="00021456"/>
    <w:rsid w:val="00021C54"/>
    <w:rsid w:val="00022054"/>
    <w:rsid w:val="00022BB7"/>
    <w:rsid w:val="000236C0"/>
    <w:rsid w:val="00023D3C"/>
    <w:rsid w:val="00024635"/>
    <w:rsid w:val="00024BA1"/>
    <w:rsid w:val="0002558B"/>
    <w:rsid w:val="00025B37"/>
    <w:rsid w:val="00025F59"/>
    <w:rsid w:val="00026852"/>
    <w:rsid w:val="00026A44"/>
    <w:rsid w:val="00026E26"/>
    <w:rsid w:val="00026FF0"/>
    <w:rsid w:val="00027D6D"/>
    <w:rsid w:val="00027FF5"/>
    <w:rsid w:val="000310BF"/>
    <w:rsid w:val="000310E0"/>
    <w:rsid w:val="00031E6E"/>
    <w:rsid w:val="0003239F"/>
    <w:rsid w:val="000326B7"/>
    <w:rsid w:val="00032DC6"/>
    <w:rsid w:val="000331AB"/>
    <w:rsid w:val="00033849"/>
    <w:rsid w:val="00033BE9"/>
    <w:rsid w:val="00033F76"/>
    <w:rsid w:val="00034148"/>
    <w:rsid w:val="0003475F"/>
    <w:rsid w:val="00034B43"/>
    <w:rsid w:val="000352ED"/>
    <w:rsid w:val="0003659A"/>
    <w:rsid w:val="00037128"/>
    <w:rsid w:val="000373F8"/>
    <w:rsid w:val="00037CC6"/>
    <w:rsid w:val="000404EC"/>
    <w:rsid w:val="000405F8"/>
    <w:rsid w:val="00040AB6"/>
    <w:rsid w:val="00040AE2"/>
    <w:rsid w:val="00040AEF"/>
    <w:rsid w:val="000412D3"/>
    <w:rsid w:val="00041529"/>
    <w:rsid w:val="00041682"/>
    <w:rsid w:val="00041716"/>
    <w:rsid w:val="00041AAB"/>
    <w:rsid w:val="00041EDC"/>
    <w:rsid w:val="00042119"/>
    <w:rsid w:val="0004261C"/>
    <w:rsid w:val="000427D8"/>
    <w:rsid w:val="00042B53"/>
    <w:rsid w:val="00042D4A"/>
    <w:rsid w:val="000430D2"/>
    <w:rsid w:val="000433BC"/>
    <w:rsid w:val="00043A21"/>
    <w:rsid w:val="00044259"/>
    <w:rsid w:val="000442EA"/>
    <w:rsid w:val="0004448B"/>
    <w:rsid w:val="00044528"/>
    <w:rsid w:val="00044876"/>
    <w:rsid w:val="00044D52"/>
    <w:rsid w:val="00044D74"/>
    <w:rsid w:val="00045463"/>
    <w:rsid w:val="00045830"/>
    <w:rsid w:val="00045ECA"/>
    <w:rsid w:val="000465F7"/>
    <w:rsid w:val="00046B7F"/>
    <w:rsid w:val="00046D85"/>
    <w:rsid w:val="00047689"/>
    <w:rsid w:val="00047B8F"/>
    <w:rsid w:val="00047F0C"/>
    <w:rsid w:val="000501D9"/>
    <w:rsid w:val="000501FD"/>
    <w:rsid w:val="00050288"/>
    <w:rsid w:val="000503CC"/>
    <w:rsid w:val="000508F3"/>
    <w:rsid w:val="000509F6"/>
    <w:rsid w:val="00050B7A"/>
    <w:rsid w:val="00050C66"/>
    <w:rsid w:val="00050DA5"/>
    <w:rsid w:val="00050F2E"/>
    <w:rsid w:val="00050FF2"/>
    <w:rsid w:val="000517FF"/>
    <w:rsid w:val="000518A7"/>
    <w:rsid w:val="000519BF"/>
    <w:rsid w:val="00051A18"/>
    <w:rsid w:val="00051F94"/>
    <w:rsid w:val="00053D0D"/>
    <w:rsid w:val="000555B8"/>
    <w:rsid w:val="00055C2A"/>
    <w:rsid w:val="00055CF3"/>
    <w:rsid w:val="00056BF1"/>
    <w:rsid w:val="000570FC"/>
    <w:rsid w:val="000572B4"/>
    <w:rsid w:val="000572E3"/>
    <w:rsid w:val="000604EA"/>
    <w:rsid w:val="00060688"/>
    <w:rsid w:val="0006091C"/>
    <w:rsid w:val="00060F34"/>
    <w:rsid w:val="00061E29"/>
    <w:rsid w:val="00062052"/>
    <w:rsid w:val="00062121"/>
    <w:rsid w:val="00062127"/>
    <w:rsid w:val="000622A0"/>
    <w:rsid w:val="000622F4"/>
    <w:rsid w:val="000623FE"/>
    <w:rsid w:val="000629D0"/>
    <w:rsid w:val="00063796"/>
    <w:rsid w:val="00064053"/>
    <w:rsid w:val="00064313"/>
    <w:rsid w:val="00064414"/>
    <w:rsid w:val="0006470A"/>
    <w:rsid w:val="00064A38"/>
    <w:rsid w:val="00064F6E"/>
    <w:rsid w:val="0006523D"/>
    <w:rsid w:val="000652FD"/>
    <w:rsid w:val="000655A7"/>
    <w:rsid w:val="000656B2"/>
    <w:rsid w:val="00065956"/>
    <w:rsid w:val="00065A68"/>
    <w:rsid w:val="00066002"/>
    <w:rsid w:val="000662F9"/>
    <w:rsid w:val="000663B8"/>
    <w:rsid w:val="0006643A"/>
    <w:rsid w:val="00066459"/>
    <w:rsid w:val="000669D5"/>
    <w:rsid w:val="000669D8"/>
    <w:rsid w:val="000672E2"/>
    <w:rsid w:val="00067800"/>
    <w:rsid w:val="00067CE5"/>
    <w:rsid w:val="000704C4"/>
    <w:rsid w:val="00070630"/>
    <w:rsid w:val="00070AFF"/>
    <w:rsid w:val="00070F69"/>
    <w:rsid w:val="00071354"/>
    <w:rsid w:val="000713F7"/>
    <w:rsid w:val="00071583"/>
    <w:rsid w:val="0007198B"/>
    <w:rsid w:val="00071A47"/>
    <w:rsid w:val="000724FE"/>
    <w:rsid w:val="00072A28"/>
    <w:rsid w:val="00072AFA"/>
    <w:rsid w:val="00073453"/>
    <w:rsid w:val="000735B5"/>
    <w:rsid w:val="00073C17"/>
    <w:rsid w:val="00073CAE"/>
    <w:rsid w:val="000740A4"/>
    <w:rsid w:val="0007438D"/>
    <w:rsid w:val="000759E0"/>
    <w:rsid w:val="00075D34"/>
    <w:rsid w:val="0007668D"/>
    <w:rsid w:val="00076893"/>
    <w:rsid w:val="00076AAF"/>
    <w:rsid w:val="00076AF8"/>
    <w:rsid w:val="00076E96"/>
    <w:rsid w:val="00077257"/>
    <w:rsid w:val="00077403"/>
    <w:rsid w:val="00077427"/>
    <w:rsid w:val="00077D59"/>
    <w:rsid w:val="00080292"/>
    <w:rsid w:val="000802F4"/>
    <w:rsid w:val="0008060D"/>
    <w:rsid w:val="00082028"/>
    <w:rsid w:val="000822E2"/>
    <w:rsid w:val="00082354"/>
    <w:rsid w:val="00082E71"/>
    <w:rsid w:val="00082F63"/>
    <w:rsid w:val="000834E7"/>
    <w:rsid w:val="00083547"/>
    <w:rsid w:val="0008367E"/>
    <w:rsid w:val="0008491B"/>
    <w:rsid w:val="00084DEB"/>
    <w:rsid w:val="00085310"/>
    <w:rsid w:val="0008568D"/>
    <w:rsid w:val="00085EA6"/>
    <w:rsid w:val="00085F2B"/>
    <w:rsid w:val="0008607A"/>
    <w:rsid w:val="000863EB"/>
    <w:rsid w:val="0008641B"/>
    <w:rsid w:val="0008669C"/>
    <w:rsid w:val="0008694E"/>
    <w:rsid w:val="00086B69"/>
    <w:rsid w:val="00086F38"/>
    <w:rsid w:val="00087419"/>
    <w:rsid w:val="0008758B"/>
    <w:rsid w:val="00087CCF"/>
    <w:rsid w:val="00090047"/>
    <w:rsid w:val="00090597"/>
    <w:rsid w:val="00091B54"/>
    <w:rsid w:val="00092472"/>
    <w:rsid w:val="00092E25"/>
    <w:rsid w:val="000930F6"/>
    <w:rsid w:val="000933E7"/>
    <w:rsid w:val="00093465"/>
    <w:rsid w:val="00093625"/>
    <w:rsid w:val="00093C08"/>
    <w:rsid w:val="00093E40"/>
    <w:rsid w:val="000943FA"/>
    <w:rsid w:val="00095682"/>
    <w:rsid w:val="00096D50"/>
    <w:rsid w:val="00097428"/>
    <w:rsid w:val="0009747D"/>
    <w:rsid w:val="000974DD"/>
    <w:rsid w:val="00097C4E"/>
    <w:rsid w:val="00097D72"/>
    <w:rsid w:val="00097E9A"/>
    <w:rsid w:val="000A109D"/>
    <w:rsid w:val="000A13B2"/>
    <w:rsid w:val="000A14C6"/>
    <w:rsid w:val="000A1575"/>
    <w:rsid w:val="000A36DB"/>
    <w:rsid w:val="000A3A2A"/>
    <w:rsid w:val="000A3DAE"/>
    <w:rsid w:val="000A43EA"/>
    <w:rsid w:val="000A4936"/>
    <w:rsid w:val="000A4CBF"/>
    <w:rsid w:val="000A4E30"/>
    <w:rsid w:val="000A5006"/>
    <w:rsid w:val="000A51A7"/>
    <w:rsid w:val="000A538C"/>
    <w:rsid w:val="000A5B84"/>
    <w:rsid w:val="000A6093"/>
    <w:rsid w:val="000A6907"/>
    <w:rsid w:val="000A6953"/>
    <w:rsid w:val="000A6C82"/>
    <w:rsid w:val="000A6CE6"/>
    <w:rsid w:val="000A6E78"/>
    <w:rsid w:val="000A71D4"/>
    <w:rsid w:val="000A741B"/>
    <w:rsid w:val="000A7780"/>
    <w:rsid w:val="000A7A4E"/>
    <w:rsid w:val="000A7AA9"/>
    <w:rsid w:val="000A7AEB"/>
    <w:rsid w:val="000A7BCA"/>
    <w:rsid w:val="000B0CA9"/>
    <w:rsid w:val="000B0DCC"/>
    <w:rsid w:val="000B13C3"/>
    <w:rsid w:val="000B1612"/>
    <w:rsid w:val="000B16D0"/>
    <w:rsid w:val="000B178C"/>
    <w:rsid w:val="000B1D80"/>
    <w:rsid w:val="000B204F"/>
    <w:rsid w:val="000B2242"/>
    <w:rsid w:val="000B2614"/>
    <w:rsid w:val="000B2909"/>
    <w:rsid w:val="000B3A07"/>
    <w:rsid w:val="000B3E44"/>
    <w:rsid w:val="000B4850"/>
    <w:rsid w:val="000B5BFC"/>
    <w:rsid w:val="000B6E48"/>
    <w:rsid w:val="000B718C"/>
    <w:rsid w:val="000B734C"/>
    <w:rsid w:val="000C0AC6"/>
    <w:rsid w:val="000C0BDB"/>
    <w:rsid w:val="000C10BB"/>
    <w:rsid w:val="000C1C3B"/>
    <w:rsid w:val="000C2972"/>
    <w:rsid w:val="000C2D06"/>
    <w:rsid w:val="000C2E67"/>
    <w:rsid w:val="000C30AC"/>
    <w:rsid w:val="000C334E"/>
    <w:rsid w:val="000C3708"/>
    <w:rsid w:val="000C3E00"/>
    <w:rsid w:val="000C4582"/>
    <w:rsid w:val="000C4A1C"/>
    <w:rsid w:val="000C4BF0"/>
    <w:rsid w:val="000C4F39"/>
    <w:rsid w:val="000C539C"/>
    <w:rsid w:val="000C59B0"/>
    <w:rsid w:val="000C5C61"/>
    <w:rsid w:val="000C5D30"/>
    <w:rsid w:val="000C65BB"/>
    <w:rsid w:val="000C6C31"/>
    <w:rsid w:val="000C706F"/>
    <w:rsid w:val="000C716A"/>
    <w:rsid w:val="000C7324"/>
    <w:rsid w:val="000C74EC"/>
    <w:rsid w:val="000C7A27"/>
    <w:rsid w:val="000C7B5D"/>
    <w:rsid w:val="000D09B7"/>
    <w:rsid w:val="000D0C81"/>
    <w:rsid w:val="000D11C7"/>
    <w:rsid w:val="000D170D"/>
    <w:rsid w:val="000D2248"/>
    <w:rsid w:val="000D2397"/>
    <w:rsid w:val="000D260E"/>
    <w:rsid w:val="000D2D1C"/>
    <w:rsid w:val="000D2FFF"/>
    <w:rsid w:val="000D38FF"/>
    <w:rsid w:val="000D4AF3"/>
    <w:rsid w:val="000D4F9A"/>
    <w:rsid w:val="000D57B8"/>
    <w:rsid w:val="000D5A9D"/>
    <w:rsid w:val="000D64FC"/>
    <w:rsid w:val="000D6A77"/>
    <w:rsid w:val="000D6ED5"/>
    <w:rsid w:val="000D71F4"/>
    <w:rsid w:val="000D7537"/>
    <w:rsid w:val="000D7AF1"/>
    <w:rsid w:val="000E0159"/>
    <w:rsid w:val="000E0A3A"/>
    <w:rsid w:val="000E0B70"/>
    <w:rsid w:val="000E111A"/>
    <w:rsid w:val="000E185D"/>
    <w:rsid w:val="000E26BD"/>
    <w:rsid w:val="000E2B51"/>
    <w:rsid w:val="000E4182"/>
    <w:rsid w:val="000E4239"/>
    <w:rsid w:val="000E43CE"/>
    <w:rsid w:val="000E4A41"/>
    <w:rsid w:val="000E54ED"/>
    <w:rsid w:val="000E5AF9"/>
    <w:rsid w:val="000E5C73"/>
    <w:rsid w:val="000E5E38"/>
    <w:rsid w:val="000E5F65"/>
    <w:rsid w:val="000E6275"/>
    <w:rsid w:val="000E6665"/>
    <w:rsid w:val="000E6D92"/>
    <w:rsid w:val="000E7166"/>
    <w:rsid w:val="000E7237"/>
    <w:rsid w:val="000E7887"/>
    <w:rsid w:val="000E7F82"/>
    <w:rsid w:val="000F0031"/>
    <w:rsid w:val="000F0087"/>
    <w:rsid w:val="000F00D1"/>
    <w:rsid w:val="000F03F4"/>
    <w:rsid w:val="000F0F1A"/>
    <w:rsid w:val="000F16DD"/>
    <w:rsid w:val="000F18C8"/>
    <w:rsid w:val="000F19A8"/>
    <w:rsid w:val="000F1CC7"/>
    <w:rsid w:val="000F25EF"/>
    <w:rsid w:val="000F29FF"/>
    <w:rsid w:val="000F3F73"/>
    <w:rsid w:val="000F4315"/>
    <w:rsid w:val="000F45CC"/>
    <w:rsid w:val="000F4D12"/>
    <w:rsid w:val="000F55EB"/>
    <w:rsid w:val="000F567F"/>
    <w:rsid w:val="000F57B5"/>
    <w:rsid w:val="000F5B93"/>
    <w:rsid w:val="000F5C0A"/>
    <w:rsid w:val="000F64A7"/>
    <w:rsid w:val="000F6546"/>
    <w:rsid w:val="000F6DD7"/>
    <w:rsid w:val="000F7371"/>
    <w:rsid w:val="000F7933"/>
    <w:rsid w:val="000F7C66"/>
    <w:rsid w:val="000F7FB7"/>
    <w:rsid w:val="00100057"/>
    <w:rsid w:val="00100219"/>
    <w:rsid w:val="001008F0"/>
    <w:rsid w:val="00100AD8"/>
    <w:rsid w:val="00100CFB"/>
    <w:rsid w:val="00100FD1"/>
    <w:rsid w:val="001013BA"/>
    <w:rsid w:val="00101695"/>
    <w:rsid w:val="00101986"/>
    <w:rsid w:val="00101BA3"/>
    <w:rsid w:val="00101F6E"/>
    <w:rsid w:val="00102440"/>
    <w:rsid w:val="00102454"/>
    <w:rsid w:val="0010287D"/>
    <w:rsid w:val="00102902"/>
    <w:rsid w:val="00104081"/>
    <w:rsid w:val="001055D4"/>
    <w:rsid w:val="001059CB"/>
    <w:rsid w:val="00106645"/>
    <w:rsid w:val="00107583"/>
    <w:rsid w:val="001077B0"/>
    <w:rsid w:val="0011019E"/>
    <w:rsid w:val="00110665"/>
    <w:rsid w:val="00110822"/>
    <w:rsid w:val="00110A19"/>
    <w:rsid w:val="00110C0C"/>
    <w:rsid w:val="00110D1C"/>
    <w:rsid w:val="00110FD1"/>
    <w:rsid w:val="001114FE"/>
    <w:rsid w:val="00111648"/>
    <w:rsid w:val="0011173C"/>
    <w:rsid w:val="00111757"/>
    <w:rsid w:val="00111BD9"/>
    <w:rsid w:val="00111CF5"/>
    <w:rsid w:val="001128C6"/>
    <w:rsid w:val="00113451"/>
    <w:rsid w:val="00113B91"/>
    <w:rsid w:val="001143F2"/>
    <w:rsid w:val="001145E2"/>
    <w:rsid w:val="00114AA9"/>
    <w:rsid w:val="00114B12"/>
    <w:rsid w:val="0011673B"/>
    <w:rsid w:val="00116F0A"/>
    <w:rsid w:val="00117093"/>
    <w:rsid w:val="001172E0"/>
    <w:rsid w:val="001176E7"/>
    <w:rsid w:val="001178BA"/>
    <w:rsid w:val="00117917"/>
    <w:rsid w:val="00117AD7"/>
    <w:rsid w:val="00120199"/>
    <w:rsid w:val="0012048E"/>
    <w:rsid w:val="00121281"/>
    <w:rsid w:val="00121327"/>
    <w:rsid w:val="0012164F"/>
    <w:rsid w:val="00121762"/>
    <w:rsid w:val="00121F1E"/>
    <w:rsid w:val="0012248E"/>
    <w:rsid w:val="001229D7"/>
    <w:rsid w:val="00123AB8"/>
    <w:rsid w:val="00123D88"/>
    <w:rsid w:val="001244A3"/>
    <w:rsid w:val="001246C0"/>
    <w:rsid w:val="001247A4"/>
    <w:rsid w:val="00124AA3"/>
    <w:rsid w:val="00124D5C"/>
    <w:rsid w:val="00126AB9"/>
    <w:rsid w:val="00126F77"/>
    <w:rsid w:val="00130187"/>
    <w:rsid w:val="0013051B"/>
    <w:rsid w:val="00130698"/>
    <w:rsid w:val="001306C1"/>
    <w:rsid w:val="00130964"/>
    <w:rsid w:val="00131539"/>
    <w:rsid w:val="00131573"/>
    <w:rsid w:val="00131859"/>
    <w:rsid w:val="00131972"/>
    <w:rsid w:val="00132C72"/>
    <w:rsid w:val="001332AF"/>
    <w:rsid w:val="001335C2"/>
    <w:rsid w:val="001337AD"/>
    <w:rsid w:val="001337C4"/>
    <w:rsid w:val="00133DC5"/>
    <w:rsid w:val="00133E09"/>
    <w:rsid w:val="00135FDD"/>
    <w:rsid w:val="00136550"/>
    <w:rsid w:val="00137373"/>
    <w:rsid w:val="001373A6"/>
    <w:rsid w:val="00137A88"/>
    <w:rsid w:val="00137D06"/>
    <w:rsid w:val="00137DF8"/>
    <w:rsid w:val="00137EC8"/>
    <w:rsid w:val="00140270"/>
    <w:rsid w:val="00140362"/>
    <w:rsid w:val="001409B4"/>
    <w:rsid w:val="001413B0"/>
    <w:rsid w:val="0014154C"/>
    <w:rsid w:val="001415CE"/>
    <w:rsid w:val="001416C2"/>
    <w:rsid w:val="001419C8"/>
    <w:rsid w:val="00141D1F"/>
    <w:rsid w:val="0014226C"/>
    <w:rsid w:val="001432D2"/>
    <w:rsid w:val="00143447"/>
    <w:rsid w:val="00143629"/>
    <w:rsid w:val="00144067"/>
    <w:rsid w:val="001441D1"/>
    <w:rsid w:val="00144A11"/>
    <w:rsid w:val="00144BE8"/>
    <w:rsid w:val="00144ED3"/>
    <w:rsid w:val="001450B7"/>
    <w:rsid w:val="00145485"/>
    <w:rsid w:val="00145D52"/>
    <w:rsid w:val="001461FE"/>
    <w:rsid w:val="00146495"/>
    <w:rsid w:val="00146D54"/>
    <w:rsid w:val="00146D9F"/>
    <w:rsid w:val="00147335"/>
    <w:rsid w:val="00147EAC"/>
    <w:rsid w:val="001506F7"/>
    <w:rsid w:val="00150841"/>
    <w:rsid w:val="00150E37"/>
    <w:rsid w:val="0015124E"/>
    <w:rsid w:val="00151CE8"/>
    <w:rsid w:val="00151F3E"/>
    <w:rsid w:val="0015204F"/>
    <w:rsid w:val="001520B6"/>
    <w:rsid w:val="00152DC7"/>
    <w:rsid w:val="001530B2"/>
    <w:rsid w:val="00153800"/>
    <w:rsid w:val="00153904"/>
    <w:rsid w:val="0015392C"/>
    <w:rsid w:val="00153D95"/>
    <w:rsid w:val="0015410F"/>
    <w:rsid w:val="0015445A"/>
    <w:rsid w:val="00154761"/>
    <w:rsid w:val="00154875"/>
    <w:rsid w:val="00154BC3"/>
    <w:rsid w:val="001550B2"/>
    <w:rsid w:val="001550DC"/>
    <w:rsid w:val="00155463"/>
    <w:rsid w:val="001554A8"/>
    <w:rsid w:val="0015581A"/>
    <w:rsid w:val="00155C91"/>
    <w:rsid w:val="00155F9B"/>
    <w:rsid w:val="001560C9"/>
    <w:rsid w:val="00156D76"/>
    <w:rsid w:val="00156E79"/>
    <w:rsid w:val="0015704A"/>
    <w:rsid w:val="0015704F"/>
    <w:rsid w:val="00157201"/>
    <w:rsid w:val="001577F8"/>
    <w:rsid w:val="00157B9B"/>
    <w:rsid w:val="00157BAC"/>
    <w:rsid w:val="00157C55"/>
    <w:rsid w:val="00157F25"/>
    <w:rsid w:val="0016076C"/>
    <w:rsid w:val="00160875"/>
    <w:rsid w:val="00160AB1"/>
    <w:rsid w:val="001613C4"/>
    <w:rsid w:val="00161A11"/>
    <w:rsid w:val="00161C4A"/>
    <w:rsid w:val="00161E15"/>
    <w:rsid w:val="0016235A"/>
    <w:rsid w:val="001632F3"/>
    <w:rsid w:val="001644BC"/>
    <w:rsid w:val="0016460F"/>
    <w:rsid w:val="00164F29"/>
    <w:rsid w:val="00165221"/>
    <w:rsid w:val="001655D7"/>
    <w:rsid w:val="00165D04"/>
    <w:rsid w:val="00165F01"/>
    <w:rsid w:val="00167AEC"/>
    <w:rsid w:val="00167CC0"/>
    <w:rsid w:val="001702EB"/>
    <w:rsid w:val="00170746"/>
    <w:rsid w:val="001708FC"/>
    <w:rsid w:val="00171B3B"/>
    <w:rsid w:val="00171BE4"/>
    <w:rsid w:val="00171C38"/>
    <w:rsid w:val="0017239B"/>
    <w:rsid w:val="00172F3D"/>
    <w:rsid w:val="001758F1"/>
    <w:rsid w:val="00175A1C"/>
    <w:rsid w:val="00175D83"/>
    <w:rsid w:val="00176084"/>
    <w:rsid w:val="00176C92"/>
    <w:rsid w:val="00176CB7"/>
    <w:rsid w:val="00176EEB"/>
    <w:rsid w:val="001779A5"/>
    <w:rsid w:val="00177C8A"/>
    <w:rsid w:val="0018066E"/>
    <w:rsid w:val="0018077A"/>
    <w:rsid w:val="00180C61"/>
    <w:rsid w:val="00181392"/>
    <w:rsid w:val="0018144C"/>
    <w:rsid w:val="00182189"/>
    <w:rsid w:val="00183016"/>
    <w:rsid w:val="00183133"/>
    <w:rsid w:val="001833A4"/>
    <w:rsid w:val="0018384C"/>
    <w:rsid w:val="00183D0D"/>
    <w:rsid w:val="00184884"/>
    <w:rsid w:val="00184BE7"/>
    <w:rsid w:val="00184FCE"/>
    <w:rsid w:val="001853BC"/>
    <w:rsid w:val="001856C6"/>
    <w:rsid w:val="00185C49"/>
    <w:rsid w:val="00185C73"/>
    <w:rsid w:val="00185D25"/>
    <w:rsid w:val="00185F37"/>
    <w:rsid w:val="0018638A"/>
    <w:rsid w:val="0018664E"/>
    <w:rsid w:val="001868EA"/>
    <w:rsid w:val="0018712C"/>
    <w:rsid w:val="00187303"/>
    <w:rsid w:val="001873EF"/>
    <w:rsid w:val="001877BD"/>
    <w:rsid w:val="00187B0B"/>
    <w:rsid w:val="00187B4C"/>
    <w:rsid w:val="00187B4D"/>
    <w:rsid w:val="00187CF0"/>
    <w:rsid w:val="00187D96"/>
    <w:rsid w:val="001905EB"/>
    <w:rsid w:val="001909BE"/>
    <w:rsid w:val="001913FC"/>
    <w:rsid w:val="001920E0"/>
    <w:rsid w:val="0019262E"/>
    <w:rsid w:val="00192BF8"/>
    <w:rsid w:val="00193120"/>
    <w:rsid w:val="001931A0"/>
    <w:rsid w:val="0019487D"/>
    <w:rsid w:val="00194AC0"/>
    <w:rsid w:val="00194D0E"/>
    <w:rsid w:val="00194FEA"/>
    <w:rsid w:val="001954DD"/>
    <w:rsid w:val="00195B67"/>
    <w:rsid w:val="00196385"/>
    <w:rsid w:val="00196CA6"/>
    <w:rsid w:val="00196FCB"/>
    <w:rsid w:val="001975DE"/>
    <w:rsid w:val="001979B5"/>
    <w:rsid w:val="00197BFD"/>
    <w:rsid w:val="001A02E0"/>
    <w:rsid w:val="001A0453"/>
    <w:rsid w:val="001A059C"/>
    <w:rsid w:val="001A0745"/>
    <w:rsid w:val="001A075C"/>
    <w:rsid w:val="001A0F5F"/>
    <w:rsid w:val="001A10F8"/>
    <w:rsid w:val="001A121C"/>
    <w:rsid w:val="001A1244"/>
    <w:rsid w:val="001A142E"/>
    <w:rsid w:val="001A14BE"/>
    <w:rsid w:val="001A16CE"/>
    <w:rsid w:val="001A16D8"/>
    <w:rsid w:val="001A1AAC"/>
    <w:rsid w:val="001A2A8E"/>
    <w:rsid w:val="001A2EE1"/>
    <w:rsid w:val="001A3825"/>
    <w:rsid w:val="001A3F86"/>
    <w:rsid w:val="001A46B7"/>
    <w:rsid w:val="001A4F50"/>
    <w:rsid w:val="001A508A"/>
    <w:rsid w:val="001A533B"/>
    <w:rsid w:val="001A5702"/>
    <w:rsid w:val="001A5891"/>
    <w:rsid w:val="001A699C"/>
    <w:rsid w:val="001A6ECF"/>
    <w:rsid w:val="001A7750"/>
    <w:rsid w:val="001B00F9"/>
    <w:rsid w:val="001B04B1"/>
    <w:rsid w:val="001B04C3"/>
    <w:rsid w:val="001B079C"/>
    <w:rsid w:val="001B0894"/>
    <w:rsid w:val="001B0C6B"/>
    <w:rsid w:val="001B1641"/>
    <w:rsid w:val="001B1B26"/>
    <w:rsid w:val="001B1C3A"/>
    <w:rsid w:val="001B1FCF"/>
    <w:rsid w:val="001B21BD"/>
    <w:rsid w:val="001B263A"/>
    <w:rsid w:val="001B2A87"/>
    <w:rsid w:val="001B2E04"/>
    <w:rsid w:val="001B3945"/>
    <w:rsid w:val="001B3E1B"/>
    <w:rsid w:val="001B4C38"/>
    <w:rsid w:val="001B4EC4"/>
    <w:rsid w:val="001B538F"/>
    <w:rsid w:val="001B5B79"/>
    <w:rsid w:val="001B5B96"/>
    <w:rsid w:val="001B6651"/>
    <w:rsid w:val="001B6908"/>
    <w:rsid w:val="001B6AF1"/>
    <w:rsid w:val="001B6D20"/>
    <w:rsid w:val="001B6DFF"/>
    <w:rsid w:val="001B6E0C"/>
    <w:rsid w:val="001B7E26"/>
    <w:rsid w:val="001C00DE"/>
    <w:rsid w:val="001C02E0"/>
    <w:rsid w:val="001C0A3F"/>
    <w:rsid w:val="001C1A38"/>
    <w:rsid w:val="001C20E5"/>
    <w:rsid w:val="001C2206"/>
    <w:rsid w:val="001C2824"/>
    <w:rsid w:val="001C2AF0"/>
    <w:rsid w:val="001C2B14"/>
    <w:rsid w:val="001C3965"/>
    <w:rsid w:val="001C40FC"/>
    <w:rsid w:val="001C42F9"/>
    <w:rsid w:val="001C44D3"/>
    <w:rsid w:val="001C4766"/>
    <w:rsid w:val="001C5382"/>
    <w:rsid w:val="001C5938"/>
    <w:rsid w:val="001C66AF"/>
    <w:rsid w:val="001C6916"/>
    <w:rsid w:val="001C6BA4"/>
    <w:rsid w:val="001C6DF5"/>
    <w:rsid w:val="001C704B"/>
    <w:rsid w:val="001C715C"/>
    <w:rsid w:val="001C74F9"/>
    <w:rsid w:val="001C7A50"/>
    <w:rsid w:val="001C7D10"/>
    <w:rsid w:val="001C7D7F"/>
    <w:rsid w:val="001D051A"/>
    <w:rsid w:val="001D065E"/>
    <w:rsid w:val="001D0B55"/>
    <w:rsid w:val="001D2B51"/>
    <w:rsid w:val="001D2E24"/>
    <w:rsid w:val="001D3011"/>
    <w:rsid w:val="001D320F"/>
    <w:rsid w:val="001D3DAE"/>
    <w:rsid w:val="001D446B"/>
    <w:rsid w:val="001D47E3"/>
    <w:rsid w:val="001D4BA9"/>
    <w:rsid w:val="001D4E19"/>
    <w:rsid w:val="001D4E97"/>
    <w:rsid w:val="001D53D3"/>
    <w:rsid w:val="001D5B86"/>
    <w:rsid w:val="001D618B"/>
    <w:rsid w:val="001D6B90"/>
    <w:rsid w:val="001D6BFE"/>
    <w:rsid w:val="001D6D6D"/>
    <w:rsid w:val="001D771E"/>
    <w:rsid w:val="001D774D"/>
    <w:rsid w:val="001D7DD8"/>
    <w:rsid w:val="001E06A9"/>
    <w:rsid w:val="001E0EEA"/>
    <w:rsid w:val="001E16DF"/>
    <w:rsid w:val="001E1D7A"/>
    <w:rsid w:val="001E1E4A"/>
    <w:rsid w:val="001E35B4"/>
    <w:rsid w:val="001E4702"/>
    <w:rsid w:val="001E47DD"/>
    <w:rsid w:val="001E4EE2"/>
    <w:rsid w:val="001E5101"/>
    <w:rsid w:val="001E54F6"/>
    <w:rsid w:val="001E5EFB"/>
    <w:rsid w:val="001E7CA0"/>
    <w:rsid w:val="001F051A"/>
    <w:rsid w:val="001F063C"/>
    <w:rsid w:val="001F0A30"/>
    <w:rsid w:val="001F0A89"/>
    <w:rsid w:val="001F10EE"/>
    <w:rsid w:val="001F1605"/>
    <w:rsid w:val="001F1808"/>
    <w:rsid w:val="001F1967"/>
    <w:rsid w:val="001F1C3D"/>
    <w:rsid w:val="001F1CEE"/>
    <w:rsid w:val="001F1ED6"/>
    <w:rsid w:val="001F29B0"/>
    <w:rsid w:val="001F2D5F"/>
    <w:rsid w:val="001F2D61"/>
    <w:rsid w:val="001F3191"/>
    <w:rsid w:val="001F31EE"/>
    <w:rsid w:val="001F3AE5"/>
    <w:rsid w:val="001F3C96"/>
    <w:rsid w:val="001F3E0D"/>
    <w:rsid w:val="001F43A5"/>
    <w:rsid w:val="001F4456"/>
    <w:rsid w:val="001F4618"/>
    <w:rsid w:val="001F47DB"/>
    <w:rsid w:val="001F4805"/>
    <w:rsid w:val="001F4DC2"/>
    <w:rsid w:val="001F514C"/>
    <w:rsid w:val="001F542D"/>
    <w:rsid w:val="001F545C"/>
    <w:rsid w:val="001F5775"/>
    <w:rsid w:val="001F57E6"/>
    <w:rsid w:val="001F62E5"/>
    <w:rsid w:val="001F6A5E"/>
    <w:rsid w:val="001F6F58"/>
    <w:rsid w:val="001F768B"/>
    <w:rsid w:val="0020037E"/>
    <w:rsid w:val="00200583"/>
    <w:rsid w:val="00200838"/>
    <w:rsid w:val="00201300"/>
    <w:rsid w:val="00201723"/>
    <w:rsid w:val="00201C36"/>
    <w:rsid w:val="00201DB8"/>
    <w:rsid w:val="00202197"/>
    <w:rsid w:val="002022EF"/>
    <w:rsid w:val="00202500"/>
    <w:rsid w:val="00202657"/>
    <w:rsid w:val="00202E3B"/>
    <w:rsid w:val="0020327D"/>
    <w:rsid w:val="002032D1"/>
    <w:rsid w:val="00203591"/>
    <w:rsid w:val="00203C4A"/>
    <w:rsid w:val="00204880"/>
    <w:rsid w:val="00205070"/>
    <w:rsid w:val="0020519A"/>
    <w:rsid w:val="002052E6"/>
    <w:rsid w:val="002054B8"/>
    <w:rsid w:val="002057F8"/>
    <w:rsid w:val="0020580B"/>
    <w:rsid w:val="00205ABD"/>
    <w:rsid w:val="00205AE0"/>
    <w:rsid w:val="00205F44"/>
    <w:rsid w:val="002060E9"/>
    <w:rsid w:val="002062E7"/>
    <w:rsid w:val="0020666F"/>
    <w:rsid w:val="002069EE"/>
    <w:rsid w:val="00206D59"/>
    <w:rsid w:val="0020717B"/>
    <w:rsid w:val="00207EDC"/>
    <w:rsid w:val="00210C4E"/>
    <w:rsid w:val="00210EE9"/>
    <w:rsid w:val="00211035"/>
    <w:rsid w:val="002112B8"/>
    <w:rsid w:val="0021258E"/>
    <w:rsid w:val="0021263A"/>
    <w:rsid w:val="002127D3"/>
    <w:rsid w:val="002128CB"/>
    <w:rsid w:val="00212B9A"/>
    <w:rsid w:val="00212C64"/>
    <w:rsid w:val="002136ED"/>
    <w:rsid w:val="00213DA1"/>
    <w:rsid w:val="00214787"/>
    <w:rsid w:val="00214AFB"/>
    <w:rsid w:val="00214C17"/>
    <w:rsid w:val="0021592A"/>
    <w:rsid w:val="00216514"/>
    <w:rsid w:val="00216816"/>
    <w:rsid w:val="00216965"/>
    <w:rsid w:val="00217374"/>
    <w:rsid w:val="002175D2"/>
    <w:rsid w:val="0021790F"/>
    <w:rsid w:val="00220B5D"/>
    <w:rsid w:val="00220EC8"/>
    <w:rsid w:val="002212AD"/>
    <w:rsid w:val="002212B0"/>
    <w:rsid w:val="00221917"/>
    <w:rsid w:val="002223BA"/>
    <w:rsid w:val="0022296A"/>
    <w:rsid w:val="00222C22"/>
    <w:rsid w:val="00223207"/>
    <w:rsid w:val="0022324E"/>
    <w:rsid w:val="00223646"/>
    <w:rsid w:val="00223D6B"/>
    <w:rsid w:val="002244A2"/>
    <w:rsid w:val="00224A5D"/>
    <w:rsid w:val="00224B43"/>
    <w:rsid w:val="00225268"/>
    <w:rsid w:val="002253A1"/>
    <w:rsid w:val="00225653"/>
    <w:rsid w:val="00225A72"/>
    <w:rsid w:val="0022622C"/>
    <w:rsid w:val="00226A96"/>
    <w:rsid w:val="00226CCD"/>
    <w:rsid w:val="00226E82"/>
    <w:rsid w:val="00227797"/>
    <w:rsid w:val="00227D84"/>
    <w:rsid w:val="00227DDC"/>
    <w:rsid w:val="0023023A"/>
    <w:rsid w:val="0023035C"/>
    <w:rsid w:val="0023036F"/>
    <w:rsid w:val="002318C2"/>
    <w:rsid w:val="00232778"/>
    <w:rsid w:val="00232DC5"/>
    <w:rsid w:val="0023310A"/>
    <w:rsid w:val="00233E42"/>
    <w:rsid w:val="002340A8"/>
    <w:rsid w:val="00234125"/>
    <w:rsid w:val="002341D3"/>
    <w:rsid w:val="00234333"/>
    <w:rsid w:val="00234A6E"/>
    <w:rsid w:val="002356CB"/>
    <w:rsid w:val="002358B3"/>
    <w:rsid w:val="00236019"/>
    <w:rsid w:val="00236984"/>
    <w:rsid w:val="00237045"/>
    <w:rsid w:val="00237A5A"/>
    <w:rsid w:val="00237A5F"/>
    <w:rsid w:val="00237C9F"/>
    <w:rsid w:val="00237FDF"/>
    <w:rsid w:val="002402F3"/>
    <w:rsid w:val="00240C9E"/>
    <w:rsid w:val="0024164D"/>
    <w:rsid w:val="00241698"/>
    <w:rsid w:val="00241DDD"/>
    <w:rsid w:val="00242065"/>
    <w:rsid w:val="0024283B"/>
    <w:rsid w:val="00242C26"/>
    <w:rsid w:val="00243442"/>
    <w:rsid w:val="0024374E"/>
    <w:rsid w:val="00243B50"/>
    <w:rsid w:val="00243B6F"/>
    <w:rsid w:val="002441AB"/>
    <w:rsid w:val="00244626"/>
    <w:rsid w:val="00245CCA"/>
    <w:rsid w:val="00245E1B"/>
    <w:rsid w:val="00246332"/>
    <w:rsid w:val="0024639A"/>
    <w:rsid w:val="00246CE8"/>
    <w:rsid w:val="0024766A"/>
    <w:rsid w:val="00247CCE"/>
    <w:rsid w:val="00247CF7"/>
    <w:rsid w:val="0025005E"/>
    <w:rsid w:val="00250185"/>
    <w:rsid w:val="00250195"/>
    <w:rsid w:val="002501D4"/>
    <w:rsid w:val="00250826"/>
    <w:rsid w:val="002517C0"/>
    <w:rsid w:val="00251B51"/>
    <w:rsid w:val="00252B44"/>
    <w:rsid w:val="00252FA6"/>
    <w:rsid w:val="00253899"/>
    <w:rsid w:val="00253C3F"/>
    <w:rsid w:val="002545BC"/>
    <w:rsid w:val="00254A2E"/>
    <w:rsid w:val="00254ABA"/>
    <w:rsid w:val="00255BE0"/>
    <w:rsid w:val="002564C0"/>
    <w:rsid w:val="002565C7"/>
    <w:rsid w:val="00256ADC"/>
    <w:rsid w:val="0025764B"/>
    <w:rsid w:val="00257791"/>
    <w:rsid w:val="00257D3E"/>
    <w:rsid w:val="0026020F"/>
    <w:rsid w:val="002609BD"/>
    <w:rsid w:val="00260D3B"/>
    <w:rsid w:val="0026143C"/>
    <w:rsid w:val="00262157"/>
    <w:rsid w:val="0026279D"/>
    <w:rsid w:val="0026299F"/>
    <w:rsid w:val="0026380A"/>
    <w:rsid w:val="00263DFE"/>
    <w:rsid w:val="00263E81"/>
    <w:rsid w:val="00265203"/>
    <w:rsid w:val="00265630"/>
    <w:rsid w:val="00265716"/>
    <w:rsid w:val="00265CAF"/>
    <w:rsid w:val="0026642E"/>
    <w:rsid w:val="0026652B"/>
    <w:rsid w:val="0026657C"/>
    <w:rsid w:val="00266668"/>
    <w:rsid w:val="00266997"/>
    <w:rsid w:val="00267030"/>
    <w:rsid w:val="00267882"/>
    <w:rsid w:val="00270273"/>
    <w:rsid w:val="002708C7"/>
    <w:rsid w:val="00271147"/>
    <w:rsid w:val="002719CE"/>
    <w:rsid w:val="002721BC"/>
    <w:rsid w:val="00272791"/>
    <w:rsid w:val="00272C4B"/>
    <w:rsid w:val="0027314D"/>
    <w:rsid w:val="00273796"/>
    <w:rsid w:val="00273E73"/>
    <w:rsid w:val="002755C9"/>
    <w:rsid w:val="00275ED1"/>
    <w:rsid w:val="00276135"/>
    <w:rsid w:val="002764F8"/>
    <w:rsid w:val="002768B3"/>
    <w:rsid w:val="002768E5"/>
    <w:rsid w:val="002769A7"/>
    <w:rsid w:val="00276A98"/>
    <w:rsid w:val="00276E7F"/>
    <w:rsid w:val="002771F9"/>
    <w:rsid w:val="0027791E"/>
    <w:rsid w:val="002779EE"/>
    <w:rsid w:val="00277B73"/>
    <w:rsid w:val="00277ECB"/>
    <w:rsid w:val="00277EEF"/>
    <w:rsid w:val="002806D2"/>
    <w:rsid w:val="0028099E"/>
    <w:rsid w:val="00280A01"/>
    <w:rsid w:val="00281AF3"/>
    <w:rsid w:val="00281CD6"/>
    <w:rsid w:val="00281D1C"/>
    <w:rsid w:val="002824C3"/>
    <w:rsid w:val="0028255A"/>
    <w:rsid w:val="00282877"/>
    <w:rsid w:val="00282F0C"/>
    <w:rsid w:val="00283144"/>
    <w:rsid w:val="0028385A"/>
    <w:rsid w:val="00283930"/>
    <w:rsid w:val="0028449A"/>
    <w:rsid w:val="002850D9"/>
    <w:rsid w:val="00285310"/>
    <w:rsid w:val="00285438"/>
    <w:rsid w:val="002857CB"/>
    <w:rsid w:val="0028600B"/>
    <w:rsid w:val="0028676E"/>
    <w:rsid w:val="002869D9"/>
    <w:rsid w:val="00286E1D"/>
    <w:rsid w:val="0028721F"/>
    <w:rsid w:val="0028729D"/>
    <w:rsid w:val="00287766"/>
    <w:rsid w:val="0028779D"/>
    <w:rsid w:val="00287B1C"/>
    <w:rsid w:val="0029091B"/>
    <w:rsid w:val="00290A3B"/>
    <w:rsid w:val="00290B98"/>
    <w:rsid w:val="00290D6F"/>
    <w:rsid w:val="00290FD2"/>
    <w:rsid w:val="002912EC"/>
    <w:rsid w:val="0029133C"/>
    <w:rsid w:val="00291BDD"/>
    <w:rsid w:val="00292632"/>
    <w:rsid w:val="002929EA"/>
    <w:rsid w:val="00292C67"/>
    <w:rsid w:val="00292CA5"/>
    <w:rsid w:val="00292F07"/>
    <w:rsid w:val="00293417"/>
    <w:rsid w:val="00293A30"/>
    <w:rsid w:val="00293AE9"/>
    <w:rsid w:val="00293D8A"/>
    <w:rsid w:val="00293FC2"/>
    <w:rsid w:val="00294271"/>
    <w:rsid w:val="002942F3"/>
    <w:rsid w:val="00294822"/>
    <w:rsid w:val="00294911"/>
    <w:rsid w:val="00294C51"/>
    <w:rsid w:val="00294F73"/>
    <w:rsid w:val="0029545E"/>
    <w:rsid w:val="00296375"/>
    <w:rsid w:val="00296416"/>
    <w:rsid w:val="00296940"/>
    <w:rsid w:val="00296B3F"/>
    <w:rsid w:val="00296B65"/>
    <w:rsid w:val="00296D30"/>
    <w:rsid w:val="00296D94"/>
    <w:rsid w:val="00296FFC"/>
    <w:rsid w:val="0029706E"/>
    <w:rsid w:val="002974C9"/>
    <w:rsid w:val="002975D5"/>
    <w:rsid w:val="002979D3"/>
    <w:rsid w:val="00297B0D"/>
    <w:rsid w:val="00297BA0"/>
    <w:rsid w:val="002A04A4"/>
    <w:rsid w:val="002A04BC"/>
    <w:rsid w:val="002A089C"/>
    <w:rsid w:val="002A0AEE"/>
    <w:rsid w:val="002A0D67"/>
    <w:rsid w:val="002A1105"/>
    <w:rsid w:val="002A1F5D"/>
    <w:rsid w:val="002A1FD0"/>
    <w:rsid w:val="002A30AF"/>
    <w:rsid w:val="002A31F0"/>
    <w:rsid w:val="002A3439"/>
    <w:rsid w:val="002A40C8"/>
    <w:rsid w:val="002A4137"/>
    <w:rsid w:val="002A45C4"/>
    <w:rsid w:val="002A4CF7"/>
    <w:rsid w:val="002A4EDF"/>
    <w:rsid w:val="002A4F14"/>
    <w:rsid w:val="002A51CD"/>
    <w:rsid w:val="002A53FE"/>
    <w:rsid w:val="002A5AD3"/>
    <w:rsid w:val="002A5E83"/>
    <w:rsid w:val="002A701F"/>
    <w:rsid w:val="002A7109"/>
    <w:rsid w:val="002A73B0"/>
    <w:rsid w:val="002B00EB"/>
    <w:rsid w:val="002B01D7"/>
    <w:rsid w:val="002B07D3"/>
    <w:rsid w:val="002B0A3B"/>
    <w:rsid w:val="002B0AD3"/>
    <w:rsid w:val="002B1524"/>
    <w:rsid w:val="002B20F9"/>
    <w:rsid w:val="002B28B4"/>
    <w:rsid w:val="002B291D"/>
    <w:rsid w:val="002B2DA8"/>
    <w:rsid w:val="002B2F7E"/>
    <w:rsid w:val="002B311A"/>
    <w:rsid w:val="002B33CF"/>
    <w:rsid w:val="002B3D63"/>
    <w:rsid w:val="002B41D9"/>
    <w:rsid w:val="002B45AF"/>
    <w:rsid w:val="002B4CB8"/>
    <w:rsid w:val="002B5D51"/>
    <w:rsid w:val="002B6410"/>
    <w:rsid w:val="002B6AAF"/>
    <w:rsid w:val="002B7869"/>
    <w:rsid w:val="002C083F"/>
    <w:rsid w:val="002C12D2"/>
    <w:rsid w:val="002C149B"/>
    <w:rsid w:val="002C1667"/>
    <w:rsid w:val="002C1E8E"/>
    <w:rsid w:val="002C1FA2"/>
    <w:rsid w:val="002C2114"/>
    <w:rsid w:val="002C38D0"/>
    <w:rsid w:val="002C3A41"/>
    <w:rsid w:val="002C3B2B"/>
    <w:rsid w:val="002C3D79"/>
    <w:rsid w:val="002C3F5F"/>
    <w:rsid w:val="002C5041"/>
    <w:rsid w:val="002C527C"/>
    <w:rsid w:val="002C6337"/>
    <w:rsid w:val="002C66BF"/>
    <w:rsid w:val="002C6821"/>
    <w:rsid w:val="002C6C39"/>
    <w:rsid w:val="002D068B"/>
    <w:rsid w:val="002D0812"/>
    <w:rsid w:val="002D08EC"/>
    <w:rsid w:val="002D0A11"/>
    <w:rsid w:val="002D0B17"/>
    <w:rsid w:val="002D1847"/>
    <w:rsid w:val="002D1B2C"/>
    <w:rsid w:val="002D2485"/>
    <w:rsid w:val="002D2517"/>
    <w:rsid w:val="002D31A0"/>
    <w:rsid w:val="002D3234"/>
    <w:rsid w:val="002D336F"/>
    <w:rsid w:val="002D33FC"/>
    <w:rsid w:val="002D34C8"/>
    <w:rsid w:val="002D375D"/>
    <w:rsid w:val="002D3CEA"/>
    <w:rsid w:val="002D437B"/>
    <w:rsid w:val="002D4CD7"/>
    <w:rsid w:val="002D5032"/>
    <w:rsid w:val="002D5189"/>
    <w:rsid w:val="002D53BC"/>
    <w:rsid w:val="002D55CA"/>
    <w:rsid w:val="002D6B6C"/>
    <w:rsid w:val="002D701C"/>
    <w:rsid w:val="002D7089"/>
    <w:rsid w:val="002D793A"/>
    <w:rsid w:val="002D7C0D"/>
    <w:rsid w:val="002D7E9D"/>
    <w:rsid w:val="002E017C"/>
    <w:rsid w:val="002E01D7"/>
    <w:rsid w:val="002E0637"/>
    <w:rsid w:val="002E0D6A"/>
    <w:rsid w:val="002E1194"/>
    <w:rsid w:val="002E1265"/>
    <w:rsid w:val="002E1305"/>
    <w:rsid w:val="002E13BA"/>
    <w:rsid w:val="002E1CCB"/>
    <w:rsid w:val="002E1E02"/>
    <w:rsid w:val="002E281B"/>
    <w:rsid w:val="002E3589"/>
    <w:rsid w:val="002E365B"/>
    <w:rsid w:val="002E40B1"/>
    <w:rsid w:val="002E4BDF"/>
    <w:rsid w:val="002E4CF6"/>
    <w:rsid w:val="002E5185"/>
    <w:rsid w:val="002E5358"/>
    <w:rsid w:val="002E5441"/>
    <w:rsid w:val="002E59C9"/>
    <w:rsid w:val="002E59EA"/>
    <w:rsid w:val="002E62D5"/>
    <w:rsid w:val="002E6EC2"/>
    <w:rsid w:val="002E71B5"/>
    <w:rsid w:val="002E74F0"/>
    <w:rsid w:val="002E784A"/>
    <w:rsid w:val="002F027E"/>
    <w:rsid w:val="002F03E9"/>
    <w:rsid w:val="002F1066"/>
    <w:rsid w:val="002F18A7"/>
    <w:rsid w:val="002F1DF2"/>
    <w:rsid w:val="002F2095"/>
    <w:rsid w:val="002F2284"/>
    <w:rsid w:val="002F2811"/>
    <w:rsid w:val="002F33C1"/>
    <w:rsid w:val="002F3541"/>
    <w:rsid w:val="002F38E7"/>
    <w:rsid w:val="002F3B57"/>
    <w:rsid w:val="002F431D"/>
    <w:rsid w:val="002F4532"/>
    <w:rsid w:val="002F522E"/>
    <w:rsid w:val="002F52E6"/>
    <w:rsid w:val="002F53CE"/>
    <w:rsid w:val="002F575F"/>
    <w:rsid w:val="002F5F24"/>
    <w:rsid w:val="002F610A"/>
    <w:rsid w:val="002F6927"/>
    <w:rsid w:val="002F6CE1"/>
    <w:rsid w:val="002F7666"/>
    <w:rsid w:val="002F7712"/>
    <w:rsid w:val="002F7EB8"/>
    <w:rsid w:val="002F7FAE"/>
    <w:rsid w:val="00300132"/>
    <w:rsid w:val="003005C8"/>
    <w:rsid w:val="003022A0"/>
    <w:rsid w:val="0030276A"/>
    <w:rsid w:val="00302FF7"/>
    <w:rsid w:val="003031BB"/>
    <w:rsid w:val="003040B7"/>
    <w:rsid w:val="00304332"/>
    <w:rsid w:val="00304882"/>
    <w:rsid w:val="00304DAB"/>
    <w:rsid w:val="0030703B"/>
    <w:rsid w:val="00307407"/>
    <w:rsid w:val="00307FFD"/>
    <w:rsid w:val="0031003F"/>
    <w:rsid w:val="0031077C"/>
    <w:rsid w:val="00310B66"/>
    <w:rsid w:val="00311231"/>
    <w:rsid w:val="00311240"/>
    <w:rsid w:val="00311528"/>
    <w:rsid w:val="00311659"/>
    <w:rsid w:val="00311AEC"/>
    <w:rsid w:val="00311B0B"/>
    <w:rsid w:val="00312428"/>
    <w:rsid w:val="003135F4"/>
    <w:rsid w:val="00314509"/>
    <w:rsid w:val="00314759"/>
    <w:rsid w:val="00314C34"/>
    <w:rsid w:val="00315396"/>
    <w:rsid w:val="00315403"/>
    <w:rsid w:val="003158CD"/>
    <w:rsid w:val="00315FBD"/>
    <w:rsid w:val="003161FD"/>
    <w:rsid w:val="00316277"/>
    <w:rsid w:val="003163CB"/>
    <w:rsid w:val="00316942"/>
    <w:rsid w:val="00316F1A"/>
    <w:rsid w:val="003209ED"/>
    <w:rsid w:val="00320D2E"/>
    <w:rsid w:val="0032111F"/>
    <w:rsid w:val="003212F1"/>
    <w:rsid w:val="00321487"/>
    <w:rsid w:val="00321508"/>
    <w:rsid w:val="00321D3E"/>
    <w:rsid w:val="00322190"/>
    <w:rsid w:val="00322CF8"/>
    <w:rsid w:val="00323033"/>
    <w:rsid w:val="00323443"/>
    <w:rsid w:val="003234AD"/>
    <w:rsid w:val="00324027"/>
    <w:rsid w:val="00324D6D"/>
    <w:rsid w:val="00324E7A"/>
    <w:rsid w:val="00324FA4"/>
    <w:rsid w:val="00325947"/>
    <w:rsid w:val="00325D73"/>
    <w:rsid w:val="00325F22"/>
    <w:rsid w:val="00325F30"/>
    <w:rsid w:val="003264B3"/>
    <w:rsid w:val="0032654D"/>
    <w:rsid w:val="00326638"/>
    <w:rsid w:val="003268AC"/>
    <w:rsid w:val="00327249"/>
    <w:rsid w:val="0032738E"/>
    <w:rsid w:val="00327916"/>
    <w:rsid w:val="00327A3A"/>
    <w:rsid w:val="00327C6D"/>
    <w:rsid w:val="00327F05"/>
    <w:rsid w:val="003301C2"/>
    <w:rsid w:val="0033034A"/>
    <w:rsid w:val="0033044D"/>
    <w:rsid w:val="00330C29"/>
    <w:rsid w:val="00330F87"/>
    <w:rsid w:val="003319F4"/>
    <w:rsid w:val="0033201E"/>
    <w:rsid w:val="0033275A"/>
    <w:rsid w:val="0033337A"/>
    <w:rsid w:val="00333924"/>
    <w:rsid w:val="00333DCD"/>
    <w:rsid w:val="003341A1"/>
    <w:rsid w:val="00334F01"/>
    <w:rsid w:val="003356B4"/>
    <w:rsid w:val="00335AF3"/>
    <w:rsid w:val="00337F5B"/>
    <w:rsid w:val="00340132"/>
    <w:rsid w:val="003406F7"/>
    <w:rsid w:val="00340EB7"/>
    <w:rsid w:val="00340F7B"/>
    <w:rsid w:val="00341108"/>
    <w:rsid w:val="003416DB"/>
    <w:rsid w:val="00341850"/>
    <w:rsid w:val="003423BE"/>
    <w:rsid w:val="003424D9"/>
    <w:rsid w:val="00342777"/>
    <w:rsid w:val="0034369A"/>
    <w:rsid w:val="00343D32"/>
    <w:rsid w:val="00343D85"/>
    <w:rsid w:val="00344F2B"/>
    <w:rsid w:val="0034513B"/>
    <w:rsid w:val="003451C5"/>
    <w:rsid w:val="00346768"/>
    <w:rsid w:val="003469FE"/>
    <w:rsid w:val="00346D9B"/>
    <w:rsid w:val="00346E83"/>
    <w:rsid w:val="00347044"/>
    <w:rsid w:val="003473BE"/>
    <w:rsid w:val="00347EB6"/>
    <w:rsid w:val="00350555"/>
    <w:rsid w:val="003509B1"/>
    <w:rsid w:val="00350E1C"/>
    <w:rsid w:val="003516CD"/>
    <w:rsid w:val="003516F0"/>
    <w:rsid w:val="00351A94"/>
    <w:rsid w:val="00352233"/>
    <w:rsid w:val="00353425"/>
    <w:rsid w:val="00353E9F"/>
    <w:rsid w:val="00353FD5"/>
    <w:rsid w:val="00355002"/>
    <w:rsid w:val="0035567B"/>
    <w:rsid w:val="00355C5D"/>
    <w:rsid w:val="00355D00"/>
    <w:rsid w:val="00355E67"/>
    <w:rsid w:val="00355EAD"/>
    <w:rsid w:val="00355EC9"/>
    <w:rsid w:val="0035724A"/>
    <w:rsid w:val="00357810"/>
    <w:rsid w:val="00357918"/>
    <w:rsid w:val="00357971"/>
    <w:rsid w:val="00357EAA"/>
    <w:rsid w:val="0036030E"/>
    <w:rsid w:val="003610B8"/>
    <w:rsid w:val="003612B7"/>
    <w:rsid w:val="003618A2"/>
    <w:rsid w:val="003620A9"/>
    <w:rsid w:val="00363376"/>
    <w:rsid w:val="00363CAA"/>
    <w:rsid w:val="003642B1"/>
    <w:rsid w:val="00364378"/>
    <w:rsid w:val="00364BD6"/>
    <w:rsid w:val="00364C3F"/>
    <w:rsid w:val="00365E99"/>
    <w:rsid w:val="00366523"/>
    <w:rsid w:val="00366599"/>
    <w:rsid w:val="00366ADC"/>
    <w:rsid w:val="00367370"/>
    <w:rsid w:val="00367371"/>
    <w:rsid w:val="003674F2"/>
    <w:rsid w:val="003675BC"/>
    <w:rsid w:val="00367890"/>
    <w:rsid w:val="0036793A"/>
    <w:rsid w:val="003711EA"/>
    <w:rsid w:val="0037157B"/>
    <w:rsid w:val="00372B7E"/>
    <w:rsid w:val="00372FE1"/>
    <w:rsid w:val="00373A28"/>
    <w:rsid w:val="00373D08"/>
    <w:rsid w:val="00373F37"/>
    <w:rsid w:val="00373FD1"/>
    <w:rsid w:val="00375675"/>
    <w:rsid w:val="00375757"/>
    <w:rsid w:val="00375EA4"/>
    <w:rsid w:val="003761D7"/>
    <w:rsid w:val="003770EE"/>
    <w:rsid w:val="003771AC"/>
    <w:rsid w:val="0037771B"/>
    <w:rsid w:val="00377893"/>
    <w:rsid w:val="00380B42"/>
    <w:rsid w:val="0038113B"/>
    <w:rsid w:val="00381A23"/>
    <w:rsid w:val="00381AAE"/>
    <w:rsid w:val="00381E9A"/>
    <w:rsid w:val="00381FAC"/>
    <w:rsid w:val="00381FF4"/>
    <w:rsid w:val="00382897"/>
    <w:rsid w:val="0038329B"/>
    <w:rsid w:val="00383329"/>
    <w:rsid w:val="00383708"/>
    <w:rsid w:val="00384CB3"/>
    <w:rsid w:val="00384F5A"/>
    <w:rsid w:val="00384FCE"/>
    <w:rsid w:val="0038516E"/>
    <w:rsid w:val="003855BC"/>
    <w:rsid w:val="00385981"/>
    <w:rsid w:val="00385D08"/>
    <w:rsid w:val="00385ED6"/>
    <w:rsid w:val="003863BF"/>
    <w:rsid w:val="003863FF"/>
    <w:rsid w:val="00386A99"/>
    <w:rsid w:val="00386DFF"/>
    <w:rsid w:val="00386F36"/>
    <w:rsid w:val="003879DB"/>
    <w:rsid w:val="00387ABB"/>
    <w:rsid w:val="00390A15"/>
    <w:rsid w:val="00390E1C"/>
    <w:rsid w:val="003912CA"/>
    <w:rsid w:val="00391F98"/>
    <w:rsid w:val="003927CA"/>
    <w:rsid w:val="003927EA"/>
    <w:rsid w:val="00393108"/>
    <w:rsid w:val="003932DE"/>
    <w:rsid w:val="003933A4"/>
    <w:rsid w:val="00393CC4"/>
    <w:rsid w:val="00393DEB"/>
    <w:rsid w:val="00394138"/>
    <w:rsid w:val="00394924"/>
    <w:rsid w:val="00394A1E"/>
    <w:rsid w:val="00396122"/>
    <w:rsid w:val="00396323"/>
    <w:rsid w:val="00396C80"/>
    <w:rsid w:val="00397D86"/>
    <w:rsid w:val="00397FD5"/>
    <w:rsid w:val="003A0057"/>
    <w:rsid w:val="003A13F4"/>
    <w:rsid w:val="003A16C1"/>
    <w:rsid w:val="003A16CD"/>
    <w:rsid w:val="003A19EB"/>
    <w:rsid w:val="003A1A52"/>
    <w:rsid w:val="003A20FE"/>
    <w:rsid w:val="003A22CE"/>
    <w:rsid w:val="003A2DD2"/>
    <w:rsid w:val="003A32FC"/>
    <w:rsid w:val="003A3B1B"/>
    <w:rsid w:val="003A3B88"/>
    <w:rsid w:val="003A3BE0"/>
    <w:rsid w:val="003A3C10"/>
    <w:rsid w:val="003A4333"/>
    <w:rsid w:val="003A46D7"/>
    <w:rsid w:val="003A46D9"/>
    <w:rsid w:val="003A5000"/>
    <w:rsid w:val="003A565F"/>
    <w:rsid w:val="003A56C3"/>
    <w:rsid w:val="003A602D"/>
    <w:rsid w:val="003A6A59"/>
    <w:rsid w:val="003A6A94"/>
    <w:rsid w:val="003A78BC"/>
    <w:rsid w:val="003B06E6"/>
    <w:rsid w:val="003B0E2C"/>
    <w:rsid w:val="003B0EBA"/>
    <w:rsid w:val="003B138A"/>
    <w:rsid w:val="003B14ED"/>
    <w:rsid w:val="003B16AD"/>
    <w:rsid w:val="003B1800"/>
    <w:rsid w:val="003B34EC"/>
    <w:rsid w:val="003B36D2"/>
    <w:rsid w:val="003B417C"/>
    <w:rsid w:val="003B4419"/>
    <w:rsid w:val="003B4AE9"/>
    <w:rsid w:val="003B5C35"/>
    <w:rsid w:val="003B633C"/>
    <w:rsid w:val="003B642E"/>
    <w:rsid w:val="003B6457"/>
    <w:rsid w:val="003B661A"/>
    <w:rsid w:val="003B6771"/>
    <w:rsid w:val="003B6DA5"/>
    <w:rsid w:val="003B7302"/>
    <w:rsid w:val="003B7522"/>
    <w:rsid w:val="003C05F0"/>
    <w:rsid w:val="003C0B4D"/>
    <w:rsid w:val="003C13AF"/>
    <w:rsid w:val="003C14C8"/>
    <w:rsid w:val="003C199F"/>
    <w:rsid w:val="003C25CD"/>
    <w:rsid w:val="003C2DEE"/>
    <w:rsid w:val="003C312A"/>
    <w:rsid w:val="003C3AB0"/>
    <w:rsid w:val="003C4157"/>
    <w:rsid w:val="003C4D79"/>
    <w:rsid w:val="003C5332"/>
    <w:rsid w:val="003C559E"/>
    <w:rsid w:val="003C5A93"/>
    <w:rsid w:val="003C5E45"/>
    <w:rsid w:val="003C7728"/>
    <w:rsid w:val="003D03D0"/>
    <w:rsid w:val="003D0F55"/>
    <w:rsid w:val="003D0F83"/>
    <w:rsid w:val="003D1271"/>
    <w:rsid w:val="003D1457"/>
    <w:rsid w:val="003D1BE0"/>
    <w:rsid w:val="003D32DC"/>
    <w:rsid w:val="003D33E0"/>
    <w:rsid w:val="003D3B30"/>
    <w:rsid w:val="003D4835"/>
    <w:rsid w:val="003D4AAC"/>
    <w:rsid w:val="003D4D01"/>
    <w:rsid w:val="003D560B"/>
    <w:rsid w:val="003D577C"/>
    <w:rsid w:val="003D5F56"/>
    <w:rsid w:val="003D65CE"/>
    <w:rsid w:val="003D67AF"/>
    <w:rsid w:val="003D6AEA"/>
    <w:rsid w:val="003D6ECC"/>
    <w:rsid w:val="003D6FC3"/>
    <w:rsid w:val="003E04E9"/>
    <w:rsid w:val="003E092A"/>
    <w:rsid w:val="003E2141"/>
    <w:rsid w:val="003E22E5"/>
    <w:rsid w:val="003E2E14"/>
    <w:rsid w:val="003E2EDF"/>
    <w:rsid w:val="003E3D8F"/>
    <w:rsid w:val="003E3ECE"/>
    <w:rsid w:val="003E3F1F"/>
    <w:rsid w:val="003E3FB3"/>
    <w:rsid w:val="003E46C6"/>
    <w:rsid w:val="003E4AF2"/>
    <w:rsid w:val="003E51F7"/>
    <w:rsid w:val="003E529F"/>
    <w:rsid w:val="003E5491"/>
    <w:rsid w:val="003E54A1"/>
    <w:rsid w:val="003E5B7B"/>
    <w:rsid w:val="003E5B81"/>
    <w:rsid w:val="003E646D"/>
    <w:rsid w:val="003E6477"/>
    <w:rsid w:val="003E6621"/>
    <w:rsid w:val="003E6895"/>
    <w:rsid w:val="003E71E1"/>
    <w:rsid w:val="003E73F3"/>
    <w:rsid w:val="003E7E07"/>
    <w:rsid w:val="003F058B"/>
    <w:rsid w:val="003F0B1C"/>
    <w:rsid w:val="003F11D1"/>
    <w:rsid w:val="003F156C"/>
    <w:rsid w:val="003F16E8"/>
    <w:rsid w:val="003F17E6"/>
    <w:rsid w:val="003F1890"/>
    <w:rsid w:val="003F1F97"/>
    <w:rsid w:val="003F25BB"/>
    <w:rsid w:val="003F2795"/>
    <w:rsid w:val="003F2C5F"/>
    <w:rsid w:val="003F2D09"/>
    <w:rsid w:val="003F2E82"/>
    <w:rsid w:val="003F2F3C"/>
    <w:rsid w:val="003F4943"/>
    <w:rsid w:val="003F4B36"/>
    <w:rsid w:val="003F4FCA"/>
    <w:rsid w:val="003F52F9"/>
    <w:rsid w:val="003F534C"/>
    <w:rsid w:val="003F5AF8"/>
    <w:rsid w:val="003F6C3F"/>
    <w:rsid w:val="003F7444"/>
    <w:rsid w:val="003F7A4F"/>
    <w:rsid w:val="003F7D15"/>
    <w:rsid w:val="003F7FD7"/>
    <w:rsid w:val="0040017B"/>
    <w:rsid w:val="00400505"/>
    <w:rsid w:val="00400BAD"/>
    <w:rsid w:val="0040190E"/>
    <w:rsid w:val="00401D1D"/>
    <w:rsid w:val="00401D2A"/>
    <w:rsid w:val="00401E71"/>
    <w:rsid w:val="00402790"/>
    <w:rsid w:val="00402A17"/>
    <w:rsid w:val="00402B23"/>
    <w:rsid w:val="00402C59"/>
    <w:rsid w:val="00402E4C"/>
    <w:rsid w:val="004031F8"/>
    <w:rsid w:val="00403524"/>
    <w:rsid w:val="0040362B"/>
    <w:rsid w:val="00403865"/>
    <w:rsid w:val="00403FB8"/>
    <w:rsid w:val="00404AC8"/>
    <w:rsid w:val="00404B8B"/>
    <w:rsid w:val="00404C21"/>
    <w:rsid w:val="004057DA"/>
    <w:rsid w:val="00405BC5"/>
    <w:rsid w:val="0040611D"/>
    <w:rsid w:val="00406583"/>
    <w:rsid w:val="0040697A"/>
    <w:rsid w:val="00406C41"/>
    <w:rsid w:val="0041071F"/>
    <w:rsid w:val="00410B33"/>
    <w:rsid w:val="00410CC5"/>
    <w:rsid w:val="0041131B"/>
    <w:rsid w:val="00411439"/>
    <w:rsid w:val="0041196E"/>
    <w:rsid w:val="00411BE5"/>
    <w:rsid w:val="004121DD"/>
    <w:rsid w:val="004122A7"/>
    <w:rsid w:val="00412887"/>
    <w:rsid w:val="0041307F"/>
    <w:rsid w:val="00413203"/>
    <w:rsid w:val="0041399E"/>
    <w:rsid w:val="00414372"/>
    <w:rsid w:val="004144DB"/>
    <w:rsid w:val="00414670"/>
    <w:rsid w:val="00414B11"/>
    <w:rsid w:val="00414C29"/>
    <w:rsid w:val="00414E92"/>
    <w:rsid w:val="004151E9"/>
    <w:rsid w:val="00415D91"/>
    <w:rsid w:val="004174FB"/>
    <w:rsid w:val="00417566"/>
    <w:rsid w:val="0041773F"/>
    <w:rsid w:val="004179A5"/>
    <w:rsid w:val="00417AF6"/>
    <w:rsid w:val="00417C26"/>
    <w:rsid w:val="00420505"/>
    <w:rsid w:val="004208DE"/>
    <w:rsid w:val="00420D26"/>
    <w:rsid w:val="00421670"/>
    <w:rsid w:val="004216E6"/>
    <w:rsid w:val="00423205"/>
    <w:rsid w:val="00423241"/>
    <w:rsid w:val="0042337E"/>
    <w:rsid w:val="0042338F"/>
    <w:rsid w:val="004237A4"/>
    <w:rsid w:val="004244C4"/>
    <w:rsid w:val="00424808"/>
    <w:rsid w:val="0042617E"/>
    <w:rsid w:val="004265A9"/>
    <w:rsid w:val="0042734A"/>
    <w:rsid w:val="0042757B"/>
    <w:rsid w:val="00427801"/>
    <w:rsid w:val="00427C1E"/>
    <w:rsid w:val="00430059"/>
    <w:rsid w:val="004300A8"/>
    <w:rsid w:val="004302BA"/>
    <w:rsid w:val="004303E6"/>
    <w:rsid w:val="004305E1"/>
    <w:rsid w:val="0043085B"/>
    <w:rsid w:val="00430C68"/>
    <w:rsid w:val="00431532"/>
    <w:rsid w:val="004327A3"/>
    <w:rsid w:val="00432A72"/>
    <w:rsid w:val="00432A9A"/>
    <w:rsid w:val="0043318B"/>
    <w:rsid w:val="0043386D"/>
    <w:rsid w:val="004338A4"/>
    <w:rsid w:val="00434726"/>
    <w:rsid w:val="00434F74"/>
    <w:rsid w:val="00435349"/>
    <w:rsid w:val="0043555B"/>
    <w:rsid w:val="00435651"/>
    <w:rsid w:val="004357ED"/>
    <w:rsid w:val="00437ECE"/>
    <w:rsid w:val="00437F7F"/>
    <w:rsid w:val="00440090"/>
    <w:rsid w:val="004400DD"/>
    <w:rsid w:val="00440E3C"/>
    <w:rsid w:val="00440E4D"/>
    <w:rsid w:val="00440ED7"/>
    <w:rsid w:val="00441BEF"/>
    <w:rsid w:val="00441D0D"/>
    <w:rsid w:val="0044227B"/>
    <w:rsid w:val="004422EB"/>
    <w:rsid w:val="00442EA1"/>
    <w:rsid w:val="004432CB"/>
    <w:rsid w:val="00443A57"/>
    <w:rsid w:val="00443A9C"/>
    <w:rsid w:val="00443DAE"/>
    <w:rsid w:val="00443F02"/>
    <w:rsid w:val="00443F8F"/>
    <w:rsid w:val="00444714"/>
    <w:rsid w:val="00444B6F"/>
    <w:rsid w:val="0044547E"/>
    <w:rsid w:val="004455E3"/>
    <w:rsid w:val="00445957"/>
    <w:rsid w:val="004459A4"/>
    <w:rsid w:val="00445C60"/>
    <w:rsid w:val="004462B0"/>
    <w:rsid w:val="00446DFD"/>
    <w:rsid w:val="00447113"/>
    <w:rsid w:val="00447672"/>
    <w:rsid w:val="00450047"/>
    <w:rsid w:val="004506DC"/>
    <w:rsid w:val="004507F0"/>
    <w:rsid w:val="0045082F"/>
    <w:rsid w:val="00450942"/>
    <w:rsid w:val="00450C12"/>
    <w:rsid w:val="00450D0C"/>
    <w:rsid w:val="004514F7"/>
    <w:rsid w:val="0045172E"/>
    <w:rsid w:val="00451B40"/>
    <w:rsid w:val="00452007"/>
    <w:rsid w:val="004521B8"/>
    <w:rsid w:val="0045224B"/>
    <w:rsid w:val="00452498"/>
    <w:rsid w:val="0045274E"/>
    <w:rsid w:val="00452A62"/>
    <w:rsid w:val="00452DE4"/>
    <w:rsid w:val="00452DF8"/>
    <w:rsid w:val="004530EC"/>
    <w:rsid w:val="004530FF"/>
    <w:rsid w:val="0045325A"/>
    <w:rsid w:val="00453843"/>
    <w:rsid w:val="004545F8"/>
    <w:rsid w:val="0045467C"/>
    <w:rsid w:val="00454874"/>
    <w:rsid w:val="00454940"/>
    <w:rsid w:val="00454D74"/>
    <w:rsid w:val="004553DF"/>
    <w:rsid w:val="004553EB"/>
    <w:rsid w:val="004558CB"/>
    <w:rsid w:val="004558EA"/>
    <w:rsid w:val="004560A8"/>
    <w:rsid w:val="0045626E"/>
    <w:rsid w:val="00456802"/>
    <w:rsid w:val="00456CEA"/>
    <w:rsid w:val="0045727E"/>
    <w:rsid w:val="00457FA7"/>
    <w:rsid w:val="004612D8"/>
    <w:rsid w:val="0046192F"/>
    <w:rsid w:val="00461DBD"/>
    <w:rsid w:val="004620E7"/>
    <w:rsid w:val="004626C9"/>
    <w:rsid w:val="00463E49"/>
    <w:rsid w:val="0046408A"/>
    <w:rsid w:val="004640C2"/>
    <w:rsid w:val="00464113"/>
    <w:rsid w:val="00464A0A"/>
    <w:rsid w:val="00464A20"/>
    <w:rsid w:val="004651AD"/>
    <w:rsid w:val="0046529A"/>
    <w:rsid w:val="004654CD"/>
    <w:rsid w:val="00465C57"/>
    <w:rsid w:val="00466233"/>
    <w:rsid w:val="00466E52"/>
    <w:rsid w:val="004673E7"/>
    <w:rsid w:val="00467C32"/>
    <w:rsid w:val="00470050"/>
    <w:rsid w:val="004704CB"/>
    <w:rsid w:val="00470630"/>
    <w:rsid w:val="00470C40"/>
    <w:rsid w:val="004713B8"/>
    <w:rsid w:val="00471504"/>
    <w:rsid w:val="00471607"/>
    <w:rsid w:val="0047239F"/>
    <w:rsid w:val="00472C85"/>
    <w:rsid w:val="00473434"/>
    <w:rsid w:val="00473564"/>
    <w:rsid w:val="004736DA"/>
    <w:rsid w:val="00474333"/>
    <w:rsid w:val="00474E01"/>
    <w:rsid w:val="00475376"/>
    <w:rsid w:val="00475453"/>
    <w:rsid w:val="00475700"/>
    <w:rsid w:val="0047591A"/>
    <w:rsid w:val="00475C69"/>
    <w:rsid w:val="00476E19"/>
    <w:rsid w:val="00477870"/>
    <w:rsid w:val="00477955"/>
    <w:rsid w:val="00480099"/>
    <w:rsid w:val="00480200"/>
    <w:rsid w:val="00480AD4"/>
    <w:rsid w:val="0048143A"/>
    <w:rsid w:val="00483036"/>
    <w:rsid w:val="004832F6"/>
    <w:rsid w:val="00483FC9"/>
    <w:rsid w:val="0048406C"/>
    <w:rsid w:val="00484ADA"/>
    <w:rsid w:val="00484C54"/>
    <w:rsid w:val="00484C5C"/>
    <w:rsid w:val="00485070"/>
    <w:rsid w:val="00485338"/>
    <w:rsid w:val="0048549F"/>
    <w:rsid w:val="00485527"/>
    <w:rsid w:val="00485713"/>
    <w:rsid w:val="004857A7"/>
    <w:rsid w:val="004860F1"/>
    <w:rsid w:val="004861B1"/>
    <w:rsid w:val="004861E0"/>
    <w:rsid w:val="00487435"/>
    <w:rsid w:val="00487493"/>
    <w:rsid w:val="00487E9F"/>
    <w:rsid w:val="00490226"/>
    <w:rsid w:val="0049036C"/>
    <w:rsid w:val="00490A46"/>
    <w:rsid w:val="00490C9F"/>
    <w:rsid w:val="00490CF0"/>
    <w:rsid w:val="00491423"/>
    <w:rsid w:val="00491744"/>
    <w:rsid w:val="00491D7E"/>
    <w:rsid w:val="00491D91"/>
    <w:rsid w:val="00491F0D"/>
    <w:rsid w:val="00492248"/>
    <w:rsid w:val="0049270D"/>
    <w:rsid w:val="004949D7"/>
    <w:rsid w:val="00494AC4"/>
    <w:rsid w:val="00494FFA"/>
    <w:rsid w:val="00495CBC"/>
    <w:rsid w:val="0049681F"/>
    <w:rsid w:val="00496823"/>
    <w:rsid w:val="00496D0E"/>
    <w:rsid w:val="00497454"/>
    <w:rsid w:val="004976F7"/>
    <w:rsid w:val="004A038F"/>
    <w:rsid w:val="004A041D"/>
    <w:rsid w:val="004A068D"/>
    <w:rsid w:val="004A0873"/>
    <w:rsid w:val="004A0B71"/>
    <w:rsid w:val="004A0CED"/>
    <w:rsid w:val="004A0D82"/>
    <w:rsid w:val="004A1D28"/>
    <w:rsid w:val="004A25BC"/>
    <w:rsid w:val="004A2626"/>
    <w:rsid w:val="004A262B"/>
    <w:rsid w:val="004A2A4F"/>
    <w:rsid w:val="004A2C8E"/>
    <w:rsid w:val="004A320A"/>
    <w:rsid w:val="004A3A92"/>
    <w:rsid w:val="004A4718"/>
    <w:rsid w:val="004A4A6C"/>
    <w:rsid w:val="004A4A85"/>
    <w:rsid w:val="004A4BE3"/>
    <w:rsid w:val="004A5120"/>
    <w:rsid w:val="004A54A2"/>
    <w:rsid w:val="004A57F8"/>
    <w:rsid w:val="004A6097"/>
    <w:rsid w:val="004A6B27"/>
    <w:rsid w:val="004A6CED"/>
    <w:rsid w:val="004A74A3"/>
    <w:rsid w:val="004A7D15"/>
    <w:rsid w:val="004A7FE6"/>
    <w:rsid w:val="004B003E"/>
    <w:rsid w:val="004B1198"/>
    <w:rsid w:val="004B1777"/>
    <w:rsid w:val="004B1AD8"/>
    <w:rsid w:val="004B1C7F"/>
    <w:rsid w:val="004B1EEF"/>
    <w:rsid w:val="004B2424"/>
    <w:rsid w:val="004B2498"/>
    <w:rsid w:val="004B28B0"/>
    <w:rsid w:val="004B32E0"/>
    <w:rsid w:val="004B3658"/>
    <w:rsid w:val="004B3769"/>
    <w:rsid w:val="004B3B45"/>
    <w:rsid w:val="004B5281"/>
    <w:rsid w:val="004B58E2"/>
    <w:rsid w:val="004B5AF8"/>
    <w:rsid w:val="004B60F9"/>
    <w:rsid w:val="004B624B"/>
    <w:rsid w:val="004B6A42"/>
    <w:rsid w:val="004B6F31"/>
    <w:rsid w:val="004B71D7"/>
    <w:rsid w:val="004B74D1"/>
    <w:rsid w:val="004B7A86"/>
    <w:rsid w:val="004B7C94"/>
    <w:rsid w:val="004B7F02"/>
    <w:rsid w:val="004C0327"/>
    <w:rsid w:val="004C0449"/>
    <w:rsid w:val="004C0BEB"/>
    <w:rsid w:val="004C0DAF"/>
    <w:rsid w:val="004C1091"/>
    <w:rsid w:val="004C114E"/>
    <w:rsid w:val="004C1405"/>
    <w:rsid w:val="004C15A0"/>
    <w:rsid w:val="004C19F9"/>
    <w:rsid w:val="004C1DDA"/>
    <w:rsid w:val="004C2CD1"/>
    <w:rsid w:val="004C3015"/>
    <w:rsid w:val="004C4C30"/>
    <w:rsid w:val="004C596A"/>
    <w:rsid w:val="004C5D1E"/>
    <w:rsid w:val="004C630C"/>
    <w:rsid w:val="004C6FBE"/>
    <w:rsid w:val="004C703C"/>
    <w:rsid w:val="004C7073"/>
    <w:rsid w:val="004C759D"/>
    <w:rsid w:val="004C7F4B"/>
    <w:rsid w:val="004D02B8"/>
    <w:rsid w:val="004D0C3E"/>
    <w:rsid w:val="004D183F"/>
    <w:rsid w:val="004D1932"/>
    <w:rsid w:val="004D1DF3"/>
    <w:rsid w:val="004D2201"/>
    <w:rsid w:val="004D29CF"/>
    <w:rsid w:val="004D2A19"/>
    <w:rsid w:val="004D2B0A"/>
    <w:rsid w:val="004D2B7C"/>
    <w:rsid w:val="004D2DBD"/>
    <w:rsid w:val="004D3B81"/>
    <w:rsid w:val="004D3CFB"/>
    <w:rsid w:val="004D40A0"/>
    <w:rsid w:val="004D4175"/>
    <w:rsid w:val="004D471D"/>
    <w:rsid w:val="004D486D"/>
    <w:rsid w:val="004D4F90"/>
    <w:rsid w:val="004D5207"/>
    <w:rsid w:val="004D59B2"/>
    <w:rsid w:val="004D60BF"/>
    <w:rsid w:val="004D63E1"/>
    <w:rsid w:val="004D6869"/>
    <w:rsid w:val="004D68D5"/>
    <w:rsid w:val="004D6A5A"/>
    <w:rsid w:val="004D731A"/>
    <w:rsid w:val="004D747C"/>
    <w:rsid w:val="004D74C5"/>
    <w:rsid w:val="004D7BDB"/>
    <w:rsid w:val="004D7F02"/>
    <w:rsid w:val="004E0660"/>
    <w:rsid w:val="004E0762"/>
    <w:rsid w:val="004E11E8"/>
    <w:rsid w:val="004E1F8C"/>
    <w:rsid w:val="004E20C0"/>
    <w:rsid w:val="004E2447"/>
    <w:rsid w:val="004E2E9D"/>
    <w:rsid w:val="004E38D7"/>
    <w:rsid w:val="004E3A00"/>
    <w:rsid w:val="004E3D4A"/>
    <w:rsid w:val="004E4146"/>
    <w:rsid w:val="004E4B5C"/>
    <w:rsid w:val="004E4BE0"/>
    <w:rsid w:val="004E4EE7"/>
    <w:rsid w:val="004E5023"/>
    <w:rsid w:val="004E5421"/>
    <w:rsid w:val="004E568B"/>
    <w:rsid w:val="004E5BE6"/>
    <w:rsid w:val="004E6328"/>
    <w:rsid w:val="004E6415"/>
    <w:rsid w:val="004E6641"/>
    <w:rsid w:val="004E6EDA"/>
    <w:rsid w:val="004E706D"/>
    <w:rsid w:val="004E72AD"/>
    <w:rsid w:val="004E7A69"/>
    <w:rsid w:val="004F0650"/>
    <w:rsid w:val="004F0F25"/>
    <w:rsid w:val="004F1942"/>
    <w:rsid w:val="004F1950"/>
    <w:rsid w:val="004F1990"/>
    <w:rsid w:val="004F1994"/>
    <w:rsid w:val="004F19D2"/>
    <w:rsid w:val="004F1B6D"/>
    <w:rsid w:val="004F1E23"/>
    <w:rsid w:val="004F28F7"/>
    <w:rsid w:val="004F359E"/>
    <w:rsid w:val="004F3BCB"/>
    <w:rsid w:val="004F4047"/>
    <w:rsid w:val="004F40A0"/>
    <w:rsid w:val="004F42D6"/>
    <w:rsid w:val="004F45E7"/>
    <w:rsid w:val="004F5736"/>
    <w:rsid w:val="004F67A5"/>
    <w:rsid w:val="004F6BB0"/>
    <w:rsid w:val="004F7681"/>
    <w:rsid w:val="004F785B"/>
    <w:rsid w:val="005003B7"/>
    <w:rsid w:val="00500861"/>
    <w:rsid w:val="00500B61"/>
    <w:rsid w:val="00500BB8"/>
    <w:rsid w:val="0050104C"/>
    <w:rsid w:val="00501308"/>
    <w:rsid w:val="005018B2"/>
    <w:rsid w:val="0050225A"/>
    <w:rsid w:val="005023A3"/>
    <w:rsid w:val="005027DD"/>
    <w:rsid w:val="00502BBE"/>
    <w:rsid w:val="00502BD4"/>
    <w:rsid w:val="0050316C"/>
    <w:rsid w:val="005032FB"/>
    <w:rsid w:val="0050402B"/>
    <w:rsid w:val="005040CE"/>
    <w:rsid w:val="00504A64"/>
    <w:rsid w:val="00504AEE"/>
    <w:rsid w:val="00504D55"/>
    <w:rsid w:val="00505289"/>
    <w:rsid w:val="005063FF"/>
    <w:rsid w:val="0050688F"/>
    <w:rsid w:val="0050725B"/>
    <w:rsid w:val="0050740C"/>
    <w:rsid w:val="0050749B"/>
    <w:rsid w:val="00507517"/>
    <w:rsid w:val="0050752C"/>
    <w:rsid w:val="005078B7"/>
    <w:rsid w:val="00507C6D"/>
    <w:rsid w:val="00507ED4"/>
    <w:rsid w:val="00510846"/>
    <w:rsid w:val="00510D54"/>
    <w:rsid w:val="00511256"/>
    <w:rsid w:val="0051139D"/>
    <w:rsid w:val="00511BD0"/>
    <w:rsid w:val="00512046"/>
    <w:rsid w:val="005126A5"/>
    <w:rsid w:val="0051284C"/>
    <w:rsid w:val="00512AD4"/>
    <w:rsid w:val="00512E34"/>
    <w:rsid w:val="00513076"/>
    <w:rsid w:val="00513E3E"/>
    <w:rsid w:val="00513F9E"/>
    <w:rsid w:val="0051431C"/>
    <w:rsid w:val="0051460D"/>
    <w:rsid w:val="0051535A"/>
    <w:rsid w:val="005153A2"/>
    <w:rsid w:val="005156FA"/>
    <w:rsid w:val="00515D58"/>
    <w:rsid w:val="00515EEF"/>
    <w:rsid w:val="00516290"/>
    <w:rsid w:val="00516299"/>
    <w:rsid w:val="00516AA7"/>
    <w:rsid w:val="0051707E"/>
    <w:rsid w:val="0051721D"/>
    <w:rsid w:val="00517666"/>
    <w:rsid w:val="005177C4"/>
    <w:rsid w:val="005179B9"/>
    <w:rsid w:val="00517A17"/>
    <w:rsid w:val="00517E29"/>
    <w:rsid w:val="00520D4C"/>
    <w:rsid w:val="0052103D"/>
    <w:rsid w:val="00521546"/>
    <w:rsid w:val="00521791"/>
    <w:rsid w:val="0052182D"/>
    <w:rsid w:val="0052203F"/>
    <w:rsid w:val="00522337"/>
    <w:rsid w:val="00522532"/>
    <w:rsid w:val="005226C1"/>
    <w:rsid w:val="005228A9"/>
    <w:rsid w:val="00522C25"/>
    <w:rsid w:val="005234BD"/>
    <w:rsid w:val="00523B8E"/>
    <w:rsid w:val="00523D2C"/>
    <w:rsid w:val="005240AA"/>
    <w:rsid w:val="005249FB"/>
    <w:rsid w:val="005255AC"/>
    <w:rsid w:val="00525AA4"/>
    <w:rsid w:val="005269A3"/>
    <w:rsid w:val="00526F57"/>
    <w:rsid w:val="00527001"/>
    <w:rsid w:val="00527239"/>
    <w:rsid w:val="00527A24"/>
    <w:rsid w:val="00527CA1"/>
    <w:rsid w:val="0053037C"/>
    <w:rsid w:val="005304B1"/>
    <w:rsid w:val="005304F6"/>
    <w:rsid w:val="00530B3E"/>
    <w:rsid w:val="00531138"/>
    <w:rsid w:val="005313F8"/>
    <w:rsid w:val="00531DBB"/>
    <w:rsid w:val="00531E7E"/>
    <w:rsid w:val="00532135"/>
    <w:rsid w:val="00532516"/>
    <w:rsid w:val="00532750"/>
    <w:rsid w:val="00533041"/>
    <w:rsid w:val="0053325F"/>
    <w:rsid w:val="005335C8"/>
    <w:rsid w:val="00533686"/>
    <w:rsid w:val="00533828"/>
    <w:rsid w:val="00533D30"/>
    <w:rsid w:val="00533D68"/>
    <w:rsid w:val="0053400D"/>
    <w:rsid w:val="00534B12"/>
    <w:rsid w:val="005350CB"/>
    <w:rsid w:val="005355D3"/>
    <w:rsid w:val="00535BFF"/>
    <w:rsid w:val="00537517"/>
    <w:rsid w:val="005379A7"/>
    <w:rsid w:val="00537B41"/>
    <w:rsid w:val="005400E8"/>
    <w:rsid w:val="00540AE4"/>
    <w:rsid w:val="00540B5A"/>
    <w:rsid w:val="005410F7"/>
    <w:rsid w:val="005417C4"/>
    <w:rsid w:val="0054198C"/>
    <w:rsid w:val="00542D1A"/>
    <w:rsid w:val="00543923"/>
    <w:rsid w:val="005439ED"/>
    <w:rsid w:val="00543DEA"/>
    <w:rsid w:val="00543ED3"/>
    <w:rsid w:val="00544822"/>
    <w:rsid w:val="00544980"/>
    <w:rsid w:val="00544B01"/>
    <w:rsid w:val="00544B4C"/>
    <w:rsid w:val="00544DB5"/>
    <w:rsid w:val="00545493"/>
    <w:rsid w:val="00545F44"/>
    <w:rsid w:val="00546B44"/>
    <w:rsid w:val="005471E9"/>
    <w:rsid w:val="00547298"/>
    <w:rsid w:val="00547E34"/>
    <w:rsid w:val="005501FB"/>
    <w:rsid w:val="00550381"/>
    <w:rsid w:val="00550568"/>
    <w:rsid w:val="005508E9"/>
    <w:rsid w:val="00550AFF"/>
    <w:rsid w:val="00550BDC"/>
    <w:rsid w:val="005519FD"/>
    <w:rsid w:val="00551B65"/>
    <w:rsid w:val="00551F5D"/>
    <w:rsid w:val="005520EF"/>
    <w:rsid w:val="00552352"/>
    <w:rsid w:val="005526BC"/>
    <w:rsid w:val="00552861"/>
    <w:rsid w:val="005532C6"/>
    <w:rsid w:val="00553549"/>
    <w:rsid w:val="00553951"/>
    <w:rsid w:val="00553C71"/>
    <w:rsid w:val="00554B94"/>
    <w:rsid w:val="00554EAF"/>
    <w:rsid w:val="0055523C"/>
    <w:rsid w:val="00556A9C"/>
    <w:rsid w:val="00556E9C"/>
    <w:rsid w:val="00556EB9"/>
    <w:rsid w:val="00556F69"/>
    <w:rsid w:val="0055790B"/>
    <w:rsid w:val="00557E24"/>
    <w:rsid w:val="005600A5"/>
    <w:rsid w:val="005607BC"/>
    <w:rsid w:val="00560948"/>
    <w:rsid w:val="00561085"/>
    <w:rsid w:val="00561416"/>
    <w:rsid w:val="005616A3"/>
    <w:rsid w:val="005619F6"/>
    <w:rsid w:val="00561DC3"/>
    <w:rsid w:val="005621B1"/>
    <w:rsid w:val="005626FC"/>
    <w:rsid w:val="00562C1F"/>
    <w:rsid w:val="00562CA9"/>
    <w:rsid w:val="00562DF3"/>
    <w:rsid w:val="00563B3E"/>
    <w:rsid w:val="00563B4B"/>
    <w:rsid w:val="005654B0"/>
    <w:rsid w:val="00565DB8"/>
    <w:rsid w:val="00566188"/>
    <w:rsid w:val="005664BB"/>
    <w:rsid w:val="005664E6"/>
    <w:rsid w:val="00566AC8"/>
    <w:rsid w:val="00566BD2"/>
    <w:rsid w:val="00567D7E"/>
    <w:rsid w:val="005703A2"/>
    <w:rsid w:val="00570468"/>
    <w:rsid w:val="0057076A"/>
    <w:rsid w:val="005707FF"/>
    <w:rsid w:val="005717A8"/>
    <w:rsid w:val="00571907"/>
    <w:rsid w:val="00571CA1"/>
    <w:rsid w:val="0057230E"/>
    <w:rsid w:val="0057246C"/>
    <w:rsid w:val="005725F3"/>
    <w:rsid w:val="00572E2B"/>
    <w:rsid w:val="00572FD0"/>
    <w:rsid w:val="005730C1"/>
    <w:rsid w:val="00573548"/>
    <w:rsid w:val="00573B94"/>
    <w:rsid w:val="00573D4E"/>
    <w:rsid w:val="00573DA3"/>
    <w:rsid w:val="00573DDC"/>
    <w:rsid w:val="005746F8"/>
    <w:rsid w:val="00574C02"/>
    <w:rsid w:val="00575530"/>
    <w:rsid w:val="005757E7"/>
    <w:rsid w:val="00575977"/>
    <w:rsid w:val="005759E8"/>
    <w:rsid w:val="00575CC9"/>
    <w:rsid w:val="00576154"/>
    <w:rsid w:val="00576601"/>
    <w:rsid w:val="0057671C"/>
    <w:rsid w:val="0057702A"/>
    <w:rsid w:val="00577899"/>
    <w:rsid w:val="00577FD2"/>
    <w:rsid w:val="00580299"/>
    <w:rsid w:val="005802E9"/>
    <w:rsid w:val="00580492"/>
    <w:rsid w:val="005805CE"/>
    <w:rsid w:val="00580A4E"/>
    <w:rsid w:val="00581500"/>
    <w:rsid w:val="00581B09"/>
    <w:rsid w:val="00581D8A"/>
    <w:rsid w:val="00581E7E"/>
    <w:rsid w:val="00581EE0"/>
    <w:rsid w:val="00582378"/>
    <w:rsid w:val="005829F8"/>
    <w:rsid w:val="00582F3B"/>
    <w:rsid w:val="00582F43"/>
    <w:rsid w:val="00583A59"/>
    <w:rsid w:val="00583AC4"/>
    <w:rsid w:val="00583E6A"/>
    <w:rsid w:val="00584133"/>
    <w:rsid w:val="00584137"/>
    <w:rsid w:val="0058510A"/>
    <w:rsid w:val="005854B1"/>
    <w:rsid w:val="00585760"/>
    <w:rsid w:val="0058593B"/>
    <w:rsid w:val="00586909"/>
    <w:rsid w:val="00586D3E"/>
    <w:rsid w:val="00590363"/>
    <w:rsid w:val="00590DBE"/>
    <w:rsid w:val="005916A2"/>
    <w:rsid w:val="00591F4B"/>
    <w:rsid w:val="005920FB"/>
    <w:rsid w:val="00592200"/>
    <w:rsid w:val="00592286"/>
    <w:rsid w:val="005925B9"/>
    <w:rsid w:val="005931CF"/>
    <w:rsid w:val="005932DB"/>
    <w:rsid w:val="00593E9B"/>
    <w:rsid w:val="00593F1F"/>
    <w:rsid w:val="00594234"/>
    <w:rsid w:val="005942BC"/>
    <w:rsid w:val="005945E6"/>
    <w:rsid w:val="00594A5A"/>
    <w:rsid w:val="00594E85"/>
    <w:rsid w:val="005951B7"/>
    <w:rsid w:val="00595433"/>
    <w:rsid w:val="00595565"/>
    <w:rsid w:val="0059559B"/>
    <w:rsid w:val="00595ABD"/>
    <w:rsid w:val="00595B6B"/>
    <w:rsid w:val="005962E6"/>
    <w:rsid w:val="00596B7F"/>
    <w:rsid w:val="00596EBA"/>
    <w:rsid w:val="00597CA9"/>
    <w:rsid w:val="00597CCE"/>
    <w:rsid w:val="00597F54"/>
    <w:rsid w:val="005A05FC"/>
    <w:rsid w:val="005A0B2D"/>
    <w:rsid w:val="005A16E8"/>
    <w:rsid w:val="005A17E9"/>
    <w:rsid w:val="005A196A"/>
    <w:rsid w:val="005A1C3E"/>
    <w:rsid w:val="005A1DD5"/>
    <w:rsid w:val="005A2178"/>
    <w:rsid w:val="005A239D"/>
    <w:rsid w:val="005A27F3"/>
    <w:rsid w:val="005A29CB"/>
    <w:rsid w:val="005A2B75"/>
    <w:rsid w:val="005A2C66"/>
    <w:rsid w:val="005A3093"/>
    <w:rsid w:val="005A3244"/>
    <w:rsid w:val="005A3B9C"/>
    <w:rsid w:val="005A3BF4"/>
    <w:rsid w:val="005A4409"/>
    <w:rsid w:val="005A4CDC"/>
    <w:rsid w:val="005A4EE4"/>
    <w:rsid w:val="005A684C"/>
    <w:rsid w:val="005A76F4"/>
    <w:rsid w:val="005A7D03"/>
    <w:rsid w:val="005A7F02"/>
    <w:rsid w:val="005A7FFA"/>
    <w:rsid w:val="005B001D"/>
    <w:rsid w:val="005B07D6"/>
    <w:rsid w:val="005B10E9"/>
    <w:rsid w:val="005B1371"/>
    <w:rsid w:val="005B163C"/>
    <w:rsid w:val="005B1AF1"/>
    <w:rsid w:val="005B230F"/>
    <w:rsid w:val="005B259A"/>
    <w:rsid w:val="005B2BC6"/>
    <w:rsid w:val="005B2FA2"/>
    <w:rsid w:val="005B3434"/>
    <w:rsid w:val="005B34BB"/>
    <w:rsid w:val="005B354C"/>
    <w:rsid w:val="005B44F0"/>
    <w:rsid w:val="005B4A01"/>
    <w:rsid w:val="005B4F01"/>
    <w:rsid w:val="005B566C"/>
    <w:rsid w:val="005B5CC7"/>
    <w:rsid w:val="005B5D65"/>
    <w:rsid w:val="005B5F87"/>
    <w:rsid w:val="005B66F7"/>
    <w:rsid w:val="005B7035"/>
    <w:rsid w:val="005B71E4"/>
    <w:rsid w:val="005B7C1E"/>
    <w:rsid w:val="005B7E0D"/>
    <w:rsid w:val="005C0B1F"/>
    <w:rsid w:val="005C1097"/>
    <w:rsid w:val="005C1648"/>
    <w:rsid w:val="005C16D9"/>
    <w:rsid w:val="005C1CD8"/>
    <w:rsid w:val="005C1CF2"/>
    <w:rsid w:val="005C2064"/>
    <w:rsid w:val="005C24CC"/>
    <w:rsid w:val="005C24D8"/>
    <w:rsid w:val="005C3452"/>
    <w:rsid w:val="005C373A"/>
    <w:rsid w:val="005C3799"/>
    <w:rsid w:val="005C38FC"/>
    <w:rsid w:val="005C3957"/>
    <w:rsid w:val="005C3BF3"/>
    <w:rsid w:val="005C3D2D"/>
    <w:rsid w:val="005C43F3"/>
    <w:rsid w:val="005C4561"/>
    <w:rsid w:val="005C4690"/>
    <w:rsid w:val="005C46CB"/>
    <w:rsid w:val="005C4D16"/>
    <w:rsid w:val="005C4EC5"/>
    <w:rsid w:val="005C563C"/>
    <w:rsid w:val="005C5CC0"/>
    <w:rsid w:val="005C5D28"/>
    <w:rsid w:val="005C60F7"/>
    <w:rsid w:val="005C6726"/>
    <w:rsid w:val="005C68E7"/>
    <w:rsid w:val="005C772C"/>
    <w:rsid w:val="005D06FC"/>
    <w:rsid w:val="005D0C34"/>
    <w:rsid w:val="005D0CE3"/>
    <w:rsid w:val="005D1290"/>
    <w:rsid w:val="005D1B69"/>
    <w:rsid w:val="005D26AF"/>
    <w:rsid w:val="005D26B3"/>
    <w:rsid w:val="005D2964"/>
    <w:rsid w:val="005D2E0A"/>
    <w:rsid w:val="005D3022"/>
    <w:rsid w:val="005D3381"/>
    <w:rsid w:val="005D3899"/>
    <w:rsid w:val="005D3BFE"/>
    <w:rsid w:val="005D3E2E"/>
    <w:rsid w:val="005D3F0F"/>
    <w:rsid w:val="005D4301"/>
    <w:rsid w:val="005D465B"/>
    <w:rsid w:val="005D59F2"/>
    <w:rsid w:val="005D5B7D"/>
    <w:rsid w:val="005D5F63"/>
    <w:rsid w:val="005D69D6"/>
    <w:rsid w:val="005D6D8B"/>
    <w:rsid w:val="005D71FC"/>
    <w:rsid w:val="005D7337"/>
    <w:rsid w:val="005D7771"/>
    <w:rsid w:val="005D7EC6"/>
    <w:rsid w:val="005E00E7"/>
    <w:rsid w:val="005E03CA"/>
    <w:rsid w:val="005E06D1"/>
    <w:rsid w:val="005E0C5A"/>
    <w:rsid w:val="005E0FEE"/>
    <w:rsid w:val="005E108B"/>
    <w:rsid w:val="005E127B"/>
    <w:rsid w:val="005E13FE"/>
    <w:rsid w:val="005E203F"/>
    <w:rsid w:val="005E3281"/>
    <w:rsid w:val="005E3506"/>
    <w:rsid w:val="005E3559"/>
    <w:rsid w:val="005E43B6"/>
    <w:rsid w:val="005E4A79"/>
    <w:rsid w:val="005E4DFD"/>
    <w:rsid w:val="005E59F3"/>
    <w:rsid w:val="005E5DD2"/>
    <w:rsid w:val="005E5DF3"/>
    <w:rsid w:val="005E637F"/>
    <w:rsid w:val="005E668D"/>
    <w:rsid w:val="005E701E"/>
    <w:rsid w:val="005E7151"/>
    <w:rsid w:val="005E71F8"/>
    <w:rsid w:val="005F0B37"/>
    <w:rsid w:val="005F0F38"/>
    <w:rsid w:val="005F11D9"/>
    <w:rsid w:val="005F121E"/>
    <w:rsid w:val="005F1FBD"/>
    <w:rsid w:val="005F2824"/>
    <w:rsid w:val="005F3377"/>
    <w:rsid w:val="005F33FF"/>
    <w:rsid w:val="005F3F34"/>
    <w:rsid w:val="005F4041"/>
    <w:rsid w:val="005F46E1"/>
    <w:rsid w:val="005F48EA"/>
    <w:rsid w:val="005F49C9"/>
    <w:rsid w:val="005F4C35"/>
    <w:rsid w:val="005F551D"/>
    <w:rsid w:val="005F57BF"/>
    <w:rsid w:val="005F5F6C"/>
    <w:rsid w:val="005F662D"/>
    <w:rsid w:val="005F681D"/>
    <w:rsid w:val="005F6EE6"/>
    <w:rsid w:val="005F6F7E"/>
    <w:rsid w:val="005F6FBA"/>
    <w:rsid w:val="005F7E61"/>
    <w:rsid w:val="00600A89"/>
    <w:rsid w:val="006019AA"/>
    <w:rsid w:val="006022E9"/>
    <w:rsid w:val="006024CD"/>
    <w:rsid w:val="006025AD"/>
    <w:rsid w:val="00602618"/>
    <w:rsid w:val="0060265A"/>
    <w:rsid w:val="006026C4"/>
    <w:rsid w:val="00603208"/>
    <w:rsid w:val="00603291"/>
    <w:rsid w:val="006032B0"/>
    <w:rsid w:val="006037AB"/>
    <w:rsid w:val="00603BAF"/>
    <w:rsid w:val="00603CFB"/>
    <w:rsid w:val="00603FCB"/>
    <w:rsid w:val="006049E9"/>
    <w:rsid w:val="00604AEB"/>
    <w:rsid w:val="00604C07"/>
    <w:rsid w:val="00604F93"/>
    <w:rsid w:val="006054FA"/>
    <w:rsid w:val="00605E45"/>
    <w:rsid w:val="00606283"/>
    <w:rsid w:val="00606470"/>
    <w:rsid w:val="00606641"/>
    <w:rsid w:val="0060673A"/>
    <w:rsid w:val="006069F0"/>
    <w:rsid w:val="00606D2F"/>
    <w:rsid w:val="006070DA"/>
    <w:rsid w:val="00607210"/>
    <w:rsid w:val="00607AD8"/>
    <w:rsid w:val="00607C45"/>
    <w:rsid w:val="00607EA7"/>
    <w:rsid w:val="0061040D"/>
    <w:rsid w:val="0061044F"/>
    <w:rsid w:val="00610FDB"/>
    <w:rsid w:val="00611417"/>
    <w:rsid w:val="0061149E"/>
    <w:rsid w:val="00611601"/>
    <w:rsid w:val="0061174B"/>
    <w:rsid w:val="00611A55"/>
    <w:rsid w:val="00611B87"/>
    <w:rsid w:val="0061304B"/>
    <w:rsid w:val="006134B5"/>
    <w:rsid w:val="0061360E"/>
    <w:rsid w:val="0061373D"/>
    <w:rsid w:val="0061382F"/>
    <w:rsid w:val="00613983"/>
    <w:rsid w:val="006140B5"/>
    <w:rsid w:val="0061458D"/>
    <w:rsid w:val="006146B8"/>
    <w:rsid w:val="00614843"/>
    <w:rsid w:val="00614BE9"/>
    <w:rsid w:val="00614D79"/>
    <w:rsid w:val="00614DC7"/>
    <w:rsid w:val="006151D0"/>
    <w:rsid w:val="00615A95"/>
    <w:rsid w:val="00615E36"/>
    <w:rsid w:val="00615F39"/>
    <w:rsid w:val="006169D4"/>
    <w:rsid w:val="00616FFB"/>
    <w:rsid w:val="00617078"/>
    <w:rsid w:val="00617681"/>
    <w:rsid w:val="00617C3F"/>
    <w:rsid w:val="00617E73"/>
    <w:rsid w:val="00617FD2"/>
    <w:rsid w:val="00620BDA"/>
    <w:rsid w:val="00620DB6"/>
    <w:rsid w:val="00621075"/>
    <w:rsid w:val="00621A02"/>
    <w:rsid w:val="00622834"/>
    <w:rsid w:val="006231B3"/>
    <w:rsid w:val="0062330D"/>
    <w:rsid w:val="0062475D"/>
    <w:rsid w:val="0062490B"/>
    <w:rsid w:val="00624B15"/>
    <w:rsid w:val="0062530C"/>
    <w:rsid w:val="00625395"/>
    <w:rsid w:val="00625422"/>
    <w:rsid w:val="0062566F"/>
    <w:rsid w:val="00625895"/>
    <w:rsid w:val="006259A3"/>
    <w:rsid w:val="00625D4C"/>
    <w:rsid w:val="00626196"/>
    <w:rsid w:val="00626334"/>
    <w:rsid w:val="0062645B"/>
    <w:rsid w:val="00626D00"/>
    <w:rsid w:val="00627117"/>
    <w:rsid w:val="00627600"/>
    <w:rsid w:val="00627B1A"/>
    <w:rsid w:val="00627CBC"/>
    <w:rsid w:val="00630610"/>
    <w:rsid w:val="006309A2"/>
    <w:rsid w:val="00630D90"/>
    <w:rsid w:val="006315AF"/>
    <w:rsid w:val="00631A1B"/>
    <w:rsid w:val="0063217C"/>
    <w:rsid w:val="006323A4"/>
    <w:rsid w:val="00632416"/>
    <w:rsid w:val="00632551"/>
    <w:rsid w:val="00632630"/>
    <w:rsid w:val="00632750"/>
    <w:rsid w:val="00633526"/>
    <w:rsid w:val="00633B50"/>
    <w:rsid w:val="00634148"/>
    <w:rsid w:val="00634505"/>
    <w:rsid w:val="006348A8"/>
    <w:rsid w:val="00634C88"/>
    <w:rsid w:val="00635119"/>
    <w:rsid w:val="006357E9"/>
    <w:rsid w:val="00635B44"/>
    <w:rsid w:val="00635C1A"/>
    <w:rsid w:val="00635D0E"/>
    <w:rsid w:val="00635FC9"/>
    <w:rsid w:val="006366A6"/>
    <w:rsid w:val="00636C40"/>
    <w:rsid w:val="006375E2"/>
    <w:rsid w:val="00637CB4"/>
    <w:rsid w:val="00637D64"/>
    <w:rsid w:val="0064036A"/>
    <w:rsid w:val="00640536"/>
    <w:rsid w:val="0064074E"/>
    <w:rsid w:val="0064093E"/>
    <w:rsid w:val="00640D04"/>
    <w:rsid w:val="006410AA"/>
    <w:rsid w:val="006413C3"/>
    <w:rsid w:val="00641D26"/>
    <w:rsid w:val="0064267F"/>
    <w:rsid w:val="00642685"/>
    <w:rsid w:val="006426A2"/>
    <w:rsid w:val="0064274C"/>
    <w:rsid w:val="00642C6F"/>
    <w:rsid w:val="00642CB2"/>
    <w:rsid w:val="00643309"/>
    <w:rsid w:val="0064398C"/>
    <w:rsid w:val="0064417C"/>
    <w:rsid w:val="00644A22"/>
    <w:rsid w:val="00644AC1"/>
    <w:rsid w:val="00645091"/>
    <w:rsid w:val="00645179"/>
    <w:rsid w:val="00645274"/>
    <w:rsid w:val="00646B9B"/>
    <w:rsid w:val="006471C6"/>
    <w:rsid w:val="00647633"/>
    <w:rsid w:val="00647CEC"/>
    <w:rsid w:val="0065000F"/>
    <w:rsid w:val="006505F4"/>
    <w:rsid w:val="006505FA"/>
    <w:rsid w:val="00650632"/>
    <w:rsid w:val="0065065A"/>
    <w:rsid w:val="006510D1"/>
    <w:rsid w:val="0065114C"/>
    <w:rsid w:val="00651553"/>
    <w:rsid w:val="00651674"/>
    <w:rsid w:val="006516AA"/>
    <w:rsid w:val="00651997"/>
    <w:rsid w:val="00651E58"/>
    <w:rsid w:val="00651E94"/>
    <w:rsid w:val="00652352"/>
    <w:rsid w:val="00652B47"/>
    <w:rsid w:val="00652FBD"/>
    <w:rsid w:val="00653566"/>
    <w:rsid w:val="00653CB7"/>
    <w:rsid w:val="00653DEA"/>
    <w:rsid w:val="006544A5"/>
    <w:rsid w:val="0065537A"/>
    <w:rsid w:val="00655590"/>
    <w:rsid w:val="00655AA0"/>
    <w:rsid w:val="00655D3A"/>
    <w:rsid w:val="00656051"/>
    <w:rsid w:val="00656071"/>
    <w:rsid w:val="0065666F"/>
    <w:rsid w:val="006566C1"/>
    <w:rsid w:val="006567BF"/>
    <w:rsid w:val="00656B05"/>
    <w:rsid w:val="00656CA2"/>
    <w:rsid w:val="006576BC"/>
    <w:rsid w:val="00657A1F"/>
    <w:rsid w:val="00657BE3"/>
    <w:rsid w:val="00660EF4"/>
    <w:rsid w:val="0066191B"/>
    <w:rsid w:val="00661A8A"/>
    <w:rsid w:val="006620A0"/>
    <w:rsid w:val="0066339F"/>
    <w:rsid w:val="00663483"/>
    <w:rsid w:val="00663C14"/>
    <w:rsid w:val="00663F6B"/>
    <w:rsid w:val="00664519"/>
    <w:rsid w:val="0066461E"/>
    <w:rsid w:val="00664668"/>
    <w:rsid w:val="00664720"/>
    <w:rsid w:val="00664CC8"/>
    <w:rsid w:val="00665317"/>
    <w:rsid w:val="006657DA"/>
    <w:rsid w:val="00665824"/>
    <w:rsid w:val="00666241"/>
    <w:rsid w:val="0066644E"/>
    <w:rsid w:val="00666984"/>
    <w:rsid w:val="00666B16"/>
    <w:rsid w:val="006671AE"/>
    <w:rsid w:val="006672AD"/>
    <w:rsid w:val="006675A7"/>
    <w:rsid w:val="006675BF"/>
    <w:rsid w:val="00667B4C"/>
    <w:rsid w:val="006700E4"/>
    <w:rsid w:val="0067021C"/>
    <w:rsid w:val="006702B2"/>
    <w:rsid w:val="00670624"/>
    <w:rsid w:val="0067097D"/>
    <w:rsid w:val="0067098A"/>
    <w:rsid w:val="00670CA0"/>
    <w:rsid w:val="00670DAA"/>
    <w:rsid w:val="00671CFE"/>
    <w:rsid w:val="00671D46"/>
    <w:rsid w:val="0067249E"/>
    <w:rsid w:val="00672801"/>
    <w:rsid w:val="00672946"/>
    <w:rsid w:val="00672CCC"/>
    <w:rsid w:val="006733D8"/>
    <w:rsid w:val="00673550"/>
    <w:rsid w:val="00673C7B"/>
    <w:rsid w:val="00674C41"/>
    <w:rsid w:val="00675110"/>
    <w:rsid w:val="00675C3C"/>
    <w:rsid w:val="00676192"/>
    <w:rsid w:val="006765A3"/>
    <w:rsid w:val="00676FA2"/>
    <w:rsid w:val="00676FB9"/>
    <w:rsid w:val="00676FEC"/>
    <w:rsid w:val="006774F8"/>
    <w:rsid w:val="00677AA2"/>
    <w:rsid w:val="00677C28"/>
    <w:rsid w:val="00680D22"/>
    <w:rsid w:val="00681253"/>
    <w:rsid w:val="00681509"/>
    <w:rsid w:val="00681704"/>
    <w:rsid w:val="00682283"/>
    <w:rsid w:val="00682595"/>
    <w:rsid w:val="006838BA"/>
    <w:rsid w:val="00683CDB"/>
    <w:rsid w:val="00684077"/>
    <w:rsid w:val="006840B9"/>
    <w:rsid w:val="006844C6"/>
    <w:rsid w:val="00684EFC"/>
    <w:rsid w:val="00684F1F"/>
    <w:rsid w:val="006855DB"/>
    <w:rsid w:val="00685C74"/>
    <w:rsid w:val="00685FB6"/>
    <w:rsid w:val="00686439"/>
    <w:rsid w:val="00686F8B"/>
    <w:rsid w:val="006872F1"/>
    <w:rsid w:val="00687FA8"/>
    <w:rsid w:val="00690455"/>
    <w:rsid w:val="0069053C"/>
    <w:rsid w:val="00690B09"/>
    <w:rsid w:val="00691B8D"/>
    <w:rsid w:val="00691C18"/>
    <w:rsid w:val="00691EA6"/>
    <w:rsid w:val="00691F12"/>
    <w:rsid w:val="0069339C"/>
    <w:rsid w:val="00693E29"/>
    <w:rsid w:val="00693EF7"/>
    <w:rsid w:val="006945BE"/>
    <w:rsid w:val="0069483B"/>
    <w:rsid w:val="00695653"/>
    <w:rsid w:val="006957E2"/>
    <w:rsid w:val="006958B5"/>
    <w:rsid w:val="00695918"/>
    <w:rsid w:val="006960B1"/>
    <w:rsid w:val="0069632E"/>
    <w:rsid w:val="00696EA8"/>
    <w:rsid w:val="00696EEB"/>
    <w:rsid w:val="0069701A"/>
    <w:rsid w:val="006A15C6"/>
    <w:rsid w:val="006A1914"/>
    <w:rsid w:val="006A1B4C"/>
    <w:rsid w:val="006A2982"/>
    <w:rsid w:val="006A320C"/>
    <w:rsid w:val="006A37A7"/>
    <w:rsid w:val="006A37EB"/>
    <w:rsid w:val="006A3942"/>
    <w:rsid w:val="006A3992"/>
    <w:rsid w:val="006A3E1D"/>
    <w:rsid w:val="006A4407"/>
    <w:rsid w:val="006A4B76"/>
    <w:rsid w:val="006A50B0"/>
    <w:rsid w:val="006A53DA"/>
    <w:rsid w:val="006A58E0"/>
    <w:rsid w:val="006A5AD1"/>
    <w:rsid w:val="006A5BCA"/>
    <w:rsid w:val="006A5C22"/>
    <w:rsid w:val="006A5D21"/>
    <w:rsid w:val="006A6234"/>
    <w:rsid w:val="006A6B1A"/>
    <w:rsid w:val="006A7581"/>
    <w:rsid w:val="006A7753"/>
    <w:rsid w:val="006A780B"/>
    <w:rsid w:val="006B08B9"/>
    <w:rsid w:val="006B0B2D"/>
    <w:rsid w:val="006B0BF7"/>
    <w:rsid w:val="006B11E9"/>
    <w:rsid w:val="006B1794"/>
    <w:rsid w:val="006B2039"/>
    <w:rsid w:val="006B39DB"/>
    <w:rsid w:val="006B3B7B"/>
    <w:rsid w:val="006B3D38"/>
    <w:rsid w:val="006B3EDC"/>
    <w:rsid w:val="006B4FE8"/>
    <w:rsid w:val="006B5072"/>
    <w:rsid w:val="006B571C"/>
    <w:rsid w:val="006B6157"/>
    <w:rsid w:val="006B722B"/>
    <w:rsid w:val="006B733F"/>
    <w:rsid w:val="006B7506"/>
    <w:rsid w:val="006B7819"/>
    <w:rsid w:val="006B787B"/>
    <w:rsid w:val="006B7FB4"/>
    <w:rsid w:val="006C067D"/>
    <w:rsid w:val="006C0EDC"/>
    <w:rsid w:val="006C0F27"/>
    <w:rsid w:val="006C17D3"/>
    <w:rsid w:val="006C2648"/>
    <w:rsid w:val="006C2C51"/>
    <w:rsid w:val="006C40DC"/>
    <w:rsid w:val="006C4659"/>
    <w:rsid w:val="006C4756"/>
    <w:rsid w:val="006C4868"/>
    <w:rsid w:val="006C48F7"/>
    <w:rsid w:val="006C4C3E"/>
    <w:rsid w:val="006C5A7B"/>
    <w:rsid w:val="006C5E9A"/>
    <w:rsid w:val="006C67C5"/>
    <w:rsid w:val="006C68F5"/>
    <w:rsid w:val="006C6A0C"/>
    <w:rsid w:val="006C6B68"/>
    <w:rsid w:val="006C77A0"/>
    <w:rsid w:val="006C77F4"/>
    <w:rsid w:val="006C7ED7"/>
    <w:rsid w:val="006D02CE"/>
    <w:rsid w:val="006D04D7"/>
    <w:rsid w:val="006D0645"/>
    <w:rsid w:val="006D0948"/>
    <w:rsid w:val="006D0A72"/>
    <w:rsid w:val="006D0B71"/>
    <w:rsid w:val="006D0B87"/>
    <w:rsid w:val="006D0D6E"/>
    <w:rsid w:val="006D102B"/>
    <w:rsid w:val="006D10A6"/>
    <w:rsid w:val="006D22DE"/>
    <w:rsid w:val="006D27A6"/>
    <w:rsid w:val="006D2A95"/>
    <w:rsid w:val="006D300E"/>
    <w:rsid w:val="006D3171"/>
    <w:rsid w:val="006D3CD1"/>
    <w:rsid w:val="006D4616"/>
    <w:rsid w:val="006D462C"/>
    <w:rsid w:val="006D4BF2"/>
    <w:rsid w:val="006D4C92"/>
    <w:rsid w:val="006D503B"/>
    <w:rsid w:val="006D54E7"/>
    <w:rsid w:val="006D564B"/>
    <w:rsid w:val="006D5741"/>
    <w:rsid w:val="006D5D8C"/>
    <w:rsid w:val="006D63EF"/>
    <w:rsid w:val="006D6416"/>
    <w:rsid w:val="006D6A13"/>
    <w:rsid w:val="006D6E13"/>
    <w:rsid w:val="006D6E59"/>
    <w:rsid w:val="006D7844"/>
    <w:rsid w:val="006D7CCD"/>
    <w:rsid w:val="006D7D49"/>
    <w:rsid w:val="006E00B6"/>
    <w:rsid w:val="006E02DB"/>
    <w:rsid w:val="006E02DD"/>
    <w:rsid w:val="006E1404"/>
    <w:rsid w:val="006E18B3"/>
    <w:rsid w:val="006E25E8"/>
    <w:rsid w:val="006E277A"/>
    <w:rsid w:val="006E30BD"/>
    <w:rsid w:val="006E3233"/>
    <w:rsid w:val="006E3E6C"/>
    <w:rsid w:val="006E463E"/>
    <w:rsid w:val="006E50B6"/>
    <w:rsid w:val="006E5104"/>
    <w:rsid w:val="006E5A8E"/>
    <w:rsid w:val="006E5FA4"/>
    <w:rsid w:val="006E6966"/>
    <w:rsid w:val="006E69E1"/>
    <w:rsid w:val="006E6E04"/>
    <w:rsid w:val="006E6EA9"/>
    <w:rsid w:val="006E6EEC"/>
    <w:rsid w:val="006E731F"/>
    <w:rsid w:val="006F03AD"/>
    <w:rsid w:val="006F0BBE"/>
    <w:rsid w:val="006F14AC"/>
    <w:rsid w:val="006F16C5"/>
    <w:rsid w:val="006F197B"/>
    <w:rsid w:val="006F1A6F"/>
    <w:rsid w:val="006F1FA9"/>
    <w:rsid w:val="006F296B"/>
    <w:rsid w:val="006F3E13"/>
    <w:rsid w:val="006F3F4C"/>
    <w:rsid w:val="006F41BF"/>
    <w:rsid w:val="006F4234"/>
    <w:rsid w:val="006F4905"/>
    <w:rsid w:val="006F5151"/>
    <w:rsid w:val="006F543D"/>
    <w:rsid w:val="006F59D4"/>
    <w:rsid w:val="006F5A06"/>
    <w:rsid w:val="006F624E"/>
    <w:rsid w:val="006F6398"/>
    <w:rsid w:val="006F680F"/>
    <w:rsid w:val="006F68FF"/>
    <w:rsid w:val="006F771E"/>
    <w:rsid w:val="006F7EC4"/>
    <w:rsid w:val="00700331"/>
    <w:rsid w:val="007004A2"/>
    <w:rsid w:val="007009E6"/>
    <w:rsid w:val="0070118F"/>
    <w:rsid w:val="0070247C"/>
    <w:rsid w:val="00702AB8"/>
    <w:rsid w:val="00703219"/>
    <w:rsid w:val="00703547"/>
    <w:rsid w:val="00703603"/>
    <w:rsid w:val="00703997"/>
    <w:rsid w:val="00703BB7"/>
    <w:rsid w:val="00703BFB"/>
    <w:rsid w:val="00703D4E"/>
    <w:rsid w:val="00704215"/>
    <w:rsid w:val="0070456A"/>
    <w:rsid w:val="00704939"/>
    <w:rsid w:val="00704D45"/>
    <w:rsid w:val="007054AC"/>
    <w:rsid w:val="007057BB"/>
    <w:rsid w:val="00705FEA"/>
    <w:rsid w:val="007071F9"/>
    <w:rsid w:val="00707266"/>
    <w:rsid w:val="007073FB"/>
    <w:rsid w:val="007076A5"/>
    <w:rsid w:val="00707712"/>
    <w:rsid w:val="007079A9"/>
    <w:rsid w:val="007101BB"/>
    <w:rsid w:val="0071028D"/>
    <w:rsid w:val="007105C3"/>
    <w:rsid w:val="00710772"/>
    <w:rsid w:val="00710E78"/>
    <w:rsid w:val="00711548"/>
    <w:rsid w:val="007116B7"/>
    <w:rsid w:val="00711B03"/>
    <w:rsid w:val="00711C92"/>
    <w:rsid w:val="00711D7A"/>
    <w:rsid w:val="0071229E"/>
    <w:rsid w:val="007124AC"/>
    <w:rsid w:val="0071279F"/>
    <w:rsid w:val="0071289D"/>
    <w:rsid w:val="00712D4C"/>
    <w:rsid w:val="0071337C"/>
    <w:rsid w:val="0071344C"/>
    <w:rsid w:val="00713BB2"/>
    <w:rsid w:val="00714B71"/>
    <w:rsid w:val="007152C8"/>
    <w:rsid w:val="007153DB"/>
    <w:rsid w:val="00715643"/>
    <w:rsid w:val="0071687F"/>
    <w:rsid w:val="00716D99"/>
    <w:rsid w:val="00720962"/>
    <w:rsid w:val="00720ADB"/>
    <w:rsid w:val="00721145"/>
    <w:rsid w:val="0072116B"/>
    <w:rsid w:val="007215BD"/>
    <w:rsid w:val="00721620"/>
    <w:rsid w:val="0072255C"/>
    <w:rsid w:val="00722609"/>
    <w:rsid w:val="007234B0"/>
    <w:rsid w:val="0072369A"/>
    <w:rsid w:val="00723D79"/>
    <w:rsid w:val="007244A8"/>
    <w:rsid w:val="007244F1"/>
    <w:rsid w:val="00724649"/>
    <w:rsid w:val="00724884"/>
    <w:rsid w:val="00726941"/>
    <w:rsid w:val="00726B3C"/>
    <w:rsid w:val="00727233"/>
    <w:rsid w:val="00727250"/>
    <w:rsid w:val="00727396"/>
    <w:rsid w:val="0072795B"/>
    <w:rsid w:val="00727B74"/>
    <w:rsid w:val="00727DC9"/>
    <w:rsid w:val="00727EF1"/>
    <w:rsid w:val="007300DA"/>
    <w:rsid w:val="00730616"/>
    <w:rsid w:val="00730E0A"/>
    <w:rsid w:val="00731321"/>
    <w:rsid w:val="00731583"/>
    <w:rsid w:val="00732931"/>
    <w:rsid w:val="00733431"/>
    <w:rsid w:val="00733520"/>
    <w:rsid w:val="00734420"/>
    <w:rsid w:val="007345C4"/>
    <w:rsid w:val="007346A9"/>
    <w:rsid w:val="00734700"/>
    <w:rsid w:val="00735042"/>
    <w:rsid w:val="0073568C"/>
    <w:rsid w:val="00735FCC"/>
    <w:rsid w:val="007362A3"/>
    <w:rsid w:val="007365B3"/>
    <w:rsid w:val="007366AF"/>
    <w:rsid w:val="00736854"/>
    <w:rsid w:val="00737D39"/>
    <w:rsid w:val="00740081"/>
    <w:rsid w:val="007405C4"/>
    <w:rsid w:val="007425AD"/>
    <w:rsid w:val="007428C9"/>
    <w:rsid w:val="0074298A"/>
    <w:rsid w:val="00742C72"/>
    <w:rsid w:val="0074356A"/>
    <w:rsid w:val="00744C09"/>
    <w:rsid w:val="0074526C"/>
    <w:rsid w:val="007459A8"/>
    <w:rsid w:val="00746327"/>
    <w:rsid w:val="00746372"/>
    <w:rsid w:val="00746455"/>
    <w:rsid w:val="00746547"/>
    <w:rsid w:val="00746774"/>
    <w:rsid w:val="00746915"/>
    <w:rsid w:val="00746D3C"/>
    <w:rsid w:val="00746E70"/>
    <w:rsid w:val="00746F19"/>
    <w:rsid w:val="007471F6"/>
    <w:rsid w:val="0074727F"/>
    <w:rsid w:val="00747805"/>
    <w:rsid w:val="007503B5"/>
    <w:rsid w:val="007504DC"/>
    <w:rsid w:val="00750D90"/>
    <w:rsid w:val="007510E0"/>
    <w:rsid w:val="007513BE"/>
    <w:rsid w:val="0075183B"/>
    <w:rsid w:val="00751C89"/>
    <w:rsid w:val="00752E34"/>
    <w:rsid w:val="00752F7A"/>
    <w:rsid w:val="00753045"/>
    <w:rsid w:val="00753149"/>
    <w:rsid w:val="00753C46"/>
    <w:rsid w:val="00754376"/>
    <w:rsid w:val="00754526"/>
    <w:rsid w:val="0075470D"/>
    <w:rsid w:val="0075486A"/>
    <w:rsid w:val="00754DC2"/>
    <w:rsid w:val="00755084"/>
    <w:rsid w:val="007552E0"/>
    <w:rsid w:val="00755525"/>
    <w:rsid w:val="00755AEE"/>
    <w:rsid w:val="00755D71"/>
    <w:rsid w:val="00755D87"/>
    <w:rsid w:val="00756142"/>
    <w:rsid w:val="007561B3"/>
    <w:rsid w:val="0075638B"/>
    <w:rsid w:val="007565F2"/>
    <w:rsid w:val="00756662"/>
    <w:rsid w:val="007566DA"/>
    <w:rsid w:val="007566FB"/>
    <w:rsid w:val="00756BFE"/>
    <w:rsid w:val="00756E99"/>
    <w:rsid w:val="007570B5"/>
    <w:rsid w:val="007570FC"/>
    <w:rsid w:val="0075733C"/>
    <w:rsid w:val="00757A0A"/>
    <w:rsid w:val="00760326"/>
    <w:rsid w:val="0076062B"/>
    <w:rsid w:val="007607AE"/>
    <w:rsid w:val="00760FDF"/>
    <w:rsid w:val="00761728"/>
    <w:rsid w:val="007618BE"/>
    <w:rsid w:val="00761D52"/>
    <w:rsid w:val="00762A3D"/>
    <w:rsid w:val="00762F7A"/>
    <w:rsid w:val="0076317D"/>
    <w:rsid w:val="00763736"/>
    <w:rsid w:val="00763F58"/>
    <w:rsid w:val="00763F89"/>
    <w:rsid w:val="007640FB"/>
    <w:rsid w:val="0076518F"/>
    <w:rsid w:val="007659A8"/>
    <w:rsid w:val="00765AED"/>
    <w:rsid w:val="00766786"/>
    <w:rsid w:val="00767631"/>
    <w:rsid w:val="007678C5"/>
    <w:rsid w:val="00767B64"/>
    <w:rsid w:val="00767CBA"/>
    <w:rsid w:val="00770088"/>
    <w:rsid w:val="0077037A"/>
    <w:rsid w:val="007714F0"/>
    <w:rsid w:val="007718C4"/>
    <w:rsid w:val="0077271D"/>
    <w:rsid w:val="00772A18"/>
    <w:rsid w:val="00772BCA"/>
    <w:rsid w:val="00772F41"/>
    <w:rsid w:val="0077367E"/>
    <w:rsid w:val="00773F8C"/>
    <w:rsid w:val="007740DA"/>
    <w:rsid w:val="007742A0"/>
    <w:rsid w:val="007747AA"/>
    <w:rsid w:val="00774FD2"/>
    <w:rsid w:val="00775512"/>
    <w:rsid w:val="00775787"/>
    <w:rsid w:val="00776005"/>
    <w:rsid w:val="00776143"/>
    <w:rsid w:val="00776C56"/>
    <w:rsid w:val="00777B7A"/>
    <w:rsid w:val="00777E34"/>
    <w:rsid w:val="007801D1"/>
    <w:rsid w:val="0078029B"/>
    <w:rsid w:val="0078033C"/>
    <w:rsid w:val="00781003"/>
    <w:rsid w:val="00781142"/>
    <w:rsid w:val="00782B5A"/>
    <w:rsid w:val="00782BB8"/>
    <w:rsid w:val="007831ED"/>
    <w:rsid w:val="007844A9"/>
    <w:rsid w:val="00784858"/>
    <w:rsid w:val="00785DD6"/>
    <w:rsid w:val="00785E15"/>
    <w:rsid w:val="00786158"/>
    <w:rsid w:val="00786161"/>
    <w:rsid w:val="00786460"/>
    <w:rsid w:val="00786A3A"/>
    <w:rsid w:val="00786AE0"/>
    <w:rsid w:val="00786CA0"/>
    <w:rsid w:val="0078767C"/>
    <w:rsid w:val="0078778E"/>
    <w:rsid w:val="007878EB"/>
    <w:rsid w:val="00787C23"/>
    <w:rsid w:val="0079007C"/>
    <w:rsid w:val="0079041F"/>
    <w:rsid w:val="00790D97"/>
    <w:rsid w:val="00790EBC"/>
    <w:rsid w:val="00791169"/>
    <w:rsid w:val="0079121B"/>
    <w:rsid w:val="00791223"/>
    <w:rsid w:val="0079166F"/>
    <w:rsid w:val="007916F4"/>
    <w:rsid w:val="00792485"/>
    <w:rsid w:val="00792D8F"/>
    <w:rsid w:val="007932C7"/>
    <w:rsid w:val="007934D9"/>
    <w:rsid w:val="00793884"/>
    <w:rsid w:val="00793B85"/>
    <w:rsid w:val="00793E2E"/>
    <w:rsid w:val="00793EA2"/>
    <w:rsid w:val="00793EA4"/>
    <w:rsid w:val="00793F44"/>
    <w:rsid w:val="0079419C"/>
    <w:rsid w:val="00795291"/>
    <w:rsid w:val="007956C8"/>
    <w:rsid w:val="00796380"/>
    <w:rsid w:val="0079673F"/>
    <w:rsid w:val="0079777D"/>
    <w:rsid w:val="007A0055"/>
    <w:rsid w:val="007A08F7"/>
    <w:rsid w:val="007A0D77"/>
    <w:rsid w:val="007A0E3B"/>
    <w:rsid w:val="007A1ACE"/>
    <w:rsid w:val="007A1D27"/>
    <w:rsid w:val="007A1FBD"/>
    <w:rsid w:val="007A1FF1"/>
    <w:rsid w:val="007A2449"/>
    <w:rsid w:val="007A2F4C"/>
    <w:rsid w:val="007A30CD"/>
    <w:rsid w:val="007A3C95"/>
    <w:rsid w:val="007A3C97"/>
    <w:rsid w:val="007A3ECC"/>
    <w:rsid w:val="007A4196"/>
    <w:rsid w:val="007A43BA"/>
    <w:rsid w:val="007A48B1"/>
    <w:rsid w:val="007A4A15"/>
    <w:rsid w:val="007A509C"/>
    <w:rsid w:val="007A5C2F"/>
    <w:rsid w:val="007A5C9E"/>
    <w:rsid w:val="007A633B"/>
    <w:rsid w:val="007A6499"/>
    <w:rsid w:val="007A6D23"/>
    <w:rsid w:val="007B026D"/>
    <w:rsid w:val="007B0BAB"/>
    <w:rsid w:val="007B14F7"/>
    <w:rsid w:val="007B1A41"/>
    <w:rsid w:val="007B1FA3"/>
    <w:rsid w:val="007B21C0"/>
    <w:rsid w:val="007B3222"/>
    <w:rsid w:val="007B3D9B"/>
    <w:rsid w:val="007B4D03"/>
    <w:rsid w:val="007B5186"/>
    <w:rsid w:val="007B592C"/>
    <w:rsid w:val="007B6CD9"/>
    <w:rsid w:val="007B7110"/>
    <w:rsid w:val="007B76AA"/>
    <w:rsid w:val="007B7D12"/>
    <w:rsid w:val="007B7DC6"/>
    <w:rsid w:val="007C013A"/>
    <w:rsid w:val="007C04C3"/>
    <w:rsid w:val="007C0D7B"/>
    <w:rsid w:val="007C12FC"/>
    <w:rsid w:val="007C1809"/>
    <w:rsid w:val="007C1988"/>
    <w:rsid w:val="007C1E5C"/>
    <w:rsid w:val="007C1F19"/>
    <w:rsid w:val="007C2C86"/>
    <w:rsid w:val="007C2D62"/>
    <w:rsid w:val="007C33B4"/>
    <w:rsid w:val="007C3694"/>
    <w:rsid w:val="007C39EF"/>
    <w:rsid w:val="007C3B3F"/>
    <w:rsid w:val="007C3CC5"/>
    <w:rsid w:val="007C3CF6"/>
    <w:rsid w:val="007C3D11"/>
    <w:rsid w:val="007C3E04"/>
    <w:rsid w:val="007C3FD4"/>
    <w:rsid w:val="007C4AF8"/>
    <w:rsid w:val="007C4E83"/>
    <w:rsid w:val="007C4F88"/>
    <w:rsid w:val="007C5447"/>
    <w:rsid w:val="007C55AA"/>
    <w:rsid w:val="007C5824"/>
    <w:rsid w:val="007C5DC9"/>
    <w:rsid w:val="007C62AD"/>
    <w:rsid w:val="007C62CE"/>
    <w:rsid w:val="007C65D3"/>
    <w:rsid w:val="007C6D13"/>
    <w:rsid w:val="007C6EED"/>
    <w:rsid w:val="007D008B"/>
    <w:rsid w:val="007D00CF"/>
    <w:rsid w:val="007D0736"/>
    <w:rsid w:val="007D0DB3"/>
    <w:rsid w:val="007D0F2B"/>
    <w:rsid w:val="007D1AC2"/>
    <w:rsid w:val="007D1DDE"/>
    <w:rsid w:val="007D2820"/>
    <w:rsid w:val="007D2ED8"/>
    <w:rsid w:val="007D3142"/>
    <w:rsid w:val="007D34D3"/>
    <w:rsid w:val="007D3F66"/>
    <w:rsid w:val="007D4106"/>
    <w:rsid w:val="007D4216"/>
    <w:rsid w:val="007D47ED"/>
    <w:rsid w:val="007D49E8"/>
    <w:rsid w:val="007D4CD1"/>
    <w:rsid w:val="007D4FA8"/>
    <w:rsid w:val="007D5458"/>
    <w:rsid w:val="007D550B"/>
    <w:rsid w:val="007D559C"/>
    <w:rsid w:val="007D60AF"/>
    <w:rsid w:val="007D629C"/>
    <w:rsid w:val="007D6938"/>
    <w:rsid w:val="007D6E95"/>
    <w:rsid w:val="007D6F16"/>
    <w:rsid w:val="007D7269"/>
    <w:rsid w:val="007D7904"/>
    <w:rsid w:val="007E0E2E"/>
    <w:rsid w:val="007E112B"/>
    <w:rsid w:val="007E11D0"/>
    <w:rsid w:val="007E13E5"/>
    <w:rsid w:val="007E18CB"/>
    <w:rsid w:val="007E28FF"/>
    <w:rsid w:val="007E2AE2"/>
    <w:rsid w:val="007E34E8"/>
    <w:rsid w:val="007E37D3"/>
    <w:rsid w:val="007E37F9"/>
    <w:rsid w:val="007E390A"/>
    <w:rsid w:val="007E42BE"/>
    <w:rsid w:val="007E4AF8"/>
    <w:rsid w:val="007E4E59"/>
    <w:rsid w:val="007E528D"/>
    <w:rsid w:val="007E544F"/>
    <w:rsid w:val="007E5BED"/>
    <w:rsid w:val="007E5F76"/>
    <w:rsid w:val="007E6085"/>
    <w:rsid w:val="007E6F55"/>
    <w:rsid w:val="007E70F2"/>
    <w:rsid w:val="007E759A"/>
    <w:rsid w:val="007F05FA"/>
    <w:rsid w:val="007F08DB"/>
    <w:rsid w:val="007F0DFB"/>
    <w:rsid w:val="007F142C"/>
    <w:rsid w:val="007F1891"/>
    <w:rsid w:val="007F1FFD"/>
    <w:rsid w:val="007F2BA0"/>
    <w:rsid w:val="007F3016"/>
    <w:rsid w:val="007F36A7"/>
    <w:rsid w:val="007F4DEC"/>
    <w:rsid w:val="007F4F77"/>
    <w:rsid w:val="007F4FFC"/>
    <w:rsid w:val="007F576D"/>
    <w:rsid w:val="007F581D"/>
    <w:rsid w:val="007F5E9F"/>
    <w:rsid w:val="007F6288"/>
    <w:rsid w:val="007F687D"/>
    <w:rsid w:val="007F6FF0"/>
    <w:rsid w:val="007F711A"/>
    <w:rsid w:val="007F7179"/>
    <w:rsid w:val="007F7430"/>
    <w:rsid w:val="007F7510"/>
    <w:rsid w:val="008000AE"/>
    <w:rsid w:val="00800728"/>
    <w:rsid w:val="00800959"/>
    <w:rsid w:val="00801498"/>
    <w:rsid w:val="0080184E"/>
    <w:rsid w:val="0080190B"/>
    <w:rsid w:val="00801D7D"/>
    <w:rsid w:val="00801DF6"/>
    <w:rsid w:val="00801EF3"/>
    <w:rsid w:val="00802616"/>
    <w:rsid w:val="00803632"/>
    <w:rsid w:val="00803644"/>
    <w:rsid w:val="00804519"/>
    <w:rsid w:val="008064BF"/>
    <w:rsid w:val="00807363"/>
    <w:rsid w:val="008077F1"/>
    <w:rsid w:val="0080798A"/>
    <w:rsid w:val="00810664"/>
    <w:rsid w:val="00810D3C"/>
    <w:rsid w:val="00810DA7"/>
    <w:rsid w:val="00810E90"/>
    <w:rsid w:val="0081248F"/>
    <w:rsid w:val="00812EDE"/>
    <w:rsid w:val="00812FD3"/>
    <w:rsid w:val="008130F0"/>
    <w:rsid w:val="00813130"/>
    <w:rsid w:val="0081387E"/>
    <w:rsid w:val="00813975"/>
    <w:rsid w:val="00814656"/>
    <w:rsid w:val="0081583E"/>
    <w:rsid w:val="0081650C"/>
    <w:rsid w:val="0081660E"/>
    <w:rsid w:val="0081672A"/>
    <w:rsid w:val="00817B13"/>
    <w:rsid w:val="00817DAC"/>
    <w:rsid w:val="008201D6"/>
    <w:rsid w:val="00820444"/>
    <w:rsid w:val="008204FD"/>
    <w:rsid w:val="00820DB5"/>
    <w:rsid w:val="00820DC5"/>
    <w:rsid w:val="0082128B"/>
    <w:rsid w:val="00821A9C"/>
    <w:rsid w:val="00821B22"/>
    <w:rsid w:val="00821CED"/>
    <w:rsid w:val="00821D6D"/>
    <w:rsid w:val="00822375"/>
    <w:rsid w:val="008227FA"/>
    <w:rsid w:val="00822AFB"/>
    <w:rsid w:val="00822D7D"/>
    <w:rsid w:val="00823434"/>
    <w:rsid w:val="0082343C"/>
    <w:rsid w:val="008235E4"/>
    <w:rsid w:val="008236D0"/>
    <w:rsid w:val="00823780"/>
    <w:rsid w:val="0082467E"/>
    <w:rsid w:val="008248FB"/>
    <w:rsid w:val="00824DDC"/>
    <w:rsid w:val="0082504E"/>
    <w:rsid w:val="0082567D"/>
    <w:rsid w:val="008256A8"/>
    <w:rsid w:val="008259E6"/>
    <w:rsid w:val="0082647B"/>
    <w:rsid w:val="00826C8F"/>
    <w:rsid w:val="00826FFD"/>
    <w:rsid w:val="00827022"/>
    <w:rsid w:val="00827C18"/>
    <w:rsid w:val="00827C3B"/>
    <w:rsid w:val="0083014A"/>
    <w:rsid w:val="008318F4"/>
    <w:rsid w:val="00831E49"/>
    <w:rsid w:val="008324CD"/>
    <w:rsid w:val="00832586"/>
    <w:rsid w:val="0083268A"/>
    <w:rsid w:val="00832966"/>
    <w:rsid w:val="0083394F"/>
    <w:rsid w:val="00833A5B"/>
    <w:rsid w:val="00833ADD"/>
    <w:rsid w:val="00834935"/>
    <w:rsid w:val="00834AEE"/>
    <w:rsid w:val="00834B21"/>
    <w:rsid w:val="00834F2F"/>
    <w:rsid w:val="008350B6"/>
    <w:rsid w:val="008351C1"/>
    <w:rsid w:val="00835822"/>
    <w:rsid w:val="00835B3D"/>
    <w:rsid w:val="008360AC"/>
    <w:rsid w:val="00836509"/>
    <w:rsid w:val="008368A8"/>
    <w:rsid w:val="00836A1D"/>
    <w:rsid w:val="00836F63"/>
    <w:rsid w:val="008370FF"/>
    <w:rsid w:val="0083764C"/>
    <w:rsid w:val="00840296"/>
    <w:rsid w:val="008403C6"/>
    <w:rsid w:val="00840808"/>
    <w:rsid w:val="00840C14"/>
    <w:rsid w:val="00840EAD"/>
    <w:rsid w:val="00840EE3"/>
    <w:rsid w:val="008419F4"/>
    <w:rsid w:val="00841B2F"/>
    <w:rsid w:val="0084247F"/>
    <w:rsid w:val="008428FD"/>
    <w:rsid w:val="00842D06"/>
    <w:rsid w:val="00842D2B"/>
    <w:rsid w:val="008430EE"/>
    <w:rsid w:val="0084377E"/>
    <w:rsid w:val="00844B3B"/>
    <w:rsid w:val="008453AD"/>
    <w:rsid w:val="00845837"/>
    <w:rsid w:val="00846230"/>
    <w:rsid w:val="00846424"/>
    <w:rsid w:val="008469E9"/>
    <w:rsid w:val="00846D9B"/>
    <w:rsid w:val="008470FF"/>
    <w:rsid w:val="0084785C"/>
    <w:rsid w:val="00847EEE"/>
    <w:rsid w:val="00847F37"/>
    <w:rsid w:val="00847F9F"/>
    <w:rsid w:val="00850A5E"/>
    <w:rsid w:val="00850DCB"/>
    <w:rsid w:val="00850E94"/>
    <w:rsid w:val="0085172B"/>
    <w:rsid w:val="00851D30"/>
    <w:rsid w:val="00851DB0"/>
    <w:rsid w:val="00851E1C"/>
    <w:rsid w:val="008520B2"/>
    <w:rsid w:val="00852290"/>
    <w:rsid w:val="008536EA"/>
    <w:rsid w:val="00854886"/>
    <w:rsid w:val="008553EA"/>
    <w:rsid w:val="0085584F"/>
    <w:rsid w:val="00855EA4"/>
    <w:rsid w:val="0085605E"/>
    <w:rsid w:val="00856231"/>
    <w:rsid w:val="00856D31"/>
    <w:rsid w:val="00856DF6"/>
    <w:rsid w:val="00857008"/>
    <w:rsid w:val="00857294"/>
    <w:rsid w:val="00857569"/>
    <w:rsid w:val="008578CC"/>
    <w:rsid w:val="00857C93"/>
    <w:rsid w:val="00860069"/>
    <w:rsid w:val="008601B6"/>
    <w:rsid w:val="00860825"/>
    <w:rsid w:val="00861A61"/>
    <w:rsid w:val="00861C40"/>
    <w:rsid w:val="00861DAC"/>
    <w:rsid w:val="00861FAD"/>
    <w:rsid w:val="00862978"/>
    <w:rsid w:val="00862FB9"/>
    <w:rsid w:val="0086315B"/>
    <w:rsid w:val="0086324C"/>
    <w:rsid w:val="00863368"/>
    <w:rsid w:val="00863CBE"/>
    <w:rsid w:val="008642A8"/>
    <w:rsid w:val="008650B7"/>
    <w:rsid w:val="00865113"/>
    <w:rsid w:val="00865716"/>
    <w:rsid w:val="00866331"/>
    <w:rsid w:val="008668F3"/>
    <w:rsid w:val="00867142"/>
    <w:rsid w:val="00867432"/>
    <w:rsid w:val="008675BF"/>
    <w:rsid w:val="0086760D"/>
    <w:rsid w:val="00870562"/>
    <w:rsid w:val="00870574"/>
    <w:rsid w:val="008707C3"/>
    <w:rsid w:val="00870DF1"/>
    <w:rsid w:val="00870FE3"/>
    <w:rsid w:val="008713F1"/>
    <w:rsid w:val="0087175D"/>
    <w:rsid w:val="00871902"/>
    <w:rsid w:val="0087196E"/>
    <w:rsid w:val="008719C7"/>
    <w:rsid w:val="00871AF9"/>
    <w:rsid w:val="00871BA3"/>
    <w:rsid w:val="0087218A"/>
    <w:rsid w:val="008721CB"/>
    <w:rsid w:val="0087250B"/>
    <w:rsid w:val="008728FA"/>
    <w:rsid w:val="008729F5"/>
    <w:rsid w:val="00873DE2"/>
    <w:rsid w:val="00874100"/>
    <w:rsid w:val="0087482D"/>
    <w:rsid w:val="00874BD8"/>
    <w:rsid w:val="008758BA"/>
    <w:rsid w:val="008758BB"/>
    <w:rsid w:val="00875973"/>
    <w:rsid w:val="008763F0"/>
    <w:rsid w:val="008763F4"/>
    <w:rsid w:val="008777C8"/>
    <w:rsid w:val="00877CFB"/>
    <w:rsid w:val="00880200"/>
    <w:rsid w:val="008804E3"/>
    <w:rsid w:val="00880A1C"/>
    <w:rsid w:val="00880E3E"/>
    <w:rsid w:val="00881175"/>
    <w:rsid w:val="00881320"/>
    <w:rsid w:val="0088162B"/>
    <w:rsid w:val="00881652"/>
    <w:rsid w:val="0088195C"/>
    <w:rsid w:val="00881F43"/>
    <w:rsid w:val="008824E4"/>
    <w:rsid w:val="008826F1"/>
    <w:rsid w:val="00882E7D"/>
    <w:rsid w:val="00882EED"/>
    <w:rsid w:val="008831AE"/>
    <w:rsid w:val="0088340F"/>
    <w:rsid w:val="00883691"/>
    <w:rsid w:val="00883749"/>
    <w:rsid w:val="00883C5D"/>
    <w:rsid w:val="00883F2D"/>
    <w:rsid w:val="00884585"/>
    <w:rsid w:val="00884678"/>
    <w:rsid w:val="008847C4"/>
    <w:rsid w:val="0088517D"/>
    <w:rsid w:val="008853CF"/>
    <w:rsid w:val="00885BC9"/>
    <w:rsid w:val="00885E18"/>
    <w:rsid w:val="0088675A"/>
    <w:rsid w:val="00886A97"/>
    <w:rsid w:val="00886DD9"/>
    <w:rsid w:val="00886FCE"/>
    <w:rsid w:val="00887079"/>
    <w:rsid w:val="00887809"/>
    <w:rsid w:val="00887C6D"/>
    <w:rsid w:val="00890850"/>
    <w:rsid w:val="00890A1A"/>
    <w:rsid w:val="00891806"/>
    <w:rsid w:val="0089181E"/>
    <w:rsid w:val="00891A3F"/>
    <w:rsid w:val="00892DCE"/>
    <w:rsid w:val="008932B4"/>
    <w:rsid w:val="008934EC"/>
    <w:rsid w:val="00894220"/>
    <w:rsid w:val="0089463A"/>
    <w:rsid w:val="00895151"/>
    <w:rsid w:val="00895433"/>
    <w:rsid w:val="00895A82"/>
    <w:rsid w:val="00895DB3"/>
    <w:rsid w:val="00895F24"/>
    <w:rsid w:val="00896286"/>
    <w:rsid w:val="00897188"/>
    <w:rsid w:val="00897C60"/>
    <w:rsid w:val="00897FE8"/>
    <w:rsid w:val="008A0821"/>
    <w:rsid w:val="008A0E8C"/>
    <w:rsid w:val="008A17BF"/>
    <w:rsid w:val="008A19DB"/>
    <w:rsid w:val="008A1C60"/>
    <w:rsid w:val="008A1D5E"/>
    <w:rsid w:val="008A2027"/>
    <w:rsid w:val="008A262D"/>
    <w:rsid w:val="008A291F"/>
    <w:rsid w:val="008A3273"/>
    <w:rsid w:val="008A334E"/>
    <w:rsid w:val="008A3D59"/>
    <w:rsid w:val="008A430E"/>
    <w:rsid w:val="008A4F29"/>
    <w:rsid w:val="008A51F4"/>
    <w:rsid w:val="008A5805"/>
    <w:rsid w:val="008A5E1A"/>
    <w:rsid w:val="008A6008"/>
    <w:rsid w:val="008A62FD"/>
    <w:rsid w:val="008A63DB"/>
    <w:rsid w:val="008A66AF"/>
    <w:rsid w:val="008A688A"/>
    <w:rsid w:val="008A721A"/>
    <w:rsid w:val="008A7360"/>
    <w:rsid w:val="008A77E4"/>
    <w:rsid w:val="008A7E3E"/>
    <w:rsid w:val="008B0207"/>
    <w:rsid w:val="008B034F"/>
    <w:rsid w:val="008B06C0"/>
    <w:rsid w:val="008B0FC9"/>
    <w:rsid w:val="008B11B4"/>
    <w:rsid w:val="008B1959"/>
    <w:rsid w:val="008B196A"/>
    <w:rsid w:val="008B1EC8"/>
    <w:rsid w:val="008B1ECC"/>
    <w:rsid w:val="008B2103"/>
    <w:rsid w:val="008B2B51"/>
    <w:rsid w:val="008B2E43"/>
    <w:rsid w:val="008B34E0"/>
    <w:rsid w:val="008B370D"/>
    <w:rsid w:val="008B3F95"/>
    <w:rsid w:val="008B460D"/>
    <w:rsid w:val="008B4E90"/>
    <w:rsid w:val="008B55F9"/>
    <w:rsid w:val="008B5787"/>
    <w:rsid w:val="008B5B99"/>
    <w:rsid w:val="008B631C"/>
    <w:rsid w:val="008B6A6A"/>
    <w:rsid w:val="008B7083"/>
    <w:rsid w:val="008C0A0F"/>
    <w:rsid w:val="008C1058"/>
    <w:rsid w:val="008C121A"/>
    <w:rsid w:val="008C1579"/>
    <w:rsid w:val="008C16B6"/>
    <w:rsid w:val="008C1863"/>
    <w:rsid w:val="008C2409"/>
    <w:rsid w:val="008C276F"/>
    <w:rsid w:val="008C2DC2"/>
    <w:rsid w:val="008C3BD7"/>
    <w:rsid w:val="008C3C24"/>
    <w:rsid w:val="008C3E2A"/>
    <w:rsid w:val="008C4326"/>
    <w:rsid w:val="008C4DF4"/>
    <w:rsid w:val="008C7455"/>
    <w:rsid w:val="008C7941"/>
    <w:rsid w:val="008C7E59"/>
    <w:rsid w:val="008D0600"/>
    <w:rsid w:val="008D0BB7"/>
    <w:rsid w:val="008D0FD3"/>
    <w:rsid w:val="008D1141"/>
    <w:rsid w:val="008D1CE9"/>
    <w:rsid w:val="008D1ED4"/>
    <w:rsid w:val="008D32AE"/>
    <w:rsid w:val="008D3A45"/>
    <w:rsid w:val="008D3C22"/>
    <w:rsid w:val="008D4482"/>
    <w:rsid w:val="008D4B9D"/>
    <w:rsid w:val="008D52C2"/>
    <w:rsid w:val="008D536E"/>
    <w:rsid w:val="008D53AD"/>
    <w:rsid w:val="008D55A0"/>
    <w:rsid w:val="008D5B59"/>
    <w:rsid w:val="008D5C1D"/>
    <w:rsid w:val="008D5D5D"/>
    <w:rsid w:val="008D5F0F"/>
    <w:rsid w:val="008D61B9"/>
    <w:rsid w:val="008D63AB"/>
    <w:rsid w:val="008D64C6"/>
    <w:rsid w:val="008D6E6D"/>
    <w:rsid w:val="008D7229"/>
    <w:rsid w:val="008D770F"/>
    <w:rsid w:val="008D7809"/>
    <w:rsid w:val="008D7D40"/>
    <w:rsid w:val="008D7D62"/>
    <w:rsid w:val="008E09F7"/>
    <w:rsid w:val="008E0DA9"/>
    <w:rsid w:val="008E13FE"/>
    <w:rsid w:val="008E1472"/>
    <w:rsid w:val="008E163A"/>
    <w:rsid w:val="008E1727"/>
    <w:rsid w:val="008E1848"/>
    <w:rsid w:val="008E1920"/>
    <w:rsid w:val="008E19C9"/>
    <w:rsid w:val="008E1BB3"/>
    <w:rsid w:val="008E1E22"/>
    <w:rsid w:val="008E2AF8"/>
    <w:rsid w:val="008E2D8B"/>
    <w:rsid w:val="008E2DC6"/>
    <w:rsid w:val="008E2DE1"/>
    <w:rsid w:val="008E3C6A"/>
    <w:rsid w:val="008E3DA8"/>
    <w:rsid w:val="008E4474"/>
    <w:rsid w:val="008E4702"/>
    <w:rsid w:val="008E4E3B"/>
    <w:rsid w:val="008E50EB"/>
    <w:rsid w:val="008E5A2F"/>
    <w:rsid w:val="008E5A4C"/>
    <w:rsid w:val="008E5CBD"/>
    <w:rsid w:val="008E5E3F"/>
    <w:rsid w:val="008E60A7"/>
    <w:rsid w:val="008E6996"/>
    <w:rsid w:val="008E7431"/>
    <w:rsid w:val="008E749F"/>
    <w:rsid w:val="008E7606"/>
    <w:rsid w:val="008E7EB7"/>
    <w:rsid w:val="008E7EF7"/>
    <w:rsid w:val="008F00DB"/>
    <w:rsid w:val="008F0305"/>
    <w:rsid w:val="008F1456"/>
    <w:rsid w:val="008F19AA"/>
    <w:rsid w:val="008F1C5E"/>
    <w:rsid w:val="008F224C"/>
    <w:rsid w:val="008F25F9"/>
    <w:rsid w:val="008F2756"/>
    <w:rsid w:val="008F2E7B"/>
    <w:rsid w:val="008F2FC4"/>
    <w:rsid w:val="008F303C"/>
    <w:rsid w:val="008F30CE"/>
    <w:rsid w:val="008F3F15"/>
    <w:rsid w:val="008F412A"/>
    <w:rsid w:val="008F47EA"/>
    <w:rsid w:val="008F5256"/>
    <w:rsid w:val="008F5BAF"/>
    <w:rsid w:val="008F62A2"/>
    <w:rsid w:val="008F6306"/>
    <w:rsid w:val="008F6363"/>
    <w:rsid w:val="008F6E15"/>
    <w:rsid w:val="008F6F4B"/>
    <w:rsid w:val="008F783A"/>
    <w:rsid w:val="008F7B7E"/>
    <w:rsid w:val="00900910"/>
    <w:rsid w:val="00900A53"/>
    <w:rsid w:val="00901D72"/>
    <w:rsid w:val="00902608"/>
    <w:rsid w:val="0090279F"/>
    <w:rsid w:val="0090288A"/>
    <w:rsid w:val="0090404F"/>
    <w:rsid w:val="00904090"/>
    <w:rsid w:val="009040C9"/>
    <w:rsid w:val="009040DC"/>
    <w:rsid w:val="00904D4A"/>
    <w:rsid w:val="009059F1"/>
    <w:rsid w:val="00905A5F"/>
    <w:rsid w:val="0090626B"/>
    <w:rsid w:val="0090689F"/>
    <w:rsid w:val="00906F2C"/>
    <w:rsid w:val="0090709E"/>
    <w:rsid w:val="00907AB8"/>
    <w:rsid w:val="00907CD7"/>
    <w:rsid w:val="00910830"/>
    <w:rsid w:val="00910E6A"/>
    <w:rsid w:val="00911179"/>
    <w:rsid w:val="00911376"/>
    <w:rsid w:val="009115D2"/>
    <w:rsid w:val="00911C19"/>
    <w:rsid w:val="00911EF4"/>
    <w:rsid w:val="009123F7"/>
    <w:rsid w:val="009128A1"/>
    <w:rsid w:val="00913405"/>
    <w:rsid w:val="00913BDF"/>
    <w:rsid w:val="00914468"/>
    <w:rsid w:val="00914691"/>
    <w:rsid w:val="00914947"/>
    <w:rsid w:val="00914BDC"/>
    <w:rsid w:val="00914D7A"/>
    <w:rsid w:val="00915000"/>
    <w:rsid w:val="00915785"/>
    <w:rsid w:val="00915B39"/>
    <w:rsid w:val="009164FB"/>
    <w:rsid w:val="00916976"/>
    <w:rsid w:val="009170EE"/>
    <w:rsid w:val="00917571"/>
    <w:rsid w:val="0091762C"/>
    <w:rsid w:val="00917FE5"/>
    <w:rsid w:val="00920093"/>
    <w:rsid w:val="0092082A"/>
    <w:rsid w:val="00920851"/>
    <w:rsid w:val="00920E39"/>
    <w:rsid w:val="009213EA"/>
    <w:rsid w:val="00921A7F"/>
    <w:rsid w:val="00921FDD"/>
    <w:rsid w:val="00922187"/>
    <w:rsid w:val="009222AD"/>
    <w:rsid w:val="00923CD3"/>
    <w:rsid w:val="00925AE7"/>
    <w:rsid w:val="00925C64"/>
    <w:rsid w:val="00925FAA"/>
    <w:rsid w:val="009265D9"/>
    <w:rsid w:val="0092729D"/>
    <w:rsid w:val="0092736C"/>
    <w:rsid w:val="009302BD"/>
    <w:rsid w:val="009304B9"/>
    <w:rsid w:val="00930948"/>
    <w:rsid w:val="00930AE1"/>
    <w:rsid w:val="009318A3"/>
    <w:rsid w:val="0093239F"/>
    <w:rsid w:val="009326B1"/>
    <w:rsid w:val="009326F3"/>
    <w:rsid w:val="00932D02"/>
    <w:rsid w:val="009330EB"/>
    <w:rsid w:val="00933588"/>
    <w:rsid w:val="00933A6D"/>
    <w:rsid w:val="00933E76"/>
    <w:rsid w:val="00934B24"/>
    <w:rsid w:val="00934CB3"/>
    <w:rsid w:val="00934E79"/>
    <w:rsid w:val="00935710"/>
    <w:rsid w:val="00935911"/>
    <w:rsid w:val="00935ED1"/>
    <w:rsid w:val="009364E9"/>
    <w:rsid w:val="00936696"/>
    <w:rsid w:val="00936817"/>
    <w:rsid w:val="00936BCC"/>
    <w:rsid w:val="00937039"/>
    <w:rsid w:val="0093736D"/>
    <w:rsid w:val="0093761E"/>
    <w:rsid w:val="00940D8E"/>
    <w:rsid w:val="00941533"/>
    <w:rsid w:val="009425C2"/>
    <w:rsid w:val="0094288D"/>
    <w:rsid w:val="009429AD"/>
    <w:rsid w:val="009437B1"/>
    <w:rsid w:val="00945BCA"/>
    <w:rsid w:val="009462C4"/>
    <w:rsid w:val="009465FA"/>
    <w:rsid w:val="00946782"/>
    <w:rsid w:val="00950131"/>
    <w:rsid w:val="00950193"/>
    <w:rsid w:val="009503E7"/>
    <w:rsid w:val="009512B0"/>
    <w:rsid w:val="009513AF"/>
    <w:rsid w:val="00952620"/>
    <w:rsid w:val="009528EF"/>
    <w:rsid w:val="00952D03"/>
    <w:rsid w:val="00952D30"/>
    <w:rsid w:val="00952D38"/>
    <w:rsid w:val="00953E87"/>
    <w:rsid w:val="0095435B"/>
    <w:rsid w:val="009544B0"/>
    <w:rsid w:val="009545C9"/>
    <w:rsid w:val="0095462F"/>
    <w:rsid w:val="00954BC1"/>
    <w:rsid w:val="009550F6"/>
    <w:rsid w:val="0095525A"/>
    <w:rsid w:val="00956494"/>
    <w:rsid w:val="00956CD0"/>
    <w:rsid w:val="00956E07"/>
    <w:rsid w:val="0095729E"/>
    <w:rsid w:val="009572F1"/>
    <w:rsid w:val="0095743F"/>
    <w:rsid w:val="009576DF"/>
    <w:rsid w:val="0095774B"/>
    <w:rsid w:val="00957D9F"/>
    <w:rsid w:val="00957F6D"/>
    <w:rsid w:val="0096002C"/>
    <w:rsid w:val="009600AC"/>
    <w:rsid w:val="00960212"/>
    <w:rsid w:val="0096062A"/>
    <w:rsid w:val="00960998"/>
    <w:rsid w:val="00960B16"/>
    <w:rsid w:val="00960BB6"/>
    <w:rsid w:val="00961167"/>
    <w:rsid w:val="00961A6A"/>
    <w:rsid w:val="00961F33"/>
    <w:rsid w:val="0096262D"/>
    <w:rsid w:val="0096265F"/>
    <w:rsid w:val="0096270D"/>
    <w:rsid w:val="00962739"/>
    <w:rsid w:val="009627AF"/>
    <w:rsid w:val="00962C13"/>
    <w:rsid w:val="00963185"/>
    <w:rsid w:val="009633F9"/>
    <w:rsid w:val="00963443"/>
    <w:rsid w:val="0096363B"/>
    <w:rsid w:val="00963B9F"/>
    <w:rsid w:val="00964E2B"/>
    <w:rsid w:val="0096503A"/>
    <w:rsid w:val="009650C4"/>
    <w:rsid w:val="00965342"/>
    <w:rsid w:val="009654A6"/>
    <w:rsid w:val="0096554C"/>
    <w:rsid w:val="00965ED9"/>
    <w:rsid w:val="009660A8"/>
    <w:rsid w:val="00966C61"/>
    <w:rsid w:val="00967069"/>
    <w:rsid w:val="00967486"/>
    <w:rsid w:val="0096799D"/>
    <w:rsid w:val="00970FB3"/>
    <w:rsid w:val="0097142D"/>
    <w:rsid w:val="0097284C"/>
    <w:rsid w:val="00972C0B"/>
    <w:rsid w:val="0097398B"/>
    <w:rsid w:val="00973E8D"/>
    <w:rsid w:val="00974588"/>
    <w:rsid w:val="0097496B"/>
    <w:rsid w:val="00974F4E"/>
    <w:rsid w:val="00975378"/>
    <w:rsid w:val="00975A5A"/>
    <w:rsid w:val="00976295"/>
    <w:rsid w:val="009766B4"/>
    <w:rsid w:val="009767D6"/>
    <w:rsid w:val="00976EFB"/>
    <w:rsid w:val="00976F6A"/>
    <w:rsid w:val="0097723B"/>
    <w:rsid w:val="00977776"/>
    <w:rsid w:val="009778C1"/>
    <w:rsid w:val="0097790E"/>
    <w:rsid w:val="00977C94"/>
    <w:rsid w:val="00977F27"/>
    <w:rsid w:val="0098021E"/>
    <w:rsid w:val="00980484"/>
    <w:rsid w:val="009806A9"/>
    <w:rsid w:val="00980E28"/>
    <w:rsid w:val="00980E2F"/>
    <w:rsid w:val="00980FDB"/>
    <w:rsid w:val="00981D0B"/>
    <w:rsid w:val="00982218"/>
    <w:rsid w:val="009826B4"/>
    <w:rsid w:val="009827C0"/>
    <w:rsid w:val="009835B3"/>
    <w:rsid w:val="0098382A"/>
    <w:rsid w:val="00983DC5"/>
    <w:rsid w:val="00984517"/>
    <w:rsid w:val="00984AA8"/>
    <w:rsid w:val="00984D22"/>
    <w:rsid w:val="009857AD"/>
    <w:rsid w:val="00985DB9"/>
    <w:rsid w:val="00985F43"/>
    <w:rsid w:val="00985F8B"/>
    <w:rsid w:val="009861A6"/>
    <w:rsid w:val="0098675C"/>
    <w:rsid w:val="009869E1"/>
    <w:rsid w:val="00986A69"/>
    <w:rsid w:val="00986AE9"/>
    <w:rsid w:val="0098714F"/>
    <w:rsid w:val="009875F0"/>
    <w:rsid w:val="009879AB"/>
    <w:rsid w:val="00987D60"/>
    <w:rsid w:val="009900A6"/>
    <w:rsid w:val="00990CA3"/>
    <w:rsid w:val="00990DD4"/>
    <w:rsid w:val="00991260"/>
    <w:rsid w:val="009913D6"/>
    <w:rsid w:val="009918B8"/>
    <w:rsid w:val="009919BA"/>
    <w:rsid w:val="00991E04"/>
    <w:rsid w:val="00991F90"/>
    <w:rsid w:val="0099222B"/>
    <w:rsid w:val="00993FB7"/>
    <w:rsid w:val="00994357"/>
    <w:rsid w:val="0099456D"/>
    <w:rsid w:val="009947A9"/>
    <w:rsid w:val="00994EE3"/>
    <w:rsid w:val="00994EF7"/>
    <w:rsid w:val="00995042"/>
    <w:rsid w:val="009950B3"/>
    <w:rsid w:val="00995F2B"/>
    <w:rsid w:val="00996502"/>
    <w:rsid w:val="00996891"/>
    <w:rsid w:val="009968DB"/>
    <w:rsid w:val="00996EBD"/>
    <w:rsid w:val="009977CD"/>
    <w:rsid w:val="00997F63"/>
    <w:rsid w:val="00997F99"/>
    <w:rsid w:val="009A0030"/>
    <w:rsid w:val="009A036D"/>
    <w:rsid w:val="009A0AB2"/>
    <w:rsid w:val="009A0C92"/>
    <w:rsid w:val="009A10E3"/>
    <w:rsid w:val="009A116D"/>
    <w:rsid w:val="009A22FA"/>
    <w:rsid w:val="009A36B8"/>
    <w:rsid w:val="009A3C17"/>
    <w:rsid w:val="009A3FB7"/>
    <w:rsid w:val="009A4185"/>
    <w:rsid w:val="009A5079"/>
    <w:rsid w:val="009A5696"/>
    <w:rsid w:val="009A6497"/>
    <w:rsid w:val="009A6556"/>
    <w:rsid w:val="009A7092"/>
    <w:rsid w:val="009A76B8"/>
    <w:rsid w:val="009A77F0"/>
    <w:rsid w:val="009A7FE1"/>
    <w:rsid w:val="009B0448"/>
    <w:rsid w:val="009B06E0"/>
    <w:rsid w:val="009B0ECF"/>
    <w:rsid w:val="009B103D"/>
    <w:rsid w:val="009B1D2C"/>
    <w:rsid w:val="009B1D5A"/>
    <w:rsid w:val="009B20DD"/>
    <w:rsid w:val="009B215B"/>
    <w:rsid w:val="009B2177"/>
    <w:rsid w:val="009B24CF"/>
    <w:rsid w:val="009B27DF"/>
    <w:rsid w:val="009B36A1"/>
    <w:rsid w:val="009B3E5B"/>
    <w:rsid w:val="009B41EA"/>
    <w:rsid w:val="009B455B"/>
    <w:rsid w:val="009B460B"/>
    <w:rsid w:val="009B47DC"/>
    <w:rsid w:val="009B4B33"/>
    <w:rsid w:val="009B4BDD"/>
    <w:rsid w:val="009B4D06"/>
    <w:rsid w:val="009B5769"/>
    <w:rsid w:val="009B58A7"/>
    <w:rsid w:val="009B592A"/>
    <w:rsid w:val="009B5943"/>
    <w:rsid w:val="009B63C2"/>
    <w:rsid w:val="009B66FE"/>
    <w:rsid w:val="009B684D"/>
    <w:rsid w:val="009B6BD6"/>
    <w:rsid w:val="009B70E0"/>
    <w:rsid w:val="009B733C"/>
    <w:rsid w:val="009B7672"/>
    <w:rsid w:val="009B7838"/>
    <w:rsid w:val="009B7F1C"/>
    <w:rsid w:val="009C0857"/>
    <w:rsid w:val="009C0E79"/>
    <w:rsid w:val="009C1735"/>
    <w:rsid w:val="009C18BA"/>
    <w:rsid w:val="009C3512"/>
    <w:rsid w:val="009C379C"/>
    <w:rsid w:val="009C3862"/>
    <w:rsid w:val="009C4364"/>
    <w:rsid w:val="009C4AAE"/>
    <w:rsid w:val="009C4F2D"/>
    <w:rsid w:val="009C5A69"/>
    <w:rsid w:val="009C5B9F"/>
    <w:rsid w:val="009C5C0D"/>
    <w:rsid w:val="009C616F"/>
    <w:rsid w:val="009C69EA"/>
    <w:rsid w:val="009C7B96"/>
    <w:rsid w:val="009C7F1B"/>
    <w:rsid w:val="009C7F6F"/>
    <w:rsid w:val="009D053E"/>
    <w:rsid w:val="009D0674"/>
    <w:rsid w:val="009D0961"/>
    <w:rsid w:val="009D0FEF"/>
    <w:rsid w:val="009D114A"/>
    <w:rsid w:val="009D1262"/>
    <w:rsid w:val="009D164D"/>
    <w:rsid w:val="009D171A"/>
    <w:rsid w:val="009D17F3"/>
    <w:rsid w:val="009D209E"/>
    <w:rsid w:val="009D246F"/>
    <w:rsid w:val="009D2483"/>
    <w:rsid w:val="009D260F"/>
    <w:rsid w:val="009D2B2C"/>
    <w:rsid w:val="009D317C"/>
    <w:rsid w:val="009D3954"/>
    <w:rsid w:val="009D39BB"/>
    <w:rsid w:val="009D3AA6"/>
    <w:rsid w:val="009D412C"/>
    <w:rsid w:val="009D41B0"/>
    <w:rsid w:val="009D41BF"/>
    <w:rsid w:val="009D4554"/>
    <w:rsid w:val="009D4CBB"/>
    <w:rsid w:val="009D58D3"/>
    <w:rsid w:val="009D5D32"/>
    <w:rsid w:val="009D62E2"/>
    <w:rsid w:val="009D6923"/>
    <w:rsid w:val="009D6C21"/>
    <w:rsid w:val="009E1751"/>
    <w:rsid w:val="009E1DEC"/>
    <w:rsid w:val="009E1E5B"/>
    <w:rsid w:val="009E1F12"/>
    <w:rsid w:val="009E20BA"/>
    <w:rsid w:val="009E2192"/>
    <w:rsid w:val="009E2547"/>
    <w:rsid w:val="009E388F"/>
    <w:rsid w:val="009E3CF1"/>
    <w:rsid w:val="009E3D5E"/>
    <w:rsid w:val="009E4BDE"/>
    <w:rsid w:val="009E536F"/>
    <w:rsid w:val="009E576E"/>
    <w:rsid w:val="009E59BC"/>
    <w:rsid w:val="009E5AD6"/>
    <w:rsid w:val="009E6CEC"/>
    <w:rsid w:val="009E72BA"/>
    <w:rsid w:val="009E75A7"/>
    <w:rsid w:val="009E7957"/>
    <w:rsid w:val="009E7E6A"/>
    <w:rsid w:val="009F045D"/>
    <w:rsid w:val="009F07DB"/>
    <w:rsid w:val="009F08BB"/>
    <w:rsid w:val="009F09CF"/>
    <w:rsid w:val="009F0D97"/>
    <w:rsid w:val="009F0E7C"/>
    <w:rsid w:val="009F1B72"/>
    <w:rsid w:val="009F349F"/>
    <w:rsid w:val="009F3609"/>
    <w:rsid w:val="009F3892"/>
    <w:rsid w:val="009F3993"/>
    <w:rsid w:val="009F4594"/>
    <w:rsid w:val="009F4A44"/>
    <w:rsid w:val="009F5D33"/>
    <w:rsid w:val="009F6642"/>
    <w:rsid w:val="009F6F35"/>
    <w:rsid w:val="00A00130"/>
    <w:rsid w:val="00A007E9"/>
    <w:rsid w:val="00A0085A"/>
    <w:rsid w:val="00A01036"/>
    <w:rsid w:val="00A01161"/>
    <w:rsid w:val="00A01469"/>
    <w:rsid w:val="00A015F7"/>
    <w:rsid w:val="00A01910"/>
    <w:rsid w:val="00A01CA8"/>
    <w:rsid w:val="00A01D8F"/>
    <w:rsid w:val="00A01F3E"/>
    <w:rsid w:val="00A0235A"/>
    <w:rsid w:val="00A02687"/>
    <w:rsid w:val="00A02728"/>
    <w:rsid w:val="00A03093"/>
    <w:rsid w:val="00A03648"/>
    <w:rsid w:val="00A03BD5"/>
    <w:rsid w:val="00A0401A"/>
    <w:rsid w:val="00A04275"/>
    <w:rsid w:val="00A046A9"/>
    <w:rsid w:val="00A04920"/>
    <w:rsid w:val="00A04C1A"/>
    <w:rsid w:val="00A0558E"/>
    <w:rsid w:val="00A055E1"/>
    <w:rsid w:val="00A05766"/>
    <w:rsid w:val="00A06300"/>
    <w:rsid w:val="00A06563"/>
    <w:rsid w:val="00A06B72"/>
    <w:rsid w:val="00A07165"/>
    <w:rsid w:val="00A07861"/>
    <w:rsid w:val="00A07F59"/>
    <w:rsid w:val="00A10B98"/>
    <w:rsid w:val="00A10CF7"/>
    <w:rsid w:val="00A112EF"/>
    <w:rsid w:val="00A11727"/>
    <w:rsid w:val="00A1193C"/>
    <w:rsid w:val="00A11C08"/>
    <w:rsid w:val="00A11F57"/>
    <w:rsid w:val="00A12128"/>
    <w:rsid w:val="00A12F33"/>
    <w:rsid w:val="00A13B98"/>
    <w:rsid w:val="00A13F39"/>
    <w:rsid w:val="00A14094"/>
    <w:rsid w:val="00A144A5"/>
    <w:rsid w:val="00A144BB"/>
    <w:rsid w:val="00A14522"/>
    <w:rsid w:val="00A149C2"/>
    <w:rsid w:val="00A149F7"/>
    <w:rsid w:val="00A14C87"/>
    <w:rsid w:val="00A1520A"/>
    <w:rsid w:val="00A15A9C"/>
    <w:rsid w:val="00A17155"/>
    <w:rsid w:val="00A17201"/>
    <w:rsid w:val="00A17546"/>
    <w:rsid w:val="00A176A2"/>
    <w:rsid w:val="00A1795E"/>
    <w:rsid w:val="00A179FA"/>
    <w:rsid w:val="00A20625"/>
    <w:rsid w:val="00A210F5"/>
    <w:rsid w:val="00A21362"/>
    <w:rsid w:val="00A21D8C"/>
    <w:rsid w:val="00A21F9C"/>
    <w:rsid w:val="00A22B49"/>
    <w:rsid w:val="00A22CB7"/>
    <w:rsid w:val="00A2363A"/>
    <w:rsid w:val="00A239B0"/>
    <w:rsid w:val="00A23C23"/>
    <w:rsid w:val="00A246F2"/>
    <w:rsid w:val="00A24B53"/>
    <w:rsid w:val="00A24D83"/>
    <w:rsid w:val="00A24FB9"/>
    <w:rsid w:val="00A256C6"/>
    <w:rsid w:val="00A25913"/>
    <w:rsid w:val="00A25EF1"/>
    <w:rsid w:val="00A2631E"/>
    <w:rsid w:val="00A26941"/>
    <w:rsid w:val="00A269CC"/>
    <w:rsid w:val="00A2700F"/>
    <w:rsid w:val="00A27098"/>
    <w:rsid w:val="00A27689"/>
    <w:rsid w:val="00A27A8C"/>
    <w:rsid w:val="00A27ADC"/>
    <w:rsid w:val="00A3027C"/>
    <w:rsid w:val="00A308B9"/>
    <w:rsid w:val="00A30BB2"/>
    <w:rsid w:val="00A31548"/>
    <w:rsid w:val="00A31CB6"/>
    <w:rsid w:val="00A322B8"/>
    <w:rsid w:val="00A32490"/>
    <w:rsid w:val="00A32775"/>
    <w:rsid w:val="00A32CE2"/>
    <w:rsid w:val="00A333A3"/>
    <w:rsid w:val="00A336FF"/>
    <w:rsid w:val="00A33BA7"/>
    <w:rsid w:val="00A33C58"/>
    <w:rsid w:val="00A34376"/>
    <w:rsid w:val="00A3491A"/>
    <w:rsid w:val="00A35242"/>
    <w:rsid w:val="00A35649"/>
    <w:rsid w:val="00A3572D"/>
    <w:rsid w:val="00A35CC3"/>
    <w:rsid w:val="00A35E81"/>
    <w:rsid w:val="00A360D0"/>
    <w:rsid w:val="00A3628B"/>
    <w:rsid w:val="00A364AA"/>
    <w:rsid w:val="00A37312"/>
    <w:rsid w:val="00A37EE5"/>
    <w:rsid w:val="00A40398"/>
    <w:rsid w:val="00A40DF1"/>
    <w:rsid w:val="00A410E6"/>
    <w:rsid w:val="00A4160D"/>
    <w:rsid w:val="00A4229F"/>
    <w:rsid w:val="00A42431"/>
    <w:rsid w:val="00A42785"/>
    <w:rsid w:val="00A4282F"/>
    <w:rsid w:val="00A42C3C"/>
    <w:rsid w:val="00A4365F"/>
    <w:rsid w:val="00A43A99"/>
    <w:rsid w:val="00A43C54"/>
    <w:rsid w:val="00A43EED"/>
    <w:rsid w:val="00A43F1E"/>
    <w:rsid w:val="00A446A6"/>
    <w:rsid w:val="00A4482D"/>
    <w:rsid w:val="00A448B5"/>
    <w:rsid w:val="00A44A8C"/>
    <w:rsid w:val="00A44B9A"/>
    <w:rsid w:val="00A44D92"/>
    <w:rsid w:val="00A45BEF"/>
    <w:rsid w:val="00A468C6"/>
    <w:rsid w:val="00A5055F"/>
    <w:rsid w:val="00A50E55"/>
    <w:rsid w:val="00A5115B"/>
    <w:rsid w:val="00A51263"/>
    <w:rsid w:val="00A51C61"/>
    <w:rsid w:val="00A526E4"/>
    <w:rsid w:val="00A52991"/>
    <w:rsid w:val="00A52AF3"/>
    <w:rsid w:val="00A537DF"/>
    <w:rsid w:val="00A53AC2"/>
    <w:rsid w:val="00A540D5"/>
    <w:rsid w:val="00A5615F"/>
    <w:rsid w:val="00A56229"/>
    <w:rsid w:val="00A56888"/>
    <w:rsid w:val="00A5737D"/>
    <w:rsid w:val="00A6028A"/>
    <w:rsid w:val="00A6061D"/>
    <w:rsid w:val="00A60A68"/>
    <w:rsid w:val="00A60ACA"/>
    <w:rsid w:val="00A60D94"/>
    <w:rsid w:val="00A60DC0"/>
    <w:rsid w:val="00A645CF"/>
    <w:rsid w:val="00A64615"/>
    <w:rsid w:val="00A64C57"/>
    <w:rsid w:val="00A64CB1"/>
    <w:rsid w:val="00A65D0A"/>
    <w:rsid w:val="00A65DA0"/>
    <w:rsid w:val="00A65E86"/>
    <w:rsid w:val="00A66326"/>
    <w:rsid w:val="00A6666A"/>
    <w:rsid w:val="00A666C2"/>
    <w:rsid w:val="00A671D4"/>
    <w:rsid w:val="00A67209"/>
    <w:rsid w:val="00A67521"/>
    <w:rsid w:val="00A67B33"/>
    <w:rsid w:val="00A67B9C"/>
    <w:rsid w:val="00A70568"/>
    <w:rsid w:val="00A70E99"/>
    <w:rsid w:val="00A70ED7"/>
    <w:rsid w:val="00A712B0"/>
    <w:rsid w:val="00A713F4"/>
    <w:rsid w:val="00A72A5E"/>
    <w:rsid w:val="00A72DAF"/>
    <w:rsid w:val="00A73329"/>
    <w:rsid w:val="00A736AB"/>
    <w:rsid w:val="00A73956"/>
    <w:rsid w:val="00A73DC0"/>
    <w:rsid w:val="00A747ED"/>
    <w:rsid w:val="00A74987"/>
    <w:rsid w:val="00A74CDF"/>
    <w:rsid w:val="00A75416"/>
    <w:rsid w:val="00A75522"/>
    <w:rsid w:val="00A75DC4"/>
    <w:rsid w:val="00A762B5"/>
    <w:rsid w:val="00A76670"/>
    <w:rsid w:val="00A772E4"/>
    <w:rsid w:val="00A77920"/>
    <w:rsid w:val="00A77E0D"/>
    <w:rsid w:val="00A8024E"/>
    <w:rsid w:val="00A8046B"/>
    <w:rsid w:val="00A80DCC"/>
    <w:rsid w:val="00A812F5"/>
    <w:rsid w:val="00A823C3"/>
    <w:rsid w:val="00A828E1"/>
    <w:rsid w:val="00A82A1C"/>
    <w:rsid w:val="00A83103"/>
    <w:rsid w:val="00A83170"/>
    <w:rsid w:val="00A83944"/>
    <w:rsid w:val="00A842A9"/>
    <w:rsid w:val="00A842D9"/>
    <w:rsid w:val="00A84F9D"/>
    <w:rsid w:val="00A84FC2"/>
    <w:rsid w:val="00A85009"/>
    <w:rsid w:val="00A85A31"/>
    <w:rsid w:val="00A85D37"/>
    <w:rsid w:val="00A85DC2"/>
    <w:rsid w:val="00A872D2"/>
    <w:rsid w:val="00A8759F"/>
    <w:rsid w:val="00A875F4"/>
    <w:rsid w:val="00A87769"/>
    <w:rsid w:val="00A87B64"/>
    <w:rsid w:val="00A87B69"/>
    <w:rsid w:val="00A87C3A"/>
    <w:rsid w:val="00A87CBF"/>
    <w:rsid w:val="00A906D5"/>
    <w:rsid w:val="00A90F0E"/>
    <w:rsid w:val="00A90F21"/>
    <w:rsid w:val="00A90FED"/>
    <w:rsid w:val="00A911A8"/>
    <w:rsid w:val="00A92324"/>
    <w:rsid w:val="00A92397"/>
    <w:rsid w:val="00A928F5"/>
    <w:rsid w:val="00A92E4F"/>
    <w:rsid w:val="00A92E58"/>
    <w:rsid w:val="00A93C2A"/>
    <w:rsid w:val="00A93D17"/>
    <w:rsid w:val="00A93D49"/>
    <w:rsid w:val="00A93ED6"/>
    <w:rsid w:val="00A93FFA"/>
    <w:rsid w:val="00A940E4"/>
    <w:rsid w:val="00A945D7"/>
    <w:rsid w:val="00A94A5D"/>
    <w:rsid w:val="00A95309"/>
    <w:rsid w:val="00A9601A"/>
    <w:rsid w:val="00A96691"/>
    <w:rsid w:val="00A96BF2"/>
    <w:rsid w:val="00A96E94"/>
    <w:rsid w:val="00A96F30"/>
    <w:rsid w:val="00A96F53"/>
    <w:rsid w:val="00A97D12"/>
    <w:rsid w:val="00A97DEC"/>
    <w:rsid w:val="00AA0360"/>
    <w:rsid w:val="00AA061C"/>
    <w:rsid w:val="00AA0C24"/>
    <w:rsid w:val="00AA1124"/>
    <w:rsid w:val="00AA1717"/>
    <w:rsid w:val="00AA19E8"/>
    <w:rsid w:val="00AA1B30"/>
    <w:rsid w:val="00AA27C1"/>
    <w:rsid w:val="00AA2E4A"/>
    <w:rsid w:val="00AA2E6E"/>
    <w:rsid w:val="00AA31A4"/>
    <w:rsid w:val="00AA3979"/>
    <w:rsid w:val="00AA3A6B"/>
    <w:rsid w:val="00AA3D9E"/>
    <w:rsid w:val="00AA3DBD"/>
    <w:rsid w:val="00AA5D3E"/>
    <w:rsid w:val="00AA5F15"/>
    <w:rsid w:val="00AA6665"/>
    <w:rsid w:val="00AA7617"/>
    <w:rsid w:val="00AA7683"/>
    <w:rsid w:val="00AA78B4"/>
    <w:rsid w:val="00AA7A2C"/>
    <w:rsid w:val="00AA7E4F"/>
    <w:rsid w:val="00AA7E62"/>
    <w:rsid w:val="00AB0355"/>
    <w:rsid w:val="00AB0CBF"/>
    <w:rsid w:val="00AB0D6B"/>
    <w:rsid w:val="00AB1285"/>
    <w:rsid w:val="00AB145D"/>
    <w:rsid w:val="00AB1AA5"/>
    <w:rsid w:val="00AB1F6E"/>
    <w:rsid w:val="00AB1FDE"/>
    <w:rsid w:val="00AB2354"/>
    <w:rsid w:val="00AB2540"/>
    <w:rsid w:val="00AB28B5"/>
    <w:rsid w:val="00AB2C6A"/>
    <w:rsid w:val="00AB2CC6"/>
    <w:rsid w:val="00AB2FBC"/>
    <w:rsid w:val="00AB3817"/>
    <w:rsid w:val="00AB3900"/>
    <w:rsid w:val="00AB3EDC"/>
    <w:rsid w:val="00AB4441"/>
    <w:rsid w:val="00AB4B54"/>
    <w:rsid w:val="00AB4D51"/>
    <w:rsid w:val="00AB5539"/>
    <w:rsid w:val="00AB6D83"/>
    <w:rsid w:val="00AC03EC"/>
    <w:rsid w:val="00AC1212"/>
    <w:rsid w:val="00AC15F1"/>
    <w:rsid w:val="00AC1640"/>
    <w:rsid w:val="00AC20F1"/>
    <w:rsid w:val="00AC27E3"/>
    <w:rsid w:val="00AC2B5F"/>
    <w:rsid w:val="00AC2C56"/>
    <w:rsid w:val="00AC2FDD"/>
    <w:rsid w:val="00AC35AF"/>
    <w:rsid w:val="00AC3C5B"/>
    <w:rsid w:val="00AC3CBA"/>
    <w:rsid w:val="00AC3CFA"/>
    <w:rsid w:val="00AC4380"/>
    <w:rsid w:val="00AC4BB1"/>
    <w:rsid w:val="00AC4FCD"/>
    <w:rsid w:val="00AC5C97"/>
    <w:rsid w:val="00AC5F48"/>
    <w:rsid w:val="00AC635E"/>
    <w:rsid w:val="00AC6369"/>
    <w:rsid w:val="00AC6515"/>
    <w:rsid w:val="00AC67AF"/>
    <w:rsid w:val="00AC6D09"/>
    <w:rsid w:val="00AC7476"/>
    <w:rsid w:val="00AC7602"/>
    <w:rsid w:val="00AC79E0"/>
    <w:rsid w:val="00AD010E"/>
    <w:rsid w:val="00AD04EC"/>
    <w:rsid w:val="00AD05C5"/>
    <w:rsid w:val="00AD080A"/>
    <w:rsid w:val="00AD0D7C"/>
    <w:rsid w:val="00AD0F7E"/>
    <w:rsid w:val="00AD1BCC"/>
    <w:rsid w:val="00AD1C01"/>
    <w:rsid w:val="00AD23EB"/>
    <w:rsid w:val="00AD26F4"/>
    <w:rsid w:val="00AD3B01"/>
    <w:rsid w:val="00AD4010"/>
    <w:rsid w:val="00AD4067"/>
    <w:rsid w:val="00AD4310"/>
    <w:rsid w:val="00AD4453"/>
    <w:rsid w:val="00AD44B5"/>
    <w:rsid w:val="00AD4517"/>
    <w:rsid w:val="00AD4A55"/>
    <w:rsid w:val="00AD4B9E"/>
    <w:rsid w:val="00AD4E55"/>
    <w:rsid w:val="00AD4E62"/>
    <w:rsid w:val="00AD4EFF"/>
    <w:rsid w:val="00AD55B2"/>
    <w:rsid w:val="00AD5B29"/>
    <w:rsid w:val="00AD65AA"/>
    <w:rsid w:val="00AD6826"/>
    <w:rsid w:val="00AD6E17"/>
    <w:rsid w:val="00AD734C"/>
    <w:rsid w:val="00AD7621"/>
    <w:rsid w:val="00AD768F"/>
    <w:rsid w:val="00AD7EF8"/>
    <w:rsid w:val="00AE046F"/>
    <w:rsid w:val="00AE05D9"/>
    <w:rsid w:val="00AE0B1C"/>
    <w:rsid w:val="00AE101C"/>
    <w:rsid w:val="00AE1216"/>
    <w:rsid w:val="00AE17E6"/>
    <w:rsid w:val="00AE1F90"/>
    <w:rsid w:val="00AE31E5"/>
    <w:rsid w:val="00AE3365"/>
    <w:rsid w:val="00AE3C73"/>
    <w:rsid w:val="00AE41BA"/>
    <w:rsid w:val="00AE4646"/>
    <w:rsid w:val="00AE4A2A"/>
    <w:rsid w:val="00AE4A9C"/>
    <w:rsid w:val="00AE4BE3"/>
    <w:rsid w:val="00AE4ED8"/>
    <w:rsid w:val="00AE518B"/>
    <w:rsid w:val="00AE526A"/>
    <w:rsid w:val="00AE5313"/>
    <w:rsid w:val="00AE5448"/>
    <w:rsid w:val="00AE580C"/>
    <w:rsid w:val="00AE5B74"/>
    <w:rsid w:val="00AE5C7E"/>
    <w:rsid w:val="00AE649F"/>
    <w:rsid w:val="00AE69C6"/>
    <w:rsid w:val="00AE7258"/>
    <w:rsid w:val="00AE74D3"/>
    <w:rsid w:val="00AE75C3"/>
    <w:rsid w:val="00AE77AB"/>
    <w:rsid w:val="00AF0EA4"/>
    <w:rsid w:val="00AF1145"/>
    <w:rsid w:val="00AF11A4"/>
    <w:rsid w:val="00AF17CF"/>
    <w:rsid w:val="00AF1E4C"/>
    <w:rsid w:val="00AF1F8B"/>
    <w:rsid w:val="00AF201A"/>
    <w:rsid w:val="00AF2241"/>
    <w:rsid w:val="00AF2329"/>
    <w:rsid w:val="00AF2555"/>
    <w:rsid w:val="00AF277B"/>
    <w:rsid w:val="00AF2A01"/>
    <w:rsid w:val="00AF32DD"/>
    <w:rsid w:val="00AF35AA"/>
    <w:rsid w:val="00AF3F65"/>
    <w:rsid w:val="00AF41D0"/>
    <w:rsid w:val="00AF45BA"/>
    <w:rsid w:val="00AF492E"/>
    <w:rsid w:val="00AF4A39"/>
    <w:rsid w:val="00AF4BA9"/>
    <w:rsid w:val="00AF4C47"/>
    <w:rsid w:val="00AF4CCD"/>
    <w:rsid w:val="00AF5A47"/>
    <w:rsid w:val="00AF5CD8"/>
    <w:rsid w:val="00AF5D79"/>
    <w:rsid w:val="00AF6060"/>
    <w:rsid w:val="00AF67F2"/>
    <w:rsid w:val="00AF731E"/>
    <w:rsid w:val="00AF7678"/>
    <w:rsid w:val="00AF777C"/>
    <w:rsid w:val="00AF783D"/>
    <w:rsid w:val="00B000D2"/>
    <w:rsid w:val="00B0051F"/>
    <w:rsid w:val="00B00D2B"/>
    <w:rsid w:val="00B00E61"/>
    <w:rsid w:val="00B01B90"/>
    <w:rsid w:val="00B01CFF"/>
    <w:rsid w:val="00B022CA"/>
    <w:rsid w:val="00B0283F"/>
    <w:rsid w:val="00B02DF0"/>
    <w:rsid w:val="00B031E3"/>
    <w:rsid w:val="00B034DB"/>
    <w:rsid w:val="00B03C1E"/>
    <w:rsid w:val="00B041E1"/>
    <w:rsid w:val="00B05172"/>
    <w:rsid w:val="00B054C4"/>
    <w:rsid w:val="00B05A65"/>
    <w:rsid w:val="00B05E39"/>
    <w:rsid w:val="00B05E67"/>
    <w:rsid w:val="00B0605D"/>
    <w:rsid w:val="00B0676B"/>
    <w:rsid w:val="00B068EE"/>
    <w:rsid w:val="00B06A60"/>
    <w:rsid w:val="00B06C8E"/>
    <w:rsid w:val="00B07095"/>
    <w:rsid w:val="00B07680"/>
    <w:rsid w:val="00B07BB9"/>
    <w:rsid w:val="00B07DDE"/>
    <w:rsid w:val="00B10A35"/>
    <w:rsid w:val="00B112F6"/>
    <w:rsid w:val="00B11A30"/>
    <w:rsid w:val="00B126D1"/>
    <w:rsid w:val="00B129AA"/>
    <w:rsid w:val="00B12A27"/>
    <w:rsid w:val="00B13238"/>
    <w:rsid w:val="00B13268"/>
    <w:rsid w:val="00B1378E"/>
    <w:rsid w:val="00B13E07"/>
    <w:rsid w:val="00B13E40"/>
    <w:rsid w:val="00B14146"/>
    <w:rsid w:val="00B14207"/>
    <w:rsid w:val="00B146BF"/>
    <w:rsid w:val="00B1473A"/>
    <w:rsid w:val="00B14DFB"/>
    <w:rsid w:val="00B152FA"/>
    <w:rsid w:val="00B158B7"/>
    <w:rsid w:val="00B15DD7"/>
    <w:rsid w:val="00B161C3"/>
    <w:rsid w:val="00B1647B"/>
    <w:rsid w:val="00B166AA"/>
    <w:rsid w:val="00B16CCC"/>
    <w:rsid w:val="00B16D43"/>
    <w:rsid w:val="00B1762A"/>
    <w:rsid w:val="00B17660"/>
    <w:rsid w:val="00B1773D"/>
    <w:rsid w:val="00B1780A"/>
    <w:rsid w:val="00B178FB"/>
    <w:rsid w:val="00B2001B"/>
    <w:rsid w:val="00B2022E"/>
    <w:rsid w:val="00B2079C"/>
    <w:rsid w:val="00B2088E"/>
    <w:rsid w:val="00B213B2"/>
    <w:rsid w:val="00B21880"/>
    <w:rsid w:val="00B21D67"/>
    <w:rsid w:val="00B23B25"/>
    <w:rsid w:val="00B23B74"/>
    <w:rsid w:val="00B23ED0"/>
    <w:rsid w:val="00B240F4"/>
    <w:rsid w:val="00B245BF"/>
    <w:rsid w:val="00B24F0B"/>
    <w:rsid w:val="00B250AF"/>
    <w:rsid w:val="00B25241"/>
    <w:rsid w:val="00B25D87"/>
    <w:rsid w:val="00B26A80"/>
    <w:rsid w:val="00B26B23"/>
    <w:rsid w:val="00B271CD"/>
    <w:rsid w:val="00B27848"/>
    <w:rsid w:val="00B279BC"/>
    <w:rsid w:val="00B27FA8"/>
    <w:rsid w:val="00B30605"/>
    <w:rsid w:val="00B30CA1"/>
    <w:rsid w:val="00B31182"/>
    <w:rsid w:val="00B31978"/>
    <w:rsid w:val="00B32013"/>
    <w:rsid w:val="00B3283D"/>
    <w:rsid w:val="00B3285F"/>
    <w:rsid w:val="00B328E6"/>
    <w:rsid w:val="00B32A4A"/>
    <w:rsid w:val="00B33A45"/>
    <w:rsid w:val="00B33A63"/>
    <w:rsid w:val="00B33A8F"/>
    <w:rsid w:val="00B340C2"/>
    <w:rsid w:val="00B345EB"/>
    <w:rsid w:val="00B34C8A"/>
    <w:rsid w:val="00B34D04"/>
    <w:rsid w:val="00B34E78"/>
    <w:rsid w:val="00B3562A"/>
    <w:rsid w:val="00B35973"/>
    <w:rsid w:val="00B35C63"/>
    <w:rsid w:val="00B35DBE"/>
    <w:rsid w:val="00B35EDF"/>
    <w:rsid w:val="00B3640F"/>
    <w:rsid w:val="00B366A7"/>
    <w:rsid w:val="00B3683C"/>
    <w:rsid w:val="00B36C15"/>
    <w:rsid w:val="00B36D65"/>
    <w:rsid w:val="00B371D6"/>
    <w:rsid w:val="00B3725E"/>
    <w:rsid w:val="00B379F6"/>
    <w:rsid w:val="00B37B2D"/>
    <w:rsid w:val="00B37C53"/>
    <w:rsid w:val="00B403AC"/>
    <w:rsid w:val="00B404E0"/>
    <w:rsid w:val="00B40B65"/>
    <w:rsid w:val="00B41552"/>
    <w:rsid w:val="00B41888"/>
    <w:rsid w:val="00B42A27"/>
    <w:rsid w:val="00B430EF"/>
    <w:rsid w:val="00B43C07"/>
    <w:rsid w:val="00B445DD"/>
    <w:rsid w:val="00B44AAA"/>
    <w:rsid w:val="00B44C43"/>
    <w:rsid w:val="00B44CA3"/>
    <w:rsid w:val="00B457CE"/>
    <w:rsid w:val="00B45E94"/>
    <w:rsid w:val="00B46015"/>
    <w:rsid w:val="00B4633E"/>
    <w:rsid w:val="00B465E1"/>
    <w:rsid w:val="00B467CF"/>
    <w:rsid w:val="00B46AF4"/>
    <w:rsid w:val="00B46E63"/>
    <w:rsid w:val="00B47846"/>
    <w:rsid w:val="00B47A51"/>
    <w:rsid w:val="00B47D0A"/>
    <w:rsid w:val="00B506C7"/>
    <w:rsid w:val="00B50EE1"/>
    <w:rsid w:val="00B51B37"/>
    <w:rsid w:val="00B51C33"/>
    <w:rsid w:val="00B51F75"/>
    <w:rsid w:val="00B520CB"/>
    <w:rsid w:val="00B52103"/>
    <w:rsid w:val="00B52569"/>
    <w:rsid w:val="00B52B9B"/>
    <w:rsid w:val="00B52BC6"/>
    <w:rsid w:val="00B52CB7"/>
    <w:rsid w:val="00B533F5"/>
    <w:rsid w:val="00B53A70"/>
    <w:rsid w:val="00B53CA8"/>
    <w:rsid w:val="00B53FCA"/>
    <w:rsid w:val="00B541A2"/>
    <w:rsid w:val="00B54265"/>
    <w:rsid w:val="00B54B9B"/>
    <w:rsid w:val="00B54C96"/>
    <w:rsid w:val="00B5570A"/>
    <w:rsid w:val="00B55BE7"/>
    <w:rsid w:val="00B55FE4"/>
    <w:rsid w:val="00B564E9"/>
    <w:rsid w:val="00B569B4"/>
    <w:rsid w:val="00B56F38"/>
    <w:rsid w:val="00B573AC"/>
    <w:rsid w:val="00B57417"/>
    <w:rsid w:val="00B57E8A"/>
    <w:rsid w:val="00B60541"/>
    <w:rsid w:val="00B605A5"/>
    <w:rsid w:val="00B61843"/>
    <w:rsid w:val="00B61EBC"/>
    <w:rsid w:val="00B61FA7"/>
    <w:rsid w:val="00B62364"/>
    <w:rsid w:val="00B623B0"/>
    <w:rsid w:val="00B62453"/>
    <w:rsid w:val="00B630D9"/>
    <w:rsid w:val="00B64D08"/>
    <w:rsid w:val="00B658B8"/>
    <w:rsid w:val="00B65A8C"/>
    <w:rsid w:val="00B660F6"/>
    <w:rsid w:val="00B66492"/>
    <w:rsid w:val="00B66F70"/>
    <w:rsid w:val="00B671C2"/>
    <w:rsid w:val="00B674B3"/>
    <w:rsid w:val="00B675C6"/>
    <w:rsid w:val="00B67DCB"/>
    <w:rsid w:val="00B70A67"/>
    <w:rsid w:val="00B70BFB"/>
    <w:rsid w:val="00B70F49"/>
    <w:rsid w:val="00B71884"/>
    <w:rsid w:val="00B71FED"/>
    <w:rsid w:val="00B72671"/>
    <w:rsid w:val="00B72987"/>
    <w:rsid w:val="00B73EAA"/>
    <w:rsid w:val="00B73F34"/>
    <w:rsid w:val="00B744AE"/>
    <w:rsid w:val="00B75084"/>
    <w:rsid w:val="00B75513"/>
    <w:rsid w:val="00B75F2A"/>
    <w:rsid w:val="00B76140"/>
    <w:rsid w:val="00B765D1"/>
    <w:rsid w:val="00B76D57"/>
    <w:rsid w:val="00B770CD"/>
    <w:rsid w:val="00B7751F"/>
    <w:rsid w:val="00B77C4B"/>
    <w:rsid w:val="00B77FE6"/>
    <w:rsid w:val="00B808C3"/>
    <w:rsid w:val="00B80973"/>
    <w:rsid w:val="00B80BB0"/>
    <w:rsid w:val="00B80E8E"/>
    <w:rsid w:val="00B815BE"/>
    <w:rsid w:val="00B81A4C"/>
    <w:rsid w:val="00B81DC7"/>
    <w:rsid w:val="00B81EB8"/>
    <w:rsid w:val="00B8215C"/>
    <w:rsid w:val="00B82186"/>
    <w:rsid w:val="00B82285"/>
    <w:rsid w:val="00B82894"/>
    <w:rsid w:val="00B83268"/>
    <w:rsid w:val="00B83467"/>
    <w:rsid w:val="00B83DAE"/>
    <w:rsid w:val="00B847A9"/>
    <w:rsid w:val="00B84882"/>
    <w:rsid w:val="00B84A93"/>
    <w:rsid w:val="00B85011"/>
    <w:rsid w:val="00B869B8"/>
    <w:rsid w:val="00B874F5"/>
    <w:rsid w:val="00B877D3"/>
    <w:rsid w:val="00B87EAE"/>
    <w:rsid w:val="00B908BA"/>
    <w:rsid w:val="00B90F55"/>
    <w:rsid w:val="00B91BCA"/>
    <w:rsid w:val="00B92044"/>
    <w:rsid w:val="00B9214C"/>
    <w:rsid w:val="00B93E0B"/>
    <w:rsid w:val="00B94A38"/>
    <w:rsid w:val="00B95B19"/>
    <w:rsid w:val="00B95B88"/>
    <w:rsid w:val="00B96531"/>
    <w:rsid w:val="00B96BBC"/>
    <w:rsid w:val="00B96C02"/>
    <w:rsid w:val="00B96CBA"/>
    <w:rsid w:val="00B96D1D"/>
    <w:rsid w:val="00B96E30"/>
    <w:rsid w:val="00B97284"/>
    <w:rsid w:val="00B979B7"/>
    <w:rsid w:val="00B979D2"/>
    <w:rsid w:val="00BA0630"/>
    <w:rsid w:val="00BA0637"/>
    <w:rsid w:val="00BA0837"/>
    <w:rsid w:val="00BA0BC0"/>
    <w:rsid w:val="00BA0C77"/>
    <w:rsid w:val="00BA0DE3"/>
    <w:rsid w:val="00BA11C6"/>
    <w:rsid w:val="00BA1240"/>
    <w:rsid w:val="00BA12E2"/>
    <w:rsid w:val="00BA1447"/>
    <w:rsid w:val="00BA151C"/>
    <w:rsid w:val="00BA1A09"/>
    <w:rsid w:val="00BA1DDE"/>
    <w:rsid w:val="00BA29FC"/>
    <w:rsid w:val="00BA2BA9"/>
    <w:rsid w:val="00BA2CDB"/>
    <w:rsid w:val="00BA2DE3"/>
    <w:rsid w:val="00BA3819"/>
    <w:rsid w:val="00BA3922"/>
    <w:rsid w:val="00BA3D34"/>
    <w:rsid w:val="00BA411E"/>
    <w:rsid w:val="00BA4DF9"/>
    <w:rsid w:val="00BA4E56"/>
    <w:rsid w:val="00BA535E"/>
    <w:rsid w:val="00BA555C"/>
    <w:rsid w:val="00BA5C44"/>
    <w:rsid w:val="00BA6890"/>
    <w:rsid w:val="00BA6A19"/>
    <w:rsid w:val="00BA6B2A"/>
    <w:rsid w:val="00BA70DD"/>
    <w:rsid w:val="00BA768C"/>
    <w:rsid w:val="00BA7DA7"/>
    <w:rsid w:val="00BB05E7"/>
    <w:rsid w:val="00BB0A04"/>
    <w:rsid w:val="00BB0BCD"/>
    <w:rsid w:val="00BB1003"/>
    <w:rsid w:val="00BB10A7"/>
    <w:rsid w:val="00BB10E3"/>
    <w:rsid w:val="00BB15DC"/>
    <w:rsid w:val="00BB1964"/>
    <w:rsid w:val="00BB1FEB"/>
    <w:rsid w:val="00BB2946"/>
    <w:rsid w:val="00BB2B50"/>
    <w:rsid w:val="00BB2C92"/>
    <w:rsid w:val="00BB30BC"/>
    <w:rsid w:val="00BB3DBE"/>
    <w:rsid w:val="00BB4026"/>
    <w:rsid w:val="00BB411F"/>
    <w:rsid w:val="00BB444D"/>
    <w:rsid w:val="00BB496D"/>
    <w:rsid w:val="00BB4A11"/>
    <w:rsid w:val="00BB4CA9"/>
    <w:rsid w:val="00BB603B"/>
    <w:rsid w:val="00BB6379"/>
    <w:rsid w:val="00BB6503"/>
    <w:rsid w:val="00BB6757"/>
    <w:rsid w:val="00BB6D66"/>
    <w:rsid w:val="00BB6F53"/>
    <w:rsid w:val="00BC0848"/>
    <w:rsid w:val="00BC0857"/>
    <w:rsid w:val="00BC1430"/>
    <w:rsid w:val="00BC1B72"/>
    <w:rsid w:val="00BC2C3E"/>
    <w:rsid w:val="00BC30A1"/>
    <w:rsid w:val="00BC3E41"/>
    <w:rsid w:val="00BC3EA4"/>
    <w:rsid w:val="00BC3FAC"/>
    <w:rsid w:val="00BC3FF9"/>
    <w:rsid w:val="00BC4ADE"/>
    <w:rsid w:val="00BC4BF6"/>
    <w:rsid w:val="00BC5736"/>
    <w:rsid w:val="00BC576F"/>
    <w:rsid w:val="00BC596F"/>
    <w:rsid w:val="00BC5B81"/>
    <w:rsid w:val="00BC653B"/>
    <w:rsid w:val="00BC6A63"/>
    <w:rsid w:val="00BC70C7"/>
    <w:rsid w:val="00BC7213"/>
    <w:rsid w:val="00BC7CCA"/>
    <w:rsid w:val="00BD0149"/>
    <w:rsid w:val="00BD028B"/>
    <w:rsid w:val="00BD0EC3"/>
    <w:rsid w:val="00BD10D4"/>
    <w:rsid w:val="00BD1D3C"/>
    <w:rsid w:val="00BD1EDF"/>
    <w:rsid w:val="00BD27F2"/>
    <w:rsid w:val="00BD2957"/>
    <w:rsid w:val="00BD297C"/>
    <w:rsid w:val="00BD2B95"/>
    <w:rsid w:val="00BD2C89"/>
    <w:rsid w:val="00BD2D0E"/>
    <w:rsid w:val="00BD353B"/>
    <w:rsid w:val="00BD3A00"/>
    <w:rsid w:val="00BD3FF1"/>
    <w:rsid w:val="00BD4DC3"/>
    <w:rsid w:val="00BD4FD5"/>
    <w:rsid w:val="00BD52D8"/>
    <w:rsid w:val="00BD5D59"/>
    <w:rsid w:val="00BD5F26"/>
    <w:rsid w:val="00BD6284"/>
    <w:rsid w:val="00BD6F42"/>
    <w:rsid w:val="00BD713A"/>
    <w:rsid w:val="00BD7417"/>
    <w:rsid w:val="00BD780E"/>
    <w:rsid w:val="00BD78C1"/>
    <w:rsid w:val="00BE088E"/>
    <w:rsid w:val="00BE0B46"/>
    <w:rsid w:val="00BE0F4B"/>
    <w:rsid w:val="00BE1591"/>
    <w:rsid w:val="00BE2122"/>
    <w:rsid w:val="00BE3447"/>
    <w:rsid w:val="00BE37A7"/>
    <w:rsid w:val="00BE46A7"/>
    <w:rsid w:val="00BE5230"/>
    <w:rsid w:val="00BE54C0"/>
    <w:rsid w:val="00BE660B"/>
    <w:rsid w:val="00BE665B"/>
    <w:rsid w:val="00BE6CA9"/>
    <w:rsid w:val="00BE7720"/>
    <w:rsid w:val="00BF0E06"/>
    <w:rsid w:val="00BF0E5A"/>
    <w:rsid w:val="00BF0EBF"/>
    <w:rsid w:val="00BF14A9"/>
    <w:rsid w:val="00BF1C55"/>
    <w:rsid w:val="00BF1F8C"/>
    <w:rsid w:val="00BF29B3"/>
    <w:rsid w:val="00BF30AE"/>
    <w:rsid w:val="00BF3755"/>
    <w:rsid w:val="00BF4608"/>
    <w:rsid w:val="00BF4773"/>
    <w:rsid w:val="00BF4788"/>
    <w:rsid w:val="00BF4EAF"/>
    <w:rsid w:val="00BF560C"/>
    <w:rsid w:val="00BF7110"/>
    <w:rsid w:val="00BF7123"/>
    <w:rsid w:val="00BF72D8"/>
    <w:rsid w:val="00BF72F6"/>
    <w:rsid w:val="00BF7F40"/>
    <w:rsid w:val="00C006E2"/>
    <w:rsid w:val="00C00990"/>
    <w:rsid w:val="00C00E72"/>
    <w:rsid w:val="00C01029"/>
    <w:rsid w:val="00C01B34"/>
    <w:rsid w:val="00C01D2A"/>
    <w:rsid w:val="00C01DB3"/>
    <w:rsid w:val="00C02128"/>
    <w:rsid w:val="00C02C6C"/>
    <w:rsid w:val="00C02E1F"/>
    <w:rsid w:val="00C02F18"/>
    <w:rsid w:val="00C02F70"/>
    <w:rsid w:val="00C02FB2"/>
    <w:rsid w:val="00C0313C"/>
    <w:rsid w:val="00C03E51"/>
    <w:rsid w:val="00C03F73"/>
    <w:rsid w:val="00C04973"/>
    <w:rsid w:val="00C04BD0"/>
    <w:rsid w:val="00C04EA7"/>
    <w:rsid w:val="00C04FD8"/>
    <w:rsid w:val="00C05EAA"/>
    <w:rsid w:val="00C05F64"/>
    <w:rsid w:val="00C061D1"/>
    <w:rsid w:val="00C064C0"/>
    <w:rsid w:val="00C06E67"/>
    <w:rsid w:val="00C073DF"/>
    <w:rsid w:val="00C07969"/>
    <w:rsid w:val="00C10B79"/>
    <w:rsid w:val="00C11689"/>
    <w:rsid w:val="00C11E15"/>
    <w:rsid w:val="00C123AC"/>
    <w:rsid w:val="00C124B1"/>
    <w:rsid w:val="00C12D6F"/>
    <w:rsid w:val="00C13376"/>
    <w:rsid w:val="00C133C6"/>
    <w:rsid w:val="00C1359A"/>
    <w:rsid w:val="00C13957"/>
    <w:rsid w:val="00C13F50"/>
    <w:rsid w:val="00C140BA"/>
    <w:rsid w:val="00C14796"/>
    <w:rsid w:val="00C14997"/>
    <w:rsid w:val="00C14A12"/>
    <w:rsid w:val="00C15457"/>
    <w:rsid w:val="00C15D73"/>
    <w:rsid w:val="00C168F1"/>
    <w:rsid w:val="00C1736F"/>
    <w:rsid w:val="00C17379"/>
    <w:rsid w:val="00C17485"/>
    <w:rsid w:val="00C175F1"/>
    <w:rsid w:val="00C176A8"/>
    <w:rsid w:val="00C17CE5"/>
    <w:rsid w:val="00C2052C"/>
    <w:rsid w:val="00C2069D"/>
    <w:rsid w:val="00C20B8D"/>
    <w:rsid w:val="00C20E0D"/>
    <w:rsid w:val="00C214A2"/>
    <w:rsid w:val="00C217A1"/>
    <w:rsid w:val="00C21B13"/>
    <w:rsid w:val="00C21BDA"/>
    <w:rsid w:val="00C2206F"/>
    <w:rsid w:val="00C22A90"/>
    <w:rsid w:val="00C22B57"/>
    <w:rsid w:val="00C22D37"/>
    <w:rsid w:val="00C23893"/>
    <w:rsid w:val="00C23B7C"/>
    <w:rsid w:val="00C23C3B"/>
    <w:rsid w:val="00C23FB7"/>
    <w:rsid w:val="00C24453"/>
    <w:rsid w:val="00C245B7"/>
    <w:rsid w:val="00C24E2C"/>
    <w:rsid w:val="00C2538D"/>
    <w:rsid w:val="00C25521"/>
    <w:rsid w:val="00C25C43"/>
    <w:rsid w:val="00C25FC1"/>
    <w:rsid w:val="00C269ED"/>
    <w:rsid w:val="00C26E5C"/>
    <w:rsid w:val="00C274FC"/>
    <w:rsid w:val="00C27740"/>
    <w:rsid w:val="00C27A55"/>
    <w:rsid w:val="00C27BFB"/>
    <w:rsid w:val="00C3098F"/>
    <w:rsid w:val="00C30E8B"/>
    <w:rsid w:val="00C31FE1"/>
    <w:rsid w:val="00C321C4"/>
    <w:rsid w:val="00C32346"/>
    <w:rsid w:val="00C324F5"/>
    <w:rsid w:val="00C328CC"/>
    <w:rsid w:val="00C33385"/>
    <w:rsid w:val="00C334A4"/>
    <w:rsid w:val="00C3356E"/>
    <w:rsid w:val="00C336DF"/>
    <w:rsid w:val="00C339AD"/>
    <w:rsid w:val="00C3410A"/>
    <w:rsid w:val="00C347FB"/>
    <w:rsid w:val="00C34D1C"/>
    <w:rsid w:val="00C34D50"/>
    <w:rsid w:val="00C35B90"/>
    <w:rsid w:val="00C35D36"/>
    <w:rsid w:val="00C35D56"/>
    <w:rsid w:val="00C3601D"/>
    <w:rsid w:val="00C360FF"/>
    <w:rsid w:val="00C36AEB"/>
    <w:rsid w:val="00C3701C"/>
    <w:rsid w:val="00C37820"/>
    <w:rsid w:val="00C37D9A"/>
    <w:rsid w:val="00C37EA1"/>
    <w:rsid w:val="00C410D8"/>
    <w:rsid w:val="00C41BF3"/>
    <w:rsid w:val="00C42037"/>
    <w:rsid w:val="00C425E3"/>
    <w:rsid w:val="00C43290"/>
    <w:rsid w:val="00C43343"/>
    <w:rsid w:val="00C434D1"/>
    <w:rsid w:val="00C442C7"/>
    <w:rsid w:val="00C448AA"/>
    <w:rsid w:val="00C44ABE"/>
    <w:rsid w:val="00C450F6"/>
    <w:rsid w:val="00C452F9"/>
    <w:rsid w:val="00C4547B"/>
    <w:rsid w:val="00C45945"/>
    <w:rsid w:val="00C46F51"/>
    <w:rsid w:val="00C473C5"/>
    <w:rsid w:val="00C477C4"/>
    <w:rsid w:val="00C47D06"/>
    <w:rsid w:val="00C503D0"/>
    <w:rsid w:val="00C50474"/>
    <w:rsid w:val="00C50A50"/>
    <w:rsid w:val="00C50F02"/>
    <w:rsid w:val="00C51338"/>
    <w:rsid w:val="00C513F0"/>
    <w:rsid w:val="00C51A3D"/>
    <w:rsid w:val="00C51B74"/>
    <w:rsid w:val="00C51C27"/>
    <w:rsid w:val="00C529F7"/>
    <w:rsid w:val="00C52EED"/>
    <w:rsid w:val="00C53281"/>
    <w:rsid w:val="00C53533"/>
    <w:rsid w:val="00C5564B"/>
    <w:rsid w:val="00C55D29"/>
    <w:rsid w:val="00C56114"/>
    <w:rsid w:val="00C57AF9"/>
    <w:rsid w:val="00C57EC6"/>
    <w:rsid w:val="00C57F5A"/>
    <w:rsid w:val="00C60006"/>
    <w:rsid w:val="00C60510"/>
    <w:rsid w:val="00C6112E"/>
    <w:rsid w:val="00C617F5"/>
    <w:rsid w:val="00C61869"/>
    <w:rsid w:val="00C62204"/>
    <w:rsid w:val="00C62973"/>
    <w:rsid w:val="00C629FF"/>
    <w:rsid w:val="00C6395B"/>
    <w:rsid w:val="00C639C2"/>
    <w:rsid w:val="00C63CE1"/>
    <w:rsid w:val="00C63ED7"/>
    <w:rsid w:val="00C644DA"/>
    <w:rsid w:val="00C650C1"/>
    <w:rsid w:val="00C6521E"/>
    <w:rsid w:val="00C6566D"/>
    <w:rsid w:val="00C66035"/>
    <w:rsid w:val="00C6636B"/>
    <w:rsid w:val="00C66735"/>
    <w:rsid w:val="00C66ACA"/>
    <w:rsid w:val="00C66B38"/>
    <w:rsid w:val="00C66DB0"/>
    <w:rsid w:val="00C66F61"/>
    <w:rsid w:val="00C66FFF"/>
    <w:rsid w:val="00C67467"/>
    <w:rsid w:val="00C67E7D"/>
    <w:rsid w:val="00C701B4"/>
    <w:rsid w:val="00C70318"/>
    <w:rsid w:val="00C706CA"/>
    <w:rsid w:val="00C70936"/>
    <w:rsid w:val="00C71749"/>
    <w:rsid w:val="00C71B46"/>
    <w:rsid w:val="00C724E6"/>
    <w:rsid w:val="00C72531"/>
    <w:rsid w:val="00C72892"/>
    <w:rsid w:val="00C73194"/>
    <w:rsid w:val="00C73226"/>
    <w:rsid w:val="00C73869"/>
    <w:rsid w:val="00C73C3E"/>
    <w:rsid w:val="00C73EF6"/>
    <w:rsid w:val="00C742D6"/>
    <w:rsid w:val="00C745B9"/>
    <w:rsid w:val="00C74671"/>
    <w:rsid w:val="00C74A25"/>
    <w:rsid w:val="00C74AB9"/>
    <w:rsid w:val="00C74E89"/>
    <w:rsid w:val="00C7505A"/>
    <w:rsid w:val="00C750B6"/>
    <w:rsid w:val="00C75611"/>
    <w:rsid w:val="00C758D2"/>
    <w:rsid w:val="00C75943"/>
    <w:rsid w:val="00C75B2C"/>
    <w:rsid w:val="00C75C07"/>
    <w:rsid w:val="00C75C0B"/>
    <w:rsid w:val="00C76099"/>
    <w:rsid w:val="00C77621"/>
    <w:rsid w:val="00C77718"/>
    <w:rsid w:val="00C800E3"/>
    <w:rsid w:val="00C801E6"/>
    <w:rsid w:val="00C803D4"/>
    <w:rsid w:val="00C8068E"/>
    <w:rsid w:val="00C80F26"/>
    <w:rsid w:val="00C80F35"/>
    <w:rsid w:val="00C8157F"/>
    <w:rsid w:val="00C81CB3"/>
    <w:rsid w:val="00C81EED"/>
    <w:rsid w:val="00C82D84"/>
    <w:rsid w:val="00C832F9"/>
    <w:rsid w:val="00C833AD"/>
    <w:rsid w:val="00C8363E"/>
    <w:rsid w:val="00C8380F"/>
    <w:rsid w:val="00C84F37"/>
    <w:rsid w:val="00C85888"/>
    <w:rsid w:val="00C85EDA"/>
    <w:rsid w:val="00C8634B"/>
    <w:rsid w:val="00C86387"/>
    <w:rsid w:val="00C8643F"/>
    <w:rsid w:val="00C86DC5"/>
    <w:rsid w:val="00C86DEE"/>
    <w:rsid w:val="00C87256"/>
    <w:rsid w:val="00C87676"/>
    <w:rsid w:val="00C87CA5"/>
    <w:rsid w:val="00C90327"/>
    <w:rsid w:val="00C90807"/>
    <w:rsid w:val="00C90ABB"/>
    <w:rsid w:val="00C90ACC"/>
    <w:rsid w:val="00C911FF"/>
    <w:rsid w:val="00C91232"/>
    <w:rsid w:val="00C917FF"/>
    <w:rsid w:val="00C91829"/>
    <w:rsid w:val="00C91996"/>
    <w:rsid w:val="00C91C8D"/>
    <w:rsid w:val="00C91D47"/>
    <w:rsid w:val="00C922FC"/>
    <w:rsid w:val="00C92926"/>
    <w:rsid w:val="00C932E2"/>
    <w:rsid w:val="00C93391"/>
    <w:rsid w:val="00C93457"/>
    <w:rsid w:val="00C93512"/>
    <w:rsid w:val="00C93D08"/>
    <w:rsid w:val="00C94F28"/>
    <w:rsid w:val="00C958AE"/>
    <w:rsid w:val="00C95A71"/>
    <w:rsid w:val="00C95E6C"/>
    <w:rsid w:val="00C9674D"/>
    <w:rsid w:val="00C967F6"/>
    <w:rsid w:val="00C969C3"/>
    <w:rsid w:val="00C96BED"/>
    <w:rsid w:val="00C96CFA"/>
    <w:rsid w:val="00C972C2"/>
    <w:rsid w:val="00C9758B"/>
    <w:rsid w:val="00C978C7"/>
    <w:rsid w:val="00CA0137"/>
    <w:rsid w:val="00CA01A1"/>
    <w:rsid w:val="00CA0450"/>
    <w:rsid w:val="00CA05F9"/>
    <w:rsid w:val="00CA0D0C"/>
    <w:rsid w:val="00CA0DE0"/>
    <w:rsid w:val="00CA1156"/>
    <w:rsid w:val="00CA1ACE"/>
    <w:rsid w:val="00CA213A"/>
    <w:rsid w:val="00CA404C"/>
    <w:rsid w:val="00CA4D2B"/>
    <w:rsid w:val="00CA4D50"/>
    <w:rsid w:val="00CA5F9E"/>
    <w:rsid w:val="00CA6A9A"/>
    <w:rsid w:val="00CA6FD7"/>
    <w:rsid w:val="00CA70AE"/>
    <w:rsid w:val="00CA7A84"/>
    <w:rsid w:val="00CA7F60"/>
    <w:rsid w:val="00CB007A"/>
    <w:rsid w:val="00CB03CF"/>
    <w:rsid w:val="00CB0B56"/>
    <w:rsid w:val="00CB0CAB"/>
    <w:rsid w:val="00CB1C6B"/>
    <w:rsid w:val="00CB222D"/>
    <w:rsid w:val="00CB2A20"/>
    <w:rsid w:val="00CB2D88"/>
    <w:rsid w:val="00CB3E8F"/>
    <w:rsid w:val="00CB4167"/>
    <w:rsid w:val="00CB4328"/>
    <w:rsid w:val="00CB449E"/>
    <w:rsid w:val="00CB49B8"/>
    <w:rsid w:val="00CB4A25"/>
    <w:rsid w:val="00CB4E7D"/>
    <w:rsid w:val="00CB4F59"/>
    <w:rsid w:val="00CB524D"/>
    <w:rsid w:val="00CB5833"/>
    <w:rsid w:val="00CB5C84"/>
    <w:rsid w:val="00CB5CB2"/>
    <w:rsid w:val="00CB6470"/>
    <w:rsid w:val="00CB6DB0"/>
    <w:rsid w:val="00CB72B3"/>
    <w:rsid w:val="00CB7369"/>
    <w:rsid w:val="00CB74C3"/>
    <w:rsid w:val="00CB778B"/>
    <w:rsid w:val="00CB7D82"/>
    <w:rsid w:val="00CC04A3"/>
    <w:rsid w:val="00CC08EA"/>
    <w:rsid w:val="00CC0ED9"/>
    <w:rsid w:val="00CC1B4E"/>
    <w:rsid w:val="00CC21A2"/>
    <w:rsid w:val="00CC240E"/>
    <w:rsid w:val="00CC26B6"/>
    <w:rsid w:val="00CC284C"/>
    <w:rsid w:val="00CC2C6C"/>
    <w:rsid w:val="00CC3B39"/>
    <w:rsid w:val="00CC3BA9"/>
    <w:rsid w:val="00CC3C0A"/>
    <w:rsid w:val="00CC3D15"/>
    <w:rsid w:val="00CC42F0"/>
    <w:rsid w:val="00CC45CF"/>
    <w:rsid w:val="00CC497E"/>
    <w:rsid w:val="00CC58F4"/>
    <w:rsid w:val="00CC59AE"/>
    <w:rsid w:val="00CC6244"/>
    <w:rsid w:val="00CC6428"/>
    <w:rsid w:val="00CC684B"/>
    <w:rsid w:val="00CC757E"/>
    <w:rsid w:val="00CD01A2"/>
    <w:rsid w:val="00CD0383"/>
    <w:rsid w:val="00CD0851"/>
    <w:rsid w:val="00CD0A36"/>
    <w:rsid w:val="00CD0B9F"/>
    <w:rsid w:val="00CD0F65"/>
    <w:rsid w:val="00CD1F83"/>
    <w:rsid w:val="00CD29C9"/>
    <w:rsid w:val="00CD3538"/>
    <w:rsid w:val="00CD3637"/>
    <w:rsid w:val="00CD3995"/>
    <w:rsid w:val="00CD3E5E"/>
    <w:rsid w:val="00CD4313"/>
    <w:rsid w:val="00CD44EC"/>
    <w:rsid w:val="00CD473E"/>
    <w:rsid w:val="00CD478C"/>
    <w:rsid w:val="00CD53C1"/>
    <w:rsid w:val="00CD53D0"/>
    <w:rsid w:val="00CD58AE"/>
    <w:rsid w:val="00CD6468"/>
    <w:rsid w:val="00CD66DB"/>
    <w:rsid w:val="00CD67E8"/>
    <w:rsid w:val="00CD6914"/>
    <w:rsid w:val="00CD6ABD"/>
    <w:rsid w:val="00CD6B79"/>
    <w:rsid w:val="00CD7249"/>
    <w:rsid w:val="00CD7871"/>
    <w:rsid w:val="00CD789F"/>
    <w:rsid w:val="00CE0B9D"/>
    <w:rsid w:val="00CE0F12"/>
    <w:rsid w:val="00CE1633"/>
    <w:rsid w:val="00CE2973"/>
    <w:rsid w:val="00CE2D7B"/>
    <w:rsid w:val="00CE3D2B"/>
    <w:rsid w:val="00CE4573"/>
    <w:rsid w:val="00CE47AC"/>
    <w:rsid w:val="00CE597A"/>
    <w:rsid w:val="00CE5B5E"/>
    <w:rsid w:val="00CE5F69"/>
    <w:rsid w:val="00CE676B"/>
    <w:rsid w:val="00CE6EC2"/>
    <w:rsid w:val="00CE737F"/>
    <w:rsid w:val="00CE744B"/>
    <w:rsid w:val="00CF0453"/>
    <w:rsid w:val="00CF0570"/>
    <w:rsid w:val="00CF0680"/>
    <w:rsid w:val="00CF07DC"/>
    <w:rsid w:val="00CF0B2F"/>
    <w:rsid w:val="00CF16B6"/>
    <w:rsid w:val="00CF1B3F"/>
    <w:rsid w:val="00CF21C5"/>
    <w:rsid w:val="00CF22E9"/>
    <w:rsid w:val="00CF2CFC"/>
    <w:rsid w:val="00CF30BC"/>
    <w:rsid w:val="00CF3442"/>
    <w:rsid w:val="00CF3775"/>
    <w:rsid w:val="00CF3AF2"/>
    <w:rsid w:val="00CF3B9E"/>
    <w:rsid w:val="00CF451F"/>
    <w:rsid w:val="00CF4D74"/>
    <w:rsid w:val="00CF57F6"/>
    <w:rsid w:val="00CF5A5E"/>
    <w:rsid w:val="00CF5AE3"/>
    <w:rsid w:val="00CF61EB"/>
    <w:rsid w:val="00CF626E"/>
    <w:rsid w:val="00CF668D"/>
    <w:rsid w:val="00CF68C2"/>
    <w:rsid w:val="00CF7218"/>
    <w:rsid w:val="00CF7494"/>
    <w:rsid w:val="00CF7DE7"/>
    <w:rsid w:val="00D00156"/>
    <w:rsid w:val="00D00280"/>
    <w:rsid w:val="00D00DF9"/>
    <w:rsid w:val="00D01332"/>
    <w:rsid w:val="00D01BD4"/>
    <w:rsid w:val="00D01E96"/>
    <w:rsid w:val="00D02407"/>
    <w:rsid w:val="00D02C6B"/>
    <w:rsid w:val="00D03113"/>
    <w:rsid w:val="00D0314A"/>
    <w:rsid w:val="00D03343"/>
    <w:rsid w:val="00D04025"/>
    <w:rsid w:val="00D04538"/>
    <w:rsid w:val="00D04618"/>
    <w:rsid w:val="00D04D56"/>
    <w:rsid w:val="00D051D0"/>
    <w:rsid w:val="00D055FD"/>
    <w:rsid w:val="00D0588E"/>
    <w:rsid w:val="00D05DC9"/>
    <w:rsid w:val="00D05DED"/>
    <w:rsid w:val="00D06171"/>
    <w:rsid w:val="00D06A87"/>
    <w:rsid w:val="00D07819"/>
    <w:rsid w:val="00D079C5"/>
    <w:rsid w:val="00D07C64"/>
    <w:rsid w:val="00D07EC7"/>
    <w:rsid w:val="00D100E7"/>
    <w:rsid w:val="00D10386"/>
    <w:rsid w:val="00D11AD0"/>
    <w:rsid w:val="00D11E0B"/>
    <w:rsid w:val="00D12287"/>
    <w:rsid w:val="00D1251B"/>
    <w:rsid w:val="00D1275E"/>
    <w:rsid w:val="00D12A30"/>
    <w:rsid w:val="00D12AEB"/>
    <w:rsid w:val="00D12B71"/>
    <w:rsid w:val="00D13B45"/>
    <w:rsid w:val="00D13B5B"/>
    <w:rsid w:val="00D142A1"/>
    <w:rsid w:val="00D14418"/>
    <w:rsid w:val="00D1451F"/>
    <w:rsid w:val="00D1588F"/>
    <w:rsid w:val="00D15CEF"/>
    <w:rsid w:val="00D15D6D"/>
    <w:rsid w:val="00D15DE5"/>
    <w:rsid w:val="00D16362"/>
    <w:rsid w:val="00D165A5"/>
    <w:rsid w:val="00D1759A"/>
    <w:rsid w:val="00D17C91"/>
    <w:rsid w:val="00D17EDC"/>
    <w:rsid w:val="00D20112"/>
    <w:rsid w:val="00D20E69"/>
    <w:rsid w:val="00D20EB4"/>
    <w:rsid w:val="00D210B4"/>
    <w:rsid w:val="00D213AD"/>
    <w:rsid w:val="00D22058"/>
    <w:rsid w:val="00D22E57"/>
    <w:rsid w:val="00D22FB5"/>
    <w:rsid w:val="00D23FDD"/>
    <w:rsid w:val="00D240AD"/>
    <w:rsid w:val="00D24189"/>
    <w:rsid w:val="00D243B1"/>
    <w:rsid w:val="00D24469"/>
    <w:rsid w:val="00D24A09"/>
    <w:rsid w:val="00D24FFA"/>
    <w:rsid w:val="00D26016"/>
    <w:rsid w:val="00D26C7F"/>
    <w:rsid w:val="00D26CC1"/>
    <w:rsid w:val="00D2762E"/>
    <w:rsid w:val="00D27733"/>
    <w:rsid w:val="00D27851"/>
    <w:rsid w:val="00D27DDA"/>
    <w:rsid w:val="00D3072C"/>
    <w:rsid w:val="00D31004"/>
    <w:rsid w:val="00D312DB"/>
    <w:rsid w:val="00D316B3"/>
    <w:rsid w:val="00D317CD"/>
    <w:rsid w:val="00D31A6B"/>
    <w:rsid w:val="00D31E46"/>
    <w:rsid w:val="00D32715"/>
    <w:rsid w:val="00D32787"/>
    <w:rsid w:val="00D329B8"/>
    <w:rsid w:val="00D32AD1"/>
    <w:rsid w:val="00D33BC7"/>
    <w:rsid w:val="00D33EDB"/>
    <w:rsid w:val="00D34369"/>
    <w:rsid w:val="00D34E53"/>
    <w:rsid w:val="00D35428"/>
    <w:rsid w:val="00D35C12"/>
    <w:rsid w:val="00D35D94"/>
    <w:rsid w:val="00D35EE3"/>
    <w:rsid w:val="00D36218"/>
    <w:rsid w:val="00D36469"/>
    <w:rsid w:val="00D365FE"/>
    <w:rsid w:val="00D367FE"/>
    <w:rsid w:val="00D378B2"/>
    <w:rsid w:val="00D37DF0"/>
    <w:rsid w:val="00D40377"/>
    <w:rsid w:val="00D40380"/>
    <w:rsid w:val="00D40518"/>
    <w:rsid w:val="00D40CE7"/>
    <w:rsid w:val="00D41088"/>
    <w:rsid w:val="00D410A9"/>
    <w:rsid w:val="00D41430"/>
    <w:rsid w:val="00D4197F"/>
    <w:rsid w:val="00D41A2A"/>
    <w:rsid w:val="00D41F91"/>
    <w:rsid w:val="00D42061"/>
    <w:rsid w:val="00D420D7"/>
    <w:rsid w:val="00D42259"/>
    <w:rsid w:val="00D43090"/>
    <w:rsid w:val="00D432D5"/>
    <w:rsid w:val="00D43877"/>
    <w:rsid w:val="00D44320"/>
    <w:rsid w:val="00D451E1"/>
    <w:rsid w:val="00D453EE"/>
    <w:rsid w:val="00D454B5"/>
    <w:rsid w:val="00D45E0B"/>
    <w:rsid w:val="00D45FFF"/>
    <w:rsid w:val="00D46239"/>
    <w:rsid w:val="00D46688"/>
    <w:rsid w:val="00D46E8F"/>
    <w:rsid w:val="00D46FB7"/>
    <w:rsid w:val="00D4724A"/>
    <w:rsid w:val="00D472F9"/>
    <w:rsid w:val="00D47476"/>
    <w:rsid w:val="00D47668"/>
    <w:rsid w:val="00D4778D"/>
    <w:rsid w:val="00D47815"/>
    <w:rsid w:val="00D47B88"/>
    <w:rsid w:val="00D47DDC"/>
    <w:rsid w:val="00D507A5"/>
    <w:rsid w:val="00D509DC"/>
    <w:rsid w:val="00D51100"/>
    <w:rsid w:val="00D51248"/>
    <w:rsid w:val="00D514C6"/>
    <w:rsid w:val="00D5152E"/>
    <w:rsid w:val="00D51CEA"/>
    <w:rsid w:val="00D520F3"/>
    <w:rsid w:val="00D52A82"/>
    <w:rsid w:val="00D52C1D"/>
    <w:rsid w:val="00D52C8E"/>
    <w:rsid w:val="00D533A5"/>
    <w:rsid w:val="00D53483"/>
    <w:rsid w:val="00D53C5F"/>
    <w:rsid w:val="00D53FBA"/>
    <w:rsid w:val="00D5449B"/>
    <w:rsid w:val="00D545D6"/>
    <w:rsid w:val="00D5529E"/>
    <w:rsid w:val="00D55A5B"/>
    <w:rsid w:val="00D55ED9"/>
    <w:rsid w:val="00D55FFF"/>
    <w:rsid w:val="00D5615E"/>
    <w:rsid w:val="00D5734D"/>
    <w:rsid w:val="00D57863"/>
    <w:rsid w:val="00D57E8B"/>
    <w:rsid w:val="00D60299"/>
    <w:rsid w:val="00D605FB"/>
    <w:rsid w:val="00D60926"/>
    <w:rsid w:val="00D60BC2"/>
    <w:rsid w:val="00D60C1F"/>
    <w:rsid w:val="00D60D3F"/>
    <w:rsid w:val="00D60F98"/>
    <w:rsid w:val="00D62BA4"/>
    <w:rsid w:val="00D6360A"/>
    <w:rsid w:val="00D63B15"/>
    <w:rsid w:val="00D63C54"/>
    <w:rsid w:val="00D63F38"/>
    <w:rsid w:val="00D64496"/>
    <w:rsid w:val="00D6476C"/>
    <w:rsid w:val="00D64B2F"/>
    <w:rsid w:val="00D65069"/>
    <w:rsid w:val="00D658EC"/>
    <w:rsid w:val="00D65E78"/>
    <w:rsid w:val="00D65FB1"/>
    <w:rsid w:val="00D66D63"/>
    <w:rsid w:val="00D66D96"/>
    <w:rsid w:val="00D66DB8"/>
    <w:rsid w:val="00D66E89"/>
    <w:rsid w:val="00D675F8"/>
    <w:rsid w:val="00D67E08"/>
    <w:rsid w:val="00D67E1F"/>
    <w:rsid w:val="00D70A6D"/>
    <w:rsid w:val="00D71293"/>
    <w:rsid w:val="00D713BC"/>
    <w:rsid w:val="00D71EC1"/>
    <w:rsid w:val="00D71F58"/>
    <w:rsid w:val="00D71F68"/>
    <w:rsid w:val="00D721C8"/>
    <w:rsid w:val="00D72B7A"/>
    <w:rsid w:val="00D73AFA"/>
    <w:rsid w:val="00D73D41"/>
    <w:rsid w:val="00D73DF8"/>
    <w:rsid w:val="00D73F74"/>
    <w:rsid w:val="00D74903"/>
    <w:rsid w:val="00D74984"/>
    <w:rsid w:val="00D74A4D"/>
    <w:rsid w:val="00D753F9"/>
    <w:rsid w:val="00D754D7"/>
    <w:rsid w:val="00D756F7"/>
    <w:rsid w:val="00D75926"/>
    <w:rsid w:val="00D76954"/>
    <w:rsid w:val="00D76C62"/>
    <w:rsid w:val="00D76EB4"/>
    <w:rsid w:val="00D779BC"/>
    <w:rsid w:val="00D77A4C"/>
    <w:rsid w:val="00D77C05"/>
    <w:rsid w:val="00D77CF5"/>
    <w:rsid w:val="00D77D3E"/>
    <w:rsid w:val="00D801F8"/>
    <w:rsid w:val="00D80AAB"/>
    <w:rsid w:val="00D8185F"/>
    <w:rsid w:val="00D81C08"/>
    <w:rsid w:val="00D81D1E"/>
    <w:rsid w:val="00D81EAD"/>
    <w:rsid w:val="00D82E52"/>
    <w:rsid w:val="00D82F6F"/>
    <w:rsid w:val="00D82FE8"/>
    <w:rsid w:val="00D84497"/>
    <w:rsid w:val="00D84860"/>
    <w:rsid w:val="00D848E4"/>
    <w:rsid w:val="00D857DB"/>
    <w:rsid w:val="00D863D2"/>
    <w:rsid w:val="00D86BEB"/>
    <w:rsid w:val="00D86CD8"/>
    <w:rsid w:val="00D86EFC"/>
    <w:rsid w:val="00D87329"/>
    <w:rsid w:val="00D87339"/>
    <w:rsid w:val="00D87BF6"/>
    <w:rsid w:val="00D90259"/>
    <w:rsid w:val="00D9060A"/>
    <w:rsid w:val="00D90E92"/>
    <w:rsid w:val="00D90F5C"/>
    <w:rsid w:val="00D912CD"/>
    <w:rsid w:val="00D9193D"/>
    <w:rsid w:val="00D91F7B"/>
    <w:rsid w:val="00D9251F"/>
    <w:rsid w:val="00D92D95"/>
    <w:rsid w:val="00D93058"/>
    <w:rsid w:val="00D935F6"/>
    <w:rsid w:val="00D93980"/>
    <w:rsid w:val="00D93A68"/>
    <w:rsid w:val="00D93BDE"/>
    <w:rsid w:val="00D93F64"/>
    <w:rsid w:val="00D94C75"/>
    <w:rsid w:val="00D94DFC"/>
    <w:rsid w:val="00D95F6F"/>
    <w:rsid w:val="00D96140"/>
    <w:rsid w:val="00D9662F"/>
    <w:rsid w:val="00D96710"/>
    <w:rsid w:val="00D9683B"/>
    <w:rsid w:val="00D968BF"/>
    <w:rsid w:val="00D96B74"/>
    <w:rsid w:val="00D96C66"/>
    <w:rsid w:val="00D96EB2"/>
    <w:rsid w:val="00D97074"/>
    <w:rsid w:val="00D978A0"/>
    <w:rsid w:val="00D97B19"/>
    <w:rsid w:val="00DA0AB9"/>
    <w:rsid w:val="00DA127F"/>
    <w:rsid w:val="00DA1B56"/>
    <w:rsid w:val="00DA1F6A"/>
    <w:rsid w:val="00DA245F"/>
    <w:rsid w:val="00DA2C05"/>
    <w:rsid w:val="00DA2C0D"/>
    <w:rsid w:val="00DA3620"/>
    <w:rsid w:val="00DA394F"/>
    <w:rsid w:val="00DA3997"/>
    <w:rsid w:val="00DA3E80"/>
    <w:rsid w:val="00DA448E"/>
    <w:rsid w:val="00DA5084"/>
    <w:rsid w:val="00DA593B"/>
    <w:rsid w:val="00DA59B4"/>
    <w:rsid w:val="00DA59FB"/>
    <w:rsid w:val="00DA5D78"/>
    <w:rsid w:val="00DA6104"/>
    <w:rsid w:val="00DA628E"/>
    <w:rsid w:val="00DA6406"/>
    <w:rsid w:val="00DA6C9E"/>
    <w:rsid w:val="00DA72EA"/>
    <w:rsid w:val="00DA75C0"/>
    <w:rsid w:val="00DA778A"/>
    <w:rsid w:val="00DB00D4"/>
    <w:rsid w:val="00DB02D9"/>
    <w:rsid w:val="00DB036F"/>
    <w:rsid w:val="00DB03DD"/>
    <w:rsid w:val="00DB10C5"/>
    <w:rsid w:val="00DB10FC"/>
    <w:rsid w:val="00DB123C"/>
    <w:rsid w:val="00DB2320"/>
    <w:rsid w:val="00DB244F"/>
    <w:rsid w:val="00DB2D9C"/>
    <w:rsid w:val="00DB36B6"/>
    <w:rsid w:val="00DB446E"/>
    <w:rsid w:val="00DB4C81"/>
    <w:rsid w:val="00DB5A16"/>
    <w:rsid w:val="00DB5C4B"/>
    <w:rsid w:val="00DB643C"/>
    <w:rsid w:val="00DB654C"/>
    <w:rsid w:val="00DB663D"/>
    <w:rsid w:val="00DB69B8"/>
    <w:rsid w:val="00DB6EEC"/>
    <w:rsid w:val="00DB774E"/>
    <w:rsid w:val="00DB7DC3"/>
    <w:rsid w:val="00DB7FD7"/>
    <w:rsid w:val="00DC0311"/>
    <w:rsid w:val="00DC05C7"/>
    <w:rsid w:val="00DC06A5"/>
    <w:rsid w:val="00DC0B90"/>
    <w:rsid w:val="00DC1A59"/>
    <w:rsid w:val="00DC1A65"/>
    <w:rsid w:val="00DC1DB1"/>
    <w:rsid w:val="00DC1F10"/>
    <w:rsid w:val="00DC20DB"/>
    <w:rsid w:val="00DC224D"/>
    <w:rsid w:val="00DC2DC2"/>
    <w:rsid w:val="00DC2E5C"/>
    <w:rsid w:val="00DC338B"/>
    <w:rsid w:val="00DC3535"/>
    <w:rsid w:val="00DC3841"/>
    <w:rsid w:val="00DC3B03"/>
    <w:rsid w:val="00DC3C9E"/>
    <w:rsid w:val="00DC3CC6"/>
    <w:rsid w:val="00DC43FF"/>
    <w:rsid w:val="00DC4B52"/>
    <w:rsid w:val="00DC5255"/>
    <w:rsid w:val="00DC590C"/>
    <w:rsid w:val="00DC5988"/>
    <w:rsid w:val="00DC5FDB"/>
    <w:rsid w:val="00DC6CC1"/>
    <w:rsid w:val="00DC7619"/>
    <w:rsid w:val="00DC76DD"/>
    <w:rsid w:val="00DC7F3D"/>
    <w:rsid w:val="00DD00E1"/>
    <w:rsid w:val="00DD0A69"/>
    <w:rsid w:val="00DD0A87"/>
    <w:rsid w:val="00DD156B"/>
    <w:rsid w:val="00DD1A81"/>
    <w:rsid w:val="00DD1A9E"/>
    <w:rsid w:val="00DD1C38"/>
    <w:rsid w:val="00DD2402"/>
    <w:rsid w:val="00DD2725"/>
    <w:rsid w:val="00DD2EAD"/>
    <w:rsid w:val="00DD2F5B"/>
    <w:rsid w:val="00DD30CA"/>
    <w:rsid w:val="00DD3491"/>
    <w:rsid w:val="00DD3706"/>
    <w:rsid w:val="00DD419A"/>
    <w:rsid w:val="00DD4C99"/>
    <w:rsid w:val="00DD4DB3"/>
    <w:rsid w:val="00DD4F16"/>
    <w:rsid w:val="00DD5205"/>
    <w:rsid w:val="00DD5D91"/>
    <w:rsid w:val="00DD63A3"/>
    <w:rsid w:val="00DD6522"/>
    <w:rsid w:val="00DD691C"/>
    <w:rsid w:val="00DD6B96"/>
    <w:rsid w:val="00DD6D84"/>
    <w:rsid w:val="00DD6F2D"/>
    <w:rsid w:val="00DD6F41"/>
    <w:rsid w:val="00DD7677"/>
    <w:rsid w:val="00DD7BB0"/>
    <w:rsid w:val="00DE057C"/>
    <w:rsid w:val="00DE05C1"/>
    <w:rsid w:val="00DE0897"/>
    <w:rsid w:val="00DE0EC9"/>
    <w:rsid w:val="00DE1661"/>
    <w:rsid w:val="00DE1AAF"/>
    <w:rsid w:val="00DE20FB"/>
    <w:rsid w:val="00DE2E37"/>
    <w:rsid w:val="00DE2FFF"/>
    <w:rsid w:val="00DE34CA"/>
    <w:rsid w:val="00DE34DE"/>
    <w:rsid w:val="00DE3659"/>
    <w:rsid w:val="00DE38C6"/>
    <w:rsid w:val="00DE3B32"/>
    <w:rsid w:val="00DE3E1B"/>
    <w:rsid w:val="00DE4778"/>
    <w:rsid w:val="00DE50EE"/>
    <w:rsid w:val="00DE52A6"/>
    <w:rsid w:val="00DE5399"/>
    <w:rsid w:val="00DE59DF"/>
    <w:rsid w:val="00DE60C2"/>
    <w:rsid w:val="00DE6CA7"/>
    <w:rsid w:val="00DE7161"/>
    <w:rsid w:val="00DE7181"/>
    <w:rsid w:val="00DE7463"/>
    <w:rsid w:val="00DE773E"/>
    <w:rsid w:val="00DE7859"/>
    <w:rsid w:val="00DE78D3"/>
    <w:rsid w:val="00DE7BC1"/>
    <w:rsid w:val="00DE7C00"/>
    <w:rsid w:val="00DE7C0C"/>
    <w:rsid w:val="00DF0105"/>
    <w:rsid w:val="00DF0417"/>
    <w:rsid w:val="00DF157B"/>
    <w:rsid w:val="00DF16CC"/>
    <w:rsid w:val="00DF1B88"/>
    <w:rsid w:val="00DF1C28"/>
    <w:rsid w:val="00DF20D3"/>
    <w:rsid w:val="00DF292B"/>
    <w:rsid w:val="00DF3062"/>
    <w:rsid w:val="00DF3B62"/>
    <w:rsid w:val="00DF3B9D"/>
    <w:rsid w:val="00DF3DE5"/>
    <w:rsid w:val="00DF468A"/>
    <w:rsid w:val="00DF4D6E"/>
    <w:rsid w:val="00DF539C"/>
    <w:rsid w:val="00DF6533"/>
    <w:rsid w:val="00DF7DE2"/>
    <w:rsid w:val="00DF7F5A"/>
    <w:rsid w:val="00E00579"/>
    <w:rsid w:val="00E00B75"/>
    <w:rsid w:val="00E00C86"/>
    <w:rsid w:val="00E017E0"/>
    <w:rsid w:val="00E01A00"/>
    <w:rsid w:val="00E01C54"/>
    <w:rsid w:val="00E01D79"/>
    <w:rsid w:val="00E0258B"/>
    <w:rsid w:val="00E0295F"/>
    <w:rsid w:val="00E034EA"/>
    <w:rsid w:val="00E035F6"/>
    <w:rsid w:val="00E039D7"/>
    <w:rsid w:val="00E04DE2"/>
    <w:rsid w:val="00E05212"/>
    <w:rsid w:val="00E0589F"/>
    <w:rsid w:val="00E05B7F"/>
    <w:rsid w:val="00E0608E"/>
    <w:rsid w:val="00E0630F"/>
    <w:rsid w:val="00E067AB"/>
    <w:rsid w:val="00E070FF"/>
    <w:rsid w:val="00E076FE"/>
    <w:rsid w:val="00E07FD1"/>
    <w:rsid w:val="00E10068"/>
    <w:rsid w:val="00E10477"/>
    <w:rsid w:val="00E10501"/>
    <w:rsid w:val="00E108BF"/>
    <w:rsid w:val="00E10C80"/>
    <w:rsid w:val="00E10DBC"/>
    <w:rsid w:val="00E11780"/>
    <w:rsid w:val="00E11927"/>
    <w:rsid w:val="00E119F2"/>
    <w:rsid w:val="00E11AA0"/>
    <w:rsid w:val="00E11AC8"/>
    <w:rsid w:val="00E11F8A"/>
    <w:rsid w:val="00E122DF"/>
    <w:rsid w:val="00E12330"/>
    <w:rsid w:val="00E12652"/>
    <w:rsid w:val="00E128AA"/>
    <w:rsid w:val="00E133F3"/>
    <w:rsid w:val="00E14303"/>
    <w:rsid w:val="00E14B9E"/>
    <w:rsid w:val="00E150C9"/>
    <w:rsid w:val="00E15214"/>
    <w:rsid w:val="00E15AD4"/>
    <w:rsid w:val="00E1678D"/>
    <w:rsid w:val="00E168A7"/>
    <w:rsid w:val="00E17201"/>
    <w:rsid w:val="00E17450"/>
    <w:rsid w:val="00E17500"/>
    <w:rsid w:val="00E1751B"/>
    <w:rsid w:val="00E20688"/>
    <w:rsid w:val="00E20874"/>
    <w:rsid w:val="00E20AF5"/>
    <w:rsid w:val="00E20BCB"/>
    <w:rsid w:val="00E20D65"/>
    <w:rsid w:val="00E21C72"/>
    <w:rsid w:val="00E2249F"/>
    <w:rsid w:val="00E225EB"/>
    <w:rsid w:val="00E22767"/>
    <w:rsid w:val="00E23540"/>
    <w:rsid w:val="00E237F3"/>
    <w:rsid w:val="00E2385F"/>
    <w:rsid w:val="00E23D0A"/>
    <w:rsid w:val="00E24811"/>
    <w:rsid w:val="00E24AC1"/>
    <w:rsid w:val="00E24B3E"/>
    <w:rsid w:val="00E24B94"/>
    <w:rsid w:val="00E24BFF"/>
    <w:rsid w:val="00E24EE5"/>
    <w:rsid w:val="00E2567B"/>
    <w:rsid w:val="00E25BFA"/>
    <w:rsid w:val="00E25FB4"/>
    <w:rsid w:val="00E26016"/>
    <w:rsid w:val="00E273F1"/>
    <w:rsid w:val="00E27913"/>
    <w:rsid w:val="00E27DA6"/>
    <w:rsid w:val="00E30727"/>
    <w:rsid w:val="00E30EED"/>
    <w:rsid w:val="00E313B4"/>
    <w:rsid w:val="00E3178B"/>
    <w:rsid w:val="00E31983"/>
    <w:rsid w:val="00E32078"/>
    <w:rsid w:val="00E34165"/>
    <w:rsid w:val="00E34764"/>
    <w:rsid w:val="00E348C8"/>
    <w:rsid w:val="00E350A4"/>
    <w:rsid w:val="00E35634"/>
    <w:rsid w:val="00E35744"/>
    <w:rsid w:val="00E36035"/>
    <w:rsid w:val="00E36194"/>
    <w:rsid w:val="00E361BC"/>
    <w:rsid w:val="00E3690E"/>
    <w:rsid w:val="00E36B57"/>
    <w:rsid w:val="00E36BFE"/>
    <w:rsid w:val="00E36D69"/>
    <w:rsid w:val="00E371EB"/>
    <w:rsid w:val="00E37221"/>
    <w:rsid w:val="00E376E9"/>
    <w:rsid w:val="00E37927"/>
    <w:rsid w:val="00E37DE7"/>
    <w:rsid w:val="00E37E0F"/>
    <w:rsid w:val="00E37E83"/>
    <w:rsid w:val="00E37EB6"/>
    <w:rsid w:val="00E4041E"/>
    <w:rsid w:val="00E404B9"/>
    <w:rsid w:val="00E4085D"/>
    <w:rsid w:val="00E409D6"/>
    <w:rsid w:val="00E41581"/>
    <w:rsid w:val="00E41760"/>
    <w:rsid w:val="00E41958"/>
    <w:rsid w:val="00E41A2A"/>
    <w:rsid w:val="00E421D8"/>
    <w:rsid w:val="00E4261F"/>
    <w:rsid w:val="00E42961"/>
    <w:rsid w:val="00E42EBC"/>
    <w:rsid w:val="00E43410"/>
    <w:rsid w:val="00E43643"/>
    <w:rsid w:val="00E43662"/>
    <w:rsid w:val="00E43975"/>
    <w:rsid w:val="00E43A3F"/>
    <w:rsid w:val="00E44255"/>
    <w:rsid w:val="00E4451E"/>
    <w:rsid w:val="00E44C4A"/>
    <w:rsid w:val="00E44E82"/>
    <w:rsid w:val="00E44F96"/>
    <w:rsid w:val="00E45584"/>
    <w:rsid w:val="00E45A52"/>
    <w:rsid w:val="00E46228"/>
    <w:rsid w:val="00E4719F"/>
    <w:rsid w:val="00E473A7"/>
    <w:rsid w:val="00E47542"/>
    <w:rsid w:val="00E47907"/>
    <w:rsid w:val="00E47B08"/>
    <w:rsid w:val="00E50AAA"/>
    <w:rsid w:val="00E50B4F"/>
    <w:rsid w:val="00E50C4A"/>
    <w:rsid w:val="00E50E91"/>
    <w:rsid w:val="00E511AD"/>
    <w:rsid w:val="00E512D2"/>
    <w:rsid w:val="00E514A1"/>
    <w:rsid w:val="00E51749"/>
    <w:rsid w:val="00E51CE0"/>
    <w:rsid w:val="00E52077"/>
    <w:rsid w:val="00E52092"/>
    <w:rsid w:val="00E5259D"/>
    <w:rsid w:val="00E53034"/>
    <w:rsid w:val="00E54ABA"/>
    <w:rsid w:val="00E54E8F"/>
    <w:rsid w:val="00E551C3"/>
    <w:rsid w:val="00E55503"/>
    <w:rsid w:val="00E56012"/>
    <w:rsid w:val="00E56ADF"/>
    <w:rsid w:val="00E600F4"/>
    <w:rsid w:val="00E6020D"/>
    <w:rsid w:val="00E60B3F"/>
    <w:rsid w:val="00E60B49"/>
    <w:rsid w:val="00E60BA4"/>
    <w:rsid w:val="00E60D1D"/>
    <w:rsid w:val="00E61024"/>
    <w:rsid w:val="00E61DA6"/>
    <w:rsid w:val="00E61F65"/>
    <w:rsid w:val="00E62A07"/>
    <w:rsid w:val="00E63066"/>
    <w:rsid w:val="00E638BB"/>
    <w:rsid w:val="00E638F9"/>
    <w:rsid w:val="00E639F4"/>
    <w:rsid w:val="00E6483C"/>
    <w:rsid w:val="00E64895"/>
    <w:rsid w:val="00E652C0"/>
    <w:rsid w:val="00E65919"/>
    <w:rsid w:val="00E65BC8"/>
    <w:rsid w:val="00E65E80"/>
    <w:rsid w:val="00E66421"/>
    <w:rsid w:val="00E66D42"/>
    <w:rsid w:val="00E66ECA"/>
    <w:rsid w:val="00E66FA1"/>
    <w:rsid w:val="00E675E9"/>
    <w:rsid w:val="00E67EDA"/>
    <w:rsid w:val="00E70896"/>
    <w:rsid w:val="00E70EA6"/>
    <w:rsid w:val="00E7115F"/>
    <w:rsid w:val="00E71777"/>
    <w:rsid w:val="00E71B46"/>
    <w:rsid w:val="00E72012"/>
    <w:rsid w:val="00E726C6"/>
    <w:rsid w:val="00E72BDE"/>
    <w:rsid w:val="00E72CED"/>
    <w:rsid w:val="00E72E6D"/>
    <w:rsid w:val="00E73A39"/>
    <w:rsid w:val="00E73CEE"/>
    <w:rsid w:val="00E7499A"/>
    <w:rsid w:val="00E7518B"/>
    <w:rsid w:val="00E76380"/>
    <w:rsid w:val="00E772CE"/>
    <w:rsid w:val="00E773F1"/>
    <w:rsid w:val="00E779A4"/>
    <w:rsid w:val="00E77EE8"/>
    <w:rsid w:val="00E80187"/>
    <w:rsid w:val="00E80351"/>
    <w:rsid w:val="00E808AF"/>
    <w:rsid w:val="00E809A2"/>
    <w:rsid w:val="00E818C4"/>
    <w:rsid w:val="00E81E4E"/>
    <w:rsid w:val="00E83834"/>
    <w:rsid w:val="00E83944"/>
    <w:rsid w:val="00E83A04"/>
    <w:rsid w:val="00E83FA0"/>
    <w:rsid w:val="00E842EC"/>
    <w:rsid w:val="00E8511E"/>
    <w:rsid w:val="00E8532D"/>
    <w:rsid w:val="00E854BC"/>
    <w:rsid w:val="00E85912"/>
    <w:rsid w:val="00E85A13"/>
    <w:rsid w:val="00E85A33"/>
    <w:rsid w:val="00E85C58"/>
    <w:rsid w:val="00E85F8C"/>
    <w:rsid w:val="00E862F0"/>
    <w:rsid w:val="00E86528"/>
    <w:rsid w:val="00E8665B"/>
    <w:rsid w:val="00E86C86"/>
    <w:rsid w:val="00E871A0"/>
    <w:rsid w:val="00E87201"/>
    <w:rsid w:val="00E87226"/>
    <w:rsid w:val="00E877EA"/>
    <w:rsid w:val="00E87A03"/>
    <w:rsid w:val="00E87E52"/>
    <w:rsid w:val="00E87EAB"/>
    <w:rsid w:val="00E87FD9"/>
    <w:rsid w:val="00E902B2"/>
    <w:rsid w:val="00E907E8"/>
    <w:rsid w:val="00E91287"/>
    <w:rsid w:val="00E9188B"/>
    <w:rsid w:val="00E91B56"/>
    <w:rsid w:val="00E92462"/>
    <w:rsid w:val="00E926BB"/>
    <w:rsid w:val="00E927F2"/>
    <w:rsid w:val="00E928CB"/>
    <w:rsid w:val="00E937B8"/>
    <w:rsid w:val="00E9404E"/>
    <w:rsid w:val="00E94201"/>
    <w:rsid w:val="00E943E9"/>
    <w:rsid w:val="00E9448C"/>
    <w:rsid w:val="00E946AD"/>
    <w:rsid w:val="00E949B2"/>
    <w:rsid w:val="00E95014"/>
    <w:rsid w:val="00E956DC"/>
    <w:rsid w:val="00E95F4D"/>
    <w:rsid w:val="00E968DE"/>
    <w:rsid w:val="00E96C62"/>
    <w:rsid w:val="00E96C68"/>
    <w:rsid w:val="00E96D87"/>
    <w:rsid w:val="00E972DD"/>
    <w:rsid w:val="00E972FC"/>
    <w:rsid w:val="00E97824"/>
    <w:rsid w:val="00E97A29"/>
    <w:rsid w:val="00E97A30"/>
    <w:rsid w:val="00EA0AAB"/>
    <w:rsid w:val="00EA0C5C"/>
    <w:rsid w:val="00EA107C"/>
    <w:rsid w:val="00EA1188"/>
    <w:rsid w:val="00EA1845"/>
    <w:rsid w:val="00EA1A11"/>
    <w:rsid w:val="00EA1A3F"/>
    <w:rsid w:val="00EA282C"/>
    <w:rsid w:val="00EA2E93"/>
    <w:rsid w:val="00EA33F8"/>
    <w:rsid w:val="00EA3482"/>
    <w:rsid w:val="00EA38B8"/>
    <w:rsid w:val="00EA3AE3"/>
    <w:rsid w:val="00EA40CD"/>
    <w:rsid w:val="00EA4E2A"/>
    <w:rsid w:val="00EA4F87"/>
    <w:rsid w:val="00EA4FE9"/>
    <w:rsid w:val="00EA573C"/>
    <w:rsid w:val="00EA651E"/>
    <w:rsid w:val="00EA6719"/>
    <w:rsid w:val="00EA709C"/>
    <w:rsid w:val="00EA759C"/>
    <w:rsid w:val="00EA76F9"/>
    <w:rsid w:val="00EA7AA2"/>
    <w:rsid w:val="00EB0256"/>
    <w:rsid w:val="00EB0B94"/>
    <w:rsid w:val="00EB0D70"/>
    <w:rsid w:val="00EB0F82"/>
    <w:rsid w:val="00EB0FF0"/>
    <w:rsid w:val="00EB1274"/>
    <w:rsid w:val="00EB1286"/>
    <w:rsid w:val="00EB12E7"/>
    <w:rsid w:val="00EB12F9"/>
    <w:rsid w:val="00EB17F1"/>
    <w:rsid w:val="00EB19AF"/>
    <w:rsid w:val="00EB234A"/>
    <w:rsid w:val="00EB2F2C"/>
    <w:rsid w:val="00EB3413"/>
    <w:rsid w:val="00EB349E"/>
    <w:rsid w:val="00EB3DF8"/>
    <w:rsid w:val="00EB3E91"/>
    <w:rsid w:val="00EB420A"/>
    <w:rsid w:val="00EB4AC6"/>
    <w:rsid w:val="00EB4AE9"/>
    <w:rsid w:val="00EB4DF8"/>
    <w:rsid w:val="00EB4E8A"/>
    <w:rsid w:val="00EB5255"/>
    <w:rsid w:val="00EB549A"/>
    <w:rsid w:val="00EB57FD"/>
    <w:rsid w:val="00EB5BB9"/>
    <w:rsid w:val="00EB5FDB"/>
    <w:rsid w:val="00EB64BA"/>
    <w:rsid w:val="00EB672E"/>
    <w:rsid w:val="00EB6AC7"/>
    <w:rsid w:val="00EB7361"/>
    <w:rsid w:val="00EB774B"/>
    <w:rsid w:val="00EB79E9"/>
    <w:rsid w:val="00EB7B11"/>
    <w:rsid w:val="00EC016C"/>
    <w:rsid w:val="00EC04C0"/>
    <w:rsid w:val="00EC05FB"/>
    <w:rsid w:val="00EC076E"/>
    <w:rsid w:val="00EC0B5A"/>
    <w:rsid w:val="00EC0D75"/>
    <w:rsid w:val="00EC104A"/>
    <w:rsid w:val="00EC1286"/>
    <w:rsid w:val="00EC16EC"/>
    <w:rsid w:val="00EC198B"/>
    <w:rsid w:val="00EC1A58"/>
    <w:rsid w:val="00EC2790"/>
    <w:rsid w:val="00EC29F1"/>
    <w:rsid w:val="00EC2AD4"/>
    <w:rsid w:val="00EC2EA1"/>
    <w:rsid w:val="00EC3151"/>
    <w:rsid w:val="00EC339B"/>
    <w:rsid w:val="00EC3A38"/>
    <w:rsid w:val="00EC3CFF"/>
    <w:rsid w:val="00EC4007"/>
    <w:rsid w:val="00EC482A"/>
    <w:rsid w:val="00EC4EFC"/>
    <w:rsid w:val="00EC5529"/>
    <w:rsid w:val="00EC6143"/>
    <w:rsid w:val="00EC630E"/>
    <w:rsid w:val="00EC6F0B"/>
    <w:rsid w:val="00ED105A"/>
    <w:rsid w:val="00ED15C7"/>
    <w:rsid w:val="00ED1F85"/>
    <w:rsid w:val="00ED22A0"/>
    <w:rsid w:val="00ED240F"/>
    <w:rsid w:val="00ED244A"/>
    <w:rsid w:val="00ED2B7E"/>
    <w:rsid w:val="00ED31B8"/>
    <w:rsid w:val="00ED358F"/>
    <w:rsid w:val="00ED3C0A"/>
    <w:rsid w:val="00ED3DEE"/>
    <w:rsid w:val="00ED41B5"/>
    <w:rsid w:val="00ED470B"/>
    <w:rsid w:val="00ED4B4F"/>
    <w:rsid w:val="00ED4E08"/>
    <w:rsid w:val="00ED5048"/>
    <w:rsid w:val="00ED51A9"/>
    <w:rsid w:val="00ED54EF"/>
    <w:rsid w:val="00ED5631"/>
    <w:rsid w:val="00ED585D"/>
    <w:rsid w:val="00ED5861"/>
    <w:rsid w:val="00ED5892"/>
    <w:rsid w:val="00ED5978"/>
    <w:rsid w:val="00ED59EB"/>
    <w:rsid w:val="00ED5A9F"/>
    <w:rsid w:val="00ED64FD"/>
    <w:rsid w:val="00ED683F"/>
    <w:rsid w:val="00ED6E65"/>
    <w:rsid w:val="00ED6F6C"/>
    <w:rsid w:val="00ED7086"/>
    <w:rsid w:val="00ED7E6E"/>
    <w:rsid w:val="00ED7F97"/>
    <w:rsid w:val="00EE057A"/>
    <w:rsid w:val="00EE238B"/>
    <w:rsid w:val="00EE2617"/>
    <w:rsid w:val="00EE279F"/>
    <w:rsid w:val="00EE2A3C"/>
    <w:rsid w:val="00EE35ED"/>
    <w:rsid w:val="00EE37AF"/>
    <w:rsid w:val="00EE3FA2"/>
    <w:rsid w:val="00EE4364"/>
    <w:rsid w:val="00EE4688"/>
    <w:rsid w:val="00EE47A9"/>
    <w:rsid w:val="00EE4FAB"/>
    <w:rsid w:val="00EE5AFF"/>
    <w:rsid w:val="00EE5B4B"/>
    <w:rsid w:val="00EE6548"/>
    <w:rsid w:val="00EE6CCE"/>
    <w:rsid w:val="00EE6FC0"/>
    <w:rsid w:val="00EE7247"/>
    <w:rsid w:val="00EE7B65"/>
    <w:rsid w:val="00EE7F55"/>
    <w:rsid w:val="00EF04FA"/>
    <w:rsid w:val="00EF0BD7"/>
    <w:rsid w:val="00EF10AC"/>
    <w:rsid w:val="00EF1C88"/>
    <w:rsid w:val="00EF1CA7"/>
    <w:rsid w:val="00EF1FEC"/>
    <w:rsid w:val="00EF25CC"/>
    <w:rsid w:val="00EF2959"/>
    <w:rsid w:val="00EF3984"/>
    <w:rsid w:val="00EF4510"/>
    <w:rsid w:val="00EF4BA1"/>
    <w:rsid w:val="00EF509D"/>
    <w:rsid w:val="00EF5222"/>
    <w:rsid w:val="00EF53E5"/>
    <w:rsid w:val="00EF5BE2"/>
    <w:rsid w:val="00EF5F4F"/>
    <w:rsid w:val="00EF6362"/>
    <w:rsid w:val="00EF7122"/>
    <w:rsid w:val="00EF74D6"/>
    <w:rsid w:val="00EF751C"/>
    <w:rsid w:val="00EF757E"/>
    <w:rsid w:val="00EF775A"/>
    <w:rsid w:val="00EF7AC1"/>
    <w:rsid w:val="00EF7F12"/>
    <w:rsid w:val="00F001FB"/>
    <w:rsid w:val="00F00699"/>
    <w:rsid w:val="00F00954"/>
    <w:rsid w:val="00F01556"/>
    <w:rsid w:val="00F0176E"/>
    <w:rsid w:val="00F01C8C"/>
    <w:rsid w:val="00F02265"/>
    <w:rsid w:val="00F02BF6"/>
    <w:rsid w:val="00F02E76"/>
    <w:rsid w:val="00F034A3"/>
    <w:rsid w:val="00F044C4"/>
    <w:rsid w:val="00F04BCC"/>
    <w:rsid w:val="00F0609D"/>
    <w:rsid w:val="00F06611"/>
    <w:rsid w:val="00F06E48"/>
    <w:rsid w:val="00F073F2"/>
    <w:rsid w:val="00F07778"/>
    <w:rsid w:val="00F1069C"/>
    <w:rsid w:val="00F1080D"/>
    <w:rsid w:val="00F10C43"/>
    <w:rsid w:val="00F10DAE"/>
    <w:rsid w:val="00F10FA8"/>
    <w:rsid w:val="00F11004"/>
    <w:rsid w:val="00F11F45"/>
    <w:rsid w:val="00F1297F"/>
    <w:rsid w:val="00F12DB3"/>
    <w:rsid w:val="00F12F66"/>
    <w:rsid w:val="00F137D9"/>
    <w:rsid w:val="00F139B2"/>
    <w:rsid w:val="00F13B2F"/>
    <w:rsid w:val="00F1450A"/>
    <w:rsid w:val="00F147E7"/>
    <w:rsid w:val="00F1480C"/>
    <w:rsid w:val="00F14D7B"/>
    <w:rsid w:val="00F15343"/>
    <w:rsid w:val="00F153A5"/>
    <w:rsid w:val="00F1560E"/>
    <w:rsid w:val="00F15839"/>
    <w:rsid w:val="00F15C7C"/>
    <w:rsid w:val="00F15D18"/>
    <w:rsid w:val="00F160EA"/>
    <w:rsid w:val="00F166F5"/>
    <w:rsid w:val="00F178E0"/>
    <w:rsid w:val="00F17D89"/>
    <w:rsid w:val="00F200BC"/>
    <w:rsid w:val="00F202AE"/>
    <w:rsid w:val="00F20B1B"/>
    <w:rsid w:val="00F20CCD"/>
    <w:rsid w:val="00F210A0"/>
    <w:rsid w:val="00F211CB"/>
    <w:rsid w:val="00F2173A"/>
    <w:rsid w:val="00F21C6A"/>
    <w:rsid w:val="00F21E91"/>
    <w:rsid w:val="00F21F85"/>
    <w:rsid w:val="00F220C7"/>
    <w:rsid w:val="00F22E11"/>
    <w:rsid w:val="00F22FB4"/>
    <w:rsid w:val="00F233BC"/>
    <w:rsid w:val="00F23B97"/>
    <w:rsid w:val="00F23C9E"/>
    <w:rsid w:val="00F250E3"/>
    <w:rsid w:val="00F25C61"/>
    <w:rsid w:val="00F260A0"/>
    <w:rsid w:val="00F26A22"/>
    <w:rsid w:val="00F26B01"/>
    <w:rsid w:val="00F26C66"/>
    <w:rsid w:val="00F26C75"/>
    <w:rsid w:val="00F27503"/>
    <w:rsid w:val="00F30062"/>
    <w:rsid w:val="00F302A8"/>
    <w:rsid w:val="00F303A0"/>
    <w:rsid w:val="00F3082D"/>
    <w:rsid w:val="00F30D2B"/>
    <w:rsid w:val="00F30E90"/>
    <w:rsid w:val="00F30E96"/>
    <w:rsid w:val="00F321A4"/>
    <w:rsid w:val="00F32ED6"/>
    <w:rsid w:val="00F3300C"/>
    <w:rsid w:val="00F330AB"/>
    <w:rsid w:val="00F3322A"/>
    <w:rsid w:val="00F337B7"/>
    <w:rsid w:val="00F3427A"/>
    <w:rsid w:val="00F344D2"/>
    <w:rsid w:val="00F344D4"/>
    <w:rsid w:val="00F3498B"/>
    <w:rsid w:val="00F34B7E"/>
    <w:rsid w:val="00F354FC"/>
    <w:rsid w:val="00F35D87"/>
    <w:rsid w:val="00F35F10"/>
    <w:rsid w:val="00F3632F"/>
    <w:rsid w:val="00F36BF1"/>
    <w:rsid w:val="00F36CD1"/>
    <w:rsid w:val="00F36EC5"/>
    <w:rsid w:val="00F3775B"/>
    <w:rsid w:val="00F37A05"/>
    <w:rsid w:val="00F37B76"/>
    <w:rsid w:val="00F37EE9"/>
    <w:rsid w:val="00F4042B"/>
    <w:rsid w:val="00F40DEE"/>
    <w:rsid w:val="00F41140"/>
    <w:rsid w:val="00F413E7"/>
    <w:rsid w:val="00F41663"/>
    <w:rsid w:val="00F41BE3"/>
    <w:rsid w:val="00F41DA3"/>
    <w:rsid w:val="00F42C3F"/>
    <w:rsid w:val="00F42CA8"/>
    <w:rsid w:val="00F44782"/>
    <w:rsid w:val="00F44C4B"/>
    <w:rsid w:val="00F4509D"/>
    <w:rsid w:val="00F4574A"/>
    <w:rsid w:val="00F460F1"/>
    <w:rsid w:val="00F4613C"/>
    <w:rsid w:val="00F46486"/>
    <w:rsid w:val="00F46A59"/>
    <w:rsid w:val="00F46D94"/>
    <w:rsid w:val="00F471DB"/>
    <w:rsid w:val="00F47852"/>
    <w:rsid w:val="00F47CA9"/>
    <w:rsid w:val="00F47F60"/>
    <w:rsid w:val="00F50172"/>
    <w:rsid w:val="00F506BE"/>
    <w:rsid w:val="00F510B3"/>
    <w:rsid w:val="00F515A5"/>
    <w:rsid w:val="00F51807"/>
    <w:rsid w:val="00F51A88"/>
    <w:rsid w:val="00F51F74"/>
    <w:rsid w:val="00F52563"/>
    <w:rsid w:val="00F5258A"/>
    <w:rsid w:val="00F5261C"/>
    <w:rsid w:val="00F5282C"/>
    <w:rsid w:val="00F52F24"/>
    <w:rsid w:val="00F530ED"/>
    <w:rsid w:val="00F530FA"/>
    <w:rsid w:val="00F53836"/>
    <w:rsid w:val="00F54B54"/>
    <w:rsid w:val="00F54EF3"/>
    <w:rsid w:val="00F553F3"/>
    <w:rsid w:val="00F55554"/>
    <w:rsid w:val="00F555A9"/>
    <w:rsid w:val="00F5599F"/>
    <w:rsid w:val="00F55A60"/>
    <w:rsid w:val="00F55AAD"/>
    <w:rsid w:val="00F5620D"/>
    <w:rsid w:val="00F564DF"/>
    <w:rsid w:val="00F5656A"/>
    <w:rsid w:val="00F566AC"/>
    <w:rsid w:val="00F56782"/>
    <w:rsid w:val="00F56829"/>
    <w:rsid w:val="00F57CA5"/>
    <w:rsid w:val="00F57DAA"/>
    <w:rsid w:val="00F60036"/>
    <w:rsid w:val="00F60076"/>
    <w:rsid w:val="00F603A0"/>
    <w:rsid w:val="00F608C0"/>
    <w:rsid w:val="00F60CAC"/>
    <w:rsid w:val="00F60DAA"/>
    <w:rsid w:val="00F60DFD"/>
    <w:rsid w:val="00F617E9"/>
    <w:rsid w:val="00F61F94"/>
    <w:rsid w:val="00F62789"/>
    <w:rsid w:val="00F62D02"/>
    <w:rsid w:val="00F63E76"/>
    <w:rsid w:val="00F64385"/>
    <w:rsid w:val="00F6501E"/>
    <w:rsid w:val="00F65184"/>
    <w:rsid w:val="00F668FE"/>
    <w:rsid w:val="00F66E29"/>
    <w:rsid w:val="00F6750C"/>
    <w:rsid w:val="00F676B4"/>
    <w:rsid w:val="00F701A1"/>
    <w:rsid w:val="00F7085A"/>
    <w:rsid w:val="00F70C4C"/>
    <w:rsid w:val="00F71DA0"/>
    <w:rsid w:val="00F72139"/>
    <w:rsid w:val="00F72313"/>
    <w:rsid w:val="00F72558"/>
    <w:rsid w:val="00F728BC"/>
    <w:rsid w:val="00F728D5"/>
    <w:rsid w:val="00F72DFA"/>
    <w:rsid w:val="00F73A08"/>
    <w:rsid w:val="00F73A8E"/>
    <w:rsid w:val="00F74533"/>
    <w:rsid w:val="00F746DE"/>
    <w:rsid w:val="00F7502F"/>
    <w:rsid w:val="00F75F21"/>
    <w:rsid w:val="00F7628B"/>
    <w:rsid w:val="00F767AB"/>
    <w:rsid w:val="00F769EE"/>
    <w:rsid w:val="00F76B50"/>
    <w:rsid w:val="00F8081B"/>
    <w:rsid w:val="00F808AD"/>
    <w:rsid w:val="00F82424"/>
    <w:rsid w:val="00F82A62"/>
    <w:rsid w:val="00F82F2D"/>
    <w:rsid w:val="00F830FE"/>
    <w:rsid w:val="00F83285"/>
    <w:rsid w:val="00F833E5"/>
    <w:rsid w:val="00F834A4"/>
    <w:rsid w:val="00F8359E"/>
    <w:rsid w:val="00F83A11"/>
    <w:rsid w:val="00F84601"/>
    <w:rsid w:val="00F846AF"/>
    <w:rsid w:val="00F84A3C"/>
    <w:rsid w:val="00F84A57"/>
    <w:rsid w:val="00F85130"/>
    <w:rsid w:val="00F854CE"/>
    <w:rsid w:val="00F854DD"/>
    <w:rsid w:val="00F8584E"/>
    <w:rsid w:val="00F85AEB"/>
    <w:rsid w:val="00F85E5E"/>
    <w:rsid w:val="00F86AA8"/>
    <w:rsid w:val="00F9034D"/>
    <w:rsid w:val="00F91BFE"/>
    <w:rsid w:val="00F91F30"/>
    <w:rsid w:val="00F924D7"/>
    <w:rsid w:val="00F9324D"/>
    <w:rsid w:val="00F9350A"/>
    <w:rsid w:val="00F93B17"/>
    <w:rsid w:val="00F9460C"/>
    <w:rsid w:val="00F94628"/>
    <w:rsid w:val="00F9462B"/>
    <w:rsid w:val="00F9472D"/>
    <w:rsid w:val="00F94CBE"/>
    <w:rsid w:val="00F94DB6"/>
    <w:rsid w:val="00F94F05"/>
    <w:rsid w:val="00F96EBE"/>
    <w:rsid w:val="00F96F1C"/>
    <w:rsid w:val="00F9718D"/>
    <w:rsid w:val="00F97292"/>
    <w:rsid w:val="00F97353"/>
    <w:rsid w:val="00F978DA"/>
    <w:rsid w:val="00FA0957"/>
    <w:rsid w:val="00FA0BD2"/>
    <w:rsid w:val="00FA12E1"/>
    <w:rsid w:val="00FA13B7"/>
    <w:rsid w:val="00FA147D"/>
    <w:rsid w:val="00FA1632"/>
    <w:rsid w:val="00FA1965"/>
    <w:rsid w:val="00FA23FD"/>
    <w:rsid w:val="00FA25FA"/>
    <w:rsid w:val="00FA371B"/>
    <w:rsid w:val="00FA3AD7"/>
    <w:rsid w:val="00FA3DA6"/>
    <w:rsid w:val="00FA3F91"/>
    <w:rsid w:val="00FA4508"/>
    <w:rsid w:val="00FA45FA"/>
    <w:rsid w:val="00FA4998"/>
    <w:rsid w:val="00FA49CC"/>
    <w:rsid w:val="00FA4E9B"/>
    <w:rsid w:val="00FA502D"/>
    <w:rsid w:val="00FA51D3"/>
    <w:rsid w:val="00FA54AE"/>
    <w:rsid w:val="00FA57EE"/>
    <w:rsid w:val="00FA586F"/>
    <w:rsid w:val="00FA5BD1"/>
    <w:rsid w:val="00FA5BD5"/>
    <w:rsid w:val="00FA5CEA"/>
    <w:rsid w:val="00FA6098"/>
    <w:rsid w:val="00FA74E0"/>
    <w:rsid w:val="00FA7EDC"/>
    <w:rsid w:val="00FB0002"/>
    <w:rsid w:val="00FB0056"/>
    <w:rsid w:val="00FB03F6"/>
    <w:rsid w:val="00FB0DD7"/>
    <w:rsid w:val="00FB0EB0"/>
    <w:rsid w:val="00FB134E"/>
    <w:rsid w:val="00FB13A1"/>
    <w:rsid w:val="00FB1890"/>
    <w:rsid w:val="00FB198B"/>
    <w:rsid w:val="00FB1BF2"/>
    <w:rsid w:val="00FB262C"/>
    <w:rsid w:val="00FB2EEC"/>
    <w:rsid w:val="00FB3069"/>
    <w:rsid w:val="00FB3130"/>
    <w:rsid w:val="00FB3474"/>
    <w:rsid w:val="00FB34C0"/>
    <w:rsid w:val="00FB3598"/>
    <w:rsid w:val="00FB373C"/>
    <w:rsid w:val="00FB41A2"/>
    <w:rsid w:val="00FB4954"/>
    <w:rsid w:val="00FB5065"/>
    <w:rsid w:val="00FB520C"/>
    <w:rsid w:val="00FB56CA"/>
    <w:rsid w:val="00FB5A52"/>
    <w:rsid w:val="00FB6188"/>
    <w:rsid w:val="00FB6769"/>
    <w:rsid w:val="00FB6D89"/>
    <w:rsid w:val="00FB702E"/>
    <w:rsid w:val="00FC033B"/>
    <w:rsid w:val="00FC15B7"/>
    <w:rsid w:val="00FC18CB"/>
    <w:rsid w:val="00FC2027"/>
    <w:rsid w:val="00FC25D1"/>
    <w:rsid w:val="00FC2B5D"/>
    <w:rsid w:val="00FC2BBC"/>
    <w:rsid w:val="00FC3020"/>
    <w:rsid w:val="00FC3272"/>
    <w:rsid w:val="00FC36E8"/>
    <w:rsid w:val="00FC3766"/>
    <w:rsid w:val="00FC4620"/>
    <w:rsid w:val="00FC4848"/>
    <w:rsid w:val="00FC63B7"/>
    <w:rsid w:val="00FC6BCC"/>
    <w:rsid w:val="00FC74D7"/>
    <w:rsid w:val="00FC785F"/>
    <w:rsid w:val="00FD02BC"/>
    <w:rsid w:val="00FD0410"/>
    <w:rsid w:val="00FD0608"/>
    <w:rsid w:val="00FD0A5C"/>
    <w:rsid w:val="00FD0C78"/>
    <w:rsid w:val="00FD0DA4"/>
    <w:rsid w:val="00FD0E77"/>
    <w:rsid w:val="00FD101E"/>
    <w:rsid w:val="00FD1779"/>
    <w:rsid w:val="00FD1D02"/>
    <w:rsid w:val="00FD1D2E"/>
    <w:rsid w:val="00FD25E9"/>
    <w:rsid w:val="00FD314D"/>
    <w:rsid w:val="00FD337B"/>
    <w:rsid w:val="00FD3EA7"/>
    <w:rsid w:val="00FD4263"/>
    <w:rsid w:val="00FD450E"/>
    <w:rsid w:val="00FD47D6"/>
    <w:rsid w:val="00FD56DF"/>
    <w:rsid w:val="00FD57A5"/>
    <w:rsid w:val="00FD6CFF"/>
    <w:rsid w:val="00FD6D52"/>
    <w:rsid w:val="00FD6F2E"/>
    <w:rsid w:val="00FD7942"/>
    <w:rsid w:val="00FD7C16"/>
    <w:rsid w:val="00FE017D"/>
    <w:rsid w:val="00FE1686"/>
    <w:rsid w:val="00FE24D6"/>
    <w:rsid w:val="00FE2C69"/>
    <w:rsid w:val="00FE2E26"/>
    <w:rsid w:val="00FE316A"/>
    <w:rsid w:val="00FE34C7"/>
    <w:rsid w:val="00FE3962"/>
    <w:rsid w:val="00FE39C5"/>
    <w:rsid w:val="00FE4000"/>
    <w:rsid w:val="00FE471E"/>
    <w:rsid w:val="00FE4920"/>
    <w:rsid w:val="00FE4998"/>
    <w:rsid w:val="00FE4D38"/>
    <w:rsid w:val="00FE4F40"/>
    <w:rsid w:val="00FE558E"/>
    <w:rsid w:val="00FE56D4"/>
    <w:rsid w:val="00FE5A53"/>
    <w:rsid w:val="00FE5A65"/>
    <w:rsid w:val="00FE6165"/>
    <w:rsid w:val="00FE6473"/>
    <w:rsid w:val="00FE70D7"/>
    <w:rsid w:val="00FE7270"/>
    <w:rsid w:val="00FE7A6F"/>
    <w:rsid w:val="00FF0025"/>
    <w:rsid w:val="00FF0026"/>
    <w:rsid w:val="00FF06B8"/>
    <w:rsid w:val="00FF0912"/>
    <w:rsid w:val="00FF0D96"/>
    <w:rsid w:val="00FF0E71"/>
    <w:rsid w:val="00FF119F"/>
    <w:rsid w:val="00FF203F"/>
    <w:rsid w:val="00FF2E1B"/>
    <w:rsid w:val="00FF3780"/>
    <w:rsid w:val="00FF3C9F"/>
    <w:rsid w:val="00FF3DE2"/>
    <w:rsid w:val="00FF3ED3"/>
    <w:rsid w:val="00FF44EB"/>
    <w:rsid w:val="00FF4A71"/>
    <w:rsid w:val="00FF4B74"/>
    <w:rsid w:val="00FF4BDD"/>
    <w:rsid w:val="00FF4EEC"/>
    <w:rsid w:val="00FF5081"/>
    <w:rsid w:val="00FF5105"/>
    <w:rsid w:val="00FF5766"/>
    <w:rsid w:val="00FF5795"/>
    <w:rsid w:val="00FF58E7"/>
    <w:rsid w:val="00FF5976"/>
    <w:rsid w:val="00FF637F"/>
    <w:rsid w:val="00FF6499"/>
    <w:rsid w:val="00FF65A5"/>
    <w:rsid w:val="00FF6A00"/>
    <w:rsid w:val="00FF6BE9"/>
    <w:rsid w:val="00FF6C75"/>
    <w:rsid w:val="00FF73DC"/>
    <w:rsid w:val="00FF76F5"/>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CB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FB"/>
    <w:pPr>
      <w:spacing w:after="100" w:line="400" w:lineRule="exact"/>
      <w:jc w:val="both"/>
    </w:pPr>
    <w:rPr>
      <w:rFonts w:ascii="Century Schoolbook" w:hAnsi="Century Schoolbook"/>
      <w:sz w:val="27"/>
    </w:rPr>
  </w:style>
  <w:style w:type="paragraph" w:styleId="Heading1">
    <w:name w:val="heading 1"/>
    <w:basedOn w:val="Normal"/>
    <w:next w:val="Normal"/>
    <w:qFormat/>
    <w:rsid w:val="007640FB"/>
    <w:pPr>
      <w:keepNext/>
      <w:spacing w:before="140" w:line="240" w:lineRule="atLeast"/>
      <w:jc w:val="center"/>
      <w:outlineLvl w:val="0"/>
    </w:pPr>
    <w:rPr>
      <w:b/>
      <w:smallCaps/>
    </w:rPr>
  </w:style>
  <w:style w:type="paragraph" w:styleId="Heading2">
    <w:name w:val="heading 2"/>
    <w:basedOn w:val="Normal"/>
    <w:next w:val="Normal"/>
    <w:qFormat/>
    <w:rsid w:val="007640F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7640FB"/>
    <w:pPr>
      <w:keepNext/>
      <w:tabs>
        <w:tab w:val="left" w:pos="1584"/>
      </w:tabs>
      <w:spacing w:before="140" w:line="240" w:lineRule="atLeast"/>
      <w:ind w:left="1584" w:hanging="432"/>
      <w:jc w:val="left"/>
      <w:outlineLvl w:val="2"/>
    </w:pPr>
    <w:rPr>
      <w:i/>
    </w:rPr>
  </w:style>
  <w:style w:type="paragraph" w:styleId="Heading4">
    <w:name w:val="heading 4"/>
    <w:basedOn w:val="Normal"/>
    <w:rsid w:val="007640FB"/>
    <w:pPr>
      <w:keepNext/>
      <w:tabs>
        <w:tab w:val="left" w:pos="2016"/>
      </w:tabs>
      <w:spacing w:before="140" w:line="240" w:lineRule="atLeast"/>
      <w:ind w:left="2016" w:hanging="432"/>
      <w:jc w:val="left"/>
      <w:outlineLvl w:val="3"/>
    </w:pPr>
    <w:rPr>
      <w:i/>
    </w:rPr>
  </w:style>
  <w:style w:type="paragraph" w:styleId="Heading5">
    <w:name w:val="heading 5"/>
    <w:basedOn w:val="Normal"/>
    <w:rsid w:val="007640F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640FB"/>
    <w:pPr>
      <w:ind w:left="720"/>
    </w:pPr>
  </w:style>
  <w:style w:type="paragraph" w:styleId="Footer">
    <w:name w:val="footer"/>
    <w:basedOn w:val="Normal"/>
    <w:link w:val="FooterChar"/>
    <w:qFormat/>
    <w:rsid w:val="007640FB"/>
    <w:pPr>
      <w:tabs>
        <w:tab w:val="center" w:pos="3960"/>
        <w:tab w:val="right" w:pos="10080"/>
      </w:tabs>
      <w:spacing w:after="0" w:line="240" w:lineRule="auto"/>
      <w:jc w:val="center"/>
    </w:pPr>
    <w:rPr>
      <w:sz w:val="22"/>
    </w:rPr>
  </w:style>
  <w:style w:type="paragraph" w:styleId="Header">
    <w:name w:val="header"/>
    <w:basedOn w:val="Normal"/>
    <w:qFormat/>
    <w:rsid w:val="007640FB"/>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640FB"/>
    <w:rPr>
      <w:rFonts w:ascii="Century Schoolbook" w:hAnsi="Century Schoolbook"/>
      <w:b/>
      <w:i w:val="0"/>
      <w:position w:val="4"/>
      <w:sz w:val="27"/>
      <w:vertAlign w:val="superscript"/>
    </w:rPr>
  </w:style>
  <w:style w:type="paragraph" w:styleId="FootnoteText">
    <w:name w:val="footnote text"/>
    <w:basedOn w:val="Normal"/>
    <w:link w:val="FootnoteTextChar"/>
    <w:rsid w:val="007640FB"/>
    <w:pPr>
      <w:spacing w:line="300" w:lineRule="exact"/>
    </w:pPr>
  </w:style>
  <w:style w:type="paragraph" w:customStyle="1" w:styleId="Title1">
    <w:name w:val="Title1"/>
    <w:basedOn w:val="Normal"/>
    <w:rsid w:val="007640FB"/>
    <w:pPr>
      <w:tabs>
        <w:tab w:val="left" w:pos="5760"/>
        <w:tab w:val="left" w:pos="6480"/>
      </w:tabs>
      <w:spacing w:line="240" w:lineRule="atLeast"/>
    </w:pPr>
  </w:style>
  <w:style w:type="paragraph" w:customStyle="1" w:styleId="Recommend">
    <w:name w:val="Recommend"/>
    <w:basedOn w:val="Normal"/>
    <w:rsid w:val="007640FB"/>
  </w:style>
  <w:style w:type="paragraph" w:customStyle="1" w:styleId="Summary">
    <w:name w:val="Summary"/>
    <w:basedOn w:val="Normal"/>
    <w:rsid w:val="007640FB"/>
    <w:pPr>
      <w:ind w:left="2160" w:hanging="2160"/>
    </w:pPr>
  </w:style>
  <w:style w:type="paragraph" w:customStyle="1" w:styleId="Text">
    <w:name w:val="Text"/>
    <w:basedOn w:val="Normal"/>
    <w:rsid w:val="007640FB"/>
    <w:pPr>
      <w:tabs>
        <w:tab w:val="left" w:pos="720"/>
        <w:tab w:val="left" w:pos="1440"/>
        <w:tab w:val="left" w:pos="2160"/>
        <w:tab w:val="center" w:pos="4320"/>
      </w:tabs>
      <w:spacing w:line="480" w:lineRule="atLeast"/>
      <w:ind w:firstLine="540"/>
    </w:pPr>
  </w:style>
  <w:style w:type="paragraph" w:styleId="Date">
    <w:name w:val="Date"/>
    <w:basedOn w:val="Normal"/>
    <w:semiHidden/>
    <w:rsid w:val="007640FB"/>
    <w:pPr>
      <w:jc w:val="right"/>
    </w:pPr>
  </w:style>
  <w:style w:type="character" w:styleId="PageNumber">
    <w:name w:val="page number"/>
    <w:basedOn w:val="DefaultParagraphFont"/>
    <w:semiHidden/>
    <w:rsid w:val="007640FB"/>
  </w:style>
  <w:style w:type="paragraph" w:customStyle="1" w:styleId="subject">
    <w:name w:val="subject"/>
    <w:basedOn w:val="Normal"/>
    <w:rsid w:val="007640FB"/>
    <w:pPr>
      <w:tabs>
        <w:tab w:val="left" w:pos="1008"/>
      </w:tabs>
      <w:ind w:left="990" w:hanging="990"/>
    </w:pPr>
    <w:rPr>
      <w:b/>
    </w:rPr>
  </w:style>
  <w:style w:type="paragraph" w:customStyle="1" w:styleId="Titles">
    <w:name w:val="Titles"/>
    <w:basedOn w:val="Normal"/>
    <w:rsid w:val="007640FB"/>
    <w:pPr>
      <w:tabs>
        <w:tab w:val="left" w:pos="2160"/>
      </w:tabs>
      <w:ind w:left="2160" w:hanging="2160"/>
    </w:pPr>
    <w:rPr>
      <w:b/>
    </w:rPr>
  </w:style>
  <w:style w:type="paragraph" w:styleId="TOAHeading">
    <w:name w:val="toa heading"/>
    <w:basedOn w:val="Normal"/>
    <w:next w:val="Normal"/>
    <w:semiHidden/>
    <w:rsid w:val="007640FB"/>
    <w:pPr>
      <w:spacing w:before="120"/>
    </w:pPr>
    <w:rPr>
      <w:b/>
    </w:rPr>
  </w:style>
  <w:style w:type="paragraph" w:styleId="TOC1">
    <w:name w:val="toc 1"/>
    <w:basedOn w:val="Normal"/>
    <w:next w:val="Normal"/>
    <w:autoRedefine/>
    <w:semiHidden/>
    <w:rsid w:val="007640FB"/>
  </w:style>
  <w:style w:type="paragraph" w:styleId="TOC2">
    <w:name w:val="toc 2"/>
    <w:basedOn w:val="Normal"/>
    <w:next w:val="Normal"/>
    <w:autoRedefine/>
    <w:semiHidden/>
    <w:rsid w:val="007640FB"/>
    <w:pPr>
      <w:ind w:left="259"/>
    </w:pPr>
  </w:style>
  <w:style w:type="paragraph" w:styleId="TOC3">
    <w:name w:val="toc 3"/>
    <w:basedOn w:val="Normal"/>
    <w:next w:val="Normal"/>
    <w:autoRedefine/>
    <w:semiHidden/>
    <w:rsid w:val="007640FB"/>
    <w:pPr>
      <w:ind w:left="520"/>
    </w:pPr>
  </w:style>
  <w:style w:type="paragraph" w:styleId="TOC4">
    <w:name w:val="toc 4"/>
    <w:basedOn w:val="Normal"/>
    <w:next w:val="Normal"/>
    <w:autoRedefine/>
    <w:semiHidden/>
    <w:rsid w:val="007640FB"/>
    <w:pPr>
      <w:ind w:left="780"/>
    </w:pPr>
  </w:style>
  <w:style w:type="paragraph" w:styleId="TOC5">
    <w:name w:val="toc 5"/>
    <w:basedOn w:val="Normal"/>
    <w:next w:val="Normal"/>
    <w:autoRedefine/>
    <w:semiHidden/>
    <w:rsid w:val="007640FB"/>
    <w:pPr>
      <w:ind w:left="1040"/>
    </w:pPr>
  </w:style>
  <w:style w:type="paragraph" w:styleId="TOC6">
    <w:name w:val="toc 6"/>
    <w:basedOn w:val="Normal"/>
    <w:next w:val="Normal"/>
    <w:autoRedefine/>
    <w:semiHidden/>
    <w:rsid w:val="007640FB"/>
    <w:pPr>
      <w:ind w:left="1300"/>
    </w:pPr>
  </w:style>
  <w:style w:type="paragraph" w:styleId="TOC7">
    <w:name w:val="toc 7"/>
    <w:basedOn w:val="Normal"/>
    <w:next w:val="Normal"/>
    <w:autoRedefine/>
    <w:semiHidden/>
    <w:rsid w:val="007640FB"/>
    <w:pPr>
      <w:ind w:left="1560"/>
    </w:pPr>
  </w:style>
  <w:style w:type="paragraph" w:styleId="TOC8">
    <w:name w:val="toc 8"/>
    <w:basedOn w:val="Normal"/>
    <w:next w:val="Normal"/>
    <w:autoRedefine/>
    <w:semiHidden/>
    <w:rsid w:val="007640FB"/>
    <w:pPr>
      <w:ind w:left="1820"/>
    </w:pPr>
  </w:style>
  <w:style w:type="paragraph" w:styleId="TOC9">
    <w:name w:val="toc 9"/>
    <w:basedOn w:val="Normal"/>
    <w:next w:val="Normal"/>
    <w:autoRedefine/>
    <w:semiHidden/>
    <w:rsid w:val="007640FB"/>
    <w:pPr>
      <w:ind w:left="2080"/>
    </w:pPr>
  </w:style>
  <w:style w:type="paragraph" w:customStyle="1" w:styleId="Contents">
    <w:name w:val="Contents"/>
    <w:basedOn w:val="Normal"/>
    <w:rsid w:val="007640FB"/>
    <w:pPr>
      <w:jc w:val="center"/>
    </w:pPr>
    <w:rPr>
      <w:b/>
      <w:spacing w:val="100"/>
    </w:rPr>
  </w:style>
  <w:style w:type="paragraph" w:styleId="ListParagraph">
    <w:name w:val="List Paragraph"/>
    <w:basedOn w:val="Normal"/>
    <w:uiPriority w:val="34"/>
    <w:qFormat/>
    <w:rsid w:val="00B96D1D"/>
    <w:pPr>
      <w:ind w:left="720"/>
      <w:contextualSpacing/>
    </w:pPr>
  </w:style>
  <w:style w:type="character" w:customStyle="1" w:styleId="cosearchterm">
    <w:name w:val="co_searchterm"/>
    <w:basedOn w:val="DefaultParagraphFont"/>
    <w:rsid w:val="00EA1A3F"/>
  </w:style>
  <w:style w:type="character" w:customStyle="1" w:styleId="costarpage">
    <w:name w:val="co_starpage"/>
    <w:basedOn w:val="DefaultParagraphFont"/>
    <w:rsid w:val="00EA1A3F"/>
  </w:style>
  <w:style w:type="character" w:customStyle="1" w:styleId="ssrfcpassagedeactivated">
    <w:name w:val="ss_rfcpassage_deactivated"/>
    <w:basedOn w:val="DefaultParagraphFont"/>
    <w:rsid w:val="002B2DA8"/>
  </w:style>
  <w:style w:type="character" w:styleId="Hyperlink">
    <w:name w:val="Hyperlink"/>
    <w:basedOn w:val="DefaultParagraphFont"/>
    <w:uiPriority w:val="99"/>
    <w:semiHidden/>
    <w:unhideWhenUsed/>
    <w:rsid w:val="002B2DA8"/>
    <w:rPr>
      <w:color w:val="0000FF"/>
      <w:u w:val="single"/>
    </w:rPr>
  </w:style>
  <w:style w:type="character" w:customStyle="1" w:styleId="ssit">
    <w:name w:val="ss_it"/>
    <w:basedOn w:val="DefaultParagraphFont"/>
    <w:rsid w:val="002B2DA8"/>
  </w:style>
  <w:style w:type="character" w:customStyle="1" w:styleId="sssh">
    <w:name w:val="ss_sh"/>
    <w:basedOn w:val="DefaultParagraphFont"/>
    <w:rsid w:val="002B2DA8"/>
  </w:style>
  <w:style w:type="character" w:customStyle="1" w:styleId="ub">
    <w:name w:val="u_b"/>
    <w:basedOn w:val="DefaultParagraphFont"/>
    <w:rsid w:val="00C06E67"/>
  </w:style>
  <w:style w:type="character" w:customStyle="1" w:styleId="df">
    <w:name w:val="d_f"/>
    <w:basedOn w:val="DefaultParagraphFont"/>
    <w:rsid w:val="00C06E67"/>
  </w:style>
  <w:style w:type="character" w:customStyle="1" w:styleId="un">
    <w:name w:val="u_n"/>
    <w:basedOn w:val="DefaultParagraphFont"/>
    <w:rsid w:val="00C06E67"/>
  </w:style>
  <w:style w:type="character" w:customStyle="1" w:styleId="c4z2avtcy">
    <w:name w:val="c4_z2avtcy"/>
    <w:basedOn w:val="DefaultParagraphFont"/>
    <w:rsid w:val="00C06E67"/>
  </w:style>
  <w:style w:type="paragraph" w:customStyle="1" w:styleId="yiv6012475935ydpf4598e51msonormal">
    <w:name w:val="yiv6012475935ydpf4598e51msonormal"/>
    <w:basedOn w:val="Normal"/>
    <w:rsid w:val="00C06E67"/>
    <w:pPr>
      <w:spacing w:before="100" w:beforeAutospacing="1" w:afterAutospacing="1"/>
    </w:pPr>
    <w:rPr>
      <w:sz w:val="24"/>
      <w:szCs w:val="24"/>
    </w:rPr>
  </w:style>
  <w:style w:type="character" w:styleId="Emphasis">
    <w:name w:val="Emphasis"/>
    <w:basedOn w:val="DefaultParagraphFont"/>
    <w:uiPriority w:val="20"/>
    <w:qFormat/>
    <w:rsid w:val="00276A98"/>
    <w:rPr>
      <w:i/>
      <w:iCs/>
    </w:rPr>
  </w:style>
  <w:style w:type="character" w:customStyle="1" w:styleId="FootnoteTextChar">
    <w:name w:val="Footnote Text Char"/>
    <w:basedOn w:val="DefaultParagraphFont"/>
    <w:link w:val="FootnoteText"/>
    <w:rsid w:val="000B1612"/>
    <w:rPr>
      <w:rFonts w:ascii="Century Schoolbook" w:hAnsi="Century Schoolbook"/>
      <w:sz w:val="27"/>
    </w:rPr>
  </w:style>
  <w:style w:type="character" w:styleId="CommentReference">
    <w:name w:val="annotation reference"/>
    <w:basedOn w:val="DefaultParagraphFont"/>
    <w:uiPriority w:val="99"/>
    <w:semiHidden/>
    <w:unhideWhenUsed/>
    <w:rsid w:val="00B40B65"/>
    <w:rPr>
      <w:sz w:val="16"/>
      <w:szCs w:val="16"/>
    </w:rPr>
  </w:style>
  <w:style w:type="paragraph" w:styleId="CommentText">
    <w:name w:val="annotation text"/>
    <w:basedOn w:val="Normal"/>
    <w:link w:val="CommentTextChar"/>
    <w:uiPriority w:val="99"/>
    <w:semiHidden/>
    <w:unhideWhenUsed/>
    <w:rsid w:val="00B40B65"/>
    <w:rPr>
      <w:sz w:val="20"/>
    </w:rPr>
  </w:style>
  <w:style w:type="character" w:customStyle="1" w:styleId="CommentTextChar">
    <w:name w:val="Comment Text Char"/>
    <w:basedOn w:val="DefaultParagraphFont"/>
    <w:link w:val="CommentText"/>
    <w:uiPriority w:val="99"/>
    <w:semiHidden/>
    <w:rsid w:val="00B40B65"/>
  </w:style>
  <w:style w:type="paragraph" w:styleId="CommentSubject">
    <w:name w:val="annotation subject"/>
    <w:basedOn w:val="CommentText"/>
    <w:next w:val="CommentText"/>
    <w:link w:val="CommentSubjectChar"/>
    <w:uiPriority w:val="99"/>
    <w:semiHidden/>
    <w:unhideWhenUsed/>
    <w:rsid w:val="00B40B65"/>
    <w:rPr>
      <w:b/>
      <w:bCs/>
    </w:rPr>
  </w:style>
  <w:style w:type="character" w:customStyle="1" w:styleId="CommentSubjectChar">
    <w:name w:val="Comment Subject Char"/>
    <w:basedOn w:val="CommentTextChar"/>
    <w:link w:val="CommentSubject"/>
    <w:uiPriority w:val="99"/>
    <w:semiHidden/>
    <w:rsid w:val="00B40B65"/>
    <w:rPr>
      <w:b/>
      <w:bCs/>
    </w:rPr>
  </w:style>
  <w:style w:type="paragraph" w:styleId="Revision">
    <w:name w:val="Revision"/>
    <w:hidden/>
    <w:uiPriority w:val="99"/>
    <w:semiHidden/>
    <w:rsid w:val="00B40B65"/>
    <w:rPr>
      <w:sz w:val="26"/>
    </w:rPr>
  </w:style>
  <w:style w:type="paragraph" w:styleId="BalloonText">
    <w:name w:val="Balloon Text"/>
    <w:basedOn w:val="Normal"/>
    <w:link w:val="BalloonTextChar"/>
    <w:uiPriority w:val="99"/>
    <w:semiHidden/>
    <w:unhideWhenUsed/>
    <w:rsid w:val="00B40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65"/>
    <w:rPr>
      <w:rFonts w:ascii="Segoe UI" w:hAnsi="Segoe UI" w:cs="Segoe UI"/>
      <w:sz w:val="18"/>
      <w:szCs w:val="18"/>
    </w:rPr>
  </w:style>
  <w:style w:type="paragraph" w:styleId="BodyText">
    <w:name w:val="Body Text"/>
    <w:basedOn w:val="Normal"/>
    <w:link w:val="BodyTextChar"/>
    <w:qFormat/>
    <w:rsid w:val="007640FB"/>
  </w:style>
  <w:style w:type="character" w:customStyle="1" w:styleId="BodyTextChar">
    <w:name w:val="Body Text Char"/>
    <w:basedOn w:val="DefaultParagraphFont"/>
    <w:link w:val="BodyText"/>
    <w:rsid w:val="007640FB"/>
    <w:rPr>
      <w:rFonts w:ascii="Century Schoolbook" w:hAnsi="Century Schoolbook"/>
      <w:sz w:val="27"/>
    </w:rPr>
  </w:style>
  <w:style w:type="character" w:customStyle="1" w:styleId="FooterChar">
    <w:name w:val="Footer Char"/>
    <w:basedOn w:val="DefaultParagraphFont"/>
    <w:link w:val="Footer"/>
    <w:uiPriority w:val="99"/>
    <w:rsid w:val="00F3300C"/>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6678">
      <w:bodyDiv w:val="1"/>
      <w:marLeft w:val="0"/>
      <w:marRight w:val="0"/>
      <w:marTop w:val="0"/>
      <w:marBottom w:val="0"/>
      <w:divBdr>
        <w:top w:val="none" w:sz="0" w:space="0" w:color="auto"/>
        <w:left w:val="none" w:sz="0" w:space="0" w:color="auto"/>
        <w:bottom w:val="none" w:sz="0" w:space="0" w:color="auto"/>
        <w:right w:val="none" w:sz="0" w:space="0" w:color="auto"/>
      </w:divBdr>
    </w:div>
    <w:div w:id="385179162">
      <w:bodyDiv w:val="1"/>
      <w:marLeft w:val="0"/>
      <w:marRight w:val="0"/>
      <w:marTop w:val="0"/>
      <w:marBottom w:val="0"/>
      <w:divBdr>
        <w:top w:val="none" w:sz="0" w:space="0" w:color="auto"/>
        <w:left w:val="none" w:sz="0" w:space="0" w:color="auto"/>
        <w:bottom w:val="none" w:sz="0" w:space="0" w:color="auto"/>
        <w:right w:val="none" w:sz="0" w:space="0" w:color="auto"/>
      </w:divBdr>
    </w:div>
    <w:div w:id="736519339">
      <w:bodyDiv w:val="1"/>
      <w:marLeft w:val="0"/>
      <w:marRight w:val="0"/>
      <w:marTop w:val="0"/>
      <w:marBottom w:val="0"/>
      <w:divBdr>
        <w:top w:val="none" w:sz="0" w:space="0" w:color="auto"/>
        <w:left w:val="none" w:sz="0" w:space="0" w:color="auto"/>
        <w:bottom w:val="none" w:sz="0" w:space="0" w:color="auto"/>
        <w:right w:val="none" w:sz="0" w:space="0" w:color="auto"/>
      </w:divBdr>
    </w:div>
    <w:div w:id="777335660">
      <w:bodyDiv w:val="1"/>
      <w:marLeft w:val="0"/>
      <w:marRight w:val="0"/>
      <w:marTop w:val="0"/>
      <w:marBottom w:val="0"/>
      <w:divBdr>
        <w:top w:val="none" w:sz="0" w:space="0" w:color="auto"/>
        <w:left w:val="none" w:sz="0" w:space="0" w:color="auto"/>
        <w:bottom w:val="none" w:sz="0" w:space="0" w:color="auto"/>
        <w:right w:val="none" w:sz="0" w:space="0" w:color="auto"/>
      </w:divBdr>
    </w:div>
    <w:div w:id="1144856814">
      <w:bodyDiv w:val="1"/>
      <w:marLeft w:val="0"/>
      <w:marRight w:val="0"/>
      <w:marTop w:val="0"/>
      <w:marBottom w:val="0"/>
      <w:divBdr>
        <w:top w:val="none" w:sz="0" w:space="0" w:color="auto"/>
        <w:left w:val="none" w:sz="0" w:space="0" w:color="auto"/>
        <w:bottom w:val="none" w:sz="0" w:space="0" w:color="auto"/>
        <w:right w:val="none" w:sz="0" w:space="0" w:color="auto"/>
      </w:divBdr>
    </w:div>
    <w:div w:id="1498035093">
      <w:bodyDiv w:val="1"/>
      <w:marLeft w:val="0"/>
      <w:marRight w:val="0"/>
      <w:marTop w:val="0"/>
      <w:marBottom w:val="0"/>
      <w:divBdr>
        <w:top w:val="none" w:sz="0" w:space="0" w:color="auto"/>
        <w:left w:val="none" w:sz="0" w:space="0" w:color="auto"/>
        <w:bottom w:val="none" w:sz="0" w:space="0" w:color="auto"/>
        <w:right w:val="none" w:sz="0" w:space="0" w:color="auto"/>
      </w:divBdr>
    </w:div>
    <w:div w:id="2085762532">
      <w:bodyDiv w:val="1"/>
      <w:marLeft w:val="0"/>
      <w:marRight w:val="0"/>
      <w:marTop w:val="0"/>
      <w:marBottom w:val="0"/>
      <w:divBdr>
        <w:top w:val="none" w:sz="0" w:space="0" w:color="auto"/>
        <w:left w:val="none" w:sz="0" w:space="0" w:color="auto"/>
        <w:bottom w:val="none" w:sz="0" w:space="0" w:color="auto"/>
        <w:right w:val="none" w:sz="0" w:space="0" w:color="auto"/>
      </w:divBdr>
      <w:divsChild>
        <w:div w:id="111291866">
          <w:marLeft w:val="0"/>
          <w:marRight w:val="120"/>
          <w:marTop w:val="0"/>
          <w:marBottom w:val="0"/>
          <w:divBdr>
            <w:top w:val="none" w:sz="0" w:space="0" w:color="auto"/>
            <w:left w:val="none" w:sz="0" w:space="0" w:color="auto"/>
            <w:bottom w:val="none" w:sz="0" w:space="0" w:color="auto"/>
            <w:right w:val="none" w:sz="0" w:space="0" w:color="auto"/>
          </w:divBdr>
          <w:divsChild>
            <w:div w:id="1289043725">
              <w:marLeft w:val="0"/>
              <w:marRight w:val="0"/>
              <w:marTop w:val="0"/>
              <w:marBottom w:val="0"/>
              <w:divBdr>
                <w:top w:val="none" w:sz="0" w:space="0" w:color="auto"/>
                <w:left w:val="none" w:sz="0" w:space="0" w:color="auto"/>
                <w:bottom w:val="none" w:sz="0" w:space="0" w:color="auto"/>
                <w:right w:val="none" w:sz="0" w:space="0" w:color="auto"/>
              </w:divBdr>
            </w:div>
            <w:div w:id="1721631888">
              <w:marLeft w:val="0"/>
              <w:marRight w:val="0"/>
              <w:marTop w:val="0"/>
              <w:marBottom w:val="0"/>
              <w:divBdr>
                <w:top w:val="none" w:sz="0" w:space="0" w:color="auto"/>
                <w:left w:val="none" w:sz="0" w:space="0" w:color="auto"/>
                <w:bottom w:val="none" w:sz="0" w:space="0" w:color="auto"/>
                <w:right w:val="none" w:sz="0" w:space="0" w:color="auto"/>
              </w:divBdr>
            </w:div>
          </w:divsChild>
        </w:div>
        <w:div w:id="418676263">
          <w:marLeft w:val="120"/>
          <w:marRight w:val="120"/>
          <w:marTop w:val="0"/>
          <w:marBottom w:val="0"/>
          <w:divBdr>
            <w:top w:val="none" w:sz="0" w:space="0" w:color="auto"/>
            <w:left w:val="none" w:sz="0" w:space="0" w:color="auto"/>
            <w:bottom w:val="none" w:sz="0" w:space="0" w:color="auto"/>
            <w:right w:val="none" w:sz="0" w:space="0" w:color="auto"/>
          </w:divBdr>
        </w:div>
        <w:div w:id="1836258505">
          <w:marLeft w:val="0"/>
          <w:marRight w:val="0"/>
          <w:marTop w:val="0"/>
          <w:marBottom w:val="0"/>
          <w:divBdr>
            <w:top w:val="none" w:sz="0" w:space="0" w:color="auto"/>
            <w:left w:val="none" w:sz="0" w:space="0" w:color="auto"/>
            <w:bottom w:val="none" w:sz="0" w:space="0" w:color="auto"/>
            <w:right w:val="none" w:sz="0" w:space="0" w:color="auto"/>
          </w:divBdr>
          <w:divsChild>
            <w:div w:id="121463447">
              <w:marLeft w:val="0"/>
              <w:marRight w:val="0"/>
              <w:marTop w:val="0"/>
              <w:marBottom w:val="0"/>
              <w:divBdr>
                <w:top w:val="none" w:sz="0" w:space="0" w:color="auto"/>
                <w:left w:val="none" w:sz="0" w:space="0" w:color="auto"/>
                <w:bottom w:val="none" w:sz="0" w:space="0" w:color="auto"/>
                <w:right w:val="none" w:sz="0" w:space="0" w:color="auto"/>
              </w:divBdr>
              <w:divsChild>
                <w:div w:id="1328047311">
                  <w:marLeft w:val="0"/>
                  <w:marRight w:val="0"/>
                  <w:marTop w:val="0"/>
                  <w:marBottom w:val="0"/>
                  <w:divBdr>
                    <w:top w:val="none" w:sz="0" w:space="0" w:color="auto"/>
                    <w:left w:val="none" w:sz="0" w:space="0" w:color="auto"/>
                    <w:bottom w:val="none" w:sz="0" w:space="0" w:color="auto"/>
                    <w:right w:val="none" w:sz="0" w:space="0" w:color="auto"/>
                  </w:divBdr>
                  <w:divsChild>
                    <w:div w:id="1860465147">
                      <w:marLeft w:val="0"/>
                      <w:marRight w:val="0"/>
                      <w:marTop w:val="0"/>
                      <w:marBottom w:val="0"/>
                      <w:divBdr>
                        <w:top w:val="none" w:sz="0" w:space="0" w:color="auto"/>
                        <w:left w:val="none" w:sz="0" w:space="0" w:color="auto"/>
                        <w:bottom w:val="none" w:sz="0" w:space="0" w:color="auto"/>
                        <w:right w:val="none" w:sz="0" w:space="0" w:color="auto"/>
                      </w:divBdr>
                      <w:divsChild>
                        <w:div w:id="298917846">
                          <w:marLeft w:val="0"/>
                          <w:marRight w:val="0"/>
                          <w:marTop w:val="0"/>
                          <w:marBottom w:val="0"/>
                          <w:divBdr>
                            <w:top w:val="none" w:sz="0" w:space="0" w:color="auto"/>
                            <w:left w:val="none" w:sz="0" w:space="0" w:color="auto"/>
                            <w:bottom w:val="none" w:sz="0" w:space="0" w:color="auto"/>
                            <w:right w:val="none" w:sz="0" w:space="0" w:color="auto"/>
                          </w:divBdr>
                          <w:divsChild>
                            <w:div w:id="1046876855">
                              <w:marLeft w:val="0"/>
                              <w:marRight w:val="0"/>
                              <w:marTop w:val="0"/>
                              <w:marBottom w:val="0"/>
                              <w:divBdr>
                                <w:top w:val="none" w:sz="0" w:space="0" w:color="auto"/>
                                <w:left w:val="none" w:sz="0" w:space="0" w:color="auto"/>
                                <w:bottom w:val="none" w:sz="0" w:space="0" w:color="auto"/>
                                <w:right w:val="none" w:sz="0" w:space="0" w:color="auto"/>
                              </w:divBdr>
                              <w:divsChild>
                                <w:div w:id="333076041">
                                  <w:marLeft w:val="0"/>
                                  <w:marRight w:val="0"/>
                                  <w:marTop w:val="0"/>
                                  <w:marBottom w:val="0"/>
                                  <w:divBdr>
                                    <w:top w:val="none" w:sz="0" w:space="0" w:color="auto"/>
                                    <w:left w:val="none" w:sz="0" w:space="0" w:color="auto"/>
                                    <w:bottom w:val="none" w:sz="0" w:space="0" w:color="auto"/>
                                    <w:right w:val="none" w:sz="0" w:space="0" w:color="auto"/>
                                  </w:divBdr>
                                  <w:divsChild>
                                    <w:div w:id="13626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30177">
              <w:marLeft w:val="-120"/>
              <w:marRight w:val="-300"/>
              <w:marTop w:val="0"/>
              <w:marBottom w:val="0"/>
              <w:divBdr>
                <w:top w:val="none" w:sz="0" w:space="0" w:color="auto"/>
                <w:left w:val="none" w:sz="0" w:space="0" w:color="auto"/>
                <w:bottom w:val="none" w:sz="0" w:space="0" w:color="auto"/>
                <w:right w:val="none" w:sz="0" w:space="0" w:color="auto"/>
              </w:divBdr>
              <w:divsChild>
                <w:div w:id="399600755">
                  <w:marLeft w:val="0"/>
                  <w:marRight w:val="0"/>
                  <w:marTop w:val="0"/>
                  <w:marBottom w:val="0"/>
                  <w:divBdr>
                    <w:top w:val="none" w:sz="0" w:space="0" w:color="auto"/>
                    <w:left w:val="none" w:sz="0" w:space="0" w:color="auto"/>
                    <w:bottom w:val="none" w:sz="0" w:space="0" w:color="auto"/>
                    <w:right w:val="none" w:sz="0" w:space="0" w:color="auto"/>
                  </w:divBdr>
                  <w:divsChild>
                    <w:div w:id="39177803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0B1CD-F761-4838-89AE-68D97624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10631</Words>
  <Characters>56882</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2021-08-12T18:41:00Z</dcterms:created>
  <dcterms:modified xsi:type="dcterms:W3CDTF">2021-08-13T21:42:00Z</dcterms:modified>
</cp:coreProperties>
</file>