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AB0B05" w:rsidP="0017092F">
      <w:pPr>
        <w:tabs>
          <w:tab w:val="left" w:pos="1440"/>
          <w:tab w:val="left" w:pos="4680"/>
          <w:tab w:val="center" w:pos="7200"/>
        </w:tabs>
        <w:spacing w:after="0"/>
        <w:jc w:val="center"/>
        <w:rPr>
          <w:sz w:val="36"/>
        </w:rPr>
      </w:pPr>
      <w:r>
        <w:rPr>
          <w:b/>
          <w:sz w:val="36"/>
        </w:rPr>
        <w:t>IN THE SUPREME COURT OF CALIFORNIA</w:t>
      </w:r>
    </w:p>
    <w:p w:rsidR="0017092F" w:rsidP="0017092F">
      <w:pPr>
        <w:tabs>
          <w:tab w:val="left" w:pos="1440"/>
          <w:tab w:val="left" w:pos="4680"/>
          <w:tab w:val="center" w:pos="7200"/>
        </w:tabs>
        <w:spacing w:after="0"/>
        <w:jc w:val="center"/>
      </w:pPr>
    </w:p>
    <w:p w:rsidR="0017092F" w:rsidP="0017092F">
      <w:pPr>
        <w:tabs>
          <w:tab w:val="left" w:pos="1440"/>
          <w:tab w:val="left" w:pos="4680"/>
          <w:tab w:val="center" w:pos="7200"/>
        </w:tabs>
        <w:spacing w:after="0"/>
        <w:jc w:val="center"/>
      </w:pPr>
      <w:r>
        <w:t>YAHOO INC.</w:t>
      </w:r>
      <w:r w:rsidR="00A74E8B">
        <w:t>,</w:t>
      </w:r>
    </w:p>
    <w:p w:rsidR="0017092F" w:rsidP="0017092F">
      <w:pPr>
        <w:tabs>
          <w:tab w:val="left" w:pos="1440"/>
          <w:tab w:val="left" w:pos="4680"/>
          <w:tab w:val="center" w:pos="7200"/>
        </w:tabs>
        <w:spacing w:after="0"/>
        <w:jc w:val="center"/>
      </w:pPr>
      <w:r>
        <w:t>Plaintiff and Appellant</w:t>
      </w:r>
      <w:r w:rsidR="00A74E8B">
        <w:t>,</w:t>
      </w:r>
    </w:p>
    <w:p w:rsidR="0017092F" w:rsidP="0017092F">
      <w:pPr>
        <w:tabs>
          <w:tab w:val="left" w:pos="1440"/>
          <w:tab w:val="left" w:pos="4680"/>
          <w:tab w:val="center" w:pos="7200"/>
        </w:tabs>
        <w:spacing w:after="0"/>
        <w:jc w:val="center"/>
      </w:pPr>
      <w:r>
        <w:t>v.</w:t>
      </w:r>
    </w:p>
    <w:p w:rsidR="0017092F" w:rsidP="0017092F">
      <w:pPr>
        <w:tabs>
          <w:tab w:val="left" w:pos="1440"/>
          <w:tab w:val="left" w:pos="4680"/>
          <w:tab w:val="center" w:pos="7200"/>
        </w:tabs>
        <w:spacing w:after="0"/>
        <w:jc w:val="center"/>
      </w:pPr>
      <w:r>
        <w:t>NATIONAL UNION FIRE INSURANCE COMPANY OF PITTSBURG</w:t>
      </w:r>
      <w:r w:rsidR="008C0D88">
        <w:t>H</w:t>
      </w:r>
      <w:r>
        <w:t>, PA</w:t>
      </w:r>
      <w:r w:rsidR="00A74E8B">
        <w:t>,</w:t>
      </w:r>
    </w:p>
    <w:p w:rsidR="0017092F" w:rsidP="0017092F">
      <w:pPr>
        <w:tabs>
          <w:tab w:val="left" w:pos="1440"/>
          <w:tab w:val="left" w:pos="4680"/>
          <w:tab w:val="center" w:pos="7200"/>
        </w:tabs>
        <w:spacing w:after="0"/>
        <w:jc w:val="center"/>
      </w:pPr>
      <w:r>
        <w:t>Defendant and Respondent.</w:t>
      </w:r>
    </w:p>
    <w:p w:rsidR="0017092F" w:rsidP="0017092F">
      <w:pPr>
        <w:tabs>
          <w:tab w:val="left" w:pos="1440"/>
          <w:tab w:val="left" w:pos="4680"/>
          <w:tab w:val="center" w:pos="7200"/>
        </w:tabs>
        <w:spacing w:after="0"/>
        <w:jc w:val="center"/>
      </w:pPr>
    </w:p>
    <w:p w:rsidR="0017092F" w:rsidP="0017092F">
      <w:pPr>
        <w:tabs>
          <w:tab w:val="left" w:pos="1440"/>
          <w:tab w:val="left" w:pos="4680"/>
          <w:tab w:val="center" w:pos="7200"/>
        </w:tabs>
        <w:spacing w:after="0"/>
        <w:jc w:val="center"/>
      </w:pPr>
      <w:r>
        <w:t>S253593</w:t>
      </w:r>
    </w:p>
    <w:p w:rsidR="0017092F" w:rsidP="0017092F">
      <w:pPr>
        <w:tabs>
          <w:tab w:val="left" w:pos="1440"/>
          <w:tab w:val="left" w:pos="4680"/>
          <w:tab w:val="center" w:pos="7200"/>
        </w:tabs>
        <w:spacing w:after="0"/>
        <w:jc w:val="center"/>
      </w:pPr>
    </w:p>
    <w:p w:rsidR="003822EC" w:rsidP="0017092F">
      <w:pPr>
        <w:tabs>
          <w:tab w:val="left" w:pos="1440"/>
          <w:tab w:val="left" w:pos="4680"/>
          <w:tab w:val="center" w:pos="7200"/>
        </w:tabs>
        <w:spacing w:after="0"/>
        <w:jc w:val="center"/>
      </w:pPr>
      <w:bookmarkStart w:id="0" w:name="Return"/>
      <w:bookmarkEnd w:id="0"/>
      <w:r>
        <w:t xml:space="preserve">Ninth </w:t>
      </w:r>
      <w:r w:rsidR="0017092F">
        <w:t>Circuit</w:t>
      </w:r>
    </w:p>
    <w:p w:rsidR="0017092F" w:rsidP="0017092F">
      <w:pPr>
        <w:tabs>
          <w:tab w:val="left" w:pos="1440"/>
          <w:tab w:val="left" w:pos="4680"/>
          <w:tab w:val="center" w:pos="7200"/>
        </w:tabs>
        <w:spacing w:after="0"/>
        <w:jc w:val="center"/>
      </w:pPr>
      <w:r>
        <w:t>17-16452</w:t>
      </w:r>
    </w:p>
    <w:p w:rsidR="0017092F" w:rsidP="0017092F">
      <w:pPr>
        <w:tabs>
          <w:tab w:val="left" w:pos="1440"/>
          <w:tab w:val="left" w:pos="4680"/>
          <w:tab w:val="center" w:pos="7200"/>
        </w:tabs>
        <w:spacing w:after="0"/>
        <w:jc w:val="center"/>
      </w:pPr>
    </w:p>
    <w:p w:rsidR="0017092F" w:rsidP="0017092F">
      <w:pPr>
        <w:tabs>
          <w:tab w:val="left" w:pos="1440"/>
          <w:tab w:val="left" w:pos="4680"/>
          <w:tab w:val="center" w:pos="7200"/>
        </w:tabs>
        <w:spacing w:after="0"/>
        <w:jc w:val="center"/>
      </w:pPr>
      <w:r>
        <w:t>Northern District of California</w:t>
      </w:r>
    </w:p>
    <w:p w:rsidR="0017092F" w:rsidP="0017092F">
      <w:pPr>
        <w:tabs>
          <w:tab w:val="left" w:pos="1440"/>
          <w:tab w:val="left" w:pos="4680"/>
          <w:tab w:val="center" w:pos="7200"/>
        </w:tabs>
        <w:spacing w:after="0"/>
        <w:jc w:val="center"/>
      </w:pPr>
      <w:r>
        <w:t>5:17-cv-00447-NC</w:t>
      </w:r>
    </w:p>
    <w:p w:rsidR="0017092F" w:rsidP="0017092F">
      <w:pPr>
        <w:pBdr>
          <w:bottom w:val="single" w:sz="4" w:space="1" w:color="auto"/>
        </w:pBdr>
        <w:tabs>
          <w:tab w:val="left" w:pos="1440"/>
          <w:tab w:val="left" w:pos="4680"/>
          <w:tab w:val="center" w:pos="7200"/>
        </w:tabs>
        <w:spacing w:after="0"/>
        <w:jc w:val="center"/>
      </w:pPr>
    </w:p>
    <w:p w:rsidR="0017092F" w:rsidP="0017092F">
      <w:pPr>
        <w:tabs>
          <w:tab w:val="left" w:pos="1440"/>
          <w:tab w:val="left" w:pos="4680"/>
          <w:tab w:val="center" w:pos="7200"/>
        </w:tabs>
        <w:spacing w:after="0"/>
        <w:jc w:val="center"/>
      </w:pPr>
    </w:p>
    <w:p w:rsidR="0017092F" w:rsidP="0017092F">
      <w:pPr>
        <w:tabs>
          <w:tab w:val="left" w:pos="1440"/>
          <w:tab w:val="left" w:pos="4680"/>
          <w:tab w:val="center" w:pos="7200"/>
        </w:tabs>
        <w:spacing w:after="0"/>
        <w:jc w:val="center"/>
      </w:pPr>
      <w:r>
        <w:t>November 17, 2022</w:t>
      </w:r>
    </w:p>
    <w:p w:rsidR="0017092F" w:rsidP="0017092F">
      <w:pPr>
        <w:tabs>
          <w:tab w:val="left" w:pos="1440"/>
          <w:tab w:val="left" w:pos="4680"/>
          <w:tab w:val="center" w:pos="7200"/>
        </w:tabs>
        <w:spacing w:after="0"/>
        <w:jc w:val="center"/>
      </w:pPr>
    </w:p>
    <w:p w:rsidR="0017092F" w:rsidRPr="006E05DF" w:rsidP="0017092F">
      <w:pPr>
        <w:pBdr>
          <w:bottom w:val="single" w:sz="4" w:space="1" w:color="auto"/>
        </w:pBdr>
        <w:tabs>
          <w:tab w:val="left" w:pos="1440"/>
          <w:tab w:val="left" w:pos="4680"/>
          <w:tab w:val="center" w:pos="7200"/>
        </w:tabs>
        <w:spacing w:after="0"/>
        <w:jc w:val="left"/>
      </w:pPr>
      <w:r w:rsidRPr="006A434A">
        <w:t xml:space="preserve">Justice </w:t>
      </w:r>
      <w:r>
        <w:t>Jenkins</w:t>
      </w:r>
      <w:r w:rsidRPr="006A434A">
        <w:t xml:space="preserve"> authored the opinion of the Court, </w:t>
      </w:r>
      <w:r>
        <w:t>in which</w:t>
      </w:r>
      <w:r w:rsidR="004E5EFC">
        <w:t xml:space="preserve"> </w:t>
      </w:r>
      <w:r w:rsidRPr="004E5EFC" w:rsidR="004E5EFC">
        <w:t xml:space="preserve">Chief Justice Cantil-Sakauye </w:t>
      </w:r>
      <w:r w:rsidR="004E5EFC">
        <w:t xml:space="preserve">and </w:t>
      </w:r>
      <w:r w:rsidRPr="004E5EFC" w:rsidR="004E5EFC">
        <w:t xml:space="preserve">Justices Corrigan, </w:t>
      </w:r>
      <w:r w:rsidR="004E5EFC">
        <w:t xml:space="preserve">Liu, </w:t>
      </w:r>
      <w:r w:rsidRPr="004E5EFC" w:rsidR="004E5EFC">
        <w:t xml:space="preserve">Kruger, </w:t>
      </w:r>
      <w:r w:rsidR="004E5EFC">
        <w:t xml:space="preserve">Groban, </w:t>
      </w:r>
      <w:r w:rsidRPr="004E5EFC" w:rsidR="004E5EFC">
        <w:t>and Guerrero concurre</w:t>
      </w:r>
      <w:r>
        <w:t>d.</w:t>
      </w:r>
    </w:p>
    <w:p w:rsidR="0017092F" w:rsidRPr="0017092F" w:rsidP="0017092F">
      <w:pPr>
        <w:pBdr>
          <w:bottom w:val="single" w:sz="4" w:space="1" w:color="auto"/>
        </w:pBdr>
        <w:tabs>
          <w:tab w:val="left" w:pos="1440"/>
          <w:tab w:val="left" w:pos="4680"/>
          <w:tab w:val="center" w:pos="7200"/>
        </w:tabs>
        <w:spacing w:line="480" w:lineRule="atLeast"/>
        <w:jc w:val="left"/>
      </w:pPr>
    </w:p>
    <w:p w:rsidR="0017092F">
      <w:pPr>
        <w:tabs>
          <w:tab w:val="left" w:pos="1440"/>
          <w:tab w:val="left" w:pos="4680"/>
          <w:tab w:val="center" w:pos="7200"/>
        </w:tabs>
        <w:spacing w:line="480" w:lineRule="atLeast"/>
        <w:sectPr w:rsidSect="0017092F">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17092F" w:rsidP="0017092F">
      <w:pPr>
        <w:tabs>
          <w:tab w:val="left" w:pos="1440"/>
          <w:tab w:val="left" w:pos="4680"/>
          <w:tab w:val="center" w:pos="7200"/>
        </w:tabs>
        <w:jc w:val="center"/>
      </w:pPr>
      <w:r>
        <w:t>YAHOO INC. v. NATIONAL UNION FIRE INSURANCE COMPANY</w:t>
      </w:r>
      <w:r w:rsidR="00A74E8B">
        <w:t xml:space="preserve"> OF PITTSBURGH, PA</w:t>
      </w:r>
    </w:p>
    <w:p w:rsidR="0017092F" w:rsidP="0017092F">
      <w:pPr>
        <w:tabs>
          <w:tab w:val="left" w:pos="1440"/>
          <w:tab w:val="left" w:pos="4680"/>
          <w:tab w:val="center" w:pos="7200"/>
        </w:tabs>
        <w:jc w:val="center"/>
      </w:pPr>
      <w:r>
        <w:t>S253593</w:t>
      </w:r>
    </w:p>
    <w:p w:rsidR="0017092F" w:rsidP="0017092F">
      <w:pPr>
        <w:tabs>
          <w:tab w:val="left" w:pos="1440"/>
          <w:tab w:val="left" w:pos="4680"/>
          <w:tab w:val="center" w:pos="7200"/>
        </w:tabs>
        <w:jc w:val="center"/>
      </w:pPr>
    </w:p>
    <w:p w:rsidR="0017092F" w:rsidP="0017092F">
      <w:pPr>
        <w:tabs>
          <w:tab w:val="left" w:pos="1440"/>
          <w:tab w:val="left" w:pos="4680"/>
          <w:tab w:val="center" w:pos="7200"/>
        </w:tabs>
        <w:jc w:val="center"/>
      </w:pPr>
      <w:r>
        <w:t>Opinion of the Court by Jenkins, J</w:t>
      </w:r>
      <w:r w:rsidR="00F43765">
        <w:t>.</w:t>
      </w:r>
    </w:p>
    <w:p w:rsidR="0017092F" w:rsidRPr="0017092F" w:rsidP="0017092F">
      <w:pPr>
        <w:tabs>
          <w:tab w:val="left" w:pos="1440"/>
          <w:tab w:val="left" w:pos="4680"/>
          <w:tab w:val="center" w:pos="7200"/>
        </w:tabs>
        <w:jc w:val="center"/>
      </w:pPr>
    </w:p>
    <w:p w:rsidR="00103239" w:rsidRPr="0017092F" w:rsidP="0017092F">
      <w:pPr>
        <w:tabs>
          <w:tab w:val="left" w:pos="1440"/>
        </w:tabs>
        <w:ind w:firstLine="720"/>
      </w:pPr>
      <w:bookmarkStart w:id="1" w:name="_Hlk51520113"/>
      <w:r w:rsidRPr="0017092F">
        <w:t>The law of privacy recognizes</w:t>
      </w:r>
      <w:r w:rsidRPr="0017092F" w:rsidR="0065735B">
        <w:t xml:space="preserve">, among other things, </w:t>
      </w:r>
      <w:r w:rsidRPr="0017092F">
        <w:t xml:space="preserve">a right to secrecy and </w:t>
      </w:r>
      <w:r w:rsidRPr="0017092F" w:rsidR="001D65A5">
        <w:t xml:space="preserve">a right to </w:t>
      </w:r>
      <w:r w:rsidRPr="0017092F">
        <w:t>seclusion.</w:t>
      </w:r>
      <w:r w:rsidRPr="0017092F" w:rsidR="00DA6014">
        <w:t xml:space="preserve">  </w:t>
      </w:r>
      <w:r w:rsidRPr="0017092F" w:rsidR="00CF00EE">
        <w:t xml:space="preserve">“[A] person claiming the privacy right of seclusion asserts the right to be free, in a particular location, from disturbance </w:t>
      </w:r>
      <w:r w:rsidRPr="005373AC" w:rsidR="00CF00EE">
        <w:rPr>
          <w:i/>
          <w:iCs/>
        </w:rPr>
        <w:t>by</w:t>
      </w:r>
      <w:r w:rsidRPr="0017092F" w:rsidR="00CF00EE">
        <w:t xml:space="preserve"> others.  A person claiming the privacy right of secrecy asserts the right to prevent disclosure of personal information </w:t>
      </w:r>
      <w:r w:rsidRPr="005373AC" w:rsidR="00CF00EE">
        <w:rPr>
          <w:i/>
          <w:iCs/>
        </w:rPr>
        <w:t>to</w:t>
      </w:r>
      <w:r w:rsidRPr="0017092F" w:rsidR="00CF00EE">
        <w:t xml:space="preserve"> others.  Invasion of the privacy right of seclusion involves the </w:t>
      </w:r>
      <w:r w:rsidRPr="005373AC" w:rsidR="00CF00EE">
        <w:rPr>
          <w:i/>
          <w:iCs/>
        </w:rPr>
        <w:t>means</w:t>
      </w:r>
      <w:r w:rsidRPr="0017092F" w:rsidR="00CF00EE">
        <w:t xml:space="preserve">, </w:t>
      </w:r>
      <w:r w:rsidRPr="005373AC" w:rsidR="00CF00EE">
        <w:rPr>
          <w:i/>
          <w:iCs/>
        </w:rPr>
        <w:t>manner</w:t>
      </w:r>
      <w:r w:rsidRPr="0017092F" w:rsidR="00CF00EE">
        <w:t xml:space="preserve">, </w:t>
      </w:r>
      <w:r w:rsidRPr="005373AC" w:rsidR="00CF00EE">
        <w:rPr>
          <w:i/>
          <w:iCs/>
        </w:rPr>
        <w:t>and method</w:t>
      </w:r>
      <w:r w:rsidRPr="0017092F" w:rsidR="00CF00EE">
        <w:t xml:space="preserve"> of communication in a location (or at a time) which disturbs the recipient’s seclusion.  By contrast, invasion of the privacy right of secrecy involves the </w:t>
      </w:r>
      <w:r w:rsidRPr="005373AC" w:rsidR="00CF00EE">
        <w:rPr>
          <w:i/>
          <w:iCs/>
        </w:rPr>
        <w:t>content</w:t>
      </w:r>
      <w:r w:rsidRPr="0017092F" w:rsidR="00CF00EE">
        <w:t xml:space="preserve"> of communication that occurs when someone’s private, personal information is disclosed to a third person.”  (</w:t>
      </w:r>
      <w:r w:rsidRPr="0017092F" w:rsidR="00CF00EE">
        <w:rPr>
          <w:i/>
          <w:iCs/>
        </w:rPr>
        <w:t>ACS Systems</w:t>
      </w:r>
      <w:r w:rsidR="00FA6244">
        <w:rPr>
          <w:i/>
          <w:iCs/>
        </w:rPr>
        <w:t>,</w:t>
      </w:r>
      <w:r w:rsidRPr="0017092F" w:rsidR="00CF00EE">
        <w:rPr>
          <w:i/>
          <w:iCs/>
        </w:rPr>
        <w:t xml:space="preserve"> Inc. v. St. Paul Fire </w:t>
      </w:r>
      <w:r w:rsidR="00FA6244">
        <w:rPr>
          <w:i/>
          <w:iCs/>
        </w:rPr>
        <w:t>&amp;</w:t>
      </w:r>
      <w:r w:rsidRPr="0017092F" w:rsidR="00FA6244">
        <w:rPr>
          <w:i/>
          <w:iCs/>
        </w:rPr>
        <w:t xml:space="preserve"> </w:t>
      </w:r>
      <w:r w:rsidRPr="0017092F" w:rsidR="00CF00EE">
        <w:rPr>
          <w:i/>
          <w:iCs/>
        </w:rPr>
        <w:t>Marine Ins. Co.</w:t>
      </w:r>
      <w:r w:rsidRPr="0017092F" w:rsidR="00CF00EE">
        <w:t xml:space="preserve"> (2007) 147 Cal.App.4th 137, 148–149 (</w:t>
      </w:r>
      <w:r w:rsidRPr="0017092F" w:rsidR="00CF00EE">
        <w:rPr>
          <w:i/>
          <w:iCs/>
        </w:rPr>
        <w:t>ACS Systems</w:t>
      </w:r>
      <w:r w:rsidRPr="0017092F" w:rsidR="00CF00EE">
        <w:t>).)</w:t>
      </w:r>
      <w:r>
        <w:rPr>
          <w:rStyle w:val="FootnoteReference"/>
        </w:rPr>
        <w:footnoteReference w:id="3"/>
      </w:r>
      <w:bookmarkEnd w:id="1"/>
    </w:p>
    <w:p w:rsidR="00103239" w:rsidRPr="0017092F" w:rsidP="0017092F">
      <w:pPr>
        <w:tabs>
          <w:tab w:val="left" w:pos="1440"/>
        </w:tabs>
        <w:ind w:firstLine="720"/>
      </w:pPr>
      <w:r w:rsidRPr="0017092F">
        <w:t xml:space="preserve">Privacy injuries that involve the right of seclusion </w:t>
      </w:r>
      <w:r w:rsidRPr="0017092F" w:rsidR="00600364">
        <w:t xml:space="preserve">are sometimes </w:t>
      </w:r>
      <w:r w:rsidRPr="0017092F">
        <w:t>actionable under the federal Telephone Consumer Protection Act of 1991 (TCPA) (47 U.S.C. §</w:t>
      </w:r>
      <w:r w:rsidR="00B415BD">
        <w:t> </w:t>
      </w:r>
      <w:r w:rsidRPr="0017092F">
        <w:t>227 (</w:t>
      </w:r>
      <w:r w:rsidR="00542B03">
        <w:t>section</w:t>
      </w:r>
      <w:r w:rsidRPr="0017092F">
        <w:t> 227))</w:t>
      </w:r>
      <w:r w:rsidR="00542B03">
        <w:t>,</w:t>
      </w:r>
      <w:r w:rsidRPr="0017092F">
        <w:t xml:space="preserve"> provided the violation involves</w:t>
      </w:r>
      <w:r w:rsidRPr="0017092F">
        <w:t xml:space="preserve"> the use of telephonic equipment.</w:t>
      </w:r>
      <w:r w:rsidRPr="0017092F">
        <w:t xml:space="preserve">  </w:t>
      </w:r>
      <w:r w:rsidRPr="0017092F">
        <w:t>Specifically, the TCPA protects the seclusion interests of telephone users by placing restrictions on automated telephone calls (“robocalls”) and unsolicited facsimile machine advertisements (“junk faxes”).  (See §</w:t>
      </w:r>
      <w:r w:rsidRPr="0017092F">
        <w:t> </w:t>
      </w:r>
      <w:r w:rsidRPr="0017092F">
        <w:t xml:space="preserve">227; </w:t>
      </w:r>
      <w:r w:rsidRPr="0017092F">
        <w:rPr>
          <w:i/>
          <w:iCs/>
        </w:rPr>
        <w:t>Duguid v. Facebook, Inc.</w:t>
      </w:r>
      <w:r w:rsidRPr="0017092F">
        <w:t xml:space="preserve"> (9th Cir. 2019) 926 F.3d 1146, 1149.)  </w:t>
      </w:r>
      <w:bookmarkStart w:id="2" w:name="_Hlk51070488"/>
      <w:r w:rsidRPr="0017092F">
        <w:t>Subject to certain exceptions, the TCPA prohibits making “any call . . . using any automatic telephone dialing system . . . to any telephone number assigned to a . . . cellular telephone service.”  (§</w:t>
      </w:r>
      <w:r w:rsidR="00B415BD">
        <w:t> </w:t>
      </w:r>
      <w:r w:rsidRPr="0017092F">
        <w:t>227(b)(1)(A)</w:t>
      </w:r>
      <w:r w:rsidR="00542B03">
        <w:t>(iii)</w:t>
      </w:r>
      <w:r w:rsidRPr="0017092F">
        <w:t>.)  The TCPA also prohibits, again subject to exceptions, using “any . . . device to send, to a telephone facsimile machine, an unsolicited advertisement.”  (</w:t>
      </w:r>
      <w:r w:rsidRPr="0017092F">
        <w:rPr>
          <w:i/>
          <w:iCs/>
        </w:rPr>
        <w:t>Id</w:t>
      </w:r>
      <w:r w:rsidRPr="0017092F">
        <w:t xml:space="preserve">., </w:t>
      </w:r>
      <w:r w:rsidR="00542B03">
        <w:t>§</w:t>
      </w:r>
      <w:r w:rsidR="00B415BD">
        <w:t> </w:t>
      </w:r>
      <w:r w:rsidR="00542B03">
        <w:t>227</w:t>
      </w:r>
      <w:r w:rsidRPr="0017092F">
        <w:t>(b)(1)(C).)</w:t>
      </w:r>
      <w:bookmarkEnd w:id="2"/>
      <w:r w:rsidRPr="0017092F">
        <w:t xml:space="preserve">  Significantly, the TCPA’s prohibitions have been interpreted to apply to text messages (“robotexts”), not just to voice telephone calls.  (</w:t>
      </w:r>
      <w:r w:rsidRPr="0017092F">
        <w:rPr>
          <w:i/>
          <w:iCs/>
        </w:rPr>
        <w:t>Duguid</w:t>
      </w:r>
      <w:r w:rsidRPr="0017092F">
        <w:t xml:space="preserve">, </w:t>
      </w:r>
      <w:r w:rsidRPr="0017092F">
        <w:rPr>
          <w:i/>
          <w:iCs/>
        </w:rPr>
        <w:t>supra</w:t>
      </w:r>
      <w:r w:rsidRPr="0017092F">
        <w:t xml:space="preserve">, 926 F.3d at p. 1149; </w:t>
      </w:r>
      <w:r w:rsidRPr="0017092F">
        <w:rPr>
          <w:i/>
          <w:iCs/>
        </w:rPr>
        <w:t>Satterfield v. Simon &amp; Schuster, Inc.</w:t>
      </w:r>
      <w:r w:rsidRPr="0017092F">
        <w:t xml:space="preserve"> (9th Cir. 2009) 569 F.3d 946, 954.)</w:t>
      </w:r>
    </w:p>
    <w:p w:rsidR="00E726EF" w:rsidRPr="0017092F" w:rsidP="0017092F">
      <w:pPr>
        <w:tabs>
          <w:tab w:val="left" w:pos="1440"/>
        </w:tabs>
        <w:ind w:firstLine="720"/>
      </w:pPr>
      <w:r w:rsidRPr="0017092F">
        <w:t>M</w:t>
      </w:r>
      <w:r w:rsidRPr="0017092F" w:rsidR="00242E1E">
        <w:t xml:space="preserve">any commercial general liability (CGL) </w:t>
      </w:r>
      <w:r w:rsidRPr="0017092F" w:rsidR="00600364">
        <w:t xml:space="preserve">insurance </w:t>
      </w:r>
      <w:r w:rsidRPr="0017092F" w:rsidR="00242E1E">
        <w:t xml:space="preserve">policies provide coverage against liability for privacy violations, but it is not always clear what </w:t>
      </w:r>
      <w:r w:rsidRPr="0017092F" w:rsidR="00DA6014">
        <w:t xml:space="preserve">specific </w:t>
      </w:r>
      <w:r w:rsidRPr="0017092F" w:rsidR="00242E1E">
        <w:t>types of privacy violation</w:t>
      </w:r>
      <w:r w:rsidR="003A3F17">
        <w:t>s</w:t>
      </w:r>
      <w:r w:rsidRPr="0017092F" w:rsidR="00242E1E">
        <w:t xml:space="preserve"> are covered.  The </w:t>
      </w:r>
      <w:r w:rsidRPr="0017092F" w:rsidR="00600364">
        <w:t xml:space="preserve">insurance </w:t>
      </w:r>
      <w:r w:rsidRPr="0017092F" w:rsidR="00242E1E">
        <w:t xml:space="preserve">policy at issue here, for example, provides liability coverage for injuries </w:t>
      </w:r>
      <w:bookmarkStart w:id="3" w:name="_Hlk51063078"/>
      <w:r w:rsidRPr="0017092F" w:rsidR="00242E1E">
        <w:t xml:space="preserve">“arising out of . . . </w:t>
      </w:r>
      <w:bookmarkStart w:id="4" w:name="_Hlk51061267"/>
      <w:r w:rsidRPr="0017092F" w:rsidR="00242E1E">
        <w:t>[o]ral or written publication, in any manner, of material that violates a person’s right of privacy.”</w:t>
      </w:r>
      <w:bookmarkEnd w:id="3"/>
      <w:bookmarkEnd w:id="4"/>
      <w:r w:rsidRPr="0017092F" w:rsidR="00242E1E">
        <w:t xml:space="preserve">  The question we must resolve is whether this language provides liability coverage for right-of-seclusion violations litigated under the TCPA.  </w:t>
      </w:r>
      <w:r w:rsidRPr="0017092F" w:rsidR="00DA6014">
        <w:t xml:space="preserve">We </w:t>
      </w:r>
      <w:r w:rsidRPr="0017092F" w:rsidR="00242E1E">
        <w:t>conclude that it does</w:t>
      </w:r>
      <w:r w:rsidR="003A3F17">
        <w:t>,</w:t>
      </w:r>
      <w:r w:rsidRPr="0017092F" w:rsidR="00491DE3">
        <w:t xml:space="preserve"> assuming such coverage is consistent with the insured’s reasonable expectations</w:t>
      </w:r>
      <w:r w:rsidRPr="0017092F" w:rsidR="00242E1E">
        <w:t>.</w:t>
      </w:r>
    </w:p>
    <w:p w:rsidR="00E726EF" w:rsidRPr="0017092F" w:rsidP="0017092F">
      <w:pPr>
        <w:pStyle w:val="Heading1"/>
      </w:pPr>
      <w:r w:rsidRPr="0017092F">
        <w:t xml:space="preserve">I. </w:t>
      </w:r>
      <w:r w:rsidRPr="0017092F" w:rsidR="001D65A5">
        <w:t xml:space="preserve"> </w:t>
      </w:r>
      <w:r w:rsidRPr="0017092F">
        <w:t>Facts and Procedural Background</w:t>
      </w:r>
    </w:p>
    <w:p w:rsidR="00F52C73" w:rsidRPr="0017092F" w:rsidP="0017092F">
      <w:pPr>
        <w:tabs>
          <w:tab w:val="left" w:pos="1440"/>
        </w:tabs>
        <w:ind w:firstLine="720"/>
      </w:pPr>
      <w:r w:rsidRPr="0017092F">
        <w:t xml:space="preserve">When </w:t>
      </w:r>
      <w:r w:rsidR="00DA5D5B">
        <w:t xml:space="preserve">defendant </w:t>
      </w:r>
      <w:r w:rsidRPr="0017092F">
        <w:t xml:space="preserve">National Union Fire Insurance Company of Pittsburgh, </w:t>
      </w:r>
      <w:r w:rsidRPr="0017092F" w:rsidR="00FA6244">
        <w:t>P</w:t>
      </w:r>
      <w:r w:rsidR="00FA6244">
        <w:t>A</w:t>
      </w:r>
      <w:r w:rsidRPr="0017092F" w:rsidR="00FA6244">
        <w:t xml:space="preserve"> </w:t>
      </w:r>
      <w:r w:rsidRPr="0017092F">
        <w:t xml:space="preserve">(National Union) declined to defend or </w:t>
      </w:r>
      <w:r w:rsidRPr="0017092F">
        <w:t xml:space="preserve">indemnify </w:t>
      </w:r>
      <w:r w:rsidR="00DA5D5B">
        <w:t xml:space="preserve">plaintiff </w:t>
      </w:r>
      <w:r w:rsidRPr="0017092F">
        <w:t>Yahoo Inc. (Yahoo</w:t>
      </w:r>
      <w:r w:rsidRPr="0017092F" w:rsidR="004C2594">
        <w:t>!</w:t>
      </w:r>
      <w:r w:rsidRPr="0017092F">
        <w:t>) in a series of putative class action lawsuits alleging that Yahoo</w:t>
      </w:r>
      <w:r w:rsidRPr="0017092F" w:rsidR="004C2594">
        <w:t>!</w:t>
      </w:r>
      <w:r w:rsidRPr="0017092F">
        <w:t>’s unsolicited text messaging had violated the TCPA, Yahoo</w:t>
      </w:r>
      <w:r w:rsidRPr="0017092F" w:rsidR="004C2594">
        <w:t>!</w:t>
      </w:r>
      <w:r w:rsidRPr="0017092F">
        <w:t xml:space="preserve"> sued National Union in federal district </w:t>
      </w:r>
      <w:r w:rsidRPr="0017092F" w:rsidR="00AD2B7C">
        <w:t>court, alleging breach of contract and seeking</w:t>
      </w:r>
      <w:r w:rsidRPr="0017092F">
        <w:t xml:space="preserve"> to obtain coverage.  According to the complaint, National Union sold Yahoo</w:t>
      </w:r>
      <w:r w:rsidRPr="0017092F" w:rsidR="00D23AE2">
        <w:t>!</w:t>
      </w:r>
      <w:r w:rsidRPr="0017092F">
        <w:t xml:space="preserve"> a CGL </w:t>
      </w:r>
      <w:r w:rsidRPr="0017092F" w:rsidR="003A3F17">
        <w:t>polic</w:t>
      </w:r>
      <w:r w:rsidR="003A3F17">
        <w:t>y</w:t>
      </w:r>
      <w:r w:rsidRPr="0017092F" w:rsidR="003A3F17">
        <w:t xml:space="preserve"> </w:t>
      </w:r>
      <w:r w:rsidRPr="0017092F">
        <w:t>covering the period when the alleged TCPA violations occurred.</w:t>
      </w:r>
      <w:r>
        <w:rPr>
          <w:rStyle w:val="FootnoteReference"/>
        </w:rPr>
        <w:footnoteReference w:id="4"/>
      </w:r>
      <w:r w:rsidRPr="0017092F">
        <w:t xml:space="preserve">  Th</w:t>
      </w:r>
      <w:r w:rsidRPr="0017092F" w:rsidR="004E68E8">
        <w:t>e</w:t>
      </w:r>
      <w:r w:rsidRPr="0017092F">
        <w:t xml:space="preserve"> polic</w:t>
      </w:r>
      <w:r w:rsidRPr="0017092F" w:rsidR="00D51906">
        <w:t xml:space="preserve">y was </w:t>
      </w:r>
      <w:r w:rsidRPr="0017092F" w:rsidR="004E68E8">
        <w:t xml:space="preserve">in the form of </w:t>
      </w:r>
      <w:r w:rsidRPr="0017092F">
        <w:t xml:space="preserve">National Union’s standard CGL policy, modified by </w:t>
      </w:r>
      <w:r w:rsidRPr="0017092F" w:rsidR="004E68E8">
        <w:t xml:space="preserve">various </w:t>
      </w:r>
      <w:r w:rsidRPr="0017092F" w:rsidR="00E37198">
        <w:t xml:space="preserve">endorsements including a </w:t>
      </w:r>
      <w:r w:rsidRPr="0017092F">
        <w:t>negotiated endorsement</w:t>
      </w:r>
      <w:r w:rsidRPr="0017092F" w:rsidR="00A70184">
        <w:t xml:space="preserve"> </w:t>
      </w:r>
      <w:r w:rsidRPr="0017092F" w:rsidR="007551D1">
        <w:t xml:space="preserve">called </w:t>
      </w:r>
      <w:r w:rsidR="00DA5D5B">
        <w:t>e</w:t>
      </w:r>
      <w:r w:rsidRPr="0017092F" w:rsidR="00A70184">
        <w:t>ndorsement No. 1</w:t>
      </w:r>
      <w:r w:rsidR="00DA5D5B">
        <w:t xml:space="preserve"> (Endorsement No. 1)</w:t>
      </w:r>
      <w:r w:rsidRPr="0017092F">
        <w:t xml:space="preserve">.  </w:t>
      </w:r>
    </w:p>
    <w:p w:rsidR="009C7342" w:rsidRPr="0017092F" w:rsidP="0017092F">
      <w:pPr>
        <w:tabs>
          <w:tab w:val="left" w:pos="1440"/>
        </w:tabs>
        <w:ind w:firstLine="720"/>
      </w:pPr>
      <w:r w:rsidRPr="0017092F">
        <w:t>The standard version of National Union’s policy provide</w:t>
      </w:r>
      <w:r w:rsidRPr="0017092F" w:rsidR="007551D1">
        <w:t>d</w:t>
      </w:r>
      <w:r w:rsidRPr="0017092F">
        <w:t xml:space="preserve"> liability coverage for “personal and advertising injury,” which the policy define</w:t>
      </w:r>
      <w:r w:rsidRPr="0017092F" w:rsidR="007551D1">
        <w:t>d</w:t>
      </w:r>
      <w:r w:rsidRPr="0017092F">
        <w:t xml:space="preserve"> as injury arising out of any of seven specified offenses, includin</w:t>
      </w:r>
      <w:bookmarkStart w:id="5" w:name="_Hlk51145506"/>
      <w:r w:rsidRPr="0017092F">
        <w:t xml:space="preserve">g </w:t>
      </w:r>
      <w:bookmarkStart w:id="6" w:name="_Hlk51079651"/>
      <w:r w:rsidRPr="0017092F">
        <w:t>“[o]ral or written publication, in any manner, of material that violates a person’s right of privacy.”</w:t>
      </w:r>
      <w:bookmarkEnd w:id="5"/>
      <w:bookmarkEnd w:id="6"/>
      <w:r w:rsidRPr="0017092F" w:rsidR="00C4079F">
        <w:t xml:space="preserve">  </w:t>
      </w:r>
      <w:r w:rsidRPr="0017092F">
        <w:t xml:space="preserve">The standard policy, however, </w:t>
      </w:r>
      <w:r w:rsidRPr="0017092F">
        <w:rPr>
          <w:i/>
          <w:iCs/>
        </w:rPr>
        <w:t>exclude</w:t>
      </w:r>
      <w:r w:rsidRPr="0017092F" w:rsidR="007551D1">
        <w:rPr>
          <w:i/>
          <w:iCs/>
        </w:rPr>
        <w:t>d</w:t>
      </w:r>
      <w:r w:rsidRPr="0017092F">
        <w:t xml:space="preserve"> injuries arising from the distribution of material in violation of the TCPA.</w:t>
      </w:r>
    </w:p>
    <w:p w:rsidR="00FB75A2" w:rsidRPr="0017092F" w:rsidP="0017092F">
      <w:pPr>
        <w:tabs>
          <w:tab w:val="left" w:pos="1440"/>
        </w:tabs>
        <w:ind w:firstLine="720"/>
      </w:pPr>
      <w:r w:rsidRPr="0017092F">
        <w:t>Endorsement No.</w:t>
      </w:r>
      <w:r w:rsidRPr="0017092F" w:rsidR="00844FFA">
        <w:t> </w:t>
      </w:r>
      <w:r w:rsidRPr="0017092F">
        <w:t>1</w:t>
      </w:r>
      <w:r w:rsidRPr="0017092F" w:rsidR="00286A98">
        <w:t xml:space="preserve"> </w:t>
      </w:r>
      <w:r w:rsidRPr="0017092F" w:rsidR="008F09FD">
        <w:t>modif</w:t>
      </w:r>
      <w:r w:rsidRPr="0017092F" w:rsidR="0049647C">
        <w:t xml:space="preserve">ied </w:t>
      </w:r>
      <w:r w:rsidRPr="0017092F" w:rsidR="008F09FD">
        <w:t xml:space="preserve">National Union’s standard policy in three important ways.  First, </w:t>
      </w:r>
      <w:r w:rsidRPr="0017092F">
        <w:t>E</w:t>
      </w:r>
      <w:r w:rsidRPr="0017092F" w:rsidR="008F09FD">
        <w:t xml:space="preserve">ndorsement </w:t>
      </w:r>
      <w:r w:rsidRPr="0017092F">
        <w:t>No.</w:t>
      </w:r>
      <w:r w:rsidRPr="0017092F" w:rsidR="00844FFA">
        <w:t> </w:t>
      </w:r>
      <w:r w:rsidRPr="0017092F">
        <w:t xml:space="preserve">1 </w:t>
      </w:r>
      <w:r w:rsidRPr="0017092F" w:rsidR="008F09FD">
        <w:t>remove</w:t>
      </w:r>
      <w:r w:rsidRPr="0017092F" w:rsidR="00020101">
        <w:t>d</w:t>
      </w:r>
      <w:r w:rsidRPr="0017092F" w:rsidR="008F09FD">
        <w:t xml:space="preserve"> the exclusion for injuries arising from violations of the TCPA</w:t>
      </w:r>
      <w:r w:rsidRPr="0017092F" w:rsidR="002F3C5C">
        <w:t>.</w:t>
      </w:r>
      <w:r>
        <w:rPr>
          <w:rStyle w:val="FootnoteReference"/>
        </w:rPr>
        <w:footnoteReference w:id="5"/>
      </w:r>
    </w:p>
    <w:p w:rsidR="00FB75A2" w:rsidRPr="0017092F" w:rsidP="0017092F">
      <w:pPr>
        <w:tabs>
          <w:tab w:val="left" w:pos="1440"/>
        </w:tabs>
        <w:ind w:firstLine="720"/>
      </w:pPr>
      <w:r w:rsidRPr="0017092F">
        <w:t xml:space="preserve">Second, </w:t>
      </w:r>
      <w:r w:rsidRPr="0017092F" w:rsidR="007124F1">
        <w:t>Endorsement No.</w:t>
      </w:r>
      <w:r w:rsidRPr="0017092F" w:rsidR="00844FFA">
        <w:t> </w:t>
      </w:r>
      <w:r w:rsidRPr="0017092F" w:rsidR="007124F1">
        <w:t xml:space="preserve">1 </w:t>
      </w:r>
      <w:r w:rsidRPr="0017092F">
        <w:t>provide</w:t>
      </w:r>
      <w:r w:rsidRPr="0017092F" w:rsidR="00020101">
        <w:t>d</w:t>
      </w:r>
      <w:r w:rsidRPr="0017092F">
        <w:t xml:space="preserve"> liability coverage only for “personal injury” (as compared to “personal and advertising injury” in the standard version of the policy), and it define</w:t>
      </w:r>
      <w:r w:rsidRPr="0017092F" w:rsidR="00020101">
        <w:t>d</w:t>
      </w:r>
      <w:r w:rsidRPr="0017092F">
        <w:t xml:space="preserve"> “personal injury” to include injury arising from </w:t>
      </w:r>
      <w:r w:rsidRPr="0017092F" w:rsidR="0058721E">
        <w:t xml:space="preserve">any of </w:t>
      </w:r>
      <w:r w:rsidRPr="0017092F">
        <w:t>five offenses (as compared to seven offenses in the standard version of the policy).  Th</w:t>
      </w:r>
      <w:r w:rsidRPr="0017092F" w:rsidR="00020101">
        <w:t>e</w:t>
      </w:r>
      <w:r w:rsidRPr="0017092F">
        <w:t xml:space="preserve"> list of five offenses, however,</w:t>
      </w:r>
      <w:r w:rsidR="000F49DC">
        <w:t xml:space="preserve"> </w:t>
      </w:r>
      <w:r w:rsidR="00320857">
        <w:t xml:space="preserve">still </w:t>
      </w:r>
      <w:r w:rsidRPr="0017092F">
        <w:t>include</w:t>
      </w:r>
      <w:r w:rsidRPr="0017092F" w:rsidR="00020101">
        <w:t>d</w:t>
      </w:r>
      <w:r w:rsidRPr="0017092F">
        <w:t xml:space="preserve"> injuries arising from “[o]ral or written publication, in any manner, of material that violates a person’s right of privacy.”</w:t>
      </w:r>
      <w:r>
        <w:rPr>
          <w:rStyle w:val="FootnoteReference"/>
        </w:rPr>
        <w:footnoteReference w:id="6"/>
      </w:r>
      <w:r w:rsidRPr="0017092F" w:rsidR="00C4079F">
        <w:t xml:space="preserve">  </w:t>
      </w:r>
      <w:r w:rsidRPr="0017092F" w:rsidR="005F0F4E">
        <w:t>Therefore</w:t>
      </w:r>
      <w:r w:rsidRPr="0017092F">
        <w:t xml:space="preserve">, although </w:t>
      </w:r>
      <w:r w:rsidRPr="0017092F" w:rsidR="007124F1">
        <w:t>E</w:t>
      </w:r>
      <w:r w:rsidRPr="0017092F">
        <w:t xml:space="preserve">ndorsement </w:t>
      </w:r>
      <w:r w:rsidRPr="0017092F" w:rsidR="007124F1">
        <w:t>No.</w:t>
      </w:r>
      <w:r w:rsidRPr="0017092F" w:rsidR="00844FFA">
        <w:t> </w:t>
      </w:r>
      <w:r w:rsidRPr="0017092F" w:rsidR="007124F1">
        <w:t xml:space="preserve">1 </w:t>
      </w:r>
      <w:r w:rsidRPr="0017092F">
        <w:t>remove</w:t>
      </w:r>
      <w:r w:rsidRPr="0017092F" w:rsidR="00020101">
        <w:t>d</w:t>
      </w:r>
      <w:r w:rsidRPr="0017092F">
        <w:t xml:space="preserve"> </w:t>
      </w:r>
      <w:r w:rsidRPr="0017092F">
        <w:t>coverage for advertising injuries, coverage for injuries to privacy remain</w:t>
      </w:r>
      <w:r w:rsidRPr="0017092F" w:rsidR="004628A1">
        <w:t>ed</w:t>
      </w:r>
      <w:r w:rsidRPr="0017092F">
        <w:t>.</w:t>
      </w:r>
    </w:p>
    <w:p w:rsidR="00FB75A2" w:rsidRPr="0017092F" w:rsidP="0017092F">
      <w:pPr>
        <w:tabs>
          <w:tab w:val="left" w:pos="1440"/>
        </w:tabs>
        <w:ind w:firstLine="720"/>
      </w:pPr>
      <w:r w:rsidRPr="0017092F">
        <w:t xml:space="preserve">Third, and related to the second change, </w:t>
      </w:r>
      <w:r w:rsidRPr="0017092F" w:rsidR="007124F1">
        <w:t>E</w:t>
      </w:r>
      <w:r w:rsidRPr="0017092F">
        <w:t xml:space="preserve">ndorsement </w:t>
      </w:r>
      <w:r w:rsidRPr="0017092F" w:rsidR="007124F1">
        <w:t>No.</w:t>
      </w:r>
      <w:r w:rsidRPr="0017092F" w:rsidR="00844FFA">
        <w:t> </w:t>
      </w:r>
      <w:r w:rsidRPr="0017092F" w:rsidR="007124F1">
        <w:t xml:space="preserve">1 </w:t>
      </w:r>
      <w:r w:rsidRPr="0017092F">
        <w:t xml:space="preserve">expressly </w:t>
      </w:r>
      <w:r w:rsidRPr="0017092F">
        <w:rPr>
          <w:i/>
          <w:iCs/>
        </w:rPr>
        <w:t>exclude</w:t>
      </w:r>
      <w:r w:rsidRPr="0017092F" w:rsidR="00020101">
        <w:rPr>
          <w:i/>
          <w:iCs/>
        </w:rPr>
        <w:t>d</w:t>
      </w:r>
      <w:r w:rsidRPr="0017092F">
        <w:t xml:space="preserve"> liability coverage for “advertising injury,</w:t>
      </w:r>
      <w:r w:rsidRPr="0017092F" w:rsidR="00C4079F">
        <w:t>”</w:t>
      </w:r>
      <w:r w:rsidRPr="0017092F">
        <w:t xml:space="preserve"> which it define</w:t>
      </w:r>
      <w:r w:rsidRPr="0017092F" w:rsidR="00020101">
        <w:t>d</w:t>
      </w:r>
      <w:r w:rsidRPr="0017092F">
        <w:t xml:space="preserve"> as injury arising from any of four offenses, including “[o]ral or written publication, in any manner, of material </w:t>
      </w:r>
      <w:r w:rsidRPr="0017092F">
        <w:rPr>
          <w:i/>
          <w:iCs/>
        </w:rPr>
        <w:t>in your ‘advertisement’</w:t>
      </w:r>
      <w:r w:rsidRPr="0017092F">
        <w:t xml:space="preserve"> that violates a person’s right of privacy.”</w:t>
      </w:r>
      <w:r>
        <w:rPr>
          <w:rStyle w:val="FootnoteReference"/>
        </w:rPr>
        <w:footnoteReference w:id="7"/>
      </w:r>
      <w:r w:rsidRPr="0017092F">
        <w:t xml:space="preserve">  (Italics added.)</w:t>
      </w:r>
      <w:r w:rsidRPr="0017092F" w:rsidR="00C4079F">
        <w:t xml:space="preserve">  </w:t>
      </w:r>
      <w:r w:rsidRPr="0017092F">
        <w:t xml:space="preserve">Therefore, </w:t>
      </w:r>
      <w:r w:rsidRPr="0017092F" w:rsidR="00553159">
        <w:t xml:space="preserve">although </w:t>
      </w:r>
      <w:r w:rsidRPr="0017092F" w:rsidR="007124F1">
        <w:t>E</w:t>
      </w:r>
      <w:r w:rsidRPr="0017092F">
        <w:t>ndorsement</w:t>
      </w:r>
      <w:r w:rsidRPr="0017092F" w:rsidR="007124F1">
        <w:t xml:space="preserve"> No.</w:t>
      </w:r>
      <w:r w:rsidRPr="0017092F" w:rsidR="00844FFA">
        <w:t> </w:t>
      </w:r>
      <w:r w:rsidRPr="0017092F" w:rsidR="007124F1">
        <w:t>1</w:t>
      </w:r>
      <w:r w:rsidRPr="0017092F">
        <w:t>’s coverage provision create</w:t>
      </w:r>
      <w:r w:rsidRPr="0017092F" w:rsidR="006861A7">
        <w:t>d</w:t>
      </w:r>
      <w:r w:rsidRPr="0017092F">
        <w:t xml:space="preserve"> liability coverage for privacy injuries, the </w:t>
      </w:r>
      <w:r w:rsidRPr="0017092F" w:rsidR="007124F1">
        <w:t xml:space="preserve">same </w:t>
      </w:r>
      <w:r w:rsidRPr="0017092F">
        <w:t xml:space="preserve">endorsement </w:t>
      </w:r>
      <w:r w:rsidRPr="0017092F" w:rsidR="0049647C">
        <w:t xml:space="preserve">expressly </w:t>
      </w:r>
      <w:r w:rsidRPr="0017092F">
        <w:t>carve</w:t>
      </w:r>
      <w:r w:rsidRPr="0017092F" w:rsidR="006861A7">
        <w:t>d</w:t>
      </w:r>
      <w:r w:rsidRPr="0017092F">
        <w:t xml:space="preserve"> out liability coverage </w:t>
      </w:r>
      <w:r w:rsidRPr="0017092F" w:rsidR="0049647C">
        <w:t xml:space="preserve">for </w:t>
      </w:r>
      <w:r w:rsidRPr="0017092F">
        <w:t>privacy injuries caused by material in a Yahoo</w:t>
      </w:r>
      <w:r w:rsidRPr="0017092F" w:rsidR="003E0F6E">
        <w:t>!</w:t>
      </w:r>
      <w:r w:rsidRPr="0017092F">
        <w:t xml:space="preserve"> advertisement.</w:t>
      </w:r>
    </w:p>
    <w:p w:rsidR="006E3373" w:rsidRPr="0017092F" w:rsidP="0017092F">
      <w:pPr>
        <w:tabs>
          <w:tab w:val="left" w:pos="1440"/>
        </w:tabs>
        <w:ind w:firstLine="720"/>
      </w:pPr>
      <w:r w:rsidRPr="0017092F">
        <w:t>Yahoo</w:t>
      </w:r>
      <w:r w:rsidRPr="0017092F" w:rsidR="003E0F6E">
        <w:t>!</w:t>
      </w:r>
      <w:r w:rsidRPr="0017092F">
        <w:t xml:space="preserve"> argues that its policy</w:t>
      </w:r>
      <w:r w:rsidR="00D619C0">
        <w:t> </w:t>
      </w:r>
      <w:r w:rsidRPr="0017092F">
        <w:t xml:space="preserve">— </w:t>
      </w:r>
      <w:r w:rsidRPr="0017092F" w:rsidR="004B3241">
        <w:t>as modified by Endorsement No.</w:t>
      </w:r>
      <w:r w:rsidRPr="0017092F" w:rsidR="00844FFA">
        <w:t> </w:t>
      </w:r>
      <w:r w:rsidRPr="0017092F" w:rsidR="004B3241">
        <w:t>1</w:t>
      </w:r>
      <w:r w:rsidR="00D619C0">
        <w:t> </w:t>
      </w:r>
      <w:r w:rsidRPr="0017092F">
        <w:t xml:space="preserve">— gave rise, at the very least, to the potential for coverage of the TCPA claims alleged against </w:t>
      </w:r>
      <w:r w:rsidRPr="0017092F" w:rsidR="007551D1">
        <w:t xml:space="preserve">it </w:t>
      </w:r>
      <w:r w:rsidRPr="0017092F">
        <w:t>in the underlying putative class action lawsuits, and therefore National Union was obligated to defend Yahoo</w:t>
      </w:r>
      <w:r w:rsidRPr="0017092F" w:rsidR="004C2594">
        <w:t>!</w:t>
      </w:r>
      <w:r w:rsidRPr="0017092F">
        <w:t xml:space="preserve"> in those suits</w:t>
      </w:r>
      <w:r w:rsidRPr="0017092F" w:rsidR="00FC0E8F">
        <w:t>,</w:t>
      </w:r>
      <w:r w:rsidRPr="0017092F" w:rsidR="00AD2B7C">
        <w:t xml:space="preserve"> and </w:t>
      </w:r>
      <w:r w:rsidRPr="0017092F" w:rsidR="00FC0E8F">
        <w:t xml:space="preserve">it </w:t>
      </w:r>
      <w:r w:rsidRPr="0017092F" w:rsidR="00AD2B7C">
        <w:t>breached its contract by declining to do so</w:t>
      </w:r>
      <w:r w:rsidRPr="0017092F">
        <w:t xml:space="preserve">.  (See </w:t>
      </w:r>
      <w:r w:rsidRPr="0017092F">
        <w:rPr>
          <w:i/>
          <w:iCs/>
        </w:rPr>
        <w:t>Gray v. Zurich Ins. Co.</w:t>
      </w:r>
      <w:r w:rsidRPr="0017092F">
        <w:t xml:space="preserve"> (1966) 65 Cal.2d 263, 276–277.)  </w:t>
      </w:r>
      <w:r w:rsidRPr="0017092F" w:rsidR="004433AB">
        <w:t>T</w:t>
      </w:r>
      <w:r w:rsidRPr="0017092F">
        <w:t xml:space="preserve">he federal district court rejected that argument.  It granted National Union’s motion to dismiss, concluding that the TCPA lawsuits do not fall within the policy’s coverage provision because they do </w:t>
      </w:r>
      <w:r w:rsidRPr="0017092F">
        <w:t>not allege an injury</w:t>
      </w:r>
      <w:bookmarkStart w:id="7" w:name="_Hlk51064425"/>
      <w:r w:rsidRPr="0017092F">
        <w:t xml:space="preserve"> arising out of </w:t>
      </w:r>
      <w:r w:rsidRPr="0017092F" w:rsidR="004606EB">
        <w:t xml:space="preserve">the </w:t>
      </w:r>
      <w:r w:rsidRPr="0017092F">
        <w:t>“publication</w:t>
      </w:r>
      <w:r w:rsidRPr="0017092F" w:rsidR="004606EB">
        <w:t xml:space="preserve"> . . . </w:t>
      </w:r>
      <w:r w:rsidRPr="0017092F">
        <w:t xml:space="preserve">of </w:t>
      </w:r>
      <w:r w:rsidRPr="0017092F">
        <w:rPr>
          <w:i/>
          <w:iCs/>
        </w:rPr>
        <w:t>material that violates a person’s right of privacy</w:t>
      </w:r>
      <w:r w:rsidRPr="0017092F">
        <w:t>.”</w:t>
      </w:r>
      <w:bookmarkEnd w:id="7"/>
      <w:r w:rsidRPr="0017092F">
        <w:t xml:space="preserve">  (Italics added.)</w:t>
      </w:r>
      <w:r w:rsidRPr="0017092F" w:rsidR="00C4079F">
        <w:t xml:space="preserve">  </w:t>
      </w:r>
      <w:r w:rsidRPr="0017092F">
        <w:t xml:space="preserve">Focusing on the italicized language quoted above, the district court concluded that this language </w:t>
      </w:r>
      <w:r w:rsidRPr="0017092F" w:rsidR="004433AB">
        <w:t>covers liability for right-of-secrecy violations</w:t>
      </w:r>
      <w:r w:rsidRPr="0017092F" w:rsidR="006E1E42">
        <w:t xml:space="preserve"> but that it does </w:t>
      </w:r>
      <w:r w:rsidRPr="0017092F" w:rsidR="004433AB">
        <w:t xml:space="preserve">not </w:t>
      </w:r>
      <w:r w:rsidRPr="0017092F" w:rsidR="006E1E42">
        <w:t xml:space="preserve">cover </w:t>
      </w:r>
      <w:r w:rsidRPr="0017092F">
        <w:t xml:space="preserve">right-of-seclusion violations, including </w:t>
      </w:r>
      <w:r w:rsidRPr="0017092F" w:rsidR="004433AB">
        <w:t xml:space="preserve">right-of-seclusion violations </w:t>
      </w:r>
      <w:r w:rsidRPr="0017092F">
        <w:t>litigated under the TCPA.</w:t>
      </w:r>
      <w:r w:rsidRPr="0017092F" w:rsidR="00CD1777">
        <w:t xml:space="preserve">  </w:t>
      </w:r>
      <w:r w:rsidRPr="0017092F" w:rsidR="00A62A7E">
        <w:t xml:space="preserve">In reaching </w:t>
      </w:r>
      <w:r w:rsidRPr="0017092F" w:rsidR="00CD1777">
        <w:t>this</w:t>
      </w:r>
      <w:r w:rsidRPr="0017092F" w:rsidR="006861A7">
        <w:t xml:space="preserve"> </w:t>
      </w:r>
      <w:r w:rsidRPr="0017092F" w:rsidR="00A62A7E">
        <w:t>conclusion, the district court applied the rule of the last antecedent, a rule of construction under which a restrictive clause modifies only the word or phrase that immediately precedes it.  Applying that rule, th</w:t>
      </w:r>
      <w:bookmarkStart w:id="8" w:name="_Hlk51064119"/>
      <w:r w:rsidRPr="0017092F" w:rsidR="00A62A7E">
        <w:t xml:space="preserve">e court read the clause “that violates a person’s right of privacy” as modifying only the word “material,” meaning that for the policy to provide liability coverage, the alleged privacy violation must </w:t>
      </w:r>
      <w:r w:rsidRPr="0017092F" w:rsidR="00C9719C">
        <w:t xml:space="preserve">relate to </w:t>
      </w:r>
      <w:r w:rsidRPr="0017092F" w:rsidR="00A62A7E">
        <w:t xml:space="preserve">the </w:t>
      </w:r>
      <w:r w:rsidRPr="0017092F" w:rsidR="00A62A7E">
        <w:rPr>
          <w:i/>
          <w:iCs/>
        </w:rPr>
        <w:t>content</w:t>
      </w:r>
      <w:r w:rsidRPr="0017092F" w:rsidR="00A62A7E">
        <w:t xml:space="preserve"> of the published material.</w:t>
      </w:r>
      <w:bookmarkEnd w:id="8"/>
      <w:r w:rsidRPr="0017092F" w:rsidR="00C4079F">
        <w:t xml:space="preserve">  </w:t>
      </w:r>
      <w:r w:rsidR="00746088">
        <w:t xml:space="preserve">Finding that the </w:t>
      </w:r>
      <w:r w:rsidR="000F49DC">
        <w:t xml:space="preserve">TCPA </w:t>
      </w:r>
      <w:r w:rsidR="00746088">
        <w:t>claim</w:t>
      </w:r>
      <w:r w:rsidR="000F49DC">
        <w:t>s</w:t>
      </w:r>
      <w:r w:rsidR="00746088">
        <w:t xml:space="preserve"> asserted against Yahoo! focused on </w:t>
      </w:r>
      <w:r w:rsidR="000F49DC">
        <w:t xml:space="preserve">the </w:t>
      </w:r>
      <w:r w:rsidR="00746088">
        <w:t xml:space="preserve">transmission of </w:t>
      </w:r>
      <w:r w:rsidR="000948A1">
        <w:t xml:space="preserve">unsolicited text </w:t>
      </w:r>
      <w:r w:rsidR="00746088">
        <w:t xml:space="preserve">messages rather than the content </w:t>
      </w:r>
      <w:r w:rsidR="000948A1">
        <w:t>of those messages,</w:t>
      </w:r>
      <w:r w:rsidR="000F49DC">
        <w:t xml:space="preserve"> </w:t>
      </w:r>
      <w:r w:rsidRPr="0017092F">
        <w:t>t</w:t>
      </w:r>
      <w:r w:rsidRPr="0017092F" w:rsidR="0034725E">
        <w:t>he federal district court dismissed Yahoo</w:t>
      </w:r>
      <w:r w:rsidRPr="0017092F" w:rsidR="003E0F6E">
        <w:t>!</w:t>
      </w:r>
      <w:r w:rsidRPr="0017092F" w:rsidR="0034725E">
        <w:t xml:space="preserve">’s insurance coverage action, entering judgment for </w:t>
      </w:r>
      <w:r w:rsidRPr="0017092F" w:rsidR="00886DAF">
        <w:t>N</w:t>
      </w:r>
      <w:r w:rsidR="00886DAF">
        <w:t>ational</w:t>
      </w:r>
      <w:r w:rsidRPr="0017092F" w:rsidR="00886DAF">
        <w:t xml:space="preserve"> </w:t>
      </w:r>
      <w:r w:rsidRPr="0017092F" w:rsidR="0034725E">
        <w:t>Union.</w:t>
      </w:r>
    </w:p>
    <w:p w:rsidR="000C62CB" w:rsidRPr="0017092F" w:rsidP="0017092F">
      <w:pPr>
        <w:tabs>
          <w:tab w:val="left" w:pos="1440"/>
        </w:tabs>
        <w:ind w:firstLine="720"/>
      </w:pPr>
      <w:r w:rsidRPr="0017092F">
        <w:t>Yahoo</w:t>
      </w:r>
      <w:r w:rsidRPr="0017092F" w:rsidR="004C2594">
        <w:t>!</w:t>
      </w:r>
      <w:r w:rsidRPr="0017092F">
        <w:t xml:space="preserve"> appealed, and the United States Court of Appeals for the Ninth Circuit certified </w:t>
      </w:r>
      <w:r w:rsidRPr="0017092F" w:rsidR="0051544A">
        <w:t>a q</w:t>
      </w:r>
      <w:r w:rsidRPr="0017092F">
        <w:t>uestion of state law to this court</w:t>
      </w:r>
      <w:r w:rsidRPr="0017092F" w:rsidR="00C9719C">
        <w:t>.  W</w:t>
      </w:r>
      <w:r w:rsidRPr="0017092F" w:rsidR="0051544A">
        <w:t>e granted the Ninth Circuit’s request</w:t>
      </w:r>
      <w:r w:rsidRPr="0017092F" w:rsidR="00C9719C">
        <w:t xml:space="preserve"> and rephrased </w:t>
      </w:r>
      <w:r w:rsidRPr="0017092F" w:rsidR="006E1E42">
        <w:t>its</w:t>
      </w:r>
      <w:r w:rsidRPr="0017092F" w:rsidR="00C9719C">
        <w:t xml:space="preserve"> question </w:t>
      </w:r>
      <w:r w:rsidRPr="0017092F">
        <w:t>(see Cal. Rules of Court, rule 8.548(f)(5))</w:t>
      </w:r>
      <w:r w:rsidRPr="0017092F" w:rsidR="00C9719C">
        <w:t>.  As rephrased</w:t>
      </w:r>
      <w:r w:rsidRPr="0017092F">
        <w:t xml:space="preserve">, we are </w:t>
      </w:r>
      <w:r w:rsidRPr="0017092F" w:rsidR="00862F0F">
        <w:t xml:space="preserve">called upon to </w:t>
      </w:r>
      <w:r w:rsidRPr="0017092F" w:rsidR="00C9719C">
        <w:t xml:space="preserve">answer </w:t>
      </w:r>
      <w:r w:rsidRPr="0017092F">
        <w:t xml:space="preserve">the following question:  </w:t>
      </w:r>
      <w:bookmarkStart w:id="9" w:name="_Hlk51830080"/>
      <w:r w:rsidRPr="0017092F">
        <w:t>“Does a commercial general liability insurance policy that provides coverage for ‘personal injury,’ defined as ‘injury . . . arising out of . . . [o]ral or written publication</w:t>
      </w:r>
      <w:bookmarkStart w:id="10" w:name="_Hlk52366837"/>
      <w:r w:rsidRPr="0017092F">
        <w:t>, in any manner, of material that violates a person’s right of privacy,’ and that has been modified by endorsement with regard to advertising injuries</w:t>
      </w:r>
      <w:bookmarkEnd w:id="10"/>
      <w:r w:rsidRPr="0017092F">
        <w:t xml:space="preserve">, trigger the insurer’s duty to defend the insured against </w:t>
      </w:r>
      <w:r w:rsidRPr="0017092F">
        <w:t>a claim that the insured violated the [TCPA] of 1991 (47 U.S.C. §</w:t>
      </w:r>
      <w:r w:rsidR="00B415BD">
        <w:t> </w:t>
      </w:r>
      <w:r w:rsidRPr="0017092F">
        <w:t xml:space="preserve">227) </w:t>
      </w:r>
      <w:bookmarkStart w:id="11" w:name="_Hlk51772277"/>
      <w:r w:rsidRPr="0017092F">
        <w:t xml:space="preserve">by sending </w:t>
      </w:r>
      <w:bookmarkStart w:id="12" w:name="_Hlk51322657"/>
      <w:r w:rsidRPr="0017092F">
        <w:t xml:space="preserve">unsolicited text message advertisements that </w:t>
      </w:r>
      <w:bookmarkEnd w:id="11"/>
      <w:r w:rsidRPr="0017092F">
        <w:t>did not reveal any private information</w:t>
      </w:r>
      <w:bookmarkEnd w:id="12"/>
      <w:r w:rsidRPr="0017092F">
        <w:t>?”</w:t>
      </w:r>
      <w:bookmarkEnd w:id="9"/>
      <w:r>
        <w:rPr>
          <w:rStyle w:val="FootnoteReference"/>
        </w:rPr>
        <w:footnoteReference w:id="8"/>
      </w:r>
    </w:p>
    <w:p w:rsidR="009C7342" w:rsidRPr="0017092F" w:rsidP="0017092F">
      <w:pPr>
        <w:pStyle w:val="Heading1"/>
      </w:pPr>
      <w:r w:rsidRPr="0017092F">
        <w:t>II.  Discussion</w:t>
      </w:r>
    </w:p>
    <w:p w:rsidR="00BE1163" w:rsidRPr="0017092F" w:rsidP="0017092F">
      <w:pPr>
        <w:tabs>
          <w:tab w:val="left" w:pos="1440"/>
        </w:tabs>
        <w:ind w:firstLine="720"/>
      </w:pPr>
      <w:r w:rsidRPr="0017092F">
        <w:t>The parties agree that the TCPA creates a statutory cause of action to redress telephonic intrusions that</w:t>
      </w:r>
      <w:r w:rsidRPr="0017092F" w:rsidR="00D56316">
        <w:t xml:space="preserve"> can</w:t>
      </w:r>
      <w:r w:rsidRPr="0017092F" w:rsidR="005822C6">
        <w:t xml:space="preserve">, depending on the </w:t>
      </w:r>
      <w:r w:rsidRPr="0017092F" w:rsidR="00E765E5">
        <w:t xml:space="preserve">factual </w:t>
      </w:r>
      <w:r w:rsidRPr="0017092F" w:rsidR="005822C6">
        <w:t>circumstances,</w:t>
      </w:r>
      <w:r w:rsidRPr="0017092F">
        <w:t xml:space="preserve"> violate the </w:t>
      </w:r>
      <w:r w:rsidRPr="0017092F" w:rsidR="00D56316">
        <w:t xml:space="preserve">common law </w:t>
      </w:r>
      <w:r w:rsidRPr="0017092F">
        <w:t>right of seclusion, and the</w:t>
      </w:r>
      <w:r w:rsidRPr="0017092F" w:rsidR="00E765E5">
        <w:t xml:space="preserve"> parties</w:t>
      </w:r>
      <w:r w:rsidRPr="0017092F">
        <w:t xml:space="preserve"> also agree that the TCPA is not concerned with disclosures that violate the </w:t>
      </w:r>
      <w:r w:rsidRPr="0017092F" w:rsidR="00D56316">
        <w:t xml:space="preserve">common law </w:t>
      </w:r>
      <w:r w:rsidRPr="0017092F">
        <w:t>right of secrecy.</w:t>
      </w:r>
      <w:r w:rsidRPr="0017092F" w:rsidR="00C4079F">
        <w:t xml:space="preserve">  </w:t>
      </w:r>
      <w:r w:rsidRPr="0017092F">
        <w:t xml:space="preserve">(See </w:t>
      </w:r>
      <w:r w:rsidRPr="0017092F">
        <w:rPr>
          <w:i/>
          <w:iCs/>
        </w:rPr>
        <w:t>Los Angeles Lakers, Inc. v. Federal Ins. Co.</w:t>
      </w:r>
      <w:r w:rsidRPr="0017092F">
        <w:t xml:space="preserve"> (9th Cir. 2017) 869 F.3d 795, 806 [“ ‘[c]ourts have consistently held the TCPA protects a species of privacy interest in the sense of seclusion’ ”]; </w:t>
      </w:r>
      <w:r w:rsidRPr="0017092F">
        <w:rPr>
          <w:i/>
          <w:iCs/>
        </w:rPr>
        <w:t>Auto-Owners Ins. Co. v. Websolv Computing, Inc.</w:t>
      </w:r>
      <w:r w:rsidRPr="0017092F">
        <w:t xml:space="preserve"> (7th Cir. 2009) 580 F.3d 543, 549 [“The underlying [TCPA] suit here only involves seclusion interests”]; </w:t>
      </w:r>
      <w:r w:rsidRPr="0017092F">
        <w:rPr>
          <w:i/>
          <w:iCs/>
        </w:rPr>
        <w:t>Resource Bankshares Corp. v. St. Paul Mercury Ins. Co.</w:t>
      </w:r>
      <w:r w:rsidRPr="0017092F">
        <w:t xml:space="preserve"> (4th Cir. 2005) 407 F.3d 631, 642 [“the TCPA’s unsolicited fax prohibition protects ‘seclusion’ privacy, for which content is irrelevant”]; </w:t>
      </w:r>
      <w:r w:rsidRPr="0017092F">
        <w:rPr>
          <w:i/>
          <w:iCs/>
        </w:rPr>
        <w:t>American States Ins. Co. v. Capital Associates of Jackson County</w:t>
      </w:r>
      <w:r w:rsidRPr="0017092F">
        <w:t xml:space="preserve"> </w:t>
      </w:r>
      <w:r w:rsidRPr="0017092F" w:rsidR="005F728B">
        <w:t xml:space="preserve">(7th Cir. 2004) 392 F.3d 939, </w:t>
      </w:r>
      <w:r w:rsidRPr="0017092F">
        <w:t>943 [the TCPA “condemns a particular means of communicating an advertisement, rather than the contents of that advertisement”].)  Therefore, if the policy at issue here does not cover liability for violations of the right of seclusion, then it does not cover Yahoo</w:t>
      </w:r>
      <w:r w:rsidRPr="0017092F" w:rsidR="003E0F6E">
        <w:t>!</w:t>
      </w:r>
      <w:r w:rsidRPr="0017092F">
        <w:t>’s potential TCPA liability in the underlying lawsuits.</w:t>
      </w:r>
    </w:p>
    <w:p w:rsidR="002C5EBC" w:rsidRPr="0017092F" w:rsidP="0017092F">
      <w:pPr>
        <w:tabs>
          <w:tab w:val="left" w:pos="1440"/>
        </w:tabs>
        <w:ind w:firstLine="720"/>
        <w:rPr>
          <w:szCs w:val="26"/>
        </w:rPr>
      </w:pPr>
      <w:r w:rsidRPr="0017092F">
        <w:t>Whether Yahoo</w:t>
      </w:r>
      <w:r w:rsidRPr="0017092F" w:rsidR="004C2594">
        <w:t>!</w:t>
      </w:r>
      <w:r w:rsidRPr="0017092F">
        <w:t>’s policy covers liability for violations of the right of seclusion, like all questions concerning the scope of insurance coverage, is subject to de novo review.  (</w:t>
      </w:r>
      <w:r w:rsidRPr="0017092F">
        <w:rPr>
          <w:i/>
          <w:iCs/>
        </w:rPr>
        <w:t>Waller v. Truck Ins. Exchange</w:t>
      </w:r>
      <w:r w:rsidRPr="0017092F">
        <w:t xml:space="preserve"> (1995) 11 Cal.4th 1, 18.)</w:t>
      </w:r>
      <w:r w:rsidRPr="0017092F" w:rsidR="00096E3B">
        <w:t xml:space="preserve">  </w:t>
      </w:r>
      <w:r w:rsidRPr="0017092F">
        <w:t xml:space="preserve">The relevant principles are well settled.  </w:t>
      </w:r>
      <w:r w:rsidRPr="0017092F" w:rsidR="007905BB">
        <w:t xml:space="preserve">In </w:t>
      </w:r>
      <w:r w:rsidRPr="0017092F" w:rsidR="007905BB">
        <w:rPr>
          <w:i/>
          <w:iCs/>
          <w:szCs w:val="26"/>
        </w:rPr>
        <w:t>Palmer v. Truck Ins. Exch</w:t>
      </w:r>
      <w:r w:rsidRPr="0017092F" w:rsidR="00473D2F">
        <w:rPr>
          <w:i/>
          <w:iCs/>
          <w:szCs w:val="26"/>
        </w:rPr>
        <w:t>ange</w:t>
      </w:r>
      <w:r w:rsidRPr="0017092F" w:rsidR="007905BB">
        <w:rPr>
          <w:szCs w:val="26"/>
        </w:rPr>
        <w:t xml:space="preserve">, we </w:t>
      </w:r>
      <w:r w:rsidRPr="0017092F">
        <w:rPr>
          <w:szCs w:val="26"/>
        </w:rPr>
        <w:t>said</w:t>
      </w:r>
      <w:r w:rsidRPr="0017092F" w:rsidR="007905BB">
        <w:rPr>
          <w:szCs w:val="26"/>
        </w:rPr>
        <w:t>:  “ ‘While insurance contracts have special features, they are still contracts to which the ordinary rules of contractual interpretation apply.’  [Citation.]  Thus, ‘the mutual intention of the parties at the time the contract is formed governs interpretation.’  [Citation.]  If possible, we infer this intent solely from the written provisions of the insurance policy.  [Citation.]  If the policy language ‘is clear and explicit, it governs.’ ”  (</w:t>
      </w:r>
      <w:r w:rsidRPr="0017092F" w:rsidR="007905BB">
        <w:rPr>
          <w:i/>
          <w:iCs/>
          <w:szCs w:val="26"/>
        </w:rPr>
        <w:t>Palmer v. Truck Ins. Exch</w:t>
      </w:r>
      <w:r w:rsidRPr="0017092F" w:rsidR="00473D2F">
        <w:rPr>
          <w:i/>
          <w:iCs/>
          <w:szCs w:val="26"/>
        </w:rPr>
        <w:t>ange</w:t>
      </w:r>
      <w:r w:rsidRPr="0017092F" w:rsidR="007905BB">
        <w:rPr>
          <w:szCs w:val="26"/>
        </w:rPr>
        <w:t xml:space="preserve"> (1999) 21 Cal.4th 1109, 1115</w:t>
      </w:r>
      <w:r w:rsidRPr="0017092F" w:rsidR="00473D2F">
        <w:rPr>
          <w:szCs w:val="26"/>
        </w:rPr>
        <w:t xml:space="preserve"> (</w:t>
      </w:r>
      <w:r w:rsidRPr="0017092F" w:rsidR="00473D2F">
        <w:rPr>
          <w:i/>
          <w:iCs/>
          <w:szCs w:val="26"/>
        </w:rPr>
        <w:t>Palmer</w:t>
      </w:r>
      <w:r w:rsidRPr="0017092F" w:rsidR="00473D2F">
        <w:rPr>
          <w:szCs w:val="26"/>
        </w:rPr>
        <w:t>)</w:t>
      </w:r>
      <w:r w:rsidRPr="0017092F" w:rsidR="007905BB">
        <w:rPr>
          <w:szCs w:val="26"/>
        </w:rPr>
        <w:t xml:space="preserve">.)  </w:t>
      </w:r>
      <w:r w:rsidRPr="0017092F" w:rsidR="00C56FA2">
        <w:rPr>
          <w:szCs w:val="26"/>
        </w:rPr>
        <w:t>Similarly</w:t>
      </w:r>
      <w:r w:rsidRPr="0017092F">
        <w:rPr>
          <w:szCs w:val="26"/>
        </w:rPr>
        <w:t xml:space="preserve">, in </w:t>
      </w:r>
      <w:r w:rsidRPr="0017092F">
        <w:rPr>
          <w:i/>
          <w:iCs/>
          <w:szCs w:val="26"/>
        </w:rPr>
        <w:t>Boghos v. Certain Underwriters at Lloyd’s of London</w:t>
      </w:r>
      <w:r w:rsidRPr="0017092F">
        <w:rPr>
          <w:szCs w:val="26"/>
        </w:rPr>
        <w:t>, we said:  “Our goal in construing insurance contracts, as with contracts generally, is to give effect to the parties</w:t>
      </w:r>
      <w:r w:rsidRPr="0017092F" w:rsidR="004C5DAB">
        <w:rPr>
          <w:szCs w:val="26"/>
        </w:rPr>
        <w:t>’</w:t>
      </w:r>
      <w:r w:rsidRPr="0017092F">
        <w:rPr>
          <w:szCs w:val="26"/>
        </w:rPr>
        <w:t xml:space="preserve"> mutual intentions.  [Citations.]  ‘If contractual language is clear and explicit, it governs.’  [Citations.]  If the terms are ambiguous [i.e., susceptible of more than one reasonable interpretation], we interpret them to protect ‘</w:t>
      </w:r>
      <w:r w:rsidR="0074614F">
        <w:rPr>
          <w:szCs w:val="26"/>
        </w:rPr>
        <w:t> </w:t>
      </w:r>
      <w:r w:rsidRPr="0017092F">
        <w:rPr>
          <w:szCs w:val="26"/>
        </w:rPr>
        <w:t>“the objectively reasonable expectations of the insured.”</w:t>
      </w:r>
      <w:r w:rsidR="0074614F">
        <w:rPr>
          <w:szCs w:val="26"/>
        </w:rPr>
        <w:t> </w:t>
      </w:r>
      <w:r w:rsidRPr="0017092F">
        <w:rPr>
          <w:szCs w:val="26"/>
        </w:rPr>
        <w:t>’  [Citations.]  Only if these rules do not resolve a claimed ambiguity do we resort to the rule that ambiguities are to be resolved against the insurer.”  (</w:t>
      </w:r>
      <w:r w:rsidRPr="0017092F">
        <w:rPr>
          <w:i/>
          <w:iCs/>
          <w:szCs w:val="26"/>
        </w:rPr>
        <w:t>Boghos v. Certain Underwriters at Lloyd’s of London</w:t>
      </w:r>
      <w:r w:rsidRPr="0017092F">
        <w:rPr>
          <w:szCs w:val="26"/>
        </w:rPr>
        <w:t xml:space="preserve"> (2005) 36 Cal.4th 495, 501.)</w:t>
      </w:r>
      <w:r>
        <w:rPr>
          <w:rStyle w:val="FootnoteReference"/>
          <w:szCs w:val="26"/>
        </w:rPr>
        <w:footnoteReference w:id="9"/>
      </w:r>
    </w:p>
    <w:p w:rsidR="00096E3B" w:rsidRPr="0017092F" w:rsidP="0017092F">
      <w:pPr>
        <w:tabs>
          <w:tab w:val="left" w:pos="1440"/>
        </w:tabs>
        <w:ind w:firstLine="720"/>
      </w:pPr>
      <w:r w:rsidRPr="0017092F">
        <w:t>When coverage is in dispute, t</w:t>
      </w:r>
      <w:r w:rsidRPr="0017092F" w:rsidR="004B183D">
        <w:t>he initial burden is on the insured — Yahoo</w:t>
      </w:r>
      <w:r w:rsidRPr="0017092F" w:rsidR="004C2594">
        <w:t>!</w:t>
      </w:r>
      <w:r w:rsidRPr="0017092F" w:rsidR="004B183D">
        <w:t xml:space="preserve"> in this case — to prove that its claim falls within the scope of potential coverage.  (</w:t>
      </w:r>
      <w:r w:rsidRPr="0017092F" w:rsidR="001431E1">
        <w:t xml:space="preserve">See </w:t>
      </w:r>
      <w:r w:rsidRPr="0017092F" w:rsidR="004C5DAB">
        <w:rPr>
          <w:i/>
          <w:iCs/>
        </w:rPr>
        <w:t>Waller v. Truck Ins. Exchange</w:t>
      </w:r>
      <w:r w:rsidRPr="00874BF1" w:rsidR="004C5DAB">
        <w:t xml:space="preserve">, </w:t>
      </w:r>
      <w:r w:rsidRPr="0017092F" w:rsidR="004C5DAB">
        <w:rPr>
          <w:i/>
          <w:iCs/>
        </w:rPr>
        <w:t>supra</w:t>
      </w:r>
      <w:r w:rsidRPr="00874BF1" w:rsidR="004C5DAB">
        <w:t xml:space="preserve">, 11 </w:t>
      </w:r>
      <w:r w:rsidRPr="0017092F" w:rsidR="004C5DAB">
        <w:t xml:space="preserve">Cal.4th at p. </w:t>
      </w:r>
      <w:r w:rsidRPr="0017092F" w:rsidR="004B183D">
        <w:t xml:space="preserve">16.)  If the insured establishes that the policy provides </w:t>
      </w:r>
      <w:r w:rsidRPr="0017092F">
        <w:t xml:space="preserve">at least </w:t>
      </w:r>
      <w:r w:rsidRPr="0017092F" w:rsidR="004B183D">
        <w:t>the potential for coverage, the burden shifts to the insurer — National Union</w:t>
      </w:r>
      <w:r w:rsidRPr="0017092F">
        <w:t xml:space="preserve"> in this case </w:t>
      </w:r>
      <w:r w:rsidRPr="0017092F" w:rsidR="004B183D">
        <w:t xml:space="preserve">— to show the </w:t>
      </w:r>
      <w:r w:rsidRPr="0017092F" w:rsidR="001C000A">
        <w:t xml:space="preserve">claim </w:t>
      </w:r>
      <w:r w:rsidRPr="0017092F" w:rsidR="001431E1">
        <w:t xml:space="preserve">falls within </w:t>
      </w:r>
      <w:r w:rsidRPr="0017092F" w:rsidR="001C000A">
        <w:t xml:space="preserve">one of the policy’s </w:t>
      </w:r>
      <w:r w:rsidRPr="0017092F" w:rsidR="001431E1">
        <w:t>exclusion</w:t>
      </w:r>
      <w:r w:rsidRPr="0017092F" w:rsidR="001C000A">
        <w:t>s</w:t>
      </w:r>
      <w:r w:rsidRPr="0017092F" w:rsidR="004B183D">
        <w:t>.  (</w:t>
      </w:r>
      <w:r w:rsidRPr="0017092F" w:rsidR="001431E1">
        <w:t xml:space="preserve">See </w:t>
      </w:r>
      <w:r w:rsidRPr="0017092F" w:rsidR="001431E1">
        <w:rPr>
          <w:i/>
          <w:iCs/>
        </w:rPr>
        <w:t>i</w:t>
      </w:r>
      <w:r w:rsidRPr="0017092F" w:rsidR="004B183D">
        <w:rPr>
          <w:i/>
          <w:iCs/>
        </w:rPr>
        <w:t>bid</w:t>
      </w:r>
      <w:r w:rsidRPr="0017092F" w:rsidR="004B183D">
        <w:t>.</w:t>
      </w:r>
      <w:r w:rsidRPr="0017092F" w:rsidR="001431E1">
        <w:t xml:space="preserve">; see also </w:t>
      </w:r>
      <w:r w:rsidRPr="0017092F" w:rsidR="001431E1">
        <w:rPr>
          <w:i/>
          <w:iCs/>
        </w:rPr>
        <w:t>Liberty Surplus Ins. Corp. v. Ledesma &amp; Meyer Construction Co., Inc.</w:t>
      </w:r>
      <w:r w:rsidRPr="00960FBD" w:rsidR="001431E1">
        <w:t xml:space="preserve"> (</w:t>
      </w:r>
      <w:r w:rsidRPr="0017092F" w:rsidR="001431E1">
        <w:t>2018) 5 Cal.5th 216, 222 [“ ‘ “[T]he insured must prove the existence of a </w:t>
      </w:r>
      <w:r w:rsidRPr="0017092F" w:rsidR="001431E1">
        <w:rPr>
          <w:i/>
          <w:iCs/>
        </w:rPr>
        <w:t>potential for coverage</w:t>
      </w:r>
      <w:r w:rsidRPr="0017092F" w:rsidR="001431E1">
        <w:t>, while the insurer must establish </w:t>
      </w:r>
      <w:r w:rsidRPr="0017092F" w:rsidR="001431E1">
        <w:rPr>
          <w:i/>
          <w:iCs/>
        </w:rPr>
        <w:t>the absence of any such potential</w:t>
      </w:r>
      <w:r w:rsidRPr="0017092F" w:rsidR="001431E1">
        <w:t>.  In other words, the insured need only show that the underlying claim </w:t>
      </w:r>
      <w:r w:rsidRPr="0017092F" w:rsidR="001431E1">
        <w:rPr>
          <w:i/>
          <w:iCs/>
        </w:rPr>
        <w:t>may</w:t>
      </w:r>
      <w:r w:rsidRPr="0017092F" w:rsidR="001431E1">
        <w:t> fall within policy coverage; the insurer must prove it </w:t>
      </w:r>
      <w:r w:rsidRPr="0017092F" w:rsidR="001431E1">
        <w:rPr>
          <w:i/>
          <w:iCs/>
        </w:rPr>
        <w:t>cannot</w:t>
      </w:r>
      <w:r w:rsidRPr="0017092F" w:rsidR="001431E1">
        <w:t>” ’ ”].</w:t>
      </w:r>
      <w:r w:rsidRPr="0017092F" w:rsidR="004B183D">
        <w:t>)</w:t>
      </w:r>
      <w:r>
        <w:rPr>
          <w:rStyle w:val="FootnoteReference"/>
        </w:rPr>
        <w:footnoteReference w:id="10"/>
      </w:r>
    </w:p>
    <w:p w:rsidR="009C7342" w:rsidRPr="0017092F" w:rsidP="0017092F">
      <w:pPr>
        <w:pStyle w:val="Heading2"/>
      </w:pPr>
      <w:r w:rsidRPr="0017092F">
        <w:t xml:space="preserve">A. </w:t>
      </w:r>
      <w:r w:rsidRPr="0017092F" w:rsidR="00611375">
        <w:t>The Coverage Provision</w:t>
      </w:r>
      <w:r w:rsidRPr="0017092F" w:rsidR="00D56316">
        <w:t xml:space="preserve"> of Yahoo!’s Policy</w:t>
      </w:r>
    </w:p>
    <w:p w:rsidR="00AC63E6" w:rsidRPr="0017092F" w:rsidP="0017092F">
      <w:pPr>
        <w:tabs>
          <w:tab w:val="left" w:pos="1440"/>
        </w:tabs>
        <w:ind w:firstLine="720"/>
      </w:pPr>
      <w:r w:rsidRPr="0017092F">
        <w:t xml:space="preserve">The policy at issue here provides liability coverage for injuries “arising out of . . . [o]ral or written publication, </w:t>
      </w:r>
      <w:bookmarkStart w:id="13" w:name="_Hlk86915826"/>
      <w:r w:rsidRPr="0017092F">
        <w:t>in any manner, of material that violates a person’s right of privacy.”</w:t>
      </w:r>
      <w:bookmarkEnd w:id="13"/>
      <w:r w:rsidRPr="0017092F" w:rsidR="00C43992">
        <w:t xml:space="preserve">  </w:t>
      </w:r>
      <w:r w:rsidRPr="0017092F" w:rsidR="00836F4E">
        <w:t>We take t</w:t>
      </w:r>
      <w:r w:rsidRPr="0017092F" w:rsidR="000C2AA5">
        <w:t xml:space="preserve">he word “material” in this context </w:t>
      </w:r>
      <w:r w:rsidRPr="0017092F" w:rsidR="00836F4E">
        <w:t xml:space="preserve">to </w:t>
      </w:r>
      <w:r w:rsidRPr="0017092F" w:rsidR="000C2AA5">
        <w:t>refer to</w:t>
      </w:r>
      <w:r w:rsidRPr="0017092F" w:rsidR="0008315F">
        <w:t xml:space="preserve"> “</w:t>
      </w:r>
      <w:r w:rsidRPr="0017092F" w:rsidR="008354BB">
        <w:t>[i]</w:t>
      </w:r>
      <w:r w:rsidRPr="0017092F" w:rsidR="0008315F">
        <w:t>nformation, ideas, data, documents, or other things that are used in reports, books, films, studies, etc.”  (Black’s Law Dict</w:t>
      </w:r>
      <w:r w:rsidRPr="0017092F" w:rsidR="0081025B">
        <w:t>.</w:t>
      </w:r>
      <w:r w:rsidRPr="0017092F" w:rsidR="0008315F">
        <w:t xml:space="preserve"> (1</w:t>
      </w:r>
      <w:r w:rsidRPr="0017092F" w:rsidR="002F7157">
        <w:t>0</w:t>
      </w:r>
      <w:r w:rsidRPr="0017092F" w:rsidR="0008315F">
        <w:t>th ed. 201</w:t>
      </w:r>
      <w:r w:rsidRPr="0017092F" w:rsidR="002F7157">
        <w:t>4</w:t>
      </w:r>
      <w:r w:rsidRPr="0017092F" w:rsidR="0008315F">
        <w:t>)</w:t>
      </w:r>
      <w:r w:rsidRPr="0017092F" w:rsidR="0081025B">
        <w:t xml:space="preserve"> p. </w:t>
      </w:r>
      <w:r w:rsidRPr="0017092F" w:rsidR="002F7157">
        <w:t>1124</w:t>
      </w:r>
      <w:r w:rsidRPr="0017092F" w:rsidR="0081025B">
        <w:t xml:space="preserve">, col. </w:t>
      </w:r>
      <w:r w:rsidRPr="0017092F" w:rsidR="002F7157">
        <w:t>2</w:t>
      </w:r>
      <w:r w:rsidRPr="0017092F" w:rsidR="0081025B">
        <w:t>.)</w:t>
      </w:r>
      <w:r w:rsidRPr="0017092F" w:rsidR="00CE6ABC">
        <w:t xml:space="preserve">  </w:t>
      </w:r>
      <w:r w:rsidRPr="0017092F">
        <w:t xml:space="preserve">The clause “that violates a person’s right of privacy” is a restrictive </w:t>
      </w:r>
      <w:r w:rsidRPr="0017092F">
        <w:t xml:space="preserve">relative </w:t>
      </w:r>
      <w:r w:rsidRPr="0017092F">
        <w:t>clause</w:t>
      </w:r>
      <w:r w:rsidRPr="0017092F" w:rsidR="00890512">
        <w:t xml:space="preserve"> </w:t>
      </w:r>
      <w:r w:rsidR="00CE2AF9">
        <w:t>with</w:t>
      </w:r>
      <w:r w:rsidRPr="0017092F" w:rsidR="00CE2AF9">
        <w:t xml:space="preserve"> </w:t>
      </w:r>
      <w:r w:rsidRPr="0017092F" w:rsidR="00C872AD">
        <w:t xml:space="preserve">the </w:t>
      </w:r>
      <w:r w:rsidRPr="0017092F" w:rsidR="00890512">
        <w:t xml:space="preserve">word “that” as </w:t>
      </w:r>
      <w:r w:rsidRPr="0017092F" w:rsidR="007B135F">
        <w:t>its</w:t>
      </w:r>
      <w:r w:rsidRPr="0017092F" w:rsidR="00890512">
        <w:t xml:space="preserve"> relative pronoun.  A</w:t>
      </w:r>
      <w:r w:rsidRPr="0017092F" w:rsidR="00B65DC7">
        <w:t>ccording to the</w:t>
      </w:r>
      <w:r w:rsidRPr="0017092F" w:rsidR="00E756B2">
        <w:t xml:space="preserve"> rules governing word order in </w:t>
      </w:r>
      <w:r w:rsidRPr="0017092F" w:rsidR="00AD2632">
        <w:t xml:space="preserve">the </w:t>
      </w:r>
      <w:r w:rsidRPr="0017092F" w:rsidR="00E756B2">
        <w:t>English</w:t>
      </w:r>
      <w:r w:rsidRPr="0017092F" w:rsidR="00AD2632">
        <w:t xml:space="preserve"> language</w:t>
      </w:r>
      <w:r w:rsidRPr="0017092F" w:rsidR="00B65DC7">
        <w:t xml:space="preserve">, </w:t>
      </w:r>
      <w:r w:rsidRPr="0017092F">
        <w:t xml:space="preserve">a restrictive </w:t>
      </w:r>
      <w:r w:rsidRPr="0017092F">
        <w:t xml:space="preserve">relative </w:t>
      </w:r>
      <w:r w:rsidRPr="0017092F">
        <w:t>clause usually modifies the noun that immediately precedes it, which in this case is the word “material.”</w:t>
      </w:r>
      <w:r w:rsidRPr="0017092F" w:rsidR="00094E3D">
        <w:t xml:space="preserve">  </w:t>
      </w:r>
      <w:r w:rsidRPr="0017092F" w:rsidR="00B65DC7">
        <w:t>In fact, if a</w:t>
      </w:r>
      <w:r w:rsidRPr="0017092F" w:rsidR="00EB04BF">
        <w:t xml:space="preserve"> </w:t>
      </w:r>
      <w:r w:rsidRPr="0017092F" w:rsidR="00293884">
        <w:t>restrictive</w:t>
      </w:r>
      <w:r w:rsidRPr="0017092F" w:rsidR="00EB04BF">
        <w:t xml:space="preserve"> </w:t>
      </w:r>
      <w:r w:rsidRPr="0017092F">
        <w:t xml:space="preserve">relative </w:t>
      </w:r>
      <w:r w:rsidRPr="0017092F" w:rsidR="00B65DC7">
        <w:t xml:space="preserve">clause </w:t>
      </w:r>
      <w:r w:rsidRPr="0017092F" w:rsidR="001C563E">
        <w:t xml:space="preserve">is </w:t>
      </w:r>
      <w:r w:rsidRPr="0017092F" w:rsidR="00890512">
        <w:t xml:space="preserve">located </w:t>
      </w:r>
      <w:r w:rsidRPr="0017092F" w:rsidR="000E791E">
        <w:t xml:space="preserve">in a place that is remote </w:t>
      </w:r>
      <w:r w:rsidRPr="0017092F" w:rsidR="00890512">
        <w:t xml:space="preserve">from the noun </w:t>
      </w:r>
      <w:r w:rsidRPr="0017092F" w:rsidR="001C563E">
        <w:t xml:space="preserve">it modifies, it is </w:t>
      </w:r>
      <w:r w:rsidRPr="0017092F" w:rsidR="000E791E">
        <w:t xml:space="preserve">usually </w:t>
      </w:r>
      <w:r w:rsidRPr="0017092F" w:rsidR="001C563E">
        <w:t>described as a misplaced modifier.</w:t>
      </w:r>
      <w:r w:rsidRPr="0017092F" w:rsidR="003860A2">
        <w:t xml:space="preserve">  Hence, </w:t>
      </w:r>
      <w:r w:rsidRPr="0017092F" w:rsidR="001C563E">
        <w:t>Strunk and White advise</w:t>
      </w:r>
      <w:bookmarkStart w:id="14" w:name="_Hlk90550221"/>
      <w:r w:rsidRPr="0017092F" w:rsidR="003860A2">
        <w:t xml:space="preserve"> that </w:t>
      </w:r>
      <w:r w:rsidRPr="0017092F" w:rsidR="000E791E">
        <w:t xml:space="preserve">a </w:t>
      </w:r>
      <w:r w:rsidRPr="0017092F">
        <w:t>“relative pronoun should come, in most instances, immediately after its antecedent</w:t>
      </w:r>
      <w:r w:rsidRPr="0017092F" w:rsidR="00890512">
        <w:t>.</w:t>
      </w:r>
      <w:r w:rsidRPr="0017092F">
        <w:t>”</w:t>
      </w:r>
      <w:bookmarkEnd w:id="14"/>
      <w:r w:rsidRPr="0017092F" w:rsidR="00890512">
        <w:t xml:space="preserve">  </w:t>
      </w:r>
      <w:r w:rsidRPr="0017092F" w:rsidR="00EB04BF">
        <w:t xml:space="preserve">(Strunk and White, The Elements of Style (4th ed. 2000) p. </w:t>
      </w:r>
      <w:r w:rsidR="006F645D">
        <w:t>29</w:t>
      </w:r>
      <w:r w:rsidRPr="0017092F" w:rsidR="00825CC5">
        <w:t xml:space="preserve">; see </w:t>
      </w:r>
      <w:r w:rsidRPr="0017092F" w:rsidR="00825CC5">
        <w:rPr>
          <w:i/>
          <w:iCs/>
        </w:rPr>
        <w:t>id</w:t>
      </w:r>
      <w:r w:rsidRPr="0017092F" w:rsidR="00825CC5">
        <w:t>. at pp.</w:t>
      </w:r>
      <w:r w:rsidR="00B675C3">
        <w:t xml:space="preserve"> 28–3</w:t>
      </w:r>
      <w:r w:rsidR="003A3E84">
        <w:t>1</w:t>
      </w:r>
      <w:r w:rsidRPr="0017092F" w:rsidR="00EB04BF">
        <w:t>.)</w:t>
      </w:r>
      <w:r w:rsidRPr="0017092F" w:rsidR="00890512">
        <w:t xml:space="preserve">  </w:t>
      </w:r>
      <w:r w:rsidRPr="0017092F" w:rsidR="00C4026D">
        <w:t>S</w:t>
      </w:r>
      <w:r w:rsidRPr="0017092F" w:rsidR="00890512">
        <w:t>ometimes</w:t>
      </w:r>
      <w:r w:rsidRPr="0017092F" w:rsidR="00C4026D">
        <w:t>, however,</w:t>
      </w:r>
      <w:r w:rsidRPr="0017092F" w:rsidR="00890512">
        <w:t xml:space="preserve"> the antecedent of </w:t>
      </w:r>
      <w:r w:rsidRPr="0017092F" w:rsidR="000E791E">
        <w:t>a</w:t>
      </w:r>
      <w:r w:rsidRPr="0017092F" w:rsidR="00890512">
        <w:t xml:space="preserve"> relative pronoun consists of a </w:t>
      </w:r>
      <w:r w:rsidRPr="0017092F" w:rsidR="00890512">
        <w:rPr>
          <w:i/>
          <w:iCs/>
        </w:rPr>
        <w:t>group of words</w:t>
      </w:r>
      <w:r w:rsidRPr="0017092F" w:rsidR="00890512">
        <w:t>.  In that case, “the relative [pronoun] comes at the end of the group, unless this would cause ambiguity.”  (</w:t>
      </w:r>
      <w:r w:rsidRPr="0017092F" w:rsidR="00890512">
        <w:rPr>
          <w:i/>
          <w:iCs/>
        </w:rPr>
        <w:t>Id</w:t>
      </w:r>
      <w:r w:rsidRPr="0017092F" w:rsidR="00890512">
        <w:t>.</w:t>
      </w:r>
      <w:r w:rsidRPr="0017092F" w:rsidR="00825CC5">
        <w:t xml:space="preserve"> at p. </w:t>
      </w:r>
      <w:r w:rsidRPr="0017092F" w:rsidR="006F645D">
        <w:t>3</w:t>
      </w:r>
      <w:r w:rsidR="006F645D">
        <w:t>0</w:t>
      </w:r>
      <w:r w:rsidRPr="0017092F" w:rsidR="00825CC5">
        <w:t>.</w:t>
      </w:r>
      <w:r w:rsidRPr="0017092F" w:rsidR="00890512">
        <w:t>)</w:t>
      </w:r>
    </w:p>
    <w:p w:rsidR="005A6257" w:rsidRPr="0017092F" w:rsidP="0017092F">
      <w:pPr>
        <w:tabs>
          <w:tab w:val="left" w:pos="1440"/>
        </w:tabs>
        <w:ind w:firstLine="720"/>
      </w:pPr>
      <w:r w:rsidRPr="0017092F">
        <w:t xml:space="preserve">Here, </w:t>
      </w:r>
      <w:r w:rsidRPr="0017092F" w:rsidR="00FC495A">
        <w:t xml:space="preserve">it is </w:t>
      </w:r>
      <w:r w:rsidRPr="0017092F" w:rsidR="00C4026D">
        <w:t xml:space="preserve">unclear </w:t>
      </w:r>
      <w:r w:rsidRPr="0017092F" w:rsidR="00FC495A">
        <w:t xml:space="preserve">whether the </w:t>
      </w:r>
      <w:r w:rsidRPr="0017092F">
        <w:t xml:space="preserve">restrictive </w:t>
      </w:r>
      <w:r w:rsidRPr="0017092F" w:rsidR="00094E3D">
        <w:t xml:space="preserve">clause </w:t>
      </w:r>
      <w:r w:rsidRPr="0017092F" w:rsidR="00075C49">
        <w:t xml:space="preserve">“that violates a person’s right of privacy” </w:t>
      </w:r>
      <w:r w:rsidRPr="0017092F" w:rsidR="00FC495A">
        <w:t>modifies</w:t>
      </w:r>
      <w:r w:rsidRPr="0017092F" w:rsidR="00A970BA">
        <w:t xml:space="preserve"> </w:t>
      </w:r>
      <w:r w:rsidRPr="0017092F">
        <w:t xml:space="preserve">a group of words or just a single word.  Specifically, it is ambiguous whether the clause modifies </w:t>
      </w:r>
      <w:r w:rsidRPr="0017092F" w:rsidR="00FC495A">
        <w:t xml:space="preserve">the entire phrase “[o]ral or written publication, in any manner, of material” </w:t>
      </w:r>
      <w:r w:rsidRPr="0017092F" w:rsidR="00CE6ABC">
        <w:t xml:space="preserve">or whether it modifies only the word “material.”  If the former, then the intrusive way the material is published, not just its </w:t>
      </w:r>
      <w:r w:rsidRPr="0017092F" w:rsidR="00C4026D">
        <w:t xml:space="preserve">informational </w:t>
      </w:r>
      <w:r w:rsidRPr="0017092F" w:rsidR="00CE6ABC">
        <w:t xml:space="preserve">content, might give rise to </w:t>
      </w:r>
      <w:r w:rsidRPr="0017092F">
        <w:t xml:space="preserve">the </w:t>
      </w:r>
      <w:r w:rsidRPr="0017092F" w:rsidR="00CE6ABC">
        <w:t>privacy violation</w:t>
      </w:r>
      <w:r w:rsidRPr="0017092F">
        <w:t xml:space="preserve"> at issue</w:t>
      </w:r>
      <w:r w:rsidRPr="0017092F" w:rsidR="00CE6ABC">
        <w:t xml:space="preserve">, and the violation would, nonetheless, be covered by the policy.  Under this reading, even if the published material were something that was not in </w:t>
      </w:r>
      <w:r w:rsidRPr="0017092F">
        <w:t xml:space="preserve">the least </w:t>
      </w:r>
      <w:r w:rsidRPr="0017092F" w:rsidR="00CE6ABC">
        <w:t xml:space="preserve">private (for example, weather forecasts or sports scores), its publication in a manner that violated a person’s right of seclusion would still amount to a covered privacy violation.  But if the clause “that violates a person’s right of privacy” modifies only the word “material,” then </w:t>
      </w:r>
      <w:r w:rsidRPr="0017092F">
        <w:t xml:space="preserve">it follows that </w:t>
      </w:r>
      <w:r w:rsidRPr="0017092F" w:rsidR="00C54AC1">
        <w:t xml:space="preserve">something about </w:t>
      </w:r>
      <w:r w:rsidRPr="0017092F" w:rsidR="001D116F">
        <w:t>the material itself</w:t>
      </w:r>
      <w:r w:rsidRPr="0017092F">
        <w:t>, viewed in isolation,</w:t>
      </w:r>
      <w:r w:rsidRPr="0017092F" w:rsidR="001D116F">
        <w:t xml:space="preserve"> must violate a person’s right of privacy, </w:t>
      </w:r>
      <w:r w:rsidRPr="0017092F">
        <w:t xml:space="preserve">which in turn </w:t>
      </w:r>
      <w:r w:rsidRPr="0017092F" w:rsidR="00CE6ABC">
        <w:t xml:space="preserve">implies that it must </w:t>
      </w:r>
      <w:r w:rsidRPr="0017092F" w:rsidR="001D116F">
        <w:t xml:space="preserve">do so by reason of its </w:t>
      </w:r>
      <w:r w:rsidRPr="0017092F" w:rsidR="00C54AC1">
        <w:t xml:space="preserve">informational </w:t>
      </w:r>
      <w:r w:rsidRPr="0017092F" w:rsidR="001D116F">
        <w:t>content</w:t>
      </w:r>
      <w:r w:rsidRPr="0017092F" w:rsidR="00C54AC1">
        <w:t>.</w:t>
      </w:r>
      <w:r w:rsidRPr="0017092F">
        <w:t xml:space="preserve">  Thus, the coverage provision is </w:t>
      </w:r>
      <w:r w:rsidRPr="0017092F" w:rsidR="00C4026D">
        <w:t xml:space="preserve">facially </w:t>
      </w:r>
      <w:r w:rsidRPr="0017092F">
        <w:t xml:space="preserve">ambiguous, and the ambiguity is critical to resolution of the </w:t>
      </w:r>
      <w:r w:rsidRPr="0017092F" w:rsidR="00C4026D">
        <w:t xml:space="preserve">question of </w:t>
      </w:r>
      <w:r w:rsidRPr="0017092F">
        <w:t>coverage in this case.</w:t>
      </w:r>
    </w:p>
    <w:p w:rsidR="003A4165" w:rsidRPr="0017092F" w:rsidP="0017092F">
      <w:pPr>
        <w:tabs>
          <w:tab w:val="left" w:pos="1440"/>
        </w:tabs>
        <w:ind w:firstLine="720"/>
      </w:pPr>
      <w:r w:rsidRPr="0017092F">
        <w:t>In such situations, o</w:t>
      </w:r>
      <w:r w:rsidRPr="0017092F" w:rsidR="005C4FA6">
        <w:t xml:space="preserve">ur first step is to consider whether the standard rules of contract interpretation can resolve the </w:t>
      </w:r>
      <w:r w:rsidRPr="0017092F" w:rsidR="00C4026D">
        <w:t xml:space="preserve">facial </w:t>
      </w:r>
      <w:r w:rsidRPr="0017092F" w:rsidR="005C4FA6">
        <w:t>ambiguity</w:t>
      </w:r>
      <w:r w:rsidRPr="0017092F" w:rsidR="00C4026D">
        <w:t xml:space="preserve"> in the </w:t>
      </w:r>
      <w:r w:rsidRPr="0017092F" w:rsidR="00395C90">
        <w:t xml:space="preserve">policy’s </w:t>
      </w:r>
      <w:r w:rsidRPr="0017092F" w:rsidR="00C4026D">
        <w:t>language</w:t>
      </w:r>
      <w:r w:rsidRPr="0017092F" w:rsidR="005C4FA6">
        <w:t xml:space="preserve">.  </w:t>
      </w:r>
      <w:r w:rsidRPr="0017092F" w:rsidR="003A3E84">
        <w:t>Then, if the application of those rules fails to resolve the ambiguity, we interpret the provision in favor of protecting the insured’s reasonable expectations.</w:t>
      </w:r>
      <w:r w:rsidR="006A26BE">
        <w:t xml:space="preserve">  </w:t>
      </w:r>
      <w:r w:rsidRPr="006A26BE" w:rsidR="006A26BE">
        <w:t>“Only if these rules do not resolve a claimed ambiguity do we resort to the rule that ambiguities are to be resolved against the insurer.”  (</w:t>
      </w:r>
      <w:r w:rsidRPr="006A26BE" w:rsidR="006A26BE">
        <w:rPr>
          <w:i/>
          <w:iCs/>
        </w:rPr>
        <w:t>Boghos v. Certain Underwriters at Lloyd’s of London</w:t>
      </w:r>
      <w:r w:rsidRPr="006A26BE" w:rsidR="006A26BE">
        <w:t xml:space="preserve">, </w:t>
      </w:r>
      <w:r w:rsidRPr="006A26BE" w:rsidR="006A26BE">
        <w:rPr>
          <w:i/>
          <w:iCs/>
        </w:rPr>
        <w:t>supra</w:t>
      </w:r>
      <w:r w:rsidRPr="00874BF1" w:rsidR="006A26BE">
        <w:t>, 36</w:t>
      </w:r>
      <w:r w:rsidRPr="006A26BE" w:rsidR="006A26BE">
        <w:t xml:space="preserve"> Cal.4th at p.</w:t>
      </w:r>
      <w:r w:rsidR="006A26BE">
        <w:t xml:space="preserve"> </w:t>
      </w:r>
      <w:r w:rsidRPr="006A26BE" w:rsidR="006A26BE">
        <w:t>501; see</w:t>
      </w:r>
      <w:r w:rsidR="006A26BE">
        <w:t xml:space="preserve"> </w:t>
      </w:r>
      <w:r w:rsidRPr="0017092F" w:rsidR="004C5DAB">
        <w:rPr>
          <w:i/>
          <w:iCs/>
        </w:rPr>
        <w:t>Minkler v. Safeco Ins. Co.</w:t>
      </w:r>
      <w:r w:rsidRPr="0017092F" w:rsidR="004C5DAB">
        <w:t xml:space="preserve"> (2010) 49 Cal.4th 315, 321–322; </w:t>
      </w:r>
      <w:r w:rsidRPr="0017092F" w:rsidR="004C5DAB">
        <w:rPr>
          <w:i/>
          <w:iCs/>
        </w:rPr>
        <w:t>Bank of the West v. Superior Court</w:t>
      </w:r>
      <w:r w:rsidRPr="0017092F" w:rsidR="004C5DAB">
        <w:t xml:space="preserve"> (1992) 2 Cal.4th 1254, 1264–1265.)</w:t>
      </w:r>
    </w:p>
    <w:p w:rsidR="007868B3" w:rsidRPr="000F49DC" w:rsidP="001B2BB2">
      <w:pPr>
        <w:pStyle w:val="Heading3"/>
        <w:rPr>
          <w:i w:val="0"/>
        </w:rPr>
      </w:pPr>
      <w:r w:rsidRPr="0017092F">
        <w:t xml:space="preserve">1. </w:t>
      </w:r>
      <w:r w:rsidRPr="0017092F" w:rsidR="005B1A54">
        <w:t>Application of the Standard Rules of Contract Interpretation</w:t>
      </w:r>
    </w:p>
    <w:p w:rsidR="007B08B4" w:rsidRPr="0017092F" w:rsidP="0017092F">
      <w:pPr>
        <w:tabs>
          <w:tab w:val="left" w:pos="1440"/>
        </w:tabs>
        <w:ind w:firstLine="720"/>
      </w:pPr>
      <w:r w:rsidRPr="0017092F">
        <w:t>“The mere fact that a word or phrase in a policy may have multiple meanings does not create an ambiguity.</w:t>
      </w:r>
      <w:r w:rsidRPr="0017092F" w:rsidR="00473D2F">
        <w:t>”</w:t>
      </w:r>
      <w:r w:rsidRPr="0017092F">
        <w:t xml:space="preserve">  (</w:t>
      </w:r>
      <w:r w:rsidRPr="0017092F">
        <w:rPr>
          <w:i/>
          <w:iCs/>
        </w:rPr>
        <w:t>Palmer</w:t>
      </w:r>
      <w:r w:rsidRPr="00874BF1" w:rsidR="00473D2F">
        <w:t xml:space="preserve">, </w:t>
      </w:r>
      <w:r w:rsidRPr="0017092F" w:rsidR="00473D2F">
        <w:rPr>
          <w:i/>
          <w:iCs/>
        </w:rPr>
        <w:t>supra</w:t>
      </w:r>
      <w:r w:rsidRPr="00874BF1" w:rsidR="00473D2F">
        <w:t xml:space="preserve">, </w:t>
      </w:r>
      <w:r w:rsidRPr="00874BF1">
        <w:t>21</w:t>
      </w:r>
      <w:r w:rsidRPr="0017092F">
        <w:t xml:space="preserve"> Cal.4th </w:t>
      </w:r>
      <w:r w:rsidRPr="0017092F" w:rsidR="00473D2F">
        <w:t xml:space="preserve">at p. </w:t>
      </w:r>
      <w:r w:rsidRPr="0017092F">
        <w:t xml:space="preserve">1118.)  Rather, the meaning of the word or phrase must be considered in light of </w:t>
      </w:r>
      <w:r w:rsidRPr="0017092F" w:rsidR="00D86187">
        <w:t>its</w:t>
      </w:r>
      <w:r w:rsidRPr="0017092F">
        <w:t xml:space="preserve"> context.  (See </w:t>
      </w:r>
      <w:r w:rsidRPr="0017092F">
        <w:rPr>
          <w:i/>
          <w:iCs/>
        </w:rPr>
        <w:t>State of California v. Continental Ins. Co.</w:t>
      </w:r>
      <w:r w:rsidRPr="00874BF1" w:rsidR="00862761">
        <w:t xml:space="preserve">, </w:t>
      </w:r>
      <w:r w:rsidRPr="0017092F" w:rsidR="00862761">
        <w:rPr>
          <w:i/>
          <w:iCs/>
        </w:rPr>
        <w:t>supra</w:t>
      </w:r>
      <w:r w:rsidRPr="00874BF1" w:rsidR="00862761">
        <w:t xml:space="preserve">, </w:t>
      </w:r>
      <w:r w:rsidRPr="00874BF1">
        <w:t>55 C</w:t>
      </w:r>
      <w:r w:rsidRPr="0017092F">
        <w:t xml:space="preserve">al.4th </w:t>
      </w:r>
      <w:r w:rsidRPr="0017092F" w:rsidR="00862761">
        <w:t xml:space="preserve">at p. </w:t>
      </w:r>
      <w:r w:rsidRPr="0017092F">
        <w:t xml:space="preserve">195; </w:t>
      </w:r>
      <w:r w:rsidRPr="0017092F">
        <w:rPr>
          <w:i/>
          <w:iCs/>
        </w:rPr>
        <w:t>Minkler v. Safeco Ins. Co.</w:t>
      </w:r>
      <w:r w:rsidRPr="0017092F">
        <w:t xml:space="preserve">, </w:t>
      </w:r>
      <w:r w:rsidRPr="0017092F">
        <w:rPr>
          <w:i/>
          <w:iCs/>
        </w:rPr>
        <w:t>supra</w:t>
      </w:r>
      <w:r w:rsidRPr="00874BF1">
        <w:t>, 49</w:t>
      </w:r>
      <w:r w:rsidRPr="0017092F">
        <w:t xml:space="preserve"> Cal.4th at p. 32</w:t>
      </w:r>
      <w:r w:rsidRPr="0017092F" w:rsidR="00D86187">
        <w:t>2</w:t>
      </w:r>
      <w:r w:rsidRPr="0017092F">
        <w:t xml:space="preserve">; </w:t>
      </w:r>
      <w:r w:rsidRPr="0017092F">
        <w:rPr>
          <w:i/>
          <w:iCs/>
        </w:rPr>
        <w:t>Bank of the West v. Superior Court</w:t>
      </w:r>
      <w:r w:rsidRPr="0017092F" w:rsidR="00862761">
        <w:t xml:space="preserve">, </w:t>
      </w:r>
      <w:r w:rsidRPr="0017092F" w:rsidR="00862761">
        <w:rPr>
          <w:i/>
          <w:iCs/>
        </w:rPr>
        <w:t>supra</w:t>
      </w:r>
      <w:r w:rsidRPr="00874BF1" w:rsidR="00862761">
        <w:t xml:space="preserve">, </w:t>
      </w:r>
      <w:r w:rsidRPr="00874BF1">
        <w:t>2 Ca</w:t>
      </w:r>
      <w:r w:rsidRPr="0017092F">
        <w:t xml:space="preserve">l.4th </w:t>
      </w:r>
      <w:r w:rsidRPr="0017092F" w:rsidR="00862761">
        <w:t xml:space="preserve">at p. </w:t>
      </w:r>
      <w:r w:rsidRPr="0017092F">
        <w:t xml:space="preserve">1265.)  </w:t>
      </w:r>
      <w:r w:rsidRPr="0017092F" w:rsidR="005B1A54">
        <w:t xml:space="preserve">Several aspects of the policy </w:t>
      </w:r>
      <w:r w:rsidRPr="0017092F">
        <w:t xml:space="preserve">at issue here </w:t>
      </w:r>
      <w:r w:rsidRPr="0017092F" w:rsidR="005B1A54">
        <w:t xml:space="preserve">suggest that </w:t>
      </w:r>
      <w:r w:rsidRPr="0017092F" w:rsidR="00473D2F">
        <w:t>in the policy’s coverage provision</w:t>
      </w:r>
      <w:r w:rsidR="006F645D">
        <w:t>,</w:t>
      </w:r>
      <w:r w:rsidRPr="0017092F" w:rsidR="00473D2F">
        <w:t xml:space="preserve"> </w:t>
      </w:r>
      <w:r w:rsidRPr="0017092F" w:rsidR="005B1A54">
        <w:t>the restrictive clause “that violates a person’s right of privacy” modifies only the word “material</w:t>
      </w:r>
      <w:r w:rsidRPr="0017092F" w:rsidR="00B177E4">
        <w:t>,</w:t>
      </w:r>
      <w:r w:rsidRPr="0017092F" w:rsidR="005B1A54">
        <w:t xml:space="preserve">” </w:t>
      </w:r>
      <w:r w:rsidRPr="0017092F" w:rsidR="00B177E4">
        <w:t>meaning that</w:t>
      </w:r>
      <w:r w:rsidRPr="0017092F">
        <w:t>, for there to be coverage,</w:t>
      </w:r>
      <w:r w:rsidRPr="0017092F" w:rsidR="00B177E4">
        <w:t xml:space="preserve"> the material itself — that is, its informational content — must give rise to the privacy violation.</w:t>
      </w:r>
    </w:p>
    <w:p w:rsidR="0028601A" w:rsidRPr="0017092F" w:rsidP="0017092F">
      <w:pPr>
        <w:tabs>
          <w:tab w:val="left" w:pos="1440"/>
        </w:tabs>
        <w:ind w:firstLine="720"/>
      </w:pPr>
      <w:r w:rsidRPr="0017092F">
        <w:t>C</w:t>
      </w:r>
      <w:r w:rsidRPr="0017092F" w:rsidR="007B08B4">
        <w:t xml:space="preserve">ourts will favor an interpretation that gives meaning to each word in a contract over an interpretation that makes part of the writing redundant.  (See </w:t>
      </w:r>
      <w:r w:rsidRPr="0017092F" w:rsidR="007B08B4">
        <w:rPr>
          <w:i/>
          <w:iCs/>
        </w:rPr>
        <w:t>Carson v. Mercury Ins. Co.</w:t>
      </w:r>
      <w:r w:rsidRPr="0017092F" w:rsidR="007B08B4">
        <w:t xml:space="preserve"> (2012) 210 Cal.App.4th 409, 420.)  R</w:t>
      </w:r>
      <w:r w:rsidRPr="0017092F" w:rsidR="00B177E4">
        <w:t xml:space="preserve">eading the restrictive clause </w:t>
      </w:r>
      <w:r w:rsidRPr="0017092F" w:rsidR="007B08B4">
        <w:t xml:space="preserve">“that violates a person’s right of privacy” </w:t>
      </w:r>
      <w:r w:rsidRPr="0017092F" w:rsidR="00B177E4">
        <w:t xml:space="preserve">as modifying </w:t>
      </w:r>
      <w:r w:rsidRPr="0017092F" w:rsidR="005B1A54">
        <w:t>the entire phrase “[o]ral or written publication, in any manner, of material</w:t>
      </w:r>
      <w:r w:rsidRPr="0017092F" w:rsidR="00B177E4">
        <w:t>,</w:t>
      </w:r>
      <w:r w:rsidRPr="0017092F" w:rsidR="005B1A54">
        <w:t>”</w:t>
      </w:r>
      <w:r w:rsidRPr="0017092F" w:rsidR="00B177E4">
        <w:t xml:space="preserve"> and thus as creating liability coverage for </w:t>
      </w:r>
      <w:r w:rsidRPr="0017092F" w:rsidR="007B08B4">
        <w:t>right-of-se</w:t>
      </w:r>
      <w:r w:rsidRPr="0017092F" w:rsidR="00B177E4">
        <w:t xml:space="preserve">clusion violations, </w:t>
      </w:r>
      <w:r w:rsidR="00794140">
        <w:t xml:space="preserve">might be seen as </w:t>
      </w:r>
      <w:r w:rsidRPr="0017092F" w:rsidR="00473D2F">
        <w:t xml:space="preserve">somewhat </w:t>
      </w:r>
      <w:r w:rsidRPr="0017092F" w:rsidR="005B1A54">
        <w:t xml:space="preserve">unnatural because it </w:t>
      </w:r>
      <w:r w:rsidRPr="0017092F" w:rsidR="00473D2F">
        <w:t xml:space="preserve">is a reading that </w:t>
      </w:r>
      <w:r w:rsidR="00794140">
        <w:t xml:space="preserve">arguably </w:t>
      </w:r>
      <w:r w:rsidRPr="0017092F" w:rsidR="005B1A54">
        <w:t xml:space="preserve">makes the word “material” superfluous.  </w:t>
      </w:r>
      <w:r w:rsidR="007868B3">
        <w:t>In other words, i</w:t>
      </w:r>
      <w:r w:rsidRPr="0017092F" w:rsidR="005B1A54">
        <w:t>f the policy were intended to cover liability for any publication that violate</w:t>
      </w:r>
      <w:r w:rsidRPr="0017092F" w:rsidR="007B08B4">
        <w:t xml:space="preserve">d a person’s </w:t>
      </w:r>
      <w:r w:rsidRPr="0017092F" w:rsidR="005B1A54">
        <w:t xml:space="preserve">right of privacy, </w:t>
      </w:r>
      <w:r w:rsidRPr="0017092F" w:rsidR="00473D2F">
        <w:t>whether by disclosing a person’s secrets or intruding upon a person’s seclusion, or otherwise</w:t>
      </w:r>
      <w:r w:rsidRPr="0017092F" w:rsidR="007B08B4">
        <w:t xml:space="preserve">, </w:t>
      </w:r>
      <w:r w:rsidRPr="0017092F" w:rsidR="005B1A54">
        <w:t xml:space="preserve">then the word “material” could simply have been omitted from the coverage provision altogether.  But the coverage provision at issue here includes the word “material.”  </w:t>
      </w:r>
      <w:r w:rsidRPr="0017092F">
        <w:t>T</w:t>
      </w:r>
      <w:r w:rsidRPr="0017092F" w:rsidR="005B1A54">
        <w:t xml:space="preserve">he addition of the word “material” immediately before the restrictive clause “that violates a person’s right of privacy” </w:t>
      </w:r>
      <w:r w:rsidR="00990712">
        <w:t xml:space="preserve">arguably suggests </w:t>
      </w:r>
      <w:r w:rsidRPr="0017092F" w:rsidR="005B1A54">
        <w:t xml:space="preserve">that </w:t>
      </w:r>
      <w:r w:rsidRPr="0017092F" w:rsidR="007B08B4">
        <w:t xml:space="preserve">something about </w:t>
      </w:r>
      <w:r w:rsidRPr="0017092F" w:rsidR="005B1A54">
        <w:t xml:space="preserve">the </w:t>
      </w:r>
      <w:r w:rsidR="00990712">
        <w:t xml:space="preserve">content of the </w:t>
      </w:r>
      <w:r w:rsidRPr="0017092F" w:rsidR="005B1A54">
        <w:t>material itself</w:t>
      </w:r>
      <w:r w:rsidRPr="0017092F">
        <w:t>, viewed in isolation,</w:t>
      </w:r>
      <w:r w:rsidRPr="0017092F" w:rsidR="009C03E1">
        <w:t xml:space="preserve"> </w:t>
      </w:r>
      <w:r w:rsidRPr="0017092F" w:rsidR="005B1A54">
        <w:t xml:space="preserve">must </w:t>
      </w:r>
      <w:r w:rsidRPr="0017092F" w:rsidR="009C03E1">
        <w:t>v</w:t>
      </w:r>
      <w:r w:rsidRPr="0017092F" w:rsidR="005B1A54">
        <w:t>iolate a person’s right of privacy</w:t>
      </w:r>
      <w:r w:rsidR="00B72358">
        <w:t>.  Thus, s</w:t>
      </w:r>
      <w:r w:rsidRPr="0017092F" w:rsidR="00B72358">
        <w:t>ince content is irrelevant to right-of-seclusion violations</w:t>
      </w:r>
      <w:r w:rsidRPr="0017092F" w:rsidR="005B1A54">
        <w:t>,</w:t>
      </w:r>
      <w:r w:rsidR="00B72358">
        <w:t xml:space="preserve"> </w:t>
      </w:r>
      <w:r w:rsidRPr="00B72358" w:rsidR="00B72358">
        <w:t>the inclusion of the word “material”</w:t>
      </w:r>
      <w:r w:rsidR="00B72358">
        <w:t xml:space="preserve"> </w:t>
      </w:r>
      <w:r w:rsidRPr="0017092F" w:rsidR="005B1A54">
        <w:t xml:space="preserve">implies that the policy </w:t>
      </w:r>
      <w:r w:rsidRPr="0017092F" w:rsidR="009C03E1">
        <w:t xml:space="preserve">does not cover </w:t>
      </w:r>
      <w:r w:rsidRPr="0017092F" w:rsidR="005B1A54">
        <w:t>right-of-seclusion liability</w:t>
      </w:r>
      <w:r w:rsidRPr="0017092F">
        <w:t>.</w:t>
      </w:r>
    </w:p>
    <w:p w:rsidR="005B1A54" w:rsidRPr="0017092F" w:rsidP="0017092F">
      <w:pPr>
        <w:tabs>
          <w:tab w:val="left" w:pos="1440"/>
        </w:tabs>
        <w:ind w:firstLine="720"/>
      </w:pPr>
      <w:r w:rsidRPr="0017092F">
        <w:t xml:space="preserve">This </w:t>
      </w:r>
      <w:r w:rsidRPr="0017092F" w:rsidR="00CF4B95">
        <w:t xml:space="preserve">reading of the coverage language </w:t>
      </w:r>
      <w:r w:rsidRPr="0017092F">
        <w:t xml:space="preserve">finds support in various other provisions of </w:t>
      </w:r>
      <w:r w:rsidRPr="0017092F" w:rsidR="00155802">
        <w:t xml:space="preserve">Yahoo!’s </w:t>
      </w:r>
      <w:r w:rsidRPr="0017092F">
        <w:t xml:space="preserve">policy.  As modified by </w:t>
      </w:r>
      <w:r w:rsidRPr="0017092F" w:rsidR="0028601A">
        <w:t>E</w:t>
      </w:r>
      <w:r w:rsidRPr="0017092F">
        <w:t>ndorsement</w:t>
      </w:r>
      <w:r w:rsidRPr="0017092F" w:rsidR="0028601A">
        <w:t xml:space="preserve"> No. 1</w:t>
      </w:r>
      <w:r w:rsidRPr="0017092F">
        <w:t>, the policy provides liability coverage for “personal injury,” which it defines to include injury arising from any of five offenses.  One of those offenses is the one we have been discussing</w:t>
      </w:r>
      <w:r w:rsidR="007868B3">
        <w:t xml:space="preserve"> here </w:t>
      </w:r>
      <w:r w:rsidRPr="0017092F">
        <w:t xml:space="preserve">(“[o]ral or written publication, in any manner, of material that violates a person’s right of privacy”), but another offense, one not at issue here, uses parallel phrasing (“[o]ral or written publication, in any manner, of material that slanders or libels a person or organization or disparages a person’s or organization’s goods, products or services”).  Although the latter offense is not implicated here directly, it </w:t>
      </w:r>
      <w:r w:rsidRPr="0017092F" w:rsidR="0028601A">
        <w:t xml:space="preserve">is </w:t>
      </w:r>
      <w:r w:rsidRPr="0017092F">
        <w:t xml:space="preserve">nonetheless </w:t>
      </w:r>
      <w:r w:rsidRPr="0017092F" w:rsidR="0028601A">
        <w:t>relevant.  Published m</w:t>
      </w:r>
      <w:r w:rsidRPr="0017092F">
        <w:t xml:space="preserve">aterial can slander, libel, or disparage a person only by reason of its informational content — it cannot do so in any other way.  Therefore, the parallel phrasing between these two offenses supports an inference that both offenses are concerned with the informational content of the published material.  </w:t>
      </w:r>
      <w:r w:rsidRPr="0017092F" w:rsidR="00D10521">
        <w:t xml:space="preserve">(See </w:t>
      </w:r>
      <w:r w:rsidRPr="0017092F" w:rsidR="00D10521">
        <w:rPr>
          <w:i/>
          <w:iCs/>
        </w:rPr>
        <w:t>E.M.M.I. Inc. v. Zurich American Ins. Co.</w:t>
      </w:r>
      <w:r w:rsidRPr="0017092F" w:rsidR="00D10521">
        <w:t xml:space="preserve"> (2004) 32 Cal.4th 465, 475 [“the same word used in an instrument is generally given the same meaning unless the policy indicates otherwise”].)  </w:t>
      </w:r>
      <w:r w:rsidRPr="0017092F">
        <w:t xml:space="preserve">And that, in turn, suggests that the liability coverage for privacy injuries </w:t>
      </w:r>
      <w:r w:rsidRPr="0017092F" w:rsidR="009C03E1">
        <w:t>does not extend to violations of the right of seclusion.</w:t>
      </w:r>
    </w:p>
    <w:p w:rsidR="005A5DF0" w:rsidRPr="0017092F" w:rsidP="0017092F">
      <w:pPr>
        <w:tabs>
          <w:tab w:val="left" w:pos="1440"/>
        </w:tabs>
        <w:ind w:firstLine="720"/>
      </w:pPr>
      <w:r w:rsidRPr="0017092F">
        <w:t xml:space="preserve">In addition, the policy at issue here excludes “[o]ral or written publication, in any manner, of material in your ‘advertisement’ that violates a person’s right of privacy.”  With respect to this advertisement </w:t>
      </w:r>
      <w:r w:rsidRPr="0017092F" w:rsidR="009C03E1">
        <w:t>injury exclusion</w:t>
      </w:r>
      <w:r w:rsidRPr="0017092F">
        <w:t xml:space="preserve">, the content of the advertisement is clearly referenced by the word “material” because the provision uses the phrase “material </w:t>
      </w:r>
      <w:r w:rsidRPr="0017092F">
        <w:rPr>
          <w:i/>
          <w:iCs/>
        </w:rPr>
        <w:t>in</w:t>
      </w:r>
      <w:r w:rsidRPr="0017092F">
        <w:t xml:space="preserve"> your ‘advertisement.’</w:t>
      </w:r>
      <w:r w:rsidR="00D619C0">
        <w:t> </w:t>
      </w:r>
      <w:r w:rsidRPr="0017092F">
        <w:t xml:space="preserve">”  (Italics added.)  </w:t>
      </w:r>
      <w:r w:rsidRPr="0017092F" w:rsidR="0028601A">
        <w:t xml:space="preserve">Again, </w:t>
      </w:r>
      <w:r w:rsidRPr="0017092F">
        <w:t xml:space="preserve">because this advertisement provision, like the slander provision discussed above, uses phrasing that parallels the provision we </w:t>
      </w:r>
      <w:r w:rsidRPr="0017092F" w:rsidR="00D10521">
        <w:t xml:space="preserve">are </w:t>
      </w:r>
      <w:r w:rsidRPr="0017092F">
        <w:t>interpret</w:t>
      </w:r>
      <w:r w:rsidRPr="0017092F" w:rsidR="00D10521">
        <w:t>ing</w:t>
      </w:r>
      <w:r w:rsidRPr="0017092F">
        <w:t xml:space="preserve"> in this case, </w:t>
      </w:r>
      <w:r w:rsidRPr="0017092F" w:rsidR="0028601A">
        <w:t xml:space="preserve">a </w:t>
      </w:r>
      <w:r w:rsidRPr="0017092F" w:rsidR="009C03E1">
        <w:t>plausi</w:t>
      </w:r>
      <w:r w:rsidRPr="0017092F" w:rsidR="0028601A">
        <w:t>ble argument can be made tha</w:t>
      </w:r>
      <w:r w:rsidRPr="0017092F">
        <w:t>t the latter provision is likewise concerned with the content of what is being published.</w:t>
      </w:r>
      <w:r w:rsidRPr="0017092F" w:rsidR="00D10521">
        <w:t xml:space="preserve">  </w:t>
      </w:r>
      <w:r w:rsidRPr="0017092F">
        <w:t xml:space="preserve">(See </w:t>
      </w:r>
      <w:r w:rsidRPr="0017092F">
        <w:rPr>
          <w:i/>
          <w:iCs/>
        </w:rPr>
        <w:t>E.M.M.I. Inc. v. Zurich American Ins. Co.</w:t>
      </w:r>
      <w:r w:rsidRPr="0017092F" w:rsidR="00D10521">
        <w:t xml:space="preserve">, </w:t>
      </w:r>
      <w:r w:rsidRPr="0017092F" w:rsidR="00D10521">
        <w:rPr>
          <w:i/>
          <w:iCs/>
        </w:rPr>
        <w:t>supra</w:t>
      </w:r>
      <w:r w:rsidRPr="00874BF1" w:rsidR="00D10521">
        <w:t xml:space="preserve">, </w:t>
      </w:r>
      <w:r w:rsidRPr="00874BF1">
        <w:t>32</w:t>
      </w:r>
      <w:r w:rsidRPr="0017092F">
        <w:t xml:space="preserve"> Cal.4th </w:t>
      </w:r>
      <w:r w:rsidRPr="0017092F" w:rsidR="00D10521">
        <w:t xml:space="preserve">at p. </w:t>
      </w:r>
      <w:r w:rsidRPr="0017092F">
        <w:t>475.)</w:t>
      </w:r>
    </w:p>
    <w:p w:rsidR="00851941" w:rsidRPr="0017092F" w:rsidP="0017092F">
      <w:pPr>
        <w:tabs>
          <w:tab w:val="left" w:pos="1440"/>
        </w:tabs>
        <w:ind w:firstLine="720"/>
      </w:pPr>
      <w:r>
        <w:t xml:space="preserve">Yet </w:t>
      </w:r>
      <w:r w:rsidRPr="0017092F" w:rsidR="00D10521">
        <w:t xml:space="preserve">other aspects of </w:t>
      </w:r>
      <w:r w:rsidRPr="0017092F" w:rsidR="009C03E1">
        <w:t xml:space="preserve">Yahoo!’s </w:t>
      </w:r>
      <w:r w:rsidRPr="0017092F" w:rsidR="00D10521">
        <w:t xml:space="preserve">policy suggest that </w:t>
      </w:r>
      <w:r w:rsidRPr="0017092F" w:rsidR="00ED0B4D">
        <w:t xml:space="preserve">in the policy’s coverage provision, </w:t>
      </w:r>
      <w:r w:rsidRPr="0017092F" w:rsidR="00D10521">
        <w:t xml:space="preserve">the restrictive clause “that violates a person’s right of privacy” modifies the entire phrase “[o]ral or written publication, in any manner, of material,” thus creating coverage for any </w:t>
      </w:r>
      <w:r w:rsidRPr="0017092F" w:rsidR="00ED0B4D">
        <w:t xml:space="preserve">publication-based </w:t>
      </w:r>
      <w:r w:rsidRPr="0017092F" w:rsidR="00D10521">
        <w:t xml:space="preserve">right-of-privacy violation, including </w:t>
      </w:r>
      <w:r w:rsidRPr="0017092F" w:rsidR="009C03E1">
        <w:t>right-of-</w:t>
      </w:r>
      <w:r w:rsidRPr="0017092F" w:rsidR="00D10521">
        <w:t xml:space="preserve">seclusion violations.  </w:t>
      </w:r>
      <w:r>
        <w:t xml:space="preserve">For example, </w:t>
      </w:r>
      <w:r w:rsidRPr="0017092F" w:rsidR="00D10521">
        <w:t>even if</w:t>
      </w:r>
      <w:r w:rsidR="00B72358">
        <w:t xml:space="preserve"> </w:t>
      </w:r>
      <w:r w:rsidRPr="0017092F" w:rsidR="00D10521">
        <w:t xml:space="preserve">the slander provision and the </w:t>
      </w:r>
      <w:r w:rsidRPr="0017092F" w:rsidR="009C77DC">
        <w:t>advertising</w:t>
      </w:r>
      <w:r w:rsidRPr="0017092F" w:rsidR="002B6767">
        <w:t xml:space="preserve"> injury exclusion refer </w:t>
      </w:r>
      <w:r w:rsidRPr="0017092F" w:rsidR="00D10521">
        <w:t xml:space="preserve">only </w:t>
      </w:r>
      <w:r w:rsidRPr="0017092F" w:rsidR="002B6767">
        <w:t xml:space="preserve">to content-based injuries, </w:t>
      </w:r>
      <w:r w:rsidRPr="0017092F" w:rsidR="0015248A">
        <w:t xml:space="preserve">those provisions </w:t>
      </w:r>
      <w:r w:rsidR="00990712">
        <w:t>are worded differently from the provision now before us.  T</w:t>
      </w:r>
      <w:r w:rsidRPr="0017092F" w:rsidR="002B6767">
        <w:t xml:space="preserve">he </w:t>
      </w:r>
      <w:r w:rsidRPr="0017092F" w:rsidR="00D10521">
        <w:t xml:space="preserve">specific </w:t>
      </w:r>
      <w:r w:rsidR="00990712">
        <w:t xml:space="preserve">provision </w:t>
      </w:r>
      <w:r w:rsidRPr="0017092F" w:rsidR="00D10521">
        <w:t xml:space="preserve">at issue here (“[o]ral or written publication, in any manner, of material that violates a person’s right of privacy”) </w:t>
      </w:r>
      <w:r w:rsidRPr="0017092F" w:rsidR="00ED0B4D">
        <w:t xml:space="preserve">does not </w:t>
      </w:r>
      <w:r w:rsidR="00990712">
        <w:t xml:space="preserve">include language that </w:t>
      </w:r>
      <w:r w:rsidRPr="0017092F" w:rsidR="00ED0B4D">
        <w:t xml:space="preserve">similarly </w:t>
      </w:r>
      <w:r w:rsidR="005B6CA0">
        <w:t>require</w:t>
      </w:r>
      <w:r w:rsidR="00990712">
        <w:t>s</w:t>
      </w:r>
      <w:r w:rsidRPr="0017092F" w:rsidR="00ED0B4D">
        <w:t xml:space="preserve"> </w:t>
      </w:r>
      <w:r w:rsidR="005B6CA0">
        <w:t xml:space="preserve">such </w:t>
      </w:r>
      <w:r w:rsidRPr="0017092F" w:rsidR="00ED0B4D">
        <w:t>a narrow interpretation</w:t>
      </w:r>
      <w:r w:rsidRPr="0017092F">
        <w:t>.</w:t>
      </w:r>
    </w:p>
    <w:p w:rsidR="002972CE" w:rsidRPr="0017092F" w:rsidP="0017092F">
      <w:pPr>
        <w:tabs>
          <w:tab w:val="left" w:pos="1440"/>
        </w:tabs>
        <w:ind w:firstLine="720"/>
      </w:pPr>
      <w:r w:rsidRPr="0017092F">
        <w:t xml:space="preserve">Moreover, it may be that the parties </w:t>
      </w:r>
      <w:r w:rsidRPr="0017092F" w:rsidR="00ED0B4D">
        <w:t xml:space="preserve">affirmatively </w:t>
      </w:r>
      <w:r w:rsidRPr="0017092F">
        <w:t xml:space="preserve">intended to modify the policy to cover right-of-seclusion injuries litigated under the TCPA.  In its brief in this court, Yahoo! says:  </w:t>
      </w:r>
      <w:r w:rsidRPr="0017092F" w:rsidR="005A5DF0">
        <w:t xml:space="preserve">“In the National Union Policies, the ‘personal injury’ coverage was deliberately expanded by manuscript endorsement </w:t>
      </w:r>
      <w:r w:rsidRPr="0017092F" w:rsidR="00851941">
        <w:t xml:space="preserve">[(i.e., Endorsement No. 1)] </w:t>
      </w:r>
      <w:r w:rsidRPr="0017092F" w:rsidR="005A5DF0">
        <w:t xml:space="preserve">to cover specialized risks beyond what was covered by the standard form language.  The endorsement removed certain exclusions, including the TCPA </w:t>
      </w:r>
      <w:r w:rsidRPr="0017092F" w:rsidR="00684B6E">
        <w:t xml:space="preserve">liability </w:t>
      </w:r>
      <w:r w:rsidRPr="0017092F" w:rsidR="005A5DF0">
        <w:t xml:space="preserve">exclusion, and provided expanded coverage for </w:t>
      </w:r>
      <w:r w:rsidRPr="0017092F" w:rsidR="005A5DF0">
        <w:rPr>
          <w:i/>
          <w:iCs/>
        </w:rPr>
        <w:t>conduct-based</w:t>
      </w:r>
      <w:r w:rsidRPr="0017092F" w:rsidR="005A5DF0">
        <w:t xml:space="preserve"> ‘personal injury’ offenses, separate and distinct from </w:t>
      </w:r>
      <w:r w:rsidRPr="0017092F" w:rsidR="005A5DF0">
        <w:rPr>
          <w:i/>
          <w:iCs/>
        </w:rPr>
        <w:t>content-based</w:t>
      </w:r>
      <w:r w:rsidRPr="0017092F" w:rsidR="005A5DF0">
        <w:t xml:space="preserve"> ‘advertising injury’ offenses.”  </w:t>
      </w:r>
      <w:r w:rsidRPr="0017092F" w:rsidR="00353F4B">
        <w:t>(Italics added.)</w:t>
      </w:r>
      <w:r w:rsidRPr="0017092F" w:rsidR="005A5DF0">
        <w:t xml:space="preserve">  Relying on this </w:t>
      </w:r>
      <w:r w:rsidRPr="0017092F" w:rsidR="002B6767">
        <w:t xml:space="preserve">conduct-content </w:t>
      </w:r>
      <w:r w:rsidRPr="0017092F" w:rsidR="005A5DF0">
        <w:t>distinction, Yahoo</w:t>
      </w:r>
      <w:r w:rsidRPr="0017092F" w:rsidR="003E0F6E">
        <w:t>!</w:t>
      </w:r>
      <w:r w:rsidRPr="0017092F" w:rsidR="005A5DF0">
        <w:t xml:space="preserve"> </w:t>
      </w:r>
      <w:r w:rsidRPr="0017092F" w:rsidR="002B6767">
        <w:t xml:space="preserve">argues </w:t>
      </w:r>
      <w:r w:rsidRPr="0017092F" w:rsidR="005A5DF0">
        <w:t xml:space="preserve">that, in the </w:t>
      </w:r>
      <w:r w:rsidRPr="0017092F" w:rsidR="00ED0B4D">
        <w:t xml:space="preserve">context of the </w:t>
      </w:r>
      <w:r w:rsidRPr="0017092F" w:rsidR="005A5DF0">
        <w:t xml:space="preserve">coverage provision, the restrictive clause “that violates a person’s right of privacy” should be interpreted </w:t>
      </w:r>
      <w:r w:rsidRPr="0017092F">
        <w:t xml:space="preserve">broadly </w:t>
      </w:r>
      <w:r w:rsidRPr="0017092F" w:rsidR="005A5DF0">
        <w:t xml:space="preserve">to </w:t>
      </w:r>
      <w:r w:rsidRPr="0017092F" w:rsidR="00851941">
        <w:t xml:space="preserve">include </w:t>
      </w:r>
      <w:r w:rsidRPr="0017092F" w:rsidR="005A5DF0">
        <w:rPr>
          <w:i/>
          <w:iCs/>
        </w:rPr>
        <w:t>conduct</w:t>
      </w:r>
      <w:r w:rsidRPr="0017092F" w:rsidR="005A5DF0">
        <w:t xml:space="preserve"> that violates a person’s right of privacy (i.e., right-of-seclusion violations)</w:t>
      </w:r>
      <w:r w:rsidRPr="0017092F" w:rsidR="002B6767">
        <w:t xml:space="preserve">, whereas </w:t>
      </w:r>
      <w:r w:rsidRPr="0017092F" w:rsidR="005A5DF0">
        <w:t xml:space="preserve">in the </w:t>
      </w:r>
      <w:r w:rsidRPr="0017092F" w:rsidR="00ED0B4D">
        <w:t xml:space="preserve">context of the </w:t>
      </w:r>
      <w:r w:rsidRPr="0017092F" w:rsidR="005A5DF0">
        <w:t xml:space="preserve">advertising injury exclusion, the same restrictive clause </w:t>
      </w:r>
      <w:r w:rsidRPr="0017092F" w:rsidR="004E351C">
        <w:t xml:space="preserve">should </w:t>
      </w:r>
      <w:r w:rsidRPr="0017092F" w:rsidR="00851941">
        <w:t xml:space="preserve">be limited to </w:t>
      </w:r>
      <w:r w:rsidRPr="0017092F" w:rsidR="005A5DF0">
        <w:rPr>
          <w:i/>
          <w:iCs/>
        </w:rPr>
        <w:t>content</w:t>
      </w:r>
      <w:r w:rsidRPr="0017092F" w:rsidR="005A5DF0">
        <w:t xml:space="preserve"> that violates a person’s right of privacy (i.e., right-of-secrecy violations).</w:t>
      </w:r>
    </w:p>
    <w:p w:rsidR="00B81910" w:rsidRPr="0017092F" w:rsidP="0017092F">
      <w:pPr>
        <w:tabs>
          <w:tab w:val="left" w:pos="1440"/>
        </w:tabs>
        <w:ind w:firstLine="720"/>
      </w:pPr>
      <w:r>
        <w:t>T</w:t>
      </w:r>
      <w:r w:rsidRPr="0017092F" w:rsidR="00851941">
        <w:t xml:space="preserve">he arguments favoring </w:t>
      </w:r>
      <w:r w:rsidR="005B6CA0">
        <w:t>Yahoo!’s</w:t>
      </w:r>
      <w:r>
        <w:t xml:space="preserve"> </w:t>
      </w:r>
      <w:r w:rsidRPr="0017092F" w:rsidR="00851941">
        <w:t xml:space="preserve">broad reading of the coverage provision </w:t>
      </w:r>
      <w:r w:rsidR="005B6CA0">
        <w:t xml:space="preserve">at issue </w:t>
      </w:r>
      <w:r w:rsidRPr="0017092F" w:rsidR="00851941">
        <w:t xml:space="preserve">are far from </w:t>
      </w:r>
      <w:r w:rsidRPr="0017092F">
        <w:t>conclu</w:t>
      </w:r>
      <w:r w:rsidRPr="0017092F" w:rsidR="00851941">
        <w:t>sive</w:t>
      </w:r>
      <w:r w:rsidR="005B6CA0">
        <w:t xml:space="preserve">.  However, Yahoo!’s arguments serve to </w:t>
      </w:r>
      <w:r w:rsidRPr="0017092F" w:rsidR="0064207C">
        <w:t xml:space="preserve">persuade us that </w:t>
      </w:r>
      <w:r w:rsidRPr="0017092F" w:rsidR="00851941">
        <w:t xml:space="preserve">the policy remains ambiguous even </w:t>
      </w:r>
      <w:r w:rsidRPr="0017092F" w:rsidR="004E351C">
        <w:t xml:space="preserve">when </w:t>
      </w:r>
      <w:r w:rsidRPr="0017092F" w:rsidR="00851941">
        <w:t xml:space="preserve">we apply the standard rules of contract interpretation in an effort to </w:t>
      </w:r>
      <w:r w:rsidRPr="0017092F">
        <w:t xml:space="preserve">clarify the policy’s meaning.  The restrictive clause “that violates a person’s right of privacy” can </w:t>
      </w:r>
      <w:r w:rsidRPr="0017092F" w:rsidR="0064207C">
        <w:t xml:space="preserve">reasonably </w:t>
      </w:r>
      <w:r w:rsidRPr="0017092F">
        <w:t>be read to modify the entire phrase “[o]ral or written publication, in any manner, of material</w:t>
      </w:r>
      <w:r w:rsidRPr="0017092F" w:rsidR="0064207C">
        <w:t>,</w:t>
      </w:r>
      <w:r w:rsidRPr="0017092F">
        <w:t>” and the standard rules of contract interpretation do not foreclose that reading.</w:t>
      </w:r>
      <w:r>
        <w:rPr>
          <w:rStyle w:val="FootnoteReference"/>
        </w:rPr>
        <w:footnoteReference w:id="11"/>
      </w:r>
    </w:p>
    <w:p w:rsidR="00B81910" w:rsidRPr="0017092F" w:rsidP="0017092F">
      <w:pPr>
        <w:pStyle w:val="Heading3"/>
      </w:pPr>
      <w:r w:rsidRPr="0017092F">
        <w:t xml:space="preserve">2. </w:t>
      </w:r>
      <w:r w:rsidRPr="0017092F">
        <w:t>Insured’s Reasonable Expectations</w:t>
      </w:r>
      <w:r w:rsidR="0045439E">
        <w:t xml:space="preserve"> and Other Considerations</w:t>
      </w:r>
    </w:p>
    <w:p w:rsidR="005B0390" w:rsidRPr="00035FE6" w:rsidP="004834A0">
      <w:pPr>
        <w:tabs>
          <w:tab w:val="left" w:pos="1440"/>
        </w:tabs>
        <w:ind w:firstLine="720"/>
        <w:rPr>
          <w:strike/>
        </w:rPr>
      </w:pPr>
      <w:r w:rsidRPr="00035FE6">
        <w:t xml:space="preserve">Where, as here, the standard rules of contract interpretation </w:t>
      </w:r>
      <w:r w:rsidRPr="00035FE6" w:rsidR="004E351C">
        <w:t xml:space="preserve">do not </w:t>
      </w:r>
      <w:r w:rsidRPr="00035FE6">
        <w:t xml:space="preserve">resolve an ambiguity in </w:t>
      </w:r>
      <w:r w:rsidRPr="00035FE6" w:rsidR="004E351C">
        <w:t xml:space="preserve">the operative language of </w:t>
      </w:r>
      <w:r w:rsidRPr="00035FE6">
        <w:t xml:space="preserve">an insurance policy, </w:t>
      </w:r>
      <w:r w:rsidRPr="00035FE6" w:rsidR="004834A0">
        <w:t>“we interpret</w:t>
      </w:r>
      <w:r w:rsidR="00130689">
        <w:t xml:space="preserve"> [that language] </w:t>
      </w:r>
      <w:r w:rsidRPr="00035FE6" w:rsidR="004834A0">
        <w:t xml:space="preserve">to protect ‘ “the objectively reasonable expectations of the insured.” ’ ”  </w:t>
      </w:r>
      <w:r w:rsidRPr="00035FE6" w:rsidR="00A25CFC">
        <w:t>(</w:t>
      </w:r>
      <w:r w:rsidRPr="00035FE6" w:rsidR="00A25CFC">
        <w:rPr>
          <w:i/>
          <w:iCs/>
        </w:rPr>
        <w:t>Boghos v. Certain Underwriters at Lloyd’s of London</w:t>
      </w:r>
      <w:r w:rsidRPr="00874BF1" w:rsidR="00A25CFC">
        <w:t xml:space="preserve">, </w:t>
      </w:r>
      <w:r w:rsidRPr="00035FE6" w:rsidR="00A25CFC">
        <w:rPr>
          <w:i/>
          <w:iCs/>
        </w:rPr>
        <w:t>supra</w:t>
      </w:r>
      <w:r w:rsidRPr="00874BF1" w:rsidR="00A25CFC">
        <w:t>, 36 C</w:t>
      </w:r>
      <w:r w:rsidRPr="00035FE6" w:rsidR="00A25CFC">
        <w:t>al.4th at p. 501.)</w:t>
      </w:r>
      <w:r w:rsidRPr="00035FE6" w:rsidR="004834A0">
        <w:t xml:space="preserve">  </w:t>
      </w:r>
      <w:r w:rsidR="00C15A86">
        <w:t>As noted above, “[o]</w:t>
      </w:r>
      <w:r w:rsidRPr="00035FE6" w:rsidR="004834A0">
        <w:t>nly if these rules do not resolve a claimed ambiguity do we resort to the rule that ambiguities are to be resolved against the insurer.</w:t>
      </w:r>
      <w:r w:rsidRPr="00035FE6" w:rsidR="00A25CFC">
        <w:t>”</w:t>
      </w:r>
      <w:r w:rsidRPr="00035FE6" w:rsidR="004834A0">
        <w:t xml:space="preserve">  </w:t>
      </w:r>
      <w:r w:rsidRPr="00035FE6" w:rsidR="00A25CFC">
        <w:t>(</w:t>
      </w:r>
      <w:r w:rsidRPr="00035FE6" w:rsidR="00A25CFC">
        <w:rPr>
          <w:i/>
          <w:iCs/>
        </w:rPr>
        <w:t>Ibid</w:t>
      </w:r>
      <w:r w:rsidRPr="00035FE6" w:rsidR="00A25CFC">
        <w:t xml:space="preserve">.; see </w:t>
      </w:r>
      <w:r w:rsidRPr="00035FE6" w:rsidR="00862761">
        <w:rPr>
          <w:i/>
          <w:iCs/>
        </w:rPr>
        <w:t>Minkler v. Safeco Ins. Co.</w:t>
      </w:r>
      <w:r w:rsidRPr="00960FBD" w:rsidR="00862761">
        <w:t xml:space="preserve">, </w:t>
      </w:r>
      <w:r w:rsidRPr="00035FE6" w:rsidR="00862761">
        <w:rPr>
          <w:i/>
          <w:iCs/>
        </w:rPr>
        <w:t>supra</w:t>
      </w:r>
      <w:r w:rsidRPr="00874BF1" w:rsidR="00862761">
        <w:t>, 4</w:t>
      </w:r>
      <w:r w:rsidRPr="00035FE6" w:rsidR="00862761">
        <w:t xml:space="preserve">9 Cal.4th at p. 321; </w:t>
      </w:r>
      <w:r w:rsidRPr="00035FE6" w:rsidR="002C5EBC">
        <w:rPr>
          <w:i/>
          <w:iCs/>
        </w:rPr>
        <w:t>State of California v. Allstate Ins. Co.</w:t>
      </w:r>
      <w:r w:rsidRPr="00035FE6" w:rsidR="002C5EBC">
        <w:t xml:space="preserve"> (2009) 45 Cal.4th 1008, 1018.)</w:t>
      </w:r>
    </w:p>
    <w:p w:rsidR="0020255A" w:rsidRPr="00035FE6" w:rsidP="005B0390">
      <w:pPr>
        <w:tabs>
          <w:tab w:val="left" w:pos="1440"/>
        </w:tabs>
        <w:ind w:firstLine="720"/>
      </w:pPr>
      <w:r w:rsidRPr="00035FE6">
        <w:t>Therefore, “a court that is faced with an argument for coverage based on assertedly ambiguous policy language must first attempt to determine whether coverage is consistent with the insured’s objectively reasonable expectations.”  (</w:t>
      </w:r>
      <w:r w:rsidRPr="00035FE6">
        <w:rPr>
          <w:i/>
          <w:iCs/>
        </w:rPr>
        <w:t>Bank of the West v. Superior Court</w:t>
      </w:r>
      <w:r w:rsidRPr="00874BF1">
        <w:t xml:space="preserve">, </w:t>
      </w:r>
      <w:r w:rsidRPr="00035FE6" w:rsidR="00243388">
        <w:rPr>
          <w:i/>
          <w:iCs/>
        </w:rPr>
        <w:t>supra</w:t>
      </w:r>
      <w:r w:rsidRPr="00874BF1" w:rsidR="00243388">
        <w:t>, 2 Cal</w:t>
      </w:r>
      <w:r w:rsidRPr="00035FE6" w:rsidR="00243388">
        <w:t xml:space="preserve">.4th </w:t>
      </w:r>
      <w:r w:rsidRPr="00035FE6">
        <w:t>at p. 1265.)</w:t>
      </w:r>
      <w:r w:rsidRPr="00035FE6" w:rsidR="005B0390">
        <w:t xml:space="preserve">  Here, however, the question w</w:t>
      </w:r>
      <w:r w:rsidRPr="00035FE6">
        <w:t xml:space="preserve">hether it was objectively reasonable for Yahoo! to expect coverage of its TCPA liability cannot be resolved without further litigation focusing on the scope of the Statute Endorsement, the scope of the advertising injury exclusion, the specific factual circumstances of the alleged TCPA violations (i.e., whether they amount to a right-of-seclusion violation under California law), and perhaps other unresolved issues </w:t>
      </w:r>
      <w:r w:rsidR="00096CC6">
        <w:t>not presented to this court</w:t>
      </w:r>
      <w:r w:rsidRPr="00035FE6">
        <w:t xml:space="preserve">.  In this context, it also merits noting that merely removing an exclusion for TCPA liability is not, by itself, enough to establish </w:t>
      </w:r>
      <w:r w:rsidRPr="00035FE6">
        <w:rPr>
          <w:i/>
          <w:iCs/>
        </w:rPr>
        <w:t>coverage</w:t>
      </w:r>
      <w:r w:rsidRPr="00035FE6">
        <w:t xml:space="preserve"> of such liability.  (See </w:t>
      </w:r>
      <w:r w:rsidRPr="00035FE6">
        <w:rPr>
          <w:i/>
          <w:iCs/>
        </w:rPr>
        <w:t>Waller v. Truck Ins. Exchange</w:t>
      </w:r>
      <w:r w:rsidRPr="00874BF1">
        <w:t xml:space="preserve">, </w:t>
      </w:r>
      <w:r w:rsidRPr="00035FE6">
        <w:rPr>
          <w:i/>
          <w:iCs/>
        </w:rPr>
        <w:t>supra</w:t>
      </w:r>
      <w:r w:rsidRPr="00874BF1">
        <w:t>, 11 C</w:t>
      </w:r>
      <w:r w:rsidRPr="00035FE6">
        <w:t>al.4th at p. 16.)</w:t>
      </w:r>
    </w:p>
    <w:p w:rsidR="00B81910" w:rsidRPr="00035FE6" w:rsidP="0020255A">
      <w:pPr>
        <w:tabs>
          <w:tab w:val="left" w:pos="1440"/>
        </w:tabs>
        <w:ind w:firstLine="720"/>
      </w:pPr>
      <w:r w:rsidRPr="00035FE6">
        <w:t>As regards</w:t>
      </w:r>
      <w:r w:rsidRPr="00035FE6" w:rsidR="00C06F8D">
        <w:t xml:space="preserve"> the </w:t>
      </w:r>
      <w:r w:rsidR="00096CC6">
        <w:t xml:space="preserve">next and final </w:t>
      </w:r>
      <w:r w:rsidRPr="00035FE6" w:rsidR="00C06F8D">
        <w:t>step —</w:t>
      </w:r>
      <w:r w:rsidR="00035FE6">
        <w:t xml:space="preserve"> </w:t>
      </w:r>
      <w:r w:rsidRPr="00035FE6" w:rsidR="00450222">
        <w:t>the rule that we interpret unresolvable ambiguit</w:t>
      </w:r>
      <w:r w:rsidR="00B72358">
        <w:t>ies</w:t>
      </w:r>
      <w:r w:rsidRPr="00035FE6" w:rsidR="00450222">
        <w:t xml:space="preserve"> in favor of the insured</w:t>
      </w:r>
      <w:r w:rsidRPr="00035FE6" w:rsidR="00C06F8D">
        <w:t> —</w:t>
      </w:r>
      <w:r w:rsidRPr="00035FE6" w:rsidR="0020255A">
        <w:t xml:space="preserve"> the application of that rule</w:t>
      </w:r>
      <w:r w:rsidRPr="00035FE6" w:rsidR="0064207C">
        <w:t xml:space="preserve"> </w:t>
      </w:r>
      <w:r w:rsidRPr="00035FE6" w:rsidR="00450222">
        <w:t xml:space="preserve">must take into consideration the </w:t>
      </w:r>
      <w:r w:rsidRPr="00035FE6" w:rsidR="004E351C">
        <w:t xml:space="preserve">specific </w:t>
      </w:r>
      <w:r w:rsidRPr="00035FE6" w:rsidR="00450222">
        <w:t xml:space="preserve">circumstances in which the policy was drafted.  The rule </w:t>
      </w:r>
      <w:r w:rsidRPr="00035FE6">
        <w:t xml:space="preserve">derives from the principle of </w:t>
      </w:r>
      <w:r w:rsidRPr="00035FE6">
        <w:rPr>
          <w:i/>
          <w:iCs/>
        </w:rPr>
        <w:t>contra proferentem</w:t>
      </w:r>
      <w:r w:rsidRPr="00035FE6">
        <w:t xml:space="preserve"> (“against the drafter”), and it is justified on the grounds that the drafter of a contract should bear the responsibility for ambiguities </w:t>
      </w:r>
      <w:r w:rsidRPr="00035FE6" w:rsidR="004E351C">
        <w:t>t</w:t>
      </w:r>
      <w:r w:rsidRPr="00035FE6">
        <w:t xml:space="preserve">he </w:t>
      </w:r>
      <w:r w:rsidRPr="00035FE6" w:rsidR="004E351C">
        <w:t xml:space="preserve">drafter </w:t>
      </w:r>
      <w:r w:rsidRPr="00035FE6">
        <w:t xml:space="preserve">could have resolved.  (See Abraham, </w:t>
      </w:r>
      <w:r w:rsidRPr="00035FE6">
        <w:rPr>
          <w:i/>
          <w:iCs/>
        </w:rPr>
        <w:t>A Theory of Insurance Policy Interpretation</w:t>
      </w:r>
      <w:r w:rsidRPr="00035FE6">
        <w:t xml:space="preserve"> (1996) 95 Mich. L.Rev. 531, 533.)</w:t>
      </w:r>
      <w:r w:rsidRPr="00035FE6" w:rsidR="00450222">
        <w:t xml:space="preserve">  </w:t>
      </w:r>
      <w:r w:rsidRPr="00035FE6" w:rsidR="003B30DC">
        <w:t xml:space="preserve">Therefore, </w:t>
      </w:r>
      <w:r w:rsidRPr="00035FE6" w:rsidR="00450222">
        <w:t xml:space="preserve">the rule </w:t>
      </w:r>
      <w:r w:rsidRPr="00035FE6" w:rsidR="004E351C">
        <w:t xml:space="preserve">favoring the insured </w:t>
      </w:r>
      <w:r w:rsidRPr="00035FE6" w:rsidR="00450222">
        <w:t xml:space="preserve">does not </w:t>
      </w:r>
      <w:r w:rsidRPr="00035FE6" w:rsidR="003B30DC">
        <w:t xml:space="preserve">necessarily </w:t>
      </w:r>
      <w:r w:rsidRPr="00035FE6" w:rsidR="00450222">
        <w:t xml:space="preserve">apply where the insured is </w:t>
      </w:r>
      <w:r w:rsidRPr="00035FE6" w:rsidR="004E351C">
        <w:t xml:space="preserve">one of the </w:t>
      </w:r>
      <w:r w:rsidRPr="00035FE6" w:rsidR="00FE11A1">
        <w:t xml:space="preserve">contract’s </w:t>
      </w:r>
      <w:r w:rsidRPr="00035FE6" w:rsidR="00450222">
        <w:t>drafter</w:t>
      </w:r>
      <w:r w:rsidRPr="00035FE6" w:rsidR="004E351C">
        <w:t>s</w:t>
      </w:r>
      <w:r w:rsidRPr="00035FE6" w:rsidR="00450222">
        <w:t>.</w:t>
      </w:r>
    </w:p>
    <w:p w:rsidR="00FE11A1" w:rsidRPr="00035FE6" w:rsidP="0017092F">
      <w:pPr>
        <w:tabs>
          <w:tab w:val="left" w:pos="1440"/>
        </w:tabs>
        <w:ind w:firstLine="720"/>
      </w:pPr>
      <w:r w:rsidRPr="00035FE6">
        <w:t>Here, sophisticated parties have bargained over the terms of a manuscript endorsement</w:t>
      </w:r>
      <w:r w:rsidRPr="00035FE6" w:rsidR="00450222">
        <w:t>,</w:t>
      </w:r>
      <w:r w:rsidRPr="00035FE6" w:rsidR="00112FF5">
        <w:t xml:space="preserve"> and the ambiguous </w:t>
      </w:r>
      <w:r w:rsidRPr="00035FE6" w:rsidR="00450222">
        <w:t xml:space="preserve">coverage </w:t>
      </w:r>
      <w:r w:rsidRPr="00035FE6" w:rsidR="00112FF5">
        <w:t>provision appears in that manuscript endorsement</w:t>
      </w:r>
      <w:r w:rsidRPr="00035FE6">
        <w:t>.  In th</w:t>
      </w:r>
      <w:r w:rsidR="009629C0">
        <w:t xml:space="preserve">is </w:t>
      </w:r>
      <w:r w:rsidRPr="00035FE6">
        <w:t xml:space="preserve">situation, it </w:t>
      </w:r>
      <w:r w:rsidRPr="00035FE6" w:rsidR="00450222">
        <w:t xml:space="preserve">is appropriate to </w:t>
      </w:r>
      <w:r w:rsidRPr="00035FE6" w:rsidR="00382418">
        <w:t>ask</w:t>
      </w:r>
      <w:r w:rsidRPr="00035FE6">
        <w:t xml:space="preserve"> whether the insurer </w:t>
      </w:r>
      <w:r w:rsidRPr="00035FE6" w:rsidR="00112FF5">
        <w:t>can be considered t</w:t>
      </w:r>
      <w:r w:rsidRPr="00035FE6">
        <w:t xml:space="preserve">he </w:t>
      </w:r>
      <w:r w:rsidRPr="00035FE6">
        <w:t xml:space="preserve">sole </w:t>
      </w:r>
      <w:r w:rsidRPr="00035FE6">
        <w:t>drafter</w:t>
      </w:r>
      <w:r w:rsidRPr="00035FE6" w:rsidR="00112FF5">
        <w:t xml:space="preserve"> </w:t>
      </w:r>
      <w:r w:rsidRPr="00035FE6" w:rsidR="00382418">
        <w:t xml:space="preserve">of the provision </w:t>
      </w:r>
      <w:r w:rsidRPr="00035FE6" w:rsidR="00112FF5">
        <w:t xml:space="preserve">and therefore whether </w:t>
      </w:r>
      <w:r w:rsidRPr="00035FE6" w:rsidR="00382418">
        <w:t xml:space="preserve">the insurer </w:t>
      </w:r>
      <w:r w:rsidRPr="00035FE6" w:rsidR="00112FF5">
        <w:t xml:space="preserve">is solely responsible for the ambiguity </w:t>
      </w:r>
      <w:r w:rsidR="009629C0">
        <w:t xml:space="preserve">in </w:t>
      </w:r>
      <w:r w:rsidRPr="00035FE6" w:rsidR="00112FF5">
        <w:t>th</w:t>
      </w:r>
      <w:r w:rsidRPr="00035FE6">
        <w:t>at</w:t>
      </w:r>
      <w:r w:rsidRPr="00035FE6" w:rsidR="00112FF5">
        <w:t xml:space="preserve"> provision</w:t>
      </w:r>
      <w:r w:rsidRPr="00035FE6">
        <w:t xml:space="preserve">.  </w:t>
      </w:r>
      <w:r w:rsidRPr="00035FE6" w:rsidR="00382418">
        <w:t>But e</w:t>
      </w:r>
      <w:r w:rsidRPr="00035FE6">
        <w:t xml:space="preserve">ven in </w:t>
      </w:r>
      <w:r w:rsidRPr="00035FE6">
        <w:t xml:space="preserve">the case of a manuscript endorsement, </w:t>
      </w:r>
      <w:r w:rsidRPr="00035FE6">
        <w:t xml:space="preserve">ambiguities should be resolved in favor of coverage </w:t>
      </w:r>
      <w:r w:rsidRPr="00035FE6" w:rsidR="00382418">
        <w:t xml:space="preserve">when </w:t>
      </w:r>
      <w:r w:rsidRPr="00035FE6">
        <w:t xml:space="preserve">the </w:t>
      </w:r>
      <w:r w:rsidRPr="00035FE6">
        <w:t xml:space="preserve">specific </w:t>
      </w:r>
      <w:r w:rsidRPr="00035FE6">
        <w:t>ambiguous language is “adopted verbatim from standard form policies used throughout the country</w:t>
      </w:r>
      <w:r w:rsidRPr="00035FE6" w:rsidR="00112FF5">
        <w:t>.</w:t>
      </w:r>
      <w:r w:rsidRPr="00035FE6">
        <w:t>”</w:t>
      </w:r>
      <w:r w:rsidRPr="00035FE6" w:rsidR="00112FF5">
        <w:t xml:space="preserve">  </w:t>
      </w:r>
      <w:r w:rsidRPr="00035FE6">
        <w:t>(</w:t>
      </w:r>
      <w:r w:rsidRPr="00035FE6">
        <w:rPr>
          <w:i/>
          <w:iCs/>
        </w:rPr>
        <w:t>AIU Ins. Co. v. Superior Court</w:t>
      </w:r>
      <w:r w:rsidRPr="00035FE6">
        <w:t xml:space="preserve"> (1990) 51 Cal.3d 807, 823, fn. 9; see </w:t>
      </w:r>
      <w:r w:rsidRPr="00035FE6">
        <w:rPr>
          <w:i/>
          <w:iCs/>
        </w:rPr>
        <w:t>id</w:t>
      </w:r>
      <w:r w:rsidRPr="00035FE6">
        <w:t>. at pp. 823–824.)</w:t>
      </w:r>
      <w:r w:rsidRPr="00035FE6" w:rsidR="00112FF5">
        <w:t xml:space="preserve">  </w:t>
      </w:r>
      <w:r w:rsidRPr="00035FE6" w:rsidR="00382418">
        <w:t xml:space="preserve">In the present case, </w:t>
      </w:r>
      <w:r w:rsidRPr="00035FE6" w:rsidR="00112FF5">
        <w:t>d</w:t>
      </w:r>
      <w:r w:rsidRPr="00035FE6">
        <w:t xml:space="preserve">espite </w:t>
      </w:r>
      <w:r w:rsidRPr="00035FE6" w:rsidR="00421FD7">
        <w:t xml:space="preserve">the </w:t>
      </w:r>
      <w:r w:rsidRPr="00035FE6">
        <w:t>characterization of Endorsement No.</w:t>
      </w:r>
      <w:r w:rsidRPr="00035FE6" w:rsidR="00112FF5">
        <w:t> </w:t>
      </w:r>
      <w:r w:rsidRPr="00035FE6">
        <w:t>1</w:t>
      </w:r>
      <w:r w:rsidRPr="00035FE6" w:rsidR="00421FD7">
        <w:t xml:space="preserve"> as a manuscript endors</w:t>
      </w:r>
      <w:r w:rsidRPr="00035FE6" w:rsidR="00382418">
        <w:t>e</w:t>
      </w:r>
      <w:r w:rsidRPr="00035FE6" w:rsidR="00421FD7">
        <w:t>ment</w:t>
      </w:r>
      <w:r w:rsidR="00096CC6">
        <w:t xml:space="preserve"> — which would normally imply </w:t>
      </w:r>
      <w:r w:rsidRPr="00035FE6" w:rsidR="00382418">
        <w:t xml:space="preserve">that </w:t>
      </w:r>
      <w:r w:rsidRPr="00035FE6" w:rsidR="00112FF5">
        <w:t xml:space="preserve">it </w:t>
      </w:r>
      <w:r w:rsidRPr="00035FE6">
        <w:t>contain</w:t>
      </w:r>
      <w:r w:rsidRPr="00035FE6" w:rsidR="00382418">
        <w:t>s</w:t>
      </w:r>
      <w:r w:rsidRPr="00035FE6">
        <w:t xml:space="preserve"> nonstandard</w:t>
      </w:r>
      <w:r w:rsidRPr="00035FE6">
        <w:t>,</w:t>
      </w:r>
      <w:r w:rsidRPr="00035FE6">
        <w:t xml:space="preserve"> negotiated provisions</w:t>
      </w:r>
      <w:r w:rsidR="00096CC6">
        <w:t xml:space="preserve"> — </w:t>
      </w:r>
      <w:r w:rsidRPr="00035FE6">
        <w:t xml:space="preserve">the </w:t>
      </w:r>
      <w:r w:rsidR="00190D66">
        <w:t xml:space="preserve">disputed </w:t>
      </w:r>
      <w:r w:rsidRPr="00035FE6">
        <w:t xml:space="preserve">coverage </w:t>
      </w:r>
      <w:r w:rsidRPr="00035FE6">
        <w:t>language</w:t>
      </w:r>
      <w:r w:rsidR="00190D66">
        <w:t xml:space="preserve"> </w:t>
      </w:r>
      <w:r w:rsidR="00096CC6">
        <w:t xml:space="preserve">under review </w:t>
      </w:r>
      <w:r w:rsidRPr="00035FE6">
        <w:t xml:space="preserve">is standard form language </w:t>
      </w:r>
      <w:r w:rsidRPr="00035FE6" w:rsidR="00E05D6E">
        <w:t xml:space="preserve">adopted </w:t>
      </w:r>
      <w:r w:rsidRPr="00035FE6">
        <w:t xml:space="preserve">verbatim from insurer-drafted policies.  Under </w:t>
      </w:r>
      <w:r w:rsidRPr="00035FE6" w:rsidR="00382418">
        <w:t xml:space="preserve">such </w:t>
      </w:r>
      <w:r w:rsidRPr="00035FE6">
        <w:t>circumstances, the insured</w:t>
      </w:r>
      <w:r w:rsidRPr="00035FE6" w:rsidR="00421FD7">
        <w:t> — Yahoo! —</w:t>
      </w:r>
      <w:r w:rsidRPr="00035FE6">
        <w:t xml:space="preserve"> cannot be charged with creating the ambiguity</w:t>
      </w:r>
      <w:r w:rsidRPr="00035FE6" w:rsidR="00382418">
        <w:t xml:space="preserve"> that led to the dispute</w:t>
      </w:r>
      <w:r w:rsidRPr="00035FE6" w:rsidR="0050065B">
        <w:t xml:space="preserve">, and therefore it is appropriate for </w:t>
      </w:r>
      <w:r w:rsidR="00A97DDD">
        <w:t xml:space="preserve">courts </w:t>
      </w:r>
      <w:r w:rsidRPr="00035FE6" w:rsidR="0050065B">
        <w:t xml:space="preserve">to interpret </w:t>
      </w:r>
      <w:r w:rsidRPr="00035FE6" w:rsidR="00C06F8D">
        <w:t xml:space="preserve">any unresolvable </w:t>
      </w:r>
      <w:r w:rsidRPr="00035FE6" w:rsidR="0050065B">
        <w:t>ambiguit</w:t>
      </w:r>
      <w:r w:rsidR="00035FE6">
        <w:t>ies</w:t>
      </w:r>
      <w:r w:rsidRPr="00035FE6" w:rsidR="0050065B">
        <w:t xml:space="preserve"> in Yahoo!’s </w:t>
      </w:r>
      <w:r w:rsidR="00A97DDD">
        <w:t>favor</w:t>
      </w:r>
      <w:r w:rsidRPr="00035FE6" w:rsidR="0050065B">
        <w:t xml:space="preserve">.  (See </w:t>
      </w:r>
      <w:r w:rsidRPr="00035FE6" w:rsidR="00862761">
        <w:rPr>
          <w:i/>
          <w:iCs/>
        </w:rPr>
        <w:t>Minkler v. Safeco Ins. Co.</w:t>
      </w:r>
      <w:r w:rsidRPr="00874BF1" w:rsidR="00862761">
        <w:t xml:space="preserve">, </w:t>
      </w:r>
      <w:r w:rsidRPr="00035FE6" w:rsidR="00862761">
        <w:rPr>
          <w:i/>
          <w:iCs/>
        </w:rPr>
        <w:t>supra</w:t>
      </w:r>
      <w:r w:rsidRPr="00874BF1" w:rsidR="00862761">
        <w:t>, 49 C</w:t>
      </w:r>
      <w:r w:rsidRPr="00035FE6" w:rsidR="00862761">
        <w:t xml:space="preserve">al.4th at p. 321; </w:t>
      </w:r>
      <w:r w:rsidRPr="00035FE6" w:rsidR="0050065B">
        <w:rPr>
          <w:i/>
          <w:iCs/>
        </w:rPr>
        <w:t>State of California v. Allstate Ins. Co.</w:t>
      </w:r>
      <w:r w:rsidRPr="00874BF1" w:rsidR="0050065B">
        <w:t xml:space="preserve">, </w:t>
      </w:r>
      <w:r w:rsidRPr="00035FE6" w:rsidR="0050065B">
        <w:rPr>
          <w:i/>
          <w:iCs/>
        </w:rPr>
        <w:t>supra</w:t>
      </w:r>
      <w:r w:rsidRPr="00874BF1" w:rsidR="0050065B">
        <w:t>, 45</w:t>
      </w:r>
      <w:r w:rsidRPr="00035FE6" w:rsidR="0050065B">
        <w:t xml:space="preserve"> Cal.4th at p. 1018.)</w:t>
      </w:r>
    </w:p>
    <w:p w:rsidR="00C06F8D" w:rsidRPr="00035FE6" w:rsidP="0017092F">
      <w:pPr>
        <w:tabs>
          <w:tab w:val="left" w:pos="1440"/>
        </w:tabs>
        <w:ind w:firstLine="720"/>
      </w:pPr>
      <w:r w:rsidRPr="00035FE6">
        <w:t>To summarize</w:t>
      </w:r>
      <w:r w:rsidRPr="00035FE6" w:rsidR="00134552">
        <w:t xml:space="preserve">, </w:t>
      </w:r>
      <w:r w:rsidRPr="00035FE6" w:rsidR="00421FD7">
        <w:t xml:space="preserve">we do not find Yahoo!’s </w:t>
      </w:r>
      <w:r w:rsidRPr="00035FE6" w:rsidR="00E05D6E">
        <w:t xml:space="preserve">broad </w:t>
      </w:r>
      <w:r w:rsidRPr="00035FE6" w:rsidR="00421FD7">
        <w:t xml:space="preserve">reading of the </w:t>
      </w:r>
      <w:r w:rsidRPr="00035FE6" w:rsidR="00E05D6E">
        <w:t xml:space="preserve">coverage provision </w:t>
      </w:r>
      <w:r w:rsidRPr="00035FE6" w:rsidR="00421FD7">
        <w:t>to be conclusive</w:t>
      </w:r>
      <w:r w:rsidRPr="00035FE6" w:rsidR="0050065B">
        <w:t>.  Rather, we</w:t>
      </w:r>
      <w:r w:rsidRPr="00035FE6" w:rsidR="00E05D6E">
        <w:t xml:space="preserve"> agree with Yahoo! that the coverage provision is amb</w:t>
      </w:r>
      <w:r w:rsidRPr="00035FE6" w:rsidR="00421FD7">
        <w:t>i</w:t>
      </w:r>
      <w:r w:rsidRPr="00035FE6" w:rsidR="00E05D6E">
        <w:t xml:space="preserve">guous and that the standard rules of contract interpretation do not resolve the ambiguity.  </w:t>
      </w:r>
      <w:r w:rsidRPr="00035FE6" w:rsidR="00421FD7">
        <w:t>Because the provision</w:t>
      </w:r>
      <w:r w:rsidRPr="00035FE6" w:rsidR="00E05D6E">
        <w:t xml:space="preserve"> </w:t>
      </w:r>
      <w:r w:rsidRPr="00035FE6" w:rsidR="00421FD7">
        <w:t xml:space="preserve">is ambiguous, we </w:t>
      </w:r>
      <w:r w:rsidRPr="00035FE6" w:rsidR="00E05D6E">
        <w:t xml:space="preserve">conclude that it </w:t>
      </w:r>
      <w:r w:rsidRPr="00035FE6" w:rsidR="003D0806">
        <w:t xml:space="preserve">must </w:t>
      </w:r>
      <w:r w:rsidRPr="00035FE6" w:rsidR="00E05D6E">
        <w:t xml:space="preserve">be </w:t>
      </w:r>
      <w:r w:rsidRPr="00035FE6" w:rsidR="00421FD7">
        <w:t>interpret</w:t>
      </w:r>
      <w:r w:rsidRPr="00035FE6" w:rsidR="00E05D6E">
        <w:t>ed</w:t>
      </w:r>
      <w:r w:rsidRPr="00035FE6" w:rsidR="00421FD7">
        <w:t xml:space="preserve"> in </w:t>
      </w:r>
      <w:r w:rsidRPr="00035FE6" w:rsidR="001A6517">
        <w:t xml:space="preserve">a way that fulfills Yahoo!’s </w:t>
      </w:r>
      <w:r w:rsidRPr="00035FE6" w:rsidR="0050065B">
        <w:t xml:space="preserve">objectively </w:t>
      </w:r>
      <w:r w:rsidRPr="00035FE6" w:rsidR="001A6517">
        <w:t>reasonable expectatio</w:t>
      </w:r>
      <w:r w:rsidRPr="000B410B" w:rsidR="001A6517">
        <w:t>ns</w:t>
      </w:r>
      <w:r w:rsidRPr="000B410B" w:rsidR="000B410B">
        <w:t xml:space="preserve">, which must be determined </w:t>
      </w:r>
      <w:r w:rsidR="000B410B">
        <w:t>in</w:t>
      </w:r>
      <w:r w:rsidRPr="000B410B" w:rsidR="000B410B">
        <w:t xml:space="preserve"> further litigation</w:t>
      </w:r>
      <w:r w:rsidRPr="000B410B" w:rsidR="00E05D6E">
        <w:t xml:space="preserve">. </w:t>
      </w:r>
      <w:r w:rsidRPr="00035FE6" w:rsidR="00E05D6E">
        <w:t xml:space="preserve"> </w:t>
      </w:r>
      <w:r w:rsidRPr="00035FE6" w:rsidR="00BA7673">
        <w:t>Finally, i</w:t>
      </w:r>
      <w:r w:rsidRPr="00035FE6">
        <w:t>f the</w:t>
      </w:r>
      <w:r w:rsidR="000B410B">
        <w:t xml:space="preserve"> foregoing procedures </w:t>
      </w:r>
      <w:r w:rsidRPr="00035FE6">
        <w:t xml:space="preserve">do not resolve the ambiguity, then we resort to the rule that ambiguities are to be resolved against the drafter, and </w:t>
      </w:r>
      <w:r w:rsidR="000B410B">
        <w:t xml:space="preserve">here </w:t>
      </w:r>
      <w:r w:rsidRPr="00035FE6">
        <w:t xml:space="preserve">the insurer is </w:t>
      </w:r>
      <w:r w:rsidR="000B410B">
        <w:t xml:space="preserve">considered to be </w:t>
      </w:r>
      <w:r w:rsidRPr="00035FE6">
        <w:t>the drafter of the specific coverage language whose meaning is in dispute.</w:t>
      </w:r>
    </w:p>
    <w:p w:rsidR="005A5DF0" w:rsidRPr="0017092F" w:rsidP="0017092F">
      <w:pPr>
        <w:tabs>
          <w:tab w:val="left" w:pos="1440"/>
        </w:tabs>
        <w:ind w:firstLine="720"/>
      </w:pPr>
      <w:r w:rsidRPr="00035FE6">
        <w:t>The federal district court, however, took a different approach, a point that we now addre</w:t>
      </w:r>
      <w:r w:rsidRPr="0017092F">
        <w:t>ss.</w:t>
      </w:r>
    </w:p>
    <w:p w:rsidR="00094E3D" w:rsidRPr="0017092F" w:rsidP="0017092F">
      <w:pPr>
        <w:pStyle w:val="Heading2"/>
      </w:pPr>
      <w:r w:rsidRPr="0017092F">
        <w:t>B</w:t>
      </w:r>
      <w:r w:rsidRPr="0017092F">
        <w:t xml:space="preserve">. </w:t>
      </w:r>
      <w:r w:rsidRPr="0017092F" w:rsidR="00375AA8">
        <w:t>T</w:t>
      </w:r>
      <w:r w:rsidRPr="0017092F">
        <w:t>he Rule of the Last Antecedent</w:t>
      </w:r>
    </w:p>
    <w:p w:rsidR="009568BF" w:rsidRPr="0017092F" w:rsidP="0017092F">
      <w:pPr>
        <w:tabs>
          <w:tab w:val="left" w:pos="1440"/>
        </w:tabs>
        <w:ind w:firstLine="720"/>
      </w:pPr>
      <w:r w:rsidRPr="0017092F">
        <w:t>As noted</w:t>
      </w:r>
      <w:r w:rsidR="00134552">
        <w:t xml:space="preserve"> above</w:t>
      </w:r>
      <w:r w:rsidRPr="0017092F">
        <w:t xml:space="preserve">, the district court relied on the rule of the </w:t>
      </w:r>
      <w:r w:rsidRPr="0017092F" w:rsidR="004F0A45">
        <w:t>last antecedent</w:t>
      </w:r>
      <w:r w:rsidR="00134552">
        <w:t xml:space="preserve"> in arriving at its conclusion that the policy in question did not cover the claims asserted against Yahoo!.</w:t>
      </w:r>
      <w:r w:rsidRPr="0017092F">
        <w:t xml:space="preserve">  </w:t>
      </w:r>
      <w:r w:rsidRPr="0017092F" w:rsidR="00D74F90">
        <w:t xml:space="preserve">According to </w:t>
      </w:r>
      <w:r w:rsidRPr="0017092F" w:rsidR="007D18D6">
        <w:t xml:space="preserve">the last antecedent </w:t>
      </w:r>
      <w:r w:rsidRPr="0017092F" w:rsidR="00D74F90">
        <w:t xml:space="preserve">rule, “[r]elative and qualifying words and phrases, grammatically and legally, where no contrary intention appears, refer solely to the last antecedent.”  (Sutherland, Statutes and Statutory Construction (1891) § 267, p. 349; see Black’s Law </w:t>
      </w:r>
      <w:r w:rsidRPr="0017092F" w:rsidR="00D957A0">
        <w:t>Dict</w:t>
      </w:r>
      <w:r w:rsidR="00D957A0">
        <w:t>.</w:t>
      </w:r>
      <w:r w:rsidR="003A3E84">
        <w:t xml:space="preserve">, </w:t>
      </w:r>
      <w:r w:rsidRPr="003A3E84" w:rsidR="003A3E84">
        <w:rPr>
          <w:i/>
          <w:iCs/>
        </w:rPr>
        <w:t>supra</w:t>
      </w:r>
      <w:r w:rsidRPr="00874BF1" w:rsidR="003A3E84">
        <w:t xml:space="preserve">, </w:t>
      </w:r>
      <w:r w:rsidRPr="00874BF1" w:rsidR="00D74F90">
        <w:t>pp.</w:t>
      </w:r>
      <w:r w:rsidRPr="0017092F" w:rsidR="00D74F90">
        <w:t xml:space="preserve"> 1532–1533.)  </w:t>
      </w:r>
      <w:r w:rsidRPr="0017092F" w:rsidR="00BD71D6">
        <w:t>T</w:t>
      </w:r>
      <w:r w:rsidRPr="0017092F" w:rsidR="00D74F90">
        <w:t>h</w:t>
      </w:r>
      <w:r w:rsidRPr="0017092F" w:rsidR="00E93B8D">
        <w:t>is</w:t>
      </w:r>
      <w:r w:rsidRPr="0017092F" w:rsidR="00D74F90">
        <w:t xml:space="preserve"> rule of </w:t>
      </w:r>
      <w:r w:rsidRPr="0017092F" w:rsidR="00E93B8D">
        <w:t xml:space="preserve">construction </w:t>
      </w:r>
      <w:r w:rsidRPr="0017092F" w:rsidR="00D74F90">
        <w:t xml:space="preserve">has been </w:t>
      </w:r>
      <w:r w:rsidRPr="0017092F" w:rsidR="007D18D6">
        <w:t xml:space="preserve">repeatedly </w:t>
      </w:r>
      <w:r w:rsidRPr="0017092F" w:rsidR="00D74F90">
        <w:t xml:space="preserve">recognized </w:t>
      </w:r>
      <w:r w:rsidRPr="0017092F" w:rsidR="007D18D6">
        <w:t xml:space="preserve">and applied </w:t>
      </w:r>
      <w:r w:rsidRPr="0017092F" w:rsidR="00D74F90">
        <w:t xml:space="preserve">by the United States Supreme Court (see, e.g., </w:t>
      </w:r>
      <w:r w:rsidRPr="0017092F" w:rsidR="00D74F90">
        <w:rPr>
          <w:i/>
          <w:iCs/>
        </w:rPr>
        <w:t>Lockhart v. United States</w:t>
      </w:r>
      <w:r w:rsidRPr="0017092F" w:rsidR="00D74F90">
        <w:t xml:space="preserve"> (2016) 577 U.S. 347, 351; </w:t>
      </w:r>
      <w:r w:rsidRPr="0017092F" w:rsidR="00D74F90">
        <w:rPr>
          <w:i/>
          <w:iCs/>
        </w:rPr>
        <w:t>Barnhart v. Thomas</w:t>
      </w:r>
      <w:r w:rsidRPr="0017092F" w:rsidR="00D74F90">
        <w:t xml:space="preserve"> (2003) 540 U.S. 20, 26–27; </w:t>
      </w:r>
      <w:r w:rsidRPr="0017092F" w:rsidR="00D74F90">
        <w:rPr>
          <w:i/>
          <w:iCs/>
        </w:rPr>
        <w:t>FTC v. Mandel Brothers, Inc.</w:t>
      </w:r>
      <w:r w:rsidRPr="0017092F" w:rsidR="00D74F90">
        <w:t xml:space="preserve"> (1959) 359 U.S. 385, 389–390), and it was mentioned by the high court as early as 1799 (see </w:t>
      </w:r>
      <w:r w:rsidRPr="0017092F" w:rsidR="00D74F90">
        <w:rPr>
          <w:i/>
          <w:iCs/>
        </w:rPr>
        <w:t>Sims Lessee v. Irvine</w:t>
      </w:r>
      <w:r w:rsidRPr="0017092F" w:rsidR="00D74F90">
        <w:t xml:space="preserve"> (1799) 3 U.S. 425, 444, fn.</w:t>
      </w:r>
      <w:r w:rsidR="00DB4B6C">
        <w:t xml:space="preserve"> *</w:t>
      </w:r>
      <w:r w:rsidRPr="0017092F" w:rsidR="00D74F90">
        <w:t>).</w:t>
      </w:r>
    </w:p>
    <w:p w:rsidR="00B63BA3" w:rsidRPr="0017092F" w:rsidP="0017092F">
      <w:pPr>
        <w:tabs>
          <w:tab w:val="left" w:pos="1440"/>
        </w:tabs>
        <w:ind w:firstLine="720"/>
      </w:pPr>
      <w:r w:rsidRPr="0017092F">
        <w:t xml:space="preserve">In California, </w:t>
      </w:r>
      <w:r w:rsidRPr="0017092F" w:rsidR="008B7054">
        <w:t xml:space="preserve">reliance on </w:t>
      </w:r>
      <w:r w:rsidRPr="0017092F" w:rsidR="007D18D6">
        <w:t>t</w:t>
      </w:r>
      <w:r w:rsidRPr="0017092F">
        <w:t xml:space="preserve">he </w:t>
      </w:r>
      <w:r w:rsidRPr="0017092F" w:rsidR="004F0A45">
        <w:t xml:space="preserve">last antecedent </w:t>
      </w:r>
      <w:r w:rsidRPr="0017092F">
        <w:t xml:space="preserve">rule </w:t>
      </w:r>
      <w:r w:rsidRPr="0017092F" w:rsidR="007D18D6">
        <w:t xml:space="preserve">dates back </w:t>
      </w:r>
      <w:r w:rsidRPr="0017092F">
        <w:t>at least a century.  As formulated by this court, the rule provides that “ ‘ “qualifying words, phrases and clauses are to be applied to the words or phrases immediately preceding [them] and are not to be construed as extending to or including other[] [words or phrases] more remote.” ’ ”  (</w:t>
      </w:r>
      <w:r w:rsidRPr="0017092F">
        <w:rPr>
          <w:i/>
          <w:iCs/>
        </w:rPr>
        <w:t>Renee J. v. Superior Court</w:t>
      </w:r>
      <w:r w:rsidRPr="0017092F">
        <w:t xml:space="preserve"> (2001) 26 Cal.4th 735, 743, quoting </w:t>
      </w:r>
      <w:r w:rsidR="00B7695D">
        <w:rPr>
          <w:i/>
          <w:iCs/>
        </w:rPr>
        <w:t>White v. County of Sacramento</w:t>
      </w:r>
      <w:r w:rsidRPr="0017092F">
        <w:t xml:space="preserve"> (</w:t>
      </w:r>
      <w:r w:rsidRPr="0017092F" w:rsidR="00B7695D">
        <w:t>19</w:t>
      </w:r>
      <w:r w:rsidR="00B7695D">
        <w:t>82</w:t>
      </w:r>
      <w:r w:rsidRPr="0017092F">
        <w:t xml:space="preserve">) </w:t>
      </w:r>
      <w:r w:rsidR="00B7695D">
        <w:t>31 Cal.3d</w:t>
      </w:r>
      <w:r w:rsidRPr="0017092F">
        <w:t xml:space="preserve"> </w:t>
      </w:r>
      <w:r w:rsidR="00B7695D">
        <w:t>676, 680</w:t>
      </w:r>
      <w:r w:rsidRPr="0017092F">
        <w:t>; see</w:t>
      </w:r>
      <w:r w:rsidRPr="0017092F" w:rsidR="00B77B8E">
        <w:t xml:space="preserve"> </w:t>
      </w:r>
      <w:r w:rsidRPr="0017092F">
        <w:rPr>
          <w:i/>
          <w:iCs/>
        </w:rPr>
        <w:t>Los Angeles County v. Graves</w:t>
      </w:r>
      <w:r w:rsidRPr="0017092F">
        <w:t xml:space="preserve"> (1930) 210 Cal. 21, 26–27.)  </w:t>
      </w:r>
      <w:r w:rsidRPr="0017092F" w:rsidR="00026F6F">
        <w:t xml:space="preserve">The last antecedent </w:t>
      </w:r>
      <w:r w:rsidRPr="0017092F" w:rsidR="00B635FF">
        <w:t xml:space="preserve">rule </w:t>
      </w:r>
      <w:r w:rsidRPr="0017092F" w:rsidR="00026F6F">
        <w:t>is often applied where there is a list of terms, and the qualifying words or phrases follow th</w:t>
      </w:r>
      <w:r w:rsidRPr="0017092F" w:rsidR="00B635FF">
        <w:t>e</w:t>
      </w:r>
      <w:r w:rsidRPr="0017092F" w:rsidR="00026F6F">
        <w:t xml:space="preserve"> last item in the list.  </w:t>
      </w:r>
      <w:r w:rsidRPr="0017092F" w:rsidR="002E2B76">
        <w:t>(</w:t>
      </w:r>
      <w:r w:rsidRPr="0017092F" w:rsidR="00B635FF">
        <w:t xml:space="preserve">See </w:t>
      </w:r>
      <w:r w:rsidRPr="0017092F" w:rsidR="00AA5BF3">
        <w:rPr>
          <w:i/>
          <w:iCs/>
        </w:rPr>
        <w:t>People ex rel. Lockyer v. R.J. Reynolds Tobacco Co.</w:t>
      </w:r>
      <w:r w:rsidRPr="0017092F" w:rsidR="00AA5BF3">
        <w:t xml:space="preserve"> (2003) 107 Cal.App.4th 516</w:t>
      </w:r>
      <w:r w:rsidR="00AA5BF3">
        <w:t xml:space="preserve">, </w:t>
      </w:r>
      <w:r w:rsidRPr="0017092F" w:rsidR="002E2B76">
        <w:t xml:space="preserve">530 [“The exemplar application of the last antecedent rule is a case where a modifying phrase appears after a list of multiple items or phrases”].)  </w:t>
      </w:r>
      <w:r w:rsidRPr="0017092F" w:rsidR="00026F6F">
        <w:t xml:space="preserve">But </w:t>
      </w:r>
      <w:r w:rsidRPr="0017092F" w:rsidR="00A77B4F">
        <w:t xml:space="preserve">more generally, </w:t>
      </w:r>
      <w:r w:rsidRPr="0017092F">
        <w:t xml:space="preserve">the </w:t>
      </w:r>
      <w:r w:rsidRPr="0017092F" w:rsidR="007D18D6">
        <w:t xml:space="preserve">last antecedent </w:t>
      </w:r>
      <w:r w:rsidRPr="0017092F">
        <w:t xml:space="preserve">rule </w:t>
      </w:r>
      <w:r w:rsidRPr="0017092F" w:rsidR="00E97DCB">
        <w:t>can be understood to express th</w:t>
      </w:r>
      <w:r w:rsidRPr="0017092F" w:rsidR="00026F6F">
        <w:t xml:space="preserve">e </w:t>
      </w:r>
      <w:r w:rsidRPr="0017092F" w:rsidR="00E97DCB">
        <w:t xml:space="preserve">same </w:t>
      </w:r>
      <w:r w:rsidRPr="0017092F" w:rsidR="00026F6F">
        <w:t xml:space="preserve">rules of </w:t>
      </w:r>
      <w:r w:rsidRPr="0017092F" w:rsidR="00E97DCB">
        <w:t xml:space="preserve">English </w:t>
      </w:r>
      <w:r w:rsidRPr="0017092F" w:rsidR="00026F6F">
        <w:t xml:space="preserve">word order discussed in </w:t>
      </w:r>
      <w:r w:rsidR="001E3BDE">
        <w:t xml:space="preserve">part II.A., </w:t>
      </w:r>
      <w:r w:rsidRPr="001E3BDE" w:rsidR="001E3BDE">
        <w:rPr>
          <w:i/>
          <w:iCs/>
        </w:rPr>
        <w:t>ante</w:t>
      </w:r>
      <w:r w:rsidR="001E3BDE">
        <w:t xml:space="preserve">, </w:t>
      </w:r>
      <w:r w:rsidRPr="0017092F" w:rsidR="00E97DCB">
        <w:t xml:space="preserve">meaning that </w:t>
      </w:r>
      <w:r w:rsidRPr="0017092F" w:rsidR="00A77B4F">
        <w:t>a restrictive relative clause usually modifies the noun immediately preced</w:t>
      </w:r>
      <w:r w:rsidRPr="0017092F" w:rsidR="00B635FF">
        <w:t xml:space="preserve">ing </w:t>
      </w:r>
      <w:r w:rsidRPr="0017092F" w:rsidR="00A77B4F">
        <w:t xml:space="preserve">it.  </w:t>
      </w:r>
      <w:bookmarkStart w:id="15" w:name="_Hlk107418482"/>
      <w:r w:rsidR="00134552">
        <w:t>Employing the last antecedent rule in this manner,</w:t>
      </w:r>
      <w:r w:rsidR="001E3BDE">
        <w:t xml:space="preserve"> </w:t>
      </w:r>
      <w:r w:rsidRPr="0017092F" w:rsidR="00584E44">
        <w:t>California courts have</w:t>
      </w:r>
      <w:r w:rsidRPr="0017092F" w:rsidR="002F4DBE">
        <w:t xml:space="preserve"> </w:t>
      </w:r>
      <w:r w:rsidRPr="0017092F" w:rsidR="00875A2E">
        <w:t xml:space="preserve">held that </w:t>
      </w:r>
      <w:r w:rsidRPr="0017092F" w:rsidR="000D4516">
        <w:t xml:space="preserve">insurance </w:t>
      </w:r>
      <w:r w:rsidRPr="0017092F" w:rsidR="00875A2E">
        <w:t>polic</w:t>
      </w:r>
      <w:r w:rsidRPr="0017092F" w:rsidR="000D4516">
        <w:t xml:space="preserve">ies using </w:t>
      </w:r>
      <w:r w:rsidRPr="0017092F" w:rsidR="00875A2E">
        <w:t xml:space="preserve">language </w:t>
      </w:r>
      <w:r w:rsidRPr="0017092F" w:rsidR="000D4516">
        <w:t xml:space="preserve">similar to </w:t>
      </w:r>
      <w:r w:rsidRPr="0017092F" w:rsidR="00584E44">
        <w:t>the language at issue here</w:t>
      </w:r>
      <w:r w:rsidRPr="0017092F">
        <w:t xml:space="preserve"> cover</w:t>
      </w:r>
      <w:r w:rsidRPr="0017092F" w:rsidR="002F4DBE">
        <w:t xml:space="preserve"> only</w:t>
      </w:r>
      <w:r w:rsidRPr="0017092F">
        <w:t xml:space="preserve"> right</w:t>
      </w:r>
      <w:r w:rsidRPr="0017092F" w:rsidR="002F4DBE">
        <w:t>-</w:t>
      </w:r>
      <w:r w:rsidRPr="0017092F">
        <w:t>of</w:t>
      </w:r>
      <w:r w:rsidRPr="0017092F" w:rsidR="002F4DBE">
        <w:t>-</w:t>
      </w:r>
      <w:r w:rsidRPr="0017092F">
        <w:t>secrecy liability</w:t>
      </w:r>
      <w:r w:rsidRPr="0017092F" w:rsidR="000D4516">
        <w:t>, not right-of-seclusion liability</w:t>
      </w:r>
      <w:r w:rsidRPr="0017092F">
        <w:t>.</w:t>
      </w:r>
      <w:bookmarkEnd w:id="15"/>
    </w:p>
    <w:p w:rsidR="00D966AD" w:rsidRPr="0017092F" w:rsidP="0017092F">
      <w:pPr>
        <w:tabs>
          <w:tab w:val="left" w:pos="1440"/>
        </w:tabs>
        <w:ind w:firstLine="720"/>
      </w:pPr>
      <w:r w:rsidRPr="0017092F">
        <w:t xml:space="preserve">In </w:t>
      </w:r>
      <w:r w:rsidRPr="0017092F">
        <w:rPr>
          <w:i/>
          <w:iCs/>
        </w:rPr>
        <w:t>ACS Systems</w:t>
      </w:r>
      <w:r w:rsidRPr="00AA5BF3" w:rsidR="00F03179">
        <w:t xml:space="preserve">, </w:t>
      </w:r>
      <w:r w:rsidR="00F03179">
        <w:rPr>
          <w:i/>
          <w:iCs/>
        </w:rPr>
        <w:t>supra</w:t>
      </w:r>
      <w:r w:rsidRPr="00AA5BF3" w:rsidR="00F03179">
        <w:t>,</w:t>
      </w:r>
      <w:r w:rsidRPr="00AA5BF3">
        <w:t xml:space="preserve"> 14</w:t>
      </w:r>
      <w:r w:rsidRPr="0017092F">
        <w:t xml:space="preserve">7 Cal.App.4th 137, </w:t>
      </w:r>
      <w:r w:rsidRPr="0017092F" w:rsidR="00050002">
        <w:t xml:space="preserve">for example, </w:t>
      </w:r>
      <w:r w:rsidRPr="0017092F">
        <w:t xml:space="preserve">the court applied the </w:t>
      </w:r>
      <w:r w:rsidRPr="0017092F" w:rsidR="00B63BA3">
        <w:t xml:space="preserve">last antecedent </w:t>
      </w:r>
      <w:r w:rsidRPr="0017092F">
        <w:t xml:space="preserve">rule to </w:t>
      </w:r>
      <w:r w:rsidRPr="0017092F" w:rsidR="007251F1">
        <w:t xml:space="preserve">a group of </w:t>
      </w:r>
      <w:r w:rsidRPr="0017092F" w:rsidR="00A77B4F">
        <w:t xml:space="preserve">insurance </w:t>
      </w:r>
      <w:r w:rsidRPr="0017092F">
        <w:t xml:space="preserve">policies that covered liability for </w:t>
      </w:r>
      <w:bookmarkStart w:id="16" w:name="_Hlk51232500"/>
      <w:r w:rsidRPr="0017092F">
        <w:t>“</w:t>
      </w:r>
      <w:r w:rsidR="00F03179">
        <w:t> ‘</w:t>
      </w:r>
      <w:r w:rsidRPr="0017092F">
        <w:t xml:space="preserve">[m]aking known to any person or organization written or spoken material </w:t>
      </w:r>
      <w:bookmarkStart w:id="17" w:name="_Hlk51232092"/>
      <w:r w:rsidRPr="0017092F">
        <w:t>that violates an individual’s right of privacy</w:t>
      </w:r>
      <w:bookmarkEnd w:id="17"/>
      <w:r w:rsidRPr="0017092F">
        <w:t>.</w:t>
      </w:r>
      <w:r w:rsidR="00F03179">
        <w:t>’ </w:t>
      </w:r>
      <w:r w:rsidRPr="0017092F">
        <w:t>”</w:t>
      </w:r>
      <w:bookmarkEnd w:id="16"/>
      <w:r w:rsidRPr="0017092F">
        <w:t xml:space="preserve">  (</w:t>
      </w:r>
      <w:r w:rsidRPr="0017092F">
        <w:rPr>
          <w:i/>
          <w:iCs/>
        </w:rPr>
        <w:t>Id</w:t>
      </w:r>
      <w:r w:rsidRPr="0017092F">
        <w:t xml:space="preserve">. at p. 143.)  The </w:t>
      </w:r>
      <w:r w:rsidRPr="0017092F">
        <w:rPr>
          <w:i/>
          <w:iCs/>
        </w:rPr>
        <w:t>ACS Systems</w:t>
      </w:r>
      <w:r w:rsidRPr="0017092F">
        <w:t xml:space="preserve"> court read the clause “</w:t>
      </w:r>
      <w:r w:rsidR="00F03179">
        <w:t> ‘</w:t>
      </w:r>
      <w:r w:rsidRPr="0017092F">
        <w:t>that violates an individual’s right of privacy</w:t>
      </w:r>
      <w:r w:rsidR="00F03179">
        <w:t>’ </w:t>
      </w:r>
      <w:r w:rsidRPr="0017092F">
        <w:t>” as modifying only the word “</w:t>
      </w:r>
      <w:r w:rsidR="00F03179">
        <w:t> ‘</w:t>
      </w:r>
      <w:r w:rsidRPr="0017092F">
        <w:t>material,</w:t>
      </w:r>
      <w:r w:rsidR="00F03179">
        <w:t>’ </w:t>
      </w:r>
      <w:r w:rsidRPr="0017092F">
        <w:t>” not as modifying the phrase “</w:t>
      </w:r>
      <w:r w:rsidR="00F03179">
        <w:t> ‘</w:t>
      </w:r>
      <w:r w:rsidRPr="0017092F">
        <w:t>[m]aking known.</w:t>
      </w:r>
      <w:r w:rsidR="00F03179">
        <w:t>’ </w:t>
      </w:r>
      <w:r w:rsidRPr="0017092F">
        <w:t>”  (</w:t>
      </w:r>
      <w:r w:rsidRPr="0017092F">
        <w:rPr>
          <w:i/>
          <w:iCs/>
        </w:rPr>
        <w:t>Id</w:t>
      </w:r>
      <w:r w:rsidRPr="0017092F">
        <w:t xml:space="preserve">. at p. 150.)  </w:t>
      </w:r>
      <w:r w:rsidRPr="0017092F" w:rsidR="00B635FF">
        <w:t>Hence, t</w:t>
      </w:r>
      <w:r w:rsidRPr="0017092F">
        <w:t>he court</w:t>
      </w:r>
      <w:r w:rsidRPr="0017092F" w:rsidR="00B635FF">
        <w:t xml:space="preserve"> </w:t>
      </w:r>
      <w:r w:rsidRPr="0017092F">
        <w:t xml:space="preserve">concluded that </w:t>
      </w:r>
      <w:bookmarkStart w:id="18" w:name="_Hlk51232777"/>
      <w:r w:rsidRPr="0017092F">
        <w:t>for there to be liability coverage, the content of the material, not the manner of making it known, had to violate someone’s privacy</w:t>
      </w:r>
      <w:r w:rsidRPr="0017092F" w:rsidR="002F4DBE">
        <w:t xml:space="preserve">, meaning that the policy provided liability coverage </w:t>
      </w:r>
      <w:r w:rsidRPr="0017092F" w:rsidR="00CB0162">
        <w:t xml:space="preserve">only </w:t>
      </w:r>
      <w:r w:rsidRPr="0017092F" w:rsidR="002F4DBE">
        <w:t xml:space="preserve">for </w:t>
      </w:r>
      <w:bookmarkStart w:id="19" w:name="_Hlk52461842"/>
      <w:r w:rsidRPr="0017092F">
        <w:t>disclosures that violated the right of secrecy</w:t>
      </w:r>
      <w:bookmarkEnd w:id="18"/>
      <w:r w:rsidRPr="0017092F">
        <w:t>.  (</w:t>
      </w:r>
      <w:r w:rsidRPr="0017092F">
        <w:rPr>
          <w:i/>
          <w:iCs/>
        </w:rPr>
        <w:t>Id</w:t>
      </w:r>
      <w:r w:rsidRPr="0017092F">
        <w:t>. at pp. 150, 152</w:t>
      </w:r>
      <w:r w:rsidRPr="0017092F" w:rsidR="00A77B4F">
        <w:t xml:space="preserve">.)  A few years later, </w:t>
      </w:r>
      <w:r w:rsidRPr="0017092F" w:rsidR="00354691">
        <w:rPr>
          <w:i/>
          <w:iCs/>
        </w:rPr>
        <w:t>State Farm General Ins. Co. v. JT’s Frames, Inc.</w:t>
      </w:r>
      <w:r w:rsidRPr="0017092F" w:rsidR="00354691">
        <w:t xml:space="preserve"> (2010) 181 Cal.App.4th 429</w:t>
      </w:r>
      <w:r w:rsidRPr="0017092F" w:rsidR="00A77B4F">
        <w:t xml:space="preserve"> (</w:t>
      </w:r>
      <w:r w:rsidRPr="0017092F" w:rsidR="00A77B4F">
        <w:rPr>
          <w:i/>
          <w:iCs/>
        </w:rPr>
        <w:t>JT’s Frames</w:t>
      </w:r>
      <w:r w:rsidRPr="0017092F" w:rsidR="00A77B4F">
        <w:t xml:space="preserve">) reached </w:t>
      </w:r>
      <w:r w:rsidRPr="0017092F" w:rsidR="00354691">
        <w:t>the same conclusion</w:t>
      </w:r>
      <w:r w:rsidRPr="0017092F" w:rsidR="00A77B4F">
        <w:t xml:space="preserve"> </w:t>
      </w:r>
      <w:r w:rsidRPr="0017092F" w:rsidR="00354691">
        <w:t>in a case in which</w:t>
      </w:r>
      <w:r w:rsidRPr="0017092F" w:rsidR="00A77B4F">
        <w:t xml:space="preserve"> the relevant insurance policies, like </w:t>
      </w:r>
      <w:r w:rsidRPr="0017092F" w:rsidR="00B635FF">
        <w:t>the policy at issue here</w:t>
      </w:r>
      <w:r w:rsidRPr="0017092F" w:rsidR="00A77B4F">
        <w:t xml:space="preserve">, </w:t>
      </w:r>
      <w:r w:rsidRPr="0017092F" w:rsidR="00354691">
        <w:t>used the phrase “</w:t>
      </w:r>
      <w:r w:rsidR="00F03179">
        <w:t> ‘</w:t>
      </w:r>
      <w:r w:rsidRPr="0017092F" w:rsidR="00354691">
        <w:t>publication of,</w:t>
      </w:r>
      <w:r w:rsidR="00F03179">
        <w:t>’ </w:t>
      </w:r>
      <w:r w:rsidRPr="0017092F" w:rsidR="00354691">
        <w:t>” not the phrase “</w:t>
      </w:r>
      <w:r w:rsidR="00F03179">
        <w:t> ‘</w:t>
      </w:r>
      <w:r w:rsidRPr="0017092F" w:rsidR="00354691">
        <w:t>making known</w:t>
      </w:r>
      <w:r w:rsidRPr="0017092F" w:rsidR="00A77B4F">
        <w:t>.</w:t>
      </w:r>
      <w:r w:rsidR="00F03179">
        <w:t>’ </w:t>
      </w:r>
      <w:r w:rsidRPr="0017092F" w:rsidR="00354691">
        <w:t>”</w:t>
      </w:r>
      <w:r w:rsidRPr="0017092F" w:rsidR="00A77B4F">
        <w:t xml:space="preserve">  </w:t>
      </w:r>
      <w:r w:rsidRPr="0017092F" w:rsidR="00CD13EE">
        <w:t>(</w:t>
      </w:r>
      <w:r w:rsidRPr="0017092F" w:rsidR="00A77B4F">
        <w:rPr>
          <w:i/>
          <w:iCs/>
        </w:rPr>
        <w:t>Id</w:t>
      </w:r>
      <w:r w:rsidRPr="0017092F" w:rsidR="00A77B4F">
        <w:t xml:space="preserve">. at p. </w:t>
      </w:r>
      <w:bookmarkEnd w:id="19"/>
      <w:r w:rsidRPr="0017092F" w:rsidR="00A77B4F">
        <w:t>447.)</w:t>
      </w:r>
      <w:r>
        <w:rPr>
          <w:rStyle w:val="FootnoteReference"/>
        </w:rPr>
        <w:footnoteReference w:id="12"/>
      </w:r>
    </w:p>
    <w:p w:rsidR="00E722AB" w:rsidRPr="0017092F" w:rsidP="0017092F">
      <w:pPr>
        <w:tabs>
          <w:tab w:val="left" w:pos="1440"/>
        </w:tabs>
        <w:ind w:firstLine="720"/>
      </w:pPr>
      <w:r w:rsidRPr="0017092F">
        <w:t xml:space="preserve">Not surprisingly, </w:t>
      </w:r>
      <w:r w:rsidRPr="0017092F" w:rsidR="00050002">
        <w:t>National Union</w:t>
      </w:r>
      <w:r w:rsidRPr="0017092F">
        <w:t xml:space="preserve"> relies on </w:t>
      </w:r>
      <w:r w:rsidRPr="0017092F" w:rsidR="00C06011">
        <w:rPr>
          <w:i/>
          <w:iCs/>
        </w:rPr>
        <w:t>ACS Systems</w:t>
      </w:r>
      <w:r w:rsidRPr="0017092F" w:rsidR="00DF6DAF">
        <w:t xml:space="preserve"> and </w:t>
      </w:r>
      <w:r w:rsidRPr="0017092F" w:rsidR="00DF6DAF">
        <w:rPr>
          <w:i/>
          <w:iCs/>
        </w:rPr>
        <w:t>JT</w:t>
      </w:r>
      <w:r w:rsidRPr="0017092F" w:rsidR="00CD13EE">
        <w:rPr>
          <w:i/>
          <w:iCs/>
        </w:rPr>
        <w:t>’s</w:t>
      </w:r>
      <w:r w:rsidRPr="0017092F" w:rsidR="00DF6DAF">
        <w:rPr>
          <w:i/>
          <w:iCs/>
        </w:rPr>
        <w:t xml:space="preserve"> </w:t>
      </w:r>
      <w:r w:rsidRPr="0017092F" w:rsidR="00CD13EE">
        <w:rPr>
          <w:i/>
          <w:iCs/>
        </w:rPr>
        <w:t>F</w:t>
      </w:r>
      <w:r w:rsidRPr="0017092F" w:rsidR="00DF6DAF">
        <w:rPr>
          <w:i/>
          <w:iCs/>
        </w:rPr>
        <w:t>rames</w:t>
      </w:r>
      <w:r w:rsidRPr="0017092F">
        <w:t>, but Y</w:t>
      </w:r>
      <w:r w:rsidRPr="0017092F" w:rsidR="00727179">
        <w:t>ahoo</w:t>
      </w:r>
      <w:r w:rsidRPr="0017092F" w:rsidR="003E0F6E">
        <w:t>!</w:t>
      </w:r>
      <w:r w:rsidRPr="0017092F" w:rsidR="00727179">
        <w:t xml:space="preserve"> </w:t>
      </w:r>
      <w:r w:rsidRPr="0017092F" w:rsidR="00A5607A">
        <w:t xml:space="preserve">directs our attention to </w:t>
      </w:r>
      <w:r w:rsidRPr="0017092F" w:rsidR="00727179">
        <w:t xml:space="preserve">decisions from </w:t>
      </w:r>
      <w:r w:rsidRPr="0017092F" w:rsidR="00B5549A">
        <w:t xml:space="preserve">other </w:t>
      </w:r>
      <w:r w:rsidRPr="0017092F" w:rsidR="000838A4">
        <w:t xml:space="preserve">jurisdictions </w:t>
      </w:r>
      <w:r w:rsidRPr="0017092F" w:rsidR="00727179">
        <w:t xml:space="preserve">that </w:t>
      </w:r>
      <w:r w:rsidRPr="0017092F" w:rsidR="006E7B55">
        <w:t xml:space="preserve">have </w:t>
      </w:r>
      <w:r w:rsidRPr="0017092F" w:rsidR="00727179">
        <w:t>reject</w:t>
      </w:r>
      <w:r w:rsidRPr="0017092F" w:rsidR="006E7B55">
        <w:t>ed</w:t>
      </w:r>
      <w:r w:rsidRPr="0017092F" w:rsidR="00727179">
        <w:t xml:space="preserve"> the rule </w:t>
      </w:r>
      <w:r w:rsidRPr="0017092F" w:rsidR="00A77B4F">
        <w:t xml:space="preserve">of the last antecedent </w:t>
      </w:r>
      <w:r w:rsidRPr="0017092F" w:rsidR="00727179">
        <w:t>in th</w:t>
      </w:r>
      <w:r w:rsidRPr="0017092F" w:rsidR="00B635FF">
        <w:t xml:space="preserve">e present </w:t>
      </w:r>
      <w:r w:rsidRPr="0017092F" w:rsidR="00727179">
        <w:t xml:space="preserve">context.  </w:t>
      </w:r>
      <w:r w:rsidRPr="0017092F" w:rsidR="00393228">
        <w:t>Yahoo</w:t>
      </w:r>
      <w:r w:rsidRPr="0017092F" w:rsidR="003E0F6E">
        <w:t>!</w:t>
      </w:r>
      <w:r w:rsidRPr="0017092F" w:rsidR="00393228">
        <w:t xml:space="preserve"> relies, f</w:t>
      </w:r>
      <w:r w:rsidRPr="0017092F" w:rsidR="00727179">
        <w:t>or example,</w:t>
      </w:r>
      <w:r w:rsidRPr="0017092F" w:rsidR="00393228">
        <w:t xml:space="preserve"> </w:t>
      </w:r>
      <w:r w:rsidRPr="0017092F" w:rsidR="002E1C1E">
        <w:t xml:space="preserve">on </w:t>
      </w:r>
      <w:r w:rsidRPr="0017092F" w:rsidR="002E1C1E">
        <w:rPr>
          <w:i/>
          <w:iCs/>
        </w:rPr>
        <w:t>Penzer v. Transp. Ins. Co.</w:t>
      </w:r>
      <w:r w:rsidRPr="0017092F" w:rsidR="002E1C1E">
        <w:t xml:space="preserve"> (Fla. 2010) 29 So.3d 1000.  In </w:t>
      </w:r>
      <w:r w:rsidRPr="0017092F" w:rsidR="002E1C1E">
        <w:rPr>
          <w:i/>
          <w:iCs/>
        </w:rPr>
        <w:t>Penzer</w:t>
      </w:r>
      <w:r w:rsidRPr="0017092F" w:rsidR="002E1C1E">
        <w:t xml:space="preserve">, the Florida Supreme Court </w:t>
      </w:r>
      <w:r w:rsidRPr="0017092F" w:rsidR="00274D21">
        <w:t xml:space="preserve">downplayed </w:t>
      </w:r>
      <w:r w:rsidRPr="0017092F" w:rsidR="002E1C1E">
        <w:t xml:space="preserve">the </w:t>
      </w:r>
      <w:r w:rsidRPr="0017092F" w:rsidR="00A77B4F">
        <w:t xml:space="preserve">significance of the </w:t>
      </w:r>
      <w:r w:rsidRPr="0017092F" w:rsidR="002E1C1E">
        <w:t>rule of the last antecedent</w:t>
      </w:r>
      <w:r w:rsidRPr="0017092F" w:rsidR="00274D21">
        <w:t>, noting that it</w:t>
      </w:r>
      <w:r w:rsidRPr="0017092F" w:rsidR="002E1C1E">
        <w:t xml:space="preserve"> is “not an absolute rule.”  (</w:t>
      </w:r>
      <w:r w:rsidRPr="0017092F" w:rsidR="002E1C1E">
        <w:rPr>
          <w:i/>
          <w:iCs/>
        </w:rPr>
        <w:t>Id</w:t>
      </w:r>
      <w:r w:rsidRPr="0017092F" w:rsidR="002E1C1E">
        <w:t>. at p. 1007.)  Interpreting policy language nearly identical to the language at issue here,</w:t>
      </w:r>
      <w:r>
        <w:rPr>
          <w:rStyle w:val="FootnoteReference"/>
        </w:rPr>
        <w:footnoteReference w:id="13"/>
      </w:r>
      <w:r w:rsidRPr="0017092F" w:rsidR="002E1C1E">
        <w:t xml:space="preserve"> the </w:t>
      </w:r>
      <w:r w:rsidRPr="0017092F" w:rsidR="00CB0162">
        <w:rPr>
          <w:i/>
          <w:iCs/>
        </w:rPr>
        <w:t>Penzer</w:t>
      </w:r>
      <w:r w:rsidRPr="0017092F" w:rsidR="00CB0162">
        <w:t xml:space="preserve"> </w:t>
      </w:r>
      <w:r w:rsidRPr="0017092F" w:rsidR="002E1C1E">
        <w:t xml:space="preserve">court concluded that the restrictive clause </w:t>
      </w:r>
      <w:bookmarkStart w:id="21" w:name="_Hlk51233833"/>
      <w:r w:rsidRPr="0017092F" w:rsidR="002E1C1E">
        <w:t>“that violates a person’s right of privacy”</w:t>
      </w:r>
      <w:bookmarkEnd w:id="21"/>
      <w:r w:rsidRPr="0017092F" w:rsidR="002E1C1E">
        <w:t xml:space="preserve"> modifie</w:t>
      </w:r>
      <w:r w:rsidRPr="0017092F" w:rsidR="009F4CA0">
        <w:t>s</w:t>
      </w:r>
      <w:r w:rsidRPr="0017092F" w:rsidR="002E1C1E">
        <w:t xml:space="preserve"> </w:t>
      </w:r>
      <w:r w:rsidRPr="0017092F" w:rsidR="002E1C1E">
        <w:rPr>
          <w:i/>
          <w:iCs/>
        </w:rPr>
        <w:t>both</w:t>
      </w:r>
      <w:r w:rsidRPr="0017092F" w:rsidR="002E1C1E">
        <w:t xml:space="preserve"> the word “publication” and the word “material.”  </w:t>
      </w:r>
      <w:r w:rsidRPr="0017092F" w:rsidR="00C906CA">
        <w:t>T</w:t>
      </w:r>
      <w:r w:rsidRPr="0017092F" w:rsidR="002E1C1E">
        <w:t xml:space="preserve">he court </w:t>
      </w:r>
      <w:r w:rsidRPr="0017092F" w:rsidR="00C906CA">
        <w:t xml:space="preserve">therefore </w:t>
      </w:r>
      <w:r w:rsidRPr="0017092F" w:rsidR="002E1C1E">
        <w:t xml:space="preserve">held that the policy </w:t>
      </w:r>
      <w:r w:rsidRPr="0017092F" w:rsidR="007251F1">
        <w:t xml:space="preserve">at issue in that case </w:t>
      </w:r>
      <w:r w:rsidRPr="0017092F" w:rsidR="002E1C1E">
        <w:t xml:space="preserve">provided liability coverage when the manner of publication, not just the content of the </w:t>
      </w:r>
      <w:r w:rsidRPr="0017092F" w:rsidR="002E487F">
        <w:t xml:space="preserve">published </w:t>
      </w:r>
      <w:r w:rsidRPr="0017092F" w:rsidR="002E1C1E">
        <w:t>material, violated someone’s privacy</w:t>
      </w:r>
      <w:r w:rsidRPr="0017092F" w:rsidR="00CB0162">
        <w:t>.</w:t>
      </w:r>
      <w:r w:rsidRPr="0017092F" w:rsidR="002E1C1E">
        <w:t xml:space="preserve"> </w:t>
      </w:r>
      <w:r w:rsidRPr="0017092F" w:rsidR="00CB0162">
        <w:t xml:space="preserve"> </w:t>
      </w:r>
      <w:r w:rsidRPr="0017092F" w:rsidR="002E1C1E">
        <w:t>(</w:t>
      </w:r>
      <w:r w:rsidRPr="0017092F" w:rsidR="00CB0162">
        <w:rPr>
          <w:i/>
          <w:iCs/>
        </w:rPr>
        <w:t>I</w:t>
      </w:r>
      <w:r w:rsidRPr="0017092F" w:rsidR="002E1C1E">
        <w:rPr>
          <w:i/>
          <w:iCs/>
        </w:rPr>
        <w:t>bid</w:t>
      </w:r>
      <w:r w:rsidRPr="0017092F" w:rsidR="002E1C1E">
        <w:t>.)</w:t>
      </w:r>
    </w:p>
    <w:p w:rsidR="00B941E9" w:rsidRPr="0017092F" w:rsidP="002E08CC">
      <w:pPr>
        <w:tabs>
          <w:tab w:val="left" w:pos="1440"/>
        </w:tabs>
        <w:ind w:firstLine="720"/>
      </w:pPr>
      <w:r w:rsidRPr="0017092F">
        <w:t xml:space="preserve">In our view, the rule of the last antecedent, as articulated in </w:t>
      </w:r>
      <w:r w:rsidRPr="0017092F" w:rsidR="002E487F">
        <w:t xml:space="preserve">our </w:t>
      </w:r>
      <w:r w:rsidRPr="0017092F">
        <w:t>case law,</w:t>
      </w:r>
      <w:r w:rsidRPr="0017092F" w:rsidR="00D831F7">
        <w:t xml:space="preserve"> does </w:t>
      </w:r>
      <w:r w:rsidR="00134552">
        <w:t xml:space="preserve">not </w:t>
      </w:r>
      <w:r w:rsidRPr="0017092F" w:rsidR="00D831F7">
        <w:t xml:space="preserve">resolve the ambiguity </w:t>
      </w:r>
      <w:r w:rsidR="00134552">
        <w:t xml:space="preserve">in the policy language at issue </w:t>
      </w:r>
      <w:r w:rsidRPr="0017092F" w:rsidR="00D831F7">
        <w:t xml:space="preserve">here.  </w:t>
      </w:r>
      <w:r w:rsidRPr="00990712" w:rsidR="00990712">
        <w:t>The rule of the last antecedent states that “</w:t>
      </w:r>
      <w:r w:rsidR="00990712">
        <w:t> </w:t>
      </w:r>
      <w:r w:rsidRPr="00990712" w:rsidR="00990712">
        <w:t>‘</w:t>
      </w:r>
      <w:r w:rsidR="00990712">
        <w:t> </w:t>
      </w:r>
      <w:r w:rsidRPr="00990712" w:rsidR="00990712">
        <w:t xml:space="preserve">“qualifying words, phrases and clauses are to be applied to the words </w:t>
      </w:r>
      <w:r w:rsidRPr="002E08CC" w:rsidR="00990712">
        <w:rPr>
          <w:i/>
          <w:iCs/>
        </w:rPr>
        <w:t>or phrases</w:t>
      </w:r>
      <w:r w:rsidRPr="00990712" w:rsidR="00990712">
        <w:t xml:space="preserve"> immediately preceding [them]</w:t>
      </w:r>
      <w:r w:rsidR="00990712">
        <w:t> </w:t>
      </w:r>
      <w:r w:rsidRPr="00990712" w:rsidR="00990712">
        <w:t>.</w:t>
      </w:r>
      <w:r w:rsidR="00990712">
        <w:t> </w:t>
      </w:r>
      <w:r w:rsidRPr="00990712" w:rsidR="00990712">
        <w:t>.</w:t>
      </w:r>
      <w:r w:rsidR="00990712">
        <w:t> </w:t>
      </w:r>
      <w:r w:rsidRPr="00990712" w:rsidR="00990712">
        <w:t>.</w:t>
      </w:r>
      <w:r w:rsidR="00990712">
        <w:t> </w:t>
      </w:r>
      <w:r w:rsidRPr="00990712" w:rsidR="00990712">
        <w:t>.”</w:t>
      </w:r>
      <w:r w:rsidR="00990712">
        <w:t> </w:t>
      </w:r>
      <w:r w:rsidRPr="00990712" w:rsidR="00990712">
        <w:t>’</w:t>
      </w:r>
      <w:r w:rsidR="00990712">
        <w:t> </w:t>
      </w:r>
      <w:r w:rsidRPr="00990712" w:rsidR="00990712">
        <w:t>”  (</w:t>
      </w:r>
      <w:r w:rsidRPr="0024351F" w:rsidR="00990712">
        <w:rPr>
          <w:i/>
          <w:iCs/>
        </w:rPr>
        <w:t>Renee J. v. Superior Court</w:t>
      </w:r>
      <w:r w:rsidRPr="0024351F" w:rsidR="00990712">
        <w:t xml:space="preserve">, </w:t>
      </w:r>
      <w:r w:rsidRPr="0024351F" w:rsidR="00990712">
        <w:rPr>
          <w:i/>
          <w:iCs/>
        </w:rPr>
        <w:t>supra</w:t>
      </w:r>
      <w:r w:rsidRPr="00990712" w:rsidR="00990712">
        <w:t>, 26 Cal.4th at p. 743</w:t>
      </w:r>
      <w:r w:rsidR="002E08CC">
        <w:t>, italics added</w:t>
      </w:r>
      <w:r w:rsidRPr="00990712" w:rsidR="00990712">
        <w:t xml:space="preserve">.)  </w:t>
      </w:r>
      <w:r w:rsidR="0024351F">
        <w:t>As</w:t>
      </w:r>
      <w:r w:rsidR="00134552">
        <w:t xml:space="preserve"> noted above, </w:t>
      </w:r>
      <w:r w:rsidR="0024351F">
        <w:t xml:space="preserve">the rule </w:t>
      </w:r>
      <w:r w:rsidRPr="0017092F" w:rsidR="00FD2AC7">
        <w:t xml:space="preserve">is most </w:t>
      </w:r>
      <w:r w:rsidRPr="0017092F" w:rsidR="00C9193D">
        <w:t xml:space="preserve">readily </w:t>
      </w:r>
      <w:r w:rsidRPr="0017092F" w:rsidR="00FD2AC7">
        <w:t>appli</w:t>
      </w:r>
      <w:r w:rsidRPr="0017092F" w:rsidR="007173B3">
        <w:t>ed</w:t>
      </w:r>
      <w:r w:rsidRPr="0017092F" w:rsidR="000838A4">
        <w:t xml:space="preserve"> </w:t>
      </w:r>
      <w:r w:rsidRPr="0017092F" w:rsidR="00FD2AC7">
        <w:t xml:space="preserve">where there is a list of </w:t>
      </w:r>
      <w:r w:rsidRPr="0017092F" w:rsidR="007251F1">
        <w:t xml:space="preserve">several </w:t>
      </w:r>
      <w:r w:rsidRPr="0017092F" w:rsidR="00FD2AC7">
        <w:t xml:space="preserve">items, and the modifier comes immediately after the last item </w:t>
      </w:r>
      <w:r w:rsidRPr="0017092F" w:rsidR="000838A4">
        <w:t>o</w:t>
      </w:r>
      <w:r w:rsidRPr="0017092F" w:rsidR="00FD2AC7">
        <w:t xml:space="preserve">n the list.  </w:t>
      </w:r>
      <w:r w:rsidRPr="0017092F" w:rsidR="00EB23B4">
        <w:t xml:space="preserve">(See </w:t>
      </w:r>
      <w:r w:rsidRPr="0017092F" w:rsidR="00C9193D">
        <w:rPr>
          <w:i/>
          <w:iCs/>
        </w:rPr>
        <w:t>People ex rel. Lockyer v. R.J. Reynolds Tobacco Co.</w:t>
      </w:r>
      <w:r w:rsidRPr="0017092F" w:rsidR="00C9193D">
        <w:t xml:space="preserve">, </w:t>
      </w:r>
      <w:r w:rsidRPr="0017092F" w:rsidR="00C9193D">
        <w:rPr>
          <w:i/>
          <w:iCs/>
        </w:rPr>
        <w:t>supra</w:t>
      </w:r>
      <w:r w:rsidRPr="0017092F" w:rsidR="00C9193D">
        <w:t xml:space="preserve">, 107 Cal.App.4th at p. 530; see also </w:t>
      </w:r>
      <w:r w:rsidRPr="0017092F" w:rsidR="00EB23B4">
        <w:t xml:space="preserve">Sutherland, Statutes and Statutory Construction, </w:t>
      </w:r>
      <w:r w:rsidRPr="0017092F" w:rsidR="00EB23B4">
        <w:rPr>
          <w:i/>
          <w:iCs/>
        </w:rPr>
        <w:t>supra</w:t>
      </w:r>
      <w:r w:rsidRPr="0017092F" w:rsidR="00EB23B4">
        <w:t xml:space="preserve">, § 267, pp. 349–351.)  </w:t>
      </w:r>
      <w:r w:rsidRPr="0017092F" w:rsidR="003706BE">
        <w:t>H</w:t>
      </w:r>
      <w:r w:rsidRPr="0017092F" w:rsidR="00FD2AC7">
        <w:t>ere</w:t>
      </w:r>
      <w:r w:rsidRPr="0017092F" w:rsidR="003706BE">
        <w:t>,</w:t>
      </w:r>
      <w:r w:rsidRPr="0017092F" w:rsidR="00FD2AC7">
        <w:t xml:space="preserve"> </w:t>
      </w:r>
      <w:r w:rsidRPr="0017092F" w:rsidR="003706BE">
        <w:t xml:space="preserve">however, there </w:t>
      </w:r>
      <w:r w:rsidRPr="0017092F" w:rsidR="00FD2AC7">
        <w:t>is no list of items</w:t>
      </w:r>
      <w:r w:rsidRPr="0017092F" w:rsidR="003706BE">
        <w:t xml:space="preserve"> followed immediately by a modifier; instead, </w:t>
      </w:r>
      <w:r w:rsidRPr="0017092F" w:rsidR="00EB23B4">
        <w:t>there is the phrase “[o]ral or written publication, in any manner, of material”</w:t>
      </w:r>
      <w:r w:rsidRPr="0017092F" w:rsidR="003706BE">
        <w:t xml:space="preserve"> followed immediately by a modifier.  </w:t>
      </w:r>
      <w:r w:rsidRPr="0017092F" w:rsidR="004C034D">
        <w:t>In applying the rule of the last antecedent, i</w:t>
      </w:r>
      <w:r w:rsidRPr="0017092F" w:rsidR="007D7029">
        <w:t>f</w:t>
      </w:r>
      <w:r w:rsidRPr="0017092F">
        <w:t xml:space="preserve"> </w:t>
      </w:r>
      <w:r w:rsidRPr="0017092F" w:rsidR="002F2250">
        <w:t>we identify th</w:t>
      </w:r>
      <w:r w:rsidRPr="0017092F" w:rsidR="007D7029">
        <w:t xml:space="preserve">e </w:t>
      </w:r>
      <w:r w:rsidRPr="0017092F" w:rsidR="003706BE">
        <w:t>p</w:t>
      </w:r>
      <w:r w:rsidRPr="0017092F" w:rsidR="007D7029">
        <w:t xml:space="preserve">ossible antecedents </w:t>
      </w:r>
      <w:r w:rsidRPr="0017092F" w:rsidR="003706BE">
        <w:t xml:space="preserve">as either (1) </w:t>
      </w:r>
      <w:r w:rsidRPr="0017092F" w:rsidR="007D7029">
        <w:t>the word “publication</w:t>
      </w:r>
      <w:r w:rsidR="0098614F">
        <w:t>,</w:t>
      </w:r>
      <w:r w:rsidRPr="0017092F" w:rsidR="007D7029">
        <w:t xml:space="preserve">” </w:t>
      </w:r>
      <w:r w:rsidRPr="0017092F" w:rsidR="003706BE">
        <w:t xml:space="preserve">or (2) </w:t>
      </w:r>
      <w:r w:rsidRPr="0017092F" w:rsidR="007D7029">
        <w:t xml:space="preserve">the word “material,” then the word “material” </w:t>
      </w:r>
      <w:r w:rsidRPr="0017092F" w:rsidR="004C034D">
        <w:t xml:space="preserve">would be </w:t>
      </w:r>
      <w:r w:rsidRPr="0017092F" w:rsidR="007D7029">
        <w:t xml:space="preserve">the </w:t>
      </w:r>
      <w:r w:rsidRPr="0017092F" w:rsidR="007F7F3C">
        <w:t>last antecedent</w:t>
      </w:r>
      <w:r w:rsidRPr="0017092F" w:rsidR="004C034D">
        <w:t>.  B</w:t>
      </w:r>
      <w:r w:rsidRPr="0017092F" w:rsidR="007D7029">
        <w:t>ut if</w:t>
      </w:r>
      <w:r w:rsidRPr="0017092F" w:rsidR="004C034D">
        <w:t>,</w:t>
      </w:r>
      <w:r w:rsidRPr="0017092F" w:rsidR="007D7029">
        <w:t xml:space="preserve"> instead</w:t>
      </w:r>
      <w:r w:rsidRPr="0017092F" w:rsidR="004C034D">
        <w:t>,</w:t>
      </w:r>
      <w:r w:rsidRPr="0017092F" w:rsidR="007D7029">
        <w:t xml:space="preserve"> </w:t>
      </w:r>
      <w:r w:rsidRPr="0017092F" w:rsidR="002F2250">
        <w:t xml:space="preserve">we identify </w:t>
      </w:r>
      <w:r w:rsidRPr="0017092F" w:rsidR="007D7029">
        <w:t xml:space="preserve">the possible antecedents </w:t>
      </w:r>
      <w:r w:rsidRPr="0017092F" w:rsidR="003706BE">
        <w:t xml:space="preserve">as either (1) </w:t>
      </w:r>
      <w:r w:rsidRPr="0017092F" w:rsidR="007D7029">
        <w:t xml:space="preserve">the </w:t>
      </w:r>
      <w:r w:rsidRPr="0017092F" w:rsidR="007D7029">
        <w:rPr>
          <w:i/>
          <w:iCs/>
        </w:rPr>
        <w:t>entire phrase</w:t>
      </w:r>
      <w:r w:rsidRPr="0017092F" w:rsidR="002F2250">
        <w:t xml:space="preserve"> “[o]ral or written publication, in any manner, of material</w:t>
      </w:r>
      <w:r w:rsidR="00E435E3">
        <w:t>,</w:t>
      </w:r>
      <w:r w:rsidRPr="0017092F" w:rsidR="002F2250">
        <w:t xml:space="preserve">” </w:t>
      </w:r>
      <w:r w:rsidRPr="0017092F" w:rsidR="007D7029">
        <w:t xml:space="preserve">or </w:t>
      </w:r>
      <w:r w:rsidRPr="0017092F" w:rsidR="003706BE">
        <w:t xml:space="preserve">(2) </w:t>
      </w:r>
      <w:r w:rsidRPr="0017092F">
        <w:t xml:space="preserve">merely </w:t>
      </w:r>
      <w:r w:rsidRPr="0017092F" w:rsidR="007D7029">
        <w:t xml:space="preserve">the </w:t>
      </w:r>
      <w:r w:rsidRPr="0017092F" w:rsidR="007D7029">
        <w:rPr>
          <w:i/>
          <w:iCs/>
        </w:rPr>
        <w:t>final word</w:t>
      </w:r>
      <w:r w:rsidRPr="0017092F" w:rsidR="007D7029">
        <w:t xml:space="preserve"> of that phrase, </w:t>
      </w:r>
      <w:r w:rsidR="0024351F">
        <w:t xml:space="preserve">“material,” </w:t>
      </w:r>
      <w:r w:rsidRPr="0017092F" w:rsidR="007D7029">
        <w:t>then both po</w:t>
      </w:r>
      <w:r w:rsidR="00805FCA">
        <w:t xml:space="preserve">tential </w:t>
      </w:r>
      <w:r w:rsidRPr="0017092F" w:rsidR="007D7029">
        <w:t xml:space="preserve">antecedents </w:t>
      </w:r>
      <w:r w:rsidR="00E435E3">
        <w:t xml:space="preserve">would </w:t>
      </w:r>
      <w:r w:rsidR="00805FCA">
        <w:t xml:space="preserve">qualify as </w:t>
      </w:r>
      <w:r w:rsidRPr="0017092F" w:rsidR="007D7029">
        <w:t>the last</w:t>
      </w:r>
      <w:r w:rsidRPr="0017092F" w:rsidR="00FC4453">
        <w:t xml:space="preserve"> antecedent</w:t>
      </w:r>
      <w:r w:rsidRPr="0017092F">
        <w:t>,</w:t>
      </w:r>
      <w:r w:rsidRPr="0017092F" w:rsidR="007D7029">
        <w:t xml:space="preserve"> </w:t>
      </w:r>
      <w:r w:rsidR="00805FCA">
        <w:t xml:space="preserve">as each would </w:t>
      </w:r>
      <w:r w:rsidRPr="0017092F" w:rsidR="007D7029">
        <w:t>immediately precede the modifying restrictive clause.</w:t>
      </w:r>
      <w:r w:rsidR="0013358B">
        <w:t xml:space="preserve">  </w:t>
      </w:r>
      <w:r w:rsidR="00255994">
        <w:t>Accordingly</w:t>
      </w:r>
      <w:r w:rsidRPr="0017092F">
        <w:t>, t</w:t>
      </w:r>
      <w:r w:rsidRPr="0017092F" w:rsidR="00A43EB9">
        <w:t xml:space="preserve">he rule does not </w:t>
      </w:r>
      <w:r w:rsidR="00F94871">
        <w:t>resolve</w:t>
      </w:r>
      <w:r w:rsidR="00805FCA">
        <w:t>,</w:t>
      </w:r>
      <w:r w:rsidRPr="0017092F" w:rsidR="00A43EB9">
        <w:t xml:space="preserve"> </w:t>
      </w:r>
      <w:r w:rsidRPr="0017092F">
        <w:t>in th</w:t>
      </w:r>
      <w:r w:rsidRPr="0017092F" w:rsidR="002E487F">
        <w:t xml:space="preserve">e present </w:t>
      </w:r>
      <w:r w:rsidRPr="0017092F">
        <w:t>case</w:t>
      </w:r>
      <w:r w:rsidR="00805FCA">
        <w:t>,</w:t>
      </w:r>
      <w:r w:rsidR="0098614F">
        <w:t xml:space="preserve"> </w:t>
      </w:r>
      <w:r w:rsidRPr="0017092F" w:rsidR="00A43EB9">
        <w:t>whether th</w:t>
      </w:r>
      <w:r w:rsidRPr="0017092F" w:rsidR="0009616A">
        <w:t>e</w:t>
      </w:r>
      <w:r w:rsidRPr="0017092F" w:rsidR="00A43EB9">
        <w:t xml:space="preserve"> </w:t>
      </w:r>
      <w:r w:rsidRPr="0017092F">
        <w:t xml:space="preserve">relative clause “that violates a person’s right of privacy” </w:t>
      </w:r>
      <w:r w:rsidRPr="0017092F" w:rsidR="0009616A">
        <w:t xml:space="preserve">modifies just the </w:t>
      </w:r>
      <w:r w:rsidRPr="0098614F" w:rsidR="0009616A">
        <w:rPr>
          <w:i/>
          <w:iCs/>
        </w:rPr>
        <w:t>word</w:t>
      </w:r>
      <w:r w:rsidRPr="0017092F" w:rsidR="0009616A">
        <w:t xml:space="preserve"> that immediately precedes it </w:t>
      </w:r>
      <w:r w:rsidRPr="0017092F">
        <w:t>(</w:t>
      </w:r>
      <w:r w:rsidRPr="0017092F" w:rsidR="002E487F">
        <w:t xml:space="preserve">i.e., the word </w:t>
      </w:r>
      <w:r w:rsidRPr="0017092F">
        <w:t xml:space="preserve">“material”) </w:t>
      </w:r>
      <w:r w:rsidRPr="0017092F" w:rsidR="0009616A">
        <w:t xml:space="preserve">or whether </w:t>
      </w:r>
      <w:r w:rsidRPr="0017092F">
        <w:t>th</w:t>
      </w:r>
      <w:r w:rsidRPr="0017092F" w:rsidR="007730F6">
        <w:t>e</w:t>
      </w:r>
      <w:r w:rsidRPr="0017092F">
        <w:t xml:space="preserve"> clause </w:t>
      </w:r>
      <w:r w:rsidRPr="0017092F" w:rsidR="0009616A">
        <w:t xml:space="preserve">modifies the </w:t>
      </w:r>
      <w:r w:rsidRPr="0098614F" w:rsidR="0009616A">
        <w:rPr>
          <w:i/>
          <w:iCs/>
        </w:rPr>
        <w:t>entire phrase</w:t>
      </w:r>
      <w:r w:rsidRPr="0017092F" w:rsidR="0009616A">
        <w:t xml:space="preserve"> that immediately precedes it</w:t>
      </w:r>
      <w:r w:rsidRPr="0017092F">
        <w:t xml:space="preserve"> (</w:t>
      </w:r>
      <w:r w:rsidRPr="0017092F" w:rsidR="002E487F">
        <w:t xml:space="preserve">i.e., the phrase </w:t>
      </w:r>
      <w:r w:rsidRPr="0017092F">
        <w:t>“[o]ral or written publication, in any manner, of material”)</w:t>
      </w:r>
      <w:r w:rsidRPr="0017092F" w:rsidR="0009616A">
        <w:t>.</w:t>
      </w:r>
      <w:r w:rsidRPr="0017092F" w:rsidR="007730F6">
        <w:t xml:space="preserve">  T</w:t>
      </w:r>
      <w:r w:rsidRPr="0017092F" w:rsidR="00A43EB9">
        <w:t xml:space="preserve">herefore, </w:t>
      </w:r>
      <w:r w:rsidR="00E81553">
        <w:t xml:space="preserve">we </w:t>
      </w:r>
      <w:r w:rsidR="0013358B">
        <w:t xml:space="preserve">reach a different conclusion from the courts in </w:t>
      </w:r>
      <w:r w:rsidRPr="0017092F" w:rsidR="0009616A">
        <w:rPr>
          <w:i/>
          <w:iCs/>
        </w:rPr>
        <w:t>ACS Systems</w:t>
      </w:r>
      <w:r w:rsidRPr="0017092F" w:rsidR="0009616A">
        <w:t xml:space="preserve">, </w:t>
      </w:r>
      <w:r w:rsidRPr="0017092F" w:rsidR="0009616A">
        <w:rPr>
          <w:i/>
          <w:iCs/>
        </w:rPr>
        <w:t>supra</w:t>
      </w:r>
      <w:r w:rsidRPr="0017092F" w:rsidR="0009616A">
        <w:t xml:space="preserve">, 147 Cal.App.4th 137 and </w:t>
      </w:r>
      <w:r w:rsidRPr="0017092F" w:rsidR="0009616A">
        <w:rPr>
          <w:i/>
          <w:iCs/>
        </w:rPr>
        <w:t>JT’s Frames</w:t>
      </w:r>
      <w:r w:rsidRPr="0017092F" w:rsidR="0009616A">
        <w:t xml:space="preserve">, </w:t>
      </w:r>
      <w:r w:rsidRPr="0017092F" w:rsidR="0009616A">
        <w:rPr>
          <w:i/>
          <w:iCs/>
        </w:rPr>
        <w:t>supra</w:t>
      </w:r>
      <w:r w:rsidRPr="0017092F" w:rsidR="0009616A">
        <w:t xml:space="preserve">, 181 Cal.App.4th 429, </w:t>
      </w:r>
      <w:r w:rsidR="00E81553">
        <w:t xml:space="preserve">and find that </w:t>
      </w:r>
      <w:r w:rsidRPr="0017092F" w:rsidR="00A43EB9">
        <w:t xml:space="preserve">the rule </w:t>
      </w:r>
      <w:r w:rsidRPr="0017092F" w:rsidR="0009616A">
        <w:t xml:space="preserve">of the last antecedent </w:t>
      </w:r>
      <w:r w:rsidRPr="0017092F" w:rsidR="00A43EB9">
        <w:t xml:space="preserve">does not resolve the ambiguity </w:t>
      </w:r>
      <w:r w:rsidRPr="0017092F" w:rsidR="002E487F">
        <w:t xml:space="preserve">that characterizes </w:t>
      </w:r>
      <w:r w:rsidRPr="0017092F" w:rsidR="007730F6">
        <w:t>coverage provision</w:t>
      </w:r>
      <w:r w:rsidRPr="0017092F" w:rsidR="002E487F">
        <w:t>s like the one at issue here</w:t>
      </w:r>
      <w:r w:rsidRPr="0017092F" w:rsidR="00A43EB9">
        <w:t>.</w:t>
      </w:r>
      <w:r>
        <w:rPr>
          <w:rStyle w:val="FootnoteReference"/>
        </w:rPr>
        <w:footnoteReference w:id="14"/>
      </w:r>
    </w:p>
    <w:p w:rsidR="009C7342" w:rsidRPr="0017092F" w:rsidP="0017092F">
      <w:pPr>
        <w:pStyle w:val="Heading2"/>
      </w:pPr>
      <w:r w:rsidRPr="0017092F">
        <w:t>C</w:t>
      </w:r>
      <w:r w:rsidRPr="0017092F" w:rsidR="004650D8">
        <w:t>.  The Advertising Injury Exclusion</w:t>
      </w:r>
    </w:p>
    <w:p w:rsidR="00B724D8" w:rsidRPr="0017092F" w:rsidP="0017092F">
      <w:pPr>
        <w:tabs>
          <w:tab w:val="left" w:pos="1440"/>
        </w:tabs>
        <w:ind w:firstLine="720"/>
      </w:pPr>
      <w:r w:rsidRPr="0017092F">
        <w:t>National Union asks us to apply the advertising injury exclusion</w:t>
      </w:r>
      <w:r w:rsidRPr="0017092F" w:rsidR="0016602B">
        <w:t xml:space="preserve"> of the policy</w:t>
      </w:r>
      <w:r w:rsidRPr="0017092F" w:rsidR="002E487F">
        <w:t xml:space="preserve"> to conclude that the policy </w:t>
      </w:r>
      <w:r w:rsidRPr="0017092F" w:rsidR="00FF4D48">
        <w:t>does not cover Yahoo!’s potential TCPA liability in the underlying lawsuits</w:t>
      </w:r>
      <w:r w:rsidRPr="0017092F">
        <w:t>.</w:t>
      </w:r>
      <w:r w:rsidRPr="0017092F" w:rsidR="00C4079F">
        <w:t xml:space="preserve">  </w:t>
      </w:r>
      <w:r w:rsidRPr="0017092F" w:rsidR="002645F4">
        <w:t xml:space="preserve">In </w:t>
      </w:r>
      <w:r w:rsidR="00190D66">
        <w:t xml:space="preserve">the </w:t>
      </w:r>
      <w:r w:rsidRPr="0017092F" w:rsidR="002645F4">
        <w:t xml:space="preserve">proceedings </w:t>
      </w:r>
      <w:r w:rsidRPr="0017092F" w:rsidR="00FF4D48">
        <w:t>up to this point</w:t>
      </w:r>
      <w:r w:rsidRPr="0017092F" w:rsidR="002645F4">
        <w:t xml:space="preserve">, however, </w:t>
      </w:r>
      <w:r w:rsidRPr="0017092F" w:rsidR="006F4120">
        <w:t xml:space="preserve">National Union </w:t>
      </w:r>
      <w:r w:rsidRPr="0017092F" w:rsidR="00FF4D48">
        <w:t xml:space="preserve">has </w:t>
      </w:r>
      <w:r w:rsidRPr="0017092F" w:rsidR="006F4120">
        <w:t>not litigate</w:t>
      </w:r>
      <w:r w:rsidRPr="0017092F" w:rsidR="00FF4D48">
        <w:t xml:space="preserve">d the </w:t>
      </w:r>
      <w:r w:rsidRPr="0017092F" w:rsidR="006F4120">
        <w:t xml:space="preserve">case based on the </w:t>
      </w:r>
      <w:r w:rsidRPr="0017092F">
        <w:t xml:space="preserve">advertising injury </w:t>
      </w:r>
      <w:r w:rsidRPr="0017092F" w:rsidR="006F4120">
        <w:t>exclusion</w:t>
      </w:r>
      <w:r w:rsidRPr="0017092F" w:rsidR="002645F4">
        <w:t>, and the record before us does not indicate whether the text messages at issue here were advertisements as that term is defined in the policy</w:t>
      </w:r>
      <w:r w:rsidRPr="0017092F" w:rsidR="006F4120">
        <w:t>.</w:t>
      </w:r>
      <w:r w:rsidRPr="0017092F" w:rsidR="00C4079F">
        <w:t xml:space="preserve">  </w:t>
      </w:r>
      <w:r w:rsidRPr="0017092F" w:rsidR="00605793">
        <w:t>Accordingly</w:t>
      </w:r>
      <w:r w:rsidRPr="0017092F">
        <w:t xml:space="preserve">, </w:t>
      </w:r>
      <w:r w:rsidRPr="0017092F" w:rsidR="00FF4D48">
        <w:t>we express no view on the question</w:t>
      </w:r>
      <w:r w:rsidRPr="0017092F">
        <w:t>.</w:t>
      </w:r>
    </w:p>
    <w:p w:rsidR="009C7342" w:rsidRPr="0017092F" w:rsidP="0017092F">
      <w:pPr>
        <w:pStyle w:val="Heading1"/>
      </w:pPr>
      <w:r w:rsidRPr="0017092F">
        <w:t>I</w:t>
      </w:r>
      <w:r w:rsidRPr="0017092F" w:rsidR="00871812">
        <w:t>II</w:t>
      </w:r>
      <w:r w:rsidRPr="0017092F">
        <w:t xml:space="preserve">.  </w:t>
      </w:r>
      <w:r w:rsidRPr="00A74E8B">
        <w:t>C</w:t>
      </w:r>
      <w:r w:rsidR="00576866">
        <w:t>onclusion</w:t>
      </w:r>
    </w:p>
    <w:p w:rsidR="00E761C5" w:rsidRPr="0017092F" w:rsidP="0017092F">
      <w:pPr>
        <w:tabs>
          <w:tab w:val="left" w:pos="1440"/>
        </w:tabs>
        <w:ind w:firstLine="720"/>
      </w:pPr>
      <w:r w:rsidRPr="0017092F">
        <w:t>W</w:t>
      </w:r>
      <w:r w:rsidRPr="0017092F" w:rsidR="000E66A0">
        <w:t xml:space="preserve">e answer the Ninth Circuit’s question as follows:  A CGL insurance policy that provides coverage for “personal injury,” defined, in part, as “injury . . . arising out of . . . [o]ral or written publication, in any manner, of material that violates a person’s right of privacy,” </w:t>
      </w:r>
      <w:r w:rsidR="0098614F">
        <w:t xml:space="preserve">can </w:t>
      </w:r>
      <w:r w:rsidRPr="0017092F" w:rsidR="000E66A0">
        <w:t>cover liability for violations of the right of seclusion</w:t>
      </w:r>
      <w:r w:rsidR="0098614F">
        <w:t xml:space="preserve"> if such coverage is </w:t>
      </w:r>
      <w:r w:rsidRPr="0017092F" w:rsidR="00884340">
        <w:t>consistent with the insured’s objectively reasonable expectations.  S</w:t>
      </w:r>
      <w:r w:rsidRPr="0017092F" w:rsidR="000E66A0">
        <w:t xml:space="preserve">uch a policy </w:t>
      </w:r>
      <w:r w:rsidRPr="0017092F" w:rsidR="00884340">
        <w:t xml:space="preserve">can </w:t>
      </w:r>
      <w:r w:rsidR="0098614F">
        <w:t xml:space="preserve">also </w:t>
      </w:r>
      <w:r w:rsidRPr="0017092F" w:rsidR="000E66A0">
        <w:t>trigger the insurer’s duty to defend the insured against a claim that the insured violated the TCPA by sending unsolicited text messages that did not reveal any private or secret information</w:t>
      </w:r>
      <w:r w:rsidRPr="0017092F" w:rsidR="005822C6">
        <w:t xml:space="preserve">, </w:t>
      </w:r>
      <w:r w:rsidRPr="0017092F" w:rsidR="00C21A6B">
        <w:t xml:space="preserve">provided that the alleged TCPA violation </w:t>
      </w:r>
      <w:r w:rsidRPr="0017092F" w:rsidR="00FF4D48">
        <w:t>amounts to a right-of-seclusion violation under California law</w:t>
      </w:r>
      <w:r w:rsidRPr="0017092F" w:rsidR="000E66A0">
        <w:t xml:space="preserve">.  </w:t>
      </w:r>
      <w:r w:rsidRPr="0017092F" w:rsidR="006F4120">
        <w:t xml:space="preserve">The fact that </w:t>
      </w:r>
      <w:r w:rsidRPr="0017092F" w:rsidR="00AB0EC0">
        <w:t xml:space="preserve">such a </w:t>
      </w:r>
      <w:r w:rsidRPr="0017092F" w:rsidR="006F4120">
        <w:t xml:space="preserve">policy has been modified by an endorsement with regard to advertising injuries may </w:t>
      </w:r>
      <w:r w:rsidRPr="0017092F" w:rsidR="00AB0EC0">
        <w:t xml:space="preserve">affect </w:t>
      </w:r>
      <w:r w:rsidRPr="0017092F" w:rsidR="006F4120">
        <w:t xml:space="preserve">such coverage and such duty to defend, but we have no occasion to decide that </w:t>
      </w:r>
      <w:r w:rsidRPr="0017092F" w:rsidR="00163725">
        <w:t>issue</w:t>
      </w:r>
      <w:r w:rsidRPr="0017092F" w:rsidR="006F4120">
        <w:t xml:space="preserve"> here</w:t>
      </w:r>
      <w:r w:rsidRPr="0017092F" w:rsidR="000E66A0">
        <w:t>.</w:t>
      </w:r>
    </w:p>
    <w:p w:rsidR="00626F22" w:rsidRPr="006E05DF" w:rsidP="00626F22">
      <w:pPr>
        <w:spacing w:before="120" w:after="40"/>
        <w:ind w:left="5040"/>
        <w:rPr>
          <w:b/>
          <w:bCs/>
          <w:color w:val="212121"/>
          <w:szCs w:val="26"/>
        </w:rPr>
      </w:pPr>
      <w:r w:rsidRPr="006E05DF">
        <w:rPr>
          <w:b/>
          <w:bCs/>
          <w:color w:val="212121"/>
          <w:szCs w:val="26"/>
        </w:rPr>
        <w:t>JENKINS, J.</w:t>
      </w:r>
    </w:p>
    <w:p w:rsidR="00626F22" w:rsidP="00626F22">
      <w:pPr>
        <w:tabs>
          <w:tab w:val="left" w:pos="1440"/>
        </w:tabs>
        <w:rPr>
          <w:b/>
          <w:bCs/>
        </w:rPr>
      </w:pPr>
      <w:r w:rsidRPr="00DA7ADF">
        <w:rPr>
          <w:b/>
          <w:bCs/>
        </w:rPr>
        <w:t>We Concur:</w:t>
      </w:r>
    </w:p>
    <w:p w:rsidR="00626F22" w:rsidP="00626F22">
      <w:pPr>
        <w:tabs>
          <w:tab w:val="left" w:pos="1440"/>
        </w:tabs>
        <w:spacing w:after="0" w:line="240" w:lineRule="auto"/>
        <w:rPr>
          <w:b/>
          <w:bCs/>
        </w:rPr>
      </w:pPr>
      <w:r>
        <w:rPr>
          <w:b/>
          <w:bCs/>
        </w:rPr>
        <w:t>CANTIL-SAKAUYE, C.</w:t>
      </w:r>
      <w:r w:rsidR="009142CB">
        <w:rPr>
          <w:b/>
          <w:bCs/>
        </w:rPr>
        <w:t> </w:t>
      </w:r>
      <w:r>
        <w:rPr>
          <w:b/>
          <w:bCs/>
        </w:rPr>
        <w:t>J.</w:t>
      </w:r>
    </w:p>
    <w:p w:rsidR="00626F22" w:rsidP="00626F22">
      <w:pPr>
        <w:tabs>
          <w:tab w:val="left" w:pos="1440"/>
        </w:tabs>
        <w:spacing w:after="0" w:line="240" w:lineRule="auto"/>
        <w:rPr>
          <w:b/>
          <w:bCs/>
        </w:rPr>
      </w:pPr>
      <w:r>
        <w:rPr>
          <w:b/>
          <w:bCs/>
        </w:rPr>
        <w:t>CORRIGAN, J.</w:t>
      </w:r>
    </w:p>
    <w:p w:rsidR="00626F22" w:rsidP="00626F22">
      <w:pPr>
        <w:tabs>
          <w:tab w:val="left" w:pos="1440"/>
        </w:tabs>
        <w:spacing w:after="0" w:line="240" w:lineRule="auto"/>
        <w:rPr>
          <w:b/>
          <w:bCs/>
        </w:rPr>
      </w:pPr>
      <w:r>
        <w:rPr>
          <w:b/>
          <w:bCs/>
        </w:rPr>
        <w:t>LIU, J.</w:t>
      </w:r>
    </w:p>
    <w:p w:rsidR="00626F22" w:rsidP="00626F22">
      <w:pPr>
        <w:tabs>
          <w:tab w:val="left" w:pos="1440"/>
        </w:tabs>
        <w:spacing w:after="0" w:line="240" w:lineRule="auto"/>
        <w:rPr>
          <w:b/>
          <w:bCs/>
        </w:rPr>
      </w:pPr>
      <w:r>
        <w:rPr>
          <w:b/>
          <w:bCs/>
        </w:rPr>
        <w:t>KRUGER, J.</w:t>
      </w:r>
    </w:p>
    <w:p w:rsidR="00626F22" w:rsidP="00626F22">
      <w:pPr>
        <w:tabs>
          <w:tab w:val="left" w:pos="1440"/>
        </w:tabs>
        <w:spacing w:after="0" w:line="240" w:lineRule="auto"/>
        <w:rPr>
          <w:b/>
          <w:bCs/>
        </w:rPr>
      </w:pPr>
      <w:r>
        <w:rPr>
          <w:b/>
          <w:bCs/>
        </w:rPr>
        <w:t>GROBAN, J.</w:t>
      </w:r>
    </w:p>
    <w:p w:rsidR="00720F32" w:rsidP="00626F22">
      <w:pPr>
        <w:tabs>
          <w:tab w:val="left" w:pos="1440"/>
        </w:tabs>
        <w:spacing w:after="0" w:line="240" w:lineRule="auto"/>
        <w:rPr>
          <w:b/>
          <w:bCs/>
        </w:rPr>
        <w:sectPr w:rsidSect="0017092F">
          <w:footerReference w:type="first" r:id="rId11"/>
          <w:pgSz w:w="12240" w:h="15840"/>
          <w:pgMar w:top="1800" w:right="2160" w:bottom="1440" w:left="2160" w:header="720" w:footer="720" w:gutter="0"/>
          <w:pgNumType w:start="1"/>
          <w:cols w:space="720"/>
          <w:titlePg/>
          <w:docGrid w:linePitch="367"/>
        </w:sectPr>
      </w:pPr>
      <w:r>
        <w:rPr>
          <w:b/>
          <w:bCs/>
        </w:rPr>
        <w:t>GUERRERO, J.</w:t>
      </w:r>
    </w:p>
    <w:p w:rsidR="00720F32" w:rsidRPr="00720F32" w:rsidP="00720F32">
      <w:pPr>
        <w:spacing w:after="0" w:line="240" w:lineRule="auto"/>
        <w:jc w:val="left"/>
        <w:rPr>
          <w:i/>
          <w:sz w:val="24"/>
          <w:szCs w:val="24"/>
        </w:rPr>
      </w:pPr>
      <w:r w:rsidRPr="00720F32">
        <w:rPr>
          <w:i/>
          <w:sz w:val="24"/>
          <w:szCs w:val="24"/>
        </w:rPr>
        <w:t>See next page for addresses and telephone numbers for counsel who argued in Supreme Court.</w:t>
      </w:r>
    </w:p>
    <w:p w:rsidR="00720F32" w:rsidRPr="00720F32" w:rsidP="00720F32">
      <w:pPr>
        <w:spacing w:after="0" w:line="240" w:lineRule="auto"/>
        <w:jc w:val="left"/>
        <w:rPr>
          <w:i/>
          <w:sz w:val="24"/>
          <w:szCs w:val="24"/>
        </w:rPr>
      </w:pPr>
    </w:p>
    <w:p w:rsidR="00720F32" w:rsidRPr="00720F32" w:rsidP="00720F32">
      <w:pPr>
        <w:spacing w:after="0" w:line="240" w:lineRule="auto"/>
        <w:jc w:val="left"/>
        <w:rPr>
          <w:bCs/>
          <w:sz w:val="24"/>
          <w:szCs w:val="24"/>
        </w:rPr>
      </w:pPr>
      <w:r w:rsidRPr="00720F32">
        <w:rPr>
          <w:b/>
          <w:sz w:val="24"/>
          <w:szCs w:val="24"/>
        </w:rPr>
        <w:t xml:space="preserve">Name of Opinion </w:t>
      </w:r>
      <w:r w:rsidRPr="00720F32">
        <w:rPr>
          <w:bCs/>
          <w:sz w:val="24"/>
          <w:szCs w:val="24"/>
        </w:rPr>
        <w:t>Yahoo Inc. v. National Union Fire Insurance Company of Pittsburgh, PA</w:t>
      </w:r>
    </w:p>
    <w:p w:rsidR="00720F32" w:rsidRPr="00720F32" w:rsidP="00720F32">
      <w:pPr>
        <w:spacing w:after="0" w:line="240" w:lineRule="auto"/>
        <w:jc w:val="left"/>
        <w:rPr>
          <w:b/>
          <w:sz w:val="24"/>
          <w:szCs w:val="24"/>
        </w:rPr>
      </w:pPr>
      <w:r w:rsidRPr="00720F32">
        <w:rPr>
          <w:b/>
          <w:sz w:val="24"/>
          <w:szCs w:val="24"/>
        </w:rPr>
        <w:t xml:space="preserve">__________________________________________________________ </w:t>
      </w:r>
    </w:p>
    <w:p w:rsidR="00720F32" w:rsidRPr="00720F32" w:rsidP="00720F32">
      <w:pPr>
        <w:spacing w:after="0" w:line="240" w:lineRule="auto"/>
        <w:jc w:val="left"/>
        <w:rPr>
          <w:b/>
          <w:sz w:val="24"/>
          <w:szCs w:val="24"/>
        </w:rPr>
      </w:pPr>
    </w:p>
    <w:p w:rsidR="00720F32" w:rsidRPr="00720F32" w:rsidP="00720F32">
      <w:pPr>
        <w:spacing w:after="0" w:line="240" w:lineRule="auto"/>
        <w:jc w:val="left"/>
        <w:rPr>
          <w:sz w:val="24"/>
          <w:szCs w:val="24"/>
        </w:rPr>
      </w:pPr>
      <w:r w:rsidRPr="00720F32">
        <w:rPr>
          <w:b/>
          <w:bCs/>
          <w:sz w:val="24"/>
          <w:szCs w:val="24"/>
          <w:u w:val="single"/>
        </w:rPr>
        <w:t>Procedural Posture</w:t>
      </w:r>
      <w:r w:rsidRPr="00720F32">
        <w:rPr>
          <w:b/>
          <w:bCs/>
          <w:sz w:val="24"/>
          <w:szCs w:val="24"/>
        </w:rPr>
        <w:t xml:space="preserve"> </w:t>
      </w:r>
      <w:r w:rsidRPr="00720F32">
        <w:rPr>
          <w:sz w:val="24"/>
          <w:szCs w:val="24"/>
        </w:rPr>
        <w:t>(see XX below)</w:t>
      </w:r>
    </w:p>
    <w:p w:rsidR="00720F32" w:rsidRPr="00720F32" w:rsidP="00720F32">
      <w:pPr>
        <w:spacing w:after="0" w:line="240" w:lineRule="auto"/>
        <w:jc w:val="left"/>
        <w:rPr>
          <w:sz w:val="24"/>
          <w:szCs w:val="24"/>
        </w:rPr>
      </w:pPr>
      <w:r w:rsidRPr="00720F32">
        <w:rPr>
          <w:b/>
          <w:bCs/>
          <w:sz w:val="24"/>
          <w:szCs w:val="24"/>
        </w:rPr>
        <w:t>Original Appeal</w:t>
      </w:r>
      <w:r w:rsidRPr="00720F32">
        <w:rPr>
          <w:sz w:val="24"/>
          <w:szCs w:val="24"/>
        </w:rPr>
        <w:t xml:space="preserve"> </w:t>
      </w:r>
    </w:p>
    <w:p w:rsidR="00720F32" w:rsidRPr="00720F32" w:rsidP="00720F32">
      <w:pPr>
        <w:spacing w:after="0" w:line="240" w:lineRule="auto"/>
        <w:jc w:val="left"/>
        <w:rPr>
          <w:sz w:val="24"/>
          <w:szCs w:val="24"/>
        </w:rPr>
      </w:pPr>
      <w:r w:rsidRPr="00720F32">
        <w:rPr>
          <w:b/>
          <w:bCs/>
          <w:sz w:val="24"/>
          <w:szCs w:val="24"/>
        </w:rPr>
        <w:t>Original Proceeding</w:t>
      </w:r>
      <w:r w:rsidRPr="00720F32">
        <w:rPr>
          <w:sz w:val="24"/>
          <w:szCs w:val="24"/>
        </w:rPr>
        <w:t xml:space="preserve"> XX on request by 9th Circuit (Cal. Rules of Court, rule 8.548)</w:t>
      </w:r>
    </w:p>
    <w:p w:rsidR="00720F32" w:rsidRPr="00720F32" w:rsidP="00720F32">
      <w:pPr>
        <w:spacing w:after="0" w:line="240" w:lineRule="auto"/>
        <w:jc w:val="left"/>
        <w:rPr>
          <w:sz w:val="24"/>
          <w:szCs w:val="24"/>
        </w:rPr>
      </w:pPr>
      <w:r w:rsidRPr="00720F32">
        <w:rPr>
          <w:b/>
          <w:bCs/>
          <w:sz w:val="24"/>
          <w:szCs w:val="24"/>
        </w:rPr>
        <w:t>Review Granted</w:t>
      </w:r>
      <w:r w:rsidRPr="00720F32">
        <w:rPr>
          <w:sz w:val="24"/>
          <w:szCs w:val="24"/>
        </w:rPr>
        <w:t xml:space="preserve"> </w:t>
      </w:r>
      <w:r w:rsidRPr="00720F32">
        <w:rPr>
          <w:b/>
          <w:bCs/>
          <w:sz w:val="24"/>
          <w:szCs w:val="24"/>
        </w:rPr>
        <w:t xml:space="preserve">(published) </w:t>
      </w:r>
    </w:p>
    <w:p w:rsidR="00720F32" w:rsidRPr="00720F32" w:rsidP="00720F32">
      <w:pPr>
        <w:spacing w:after="0" w:line="240" w:lineRule="auto"/>
        <w:jc w:val="left"/>
        <w:rPr>
          <w:sz w:val="24"/>
          <w:szCs w:val="24"/>
        </w:rPr>
      </w:pPr>
      <w:r w:rsidRPr="00720F32">
        <w:rPr>
          <w:b/>
          <w:bCs/>
          <w:sz w:val="24"/>
          <w:szCs w:val="24"/>
        </w:rPr>
        <w:t xml:space="preserve">Review Granted (unpublished) </w:t>
      </w:r>
    </w:p>
    <w:p w:rsidR="00720F32" w:rsidRPr="00720F32" w:rsidP="00720F32">
      <w:pPr>
        <w:spacing w:after="0" w:line="240" w:lineRule="auto"/>
        <w:jc w:val="left"/>
        <w:rPr>
          <w:b/>
          <w:bCs/>
          <w:sz w:val="24"/>
          <w:szCs w:val="24"/>
        </w:rPr>
      </w:pPr>
      <w:r w:rsidRPr="00720F32">
        <w:rPr>
          <w:b/>
          <w:bCs/>
          <w:sz w:val="24"/>
          <w:szCs w:val="24"/>
        </w:rPr>
        <w:t>Rehearing Granted</w:t>
      </w:r>
    </w:p>
    <w:p w:rsidR="00720F32" w:rsidRPr="00720F32" w:rsidP="00720F32">
      <w:pPr>
        <w:spacing w:after="0" w:line="240" w:lineRule="auto"/>
        <w:jc w:val="left"/>
        <w:rPr>
          <w:b/>
          <w:sz w:val="24"/>
          <w:szCs w:val="24"/>
        </w:rPr>
      </w:pPr>
      <w:r w:rsidRPr="00720F32">
        <w:rPr>
          <w:b/>
          <w:sz w:val="24"/>
          <w:szCs w:val="24"/>
        </w:rPr>
        <w:t xml:space="preserve">________________________________________________________ </w:t>
      </w:r>
    </w:p>
    <w:p w:rsidR="00720F32" w:rsidRPr="00720F32" w:rsidP="00720F32">
      <w:pPr>
        <w:spacing w:after="0" w:line="240" w:lineRule="auto"/>
        <w:jc w:val="left"/>
        <w:rPr>
          <w:b/>
          <w:sz w:val="24"/>
          <w:szCs w:val="24"/>
        </w:rPr>
      </w:pPr>
    </w:p>
    <w:p w:rsidR="00720F32" w:rsidRPr="00720F32" w:rsidP="00720F32">
      <w:pPr>
        <w:spacing w:after="0" w:line="240" w:lineRule="auto"/>
        <w:jc w:val="left"/>
        <w:rPr>
          <w:bCs/>
          <w:sz w:val="24"/>
          <w:szCs w:val="24"/>
        </w:rPr>
      </w:pPr>
      <w:r w:rsidRPr="00720F32">
        <w:rPr>
          <w:b/>
          <w:sz w:val="24"/>
          <w:szCs w:val="24"/>
        </w:rPr>
        <w:t>Opinion No.</w:t>
      </w:r>
      <w:r w:rsidRPr="00720F32">
        <w:rPr>
          <w:rFonts w:ascii="Times New Roman" w:hAnsi="Times New Roman"/>
          <w:sz w:val="26"/>
        </w:rPr>
        <w:t xml:space="preserve"> </w:t>
      </w:r>
      <w:r w:rsidRPr="00720F32">
        <w:rPr>
          <w:bCs/>
          <w:sz w:val="24"/>
          <w:szCs w:val="24"/>
        </w:rPr>
        <w:t>S253593</w:t>
      </w:r>
    </w:p>
    <w:p w:rsidR="00720F32" w:rsidRPr="00720F32" w:rsidP="00720F32">
      <w:pPr>
        <w:spacing w:after="0" w:line="240" w:lineRule="auto"/>
        <w:jc w:val="left"/>
        <w:rPr>
          <w:bCs/>
          <w:sz w:val="24"/>
          <w:szCs w:val="24"/>
        </w:rPr>
      </w:pPr>
      <w:r w:rsidRPr="00720F32">
        <w:rPr>
          <w:b/>
          <w:sz w:val="24"/>
          <w:szCs w:val="24"/>
        </w:rPr>
        <w:t>Date Filed:</w:t>
      </w:r>
      <w:r w:rsidRPr="00720F32">
        <w:rPr>
          <w:sz w:val="24"/>
          <w:szCs w:val="24"/>
        </w:rPr>
        <w:t xml:space="preserve">  November 17, 2022</w:t>
      </w:r>
    </w:p>
    <w:p w:rsidR="00720F32" w:rsidRPr="00720F32" w:rsidP="00720F32">
      <w:pPr>
        <w:spacing w:after="0" w:line="240" w:lineRule="auto"/>
        <w:jc w:val="left"/>
        <w:rPr>
          <w:b/>
          <w:sz w:val="24"/>
          <w:szCs w:val="24"/>
        </w:rPr>
      </w:pPr>
      <w:r w:rsidRPr="00720F32">
        <w:rPr>
          <w:b/>
          <w:sz w:val="24"/>
          <w:szCs w:val="24"/>
        </w:rPr>
        <w:t xml:space="preserve">__________________________________________________________ </w:t>
      </w:r>
    </w:p>
    <w:p w:rsidR="00720F32" w:rsidRPr="00720F32" w:rsidP="00720F32">
      <w:pPr>
        <w:spacing w:after="0" w:line="240" w:lineRule="auto"/>
        <w:jc w:val="left"/>
        <w:rPr>
          <w:b/>
          <w:sz w:val="24"/>
          <w:szCs w:val="24"/>
        </w:rPr>
      </w:pPr>
    </w:p>
    <w:p w:rsidR="00720F32" w:rsidRPr="00720F32" w:rsidP="00720F32">
      <w:pPr>
        <w:spacing w:after="0" w:line="240" w:lineRule="auto"/>
        <w:jc w:val="left"/>
        <w:rPr>
          <w:bCs/>
          <w:sz w:val="24"/>
          <w:szCs w:val="24"/>
        </w:rPr>
      </w:pPr>
      <w:r w:rsidRPr="00720F32">
        <w:rPr>
          <w:b/>
          <w:sz w:val="24"/>
          <w:szCs w:val="24"/>
        </w:rPr>
        <w:t>Court:</w:t>
      </w:r>
    </w:p>
    <w:p w:rsidR="00720F32" w:rsidRPr="00720F32" w:rsidP="00720F32">
      <w:pPr>
        <w:spacing w:after="0" w:line="240" w:lineRule="auto"/>
        <w:jc w:val="left"/>
        <w:rPr>
          <w:bCs/>
          <w:sz w:val="24"/>
          <w:szCs w:val="24"/>
        </w:rPr>
      </w:pPr>
      <w:r w:rsidRPr="00720F32">
        <w:rPr>
          <w:b/>
          <w:sz w:val="24"/>
          <w:szCs w:val="24"/>
        </w:rPr>
        <w:t xml:space="preserve">County:  </w:t>
      </w:r>
    </w:p>
    <w:p w:rsidR="00720F32" w:rsidRPr="00720F32" w:rsidP="00720F32">
      <w:pPr>
        <w:spacing w:after="0" w:line="240" w:lineRule="auto"/>
        <w:ind w:left="720" w:hanging="720"/>
        <w:jc w:val="left"/>
        <w:rPr>
          <w:bCs/>
          <w:sz w:val="24"/>
          <w:szCs w:val="24"/>
        </w:rPr>
      </w:pPr>
      <w:r w:rsidRPr="00720F32">
        <w:rPr>
          <w:b/>
          <w:sz w:val="24"/>
          <w:szCs w:val="24"/>
        </w:rPr>
        <w:t xml:space="preserve">Judge: </w:t>
      </w:r>
    </w:p>
    <w:p w:rsidR="00720F32" w:rsidRPr="00720F32" w:rsidP="00720F32">
      <w:pPr>
        <w:spacing w:after="0" w:line="240" w:lineRule="auto"/>
        <w:jc w:val="left"/>
        <w:rPr>
          <w:b/>
          <w:sz w:val="24"/>
          <w:szCs w:val="24"/>
        </w:rPr>
      </w:pPr>
      <w:r w:rsidRPr="00720F32">
        <w:rPr>
          <w:b/>
          <w:sz w:val="24"/>
          <w:szCs w:val="24"/>
        </w:rPr>
        <w:t xml:space="preserve">__________________________________________________________  </w:t>
      </w:r>
    </w:p>
    <w:p w:rsidR="00720F32" w:rsidRPr="00720F32" w:rsidP="00720F32">
      <w:pPr>
        <w:spacing w:after="0" w:line="240" w:lineRule="auto"/>
        <w:jc w:val="left"/>
        <w:rPr>
          <w:b/>
          <w:sz w:val="24"/>
          <w:szCs w:val="24"/>
        </w:rPr>
      </w:pPr>
    </w:p>
    <w:p w:rsidR="00720F32" w:rsidRPr="00720F32" w:rsidP="00720F32">
      <w:pPr>
        <w:spacing w:after="0" w:line="240" w:lineRule="auto"/>
        <w:jc w:val="left"/>
        <w:rPr>
          <w:b/>
          <w:sz w:val="24"/>
          <w:szCs w:val="24"/>
        </w:rPr>
      </w:pPr>
      <w:r w:rsidRPr="00720F32">
        <w:rPr>
          <w:b/>
          <w:sz w:val="24"/>
          <w:szCs w:val="24"/>
        </w:rPr>
        <w:t>Counsel:</w:t>
      </w:r>
    </w:p>
    <w:p w:rsidR="00720F32" w:rsidRPr="00720F32" w:rsidP="00720F32">
      <w:pPr>
        <w:spacing w:after="0" w:line="240" w:lineRule="auto"/>
        <w:jc w:val="left"/>
        <w:rPr>
          <w:b/>
          <w:sz w:val="24"/>
          <w:szCs w:val="24"/>
        </w:rPr>
      </w:pPr>
    </w:p>
    <w:p w:rsidR="00720F32" w:rsidRPr="00720F32" w:rsidP="00720F32">
      <w:pPr>
        <w:spacing w:after="0" w:line="240" w:lineRule="auto"/>
        <w:jc w:val="left"/>
        <w:rPr>
          <w:sz w:val="24"/>
          <w:szCs w:val="24"/>
          <w:bdr w:val="none" w:sz="0" w:space="0" w:color="auto" w:frame="1"/>
        </w:rPr>
      </w:pPr>
      <w:r w:rsidRPr="00720F32">
        <w:rPr>
          <w:sz w:val="24"/>
          <w:szCs w:val="24"/>
          <w:bdr w:val="none" w:sz="0" w:space="0" w:color="auto" w:frame="1"/>
        </w:rPr>
        <w:t>Jassy Vick Carolan and William T. Um for Plaintiff and Appellant.</w:t>
      </w:r>
    </w:p>
    <w:p w:rsidR="00720F32" w:rsidRPr="00720F32" w:rsidP="00720F32">
      <w:pPr>
        <w:spacing w:after="0" w:line="240" w:lineRule="auto"/>
        <w:jc w:val="left"/>
        <w:rPr>
          <w:sz w:val="24"/>
          <w:szCs w:val="24"/>
          <w:bdr w:val="none" w:sz="0" w:space="0" w:color="auto" w:frame="1"/>
        </w:rPr>
      </w:pPr>
    </w:p>
    <w:p w:rsidR="00720F32" w:rsidRPr="00720F32" w:rsidP="00720F32">
      <w:pPr>
        <w:spacing w:after="0" w:line="240" w:lineRule="auto"/>
        <w:jc w:val="left"/>
        <w:rPr>
          <w:sz w:val="24"/>
          <w:szCs w:val="24"/>
          <w:bdr w:val="none" w:sz="0" w:space="0" w:color="auto" w:frame="1"/>
        </w:rPr>
      </w:pPr>
      <w:r w:rsidRPr="00720F32">
        <w:rPr>
          <w:sz w:val="24"/>
          <w:szCs w:val="24"/>
          <w:bdr w:val="none" w:sz="0" w:space="0" w:color="auto" w:frame="1"/>
        </w:rPr>
        <w:t>Hunton Andrews Kurth, Lorelie S. Masters, Kevin V. Small, Alexandrea H. Young; Reed Smith, Timothy P. Law and Andrew B. Breidenbach for United Policyholders as Amicus Curiae on behalf of Plaintiff and Appellant.</w:t>
      </w:r>
    </w:p>
    <w:p w:rsidR="00720F32" w:rsidRPr="00720F32" w:rsidP="00720F32">
      <w:pPr>
        <w:spacing w:after="0" w:line="240" w:lineRule="auto"/>
        <w:jc w:val="left"/>
        <w:rPr>
          <w:sz w:val="24"/>
          <w:szCs w:val="24"/>
          <w:bdr w:val="none" w:sz="0" w:space="0" w:color="auto" w:frame="1"/>
        </w:rPr>
      </w:pPr>
    </w:p>
    <w:p w:rsidR="00720F32" w:rsidRPr="00720F32" w:rsidP="00720F32">
      <w:pPr>
        <w:spacing w:after="0" w:line="240" w:lineRule="auto"/>
        <w:jc w:val="left"/>
        <w:rPr>
          <w:sz w:val="24"/>
          <w:szCs w:val="24"/>
          <w:bdr w:val="none" w:sz="0" w:space="0" w:color="auto" w:frame="1"/>
        </w:rPr>
      </w:pPr>
      <w:r w:rsidRPr="00720F32">
        <w:rPr>
          <w:sz w:val="24"/>
          <w:szCs w:val="24"/>
          <w:bdr w:val="none" w:sz="0" w:space="0" w:color="auto" w:frame="1"/>
        </w:rPr>
        <w:t>Horvitz &amp; Levy, Mitchell C. Tilner, Steven S. Fleischman, Emily V. Cuatto; Nicolaides Fink Thorpe Michaelides Sullivan, Richard H. Nicolaides, Jr., Daniel I. Graham, Jr., and Jodi S. Green for Defendant and Respondent.</w:t>
      </w:r>
    </w:p>
    <w:p w:rsidR="00720F32" w:rsidRPr="00720F32" w:rsidP="00720F32">
      <w:pPr>
        <w:spacing w:after="0" w:line="240" w:lineRule="auto"/>
        <w:jc w:val="left"/>
        <w:rPr>
          <w:b/>
          <w:sz w:val="24"/>
          <w:szCs w:val="24"/>
        </w:rPr>
      </w:pPr>
    </w:p>
    <w:p w:rsidR="00720F32" w:rsidRPr="00720F32" w:rsidP="00720F32">
      <w:pPr>
        <w:spacing w:after="0" w:line="240" w:lineRule="auto"/>
        <w:jc w:val="left"/>
        <w:rPr>
          <w:b/>
          <w:sz w:val="24"/>
          <w:szCs w:val="24"/>
        </w:rPr>
      </w:pPr>
      <w:r w:rsidRPr="00720F32">
        <w:rPr>
          <w:color w:val="212121"/>
          <w:sz w:val="24"/>
          <w:szCs w:val="24"/>
          <w:shd w:val="clear" w:color="auto" w:fill="FFFFFF"/>
        </w:rPr>
        <w:br w:type="page"/>
      </w:r>
      <w:r w:rsidRPr="00720F32">
        <w:rPr>
          <w:b/>
          <w:sz w:val="24"/>
          <w:szCs w:val="24"/>
        </w:rPr>
        <w:t>Counsel who argued in Supreme Court (not intended for publication with opinion):</w:t>
      </w:r>
    </w:p>
    <w:p w:rsidR="00720F32" w:rsidRPr="00720F32" w:rsidP="00720F32">
      <w:pPr>
        <w:spacing w:after="0" w:line="240" w:lineRule="auto"/>
        <w:jc w:val="left"/>
        <w:rPr>
          <w:b/>
          <w:sz w:val="24"/>
          <w:szCs w:val="24"/>
        </w:rPr>
      </w:pPr>
    </w:p>
    <w:p w:rsidR="00720F32" w:rsidRPr="00720F32" w:rsidP="00720F32">
      <w:pPr>
        <w:spacing w:after="0" w:line="240" w:lineRule="auto"/>
        <w:jc w:val="left"/>
        <w:rPr>
          <w:sz w:val="24"/>
          <w:szCs w:val="24"/>
          <w:bdr w:val="none" w:sz="0" w:space="0" w:color="auto" w:frame="1"/>
        </w:rPr>
      </w:pPr>
      <w:r w:rsidRPr="00720F32">
        <w:rPr>
          <w:sz w:val="24"/>
          <w:szCs w:val="24"/>
          <w:bdr w:val="none" w:sz="0" w:space="0" w:color="auto" w:frame="1"/>
        </w:rPr>
        <w:t>William T. Um</w:t>
      </w:r>
    </w:p>
    <w:p w:rsidR="00720F32" w:rsidRPr="00720F32" w:rsidP="00720F32">
      <w:pPr>
        <w:spacing w:after="0" w:line="240" w:lineRule="auto"/>
        <w:jc w:val="left"/>
        <w:rPr>
          <w:sz w:val="24"/>
          <w:szCs w:val="24"/>
          <w:bdr w:val="none" w:sz="0" w:space="0" w:color="auto" w:frame="1"/>
        </w:rPr>
      </w:pPr>
      <w:r w:rsidRPr="00720F32">
        <w:rPr>
          <w:sz w:val="24"/>
          <w:szCs w:val="24"/>
          <w:bdr w:val="none" w:sz="0" w:space="0" w:color="auto" w:frame="1"/>
        </w:rPr>
        <w:t>Jassy Vick Carolan LLP</w:t>
      </w:r>
    </w:p>
    <w:p w:rsidR="00720F32" w:rsidRPr="00720F32" w:rsidP="00720F32">
      <w:pPr>
        <w:spacing w:after="0" w:line="240" w:lineRule="auto"/>
        <w:jc w:val="left"/>
        <w:rPr>
          <w:sz w:val="24"/>
          <w:szCs w:val="24"/>
          <w:bdr w:val="none" w:sz="0" w:space="0" w:color="auto" w:frame="1"/>
        </w:rPr>
      </w:pPr>
      <w:r w:rsidRPr="00720F32">
        <w:rPr>
          <w:sz w:val="24"/>
          <w:szCs w:val="24"/>
          <w:bdr w:val="none" w:sz="0" w:space="0" w:color="auto" w:frame="1"/>
        </w:rPr>
        <w:t>355 South Grand Avenue, Suite 2450</w:t>
      </w:r>
    </w:p>
    <w:p w:rsidR="00720F32" w:rsidRPr="00720F32" w:rsidP="00720F32">
      <w:pPr>
        <w:spacing w:after="0" w:line="240" w:lineRule="auto"/>
        <w:jc w:val="left"/>
        <w:rPr>
          <w:sz w:val="24"/>
          <w:szCs w:val="24"/>
          <w:bdr w:val="none" w:sz="0" w:space="0" w:color="auto" w:frame="1"/>
        </w:rPr>
      </w:pPr>
      <w:r w:rsidRPr="00720F32">
        <w:rPr>
          <w:sz w:val="24"/>
          <w:szCs w:val="24"/>
          <w:bdr w:val="none" w:sz="0" w:space="0" w:color="auto" w:frame="1"/>
        </w:rPr>
        <w:t>Los Angeles, CA 90071</w:t>
      </w:r>
    </w:p>
    <w:p w:rsidR="00720F32" w:rsidRPr="00720F32" w:rsidP="00720F32">
      <w:pPr>
        <w:spacing w:after="0" w:line="240" w:lineRule="auto"/>
        <w:jc w:val="left"/>
        <w:rPr>
          <w:sz w:val="24"/>
          <w:szCs w:val="24"/>
          <w:bdr w:val="none" w:sz="0" w:space="0" w:color="auto" w:frame="1"/>
        </w:rPr>
      </w:pPr>
      <w:r w:rsidRPr="00720F32">
        <w:rPr>
          <w:sz w:val="24"/>
          <w:szCs w:val="24"/>
          <w:bdr w:val="none" w:sz="0" w:space="0" w:color="auto" w:frame="1"/>
        </w:rPr>
        <w:t>(310) 870-7048</w:t>
      </w:r>
    </w:p>
    <w:p w:rsidR="00720F32" w:rsidRPr="00720F32" w:rsidP="00720F32">
      <w:pPr>
        <w:spacing w:after="0" w:line="240" w:lineRule="auto"/>
        <w:jc w:val="left"/>
        <w:rPr>
          <w:sz w:val="24"/>
          <w:szCs w:val="24"/>
          <w:bdr w:val="none" w:sz="0" w:space="0" w:color="auto" w:frame="1"/>
        </w:rPr>
      </w:pPr>
    </w:p>
    <w:p w:rsidR="00720F32" w:rsidRPr="00720F32" w:rsidP="00720F32">
      <w:pPr>
        <w:spacing w:after="0" w:line="240" w:lineRule="auto"/>
        <w:jc w:val="left"/>
        <w:rPr>
          <w:sz w:val="24"/>
          <w:szCs w:val="24"/>
          <w:bdr w:val="none" w:sz="0" w:space="0" w:color="auto" w:frame="1"/>
        </w:rPr>
      </w:pPr>
      <w:r w:rsidRPr="00720F32">
        <w:rPr>
          <w:sz w:val="24"/>
          <w:szCs w:val="24"/>
          <w:bdr w:val="none" w:sz="0" w:space="0" w:color="auto" w:frame="1"/>
        </w:rPr>
        <w:t>Steven S. Fleischman</w:t>
      </w:r>
    </w:p>
    <w:p w:rsidR="00720F32" w:rsidRPr="00720F32" w:rsidP="00720F32">
      <w:pPr>
        <w:spacing w:after="0" w:line="240" w:lineRule="auto"/>
        <w:jc w:val="left"/>
        <w:rPr>
          <w:sz w:val="24"/>
          <w:szCs w:val="24"/>
          <w:bdr w:val="none" w:sz="0" w:space="0" w:color="auto" w:frame="1"/>
        </w:rPr>
      </w:pPr>
      <w:r w:rsidRPr="00720F32">
        <w:rPr>
          <w:sz w:val="24"/>
          <w:szCs w:val="24"/>
          <w:bdr w:val="none" w:sz="0" w:space="0" w:color="auto" w:frame="1"/>
        </w:rPr>
        <w:t>Horvitz &amp; Levy LLP</w:t>
      </w:r>
    </w:p>
    <w:p w:rsidR="00720F32" w:rsidRPr="00720F32" w:rsidP="00720F32">
      <w:pPr>
        <w:spacing w:after="0" w:line="240" w:lineRule="auto"/>
        <w:jc w:val="left"/>
        <w:rPr>
          <w:sz w:val="24"/>
          <w:szCs w:val="24"/>
          <w:bdr w:val="none" w:sz="0" w:space="0" w:color="auto" w:frame="1"/>
        </w:rPr>
      </w:pPr>
      <w:r w:rsidRPr="00720F32">
        <w:rPr>
          <w:sz w:val="24"/>
          <w:szCs w:val="24"/>
          <w:bdr w:val="none" w:sz="0" w:space="0" w:color="auto" w:frame="1"/>
        </w:rPr>
        <w:t>3601 West Olive Avenue, 8th Floor</w:t>
      </w:r>
    </w:p>
    <w:p w:rsidR="00720F32" w:rsidRPr="00720F32" w:rsidP="00720F32">
      <w:pPr>
        <w:spacing w:after="0" w:line="240" w:lineRule="auto"/>
        <w:jc w:val="left"/>
        <w:rPr>
          <w:sz w:val="24"/>
          <w:szCs w:val="24"/>
        </w:rPr>
      </w:pPr>
      <w:r w:rsidRPr="00720F32">
        <w:rPr>
          <w:sz w:val="24"/>
          <w:szCs w:val="24"/>
        </w:rPr>
        <w:t>Burbank, CA 91505</w:t>
      </w:r>
    </w:p>
    <w:p w:rsidR="00720F32" w:rsidRPr="00720F32" w:rsidP="00720F32">
      <w:pPr>
        <w:spacing w:after="0" w:line="240" w:lineRule="auto"/>
        <w:jc w:val="left"/>
        <w:rPr>
          <w:sz w:val="24"/>
          <w:szCs w:val="24"/>
        </w:rPr>
      </w:pPr>
      <w:r w:rsidRPr="00720F32">
        <w:rPr>
          <w:sz w:val="24"/>
          <w:szCs w:val="24"/>
        </w:rPr>
        <w:t>(818) 995-5824</w:t>
      </w:r>
    </w:p>
    <w:p w:rsidR="00984643" w:rsidP="00626F22">
      <w:pPr>
        <w:tabs>
          <w:tab w:val="left" w:pos="1440"/>
        </w:tabs>
        <w:spacing w:after="0" w:line="240" w:lineRule="auto"/>
        <w:rPr>
          <w:b/>
          <w:smallCaps/>
        </w:rPr>
      </w:pPr>
    </w:p>
    <w:sectPr w:rsidSect="00EC2BB8">
      <w:headerReference w:type="even" r:id="rId12"/>
      <w:headerReference w:type="default" r:id="rId13"/>
      <w:footerReference w:type="even" r:id="rId14"/>
      <w:footerReference w:type="default" r:id="rId15"/>
      <w:headerReference w:type="first" r:id="rId16"/>
      <w:footerReference w:type="first" r:id="rId17"/>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74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6904">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74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092F">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9A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9A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B7D9E">
      <w:r>
        <w:separator/>
      </w:r>
    </w:p>
  </w:footnote>
  <w:footnote w:type="continuationSeparator" w:id="1">
    <w:p w:rsidR="007B7D9E">
      <w:pPr>
        <w:rPr>
          <w:sz w:val="22"/>
        </w:rPr>
      </w:pPr>
      <w:r>
        <w:continuationSeparator/>
      </w:r>
    </w:p>
  </w:footnote>
  <w:footnote w:type="continuationNotice" w:id="2">
    <w:p w:rsidR="007B7D9E">
      <w:pPr>
        <w:jc w:val="right"/>
        <w:rPr>
          <w:i/>
          <w:sz w:val="20"/>
        </w:rPr>
      </w:pPr>
    </w:p>
  </w:footnote>
  <w:footnote w:id="3">
    <w:p w:rsidR="001D65A5" w:rsidP="0017092F">
      <w:pPr>
        <w:pStyle w:val="FootnoteText"/>
      </w:pPr>
      <w:r>
        <w:rPr>
          <w:rStyle w:val="FootnoteReference"/>
        </w:rPr>
        <w:footnoteRef/>
      </w:r>
      <w:r>
        <w:t xml:space="preserve"> </w:t>
      </w:r>
      <w:r>
        <w:tab/>
        <w:t>Our case law also recognizes two other types of privacy violation</w:t>
      </w:r>
      <w:r w:rsidR="003A3F17">
        <w:t>s</w:t>
      </w:r>
      <w:r>
        <w:t xml:space="preserve">.  Stated in general terms, these are:  (1) “publicity placing a person in a false light,” and (2) “misappropriation of a person’s name or likeness.”  </w:t>
      </w:r>
      <w:r w:rsidRPr="00103239">
        <w:t>(</w:t>
      </w:r>
      <w:r w:rsidRPr="0065735B">
        <w:rPr>
          <w:i/>
          <w:iCs/>
        </w:rPr>
        <w:t>Hill v. National Collegiate Athletic Assn.</w:t>
      </w:r>
      <w:r w:rsidRPr="00103239">
        <w:t xml:space="preserve"> (1994) 7 Cal.4th 1, 24; </w:t>
      </w:r>
      <w:r>
        <w:t xml:space="preserve">see </w:t>
      </w:r>
      <w:r w:rsidRPr="0065735B">
        <w:rPr>
          <w:i/>
          <w:iCs/>
        </w:rPr>
        <w:t>Fellows v. National Enquirer, Inc.</w:t>
      </w:r>
      <w:r w:rsidRPr="00103239">
        <w:t xml:space="preserve"> (1986) 42 Cal.3d 234, 238</w:t>
      </w:r>
      <w:r>
        <w:t>.)</w:t>
      </w:r>
    </w:p>
  </w:footnote>
  <w:footnote w:id="4">
    <w:p w:rsidR="00F52C73" w:rsidP="0017092F">
      <w:pPr>
        <w:pStyle w:val="FootnoteText"/>
      </w:pPr>
      <w:r>
        <w:rPr>
          <w:rStyle w:val="FootnoteReference"/>
        </w:rPr>
        <w:footnoteRef/>
      </w:r>
      <w:r>
        <w:t xml:space="preserve"> </w:t>
      </w:r>
      <w:r>
        <w:tab/>
        <w:t xml:space="preserve">National Union </w:t>
      </w:r>
      <w:r w:rsidR="00D51906">
        <w:t xml:space="preserve">actually </w:t>
      </w:r>
      <w:r>
        <w:t>sold Yahoo</w:t>
      </w:r>
      <w:r w:rsidR="003E0F6E">
        <w:t>!</w:t>
      </w:r>
      <w:r>
        <w:t xml:space="preserve"> four </w:t>
      </w:r>
      <w:r w:rsidR="00E81DAB">
        <w:t xml:space="preserve">consecutive </w:t>
      </w:r>
      <w:r>
        <w:t>policies</w:t>
      </w:r>
      <w:r w:rsidR="000F33F8">
        <w:t xml:space="preserve">, </w:t>
      </w:r>
      <w:r>
        <w:t xml:space="preserve">covering </w:t>
      </w:r>
      <w:r w:rsidR="000F33F8">
        <w:t xml:space="preserve">the period from </w:t>
      </w:r>
      <w:r>
        <w:t>May 31, 2008, to May 31, 2012</w:t>
      </w:r>
      <w:r w:rsidR="000F33F8">
        <w:t xml:space="preserve">, </w:t>
      </w:r>
      <w:r>
        <w:t>each contain</w:t>
      </w:r>
      <w:r w:rsidR="004E68E8">
        <w:t xml:space="preserve">ing </w:t>
      </w:r>
      <w:r>
        <w:t>the same relevant terms</w:t>
      </w:r>
      <w:r w:rsidR="000F33F8">
        <w:t xml:space="preserve">.  For the sake of simplicity, we refer to these </w:t>
      </w:r>
      <w:r w:rsidR="0090445A">
        <w:t xml:space="preserve">four </w:t>
      </w:r>
      <w:r w:rsidR="000F33F8">
        <w:t xml:space="preserve">policies </w:t>
      </w:r>
      <w:r w:rsidR="00E81DAB">
        <w:t xml:space="preserve">collectively </w:t>
      </w:r>
      <w:r w:rsidR="009C03E1">
        <w:t xml:space="preserve">as </w:t>
      </w:r>
      <w:r w:rsidR="00D51906">
        <w:t xml:space="preserve">if they were a single </w:t>
      </w:r>
      <w:r w:rsidR="009C03E1">
        <w:t xml:space="preserve">policy.  The </w:t>
      </w:r>
      <w:r>
        <w:t xml:space="preserve">complaint </w:t>
      </w:r>
      <w:r w:rsidR="009C03E1">
        <w:t xml:space="preserve">also </w:t>
      </w:r>
      <w:r>
        <w:t>alleges</w:t>
      </w:r>
      <w:r w:rsidR="00420935">
        <w:t xml:space="preserve"> cover</w:t>
      </w:r>
      <w:r w:rsidR="00746088">
        <w:t>age</w:t>
      </w:r>
      <w:r w:rsidR="00420935">
        <w:t xml:space="preserve"> under </w:t>
      </w:r>
      <w:r>
        <w:t xml:space="preserve">a fifth </w:t>
      </w:r>
      <w:r w:rsidR="00D51906">
        <w:t xml:space="preserve">consecutive </w:t>
      </w:r>
      <w:r>
        <w:t>policy, but Yahoo</w:t>
      </w:r>
      <w:r w:rsidR="003E0F6E">
        <w:t>!</w:t>
      </w:r>
      <w:r>
        <w:t xml:space="preserve"> concedes that this was error because the fifth policy was materially different from the others.  Yahoo</w:t>
      </w:r>
      <w:r w:rsidR="003E0F6E">
        <w:t>!</w:t>
      </w:r>
      <w:r>
        <w:t xml:space="preserve"> states that it plans to amend its complaint to correct this error.</w:t>
      </w:r>
    </w:p>
  </w:footnote>
  <w:footnote w:id="5">
    <w:p w:rsidR="002F3C5C" w:rsidP="0017092F">
      <w:pPr>
        <w:pStyle w:val="FootnoteText"/>
      </w:pPr>
      <w:r>
        <w:rPr>
          <w:rStyle w:val="FootnoteReference"/>
        </w:rPr>
        <w:footnoteRef/>
      </w:r>
      <w:r>
        <w:t xml:space="preserve"> </w:t>
      </w:r>
      <w:r>
        <w:tab/>
        <w:t>A</w:t>
      </w:r>
      <w:r w:rsidRPr="002F3C5C">
        <w:t xml:space="preserve"> separate endorsement</w:t>
      </w:r>
      <w:r w:rsidR="007551D1">
        <w:t xml:space="preserve"> — the </w:t>
      </w:r>
      <w:r w:rsidR="00A8433E">
        <w:t>“</w:t>
      </w:r>
      <w:r w:rsidR="00CA1082">
        <w:t>Statute Endorsement</w:t>
      </w:r>
      <w:r w:rsidR="00A8433E">
        <w:t>”</w:t>
      </w:r>
      <w:r w:rsidR="007551D1">
        <w:t xml:space="preserve"> — </w:t>
      </w:r>
      <w:r w:rsidRPr="002F3C5C">
        <w:t>add</w:t>
      </w:r>
      <w:r w:rsidR="003A5FF9">
        <w:t>ed</w:t>
      </w:r>
      <w:r w:rsidRPr="002F3C5C">
        <w:t xml:space="preserve"> a</w:t>
      </w:r>
      <w:r w:rsidR="0032196D">
        <w:t xml:space="preserve">n </w:t>
      </w:r>
      <w:r w:rsidRPr="002F3C5C">
        <w:t xml:space="preserve">exclusion for liability arising from “any act that violates </w:t>
      </w:r>
      <w:r w:rsidRPr="002073DF">
        <w:rPr>
          <w:i/>
          <w:iCs/>
        </w:rPr>
        <w:t>any statute</w:t>
      </w:r>
      <w:r>
        <w:t> </w:t>
      </w:r>
      <w:r w:rsidRPr="002F3C5C">
        <w:t>.</w:t>
      </w:r>
      <w:r>
        <w:t> </w:t>
      </w:r>
      <w:r w:rsidRPr="002F3C5C">
        <w:t>.</w:t>
      </w:r>
      <w:r>
        <w:t> </w:t>
      </w:r>
      <w:r w:rsidRPr="002F3C5C">
        <w:t xml:space="preserve">. of any </w:t>
      </w:r>
      <w:r w:rsidRPr="002073DF">
        <w:rPr>
          <w:i/>
          <w:iCs/>
        </w:rPr>
        <w:t>federal</w:t>
      </w:r>
      <w:r w:rsidRPr="002F3C5C">
        <w:t xml:space="preserve"> [or] state</w:t>
      </w:r>
      <w:r>
        <w:t> </w:t>
      </w:r>
      <w:r w:rsidRPr="002F3C5C">
        <w:t>.</w:t>
      </w:r>
      <w:r>
        <w:t> </w:t>
      </w:r>
      <w:r w:rsidRPr="002F3C5C">
        <w:t>.</w:t>
      </w:r>
      <w:r>
        <w:t> </w:t>
      </w:r>
      <w:r w:rsidRPr="002F3C5C">
        <w:t>. government,</w:t>
      </w:r>
      <w:r>
        <w:t> </w:t>
      </w:r>
      <w:r w:rsidRPr="002F3C5C">
        <w:t>.</w:t>
      </w:r>
      <w:r>
        <w:t> </w:t>
      </w:r>
      <w:r w:rsidRPr="002F3C5C">
        <w:t>.</w:t>
      </w:r>
      <w:r>
        <w:t> </w:t>
      </w:r>
      <w:r w:rsidRPr="002F3C5C">
        <w:t>. that</w:t>
      </w:r>
      <w:r>
        <w:t> </w:t>
      </w:r>
      <w:r w:rsidRPr="002F3C5C">
        <w:t>.</w:t>
      </w:r>
      <w:r>
        <w:t> </w:t>
      </w:r>
      <w:r w:rsidRPr="002F3C5C">
        <w:t>.</w:t>
      </w:r>
      <w:r>
        <w:t> </w:t>
      </w:r>
      <w:r w:rsidRPr="002F3C5C">
        <w:t xml:space="preserve">. </w:t>
      </w:r>
      <w:r w:rsidRPr="002073DF">
        <w:rPr>
          <w:i/>
          <w:iCs/>
        </w:rPr>
        <w:t>addresses or applies to the sending, transmitting or communicating of any material or information</w:t>
      </w:r>
      <w:r w:rsidRPr="002F3C5C">
        <w:t>, by any means whatsoever.”  (Italics added.)</w:t>
      </w:r>
      <w:r w:rsidR="00C4079F">
        <w:t xml:space="preserve">  </w:t>
      </w:r>
      <w:r w:rsidR="001C638A">
        <w:t>T</w:t>
      </w:r>
      <w:r w:rsidR="004E68E8">
        <w:t xml:space="preserve">he </w:t>
      </w:r>
      <w:r w:rsidR="001C638A">
        <w:t xml:space="preserve">existence of the </w:t>
      </w:r>
      <w:r w:rsidR="004E68E8">
        <w:t>Statute Endorsement</w:t>
      </w:r>
      <w:r w:rsidR="001C638A">
        <w:t xml:space="preserve"> </w:t>
      </w:r>
      <w:r w:rsidR="00134578">
        <w:t xml:space="preserve">caused the Ninth Circuit to </w:t>
      </w:r>
      <w:r w:rsidR="001C638A">
        <w:t>conside</w:t>
      </w:r>
      <w:r w:rsidR="000167BB">
        <w:t xml:space="preserve">r whether </w:t>
      </w:r>
      <w:r w:rsidR="00CA1082">
        <w:t xml:space="preserve">the </w:t>
      </w:r>
      <w:r w:rsidRPr="002F3C5C">
        <w:t xml:space="preserve">removal of the </w:t>
      </w:r>
      <w:r w:rsidR="001C638A">
        <w:t xml:space="preserve">more specific exclusion for </w:t>
      </w:r>
      <w:r w:rsidR="00FC0E8F">
        <w:t xml:space="preserve">TCPA liability </w:t>
      </w:r>
      <w:r w:rsidR="000167BB">
        <w:t xml:space="preserve">had </w:t>
      </w:r>
      <w:r w:rsidR="001C638A">
        <w:t xml:space="preserve">been without </w:t>
      </w:r>
      <w:r w:rsidR="00CA1082">
        <w:t xml:space="preserve">substantive effect.  </w:t>
      </w:r>
      <w:r w:rsidR="002073DF">
        <w:t>The Ninth Circuit asked for supplemental briefing on th</w:t>
      </w:r>
      <w:r w:rsidR="00C9719C">
        <w:t>e</w:t>
      </w:r>
      <w:r w:rsidR="002073DF">
        <w:t xml:space="preserve"> question, and Yahoo</w:t>
      </w:r>
      <w:r w:rsidR="003E0F6E">
        <w:t>!</w:t>
      </w:r>
      <w:r w:rsidR="002073DF">
        <w:t xml:space="preserve"> argued that </w:t>
      </w:r>
      <w:r w:rsidR="00CA1082">
        <w:t>Endorsement No.</w:t>
      </w:r>
      <w:r w:rsidR="00844FFA">
        <w:t> </w:t>
      </w:r>
      <w:r w:rsidR="00CA1082">
        <w:t xml:space="preserve">1 </w:t>
      </w:r>
      <w:r w:rsidR="002073DF">
        <w:t>superseded th</w:t>
      </w:r>
      <w:r w:rsidR="0055284F">
        <w:t>e</w:t>
      </w:r>
      <w:r w:rsidR="002073DF">
        <w:t xml:space="preserve"> </w:t>
      </w:r>
      <w:r w:rsidR="00CA1082">
        <w:t>Statute Endorsement</w:t>
      </w:r>
      <w:r w:rsidR="007124F1">
        <w:t>.</w:t>
      </w:r>
      <w:r w:rsidR="00C4079F">
        <w:t xml:space="preserve">  </w:t>
      </w:r>
      <w:r w:rsidR="004E68E8">
        <w:t>We express no view on th</w:t>
      </w:r>
      <w:r w:rsidR="00FC0E8F">
        <w:t>e</w:t>
      </w:r>
      <w:r w:rsidR="004E68E8">
        <w:t xml:space="preserve"> question.</w:t>
      </w:r>
    </w:p>
  </w:footnote>
  <w:footnote w:id="6">
    <w:p w:rsidR="005E070F" w:rsidP="0017092F">
      <w:pPr>
        <w:pStyle w:val="FootnoteText"/>
      </w:pPr>
      <w:r>
        <w:rPr>
          <w:rStyle w:val="FootnoteReference"/>
        </w:rPr>
        <w:footnoteRef/>
      </w:r>
      <w:r>
        <w:t xml:space="preserve"> </w:t>
      </w:r>
      <w:r>
        <w:tab/>
        <w:t>The five personal injury offenses are:  “a. False arrest, detention, or imprisonment; [¶] b. Malicious prosecution; [¶] c. The wrongful eviction from, wrongful entry into, or invasion of the right of private occupancy of a room, dwelling or premises that a person occupies, committed by or on behalf of its owner, landlord or lessor; [¶] d. Oral or written publication, in any manner, of material that slanders or libels a person or organization or disparages a person’s or organization’s goods, products or services; or [¶] e. Oral or written publication, in any manner, of material that violates a person’s right of privacy.”</w:t>
      </w:r>
    </w:p>
  </w:footnote>
  <w:footnote w:id="7">
    <w:p w:rsidR="005E070F" w:rsidP="0017092F">
      <w:pPr>
        <w:pStyle w:val="FootnoteText"/>
      </w:pPr>
      <w:r>
        <w:rPr>
          <w:rStyle w:val="FootnoteReference"/>
        </w:rPr>
        <w:footnoteRef/>
      </w:r>
      <w:r>
        <w:t xml:space="preserve"> </w:t>
      </w:r>
      <w:r>
        <w:tab/>
        <w:t>The four advertising injury offenses are:  “a. Oral or written publication, in any manner, of material in your ‘advertisement’ that slanders or libels a person or organization or disparages a person’s or organization’s goods, products or</w:t>
      </w:r>
      <w:r w:rsidR="003A3F17">
        <w:t xml:space="preserve"> </w:t>
      </w:r>
      <w:r>
        <w:t>services; [¶] b. Oral or written publication, in any manner, of material in your ‘advertisement’ that violates a person’s right of privacy; [¶] c. The use of another’s advertising idea in your ‘advertisement’; or [¶] d. Infringing upon another’s copyright, trade dress or slogan in your ‘advertisement</w:t>
      </w:r>
      <w:r w:rsidR="00886DAF">
        <w:t>.</w:t>
      </w:r>
      <w:r>
        <w:t>’</w:t>
      </w:r>
      <w:r w:rsidR="00886DAF">
        <w:t> </w:t>
      </w:r>
      <w:r>
        <w:t>”</w:t>
      </w:r>
    </w:p>
  </w:footnote>
  <w:footnote w:id="8">
    <w:p w:rsidR="00FC6904" w:rsidP="0017092F">
      <w:pPr>
        <w:pStyle w:val="FootnoteText"/>
      </w:pPr>
      <w:r>
        <w:rPr>
          <w:rStyle w:val="FootnoteReference"/>
        </w:rPr>
        <w:footnoteRef/>
      </w:r>
      <w:r>
        <w:t xml:space="preserve"> </w:t>
      </w:r>
      <w:r>
        <w:tab/>
        <w:t xml:space="preserve">The phrase “by sending unsolicited text message advertisements” appears </w:t>
      </w:r>
      <w:r w:rsidR="001F03DE">
        <w:t xml:space="preserve">both </w:t>
      </w:r>
      <w:r>
        <w:t xml:space="preserve">in the </w:t>
      </w:r>
      <w:r w:rsidR="001F03DE">
        <w:t xml:space="preserve">Ninth Circuit’s </w:t>
      </w:r>
      <w:r>
        <w:t>original certified question and in our re</w:t>
      </w:r>
      <w:r w:rsidR="0051544A">
        <w:t xml:space="preserve">phrasing </w:t>
      </w:r>
      <w:r>
        <w:t>of th</w:t>
      </w:r>
      <w:r w:rsidR="001F03DE">
        <w:t>e</w:t>
      </w:r>
      <w:r>
        <w:t xml:space="preserve"> question.  </w:t>
      </w:r>
      <w:r w:rsidR="001812BA">
        <w:t>Nonetheless</w:t>
      </w:r>
      <w:r w:rsidR="001F03DE">
        <w:t>, o</w:t>
      </w:r>
      <w:r w:rsidR="002645F4">
        <w:t>ur</w:t>
      </w:r>
      <w:r w:rsidR="0051544A">
        <w:t xml:space="preserve"> </w:t>
      </w:r>
      <w:r w:rsidR="002645F4">
        <w:t xml:space="preserve">statement of the certified question should not be interpreted to express this court’s opinion as to whether </w:t>
      </w:r>
      <w:r>
        <w:t>the text messages at issue in the underlying TCPA lawsuits were, in fact, advertisements</w:t>
      </w:r>
      <w:r w:rsidR="00862F0F">
        <w:t xml:space="preserve"> as</w:t>
      </w:r>
      <w:r w:rsidR="00372096">
        <w:t xml:space="preserve"> </w:t>
      </w:r>
      <w:r w:rsidR="00862F0F">
        <w:t>defined in the policy</w:t>
      </w:r>
      <w:r>
        <w:t>.</w:t>
      </w:r>
    </w:p>
  </w:footnote>
  <w:footnote w:id="9">
    <w:p w:rsidR="005F4C71">
      <w:pPr>
        <w:pStyle w:val="FootnoteText"/>
      </w:pPr>
      <w:r>
        <w:rPr>
          <w:rStyle w:val="FootnoteReference"/>
        </w:rPr>
        <w:footnoteRef/>
      </w:r>
      <w:r>
        <w:t xml:space="preserve"> </w:t>
      </w:r>
      <w:r>
        <w:tab/>
      </w:r>
      <w:r w:rsidRPr="005F4C71">
        <w:t xml:space="preserve">We have, in the past, formulated this inquiry slightly differently.  (See, e.g., </w:t>
      </w:r>
      <w:r w:rsidRPr="005F4C71">
        <w:rPr>
          <w:i/>
          <w:iCs/>
        </w:rPr>
        <w:t>State of California v. Continental Ins. Co.</w:t>
      </w:r>
      <w:r w:rsidRPr="005F4C71">
        <w:t xml:space="preserve"> (2012) 55 Cal.4th 186, 195 [“</w:t>
      </w:r>
      <w:r>
        <w:t> ‘</w:t>
      </w:r>
      <w:r w:rsidRPr="005F4C71">
        <w:t>If an asserted ambiguity is not eliminated by the language and context of the policy, courts then invoke the principle that ambiguities are generally construed against the party who caused the uncertainty to exist (i.e., the insurer) in order to protect the insured’s reasonable expectation of coverage.</w:t>
      </w:r>
      <w:r>
        <w:t>’ </w:t>
      </w:r>
      <w:r w:rsidRPr="005F4C71">
        <w:t>”</w:t>
      </w:r>
      <w:r w:rsidR="00FA187A">
        <w:t>]</w:t>
      </w:r>
      <w:r w:rsidR="000074EF">
        <w:t>,</w:t>
      </w:r>
      <w:r w:rsidR="00056A32">
        <w:t xml:space="preserve"> </w:t>
      </w:r>
      <w:r>
        <w:t>q</w:t>
      </w:r>
      <w:r w:rsidRPr="005F4C71">
        <w:t xml:space="preserve">uoting </w:t>
      </w:r>
      <w:r w:rsidRPr="005F4C71">
        <w:rPr>
          <w:i/>
          <w:iCs/>
        </w:rPr>
        <w:t>La Jolla Beach &amp; Tennis Club, Inc. v. Industrial Indemnity Co.</w:t>
      </w:r>
      <w:r w:rsidRPr="005F4C71">
        <w:t xml:space="preserve"> (1994) 9 Cal.4th 27, 37); </w:t>
      </w:r>
      <w:r w:rsidRPr="005F4C71">
        <w:rPr>
          <w:i/>
          <w:iCs/>
        </w:rPr>
        <w:t>Producers Dairy Delivery Co. v. Sentry Ins. Co.</w:t>
      </w:r>
      <w:r w:rsidRPr="005F4C71">
        <w:t xml:space="preserve"> (1986) 41 Cal.3d 903, 912 [“It is a basic principle of insurance contract interpretation that doubts, uncertainties and ambiguities arising out of policy language ordinarily should be resolved in favor of the insured in order to protect his </w:t>
      </w:r>
      <w:r w:rsidRPr="005F4C71">
        <w:rPr>
          <w:i/>
          <w:iCs/>
        </w:rPr>
        <w:t>reasonable</w:t>
      </w:r>
      <w:r w:rsidRPr="005F4C71">
        <w:t xml:space="preserve"> expectation of coverage.”].)  To the extent these prior formulations are inconsistent with our description of the inquiry here, our formulation in this opinion controls.</w:t>
      </w:r>
    </w:p>
  </w:footnote>
  <w:footnote w:id="10">
    <w:p w:rsidR="007A6E1C">
      <w:pPr>
        <w:pStyle w:val="FootnoteText"/>
      </w:pPr>
      <w:r>
        <w:rPr>
          <w:rStyle w:val="FootnoteReference"/>
        </w:rPr>
        <w:footnoteRef/>
      </w:r>
      <w:r>
        <w:t xml:space="preserve"> </w:t>
      </w:r>
      <w:r>
        <w:tab/>
        <w:t>T</w:t>
      </w:r>
      <w:r w:rsidRPr="007A6E1C">
        <w:t xml:space="preserve">he Ninth Circuit has only asked us to address the scope of </w:t>
      </w:r>
      <w:r>
        <w:t xml:space="preserve">the </w:t>
      </w:r>
      <w:r w:rsidRPr="007A6E1C">
        <w:t>coverage</w:t>
      </w:r>
      <w:r>
        <w:t xml:space="preserve"> provision of Yahoo!’s policy</w:t>
      </w:r>
      <w:r w:rsidRPr="007A6E1C">
        <w:t xml:space="preserve">; </w:t>
      </w:r>
      <w:r>
        <w:t xml:space="preserve">therefore, </w:t>
      </w:r>
      <w:r w:rsidRPr="007A6E1C">
        <w:t>we do not consider the exclusions</w:t>
      </w:r>
      <w:r>
        <w:t>.</w:t>
      </w:r>
    </w:p>
  </w:footnote>
  <w:footnote w:id="11">
    <w:p w:rsidR="004D297D" w:rsidP="0017092F">
      <w:pPr>
        <w:pStyle w:val="FootnoteText"/>
      </w:pPr>
      <w:r>
        <w:rPr>
          <w:rStyle w:val="FootnoteReference"/>
        </w:rPr>
        <w:footnoteRef/>
      </w:r>
      <w:r>
        <w:t xml:space="preserve"> </w:t>
      </w:r>
      <w:r>
        <w:tab/>
      </w:r>
      <w:r w:rsidR="004E351C">
        <w:t>I</w:t>
      </w:r>
      <w:r w:rsidRPr="004D297D">
        <w:t xml:space="preserve">nsurance companies </w:t>
      </w:r>
      <w:r w:rsidR="004E351C">
        <w:t xml:space="preserve">can easily </w:t>
      </w:r>
      <w:r w:rsidRPr="004D297D">
        <w:t>avoid the ambiguous language used here</w:t>
      </w:r>
      <w:r>
        <w:t xml:space="preserve">, </w:t>
      </w:r>
      <w:r w:rsidR="00190D66">
        <w:t xml:space="preserve">by </w:t>
      </w:r>
      <w:r w:rsidR="004E351C">
        <w:t xml:space="preserve">revising the language to clarify </w:t>
      </w:r>
      <w:r>
        <w:t>the scope of the coverage they are providing.</w:t>
      </w:r>
    </w:p>
  </w:footnote>
  <w:footnote w:id="12">
    <w:p w:rsidR="00050002" w:rsidP="0017092F">
      <w:pPr>
        <w:pStyle w:val="FootnoteText"/>
      </w:pPr>
      <w:r>
        <w:rPr>
          <w:rStyle w:val="FootnoteReference"/>
        </w:rPr>
        <w:footnoteRef/>
      </w:r>
      <w:r>
        <w:t xml:space="preserve"> </w:t>
      </w:r>
      <w:r>
        <w:tab/>
        <w:t xml:space="preserve">Courts in </w:t>
      </w:r>
      <w:r w:rsidR="007251F1">
        <w:t xml:space="preserve">several </w:t>
      </w:r>
      <w:r>
        <w:t xml:space="preserve">other jurisdictions have </w:t>
      </w:r>
      <w:r w:rsidR="00A77B4F">
        <w:t xml:space="preserve">also </w:t>
      </w:r>
      <w:r>
        <w:t>reached the same conclusion</w:t>
      </w:r>
      <w:r w:rsidR="00DC3A6E">
        <w:t xml:space="preserve"> as </w:t>
      </w:r>
      <w:r w:rsidR="00B635FF">
        <w:t xml:space="preserve">the court in </w:t>
      </w:r>
      <w:r w:rsidRPr="00DC3A6E" w:rsidR="00DC3A6E">
        <w:rPr>
          <w:i/>
          <w:iCs/>
        </w:rPr>
        <w:t>ACS Systems</w:t>
      </w:r>
      <w:r>
        <w:t xml:space="preserve">.  </w:t>
      </w:r>
      <w:bookmarkStart w:id="20" w:name="_Hlk107475383"/>
      <w:r>
        <w:t xml:space="preserve">(See </w:t>
      </w:r>
      <w:r>
        <w:rPr>
          <w:i/>
          <w:iCs/>
        </w:rPr>
        <w:t>Auto-Owners Ins. Co. v. Websolv Computing, Inc.</w:t>
      </w:r>
      <w:r>
        <w:t xml:space="preserve">, </w:t>
      </w:r>
      <w:r>
        <w:rPr>
          <w:i/>
          <w:iCs/>
        </w:rPr>
        <w:t>supra</w:t>
      </w:r>
      <w:r>
        <w:t>, 580 F.3d at pp. 550–551 [</w:t>
      </w:r>
      <w:r w:rsidR="002266BF">
        <w:t>7</w:t>
      </w:r>
      <w:r>
        <w:t>th Cir</w:t>
      </w:r>
      <w:r w:rsidR="002266BF">
        <w:t>.</w:t>
      </w:r>
      <w:r>
        <w:t xml:space="preserve"> reaching same conclusion as </w:t>
      </w:r>
      <w:r>
        <w:rPr>
          <w:i/>
          <w:iCs/>
        </w:rPr>
        <w:t>ACS Systems</w:t>
      </w:r>
      <w:r>
        <w:t xml:space="preserve">, relying on the word “publication,” which, the court said, suggests the disclosure of secrets]; </w:t>
      </w:r>
      <w:r>
        <w:rPr>
          <w:i/>
          <w:iCs/>
        </w:rPr>
        <w:t>Subclass 2 of Master Class of Plaintiffs v. Melrose Hotel</w:t>
      </w:r>
      <w:r>
        <w:t xml:space="preserve"> (3d Cir. 2007) 503 F.3d 339, 340 [</w:t>
      </w:r>
      <w:r w:rsidR="00875B11">
        <w:t>3d</w:t>
      </w:r>
      <w:r>
        <w:t xml:space="preserve"> Cir</w:t>
      </w:r>
      <w:r w:rsidR="00875B11">
        <w:t>.</w:t>
      </w:r>
      <w:r>
        <w:t xml:space="preserve"> reaching same conclusion as </w:t>
      </w:r>
      <w:r>
        <w:rPr>
          <w:i/>
          <w:iCs/>
        </w:rPr>
        <w:t>ACS Systems</w:t>
      </w:r>
      <w:r>
        <w:t xml:space="preserve"> by approving a district court analysis similar to that of </w:t>
      </w:r>
      <w:r>
        <w:rPr>
          <w:i/>
          <w:iCs/>
        </w:rPr>
        <w:t>ACS Systems</w:t>
      </w:r>
      <w:r>
        <w:t xml:space="preserve">]; </w:t>
      </w:r>
      <w:bookmarkEnd w:id="20"/>
      <w:r>
        <w:rPr>
          <w:i/>
          <w:iCs/>
        </w:rPr>
        <w:t>Resource Bankshares Corp. v. St. Paul Mercury Ins. Co.</w:t>
      </w:r>
      <w:r>
        <w:t xml:space="preserve">, </w:t>
      </w:r>
      <w:r>
        <w:rPr>
          <w:i/>
          <w:iCs/>
        </w:rPr>
        <w:t>supra</w:t>
      </w:r>
      <w:r>
        <w:t>, 407 F.3d at p. 640 [</w:t>
      </w:r>
      <w:r w:rsidR="002266BF">
        <w:t>4th</w:t>
      </w:r>
      <w:r>
        <w:t xml:space="preserve"> Cir</w:t>
      </w:r>
      <w:r w:rsidR="002266BF">
        <w:t>.</w:t>
      </w:r>
      <w:r>
        <w:t xml:space="preserve"> reaching the same conclusion as </w:t>
      </w:r>
      <w:r>
        <w:rPr>
          <w:i/>
          <w:iCs/>
        </w:rPr>
        <w:t>ACS Systems</w:t>
      </w:r>
      <w:r>
        <w:t xml:space="preserve">]; </w:t>
      </w:r>
      <w:r>
        <w:rPr>
          <w:i/>
          <w:iCs/>
        </w:rPr>
        <w:t>American States Ins. Co. v. Capital Associates of Jackson County</w:t>
      </w:r>
      <w:r>
        <w:t xml:space="preserve">, </w:t>
      </w:r>
      <w:r>
        <w:rPr>
          <w:i/>
          <w:iCs/>
        </w:rPr>
        <w:t>supra</w:t>
      </w:r>
      <w:r>
        <w:t>, 392 F.3d at p. 943 [</w:t>
      </w:r>
      <w:r w:rsidR="002266BF">
        <w:t>7th</w:t>
      </w:r>
      <w:r>
        <w:t xml:space="preserve"> Cir</w:t>
      </w:r>
      <w:r w:rsidR="002266BF">
        <w:t>.</w:t>
      </w:r>
      <w:r>
        <w:t xml:space="preserve"> reaching the same conclusion as </w:t>
      </w:r>
      <w:r>
        <w:rPr>
          <w:i/>
          <w:iCs/>
        </w:rPr>
        <w:t>ACS Systems</w:t>
      </w:r>
      <w:r>
        <w:t>].)</w:t>
      </w:r>
    </w:p>
  </w:footnote>
  <w:footnote w:id="13">
    <w:p w:rsidR="00FC6904" w:rsidP="0017092F">
      <w:pPr>
        <w:pStyle w:val="FootnoteText"/>
      </w:pPr>
      <w:r>
        <w:rPr>
          <w:rStyle w:val="FootnoteReference"/>
        </w:rPr>
        <w:footnoteRef/>
      </w:r>
      <w:r>
        <w:t xml:space="preserve"> </w:t>
      </w:r>
      <w:r>
        <w:tab/>
        <w:t xml:space="preserve">The policy language at issue in </w:t>
      </w:r>
      <w:r>
        <w:rPr>
          <w:i/>
          <w:iCs/>
        </w:rPr>
        <w:t>Penzer</w:t>
      </w:r>
      <w:r>
        <w:t xml:space="preserve"> omitted the words “in any manner” after the word “publication” but was otherwise the same as the language at issue here.</w:t>
      </w:r>
    </w:p>
  </w:footnote>
  <w:footnote w:id="14">
    <w:p w:rsidR="000E0A35" w:rsidP="0017092F">
      <w:pPr>
        <w:pStyle w:val="FootnoteText"/>
      </w:pPr>
      <w:r>
        <w:rPr>
          <w:rStyle w:val="FootnoteReference"/>
        </w:rPr>
        <w:footnoteRef/>
      </w:r>
      <w:r>
        <w:t xml:space="preserve"> </w:t>
      </w:r>
      <w:r>
        <w:tab/>
        <w:t xml:space="preserve">The case before us does not involve the phrase “making known,” a phrase that was at issue in </w:t>
      </w:r>
      <w:r w:rsidR="00400019">
        <w:rPr>
          <w:i/>
          <w:iCs/>
        </w:rPr>
        <w:t>ACS Systems</w:t>
      </w:r>
      <w:r w:rsidR="00400019">
        <w:t xml:space="preserve">, </w:t>
      </w:r>
      <w:r w:rsidRPr="00400019" w:rsidR="00400019">
        <w:rPr>
          <w:i/>
          <w:iCs/>
        </w:rPr>
        <w:t>supra</w:t>
      </w:r>
      <w:r w:rsidR="00400019">
        <w:t>, 147 Cal.App.4th 137</w:t>
      </w:r>
      <w:r w:rsidR="0098614F">
        <w:t>,</w:t>
      </w:r>
      <w:r w:rsidR="00400019">
        <w:t xml:space="preserve"> and that some courts have interpreted more narrowly than the phrase “publication of.”  (See </w:t>
      </w:r>
      <w:r w:rsidRPr="00BA1DF6" w:rsidR="00BA1DF6">
        <w:rPr>
          <w:i/>
          <w:iCs/>
        </w:rPr>
        <w:t>Cynosure, Inc. v. St. Paul Fire and Marine Ins. Co.</w:t>
      </w:r>
      <w:r w:rsidRPr="00BA1DF6" w:rsidR="00BA1DF6">
        <w:t xml:space="preserve"> (1st Cir. 2011) 645 F.3d 1</w:t>
      </w:r>
      <w:r w:rsidR="00400019">
        <w:t xml:space="preserve">.)  </w:t>
      </w:r>
      <w:r w:rsidR="0009616A">
        <w:t xml:space="preserve">Therefore, </w:t>
      </w:r>
      <w:r w:rsidR="00400019">
        <w:t>we express no view o</w:t>
      </w:r>
      <w:r w:rsidR="00190D66">
        <w:t>n</w:t>
      </w:r>
      <w:r w:rsidR="00400019">
        <w:t xml:space="preserve"> whether </w:t>
      </w:r>
      <w:r w:rsidRPr="00400019">
        <w:rPr>
          <w:i/>
          <w:iCs/>
        </w:rPr>
        <w:t>ACS Systems</w:t>
      </w:r>
      <w:r w:rsidR="00400019">
        <w:t xml:space="preserve"> was correctly decided.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74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092F">
    <w:pPr>
      <w:pStyle w:val="Header"/>
    </w:pPr>
    <w:r>
      <w:t>YAHOO INC. v. NATIONAL UNION FIRE INSURANCE COMPANY</w:t>
    </w:r>
    <w:r w:rsidR="00A74E8B">
      <w:t xml:space="preserve"> OF PITTSBURGH, PA</w:t>
    </w:r>
  </w:p>
  <w:p w:rsidR="0017092F">
    <w:pPr>
      <w:pStyle w:val="Header"/>
    </w:pPr>
    <w:r>
      <w:t>Opinion of the Court by Jenkins, J</w:t>
    </w:r>
    <w:r w:rsidR="000657F9">
      <w:t>.</w:t>
    </w:r>
  </w:p>
  <w:p w:rsidR="001709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74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9A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9A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9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951324"/>
    <w:multiLevelType w:val="hybridMultilevel"/>
    <w:tmpl w:val="C110FA8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7B4E2212"/>
    <w:multiLevelType w:val="hybridMultilevel"/>
    <w:tmpl w:val="F46684B4"/>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92F"/>
    <w:pPr>
      <w:spacing w:after="100" w:line="400" w:lineRule="exact"/>
      <w:jc w:val="both"/>
    </w:pPr>
    <w:rPr>
      <w:rFonts w:ascii="Century Schoolbook" w:hAnsi="Century Schoolbook"/>
      <w:sz w:val="27"/>
    </w:rPr>
  </w:style>
  <w:style w:type="paragraph" w:styleId="Heading1">
    <w:name w:val="heading 1"/>
    <w:basedOn w:val="Normal"/>
    <w:next w:val="Normal"/>
    <w:qFormat/>
    <w:rsid w:val="0017092F"/>
    <w:pPr>
      <w:keepNext/>
      <w:spacing w:before="140" w:line="240" w:lineRule="atLeast"/>
      <w:jc w:val="center"/>
      <w:outlineLvl w:val="0"/>
    </w:pPr>
    <w:rPr>
      <w:b/>
      <w:smallCaps/>
    </w:rPr>
  </w:style>
  <w:style w:type="paragraph" w:styleId="Heading2">
    <w:name w:val="heading 2"/>
    <w:basedOn w:val="Normal"/>
    <w:next w:val="Normal"/>
    <w:qFormat/>
    <w:rsid w:val="0017092F"/>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17092F"/>
    <w:pPr>
      <w:keepNext/>
      <w:tabs>
        <w:tab w:val="left" w:pos="1584"/>
      </w:tabs>
      <w:spacing w:before="140" w:line="240" w:lineRule="atLeast"/>
      <w:ind w:left="1584" w:hanging="432"/>
      <w:jc w:val="left"/>
      <w:outlineLvl w:val="2"/>
    </w:pPr>
    <w:rPr>
      <w:i/>
    </w:rPr>
  </w:style>
  <w:style w:type="paragraph" w:styleId="Heading4">
    <w:name w:val="heading 4"/>
    <w:basedOn w:val="Normal"/>
    <w:rsid w:val="0017092F"/>
    <w:pPr>
      <w:keepNext/>
      <w:tabs>
        <w:tab w:val="left" w:pos="2016"/>
      </w:tabs>
      <w:spacing w:before="140" w:line="240" w:lineRule="atLeast"/>
      <w:ind w:left="2016" w:hanging="432"/>
      <w:jc w:val="left"/>
      <w:outlineLvl w:val="3"/>
    </w:pPr>
    <w:rPr>
      <w:i/>
    </w:rPr>
  </w:style>
  <w:style w:type="paragraph" w:styleId="Heading5">
    <w:name w:val="heading 5"/>
    <w:basedOn w:val="Normal"/>
    <w:rsid w:val="0017092F"/>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17092F"/>
    <w:pPr>
      <w:ind w:left="720"/>
    </w:pPr>
  </w:style>
  <w:style w:type="paragraph" w:styleId="Footer">
    <w:name w:val="footer"/>
    <w:basedOn w:val="Normal"/>
    <w:qFormat/>
    <w:rsid w:val="0017092F"/>
    <w:pPr>
      <w:tabs>
        <w:tab w:val="center" w:pos="3960"/>
        <w:tab w:val="right" w:pos="10080"/>
      </w:tabs>
      <w:spacing w:after="0" w:line="240" w:lineRule="auto"/>
      <w:jc w:val="center"/>
    </w:pPr>
    <w:rPr>
      <w:sz w:val="22"/>
    </w:rPr>
  </w:style>
  <w:style w:type="paragraph" w:styleId="Header">
    <w:name w:val="header"/>
    <w:basedOn w:val="Normal"/>
    <w:qFormat/>
    <w:rsid w:val="0017092F"/>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17092F"/>
    <w:rPr>
      <w:rFonts w:ascii="Century Schoolbook" w:hAnsi="Century Schoolbook"/>
      <w:b/>
      <w:i w:val="0"/>
      <w:position w:val="4"/>
      <w:sz w:val="27"/>
      <w:vertAlign w:val="superscript"/>
    </w:rPr>
  </w:style>
  <w:style w:type="paragraph" w:styleId="FootnoteText">
    <w:name w:val="footnote text"/>
    <w:basedOn w:val="Normal"/>
    <w:rsid w:val="0017092F"/>
    <w:pPr>
      <w:spacing w:line="300" w:lineRule="exact"/>
    </w:pPr>
  </w:style>
  <w:style w:type="paragraph" w:customStyle="1" w:styleId="Title1">
    <w:name w:val="Title1"/>
    <w:basedOn w:val="Normal"/>
    <w:rsid w:val="0017092F"/>
    <w:pPr>
      <w:tabs>
        <w:tab w:val="left" w:pos="5760"/>
        <w:tab w:val="left" w:pos="6480"/>
      </w:tabs>
      <w:spacing w:line="240" w:lineRule="atLeast"/>
    </w:pPr>
  </w:style>
  <w:style w:type="paragraph" w:customStyle="1" w:styleId="Recommend">
    <w:name w:val="Recommend"/>
    <w:basedOn w:val="Normal"/>
    <w:rsid w:val="0017092F"/>
  </w:style>
  <w:style w:type="paragraph" w:customStyle="1" w:styleId="Summary">
    <w:name w:val="Summary"/>
    <w:basedOn w:val="Normal"/>
    <w:rsid w:val="0017092F"/>
    <w:pPr>
      <w:ind w:left="2160" w:hanging="2160"/>
    </w:pPr>
  </w:style>
  <w:style w:type="paragraph" w:customStyle="1" w:styleId="Text">
    <w:name w:val="Text"/>
    <w:basedOn w:val="Normal"/>
    <w:rsid w:val="0017092F"/>
    <w:pPr>
      <w:tabs>
        <w:tab w:val="left" w:pos="720"/>
        <w:tab w:val="left" w:pos="1440"/>
        <w:tab w:val="left" w:pos="2160"/>
        <w:tab w:val="center" w:pos="4320"/>
      </w:tabs>
      <w:spacing w:line="480" w:lineRule="atLeast"/>
      <w:ind w:firstLine="540"/>
    </w:pPr>
  </w:style>
  <w:style w:type="paragraph" w:styleId="Date">
    <w:name w:val="Date"/>
    <w:basedOn w:val="Normal"/>
    <w:semiHidden/>
    <w:rsid w:val="0017092F"/>
    <w:pPr>
      <w:jc w:val="right"/>
    </w:pPr>
  </w:style>
  <w:style w:type="character" w:styleId="PageNumber">
    <w:name w:val="page number"/>
    <w:basedOn w:val="DefaultParagraphFont"/>
    <w:rsid w:val="0017092F"/>
  </w:style>
  <w:style w:type="paragraph" w:customStyle="1" w:styleId="subject">
    <w:name w:val="subject"/>
    <w:basedOn w:val="Normal"/>
    <w:rsid w:val="0017092F"/>
    <w:pPr>
      <w:tabs>
        <w:tab w:val="left" w:pos="1008"/>
      </w:tabs>
      <w:ind w:left="990" w:hanging="990"/>
    </w:pPr>
    <w:rPr>
      <w:b/>
    </w:rPr>
  </w:style>
  <w:style w:type="paragraph" w:customStyle="1" w:styleId="Titles">
    <w:name w:val="Titles"/>
    <w:basedOn w:val="Normal"/>
    <w:rsid w:val="0017092F"/>
    <w:pPr>
      <w:tabs>
        <w:tab w:val="left" w:pos="2160"/>
      </w:tabs>
      <w:ind w:left="2160" w:hanging="2160"/>
    </w:pPr>
    <w:rPr>
      <w:b/>
    </w:rPr>
  </w:style>
  <w:style w:type="paragraph" w:styleId="TOAHeading">
    <w:name w:val="toa heading"/>
    <w:basedOn w:val="Normal"/>
    <w:next w:val="Normal"/>
    <w:semiHidden/>
    <w:rsid w:val="0017092F"/>
    <w:pPr>
      <w:spacing w:before="120"/>
    </w:pPr>
    <w:rPr>
      <w:b/>
    </w:rPr>
  </w:style>
  <w:style w:type="paragraph" w:styleId="TOC1">
    <w:name w:val="toc 1"/>
    <w:basedOn w:val="Normal"/>
    <w:next w:val="Normal"/>
    <w:autoRedefine/>
    <w:semiHidden/>
    <w:rsid w:val="0017092F"/>
  </w:style>
  <w:style w:type="paragraph" w:styleId="TOC2">
    <w:name w:val="toc 2"/>
    <w:basedOn w:val="Normal"/>
    <w:next w:val="Normal"/>
    <w:autoRedefine/>
    <w:semiHidden/>
    <w:rsid w:val="0017092F"/>
    <w:pPr>
      <w:ind w:left="259"/>
    </w:pPr>
  </w:style>
  <w:style w:type="paragraph" w:styleId="TOC3">
    <w:name w:val="toc 3"/>
    <w:basedOn w:val="Normal"/>
    <w:next w:val="Normal"/>
    <w:autoRedefine/>
    <w:semiHidden/>
    <w:rsid w:val="0017092F"/>
    <w:pPr>
      <w:ind w:left="520"/>
    </w:pPr>
  </w:style>
  <w:style w:type="paragraph" w:styleId="TOC4">
    <w:name w:val="toc 4"/>
    <w:basedOn w:val="Normal"/>
    <w:next w:val="Normal"/>
    <w:autoRedefine/>
    <w:semiHidden/>
    <w:rsid w:val="0017092F"/>
    <w:pPr>
      <w:ind w:left="780"/>
    </w:pPr>
  </w:style>
  <w:style w:type="paragraph" w:styleId="TOC5">
    <w:name w:val="toc 5"/>
    <w:basedOn w:val="Normal"/>
    <w:next w:val="Normal"/>
    <w:autoRedefine/>
    <w:semiHidden/>
    <w:rsid w:val="0017092F"/>
    <w:pPr>
      <w:ind w:left="1040"/>
    </w:pPr>
  </w:style>
  <w:style w:type="paragraph" w:styleId="TOC6">
    <w:name w:val="toc 6"/>
    <w:basedOn w:val="Normal"/>
    <w:next w:val="Normal"/>
    <w:autoRedefine/>
    <w:semiHidden/>
    <w:rsid w:val="0017092F"/>
    <w:pPr>
      <w:ind w:left="1300"/>
    </w:pPr>
  </w:style>
  <w:style w:type="paragraph" w:styleId="TOC7">
    <w:name w:val="toc 7"/>
    <w:basedOn w:val="Normal"/>
    <w:next w:val="Normal"/>
    <w:autoRedefine/>
    <w:semiHidden/>
    <w:rsid w:val="0017092F"/>
    <w:pPr>
      <w:ind w:left="1560"/>
    </w:pPr>
  </w:style>
  <w:style w:type="paragraph" w:styleId="TOC8">
    <w:name w:val="toc 8"/>
    <w:basedOn w:val="Normal"/>
    <w:next w:val="Normal"/>
    <w:autoRedefine/>
    <w:semiHidden/>
    <w:rsid w:val="0017092F"/>
    <w:pPr>
      <w:ind w:left="1820"/>
    </w:pPr>
  </w:style>
  <w:style w:type="paragraph" w:styleId="TOC9">
    <w:name w:val="toc 9"/>
    <w:basedOn w:val="Normal"/>
    <w:next w:val="Normal"/>
    <w:autoRedefine/>
    <w:semiHidden/>
    <w:rsid w:val="0017092F"/>
    <w:pPr>
      <w:ind w:left="2080"/>
    </w:pPr>
  </w:style>
  <w:style w:type="paragraph" w:customStyle="1" w:styleId="Contents">
    <w:name w:val="Contents"/>
    <w:basedOn w:val="Normal"/>
    <w:rsid w:val="0017092F"/>
    <w:pPr>
      <w:jc w:val="center"/>
    </w:pPr>
    <w:rPr>
      <w:b/>
      <w:spacing w:val="100"/>
    </w:rPr>
  </w:style>
  <w:style w:type="character" w:styleId="CommentReference">
    <w:name w:val="annotation reference"/>
    <w:basedOn w:val="DefaultParagraphFont"/>
    <w:uiPriority w:val="99"/>
    <w:semiHidden/>
    <w:unhideWhenUsed/>
    <w:rsid w:val="00714D81"/>
    <w:rPr>
      <w:sz w:val="16"/>
      <w:szCs w:val="16"/>
    </w:rPr>
  </w:style>
  <w:style w:type="paragraph" w:styleId="CommentText">
    <w:name w:val="annotation text"/>
    <w:basedOn w:val="Normal"/>
    <w:link w:val="CommentTextChar"/>
    <w:uiPriority w:val="99"/>
    <w:unhideWhenUsed/>
    <w:rsid w:val="00714D81"/>
    <w:rPr>
      <w:sz w:val="20"/>
    </w:rPr>
  </w:style>
  <w:style w:type="character" w:customStyle="1" w:styleId="CommentTextChar">
    <w:name w:val="Comment Text Char"/>
    <w:basedOn w:val="DefaultParagraphFont"/>
    <w:link w:val="CommentText"/>
    <w:uiPriority w:val="99"/>
    <w:rsid w:val="00714D81"/>
  </w:style>
  <w:style w:type="paragraph" w:styleId="CommentSubject">
    <w:name w:val="annotation subject"/>
    <w:basedOn w:val="CommentText"/>
    <w:next w:val="CommentText"/>
    <w:link w:val="CommentSubjectChar"/>
    <w:uiPriority w:val="99"/>
    <w:semiHidden/>
    <w:unhideWhenUsed/>
    <w:rsid w:val="00714D81"/>
    <w:rPr>
      <w:b/>
      <w:bCs/>
    </w:rPr>
  </w:style>
  <w:style w:type="character" w:customStyle="1" w:styleId="CommentSubjectChar">
    <w:name w:val="Comment Subject Char"/>
    <w:basedOn w:val="CommentTextChar"/>
    <w:link w:val="CommentSubject"/>
    <w:uiPriority w:val="99"/>
    <w:semiHidden/>
    <w:rsid w:val="00714D81"/>
    <w:rPr>
      <w:b/>
      <w:bCs/>
    </w:rPr>
  </w:style>
  <w:style w:type="paragraph" w:styleId="BalloonText">
    <w:name w:val="Balloon Text"/>
    <w:basedOn w:val="Normal"/>
    <w:link w:val="BalloonTextChar"/>
    <w:uiPriority w:val="99"/>
    <w:semiHidden/>
    <w:unhideWhenUsed/>
    <w:rsid w:val="00714D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D81"/>
    <w:rPr>
      <w:rFonts w:ascii="Segoe UI" w:hAnsi="Segoe UI" w:cs="Segoe UI"/>
      <w:sz w:val="18"/>
      <w:szCs w:val="18"/>
    </w:rPr>
  </w:style>
  <w:style w:type="paragraph" w:styleId="Revision">
    <w:name w:val="Revision"/>
    <w:hidden/>
    <w:uiPriority w:val="99"/>
    <w:semiHidden/>
    <w:rsid w:val="00714D81"/>
    <w:rPr>
      <w:sz w:val="26"/>
    </w:rPr>
  </w:style>
  <w:style w:type="character" w:customStyle="1" w:styleId="ssrfcpassagedeactivated">
    <w:name w:val="ss_rfcpassage_deactivated"/>
    <w:basedOn w:val="DefaultParagraphFont"/>
    <w:rsid w:val="00236E05"/>
  </w:style>
  <w:style w:type="character" w:customStyle="1" w:styleId="ssrfcsection">
    <w:name w:val="ss_rfcsection"/>
    <w:basedOn w:val="DefaultParagraphFont"/>
    <w:rsid w:val="00236E05"/>
  </w:style>
  <w:style w:type="character" w:customStyle="1" w:styleId="ssit">
    <w:name w:val="ss_it"/>
    <w:basedOn w:val="DefaultParagraphFont"/>
    <w:rsid w:val="00236E05"/>
  </w:style>
  <w:style w:type="paragraph" w:styleId="BodyText">
    <w:name w:val="Body Text"/>
    <w:basedOn w:val="Normal"/>
    <w:link w:val="BodyTextChar"/>
    <w:qFormat/>
    <w:rsid w:val="0017092F"/>
  </w:style>
  <w:style w:type="character" w:customStyle="1" w:styleId="BodyTextChar">
    <w:name w:val="Body Text Char"/>
    <w:basedOn w:val="DefaultParagraphFont"/>
    <w:link w:val="BodyText"/>
    <w:rsid w:val="0017092F"/>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5439</Words>
  <Characters>31008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2022-11-17T17:15:13Z</dcterms:created>
  <dcterms:modified xsi:type="dcterms:W3CDTF">2022-11-17T17:15:13Z</dcterms:modified>
</cp:coreProperties>
</file>