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D7212" w:rsidP="002D7212">
      <w:pPr>
        <w:tabs>
          <w:tab w:val="left" w:pos="1440"/>
        </w:tabs>
        <w:spacing w:after="0"/>
        <w:jc w:val="center"/>
        <w:rPr>
          <w:sz w:val="36"/>
        </w:rPr>
      </w:pPr>
      <w:r>
        <w:rPr>
          <w:b/>
          <w:sz w:val="36"/>
        </w:rPr>
        <w:t>IN THE SUPREME COURT OF CALIFORNIA</w:t>
      </w:r>
    </w:p>
    <w:p w:rsidR="002D7212" w:rsidP="002D7212">
      <w:pPr>
        <w:tabs>
          <w:tab w:val="left" w:pos="1440"/>
        </w:tabs>
        <w:spacing w:after="0"/>
        <w:jc w:val="center"/>
      </w:pPr>
    </w:p>
    <w:p w:rsidR="002D7212" w:rsidP="002D7212">
      <w:pPr>
        <w:tabs>
          <w:tab w:val="left" w:pos="1440"/>
        </w:tabs>
        <w:spacing w:after="0"/>
        <w:jc w:val="center"/>
      </w:pPr>
      <w:r>
        <w:t>K</w:t>
      </w:r>
      <w:r w:rsidR="006762D5">
        <w:t>ENNEDY DONOHUE,</w:t>
      </w:r>
    </w:p>
    <w:p w:rsidR="002D7212" w:rsidP="002D7212">
      <w:pPr>
        <w:tabs>
          <w:tab w:val="left" w:pos="1440"/>
        </w:tabs>
        <w:spacing w:after="0"/>
        <w:jc w:val="center"/>
      </w:pPr>
      <w:r>
        <w:t>Plaintiff and Appellant</w:t>
      </w:r>
      <w:r w:rsidR="006762D5">
        <w:t>,</w:t>
      </w:r>
    </w:p>
    <w:p w:rsidR="002D7212" w:rsidP="002D7212">
      <w:pPr>
        <w:tabs>
          <w:tab w:val="left" w:pos="1440"/>
        </w:tabs>
        <w:spacing w:after="0"/>
        <w:jc w:val="center"/>
      </w:pPr>
      <w:r>
        <w:t>v.</w:t>
      </w:r>
    </w:p>
    <w:p w:rsidR="002D7212" w:rsidP="002D7212">
      <w:pPr>
        <w:tabs>
          <w:tab w:val="left" w:pos="1440"/>
        </w:tabs>
        <w:spacing w:after="0"/>
        <w:jc w:val="center"/>
      </w:pPr>
      <w:r>
        <w:t>AM</w:t>
      </w:r>
      <w:r w:rsidR="006762D5">
        <w:t>N SERVICES</w:t>
      </w:r>
      <w:r>
        <w:t>, LLC</w:t>
      </w:r>
      <w:r w:rsidR="006762D5">
        <w:t>,</w:t>
      </w:r>
    </w:p>
    <w:p w:rsidR="002D7212" w:rsidP="002D7212">
      <w:pPr>
        <w:tabs>
          <w:tab w:val="left" w:pos="1440"/>
        </w:tabs>
        <w:spacing w:after="0"/>
        <w:jc w:val="center"/>
      </w:pPr>
      <w:r>
        <w:t>Defendant and Respondent.</w:t>
      </w:r>
      <w:r>
        <w:tab/>
      </w:r>
    </w:p>
    <w:p w:rsidR="002D7212" w:rsidP="002D7212">
      <w:pPr>
        <w:tabs>
          <w:tab w:val="left" w:pos="1440"/>
        </w:tabs>
        <w:spacing w:after="0"/>
        <w:jc w:val="center"/>
      </w:pPr>
    </w:p>
    <w:p w:rsidR="002D7212" w:rsidP="002D7212">
      <w:pPr>
        <w:tabs>
          <w:tab w:val="left" w:pos="1440"/>
        </w:tabs>
        <w:spacing w:after="0"/>
        <w:jc w:val="center"/>
      </w:pPr>
      <w:r>
        <w:t>S253677</w:t>
      </w:r>
    </w:p>
    <w:p w:rsidR="002D7212" w:rsidP="002D7212">
      <w:pPr>
        <w:tabs>
          <w:tab w:val="left" w:pos="1440"/>
        </w:tabs>
        <w:spacing w:after="0"/>
        <w:jc w:val="center"/>
      </w:pPr>
    </w:p>
    <w:p w:rsidR="002D7212" w:rsidP="002D7212">
      <w:pPr>
        <w:tabs>
          <w:tab w:val="left" w:pos="1440"/>
        </w:tabs>
        <w:spacing w:after="0"/>
        <w:jc w:val="center"/>
      </w:pPr>
      <w:r>
        <w:t>Fourth Appellate District, Division One</w:t>
      </w:r>
    </w:p>
    <w:p w:rsidR="002D7212" w:rsidP="002D7212">
      <w:pPr>
        <w:tabs>
          <w:tab w:val="left" w:pos="1440"/>
        </w:tabs>
        <w:spacing w:after="0"/>
        <w:jc w:val="center"/>
      </w:pPr>
      <w:r>
        <w:t>D071865</w:t>
      </w:r>
    </w:p>
    <w:p w:rsidR="002D7212" w:rsidP="002D7212">
      <w:pPr>
        <w:tabs>
          <w:tab w:val="left" w:pos="1440"/>
        </w:tabs>
        <w:spacing w:after="0"/>
        <w:jc w:val="center"/>
      </w:pPr>
    </w:p>
    <w:p w:rsidR="002D7212" w:rsidP="002D7212">
      <w:pPr>
        <w:tabs>
          <w:tab w:val="left" w:pos="1440"/>
        </w:tabs>
        <w:spacing w:after="0"/>
        <w:jc w:val="center"/>
      </w:pPr>
      <w:r>
        <w:t>San Diego County</w:t>
      </w:r>
      <w:r w:rsidR="004B7C67">
        <w:t xml:space="preserve"> Superior Court</w:t>
      </w:r>
    </w:p>
    <w:p w:rsidR="002D7212" w:rsidP="002D7212">
      <w:pPr>
        <w:tabs>
          <w:tab w:val="left" w:pos="1440"/>
        </w:tabs>
        <w:spacing w:after="0"/>
        <w:jc w:val="center"/>
      </w:pPr>
      <w:r>
        <w:t>37-2014-00012605-CU-OE-CTL</w:t>
      </w:r>
    </w:p>
    <w:p w:rsidR="002D7212" w:rsidP="002D7212">
      <w:pPr>
        <w:pBdr>
          <w:bottom w:val="single" w:sz="4" w:space="1" w:color="auto"/>
        </w:pBdr>
        <w:tabs>
          <w:tab w:val="left" w:pos="1440"/>
        </w:tabs>
        <w:spacing w:after="0"/>
        <w:jc w:val="center"/>
      </w:pPr>
    </w:p>
    <w:p w:rsidR="002D7212" w:rsidP="002D7212">
      <w:pPr>
        <w:tabs>
          <w:tab w:val="left" w:pos="1440"/>
        </w:tabs>
        <w:spacing w:after="0"/>
        <w:jc w:val="center"/>
      </w:pPr>
    </w:p>
    <w:p w:rsidR="002D7212" w:rsidP="002D7212">
      <w:pPr>
        <w:tabs>
          <w:tab w:val="left" w:pos="1440"/>
        </w:tabs>
        <w:spacing w:after="0"/>
        <w:jc w:val="center"/>
      </w:pPr>
      <w:r>
        <w:t>February 25</w:t>
      </w:r>
      <w:r>
        <w:t>, 202</w:t>
      </w:r>
      <w:r w:rsidR="00CB1530">
        <w:t>1</w:t>
      </w:r>
    </w:p>
    <w:p w:rsidR="002D7212" w:rsidP="002D7212">
      <w:pPr>
        <w:tabs>
          <w:tab w:val="left" w:pos="1440"/>
        </w:tabs>
        <w:spacing w:after="0"/>
        <w:jc w:val="center"/>
      </w:pPr>
    </w:p>
    <w:p w:rsidR="002D7212" w:rsidP="002D7212">
      <w:pPr>
        <w:tabs>
          <w:tab w:val="left" w:pos="1440"/>
        </w:tabs>
        <w:spacing w:after="0"/>
        <w:jc w:val="left"/>
      </w:pPr>
      <w:r>
        <w:t xml:space="preserve">Justice Liu authored the opinion of the Court, in which </w:t>
      </w:r>
      <w:r w:rsidRPr="00C16DA1" w:rsidR="00C16DA1">
        <w:t>Chief Justice Cantil-Sakauye and Justices Corrigan, Cuéllar, Kruger</w:t>
      </w:r>
      <w:r w:rsidR="00C16DA1">
        <w:t>, Groban</w:t>
      </w:r>
      <w:r w:rsidRPr="00C16DA1" w:rsidR="00C16DA1">
        <w:t xml:space="preserve"> </w:t>
      </w:r>
      <w:r>
        <w:t xml:space="preserve">and </w:t>
      </w:r>
      <w:r w:rsidR="00C16DA1">
        <w:t>Hoffstadt</w:t>
      </w:r>
      <w:r>
        <w:rPr>
          <w:b/>
          <w:vertAlign w:val="superscript"/>
        </w:rPr>
        <w:footnoteReference w:customMarkFollows="1" w:id="3"/>
        <w:t xml:space="preserve">*</w:t>
      </w:r>
      <w:r>
        <w:t xml:space="preserve"> concurred.</w:t>
      </w:r>
    </w:p>
    <w:p w:rsidR="002D7212" w:rsidRPr="002D7212" w:rsidP="002D7212">
      <w:pPr>
        <w:pBdr>
          <w:bottom w:val="single" w:sz="4" w:space="1" w:color="auto"/>
        </w:pBdr>
        <w:tabs>
          <w:tab w:val="left" w:pos="1440"/>
        </w:tabs>
        <w:spacing w:line="480" w:lineRule="atLeast"/>
        <w:jc w:val="left"/>
      </w:pPr>
      <w:bookmarkStart w:id="0" w:name="Return"/>
      <w:bookmarkEnd w:id="0"/>
    </w:p>
    <w:p w:rsidR="002D7212" w:rsidP="004639AC">
      <w:pPr>
        <w:tabs>
          <w:tab w:val="left" w:pos="1440"/>
        </w:tabs>
        <w:spacing w:line="480" w:lineRule="atLeast"/>
        <w:ind w:firstLine="720"/>
        <w:sectPr w:rsidSect="002D7212">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2D7212" w:rsidP="00381861">
      <w:pPr>
        <w:tabs>
          <w:tab w:val="left" w:pos="1440"/>
        </w:tabs>
        <w:jc w:val="center"/>
      </w:pPr>
      <w:r>
        <w:t>DONOHUE</w:t>
      </w:r>
      <w:r>
        <w:t xml:space="preserve"> v. AMN </w:t>
      </w:r>
      <w:r>
        <w:t>SERVICES</w:t>
      </w:r>
      <w:r>
        <w:t>, LLC</w:t>
      </w:r>
    </w:p>
    <w:p w:rsidR="002D7212" w:rsidP="00381861">
      <w:pPr>
        <w:tabs>
          <w:tab w:val="left" w:pos="1440"/>
        </w:tabs>
        <w:jc w:val="center"/>
      </w:pPr>
      <w:r>
        <w:t>S253677</w:t>
      </w:r>
    </w:p>
    <w:p w:rsidR="002D7212" w:rsidP="00AC1F95">
      <w:pPr>
        <w:tabs>
          <w:tab w:val="left" w:pos="1440"/>
        </w:tabs>
      </w:pPr>
    </w:p>
    <w:p w:rsidR="00D11788" w:rsidP="00381861">
      <w:pPr>
        <w:tabs>
          <w:tab w:val="left" w:pos="1440"/>
        </w:tabs>
        <w:jc w:val="center"/>
        <w:sectPr w:rsidSect="0037621C">
          <w:headerReference w:type="default" r:id="rId11"/>
          <w:footerReference w:type="first" r:id="rId12"/>
          <w:pgSz w:w="12240" w:h="15840"/>
          <w:pgMar w:top="1800" w:right="2160" w:bottom="1440" w:left="2160" w:header="720" w:footer="720" w:gutter="0"/>
          <w:pgNumType w:start="1"/>
          <w:cols w:space="720"/>
          <w:docGrid w:linePitch="367"/>
        </w:sectPr>
      </w:pPr>
      <w:r>
        <w:t>Opinion of the Court by Liu, J.</w:t>
      </w:r>
    </w:p>
    <w:p w:rsidR="00381861" w:rsidP="00AC1F95">
      <w:pPr>
        <w:tabs>
          <w:tab w:val="left" w:pos="1440"/>
        </w:tabs>
      </w:pPr>
    </w:p>
    <w:p w:rsidR="00A61438" w:rsidRPr="002D7212" w:rsidP="00F640B7">
      <w:pPr>
        <w:tabs>
          <w:tab w:val="left" w:pos="1440"/>
        </w:tabs>
        <w:ind w:firstLine="720"/>
      </w:pPr>
      <w:r w:rsidRPr="002D7212">
        <w:t xml:space="preserve">Under California law, employers must generally provide employees </w:t>
      </w:r>
      <w:r w:rsidRPr="002D7212" w:rsidR="00737F8C">
        <w:t xml:space="preserve">with </w:t>
      </w:r>
      <w:r w:rsidR="00315514">
        <w:t>one</w:t>
      </w:r>
      <w:r w:rsidRPr="002D7212" w:rsidR="00CB7788">
        <w:t xml:space="preserve"> 30-minute meal period </w:t>
      </w:r>
      <w:r w:rsidRPr="002D7212" w:rsidR="00436730">
        <w:t>that begins no later than the end of the fifth hour of work</w:t>
      </w:r>
      <w:r w:rsidRPr="002D7212" w:rsidR="00EA31BE">
        <w:t xml:space="preserve"> and another 30-minute meal period that begins no later than the end of the tenth hour of work</w:t>
      </w:r>
      <w:r w:rsidRPr="002D7212" w:rsidR="00476769">
        <w:t>.  (</w:t>
      </w:r>
      <w:r w:rsidRPr="002D7212" w:rsidR="006975A0">
        <w:t xml:space="preserve">Lab. Code, § 512, subd. (a); Industrial Welfare Commission (IWC) </w:t>
      </w:r>
      <w:r w:rsidRPr="002D7212" w:rsidR="005C3FF9">
        <w:t>w</w:t>
      </w:r>
      <w:r w:rsidRPr="002D7212" w:rsidR="006975A0">
        <w:t xml:space="preserve">age </w:t>
      </w:r>
      <w:r w:rsidRPr="002D7212" w:rsidR="005C3FF9">
        <w:t>o</w:t>
      </w:r>
      <w:r w:rsidRPr="002D7212" w:rsidR="006975A0">
        <w:t>rder No. 4-2001</w:t>
      </w:r>
      <w:r w:rsidRPr="002D7212" w:rsidR="00AF115A">
        <w:t xml:space="preserve">, </w:t>
      </w:r>
      <w:r w:rsidR="00004693">
        <w:t>§</w:t>
      </w:r>
      <w:r w:rsidRPr="002D7212" w:rsidR="00022648">
        <w:t> 11</w:t>
      </w:r>
      <w:r w:rsidRPr="002D7212" w:rsidR="00566B19">
        <w:t>(A)</w:t>
      </w:r>
      <w:r w:rsidRPr="002D7212" w:rsidR="002C5FBE">
        <w:t xml:space="preserve"> (</w:t>
      </w:r>
      <w:r w:rsidRPr="002D7212" w:rsidR="00F75064">
        <w:t>W</w:t>
      </w:r>
      <w:r w:rsidRPr="002D7212" w:rsidR="002C5FBE">
        <w:t xml:space="preserve">age </w:t>
      </w:r>
      <w:r w:rsidRPr="002D7212" w:rsidR="00F75064">
        <w:t>O</w:t>
      </w:r>
      <w:r w:rsidRPr="002D7212" w:rsidR="002C5FBE">
        <w:t>rder No. 4)</w:t>
      </w:r>
      <w:r w:rsidRPr="002D7212" w:rsidR="000670FA">
        <w:t xml:space="preserve">.)  </w:t>
      </w:r>
      <w:r w:rsidRPr="002D7212" w:rsidR="004067A4">
        <w:t xml:space="preserve">If an employer does not </w:t>
      </w:r>
      <w:r w:rsidRPr="002D7212" w:rsidR="00B13229">
        <w:t xml:space="preserve">provide </w:t>
      </w:r>
      <w:r w:rsidRPr="002D7212" w:rsidR="00C34CAC">
        <w:t xml:space="preserve">an employee with a compliant meal period, </w:t>
      </w:r>
      <w:r w:rsidRPr="002D7212" w:rsidR="008E359A">
        <w:t xml:space="preserve">then </w:t>
      </w:r>
      <w:r w:rsidR="008E4A22">
        <w:t>“</w:t>
      </w:r>
      <w:r w:rsidRPr="002D7212">
        <w:t xml:space="preserve">the employer </w:t>
      </w:r>
      <w:r w:rsidR="008E4A22">
        <w:t>shall</w:t>
      </w:r>
      <w:r w:rsidRPr="002D7212" w:rsidR="008E4A22">
        <w:t xml:space="preserve"> </w:t>
      </w:r>
      <w:r w:rsidRPr="002D7212">
        <w:t xml:space="preserve">pay the employee one additional hour of pay at the employee’s regular rate of compensation for each workday that the meal . . . period is not provided.”  (Lab. Code, </w:t>
      </w:r>
      <w:r w:rsidRPr="002D7212" w:rsidR="00D52CFE">
        <w:t>§</w:t>
      </w:r>
      <w:r w:rsidRPr="002D7212">
        <w:t xml:space="preserve"> 226.7, subd. (c); Wage Order No. 4, </w:t>
      </w:r>
      <w:r w:rsidR="00D9463A">
        <w:t>§</w:t>
      </w:r>
      <w:r w:rsidRPr="002D7212">
        <w:rPr>
          <w:szCs w:val="26"/>
        </w:rPr>
        <w:t xml:space="preserve"> 11(B).)  </w:t>
      </w:r>
    </w:p>
    <w:p w:rsidR="003D1C5C" w:rsidRPr="002D7212" w:rsidP="00F640B7">
      <w:pPr>
        <w:tabs>
          <w:tab w:val="left" w:pos="1440"/>
        </w:tabs>
        <w:ind w:firstLine="720"/>
      </w:pPr>
      <w:r w:rsidRPr="002D7212">
        <w:t xml:space="preserve">In this case, we </w:t>
      </w:r>
      <w:r w:rsidRPr="002D7212" w:rsidR="00F1310C">
        <w:t>decide</w:t>
      </w:r>
      <w:r w:rsidRPr="002D7212">
        <w:t xml:space="preserve"> t</w:t>
      </w:r>
      <w:r w:rsidRPr="002D7212" w:rsidR="00A17592">
        <w:t xml:space="preserve">wo questions of law </w:t>
      </w:r>
      <w:r w:rsidRPr="002D7212">
        <w:t xml:space="preserve">relating to </w:t>
      </w:r>
      <w:r w:rsidRPr="002D7212" w:rsidR="002141D1">
        <w:t>meal periods</w:t>
      </w:r>
      <w:r w:rsidRPr="002D7212" w:rsidR="003B799D">
        <w:t xml:space="preserve">.  </w:t>
      </w:r>
      <w:r w:rsidRPr="002D7212" w:rsidR="00986507">
        <w:t xml:space="preserve">First, </w:t>
      </w:r>
      <w:r w:rsidR="009561F0">
        <w:t>we</w:t>
      </w:r>
      <w:r w:rsidRPr="002D7212" w:rsidR="00255A1C">
        <w:t xml:space="preserve"> </w:t>
      </w:r>
      <w:r w:rsidR="00BC22C0">
        <w:t>hold</w:t>
      </w:r>
      <w:r w:rsidRPr="002D7212" w:rsidR="00BC22C0">
        <w:t xml:space="preserve"> </w:t>
      </w:r>
      <w:r w:rsidRPr="002D7212" w:rsidR="00255A1C">
        <w:t>that</w:t>
      </w:r>
      <w:r w:rsidRPr="002D7212" w:rsidR="00155F06">
        <w:t xml:space="preserve"> employers cannot engage in the practice of rounding time punches</w:t>
      </w:r>
      <w:r w:rsidR="00B5644E">
        <w:t> — </w:t>
      </w:r>
      <w:r w:rsidR="00F018B5">
        <w:t xml:space="preserve">that is, </w:t>
      </w:r>
      <w:r w:rsidR="00B5644E">
        <w:t xml:space="preserve">adjusting the hours that an employee has </w:t>
      </w:r>
      <w:r w:rsidR="00E56FAA">
        <w:t xml:space="preserve">actually </w:t>
      </w:r>
      <w:r w:rsidR="00B5644E">
        <w:t xml:space="preserve">worked to the nearest </w:t>
      </w:r>
      <w:r w:rsidR="0084325D">
        <w:t xml:space="preserve">preset time </w:t>
      </w:r>
      <w:r w:rsidR="00B5644E">
        <w:t>increment — </w:t>
      </w:r>
      <w:r w:rsidRPr="002D7212" w:rsidR="008E359A">
        <w:t xml:space="preserve">in the meal period context.  The meal period provisions are </w:t>
      </w:r>
      <w:r w:rsidRPr="002D7212" w:rsidR="00D8270B">
        <w:t>designed to prevent</w:t>
      </w:r>
      <w:r w:rsidRPr="002D7212" w:rsidR="008E359A">
        <w:t xml:space="preserve"> even minor infringements on </w:t>
      </w:r>
      <w:r w:rsidRPr="002D7212" w:rsidR="00257F27">
        <w:t xml:space="preserve">meal period </w:t>
      </w:r>
      <w:r w:rsidRPr="002D7212" w:rsidR="00A61438">
        <w:t>requirements</w:t>
      </w:r>
      <w:r w:rsidRPr="002D7212" w:rsidR="00257F27">
        <w:t xml:space="preserve">, </w:t>
      </w:r>
      <w:r w:rsidRPr="002D7212" w:rsidR="00A61438">
        <w:t xml:space="preserve">and rounding is incompatible with that </w:t>
      </w:r>
      <w:r w:rsidRPr="002D7212" w:rsidR="00D8270B">
        <w:t>objective</w:t>
      </w:r>
      <w:r w:rsidRPr="002D7212" w:rsidR="00A61438">
        <w:t xml:space="preserve">.  </w:t>
      </w:r>
      <w:r w:rsidRPr="002D7212" w:rsidR="00155F06">
        <w:t xml:space="preserve">Second, </w:t>
      </w:r>
      <w:r w:rsidR="009561F0">
        <w:t>we</w:t>
      </w:r>
      <w:r w:rsidRPr="002D7212" w:rsidR="007C0C18">
        <w:t xml:space="preserve"> </w:t>
      </w:r>
      <w:r w:rsidR="00BC22C0">
        <w:t>hold</w:t>
      </w:r>
      <w:r w:rsidRPr="002D7212" w:rsidR="00BC22C0">
        <w:t xml:space="preserve"> </w:t>
      </w:r>
      <w:r w:rsidRPr="002D7212" w:rsidR="007C0C18">
        <w:t xml:space="preserve">that time records showing </w:t>
      </w:r>
      <w:r w:rsidRPr="002D7212" w:rsidR="00A73620">
        <w:t xml:space="preserve">noncompliant meal periods </w:t>
      </w:r>
      <w:r w:rsidRPr="002D7212" w:rsidR="007C7911">
        <w:t xml:space="preserve">raise a rebuttable presumption of </w:t>
      </w:r>
      <w:r w:rsidRPr="002D7212" w:rsidR="004D307E">
        <w:t xml:space="preserve">meal period violations, including at the summary </w:t>
      </w:r>
      <w:r w:rsidRPr="002D7212" w:rsidR="00A61438">
        <w:t>judgment stage</w:t>
      </w:r>
      <w:r w:rsidRPr="002D7212">
        <w:t>.</w:t>
      </w:r>
    </w:p>
    <w:p w:rsidR="00D31ADA" w:rsidRPr="002D7212" w:rsidP="002D7212">
      <w:pPr>
        <w:tabs>
          <w:tab w:val="left" w:pos="1440"/>
        </w:tabs>
        <w:ind w:firstLine="720"/>
      </w:pPr>
      <w:r w:rsidRPr="002D7212">
        <w:t xml:space="preserve">In light of </w:t>
      </w:r>
      <w:r w:rsidR="00D25E3B">
        <w:t>our</w:t>
      </w:r>
      <w:r w:rsidRPr="002D7212">
        <w:t xml:space="preserve"> holdings, </w:t>
      </w:r>
      <w:r w:rsidRPr="002D7212" w:rsidR="00ED1C46">
        <w:t xml:space="preserve">we </w:t>
      </w:r>
      <w:r w:rsidRPr="002D7212" w:rsidR="00CD61B8">
        <w:t xml:space="preserve">reverse </w:t>
      </w:r>
      <w:r w:rsidRPr="002D7212" w:rsidR="009E510A">
        <w:t>the Court of Appeal’s judgment and remand</w:t>
      </w:r>
      <w:r w:rsidRPr="002D7212" w:rsidR="00F828D3">
        <w:t xml:space="preserve"> the matter to </w:t>
      </w:r>
      <w:r w:rsidRPr="002D7212" w:rsidR="007750DF">
        <w:t xml:space="preserve">permit either party to bring a new summary </w:t>
      </w:r>
      <w:r w:rsidRPr="002D7212" w:rsidR="009B50FC">
        <w:t xml:space="preserve">adjudication motion as to the meal period claim.  </w:t>
      </w:r>
      <w:r w:rsidRPr="002D7212" w:rsidR="009B50FC">
        <w:rPr>
          <w:szCs w:val="26"/>
        </w:rPr>
        <w:t xml:space="preserve">(See </w:t>
      </w:r>
      <w:r w:rsidRPr="002D7212" w:rsidR="009B50FC">
        <w:rPr>
          <w:i/>
          <w:szCs w:val="26"/>
        </w:rPr>
        <w:t xml:space="preserve">TRB Investments, Inc. v. Fireman’s Fund Ins. Co. </w:t>
      </w:r>
      <w:r w:rsidRPr="002D7212" w:rsidR="009B50FC">
        <w:rPr>
          <w:szCs w:val="26"/>
        </w:rPr>
        <w:t>(2006) 40 Cal.4th 19, 23, 31–32</w:t>
      </w:r>
      <w:r w:rsidRPr="002D7212" w:rsidR="00413D66">
        <w:rPr>
          <w:szCs w:val="26"/>
        </w:rPr>
        <w:t xml:space="preserve"> (</w:t>
      </w:r>
      <w:r w:rsidRPr="002D7212" w:rsidR="00413D66">
        <w:rPr>
          <w:i/>
          <w:szCs w:val="26"/>
        </w:rPr>
        <w:t>TRB Investments</w:t>
      </w:r>
      <w:r w:rsidRPr="002D7212" w:rsidR="00413D66">
        <w:rPr>
          <w:szCs w:val="26"/>
        </w:rPr>
        <w:t>)</w:t>
      </w:r>
      <w:r w:rsidRPr="002D7212" w:rsidR="009B50FC">
        <w:rPr>
          <w:szCs w:val="26"/>
        </w:rPr>
        <w:t>.)</w:t>
      </w:r>
      <w:r w:rsidRPr="002D7212" w:rsidR="0071431E">
        <w:rPr>
          <w:szCs w:val="26"/>
        </w:rPr>
        <w:t xml:space="preserve">  </w:t>
      </w:r>
      <w:r w:rsidRPr="002D7212" w:rsidR="00421096">
        <w:rPr>
          <w:szCs w:val="26"/>
        </w:rPr>
        <w:t>The</w:t>
      </w:r>
      <w:r w:rsidRPr="002D7212">
        <w:rPr>
          <w:szCs w:val="26"/>
        </w:rPr>
        <w:t xml:space="preserve"> </w:t>
      </w:r>
      <w:r w:rsidRPr="002D7212" w:rsidR="00CD406A">
        <w:rPr>
          <w:szCs w:val="26"/>
        </w:rPr>
        <w:t xml:space="preserve">remand </w:t>
      </w:r>
      <w:r w:rsidRPr="002D7212" w:rsidR="00022E98">
        <w:rPr>
          <w:szCs w:val="26"/>
        </w:rPr>
        <w:t xml:space="preserve">offers the parties the opportunity </w:t>
      </w:r>
      <w:r w:rsidRPr="002D7212" w:rsidR="005345AD">
        <w:rPr>
          <w:szCs w:val="26"/>
        </w:rPr>
        <w:t xml:space="preserve">to present </w:t>
      </w:r>
      <w:r w:rsidRPr="002D7212" w:rsidR="009127E8">
        <w:rPr>
          <w:szCs w:val="26"/>
        </w:rPr>
        <w:t xml:space="preserve">evidence </w:t>
      </w:r>
      <w:r w:rsidRPr="002D7212" w:rsidR="00DD3694">
        <w:rPr>
          <w:szCs w:val="26"/>
        </w:rPr>
        <w:t xml:space="preserve">and </w:t>
      </w:r>
      <w:r w:rsidRPr="002D7212" w:rsidR="00705636">
        <w:rPr>
          <w:szCs w:val="26"/>
        </w:rPr>
        <w:t xml:space="preserve">arguments </w:t>
      </w:r>
      <w:r w:rsidR="00926411">
        <w:rPr>
          <w:szCs w:val="26"/>
        </w:rPr>
        <w:t xml:space="preserve">bearing on the question of liability </w:t>
      </w:r>
      <w:r w:rsidRPr="002D7212" w:rsidR="005345AD">
        <w:rPr>
          <w:szCs w:val="26"/>
        </w:rPr>
        <w:t xml:space="preserve">in light of our analysis here.  </w:t>
      </w:r>
    </w:p>
    <w:p w:rsidR="00EF0AA2" w:rsidRPr="002D7212" w:rsidP="00AC1F95">
      <w:pPr>
        <w:tabs>
          <w:tab w:val="left" w:pos="1440"/>
        </w:tabs>
        <w:jc w:val="center"/>
        <w:rPr>
          <w:b/>
        </w:rPr>
      </w:pPr>
      <w:r w:rsidRPr="002D7212">
        <w:rPr>
          <w:b/>
        </w:rPr>
        <w:t>I.</w:t>
      </w:r>
    </w:p>
    <w:p w:rsidR="00D6564F" w:rsidRPr="002D7212" w:rsidP="002D7212">
      <w:pPr>
        <w:tabs>
          <w:tab w:val="left" w:pos="1440"/>
        </w:tabs>
        <w:ind w:firstLine="720"/>
      </w:pPr>
      <w:r w:rsidRPr="002D7212">
        <w:t xml:space="preserve">Defendant AMN Services, LLC (AMN) is </w:t>
      </w:r>
      <w:r w:rsidRPr="002D7212" w:rsidR="000D1966">
        <w:t xml:space="preserve">a </w:t>
      </w:r>
      <w:r w:rsidRPr="002D7212" w:rsidR="00AD79AB">
        <w:t xml:space="preserve">healthcare services and staffing company </w:t>
      </w:r>
      <w:r w:rsidRPr="002D7212" w:rsidR="00A6246B">
        <w:t>that recruits nurses for t</w:t>
      </w:r>
      <w:r w:rsidRPr="002D7212" w:rsidR="007D6548">
        <w:t xml:space="preserve">emporary contract assignments.  Between September 2012 and February 2014, plaintiff Kennedy Donohue worked as a nurse recruiter at AMN’s San Diego </w:t>
      </w:r>
      <w:r w:rsidRPr="002D7212" w:rsidR="00FD66A3">
        <w:t>offices.</w:t>
      </w:r>
      <w:r w:rsidRPr="002D7212" w:rsidR="008B4584">
        <w:t xml:space="preserve">  </w:t>
      </w:r>
      <w:r w:rsidR="00354691">
        <w:t>In that role</w:t>
      </w:r>
      <w:r w:rsidRPr="002D7212" w:rsidR="008B4584">
        <w:t>, Donohue did not have predetermined shifts but was expected to work eight hours per day.</w:t>
      </w:r>
      <w:r w:rsidRPr="002D7212" w:rsidR="00956852">
        <w:t xml:space="preserve">  Per AMN’s company policy, </w:t>
      </w:r>
      <w:r w:rsidRPr="002D7212" w:rsidR="00F62A63">
        <w:t>nurse recruiters were provided with 30</w:t>
      </w:r>
      <w:r w:rsidR="006126C5">
        <w:noBreakHyphen/>
      </w:r>
      <w:r w:rsidRPr="002D7212" w:rsidR="00F62A63">
        <w:t>minute meal periods beginning no later than the end of the f</w:t>
      </w:r>
      <w:r w:rsidRPr="002D7212" w:rsidR="00267BE8">
        <w:t>ifth</w:t>
      </w:r>
      <w:r w:rsidRPr="002D7212" w:rsidR="009A72BF">
        <w:t xml:space="preserve"> hour of work.  AMN’</w:t>
      </w:r>
      <w:r w:rsidRPr="002D7212" w:rsidR="00580CD0">
        <w:t>s policy and trainings emphasized that the meal period was an “uninterrupted 30 minute” break, during which employees were “relieved of all job duties,” were “free to leave the office site,” and “control[led] the time.”  Th</w:t>
      </w:r>
      <w:r w:rsidRPr="002D7212" w:rsidR="00E24AAA">
        <w:t>e policy also specified that supervisors should not “</w:t>
      </w:r>
      <w:r w:rsidRPr="00843849" w:rsidR="00E24AAA">
        <w:rPr>
          <w:i/>
        </w:rPr>
        <w:t>impede</w:t>
      </w:r>
      <w:r w:rsidRPr="002D7212" w:rsidR="00E24AAA">
        <w:t xml:space="preserve"> or </w:t>
      </w:r>
      <w:r w:rsidRPr="00843849" w:rsidR="00E24AAA">
        <w:rPr>
          <w:i/>
        </w:rPr>
        <w:t>discourage</w:t>
      </w:r>
      <w:r w:rsidRPr="002D7212" w:rsidR="00E24AAA">
        <w:t xml:space="preserve"> team members from taking their break.”</w:t>
      </w:r>
    </w:p>
    <w:p w:rsidR="00912AB3" w:rsidRPr="002D7212" w:rsidP="002D7212">
      <w:pPr>
        <w:tabs>
          <w:tab w:val="left" w:pos="1440"/>
        </w:tabs>
        <w:ind w:firstLine="720"/>
      </w:pPr>
      <w:r w:rsidRPr="002D7212">
        <w:t xml:space="preserve">Until April 2015, </w:t>
      </w:r>
      <w:r w:rsidRPr="002D7212" w:rsidR="009249D1">
        <w:t>AMN used an electronic timekee</w:t>
      </w:r>
      <w:r w:rsidRPr="002D7212" w:rsidR="00F8312F">
        <w:t xml:space="preserve">ping system called Team Time to </w:t>
      </w:r>
      <w:r w:rsidRPr="002D7212" w:rsidR="00C612A3">
        <w:t>track it</w:t>
      </w:r>
      <w:r w:rsidRPr="002D7212" w:rsidR="00FC5ABA">
        <w:t>s employees’ compensable time.  Employees</w:t>
      </w:r>
      <w:r w:rsidRPr="002D7212" w:rsidR="009C45E8">
        <w:t xml:space="preserve"> used their work desktop computers to punch in and out of Team Time, including at the begin</w:t>
      </w:r>
      <w:r w:rsidRPr="002D7212" w:rsidR="005036DA">
        <w:t xml:space="preserve">ning of the day, </w:t>
      </w:r>
      <w:r w:rsidR="008D0505">
        <w:t xml:space="preserve">at the </w:t>
      </w:r>
      <w:r w:rsidRPr="002D7212" w:rsidR="00752C49">
        <w:t xml:space="preserve">beginning of </w:t>
      </w:r>
      <w:r w:rsidRPr="002D7212" w:rsidR="005036DA">
        <w:t xml:space="preserve">lunch, </w:t>
      </w:r>
      <w:r w:rsidR="008D0505">
        <w:t xml:space="preserve">at the </w:t>
      </w:r>
      <w:r w:rsidRPr="002D7212" w:rsidR="009C45E8">
        <w:t>end of lun</w:t>
      </w:r>
      <w:r w:rsidRPr="002D7212" w:rsidR="005036DA">
        <w:t>ch, and</w:t>
      </w:r>
      <w:r w:rsidR="008D0505">
        <w:t xml:space="preserve"> at the</w:t>
      </w:r>
      <w:r w:rsidRPr="002D7212" w:rsidR="005036DA">
        <w:t xml:space="preserve"> </w:t>
      </w:r>
      <w:r w:rsidRPr="002D7212" w:rsidR="009C45E8">
        <w:t>end of the day.</w:t>
      </w:r>
      <w:r w:rsidRPr="002D7212" w:rsidR="00FE2857">
        <w:t xml:space="preserve">  Employ</w:t>
      </w:r>
      <w:r w:rsidRPr="002D7212" w:rsidR="00B13B4D">
        <w:t xml:space="preserve">ees could </w:t>
      </w:r>
      <w:r w:rsidRPr="002D7212" w:rsidR="00C57173">
        <w:t xml:space="preserve">also </w:t>
      </w:r>
      <w:r w:rsidRPr="002D7212" w:rsidR="001A32D8">
        <w:t xml:space="preserve">ask to manually adjust any </w:t>
      </w:r>
      <w:r w:rsidRPr="002D7212" w:rsidR="009F1F31">
        <w:t xml:space="preserve">inaccurate </w:t>
      </w:r>
      <w:r w:rsidRPr="002D7212" w:rsidR="0087259B">
        <w:t>time punches</w:t>
      </w:r>
      <w:r w:rsidR="002432AD">
        <w:t> </w:t>
      </w:r>
      <w:r w:rsidRPr="002D7212" w:rsidR="009F1F31">
        <w:t>—</w:t>
      </w:r>
      <w:r w:rsidR="002432AD">
        <w:t> </w:t>
      </w:r>
      <w:r w:rsidRPr="002D7212" w:rsidR="009F1F31">
        <w:t xml:space="preserve">for example, </w:t>
      </w:r>
      <w:r w:rsidRPr="002D7212" w:rsidR="004305E4">
        <w:t>if they forg</w:t>
      </w:r>
      <w:r w:rsidRPr="002D7212" w:rsidR="00F75064">
        <w:t>o</w:t>
      </w:r>
      <w:r w:rsidRPr="002D7212" w:rsidR="004305E4">
        <w:t xml:space="preserve">t to clock </w:t>
      </w:r>
      <w:r w:rsidRPr="002D7212" w:rsidR="004305E4">
        <w:t xml:space="preserve">out for lunch or </w:t>
      </w:r>
      <w:r w:rsidR="00354691">
        <w:t xml:space="preserve">if they </w:t>
      </w:r>
      <w:r w:rsidRPr="002D7212" w:rsidR="004305E4">
        <w:t>work</w:t>
      </w:r>
      <w:r w:rsidRPr="002D7212" w:rsidR="00735217">
        <w:t>ed</w:t>
      </w:r>
      <w:r w:rsidRPr="002D7212" w:rsidR="004305E4">
        <w:t xml:space="preserve"> when they </w:t>
      </w:r>
      <w:r w:rsidRPr="002D7212" w:rsidR="00735217">
        <w:t>we</w:t>
      </w:r>
      <w:r w:rsidRPr="002D7212" w:rsidR="004305E4">
        <w:t>re clocked out.</w:t>
      </w:r>
      <w:r w:rsidRPr="002D7212" w:rsidR="00B508C2">
        <w:t xml:space="preserve">  </w:t>
      </w:r>
      <w:r w:rsidRPr="002D7212">
        <w:t xml:space="preserve">For purposes of calculating work time and compensation, Team Time rounded the </w:t>
      </w:r>
      <w:r w:rsidRPr="002D7212" w:rsidR="0087259B">
        <w:t>time punches</w:t>
      </w:r>
      <w:r w:rsidRPr="002D7212" w:rsidR="0059101F">
        <w:t xml:space="preserve"> to the nearest 10</w:t>
      </w:r>
      <w:r w:rsidRPr="002D7212">
        <w:t>-minute increment</w:t>
      </w:r>
      <w:r w:rsidRPr="002D7212" w:rsidR="0026272E">
        <w:t>.</w:t>
      </w:r>
      <w:r w:rsidRPr="002D7212" w:rsidR="0039648F">
        <w:t xml:space="preserve">  For example, if</w:t>
      </w:r>
      <w:r w:rsidRPr="002D7212">
        <w:t xml:space="preserve"> an employee clocked out for lunch at 11:02 a.m. and clocked in after lunch at 11:25 a.m., Team Time</w:t>
      </w:r>
      <w:r w:rsidRPr="002D7212" w:rsidR="007F69D9">
        <w:t xml:space="preserve"> would have</w:t>
      </w:r>
      <w:r w:rsidRPr="002D7212">
        <w:t xml:space="preserve"> recorded the </w:t>
      </w:r>
      <w:r w:rsidRPr="002D7212" w:rsidR="0087259B">
        <w:t>time punches</w:t>
      </w:r>
      <w:r w:rsidRPr="002D7212">
        <w:t xml:space="preserve"> as 11:00 a.m. and 11:30 a.m.  </w:t>
      </w:r>
      <w:r w:rsidR="00354691">
        <w:t>Although</w:t>
      </w:r>
      <w:r w:rsidRPr="002D7212">
        <w:t xml:space="preserve"> the actual meal period </w:t>
      </w:r>
      <w:r w:rsidRPr="002D7212" w:rsidR="002E55F5">
        <w:t>was</w:t>
      </w:r>
      <w:r w:rsidRPr="002D7212">
        <w:t xml:space="preserve"> 23 minutes, Team Time </w:t>
      </w:r>
      <w:r w:rsidRPr="002D7212" w:rsidR="00162718">
        <w:t xml:space="preserve">would have </w:t>
      </w:r>
      <w:r w:rsidRPr="002D7212">
        <w:t xml:space="preserve">recorded </w:t>
      </w:r>
      <w:r w:rsidRPr="002D7212" w:rsidR="00B24869">
        <w:t xml:space="preserve">the meal period as 30 minutes.  Similarly, if an </w:t>
      </w:r>
      <w:r w:rsidRPr="002D7212" w:rsidR="00A70F3D">
        <w:t>employee clocked</w:t>
      </w:r>
      <w:r w:rsidRPr="002D7212" w:rsidR="00B24869">
        <w:t xml:space="preserve"> in for work at 6:59</w:t>
      </w:r>
      <w:r w:rsidRPr="002D7212" w:rsidR="00A70F3D">
        <w:t xml:space="preserve"> a.m. and clocked</w:t>
      </w:r>
      <w:r w:rsidRPr="002D7212" w:rsidR="00B24869">
        <w:t xml:space="preserve"> out for lunch at 12:04 p.m., Team Time would have rounded the </w:t>
      </w:r>
      <w:r w:rsidRPr="002D7212" w:rsidR="000A6E6D">
        <w:t xml:space="preserve">time punches </w:t>
      </w:r>
      <w:r w:rsidRPr="002D7212" w:rsidR="00B24869">
        <w:t>to 7:00 a.m. and 12:00 p.m.  In that case, the actual meal period started</w:t>
      </w:r>
      <w:r w:rsidRPr="002D7212" w:rsidR="00AD6F10">
        <w:t xml:space="preserve"> after</w:t>
      </w:r>
      <w:r w:rsidRPr="002D7212" w:rsidR="00B24869">
        <w:t xml:space="preserve"> </w:t>
      </w:r>
      <w:r w:rsidRPr="002D7212" w:rsidR="00AD6F10">
        <w:t>five hours and five minutes of work, but Team Time would have recorded the meal period as starting after</w:t>
      </w:r>
      <w:r w:rsidRPr="002D7212" w:rsidR="0033452B">
        <w:t xml:space="preserve"> exactly</w:t>
      </w:r>
      <w:r w:rsidRPr="002D7212" w:rsidR="00AD6F10">
        <w:t xml:space="preserve"> five hours of work.</w:t>
      </w:r>
      <w:r w:rsidRPr="002D7212" w:rsidR="00B24869">
        <w:t xml:space="preserve"> </w:t>
      </w:r>
    </w:p>
    <w:p w:rsidR="00A53FC5" w:rsidRPr="002D7212" w:rsidP="002D7212">
      <w:pPr>
        <w:tabs>
          <w:tab w:val="left" w:pos="1440"/>
        </w:tabs>
        <w:ind w:firstLine="720"/>
      </w:pPr>
      <w:r w:rsidRPr="002D7212">
        <w:t xml:space="preserve">AMN </w:t>
      </w:r>
      <w:r w:rsidRPr="002D7212" w:rsidR="00495C56">
        <w:t>also used Team Time to manage potentially noncompliant</w:t>
      </w:r>
      <w:r w:rsidRPr="002D7212" w:rsidR="00267309">
        <w:t xml:space="preserve"> meal periods.  </w:t>
      </w:r>
      <w:r w:rsidRPr="002D7212" w:rsidR="00400B23">
        <w:t xml:space="preserve">Before </w:t>
      </w:r>
      <w:r w:rsidRPr="002D7212" w:rsidR="00CB7B07">
        <w:t>September 2012,</w:t>
      </w:r>
      <w:r w:rsidRPr="002D7212" w:rsidR="002A4542">
        <w:t xml:space="preserve"> when</w:t>
      </w:r>
      <w:r w:rsidR="00354691">
        <w:t>ever</w:t>
      </w:r>
      <w:r w:rsidRPr="002D7212" w:rsidR="00CB7B07">
        <w:t xml:space="preserve"> </w:t>
      </w:r>
      <w:r w:rsidRPr="002D7212" w:rsidR="00495C56">
        <w:t>Team Time</w:t>
      </w:r>
      <w:r w:rsidRPr="002D7212" w:rsidR="00FC7EEF">
        <w:t xml:space="preserve"> </w:t>
      </w:r>
      <w:r w:rsidRPr="002D7212" w:rsidR="00CB7B07">
        <w:t>reco</w:t>
      </w:r>
      <w:r w:rsidRPr="002D7212" w:rsidR="00576AAF">
        <w:t xml:space="preserve">rds showed a </w:t>
      </w:r>
      <w:r w:rsidRPr="002D7212" w:rsidR="00291900">
        <w:t xml:space="preserve">missed </w:t>
      </w:r>
      <w:r w:rsidRPr="002D7212" w:rsidR="00576AAF">
        <w:t>meal period</w:t>
      </w:r>
      <w:r w:rsidR="00DF7FC4">
        <w:t>,</w:t>
      </w:r>
      <w:r w:rsidRPr="002D7212" w:rsidR="00576AAF">
        <w:t xml:space="preserve"> </w:t>
      </w:r>
      <w:r w:rsidRPr="002D7212" w:rsidR="00291900">
        <w:t xml:space="preserve">a meal period </w:t>
      </w:r>
      <w:r w:rsidRPr="002D7212" w:rsidR="00576AAF">
        <w:t>shorter than 30 minutes</w:t>
      </w:r>
      <w:r w:rsidR="00DF7FC4">
        <w:t>,</w:t>
      </w:r>
      <w:r w:rsidRPr="002D7212" w:rsidR="00576AAF">
        <w:t xml:space="preserve"> or</w:t>
      </w:r>
      <w:r w:rsidR="00DF7FC4">
        <w:t xml:space="preserve"> a meal period</w:t>
      </w:r>
      <w:r w:rsidRPr="002D7212" w:rsidR="00576AAF">
        <w:t xml:space="preserve"> </w:t>
      </w:r>
      <w:r w:rsidRPr="002D7212" w:rsidR="000F65EF">
        <w:t xml:space="preserve">taken after five hours of work, </w:t>
      </w:r>
      <w:r w:rsidRPr="002D7212" w:rsidR="00495C56">
        <w:t xml:space="preserve">AMN </w:t>
      </w:r>
      <w:r w:rsidRPr="002D7212" w:rsidR="00267309">
        <w:t xml:space="preserve">assumed </w:t>
      </w:r>
      <w:r w:rsidRPr="002D7212" w:rsidR="005F06A8">
        <w:t xml:space="preserve">there had been a meal period violation and </w:t>
      </w:r>
      <w:r w:rsidRPr="002D7212" w:rsidR="0065075E">
        <w:t>paid the employee</w:t>
      </w:r>
      <w:r w:rsidRPr="002D7212" w:rsidR="00B65273">
        <w:t xml:space="preserve"> a premium wage. </w:t>
      </w:r>
      <w:r w:rsidR="00D00FB5">
        <w:t xml:space="preserve"> </w:t>
      </w:r>
      <w:r w:rsidRPr="002D7212" w:rsidR="005E02EF">
        <w:t xml:space="preserve">In September 2012, </w:t>
      </w:r>
      <w:r w:rsidRPr="002D7212" w:rsidR="00A76D2E">
        <w:t xml:space="preserve">AMN </w:t>
      </w:r>
      <w:r w:rsidRPr="002D7212" w:rsidR="00170DA9">
        <w:t xml:space="preserve">added a </w:t>
      </w:r>
      <w:r w:rsidRPr="002D7212" w:rsidR="00C929BF">
        <w:t xml:space="preserve">feature </w:t>
      </w:r>
      <w:r w:rsidRPr="002D7212" w:rsidR="00170DA9">
        <w:t>to Team Time</w:t>
      </w:r>
      <w:r w:rsidRPr="002D7212" w:rsidR="008C6FD7">
        <w:t xml:space="preserve"> </w:t>
      </w:r>
      <w:r w:rsidRPr="002D7212" w:rsidR="006167B3">
        <w:t xml:space="preserve">to </w:t>
      </w:r>
      <w:r w:rsidRPr="002D7212" w:rsidR="009E6F6B">
        <w:t xml:space="preserve">comply with </w:t>
      </w:r>
      <w:r w:rsidRPr="002D7212" w:rsidR="001F6F32">
        <w:t xml:space="preserve">the </w:t>
      </w:r>
      <w:r w:rsidRPr="002D7212" w:rsidR="00D03001">
        <w:t>meal period requirements articulated in</w:t>
      </w:r>
      <w:r w:rsidRPr="002D7212" w:rsidR="008E3A44">
        <w:t xml:space="preserve"> </w:t>
      </w:r>
      <w:r w:rsidRPr="002D7212" w:rsidR="00640116">
        <w:rPr>
          <w:i/>
        </w:rPr>
        <w:t xml:space="preserve">Brinker Restaurant Corp. v. Superior Court </w:t>
      </w:r>
      <w:r w:rsidRPr="002D7212" w:rsidR="00640116">
        <w:t>(2012) 53 Cal.4th 1004 (</w:t>
      </w:r>
      <w:r w:rsidRPr="002D7212" w:rsidR="00640116">
        <w:rPr>
          <w:i/>
        </w:rPr>
        <w:t>Brinker</w:t>
      </w:r>
      <w:r w:rsidRPr="002D7212" w:rsidR="00640116">
        <w:t>)</w:t>
      </w:r>
      <w:r w:rsidR="00354691">
        <w:t>:  W</w:t>
      </w:r>
      <w:r w:rsidRPr="002D7212" w:rsidR="005A114F">
        <w:t>hen an employee recorded a missed, short, or delayed meal period,</w:t>
      </w:r>
      <w:r w:rsidRPr="002D7212" w:rsidR="00C4740C">
        <w:t xml:space="preserve"> </w:t>
      </w:r>
      <w:r w:rsidRPr="002D7212" w:rsidR="00EF5492">
        <w:t>a dropdown menu would appear on Team Time.</w:t>
      </w:r>
      <w:r w:rsidRPr="002D7212" w:rsidR="009B08D4">
        <w:t xml:space="preserve">  </w:t>
      </w:r>
      <w:r w:rsidRPr="002D7212" w:rsidR="003165B2">
        <w:t xml:space="preserve">The dropdown menu prompted the employee to </w:t>
      </w:r>
      <w:r w:rsidRPr="002D7212" w:rsidR="009B08D4">
        <w:t xml:space="preserve">choose </w:t>
      </w:r>
      <w:r w:rsidRPr="002D7212" w:rsidR="00925038">
        <w:t>one of three options</w:t>
      </w:r>
      <w:r w:rsidRPr="002D7212" w:rsidR="008D0C73">
        <w:t>:</w:t>
      </w:r>
      <w:r w:rsidR="00D00FB5">
        <w:t>  </w:t>
      </w:r>
      <w:r w:rsidRPr="002D7212" w:rsidR="007A1160">
        <w:t xml:space="preserve">(1) </w:t>
      </w:r>
      <w:r w:rsidRPr="002D7212" w:rsidR="00DB1B32">
        <w:t xml:space="preserve">“I </w:t>
      </w:r>
      <w:r w:rsidRPr="002D7212" w:rsidR="0063745E">
        <w:t xml:space="preserve">was provided an opportunity to take a 30 min break before the end of my 5th hour of work but chose not to”; </w:t>
      </w:r>
      <w:r w:rsidRPr="002D7212" w:rsidR="007A1160">
        <w:t xml:space="preserve">(2) </w:t>
      </w:r>
      <w:r w:rsidRPr="002D7212" w:rsidR="0063745E">
        <w:t xml:space="preserve">“I was provided an opportunity to take a 30 min break before the end of my 5th hour of work but chose to take a shorter/later break”; </w:t>
      </w:r>
      <w:r w:rsidRPr="002D7212" w:rsidR="007A1160">
        <w:t xml:space="preserve">(3) </w:t>
      </w:r>
      <w:r w:rsidRPr="002D7212" w:rsidR="0063745E">
        <w:t>“I was not provided an opportunity to take a 30 min break before the end of my 5th hour of work.”</w:t>
      </w:r>
      <w:r w:rsidRPr="002D7212" w:rsidR="008C315A">
        <w:t xml:space="preserve">  The employee was required to choose an option before submitting his or her timesheet at the end of the pay period.  </w:t>
      </w:r>
      <w:r w:rsidRPr="002D7212" w:rsidR="007A1160">
        <w:t xml:space="preserve">If the employee chose the first or second option, then AMN assumed </w:t>
      </w:r>
      <w:r w:rsidRPr="002D7212" w:rsidR="006C0A58">
        <w:t xml:space="preserve">the employee was provided with a compliant meal period but voluntarily </w:t>
      </w:r>
      <w:r w:rsidRPr="002D7212" w:rsidR="00BE0F6F">
        <w:t>chose not to take one</w:t>
      </w:r>
      <w:r w:rsidRPr="002D7212" w:rsidR="00EE62A4">
        <w:t>, and t</w:t>
      </w:r>
      <w:r w:rsidRPr="002D7212" w:rsidR="00A112FD">
        <w:t>he employee did not receive premium pa</w:t>
      </w:r>
      <w:r w:rsidRPr="002D7212" w:rsidR="00E25A7D">
        <w:t xml:space="preserve">y for a meal period violation.  </w:t>
      </w:r>
      <w:r w:rsidRPr="002D7212" w:rsidR="00AD680F">
        <w:t xml:space="preserve">If the employee chose the third option, </w:t>
      </w:r>
      <w:r w:rsidRPr="002D7212" w:rsidR="004C33A9">
        <w:t>then AMN assumed there had been a meal period violation and paid the employee a premium wage.</w:t>
      </w:r>
      <w:r w:rsidRPr="002D7212" w:rsidR="005A1A14">
        <w:t xml:space="preserve">  </w:t>
      </w:r>
      <w:r w:rsidRPr="002D7212" w:rsidR="00C618FB">
        <w:t xml:space="preserve">In addition, at the end of each </w:t>
      </w:r>
      <w:r w:rsidRPr="002D7212" w:rsidR="00D77B93">
        <w:t xml:space="preserve">biweekly pay period, employees were required to </w:t>
      </w:r>
      <w:r w:rsidRPr="002D7212" w:rsidR="003B262F">
        <w:t>sign a certification statement</w:t>
      </w:r>
      <w:r w:rsidRPr="002D7212" w:rsidR="00ED5D3B">
        <w:t>:</w:t>
      </w:r>
      <w:r w:rsidR="00B6788E">
        <w:t>  </w:t>
      </w:r>
      <w:r w:rsidRPr="002D7212" w:rsidR="00ED5D3B">
        <w:t>“By submitting this timesheet, I am certifying that I have reviewed the time entries I made and confirm</w:t>
      </w:r>
      <w:r w:rsidRPr="002D7212" w:rsidR="00731480">
        <w:t xml:space="preserve"> </w:t>
      </w:r>
      <w:r w:rsidRPr="002D7212" w:rsidR="00ED5D3B">
        <w:t>they are true and accurate.  I am also confirming that .</w:t>
      </w:r>
      <w:r w:rsidR="000D442E">
        <w:t> </w:t>
      </w:r>
      <w:r w:rsidRPr="002D7212" w:rsidR="00ED5D3B">
        <w:t>.</w:t>
      </w:r>
      <w:r w:rsidR="000D442E">
        <w:t> </w:t>
      </w:r>
      <w:r w:rsidRPr="002D7212" w:rsidR="00ED5D3B">
        <w:t xml:space="preserve">. </w:t>
      </w:r>
      <w:r w:rsidRPr="002D7212" w:rsidR="004E7C65">
        <w:t>I was provided the opportunity to take all meal breaks to which I was entitled, or, if not, I have reported on this timesheet that I was not provided the opportunity to take all such meal breaks</w:t>
      </w:r>
      <w:r w:rsidRPr="002D7212" w:rsidR="00ED5D3B">
        <w:t xml:space="preserve"> </w:t>
      </w:r>
      <w:r w:rsidRPr="002D7212" w:rsidR="004E7C65">
        <w:t>.</w:t>
      </w:r>
      <w:r w:rsidRPr="002D7212" w:rsidR="00ED5D3B">
        <w:t> . . .</w:t>
      </w:r>
      <w:r w:rsidRPr="002D7212" w:rsidR="00717CC6">
        <w:t>”</w:t>
      </w:r>
    </w:p>
    <w:p w:rsidR="007E093D" w:rsidRPr="002D7212" w:rsidP="002D7212">
      <w:pPr>
        <w:tabs>
          <w:tab w:val="left" w:pos="1440"/>
        </w:tabs>
        <w:ind w:firstLine="720"/>
      </w:pPr>
      <w:r w:rsidRPr="002D7212">
        <w:t>AMN relied on</w:t>
      </w:r>
      <w:r w:rsidRPr="002D7212" w:rsidR="002E3FDC">
        <w:t xml:space="preserve"> the</w:t>
      </w:r>
      <w:r w:rsidRPr="002D7212">
        <w:t xml:space="preserve"> rounded </w:t>
      </w:r>
      <w:r w:rsidRPr="002D7212" w:rsidR="000A6E6D">
        <w:t xml:space="preserve">time punches </w:t>
      </w:r>
      <w:r w:rsidRPr="002D7212">
        <w:t>generated by Team Time to determine whether a meal period was shor</w:t>
      </w:r>
      <w:r w:rsidRPr="002D7212" w:rsidR="0005353F">
        <w:t xml:space="preserve">t or </w:t>
      </w:r>
      <w:r w:rsidRPr="002D7212" w:rsidR="00E3638D">
        <w:t xml:space="preserve">delayed.  </w:t>
      </w:r>
      <w:r w:rsidRPr="002D7212" w:rsidR="002E5007">
        <w:t xml:space="preserve">Consider the example above, where </w:t>
      </w:r>
      <w:r w:rsidRPr="002D7212" w:rsidR="00487841">
        <w:t>a</w:t>
      </w:r>
      <w:r w:rsidRPr="002D7212" w:rsidR="009A4284">
        <w:t xml:space="preserve"> 23-minute lunch starting at 11:02 a.m. and ending at 11:25 a.m. </w:t>
      </w:r>
      <w:r w:rsidRPr="002D7212" w:rsidR="002E55F5">
        <w:t>was</w:t>
      </w:r>
      <w:r w:rsidRPr="002D7212" w:rsidR="00C63D71">
        <w:t xml:space="preserve"> recorded on Team Time </w:t>
      </w:r>
      <w:r w:rsidRPr="002D7212" w:rsidR="00B07807">
        <w:t>as a 30</w:t>
      </w:r>
      <w:r w:rsidRPr="002D7212" w:rsidR="009F4963">
        <w:t>-minute lunch starting at 11:00 </w:t>
      </w:r>
      <w:r w:rsidRPr="002D7212" w:rsidR="00B07807">
        <w:t>a.m. and ending at 11:30 a.m</w:t>
      </w:r>
      <w:r w:rsidRPr="002D7212" w:rsidR="00C73A48">
        <w:t xml:space="preserve">.  </w:t>
      </w:r>
      <w:r w:rsidRPr="002D7212" w:rsidR="00F026DD">
        <w:t xml:space="preserve">Before September 2012, AMN </w:t>
      </w:r>
      <w:r w:rsidRPr="002D7212" w:rsidR="00FB3C54">
        <w:t>would not have paid</w:t>
      </w:r>
      <w:r w:rsidRPr="002D7212" w:rsidR="00F026DD">
        <w:t xml:space="preserve"> a premium wage for this </w:t>
      </w:r>
      <w:r w:rsidRPr="002D7212" w:rsidR="00F949D8">
        <w:t>lunch</w:t>
      </w:r>
      <w:r w:rsidRPr="002D7212" w:rsidR="00F026DD">
        <w:t xml:space="preserve"> because it</w:t>
      </w:r>
      <w:r w:rsidRPr="002D7212" w:rsidR="009E551F">
        <w:t xml:space="preserve"> would have</w:t>
      </w:r>
      <w:r w:rsidRPr="002D7212" w:rsidR="007562E5">
        <w:t xml:space="preserve"> </w:t>
      </w:r>
      <w:r w:rsidRPr="002D7212" w:rsidR="00F026DD">
        <w:t xml:space="preserve">appeared as a full 30-minute </w:t>
      </w:r>
      <w:r w:rsidRPr="002D7212" w:rsidR="00AC6518">
        <w:t xml:space="preserve">meal period </w:t>
      </w:r>
      <w:r w:rsidRPr="002D7212" w:rsidR="00F026DD">
        <w:t xml:space="preserve">in the Team Time records.  Similarly, after September 2012, the dropdown menu </w:t>
      </w:r>
      <w:r w:rsidRPr="002D7212" w:rsidR="00B440A9">
        <w:t>would not have been</w:t>
      </w:r>
      <w:r w:rsidRPr="002D7212" w:rsidR="00F026DD">
        <w:t xml:space="preserve"> triggered for t</w:t>
      </w:r>
      <w:r w:rsidRPr="002D7212" w:rsidR="00F949D8">
        <w:t xml:space="preserve">his lunch because it </w:t>
      </w:r>
      <w:r w:rsidRPr="002D7212" w:rsidR="00B440A9">
        <w:t xml:space="preserve">would have </w:t>
      </w:r>
      <w:r w:rsidRPr="002D7212" w:rsidR="00397695">
        <w:t>appeared as a compliant</w:t>
      </w:r>
      <w:r w:rsidRPr="002D7212" w:rsidR="007D0D5D">
        <w:t xml:space="preserve"> meal period on Team Time.</w:t>
      </w:r>
      <w:r w:rsidRPr="002D7212" w:rsidR="00B6608E">
        <w:t xml:space="preserve">  In other words, </w:t>
      </w:r>
      <w:r w:rsidRPr="002D7212" w:rsidR="00BD0E97">
        <w:t xml:space="preserve">Team Time would not have prompted </w:t>
      </w:r>
      <w:r w:rsidRPr="002D7212" w:rsidR="00BD7C2D">
        <w:t>the employee</w:t>
      </w:r>
      <w:r w:rsidRPr="002D7212" w:rsidR="00C21782">
        <w:t xml:space="preserve"> taking the lunch</w:t>
      </w:r>
      <w:r w:rsidRPr="002D7212" w:rsidR="00BD7C2D">
        <w:t xml:space="preserve"> </w:t>
      </w:r>
      <w:r w:rsidRPr="002D7212" w:rsidR="00621E9F">
        <w:t>to indicate whether there had</w:t>
      </w:r>
      <w:r w:rsidRPr="002D7212" w:rsidR="00420E87">
        <w:t xml:space="preserve"> been a meal period violation</w:t>
      </w:r>
      <w:r w:rsidRPr="002D7212" w:rsidR="00EF0AA2">
        <w:t>.</w:t>
      </w:r>
    </w:p>
    <w:p w:rsidR="00CA2C8D" w:rsidRPr="002D7212" w:rsidP="002D7212">
      <w:pPr>
        <w:tabs>
          <w:tab w:val="left" w:pos="1440"/>
        </w:tabs>
        <w:ind w:firstLine="720"/>
      </w:pPr>
      <w:r w:rsidRPr="002D7212">
        <w:t>In April 2014, Donohue filed a c</w:t>
      </w:r>
      <w:r w:rsidRPr="002D7212" w:rsidR="009B14EF">
        <w:t>lass action lawsuit against AMN</w:t>
      </w:r>
      <w:r w:rsidRPr="002D7212" w:rsidR="00B379AD">
        <w:t xml:space="preserve">.  Donohue alleged various wage and hour violations, including the meal period claim at issue here.  </w:t>
      </w:r>
      <w:r w:rsidRPr="002D7212" w:rsidR="0017681D">
        <w:t xml:space="preserve">In </w:t>
      </w:r>
      <w:r w:rsidRPr="002D7212" w:rsidR="006E7B00">
        <w:t xml:space="preserve">October 2015, the trial court certified a class of </w:t>
      </w:r>
      <w:r w:rsidRPr="002D7212" w:rsidR="00563A57">
        <w:t xml:space="preserve">all nonexempt California </w:t>
      </w:r>
      <w:r w:rsidRPr="002D7212" w:rsidR="003B0252">
        <w:t xml:space="preserve">nurse recruiters </w:t>
      </w:r>
      <w:r w:rsidRPr="002D7212" w:rsidR="00762348">
        <w:t>who were employed by AMN between April 23, 2010 and April 26, 2015</w:t>
      </w:r>
      <w:r w:rsidRPr="002D7212" w:rsidR="00DD4FED">
        <w:t xml:space="preserve"> with respect to </w:t>
      </w:r>
      <w:r w:rsidRPr="002D7212" w:rsidR="00A62527">
        <w:t>the meal period</w:t>
      </w:r>
      <w:r w:rsidRPr="002D7212" w:rsidR="00DD4FED">
        <w:t xml:space="preserve"> claim.</w:t>
      </w:r>
      <w:r w:rsidRPr="002D7212" w:rsidR="00DF7E67">
        <w:t xml:space="preserve">  </w:t>
      </w:r>
      <w:r w:rsidRPr="002D7212" w:rsidR="00640116">
        <w:t>April 26, 2015</w:t>
      </w:r>
      <w:r w:rsidR="00640116">
        <w:t xml:space="preserve"> </w:t>
      </w:r>
      <w:r w:rsidRPr="002D7212" w:rsidR="00640116">
        <w:t xml:space="preserve">marks the end of the class period </w:t>
      </w:r>
      <w:r w:rsidR="001B6A88">
        <w:t xml:space="preserve">because on that date </w:t>
      </w:r>
      <w:r w:rsidRPr="002D7212" w:rsidR="00DF7E67">
        <w:t>AMN switched to a timekeeping system that does not round time entries</w:t>
      </w:r>
      <w:r w:rsidRPr="002D7212" w:rsidR="002B336E">
        <w:t>.</w:t>
      </w:r>
    </w:p>
    <w:p w:rsidR="0028448A" w:rsidRPr="002D7212" w:rsidP="002D7212">
      <w:pPr>
        <w:tabs>
          <w:tab w:val="left" w:pos="1440"/>
        </w:tabs>
        <w:ind w:firstLine="720"/>
      </w:pPr>
      <w:r w:rsidRPr="002D7212">
        <w:t xml:space="preserve">In November 2016, </w:t>
      </w:r>
      <w:r w:rsidRPr="002D7212" w:rsidR="0073377A">
        <w:t>Donohue filed a motion for summary adjudication</w:t>
      </w:r>
      <w:r w:rsidRPr="002D7212" w:rsidR="0078729C">
        <w:t>.</w:t>
      </w:r>
      <w:r w:rsidRPr="002D7212" w:rsidR="00C26370">
        <w:t xml:space="preserve">  As to the meal period claim, </w:t>
      </w:r>
      <w:r w:rsidRPr="002D7212" w:rsidR="004C17FD">
        <w:t>Donohue argued that</w:t>
      </w:r>
      <w:r w:rsidRPr="002D7212" w:rsidR="00DF7E67">
        <w:t xml:space="preserve"> AMN </w:t>
      </w:r>
      <w:r w:rsidRPr="002D7212" w:rsidR="00A62527">
        <w:t xml:space="preserve">denied its employees compliant meal </w:t>
      </w:r>
      <w:r w:rsidR="00757D46">
        <w:t>periods</w:t>
      </w:r>
      <w:r w:rsidRPr="002D7212" w:rsidR="00A62527">
        <w:t xml:space="preserve">, improperly rounded time records for meal periods </w:t>
      </w:r>
      <w:r w:rsidRPr="002D7212" w:rsidR="00B0325C">
        <w:t>using Team Time</w:t>
      </w:r>
      <w:r w:rsidRPr="002D7212" w:rsidR="00C80872">
        <w:t xml:space="preserve">, and failed to pay premium wages for noncompliant meal </w:t>
      </w:r>
      <w:r w:rsidR="00757D46">
        <w:t>periods</w:t>
      </w:r>
      <w:r w:rsidRPr="002D7212" w:rsidR="00C80872">
        <w:t>.</w:t>
      </w:r>
      <w:r w:rsidRPr="002D7212" w:rsidR="00DD6FBA">
        <w:t xml:space="preserve"> </w:t>
      </w:r>
      <w:r w:rsidRPr="002D7212" w:rsidR="009703F8">
        <w:t xml:space="preserve"> </w:t>
      </w:r>
      <w:r w:rsidRPr="002D7212" w:rsidR="00F72CC6">
        <w:t xml:space="preserve">To support </w:t>
      </w:r>
      <w:r w:rsidRPr="002D7212" w:rsidR="00EE62A4">
        <w:t xml:space="preserve">the </w:t>
      </w:r>
      <w:r w:rsidRPr="002D7212" w:rsidR="00F72CC6">
        <w:t xml:space="preserve">motion, Donohue submitted her testimony that AMN had an office culture that discouraged employees from taking full and timely lunches.  </w:t>
      </w:r>
      <w:r w:rsidRPr="002D7212" w:rsidR="00DD6FBA">
        <w:t xml:space="preserve">Donohue </w:t>
      </w:r>
      <w:r w:rsidRPr="002D7212" w:rsidR="00F72CC6">
        <w:t xml:space="preserve">also </w:t>
      </w:r>
      <w:r w:rsidRPr="002D7212" w:rsidR="00DD6FBA">
        <w:t>provided a dec</w:t>
      </w:r>
      <w:r w:rsidRPr="002D7212" w:rsidR="001751A9">
        <w:t xml:space="preserve">laration from an expert </w:t>
      </w:r>
      <w:r w:rsidRPr="002D7212" w:rsidR="009703F8">
        <w:t>witness</w:t>
      </w:r>
      <w:r w:rsidRPr="002D7212" w:rsidR="0005114E">
        <w:t>, a st</w:t>
      </w:r>
      <w:r w:rsidRPr="002D7212" w:rsidR="00F72CC6">
        <w:t>atistics professor</w:t>
      </w:r>
      <w:r w:rsidRPr="002D7212" w:rsidR="009703F8">
        <w:t xml:space="preserve">.  According to the expert, </w:t>
      </w:r>
      <w:r w:rsidRPr="002D7212" w:rsidR="00D10871">
        <w:t xml:space="preserve">the use of Team Time </w:t>
      </w:r>
      <w:r w:rsidRPr="002D7212" w:rsidR="0083021F">
        <w:t xml:space="preserve">resulted in the denial of </w:t>
      </w:r>
      <w:r w:rsidRPr="002D7212" w:rsidR="00145E82">
        <w:t>premium wages for 40,110 short lunches and 6,6</w:t>
      </w:r>
      <w:r w:rsidRPr="002D7212" w:rsidR="009E00CB">
        <w:t>51 delayed lunches during the class period</w:t>
      </w:r>
      <w:r w:rsidRPr="002D7212" w:rsidR="0005114E">
        <w:t>, which totaled $802,077.08.</w:t>
      </w:r>
      <w:r w:rsidRPr="002D7212" w:rsidR="00D17D6A">
        <w:t xml:space="preserve">  </w:t>
      </w:r>
      <w:r w:rsidRPr="002D7212" w:rsidR="003E37A8">
        <w:t>The expe</w:t>
      </w:r>
      <w:r w:rsidRPr="002D7212" w:rsidR="001E5488">
        <w:t>rt calculated the number of non</w:t>
      </w:r>
      <w:r w:rsidRPr="002D7212" w:rsidR="003E37A8">
        <w:t xml:space="preserve">compliant </w:t>
      </w:r>
      <w:r w:rsidRPr="002D7212" w:rsidR="00B2635F">
        <w:t xml:space="preserve">lunches for which no premium wages were paid </w:t>
      </w:r>
      <w:r w:rsidRPr="002D7212" w:rsidR="003D64A7">
        <w:t>by comparing the rounded time records for meal periods to the actual time records.</w:t>
      </w:r>
      <w:r w:rsidRPr="002D7212" w:rsidR="00757B95">
        <w:t xml:space="preserve">  For example,</w:t>
      </w:r>
      <w:r w:rsidRPr="002D7212" w:rsidR="00CE729C">
        <w:t xml:space="preserve"> the expert would have counted</w:t>
      </w:r>
      <w:r w:rsidRPr="002D7212" w:rsidR="00757B95">
        <w:t xml:space="preserve"> </w:t>
      </w:r>
      <w:r w:rsidRPr="002D7212" w:rsidR="008B3373">
        <w:t>a</w:t>
      </w:r>
      <w:r w:rsidRPr="002D7212" w:rsidR="00757B95">
        <w:t xml:space="preserve"> 23-minute lunch starting at 11:02 a.m. and ending at 11:25 a.m., </w:t>
      </w:r>
      <w:r w:rsidRPr="002D7212" w:rsidR="00CE729C">
        <w:t>recorded</w:t>
      </w:r>
      <w:r w:rsidRPr="002D7212" w:rsidR="00757B95">
        <w:t xml:space="preserve"> on Team Time as a 30-minute lunch starting at 11:00 a.m. and ending at 11:30 a.m., </w:t>
      </w:r>
      <w:r w:rsidRPr="002D7212" w:rsidR="0041387C">
        <w:t xml:space="preserve">as </w:t>
      </w:r>
      <w:r w:rsidRPr="002D7212" w:rsidR="001E5122">
        <w:t>an uncompensated short lunch.</w:t>
      </w:r>
    </w:p>
    <w:p w:rsidR="000F584C" w:rsidP="002D7212">
      <w:pPr>
        <w:tabs>
          <w:tab w:val="left" w:pos="1440"/>
        </w:tabs>
        <w:ind w:firstLine="720"/>
      </w:pPr>
      <w:r w:rsidRPr="002D7212">
        <w:t>AMN filed a cros</w:t>
      </w:r>
      <w:r w:rsidRPr="002D7212" w:rsidR="00842763">
        <w:t>s-motion for summary judgment or</w:t>
      </w:r>
      <w:r w:rsidRPr="002D7212" w:rsidR="00CC3269">
        <w:t>,</w:t>
      </w:r>
      <w:r w:rsidRPr="002D7212" w:rsidR="00842763">
        <w:t xml:space="preserve"> in the alternative, summary adjudication.</w:t>
      </w:r>
      <w:r w:rsidRPr="002D7212">
        <w:t xml:space="preserve">  As to the meal period claim, AMN </w:t>
      </w:r>
      <w:r w:rsidRPr="002D7212" w:rsidR="007666F8">
        <w:t xml:space="preserve">contended </w:t>
      </w:r>
      <w:r w:rsidRPr="002D7212" w:rsidR="00720653">
        <w:t xml:space="preserve">that it </w:t>
      </w:r>
      <w:r w:rsidRPr="002D7212" w:rsidR="00961523">
        <w:t>did not have a uniform policy or practice of denying</w:t>
      </w:r>
      <w:r w:rsidRPr="002D7212" w:rsidR="007666F8">
        <w:t xml:space="preserve"> employees</w:t>
      </w:r>
      <w:r w:rsidRPr="002D7212" w:rsidR="00961523">
        <w:t xml:space="preserve"> </w:t>
      </w:r>
      <w:r w:rsidRPr="002D7212" w:rsidR="000E23FC">
        <w:t>compliant meal periods.</w:t>
      </w:r>
      <w:r w:rsidRPr="002D7212" w:rsidR="007666F8">
        <w:t xml:space="preserve">  It also argued that Donohue </w:t>
      </w:r>
      <w:r w:rsidRPr="002D7212" w:rsidR="00D0575E">
        <w:t xml:space="preserve">did not plead </w:t>
      </w:r>
      <w:r w:rsidRPr="002D7212" w:rsidR="00594A04">
        <w:t>in the operative complaint that AMN’s rounding policy resulted in meal period violations.</w:t>
      </w:r>
      <w:r w:rsidRPr="002D7212" w:rsidR="00F72CC6">
        <w:t xml:space="preserve">  </w:t>
      </w:r>
      <w:r w:rsidRPr="002D7212" w:rsidR="00FD7111">
        <w:t>AMN submitted the declarations of</w:t>
      </w:r>
      <w:r w:rsidRPr="002D7212" w:rsidR="00BC2009">
        <w:t xml:space="preserve"> 40 </w:t>
      </w:r>
      <w:r w:rsidRPr="002D7212" w:rsidR="00F81D4B">
        <w:t xml:space="preserve">class members in support of its motion.  </w:t>
      </w:r>
      <w:r w:rsidRPr="002D7212" w:rsidR="00CC3269">
        <w:t xml:space="preserve">Thirty </w:t>
      </w:r>
      <w:r w:rsidRPr="002D7212" w:rsidR="00F81D4B">
        <w:t>of the nurse recruiters stated that they “always” or “usually” took lunches that were</w:t>
      </w:r>
      <w:r w:rsidRPr="002D7212" w:rsidR="00986808">
        <w:t xml:space="preserve"> at least 30 minutes long.  Other recruiters</w:t>
      </w:r>
      <w:r w:rsidRPr="002D7212" w:rsidR="00F81D4B">
        <w:t xml:space="preserve"> said that they</w:t>
      </w:r>
      <w:r w:rsidRPr="002D7212" w:rsidR="00986808">
        <w:t xml:space="preserve"> only “sometimes” took 30-minute lunches but that it was their choice to </w:t>
      </w:r>
      <w:r w:rsidR="0069025A">
        <w:t>forgo</w:t>
      </w:r>
      <w:r w:rsidRPr="002D7212" w:rsidR="00986808">
        <w:t xml:space="preserve"> a full lunch on the other days.  No declarant </w:t>
      </w:r>
      <w:r w:rsidRPr="002D7212" w:rsidR="00B9642A">
        <w:t>stated</w:t>
      </w:r>
      <w:r w:rsidRPr="002D7212" w:rsidR="00986808">
        <w:t xml:space="preserve"> that a supervisor had tried to discourage him or her from taking a full or timely meal period.</w:t>
      </w:r>
      <w:r w:rsidRPr="002D7212" w:rsidR="00B9642A">
        <w:t xml:space="preserve">  </w:t>
      </w:r>
    </w:p>
    <w:p w:rsidR="00136EB5" w:rsidRPr="002D7212" w:rsidP="002D7212">
      <w:pPr>
        <w:tabs>
          <w:tab w:val="left" w:pos="1440"/>
        </w:tabs>
        <w:ind w:firstLine="720"/>
      </w:pPr>
      <w:r w:rsidRPr="002D7212">
        <w:t xml:space="preserve">AMN also submitted a declaration from its expert witness, a labor economist and statistician.  </w:t>
      </w:r>
      <w:r w:rsidRPr="002D7212" w:rsidR="009945E1">
        <w:t>The expert explained that</w:t>
      </w:r>
      <w:r w:rsidRPr="002D7212" w:rsidR="00C62528">
        <w:t xml:space="preserve"> because AMN’s rounding policy sometimes rounded meal period times up and sometimes down, AMN sometimes paid employees for a few extra minutes they did not work and sometimes did not pay them for a few minutes that they did work.  Unlike </w:t>
      </w:r>
      <w:r w:rsidR="00BC007D">
        <w:t>Donohue’s</w:t>
      </w:r>
      <w:r w:rsidRPr="002D7212" w:rsidR="00C62528">
        <w:t xml:space="preserve"> expert, AMN’s expert did not account for meal period premium wages that </w:t>
      </w:r>
      <w:r w:rsidRPr="002D7212" w:rsidR="009945E1">
        <w:t>woul</w:t>
      </w:r>
      <w:r w:rsidRPr="002D7212" w:rsidR="00C62528">
        <w:t xml:space="preserve">d </w:t>
      </w:r>
      <w:r w:rsidRPr="002D7212" w:rsidR="00C32BA7">
        <w:t>have been paid based on actual</w:t>
      </w:r>
      <w:r w:rsidRPr="002D7212" w:rsidR="00C62528">
        <w:t xml:space="preserve"> meal period times.</w:t>
      </w:r>
      <w:r w:rsidRPr="002D7212" w:rsidR="00533E35">
        <w:t xml:space="preserve">  According to the expert, </w:t>
      </w:r>
      <w:r w:rsidRPr="002D7212" w:rsidR="00A820C0">
        <w:t xml:space="preserve">AMN’s practice of rounding meal period times </w:t>
      </w:r>
      <w:r w:rsidRPr="002D7212" w:rsidR="00FC4FC5">
        <w:t xml:space="preserve">evened out over time and </w:t>
      </w:r>
      <w:r w:rsidRPr="002D7212" w:rsidR="00A820C0">
        <w:t>actually resulted in the overcompensation of the class by 85 work hours.</w:t>
      </w:r>
      <w:r w:rsidRPr="002D7212" w:rsidR="00FC4FC5">
        <w:t xml:space="preserve">  </w:t>
      </w:r>
      <w:r w:rsidRPr="002D7212" w:rsidR="00C24750">
        <w:t xml:space="preserve">The expert also stated that </w:t>
      </w:r>
      <w:r w:rsidRPr="002D7212" w:rsidR="007B597E">
        <w:t xml:space="preserve">based on the </w:t>
      </w:r>
      <w:r w:rsidRPr="002D7212" w:rsidR="00C24750">
        <w:t xml:space="preserve">nurse recruiters’ actual </w:t>
      </w:r>
      <w:r w:rsidRPr="002D7212" w:rsidR="000A6E6D">
        <w:t>time punches</w:t>
      </w:r>
      <w:r w:rsidRPr="002D7212" w:rsidR="00C24750">
        <w:t>, the average length of a meal period during the class period was 45.6 minutes.</w:t>
      </w:r>
    </w:p>
    <w:p w:rsidR="00976E9F" w:rsidRPr="002D7212" w:rsidP="002D7212">
      <w:pPr>
        <w:tabs>
          <w:tab w:val="left" w:pos="1440"/>
        </w:tabs>
        <w:ind w:firstLine="720"/>
      </w:pPr>
      <w:r w:rsidRPr="002D7212">
        <w:t>The trial court granted</w:t>
      </w:r>
      <w:r w:rsidRPr="002D7212" w:rsidR="002A1948">
        <w:t xml:space="preserve"> </w:t>
      </w:r>
      <w:r w:rsidRPr="002D7212" w:rsidR="003D5D23">
        <w:t xml:space="preserve">AMN’s motion for </w:t>
      </w:r>
      <w:r w:rsidRPr="002D7212" w:rsidR="002A1948">
        <w:t xml:space="preserve">summary judgment </w:t>
      </w:r>
      <w:r w:rsidRPr="002D7212" w:rsidR="003D5D23">
        <w:t>and denied Donohue’s motion for summary adjudication</w:t>
      </w:r>
      <w:r w:rsidRPr="002D7212" w:rsidR="002A1948">
        <w:t>, inclu</w:t>
      </w:r>
      <w:r w:rsidRPr="002D7212" w:rsidR="00D9051C">
        <w:t>ding on the meal period claim.</w:t>
      </w:r>
      <w:r w:rsidRPr="002D7212" w:rsidR="00065B0E">
        <w:t xml:space="preserve">  </w:t>
      </w:r>
      <w:r w:rsidRPr="002D7212" w:rsidR="00554C8D">
        <w:t>The court concluded t</w:t>
      </w:r>
      <w:r w:rsidRPr="002D7212" w:rsidR="00FE38FD">
        <w:t>here was insufficient</w:t>
      </w:r>
      <w:r w:rsidRPr="002D7212" w:rsidR="00065B0E">
        <w:t xml:space="preserve"> evidence that AMN had a policy or practice of denying employees compliant meal </w:t>
      </w:r>
      <w:r w:rsidR="00892D52">
        <w:t>periods</w:t>
      </w:r>
      <w:r w:rsidRPr="002D7212" w:rsidR="00065B0E">
        <w:t xml:space="preserve">.  </w:t>
      </w:r>
      <w:r w:rsidRPr="002D7212" w:rsidR="0086406A">
        <w:t>According to the court,</w:t>
      </w:r>
      <w:r w:rsidRPr="002D7212" w:rsidR="005660CC">
        <w:t xml:space="preserve"> </w:t>
      </w:r>
      <w:r w:rsidRPr="002D7212" w:rsidR="00C453FE">
        <w:t>AMN’s meal period policy complied with California law</w:t>
      </w:r>
      <w:r w:rsidRPr="002D7212" w:rsidR="00792DFF">
        <w:t>,</w:t>
      </w:r>
      <w:r w:rsidRPr="002D7212" w:rsidR="00C453FE">
        <w:t xml:space="preserve"> and its </w:t>
      </w:r>
      <w:r w:rsidRPr="002D7212" w:rsidR="00EE4F81">
        <w:t xml:space="preserve">practice of rounding </w:t>
      </w:r>
      <w:r w:rsidRPr="002D7212" w:rsidR="00494882">
        <w:t xml:space="preserve">the </w:t>
      </w:r>
      <w:r w:rsidRPr="002D7212" w:rsidR="000A6E6D">
        <w:t xml:space="preserve">time punches </w:t>
      </w:r>
      <w:r w:rsidRPr="002D7212" w:rsidR="00494882">
        <w:t xml:space="preserve">for meal periods was proper.  </w:t>
      </w:r>
      <w:r w:rsidRPr="002D7212" w:rsidR="00623012">
        <w:t>The court said that even if</w:t>
      </w:r>
      <w:r w:rsidRPr="002D7212" w:rsidR="005660CC">
        <w:t xml:space="preserve"> </w:t>
      </w:r>
      <w:r w:rsidRPr="002D7212" w:rsidR="00DC734D">
        <w:t xml:space="preserve">no case has ever </w:t>
      </w:r>
      <w:r w:rsidRPr="002D7212" w:rsidR="00CF3DBB">
        <w:t xml:space="preserve">applied rounding to meal periods, </w:t>
      </w:r>
      <w:r w:rsidRPr="002D7212" w:rsidR="00623012">
        <w:t>“the rational</w:t>
      </w:r>
      <w:r w:rsidRPr="002D7212" w:rsidR="006C1F56">
        <w:t>e</w:t>
      </w:r>
      <w:r w:rsidRPr="002D7212" w:rsidR="00623012">
        <w:t xml:space="preserve"> behind allowing rounding for work time would be the same for meal break time.”</w:t>
      </w:r>
      <w:r w:rsidRPr="002D7212">
        <w:t xml:space="preserve">  </w:t>
      </w:r>
      <w:r w:rsidRPr="002D7212" w:rsidR="00792DFF">
        <w:t>According to t</w:t>
      </w:r>
      <w:r w:rsidRPr="002D7212">
        <w:t>he court</w:t>
      </w:r>
      <w:r w:rsidRPr="002D7212" w:rsidR="00792DFF">
        <w:t>,</w:t>
      </w:r>
      <w:r w:rsidRPr="002D7212">
        <w:t xml:space="preserve"> </w:t>
      </w:r>
      <w:r w:rsidRPr="002D7212" w:rsidR="00554C8D">
        <w:t>AMN’s rounding policy fairly</w:t>
      </w:r>
      <w:r w:rsidRPr="002D7212" w:rsidR="002650A7">
        <w:t xml:space="preserve"> compensated employees over time</w:t>
      </w:r>
      <w:r w:rsidRPr="002D7212" w:rsidR="00A17277">
        <w:t xml:space="preserve">, and there was insufficient evidence that supervisors at AMN prevented employees from taking compliant meal periods. </w:t>
      </w:r>
    </w:p>
    <w:p w:rsidR="00D634CD" w:rsidRPr="002D7212" w:rsidP="002D7212">
      <w:pPr>
        <w:tabs>
          <w:tab w:val="left" w:pos="1440"/>
        </w:tabs>
        <w:ind w:firstLine="720"/>
      </w:pPr>
      <w:r w:rsidRPr="002D7212">
        <w:t>The</w:t>
      </w:r>
      <w:r w:rsidRPr="002D7212" w:rsidR="007B1DCD">
        <w:t xml:space="preserve"> Court of Appeal affirmed</w:t>
      </w:r>
      <w:r w:rsidRPr="002D7212" w:rsidR="00FB010C">
        <w:t xml:space="preserve"> and generally agreed with the trial court’s reasonin</w:t>
      </w:r>
      <w:r w:rsidRPr="002D7212" w:rsidR="000815B9">
        <w:t>g as to the meal period claim.</w:t>
      </w:r>
      <w:r w:rsidRPr="002D7212" w:rsidR="00EF52DF">
        <w:t xml:space="preserve">  </w:t>
      </w:r>
      <w:r w:rsidRPr="002D7212" w:rsidR="000815B9">
        <w:t>The court decided tha</w:t>
      </w:r>
      <w:r w:rsidRPr="002D7212" w:rsidR="00472C4F">
        <w:t>t it was proper for AMN to roun</w:t>
      </w:r>
      <w:r w:rsidRPr="002D7212" w:rsidR="00031A1C">
        <w:t xml:space="preserve">d </w:t>
      </w:r>
      <w:r w:rsidRPr="002D7212" w:rsidR="000A6E6D">
        <w:t xml:space="preserve">time punches </w:t>
      </w:r>
      <w:r w:rsidRPr="002D7212" w:rsidR="00031A1C">
        <w:t xml:space="preserve">for meal periods.  </w:t>
      </w:r>
      <w:r w:rsidRPr="002D7212" w:rsidR="00EF52DF">
        <w:t>(</w:t>
      </w:r>
      <w:r w:rsidRPr="002D7212" w:rsidR="00EF52DF">
        <w:rPr>
          <w:i/>
        </w:rPr>
        <w:t xml:space="preserve">Donohue v. AMN Services, LLC </w:t>
      </w:r>
      <w:r w:rsidRPr="002D7212" w:rsidR="00EF52DF">
        <w:t>(2018) 29 Cal.App.5th 1068, 1086–1092</w:t>
      </w:r>
      <w:r w:rsidRPr="002D7212" w:rsidR="00147C7C">
        <w:t xml:space="preserve"> (</w:t>
      </w:r>
      <w:r w:rsidRPr="002D7212" w:rsidR="00147C7C">
        <w:rPr>
          <w:i/>
        </w:rPr>
        <w:t>Donohue</w:t>
      </w:r>
      <w:r w:rsidRPr="002D7212" w:rsidR="00147C7C">
        <w:t>)</w:t>
      </w:r>
      <w:r w:rsidRPr="002D7212" w:rsidR="00EF52DF">
        <w:t xml:space="preserve">.)  </w:t>
      </w:r>
      <w:r w:rsidRPr="002D7212" w:rsidR="009B50F1">
        <w:t xml:space="preserve">According to the court, the plain text of Labor Code section 512 and Wage Order No. 4, which govern meal periods, </w:t>
      </w:r>
      <w:r w:rsidRPr="002D7212" w:rsidR="00075EEF">
        <w:t xml:space="preserve">does not prohibit </w:t>
      </w:r>
      <w:r w:rsidRPr="002D7212" w:rsidR="001256A7">
        <w:t xml:space="preserve">rounding. </w:t>
      </w:r>
      <w:r w:rsidRPr="002D7212" w:rsidR="00EF52DF">
        <w:t xml:space="preserve"> (</w:t>
      </w:r>
      <w:r w:rsidR="001C08AA">
        <w:rPr>
          <w:i/>
        </w:rPr>
        <w:t>Donohue</w:t>
      </w:r>
      <w:r w:rsidR="001C08AA">
        <w:rPr>
          <w:iCs/>
        </w:rPr>
        <w:t>,</w:t>
      </w:r>
      <w:r w:rsidRPr="002D7212" w:rsidR="00EF52DF">
        <w:rPr>
          <w:i/>
        </w:rPr>
        <w:t xml:space="preserve"> </w:t>
      </w:r>
      <w:r w:rsidRPr="002D7212" w:rsidR="00EF52DF">
        <w:t>at p. </w:t>
      </w:r>
      <w:r w:rsidRPr="002D7212" w:rsidR="00870539">
        <w:t>1087.)</w:t>
      </w:r>
      <w:r w:rsidRPr="002D7212" w:rsidR="001256A7">
        <w:t xml:space="preserve">  The court </w:t>
      </w:r>
      <w:r w:rsidRPr="002D7212" w:rsidR="002D057A">
        <w:t>explained</w:t>
      </w:r>
      <w:r w:rsidRPr="002D7212" w:rsidR="001256A7">
        <w:t xml:space="preserve"> that </w:t>
      </w:r>
      <w:r w:rsidRPr="002D7212" w:rsidR="002D057A">
        <w:t>rounding “ ‘is a practical method for calculating worktime and can be a neutral calculation tool for providing full paym</w:t>
      </w:r>
      <w:r w:rsidRPr="002D7212" w:rsidR="006D154D">
        <w:t xml:space="preserve">ent to employees’ ” and </w:t>
      </w:r>
      <w:r w:rsidR="002C1635">
        <w:t xml:space="preserve">that </w:t>
      </w:r>
      <w:r w:rsidR="001B3CF3">
        <w:t xml:space="preserve">no </w:t>
      </w:r>
      <w:r w:rsidRPr="002D7212" w:rsidR="002D057A">
        <w:t xml:space="preserve">case law </w:t>
      </w:r>
      <w:r w:rsidR="001B3CF3">
        <w:t xml:space="preserve">suggests </w:t>
      </w:r>
      <w:r w:rsidRPr="002D7212" w:rsidR="002D057A">
        <w:t>rounding does not apply to meal periods.  (</w:t>
      </w:r>
      <w:r w:rsidRPr="002D7212" w:rsidR="002D057A">
        <w:rPr>
          <w:i/>
        </w:rPr>
        <w:t xml:space="preserve">Id. </w:t>
      </w:r>
      <w:r w:rsidRPr="002D7212" w:rsidR="002D057A">
        <w:t>at p.</w:t>
      </w:r>
      <w:r w:rsidRPr="002D7212" w:rsidR="00792DFF">
        <w:t> </w:t>
      </w:r>
      <w:r w:rsidRPr="002D7212" w:rsidR="002D057A">
        <w:t>1090.</w:t>
      </w:r>
      <w:r w:rsidRPr="002D7212" w:rsidR="004B30A7">
        <w:t xml:space="preserve">)  The </w:t>
      </w:r>
      <w:r w:rsidRPr="002D7212" w:rsidR="000125D8">
        <w:t xml:space="preserve">court rejected Donohue’s argument that rounding meal period </w:t>
      </w:r>
      <w:r w:rsidRPr="002D7212" w:rsidR="000A6E6D">
        <w:t xml:space="preserve">time punches </w:t>
      </w:r>
      <w:r w:rsidRPr="002D7212" w:rsidR="000125D8">
        <w:t>“ ‘would quickly eviscerate employee[s’] statutory right to full 30 minute meal periods.’ ”  (</w:t>
      </w:r>
      <w:r w:rsidRPr="002D7212" w:rsidR="000125D8">
        <w:rPr>
          <w:i/>
        </w:rPr>
        <w:t>I</w:t>
      </w:r>
      <w:r w:rsidR="00AA0B0E">
        <w:rPr>
          <w:i/>
        </w:rPr>
        <w:t>bi</w:t>
      </w:r>
      <w:r w:rsidRPr="002D7212" w:rsidR="000125D8">
        <w:rPr>
          <w:i/>
        </w:rPr>
        <w:t>d</w:t>
      </w:r>
      <w:r w:rsidRPr="002D7212">
        <w:t>.)</w:t>
      </w:r>
    </w:p>
    <w:p w:rsidR="002B743B" w:rsidRPr="002B743B" w:rsidP="002B743B">
      <w:pPr>
        <w:tabs>
          <w:tab w:val="left" w:pos="1440"/>
        </w:tabs>
        <w:ind w:firstLine="720"/>
      </w:pPr>
      <w:r w:rsidRPr="002D7212">
        <w:t>T</w:t>
      </w:r>
      <w:r w:rsidRPr="002D7212" w:rsidR="008C1F54">
        <w:t>he court</w:t>
      </w:r>
      <w:r w:rsidRPr="002D7212">
        <w:t xml:space="preserve"> also</w:t>
      </w:r>
      <w:r w:rsidRPr="002D7212" w:rsidR="008C1F54">
        <w:t xml:space="preserve"> concluded that AMN’s rounding policy</w:t>
      </w:r>
      <w:r w:rsidRPr="002D7212">
        <w:t xml:space="preserve"> was neutral on its face and as applied, as required by California law.</w:t>
      </w:r>
      <w:r w:rsidRPr="002D7212" w:rsidR="008C1F54">
        <w:t xml:space="preserve"> </w:t>
      </w:r>
      <w:r w:rsidRPr="002D7212">
        <w:t xml:space="preserve"> </w:t>
      </w:r>
      <w:r w:rsidRPr="002D7212" w:rsidR="008C1F54">
        <w:t>(</w:t>
      </w:r>
      <w:r w:rsidRPr="002D7212" w:rsidR="00D634CD">
        <w:rPr>
          <w:i/>
        </w:rPr>
        <w:t>Donohue</w:t>
      </w:r>
      <w:r w:rsidRPr="002D7212" w:rsidR="00D634CD">
        <w:t xml:space="preserve">, </w:t>
      </w:r>
      <w:r w:rsidRPr="002D7212" w:rsidR="00D634CD">
        <w:rPr>
          <w:i/>
        </w:rPr>
        <w:t>supra</w:t>
      </w:r>
      <w:r w:rsidRPr="002D7212" w:rsidR="00D634CD">
        <w:t>, 29</w:t>
      </w:r>
      <w:r w:rsidRPr="002D7212" w:rsidR="00711DC6">
        <w:t> </w:t>
      </w:r>
      <w:r w:rsidRPr="002D7212" w:rsidR="00D634CD">
        <w:t>Cal.App.5th</w:t>
      </w:r>
      <w:r w:rsidRPr="002D7212" w:rsidR="008C1F54">
        <w:rPr>
          <w:i/>
        </w:rPr>
        <w:t xml:space="preserve"> </w:t>
      </w:r>
      <w:r w:rsidRPr="002D7212" w:rsidR="008C1F54">
        <w:t>at pp. 1083–1086.)</w:t>
      </w:r>
      <w:r w:rsidRPr="002D7212">
        <w:t xml:space="preserve">  The court </w:t>
      </w:r>
      <w:r w:rsidRPr="002D7212" w:rsidR="00B13016">
        <w:t xml:space="preserve">agreed with AMN </w:t>
      </w:r>
      <w:r w:rsidRPr="002D7212" w:rsidR="004D66E5">
        <w:t xml:space="preserve">that the </w:t>
      </w:r>
      <w:r w:rsidRPr="002D7212">
        <w:t xml:space="preserve">rounding policy </w:t>
      </w:r>
      <w:r w:rsidRPr="002D7212" w:rsidR="007D573B">
        <w:t xml:space="preserve">fully </w:t>
      </w:r>
      <w:r w:rsidRPr="002D7212" w:rsidR="0087353D">
        <w:t xml:space="preserve">compensated employees over time </w:t>
      </w:r>
      <w:r w:rsidRPr="002D7212" w:rsidR="007D573B">
        <w:t>and actually resulted in the overcompensation of the class as a whole.  (</w:t>
      </w:r>
      <w:r w:rsidRPr="002D7212" w:rsidR="007D573B">
        <w:rPr>
          <w:i/>
        </w:rPr>
        <w:t xml:space="preserve">Id. </w:t>
      </w:r>
      <w:r w:rsidRPr="002D7212" w:rsidR="007D573B">
        <w:t>at p. </w:t>
      </w:r>
      <w:r w:rsidRPr="002D7212" w:rsidR="00D47415">
        <w:t xml:space="preserve">1084.)  </w:t>
      </w:r>
      <w:r w:rsidRPr="002D7212" w:rsidR="00AD1E1C">
        <w:t xml:space="preserve">The court </w:t>
      </w:r>
      <w:r w:rsidRPr="002D7212" w:rsidR="00AA33CE">
        <w:t>rejected Donohue’s argument that the rounding policy did not properly pay employees premium wages for meal period violations.  (</w:t>
      </w:r>
      <w:r w:rsidRPr="002D7212" w:rsidR="00AA33CE">
        <w:rPr>
          <w:i/>
        </w:rPr>
        <w:t xml:space="preserve">Id. </w:t>
      </w:r>
      <w:r w:rsidRPr="002D7212" w:rsidR="00AA33CE">
        <w:t xml:space="preserve">at p. 1090.)  </w:t>
      </w:r>
      <w:r w:rsidRPr="002D7212" w:rsidR="00827088">
        <w:t xml:space="preserve">According to the court, </w:t>
      </w:r>
      <w:r>
        <w:t>“</w:t>
      </w:r>
      <w:r w:rsidRPr="002D7212" w:rsidR="00EE2946">
        <w:t xml:space="preserve">the </w:t>
      </w:r>
      <w:r>
        <w:t>neutrality of a rounding policy does not depend on the frequency of penalties.”  (</w:t>
      </w:r>
      <w:r>
        <w:rPr>
          <w:i/>
        </w:rPr>
        <w:t>Ibid.</w:t>
      </w:r>
      <w:r>
        <w:t>)</w:t>
      </w:r>
    </w:p>
    <w:p w:rsidR="00CA2C8D" w:rsidRPr="002D7212" w:rsidP="002D7212">
      <w:pPr>
        <w:tabs>
          <w:tab w:val="left" w:pos="1440"/>
        </w:tabs>
        <w:ind w:firstLine="720"/>
      </w:pPr>
      <w:r w:rsidRPr="002D7212">
        <w:t>In addition, the court rejected</w:t>
      </w:r>
      <w:r w:rsidRPr="002D7212" w:rsidR="007002D8">
        <w:t xml:space="preserve"> Donohue’s argument that </w:t>
      </w:r>
      <w:r w:rsidRPr="002D7212">
        <w:t xml:space="preserve">time records showing </w:t>
      </w:r>
      <w:r w:rsidRPr="002D7212" w:rsidR="00ED235F">
        <w:t xml:space="preserve">missing, short, or delayed meal periods </w:t>
      </w:r>
      <w:r w:rsidRPr="002D7212" w:rsidR="00AA60B6">
        <w:t>give rise to</w:t>
      </w:r>
      <w:r w:rsidRPr="002D7212" w:rsidR="00ED235F">
        <w:t xml:space="preserve"> a rebuttable presumption of meal period violations.  (</w:t>
      </w:r>
      <w:r w:rsidRPr="002D7212" w:rsidR="004B5A60">
        <w:rPr>
          <w:i/>
        </w:rPr>
        <w:t>Donohue</w:t>
      </w:r>
      <w:r w:rsidRPr="002D7212" w:rsidR="004B5A60">
        <w:t xml:space="preserve">, </w:t>
      </w:r>
      <w:r w:rsidRPr="002D7212" w:rsidR="004B5A60">
        <w:rPr>
          <w:i/>
        </w:rPr>
        <w:t>supra</w:t>
      </w:r>
      <w:r w:rsidRPr="002D7212" w:rsidR="004B5A60">
        <w:t>, 29 Cal.App.5th</w:t>
      </w:r>
      <w:r w:rsidRPr="002D7212" w:rsidR="004B5A60">
        <w:rPr>
          <w:i/>
        </w:rPr>
        <w:t xml:space="preserve"> </w:t>
      </w:r>
      <w:r w:rsidRPr="002D7212" w:rsidR="004B5A60">
        <w:t xml:space="preserve">at </w:t>
      </w:r>
      <w:r w:rsidRPr="002D7212" w:rsidR="002B1F78">
        <w:t>pp. 1087–1088.</w:t>
      </w:r>
      <w:r w:rsidRPr="002D7212" w:rsidR="00C960BA">
        <w:t xml:space="preserve">)  </w:t>
      </w:r>
      <w:r w:rsidR="00B55DC5">
        <w:t>In the court’s view, t</w:t>
      </w:r>
      <w:r w:rsidR="005510FC">
        <w:t>his</w:t>
      </w:r>
      <w:r w:rsidRPr="002D7212" w:rsidR="00196B37">
        <w:t xml:space="preserve"> </w:t>
      </w:r>
      <w:r w:rsidRPr="002D7212" w:rsidR="00CD34B0">
        <w:t>rebuttable presumption</w:t>
      </w:r>
      <w:r w:rsidRPr="002D7212" w:rsidR="00F075C6">
        <w:t xml:space="preserve"> </w:t>
      </w:r>
      <w:r w:rsidRPr="002D7212" w:rsidR="00CD34B0">
        <w:t>applies only at the class certification stage, not at the summary judgment stage.  (</w:t>
      </w:r>
      <w:r w:rsidRPr="002D7212" w:rsidR="00CD34B0">
        <w:rPr>
          <w:i/>
        </w:rPr>
        <w:t>Ibid.</w:t>
      </w:r>
      <w:r w:rsidRPr="002D7212" w:rsidR="00831250">
        <w:t xml:space="preserve">)  Finally, the court </w:t>
      </w:r>
      <w:r w:rsidRPr="002D7212" w:rsidR="003F5164">
        <w:t xml:space="preserve">considered Donohue’s </w:t>
      </w:r>
      <w:r w:rsidRPr="002D7212" w:rsidR="007F567B">
        <w:t xml:space="preserve">testimony </w:t>
      </w:r>
      <w:r w:rsidRPr="002D7212" w:rsidR="00E860DF">
        <w:t xml:space="preserve">that AMN’s office culture </w:t>
      </w:r>
      <w:r w:rsidRPr="002D7212" w:rsidR="003F5164">
        <w:t>discouraged employees from taking full and timely lunches.</w:t>
      </w:r>
      <w:r w:rsidRPr="002D7212" w:rsidR="00E860DF">
        <w:t xml:space="preserve">  (</w:t>
      </w:r>
      <w:r w:rsidRPr="002D7212" w:rsidR="00E860DF">
        <w:rPr>
          <w:i/>
        </w:rPr>
        <w:t xml:space="preserve">Id. </w:t>
      </w:r>
      <w:r w:rsidRPr="002D7212" w:rsidR="00E860DF">
        <w:t xml:space="preserve">at p. 1091.)  </w:t>
      </w:r>
      <w:r w:rsidRPr="002D7212" w:rsidR="00B23D64">
        <w:t xml:space="preserve">The court </w:t>
      </w:r>
      <w:r w:rsidR="00852B66">
        <w:t>noted</w:t>
      </w:r>
      <w:r w:rsidRPr="002D7212" w:rsidR="00852B66">
        <w:t xml:space="preserve"> </w:t>
      </w:r>
      <w:r w:rsidRPr="002D7212" w:rsidR="00B23D64">
        <w:t xml:space="preserve">that </w:t>
      </w:r>
      <w:r w:rsidRPr="002D7212" w:rsidR="00DF54E7">
        <w:t xml:space="preserve">Donohue never </w:t>
      </w:r>
      <w:r w:rsidRPr="002D7212" w:rsidR="00B76BBE">
        <w:t>indicated</w:t>
      </w:r>
      <w:r w:rsidRPr="002D7212" w:rsidR="00B31292">
        <w:t xml:space="preserve"> a meal period violation on Team Time and always certified that her timesheet was accurate.  </w:t>
      </w:r>
      <w:r w:rsidRPr="002D7212" w:rsidR="005A03A0">
        <w:t>(</w:t>
      </w:r>
      <w:r w:rsidRPr="002D7212" w:rsidR="005A03A0">
        <w:rPr>
          <w:i/>
        </w:rPr>
        <w:t>Ibid.</w:t>
      </w:r>
      <w:r w:rsidRPr="002D7212" w:rsidR="000D459B">
        <w:t xml:space="preserve">)  </w:t>
      </w:r>
      <w:r w:rsidR="008D1669">
        <w:t>Th</w:t>
      </w:r>
      <w:r w:rsidR="00DC555F">
        <w:t>us</w:t>
      </w:r>
      <w:r w:rsidRPr="002D7212" w:rsidR="000D459B">
        <w:t>, the court concluded</w:t>
      </w:r>
      <w:r w:rsidR="0069025A">
        <w:t>,</w:t>
      </w:r>
      <w:r w:rsidRPr="002D7212" w:rsidR="000D459B">
        <w:t xml:space="preserve"> </w:t>
      </w:r>
      <w:r w:rsidR="00C50E5A">
        <w:t>her</w:t>
      </w:r>
      <w:r w:rsidRPr="002D7212" w:rsidR="00C50E5A">
        <w:t xml:space="preserve"> </w:t>
      </w:r>
      <w:r w:rsidRPr="002D7212" w:rsidR="000D459B">
        <w:t>testimony was insufficient to raise a triable issue of</w:t>
      </w:r>
      <w:r w:rsidR="00A62E60">
        <w:t xml:space="preserve"> material</w:t>
      </w:r>
      <w:r w:rsidRPr="002D7212" w:rsidR="000D459B">
        <w:t xml:space="preserve"> fact as to the meal period claim.</w:t>
      </w:r>
    </w:p>
    <w:p w:rsidR="000D459B" w:rsidRPr="002D7212" w:rsidP="002D7212">
      <w:pPr>
        <w:tabs>
          <w:tab w:val="left" w:pos="1440"/>
        </w:tabs>
        <w:ind w:firstLine="720"/>
      </w:pPr>
      <w:r w:rsidRPr="002D7212">
        <w:t xml:space="preserve">We </w:t>
      </w:r>
      <w:r w:rsidRPr="002D7212">
        <w:t xml:space="preserve">granted review to address </w:t>
      </w:r>
      <w:r w:rsidRPr="002D7212">
        <w:t>two questions of law</w:t>
      </w:r>
      <w:r w:rsidRPr="002D7212">
        <w:t xml:space="preserve"> relating to </w:t>
      </w:r>
      <w:r w:rsidRPr="002D7212" w:rsidR="00396FC4">
        <w:t>the meal period claim:</w:t>
      </w:r>
      <w:r w:rsidR="000A10AA">
        <w:t>  </w:t>
      </w:r>
      <w:r w:rsidRPr="002D7212" w:rsidR="00B20257">
        <w:t>whether</w:t>
      </w:r>
      <w:r w:rsidRPr="002D7212" w:rsidR="000A6E6D">
        <w:t xml:space="preserve"> an employer may properly round </w:t>
      </w:r>
      <w:r w:rsidRPr="002D7212" w:rsidR="00FD3528">
        <w:t>time punches for meal periods</w:t>
      </w:r>
      <w:r w:rsidRPr="002D7212" w:rsidR="00792DFF">
        <w:t>,</w:t>
      </w:r>
      <w:r w:rsidRPr="002D7212" w:rsidR="00FD3528">
        <w:t xml:space="preserve"> </w:t>
      </w:r>
      <w:r w:rsidRPr="002D7212" w:rsidR="008F5035">
        <w:t xml:space="preserve">and </w:t>
      </w:r>
      <w:r w:rsidRPr="002D7212" w:rsidR="00DE1836">
        <w:t xml:space="preserve">whether </w:t>
      </w:r>
      <w:r w:rsidRPr="002D7212" w:rsidR="00621B19">
        <w:t xml:space="preserve">time records showing </w:t>
      </w:r>
      <w:r w:rsidRPr="002D7212" w:rsidR="00360455">
        <w:t>non</w:t>
      </w:r>
      <w:r w:rsidRPr="002D7212" w:rsidR="00C04A51">
        <w:t xml:space="preserve">compliant meal periods </w:t>
      </w:r>
      <w:r w:rsidRPr="002D7212" w:rsidR="00E77D41">
        <w:t>raise a rebuttable presumption of meal period violations.</w:t>
      </w:r>
    </w:p>
    <w:p w:rsidR="00624FFA" w:rsidRPr="002D7212" w:rsidP="00AC1F95">
      <w:pPr>
        <w:tabs>
          <w:tab w:val="left" w:pos="1440"/>
        </w:tabs>
        <w:jc w:val="center"/>
        <w:rPr>
          <w:b/>
        </w:rPr>
      </w:pPr>
      <w:r w:rsidRPr="002D7212">
        <w:rPr>
          <w:b/>
        </w:rPr>
        <w:t>II.</w:t>
      </w:r>
    </w:p>
    <w:p w:rsidR="00B55DC5">
      <w:pPr>
        <w:tabs>
          <w:tab w:val="left" w:pos="720"/>
        </w:tabs>
      </w:pPr>
      <w:r w:rsidRPr="002D7212">
        <w:tab/>
        <w:t xml:space="preserve">We first examine whether </w:t>
      </w:r>
      <w:r w:rsidRPr="002D7212" w:rsidR="009D24A0">
        <w:t xml:space="preserve">the practice of rounding </w:t>
      </w:r>
      <w:r w:rsidRPr="002D7212" w:rsidR="000A6E6D">
        <w:t>time punches</w:t>
      </w:r>
      <w:r w:rsidRPr="002D7212" w:rsidR="00FB18FE">
        <w:t>, which was developed</w:t>
      </w:r>
      <w:r w:rsidRPr="002D7212" w:rsidR="007858BE">
        <w:t xml:space="preserve"> for the purpose of calculating wages, </w:t>
      </w:r>
      <w:r w:rsidRPr="002D7212" w:rsidR="00FB18FE">
        <w:t xml:space="preserve">can be </w:t>
      </w:r>
      <w:r w:rsidRPr="002D7212" w:rsidR="006F65B4">
        <w:t xml:space="preserve">properly </w:t>
      </w:r>
      <w:r w:rsidRPr="002D7212" w:rsidR="00FB18FE">
        <w:t xml:space="preserve">applied to </w:t>
      </w:r>
      <w:r w:rsidRPr="002D7212" w:rsidR="00B9642A">
        <w:t>the meal period context</w:t>
      </w:r>
      <w:r w:rsidRPr="002D7212" w:rsidR="00781CD1">
        <w:t xml:space="preserve">.  </w:t>
      </w:r>
      <w:r w:rsidRPr="002D7212" w:rsidR="0089396C">
        <w:t xml:space="preserve">To </w:t>
      </w:r>
      <w:r w:rsidRPr="002D7212" w:rsidR="000B3E34">
        <w:t>be clear</w:t>
      </w:r>
      <w:r w:rsidRPr="002D7212" w:rsidR="0089396C">
        <w:t>,</w:t>
      </w:r>
      <w:r w:rsidRPr="002D7212" w:rsidR="00610D09">
        <w:t xml:space="preserve"> </w:t>
      </w:r>
      <w:r w:rsidRPr="002D7212" w:rsidR="00C34EFD">
        <w:t xml:space="preserve">the </w:t>
      </w:r>
      <w:r w:rsidRPr="002D7212" w:rsidR="008067D6">
        <w:t xml:space="preserve">question is not whether AMN’s rounding policy resulted in </w:t>
      </w:r>
      <w:r w:rsidRPr="002D7212" w:rsidR="004357D8">
        <w:t xml:space="preserve">the proper compensation of </w:t>
      </w:r>
      <w:r w:rsidRPr="002D7212" w:rsidR="00E6706A">
        <w:t xml:space="preserve">employees for all time worked.  </w:t>
      </w:r>
      <w:r w:rsidRPr="002D7212" w:rsidR="002E1B67">
        <w:t xml:space="preserve">Donohue </w:t>
      </w:r>
      <w:r w:rsidRPr="002D7212" w:rsidR="00DB1373">
        <w:t xml:space="preserve">does not </w:t>
      </w:r>
      <w:r w:rsidRPr="002D7212" w:rsidR="000829AF">
        <w:t>d</w:t>
      </w:r>
      <w:r w:rsidRPr="002D7212" w:rsidR="00DB1373">
        <w:t xml:space="preserve">ispute that </w:t>
      </w:r>
      <w:r w:rsidRPr="002D7212" w:rsidR="00E6030D">
        <w:t xml:space="preserve">the rounding policy </w:t>
      </w:r>
      <w:r w:rsidRPr="002D7212" w:rsidR="00F41634">
        <w:t>overcompensated the class by 85 work hours</w:t>
      </w:r>
      <w:r w:rsidRPr="002D7212" w:rsidR="00AF4875">
        <w:t xml:space="preserve">, as AMN’s expert </w:t>
      </w:r>
      <w:r w:rsidRPr="002D7212" w:rsidR="00B41D3C">
        <w:t>concluded</w:t>
      </w:r>
      <w:r w:rsidRPr="002D7212" w:rsidR="00EB6524">
        <w:t xml:space="preserve">, when </w:t>
      </w:r>
      <w:r w:rsidRPr="002D7212" w:rsidR="004D6199">
        <w:t xml:space="preserve">considering only </w:t>
      </w:r>
      <w:r w:rsidRPr="002D7212" w:rsidR="007C1E3A">
        <w:t>compensation for time worked</w:t>
      </w:r>
      <w:r w:rsidRPr="002D7212" w:rsidR="00B41D3C">
        <w:t>.</w:t>
      </w:r>
      <w:r w:rsidRPr="002D7212" w:rsidR="00FB3CF7">
        <w:t xml:space="preserve">  Instead, </w:t>
      </w:r>
      <w:r w:rsidRPr="002D7212" w:rsidR="00011C59">
        <w:t>the issue</w:t>
      </w:r>
      <w:r w:rsidRPr="002D7212" w:rsidR="00A82DB3">
        <w:t xml:space="preserve"> </w:t>
      </w:r>
      <w:r w:rsidRPr="002D7212" w:rsidR="00E857E2">
        <w:t xml:space="preserve">is whether </w:t>
      </w:r>
      <w:r w:rsidRPr="002D7212" w:rsidR="0089396C">
        <w:t xml:space="preserve">AMN’s rounding policy resulted in the </w:t>
      </w:r>
      <w:r w:rsidRPr="002D7212" w:rsidR="00481609">
        <w:t>proper payment</w:t>
      </w:r>
      <w:r w:rsidRPr="002D7212" w:rsidR="0089396C">
        <w:t xml:space="preserve"> of premium wages for meal period violations.</w:t>
      </w:r>
      <w:r w:rsidRPr="002D7212" w:rsidR="00F765D6">
        <w:t xml:space="preserve">  AMN’s </w:t>
      </w:r>
      <w:r w:rsidRPr="002D7212" w:rsidR="00A933AC">
        <w:t xml:space="preserve">claim that it overpaid </w:t>
      </w:r>
      <w:r w:rsidRPr="002D7212" w:rsidR="00162C25">
        <w:t>the class</w:t>
      </w:r>
      <w:r w:rsidRPr="002D7212" w:rsidR="007C7FF2">
        <w:t xml:space="preserve"> </w:t>
      </w:r>
      <w:r w:rsidRPr="002D7212" w:rsidR="00B95DDB">
        <w:t xml:space="preserve">based on </w:t>
      </w:r>
      <w:r w:rsidRPr="002D7212" w:rsidR="00A9237B">
        <w:t xml:space="preserve">time worked </w:t>
      </w:r>
      <w:r w:rsidRPr="002D7212" w:rsidR="00585239">
        <w:t xml:space="preserve">does not </w:t>
      </w:r>
      <w:r w:rsidRPr="002D7212" w:rsidR="006A7C36">
        <w:t xml:space="preserve">address </w:t>
      </w:r>
      <w:r w:rsidRPr="002D7212" w:rsidR="00162C25">
        <w:t>this issue.</w:t>
      </w:r>
    </w:p>
    <w:p w:rsidR="00BB4619">
      <w:pPr>
        <w:tabs>
          <w:tab w:val="left" w:pos="720"/>
        </w:tabs>
      </w:pPr>
      <w:r>
        <w:tab/>
      </w:r>
      <w:r w:rsidR="005135A7">
        <w:t>AMN, for its part, does not argue that any meal period</w:t>
      </w:r>
      <w:r w:rsidR="00757D46">
        <w:t>s</w:t>
      </w:r>
      <w:r w:rsidR="005135A7">
        <w:t xml:space="preserve"> rounded to 30 minutes are per se lawful.  </w:t>
      </w:r>
      <w:r w:rsidR="002769B4">
        <w:t>Rather</w:t>
      </w:r>
      <w:r w:rsidR="005135A7">
        <w:t>, it argues that the undisputed evidence shows that no meal period violations occurred for which premium</w:t>
      </w:r>
      <w:r>
        <w:t xml:space="preserve"> wage</w:t>
      </w:r>
      <w:r w:rsidR="005135A7">
        <w:t>s were not paid</w:t>
      </w:r>
      <w:r>
        <w:t xml:space="preserve">.  </w:t>
      </w:r>
      <w:r w:rsidR="005135A7">
        <w:t xml:space="preserve">AMN asserts that this evidence, </w:t>
      </w:r>
      <w:r w:rsidR="0055730F">
        <w:t>regardless of</w:t>
      </w:r>
      <w:r w:rsidR="005135A7">
        <w:t xml:space="preserve"> its use of rounding, supports judgment on the meal period claim.  </w:t>
      </w:r>
      <w:r w:rsidRPr="002D7212" w:rsidR="00DC2955">
        <w:t>B</w:t>
      </w:r>
      <w:r>
        <w:t>ut b</w:t>
      </w:r>
      <w:r w:rsidRPr="002D7212" w:rsidR="0046382E">
        <w:t xml:space="preserve">ecause AMN </w:t>
      </w:r>
      <w:r w:rsidRPr="002D7212" w:rsidR="004E7657">
        <w:t xml:space="preserve">asserted that rounding applies to meal periods as an affirmative defense </w:t>
      </w:r>
      <w:r w:rsidRPr="002D7212" w:rsidR="006537C1">
        <w:t xml:space="preserve">and </w:t>
      </w:r>
      <w:r w:rsidR="00BD7170">
        <w:t xml:space="preserve">because </w:t>
      </w:r>
      <w:r w:rsidRPr="002D7212" w:rsidR="006537C1">
        <w:t xml:space="preserve">the trial court certified a meal period class on the basis of </w:t>
      </w:r>
      <w:r w:rsidRPr="002D7212" w:rsidR="004E7657">
        <w:t>th</w:t>
      </w:r>
      <w:r w:rsidRPr="002D7212" w:rsidR="00307885">
        <w:t xml:space="preserve">is question, the issue </w:t>
      </w:r>
      <w:r>
        <w:t xml:space="preserve">of rounding </w:t>
      </w:r>
      <w:r w:rsidRPr="002D7212" w:rsidR="00307885">
        <w:t>is properly before us</w:t>
      </w:r>
      <w:r w:rsidRPr="002D7212" w:rsidR="006537C1">
        <w:t>.</w:t>
      </w:r>
      <w:r w:rsidRPr="002D7212" w:rsidR="00AD07BC">
        <w:t xml:space="preserve"> </w:t>
      </w:r>
      <w:r>
        <w:t xml:space="preserve"> </w:t>
      </w:r>
    </w:p>
    <w:p w:rsidR="00120E72" w:rsidP="004454C3">
      <w:pPr>
        <w:tabs>
          <w:tab w:val="left" w:pos="720"/>
        </w:tabs>
        <w:rPr>
          <w:szCs w:val="26"/>
        </w:rPr>
      </w:pPr>
      <w:r>
        <w:tab/>
        <w:t>The issue arises</w:t>
      </w:r>
      <w:r w:rsidR="00426824">
        <w:t xml:space="preserve"> solely</w:t>
      </w:r>
      <w:r>
        <w:t xml:space="preserve"> under state law because the federal </w:t>
      </w:r>
      <w:r>
        <w:rPr>
          <w:szCs w:val="26"/>
        </w:rPr>
        <w:t>Fair Labor Standards Act</w:t>
      </w:r>
      <w:r w:rsidR="00AA0B0E">
        <w:rPr>
          <w:szCs w:val="26"/>
        </w:rPr>
        <w:t xml:space="preserve"> of 1938 (29 U.S.C. §</w:t>
      </w:r>
      <w:r w:rsidR="005A04F6">
        <w:rPr>
          <w:szCs w:val="26"/>
        </w:rPr>
        <w:t> </w:t>
      </w:r>
      <w:r w:rsidR="00AA0B0E">
        <w:rPr>
          <w:szCs w:val="26"/>
        </w:rPr>
        <w:t>201 et seq.)</w:t>
      </w:r>
      <w:r>
        <w:rPr>
          <w:szCs w:val="26"/>
        </w:rPr>
        <w:t xml:space="preserve"> does not require employers to provide meal periods to employees.  (</w:t>
      </w:r>
      <w:r w:rsidRPr="00155F79">
        <w:rPr>
          <w:i/>
          <w:iCs/>
          <w:szCs w:val="26"/>
        </w:rPr>
        <w:t>Mitchell v. JCG Industries, Inc</w:t>
      </w:r>
      <w:r w:rsidRPr="00155F79">
        <w:rPr>
          <w:szCs w:val="26"/>
        </w:rPr>
        <w:t>. (7th Cir. 2014) 745 F.3d 837, 840.</w:t>
      </w:r>
      <w:r>
        <w:rPr>
          <w:szCs w:val="26"/>
        </w:rPr>
        <w:t>)</w:t>
      </w:r>
      <w:r>
        <w:t xml:space="preserve">  </w:t>
      </w:r>
      <w:r w:rsidR="00B55DC5">
        <w:rPr>
          <w:szCs w:val="26"/>
        </w:rPr>
        <w:t>I</w:t>
      </w:r>
      <w:r w:rsidRPr="002D7212" w:rsidR="00115B8E">
        <w:rPr>
          <w:szCs w:val="26"/>
        </w:rPr>
        <w:t xml:space="preserve">n California, “wage and hour claims are today governed by two </w:t>
      </w:r>
      <w:r w:rsidRPr="002D7212" w:rsidR="007E4EBC">
        <w:rPr>
          <w:szCs w:val="26"/>
        </w:rPr>
        <w:t xml:space="preserve">complementary and </w:t>
      </w:r>
      <w:r w:rsidRPr="002D7212" w:rsidR="00115B8E">
        <w:rPr>
          <w:szCs w:val="26"/>
        </w:rPr>
        <w:t>occasionally overlapping sources o</w:t>
      </w:r>
      <w:r w:rsidRPr="002D7212" w:rsidR="007E4EBC">
        <w:rPr>
          <w:szCs w:val="26"/>
        </w:rPr>
        <w:t>f authority:</w:t>
      </w:r>
      <w:r w:rsidR="007C5987">
        <w:rPr>
          <w:szCs w:val="26"/>
        </w:rPr>
        <w:t>  </w:t>
      </w:r>
      <w:r w:rsidRPr="002D7212" w:rsidR="007E4EBC">
        <w:rPr>
          <w:szCs w:val="26"/>
        </w:rPr>
        <w:t>the provi</w:t>
      </w:r>
      <w:r w:rsidRPr="002D7212" w:rsidR="00115B8E">
        <w:rPr>
          <w:szCs w:val="26"/>
        </w:rPr>
        <w:t>sions of the Labor Code, enacted by the Legislature, and a series of 18 wage</w:t>
      </w:r>
      <w:r w:rsidRPr="002D7212" w:rsidR="007E4EBC">
        <w:rPr>
          <w:szCs w:val="26"/>
        </w:rPr>
        <w:t xml:space="preserve"> </w:t>
      </w:r>
      <w:r w:rsidRPr="002D7212" w:rsidR="00115B8E">
        <w:rPr>
          <w:szCs w:val="26"/>
        </w:rPr>
        <w:t xml:space="preserve">orders, adopted by the </w:t>
      </w:r>
      <w:r w:rsidR="00E9128D">
        <w:rPr>
          <w:szCs w:val="26"/>
        </w:rPr>
        <w:t>IWC</w:t>
      </w:r>
      <w:r w:rsidRPr="002D7212" w:rsidR="00115B8E">
        <w:rPr>
          <w:szCs w:val="26"/>
        </w:rPr>
        <w:t xml:space="preserve">.” </w:t>
      </w:r>
      <w:r w:rsidRPr="002D7212" w:rsidR="00471D63">
        <w:rPr>
          <w:szCs w:val="26"/>
        </w:rPr>
        <w:t xml:space="preserve"> </w:t>
      </w:r>
      <w:r w:rsidRPr="002D7212" w:rsidR="00115B8E">
        <w:rPr>
          <w:szCs w:val="26"/>
        </w:rPr>
        <w:t>(</w:t>
      </w:r>
      <w:r w:rsidRPr="002D7212" w:rsidR="00115B8E">
        <w:rPr>
          <w:i/>
          <w:szCs w:val="26"/>
        </w:rPr>
        <w:t>Brinker</w:t>
      </w:r>
      <w:r w:rsidRPr="002D7212" w:rsidR="00471D63">
        <w:rPr>
          <w:szCs w:val="26"/>
        </w:rPr>
        <w:t xml:space="preserve">, </w:t>
      </w:r>
      <w:r w:rsidRPr="002D7212" w:rsidR="00471D63">
        <w:rPr>
          <w:i/>
          <w:szCs w:val="26"/>
        </w:rPr>
        <w:t>supra</w:t>
      </w:r>
      <w:r w:rsidRPr="002D7212" w:rsidR="00471D63">
        <w:rPr>
          <w:szCs w:val="26"/>
        </w:rPr>
        <w:t xml:space="preserve">, </w:t>
      </w:r>
      <w:r w:rsidRPr="002D7212" w:rsidR="00D613E3">
        <w:rPr>
          <w:szCs w:val="26"/>
        </w:rPr>
        <w:t xml:space="preserve">53 Cal.4th </w:t>
      </w:r>
      <w:r w:rsidRPr="002D7212" w:rsidR="00471D63">
        <w:rPr>
          <w:szCs w:val="26"/>
        </w:rPr>
        <w:t>at p. 1026</w:t>
      </w:r>
      <w:r w:rsidRPr="002D7212" w:rsidR="00115B8E">
        <w:rPr>
          <w:szCs w:val="26"/>
        </w:rPr>
        <w:t>.)</w:t>
      </w:r>
      <w:r w:rsidR="001D2711">
        <w:rPr>
          <w:szCs w:val="26"/>
        </w:rPr>
        <w:t xml:space="preserve">  “The IWC is the state agency empowered to promulgate wage orders, which are legislative regulations specifying minimum requirements with respect to wages, hours, and working conditions.”  </w:t>
      </w:r>
      <w:r w:rsidRPr="002D7212" w:rsidR="001D2711">
        <w:rPr>
          <w:szCs w:val="26"/>
        </w:rPr>
        <w:t>(</w:t>
      </w:r>
      <w:r w:rsidRPr="002D7212" w:rsidR="001D2711">
        <w:rPr>
          <w:i/>
          <w:szCs w:val="26"/>
        </w:rPr>
        <w:t>Augustus v. ABM Security Services, Inc.</w:t>
      </w:r>
      <w:r w:rsidRPr="002D7212" w:rsidR="001D2711">
        <w:rPr>
          <w:szCs w:val="26"/>
        </w:rPr>
        <w:t xml:space="preserve"> (2016) 2 Cal.5th 257, 262</w:t>
      </w:r>
      <w:r w:rsidR="001D2711">
        <w:rPr>
          <w:szCs w:val="26"/>
        </w:rPr>
        <w:t>, fn. 5</w:t>
      </w:r>
      <w:r w:rsidRPr="002D7212" w:rsidR="001D2711">
        <w:rPr>
          <w:szCs w:val="26"/>
        </w:rPr>
        <w:t xml:space="preserve"> (</w:t>
      </w:r>
      <w:r w:rsidRPr="002D7212" w:rsidR="001D2711">
        <w:rPr>
          <w:i/>
          <w:szCs w:val="26"/>
        </w:rPr>
        <w:t>ABM Security</w:t>
      </w:r>
      <w:r w:rsidRPr="002D7212" w:rsidR="001D2711">
        <w:rPr>
          <w:szCs w:val="26"/>
        </w:rPr>
        <w:t>).)</w:t>
      </w:r>
      <w:r w:rsidR="001D2711">
        <w:rPr>
          <w:szCs w:val="26"/>
        </w:rPr>
        <w:t xml:space="preserve">  </w:t>
      </w:r>
    </w:p>
    <w:p w:rsidR="0094170F" w:rsidRPr="002D7212" w:rsidP="004454C3">
      <w:pPr>
        <w:autoSpaceDE w:val="0"/>
        <w:autoSpaceDN w:val="0"/>
        <w:adjustRightInd w:val="0"/>
        <w:ind w:firstLine="720"/>
        <w:rPr>
          <w:szCs w:val="26"/>
        </w:rPr>
      </w:pPr>
      <w:r w:rsidRPr="002D7212">
        <w:rPr>
          <w:szCs w:val="26"/>
        </w:rPr>
        <w:t xml:space="preserve">“The IWC’s wage orders are to </w:t>
      </w:r>
      <w:r w:rsidRPr="002D7212">
        <w:rPr>
          <w:szCs w:val="26"/>
        </w:rPr>
        <w:t xml:space="preserve">be accorded the same dignity as </w:t>
      </w:r>
      <w:r w:rsidRPr="002D7212">
        <w:rPr>
          <w:szCs w:val="26"/>
        </w:rPr>
        <w:t>statutes.</w:t>
      </w:r>
      <w:r w:rsidRPr="002D7212">
        <w:rPr>
          <w:szCs w:val="26"/>
        </w:rPr>
        <w:t xml:space="preserve">  </w:t>
      </w:r>
      <w:r w:rsidRPr="002D7212">
        <w:rPr>
          <w:szCs w:val="26"/>
        </w:rPr>
        <w:t>They are ‘presumptively valid’ legislative regulations of the employment</w:t>
      </w:r>
      <w:r w:rsidRPr="002D7212">
        <w:rPr>
          <w:szCs w:val="26"/>
        </w:rPr>
        <w:t xml:space="preserve"> </w:t>
      </w:r>
      <w:r w:rsidRPr="002D7212">
        <w:rPr>
          <w:szCs w:val="26"/>
        </w:rPr>
        <w:t>relationship [citation], regulations that must be given ‘independent effect’</w:t>
      </w:r>
      <w:r w:rsidRPr="002D7212">
        <w:rPr>
          <w:szCs w:val="26"/>
        </w:rPr>
        <w:t xml:space="preserve"> </w:t>
      </w:r>
      <w:r w:rsidRPr="002D7212">
        <w:rPr>
          <w:szCs w:val="26"/>
        </w:rPr>
        <w:t xml:space="preserve">separate and apart from any statutory enactments </w:t>
      </w:r>
      <w:r w:rsidR="00076A34">
        <w:rPr>
          <w:szCs w:val="26"/>
        </w:rPr>
        <w:t>[citation]</w:t>
      </w:r>
      <w:r w:rsidRPr="002D7212">
        <w:rPr>
          <w:szCs w:val="26"/>
        </w:rPr>
        <w:t xml:space="preserve">.” </w:t>
      </w:r>
      <w:r w:rsidRPr="002D7212">
        <w:rPr>
          <w:szCs w:val="26"/>
        </w:rPr>
        <w:t xml:space="preserve"> </w:t>
      </w:r>
      <w:r w:rsidRPr="002D7212" w:rsidR="00120E72">
        <w:rPr>
          <w:szCs w:val="26"/>
        </w:rPr>
        <w:t>(</w:t>
      </w:r>
      <w:r w:rsidRPr="002D7212" w:rsidR="00120E72">
        <w:rPr>
          <w:i/>
          <w:szCs w:val="26"/>
        </w:rPr>
        <w:t>Brinker</w:t>
      </w:r>
      <w:r w:rsidRPr="002D7212" w:rsidR="00120E72">
        <w:rPr>
          <w:szCs w:val="26"/>
        </w:rPr>
        <w:t xml:space="preserve">, </w:t>
      </w:r>
      <w:r w:rsidRPr="002D7212" w:rsidR="00120E72">
        <w:rPr>
          <w:i/>
          <w:szCs w:val="26"/>
        </w:rPr>
        <w:t>supra</w:t>
      </w:r>
      <w:r w:rsidRPr="002D7212" w:rsidR="00120E72">
        <w:rPr>
          <w:szCs w:val="26"/>
        </w:rPr>
        <w:t>, 53 Cal.4th at p. 102</w:t>
      </w:r>
      <w:r w:rsidR="00120E72">
        <w:rPr>
          <w:szCs w:val="26"/>
        </w:rPr>
        <w:t>7</w:t>
      </w:r>
      <w:r w:rsidRPr="002D7212" w:rsidR="00120E72">
        <w:rPr>
          <w:szCs w:val="26"/>
        </w:rPr>
        <w:t>.)</w:t>
      </w:r>
      <w:r w:rsidRPr="002D7212">
        <w:rPr>
          <w:szCs w:val="26"/>
        </w:rPr>
        <w:t xml:space="preserve">  “When construing the Labor Code and wage orders, we adopt the construction that best gives effect to the purpose of the Legislature and the IWC.  [Citations.]  Time and again, we have characterized that purpose as the protection of employees—particularly given the extent of legislative concern about working conditions, wages, and hours when the Legislature enacted key portions of the Labor Code.  [Citations.]  In furtherance of that purpose, we liberally construe the Labor Code and wage orders to favor the protection of employees.”  (</w:t>
      </w:r>
      <w:r w:rsidRPr="004454C3" w:rsidR="00E655E0">
        <w:rPr>
          <w:i/>
          <w:iCs/>
          <w:szCs w:val="26"/>
        </w:rPr>
        <w:t>ABM Security</w:t>
      </w:r>
      <w:r w:rsidR="00E655E0">
        <w:rPr>
          <w:szCs w:val="26"/>
        </w:rPr>
        <w:t>,</w:t>
      </w:r>
      <w:r w:rsidR="00B80945">
        <w:rPr>
          <w:szCs w:val="26"/>
        </w:rPr>
        <w:t xml:space="preserve"> </w:t>
      </w:r>
      <w:r w:rsidRPr="004454C3" w:rsidR="00B80945">
        <w:rPr>
          <w:i/>
          <w:iCs/>
          <w:szCs w:val="26"/>
        </w:rPr>
        <w:t>supra</w:t>
      </w:r>
      <w:r w:rsidR="00B80945">
        <w:rPr>
          <w:szCs w:val="26"/>
        </w:rPr>
        <w:t>, 2 Cal.5th</w:t>
      </w:r>
      <w:r w:rsidR="00E655E0">
        <w:rPr>
          <w:szCs w:val="26"/>
        </w:rPr>
        <w:t xml:space="preserve"> at p.</w:t>
      </w:r>
      <w:r w:rsidR="00B80945">
        <w:rPr>
          <w:szCs w:val="26"/>
        </w:rPr>
        <w:t> </w:t>
      </w:r>
      <w:r w:rsidR="00E655E0">
        <w:rPr>
          <w:szCs w:val="26"/>
        </w:rPr>
        <w:t>262.</w:t>
      </w:r>
      <w:r w:rsidRPr="002D7212">
        <w:rPr>
          <w:szCs w:val="26"/>
        </w:rPr>
        <w:t>)</w:t>
      </w:r>
    </w:p>
    <w:p w:rsidR="00B646F9">
      <w:pPr>
        <w:autoSpaceDE w:val="0"/>
        <w:autoSpaceDN w:val="0"/>
        <w:adjustRightInd w:val="0"/>
        <w:rPr>
          <w:szCs w:val="26"/>
        </w:rPr>
      </w:pPr>
      <w:r w:rsidRPr="002D7212">
        <w:rPr>
          <w:szCs w:val="26"/>
        </w:rPr>
        <w:tab/>
      </w:r>
      <w:r w:rsidR="005C6D4B">
        <w:rPr>
          <w:szCs w:val="26"/>
        </w:rPr>
        <w:t>Wage Order No. 4, which applies to professional, clerical, mechanical</w:t>
      </w:r>
      <w:r w:rsidR="00BD7170">
        <w:rPr>
          <w:szCs w:val="26"/>
        </w:rPr>
        <w:t>, and similar</w:t>
      </w:r>
      <w:r w:rsidR="005C6D4B">
        <w:rPr>
          <w:szCs w:val="26"/>
        </w:rPr>
        <w:t xml:space="preserve"> occupations, applies to the certified class of AMN nurse recruiters here.  (Wage Order No. 4, </w:t>
      </w:r>
      <w:r w:rsidR="00D9463A">
        <w:rPr>
          <w:szCs w:val="26"/>
        </w:rPr>
        <w:t>§</w:t>
      </w:r>
      <w:r w:rsidR="005C6D4B">
        <w:rPr>
          <w:szCs w:val="26"/>
        </w:rPr>
        <w:t> 2(O).)</w:t>
      </w:r>
      <w:r w:rsidR="00DB114A">
        <w:rPr>
          <w:szCs w:val="26"/>
        </w:rPr>
        <w:t xml:space="preserve">  </w:t>
      </w:r>
      <w:r w:rsidR="00B55DC5">
        <w:rPr>
          <w:szCs w:val="26"/>
        </w:rPr>
        <w:t xml:space="preserve">This wage order </w:t>
      </w:r>
      <w:r w:rsidR="00DB114A">
        <w:rPr>
          <w:szCs w:val="26"/>
        </w:rPr>
        <w:t>and the relevant statute provide:  </w:t>
      </w:r>
      <w:bookmarkStart w:id="1" w:name="_Hlk60685870"/>
      <w:r w:rsidRPr="002D7212" w:rsidR="00CD316E">
        <w:rPr>
          <w:szCs w:val="26"/>
        </w:rPr>
        <w:t>“</w:t>
      </w:r>
      <w:r w:rsidRPr="002D7212" w:rsidR="00D45F06">
        <w:rPr>
          <w:szCs w:val="26"/>
        </w:rPr>
        <w:t xml:space="preserve">No employer shall employ any person for a work period of more than five (5) hours without a meal period of not less than 30 minutes . . . .  Unless the employee is relieved of all duty during a 30 minute meal period, the meal period shall be considered an ‘on duty’ meal period and counted as time worked.”  </w:t>
      </w:r>
      <w:r w:rsidRPr="002D7212" w:rsidR="00D45F06">
        <w:t xml:space="preserve">(Wage Order No. 4, </w:t>
      </w:r>
      <w:r w:rsidR="00D9463A">
        <w:t>§</w:t>
      </w:r>
      <w:r w:rsidRPr="002D7212" w:rsidR="00D45F06">
        <w:rPr>
          <w:szCs w:val="26"/>
        </w:rPr>
        <w:t xml:space="preserve"> 11(A); accord, </w:t>
      </w:r>
      <w:r w:rsidRPr="002D7212" w:rsidR="00D45F06">
        <w:t>Lab. Code, § 512, subd. (a) [“</w:t>
      </w:r>
      <w:r w:rsidRPr="002D7212" w:rsidR="00D45F06">
        <w:rPr>
          <w:szCs w:val="26"/>
        </w:rPr>
        <w:t>An employer shall not employ an employee for a work period of more than five hours per day without providing the employee with a meal period of not less than 30 minutes . . . .  An employer shall not employ an employee for a work period of more than 10 hours per day without providing the employee with a second meal period of not less than 30 minutes . . . .”].)</w:t>
      </w:r>
      <w:bookmarkEnd w:id="1"/>
      <w:r w:rsidRPr="002D7212" w:rsidR="00E25703">
        <w:rPr>
          <w:szCs w:val="26"/>
        </w:rPr>
        <w:t xml:space="preserve">  </w:t>
      </w:r>
    </w:p>
    <w:p w:rsidR="00963751" w:rsidRPr="0013700A" w:rsidP="004454C3">
      <w:pPr>
        <w:autoSpaceDE w:val="0"/>
        <w:autoSpaceDN w:val="0"/>
        <w:adjustRightInd w:val="0"/>
        <w:ind w:firstLine="720"/>
        <w:rPr>
          <w:szCs w:val="26"/>
        </w:rPr>
      </w:pPr>
      <w:r w:rsidRPr="002D7212">
        <w:rPr>
          <w:szCs w:val="26"/>
        </w:rPr>
        <w:t>This means that employers must generally provide “a first meal period [of at least 30 minutes] no later than the end of an employee’s fifth hour of work, and a second meal period [of at least 30 minutes] no later than the end of an employee’s 10th hour of work.”  (</w:t>
      </w:r>
      <w:r w:rsidRPr="002D7212">
        <w:rPr>
          <w:i/>
          <w:szCs w:val="26"/>
        </w:rPr>
        <w:t>Brinker</w:t>
      </w:r>
      <w:r w:rsidRPr="002D7212">
        <w:rPr>
          <w:szCs w:val="26"/>
        </w:rPr>
        <w:t xml:space="preserve">, </w:t>
      </w:r>
      <w:r w:rsidRPr="002D7212" w:rsidR="004331F6">
        <w:rPr>
          <w:i/>
          <w:szCs w:val="26"/>
        </w:rPr>
        <w:t>supra</w:t>
      </w:r>
      <w:r w:rsidRPr="002D7212" w:rsidR="004331F6">
        <w:rPr>
          <w:szCs w:val="26"/>
        </w:rPr>
        <w:t>, 53 Cal.4th at p. </w:t>
      </w:r>
      <w:r w:rsidRPr="002D7212" w:rsidR="00291CFF">
        <w:rPr>
          <w:szCs w:val="26"/>
        </w:rPr>
        <w:t xml:space="preserve">1041.)  In </w:t>
      </w:r>
      <w:r w:rsidRPr="002D7212" w:rsidR="00291CFF">
        <w:rPr>
          <w:i/>
          <w:szCs w:val="26"/>
        </w:rPr>
        <w:t>Brinker</w:t>
      </w:r>
      <w:r w:rsidRPr="002D7212" w:rsidR="00291CFF">
        <w:rPr>
          <w:szCs w:val="26"/>
        </w:rPr>
        <w:t>, we clarified that an “employer satisfies this obligation if it relieves its employees of all duty, relinquishes control over their activities and permits them a reasonable opportunity to take an uninterrupted 30-minute break, and does not impede or discourage them from doing so.</w:t>
      </w:r>
      <w:r w:rsidR="005A04F6">
        <w:rPr>
          <w:szCs w:val="26"/>
        </w:rPr>
        <w:t> </w:t>
      </w:r>
      <w:r w:rsidRPr="002D7212" w:rsidR="00291CFF">
        <w:rPr>
          <w:szCs w:val="26"/>
        </w:rPr>
        <w:t xml:space="preserve">. . .  </w:t>
      </w:r>
      <w:r w:rsidR="005130C8">
        <w:t>[¶]  .</w:t>
      </w:r>
      <w:r w:rsidR="009D5316">
        <w:t> </w:t>
      </w:r>
      <w:r w:rsidR="005130C8">
        <w:t>.</w:t>
      </w:r>
      <w:r w:rsidR="009D5316">
        <w:t> </w:t>
      </w:r>
      <w:r w:rsidR="005130C8">
        <w:t xml:space="preserve">. </w:t>
      </w:r>
      <w:r w:rsidRPr="002D7212" w:rsidR="00291CFF">
        <w:rPr>
          <w:szCs w:val="26"/>
        </w:rPr>
        <w:t>[T]he employer is not obligated to police meal breaks and ensure no work thereafter is performed.”  (</w:t>
      </w:r>
      <w:r w:rsidRPr="002D7212" w:rsidR="00291CFF">
        <w:rPr>
          <w:i/>
          <w:szCs w:val="26"/>
        </w:rPr>
        <w:t xml:space="preserve">Id. </w:t>
      </w:r>
      <w:r w:rsidRPr="002D7212" w:rsidR="00291CFF">
        <w:rPr>
          <w:szCs w:val="26"/>
        </w:rPr>
        <w:t xml:space="preserve">at p. 1040.)  </w:t>
      </w:r>
      <w:r w:rsidRPr="002D7212" w:rsidR="008017A6">
        <w:rPr>
          <w:szCs w:val="26"/>
        </w:rPr>
        <w:t>There is no meal period violation i</w:t>
      </w:r>
      <w:r w:rsidRPr="002D7212" w:rsidR="00291CFF">
        <w:rPr>
          <w:szCs w:val="26"/>
        </w:rPr>
        <w:t xml:space="preserve">f an employee </w:t>
      </w:r>
      <w:r w:rsidRPr="002D7212" w:rsidR="003127CD">
        <w:rPr>
          <w:szCs w:val="26"/>
        </w:rPr>
        <w:t xml:space="preserve">voluntarily chooses to work </w:t>
      </w:r>
      <w:r w:rsidRPr="002D7212" w:rsidR="004228F4">
        <w:rPr>
          <w:szCs w:val="26"/>
        </w:rPr>
        <w:t xml:space="preserve">during a meal period after the employer </w:t>
      </w:r>
      <w:r w:rsidRPr="002D7212" w:rsidR="00B75D41">
        <w:rPr>
          <w:szCs w:val="26"/>
        </w:rPr>
        <w:t xml:space="preserve">has </w:t>
      </w:r>
      <w:r w:rsidRPr="002D7212" w:rsidR="00DC7EEF">
        <w:rPr>
          <w:szCs w:val="26"/>
        </w:rPr>
        <w:t>relieved the employee of all duty</w:t>
      </w:r>
      <w:r w:rsidRPr="002D7212" w:rsidR="008017A6">
        <w:rPr>
          <w:szCs w:val="26"/>
        </w:rPr>
        <w:t>.  (</w:t>
      </w:r>
      <w:r w:rsidRPr="002D7212" w:rsidR="008017A6">
        <w:rPr>
          <w:i/>
          <w:szCs w:val="26"/>
        </w:rPr>
        <w:t xml:space="preserve">Id. </w:t>
      </w:r>
      <w:r w:rsidRPr="002D7212" w:rsidR="008017A6">
        <w:rPr>
          <w:szCs w:val="26"/>
        </w:rPr>
        <w:t>at pp. 1040–1041.)</w:t>
      </w:r>
      <w:r w:rsidR="00BD4D42">
        <w:rPr>
          <w:szCs w:val="26"/>
        </w:rPr>
        <w:t xml:space="preserve">  The voluntariness of an employee’s choice matters </w:t>
      </w:r>
      <w:r w:rsidR="00BD7170">
        <w:rPr>
          <w:szCs w:val="26"/>
        </w:rPr>
        <w:t>because</w:t>
      </w:r>
      <w:r w:rsidR="00BD4D42">
        <w:rPr>
          <w:szCs w:val="26"/>
        </w:rPr>
        <w:t xml:space="preserve"> “an employer may not undermine a formal policy of providing meal breaks by pressuring employees to perform their duties in ways that omit breaks.”</w:t>
      </w:r>
      <w:r w:rsidR="002E160E">
        <w:rPr>
          <w:szCs w:val="26"/>
        </w:rPr>
        <w:t xml:space="preserve">  (</w:t>
      </w:r>
      <w:r w:rsidR="002E160E">
        <w:rPr>
          <w:i/>
          <w:iCs/>
          <w:szCs w:val="26"/>
        </w:rPr>
        <w:t>I</w:t>
      </w:r>
      <w:r w:rsidR="0013700A">
        <w:rPr>
          <w:i/>
          <w:iCs/>
          <w:szCs w:val="26"/>
        </w:rPr>
        <w:t>d.</w:t>
      </w:r>
      <w:r w:rsidR="0013700A">
        <w:rPr>
          <w:szCs w:val="26"/>
        </w:rPr>
        <w:t xml:space="preserve"> at p. 1040.)</w:t>
      </w:r>
    </w:p>
    <w:p w:rsidR="009168A9" w:rsidRPr="002D7212" w:rsidP="002D7212">
      <w:pPr>
        <w:autoSpaceDE w:val="0"/>
        <w:autoSpaceDN w:val="0"/>
        <w:adjustRightInd w:val="0"/>
        <w:rPr>
          <w:szCs w:val="26"/>
        </w:rPr>
      </w:pPr>
      <w:r w:rsidRPr="002D7212">
        <w:rPr>
          <w:szCs w:val="26"/>
        </w:rPr>
        <w:tab/>
      </w:r>
      <w:r w:rsidRPr="002D7212" w:rsidR="00736620">
        <w:rPr>
          <w:szCs w:val="26"/>
        </w:rPr>
        <w:t xml:space="preserve">If an employer does not provide </w:t>
      </w:r>
      <w:r w:rsidRPr="002D7212" w:rsidR="00801FAE">
        <w:rPr>
          <w:szCs w:val="26"/>
        </w:rPr>
        <w:t>an employee</w:t>
      </w:r>
      <w:r w:rsidRPr="002D7212" w:rsidR="00EB6C77">
        <w:rPr>
          <w:szCs w:val="26"/>
        </w:rPr>
        <w:t xml:space="preserve"> with a compliant meal period, then </w:t>
      </w:r>
      <w:r w:rsidRPr="002D7212" w:rsidR="0056256B">
        <w:rPr>
          <w:szCs w:val="26"/>
        </w:rPr>
        <w:t xml:space="preserve">the employer </w:t>
      </w:r>
      <w:r w:rsidRPr="002D7212" w:rsidR="00801FAE">
        <w:rPr>
          <w:szCs w:val="26"/>
        </w:rPr>
        <w:t xml:space="preserve">must </w:t>
      </w:r>
      <w:r w:rsidRPr="002D7212" w:rsidR="005723BB">
        <w:rPr>
          <w:szCs w:val="26"/>
        </w:rPr>
        <w:t xml:space="preserve">provide </w:t>
      </w:r>
      <w:r w:rsidRPr="002D7212" w:rsidR="00801FAE">
        <w:rPr>
          <w:szCs w:val="26"/>
        </w:rPr>
        <w:t xml:space="preserve">the employee </w:t>
      </w:r>
      <w:r w:rsidRPr="002D7212" w:rsidR="005723BB">
        <w:rPr>
          <w:szCs w:val="26"/>
        </w:rPr>
        <w:t>with premium pay</w:t>
      </w:r>
      <w:r w:rsidRPr="002D7212" w:rsidR="00801FAE">
        <w:rPr>
          <w:szCs w:val="26"/>
        </w:rPr>
        <w:t xml:space="preserve"> </w:t>
      </w:r>
      <w:r w:rsidRPr="002D7212" w:rsidR="00592183">
        <w:rPr>
          <w:szCs w:val="26"/>
        </w:rPr>
        <w:t xml:space="preserve">for the violation.  Specifically, the </w:t>
      </w:r>
      <w:r w:rsidRPr="002D7212" w:rsidR="001333D9">
        <w:rPr>
          <w:szCs w:val="26"/>
        </w:rPr>
        <w:t xml:space="preserve">relevant </w:t>
      </w:r>
      <w:r w:rsidR="005544B7">
        <w:rPr>
          <w:szCs w:val="26"/>
        </w:rPr>
        <w:t xml:space="preserve">wage order and </w:t>
      </w:r>
      <w:r w:rsidRPr="002D7212" w:rsidR="002C197A">
        <w:rPr>
          <w:szCs w:val="26"/>
        </w:rPr>
        <w:t>statute provide</w:t>
      </w:r>
      <w:r w:rsidRPr="002D7212" w:rsidR="00252407">
        <w:rPr>
          <w:szCs w:val="26"/>
        </w:rPr>
        <w:t>:</w:t>
      </w:r>
      <w:r w:rsidR="005A04F6">
        <w:rPr>
          <w:szCs w:val="26"/>
        </w:rPr>
        <w:t>  </w:t>
      </w:r>
      <w:r w:rsidRPr="002D7212" w:rsidR="00252407">
        <w:rPr>
          <w:szCs w:val="26"/>
        </w:rPr>
        <w:t>“If an employer fails to provide an employee a meal period in accordance with the applicable provisions of this order, the employer shall pay the employee one (1) hour of pay at the employee’s regular rate of compensation for each workday that the meal period is not provided.”  (</w:t>
      </w:r>
      <w:r w:rsidRPr="002D7212" w:rsidR="00252407">
        <w:t xml:space="preserve">Wage Order No. 4, </w:t>
      </w:r>
      <w:r w:rsidR="00D9463A">
        <w:t>§</w:t>
      </w:r>
      <w:r w:rsidRPr="002D7212" w:rsidR="00252407">
        <w:rPr>
          <w:szCs w:val="26"/>
        </w:rPr>
        <w:t xml:space="preserve"> 11(B); accord, </w:t>
      </w:r>
      <w:r w:rsidRPr="002D7212" w:rsidR="00252407">
        <w:t>Lab. Code, § 226.7, subd. (c) [</w:t>
      </w:r>
      <w:r w:rsidRPr="002D7212" w:rsidR="00251A5B">
        <w:rPr>
          <w:szCs w:val="26"/>
        </w:rPr>
        <w:t>“If an employer fails to provide an employee a meal . . . period in accordance with a state law</w:t>
      </w:r>
      <w:r w:rsidRPr="002D7212" w:rsidR="001D5579">
        <w:rPr>
          <w:szCs w:val="26"/>
        </w:rPr>
        <w:t>, including, but not limited to, an applicable statute or applicable regulation, standard, or order of the Industrial Welfare Commission</w:t>
      </w:r>
      <w:r w:rsidRPr="002D7212" w:rsidR="00251A5B">
        <w:rPr>
          <w:szCs w:val="26"/>
        </w:rPr>
        <w:t xml:space="preserve"> . . . the employer shall pay the employee one additional hour of pay at the employee’s regular rate of compensation for each workday that the meal . . . period is not provided.”].)</w:t>
      </w:r>
      <w:r w:rsidRPr="002D7212" w:rsidR="00CB41EE">
        <w:rPr>
          <w:szCs w:val="26"/>
        </w:rPr>
        <w:t xml:space="preserve">  Under this p</w:t>
      </w:r>
      <w:r w:rsidRPr="002D7212" w:rsidR="00CC69F8">
        <w:rPr>
          <w:szCs w:val="26"/>
        </w:rPr>
        <w:t xml:space="preserve">rovision, </w:t>
      </w:r>
      <w:r w:rsidRPr="002D7212" w:rsidR="00FB0231">
        <w:rPr>
          <w:szCs w:val="26"/>
        </w:rPr>
        <w:t>even a minor infringement of the meal period </w:t>
      </w:r>
      <w:r w:rsidRPr="002D7212" w:rsidR="005D1BE6">
        <w:rPr>
          <w:szCs w:val="26"/>
        </w:rPr>
        <w:t xml:space="preserve">triggers the </w:t>
      </w:r>
      <w:r w:rsidRPr="002D7212" w:rsidR="00434226">
        <w:rPr>
          <w:szCs w:val="26"/>
        </w:rPr>
        <w:t>premium pay</w:t>
      </w:r>
      <w:r w:rsidRPr="002D7212" w:rsidR="00A61371">
        <w:rPr>
          <w:szCs w:val="26"/>
        </w:rPr>
        <w:t xml:space="preserve"> obligation</w:t>
      </w:r>
      <w:r w:rsidRPr="002D7212" w:rsidR="00434226">
        <w:rPr>
          <w:szCs w:val="26"/>
        </w:rPr>
        <w:t xml:space="preserve">.  </w:t>
      </w:r>
      <w:r w:rsidRPr="002D7212" w:rsidR="006D1D2E">
        <w:rPr>
          <w:szCs w:val="26"/>
        </w:rPr>
        <w:t xml:space="preserve">In addition to </w:t>
      </w:r>
      <w:r w:rsidRPr="002D7212" w:rsidR="00A61371">
        <w:rPr>
          <w:szCs w:val="26"/>
        </w:rPr>
        <w:t xml:space="preserve">providing </w:t>
      </w:r>
      <w:r w:rsidRPr="002D7212" w:rsidR="006D1D2E">
        <w:rPr>
          <w:szCs w:val="26"/>
        </w:rPr>
        <w:t>premium pay, the employer must compensate the employee for any time worked during the meal period</w:t>
      </w:r>
      <w:r w:rsidRPr="002D7212" w:rsidR="00E13576">
        <w:rPr>
          <w:szCs w:val="26"/>
        </w:rPr>
        <w:t xml:space="preserve"> if </w:t>
      </w:r>
      <w:r w:rsidRPr="002D7212" w:rsidR="00BB172A">
        <w:rPr>
          <w:szCs w:val="26"/>
        </w:rPr>
        <w:t>“</w:t>
      </w:r>
      <w:r w:rsidRPr="002D7212" w:rsidR="00E13576">
        <w:rPr>
          <w:szCs w:val="26"/>
        </w:rPr>
        <w:t xml:space="preserve">it </w:t>
      </w:r>
      <w:r w:rsidRPr="002D7212" w:rsidR="00BB172A">
        <w:rPr>
          <w:szCs w:val="26"/>
        </w:rPr>
        <w:t>‘</w:t>
      </w:r>
      <w:r w:rsidRPr="002D7212" w:rsidR="00E13576">
        <w:rPr>
          <w:szCs w:val="26"/>
        </w:rPr>
        <w:t>knew or reasonably should have known that the worker was working through the authorized meal period.’ ”</w:t>
      </w:r>
      <w:r w:rsidRPr="002D7212" w:rsidR="006D1D2E">
        <w:rPr>
          <w:szCs w:val="26"/>
        </w:rPr>
        <w:t xml:space="preserve"> </w:t>
      </w:r>
      <w:r w:rsidRPr="002D7212" w:rsidR="00E13576">
        <w:rPr>
          <w:szCs w:val="26"/>
        </w:rPr>
        <w:t xml:space="preserve"> </w:t>
      </w:r>
      <w:r w:rsidRPr="002D7212" w:rsidR="006D1D2E">
        <w:rPr>
          <w:szCs w:val="26"/>
        </w:rPr>
        <w:t>(</w:t>
      </w:r>
      <w:r w:rsidRPr="002D7212" w:rsidR="006D1D2E">
        <w:rPr>
          <w:i/>
          <w:szCs w:val="26"/>
        </w:rPr>
        <w:t>Brinker</w:t>
      </w:r>
      <w:r w:rsidRPr="002D7212" w:rsidR="006D1D2E">
        <w:rPr>
          <w:szCs w:val="26"/>
        </w:rPr>
        <w:t xml:space="preserve">, </w:t>
      </w:r>
      <w:r w:rsidRPr="002D7212" w:rsidR="006D1D2E">
        <w:rPr>
          <w:i/>
          <w:szCs w:val="26"/>
        </w:rPr>
        <w:t>supra</w:t>
      </w:r>
      <w:r w:rsidRPr="002D7212" w:rsidR="006D1D2E">
        <w:rPr>
          <w:szCs w:val="26"/>
        </w:rPr>
        <w:t xml:space="preserve">, 53 Cal.4th at p. 1040, fn. 19.)  </w:t>
      </w:r>
      <w:r w:rsidRPr="002D7212" w:rsidR="00434226">
        <w:rPr>
          <w:szCs w:val="26"/>
        </w:rPr>
        <w:t xml:space="preserve">To avoid </w:t>
      </w:r>
      <w:r w:rsidRPr="002D7212" w:rsidR="00E327CD">
        <w:rPr>
          <w:szCs w:val="26"/>
        </w:rPr>
        <w:t>liability, an employer m</w:t>
      </w:r>
      <w:r w:rsidRPr="002D7212" w:rsidR="00600F59">
        <w:rPr>
          <w:szCs w:val="26"/>
        </w:rPr>
        <w:t>ust provide its employees with</w:t>
      </w:r>
      <w:r w:rsidRPr="002D7212" w:rsidR="00E327CD">
        <w:rPr>
          <w:szCs w:val="26"/>
        </w:rPr>
        <w:t xml:space="preserve"> full and timely meal </w:t>
      </w:r>
      <w:r w:rsidRPr="002D7212" w:rsidR="005723BB">
        <w:rPr>
          <w:szCs w:val="26"/>
        </w:rPr>
        <w:t>periods whenever those meal periods are required</w:t>
      </w:r>
      <w:r w:rsidRPr="002D7212" w:rsidR="00600F59">
        <w:rPr>
          <w:szCs w:val="26"/>
        </w:rPr>
        <w:t>.</w:t>
      </w:r>
      <w:r w:rsidRPr="002D7212" w:rsidR="00A7370D">
        <w:rPr>
          <w:szCs w:val="26"/>
        </w:rPr>
        <w:t xml:space="preserve"> </w:t>
      </w:r>
    </w:p>
    <w:p w:rsidR="0050708B" w:rsidRPr="002D7212" w:rsidP="00610E8A">
      <w:pPr>
        <w:autoSpaceDE w:val="0"/>
        <w:autoSpaceDN w:val="0"/>
        <w:adjustRightInd w:val="0"/>
        <w:rPr>
          <w:szCs w:val="26"/>
        </w:rPr>
      </w:pPr>
      <w:r w:rsidRPr="002D7212">
        <w:rPr>
          <w:szCs w:val="26"/>
        </w:rPr>
        <w:tab/>
      </w:r>
      <w:r w:rsidRPr="002D7212" w:rsidR="00BE76C1">
        <w:rPr>
          <w:szCs w:val="26"/>
        </w:rPr>
        <w:t xml:space="preserve">The practice of </w:t>
      </w:r>
      <w:r w:rsidRPr="002D7212" w:rsidR="002C640F">
        <w:rPr>
          <w:szCs w:val="26"/>
        </w:rPr>
        <w:t xml:space="preserve">rounding time punches for meal periods is inconsistent with the </w:t>
      </w:r>
      <w:r w:rsidR="008E55B0">
        <w:rPr>
          <w:szCs w:val="26"/>
        </w:rPr>
        <w:t>purpose</w:t>
      </w:r>
      <w:r w:rsidRPr="002D7212" w:rsidR="002C640F">
        <w:rPr>
          <w:szCs w:val="26"/>
        </w:rPr>
        <w:t xml:space="preserve"> of </w:t>
      </w:r>
      <w:r w:rsidRPr="002D7212" w:rsidR="00EC061A">
        <w:rPr>
          <w:szCs w:val="26"/>
        </w:rPr>
        <w:t>the Labor Code</w:t>
      </w:r>
      <w:r w:rsidRPr="002D7212" w:rsidR="00BB1B77">
        <w:rPr>
          <w:szCs w:val="26"/>
        </w:rPr>
        <w:t xml:space="preserve"> provisions</w:t>
      </w:r>
      <w:r w:rsidRPr="002D7212" w:rsidR="00EC061A">
        <w:rPr>
          <w:szCs w:val="26"/>
        </w:rPr>
        <w:t xml:space="preserve"> and </w:t>
      </w:r>
      <w:r w:rsidRPr="002D7212" w:rsidR="00BE74CD">
        <w:rPr>
          <w:szCs w:val="26"/>
        </w:rPr>
        <w:t xml:space="preserve">the IWC wage order.  </w:t>
      </w:r>
      <w:r w:rsidR="00BB4619">
        <w:rPr>
          <w:szCs w:val="26"/>
        </w:rPr>
        <w:t>The text of</w:t>
      </w:r>
      <w:r w:rsidR="003000DA">
        <w:rPr>
          <w:szCs w:val="26"/>
        </w:rPr>
        <w:t xml:space="preserve"> </w:t>
      </w:r>
      <w:r w:rsidRPr="002D7212" w:rsidR="00ED0DC2">
        <w:t>Labor Code section</w:t>
      </w:r>
      <w:r w:rsidRPr="002D7212" w:rsidR="00682D20">
        <w:t xml:space="preserve"> 512 and Wage Order No. 4 set</w:t>
      </w:r>
      <w:r w:rsidR="00BB4619">
        <w:t>s</w:t>
      </w:r>
      <w:r w:rsidRPr="002D7212" w:rsidR="00682D20">
        <w:t xml:space="preserve"> </w:t>
      </w:r>
      <w:r w:rsidRPr="002D7212" w:rsidR="00516B0B">
        <w:t xml:space="preserve">precise time requirements </w:t>
      </w:r>
      <w:r w:rsidRPr="002D7212" w:rsidR="009421DF">
        <w:t>for meal periods</w:t>
      </w:r>
      <w:r w:rsidR="00BB4619">
        <w:t>.  E</w:t>
      </w:r>
      <w:r w:rsidRPr="002D7212" w:rsidR="009421DF">
        <w:t>ach meal period must be “not less than 30 minutes</w:t>
      </w:r>
      <w:r w:rsidR="009727DE">
        <w:t>,</w:t>
      </w:r>
      <w:r w:rsidRPr="002D7212" w:rsidR="009421DF">
        <w:t>”</w:t>
      </w:r>
      <w:r w:rsidR="00610E8A">
        <w:t xml:space="preserve"> and no employee shall work “more than five hours per day” or “more than 10 hours per day” without being provided with a meal period.  (Lab. Code, § 512, subd. (a); accord</w:t>
      </w:r>
      <w:r w:rsidR="002B743B">
        <w:t>,</w:t>
      </w:r>
      <w:r w:rsidR="00610E8A">
        <w:t xml:space="preserve"> Wage Order No. 4, </w:t>
      </w:r>
      <w:r w:rsidR="00D9463A">
        <w:t>§</w:t>
      </w:r>
      <w:r w:rsidR="00610E8A">
        <w:t xml:space="preserve"> 11(A) [“No employer shall employ any person for a work period of more than five (5) hours without a meal period of not less than 30 minutes . . . .”]; see </w:t>
      </w:r>
      <w:r w:rsidRPr="002D7212" w:rsidR="005F3171">
        <w:rPr>
          <w:i/>
          <w:szCs w:val="26"/>
        </w:rPr>
        <w:t>Brinker</w:t>
      </w:r>
      <w:r w:rsidRPr="002D7212" w:rsidR="005F3171">
        <w:rPr>
          <w:szCs w:val="26"/>
        </w:rPr>
        <w:t xml:space="preserve">, </w:t>
      </w:r>
      <w:r w:rsidRPr="002D7212" w:rsidR="005F3171">
        <w:rPr>
          <w:i/>
          <w:szCs w:val="26"/>
        </w:rPr>
        <w:t>supra</w:t>
      </w:r>
      <w:r w:rsidRPr="002D7212" w:rsidR="005F3171">
        <w:rPr>
          <w:szCs w:val="26"/>
        </w:rPr>
        <w:t>, 53 Cal.4th at p. 1041.)</w:t>
      </w:r>
      <w:r w:rsidRPr="002D7212" w:rsidR="00EA09A4">
        <w:rPr>
          <w:szCs w:val="26"/>
        </w:rPr>
        <w:t xml:space="preserve">  These </w:t>
      </w:r>
      <w:r w:rsidRPr="002D7212" w:rsidR="00E57B5F">
        <w:rPr>
          <w:szCs w:val="26"/>
        </w:rPr>
        <w:t>provisions</w:t>
      </w:r>
      <w:r w:rsidRPr="002D7212" w:rsidR="0052250F">
        <w:rPr>
          <w:szCs w:val="26"/>
        </w:rPr>
        <w:t xml:space="preserve"> </w:t>
      </w:r>
      <w:r w:rsidR="00BB4619">
        <w:rPr>
          <w:szCs w:val="26"/>
        </w:rPr>
        <w:t xml:space="preserve">speak </w:t>
      </w:r>
      <w:r w:rsidRPr="002D7212" w:rsidR="003403CA">
        <w:rPr>
          <w:szCs w:val="26"/>
        </w:rPr>
        <w:t xml:space="preserve">directly </w:t>
      </w:r>
      <w:r w:rsidR="00BB4619">
        <w:rPr>
          <w:szCs w:val="26"/>
        </w:rPr>
        <w:t xml:space="preserve">to </w:t>
      </w:r>
      <w:r w:rsidRPr="002D7212" w:rsidR="00AF445E">
        <w:rPr>
          <w:szCs w:val="26"/>
        </w:rPr>
        <w:t xml:space="preserve">the calculation of time </w:t>
      </w:r>
      <w:r w:rsidRPr="002D7212" w:rsidR="009C097C">
        <w:rPr>
          <w:szCs w:val="26"/>
        </w:rPr>
        <w:t>for meal period purposes</w:t>
      </w:r>
      <w:r w:rsidR="00E041E3">
        <w:rPr>
          <w:szCs w:val="26"/>
        </w:rPr>
        <w:t>.</w:t>
      </w:r>
    </w:p>
    <w:p w:rsidR="00BD7170">
      <w:pPr>
        <w:autoSpaceDE w:val="0"/>
        <w:autoSpaceDN w:val="0"/>
        <w:adjustRightInd w:val="0"/>
        <w:rPr>
          <w:szCs w:val="26"/>
        </w:rPr>
      </w:pPr>
      <w:r w:rsidRPr="002D7212">
        <w:rPr>
          <w:szCs w:val="26"/>
        </w:rPr>
        <w:tab/>
      </w:r>
      <w:r w:rsidRPr="002D7212" w:rsidR="002E5FBB">
        <w:t xml:space="preserve">The precision of the </w:t>
      </w:r>
      <w:r w:rsidRPr="002D7212" w:rsidR="005723BB">
        <w:rPr>
          <w:szCs w:val="26"/>
        </w:rPr>
        <w:t xml:space="preserve">time requirements set out in </w:t>
      </w:r>
      <w:r w:rsidRPr="002D7212" w:rsidR="005723BB">
        <w:t>Labor Code section 512 and Wage Order No. 4</w:t>
      </w:r>
      <w:r w:rsidRPr="002D7212" w:rsidR="002E5FBB">
        <w:t> —</w:t>
      </w:r>
      <w:r w:rsidRPr="002D7212" w:rsidR="00F50716">
        <w:t> “not less than 30 minutes”</w:t>
      </w:r>
      <w:r w:rsidRPr="002D7212" w:rsidR="002E5FBB">
        <w:t xml:space="preserve"> and “</w:t>
      </w:r>
      <w:r w:rsidR="009727DE">
        <w:rPr>
          <w:szCs w:val="26"/>
        </w:rPr>
        <w:t>five hours per day</w:t>
      </w:r>
      <w:r w:rsidRPr="002D7212" w:rsidR="002E5FBB">
        <w:rPr>
          <w:szCs w:val="26"/>
        </w:rPr>
        <w:t>” or “</w:t>
      </w:r>
      <w:r w:rsidR="009727DE">
        <w:rPr>
          <w:szCs w:val="26"/>
        </w:rPr>
        <w:t>ten hours per day</w:t>
      </w:r>
      <w:r w:rsidRPr="002D7212" w:rsidR="002E5FBB">
        <w:rPr>
          <w:szCs w:val="26"/>
        </w:rPr>
        <w:t>” — </w:t>
      </w:r>
      <w:r w:rsidRPr="002D7212" w:rsidR="001B1639">
        <w:rPr>
          <w:szCs w:val="26"/>
        </w:rPr>
        <w:t>is at odds</w:t>
      </w:r>
      <w:r w:rsidRPr="002D7212" w:rsidR="00806C16">
        <w:rPr>
          <w:szCs w:val="26"/>
        </w:rPr>
        <w:t xml:space="preserve"> with </w:t>
      </w:r>
      <w:r w:rsidRPr="002D7212" w:rsidR="005467CC">
        <w:rPr>
          <w:szCs w:val="26"/>
        </w:rPr>
        <w:t>the imprecise calcul</w:t>
      </w:r>
      <w:r w:rsidRPr="002D7212" w:rsidR="00CF3A8F">
        <w:rPr>
          <w:szCs w:val="26"/>
        </w:rPr>
        <w:t xml:space="preserve">ations that rounding involves.  </w:t>
      </w:r>
      <w:r w:rsidR="00836B95">
        <w:rPr>
          <w:szCs w:val="26"/>
        </w:rPr>
        <w:t>T</w:t>
      </w:r>
      <w:r w:rsidRPr="002D7212" w:rsidR="00CF3A8F">
        <w:rPr>
          <w:szCs w:val="26"/>
        </w:rPr>
        <w:t xml:space="preserve">he regulatory scheme </w:t>
      </w:r>
      <w:r>
        <w:rPr>
          <w:szCs w:val="26"/>
        </w:rPr>
        <w:t xml:space="preserve">that encompasses </w:t>
      </w:r>
      <w:r w:rsidRPr="002D7212" w:rsidR="00CF3A8F">
        <w:rPr>
          <w:szCs w:val="26"/>
        </w:rPr>
        <w:t>the meal period provisions is concerned with small amounts of time.  (</w:t>
      </w:r>
      <w:r w:rsidRPr="002D7212" w:rsidR="00CF3A8F">
        <w:rPr>
          <w:i/>
          <w:szCs w:val="26"/>
        </w:rPr>
        <w:t xml:space="preserve">Troester v. Starbucks Corp. </w:t>
      </w:r>
      <w:r w:rsidRPr="002D7212" w:rsidR="00CF3A8F">
        <w:rPr>
          <w:szCs w:val="26"/>
        </w:rPr>
        <w:t>(2018) 5 Cal.5th 829, 844 (</w:t>
      </w:r>
      <w:r w:rsidRPr="002D7212" w:rsidR="00CF3A8F">
        <w:rPr>
          <w:i/>
          <w:szCs w:val="26"/>
        </w:rPr>
        <w:t>Troester</w:t>
      </w:r>
      <w:r w:rsidRPr="002D7212" w:rsidR="00CF3A8F">
        <w:rPr>
          <w:szCs w:val="26"/>
        </w:rPr>
        <w:t>)</w:t>
      </w:r>
      <w:r w:rsidRPr="002D7212" w:rsidR="00523882">
        <w:rPr>
          <w:szCs w:val="26"/>
        </w:rPr>
        <w:t xml:space="preserve">.)  For example, </w:t>
      </w:r>
      <w:r w:rsidR="004F0EEC">
        <w:rPr>
          <w:szCs w:val="26"/>
        </w:rPr>
        <w:t xml:space="preserve">we have “requir[ed] strict adherence to” the Labor Code’s requirement that employees receive two daily 10-minute rest periods and </w:t>
      </w:r>
      <w:r w:rsidRPr="002D7212" w:rsidR="004F0EEC">
        <w:rPr>
          <w:szCs w:val="26"/>
        </w:rPr>
        <w:t>“scrupulously guarded against encroachments on</w:t>
      </w:r>
      <w:r w:rsidR="004F0EEC">
        <w:rPr>
          <w:szCs w:val="26"/>
        </w:rPr>
        <w:t>” these periods.</w:t>
      </w:r>
      <w:r w:rsidR="00912A08">
        <w:rPr>
          <w:szCs w:val="26"/>
        </w:rPr>
        <w:t xml:space="preserve">  (</w:t>
      </w:r>
      <w:r w:rsidR="00912A08">
        <w:rPr>
          <w:i/>
          <w:iCs/>
          <w:szCs w:val="26"/>
        </w:rPr>
        <w:t>Ibid.</w:t>
      </w:r>
      <w:r w:rsidR="00912A08">
        <w:rPr>
          <w:szCs w:val="26"/>
        </w:rPr>
        <w:t>)</w:t>
      </w:r>
      <w:r w:rsidRPr="002D7212" w:rsidR="0022764C">
        <w:rPr>
          <w:szCs w:val="26"/>
        </w:rPr>
        <w:t xml:space="preserve">  Th</w:t>
      </w:r>
      <w:r w:rsidRPr="002D7212" w:rsidR="00A37BE7">
        <w:rPr>
          <w:szCs w:val="26"/>
        </w:rPr>
        <w:t xml:space="preserve">e same </w:t>
      </w:r>
      <w:r w:rsidRPr="002D7212" w:rsidR="000518C4">
        <w:rPr>
          <w:szCs w:val="26"/>
        </w:rPr>
        <w:t>vigilance</w:t>
      </w:r>
      <w:r w:rsidRPr="002D7212" w:rsidR="00776812">
        <w:rPr>
          <w:szCs w:val="26"/>
        </w:rPr>
        <w:t xml:space="preserve"> is warranted here</w:t>
      </w:r>
      <w:r w:rsidRPr="002D7212" w:rsidR="00A37BE7">
        <w:rPr>
          <w:szCs w:val="26"/>
        </w:rPr>
        <w:t>.  G</w:t>
      </w:r>
      <w:r w:rsidRPr="002D7212" w:rsidR="004B5AD7">
        <w:rPr>
          <w:szCs w:val="26"/>
        </w:rPr>
        <w:t xml:space="preserve">iven the relatively </w:t>
      </w:r>
      <w:r w:rsidRPr="002D7212" w:rsidR="00AE5A23">
        <w:rPr>
          <w:szCs w:val="26"/>
        </w:rPr>
        <w:t xml:space="preserve">short length </w:t>
      </w:r>
      <w:r w:rsidRPr="002D7212" w:rsidR="003B44BE">
        <w:rPr>
          <w:szCs w:val="26"/>
        </w:rPr>
        <w:t xml:space="preserve">of </w:t>
      </w:r>
      <w:r w:rsidRPr="002D7212" w:rsidR="00657BD7">
        <w:rPr>
          <w:szCs w:val="26"/>
        </w:rPr>
        <w:t>a</w:t>
      </w:r>
      <w:r w:rsidRPr="002D7212" w:rsidR="003B44BE">
        <w:rPr>
          <w:szCs w:val="26"/>
        </w:rPr>
        <w:t xml:space="preserve"> 30-minute meal period</w:t>
      </w:r>
      <w:r w:rsidRPr="002D7212" w:rsidR="00056AF5">
        <w:rPr>
          <w:szCs w:val="26"/>
        </w:rPr>
        <w:t xml:space="preserve">, </w:t>
      </w:r>
      <w:r w:rsidR="002B71B2">
        <w:rPr>
          <w:szCs w:val="26"/>
        </w:rPr>
        <w:t>the potential</w:t>
      </w:r>
      <w:r w:rsidRPr="002D7212" w:rsidR="00162063">
        <w:rPr>
          <w:szCs w:val="26"/>
        </w:rPr>
        <w:t xml:space="preserve"> incursion that </w:t>
      </w:r>
      <w:r w:rsidRPr="002D7212" w:rsidR="00A37BE7">
        <w:rPr>
          <w:szCs w:val="26"/>
        </w:rPr>
        <w:t>might result</w:t>
      </w:r>
      <w:r w:rsidRPr="002D7212" w:rsidR="00162063">
        <w:rPr>
          <w:szCs w:val="26"/>
        </w:rPr>
        <w:t xml:space="preserve"> from </w:t>
      </w:r>
      <w:r w:rsidRPr="002D7212" w:rsidR="00A37BE7">
        <w:rPr>
          <w:szCs w:val="26"/>
        </w:rPr>
        <w:t xml:space="preserve">rounding </w:t>
      </w:r>
      <w:r w:rsidR="003B2C6A">
        <w:rPr>
          <w:szCs w:val="26"/>
        </w:rPr>
        <w:t>is</w:t>
      </w:r>
      <w:r w:rsidRPr="002D7212" w:rsidR="002B71B2">
        <w:rPr>
          <w:szCs w:val="26"/>
        </w:rPr>
        <w:t xml:space="preserve"> </w:t>
      </w:r>
      <w:r w:rsidRPr="002D7212" w:rsidR="00A37BE7">
        <w:rPr>
          <w:szCs w:val="26"/>
        </w:rPr>
        <w:t xml:space="preserve">significant.  </w:t>
      </w:r>
      <w:r w:rsidRPr="002D7212" w:rsidR="0084317D">
        <w:rPr>
          <w:szCs w:val="26"/>
        </w:rPr>
        <w:t>(</w:t>
      </w:r>
      <w:r w:rsidR="00836B95">
        <w:rPr>
          <w:szCs w:val="26"/>
        </w:rPr>
        <w:t xml:space="preserve">See </w:t>
      </w:r>
      <w:r w:rsidRPr="002D7212" w:rsidR="0084317D">
        <w:rPr>
          <w:i/>
          <w:szCs w:val="26"/>
        </w:rPr>
        <w:t xml:space="preserve">Kaanaana v. Barrett Business Services, Inc. </w:t>
      </w:r>
      <w:r w:rsidRPr="002D7212" w:rsidR="0084317D">
        <w:rPr>
          <w:szCs w:val="26"/>
        </w:rPr>
        <w:t>(2018) 29 Cal.App.5th</w:t>
      </w:r>
      <w:r w:rsidRPr="002D7212" w:rsidR="00D97E06">
        <w:rPr>
          <w:szCs w:val="26"/>
        </w:rPr>
        <w:t xml:space="preserve"> 778, 801</w:t>
      </w:r>
      <w:r w:rsidRPr="002D7212" w:rsidR="0014659C">
        <w:rPr>
          <w:szCs w:val="26"/>
        </w:rPr>
        <w:t xml:space="preserve"> (</w:t>
      </w:r>
      <w:r w:rsidRPr="002D7212" w:rsidR="00A6363E">
        <w:rPr>
          <w:i/>
          <w:szCs w:val="26"/>
        </w:rPr>
        <w:t>Kaanaana</w:t>
      </w:r>
      <w:r w:rsidRPr="002D7212" w:rsidR="0014659C">
        <w:rPr>
          <w:szCs w:val="26"/>
        </w:rPr>
        <w:t>)</w:t>
      </w:r>
      <w:r w:rsidR="00836B95">
        <w:rPr>
          <w:szCs w:val="26"/>
        </w:rPr>
        <w:t xml:space="preserve"> [</w:t>
      </w:r>
      <w:r w:rsidRPr="002D7212" w:rsidR="00836B95">
        <w:rPr>
          <w:szCs w:val="26"/>
        </w:rPr>
        <w:t>“ ‘</w:t>
      </w:r>
      <w:r w:rsidR="00836B95">
        <w:rPr>
          <w:szCs w:val="26"/>
        </w:rPr>
        <w:t>O</w:t>
      </w:r>
      <w:r w:rsidRPr="002D7212" w:rsidR="00836B95">
        <w:rPr>
          <w:szCs w:val="26"/>
        </w:rPr>
        <w:t>n a 30-minute break, time is scarce’ ” and “ ‘[w]hen time is scarce, minutes count.’ ”</w:t>
      </w:r>
      <w:r w:rsidR="00836B95">
        <w:rPr>
          <w:szCs w:val="26"/>
        </w:rPr>
        <w:t>]</w:t>
      </w:r>
      <w:r w:rsidR="0002761D">
        <w:rPr>
          <w:szCs w:val="26"/>
        </w:rPr>
        <w:t>, review granted Feb</w:t>
      </w:r>
      <w:r w:rsidR="00836B95">
        <w:rPr>
          <w:szCs w:val="26"/>
        </w:rPr>
        <w:t>.</w:t>
      </w:r>
      <w:r w:rsidR="0002761D">
        <w:rPr>
          <w:szCs w:val="26"/>
        </w:rPr>
        <w:t xml:space="preserve"> 27, 2019, S253458</w:t>
      </w:r>
      <w:r w:rsidRPr="002D7212" w:rsidR="00D97E06">
        <w:rPr>
          <w:szCs w:val="26"/>
        </w:rPr>
        <w:t>.)</w:t>
      </w:r>
    </w:p>
    <w:p w:rsidR="00FC416E" w:rsidRPr="002D7212" w:rsidP="00733941">
      <w:pPr>
        <w:autoSpaceDE w:val="0"/>
        <w:autoSpaceDN w:val="0"/>
        <w:adjustRightInd w:val="0"/>
        <w:ind w:firstLine="720"/>
        <w:rPr>
          <w:szCs w:val="26"/>
        </w:rPr>
      </w:pPr>
      <w:r w:rsidRPr="002D7212">
        <w:rPr>
          <w:szCs w:val="26"/>
        </w:rPr>
        <w:t>C</w:t>
      </w:r>
      <w:r w:rsidRPr="002D7212" w:rsidR="00F6495F">
        <w:rPr>
          <w:szCs w:val="26"/>
        </w:rPr>
        <w:t>onsider</w:t>
      </w:r>
      <w:r w:rsidRPr="002D7212">
        <w:rPr>
          <w:szCs w:val="26"/>
        </w:rPr>
        <w:t>, for example,</w:t>
      </w:r>
      <w:r w:rsidRPr="002D7212" w:rsidR="00F6495F">
        <w:rPr>
          <w:szCs w:val="26"/>
        </w:rPr>
        <w:t xml:space="preserve"> </w:t>
      </w:r>
      <w:r w:rsidRPr="002D7212" w:rsidR="003409E7">
        <w:rPr>
          <w:szCs w:val="26"/>
        </w:rPr>
        <w:t xml:space="preserve">an employee </w:t>
      </w:r>
      <w:r w:rsidRPr="002D7212" w:rsidR="00D1469E">
        <w:rPr>
          <w:szCs w:val="26"/>
        </w:rPr>
        <w:t>who is provided with a 21-minute lunch from 12:04 p.m. to 12:25 p.m.</w:t>
      </w:r>
      <w:r w:rsidRPr="002D7212" w:rsidR="00AA1747">
        <w:rPr>
          <w:szCs w:val="26"/>
        </w:rPr>
        <w:t xml:space="preserve">  Under AMN’s timekeeping system, which rounded time punches to the nearest 10-minute increment, the lunch would have been recorded as a 30-</w:t>
      </w:r>
      <w:r w:rsidRPr="002D7212" w:rsidR="00F36184">
        <w:rPr>
          <w:szCs w:val="26"/>
        </w:rPr>
        <w:t>minute lunch from 12:00 p.m. to</w:t>
      </w:r>
      <w:r w:rsidRPr="002D7212" w:rsidR="00AA1747">
        <w:rPr>
          <w:szCs w:val="26"/>
        </w:rPr>
        <w:t xml:space="preserve"> 12:30 p.m.  </w:t>
      </w:r>
      <w:r w:rsidRPr="002D7212" w:rsidR="001B5E62">
        <w:rPr>
          <w:szCs w:val="26"/>
        </w:rPr>
        <w:t xml:space="preserve">In that scenario, </w:t>
      </w:r>
      <w:r w:rsidRPr="002D7212" w:rsidR="00B9371E">
        <w:rPr>
          <w:szCs w:val="26"/>
        </w:rPr>
        <w:t xml:space="preserve">an employee would </w:t>
      </w:r>
      <w:r w:rsidRPr="002D7212" w:rsidR="00E07281">
        <w:rPr>
          <w:szCs w:val="26"/>
        </w:rPr>
        <w:t>have lost</w:t>
      </w:r>
      <w:r w:rsidRPr="002D7212" w:rsidR="00B9371E">
        <w:rPr>
          <w:szCs w:val="26"/>
        </w:rPr>
        <w:t xml:space="preserve"> nine of the 30 minutes</w:t>
      </w:r>
      <w:r w:rsidRPr="002D7212" w:rsidR="00A367F2">
        <w:rPr>
          <w:szCs w:val="26"/>
        </w:rPr>
        <w:t> — </w:t>
      </w:r>
      <w:r w:rsidRPr="002D7212" w:rsidR="008B4AB7">
        <w:rPr>
          <w:szCs w:val="26"/>
        </w:rPr>
        <w:t>or almost a third of the time</w:t>
      </w:r>
      <w:r w:rsidRPr="002D7212" w:rsidR="00A367F2">
        <w:rPr>
          <w:szCs w:val="26"/>
        </w:rPr>
        <w:t xml:space="preserve"> — to which </w:t>
      </w:r>
      <w:r w:rsidRPr="002D7212" w:rsidR="009316C1">
        <w:rPr>
          <w:szCs w:val="26"/>
        </w:rPr>
        <w:t>he or she was</w:t>
      </w:r>
      <w:r w:rsidRPr="002D7212" w:rsidR="00A16BC3">
        <w:rPr>
          <w:szCs w:val="26"/>
        </w:rPr>
        <w:t xml:space="preserve"> entitled, and</w:t>
      </w:r>
      <w:r w:rsidRPr="002D7212" w:rsidR="00A367F2">
        <w:rPr>
          <w:szCs w:val="26"/>
        </w:rPr>
        <w:t xml:space="preserve"> </w:t>
      </w:r>
      <w:r w:rsidRPr="002D7212" w:rsidR="00AA1747">
        <w:rPr>
          <w:szCs w:val="26"/>
        </w:rPr>
        <w:t>Team Time</w:t>
      </w:r>
      <w:r w:rsidRPr="002D7212" w:rsidR="00A367F2">
        <w:rPr>
          <w:szCs w:val="26"/>
        </w:rPr>
        <w:t xml:space="preserve"> would not have flagged the lunch as a </w:t>
      </w:r>
      <w:r w:rsidRPr="002D7212" w:rsidR="00AA1747">
        <w:rPr>
          <w:szCs w:val="26"/>
        </w:rPr>
        <w:t xml:space="preserve">meal period violation.  </w:t>
      </w:r>
      <w:r w:rsidR="00836B95">
        <w:rPr>
          <w:szCs w:val="26"/>
        </w:rPr>
        <w:t>S</w:t>
      </w:r>
      <w:r w:rsidRPr="002D7212" w:rsidR="004067E5">
        <w:rPr>
          <w:szCs w:val="26"/>
        </w:rPr>
        <w:t>mall rounding error</w:t>
      </w:r>
      <w:r w:rsidRPr="002D7212">
        <w:rPr>
          <w:szCs w:val="26"/>
        </w:rPr>
        <w:t>s</w:t>
      </w:r>
      <w:r w:rsidRPr="002D7212" w:rsidR="004067E5">
        <w:rPr>
          <w:szCs w:val="26"/>
        </w:rPr>
        <w:t xml:space="preserve"> </w:t>
      </w:r>
      <w:r w:rsidRPr="002D7212">
        <w:rPr>
          <w:szCs w:val="26"/>
        </w:rPr>
        <w:t xml:space="preserve">can </w:t>
      </w:r>
      <w:r w:rsidR="00836B95">
        <w:rPr>
          <w:szCs w:val="26"/>
        </w:rPr>
        <w:t>amount to</w:t>
      </w:r>
      <w:r w:rsidRPr="002D7212" w:rsidR="00836B95">
        <w:rPr>
          <w:szCs w:val="26"/>
        </w:rPr>
        <w:t xml:space="preserve"> </w:t>
      </w:r>
      <w:r w:rsidRPr="002D7212" w:rsidR="004067E5">
        <w:rPr>
          <w:szCs w:val="26"/>
        </w:rPr>
        <w:t xml:space="preserve">a </w:t>
      </w:r>
      <w:r w:rsidRPr="002D7212" w:rsidR="006A1376">
        <w:rPr>
          <w:szCs w:val="26"/>
        </w:rPr>
        <w:t xml:space="preserve">significant </w:t>
      </w:r>
      <w:r w:rsidRPr="002D7212" w:rsidR="000E457D">
        <w:rPr>
          <w:szCs w:val="26"/>
        </w:rPr>
        <w:t xml:space="preserve">infringement on </w:t>
      </w:r>
      <w:r w:rsidRPr="002D7212" w:rsidR="00B75DA5">
        <w:rPr>
          <w:szCs w:val="26"/>
        </w:rPr>
        <w:t xml:space="preserve">an employee’s </w:t>
      </w:r>
      <w:r w:rsidRPr="002D7212" w:rsidR="00A14509">
        <w:rPr>
          <w:szCs w:val="26"/>
        </w:rPr>
        <w:t>rig</w:t>
      </w:r>
      <w:r w:rsidRPr="002D7212" w:rsidR="000A14CB">
        <w:rPr>
          <w:szCs w:val="26"/>
        </w:rPr>
        <w:t>ht to a 30-minute meal period.</w:t>
      </w:r>
    </w:p>
    <w:p w:rsidR="00836B95">
      <w:pPr>
        <w:autoSpaceDE w:val="0"/>
        <w:autoSpaceDN w:val="0"/>
        <w:adjustRightInd w:val="0"/>
        <w:rPr>
          <w:szCs w:val="26"/>
        </w:rPr>
      </w:pPr>
      <w:r w:rsidRPr="002D7212">
        <w:rPr>
          <w:szCs w:val="26"/>
        </w:rPr>
        <w:tab/>
      </w:r>
      <w:r w:rsidRPr="002D7212" w:rsidR="007E1242">
        <w:rPr>
          <w:szCs w:val="26"/>
        </w:rPr>
        <w:t xml:space="preserve">The premium pay </w:t>
      </w:r>
      <w:r w:rsidRPr="002D7212" w:rsidR="004F1F7A">
        <w:rPr>
          <w:szCs w:val="26"/>
        </w:rPr>
        <w:t>structure</w:t>
      </w:r>
      <w:r w:rsidR="008E5047">
        <w:rPr>
          <w:szCs w:val="26"/>
        </w:rPr>
        <w:t xml:space="preserve"> under Labor Code section 226.7 and Wage Order No. 4</w:t>
      </w:r>
      <w:r w:rsidRPr="002D7212" w:rsidR="004F1F7A">
        <w:rPr>
          <w:szCs w:val="26"/>
        </w:rPr>
        <w:t xml:space="preserve"> confirms that rounding </w:t>
      </w:r>
      <w:r w:rsidRPr="002D7212" w:rsidR="00B97419">
        <w:rPr>
          <w:szCs w:val="26"/>
        </w:rPr>
        <w:t xml:space="preserve">is </w:t>
      </w:r>
      <w:r w:rsidRPr="002D7212" w:rsidR="000E2C37">
        <w:rPr>
          <w:szCs w:val="26"/>
        </w:rPr>
        <w:t>in</w:t>
      </w:r>
      <w:r w:rsidRPr="002D7212" w:rsidR="00E67EAB">
        <w:rPr>
          <w:szCs w:val="26"/>
        </w:rPr>
        <w:t>a</w:t>
      </w:r>
      <w:r w:rsidRPr="002D7212" w:rsidR="00FF35ED">
        <w:rPr>
          <w:szCs w:val="26"/>
        </w:rPr>
        <w:t>ppropriate</w:t>
      </w:r>
      <w:r w:rsidRPr="002D7212" w:rsidR="00774643">
        <w:rPr>
          <w:szCs w:val="26"/>
        </w:rPr>
        <w:t xml:space="preserve"> in the meal period context.  </w:t>
      </w:r>
      <w:r>
        <w:rPr>
          <w:szCs w:val="26"/>
        </w:rPr>
        <w:t>In general, p</w:t>
      </w:r>
      <w:r w:rsidRPr="002D7212" w:rsidR="00AD2667">
        <w:rPr>
          <w:szCs w:val="26"/>
        </w:rPr>
        <w:t xml:space="preserve">remium pay </w:t>
      </w:r>
      <w:r w:rsidRPr="002D7212" w:rsidR="00A94F71">
        <w:rPr>
          <w:szCs w:val="26"/>
        </w:rPr>
        <w:t>serves th</w:t>
      </w:r>
      <w:r w:rsidRPr="002D7212" w:rsidR="000D32D4">
        <w:rPr>
          <w:szCs w:val="26"/>
        </w:rPr>
        <w:t xml:space="preserve">e dual purposes of compensating </w:t>
      </w:r>
      <w:r w:rsidRPr="002D7212" w:rsidR="00A338EE">
        <w:rPr>
          <w:szCs w:val="26"/>
        </w:rPr>
        <w:t xml:space="preserve">employees for their injuries and </w:t>
      </w:r>
      <w:r w:rsidRPr="002D7212" w:rsidR="00C1675A">
        <w:rPr>
          <w:szCs w:val="26"/>
        </w:rPr>
        <w:t>incentivizing employers to comply with labor standards.  (</w:t>
      </w:r>
      <w:r w:rsidRPr="002D7212" w:rsidR="00C1675A">
        <w:rPr>
          <w:i/>
          <w:szCs w:val="26"/>
        </w:rPr>
        <w:t xml:space="preserve">Murphy v. Kenneth Cole Productions, Inc. </w:t>
      </w:r>
      <w:r w:rsidRPr="002D7212" w:rsidR="00C1675A">
        <w:rPr>
          <w:szCs w:val="26"/>
        </w:rPr>
        <w:t>(2007) 40 Cal.4th 1094, 1110</w:t>
      </w:r>
      <w:r w:rsidRPr="002D7212" w:rsidR="00734D03">
        <w:rPr>
          <w:szCs w:val="26"/>
        </w:rPr>
        <w:t xml:space="preserve"> (</w:t>
      </w:r>
      <w:r w:rsidRPr="002D7212" w:rsidR="0030502C">
        <w:rPr>
          <w:i/>
          <w:szCs w:val="26"/>
        </w:rPr>
        <w:t>Murphy</w:t>
      </w:r>
      <w:r w:rsidRPr="002D7212" w:rsidR="0030502C">
        <w:rPr>
          <w:szCs w:val="26"/>
        </w:rPr>
        <w:t>).)</w:t>
      </w:r>
      <w:r w:rsidRPr="002D7212" w:rsidR="001C6628">
        <w:rPr>
          <w:szCs w:val="26"/>
        </w:rPr>
        <w:t xml:space="preserve">  </w:t>
      </w:r>
      <w:r w:rsidR="00B47E61">
        <w:t>I</w:t>
      </w:r>
      <w:r w:rsidRPr="002D7212" w:rsidR="00FA6B7E">
        <w:t xml:space="preserve">n the meal period context, </w:t>
      </w:r>
      <w:r w:rsidRPr="002D7212" w:rsidR="004B6822">
        <w:t xml:space="preserve">an employee receives the full </w:t>
      </w:r>
      <w:r w:rsidRPr="002D7212" w:rsidR="004B6822">
        <w:rPr>
          <w:szCs w:val="26"/>
        </w:rPr>
        <w:t xml:space="preserve">amount of premium </w:t>
      </w:r>
      <w:r w:rsidRPr="002D7212" w:rsidR="0079532B">
        <w:rPr>
          <w:szCs w:val="26"/>
        </w:rPr>
        <w:t>pay </w:t>
      </w:r>
      <w:r w:rsidRPr="002D7212" w:rsidR="004B6822">
        <w:rPr>
          <w:szCs w:val="26"/>
        </w:rPr>
        <w:t>— one additional hour of pay at the employee’s regular rate of compensation for each workday that t</w:t>
      </w:r>
      <w:r w:rsidRPr="002D7212" w:rsidR="000838A1">
        <w:rPr>
          <w:szCs w:val="26"/>
        </w:rPr>
        <w:t>he meal period is not provided — </w:t>
      </w:r>
      <w:r w:rsidRPr="002D7212" w:rsidR="004B6822">
        <w:rPr>
          <w:szCs w:val="26"/>
        </w:rPr>
        <w:t xml:space="preserve">regardless of </w:t>
      </w:r>
      <w:r w:rsidRPr="002D7212" w:rsidR="008024FE">
        <w:rPr>
          <w:szCs w:val="26"/>
        </w:rPr>
        <w:t xml:space="preserve">the extent </w:t>
      </w:r>
      <w:r w:rsidRPr="002D7212" w:rsidR="0061272D">
        <w:rPr>
          <w:szCs w:val="26"/>
        </w:rPr>
        <w:t xml:space="preserve">of the violation. </w:t>
      </w:r>
      <w:r w:rsidRPr="002D7212" w:rsidR="00850443">
        <w:rPr>
          <w:szCs w:val="26"/>
        </w:rPr>
        <w:t xml:space="preserve"> </w:t>
      </w:r>
      <w:r w:rsidRPr="002D7212" w:rsidR="00833243">
        <w:rPr>
          <w:szCs w:val="26"/>
        </w:rPr>
        <w:t>(</w:t>
      </w:r>
      <w:r w:rsidRPr="002D7212" w:rsidR="00833243">
        <w:t xml:space="preserve">Lab. Code, § 226.7, subd. (c); Wage Order No. 4, </w:t>
      </w:r>
      <w:r w:rsidR="00D9463A">
        <w:t>§</w:t>
      </w:r>
      <w:r w:rsidRPr="002D7212" w:rsidR="00833243">
        <w:rPr>
          <w:szCs w:val="26"/>
        </w:rPr>
        <w:t xml:space="preserve"> 11(B).)  </w:t>
      </w:r>
      <w:r w:rsidRPr="002D7212" w:rsidR="00850443">
        <w:rPr>
          <w:szCs w:val="26"/>
        </w:rPr>
        <w:t xml:space="preserve">In other words, </w:t>
      </w:r>
      <w:r w:rsidRPr="002D7212" w:rsidR="00C413BD">
        <w:rPr>
          <w:szCs w:val="26"/>
        </w:rPr>
        <w:t xml:space="preserve">whether </w:t>
      </w:r>
      <w:r w:rsidRPr="002D7212" w:rsidR="00FB52E7">
        <w:rPr>
          <w:szCs w:val="26"/>
        </w:rPr>
        <w:t xml:space="preserve">an employer </w:t>
      </w:r>
      <w:r w:rsidRPr="002D7212" w:rsidR="005D7FA8">
        <w:rPr>
          <w:szCs w:val="26"/>
        </w:rPr>
        <w:t xml:space="preserve">provides </w:t>
      </w:r>
      <w:r w:rsidRPr="002D7212" w:rsidR="00B1453D">
        <w:rPr>
          <w:szCs w:val="26"/>
        </w:rPr>
        <w:t xml:space="preserve">a </w:t>
      </w:r>
      <w:r w:rsidR="00732826">
        <w:rPr>
          <w:szCs w:val="26"/>
        </w:rPr>
        <w:t>shortened</w:t>
      </w:r>
      <w:r w:rsidRPr="002D7212" w:rsidR="00B1453D">
        <w:rPr>
          <w:szCs w:val="26"/>
        </w:rPr>
        <w:t xml:space="preserve"> </w:t>
      </w:r>
      <w:r w:rsidRPr="002D7212" w:rsidR="00A10813">
        <w:rPr>
          <w:szCs w:val="26"/>
        </w:rPr>
        <w:t xml:space="preserve">meal </w:t>
      </w:r>
      <w:r w:rsidR="00757D46">
        <w:rPr>
          <w:szCs w:val="26"/>
        </w:rPr>
        <w:t>period</w:t>
      </w:r>
      <w:r w:rsidRPr="002D7212" w:rsidR="00757D46">
        <w:rPr>
          <w:szCs w:val="26"/>
        </w:rPr>
        <w:t xml:space="preserve"> </w:t>
      </w:r>
      <w:r w:rsidRPr="002D7212" w:rsidR="00A10813">
        <w:rPr>
          <w:szCs w:val="26"/>
        </w:rPr>
        <w:t xml:space="preserve">or </w:t>
      </w:r>
      <w:r w:rsidRPr="002D7212" w:rsidR="005F3287">
        <w:rPr>
          <w:szCs w:val="26"/>
        </w:rPr>
        <w:t>no</w:t>
      </w:r>
      <w:r w:rsidRPr="002D7212" w:rsidR="00CF2B9D">
        <w:rPr>
          <w:szCs w:val="26"/>
        </w:rPr>
        <w:t xml:space="preserve"> meal </w:t>
      </w:r>
      <w:r w:rsidR="00757D46">
        <w:rPr>
          <w:szCs w:val="26"/>
        </w:rPr>
        <w:t>period</w:t>
      </w:r>
      <w:r w:rsidRPr="002D7212" w:rsidR="00757D46">
        <w:rPr>
          <w:szCs w:val="26"/>
        </w:rPr>
        <w:t xml:space="preserve"> </w:t>
      </w:r>
      <w:r w:rsidRPr="002D7212" w:rsidR="00B040EF">
        <w:rPr>
          <w:szCs w:val="26"/>
        </w:rPr>
        <w:t>at all</w:t>
      </w:r>
      <w:r w:rsidRPr="002D7212" w:rsidR="00CF2B9D">
        <w:rPr>
          <w:szCs w:val="26"/>
        </w:rPr>
        <w:t xml:space="preserve">, </w:t>
      </w:r>
      <w:r w:rsidRPr="002D7212" w:rsidR="00105E78">
        <w:rPr>
          <w:szCs w:val="26"/>
        </w:rPr>
        <w:t xml:space="preserve">the employee </w:t>
      </w:r>
      <w:r w:rsidRPr="002D7212" w:rsidR="005A1E04">
        <w:rPr>
          <w:szCs w:val="26"/>
        </w:rPr>
        <w:t>recei</w:t>
      </w:r>
      <w:r w:rsidRPr="002D7212" w:rsidR="00864D9A">
        <w:rPr>
          <w:szCs w:val="26"/>
        </w:rPr>
        <w:t>ve</w:t>
      </w:r>
      <w:r w:rsidRPr="002D7212" w:rsidR="00F72BB8">
        <w:rPr>
          <w:szCs w:val="26"/>
        </w:rPr>
        <w:t>s</w:t>
      </w:r>
      <w:r w:rsidRPr="002D7212" w:rsidR="00864D9A">
        <w:rPr>
          <w:szCs w:val="26"/>
        </w:rPr>
        <w:t xml:space="preserve"> one additional hour of pay.</w:t>
      </w:r>
    </w:p>
    <w:p w:rsidR="00836B95" w:rsidP="004454C3">
      <w:pPr>
        <w:autoSpaceDE w:val="0"/>
        <w:autoSpaceDN w:val="0"/>
        <w:adjustRightInd w:val="0"/>
        <w:ind w:firstLine="720"/>
        <w:rPr>
          <w:szCs w:val="26"/>
        </w:rPr>
      </w:pPr>
      <w:r w:rsidRPr="002D7212">
        <w:rPr>
          <w:szCs w:val="26"/>
        </w:rPr>
        <w:t>The premise of t</w:t>
      </w:r>
      <w:r w:rsidRPr="002D7212" w:rsidR="00465CE9">
        <w:rPr>
          <w:szCs w:val="26"/>
        </w:rPr>
        <w:t xml:space="preserve">his </w:t>
      </w:r>
      <w:r w:rsidRPr="002D7212">
        <w:rPr>
          <w:szCs w:val="26"/>
        </w:rPr>
        <w:t xml:space="preserve">approach is </w:t>
      </w:r>
      <w:r w:rsidRPr="002D7212" w:rsidR="00465CE9">
        <w:rPr>
          <w:szCs w:val="26"/>
        </w:rPr>
        <w:t xml:space="preserve">that </w:t>
      </w:r>
      <w:r w:rsidRPr="002D7212" w:rsidR="00665258">
        <w:rPr>
          <w:szCs w:val="26"/>
        </w:rPr>
        <w:t>even</w:t>
      </w:r>
      <w:r w:rsidR="00732826">
        <w:rPr>
          <w:szCs w:val="26"/>
        </w:rPr>
        <w:t xml:space="preserve"> relatively</w:t>
      </w:r>
      <w:r w:rsidRPr="002D7212" w:rsidR="00665258">
        <w:rPr>
          <w:szCs w:val="26"/>
        </w:rPr>
        <w:t xml:space="preserve"> minor infringements on meal periods </w:t>
      </w:r>
      <w:r w:rsidRPr="002D7212" w:rsidR="00B06879">
        <w:rPr>
          <w:szCs w:val="26"/>
        </w:rPr>
        <w:t xml:space="preserve">can </w:t>
      </w:r>
      <w:r w:rsidRPr="002D7212" w:rsidR="00BE1FA2">
        <w:rPr>
          <w:szCs w:val="26"/>
        </w:rPr>
        <w:t xml:space="preserve">cause substantial </w:t>
      </w:r>
      <w:r w:rsidRPr="002D7212">
        <w:rPr>
          <w:szCs w:val="26"/>
        </w:rPr>
        <w:t xml:space="preserve">burdens </w:t>
      </w:r>
      <w:r w:rsidRPr="002D7212" w:rsidR="00BE1FA2">
        <w:rPr>
          <w:szCs w:val="26"/>
        </w:rPr>
        <w:t>to the employee.</w:t>
      </w:r>
      <w:r w:rsidRPr="002D7212" w:rsidR="00D20708">
        <w:rPr>
          <w:szCs w:val="26"/>
        </w:rPr>
        <w:t xml:space="preserve">  </w:t>
      </w:r>
      <w:r>
        <w:rPr>
          <w:szCs w:val="26"/>
        </w:rPr>
        <w:t>F</w:t>
      </w:r>
      <w:r w:rsidRPr="002D7212" w:rsidR="00845F2D">
        <w:rPr>
          <w:szCs w:val="26"/>
        </w:rPr>
        <w:t xml:space="preserve">orcing employees to work </w:t>
      </w:r>
      <w:r w:rsidRPr="002D7212" w:rsidR="00DF0876">
        <w:rPr>
          <w:szCs w:val="26"/>
        </w:rPr>
        <w:t xml:space="preserve">through their </w:t>
      </w:r>
      <w:r w:rsidRPr="002D7212" w:rsidR="0073404E">
        <w:rPr>
          <w:szCs w:val="26"/>
        </w:rPr>
        <w:t xml:space="preserve">meal periods </w:t>
      </w:r>
      <w:r w:rsidRPr="002D7212" w:rsidR="0010037B">
        <w:rPr>
          <w:szCs w:val="26"/>
        </w:rPr>
        <w:t xml:space="preserve">not only causes economic </w:t>
      </w:r>
      <w:r w:rsidRPr="002D7212">
        <w:rPr>
          <w:szCs w:val="26"/>
        </w:rPr>
        <w:t xml:space="preserve">burdens </w:t>
      </w:r>
      <w:r w:rsidRPr="002D7212" w:rsidR="002F1415">
        <w:rPr>
          <w:szCs w:val="26"/>
        </w:rPr>
        <w:t xml:space="preserve">in the form of extra work </w:t>
      </w:r>
      <w:r w:rsidRPr="002D7212" w:rsidR="00817513">
        <w:rPr>
          <w:szCs w:val="26"/>
        </w:rPr>
        <w:t xml:space="preserve">but also </w:t>
      </w:r>
      <w:r w:rsidRPr="002D7212" w:rsidR="004804F0">
        <w:rPr>
          <w:szCs w:val="26"/>
        </w:rPr>
        <w:t xml:space="preserve">noneconomic </w:t>
      </w:r>
      <w:r w:rsidRPr="002D7212" w:rsidR="00F72BB8">
        <w:rPr>
          <w:szCs w:val="26"/>
        </w:rPr>
        <w:t>burdens on</w:t>
      </w:r>
      <w:r w:rsidRPr="002D7212" w:rsidR="00620B09">
        <w:rPr>
          <w:szCs w:val="26"/>
        </w:rPr>
        <w:t xml:space="preserve"> </w:t>
      </w:r>
      <w:r w:rsidRPr="002D7212" w:rsidR="00B91158">
        <w:rPr>
          <w:szCs w:val="26"/>
        </w:rPr>
        <w:t>the employees’ health</w:t>
      </w:r>
      <w:r w:rsidRPr="002D7212" w:rsidR="00F72BB8">
        <w:rPr>
          <w:szCs w:val="26"/>
        </w:rPr>
        <w:t xml:space="preserve">, </w:t>
      </w:r>
      <w:r w:rsidRPr="002D7212" w:rsidR="00B91158">
        <w:rPr>
          <w:szCs w:val="26"/>
        </w:rPr>
        <w:t>safety</w:t>
      </w:r>
      <w:r w:rsidRPr="002D7212" w:rsidR="00F72BB8">
        <w:rPr>
          <w:szCs w:val="26"/>
        </w:rPr>
        <w:t>, and well-being</w:t>
      </w:r>
      <w:r w:rsidRPr="002D7212" w:rsidR="00B91158">
        <w:rPr>
          <w:szCs w:val="26"/>
        </w:rPr>
        <w:t xml:space="preserve">.  </w:t>
      </w:r>
      <w:r w:rsidRPr="002D7212" w:rsidR="00024FF0">
        <w:rPr>
          <w:szCs w:val="26"/>
        </w:rPr>
        <w:t>(</w:t>
      </w:r>
      <w:r w:rsidRPr="002D7212" w:rsidR="00024FF0">
        <w:rPr>
          <w:i/>
          <w:szCs w:val="26"/>
        </w:rPr>
        <w:t>Murphy</w:t>
      </w:r>
      <w:r w:rsidRPr="002D7212" w:rsidR="00024FF0">
        <w:rPr>
          <w:szCs w:val="26"/>
        </w:rPr>
        <w:t xml:space="preserve">, </w:t>
      </w:r>
      <w:r w:rsidRPr="002D7212" w:rsidR="00024FF0">
        <w:rPr>
          <w:i/>
          <w:szCs w:val="26"/>
        </w:rPr>
        <w:t>supra</w:t>
      </w:r>
      <w:r w:rsidRPr="002D7212" w:rsidR="00024FF0">
        <w:rPr>
          <w:szCs w:val="26"/>
        </w:rPr>
        <w:t xml:space="preserve">, 40 Cal.4th </w:t>
      </w:r>
      <w:r w:rsidRPr="002D7212" w:rsidR="00443AA5">
        <w:rPr>
          <w:szCs w:val="26"/>
        </w:rPr>
        <w:t xml:space="preserve">at p. 1113.)  Employees denied compliant meal </w:t>
      </w:r>
      <w:r w:rsidR="00892D52">
        <w:rPr>
          <w:szCs w:val="26"/>
        </w:rPr>
        <w:t>periods</w:t>
      </w:r>
      <w:r w:rsidRPr="002D7212" w:rsidR="00892D52">
        <w:rPr>
          <w:szCs w:val="26"/>
        </w:rPr>
        <w:t xml:space="preserve"> </w:t>
      </w:r>
      <w:r w:rsidRPr="002D7212" w:rsidR="00443AA5">
        <w:rPr>
          <w:szCs w:val="26"/>
        </w:rPr>
        <w:t xml:space="preserve">“face greater risk of work-related accidents and increased stress” </w:t>
      </w:r>
      <w:r w:rsidRPr="002D7212" w:rsidR="003662CD">
        <w:rPr>
          <w:szCs w:val="26"/>
        </w:rPr>
        <w:t xml:space="preserve">and </w:t>
      </w:r>
      <w:r w:rsidRPr="002D7212" w:rsidR="00051AA5">
        <w:rPr>
          <w:szCs w:val="26"/>
        </w:rPr>
        <w:t xml:space="preserve">lose valuable time </w:t>
      </w:r>
      <w:r w:rsidRPr="002D7212" w:rsidR="00090943">
        <w:rPr>
          <w:szCs w:val="26"/>
        </w:rPr>
        <w:t>“free from employer control that is often needed to be able to accomplish important personal tasks.”</w:t>
      </w:r>
      <w:r w:rsidRPr="002D7212" w:rsidR="00DD0D1C">
        <w:rPr>
          <w:szCs w:val="26"/>
        </w:rPr>
        <w:t xml:space="preserve">  (</w:t>
      </w:r>
      <w:r w:rsidRPr="002D7212" w:rsidR="00DD0D1C">
        <w:rPr>
          <w:i/>
          <w:szCs w:val="26"/>
        </w:rPr>
        <w:t>Ibid.</w:t>
      </w:r>
      <w:r w:rsidRPr="002D7212" w:rsidR="00B02AD6">
        <w:rPr>
          <w:szCs w:val="26"/>
        </w:rPr>
        <w:t xml:space="preserve">)  </w:t>
      </w:r>
      <w:r w:rsidRPr="002D7212" w:rsidR="00F72BB8">
        <w:rPr>
          <w:szCs w:val="26"/>
        </w:rPr>
        <w:t>S</w:t>
      </w:r>
      <w:r w:rsidRPr="002D7212" w:rsidR="00546EBA">
        <w:rPr>
          <w:szCs w:val="26"/>
        </w:rPr>
        <w:t xml:space="preserve">hortening or delaying a meal period by even a few minutes </w:t>
      </w:r>
      <w:r w:rsidRPr="002D7212" w:rsidR="00F72BB8">
        <w:rPr>
          <w:szCs w:val="26"/>
        </w:rPr>
        <w:t>may exacerbate risks associated with stress or fatigue, especially for workers who are on their feet most of the</w:t>
      </w:r>
      <w:r w:rsidRPr="002D7212" w:rsidR="00167DDE">
        <w:rPr>
          <w:szCs w:val="26"/>
        </w:rPr>
        <w:t xml:space="preserve"> </w:t>
      </w:r>
      <w:r w:rsidRPr="002D7212" w:rsidR="00F72BB8">
        <w:rPr>
          <w:szCs w:val="26"/>
        </w:rPr>
        <w:t xml:space="preserve">day or who perform manual labor or repetitive tasks.  Further, </w:t>
      </w:r>
      <w:r w:rsidRPr="002D7212" w:rsidR="00657BD7">
        <w:rPr>
          <w:szCs w:val="26"/>
        </w:rPr>
        <w:t>with</w:t>
      </w:r>
      <w:r w:rsidRPr="002D7212" w:rsidR="00F72BB8">
        <w:rPr>
          <w:szCs w:val="26"/>
        </w:rPr>
        <w:t xml:space="preserve">in a 30-minute </w:t>
      </w:r>
      <w:r w:rsidRPr="002D7212" w:rsidR="00657BD7">
        <w:rPr>
          <w:szCs w:val="26"/>
        </w:rPr>
        <w:t>timeframe</w:t>
      </w:r>
      <w:r w:rsidRPr="002D7212" w:rsidR="00F72BB8">
        <w:rPr>
          <w:szCs w:val="26"/>
        </w:rPr>
        <w:t xml:space="preserve">, a few minutes </w:t>
      </w:r>
      <w:r w:rsidRPr="002D7212" w:rsidR="00167DDE">
        <w:rPr>
          <w:szCs w:val="26"/>
        </w:rPr>
        <w:t xml:space="preserve">can make a </w:t>
      </w:r>
      <w:r w:rsidRPr="002D7212" w:rsidR="00956237">
        <w:rPr>
          <w:szCs w:val="26"/>
        </w:rPr>
        <w:t xml:space="preserve">significant </w:t>
      </w:r>
      <w:r w:rsidRPr="002D7212" w:rsidR="00167DDE">
        <w:rPr>
          <w:szCs w:val="26"/>
        </w:rPr>
        <w:t xml:space="preserve">difference </w:t>
      </w:r>
      <w:r w:rsidR="003E3629">
        <w:rPr>
          <w:szCs w:val="26"/>
        </w:rPr>
        <w:t>when it comes</w:t>
      </w:r>
      <w:r w:rsidRPr="002D7212" w:rsidR="00167DDE">
        <w:rPr>
          <w:szCs w:val="26"/>
        </w:rPr>
        <w:t xml:space="preserve"> to eating an unhurried </w:t>
      </w:r>
      <w:r w:rsidRPr="002D7212" w:rsidR="00956237">
        <w:rPr>
          <w:szCs w:val="26"/>
        </w:rPr>
        <w:t>meal</w:t>
      </w:r>
      <w:r w:rsidRPr="002D7212" w:rsidR="00167DDE">
        <w:rPr>
          <w:szCs w:val="26"/>
        </w:rPr>
        <w:t xml:space="preserve">, scheduling a doctor’s appointment, giving instructions to a babysitter, refreshing oneself with a cup of coffee, or simply </w:t>
      </w:r>
      <w:r w:rsidRPr="002D7212" w:rsidR="00956237">
        <w:rPr>
          <w:szCs w:val="26"/>
        </w:rPr>
        <w:t>resting</w:t>
      </w:r>
      <w:r w:rsidRPr="002D7212" w:rsidR="00167DDE">
        <w:rPr>
          <w:szCs w:val="26"/>
        </w:rPr>
        <w:t xml:space="preserve"> before </w:t>
      </w:r>
      <w:r>
        <w:rPr>
          <w:szCs w:val="26"/>
        </w:rPr>
        <w:t>going back to work</w:t>
      </w:r>
      <w:r w:rsidRPr="002D7212" w:rsidR="00167DDE">
        <w:rPr>
          <w:szCs w:val="26"/>
        </w:rPr>
        <w:t>.</w:t>
      </w:r>
    </w:p>
    <w:p w:rsidR="006A17AD" w:rsidP="004454C3">
      <w:pPr>
        <w:autoSpaceDE w:val="0"/>
        <w:autoSpaceDN w:val="0"/>
        <w:adjustRightInd w:val="0"/>
        <w:ind w:firstLine="720"/>
        <w:rPr>
          <w:szCs w:val="26"/>
        </w:rPr>
      </w:pPr>
      <w:r w:rsidRPr="002D7212">
        <w:rPr>
          <w:szCs w:val="26"/>
        </w:rPr>
        <w:t xml:space="preserve">By requiring </w:t>
      </w:r>
      <w:r w:rsidRPr="002D7212" w:rsidR="00F36803">
        <w:rPr>
          <w:szCs w:val="26"/>
        </w:rPr>
        <w:t xml:space="preserve">premium pay </w:t>
      </w:r>
      <w:r w:rsidRPr="002D7212" w:rsidR="00977284">
        <w:rPr>
          <w:szCs w:val="26"/>
        </w:rPr>
        <w:t xml:space="preserve">for any violation, </w:t>
      </w:r>
      <w:r w:rsidRPr="002D7212" w:rsidR="000A0B9D">
        <w:rPr>
          <w:szCs w:val="26"/>
        </w:rPr>
        <w:t xml:space="preserve">no matter how minor, </w:t>
      </w:r>
      <w:r w:rsidRPr="002D7212" w:rsidR="00E97F7F">
        <w:rPr>
          <w:szCs w:val="26"/>
        </w:rPr>
        <w:t xml:space="preserve">the </w:t>
      </w:r>
      <w:r w:rsidRPr="002D7212" w:rsidR="00506C96">
        <w:rPr>
          <w:szCs w:val="26"/>
        </w:rPr>
        <w:t xml:space="preserve">structure makes clear that </w:t>
      </w:r>
      <w:r w:rsidRPr="002D7212" w:rsidR="00EA7D87">
        <w:rPr>
          <w:szCs w:val="26"/>
        </w:rPr>
        <w:t xml:space="preserve">employers must provide </w:t>
      </w:r>
      <w:r w:rsidRPr="002D7212" w:rsidR="00976855">
        <w:rPr>
          <w:szCs w:val="26"/>
        </w:rPr>
        <w:t xml:space="preserve">compliant </w:t>
      </w:r>
      <w:r w:rsidRPr="002D7212" w:rsidR="003232A7">
        <w:rPr>
          <w:szCs w:val="26"/>
        </w:rPr>
        <w:t xml:space="preserve">meal periods </w:t>
      </w:r>
      <w:r w:rsidRPr="002D7212" w:rsidR="00657BD7">
        <w:rPr>
          <w:szCs w:val="26"/>
        </w:rPr>
        <w:t xml:space="preserve">whenever </w:t>
      </w:r>
      <w:r w:rsidRPr="002D7212" w:rsidR="00956237">
        <w:rPr>
          <w:szCs w:val="26"/>
        </w:rPr>
        <w:t>such a period is triggered</w:t>
      </w:r>
      <w:r w:rsidRPr="002D7212" w:rsidR="000D1144">
        <w:rPr>
          <w:szCs w:val="26"/>
        </w:rPr>
        <w:t xml:space="preserve">.  This corroborates the conclusion that </w:t>
      </w:r>
      <w:r w:rsidRPr="002D7212" w:rsidR="00C737D0">
        <w:rPr>
          <w:szCs w:val="26"/>
        </w:rPr>
        <w:t>rounding</w:t>
      </w:r>
      <w:r w:rsidRPr="002D7212" w:rsidR="00E31862">
        <w:rPr>
          <w:szCs w:val="26"/>
        </w:rPr>
        <w:t xml:space="preserve"> is </w:t>
      </w:r>
      <w:r w:rsidRPr="002D7212" w:rsidR="002B67F3">
        <w:rPr>
          <w:szCs w:val="26"/>
        </w:rPr>
        <w:t>improper</w:t>
      </w:r>
      <w:r w:rsidRPr="002D7212" w:rsidR="00E31862">
        <w:rPr>
          <w:szCs w:val="26"/>
        </w:rPr>
        <w:t xml:space="preserve"> here</w:t>
      </w:r>
      <w:r w:rsidRPr="002D7212" w:rsidR="00C737D0">
        <w:rPr>
          <w:szCs w:val="26"/>
        </w:rPr>
        <w:t xml:space="preserve">.  A premium </w:t>
      </w:r>
      <w:r w:rsidRPr="002D7212" w:rsidR="00083877">
        <w:rPr>
          <w:szCs w:val="26"/>
        </w:rPr>
        <w:t xml:space="preserve">pay </w:t>
      </w:r>
      <w:r w:rsidRPr="002D7212" w:rsidR="00E31862">
        <w:rPr>
          <w:szCs w:val="26"/>
        </w:rPr>
        <w:t xml:space="preserve">scheme that </w:t>
      </w:r>
      <w:r w:rsidRPr="002D7212" w:rsidR="00EF6C03">
        <w:rPr>
          <w:szCs w:val="26"/>
        </w:rPr>
        <w:t xml:space="preserve">discourages employers from </w:t>
      </w:r>
      <w:r w:rsidRPr="002D7212" w:rsidR="00F62A50">
        <w:rPr>
          <w:szCs w:val="26"/>
        </w:rPr>
        <w:t xml:space="preserve">infringing on meal periods by even a few minutes </w:t>
      </w:r>
      <w:r w:rsidRPr="002D7212" w:rsidR="00EA5A8D">
        <w:rPr>
          <w:szCs w:val="26"/>
        </w:rPr>
        <w:t xml:space="preserve">cannot be reconciled with a </w:t>
      </w:r>
      <w:r w:rsidRPr="002D7212" w:rsidR="003318C5">
        <w:rPr>
          <w:szCs w:val="26"/>
        </w:rPr>
        <w:t xml:space="preserve">policy </w:t>
      </w:r>
      <w:r w:rsidRPr="002D7212" w:rsidR="00947332">
        <w:rPr>
          <w:szCs w:val="26"/>
        </w:rPr>
        <w:t xml:space="preserve">that </w:t>
      </w:r>
      <w:r w:rsidRPr="002D7212" w:rsidR="00FD1614">
        <w:rPr>
          <w:szCs w:val="26"/>
        </w:rPr>
        <w:t xml:space="preserve">counts those minutes as </w:t>
      </w:r>
      <w:r w:rsidRPr="002D7212" w:rsidR="004639AC">
        <w:rPr>
          <w:szCs w:val="26"/>
        </w:rPr>
        <w:t xml:space="preserve">negligible </w:t>
      </w:r>
      <w:r w:rsidRPr="002D7212" w:rsidR="00EA5A8D">
        <w:rPr>
          <w:szCs w:val="26"/>
        </w:rPr>
        <w:t>rounding errors.</w:t>
      </w:r>
    </w:p>
    <w:p w:rsidR="007249E8" w:rsidRPr="002D7212" w:rsidP="007249E8">
      <w:pPr>
        <w:autoSpaceDE w:val="0"/>
        <w:autoSpaceDN w:val="0"/>
        <w:adjustRightInd w:val="0"/>
        <w:ind w:firstLine="720"/>
        <w:rPr>
          <w:szCs w:val="26"/>
        </w:rPr>
      </w:pPr>
      <w:r w:rsidRPr="002D7212">
        <w:rPr>
          <w:szCs w:val="26"/>
        </w:rPr>
        <w:t>Legislative history</w:t>
      </w:r>
      <w:r>
        <w:rPr>
          <w:szCs w:val="26"/>
        </w:rPr>
        <w:t xml:space="preserve"> </w:t>
      </w:r>
      <w:r w:rsidRPr="002D7212">
        <w:rPr>
          <w:szCs w:val="26"/>
        </w:rPr>
        <w:t>supports this understanding.  “Meal and rest periods have long been viewed as part of the remedial worker protection framework.</w:t>
      </w:r>
      <w:r w:rsidR="008265FF">
        <w:rPr>
          <w:szCs w:val="26"/>
        </w:rPr>
        <w:t> </w:t>
      </w:r>
      <w:r w:rsidR="00D26FEE">
        <w:rPr>
          <w:szCs w:val="26"/>
        </w:rPr>
        <w:t>.</w:t>
      </w:r>
      <w:r w:rsidR="008265FF">
        <w:rPr>
          <w:szCs w:val="26"/>
        </w:rPr>
        <w:t> </w:t>
      </w:r>
      <w:r w:rsidR="00D26FEE">
        <w:rPr>
          <w:szCs w:val="26"/>
        </w:rPr>
        <w:t>.</w:t>
      </w:r>
      <w:r w:rsidR="008265FF">
        <w:rPr>
          <w:szCs w:val="26"/>
        </w:rPr>
        <w:t> </w:t>
      </w:r>
      <w:r w:rsidR="00D26FEE">
        <w:rPr>
          <w:szCs w:val="26"/>
        </w:rPr>
        <w:t xml:space="preserve">. </w:t>
      </w:r>
      <w:r w:rsidRPr="002D7212">
        <w:rPr>
          <w:szCs w:val="26"/>
        </w:rPr>
        <w:t xml:space="preserve"> Concerned with the health and welfare of employees, the IWC issued wage orders mandating the provision of meal and rest periods in 1916 and 1932, respectively.</w:t>
      </w:r>
      <w:r w:rsidR="000E5686">
        <w:rPr>
          <w:szCs w:val="26"/>
        </w:rPr>
        <w:t> </w:t>
      </w:r>
      <w:r w:rsidR="00D26FEE">
        <w:rPr>
          <w:szCs w:val="26"/>
        </w:rPr>
        <w:t>.</w:t>
      </w:r>
      <w:r w:rsidR="000E5686">
        <w:rPr>
          <w:szCs w:val="26"/>
        </w:rPr>
        <w:t> </w:t>
      </w:r>
      <w:r w:rsidR="00D26FEE">
        <w:rPr>
          <w:szCs w:val="26"/>
        </w:rPr>
        <w:t>.</w:t>
      </w:r>
      <w:r w:rsidR="000E5686">
        <w:rPr>
          <w:szCs w:val="26"/>
        </w:rPr>
        <w:t> </w:t>
      </w:r>
      <w:r w:rsidR="00D26FEE">
        <w:rPr>
          <w:szCs w:val="26"/>
        </w:rPr>
        <w:t xml:space="preserve">. </w:t>
      </w:r>
      <w:r w:rsidRPr="002D7212">
        <w:rPr>
          <w:szCs w:val="26"/>
        </w:rPr>
        <w:t xml:space="preserve"> The wage orders required meal and rest periods after specified hours of work.  The only remedy available to employees, however, was injunctive relief aimed at preventing future abuse.  In 2000, due to a lack of employer compliance, the IWC added a pay remedy to the wage orders, providing that employers who fail to provide a meal or rest period ‘shall pay the employee one (1) hour of pay at the employee’s regular rate of compensation for each work day’ that the period is not provided.”  (</w:t>
      </w:r>
      <w:r w:rsidRPr="002D7212">
        <w:rPr>
          <w:i/>
          <w:szCs w:val="26"/>
        </w:rPr>
        <w:t>Murphy</w:t>
      </w:r>
      <w:r w:rsidRPr="002D7212">
        <w:rPr>
          <w:szCs w:val="26"/>
        </w:rPr>
        <w:t xml:space="preserve">, </w:t>
      </w:r>
      <w:r w:rsidRPr="002D7212">
        <w:rPr>
          <w:i/>
          <w:szCs w:val="26"/>
        </w:rPr>
        <w:t>supra</w:t>
      </w:r>
      <w:r w:rsidRPr="002D7212">
        <w:rPr>
          <w:szCs w:val="26"/>
        </w:rPr>
        <w:t>, 40 Cal.4th at pp. 1105–1106</w:t>
      </w:r>
      <w:r w:rsidR="00AB6505">
        <w:rPr>
          <w:szCs w:val="26"/>
        </w:rPr>
        <w:t>, citations omitted</w:t>
      </w:r>
      <w:r w:rsidRPr="002D7212">
        <w:rPr>
          <w:szCs w:val="26"/>
        </w:rPr>
        <w:t>.)  Around the same time, the Legislature “wrote into statute various guarantees that previously had been left to the IWC, including meal break guarantees.”  (</w:t>
      </w:r>
      <w:r w:rsidRPr="002D7212">
        <w:rPr>
          <w:i/>
          <w:szCs w:val="26"/>
        </w:rPr>
        <w:t>Brinker</w:t>
      </w:r>
      <w:r w:rsidRPr="002D7212">
        <w:rPr>
          <w:szCs w:val="26"/>
        </w:rPr>
        <w:t xml:space="preserve">, </w:t>
      </w:r>
      <w:r w:rsidRPr="002D7212">
        <w:rPr>
          <w:i/>
          <w:szCs w:val="26"/>
        </w:rPr>
        <w:t>supra</w:t>
      </w:r>
      <w:r w:rsidRPr="002D7212">
        <w:rPr>
          <w:szCs w:val="26"/>
        </w:rPr>
        <w:t>, 53 Cal.4th at pp. 1037–1038.)</w:t>
      </w:r>
    </w:p>
    <w:p w:rsidR="007249E8" w:rsidP="007249E8">
      <w:pPr>
        <w:autoSpaceDE w:val="0"/>
        <w:autoSpaceDN w:val="0"/>
        <w:adjustRightInd w:val="0"/>
        <w:ind w:firstLine="720"/>
        <w:rPr>
          <w:szCs w:val="26"/>
        </w:rPr>
      </w:pPr>
      <w:r w:rsidRPr="002D7212">
        <w:rPr>
          <w:szCs w:val="26"/>
        </w:rPr>
        <w:t>The legislative history indicates that the meal period provisions are not “aimed at protecting or providing employees’ wages.  Instead, [they are] primarily concerned with ensuring the health and welfare of employees by requiring that employers provide meal . . . periods as mandated by the IWC.”  (</w:t>
      </w:r>
      <w:r w:rsidRPr="002D7212">
        <w:rPr>
          <w:i/>
          <w:szCs w:val="26"/>
        </w:rPr>
        <w:t>Kirby v. Immoos Fire Protection, Inc.</w:t>
      </w:r>
      <w:r w:rsidRPr="002D7212">
        <w:rPr>
          <w:szCs w:val="26"/>
        </w:rPr>
        <w:t xml:space="preserve"> (2012) 53 Cal.4th 1244, 1255.)  As Donohue argues, the health and safety concerns underlying these provisions distinguish the meal period context from the wage calculation context, in which the practice of rounding time punches was developed.  For purposes of calculating wages, counting slightly fewer minutes one day can be made up by counting a few more minutes another day.  But the same is not true for meal periods.  Under the applicable statute and wage order, a shorter or delayed meal period one day cannot be offset by a longer or earlier meal period another day.  The premium pay scheme reflects the Legislature’s and </w:t>
      </w:r>
      <w:r w:rsidR="003435E4">
        <w:rPr>
          <w:szCs w:val="26"/>
        </w:rPr>
        <w:t xml:space="preserve">the </w:t>
      </w:r>
      <w:r w:rsidRPr="002D7212">
        <w:rPr>
          <w:szCs w:val="26"/>
        </w:rPr>
        <w:t>IWC’s determination that infringements on meal period requirements threaten employees’ health and safety whenever they occur (</w:t>
      </w:r>
      <w:r w:rsidRPr="002D7212">
        <w:rPr>
          <w:i/>
          <w:szCs w:val="26"/>
        </w:rPr>
        <w:t>Murphy</w:t>
      </w:r>
      <w:r w:rsidRPr="002D7212">
        <w:rPr>
          <w:szCs w:val="26"/>
        </w:rPr>
        <w:t xml:space="preserve">, </w:t>
      </w:r>
      <w:r w:rsidRPr="002D7212">
        <w:rPr>
          <w:i/>
          <w:szCs w:val="26"/>
        </w:rPr>
        <w:t>supra</w:t>
      </w:r>
      <w:r w:rsidRPr="002D7212">
        <w:rPr>
          <w:szCs w:val="26"/>
        </w:rPr>
        <w:t>, 40 Cal.4th at p. 1113; </w:t>
      </w:r>
      <w:r w:rsidRPr="002D7212">
        <w:rPr>
          <w:i/>
          <w:szCs w:val="26"/>
        </w:rPr>
        <w:t>Kaanaana</w:t>
      </w:r>
      <w:r w:rsidRPr="002D7212">
        <w:rPr>
          <w:szCs w:val="26"/>
        </w:rPr>
        <w:t xml:space="preserve">, </w:t>
      </w:r>
      <w:r w:rsidRPr="002D7212">
        <w:rPr>
          <w:i/>
          <w:szCs w:val="26"/>
        </w:rPr>
        <w:t>supra</w:t>
      </w:r>
      <w:r w:rsidRPr="002D7212">
        <w:rPr>
          <w:szCs w:val="26"/>
        </w:rPr>
        <w:t>, 29 Cal.App.5th at p. 801</w:t>
      </w:r>
      <w:r w:rsidR="00CE525D">
        <w:rPr>
          <w:szCs w:val="26"/>
        </w:rPr>
        <w:t>, rev.gr.</w:t>
      </w:r>
      <w:r w:rsidRPr="002D7212">
        <w:rPr>
          <w:szCs w:val="26"/>
        </w:rPr>
        <w:t>), and the scheme was enacted to address inadequate employer compliance (</w:t>
      </w:r>
      <w:r w:rsidRPr="002D7212">
        <w:rPr>
          <w:i/>
          <w:szCs w:val="26"/>
        </w:rPr>
        <w:t>Murphy</w:t>
      </w:r>
      <w:r w:rsidRPr="002D7212">
        <w:rPr>
          <w:szCs w:val="26"/>
        </w:rPr>
        <w:t>, at pp. 1105–1106).  Rounding policies are at odds with the requirement that employers pay the full premium wage for meal period violations.  When the actual times that an employee must work during a day reveal a meal period violation, the violation cannot be papered over by rounding.</w:t>
      </w:r>
    </w:p>
    <w:p w:rsidR="007249E8" w:rsidP="00722DAB">
      <w:pPr>
        <w:autoSpaceDE w:val="0"/>
        <w:autoSpaceDN w:val="0"/>
        <w:adjustRightInd w:val="0"/>
        <w:ind w:firstLine="720"/>
        <w:rPr>
          <w:szCs w:val="26"/>
        </w:rPr>
      </w:pPr>
      <w:r>
        <w:t xml:space="preserve">This </w:t>
      </w:r>
      <w:r w:rsidR="001A0477">
        <w:t>understanding</w:t>
      </w:r>
      <w:r>
        <w:t xml:space="preserve"> </w:t>
      </w:r>
      <w:r w:rsidR="00AB6505">
        <w:t xml:space="preserve">also </w:t>
      </w:r>
      <w:r>
        <w:t xml:space="preserve">comports with the remedial purpose of the Labor Code and wage orders.  </w:t>
      </w:r>
      <w:r w:rsidRPr="00FB566B">
        <w:rPr>
          <w:szCs w:val="26"/>
        </w:rPr>
        <w:t>“Because the laws authorizing the regulation of wages, hours, and working conditions are remedial in nature,</w:t>
      </w:r>
      <w:r w:rsidR="00AB6505">
        <w:rPr>
          <w:szCs w:val="26"/>
        </w:rPr>
        <w:t xml:space="preserve"> </w:t>
      </w:r>
      <w:r>
        <w:rPr>
          <w:szCs w:val="26"/>
        </w:rPr>
        <w:t>courts</w:t>
      </w:r>
      <w:r w:rsidRPr="00FB566B">
        <w:rPr>
          <w:szCs w:val="26"/>
        </w:rPr>
        <w:t xml:space="preserve"> construe these provisions liberally, with an eye to promoting the worker protections they were intended to provide.”  (</w:t>
      </w:r>
      <w:r w:rsidRPr="00FB566B">
        <w:rPr>
          <w:i/>
          <w:szCs w:val="26"/>
        </w:rPr>
        <w:t xml:space="preserve">Prachasaisoradej v. Ralphs Grocery Co., Inc. </w:t>
      </w:r>
      <w:r w:rsidRPr="00FB566B">
        <w:rPr>
          <w:szCs w:val="26"/>
        </w:rPr>
        <w:t>(2007) 42 Cal.4th 217, 227.)</w:t>
      </w:r>
      <w:r>
        <w:rPr>
          <w:szCs w:val="26"/>
        </w:rPr>
        <w:t xml:space="preserve">  </w:t>
      </w:r>
      <w:r w:rsidR="007F1BA6">
        <w:rPr>
          <w:szCs w:val="26"/>
        </w:rPr>
        <w:t>As we have explained, r</w:t>
      </w:r>
      <w:r>
        <w:rPr>
          <w:szCs w:val="26"/>
        </w:rPr>
        <w:t xml:space="preserve">ounding </w:t>
      </w:r>
      <w:r w:rsidR="00AB6505">
        <w:rPr>
          <w:szCs w:val="26"/>
        </w:rPr>
        <w:t xml:space="preserve">is incompatible with promoting </w:t>
      </w:r>
      <w:r w:rsidR="007F1BA6">
        <w:rPr>
          <w:szCs w:val="26"/>
        </w:rPr>
        <w:t xml:space="preserve">strict adherence to the </w:t>
      </w:r>
      <w:r>
        <w:rPr>
          <w:szCs w:val="26"/>
        </w:rPr>
        <w:t xml:space="preserve">safeguards </w:t>
      </w:r>
      <w:r w:rsidR="00AB6505">
        <w:rPr>
          <w:szCs w:val="26"/>
        </w:rPr>
        <w:t>for</w:t>
      </w:r>
      <w:r>
        <w:rPr>
          <w:szCs w:val="26"/>
        </w:rPr>
        <w:t xml:space="preserve"> </w:t>
      </w:r>
      <w:r w:rsidR="007F1BA6">
        <w:rPr>
          <w:szCs w:val="26"/>
        </w:rPr>
        <w:t xml:space="preserve">workers’ </w:t>
      </w:r>
      <w:r>
        <w:rPr>
          <w:szCs w:val="26"/>
        </w:rPr>
        <w:t>health, safety, and well-being</w:t>
      </w:r>
      <w:r w:rsidR="007F1BA6">
        <w:rPr>
          <w:szCs w:val="26"/>
        </w:rPr>
        <w:t xml:space="preserve"> that meal periods are intended to provide</w:t>
      </w:r>
      <w:r>
        <w:rPr>
          <w:szCs w:val="26"/>
        </w:rPr>
        <w:t>.</w:t>
      </w:r>
    </w:p>
    <w:p w:rsidR="007F1BA6" w:rsidP="004454C3">
      <w:pPr>
        <w:autoSpaceDE w:val="0"/>
        <w:autoSpaceDN w:val="0"/>
        <w:adjustRightInd w:val="0"/>
        <w:ind w:firstLine="720"/>
        <w:rPr>
          <w:szCs w:val="26"/>
          <w:shd w:val="clear" w:color="auto" w:fill="FFFFFF"/>
        </w:rPr>
      </w:pPr>
      <w:r>
        <w:rPr>
          <w:szCs w:val="26"/>
        </w:rPr>
        <w:t>T</w:t>
      </w:r>
      <w:r w:rsidR="00017859">
        <w:rPr>
          <w:szCs w:val="26"/>
        </w:rPr>
        <w:t xml:space="preserve">he Court of Appeal </w:t>
      </w:r>
      <w:r>
        <w:rPr>
          <w:szCs w:val="26"/>
        </w:rPr>
        <w:t>here</w:t>
      </w:r>
      <w:r w:rsidR="00017859">
        <w:rPr>
          <w:szCs w:val="26"/>
        </w:rPr>
        <w:t xml:space="preserve"> relied on </w:t>
      </w:r>
      <w:r w:rsidRPr="004454C3" w:rsidR="00017859">
        <w:rPr>
          <w:i/>
          <w:iCs/>
          <w:szCs w:val="26"/>
        </w:rPr>
        <w:t>See’s Candy Shops, Inc. v. Superior Court</w:t>
      </w:r>
      <w:r w:rsidR="00017859">
        <w:rPr>
          <w:szCs w:val="26"/>
        </w:rPr>
        <w:t xml:space="preserve"> (2012) 210 Cal.App.4th 889 (</w:t>
      </w:r>
      <w:r w:rsidRPr="004454C3" w:rsidR="00017859">
        <w:rPr>
          <w:i/>
          <w:iCs/>
          <w:szCs w:val="26"/>
        </w:rPr>
        <w:t>See’s Candy</w:t>
      </w:r>
      <w:r w:rsidR="0019273C">
        <w:rPr>
          <w:i/>
          <w:iCs/>
          <w:szCs w:val="26"/>
        </w:rPr>
        <w:t xml:space="preserve"> I</w:t>
      </w:r>
      <w:r w:rsidR="00017859">
        <w:rPr>
          <w:szCs w:val="26"/>
        </w:rPr>
        <w:t xml:space="preserve">).  </w:t>
      </w:r>
      <w:r w:rsidRPr="004454C3" w:rsidR="0008679C">
        <w:rPr>
          <w:i/>
          <w:iCs/>
          <w:szCs w:val="26"/>
        </w:rPr>
        <w:t>See’s Candy I</w:t>
      </w:r>
      <w:r w:rsidR="0008679C">
        <w:rPr>
          <w:szCs w:val="26"/>
        </w:rPr>
        <w:t xml:space="preserve"> concluded that employers </w:t>
      </w:r>
      <w:r>
        <w:rPr>
          <w:szCs w:val="26"/>
        </w:rPr>
        <w:t>may</w:t>
      </w:r>
      <w:r w:rsidR="0008679C">
        <w:rPr>
          <w:szCs w:val="26"/>
        </w:rPr>
        <w:t xml:space="preserve"> use rounded time punches to calculate regular and overtime wages if the rounding policy is neutral on its face and as applied.</w:t>
      </w:r>
      <w:r w:rsidR="00CD5576">
        <w:t xml:space="preserve">  (</w:t>
      </w:r>
      <w:r>
        <w:rPr>
          <w:i/>
          <w:iCs/>
        </w:rPr>
        <w:t>Id.</w:t>
      </w:r>
      <w:r w:rsidR="00CD5576">
        <w:t xml:space="preserve"> at p. 907.)  </w:t>
      </w:r>
      <w:r w:rsidRPr="002D7212" w:rsidR="00CD5576">
        <w:t>Th</w:t>
      </w:r>
      <w:r w:rsidR="00CD5576">
        <w:t>at</w:t>
      </w:r>
      <w:r w:rsidRPr="002D7212" w:rsidR="00CD5576">
        <w:t xml:space="preserve"> court </w:t>
      </w:r>
      <w:r w:rsidR="00CD5576">
        <w:t>consulted</w:t>
      </w:r>
      <w:r w:rsidRPr="002D7212" w:rsidR="00CD5576">
        <w:t xml:space="preserve"> </w:t>
      </w:r>
      <w:r w:rsidR="00DB2A40">
        <w:t xml:space="preserve">a </w:t>
      </w:r>
      <w:r w:rsidRPr="002D7212" w:rsidR="00CD5576">
        <w:t>federal regulation under the Fair Labor Standards Act</w:t>
      </w:r>
      <w:r w:rsidR="00076A34">
        <w:t xml:space="preserve"> of 1938</w:t>
      </w:r>
      <w:r w:rsidRPr="002D7212" w:rsidR="00CD5576">
        <w:t xml:space="preserve"> </w:t>
      </w:r>
      <w:r w:rsidR="00DB2A40">
        <w:t>that addresses</w:t>
      </w:r>
      <w:r w:rsidRPr="002D7212" w:rsidR="00757C4D">
        <w:rPr>
          <w:szCs w:val="26"/>
        </w:rPr>
        <w:t xml:space="preserve"> rounding practices.  (29 C.F.R. § 785.48(b) (2020).)  The regulation</w:t>
      </w:r>
      <w:r w:rsidR="00DB2A40">
        <w:rPr>
          <w:szCs w:val="26"/>
        </w:rPr>
        <w:t>, first promulgated in 1961,</w:t>
      </w:r>
      <w:r w:rsidRPr="002D7212" w:rsidR="00757C4D">
        <w:rPr>
          <w:szCs w:val="26"/>
        </w:rPr>
        <w:t xml:space="preserve"> states:  “</w:t>
      </w:r>
      <w:r w:rsidRPr="002D7212" w:rsidR="00757C4D">
        <w:rPr>
          <w:szCs w:val="26"/>
          <w:shd w:val="clear" w:color="auto" w:fill="FFFFFF"/>
        </w:rPr>
        <w:t>It has been found that in some industries, particularly where time clocks are used, there has been the practice for many years of recording the employees’ starting time and stopping time to the nearest 5 minutes, or to the nearest one-tenth or quarter of an hour.  Presumably, this arrangement averages out so that the employees are fully compensated for all the time they actually work.  For enforcement purposes this practice of computing working time will be accepted, provided that it is used in such a manner that it will not result, over a period of time, in failure to compensate the employees properly for all the time they have actually worked.”  (</w:t>
      </w:r>
      <w:r w:rsidRPr="002D7212" w:rsidR="00757C4D">
        <w:rPr>
          <w:i/>
          <w:szCs w:val="26"/>
          <w:shd w:val="clear" w:color="auto" w:fill="FFFFFF"/>
        </w:rPr>
        <w:t>Ibid.</w:t>
      </w:r>
      <w:r w:rsidRPr="002D7212" w:rsidR="00757C4D">
        <w:rPr>
          <w:szCs w:val="26"/>
          <w:shd w:val="clear" w:color="auto" w:fill="FFFFFF"/>
        </w:rPr>
        <w:t>)</w:t>
      </w:r>
    </w:p>
    <w:p w:rsidR="00F47A84" w:rsidP="00757C4D">
      <w:pPr>
        <w:tabs>
          <w:tab w:val="left" w:pos="720"/>
        </w:tabs>
        <w:rPr>
          <w:szCs w:val="26"/>
          <w:shd w:val="clear" w:color="auto" w:fill="FFFFFF"/>
        </w:rPr>
      </w:pPr>
      <w:r>
        <w:rPr>
          <w:szCs w:val="26"/>
          <w:shd w:val="clear" w:color="auto" w:fill="FFFFFF"/>
        </w:rPr>
        <w:tab/>
      </w:r>
      <w:r w:rsidRPr="002D7212" w:rsidR="00757C4D">
        <w:rPr>
          <w:szCs w:val="26"/>
          <w:shd w:val="clear" w:color="auto" w:fill="FFFFFF"/>
        </w:rPr>
        <w:t>Federal courts ha</w:t>
      </w:r>
      <w:r w:rsidR="00DB2A40">
        <w:rPr>
          <w:szCs w:val="26"/>
          <w:shd w:val="clear" w:color="auto" w:fill="FFFFFF"/>
        </w:rPr>
        <w:t>d</w:t>
      </w:r>
      <w:r w:rsidRPr="002D7212" w:rsidR="00757C4D">
        <w:rPr>
          <w:szCs w:val="26"/>
          <w:shd w:val="clear" w:color="auto" w:fill="FFFFFF"/>
        </w:rPr>
        <w:t xml:space="preserve"> interpreted the regulation to permit rounding policies as long as they “on average, favor[] neither overpayment nor underpayment” and do not “ ‘consistently result[] in a failure to pay employees for time worked.’ ”  (</w:t>
      </w:r>
      <w:r w:rsidRPr="002D7212" w:rsidR="00757C4D">
        <w:rPr>
          <w:i/>
          <w:szCs w:val="26"/>
          <w:shd w:val="clear" w:color="auto" w:fill="FFFFFF"/>
        </w:rPr>
        <w:t xml:space="preserve">Alonzo v. Maximus, Inc. </w:t>
      </w:r>
      <w:r w:rsidRPr="002D7212" w:rsidR="00757C4D">
        <w:rPr>
          <w:szCs w:val="26"/>
          <w:shd w:val="clear" w:color="auto" w:fill="FFFFFF"/>
        </w:rPr>
        <w:t>(C.D.Cal. 2011) 832 F.Supp.2d 1122, 1126.)  Conversely, rounding policies violate the regulation if they “systematically undercompensate employees” (</w:t>
      </w:r>
      <w:r w:rsidRPr="002D7212" w:rsidR="00757C4D">
        <w:rPr>
          <w:i/>
          <w:szCs w:val="26"/>
          <w:shd w:val="clear" w:color="auto" w:fill="FFFFFF"/>
        </w:rPr>
        <w:t xml:space="preserve">id. </w:t>
      </w:r>
      <w:r w:rsidRPr="002D7212" w:rsidR="00757C4D">
        <w:rPr>
          <w:szCs w:val="26"/>
          <w:shd w:val="clear" w:color="auto" w:fill="FFFFFF"/>
        </w:rPr>
        <w:t>at pp. 1126–1127), such as when the rounding policy “encompasses only rounding down” (</w:t>
      </w:r>
      <w:r w:rsidRPr="002D7212" w:rsidR="00757C4D">
        <w:rPr>
          <w:i/>
          <w:szCs w:val="26"/>
          <w:shd w:val="clear" w:color="auto" w:fill="FFFFFF"/>
        </w:rPr>
        <w:t xml:space="preserve">Eyles v. Uline, Inc. </w:t>
      </w:r>
      <w:r w:rsidRPr="002D7212" w:rsidR="00757C4D">
        <w:rPr>
          <w:szCs w:val="26"/>
          <w:shd w:val="clear" w:color="auto" w:fill="FFFFFF"/>
        </w:rPr>
        <w:t>(N.D.Tex., Sept. 4, 2009, No.</w:t>
      </w:r>
      <w:r w:rsidR="00757C4D">
        <w:rPr>
          <w:szCs w:val="26"/>
          <w:shd w:val="clear" w:color="auto" w:fill="FFFFFF"/>
        </w:rPr>
        <w:t> </w:t>
      </w:r>
      <w:r w:rsidRPr="002D7212" w:rsidR="00757C4D">
        <w:rPr>
          <w:szCs w:val="26"/>
          <w:shd w:val="clear" w:color="auto" w:fill="FFFFFF"/>
        </w:rPr>
        <w:t xml:space="preserve">4:08-CV-577-A) 2009 WL 2868447, </w:t>
      </w:r>
      <w:r w:rsidR="00B7529E">
        <w:rPr>
          <w:szCs w:val="26"/>
          <w:shd w:val="clear" w:color="auto" w:fill="FFFFFF"/>
        </w:rPr>
        <w:t>p.</w:t>
      </w:r>
      <w:r w:rsidR="000E5686">
        <w:rPr>
          <w:szCs w:val="26"/>
          <w:shd w:val="clear" w:color="auto" w:fill="FFFFFF"/>
        </w:rPr>
        <w:t> </w:t>
      </w:r>
      <w:r w:rsidRPr="002D7212" w:rsidR="00757C4D">
        <w:rPr>
          <w:szCs w:val="26"/>
          <w:shd w:val="clear" w:color="auto" w:fill="FFFFFF"/>
        </w:rPr>
        <w:t xml:space="preserve">*4).  </w:t>
      </w:r>
    </w:p>
    <w:p w:rsidR="00757C4D" w:rsidP="00D30548">
      <w:pPr>
        <w:tabs>
          <w:tab w:val="left" w:pos="720"/>
        </w:tabs>
      </w:pPr>
      <w:r>
        <w:rPr>
          <w:szCs w:val="26"/>
          <w:shd w:val="clear" w:color="auto" w:fill="FFFFFF"/>
        </w:rPr>
        <w:tab/>
      </w:r>
      <w:r w:rsidRPr="002D7212">
        <w:rPr>
          <w:szCs w:val="26"/>
          <w:shd w:val="clear" w:color="auto" w:fill="FFFFFF"/>
        </w:rPr>
        <w:t>The</w:t>
      </w:r>
      <w:r>
        <w:rPr>
          <w:szCs w:val="26"/>
          <w:shd w:val="clear" w:color="auto" w:fill="FFFFFF"/>
        </w:rPr>
        <w:t xml:space="preserve"> </w:t>
      </w:r>
      <w:r w:rsidRPr="005D2645">
        <w:rPr>
          <w:i/>
          <w:iCs/>
          <w:szCs w:val="26"/>
          <w:shd w:val="clear" w:color="auto" w:fill="FFFFFF"/>
        </w:rPr>
        <w:t>See’s Candy I</w:t>
      </w:r>
      <w:r w:rsidRPr="002D7212">
        <w:rPr>
          <w:szCs w:val="26"/>
          <w:shd w:val="clear" w:color="auto" w:fill="FFFFFF"/>
        </w:rPr>
        <w:t xml:space="preserve"> court observed that the Division of Labor Standards Enforcement (DLSE), the agency that enforces California’s labor laws, ha</w:t>
      </w:r>
      <w:r w:rsidR="00DB2A40">
        <w:rPr>
          <w:szCs w:val="26"/>
          <w:shd w:val="clear" w:color="auto" w:fill="FFFFFF"/>
        </w:rPr>
        <w:t>d</w:t>
      </w:r>
      <w:r w:rsidRPr="002D7212">
        <w:rPr>
          <w:szCs w:val="26"/>
          <w:shd w:val="clear" w:color="auto" w:fill="FFFFFF"/>
        </w:rPr>
        <w:t xml:space="preserve"> adopted the federal regulation in its manual.  (</w:t>
      </w:r>
      <w:r w:rsidRPr="002D7212">
        <w:rPr>
          <w:i/>
          <w:szCs w:val="26"/>
          <w:shd w:val="clear" w:color="auto" w:fill="FFFFFF"/>
        </w:rPr>
        <w:t>See’s Candy I</w:t>
      </w:r>
      <w:r w:rsidRPr="002D7212">
        <w:rPr>
          <w:szCs w:val="26"/>
          <w:shd w:val="clear" w:color="auto" w:fill="FFFFFF"/>
        </w:rPr>
        <w:t xml:space="preserve">, </w:t>
      </w:r>
      <w:r w:rsidRPr="002D7212">
        <w:rPr>
          <w:i/>
          <w:szCs w:val="26"/>
          <w:shd w:val="clear" w:color="auto" w:fill="FFFFFF"/>
        </w:rPr>
        <w:t>supra</w:t>
      </w:r>
      <w:r w:rsidRPr="002D7212">
        <w:rPr>
          <w:szCs w:val="26"/>
          <w:shd w:val="clear" w:color="auto" w:fill="FFFFFF"/>
        </w:rPr>
        <w:t xml:space="preserve">, </w:t>
      </w:r>
      <w:r w:rsidRPr="002D7212">
        <w:t xml:space="preserve">210 Cal.App.4th at p. 902; see </w:t>
      </w:r>
      <w:r w:rsidRPr="002D7212">
        <w:rPr>
          <w:i/>
        </w:rPr>
        <w:t>ibid.</w:t>
      </w:r>
      <w:r w:rsidRPr="002D7212">
        <w:t xml:space="preserve"> </w:t>
      </w:r>
      <w:r w:rsidRPr="002D7212">
        <w:t>[</w:t>
      </w:r>
      <w:r w:rsidRPr="002D7212">
        <w:rPr>
          <w:szCs w:val="26"/>
          <w:shd w:val="clear" w:color="auto" w:fill="FFFFFF"/>
        </w:rPr>
        <w:t>DLSE Manual is not binding</w:t>
      </w:r>
      <w:r w:rsidR="00DB2A40">
        <w:rPr>
          <w:szCs w:val="26"/>
          <w:shd w:val="clear" w:color="auto" w:fill="FFFFFF"/>
        </w:rPr>
        <w:t xml:space="preserve"> but </w:t>
      </w:r>
      <w:r w:rsidRPr="002D7212">
        <w:rPr>
          <w:szCs w:val="26"/>
          <w:shd w:val="clear" w:color="auto" w:fill="FFFFFF"/>
        </w:rPr>
        <w:t xml:space="preserve">may be considered for </w:t>
      </w:r>
      <w:r w:rsidR="00DB2A40">
        <w:rPr>
          <w:szCs w:val="26"/>
          <w:shd w:val="clear" w:color="auto" w:fill="FFFFFF"/>
        </w:rPr>
        <w:t xml:space="preserve">its </w:t>
      </w:r>
      <w:r w:rsidRPr="002D7212">
        <w:rPr>
          <w:szCs w:val="26"/>
          <w:shd w:val="clear" w:color="auto" w:fill="FFFFFF"/>
        </w:rPr>
        <w:t>persuasive value].)</w:t>
      </w:r>
      <w:r>
        <w:t xml:space="preserve">  </w:t>
      </w:r>
      <w:r w:rsidRPr="00D30548">
        <w:t>The court then</w:t>
      </w:r>
      <w:r>
        <w:t xml:space="preserve"> </w:t>
      </w:r>
      <w:r w:rsidRPr="002D7212">
        <w:t>concluded it was appropriate to adopt the federal regulatory standard:</w:t>
      </w:r>
      <w:r w:rsidR="00CF3D68">
        <w:t>  </w:t>
      </w:r>
      <w:r w:rsidRPr="002D7212">
        <w:rPr>
          <w:szCs w:val="26"/>
        </w:rPr>
        <w:t>“Assuming a rounding-over-time policy is neutral, both facially and as applied, the practice is proper under California law because its net effect is to permit employers to efficiently calculate hours worked without imposing any burden on employees.”  (</w:t>
      </w:r>
      <w:r w:rsidRPr="002D7212">
        <w:rPr>
          <w:i/>
          <w:szCs w:val="26"/>
          <w:shd w:val="clear" w:color="auto" w:fill="FFFFFF"/>
        </w:rPr>
        <w:t>See’s Candy I</w:t>
      </w:r>
      <w:r w:rsidRPr="002D7212">
        <w:rPr>
          <w:szCs w:val="26"/>
          <w:shd w:val="clear" w:color="auto" w:fill="FFFFFF"/>
        </w:rPr>
        <w:t xml:space="preserve">, </w:t>
      </w:r>
      <w:r w:rsidRPr="002D7212">
        <w:rPr>
          <w:i/>
          <w:szCs w:val="26"/>
          <w:shd w:val="clear" w:color="auto" w:fill="FFFFFF"/>
        </w:rPr>
        <w:t>supra</w:t>
      </w:r>
      <w:r w:rsidRPr="002D7212">
        <w:rPr>
          <w:szCs w:val="26"/>
          <w:shd w:val="clear" w:color="auto" w:fill="FFFFFF"/>
        </w:rPr>
        <w:t xml:space="preserve">, </w:t>
      </w:r>
      <w:r w:rsidRPr="002D7212">
        <w:t>210 Cal.App.4th at p. 903.)  The court observed that employers across the country have long used rounding and it would be unreasonable to prevent California employers from doing the same.  (</w:t>
      </w:r>
      <w:r w:rsidRPr="002D7212">
        <w:rPr>
          <w:i/>
        </w:rPr>
        <w:t>Ibid.</w:t>
      </w:r>
      <w:r w:rsidRPr="002D7212">
        <w:t xml:space="preserve">)  The court </w:t>
      </w:r>
      <w:r w:rsidR="00FA7020">
        <w:t>held that a</w:t>
      </w:r>
      <w:r w:rsidRPr="002D7212">
        <w:t xml:space="preserve">n employer is entitled to use a rounding policy if </w:t>
      </w:r>
      <w:r w:rsidR="00FA7020">
        <w:t>it</w:t>
      </w:r>
      <w:r w:rsidRPr="002D7212">
        <w:t xml:space="preserve"> </w:t>
      </w:r>
      <w:r w:rsidR="00FA7020">
        <w:t>“</w:t>
      </w:r>
      <w:r w:rsidRPr="002D7212">
        <w:t>is fair and neutral on its face and ‘it is used in such a manner that it will not result, over a period of time, in failure to compensate the employees properly for all the time they have actually worked.’ ”  (</w:t>
      </w:r>
      <w:r w:rsidRPr="002D7212">
        <w:rPr>
          <w:i/>
        </w:rPr>
        <w:t xml:space="preserve">Id. </w:t>
      </w:r>
      <w:r w:rsidRPr="002D7212">
        <w:t>at p. 907.)</w:t>
      </w:r>
    </w:p>
    <w:p w:rsidR="00757C4D" w:rsidRPr="002D7212" w:rsidP="00757C4D">
      <w:pPr>
        <w:autoSpaceDE w:val="0"/>
        <w:autoSpaceDN w:val="0"/>
        <w:adjustRightInd w:val="0"/>
      </w:pPr>
      <w:r>
        <w:tab/>
        <w:t xml:space="preserve">The </w:t>
      </w:r>
      <w:r w:rsidRPr="00C65076">
        <w:rPr>
          <w:i/>
          <w:iCs/>
        </w:rPr>
        <w:t>See’s Candy I</w:t>
      </w:r>
      <w:r>
        <w:t xml:space="preserve"> court </w:t>
      </w:r>
      <w:r w:rsidR="00FA7020">
        <w:t>believed</w:t>
      </w:r>
      <w:r>
        <w:t xml:space="preserve"> this rounding </w:t>
      </w:r>
      <w:r w:rsidRPr="002D7212">
        <w:t>standard is consistent with Labor Code section 204,</w:t>
      </w:r>
      <w:r w:rsidR="00FA7020">
        <w:t xml:space="preserve"> subdivision (a),</w:t>
      </w:r>
      <w:r w:rsidRPr="002D7212">
        <w:t xml:space="preserve"> which provides:  “All wages . . . earned by any person in any employment are due and payable twice during each calendar month, on days designated in advance by the employer as the regular paydays.”  According to the court, the focus of section 204 is on the timing of wage payments, not the way those wages are calculated.  (</w:t>
      </w:r>
      <w:r w:rsidRPr="002D7212" w:rsidR="00DB2A40">
        <w:rPr>
          <w:i/>
          <w:szCs w:val="26"/>
          <w:shd w:val="clear" w:color="auto" w:fill="FFFFFF"/>
        </w:rPr>
        <w:t>See’s Candy I</w:t>
      </w:r>
      <w:r w:rsidRPr="002D7212" w:rsidR="00DB2A40">
        <w:rPr>
          <w:szCs w:val="26"/>
          <w:shd w:val="clear" w:color="auto" w:fill="FFFFFF"/>
        </w:rPr>
        <w:t xml:space="preserve">, </w:t>
      </w:r>
      <w:r w:rsidRPr="002D7212" w:rsidR="00DB2A40">
        <w:rPr>
          <w:i/>
          <w:szCs w:val="26"/>
          <w:shd w:val="clear" w:color="auto" w:fill="FFFFFF"/>
        </w:rPr>
        <w:t>supra</w:t>
      </w:r>
      <w:r w:rsidRPr="002D7212" w:rsidR="00DB2A40">
        <w:rPr>
          <w:szCs w:val="26"/>
          <w:shd w:val="clear" w:color="auto" w:fill="FFFFFF"/>
        </w:rPr>
        <w:t xml:space="preserve">, </w:t>
      </w:r>
      <w:r w:rsidRPr="002D7212" w:rsidR="00DB2A40">
        <w:t>210 Cal.App.4th</w:t>
      </w:r>
      <w:r w:rsidRPr="002D7212">
        <w:rPr>
          <w:i/>
        </w:rPr>
        <w:t xml:space="preserve"> </w:t>
      </w:r>
      <w:r w:rsidRPr="002D7212">
        <w:t xml:space="preserve">at pp. 904–905.)  In addition, the court observed that </w:t>
      </w:r>
      <w:r w:rsidR="00DB2A40">
        <w:t xml:space="preserve">the phrase </w:t>
      </w:r>
      <w:r w:rsidRPr="002D7212">
        <w:t>“all wages” does not necessarily refer to an amount calculated on the basis of unrounded time punches.  (</w:t>
      </w:r>
      <w:r w:rsidRPr="002D7212">
        <w:rPr>
          <w:i/>
        </w:rPr>
        <w:t>Id.</w:t>
      </w:r>
      <w:r w:rsidR="00923541">
        <w:rPr>
          <w:iCs/>
        </w:rPr>
        <w:t xml:space="preserve"> at p.</w:t>
      </w:r>
      <w:r w:rsidR="008E4023">
        <w:rPr>
          <w:iCs/>
        </w:rPr>
        <w:t> </w:t>
      </w:r>
      <w:r w:rsidR="00923541">
        <w:rPr>
          <w:iCs/>
        </w:rPr>
        <w:t>905</w:t>
      </w:r>
      <w:r w:rsidRPr="002D7212">
        <w:rPr>
          <w:i/>
        </w:rPr>
        <w:t xml:space="preserve"> </w:t>
      </w:r>
      <w:r w:rsidRPr="002D7212">
        <w:t xml:space="preserve">[“Fundamentally, the question whether </w:t>
      </w:r>
      <w:r w:rsidRPr="002D7212">
        <w:rPr>
          <w:i/>
        </w:rPr>
        <w:t xml:space="preserve">all </w:t>
      </w:r>
      <w:r w:rsidRPr="002D7212">
        <w:t xml:space="preserve">wages have been paid is different from the issue of how an employer calculates the number of hours worked and thus </w:t>
      </w:r>
      <w:r w:rsidRPr="002D7212">
        <w:rPr>
          <w:i/>
        </w:rPr>
        <w:t>what wages are owed</w:t>
      </w:r>
      <w:r w:rsidRPr="002D7212">
        <w:t>.  Section 204 does not address the measurement issue.”].)  Thus, the court concluded</w:t>
      </w:r>
      <w:r w:rsidR="00DB2A40">
        <w:t>,</w:t>
      </w:r>
      <w:r w:rsidRPr="002D7212">
        <w:t xml:space="preserve"> the phrase “all wages” in section 204 does not bar the practice of rounding time punches.</w:t>
      </w:r>
    </w:p>
    <w:p w:rsidR="00757C4D" w:rsidP="00757C4D">
      <w:pPr>
        <w:autoSpaceDE w:val="0"/>
        <w:autoSpaceDN w:val="0"/>
        <w:adjustRightInd w:val="0"/>
      </w:pPr>
      <w:r w:rsidRPr="002D7212">
        <w:tab/>
      </w:r>
      <w:r w:rsidR="00FA7020">
        <w:t xml:space="preserve">Further, </w:t>
      </w:r>
      <w:r w:rsidRPr="005D2645">
        <w:rPr>
          <w:i/>
          <w:iCs/>
        </w:rPr>
        <w:t>See’s Candy I</w:t>
      </w:r>
      <w:r w:rsidRPr="002D7212">
        <w:t xml:space="preserve"> </w:t>
      </w:r>
      <w:r w:rsidR="00FA7020">
        <w:t>held</w:t>
      </w:r>
      <w:r w:rsidRPr="002D7212">
        <w:t xml:space="preserve"> that rounding is consistent with Labor Code section 510, subdivision (a), which provides:  “Any work in excess of eight hours in one workday and any work in excess of 40 hours in any one workweek . . . shall be compensated at the rate of no less than one and one-half times the regular rate of pay for an employee.”  </w:t>
      </w:r>
      <w:r w:rsidR="00753403">
        <w:t>T</w:t>
      </w:r>
      <w:r w:rsidRPr="002D7212">
        <w:t xml:space="preserve">he court </w:t>
      </w:r>
      <w:r w:rsidR="00753403">
        <w:t>said</w:t>
      </w:r>
      <w:r w:rsidRPr="002D7212">
        <w:t xml:space="preserve"> the provision “sets the multiplier for the rate at which ‘[a]ny’ overtime work must be paid” and “has nothing to do with rounding or calculating time.”  </w:t>
      </w:r>
      <w:r w:rsidRPr="002D7212" w:rsidR="00FA7020">
        <w:t>(</w:t>
      </w:r>
      <w:r w:rsidRPr="002D7212" w:rsidR="00FA7020">
        <w:rPr>
          <w:i/>
          <w:szCs w:val="26"/>
          <w:shd w:val="clear" w:color="auto" w:fill="FFFFFF"/>
        </w:rPr>
        <w:t>See’s Candy I</w:t>
      </w:r>
      <w:r w:rsidRPr="002D7212" w:rsidR="00FA7020">
        <w:rPr>
          <w:szCs w:val="26"/>
          <w:shd w:val="clear" w:color="auto" w:fill="FFFFFF"/>
        </w:rPr>
        <w:t xml:space="preserve">, </w:t>
      </w:r>
      <w:r w:rsidRPr="002D7212" w:rsidR="00FA7020">
        <w:rPr>
          <w:i/>
          <w:szCs w:val="26"/>
          <w:shd w:val="clear" w:color="auto" w:fill="FFFFFF"/>
        </w:rPr>
        <w:t>supra</w:t>
      </w:r>
      <w:r w:rsidRPr="002D7212" w:rsidR="00FA7020">
        <w:rPr>
          <w:szCs w:val="26"/>
          <w:shd w:val="clear" w:color="auto" w:fill="FFFFFF"/>
        </w:rPr>
        <w:t xml:space="preserve">, </w:t>
      </w:r>
      <w:r w:rsidRPr="002D7212" w:rsidR="00FA7020">
        <w:t>210 Cal.App.4th at p. 905.)</w:t>
      </w:r>
      <w:r w:rsidRPr="002D7212">
        <w:t xml:space="preserve">  </w:t>
      </w:r>
      <w:r w:rsidR="00FA7020">
        <w:t>The court also rejected t</w:t>
      </w:r>
      <w:r w:rsidRPr="002D7212">
        <w:t xml:space="preserve">he </w:t>
      </w:r>
      <w:r w:rsidR="00FA7020">
        <w:t xml:space="preserve">argument </w:t>
      </w:r>
      <w:r w:rsidRPr="002D7212">
        <w:t>that rounding can never be neutral because California law requires the compensation rate to increase after eight hours of work a day.  (</w:t>
      </w:r>
      <w:r w:rsidRPr="002D7212">
        <w:rPr>
          <w:i/>
        </w:rPr>
        <w:t xml:space="preserve">Id. </w:t>
      </w:r>
      <w:r w:rsidRPr="002D7212">
        <w:t xml:space="preserve">at pp. 905–906.)  Ultimately, </w:t>
      </w:r>
      <w:r w:rsidR="00DB2A40">
        <w:t xml:space="preserve">the court said, </w:t>
      </w:r>
      <w:r w:rsidRPr="002D7212">
        <w:t>whether California’s overtime rules render a rounding policy unfair is a factual</w:t>
      </w:r>
      <w:r w:rsidR="00DB2A40">
        <w:t>, not legal,</w:t>
      </w:r>
      <w:r w:rsidRPr="002D7212">
        <w:t xml:space="preserve"> issue.  (</w:t>
      </w:r>
      <w:r w:rsidR="00DB2A40">
        <w:rPr>
          <w:i/>
        </w:rPr>
        <w:t>Id.</w:t>
      </w:r>
      <w:r w:rsidR="00DB2A40">
        <w:t xml:space="preserve"> at p. 906.</w:t>
      </w:r>
      <w:r w:rsidRPr="002D7212">
        <w:t>)</w:t>
      </w:r>
    </w:p>
    <w:p w:rsidR="00757C4D" w:rsidP="00757C4D">
      <w:pPr>
        <w:autoSpaceDE w:val="0"/>
        <w:autoSpaceDN w:val="0"/>
        <w:adjustRightInd w:val="0"/>
        <w:ind w:firstLine="720"/>
      </w:pPr>
      <w:r>
        <w:t>S</w:t>
      </w:r>
      <w:r w:rsidRPr="002D7212">
        <w:t xml:space="preserve">ince </w:t>
      </w:r>
      <w:r w:rsidRPr="002D7212">
        <w:rPr>
          <w:i/>
        </w:rPr>
        <w:t xml:space="preserve">See’s Candy I </w:t>
      </w:r>
      <w:r w:rsidRPr="002D7212">
        <w:t xml:space="preserve">was decided, state and federal courts have applied its standard to determine whether various rounding policies are valid under California law.  (See, e.g., </w:t>
      </w:r>
      <w:r w:rsidRPr="002D7212">
        <w:rPr>
          <w:i/>
        </w:rPr>
        <w:t>David v. Queen of Valley Medical Center</w:t>
      </w:r>
      <w:r w:rsidRPr="002D7212">
        <w:t xml:space="preserve"> (2020)</w:t>
      </w:r>
      <w:r>
        <w:t xml:space="preserve"> 51 </w:t>
      </w:r>
      <w:r w:rsidRPr="002D7212">
        <w:t>Cal.App.</w:t>
      </w:r>
      <w:r>
        <w:t>5</w:t>
      </w:r>
      <w:r w:rsidRPr="002D7212">
        <w:t>th</w:t>
      </w:r>
      <w:r>
        <w:t xml:space="preserve"> 653, 664</w:t>
      </w:r>
      <w:r w:rsidRPr="002D7212">
        <w:t xml:space="preserve">; </w:t>
      </w:r>
      <w:r w:rsidRPr="002D7212">
        <w:rPr>
          <w:i/>
        </w:rPr>
        <w:t xml:space="preserve">AHMC Healthcare, Inc. v. Superior Court </w:t>
      </w:r>
      <w:r w:rsidRPr="002D7212">
        <w:t xml:space="preserve">(2018) 24 Cal.App.5th 1014, 1027–1028; </w:t>
      </w:r>
      <w:r w:rsidRPr="002D7212">
        <w:rPr>
          <w:i/>
        </w:rPr>
        <w:t xml:space="preserve">Utne v. Home Depot U.S.A., Inc. </w:t>
      </w:r>
      <w:r w:rsidRPr="002D7212">
        <w:t>(2017) (N.D.Cal. Dec. 4, 2017, No. 16-cv-01854-RS) 2017 WL 5991863,</w:t>
      </w:r>
      <w:r w:rsidR="00310096">
        <w:t xml:space="preserve"> pp.</w:t>
      </w:r>
      <w:r w:rsidR="005E1775">
        <w:t> </w:t>
      </w:r>
      <w:r w:rsidRPr="002D7212">
        <w:t xml:space="preserve">*2–*3.)  </w:t>
      </w:r>
      <w:r w:rsidRPr="002D7212">
        <w:t xml:space="preserve">This court has never decided </w:t>
      </w:r>
      <w:r>
        <w:t xml:space="preserve">the validity of </w:t>
      </w:r>
      <w:r w:rsidRPr="002D7212">
        <w:t xml:space="preserve">the rounding standard articulated in </w:t>
      </w:r>
      <w:r w:rsidRPr="002D7212">
        <w:rPr>
          <w:i/>
        </w:rPr>
        <w:t>See’s Candy I</w:t>
      </w:r>
      <w:r w:rsidRPr="002D7212">
        <w:t>, and we are not asked to do so here.</w:t>
      </w:r>
    </w:p>
    <w:p w:rsidR="00757C4D" w:rsidRPr="005D2645">
      <w:pPr>
        <w:autoSpaceDE w:val="0"/>
        <w:autoSpaceDN w:val="0"/>
        <w:adjustRightInd w:val="0"/>
        <w:ind w:firstLine="720"/>
      </w:pPr>
      <w:r>
        <w:t>But e</w:t>
      </w:r>
      <w:r>
        <w:t xml:space="preserve">ven assuming </w:t>
      </w:r>
      <w:r>
        <w:t xml:space="preserve">the validity of </w:t>
      </w:r>
      <w:r>
        <w:rPr>
          <w:i/>
          <w:iCs/>
        </w:rPr>
        <w:t>See’s Candy I</w:t>
      </w:r>
      <w:r>
        <w:t xml:space="preserve">, a rounding policy in the meal period context </w:t>
      </w:r>
      <w:r>
        <w:t xml:space="preserve">does not comport with </w:t>
      </w:r>
      <w:r>
        <w:t>its neutrality standard.</w:t>
      </w:r>
      <w:r w:rsidR="0048153E">
        <w:t xml:space="preserve">  </w:t>
      </w:r>
      <w:r>
        <w:t>As noted, failing to provide</w:t>
      </w:r>
      <w:r w:rsidR="0048153E">
        <w:t xml:space="preserve"> employees </w:t>
      </w:r>
      <w:r>
        <w:t xml:space="preserve">with full and timely </w:t>
      </w:r>
      <w:r w:rsidR="0048153E">
        <w:t xml:space="preserve">meal periods burdens their health, safety, and well-being </w:t>
      </w:r>
      <w:r w:rsidR="000E4648">
        <w:t xml:space="preserve">by aggravating risks associated </w:t>
      </w:r>
      <w:r>
        <w:t xml:space="preserve">with </w:t>
      </w:r>
      <w:r w:rsidR="000E4648">
        <w:t>stress or fatigue.</w:t>
      </w:r>
      <w:r w:rsidR="00945F0E">
        <w:t xml:space="preserve">  </w:t>
      </w:r>
      <w:r w:rsidR="0048153E">
        <w:t xml:space="preserve">By deeming </w:t>
      </w:r>
      <w:r>
        <w:t xml:space="preserve">delayed or </w:t>
      </w:r>
      <w:r w:rsidR="0048153E">
        <w:t xml:space="preserve">shortened meal breaks as “timely” and “complete” when they are not, a rounding policy erodes the health and safety protections </w:t>
      </w:r>
      <w:r>
        <w:t xml:space="preserve">that the </w:t>
      </w:r>
      <w:r w:rsidR="0048153E">
        <w:t>meal period requirements</w:t>
      </w:r>
      <w:r>
        <w:t xml:space="preserve"> are </w:t>
      </w:r>
      <w:r w:rsidR="009E3D6E">
        <w:t xml:space="preserve">intended </w:t>
      </w:r>
      <w:r>
        <w:t>to achieve</w:t>
      </w:r>
      <w:r w:rsidR="0048153E">
        <w:t>.</w:t>
      </w:r>
      <w:r w:rsidR="00E82238">
        <w:t xml:space="preserve">  (See </w:t>
      </w:r>
      <w:r w:rsidR="00E82238">
        <w:rPr>
          <w:i/>
          <w:iCs/>
        </w:rPr>
        <w:t>Murphy</w:t>
      </w:r>
      <w:r w:rsidR="00E82238">
        <w:t xml:space="preserve">, </w:t>
      </w:r>
      <w:r w:rsidR="00E82238">
        <w:rPr>
          <w:i/>
          <w:iCs/>
        </w:rPr>
        <w:t>supra</w:t>
      </w:r>
      <w:r w:rsidR="00E82238">
        <w:t>, 40 Cal.4th at p. 1113.</w:t>
      </w:r>
      <w:r w:rsidR="00B20C4A">
        <w:t xml:space="preserve">)  </w:t>
      </w:r>
      <w:r w:rsidR="003E3629">
        <w:t>Moreover</w:t>
      </w:r>
      <w:r w:rsidR="00B20C4A">
        <w:t>,</w:t>
      </w:r>
      <w:r>
        <w:t xml:space="preserve"> in articulating its standard, </w:t>
      </w:r>
      <w:r>
        <w:rPr>
          <w:i/>
        </w:rPr>
        <w:t>See’s Candy I</w:t>
      </w:r>
      <w:r>
        <w:t xml:space="preserve"> reasoned</w:t>
      </w:r>
      <w:r w:rsidRPr="002D7212">
        <w:t xml:space="preserve"> that the rounding policy “ ‘averages out’ ” and “employees are fully compensated ‘over a period of time.’ ”  (</w:t>
      </w:r>
      <w:r w:rsidRPr="008810D1">
        <w:rPr>
          <w:i/>
          <w:iCs/>
        </w:rPr>
        <w:t>See’s Candy I</w:t>
      </w:r>
      <w:r>
        <w:t xml:space="preserve">, </w:t>
      </w:r>
      <w:r w:rsidRPr="008810D1">
        <w:rPr>
          <w:i/>
          <w:iCs/>
        </w:rPr>
        <w:t>supra</w:t>
      </w:r>
      <w:r>
        <w:t>, 210 Cal.App.4th at p. 901.)</w:t>
      </w:r>
      <w:r w:rsidRPr="00330C65">
        <w:t xml:space="preserve"> </w:t>
      </w:r>
      <w:r>
        <w:t xml:space="preserve"> </w:t>
      </w:r>
      <w:r w:rsidRPr="002D7212">
        <w:t>In the meal period context,</w:t>
      </w:r>
      <w:r>
        <w:t xml:space="preserve"> however,</w:t>
      </w:r>
      <w:r w:rsidRPr="002D7212">
        <w:t xml:space="preserve"> </w:t>
      </w:r>
      <w:r w:rsidR="001B3AB7">
        <w:t xml:space="preserve">there is an </w:t>
      </w:r>
      <w:r>
        <w:t xml:space="preserve">asymmetry between </w:t>
      </w:r>
      <w:r w:rsidR="001B3AB7">
        <w:t xml:space="preserve">the treatment of </w:t>
      </w:r>
      <w:r>
        <w:t>rounded-up minutes (</w:t>
      </w:r>
      <w:r w:rsidR="001B3AB7">
        <w:t>i.e.</w:t>
      </w:r>
      <w:r>
        <w:t>, time not worked that</w:t>
      </w:r>
      <w:r w:rsidR="001B3AB7">
        <w:t xml:space="preserve"> is</w:t>
      </w:r>
      <w:r>
        <w:t xml:space="preserve"> compensated with regular pay)</w:t>
      </w:r>
      <w:r w:rsidR="001B3AB7">
        <w:t xml:space="preserve"> and</w:t>
      </w:r>
      <w:r w:rsidRPr="001B3AB7" w:rsidR="001B3AB7">
        <w:t xml:space="preserve"> </w:t>
      </w:r>
      <w:r w:rsidR="001B3AB7">
        <w:t>the treatment of rounded-down minutes (i.e., time worked that may trigger premium pay)</w:t>
      </w:r>
      <w:r>
        <w:t>.</w:t>
      </w:r>
    </w:p>
    <w:p w:rsidR="00757C4D" w:rsidRPr="002D7212" w:rsidP="00757C4D">
      <w:pPr>
        <w:autoSpaceDE w:val="0"/>
        <w:autoSpaceDN w:val="0"/>
        <w:adjustRightInd w:val="0"/>
        <w:ind w:firstLine="720"/>
      </w:pPr>
      <w:r>
        <w:t xml:space="preserve">As noted, under </w:t>
      </w:r>
      <w:r w:rsidRPr="002D7212">
        <w:t>AMN</w:t>
      </w:r>
      <w:r>
        <w:t>’s</w:t>
      </w:r>
      <w:r w:rsidRPr="002D7212">
        <w:t xml:space="preserve"> policy, a 21-minute lunch from 12:04 p.m. to 12:25 p.m. would be recorded as a 30-minute lunch from 12:00 p.m. to 12:30 p.m.  </w:t>
      </w:r>
      <w:r>
        <w:t>Meanwhile</w:t>
      </w:r>
      <w:r w:rsidRPr="002D7212">
        <w:t xml:space="preserve">, a 38-minute lunch from 11:55 a.m. to 12:33 p.m. would be recorded as a 30-minute lunch from 12:00 p.m. to 12:30 p.m.  This means that </w:t>
      </w:r>
      <w:r>
        <w:t>the</w:t>
      </w:r>
      <w:r w:rsidRPr="002D7212">
        <w:t xml:space="preserve"> rounding policy</w:t>
      </w:r>
      <w:r>
        <w:t>, while</w:t>
      </w:r>
      <w:r w:rsidRPr="002D7212">
        <w:t xml:space="preserve"> never trigger</w:t>
      </w:r>
      <w:r>
        <w:t>ing</w:t>
      </w:r>
      <w:r w:rsidRPr="002D7212">
        <w:t xml:space="preserve"> premium pay for compliant meal periods, does not always trigger premium pay for noncompliant meal periods.  </w:t>
      </w:r>
      <w:r>
        <w:t xml:space="preserve">The </w:t>
      </w:r>
      <w:r w:rsidR="00282063">
        <w:t xml:space="preserve">same concern applies to the </w:t>
      </w:r>
      <w:r>
        <w:t>timing of meal periods</w:t>
      </w:r>
      <w:r w:rsidR="00282063">
        <w:t xml:space="preserve">; the policy never triggers premium pay for early or on-time meal periods, but </w:t>
      </w:r>
      <w:r w:rsidR="003E3629">
        <w:t xml:space="preserve">it </w:t>
      </w:r>
      <w:r w:rsidR="00282063">
        <w:t>does not always trigger premium pay for meal periods that are improperly delayed.</w:t>
      </w:r>
    </w:p>
    <w:p w:rsidR="00507734" w:rsidRPr="002D7212">
      <w:pPr>
        <w:autoSpaceDE w:val="0"/>
        <w:autoSpaceDN w:val="0"/>
        <w:adjustRightInd w:val="0"/>
        <w:ind w:firstLine="720"/>
        <w:rPr>
          <w:szCs w:val="26"/>
        </w:rPr>
      </w:pPr>
      <w:r w:rsidRPr="002D7212">
        <w:t xml:space="preserve">AMN argues that its rounding policy was neutral over time because it sometimes paid employees for a few extra minutes that they did not work and sometimes did not pay them for a few minutes that they did work.  AMN </w:t>
      </w:r>
      <w:r w:rsidR="00553E60">
        <w:t xml:space="preserve">asserts that </w:t>
      </w:r>
      <w:r w:rsidRPr="002D7212">
        <w:t>the policy slightly overcompensated the class as a whole.  But this argument does not properly account for the underpayment of premium pay.  I</w:t>
      </w:r>
      <w:r w:rsidR="00064B7F">
        <w:t>t is true that i</w:t>
      </w:r>
      <w:r w:rsidRPr="002D7212">
        <w:t xml:space="preserve">n the </w:t>
      </w:r>
      <w:r w:rsidR="00064B7F">
        <w:t xml:space="preserve">38-minute lunch </w:t>
      </w:r>
      <w:r w:rsidRPr="002D7212">
        <w:t xml:space="preserve">example above, </w:t>
      </w:r>
      <w:r w:rsidR="00064B7F">
        <w:t xml:space="preserve">the rounding policy would count the extra </w:t>
      </w:r>
      <w:r w:rsidRPr="002D7212">
        <w:t xml:space="preserve">eight minutes </w:t>
      </w:r>
      <w:r w:rsidR="00064B7F">
        <w:t xml:space="preserve">of lunch </w:t>
      </w:r>
      <w:r w:rsidRPr="002D7212">
        <w:t xml:space="preserve">as work time </w:t>
      </w:r>
      <w:r w:rsidR="00064B7F">
        <w:t xml:space="preserve">and would trigger regular pay for those eight minutes.  But in </w:t>
      </w:r>
      <w:r w:rsidRPr="002D7212" w:rsidR="00064B7F">
        <w:rPr>
          <w:szCs w:val="26"/>
        </w:rPr>
        <w:t>the 21-minute lunch</w:t>
      </w:r>
      <w:r w:rsidRPr="002D7212" w:rsidR="00064B7F">
        <w:t xml:space="preserve"> </w:t>
      </w:r>
      <w:r w:rsidR="00064B7F">
        <w:t xml:space="preserve">example, the rounding policy does not trigger the </w:t>
      </w:r>
      <w:r w:rsidRPr="002D7212">
        <w:t>“</w:t>
      </w:r>
      <w:r w:rsidRPr="002D7212">
        <w:rPr>
          <w:szCs w:val="26"/>
        </w:rPr>
        <w:t xml:space="preserve">one additional hour of </w:t>
      </w:r>
      <w:r w:rsidR="00064B7F">
        <w:rPr>
          <w:szCs w:val="26"/>
        </w:rPr>
        <w:t xml:space="preserve">[regular] </w:t>
      </w:r>
      <w:r w:rsidRPr="002D7212">
        <w:rPr>
          <w:szCs w:val="26"/>
        </w:rPr>
        <w:t>pay” (</w:t>
      </w:r>
      <w:r w:rsidRPr="002D7212">
        <w:t xml:space="preserve">Lab. Code, § 226.7, subd. (c); Wage Order No. 4, </w:t>
      </w:r>
      <w:r w:rsidR="00D9463A">
        <w:rPr>
          <w:szCs w:val="26"/>
        </w:rPr>
        <w:t>§</w:t>
      </w:r>
      <w:r w:rsidRPr="002D7212">
        <w:rPr>
          <w:szCs w:val="26"/>
        </w:rPr>
        <w:t> 11(B))</w:t>
      </w:r>
      <w:r w:rsidR="00064B7F">
        <w:rPr>
          <w:szCs w:val="26"/>
        </w:rPr>
        <w:t xml:space="preserve"> that the employee is owed.  In this respect, the rounding policy is not neutral.</w:t>
      </w:r>
      <w:r w:rsidR="00485E34">
        <w:rPr>
          <w:szCs w:val="26"/>
        </w:rPr>
        <w:t xml:space="preserve">  It </w:t>
      </w:r>
      <w:r w:rsidRPr="002D7212" w:rsidR="00485E34">
        <w:t xml:space="preserve">never </w:t>
      </w:r>
      <w:r w:rsidR="00485E34">
        <w:t>provides</w:t>
      </w:r>
      <w:r w:rsidRPr="002D7212" w:rsidR="00485E34">
        <w:t xml:space="preserve"> employees with premium pay when </w:t>
      </w:r>
      <w:r w:rsidR="00485E34">
        <w:t xml:space="preserve">such pay is not owed, but it </w:t>
      </w:r>
      <w:r w:rsidRPr="002D7212" w:rsidR="00485E34">
        <w:t xml:space="preserve">does not </w:t>
      </w:r>
      <w:r w:rsidR="00485E34">
        <w:t xml:space="preserve">always </w:t>
      </w:r>
      <w:r w:rsidRPr="002D7212" w:rsidR="00485E34">
        <w:t xml:space="preserve">trigger premium pay when </w:t>
      </w:r>
      <w:r w:rsidR="00485E34">
        <w:t>such pay is owed</w:t>
      </w:r>
      <w:r w:rsidRPr="002D7212" w:rsidR="00485E34">
        <w:t>.</w:t>
      </w:r>
    </w:p>
    <w:p w:rsidR="00A41E08" w:rsidRPr="002D7212" w:rsidP="002D7212">
      <w:pPr>
        <w:autoSpaceDE w:val="0"/>
        <w:autoSpaceDN w:val="0"/>
        <w:adjustRightInd w:val="0"/>
        <w:ind w:firstLine="720"/>
      </w:pPr>
      <w:r w:rsidRPr="002D7212">
        <w:t xml:space="preserve">We recognize that </w:t>
      </w:r>
      <w:r w:rsidRPr="002D7212" w:rsidR="00FD02CA">
        <w:t>rounding was developed</w:t>
      </w:r>
      <w:r w:rsidRPr="002D7212" w:rsidR="00C24E2F">
        <w:t xml:space="preserve"> </w:t>
      </w:r>
      <w:r w:rsidRPr="002D7212" w:rsidR="00B131F9">
        <w:t xml:space="preserve">as a means of “efficiently </w:t>
      </w:r>
      <w:r w:rsidRPr="002D7212" w:rsidR="00E63D4A">
        <w:t>calculat</w:t>
      </w:r>
      <w:r w:rsidRPr="002D7212" w:rsidR="00B131F9">
        <w:t>[ing] hours worked”</w:t>
      </w:r>
      <w:r w:rsidRPr="002D7212" w:rsidR="00E63D4A">
        <w:t xml:space="preserve"> and </w:t>
      </w:r>
      <w:r w:rsidRPr="002D7212" w:rsidR="00373B17">
        <w:t xml:space="preserve">wages owed </w:t>
      </w:r>
      <w:r w:rsidRPr="002D7212" w:rsidR="007F0761">
        <w:t xml:space="preserve">to employees </w:t>
      </w:r>
      <w:r w:rsidRPr="002D7212" w:rsidR="00B131F9">
        <w:t>(</w:t>
      </w:r>
      <w:r w:rsidRPr="002D7212" w:rsidR="00B131F9">
        <w:rPr>
          <w:i/>
          <w:szCs w:val="26"/>
          <w:shd w:val="clear" w:color="auto" w:fill="FFFFFF"/>
        </w:rPr>
        <w:t>See’s Candy I</w:t>
      </w:r>
      <w:r w:rsidRPr="002D7212" w:rsidR="00B131F9">
        <w:rPr>
          <w:szCs w:val="26"/>
          <w:shd w:val="clear" w:color="auto" w:fill="FFFFFF"/>
        </w:rPr>
        <w:t xml:space="preserve">, </w:t>
      </w:r>
      <w:r w:rsidRPr="002D7212" w:rsidR="00B131F9">
        <w:rPr>
          <w:i/>
          <w:szCs w:val="26"/>
          <w:shd w:val="clear" w:color="auto" w:fill="FFFFFF"/>
        </w:rPr>
        <w:t>supra</w:t>
      </w:r>
      <w:r w:rsidRPr="002D7212" w:rsidR="00B131F9">
        <w:rPr>
          <w:szCs w:val="26"/>
          <w:shd w:val="clear" w:color="auto" w:fill="FFFFFF"/>
        </w:rPr>
        <w:t xml:space="preserve">, </w:t>
      </w:r>
      <w:r w:rsidRPr="002D7212" w:rsidR="00B131F9">
        <w:t>210 Cal.App.4th</w:t>
      </w:r>
      <w:r w:rsidRPr="002D7212" w:rsidR="00B131F9">
        <w:rPr>
          <w:i/>
        </w:rPr>
        <w:t xml:space="preserve"> </w:t>
      </w:r>
      <w:r w:rsidRPr="002D7212" w:rsidR="00B131F9">
        <w:t>at p. 903</w:t>
      </w:r>
      <w:r w:rsidRPr="002D7212" w:rsidR="007F0761">
        <w:t xml:space="preserve">) and is </w:t>
      </w:r>
      <w:r w:rsidRPr="002D7212" w:rsidR="003E4672">
        <w:t xml:space="preserve">useful </w:t>
      </w:r>
      <w:r w:rsidRPr="002D7212" w:rsidR="00D80741">
        <w:t>“in some industries, particul</w:t>
      </w:r>
      <w:r w:rsidRPr="002D7212" w:rsidR="00D055D9">
        <w:t>arly where time clocks are used”</w:t>
      </w:r>
      <w:r w:rsidRPr="002D7212" w:rsidR="00D80741">
        <w:t xml:space="preserve"> (29 C.F.R. § 785.48(b)</w:t>
      </w:r>
      <w:r w:rsidRPr="002D7212" w:rsidR="00D52CFE">
        <w:t xml:space="preserve"> </w:t>
      </w:r>
      <w:r w:rsidRPr="002D7212" w:rsidR="00D80741">
        <w:t>(2020)</w:t>
      </w:r>
      <w:r w:rsidRPr="002D7212" w:rsidR="00645007">
        <w:t>)</w:t>
      </w:r>
      <w:r w:rsidRPr="002D7212" w:rsidR="00D055D9">
        <w:t>.</w:t>
      </w:r>
      <w:r w:rsidRPr="002D7212" w:rsidR="00645007">
        <w:t xml:space="preserve">  But</w:t>
      </w:r>
      <w:r w:rsidRPr="002D7212" w:rsidR="00BB75B0">
        <w:t xml:space="preserve"> technological advances may help </w:t>
      </w:r>
      <w:r w:rsidRPr="002D7212" w:rsidR="00725638">
        <w:t>employ</w:t>
      </w:r>
      <w:r w:rsidRPr="002D7212" w:rsidR="00DB5B22">
        <w:t xml:space="preserve">ers </w:t>
      </w:r>
      <w:r w:rsidRPr="002D7212" w:rsidR="00767764">
        <w:t xml:space="preserve">to </w:t>
      </w:r>
      <w:r w:rsidRPr="002D7212" w:rsidR="00DB5B22">
        <w:t>track time more precisely</w:t>
      </w:r>
      <w:r w:rsidR="001024CB">
        <w:t>, and “employers are in a better position than employees to devise alternatives</w:t>
      </w:r>
      <w:r w:rsidRPr="002D7212" w:rsidR="00DB5B22">
        <w:t>.</w:t>
      </w:r>
      <w:r w:rsidR="001024CB">
        <w:t>”</w:t>
      </w:r>
      <w:r w:rsidRPr="002D7212" w:rsidR="000E7CA8">
        <w:t xml:space="preserve"> </w:t>
      </w:r>
      <w:r w:rsidRPr="002D7212" w:rsidR="00DB5B22">
        <w:t xml:space="preserve"> </w:t>
      </w:r>
      <w:r w:rsidRPr="002D7212" w:rsidR="000E7CA8">
        <w:t>(</w:t>
      </w:r>
      <w:r w:rsidRPr="002D7212" w:rsidR="000E7CA8">
        <w:rPr>
          <w:i/>
        </w:rPr>
        <w:t>Troester</w:t>
      </w:r>
      <w:r w:rsidRPr="002D7212" w:rsidR="000E7CA8">
        <w:t xml:space="preserve">, </w:t>
      </w:r>
      <w:r w:rsidRPr="002D7212" w:rsidR="000E7CA8">
        <w:rPr>
          <w:i/>
        </w:rPr>
        <w:t>supra</w:t>
      </w:r>
      <w:r w:rsidRPr="002D7212" w:rsidR="00BA4827">
        <w:t>, 5 Cal.5th at p. 848</w:t>
      </w:r>
      <w:r w:rsidRPr="002D7212" w:rsidR="000E7CA8">
        <w:t>.)</w:t>
      </w:r>
      <w:r w:rsidRPr="002D7212" w:rsidR="00A91667">
        <w:t xml:space="preserve">  </w:t>
      </w:r>
      <w:r w:rsidRPr="002D7212" w:rsidR="00F915AF">
        <w:t xml:space="preserve">In this case, </w:t>
      </w:r>
      <w:r w:rsidRPr="002D7212" w:rsidR="008135D7">
        <w:t>AMN</w:t>
      </w:r>
      <w:r w:rsidRPr="002D7212" w:rsidR="0052318E">
        <w:t xml:space="preserve"> was already </w:t>
      </w:r>
      <w:r w:rsidRPr="002D7212" w:rsidR="000E4D94">
        <w:t>using an el</w:t>
      </w:r>
      <w:r w:rsidRPr="002D7212" w:rsidR="002820CD">
        <w:t>ectronic time</w:t>
      </w:r>
      <w:r w:rsidRPr="002D7212" w:rsidR="00B336B9">
        <w:t>keeping system, Team Time, that</w:t>
      </w:r>
      <w:r w:rsidRPr="002D7212" w:rsidR="000E4D94">
        <w:t xml:space="preserve"> </w:t>
      </w:r>
      <w:r w:rsidRPr="002D7212" w:rsidR="00543AA7">
        <w:t xml:space="preserve">recorded </w:t>
      </w:r>
      <w:r w:rsidRPr="002D7212" w:rsidR="00C430CC">
        <w:t xml:space="preserve">employees’ unrounded time punches.  </w:t>
      </w:r>
      <w:r w:rsidRPr="002D7212" w:rsidR="00953E89">
        <w:t xml:space="preserve">The system could have </w:t>
      </w:r>
      <w:r w:rsidRPr="002D7212" w:rsidR="00D20237">
        <w:t xml:space="preserve">kept track of potentially noncompliant meal periods using those unrounded time punches instead of </w:t>
      </w:r>
      <w:r w:rsidRPr="002D7212" w:rsidR="00E80225">
        <w:t xml:space="preserve">rounding </w:t>
      </w:r>
      <w:r w:rsidRPr="002D7212" w:rsidR="00E24903">
        <w:t>the punches to the nearest 10</w:t>
      </w:r>
      <w:r w:rsidRPr="002D7212" w:rsidR="00A06B9D">
        <w:t xml:space="preserve">-minute increment.  </w:t>
      </w:r>
      <w:r w:rsidRPr="002D7212" w:rsidR="004C50D5">
        <w:t xml:space="preserve">As Donohue </w:t>
      </w:r>
      <w:r w:rsidRPr="002D7212" w:rsidR="00687E16">
        <w:t>observe</w:t>
      </w:r>
      <w:r w:rsidRPr="002D7212" w:rsidR="00A41EB8">
        <w:t>s</w:t>
      </w:r>
      <w:r w:rsidRPr="002D7212" w:rsidR="00687E16">
        <w:t xml:space="preserve">, </w:t>
      </w:r>
      <w:r w:rsidRPr="002D7212" w:rsidR="002820CD">
        <w:t>T</w:t>
      </w:r>
      <w:r w:rsidRPr="002D7212" w:rsidR="00C7171F">
        <w:t xml:space="preserve">eam Time </w:t>
      </w:r>
      <w:r w:rsidRPr="002D7212" w:rsidR="00DB0E9F">
        <w:t xml:space="preserve">actually had to take the </w:t>
      </w:r>
      <w:r w:rsidRPr="002D7212" w:rsidR="00360865">
        <w:t xml:space="preserve">extra step </w:t>
      </w:r>
      <w:r w:rsidRPr="002D7212" w:rsidR="00E55BF0">
        <w:t xml:space="preserve">of </w:t>
      </w:r>
      <w:r w:rsidRPr="002D7212" w:rsidR="0018139C">
        <w:t>convert</w:t>
      </w:r>
      <w:r w:rsidRPr="002D7212" w:rsidR="00E55BF0">
        <w:t>ing</w:t>
      </w:r>
      <w:r w:rsidRPr="002D7212" w:rsidR="0018139C">
        <w:t xml:space="preserve"> the unround</w:t>
      </w:r>
      <w:r w:rsidRPr="002D7212" w:rsidR="00010B61">
        <w:t>ed time punches to rounded ones</w:t>
      </w:r>
      <w:r w:rsidRPr="002D7212" w:rsidR="00A41EB8">
        <w:t>;</w:t>
      </w:r>
      <w:r w:rsidRPr="002D7212" w:rsidR="00010B61">
        <w:t xml:space="preserve"> it is not clear </w:t>
      </w:r>
      <w:r w:rsidRPr="002D7212" w:rsidR="009F4F37">
        <w:t xml:space="preserve">what efficiencies were gained </w:t>
      </w:r>
      <w:r w:rsidRPr="002D7212" w:rsidR="003053EF">
        <w:t>from this practice.</w:t>
      </w:r>
      <w:r w:rsidR="00E2681F">
        <w:t xml:space="preserve">  </w:t>
      </w:r>
      <w:r w:rsidRPr="002D7212" w:rsidR="00DE0198">
        <w:t xml:space="preserve">AMN </w:t>
      </w:r>
      <w:r w:rsidRPr="002D7212" w:rsidR="00377F9D">
        <w:t xml:space="preserve">eventually </w:t>
      </w:r>
      <w:r w:rsidRPr="002D7212" w:rsidR="00A71743">
        <w:t>switched to a new timekeeping system</w:t>
      </w:r>
      <w:r w:rsidRPr="002D7212" w:rsidR="00E86FD2">
        <w:t xml:space="preserve"> that does not round </w:t>
      </w:r>
      <w:r w:rsidRPr="002D7212" w:rsidR="00AF016B">
        <w:t xml:space="preserve">time punches </w:t>
      </w:r>
      <w:r w:rsidRPr="002D7212" w:rsidR="00021F56">
        <w:t xml:space="preserve">after this </w:t>
      </w:r>
      <w:r w:rsidRPr="002D7212" w:rsidR="00BF0EF1">
        <w:t>lawsuit was filed.</w:t>
      </w:r>
      <w:r w:rsidRPr="002D7212" w:rsidR="00AD5FDB">
        <w:t xml:space="preserve">  </w:t>
      </w:r>
      <w:r w:rsidRPr="002D7212" w:rsidR="00464760">
        <w:t xml:space="preserve">As technology continues to evolve, </w:t>
      </w:r>
      <w:r w:rsidRPr="002D7212" w:rsidR="007B3BD3">
        <w:t xml:space="preserve">the practical advantages of rounding policies </w:t>
      </w:r>
      <w:r w:rsidRPr="002D7212" w:rsidR="00A41EB8">
        <w:t xml:space="preserve">may </w:t>
      </w:r>
      <w:r w:rsidRPr="002D7212" w:rsidR="00DA1EF9">
        <w:t xml:space="preserve">diminish </w:t>
      </w:r>
      <w:r w:rsidRPr="002D7212" w:rsidR="00A41EB8">
        <w:t>further</w:t>
      </w:r>
      <w:r w:rsidRPr="002D7212" w:rsidR="0091122C">
        <w:t xml:space="preserve">.  </w:t>
      </w:r>
    </w:p>
    <w:p w:rsidR="0092382A" w:rsidRPr="002D7212" w:rsidP="00463703">
      <w:pPr>
        <w:keepNext/>
        <w:tabs>
          <w:tab w:val="left" w:pos="1440"/>
        </w:tabs>
        <w:jc w:val="center"/>
        <w:rPr>
          <w:b/>
        </w:rPr>
      </w:pPr>
      <w:r w:rsidRPr="002D7212">
        <w:rPr>
          <w:b/>
        </w:rPr>
        <w:t>I</w:t>
      </w:r>
      <w:r w:rsidRPr="002D7212" w:rsidR="00706529">
        <w:rPr>
          <w:b/>
        </w:rPr>
        <w:t>II.</w:t>
      </w:r>
    </w:p>
    <w:p w:rsidR="00EA03AF" w:rsidRPr="002D7212" w:rsidP="00463703">
      <w:pPr>
        <w:keepNext/>
        <w:ind w:firstLine="720"/>
      </w:pPr>
      <w:r>
        <w:t>W</w:t>
      </w:r>
      <w:r w:rsidRPr="002D7212" w:rsidR="0010741E">
        <w:t>e</w:t>
      </w:r>
      <w:r>
        <w:t xml:space="preserve"> now </w:t>
      </w:r>
      <w:r w:rsidRPr="002D7212" w:rsidR="0010741E">
        <w:t>consider whether</w:t>
      </w:r>
      <w:r w:rsidRPr="002D7212" w:rsidR="00CA2FA1">
        <w:t xml:space="preserve"> </w:t>
      </w:r>
      <w:r w:rsidRPr="002D7212" w:rsidR="00F61FDF">
        <w:t xml:space="preserve">time records showing </w:t>
      </w:r>
      <w:r w:rsidRPr="002D7212" w:rsidR="000731F8">
        <w:t xml:space="preserve">noncompliant meal periods raise a rebuttable presumption of meal </w:t>
      </w:r>
      <w:r w:rsidRPr="002D7212" w:rsidR="002E1F64">
        <w:t>period violations</w:t>
      </w:r>
      <w:r w:rsidRPr="002D7212" w:rsidR="004B572C">
        <w:t xml:space="preserve"> at summary judgment</w:t>
      </w:r>
      <w:r w:rsidRPr="002D7212" w:rsidR="00E977C6">
        <w:t xml:space="preserve">.  </w:t>
      </w:r>
      <w:r w:rsidR="001962AE">
        <w:t>W</w:t>
      </w:r>
      <w:r w:rsidRPr="002D7212" w:rsidR="00E977C6">
        <w:t>e hold they do.</w:t>
      </w:r>
    </w:p>
    <w:p w:rsidR="00504288" w:rsidRPr="002D7212" w:rsidP="00F0486E">
      <w:pPr>
        <w:ind w:firstLine="720"/>
        <w:rPr>
          <w:szCs w:val="26"/>
        </w:rPr>
      </w:pPr>
      <w:r w:rsidRPr="002D7212">
        <w:rPr>
          <w:szCs w:val="26"/>
        </w:rPr>
        <w:t xml:space="preserve">This rebuttable presumption was first discussed in Justice Werdegar’s concurrence in </w:t>
      </w:r>
      <w:r w:rsidRPr="002D7212">
        <w:rPr>
          <w:i/>
          <w:szCs w:val="26"/>
        </w:rPr>
        <w:t>Brinker</w:t>
      </w:r>
      <w:r w:rsidRPr="002D7212" w:rsidR="00B85308">
        <w:rPr>
          <w:szCs w:val="26"/>
        </w:rPr>
        <w:t>:</w:t>
      </w:r>
      <w:r w:rsidR="00B54873">
        <w:rPr>
          <w:szCs w:val="26"/>
        </w:rPr>
        <w:t>  </w:t>
      </w:r>
      <w:r w:rsidRPr="002D7212" w:rsidR="00B85308">
        <w:rPr>
          <w:szCs w:val="26"/>
        </w:rPr>
        <w:t>“Employers covered by Industrial Welfare Commission (IWC) wage order No.</w:t>
      </w:r>
      <w:r w:rsidR="002D0B05">
        <w:rPr>
          <w:szCs w:val="26"/>
        </w:rPr>
        <w:t> </w:t>
      </w:r>
      <w:r w:rsidRPr="002D7212" w:rsidR="00B85308">
        <w:rPr>
          <w:szCs w:val="26"/>
        </w:rPr>
        <w:t>5-2001 (Cal. Code Regs., tit.</w:t>
      </w:r>
      <w:r w:rsidR="002D0B05">
        <w:rPr>
          <w:szCs w:val="26"/>
        </w:rPr>
        <w:t> </w:t>
      </w:r>
      <w:r w:rsidRPr="002D7212" w:rsidR="00B85308">
        <w:rPr>
          <w:szCs w:val="26"/>
        </w:rPr>
        <w:t>8, §</w:t>
      </w:r>
      <w:r w:rsidR="002D0B05">
        <w:rPr>
          <w:szCs w:val="26"/>
        </w:rPr>
        <w:t> </w:t>
      </w:r>
      <w:r w:rsidRPr="002D7212" w:rsidR="00B85308">
        <w:rPr>
          <w:szCs w:val="26"/>
        </w:rPr>
        <w:t>11050) have an obligation both to relieve their employees for at least one meal period for shifts over five hours (</w:t>
      </w:r>
      <w:r w:rsidRPr="002D7212" w:rsidR="00B85308">
        <w:rPr>
          <w:i/>
          <w:szCs w:val="26"/>
        </w:rPr>
        <w:t>id.</w:t>
      </w:r>
      <w:r w:rsidRPr="002D7212" w:rsidR="00B85308">
        <w:rPr>
          <w:szCs w:val="26"/>
        </w:rPr>
        <w:t>, subd.</w:t>
      </w:r>
      <w:r w:rsidR="002D0B05">
        <w:rPr>
          <w:szCs w:val="26"/>
        </w:rPr>
        <w:t> </w:t>
      </w:r>
      <w:r w:rsidRPr="002D7212" w:rsidR="00B85308">
        <w:rPr>
          <w:szCs w:val="26"/>
        </w:rPr>
        <w:t xml:space="preserve">11(A)) </w:t>
      </w:r>
      <w:r w:rsidRPr="00463703" w:rsidR="00B85308">
        <w:rPr>
          <w:i/>
          <w:iCs/>
          <w:szCs w:val="26"/>
        </w:rPr>
        <w:t>and</w:t>
      </w:r>
      <w:r w:rsidRPr="002D7212" w:rsidR="00B85308">
        <w:rPr>
          <w:szCs w:val="26"/>
        </w:rPr>
        <w:t xml:space="preserve"> to record having done so (</w:t>
      </w:r>
      <w:r w:rsidRPr="002D7212" w:rsidR="00B85308">
        <w:rPr>
          <w:i/>
          <w:szCs w:val="26"/>
        </w:rPr>
        <w:t>id.</w:t>
      </w:r>
      <w:r w:rsidRPr="002D7212" w:rsidR="004607DA">
        <w:rPr>
          <w:szCs w:val="26"/>
        </w:rPr>
        <w:t>, subd.</w:t>
      </w:r>
      <w:r w:rsidR="002D0B05">
        <w:rPr>
          <w:szCs w:val="26"/>
        </w:rPr>
        <w:t> </w:t>
      </w:r>
      <w:r w:rsidRPr="002D7212" w:rsidR="004607DA">
        <w:rPr>
          <w:szCs w:val="26"/>
        </w:rPr>
        <w:t>7(A)(3) [‘</w:t>
      </w:r>
      <w:r w:rsidRPr="002D7212" w:rsidR="00B85308">
        <w:rPr>
          <w:szCs w:val="26"/>
        </w:rPr>
        <w:t>Meal</w:t>
      </w:r>
      <w:r w:rsidRPr="002D7212" w:rsidR="000C247F">
        <w:rPr>
          <w:szCs w:val="26"/>
        </w:rPr>
        <w:t xml:space="preserve"> </w:t>
      </w:r>
      <w:r w:rsidRPr="002D7212" w:rsidR="00B85308">
        <w:rPr>
          <w:szCs w:val="26"/>
        </w:rPr>
        <w:t>periods .</w:t>
      </w:r>
      <w:r w:rsidR="002D0B05">
        <w:rPr>
          <w:szCs w:val="26"/>
        </w:rPr>
        <w:t> </w:t>
      </w:r>
      <w:r w:rsidRPr="002D7212" w:rsidR="00B85308">
        <w:rPr>
          <w:szCs w:val="26"/>
        </w:rPr>
        <w:t>.</w:t>
      </w:r>
      <w:r w:rsidR="002D0B05">
        <w:rPr>
          <w:szCs w:val="26"/>
        </w:rPr>
        <w:t> </w:t>
      </w:r>
      <w:r w:rsidRPr="002D7212" w:rsidR="00B85308">
        <w:rPr>
          <w:szCs w:val="26"/>
        </w:rPr>
        <w:t>. shall also be rec</w:t>
      </w:r>
      <w:r w:rsidRPr="002D7212" w:rsidR="004607DA">
        <w:rPr>
          <w:szCs w:val="26"/>
        </w:rPr>
        <w:t>orded.’</w:t>
      </w:r>
      <w:r w:rsidRPr="002D7212" w:rsidR="00B85308">
        <w:rPr>
          <w:szCs w:val="26"/>
        </w:rPr>
        <w:t xml:space="preserve">]). </w:t>
      </w:r>
      <w:r w:rsidRPr="002D7212" w:rsidR="000C247F">
        <w:rPr>
          <w:szCs w:val="26"/>
        </w:rPr>
        <w:t xml:space="preserve"> </w:t>
      </w:r>
      <w:r w:rsidRPr="002D7212" w:rsidR="00B85308">
        <w:rPr>
          <w:szCs w:val="26"/>
        </w:rPr>
        <w:t>If an employer’s records show no meal</w:t>
      </w:r>
      <w:r w:rsidRPr="002D7212" w:rsidR="000208DF">
        <w:rPr>
          <w:szCs w:val="26"/>
        </w:rPr>
        <w:t xml:space="preserve"> </w:t>
      </w:r>
      <w:r w:rsidRPr="002D7212" w:rsidR="00B85308">
        <w:rPr>
          <w:szCs w:val="26"/>
        </w:rPr>
        <w:t>period for a given shift over five hours, a rebuttable presumption arises that</w:t>
      </w:r>
      <w:r w:rsidRPr="002D7212" w:rsidR="000208DF">
        <w:rPr>
          <w:szCs w:val="26"/>
        </w:rPr>
        <w:t xml:space="preserve"> </w:t>
      </w:r>
      <w:r w:rsidRPr="002D7212" w:rsidR="00B85308">
        <w:rPr>
          <w:szCs w:val="26"/>
        </w:rPr>
        <w:t>the employee was not relieved of duty and no meal period was provided.</w:t>
      </w:r>
      <w:r w:rsidRPr="002D7212" w:rsidR="000208DF">
        <w:rPr>
          <w:szCs w:val="26"/>
        </w:rPr>
        <w:t xml:space="preserve"> </w:t>
      </w:r>
      <w:r w:rsidRPr="002D7212" w:rsidR="00B85308">
        <w:rPr>
          <w:szCs w:val="26"/>
        </w:rPr>
        <w:t xml:space="preserve"> This</w:t>
      </w:r>
      <w:r w:rsidRPr="002D7212" w:rsidR="000208DF">
        <w:rPr>
          <w:szCs w:val="26"/>
        </w:rPr>
        <w:t xml:space="preserve"> </w:t>
      </w:r>
      <w:r w:rsidRPr="002D7212" w:rsidR="00B85308">
        <w:rPr>
          <w:szCs w:val="26"/>
        </w:rPr>
        <w:t>is consistent with the policy underlying the meal period recording requirement,</w:t>
      </w:r>
      <w:r w:rsidRPr="002D7212" w:rsidR="000208DF">
        <w:rPr>
          <w:szCs w:val="26"/>
        </w:rPr>
        <w:t xml:space="preserve"> </w:t>
      </w:r>
      <w:r w:rsidRPr="002D7212" w:rsidR="00B85308">
        <w:rPr>
          <w:szCs w:val="26"/>
        </w:rPr>
        <w:t>which was inserted in the IWC’s various wage orders to permit</w:t>
      </w:r>
      <w:r w:rsidRPr="002D7212" w:rsidR="000208DF">
        <w:rPr>
          <w:szCs w:val="26"/>
        </w:rPr>
        <w:t xml:space="preserve"> </w:t>
      </w:r>
      <w:r w:rsidRPr="002D7212" w:rsidR="00B85308">
        <w:rPr>
          <w:szCs w:val="26"/>
        </w:rPr>
        <w:t xml:space="preserve">enforcement. </w:t>
      </w:r>
      <w:r w:rsidRPr="002D7212" w:rsidR="0099134A">
        <w:rPr>
          <w:szCs w:val="26"/>
        </w:rPr>
        <w:t xml:space="preserve"> </w:t>
      </w:r>
      <w:r w:rsidRPr="002D7212" w:rsidR="00B85308">
        <w:rPr>
          <w:szCs w:val="26"/>
        </w:rPr>
        <w:t>(See, e.g., IWC board for wage order No.</w:t>
      </w:r>
      <w:r w:rsidR="002D0B05">
        <w:rPr>
          <w:szCs w:val="26"/>
        </w:rPr>
        <w:t> </w:t>
      </w:r>
      <w:r w:rsidRPr="002D7212" w:rsidR="00B85308">
        <w:rPr>
          <w:szCs w:val="26"/>
        </w:rPr>
        <w:t>7-63 meeting mins.</w:t>
      </w:r>
      <w:r w:rsidRPr="002D7212" w:rsidR="0099134A">
        <w:rPr>
          <w:szCs w:val="26"/>
        </w:rPr>
        <w:t xml:space="preserve"> </w:t>
      </w:r>
      <w:r w:rsidRPr="002D7212" w:rsidR="00B85308">
        <w:rPr>
          <w:szCs w:val="26"/>
        </w:rPr>
        <w:t>(Dec. 14–15, 1966) pp.</w:t>
      </w:r>
      <w:r w:rsidR="002D0B05">
        <w:rPr>
          <w:szCs w:val="26"/>
        </w:rPr>
        <w:t> </w:t>
      </w:r>
      <w:r w:rsidRPr="002D7212" w:rsidR="00B85308">
        <w:rPr>
          <w:szCs w:val="26"/>
        </w:rPr>
        <w:t>4–5 [rejecting proposal to eliminate the meal period</w:t>
      </w:r>
      <w:r w:rsidRPr="002D7212" w:rsidR="000208DF">
        <w:rPr>
          <w:szCs w:val="26"/>
        </w:rPr>
        <w:t xml:space="preserve"> </w:t>
      </w:r>
      <w:r w:rsidRPr="002D7212" w:rsidR="00B85308">
        <w:rPr>
          <w:szCs w:val="26"/>
        </w:rPr>
        <w:t xml:space="preserve">recording </w:t>
      </w:r>
      <w:r w:rsidRPr="002D7212" w:rsidR="00F45882">
        <w:rPr>
          <w:szCs w:val="26"/>
        </w:rPr>
        <w:t>requirement because ‘</w:t>
      </w:r>
      <w:r w:rsidRPr="002D7212" w:rsidR="00B85308">
        <w:rPr>
          <w:szCs w:val="26"/>
        </w:rPr>
        <w:t>without the recording of all in-and-out time,</w:t>
      </w:r>
      <w:r w:rsidRPr="002D7212" w:rsidR="000208DF">
        <w:rPr>
          <w:szCs w:val="26"/>
        </w:rPr>
        <w:t xml:space="preserve"> </w:t>
      </w:r>
      <w:r w:rsidRPr="002D7212" w:rsidR="00B85308">
        <w:rPr>
          <w:szCs w:val="26"/>
        </w:rPr>
        <w:t>including meal periods, the enforcement staff would be unable to adequately</w:t>
      </w:r>
      <w:r w:rsidRPr="002D7212" w:rsidR="000208DF">
        <w:rPr>
          <w:szCs w:val="26"/>
        </w:rPr>
        <w:t xml:space="preserve"> </w:t>
      </w:r>
      <w:r w:rsidRPr="002D7212" w:rsidR="00F45882">
        <w:rPr>
          <w:szCs w:val="26"/>
        </w:rPr>
        <w:t>investigate and enforce’</w:t>
      </w:r>
      <w:r w:rsidRPr="002D7212" w:rsidR="00B85308">
        <w:rPr>
          <w:szCs w:val="26"/>
        </w:rPr>
        <w:t xml:space="preserve"> a wage order’s meal period provisions].) </w:t>
      </w:r>
      <w:r w:rsidRPr="002D7212" w:rsidR="000208DF">
        <w:rPr>
          <w:szCs w:val="26"/>
        </w:rPr>
        <w:t xml:space="preserve"> </w:t>
      </w:r>
      <w:r w:rsidRPr="002D7212" w:rsidR="00B85308">
        <w:rPr>
          <w:szCs w:val="26"/>
        </w:rPr>
        <w:t>An employer’s</w:t>
      </w:r>
      <w:r w:rsidRPr="002D7212" w:rsidR="000208DF">
        <w:rPr>
          <w:szCs w:val="26"/>
        </w:rPr>
        <w:t xml:space="preserve"> </w:t>
      </w:r>
      <w:r w:rsidRPr="002D7212" w:rsidR="00B85308">
        <w:rPr>
          <w:szCs w:val="26"/>
        </w:rPr>
        <w:t>assertion that it did relieve the employee of duty, but the employee</w:t>
      </w:r>
      <w:r w:rsidRPr="002D7212" w:rsidR="00B458BC">
        <w:rPr>
          <w:szCs w:val="26"/>
        </w:rPr>
        <w:t xml:space="preserve"> </w:t>
      </w:r>
      <w:r w:rsidRPr="002D7212" w:rsidR="00B85308">
        <w:rPr>
          <w:szCs w:val="26"/>
        </w:rPr>
        <w:t>waived the opportunity to</w:t>
      </w:r>
      <w:r w:rsidRPr="002D7212" w:rsidR="00B458BC">
        <w:rPr>
          <w:szCs w:val="26"/>
        </w:rPr>
        <w:t xml:space="preserve"> have a work-free break, is not </w:t>
      </w:r>
      <w:r w:rsidRPr="002D7212" w:rsidR="00B85308">
        <w:rPr>
          <w:szCs w:val="26"/>
        </w:rPr>
        <w:t>an element that a</w:t>
      </w:r>
      <w:r w:rsidRPr="002D7212" w:rsidR="00B458BC">
        <w:rPr>
          <w:szCs w:val="26"/>
        </w:rPr>
        <w:t xml:space="preserve"> </w:t>
      </w:r>
      <w:r w:rsidRPr="002D7212" w:rsidR="00B85308">
        <w:rPr>
          <w:szCs w:val="26"/>
        </w:rPr>
        <w:t xml:space="preserve">plaintiff must disprove as part of the plaintiff’s case-in-chief. </w:t>
      </w:r>
      <w:r w:rsidRPr="002D7212" w:rsidR="00B458BC">
        <w:rPr>
          <w:szCs w:val="26"/>
        </w:rPr>
        <w:t xml:space="preserve"> </w:t>
      </w:r>
      <w:r w:rsidRPr="002D7212" w:rsidR="00B85308">
        <w:rPr>
          <w:szCs w:val="26"/>
        </w:rPr>
        <w:t xml:space="preserve">Rather, </w:t>
      </w:r>
      <w:r w:rsidR="0086741E">
        <w:rPr>
          <w:szCs w:val="26"/>
        </w:rPr>
        <w:t xml:space="preserve">. . . </w:t>
      </w:r>
      <w:r w:rsidRPr="002D7212" w:rsidR="00B85308">
        <w:rPr>
          <w:szCs w:val="26"/>
        </w:rPr>
        <w:t>the assertion is an affirmative defense,</w:t>
      </w:r>
      <w:r w:rsidRPr="002D7212" w:rsidR="00B458BC">
        <w:rPr>
          <w:szCs w:val="26"/>
        </w:rPr>
        <w:t xml:space="preserve"> </w:t>
      </w:r>
      <w:r w:rsidRPr="002D7212" w:rsidR="00B85308">
        <w:rPr>
          <w:szCs w:val="26"/>
        </w:rPr>
        <w:t>and thus the burden is on the employer, as the party asserting waiver, to plead</w:t>
      </w:r>
      <w:r w:rsidRPr="002D7212" w:rsidR="00B458BC">
        <w:rPr>
          <w:szCs w:val="26"/>
        </w:rPr>
        <w:t xml:space="preserve"> </w:t>
      </w:r>
      <w:r w:rsidRPr="002D7212" w:rsidR="00BE759A">
        <w:rPr>
          <w:szCs w:val="26"/>
        </w:rPr>
        <w:t>and</w:t>
      </w:r>
      <w:r w:rsidRPr="002D7212" w:rsidR="00576A5D">
        <w:rPr>
          <w:szCs w:val="26"/>
        </w:rPr>
        <w:t xml:space="preserve"> prove it</w:t>
      </w:r>
      <w:r w:rsidRPr="002D7212" w:rsidR="00E22AC5">
        <w:rPr>
          <w:szCs w:val="26"/>
        </w:rPr>
        <w:t>.</w:t>
      </w:r>
      <w:r w:rsidRPr="002D7212" w:rsidR="000134AD">
        <w:rPr>
          <w:szCs w:val="26"/>
        </w:rPr>
        <w:t xml:space="preserve">”  </w:t>
      </w:r>
      <w:r w:rsidRPr="002D7212" w:rsidR="00A0161D">
        <w:rPr>
          <w:szCs w:val="26"/>
        </w:rPr>
        <w:t>(</w:t>
      </w:r>
      <w:r w:rsidRPr="002D7212" w:rsidR="00A0161D">
        <w:rPr>
          <w:i/>
          <w:szCs w:val="26"/>
        </w:rPr>
        <w:t>Brinker</w:t>
      </w:r>
      <w:r w:rsidRPr="002D7212" w:rsidR="00A0161D">
        <w:rPr>
          <w:szCs w:val="26"/>
        </w:rPr>
        <w:t xml:space="preserve">, </w:t>
      </w:r>
      <w:r w:rsidRPr="002D7212" w:rsidR="00A0161D">
        <w:rPr>
          <w:i/>
          <w:szCs w:val="26"/>
        </w:rPr>
        <w:t>supra</w:t>
      </w:r>
      <w:r w:rsidRPr="002D7212" w:rsidR="00A0161D">
        <w:rPr>
          <w:szCs w:val="26"/>
        </w:rPr>
        <w:t xml:space="preserve">, 53 Cal.4th </w:t>
      </w:r>
      <w:r w:rsidRPr="002D7212" w:rsidR="00747008">
        <w:rPr>
          <w:szCs w:val="26"/>
        </w:rPr>
        <w:t>at p</w:t>
      </w:r>
      <w:r w:rsidRPr="002D7212" w:rsidR="00082532">
        <w:rPr>
          <w:szCs w:val="26"/>
        </w:rPr>
        <w:t>p</w:t>
      </w:r>
      <w:r w:rsidRPr="002D7212" w:rsidR="00747008">
        <w:rPr>
          <w:szCs w:val="26"/>
        </w:rPr>
        <w:t>. </w:t>
      </w:r>
      <w:r w:rsidRPr="002D7212" w:rsidR="00EE0E86">
        <w:rPr>
          <w:szCs w:val="26"/>
        </w:rPr>
        <w:t>1052–</w:t>
      </w:r>
      <w:r w:rsidRPr="002D7212" w:rsidR="00747008">
        <w:rPr>
          <w:szCs w:val="26"/>
        </w:rPr>
        <w:t>1053 (conc. opn. of Werdegar, J.).)</w:t>
      </w:r>
      <w:r>
        <w:rPr>
          <w:szCs w:val="26"/>
        </w:rPr>
        <w:t xml:space="preserve">  </w:t>
      </w:r>
    </w:p>
    <w:p w:rsidR="00EA03AF" w:rsidP="002D7212">
      <w:pPr>
        <w:autoSpaceDE w:val="0"/>
        <w:autoSpaceDN w:val="0"/>
        <w:adjustRightInd w:val="0"/>
        <w:ind w:firstLine="720"/>
        <w:rPr>
          <w:szCs w:val="26"/>
        </w:rPr>
      </w:pPr>
      <w:r w:rsidRPr="002D7212">
        <w:rPr>
          <w:szCs w:val="26"/>
        </w:rPr>
        <w:t>Justice Werdegar</w:t>
      </w:r>
      <w:r w:rsidRPr="002D7212" w:rsidR="008A712D">
        <w:rPr>
          <w:szCs w:val="26"/>
        </w:rPr>
        <w:t xml:space="preserve"> added:</w:t>
      </w:r>
      <w:r w:rsidR="00A23D3F">
        <w:rPr>
          <w:szCs w:val="26"/>
        </w:rPr>
        <w:t>  </w:t>
      </w:r>
      <w:r w:rsidRPr="002D7212" w:rsidR="008A712D">
        <w:rPr>
          <w:szCs w:val="26"/>
        </w:rPr>
        <w:t>“</w:t>
      </w:r>
      <w:r w:rsidRPr="002D7212" w:rsidR="00F06C53">
        <w:rPr>
          <w:szCs w:val="26"/>
        </w:rPr>
        <w:t>As the Division of Labor Standards Enforcement (DLSE) has explained, even under the less restrictive wage order applicable</w:t>
      </w:r>
      <w:r w:rsidRPr="002D7212" w:rsidR="00F45882">
        <w:rPr>
          <w:szCs w:val="26"/>
        </w:rPr>
        <w:t xml:space="preserve"> to agricultural employees, if ‘</w:t>
      </w:r>
      <w:r w:rsidRPr="002D7212" w:rsidR="00F06C53">
        <w:rPr>
          <w:szCs w:val="26"/>
        </w:rPr>
        <w:t xml:space="preserve">a meal period is not taken by the employee, the burden is on the employer to show that the agricultural employee had been advised of his or her legal right to take a meal period and has knowingly and voluntarily decided not to take the meal period. </w:t>
      </w:r>
      <w:r w:rsidRPr="002D7212" w:rsidR="001A35BA">
        <w:rPr>
          <w:szCs w:val="26"/>
        </w:rPr>
        <w:t xml:space="preserve"> </w:t>
      </w:r>
      <w:r w:rsidRPr="002D7212" w:rsidR="00F06C53">
        <w:rPr>
          <w:szCs w:val="26"/>
        </w:rPr>
        <w:t>Again, we emphasize,</w:t>
      </w:r>
      <w:r w:rsidRPr="002D7212" w:rsidR="00F45882">
        <w:rPr>
          <w:szCs w:val="26"/>
        </w:rPr>
        <w:t xml:space="preserve"> the burden is on the employer.’</w:t>
      </w:r>
      <w:r w:rsidRPr="002D7212" w:rsidR="00F06C53">
        <w:rPr>
          <w:szCs w:val="26"/>
        </w:rPr>
        <w:t xml:space="preserve">  (Dept. Industrial Relations, DLSE Opn. Letter No.</w:t>
      </w:r>
      <w:r w:rsidR="004C0DEB">
        <w:rPr>
          <w:szCs w:val="26"/>
        </w:rPr>
        <w:t> </w:t>
      </w:r>
      <w:r w:rsidRPr="002D7212" w:rsidR="00F06C53">
        <w:rPr>
          <w:szCs w:val="26"/>
        </w:rPr>
        <w:t>2003.08.13 (Aug. 13, 2003) p. 2 [interpreting IWC wage order No.</w:t>
      </w:r>
      <w:r w:rsidR="004C0DEB">
        <w:rPr>
          <w:szCs w:val="26"/>
        </w:rPr>
        <w:t> </w:t>
      </w:r>
      <w:r w:rsidRPr="002D7212" w:rsidR="00F06C53">
        <w:rPr>
          <w:szCs w:val="26"/>
        </w:rPr>
        <w:t>14 (Cal. Code Regs., tit.</w:t>
      </w:r>
      <w:r w:rsidR="004C0DEB">
        <w:rPr>
          <w:szCs w:val="26"/>
        </w:rPr>
        <w:t> </w:t>
      </w:r>
      <w:r w:rsidRPr="002D7212" w:rsidR="00F06C53">
        <w:rPr>
          <w:szCs w:val="26"/>
        </w:rPr>
        <w:t>8, §</w:t>
      </w:r>
      <w:r w:rsidR="004C0DEB">
        <w:rPr>
          <w:szCs w:val="26"/>
        </w:rPr>
        <w:t> </w:t>
      </w:r>
      <w:r w:rsidRPr="002D7212" w:rsidR="00F06C53">
        <w:rPr>
          <w:szCs w:val="26"/>
        </w:rPr>
        <w:t>11140)].)  To place the burden elsewhere would offer an employer an incentive to avoid its recording duty and a potential windfall from</w:t>
      </w:r>
      <w:r w:rsidRPr="002D7212" w:rsidR="00805EC0">
        <w:rPr>
          <w:szCs w:val="26"/>
        </w:rPr>
        <w:t xml:space="preserve"> </w:t>
      </w:r>
      <w:r w:rsidRPr="002D7212" w:rsidR="00F06C53">
        <w:rPr>
          <w:szCs w:val="26"/>
        </w:rPr>
        <w:t>the failure to record meal periods.</w:t>
      </w:r>
      <w:r w:rsidRPr="002D7212" w:rsidR="00805EC0">
        <w:rPr>
          <w:szCs w:val="26"/>
        </w:rPr>
        <w:t xml:space="preserve"> </w:t>
      </w:r>
      <w:r w:rsidRPr="002D7212" w:rsidR="00F06C53">
        <w:rPr>
          <w:szCs w:val="26"/>
        </w:rPr>
        <w:t xml:space="preserve"> Both the United States Supreme Court and the courts of this</w:t>
      </w:r>
      <w:r w:rsidRPr="002D7212" w:rsidR="00805EC0">
        <w:rPr>
          <w:szCs w:val="26"/>
        </w:rPr>
        <w:t xml:space="preserve"> </w:t>
      </w:r>
      <w:r w:rsidRPr="002D7212" w:rsidR="00F06C53">
        <w:rPr>
          <w:szCs w:val="26"/>
        </w:rPr>
        <w:t xml:space="preserve">state have rejected such an approach. </w:t>
      </w:r>
      <w:r w:rsidRPr="002D7212" w:rsidR="00805EC0">
        <w:rPr>
          <w:szCs w:val="26"/>
        </w:rPr>
        <w:t xml:space="preserve"> </w:t>
      </w:r>
      <w:r w:rsidRPr="002D7212" w:rsidR="00F06C53">
        <w:rPr>
          <w:szCs w:val="26"/>
        </w:rPr>
        <w:t xml:space="preserve">(See </w:t>
      </w:r>
      <w:r w:rsidRPr="002D7212" w:rsidR="00F06C53">
        <w:rPr>
          <w:i/>
          <w:szCs w:val="26"/>
        </w:rPr>
        <w:t xml:space="preserve">Anderson v. Mt. Clemens Pottery Co. </w:t>
      </w:r>
      <w:r w:rsidRPr="002D7212" w:rsidR="00F06C53">
        <w:rPr>
          <w:szCs w:val="26"/>
        </w:rPr>
        <w:t>(1946) 328 U.S.</w:t>
      </w:r>
      <w:r w:rsidRPr="002D7212">
        <w:rPr>
          <w:szCs w:val="26"/>
        </w:rPr>
        <w:t xml:space="preserve"> </w:t>
      </w:r>
      <w:r w:rsidRPr="002D7212" w:rsidR="00857DF4">
        <w:rPr>
          <w:szCs w:val="26"/>
        </w:rPr>
        <w:t>680, 686–688</w:t>
      </w:r>
      <w:r w:rsidR="00574B5C">
        <w:rPr>
          <w:szCs w:val="26"/>
        </w:rPr>
        <w:t xml:space="preserve"> </w:t>
      </w:r>
      <w:r w:rsidRPr="002D7212" w:rsidR="00F06C53">
        <w:rPr>
          <w:szCs w:val="26"/>
        </w:rPr>
        <w:t>[where an employe</w:t>
      </w:r>
      <w:r w:rsidRPr="002D7212" w:rsidR="00E411F7">
        <w:rPr>
          <w:szCs w:val="26"/>
        </w:rPr>
        <w:t xml:space="preserve">r is subject to a recordkeeping </w:t>
      </w:r>
      <w:r w:rsidRPr="002D7212" w:rsidR="00F06C53">
        <w:rPr>
          <w:szCs w:val="26"/>
        </w:rPr>
        <w:t>requirement, the burden shifts to that employer to rebut employee proof of monies owed once</w:t>
      </w:r>
      <w:r w:rsidRPr="002D7212" w:rsidR="00E411F7">
        <w:rPr>
          <w:szCs w:val="26"/>
        </w:rPr>
        <w:t xml:space="preserve"> </w:t>
      </w:r>
      <w:r w:rsidRPr="002D7212" w:rsidR="00F06C53">
        <w:rPr>
          <w:szCs w:val="26"/>
        </w:rPr>
        <w:t xml:space="preserve">a prima facie case has been made]; </w:t>
      </w:r>
      <w:r w:rsidRPr="002D7212" w:rsidR="00F06C53">
        <w:rPr>
          <w:i/>
          <w:szCs w:val="26"/>
        </w:rPr>
        <w:t>Ghazaryan v. Diva</w:t>
      </w:r>
      <w:r w:rsidRPr="002D7212" w:rsidR="00F06C53">
        <w:rPr>
          <w:szCs w:val="26"/>
        </w:rPr>
        <w:t xml:space="preserve"> </w:t>
      </w:r>
      <w:r w:rsidRPr="002D7212" w:rsidR="00F06C53">
        <w:rPr>
          <w:i/>
          <w:szCs w:val="26"/>
        </w:rPr>
        <w:t>Limousine, Ltd.</w:t>
      </w:r>
      <w:r w:rsidRPr="002D7212" w:rsidR="00F06C53">
        <w:rPr>
          <w:szCs w:val="26"/>
        </w:rPr>
        <w:t xml:space="preserve"> (2008) 169 Cal.App.4th</w:t>
      </w:r>
      <w:r w:rsidRPr="002D7212" w:rsidR="005C4CDD">
        <w:rPr>
          <w:szCs w:val="26"/>
        </w:rPr>
        <w:t xml:space="preserve"> </w:t>
      </w:r>
      <w:r w:rsidRPr="002D7212" w:rsidR="00F06C53">
        <w:rPr>
          <w:szCs w:val="26"/>
        </w:rPr>
        <w:t xml:space="preserve">1524, 1536, </w:t>
      </w:r>
      <w:r w:rsidRPr="002D7212" w:rsidR="005C4CDD">
        <w:rPr>
          <w:szCs w:val="26"/>
        </w:rPr>
        <w:t>fn.</w:t>
      </w:r>
      <w:r w:rsidR="00837454">
        <w:rPr>
          <w:szCs w:val="26"/>
        </w:rPr>
        <w:t> </w:t>
      </w:r>
      <w:r w:rsidRPr="002D7212" w:rsidR="005C4CDD">
        <w:rPr>
          <w:szCs w:val="26"/>
        </w:rPr>
        <w:t>11</w:t>
      </w:r>
      <w:r w:rsidR="00574B5C">
        <w:rPr>
          <w:szCs w:val="26"/>
        </w:rPr>
        <w:t xml:space="preserve"> </w:t>
      </w:r>
      <w:r w:rsidRPr="002D7212" w:rsidR="00F06C53">
        <w:rPr>
          <w:szCs w:val="26"/>
        </w:rPr>
        <w:t>[refusing to allow an employer to use any shortcomings</w:t>
      </w:r>
      <w:r w:rsidRPr="002D7212" w:rsidR="005C4CDD">
        <w:rPr>
          <w:szCs w:val="26"/>
        </w:rPr>
        <w:t xml:space="preserve"> </w:t>
      </w:r>
      <w:r w:rsidRPr="002D7212" w:rsidR="00F06C53">
        <w:rPr>
          <w:szCs w:val="26"/>
        </w:rPr>
        <w:t xml:space="preserve">in its records to resist employee wage claims]; </w:t>
      </w:r>
      <w:r w:rsidRPr="002D7212" w:rsidR="00F06C53">
        <w:rPr>
          <w:i/>
          <w:szCs w:val="26"/>
        </w:rPr>
        <w:t>Cicairos v. Summit Logistics, Inc.</w:t>
      </w:r>
      <w:r w:rsidRPr="002D7212" w:rsidR="00F06C53">
        <w:rPr>
          <w:szCs w:val="26"/>
        </w:rPr>
        <w:t xml:space="preserve"> (2005)</w:t>
      </w:r>
      <w:r w:rsidRPr="002D7212" w:rsidR="00D702C1">
        <w:rPr>
          <w:szCs w:val="26"/>
        </w:rPr>
        <w:t xml:space="preserve"> 133 </w:t>
      </w:r>
      <w:r w:rsidRPr="002D7212" w:rsidR="00F06C53">
        <w:rPr>
          <w:szCs w:val="26"/>
        </w:rPr>
        <w:t>Cal.App.4th 949, 961</w:t>
      </w:r>
      <w:r w:rsidR="00574B5C">
        <w:rPr>
          <w:szCs w:val="26"/>
        </w:rPr>
        <w:t xml:space="preserve"> </w:t>
      </w:r>
      <w:r w:rsidRPr="002D7212" w:rsidR="00857DF4">
        <w:rPr>
          <w:szCs w:val="26"/>
        </w:rPr>
        <w:t>[‘ “</w:t>
      </w:r>
      <w:r w:rsidRPr="002D7212" w:rsidR="00F06C53">
        <w:rPr>
          <w:szCs w:val="26"/>
        </w:rPr>
        <w:t>[W]here the employer has failed t</w:t>
      </w:r>
      <w:r w:rsidRPr="002D7212" w:rsidR="00D702C1">
        <w:rPr>
          <w:szCs w:val="26"/>
        </w:rPr>
        <w:t xml:space="preserve">o </w:t>
      </w:r>
      <w:r w:rsidRPr="002D7212" w:rsidR="00F06C53">
        <w:rPr>
          <w:szCs w:val="26"/>
        </w:rPr>
        <w:t>keep</w:t>
      </w:r>
      <w:r w:rsidRPr="002D7212" w:rsidR="00D702C1">
        <w:rPr>
          <w:szCs w:val="26"/>
        </w:rPr>
        <w:t xml:space="preserve"> </w:t>
      </w:r>
      <w:r w:rsidRPr="002D7212" w:rsidR="00F06C53">
        <w:rPr>
          <w:szCs w:val="26"/>
        </w:rPr>
        <w:t xml:space="preserve">records required by statute, the consequences </w:t>
      </w:r>
      <w:r w:rsidRPr="002D7212" w:rsidR="00D702C1">
        <w:rPr>
          <w:szCs w:val="26"/>
        </w:rPr>
        <w:t xml:space="preserve">for such failure should fall on </w:t>
      </w:r>
      <w:r w:rsidRPr="002D7212" w:rsidR="00F06C53">
        <w:rPr>
          <w:szCs w:val="26"/>
        </w:rPr>
        <w:t>the employer, not</w:t>
      </w:r>
      <w:r w:rsidRPr="002D7212" w:rsidR="00D702C1">
        <w:rPr>
          <w:szCs w:val="26"/>
        </w:rPr>
        <w:t xml:space="preserve"> </w:t>
      </w:r>
      <w:r w:rsidRPr="002D7212" w:rsidR="00F06C53">
        <w:rPr>
          <w:szCs w:val="26"/>
        </w:rPr>
        <w:t>the employee.</w:t>
      </w:r>
      <w:r w:rsidRPr="002D7212" w:rsidR="00857DF4">
        <w:rPr>
          <w:szCs w:val="26"/>
        </w:rPr>
        <w:t>” ’</w:t>
      </w:r>
      <w:r w:rsidRPr="002D7212" w:rsidR="00F06C53">
        <w:rPr>
          <w:szCs w:val="26"/>
        </w:rPr>
        <w:t>].)</w:t>
      </w:r>
      <w:r w:rsidRPr="002D7212" w:rsidR="005D4E4D">
        <w:rPr>
          <w:szCs w:val="26"/>
        </w:rPr>
        <w:t>”  (</w:t>
      </w:r>
      <w:r w:rsidRPr="002D7212" w:rsidR="005D4E4D">
        <w:rPr>
          <w:i/>
          <w:szCs w:val="26"/>
        </w:rPr>
        <w:t>Brinker</w:t>
      </w:r>
      <w:r w:rsidRPr="002D7212" w:rsidR="005D4E4D">
        <w:rPr>
          <w:szCs w:val="26"/>
        </w:rPr>
        <w:t xml:space="preserve">, </w:t>
      </w:r>
      <w:r w:rsidRPr="002D7212" w:rsidR="005D4E4D">
        <w:rPr>
          <w:i/>
          <w:szCs w:val="26"/>
        </w:rPr>
        <w:t>supra</w:t>
      </w:r>
      <w:r w:rsidRPr="002D7212" w:rsidR="005D4E4D">
        <w:rPr>
          <w:szCs w:val="26"/>
        </w:rPr>
        <w:t>, 53 Cal.4th at p. 1053, fn. 1 (conc. opn. of Werdegar, J.).)</w:t>
      </w:r>
    </w:p>
    <w:p w:rsidR="00F0486E" w:rsidRPr="002D7212" w:rsidP="002D7212">
      <w:pPr>
        <w:autoSpaceDE w:val="0"/>
        <w:autoSpaceDN w:val="0"/>
        <w:adjustRightInd w:val="0"/>
        <w:ind w:firstLine="720"/>
      </w:pPr>
      <w:r>
        <w:rPr>
          <w:szCs w:val="26"/>
        </w:rPr>
        <w:t>The term “waiver,” as Justice Werdegar used it, should not be confused with the “waived” meal period that Labor Code section 512, subdivision (a)</w:t>
      </w:r>
      <w:r w:rsidR="00837454">
        <w:rPr>
          <w:szCs w:val="26"/>
        </w:rPr>
        <w:t>,</w:t>
      </w:r>
      <w:r>
        <w:rPr>
          <w:szCs w:val="26"/>
        </w:rPr>
        <w:t xml:space="preserve"> </w:t>
      </w:r>
      <w:r w:rsidR="003B2C6A">
        <w:rPr>
          <w:szCs w:val="26"/>
        </w:rPr>
        <w:t>authorizes</w:t>
      </w:r>
      <w:r>
        <w:rPr>
          <w:szCs w:val="26"/>
        </w:rPr>
        <w:t xml:space="preserve"> only under limited circumstances.  We understand an employee’s “waiver” </w:t>
      </w:r>
      <w:r w:rsidR="003B2C6A">
        <w:rPr>
          <w:szCs w:val="26"/>
        </w:rPr>
        <w:t xml:space="preserve">in this context </w:t>
      </w:r>
      <w:r>
        <w:rPr>
          <w:szCs w:val="26"/>
        </w:rPr>
        <w:t xml:space="preserve">in the colloquial sense that the employee chose to work when </w:t>
      </w:r>
      <w:r w:rsidR="003B2C6A">
        <w:rPr>
          <w:szCs w:val="26"/>
        </w:rPr>
        <w:t>he or she was</w:t>
      </w:r>
      <w:r>
        <w:rPr>
          <w:szCs w:val="26"/>
        </w:rPr>
        <w:t xml:space="preserve"> not required.  </w:t>
      </w:r>
      <w:r w:rsidR="003B2C6A">
        <w:rPr>
          <w:szCs w:val="26"/>
        </w:rPr>
        <w:t>W</w:t>
      </w:r>
      <w:r>
        <w:rPr>
          <w:szCs w:val="26"/>
        </w:rPr>
        <w:t>e do not suggest that employees have the unilateral option — without regard for the waiver requirements in Labor Code section 512, subdivision (a) — to waive their employer’s obligation to relieve them from duty and from employer control for a 30</w:t>
      </w:r>
      <w:r>
        <w:rPr>
          <w:szCs w:val="26"/>
        </w:rPr>
        <w:noBreakHyphen/>
        <w:t xml:space="preserve">minute meal period within the required timeframe.  (See </w:t>
      </w:r>
      <w:r w:rsidRPr="00432DF3">
        <w:rPr>
          <w:i/>
          <w:iCs/>
          <w:szCs w:val="26"/>
        </w:rPr>
        <w:t>Brinker</w:t>
      </w:r>
      <w:r>
        <w:rPr>
          <w:szCs w:val="26"/>
        </w:rPr>
        <w:t xml:space="preserve">, </w:t>
      </w:r>
      <w:r w:rsidRPr="00432DF3">
        <w:rPr>
          <w:i/>
          <w:iCs/>
          <w:szCs w:val="26"/>
        </w:rPr>
        <w:t>supra</w:t>
      </w:r>
      <w:r>
        <w:rPr>
          <w:szCs w:val="26"/>
        </w:rPr>
        <w:t>, 53 Cal.4th at pp. 1039–1040 &amp; fn. 19.)</w:t>
      </w:r>
    </w:p>
    <w:p w:rsidR="00EA03AF" w:rsidRPr="002D7212" w:rsidP="002D7212">
      <w:pPr>
        <w:ind w:firstLine="720"/>
      </w:pPr>
      <w:r w:rsidRPr="002D7212">
        <w:t xml:space="preserve">After </w:t>
      </w:r>
      <w:r w:rsidRPr="002D7212">
        <w:rPr>
          <w:i/>
        </w:rPr>
        <w:t>Brinker</w:t>
      </w:r>
      <w:r w:rsidRPr="002D7212">
        <w:t xml:space="preserve">, </w:t>
      </w:r>
      <w:r w:rsidRPr="002D7212" w:rsidR="006A7437">
        <w:t>various</w:t>
      </w:r>
      <w:r w:rsidRPr="002D7212" w:rsidR="00790731">
        <w:t xml:space="preserve"> Co</w:t>
      </w:r>
      <w:r w:rsidRPr="002D7212" w:rsidR="00FE7FAF">
        <w:t xml:space="preserve">urts of Appeal have </w:t>
      </w:r>
      <w:r w:rsidRPr="002D7212" w:rsidR="00A11969">
        <w:t>cited approvingly to</w:t>
      </w:r>
      <w:r w:rsidRPr="002D7212" w:rsidR="008846CB">
        <w:t xml:space="preserve"> </w:t>
      </w:r>
      <w:r w:rsidRPr="002D7212">
        <w:t>Justice Werdegar</w:t>
      </w:r>
      <w:r w:rsidRPr="002D7212" w:rsidR="000A0D5A">
        <w:t xml:space="preserve">’s </w:t>
      </w:r>
      <w:r w:rsidRPr="002D7212" w:rsidR="00D54429">
        <w:t>analysis of the rebuttable presumption issue.  (</w:t>
      </w:r>
      <w:r w:rsidRPr="002D7212" w:rsidR="00296B16">
        <w:t xml:space="preserve">See, e.g., </w:t>
      </w:r>
      <w:r w:rsidRPr="002D7212" w:rsidR="00263D45">
        <w:rPr>
          <w:i/>
        </w:rPr>
        <w:t xml:space="preserve">Carrington v. Starbucks Corp. </w:t>
      </w:r>
      <w:r w:rsidRPr="002D7212" w:rsidR="00263D45">
        <w:t xml:space="preserve">(2018) 30 Cal.App.5th 504, 527; </w:t>
      </w:r>
      <w:r w:rsidRPr="002D7212" w:rsidR="00B633BB">
        <w:rPr>
          <w:i/>
        </w:rPr>
        <w:t xml:space="preserve">ABM Industries Overtime Cases </w:t>
      </w:r>
      <w:r w:rsidRPr="002D7212" w:rsidR="00B633BB">
        <w:t xml:space="preserve">(2017) </w:t>
      </w:r>
      <w:r w:rsidRPr="002D7212" w:rsidR="001226A8">
        <w:t>19 Cal.App.5th 277, 311;</w:t>
      </w:r>
      <w:r w:rsidRPr="002D7212" w:rsidR="000C04FE">
        <w:t xml:space="preserve"> </w:t>
      </w:r>
      <w:r w:rsidRPr="002D7212" w:rsidR="000C04FE">
        <w:rPr>
          <w:i/>
        </w:rPr>
        <w:t>Lubin v. Wackenhut Corp.</w:t>
      </w:r>
      <w:r w:rsidRPr="002D7212" w:rsidR="00E05464">
        <w:t xml:space="preserve"> (2016)</w:t>
      </w:r>
      <w:r w:rsidRPr="002D7212" w:rsidR="000C04FE">
        <w:t xml:space="preserve"> 5 Cal.App.5th 926, 951;</w:t>
      </w:r>
      <w:r w:rsidRPr="002D7212" w:rsidR="001226A8">
        <w:t xml:space="preserve"> </w:t>
      </w:r>
      <w:r w:rsidRPr="002D7212" w:rsidR="00F17412">
        <w:rPr>
          <w:i/>
        </w:rPr>
        <w:t xml:space="preserve">Safeway, Inc. v. Superior Court </w:t>
      </w:r>
      <w:r w:rsidRPr="002D7212" w:rsidR="00F17412">
        <w:t xml:space="preserve">(2015) 238 Cal.App.4th 1138, 1159–1160; </w:t>
      </w:r>
      <w:r w:rsidRPr="002D7212" w:rsidR="001C11A8">
        <w:rPr>
          <w:i/>
        </w:rPr>
        <w:t xml:space="preserve">Bradley v. Networkers Internat., LLC </w:t>
      </w:r>
      <w:r w:rsidRPr="002D7212" w:rsidR="001C11A8">
        <w:t>(2012) 211 Cal.App.4th 1129, 1144–</w:t>
      </w:r>
      <w:r w:rsidRPr="002D7212" w:rsidR="00303F43">
        <w:t>1145.)</w:t>
      </w:r>
      <w:r w:rsidRPr="002D7212" w:rsidR="004D3616">
        <w:t xml:space="preserve">  </w:t>
      </w:r>
      <w:r w:rsidRPr="002D7212" w:rsidR="00A25261">
        <w:t xml:space="preserve">We now adopt </w:t>
      </w:r>
      <w:r w:rsidRPr="002D7212">
        <w:t xml:space="preserve">her </w:t>
      </w:r>
      <w:r w:rsidRPr="002D7212" w:rsidR="000D0ABE">
        <w:t>discussion</w:t>
      </w:r>
      <w:r w:rsidRPr="002D7212" w:rsidR="00BD3E72">
        <w:t xml:space="preserve"> of the rebuttable presumption in full.</w:t>
      </w:r>
    </w:p>
    <w:p w:rsidR="009615D3">
      <w:pPr>
        <w:ind w:firstLine="720"/>
      </w:pPr>
      <w:r w:rsidRPr="002D7212">
        <w:t xml:space="preserve">As Justice Werdegar explained, </w:t>
      </w:r>
      <w:r w:rsidRPr="002D7212" w:rsidR="00556BBA">
        <w:t xml:space="preserve">an employer’s assertion that </w:t>
      </w:r>
      <w:r w:rsidRPr="002D7212" w:rsidR="00E8666A">
        <w:t>a</w:t>
      </w:r>
      <w:r w:rsidRPr="002D7212" w:rsidR="0005017B">
        <w:t xml:space="preserve">n employee waived a meal period </w:t>
      </w:r>
      <w:r w:rsidRPr="002D7212" w:rsidR="00B40112">
        <w:t xml:space="preserve">“is not an element that a plaintiff must disprove as part of the plaintiff’s case-in-chief.”  </w:t>
      </w:r>
      <w:r w:rsidRPr="002D7212" w:rsidR="00EC1E7E">
        <w:rPr>
          <w:szCs w:val="26"/>
        </w:rPr>
        <w:t>(</w:t>
      </w:r>
      <w:r w:rsidRPr="002D7212" w:rsidR="00EC1E7E">
        <w:rPr>
          <w:i/>
          <w:szCs w:val="26"/>
        </w:rPr>
        <w:t>Brinker</w:t>
      </w:r>
      <w:r w:rsidRPr="002D7212" w:rsidR="00EC1E7E">
        <w:rPr>
          <w:szCs w:val="26"/>
        </w:rPr>
        <w:t xml:space="preserve">, </w:t>
      </w:r>
      <w:r w:rsidRPr="002D7212" w:rsidR="00EC1E7E">
        <w:rPr>
          <w:i/>
          <w:szCs w:val="26"/>
        </w:rPr>
        <w:t>supra</w:t>
      </w:r>
      <w:r w:rsidRPr="002D7212" w:rsidR="00EC1E7E">
        <w:rPr>
          <w:szCs w:val="26"/>
        </w:rPr>
        <w:t xml:space="preserve">, 53 Cal.4th at p. 1053 (conc. opn. of Werdegar, J.).)  Instead, the </w:t>
      </w:r>
      <w:r w:rsidRPr="002D7212" w:rsidR="00064388">
        <w:rPr>
          <w:szCs w:val="26"/>
        </w:rPr>
        <w:t xml:space="preserve">assertion </w:t>
      </w:r>
      <w:r w:rsidRPr="002D7212" w:rsidR="00D95ABF">
        <w:rPr>
          <w:szCs w:val="26"/>
        </w:rPr>
        <w:t xml:space="preserve">is </w:t>
      </w:r>
      <w:r w:rsidRPr="002D7212" w:rsidR="005066B1">
        <w:t>“an affirmative defense</w:t>
      </w:r>
      <w:r w:rsidRPr="002D7212">
        <w:t>,</w:t>
      </w:r>
      <w:r w:rsidRPr="002D7212" w:rsidR="005066B1">
        <w:t xml:space="preserve">” and </w:t>
      </w:r>
      <w:r w:rsidRPr="002D7212" w:rsidR="007F133E">
        <w:t>“the burden is on the employer, as the party asserting waiver, to plead and prove it.”</w:t>
      </w:r>
      <w:r w:rsidRPr="002D7212" w:rsidR="0060395D">
        <w:t xml:space="preserve">  (</w:t>
      </w:r>
      <w:r w:rsidRPr="002D7212" w:rsidR="0060395D">
        <w:rPr>
          <w:i/>
        </w:rPr>
        <w:t>Ibid.</w:t>
      </w:r>
      <w:r w:rsidRPr="002D7212" w:rsidR="00AC5371">
        <w:t>)</w:t>
      </w:r>
      <w:r w:rsidRPr="002D7212" w:rsidR="00280D9F">
        <w:t xml:space="preserve">  </w:t>
      </w:r>
      <w:r w:rsidRPr="002D7212" w:rsidR="00B72891">
        <w:t>The</w:t>
      </w:r>
      <w:r w:rsidRPr="002D7212" w:rsidR="00750119">
        <w:t xml:space="preserve"> “plaintiff’s case-in-chief” </w:t>
      </w:r>
      <w:r w:rsidRPr="002D7212" w:rsidR="00E95747">
        <w:t xml:space="preserve">and the “affirmative defense” </w:t>
      </w:r>
      <w:r w:rsidRPr="002D7212" w:rsidR="00B72891">
        <w:t>re</w:t>
      </w:r>
      <w:r w:rsidRPr="002D7212" w:rsidR="00576A5D">
        <w:t xml:space="preserve">fer to the merits of the case.  </w:t>
      </w:r>
      <w:r w:rsidR="00CF0390">
        <w:t>C</w:t>
      </w:r>
      <w:r w:rsidRPr="002D7212" w:rsidR="006D34B2">
        <w:t xml:space="preserve">ontrary to AMN’s </w:t>
      </w:r>
      <w:r w:rsidRPr="002D7212" w:rsidR="00BD54CF">
        <w:t xml:space="preserve">argument, </w:t>
      </w:r>
      <w:r w:rsidRPr="002D7212" w:rsidR="007D630F">
        <w:t xml:space="preserve">the presumption </w:t>
      </w:r>
      <w:r w:rsidRPr="002D7212" w:rsidR="00EE42EC">
        <w:t>go</w:t>
      </w:r>
      <w:r w:rsidRPr="002D7212">
        <w:t>es</w:t>
      </w:r>
      <w:r w:rsidRPr="002D7212" w:rsidR="00FB106B">
        <w:t xml:space="preserve"> to</w:t>
      </w:r>
      <w:r w:rsidRPr="002D7212" w:rsidR="00EE42EC">
        <w:t xml:space="preserve"> the question of liability</w:t>
      </w:r>
      <w:r w:rsidRPr="002D7212" w:rsidR="00211FBB">
        <w:t xml:space="preserve"> and applies at the summary judgment stage</w:t>
      </w:r>
      <w:r w:rsidRPr="002D7212" w:rsidR="00EE42EC">
        <w:t xml:space="preserve">, </w:t>
      </w:r>
      <w:r w:rsidRPr="002D7212">
        <w:t xml:space="preserve">not </w:t>
      </w:r>
      <w:r w:rsidRPr="002D7212" w:rsidR="00211FBB">
        <w:t>just at the class certification stage</w:t>
      </w:r>
      <w:r w:rsidRPr="002D7212" w:rsidR="001B63BF">
        <w:t>.</w:t>
      </w:r>
    </w:p>
    <w:p w:rsidR="00CA7F41" w:rsidRPr="002D7212" w:rsidP="002D7212">
      <w:pPr>
        <w:ind w:firstLine="720"/>
      </w:pPr>
      <w:r>
        <w:t>Moreover</w:t>
      </w:r>
      <w:r w:rsidRPr="002D7212" w:rsidR="00EA03AF">
        <w:t>,</w:t>
      </w:r>
      <w:r w:rsidRPr="002D7212" w:rsidR="00C87F0B">
        <w:rPr>
          <w:szCs w:val="26"/>
        </w:rPr>
        <w:t xml:space="preserve"> </w:t>
      </w:r>
      <w:r w:rsidRPr="002D7212" w:rsidR="00A10C92">
        <w:rPr>
          <w:szCs w:val="26"/>
        </w:rPr>
        <w:t>AMN</w:t>
      </w:r>
      <w:r w:rsidRPr="002D7212" w:rsidR="00C87F0B">
        <w:rPr>
          <w:szCs w:val="26"/>
        </w:rPr>
        <w:t xml:space="preserve"> is incorrect</w:t>
      </w:r>
      <w:r w:rsidRPr="002D7212" w:rsidR="00A10C92">
        <w:rPr>
          <w:szCs w:val="26"/>
        </w:rPr>
        <w:t xml:space="preserve"> that the presumption applies only to records showing missed meal periods; the presumption applies to records showing short and delayed meal periods as well.  Providing employees with short or delayed meal periods is just as much a violation of the meal period provisions as failing to provide employees with a meal period at all.  </w:t>
      </w:r>
    </w:p>
    <w:p w:rsidR="00C87F0B" w:rsidRPr="002D7212" w:rsidP="002D7212">
      <w:pPr>
        <w:ind w:firstLine="720"/>
        <w:rPr>
          <w:szCs w:val="26"/>
        </w:rPr>
      </w:pPr>
      <w:r w:rsidRPr="002D7212">
        <w:t>The rationale underl</w:t>
      </w:r>
      <w:r w:rsidRPr="002D7212" w:rsidR="00CA7F41">
        <w:t>y</w:t>
      </w:r>
      <w:r w:rsidRPr="002D7212">
        <w:t xml:space="preserve">ing the </w:t>
      </w:r>
      <w:r w:rsidRPr="002D7212" w:rsidR="00D321F0">
        <w:t xml:space="preserve">rebuttable </w:t>
      </w:r>
      <w:r w:rsidRPr="002D7212">
        <w:t xml:space="preserve">presumption </w:t>
      </w:r>
      <w:r w:rsidRPr="002D7212" w:rsidR="003D1A60">
        <w:t>suppo</w:t>
      </w:r>
      <w:r w:rsidRPr="002D7212" w:rsidR="00CA7F41">
        <w:t xml:space="preserve">rts </w:t>
      </w:r>
      <w:r w:rsidRPr="002D7212" w:rsidR="000F31EE">
        <w:t>these conclusions</w:t>
      </w:r>
      <w:r w:rsidRPr="002D7212" w:rsidR="00CA7F41">
        <w:t xml:space="preserve">.  </w:t>
      </w:r>
      <w:r w:rsidRPr="002D7212" w:rsidR="00DD5806">
        <w:t xml:space="preserve">The presumption derives from </w:t>
      </w:r>
      <w:r w:rsidRPr="002D7212" w:rsidR="005A2A63">
        <w:t xml:space="preserve">an employer’s duty </w:t>
      </w:r>
      <w:r w:rsidRPr="002D7212" w:rsidR="006D69D2">
        <w:t xml:space="preserve">to maintain </w:t>
      </w:r>
      <w:r w:rsidRPr="002D7212" w:rsidR="0064186C">
        <w:t xml:space="preserve">accurate records </w:t>
      </w:r>
      <w:r w:rsidRPr="002D7212" w:rsidR="00603D7B">
        <w:t xml:space="preserve">of </w:t>
      </w:r>
      <w:r w:rsidRPr="002D7212" w:rsidR="00A80A97">
        <w:t>meal periods.  (</w:t>
      </w:r>
      <w:r w:rsidRPr="002D7212" w:rsidR="000B0DBB">
        <w:rPr>
          <w:i/>
          <w:szCs w:val="26"/>
        </w:rPr>
        <w:t>Brinker</w:t>
      </w:r>
      <w:r w:rsidRPr="002D7212" w:rsidR="000B0DBB">
        <w:rPr>
          <w:szCs w:val="26"/>
        </w:rPr>
        <w:t xml:space="preserve">, </w:t>
      </w:r>
      <w:r w:rsidRPr="002D7212" w:rsidR="000B0DBB">
        <w:rPr>
          <w:i/>
          <w:szCs w:val="26"/>
        </w:rPr>
        <w:t>supra</w:t>
      </w:r>
      <w:r w:rsidRPr="002D7212" w:rsidR="000B0DBB">
        <w:rPr>
          <w:szCs w:val="26"/>
        </w:rPr>
        <w:t xml:space="preserve">, 53 Cal.4th at p. 1053 (conc. opn. of Werdegar, J.); </w:t>
      </w:r>
      <w:r w:rsidRPr="002D7212" w:rsidR="000B0DBB">
        <w:t xml:space="preserve">Wage Order No. 4, </w:t>
      </w:r>
      <w:r w:rsidR="00D9463A">
        <w:rPr>
          <w:szCs w:val="26"/>
        </w:rPr>
        <w:t>§</w:t>
      </w:r>
      <w:r w:rsidRPr="002D7212" w:rsidR="000B0DBB">
        <w:rPr>
          <w:szCs w:val="26"/>
        </w:rPr>
        <w:t> 7(A)(3)</w:t>
      </w:r>
      <w:r w:rsidRPr="002D7212" w:rsidR="00E14709">
        <w:rPr>
          <w:szCs w:val="26"/>
        </w:rPr>
        <w:t xml:space="preserve"> [</w:t>
      </w:r>
      <w:r w:rsidRPr="002D7212" w:rsidR="00EA03AF">
        <w:rPr>
          <w:szCs w:val="26"/>
        </w:rPr>
        <w:t>“</w:t>
      </w:r>
      <w:r w:rsidRPr="002D7212" w:rsidR="00E14709">
        <w:rPr>
          <w:szCs w:val="26"/>
        </w:rPr>
        <w:t>Every employer shall keep accurate information</w:t>
      </w:r>
      <w:r w:rsidRPr="002D7212" w:rsidR="00280A55">
        <w:rPr>
          <w:szCs w:val="26"/>
        </w:rPr>
        <w:t xml:space="preserve"> with respect to each employee</w:t>
      </w:r>
      <w:r w:rsidRPr="002D7212" w:rsidR="00E14709">
        <w:rPr>
          <w:szCs w:val="26"/>
        </w:rPr>
        <w:t xml:space="preserve"> . . . </w:t>
      </w:r>
      <w:r w:rsidRPr="002D7212" w:rsidR="00280A55">
        <w:rPr>
          <w:szCs w:val="26"/>
        </w:rPr>
        <w:t>.</w:t>
      </w:r>
      <w:r w:rsidR="0050397D">
        <w:rPr>
          <w:szCs w:val="26"/>
        </w:rPr>
        <w:t xml:space="preserve">  [</w:t>
      </w:r>
      <w:r w:rsidR="0050397D">
        <w:t>¶] .</w:t>
      </w:r>
      <w:r w:rsidR="0058543D">
        <w:t> </w:t>
      </w:r>
      <w:r w:rsidR="0050397D">
        <w:t>.</w:t>
      </w:r>
      <w:r w:rsidR="0058543D">
        <w:t> </w:t>
      </w:r>
      <w:r w:rsidR="0050397D">
        <w:t>. [¶] .</w:t>
      </w:r>
      <w:r w:rsidR="0058543D">
        <w:t> </w:t>
      </w:r>
      <w:r w:rsidR="0050397D">
        <w:t>.</w:t>
      </w:r>
      <w:r w:rsidR="0058543D">
        <w:t> </w:t>
      </w:r>
      <w:r w:rsidR="0050397D">
        <w:t>.</w:t>
      </w:r>
      <w:r w:rsidRPr="002D7212" w:rsidR="00280A55">
        <w:rPr>
          <w:szCs w:val="26"/>
        </w:rPr>
        <w:t xml:space="preserve">  M</w:t>
      </w:r>
      <w:r w:rsidRPr="002D7212" w:rsidR="00E14709">
        <w:rPr>
          <w:szCs w:val="26"/>
        </w:rPr>
        <w:t>eal periods</w:t>
      </w:r>
      <w:r w:rsidRPr="002D7212" w:rsidR="00280A55">
        <w:rPr>
          <w:szCs w:val="26"/>
        </w:rPr>
        <w:t xml:space="preserve"> . . . shall also be recorded</w:t>
      </w:r>
      <w:r w:rsidRPr="002D7212" w:rsidR="00E14709">
        <w:rPr>
          <w:szCs w:val="26"/>
        </w:rPr>
        <w:t>.”]</w:t>
      </w:r>
      <w:r w:rsidRPr="002D7212" w:rsidR="006C3A91">
        <w:rPr>
          <w:szCs w:val="26"/>
        </w:rPr>
        <w:t xml:space="preserve">.) </w:t>
      </w:r>
      <w:r w:rsidRPr="002D7212" w:rsidR="00786E37">
        <w:rPr>
          <w:szCs w:val="26"/>
        </w:rPr>
        <w:t xml:space="preserve"> </w:t>
      </w:r>
      <w:r w:rsidRPr="002D7212" w:rsidR="00F3396D">
        <w:rPr>
          <w:szCs w:val="26"/>
        </w:rPr>
        <w:t xml:space="preserve">It is important that employers keep accurate records </w:t>
      </w:r>
      <w:r w:rsidRPr="002D7212" w:rsidR="00B95BD8">
        <w:rPr>
          <w:szCs w:val="26"/>
        </w:rPr>
        <w:t xml:space="preserve">so that </w:t>
      </w:r>
      <w:r w:rsidRPr="002D7212" w:rsidR="00B633F0">
        <w:rPr>
          <w:szCs w:val="26"/>
        </w:rPr>
        <w:t>enforcement agencies can “ ‘adequately investigate and enforce’ a wage order’s meal period provisions.”  (</w:t>
      </w:r>
      <w:r w:rsidRPr="002D7212" w:rsidR="00B633F0">
        <w:rPr>
          <w:i/>
          <w:szCs w:val="26"/>
        </w:rPr>
        <w:t>Brinker</w:t>
      </w:r>
      <w:r w:rsidRPr="002D7212" w:rsidR="00B62A7A">
        <w:rPr>
          <w:szCs w:val="26"/>
        </w:rPr>
        <w:t>, at p. 1053</w:t>
      </w:r>
      <w:r w:rsidR="009D4577">
        <w:rPr>
          <w:szCs w:val="26"/>
        </w:rPr>
        <w:t xml:space="preserve"> (conc. opn. of We</w:t>
      </w:r>
      <w:r w:rsidR="0034441D">
        <w:rPr>
          <w:szCs w:val="26"/>
        </w:rPr>
        <w:t>r</w:t>
      </w:r>
      <w:r w:rsidR="009D4577">
        <w:rPr>
          <w:szCs w:val="26"/>
        </w:rPr>
        <w:t>degar, J.)</w:t>
      </w:r>
      <w:r w:rsidRPr="002D7212" w:rsidR="00B62A7A">
        <w:rPr>
          <w:szCs w:val="26"/>
        </w:rPr>
        <w:t>.)</w:t>
      </w:r>
      <w:r w:rsidRPr="002D7212" w:rsidR="00E326D9">
        <w:rPr>
          <w:szCs w:val="26"/>
        </w:rPr>
        <w:t xml:space="preserve">  Because </w:t>
      </w:r>
      <w:r w:rsidR="00CF0390">
        <w:rPr>
          <w:szCs w:val="26"/>
        </w:rPr>
        <w:t xml:space="preserve">time records are </w:t>
      </w:r>
      <w:r w:rsidR="006C3CBC">
        <w:rPr>
          <w:szCs w:val="26"/>
        </w:rPr>
        <w:t xml:space="preserve">required </w:t>
      </w:r>
      <w:r w:rsidR="00CF0390">
        <w:rPr>
          <w:szCs w:val="26"/>
        </w:rPr>
        <w:t xml:space="preserve">to be </w:t>
      </w:r>
      <w:r w:rsidRPr="002D7212" w:rsidR="004A0840">
        <w:rPr>
          <w:szCs w:val="26"/>
        </w:rPr>
        <w:t xml:space="preserve">accurate, it makes sense to </w:t>
      </w:r>
      <w:r w:rsidRPr="002D7212" w:rsidR="0037039A">
        <w:rPr>
          <w:szCs w:val="26"/>
        </w:rPr>
        <w:t xml:space="preserve">apply </w:t>
      </w:r>
      <w:r w:rsidRPr="002D7212" w:rsidR="00745D66">
        <w:rPr>
          <w:szCs w:val="26"/>
        </w:rPr>
        <w:t xml:space="preserve">a rebuttable presumption of </w:t>
      </w:r>
      <w:r w:rsidRPr="002D7212" w:rsidR="004420B2">
        <w:rPr>
          <w:szCs w:val="26"/>
        </w:rPr>
        <w:t>liability</w:t>
      </w:r>
      <w:r w:rsidRPr="002D7212" w:rsidR="00111712">
        <w:rPr>
          <w:szCs w:val="26"/>
        </w:rPr>
        <w:t xml:space="preserve"> when records show noncompliant </w:t>
      </w:r>
      <w:r w:rsidRPr="002D7212" w:rsidR="00043C7D">
        <w:rPr>
          <w:szCs w:val="26"/>
        </w:rPr>
        <w:t xml:space="preserve">meal periods. </w:t>
      </w:r>
      <w:r w:rsidRPr="002D7212" w:rsidR="00C773B6">
        <w:rPr>
          <w:szCs w:val="26"/>
        </w:rPr>
        <w:t xml:space="preserve"> </w:t>
      </w:r>
      <w:r w:rsidRPr="002D7212" w:rsidR="00043C7D">
        <w:rPr>
          <w:szCs w:val="26"/>
        </w:rPr>
        <w:t xml:space="preserve">If the records are accurate, </w:t>
      </w:r>
      <w:r w:rsidRPr="002D7212" w:rsidR="005A2066">
        <w:rPr>
          <w:szCs w:val="26"/>
        </w:rPr>
        <w:t xml:space="preserve">then the records </w:t>
      </w:r>
      <w:r w:rsidRPr="002D7212" w:rsidR="00D42D9E">
        <w:rPr>
          <w:szCs w:val="26"/>
        </w:rPr>
        <w:t>reflect an employer’s true liability</w:t>
      </w:r>
      <w:r w:rsidR="006C3CBC">
        <w:rPr>
          <w:szCs w:val="26"/>
        </w:rPr>
        <w:t>; a</w:t>
      </w:r>
      <w:r w:rsidRPr="002D7212" w:rsidR="00D42D9E">
        <w:rPr>
          <w:szCs w:val="26"/>
        </w:rPr>
        <w:t xml:space="preserve">pplying </w:t>
      </w:r>
      <w:r w:rsidRPr="002D7212" w:rsidR="008C5C07">
        <w:rPr>
          <w:szCs w:val="26"/>
        </w:rPr>
        <w:t xml:space="preserve">the presumption would not </w:t>
      </w:r>
      <w:r w:rsidRPr="002D7212" w:rsidR="00FD3796">
        <w:rPr>
          <w:szCs w:val="26"/>
        </w:rPr>
        <w:t xml:space="preserve">adversely affect </w:t>
      </w:r>
      <w:r w:rsidRPr="002D7212" w:rsidR="00EA03AF">
        <w:rPr>
          <w:szCs w:val="26"/>
        </w:rPr>
        <w:t xml:space="preserve">an </w:t>
      </w:r>
      <w:r w:rsidRPr="002D7212" w:rsidR="00FD3796">
        <w:rPr>
          <w:szCs w:val="26"/>
        </w:rPr>
        <w:t>employer</w:t>
      </w:r>
      <w:r w:rsidRPr="002D7212" w:rsidR="00EA03AF">
        <w:rPr>
          <w:szCs w:val="26"/>
        </w:rPr>
        <w:t xml:space="preserve"> that has complied with meal period requirements and has maintained accurate records</w:t>
      </w:r>
      <w:r w:rsidRPr="002D7212" w:rsidR="00FD3796">
        <w:rPr>
          <w:szCs w:val="26"/>
        </w:rPr>
        <w:t xml:space="preserve">.  </w:t>
      </w:r>
      <w:r w:rsidRPr="002D7212" w:rsidR="00A01CC9">
        <w:rPr>
          <w:szCs w:val="26"/>
        </w:rPr>
        <w:t xml:space="preserve">If the records </w:t>
      </w:r>
      <w:r w:rsidRPr="002D7212" w:rsidR="00FA7910">
        <w:rPr>
          <w:szCs w:val="26"/>
        </w:rPr>
        <w:t>are incomplete or inaccurate</w:t>
      </w:r>
      <w:r w:rsidR="004270BF">
        <w:rPr>
          <w:szCs w:val="26"/>
        </w:rPr>
        <w:t> </w:t>
      </w:r>
      <w:r w:rsidR="003B2C6A">
        <w:rPr>
          <w:szCs w:val="26"/>
        </w:rPr>
        <w:t>—</w:t>
      </w:r>
      <w:r w:rsidR="004270BF">
        <w:rPr>
          <w:szCs w:val="26"/>
        </w:rPr>
        <w:t> </w:t>
      </w:r>
      <w:r w:rsidR="003B2C6A">
        <w:rPr>
          <w:szCs w:val="26"/>
        </w:rPr>
        <w:t xml:space="preserve">for example, the records do not clearly indicate </w:t>
      </w:r>
      <w:r w:rsidR="0068560F">
        <w:rPr>
          <w:szCs w:val="26"/>
        </w:rPr>
        <w:t>whether the employee chose to work during meal periods despite bona fide relief from duty</w:t>
      </w:r>
      <w:r w:rsidR="004270BF">
        <w:rPr>
          <w:szCs w:val="26"/>
        </w:rPr>
        <w:t> </w:t>
      </w:r>
      <w:r w:rsidR="003B2C6A">
        <w:rPr>
          <w:szCs w:val="26"/>
        </w:rPr>
        <w:t>—</w:t>
      </w:r>
      <w:r w:rsidR="004270BF">
        <w:rPr>
          <w:szCs w:val="26"/>
        </w:rPr>
        <w:t> </w:t>
      </w:r>
      <w:r w:rsidRPr="002D7212" w:rsidR="00CC1DF2">
        <w:rPr>
          <w:szCs w:val="26"/>
        </w:rPr>
        <w:t xml:space="preserve">then </w:t>
      </w:r>
      <w:r w:rsidRPr="002D7212" w:rsidR="00B40BC5">
        <w:rPr>
          <w:szCs w:val="26"/>
        </w:rPr>
        <w:t xml:space="preserve">the employer can </w:t>
      </w:r>
      <w:r w:rsidRPr="002D7212" w:rsidR="00AF588F">
        <w:rPr>
          <w:szCs w:val="26"/>
        </w:rPr>
        <w:t xml:space="preserve">offer evidence </w:t>
      </w:r>
      <w:r w:rsidRPr="002D7212" w:rsidR="00FD3796">
        <w:rPr>
          <w:szCs w:val="26"/>
        </w:rPr>
        <w:t xml:space="preserve">to rebut the presumption.  It is appropriate to place </w:t>
      </w:r>
      <w:r w:rsidRPr="002D7212" w:rsidR="00AF1430">
        <w:rPr>
          <w:szCs w:val="26"/>
        </w:rPr>
        <w:t>t</w:t>
      </w:r>
      <w:r w:rsidRPr="002D7212" w:rsidR="00C51C44">
        <w:rPr>
          <w:szCs w:val="26"/>
        </w:rPr>
        <w:t xml:space="preserve">he burden </w:t>
      </w:r>
      <w:r w:rsidRPr="002D7212" w:rsidR="00CB6BC3">
        <w:rPr>
          <w:szCs w:val="26"/>
        </w:rPr>
        <w:t xml:space="preserve">on the employer to </w:t>
      </w:r>
      <w:r w:rsidRPr="002D7212" w:rsidR="00271215">
        <w:rPr>
          <w:szCs w:val="26"/>
        </w:rPr>
        <w:t>plead and prove</w:t>
      </w:r>
      <w:r w:rsidR="005601AE">
        <w:rPr>
          <w:szCs w:val="26"/>
        </w:rPr>
        <w:t>,</w:t>
      </w:r>
      <w:r w:rsidRPr="005601AE" w:rsidR="005601AE">
        <w:rPr>
          <w:szCs w:val="26"/>
        </w:rPr>
        <w:t xml:space="preserve"> </w:t>
      </w:r>
      <w:r w:rsidRPr="002D7212" w:rsidR="005601AE">
        <w:rPr>
          <w:szCs w:val="26"/>
        </w:rPr>
        <w:t>as an affirmative defense</w:t>
      </w:r>
      <w:r w:rsidR="005601AE">
        <w:rPr>
          <w:szCs w:val="26"/>
        </w:rPr>
        <w:t>,</w:t>
      </w:r>
      <w:r w:rsidRPr="002D7212" w:rsidR="00D90120">
        <w:rPr>
          <w:szCs w:val="26"/>
        </w:rPr>
        <w:t xml:space="preserve"> </w:t>
      </w:r>
      <w:r w:rsidR="003B2C6A">
        <w:rPr>
          <w:szCs w:val="26"/>
        </w:rPr>
        <w:t>that it genuinely relieved employees</w:t>
      </w:r>
      <w:r w:rsidR="004934BE">
        <w:rPr>
          <w:szCs w:val="26"/>
        </w:rPr>
        <w:t xml:space="preserve"> from duty</w:t>
      </w:r>
      <w:r w:rsidR="005601AE">
        <w:rPr>
          <w:szCs w:val="26"/>
        </w:rPr>
        <w:t xml:space="preserve"> during meal periods</w:t>
      </w:r>
      <w:r w:rsidRPr="002D7212" w:rsidR="00B26E1D">
        <w:rPr>
          <w:szCs w:val="26"/>
        </w:rPr>
        <w:t>.  (</w:t>
      </w:r>
      <w:r w:rsidRPr="002D7212" w:rsidR="00B26E1D">
        <w:rPr>
          <w:i/>
          <w:szCs w:val="26"/>
        </w:rPr>
        <w:t>Ibid.</w:t>
      </w:r>
      <w:r w:rsidRPr="002D7212" w:rsidR="00B26E1D">
        <w:rPr>
          <w:szCs w:val="26"/>
        </w:rPr>
        <w:t>)  “To place the burden elsewhere would offer an employer an incentive to avoid its recording duty and a potential windfall from the failure to record meal periods.”  (</w:t>
      </w:r>
      <w:r w:rsidRPr="002D7212" w:rsidR="00B26E1D">
        <w:rPr>
          <w:i/>
          <w:szCs w:val="26"/>
        </w:rPr>
        <w:t xml:space="preserve">Id. </w:t>
      </w:r>
      <w:r w:rsidRPr="002D7212" w:rsidR="00B26E1D">
        <w:rPr>
          <w:szCs w:val="26"/>
        </w:rPr>
        <w:t xml:space="preserve">at p. 1053, fn. 1.)  </w:t>
      </w:r>
      <w:r w:rsidRPr="002D7212" w:rsidR="00271961">
        <w:rPr>
          <w:szCs w:val="26"/>
        </w:rPr>
        <w:t xml:space="preserve">“ ‘ “[W]here the employer has failed to keep records required by statute, the consequences for such failure </w:t>
      </w:r>
      <w:r w:rsidRPr="002D7212" w:rsidR="00C74E3D">
        <w:rPr>
          <w:szCs w:val="26"/>
        </w:rPr>
        <w:t>should</w:t>
      </w:r>
      <w:r w:rsidRPr="002D7212" w:rsidR="00271961">
        <w:rPr>
          <w:szCs w:val="26"/>
        </w:rPr>
        <w:t xml:space="preserve"> fall on the employer, not the employee.” ’ ”  (</w:t>
      </w:r>
      <w:r w:rsidRPr="002D7212" w:rsidR="00271961">
        <w:rPr>
          <w:i/>
          <w:szCs w:val="26"/>
        </w:rPr>
        <w:t>Ibid.</w:t>
      </w:r>
      <w:r w:rsidRPr="002D7212" w:rsidR="00271961">
        <w:rPr>
          <w:szCs w:val="26"/>
        </w:rPr>
        <w:t>)</w:t>
      </w:r>
    </w:p>
    <w:p w:rsidR="00D92333" w:rsidRPr="002D7212" w:rsidP="002D7212">
      <w:pPr>
        <w:ind w:firstLine="720"/>
        <w:rPr>
          <w:szCs w:val="26"/>
        </w:rPr>
      </w:pPr>
      <w:r w:rsidRPr="002D7212">
        <w:rPr>
          <w:szCs w:val="26"/>
        </w:rPr>
        <w:t>In addition</w:t>
      </w:r>
      <w:r w:rsidRPr="002D7212" w:rsidR="0097028C">
        <w:rPr>
          <w:szCs w:val="26"/>
        </w:rPr>
        <w:t xml:space="preserve">, </w:t>
      </w:r>
      <w:r w:rsidRPr="002D7212" w:rsidR="00582A28">
        <w:rPr>
          <w:szCs w:val="26"/>
        </w:rPr>
        <w:t xml:space="preserve">we reject AMN’s argument that </w:t>
      </w:r>
      <w:r w:rsidRPr="002D7212" w:rsidR="00B9397B">
        <w:rPr>
          <w:szCs w:val="26"/>
        </w:rPr>
        <w:t>applying the presumption at the summary judgment stage</w:t>
      </w:r>
      <w:r w:rsidRPr="002D7212" w:rsidR="00582A28">
        <w:rPr>
          <w:szCs w:val="26"/>
        </w:rPr>
        <w:t xml:space="preserve"> </w:t>
      </w:r>
      <w:r w:rsidRPr="002D7212" w:rsidR="007A0295">
        <w:rPr>
          <w:szCs w:val="26"/>
        </w:rPr>
        <w:t>would evisc</w:t>
      </w:r>
      <w:r w:rsidRPr="002D7212" w:rsidR="0029161D">
        <w:rPr>
          <w:szCs w:val="26"/>
        </w:rPr>
        <w:t>erate the</w:t>
      </w:r>
      <w:r w:rsidRPr="002D7212" w:rsidR="00156269">
        <w:rPr>
          <w:szCs w:val="26"/>
        </w:rPr>
        <w:t xml:space="preserve"> rule that employers need not police </w:t>
      </w:r>
      <w:r w:rsidRPr="002D7212" w:rsidR="00A573B0">
        <w:rPr>
          <w:szCs w:val="26"/>
        </w:rPr>
        <w:t xml:space="preserve">meal </w:t>
      </w:r>
      <w:r w:rsidR="00892D52">
        <w:rPr>
          <w:szCs w:val="26"/>
        </w:rPr>
        <w:t>periods</w:t>
      </w:r>
      <w:r w:rsidRPr="002D7212" w:rsidR="00A573B0">
        <w:rPr>
          <w:szCs w:val="26"/>
        </w:rPr>
        <w:t xml:space="preserve">.  </w:t>
      </w:r>
      <w:r w:rsidRPr="002D7212" w:rsidR="00211C52">
        <w:rPr>
          <w:szCs w:val="26"/>
        </w:rPr>
        <w:t xml:space="preserve">In </w:t>
      </w:r>
      <w:r w:rsidRPr="002D7212" w:rsidR="00211C52">
        <w:rPr>
          <w:i/>
          <w:szCs w:val="26"/>
        </w:rPr>
        <w:t>Brinker</w:t>
      </w:r>
      <w:r w:rsidRPr="002D7212" w:rsidR="00211C52">
        <w:rPr>
          <w:szCs w:val="26"/>
        </w:rPr>
        <w:t xml:space="preserve">, </w:t>
      </w:r>
      <w:r w:rsidRPr="002D7212" w:rsidR="00301203">
        <w:rPr>
          <w:szCs w:val="26"/>
        </w:rPr>
        <w:t xml:space="preserve">we </w:t>
      </w:r>
      <w:r w:rsidRPr="002D7212" w:rsidR="00B340BC">
        <w:rPr>
          <w:szCs w:val="26"/>
        </w:rPr>
        <w:t xml:space="preserve">said that </w:t>
      </w:r>
      <w:r w:rsidRPr="002D7212" w:rsidR="00343CAF">
        <w:rPr>
          <w:szCs w:val="26"/>
        </w:rPr>
        <w:t>an “</w:t>
      </w:r>
      <w:r w:rsidRPr="002D7212" w:rsidR="007969BE">
        <w:rPr>
          <w:szCs w:val="26"/>
        </w:rPr>
        <w:t>employer satisfies [meal period] obligation</w:t>
      </w:r>
      <w:r w:rsidRPr="002D7212" w:rsidR="00CD706A">
        <w:rPr>
          <w:szCs w:val="26"/>
        </w:rPr>
        <w:t>[</w:t>
      </w:r>
      <w:r w:rsidRPr="002D7212" w:rsidR="007969BE">
        <w:rPr>
          <w:szCs w:val="26"/>
        </w:rPr>
        <w:t>s</w:t>
      </w:r>
      <w:r w:rsidRPr="002D7212" w:rsidR="00CD706A">
        <w:rPr>
          <w:szCs w:val="26"/>
        </w:rPr>
        <w:t>]</w:t>
      </w:r>
      <w:r w:rsidRPr="002D7212" w:rsidR="007969BE">
        <w:rPr>
          <w:szCs w:val="26"/>
        </w:rPr>
        <w:t xml:space="preserve"> if it relieves its employees of all duty, relinquishes control over their activities and permits them a reasonable opportunity to take an uninterrupted 30-minute break, and does not impede or discourage them from doing so.</w:t>
      </w:r>
      <w:r w:rsidR="003647AE">
        <w:rPr>
          <w:szCs w:val="26"/>
        </w:rPr>
        <w:t> </w:t>
      </w:r>
      <w:r w:rsidRPr="002D7212" w:rsidR="007969BE">
        <w:rPr>
          <w:szCs w:val="26"/>
        </w:rPr>
        <w:t xml:space="preserve">. . . </w:t>
      </w:r>
      <w:r w:rsidR="003647AE">
        <w:rPr>
          <w:szCs w:val="26"/>
        </w:rPr>
        <w:t xml:space="preserve"> </w:t>
      </w:r>
      <w:r w:rsidR="0034441D">
        <w:t>[¶]  .</w:t>
      </w:r>
      <w:r w:rsidR="00617C4E">
        <w:t> </w:t>
      </w:r>
      <w:r w:rsidR="0034441D">
        <w:t>.</w:t>
      </w:r>
      <w:r w:rsidR="00617C4E">
        <w:t> </w:t>
      </w:r>
      <w:r w:rsidR="0034441D">
        <w:t xml:space="preserve">. </w:t>
      </w:r>
      <w:r w:rsidRPr="002D7212" w:rsidR="00C97FA7">
        <w:rPr>
          <w:szCs w:val="26"/>
        </w:rPr>
        <w:t xml:space="preserve">[T]he employer is not obligated to police meal breaks and ensure no work thereafter is performed.  </w:t>
      </w:r>
      <w:r w:rsidRPr="002D7212" w:rsidR="007969BE">
        <w:rPr>
          <w:szCs w:val="26"/>
        </w:rPr>
        <w:t>Bona fide relief from duty and the relinquishing of control satisfies the employer’</w:t>
      </w:r>
      <w:r w:rsidRPr="002D7212" w:rsidR="00C97FA7">
        <w:rPr>
          <w:szCs w:val="26"/>
        </w:rPr>
        <w:t xml:space="preserve">s obligations, </w:t>
      </w:r>
      <w:r w:rsidRPr="002D7212" w:rsidR="007969BE">
        <w:rPr>
          <w:szCs w:val="26"/>
        </w:rPr>
        <w:t>and work by a</w:t>
      </w:r>
      <w:r w:rsidRPr="002D7212" w:rsidR="00C97FA7">
        <w:rPr>
          <w:szCs w:val="26"/>
        </w:rPr>
        <w:t xml:space="preserve"> </w:t>
      </w:r>
      <w:r w:rsidRPr="002D7212" w:rsidR="007969BE">
        <w:rPr>
          <w:szCs w:val="26"/>
        </w:rPr>
        <w:t>relieved employee during a meal break does not thereby place the employer</w:t>
      </w:r>
      <w:r w:rsidRPr="002D7212" w:rsidR="00C97FA7">
        <w:rPr>
          <w:szCs w:val="26"/>
        </w:rPr>
        <w:t xml:space="preserve"> </w:t>
      </w:r>
      <w:r w:rsidRPr="002D7212" w:rsidR="007969BE">
        <w:rPr>
          <w:szCs w:val="26"/>
        </w:rPr>
        <w:t>in violation of its obligations and create liability for premium pay</w:t>
      </w:r>
      <w:r w:rsidR="00365A7B">
        <w:rPr>
          <w:szCs w:val="26"/>
        </w:rPr>
        <w:t xml:space="preserve"> .</w:t>
      </w:r>
      <w:r w:rsidR="00617C4E">
        <w:rPr>
          <w:szCs w:val="26"/>
        </w:rPr>
        <w:t> </w:t>
      </w:r>
      <w:r w:rsidR="00365A7B">
        <w:rPr>
          <w:szCs w:val="26"/>
        </w:rPr>
        <w:t>.</w:t>
      </w:r>
      <w:r w:rsidR="00617C4E">
        <w:rPr>
          <w:szCs w:val="26"/>
        </w:rPr>
        <w:t> </w:t>
      </w:r>
      <w:r w:rsidR="00365A7B">
        <w:rPr>
          <w:szCs w:val="26"/>
        </w:rPr>
        <w:t>.</w:t>
      </w:r>
      <w:r w:rsidR="00617C4E">
        <w:rPr>
          <w:szCs w:val="26"/>
        </w:rPr>
        <w:t> </w:t>
      </w:r>
      <w:r w:rsidRPr="002D7212" w:rsidR="00C97FA7">
        <w:rPr>
          <w:szCs w:val="26"/>
        </w:rPr>
        <w:t>.”  (</w:t>
      </w:r>
      <w:r w:rsidRPr="002D7212" w:rsidR="00C97FA7">
        <w:rPr>
          <w:i/>
          <w:szCs w:val="26"/>
        </w:rPr>
        <w:t>Brinker</w:t>
      </w:r>
      <w:r w:rsidRPr="002D7212" w:rsidR="00C97FA7">
        <w:rPr>
          <w:szCs w:val="26"/>
        </w:rPr>
        <w:t xml:space="preserve">, </w:t>
      </w:r>
      <w:r w:rsidRPr="002D7212" w:rsidR="00C97FA7">
        <w:rPr>
          <w:i/>
          <w:szCs w:val="26"/>
        </w:rPr>
        <w:t>supra</w:t>
      </w:r>
      <w:r w:rsidRPr="002D7212" w:rsidR="00C97FA7">
        <w:rPr>
          <w:szCs w:val="26"/>
        </w:rPr>
        <w:t>, 53 Cal.4th at p</w:t>
      </w:r>
      <w:r w:rsidRPr="002D7212" w:rsidR="005A385C">
        <w:rPr>
          <w:szCs w:val="26"/>
        </w:rPr>
        <w:t>p</w:t>
      </w:r>
      <w:r w:rsidRPr="002D7212" w:rsidR="00C97FA7">
        <w:rPr>
          <w:szCs w:val="26"/>
        </w:rPr>
        <w:t>. 10</w:t>
      </w:r>
      <w:r w:rsidRPr="002D7212" w:rsidR="00EF7541">
        <w:rPr>
          <w:szCs w:val="26"/>
        </w:rPr>
        <w:t>4</w:t>
      </w:r>
      <w:r w:rsidRPr="002D7212" w:rsidR="005A385C">
        <w:rPr>
          <w:szCs w:val="26"/>
        </w:rPr>
        <w:t>0–104</w:t>
      </w:r>
      <w:r w:rsidRPr="002D7212" w:rsidR="00EF7541">
        <w:rPr>
          <w:szCs w:val="26"/>
        </w:rPr>
        <w:t>1.)</w:t>
      </w:r>
      <w:r w:rsidRPr="002D7212" w:rsidR="002A7C6A">
        <w:rPr>
          <w:szCs w:val="26"/>
        </w:rPr>
        <w:t xml:space="preserve">  </w:t>
      </w:r>
      <w:r w:rsidRPr="002D7212" w:rsidR="00D77218">
        <w:rPr>
          <w:szCs w:val="26"/>
        </w:rPr>
        <w:t>In</w:t>
      </w:r>
      <w:r w:rsidRPr="002D7212" w:rsidR="00D77218">
        <w:t xml:space="preserve"> AMN’s </w:t>
      </w:r>
      <w:r w:rsidRPr="002D7212" w:rsidR="00D77218">
        <w:rPr>
          <w:szCs w:val="26"/>
        </w:rPr>
        <w:t>view,</w:t>
      </w:r>
      <w:r w:rsidRPr="002D7212" w:rsidR="00D77218">
        <w:t xml:space="preserve"> applying the presumption </w:t>
      </w:r>
      <w:r w:rsidRPr="002D7212" w:rsidR="00D77218">
        <w:rPr>
          <w:szCs w:val="26"/>
        </w:rPr>
        <w:t xml:space="preserve">at the summary judgment stage </w:t>
      </w:r>
      <w:r w:rsidRPr="002D7212" w:rsidR="00D77218">
        <w:t>means that</w:t>
      </w:r>
      <w:r w:rsidRPr="002D7212" w:rsidR="00D80F7C">
        <w:t xml:space="preserve"> </w:t>
      </w:r>
      <w:r w:rsidRPr="002D7212" w:rsidR="00D77218">
        <w:rPr>
          <w:szCs w:val="26"/>
        </w:rPr>
        <w:t xml:space="preserve">time records showing </w:t>
      </w:r>
      <w:r w:rsidRPr="002D7212" w:rsidR="002530F9">
        <w:rPr>
          <w:szCs w:val="26"/>
        </w:rPr>
        <w:t>missed, short, or delayed</w:t>
      </w:r>
      <w:r w:rsidRPr="002D7212" w:rsidR="00D77218">
        <w:rPr>
          <w:szCs w:val="26"/>
        </w:rPr>
        <w:t xml:space="preserve"> meal periods</w:t>
      </w:r>
      <w:r w:rsidRPr="002D7212" w:rsidR="00B66EE5">
        <w:rPr>
          <w:szCs w:val="26"/>
        </w:rPr>
        <w:t xml:space="preserve"> </w:t>
      </w:r>
      <w:r w:rsidRPr="002D7212" w:rsidR="000D7FE4">
        <w:rPr>
          <w:szCs w:val="26"/>
        </w:rPr>
        <w:t>create</w:t>
      </w:r>
      <w:r w:rsidRPr="002D7212" w:rsidR="00D77218">
        <w:rPr>
          <w:szCs w:val="26"/>
        </w:rPr>
        <w:t xml:space="preserve"> “automatic liability” </w:t>
      </w:r>
      <w:r w:rsidRPr="002D7212" w:rsidR="00385775">
        <w:rPr>
          <w:szCs w:val="26"/>
        </w:rPr>
        <w:t>for</w:t>
      </w:r>
      <w:r w:rsidRPr="002D7212" w:rsidR="00D77218">
        <w:rPr>
          <w:szCs w:val="26"/>
        </w:rPr>
        <w:t xml:space="preserve"> </w:t>
      </w:r>
      <w:r w:rsidRPr="002D7212" w:rsidR="00D77218">
        <w:t>employers</w:t>
      </w:r>
      <w:r w:rsidRPr="002D7212" w:rsidR="00D77218">
        <w:rPr>
          <w:szCs w:val="26"/>
        </w:rPr>
        <w:t>.</w:t>
      </w:r>
      <w:r w:rsidRPr="002D7212" w:rsidR="00AB4B71">
        <w:rPr>
          <w:szCs w:val="26"/>
        </w:rPr>
        <w:t xml:space="preserve">  </w:t>
      </w:r>
      <w:r w:rsidRPr="002D7212" w:rsidR="004F0EC4">
        <w:rPr>
          <w:szCs w:val="26"/>
        </w:rPr>
        <w:t>According to AMN,</w:t>
      </w:r>
      <w:r w:rsidRPr="002D7212" w:rsidR="00F43BD2">
        <w:rPr>
          <w:szCs w:val="26"/>
        </w:rPr>
        <w:t xml:space="preserve"> </w:t>
      </w:r>
      <w:r w:rsidRPr="002D7212" w:rsidR="00FA0BB5">
        <w:rPr>
          <w:szCs w:val="26"/>
        </w:rPr>
        <w:t xml:space="preserve">this </w:t>
      </w:r>
      <w:r w:rsidRPr="002D7212" w:rsidR="004230F9">
        <w:rPr>
          <w:szCs w:val="26"/>
        </w:rPr>
        <w:t>would leave</w:t>
      </w:r>
      <w:r w:rsidRPr="002D7212" w:rsidR="00F106B4">
        <w:rPr>
          <w:szCs w:val="26"/>
        </w:rPr>
        <w:t xml:space="preserve"> employers </w:t>
      </w:r>
      <w:r w:rsidRPr="002D7212" w:rsidR="007D16C6">
        <w:rPr>
          <w:szCs w:val="26"/>
        </w:rPr>
        <w:t xml:space="preserve">with </w:t>
      </w:r>
      <w:r w:rsidRPr="002D7212" w:rsidR="008D28ED">
        <w:rPr>
          <w:szCs w:val="26"/>
        </w:rPr>
        <w:t xml:space="preserve">two options </w:t>
      </w:r>
      <w:r w:rsidRPr="002D7212" w:rsidR="00F20193">
        <w:rPr>
          <w:szCs w:val="26"/>
        </w:rPr>
        <w:t>for avoiding</w:t>
      </w:r>
      <w:r w:rsidRPr="002D7212" w:rsidR="008D28ED">
        <w:rPr>
          <w:szCs w:val="26"/>
        </w:rPr>
        <w:t xml:space="preserve"> liability</w:t>
      </w:r>
      <w:r w:rsidR="00F57D02">
        <w:rPr>
          <w:szCs w:val="26"/>
        </w:rPr>
        <w:t>:</w:t>
      </w:r>
      <w:r w:rsidRPr="002D7212" w:rsidR="00DD27A1">
        <w:rPr>
          <w:szCs w:val="26"/>
        </w:rPr>
        <w:t xml:space="preserve">  </w:t>
      </w:r>
      <w:r w:rsidRPr="002D7212" w:rsidR="00251D44">
        <w:rPr>
          <w:szCs w:val="26"/>
        </w:rPr>
        <w:t xml:space="preserve">Employers could </w:t>
      </w:r>
      <w:r w:rsidRPr="002D7212" w:rsidR="00FE5B02">
        <w:rPr>
          <w:szCs w:val="26"/>
        </w:rPr>
        <w:t xml:space="preserve">monitor every meal period </w:t>
      </w:r>
      <w:r w:rsidRPr="002D7212" w:rsidR="004C2228">
        <w:rPr>
          <w:szCs w:val="26"/>
        </w:rPr>
        <w:t>and ensure no work is performed</w:t>
      </w:r>
      <w:r w:rsidR="00F57D02">
        <w:rPr>
          <w:szCs w:val="26"/>
        </w:rPr>
        <w:t xml:space="preserve">, or </w:t>
      </w:r>
      <w:r w:rsidRPr="002D7212" w:rsidR="00EB785D">
        <w:rPr>
          <w:szCs w:val="26"/>
        </w:rPr>
        <w:t>employers could</w:t>
      </w:r>
      <w:r w:rsidRPr="002D7212" w:rsidR="00B95BCA">
        <w:rPr>
          <w:szCs w:val="26"/>
        </w:rPr>
        <w:t xml:space="preserve"> </w:t>
      </w:r>
      <w:r w:rsidRPr="002D7212" w:rsidR="0083736F">
        <w:rPr>
          <w:szCs w:val="26"/>
        </w:rPr>
        <w:t xml:space="preserve">eliminate </w:t>
      </w:r>
      <w:r w:rsidRPr="002D7212" w:rsidR="007D6681">
        <w:rPr>
          <w:szCs w:val="26"/>
        </w:rPr>
        <w:t>flexible meal period policies and punish employees</w:t>
      </w:r>
      <w:r w:rsidRPr="002D7212" w:rsidR="00D866B9">
        <w:rPr>
          <w:szCs w:val="26"/>
        </w:rPr>
        <w:t xml:space="preserve"> </w:t>
      </w:r>
      <w:r w:rsidRPr="002D7212" w:rsidR="0047078A">
        <w:rPr>
          <w:szCs w:val="26"/>
        </w:rPr>
        <w:t xml:space="preserve">for choosing to </w:t>
      </w:r>
      <w:r w:rsidRPr="002D7212" w:rsidR="00C72596">
        <w:rPr>
          <w:szCs w:val="26"/>
        </w:rPr>
        <w:t xml:space="preserve">work </w:t>
      </w:r>
      <w:r w:rsidRPr="002D7212" w:rsidR="00B74C0D">
        <w:rPr>
          <w:szCs w:val="26"/>
        </w:rPr>
        <w:t>during scheduled meal period</w:t>
      </w:r>
      <w:r w:rsidRPr="002D7212" w:rsidR="00C10139">
        <w:rPr>
          <w:szCs w:val="26"/>
        </w:rPr>
        <w:t>s</w:t>
      </w:r>
      <w:r w:rsidRPr="002D7212" w:rsidR="001D6AFE">
        <w:rPr>
          <w:szCs w:val="26"/>
        </w:rPr>
        <w:t>.</w:t>
      </w:r>
      <w:r w:rsidRPr="002D7212" w:rsidR="00A80520">
        <w:rPr>
          <w:szCs w:val="26"/>
        </w:rPr>
        <w:t xml:space="preserve">  </w:t>
      </w:r>
      <w:r w:rsidRPr="002D7212" w:rsidR="00D8739E">
        <w:rPr>
          <w:szCs w:val="26"/>
        </w:rPr>
        <w:t xml:space="preserve">AMN </w:t>
      </w:r>
      <w:r w:rsidR="00CF0390">
        <w:rPr>
          <w:szCs w:val="26"/>
        </w:rPr>
        <w:t>says</w:t>
      </w:r>
      <w:r w:rsidRPr="002D7212" w:rsidR="00CF0390">
        <w:rPr>
          <w:szCs w:val="26"/>
        </w:rPr>
        <w:t xml:space="preserve"> </w:t>
      </w:r>
      <w:r w:rsidR="00F57D02">
        <w:rPr>
          <w:szCs w:val="26"/>
        </w:rPr>
        <w:t>both options</w:t>
      </w:r>
      <w:r w:rsidRPr="002D7212" w:rsidR="00220941">
        <w:rPr>
          <w:szCs w:val="26"/>
        </w:rPr>
        <w:t xml:space="preserve"> are inconsistent</w:t>
      </w:r>
      <w:r w:rsidRPr="002D7212" w:rsidR="00620338">
        <w:rPr>
          <w:szCs w:val="26"/>
        </w:rPr>
        <w:t xml:space="preserve"> with</w:t>
      </w:r>
      <w:r w:rsidRPr="002D7212" w:rsidR="00103634">
        <w:rPr>
          <w:szCs w:val="26"/>
        </w:rPr>
        <w:t xml:space="preserve"> </w:t>
      </w:r>
      <w:r w:rsidRPr="002D7212" w:rsidR="00CB692B">
        <w:rPr>
          <w:i/>
          <w:iCs/>
          <w:szCs w:val="26"/>
        </w:rPr>
        <w:t>Brinker</w:t>
      </w:r>
      <w:r w:rsidRPr="002D7212" w:rsidR="00CB692B">
        <w:rPr>
          <w:szCs w:val="26"/>
        </w:rPr>
        <w:t xml:space="preserve">, which </w:t>
      </w:r>
      <w:r w:rsidRPr="002D7212" w:rsidR="00BA635A">
        <w:rPr>
          <w:szCs w:val="26"/>
        </w:rPr>
        <w:t xml:space="preserve">does not require </w:t>
      </w:r>
      <w:r w:rsidRPr="002D7212" w:rsidR="00A3363B">
        <w:rPr>
          <w:szCs w:val="26"/>
        </w:rPr>
        <w:t>employers</w:t>
      </w:r>
      <w:r w:rsidRPr="002D7212" w:rsidR="00A3363B">
        <w:t xml:space="preserve"> to police meal </w:t>
      </w:r>
      <w:r w:rsidR="00207C66">
        <w:t>periods</w:t>
      </w:r>
      <w:r w:rsidRPr="002D7212" w:rsidR="00207C66">
        <w:rPr>
          <w:szCs w:val="26"/>
        </w:rPr>
        <w:t xml:space="preserve"> </w:t>
      </w:r>
      <w:r w:rsidRPr="002D7212" w:rsidR="00A3363B">
        <w:rPr>
          <w:szCs w:val="26"/>
        </w:rPr>
        <w:t xml:space="preserve">and </w:t>
      </w:r>
      <w:r w:rsidRPr="002D7212" w:rsidR="00D8352F">
        <w:rPr>
          <w:szCs w:val="26"/>
        </w:rPr>
        <w:t xml:space="preserve">allows employees to </w:t>
      </w:r>
      <w:r w:rsidRPr="002D7212" w:rsidR="00384F20">
        <w:rPr>
          <w:szCs w:val="26"/>
        </w:rPr>
        <w:t xml:space="preserve">voluntarily </w:t>
      </w:r>
      <w:r w:rsidRPr="002D7212" w:rsidR="00554875">
        <w:rPr>
          <w:szCs w:val="26"/>
        </w:rPr>
        <w:t xml:space="preserve">work during meal </w:t>
      </w:r>
      <w:r w:rsidR="00207C66">
        <w:rPr>
          <w:szCs w:val="26"/>
        </w:rPr>
        <w:t>periods</w:t>
      </w:r>
      <w:r w:rsidRPr="002D7212" w:rsidR="00554875">
        <w:rPr>
          <w:szCs w:val="26"/>
        </w:rPr>
        <w:t>.</w:t>
      </w:r>
    </w:p>
    <w:p w:rsidR="00785D80" w:rsidP="00FB7C2C">
      <w:pPr>
        <w:ind w:firstLine="720"/>
        <w:rPr>
          <w:szCs w:val="26"/>
        </w:rPr>
      </w:pPr>
      <w:r w:rsidRPr="002D7212">
        <w:rPr>
          <w:szCs w:val="26"/>
        </w:rPr>
        <w:t xml:space="preserve">AMN </w:t>
      </w:r>
      <w:r w:rsidRPr="002D7212" w:rsidR="00E809C8">
        <w:rPr>
          <w:szCs w:val="26"/>
        </w:rPr>
        <w:t>misunderstands</w:t>
      </w:r>
      <w:r w:rsidRPr="002D7212" w:rsidR="00D72D32">
        <w:rPr>
          <w:szCs w:val="26"/>
        </w:rPr>
        <w:t xml:space="preserve"> how the rebuttable </w:t>
      </w:r>
      <w:r w:rsidRPr="002D7212" w:rsidR="00D72D32">
        <w:t>presumption</w:t>
      </w:r>
      <w:r w:rsidRPr="002D7212" w:rsidR="00B94A34">
        <w:t xml:space="preserve"> </w:t>
      </w:r>
      <w:r w:rsidRPr="002D7212" w:rsidR="00CB54AD">
        <w:rPr>
          <w:szCs w:val="26"/>
        </w:rPr>
        <w:t>operates</w:t>
      </w:r>
      <w:r w:rsidRPr="002D7212" w:rsidR="00B94A34">
        <w:rPr>
          <w:szCs w:val="26"/>
        </w:rPr>
        <w:t xml:space="preserve"> at the summary judgment stage.</w:t>
      </w:r>
      <w:r w:rsidR="002E2277">
        <w:rPr>
          <w:szCs w:val="26"/>
        </w:rPr>
        <w:t xml:space="preserve">  </w:t>
      </w:r>
      <w:r w:rsidRPr="002D7212" w:rsidR="00C771BC">
        <w:rPr>
          <w:szCs w:val="26"/>
        </w:rPr>
        <w:t>Applying the presumption does not mean that time records showing missed, short, or delayed meal periods result in “automatic liability” for employers.</w:t>
      </w:r>
      <w:r w:rsidR="00072847">
        <w:rPr>
          <w:szCs w:val="26"/>
        </w:rPr>
        <w:t xml:space="preserve">  </w:t>
      </w:r>
      <w:r w:rsidRPr="002D7212" w:rsidR="00CB78F2">
        <w:rPr>
          <w:szCs w:val="26"/>
        </w:rPr>
        <w:t xml:space="preserve">If time records show missed, short, or delayed meal periods </w:t>
      </w:r>
      <w:r w:rsidR="00CF0390">
        <w:rPr>
          <w:szCs w:val="26"/>
        </w:rPr>
        <w:t>with no indication of</w:t>
      </w:r>
      <w:r w:rsidRPr="002D7212" w:rsidR="00647BB8">
        <w:rPr>
          <w:szCs w:val="26"/>
        </w:rPr>
        <w:t xml:space="preserve"> </w:t>
      </w:r>
      <w:r w:rsidR="00F103BB">
        <w:rPr>
          <w:szCs w:val="26"/>
        </w:rPr>
        <w:t xml:space="preserve">proper </w:t>
      </w:r>
      <w:r w:rsidRPr="002D7212" w:rsidR="00CB78F2">
        <w:rPr>
          <w:szCs w:val="26"/>
        </w:rPr>
        <w:t>compensat</w:t>
      </w:r>
      <w:r w:rsidR="00CF0390">
        <w:rPr>
          <w:szCs w:val="26"/>
        </w:rPr>
        <w:t>ion</w:t>
      </w:r>
      <w:r w:rsidRPr="002D7212" w:rsidR="00CB78F2">
        <w:rPr>
          <w:szCs w:val="26"/>
        </w:rPr>
        <w:t xml:space="preserve">, then a rebuttable presumption arises.  </w:t>
      </w:r>
      <w:r w:rsidRPr="002D7212" w:rsidR="00DD48EE">
        <w:rPr>
          <w:szCs w:val="26"/>
        </w:rPr>
        <w:t>E</w:t>
      </w:r>
      <w:r w:rsidRPr="002D7212" w:rsidR="00CB78F2">
        <w:rPr>
          <w:szCs w:val="26"/>
        </w:rPr>
        <w:t>mployers can</w:t>
      </w:r>
      <w:r w:rsidRPr="002D7212" w:rsidR="00720F49">
        <w:rPr>
          <w:szCs w:val="26"/>
        </w:rPr>
        <w:t xml:space="preserve"> </w:t>
      </w:r>
      <w:r w:rsidRPr="002D7212" w:rsidR="00CB78F2">
        <w:rPr>
          <w:szCs w:val="26"/>
        </w:rPr>
        <w:t>rebut the presumption by presenting evidence</w:t>
      </w:r>
      <w:r w:rsidR="00F103BB">
        <w:rPr>
          <w:szCs w:val="26"/>
        </w:rPr>
        <w:t xml:space="preserve"> </w:t>
      </w:r>
      <w:r w:rsidR="005601AE">
        <w:rPr>
          <w:szCs w:val="26"/>
        </w:rPr>
        <w:t xml:space="preserve">that employees </w:t>
      </w:r>
      <w:r w:rsidRPr="002D7212" w:rsidR="005601AE">
        <w:rPr>
          <w:szCs w:val="26"/>
        </w:rPr>
        <w:t>were compensated for noncompliant meal periods</w:t>
      </w:r>
      <w:r w:rsidR="005601AE">
        <w:rPr>
          <w:szCs w:val="26"/>
        </w:rPr>
        <w:t xml:space="preserve"> or </w:t>
      </w:r>
      <w:r w:rsidR="00F103BB">
        <w:rPr>
          <w:szCs w:val="26"/>
        </w:rPr>
        <w:t xml:space="preserve">that </w:t>
      </w:r>
      <w:r w:rsidR="005601AE">
        <w:rPr>
          <w:szCs w:val="26"/>
        </w:rPr>
        <w:t xml:space="preserve">they </w:t>
      </w:r>
      <w:r w:rsidRPr="002D7212" w:rsidR="00CB78F2">
        <w:rPr>
          <w:szCs w:val="26"/>
        </w:rPr>
        <w:t xml:space="preserve">had </w:t>
      </w:r>
      <w:r w:rsidR="00F103BB">
        <w:rPr>
          <w:szCs w:val="26"/>
        </w:rPr>
        <w:t xml:space="preserve">in fact </w:t>
      </w:r>
      <w:r w:rsidR="00704BD9">
        <w:rPr>
          <w:szCs w:val="26"/>
        </w:rPr>
        <w:t>been provided compliant meal periods during which the</w:t>
      </w:r>
      <w:r w:rsidR="005601AE">
        <w:rPr>
          <w:szCs w:val="26"/>
        </w:rPr>
        <w:t>y</w:t>
      </w:r>
      <w:r w:rsidR="00704BD9">
        <w:rPr>
          <w:szCs w:val="26"/>
        </w:rPr>
        <w:t xml:space="preserve"> chose to work</w:t>
      </w:r>
      <w:r w:rsidRPr="002D7212" w:rsidR="00CB78F2">
        <w:rPr>
          <w:szCs w:val="26"/>
        </w:rPr>
        <w:t>.  “Representative testimony, surveys, and statistical analysis,” along with other</w:t>
      </w:r>
      <w:r w:rsidRPr="002D7212" w:rsidR="007D1A0E">
        <w:rPr>
          <w:szCs w:val="26"/>
        </w:rPr>
        <w:t xml:space="preserve"> types of</w:t>
      </w:r>
      <w:r w:rsidRPr="002D7212" w:rsidR="00CB78F2">
        <w:rPr>
          <w:szCs w:val="26"/>
        </w:rPr>
        <w:t xml:space="preserve"> evidence, “are available as tools to render manageable determinations of the extent of liability.”  </w:t>
      </w:r>
      <w:r w:rsidRPr="002D7212" w:rsidR="00CB78F2">
        <w:t>(</w:t>
      </w:r>
      <w:r w:rsidRPr="002D7212" w:rsidR="00CB78F2">
        <w:rPr>
          <w:i/>
          <w:szCs w:val="26"/>
        </w:rPr>
        <w:t>Brinker</w:t>
      </w:r>
      <w:r w:rsidRPr="002D7212" w:rsidR="00CB78F2">
        <w:rPr>
          <w:szCs w:val="26"/>
        </w:rPr>
        <w:t xml:space="preserve">, </w:t>
      </w:r>
      <w:r w:rsidRPr="002D7212" w:rsidR="00CB78F2">
        <w:rPr>
          <w:i/>
          <w:szCs w:val="26"/>
        </w:rPr>
        <w:t>supra</w:t>
      </w:r>
      <w:r w:rsidRPr="002D7212" w:rsidR="00CB78F2">
        <w:rPr>
          <w:szCs w:val="26"/>
        </w:rPr>
        <w:t>, 53 Cal.4th at p. 1054 (conc. opn. of Werdegar, J.</w:t>
      </w:r>
      <w:r w:rsidRPr="002D7212" w:rsidR="00B630F0">
        <w:rPr>
          <w:szCs w:val="26"/>
        </w:rPr>
        <w:t>)</w:t>
      </w:r>
      <w:r w:rsidRPr="002D7212" w:rsidR="0025028F">
        <w:rPr>
          <w:szCs w:val="26"/>
        </w:rPr>
        <w:t>.</w:t>
      </w:r>
      <w:r w:rsidRPr="002D7212" w:rsidR="00CB78F2">
        <w:rPr>
          <w:szCs w:val="26"/>
        </w:rPr>
        <w:t>)</w:t>
      </w:r>
      <w:r w:rsidR="00A74D30">
        <w:rPr>
          <w:szCs w:val="26"/>
        </w:rPr>
        <w:t xml:space="preserve">  Altogether,</w:t>
      </w:r>
      <w:r w:rsidR="00FE12F5">
        <w:rPr>
          <w:szCs w:val="26"/>
        </w:rPr>
        <w:t xml:space="preserve"> this evidence presented at summary judgment may reveal that there are no triable issues of </w:t>
      </w:r>
      <w:r w:rsidR="00A62E60">
        <w:rPr>
          <w:szCs w:val="26"/>
        </w:rPr>
        <w:t xml:space="preserve">material </w:t>
      </w:r>
      <w:r w:rsidR="00FE12F5">
        <w:rPr>
          <w:szCs w:val="26"/>
        </w:rPr>
        <w:t>fact.</w:t>
      </w:r>
      <w:r>
        <w:rPr>
          <w:szCs w:val="26"/>
        </w:rPr>
        <w:t xml:space="preserve">  </w:t>
      </w:r>
      <w:r w:rsidR="00F103BB">
        <w:rPr>
          <w:szCs w:val="26"/>
        </w:rPr>
        <w:t>T</w:t>
      </w:r>
      <w:r>
        <w:rPr>
          <w:szCs w:val="26"/>
        </w:rPr>
        <w:t xml:space="preserve">he rebuttable presumption </w:t>
      </w:r>
      <w:r w:rsidR="00F103BB">
        <w:rPr>
          <w:szCs w:val="26"/>
        </w:rPr>
        <w:t xml:space="preserve">does not </w:t>
      </w:r>
      <w:r>
        <w:rPr>
          <w:szCs w:val="26"/>
        </w:rPr>
        <w:t>require employers to police meal periods</w:t>
      </w:r>
      <w:r w:rsidR="00F103BB">
        <w:rPr>
          <w:szCs w:val="26"/>
        </w:rPr>
        <w:t>.  Instead, it requires</w:t>
      </w:r>
      <w:r w:rsidR="00686DB5">
        <w:rPr>
          <w:szCs w:val="26"/>
        </w:rPr>
        <w:t xml:space="preserve"> employers </w:t>
      </w:r>
      <w:r w:rsidR="00F103BB">
        <w:rPr>
          <w:szCs w:val="26"/>
        </w:rPr>
        <w:t xml:space="preserve">to </w:t>
      </w:r>
      <w:r w:rsidR="00686DB5">
        <w:rPr>
          <w:szCs w:val="26"/>
        </w:rPr>
        <w:t xml:space="preserve">give employees a mechanism for recording their meal periods and </w:t>
      </w:r>
      <w:r w:rsidR="00F103BB">
        <w:rPr>
          <w:szCs w:val="26"/>
        </w:rPr>
        <w:t>to ensure that employees use the mechanism properly</w:t>
      </w:r>
      <w:r w:rsidR="00EB704A">
        <w:rPr>
          <w:szCs w:val="26"/>
        </w:rPr>
        <w:t>.</w:t>
      </w:r>
    </w:p>
    <w:p w:rsidR="004467AE" w:rsidRPr="002D7212">
      <w:pPr>
        <w:ind w:firstLine="720"/>
        <w:rPr>
          <w:szCs w:val="26"/>
        </w:rPr>
      </w:pPr>
      <w:r>
        <w:t>The court in</w:t>
      </w:r>
      <w:r>
        <w:t> </w:t>
      </w:r>
      <w:r>
        <w:rPr>
          <w:i/>
          <w:iCs/>
        </w:rPr>
        <w:t>Silva v. See’s Candy Shops, Inc.</w:t>
      </w:r>
      <w:r>
        <w:t xml:space="preserve"> (2016) 7 Cal.App.5th 235</w:t>
      </w:r>
      <w:r>
        <w:t>, 253–254</w:t>
      </w:r>
      <w:r>
        <w:t xml:space="preserve"> (</w:t>
      </w:r>
      <w:r w:rsidRPr="005D2645">
        <w:rPr>
          <w:i/>
          <w:iCs/>
        </w:rPr>
        <w:t>See’s Candy II</w:t>
      </w:r>
      <w:r>
        <w:t xml:space="preserve">) </w:t>
      </w:r>
      <w:r w:rsidR="00AF7FE7">
        <w:t xml:space="preserve">concluded that </w:t>
      </w:r>
      <w:r w:rsidR="008D200A">
        <w:t xml:space="preserve">the rebuttable presumption </w:t>
      </w:r>
      <w:r>
        <w:t>is</w:t>
      </w:r>
      <w:r w:rsidR="008D200A">
        <w:t xml:space="preserve"> inapplicable w</w:t>
      </w:r>
      <w:r>
        <w:t xml:space="preserve">hen reviewing a </w:t>
      </w:r>
      <w:r>
        <w:t xml:space="preserve">motion for </w:t>
      </w:r>
      <w:r>
        <w:t xml:space="preserve">summary judgment </w:t>
      </w:r>
      <w:r>
        <w:t xml:space="preserve">as opposed to a motion for </w:t>
      </w:r>
      <w:r>
        <w:t xml:space="preserve">class certification.  </w:t>
      </w:r>
      <w:r>
        <w:t>Similarly</w:t>
      </w:r>
      <w:r>
        <w:t xml:space="preserve">, the court </w:t>
      </w:r>
      <w:r>
        <w:t xml:space="preserve">in </w:t>
      </w:r>
      <w:r w:rsidRPr="005D2645">
        <w:rPr>
          <w:i/>
          <w:iCs/>
        </w:rPr>
        <w:t>Serrano v. Aerotek, Inc.</w:t>
      </w:r>
      <w:r>
        <w:t xml:space="preserve"> (2018) 21 Cal.App.5th 773 </w:t>
      </w:r>
      <w:r>
        <w:t xml:space="preserve">“specifically reject[ed] [the plaintiff’s] contention that ‘time records show[ing] late and missed meal periods creat[ed] a presumption of violations,’ ” </w:t>
      </w:r>
      <w:r w:rsidR="00341B6A">
        <w:t>even though</w:t>
      </w:r>
      <w:r>
        <w:t xml:space="preserve"> that plaintiff’s</w:t>
      </w:r>
      <w:r w:rsidR="00A91F91">
        <w:t xml:space="preserve"> time records had shown “that</w:t>
      </w:r>
      <w:r>
        <w:t xml:space="preserve"> on several days on which she worked more than six hours, she took her meal breaks more than five hours after beginning work or, in a couple of instances, did not take a meal break at all.”  (</w:t>
      </w:r>
      <w:r>
        <w:rPr>
          <w:i/>
          <w:iCs/>
        </w:rPr>
        <w:t>Id.</w:t>
      </w:r>
      <w:r>
        <w:t xml:space="preserve"> at pp. 7</w:t>
      </w:r>
      <w:r w:rsidR="00B86F6C">
        <w:t xml:space="preserve">81, </w:t>
      </w:r>
      <w:r>
        <w:t>7</w:t>
      </w:r>
      <w:r w:rsidR="00B86F6C">
        <w:t>78</w:t>
      </w:r>
      <w:r>
        <w:t>.)</w:t>
      </w:r>
      <w:r>
        <w:t xml:space="preserve">  We disapprove </w:t>
      </w:r>
      <w:r w:rsidR="00936EC8">
        <w:rPr>
          <w:i/>
          <w:iCs/>
        </w:rPr>
        <w:t xml:space="preserve">Silva v. </w:t>
      </w:r>
      <w:r>
        <w:rPr>
          <w:i/>
        </w:rPr>
        <w:t xml:space="preserve">See’s Candy </w:t>
      </w:r>
      <w:r w:rsidR="00936EC8">
        <w:rPr>
          <w:i/>
        </w:rPr>
        <w:t>Shops, Inc.</w:t>
      </w:r>
      <w:r>
        <w:t xml:space="preserve">, </w:t>
      </w:r>
      <w:r>
        <w:rPr>
          <w:i/>
        </w:rPr>
        <w:t>supra</w:t>
      </w:r>
      <w:r>
        <w:t xml:space="preserve">, 7 Cal.App.5th 235, and </w:t>
      </w:r>
      <w:r>
        <w:rPr>
          <w:i/>
        </w:rPr>
        <w:t>Serrano</w:t>
      </w:r>
      <w:r w:rsidR="00936EC8">
        <w:rPr>
          <w:i/>
        </w:rPr>
        <w:t xml:space="preserve"> v. Aerotek, Inc.</w:t>
      </w:r>
      <w:r>
        <w:t xml:space="preserve">, </w:t>
      </w:r>
      <w:r>
        <w:rPr>
          <w:i/>
        </w:rPr>
        <w:t>supra</w:t>
      </w:r>
      <w:r>
        <w:t>, 21 Cal.App.5th 773, to the extent they are inconsistent with this opinion.</w:t>
      </w:r>
    </w:p>
    <w:p w:rsidR="000E4DA6" w:rsidRPr="002D7212">
      <w:pPr>
        <w:ind w:firstLine="720"/>
        <w:rPr>
          <w:szCs w:val="26"/>
        </w:rPr>
      </w:pPr>
      <w:r>
        <w:rPr>
          <w:szCs w:val="26"/>
        </w:rPr>
        <w:t xml:space="preserve">We reiterate the rules set forth in </w:t>
      </w:r>
      <w:r w:rsidRPr="002D7212" w:rsidR="00AD4E87">
        <w:rPr>
          <w:i/>
          <w:iCs/>
          <w:szCs w:val="26"/>
        </w:rPr>
        <w:t>Brinker</w:t>
      </w:r>
      <w:r w:rsidRPr="002D7212" w:rsidR="004A267D">
        <w:rPr>
          <w:szCs w:val="26"/>
        </w:rPr>
        <w:t>:</w:t>
      </w:r>
      <w:r w:rsidR="00837454">
        <w:rPr>
          <w:szCs w:val="26"/>
        </w:rPr>
        <w:t>  </w:t>
      </w:r>
      <w:r w:rsidRPr="002D7212" w:rsidR="0033159E">
        <w:rPr>
          <w:szCs w:val="26"/>
        </w:rPr>
        <w:t xml:space="preserve">An employer is liable only if it does not provide an employee with the opportunity to take a compliant meal period.  </w:t>
      </w:r>
      <w:r w:rsidRPr="002D7212" w:rsidR="008755CD">
        <w:rPr>
          <w:szCs w:val="26"/>
        </w:rPr>
        <w:t>The</w:t>
      </w:r>
      <w:r w:rsidRPr="002D7212" w:rsidR="002D1039">
        <w:rPr>
          <w:szCs w:val="26"/>
        </w:rPr>
        <w:t xml:space="preserve"> employer is not liable if </w:t>
      </w:r>
      <w:r w:rsidRPr="002D7212" w:rsidR="0069091C">
        <w:rPr>
          <w:szCs w:val="26"/>
        </w:rPr>
        <w:t xml:space="preserve">the employee chooses to take a short or delayed </w:t>
      </w:r>
      <w:r w:rsidRPr="002D7212" w:rsidR="002D1039">
        <w:rPr>
          <w:szCs w:val="26"/>
        </w:rPr>
        <w:t xml:space="preserve">meal period or no meal period at all.  The employer is not required to police meal </w:t>
      </w:r>
      <w:r w:rsidR="000F3FEC">
        <w:rPr>
          <w:szCs w:val="26"/>
        </w:rPr>
        <w:t>periods</w:t>
      </w:r>
      <w:r w:rsidRPr="002D7212" w:rsidR="000F3FEC">
        <w:rPr>
          <w:szCs w:val="26"/>
        </w:rPr>
        <w:t xml:space="preserve"> </w:t>
      </w:r>
      <w:r w:rsidRPr="002D7212" w:rsidR="002D1039">
        <w:rPr>
          <w:szCs w:val="26"/>
        </w:rPr>
        <w:t xml:space="preserve">to make sure no work </w:t>
      </w:r>
      <w:r w:rsidRPr="002D7212" w:rsidR="00986941">
        <w:rPr>
          <w:szCs w:val="26"/>
        </w:rPr>
        <w:t>is</w:t>
      </w:r>
      <w:r w:rsidRPr="002D7212" w:rsidR="002D1039">
        <w:rPr>
          <w:szCs w:val="26"/>
        </w:rPr>
        <w:t xml:space="preserve"> performed.  Instead, the employer</w:t>
      </w:r>
      <w:r w:rsidRPr="002D7212" w:rsidR="00B81ACB">
        <w:rPr>
          <w:szCs w:val="26"/>
        </w:rPr>
        <w:t xml:space="preserve">’s duty is </w:t>
      </w:r>
      <w:r w:rsidRPr="002D7212" w:rsidR="002D1039">
        <w:rPr>
          <w:szCs w:val="26"/>
        </w:rPr>
        <w:t>to ensure that it provides the employee with bona fide relief from duty and that this is accurately reflected in the employer’s time records.</w:t>
      </w:r>
      <w:r w:rsidRPr="002D7212" w:rsidR="00B25296">
        <w:rPr>
          <w:szCs w:val="26"/>
        </w:rPr>
        <w:t xml:space="preserve">  </w:t>
      </w:r>
      <w:r w:rsidRPr="002D7212" w:rsidR="00E00BB6">
        <w:rPr>
          <w:szCs w:val="26"/>
        </w:rPr>
        <w:t xml:space="preserve">Otherwise, the employer must pay the employee premium wages for any noncompliant meal period.  </w:t>
      </w:r>
      <w:r w:rsidRPr="002D7212">
        <w:rPr>
          <w:szCs w:val="26"/>
        </w:rPr>
        <w:t>(</w:t>
      </w:r>
      <w:r>
        <w:rPr>
          <w:szCs w:val="26"/>
        </w:rPr>
        <w:t xml:space="preserve">See </w:t>
      </w:r>
      <w:r w:rsidRPr="002D7212">
        <w:rPr>
          <w:i/>
          <w:szCs w:val="26"/>
        </w:rPr>
        <w:t>Brinker</w:t>
      </w:r>
      <w:r w:rsidRPr="002D7212">
        <w:rPr>
          <w:szCs w:val="26"/>
        </w:rPr>
        <w:t xml:space="preserve">, </w:t>
      </w:r>
      <w:r w:rsidRPr="002D7212">
        <w:rPr>
          <w:i/>
          <w:szCs w:val="26"/>
        </w:rPr>
        <w:t>supra</w:t>
      </w:r>
      <w:r w:rsidRPr="002D7212">
        <w:rPr>
          <w:szCs w:val="26"/>
        </w:rPr>
        <w:t>, 53 Cal.4th at pp. 1040–1041</w:t>
      </w:r>
      <w:r>
        <w:rPr>
          <w:szCs w:val="26"/>
        </w:rPr>
        <w:t>.</w:t>
      </w:r>
      <w:r w:rsidRPr="002D7212">
        <w:rPr>
          <w:szCs w:val="26"/>
        </w:rPr>
        <w:t>)</w:t>
      </w:r>
      <w:r>
        <w:rPr>
          <w:szCs w:val="26"/>
        </w:rPr>
        <w:t xml:space="preserve">  </w:t>
      </w:r>
      <w:r w:rsidRPr="002D7212" w:rsidR="00B25296">
        <w:rPr>
          <w:szCs w:val="26"/>
        </w:rPr>
        <w:t xml:space="preserve">If time records </w:t>
      </w:r>
      <w:r w:rsidR="0023312F">
        <w:rPr>
          <w:szCs w:val="26"/>
        </w:rPr>
        <w:t>show noncompliant meal periods, then a rebuttable presumption of liability arises</w:t>
      </w:r>
      <w:r>
        <w:rPr>
          <w:szCs w:val="26"/>
        </w:rPr>
        <w:t xml:space="preserve">.  </w:t>
      </w:r>
      <w:r w:rsidR="00CC25B9">
        <w:rPr>
          <w:szCs w:val="26"/>
        </w:rPr>
        <w:t>This presumption applies at the summary judgment stage, and t</w:t>
      </w:r>
      <w:r w:rsidR="0023312F">
        <w:rPr>
          <w:szCs w:val="26"/>
        </w:rPr>
        <w:t xml:space="preserve">he employer may rebut </w:t>
      </w:r>
      <w:r>
        <w:rPr>
          <w:szCs w:val="26"/>
        </w:rPr>
        <w:t xml:space="preserve">the presumption with evidence of </w:t>
      </w:r>
      <w:r w:rsidR="00891683">
        <w:rPr>
          <w:szCs w:val="26"/>
        </w:rPr>
        <w:t xml:space="preserve">bona fide relief from duty </w:t>
      </w:r>
      <w:r>
        <w:rPr>
          <w:szCs w:val="26"/>
        </w:rPr>
        <w:t>or proper com</w:t>
      </w:r>
      <w:r w:rsidR="00CC25B9">
        <w:rPr>
          <w:szCs w:val="26"/>
        </w:rPr>
        <w:t>pensation</w:t>
      </w:r>
      <w:r w:rsidRPr="002D7212" w:rsidR="00B25296">
        <w:rPr>
          <w:szCs w:val="26"/>
        </w:rPr>
        <w:t>.</w:t>
      </w:r>
      <w:r w:rsidRPr="002D7212" w:rsidR="00F522A6">
        <w:rPr>
          <w:szCs w:val="26"/>
        </w:rPr>
        <w:t xml:space="preserve">  </w:t>
      </w:r>
      <w:r w:rsidRPr="002D7212" w:rsidR="00F426D7">
        <w:rPr>
          <w:szCs w:val="26"/>
        </w:rPr>
        <w:t xml:space="preserve">Employers </w:t>
      </w:r>
      <w:r w:rsidR="00CC25B9">
        <w:rPr>
          <w:szCs w:val="26"/>
        </w:rPr>
        <w:t>may</w:t>
      </w:r>
      <w:r w:rsidRPr="002D7212" w:rsidR="00CC25B9">
        <w:rPr>
          <w:szCs w:val="26"/>
        </w:rPr>
        <w:t xml:space="preserve"> </w:t>
      </w:r>
      <w:r w:rsidRPr="002D7212" w:rsidR="00A314C0">
        <w:rPr>
          <w:szCs w:val="26"/>
        </w:rPr>
        <w:t xml:space="preserve">use </w:t>
      </w:r>
      <w:r w:rsidRPr="002D7212" w:rsidR="00E75D83">
        <w:rPr>
          <w:szCs w:val="26"/>
        </w:rPr>
        <w:t xml:space="preserve">a timekeeping system like Team Time </w:t>
      </w:r>
      <w:r w:rsidRPr="002D7212" w:rsidR="00973CEB">
        <w:rPr>
          <w:szCs w:val="26"/>
        </w:rPr>
        <w:t>to track</w:t>
      </w:r>
      <w:r w:rsidRPr="002D7212" w:rsidR="00D55807">
        <w:rPr>
          <w:szCs w:val="26"/>
        </w:rPr>
        <w:t xml:space="preserve"> meal period violations</w:t>
      </w:r>
      <w:r w:rsidRPr="002D7212" w:rsidR="009A0769">
        <w:rPr>
          <w:szCs w:val="26"/>
        </w:rPr>
        <w:t xml:space="preserve"> as long as the system does not </w:t>
      </w:r>
      <w:r w:rsidRPr="002D7212" w:rsidR="00031E08">
        <w:rPr>
          <w:szCs w:val="26"/>
        </w:rPr>
        <w:t xml:space="preserve">round </w:t>
      </w:r>
      <w:r w:rsidRPr="002D7212" w:rsidR="007E6748">
        <w:rPr>
          <w:szCs w:val="26"/>
        </w:rPr>
        <w:t>time punches.</w:t>
      </w:r>
      <w:r w:rsidRPr="002D7212" w:rsidR="00D55807">
        <w:rPr>
          <w:szCs w:val="26"/>
        </w:rPr>
        <w:t xml:space="preserve">  </w:t>
      </w:r>
      <w:r w:rsidRPr="002D7212" w:rsidR="003E736B">
        <w:rPr>
          <w:szCs w:val="26"/>
        </w:rPr>
        <w:t>Team Time</w:t>
      </w:r>
      <w:r w:rsidRPr="002D7212" w:rsidR="00B366BD">
        <w:rPr>
          <w:szCs w:val="26"/>
        </w:rPr>
        <w:t xml:space="preserve"> included a dropdown menu for employees to indicate whether </w:t>
      </w:r>
      <w:r w:rsidR="00FC5D15">
        <w:rPr>
          <w:szCs w:val="26"/>
        </w:rPr>
        <w:t>they were provided a compliant meal period but chose to work</w:t>
      </w:r>
      <w:r w:rsidR="005601AE">
        <w:rPr>
          <w:szCs w:val="26"/>
        </w:rPr>
        <w:t>,</w:t>
      </w:r>
      <w:r w:rsidRPr="002D7212" w:rsidR="00B366BD">
        <w:rPr>
          <w:szCs w:val="26"/>
        </w:rPr>
        <w:t xml:space="preserve"> and </w:t>
      </w:r>
      <w:r w:rsidR="005601AE">
        <w:rPr>
          <w:szCs w:val="26"/>
        </w:rPr>
        <w:t xml:space="preserve">the system </w:t>
      </w:r>
      <w:r w:rsidRPr="002D7212" w:rsidR="00B366BD">
        <w:rPr>
          <w:szCs w:val="26"/>
        </w:rPr>
        <w:t xml:space="preserve">triggered premium pay for any missed, short, or delayed meal periods </w:t>
      </w:r>
      <w:r w:rsidR="005601AE">
        <w:rPr>
          <w:szCs w:val="26"/>
        </w:rPr>
        <w:t>due to</w:t>
      </w:r>
      <w:r w:rsidR="00FC5D15">
        <w:rPr>
          <w:szCs w:val="26"/>
        </w:rPr>
        <w:t xml:space="preserve"> the employer’s </w:t>
      </w:r>
      <w:r w:rsidR="005601AE">
        <w:rPr>
          <w:szCs w:val="26"/>
        </w:rPr>
        <w:t>noncompliance</w:t>
      </w:r>
      <w:r w:rsidRPr="002D7212" w:rsidR="00B366BD">
        <w:rPr>
          <w:szCs w:val="26"/>
        </w:rPr>
        <w:t>.</w:t>
      </w:r>
      <w:r w:rsidRPr="002D7212">
        <w:rPr>
          <w:szCs w:val="26"/>
        </w:rPr>
        <w:t xml:space="preserve">  </w:t>
      </w:r>
      <w:r w:rsidRPr="002D7212" w:rsidR="00347967">
        <w:rPr>
          <w:szCs w:val="26"/>
        </w:rPr>
        <w:t xml:space="preserve">Thus, Team Time </w:t>
      </w:r>
      <w:r w:rsidRPr="002D7212" w:rsidR="00E17EB6">
        <w:rPr>
          <w:szCs w:val="26"/>
        </w:rPr>
        <w:t xml:space="preserve">would have </w:t>
      </w:r>
      <w:r w:rsidRPr="002D7212" w:rsidR="005E50FF">
        <w:rPr>
          <w:szCs w:val="26"/>
        </w:rPr>
        <w:t xml:space="preserve">ensured accurate tracking of meal period </w:t>
      </w:r>
      <w:r w:rsidRPr="002D7212" w:rsidR="00514900">
        <w:rPr>
          <w:szCs w:val="26"/>
        </w:rPr>
        <w:t>violations if it had simply omitted rounding.</w:t>
      </w:r>
    </w:p>
    <w:p w:rsidR="00145E29" w:rsidRPr="002D7212" w:rsidP="00AC1F95">
      <w:pPr>
        <w:keepNext/>
        <w:tabs>
          <w:tab w:val="left" w:pos="630"/>
        </w:tabs>
        <w:jc w:val="center"/>
        <w:rPr>
          <w:b/>
          <w:szCs w:val="26"/>
        </w:rPr>
      </w:pPr>
      <w:r w:rsidRPr="002D7212">
        <w:rPr>
          <w:b/>
          <w:szCs w:val="26"/>
        </w:rPr>
        <w:t>IV</w:t>
      </w:r>
      <w:r w:rsidRPr="002D7212">
        <w:rPr>
          <w:b/>
          <w:szCs w:val="26"/>
        </w:rPr>
        <w:t>.</w:t>
      </w:r>
    </w:p>
    <w:p w:rsidR="00CC25B9" w:rsidP="002D7212">
      <w:pPr>
        <w:keepNext/>
        <w:ind w:firstLine="720"/>
      </w:pPr>
      <w:r w:rsidRPr="002D7212">
        <w:rPr>
          <w:szCs w:val="26"/>
        </w:rPr>
        <w:t xml:space="preserve">We now apply </w:t>
      </w:r>
      <w:r w:rsidRPr="002D7212" w:rsidR="003E59D6">
        <w:rPr>
          <w:szCs w:val="26"/>
        </w:rPr>
        <w:t>our holdi</w:t>
      </w:r>
      <w:r w:rsidRPr="002D7212" w:rsidR="00E62192">
        <w:rPr>
          <w:szCs w:val="26"/>
        </w:rPr>
        <w:t>ngs to the facts of this case.</w:t>
      </w:r>
      <w:r w:rsidR="003F0DA6">
        <w:rPr>
          <w:szCs w:val="26"/>
        </w:rPr>
        <w:t xml:space="preserve">  We</w:t>
      </w:r>
      <w:r w:rsidRPr="002D7212" w:rsidR="00545B22">
        <w:rPr>
          <w:szCs w:val="26"/>
        </w:rPr>
        <w:t xml:space="preserve"> conclude that</w:t>
      </w:r>
      <w:r w:rsidRPr="002D7212" w:rsidR="0031069A">
        <w:rPr>
          <w:szCs w:val="26"/>
        </w:rPr>
        <w:t xml:space="preserve"> </w:t>
      </w:r>
      <w:r w:rsidRPr="002D7212" w:rsidR="008A3660">
        <w:rPr>
          <w:szCs w:val="26"/>
        </w:rPr>
        <w:t xml:space="preserve">AMN improperly </w:t>
      </w:r>
      <w:r w:rsidRPr="002D7212" w:rsidR="00CA21A3">
        <w:rPr>
          <w:szCs w:val="26"/>
        </w:rPr>
        <w:t>used rounded time punches</w:t>
      </w:r>
      <w:r w:rsidRPr="002D7212" w:rsidR="00A725F7">
        <w:t xml:space="preserve"> to track potentially noncompliant meal periods</w:t>
      </w:r>
      <w:r w:rsidRPr="002D7212" w:rsidR="00145E29">
        <w:t xml:space="preserve">.  Before </w:t>
      </w:r>
      <w:r w:rsidRPr="002D7212" w:rsidR="00CB544F">
        <w:t xml:space="preserve">September 2012, </w:t>
      </w:r>
      <w:r w:rsidRPr="002D7212" w:rsidR="00E279BB">
        <w:t xml:space="preserve">when Team Time records showed a </w:t>
      </w:r>
      <w:r w:rsidRPr="002D7212" w:rsidR="0098258E">
        <w:t xml:space="preserve">missed </w:t>
      </w:r>
      <w:r w:rsidRPr="002D7212" w:rsidR="00E279BB">
        <w:t xml:space="preserve">meal period </w:t>
      </w:r>
      <w:r w:rsidRPr="002D7212" w:rsidR="0098258E">
        <w:t xml:space="preserve">or a meal period </w:t>
      </w:r>
      <w:r w:rsidRPr="002D7212" w:rsidR="00E279BB">
        <w:t>that was shorter than 30 minutes or taken after five hours of work, AMN assumed a meal period violation and paid the employee a premium wage.  This</w:t>
      </w:r>
      <w:r w:rsidRPr="002D7212" w:rsidR="00556D33">
        <w:t xml:space="preserve"> system may have resulted in </w:t>
      </w:r>
      <w:r w:rsidRPr="002D7212" w:rsidR="00CE43CE">
        <w:t xml:space="preserve">some overcompensation </w:t>
      </w:r>
      <w:r w:rsidRPr="002D7212" w:rsidR="00D442AA">
        <w:t xml:space="preserve">because AMN </w:t>
      </w:r>
      <w:r w:rsidRPr="002D7212" w:rsidR="0098258E">
        <w:t xml:space="preserve">gave </w:t>
      </w:r>
      <w:r w:rsidRPr="002D7212" w:rsidR="00CA4FDE">
        <w:t xml:space="preserve">employees premium </w:t>
      </w:r>
      <w:r w:rsidRPr="002D7212" w:rsidR="0098258E">
        <w:t xml:space="preserve">pay </w:t>
      </w:r>
      <w:r w:rsidRPr="002D7212" w:rsidR="00CA4FDE">
        <w:t xml:space="preserve">regardless of </w:t>
      </w:r>
      <w:r w:rsidRPr="002D7212" w:rsidR="00C1227B">
        <w:t xml:space="preserve">whether they voluntarily </w:t>
      </w:r>
      <w:r w:rsidRPr="002D7212" w:rsidR="003E5931">
        <w:t>chose to</w:t>
      </w:r>
      <w:r w:rsidR="00E81C6F">
        <w:t xml:space="preserve"> work during an off-duty meal period</w:t>
      </w:r>
      <w:r w:rsidRPr="002D7212" w:rsidR="007B7FAF">
        <w:t xml:space="preserve">.  But </w:t>
      </w:r>
      <w:r w:rsidRPr="002D7212" w:rsidR="007172CE">
        <w:t>this system did not</w:t>
      </w:r>
      <w:r w:rsidRPr="002D7212" w:rsidR="00AD406C">
        <w:t xml:space="preserve"> properly</w:t>
      </w:r>
      <w:r w:rsidRPr="002D7212" w:rsidR="007172CE">
        <w:t xml:space="preserve"> account for </w:t>
      </w:r>
      <w:r w:rsidRPr="002D7212" w:rsidR="004605FD">
        <w:t xml:space="preserve">meal periods that </w:t>
      </w:r>
      <w:r w:rsidRPr="002D7212" w:rsidR="00801C04">
        <w:t>were</w:t>
      </w:r>
      <w:r w:rsidRPr="002D7212" w:rsidR="00BD7DBA">
        <w:t xml:space="preserve"> </w:t>
      </w:r>
      <w:r w:rsidRPr="002D7212" w:rsidR="00C34F65">
        <w:t>short or del</w:t>
      </w:r>
      <w:r w:rsidRPr="002D7212" w:rsidR="009822F8">
        <w:t>ayed based on actual time punches</w:t>
      </w:r>
      <w:r w:rsidRPr="002D7212" w:rsidR="00305D6A">
        <w:t xml:space="preserve"> but </w:t>
      </w:r>
      <w:r w:rsidRPr="002D7212" w:rsidR="0098258E">
        <w:t xml:space="preserve">did </w:t>
      </w:r>
      <w:r w:rsidRPr="002D7212" w:rsidR="00305D6A">
        <w:t xml:space="preserve">not </w:t>
      </w:r>
      <w:r w:rsidRPr="002D7212" w:rsidR="00701CDC">
        <w:t xml:space="preserve">appear </w:t>
      </w:r>
      <w:r w:rsidRPr="002D7212" w:rsidR="0098258E">
        <w:t xml:space="preserve">as </w:t>
      </w:r>
      <w:r w:rsidRPr="002D7212" w:rsidR="00305D6A">
        <w:t xml:space="preserve">short or delayed </w:t>
      </w:r>
      <w:r w:rsidRPr="002D7212" w:rsidR="0098258E">
        <w:t>under the rounding policy</w:t>
      </w:r>
      <w:r w:rsidRPr="002D7212" w:rsidR="00F85E8B">
        <w:t xml:space="preserve">.  </w:t>
      </w:r>
      <w:r w:rsidRPr="002D7212" w:rsidR="001D0B07">
        <w:t xml:space="preserve">AMN </w:t>
      </w:r>
      <w:r w:rsidRPr="002D7212" w:rsidR="00C87F0B">
        <w:t xml:space="preserve">would be </w:t>
      </w:r>
      <w:r w:rsidRPr="002D7212" w:rsidR="001D0B07">
        <w:t xml:space="preserve">liable </w:t>
      </w:r>
      <w:r w:rsidRPr="002D7212" w:rsidR="004B5C7B">
        <w:t xml:space="preserve">for </w:t>
      </w:r>
      <w:r w:rsidRPr="002D7212" w:rsidR="00C87F0B">
        <w:t xml:space="preserve">premium pay for </w:t>
      </w:r>
      <w:r w:rsidRPr="002D7212" w:rsidR="00701CDC">
        <w:t xml:space="preserve">any </w:t>
      </w:r>
      <w:r w:rsidRPr="002D7212" w:rsidR="004B5C7B">
        <w:t xml:space="preserve">instances </w:t>
      </w:r>
      <w:r w:rsidRPr="002D7212" w:rsidR="00DC1E97">
        <w:t xml:space="preserve">in which </w:t>
      </w:r>
      <w:r w:rsidRPr="002D7212" w:rsidR="00453C9F">
        <w:t xml:space="preserve">employees </w:t>
      </w:r>
      <w:r w:rsidRPr="002D7212" w:rsidR="00320F09">
        <w:t xml:space="preserve">did not </w:t>
      </w:r>
      <w:r w:rsidRPr="002D7212" w:rsidR="00374CA5">
        <w:t xml:space="preserve">voluntarily </w:t>
      </w:r>
      <w:r w:rsidRPr="002D7212" w:rsidR="00C865F8">
        <w:t xml:space="preserve">choose to </w:t>
      </w:r>
      <w:r w:rsidRPr="002D7212" w:rsidR="00436D65">
        <w:t xml:space="preserve">shorten or delay </w:t>
      </w:r>
      <w:r w:rsidRPr="002D7212" w:rsidR="003B22F2">
        <w:t>those meal periods.</w:t>
      </w:r>
    </w:p>
    <w:p w:rsidR="00701CDC" w:rsidRPr="002D7212" w:rsidP="002D7212">
      <w:pPr>
        <w:keepNext/>
        <w:ind w:firstLine="720"/>
      </w:pPr>
      <w:r>
        <w:t>A</w:t>
      </w:r>
      <w:r w:rsidRPr="002D7212" w:rsidR="008B6154">
        <w:t xml:space="preserve">fter September 2012, </w:t>
      </w:r>
      <w:r w:rsidRPr="002D7212" w:rsidR="00CB7E9F">
        <w:t>when an employee recorded a missed, short, or delaye</w:t>
      </w:r>
      <w:r w:rsidRPr="002D7212" w:rsidR="009910E9">
        <w:t xml:space="preserve">d meal period, a dropdown menu </w:t>
      </w:r>
      <w:r w:rsidRPr="002D7212" w:rsidR="00CB7E9F">
        <w:t>appear</w:t>
      </w:r>
      <w:r w:rsidRPr="002D7212" w:rsidR="009910E9">
        <w:t>ed</w:t>
      </w:r>
      <w:r w:rsidRPr="002D7212" w:rsidR="00CB7E9F">
        <w:t xml:space="preserve"> on Team Time.  The dropdown menu prompted the employee to choose one of three options:  (1) “I was provided an opportunity to take a 30 min break before the end of my 5th hour of work but chose not to”; (2) “I was provided an opportunity to take a 30 min break before the end of my 5th hour of work but chose to take a shorter/later break”; (3) “I was not provided an opportunity to take a 30 min break before the end of my 5th hour of work.”</w:t>
      </w:r>
      <w:r w:rsidRPr="002D7212" w:rsidR="00CC1CDB">
        <w:t xml:space="preserve">  </w:t>
      </w:r>
      <w:r w:rsidRPr="002D7212" w:rsidR="004C2077">
        <w:t>This</w:t>
      </w:r>
      <w:r w:rsidRPr="002D7212" w:rsidR="00B034B7">
        <w:t xml:space="preserve"> system </w:t>
      </w:r>
      <w:r w:rsidRPr="002D7212" w:rsidR="004C2077">
        <w:t xml:space="preserve">also </w:t>
      </w:r>
      <w:r w:rsidRPr="002D7212" w:rsidR="00B034B7">
        <w:t xml:space="preserve">did not </w:t>
      </w:r>
      <w:r w:rsidRPr="002D7212" w:rsidR="00B119E3">
        <w:t xml:space="preserve">properly </w:t>
      </w:r>
      <w:r w:rsidRPr="002D7212" w:rsidR="00B034B7">
        <w:t xml:space="preserve">account for meal periods that </w:t>
      </w:r>
      <w:r w:rsidRPr="002D7212" w:rsidR="00697C35">
        <w:t>were</w:t>
      </w:r>
      <w:r w:rsidRPr="002D7212" w:rsidR="00B034B7">
        <w:t xml:space="preserve"> short or del</w:t>
      </w:r>
      <w:r w:rsidRPr="002D7212" w:rsidR="00BD4662">
        <w:t>ayed based on</w:t>
      </w:r>
      <w:r w:rsidRPr="002D7212" w:rsidR="00421049">
        <w:t xml:space="preserve"> unrounded </w:t>
      </w:r>
      <w:r w:rsidRPr="002D7212" w:rsidR="0098258E">
        <w:t xml:space="preserve">as opposed to rounded </w:t>
      </w:r>
      <w:r w:rsidRPr="002D7212" w:rsidR="00421049">
        <w:t>time punches</w:t>
      </w:r>
      <w:r w:rsidRPr="002D7212" w:rsidR="00BD4662">
        <w:t xml:space="preserve">.  The dropdown menu did not appear </w:t>
      </w:r>
      <w:r w:rsidRPr="002D7212" w:rsidR="00374529">
        <w:t xml:space="preserve">for </w:t>
      </w:r>
      <w:r w:rsidRPr="002D7212">
        <w:t xml:space="preserve">such </w:t>
      </w:r>
      <w:r w:rsidRPr="002D7212" w:rsidR="00374529">
        <w:t xml:space="preserve">meal periods.  If </w:t>
      </w:r>
      <w:r w:rsidRPr="002D7212" w:rsidR="0071722A">
        <w:t xml:space="preserve">any of those meal periods were not </w:t>
      </w:r>
      <w:r w:rsidRPr="002D7212" w:rsidR="00413175">
        <w:t xml:space="preserve">voluntarily shortened or delayed, then </w:t>
      </w:r>
      <w:r w:rsidRPr="002D7212" w:rsidR="00CF5730">
        <w:t xml:space="preserve">AMN </w:t>
      </w:r>
      <w:r w:rsidRPr="002D7212" w:rsidR="00C87F0B">
        <w:t xml:space="preserve">would be </w:t>
      </w:r>
      <w:r w:rsidRPr="002D7212" w:rsidR="003730FD">
        <w:t>liable for premium pay.</w:t>
      </w:r>
    </w:p>
    <w:p w:rsidR="009A1ACA" w:rsidRPr="002D7212" w:rsidP="002D7212">
      <w:pPr>
        <w:keepNext/>
        <w:ind w:firstLine="720"/>
        <w:rPr>
          <w:szCs w:val="26"/>
        </w:rPr>
      </w:pPr>
      <w:r w:rsidRPr="002D7212">
        <w:rPr>
          <w:szCs w:val="26"/>
        </w:rPr>
        <w:t xml:space="preserve">The Court of Appeal </w:t>
      </w:r>
      <w:r w:rsidRPr="002D7212" w:rsidR="000F16D8">
        <w:rPr>
          <w:szCs w:val="26"/>
        </w:rPr>
        <w:t xml:space="preserve">reached the opposite conclusion </w:t>
      </w:r>
      <w:r w:rsidRPr="002D7212" w:rsidR="00C87F0B">
        <w:rPr>
          <w:szCs w:val="26"/>
        </w:rPr>
        <w:t xml:space="preserve">as to </w:t>
      </w:r>
      <w:r w:rsidRPr="002D7212" w:rsidR="00701CDC">
        <w:rPr>
          <w:szCs w:val="26"/>
        </w:rPr>
        <w:t xml:space="preserve">the rounding policy before and after September 2012 </w:t>
      </w:r>
      <w:r w:rsidRPr="002D7212" w:rsidR="000F16D8">
        <w:rPr>
          <w:szCs w:val="26"/>
        </w:rPr>
        <w:t xml:space="preserve">and </w:t>
      </w:r>
      <w:r w:rsidRPr="002D7212" w:rsidR="007F27BF">
        <w:rPr>
          <w:szCs w:val="26"/>
        </w:rPr>
        <w:t xml:space="preserve">ruled in favor of </w:t>
      </w:r>
      <w:r w:rsidRPr="002D7212" w:rsidR="006A760C">
        <w:rPr>
          <w:szCs w:val="26"/>
        </w:rPr>
        <w:t xml:space="preserve">AMN.  </w:t>
      </w:r>
      <w:r w:rsidR="00CC25B9">
        <w:rPr>
          <w:szCs w:val="26"/>
        </w:rPr>
        <w:t>We reverse</w:t>
      </w:r>
      <w:r w:rsidR="003F0DA6">
        <w:rPr>
          <w:szCs w:val="26"/>
        </w:rPr>
        <w:t xml:space="preserve"> </w:t>
      </w:r>
      <w:r w:rsidRPr="002D7212" w:rsidR="00C87F0B">
        <w:rPr>
          <w:szCs w:val="26"/>
        </w:rPr>
        <w:t xml:space="preserve">the Court of Appeal’s judgment as to the meal period claim </w:t>
      </w:r>
      <w:r w:rsidR="003F0DA6">
        <w:rPr>
          <w:szCs w:val="26"/>
        </w:rPr>
        <w:t>and</w:t>
      </w:r>
      <w:r w:rsidRPr="002D7212" w:rsidR="00C87F0B">
        <w:rPr>
          <w:szCs w:val="26"/>
        </w:rPr>
        <w:t xml:space="preserve"> </w:t>
      </w:r>
      <w:r w:rsidRPr="002D7212" w:rsidR="005D011D">
        <w:rPr>
          <w:szCs w:val="26"/>
        </w:rPr>
        <w:t xml:space="preserve">remand with directions to remand the matter to the trial court to permit either party to file a new summary adjudication motion as to the meal period claim.  </w:t>
      </w:r>
      <w:r w:rsidRPr="002D7212" w:rsidR="005E38C3">
        <w:rPr>
          <w:szCs w:val="26"/>
        </w:rPr>
        <w:t xml:space="preserve">(See </w:t>
      </w:r>
      <w:r w:rsidRPr="002D7212" w:rsidR="005E38C3">
        <w:rPr>
          <w:i/>
          <w:szCs w:val="26"/>
        </w:rPr>
        <w:t>TRB Investments</w:t>
      </w:r>
      <w:r w:rsidRPr="002D7212" w:rsidR="00413D66">
        <w:rPr>
          <w:szCs w:val="26"/>
        </w:rPr>
        <w:t xml:space="preserve">, </w:t>
      </w:r>
      <w:r w:rsidRPr="002D7212" w:rsidR="00413D66">
        <w:rPr>
          <w:i/>
          <w:szCs w:val="26"/>
        </w:rPr>
        <w:t>supra</w:t>
      </w:r>
      <w:r w:rsidRPr="002D7212" w:rsidR="00413D66">
        <w:rPr>
          <w:szCs w:val="26"/>
        </w:rPr>
        <w:t>,</w:t>
      </w:r>
      <w:r w:rsidRPr="002D7212" w:rsidR="005E38C3">
        <w:rPr>
          <w:szCs w:val="26"/>
        </w:rPr>
        <w:t xml:space="preserve"> 40</w:t>
      </w:r>
      <w:r w:rsidR="006620B5">
        <w:rPr>
          <w:szCs w:val="26"/>
        </w:rPr>
        <w:t xml:space="preserve"> </w:t>
      </w:r>
      <w:r w:rsidRPr="002D7212" w:rsidR="005E38C3">
        <w:rPr>
          <w:szCs w:val="26"/>
        </w:rPr>
        <w:t xml:space="preserve">Cal.4th </w:t>
      </w:r>
      <w:r w:rsidRPr="002D7212" w:rsidR="00413D66">
        <w:rPr>
          <w:szCs w:val="26"/>
        </w:rPr>
        <w:t>at pp. </w:t>
      </w:r>
      <w:r w:rsidRPr="002D7212" w:rsidR="005E38C3">
        <w:rPr>
          <w:szCs w:val="26"/>
        </w:rPr>
        <w:t xml:space="preserve">23, 31–32.)  </w:t>
      </w:r>
      <w:r w:rsidRPr="002D7212" w:rsidR="005F721F">
        <w:rPr>
          <w:szCs w:val="26"/>
        </w:rPr>
        <w:t xml:space="preserve">Because the </w:t>
      </w:r>
      <w:r w:rsidRPr="002D7212" w:rsidR="00D30E01">
        <w:rPr>
          <w:szCs w:val="26"/>
        </w:rPr>
        <w:t xml:space="preserve">parties </w:t>
      </w:r>
      <w:r w:rsidRPr="002D7212" w:rsidR="00382A06">
        <w:rPr>
          <w:szCs w:val="26"/>
        </w:rPr>
        <w:t xml:space="preserve">did not have the benefit of this decision </w:t>
      </w:r>
      <w:r w:rsidRPr="002D7212" w:rsidR="00DC2B94">
        <w:rPr>
          <w:szCs w:val="26"/>
        </w:rPr>
        <w:t xml:space="preserve">when litigating </w:t>
      </w:r>
      <w:r w:rsidRPr="002D7212" w:rsidR="00DB62AC">
        <w:rPr>
          <w:szCs w:val="26"/>
        </w:rPr>
        <w:t xml:space="preserve">the </w:t>
      </w:r>
      <w:r w:rsidRPr="002D7212" w:rsidR="00DC2B94">
        <w:rPr>
          <w:szCs w:val="26"/>
        </w:rPr>
        <w:t xml:space="preserve">defendant’s summary judgment motion and </w:t>
      </w:r>
      <w:r w:rsidRPr="002D7212" w:rsidR="00DB62AC">
        <w:rPr>
          <w:szCs w:val="26"/>
        </w:rPr>
        <w:t xml:space="preserve">the </w:t>
      </w:r>
      <w:r w:rsidRPr="002D7212" w:rsidR="00DC2B94">
        <w:rPr>
          <w:szCs w:val="26"/>
        </w:rPr>
        <w:t xml:space="preserve">plaintiff’s summary adjudication motion, </w:t>
      </w:r>
      <w:r w:rsidRPr="002D7212" w:rsidR="00D27698">
        <w:rPr>
          <w:szCs w:val="26"/>
        </w:rPr>
        <w:t xml:space="preserve">they </w:t>
      </w:r>
      <w:r w:rsidR="00CC25B9">
        <w:rPr>
          <w:szCs w:val="26"/>
        </w:rPr>
        <w:t>should now be afforded another opportunity to</w:t>
      </w:r>
      <w:r w:rsidRPr="002D7212" w:rsidR="00D27698">
        <w:rPr>
          <w:szCs w:val="26"/>
        </w:rPr>
        <w:t xml:space="preserve"> present </w:t>
      </w:r>
      <w:r w:rsidRPr="002D7212" w:rsidR="0046117C">
        <w:rPr>
          <w:szCs w:val="26"/>
        </w:rPr>
        <w:t xml:space="preserve">relevant evidence </w:t>
      </w:r>
      <w:r w:rsidR="00431F51">
        <w:rPr>
          <w:szCs w:val="26"/>
        </w:rPr>
        <w:t xml:space="preserve">concerning </w:t>
      </w:r>
      <w:r w:rsidR="006B2FDE">
        <w:rPr>
          <w:szCs w:val="26"/>
        </w:rPr>
        <w:t>AMN’s compliance</w:t>
      </w:r>
      <w:r w:rsidR="00CC25B9">
        <w:rPr>
          <w:szCs w:val="26"/>
        </w:rPr>
        <w:t xml:space="preserve"> with </w:t>
      </w:r>
      <w:r w:rsidR="00CC25B9">
        <w:rPr>
          <w:i/>
          <w:szCs w:val="26"/>
        </w:rPr>
        <w:t>Brinker</w:t>
      </w:r>
      <w:r w:rsidRPr="002D7212" w:rsidR="00050B85">
        <w:rPr>
          <w:szCs w:val="26"/>
        </w:rPr>
        <w:t xml:space="preserve">.  </w:t>
      </w:r>
      <w:r w:rsidR="00CC25B9">
        <w:rPr>
          <w:szCs w:val="26"/>
        </w:rPr>
        <w:t>A</w:t>
      </w:r>
      <w:r w:rsidRPr="002D7212" w:rsidR="007670C9">
        <w:rPr>
          <w:szCs w:val="26"/>
        </w:rPr>
        <w:t>s to the meal periods that are short or delayed based on unrounded time punches and for which no premium wages were paid</w:t>
      </w:r>
      <w:r w:rsidRPr="002D7212" w:rsidR="00EB7BB9">
        <w:rPr>
          <w:szCs w:val="26"/>
        </w:rPr>
        <w:t xml:space="preserve">, </w:t>
      </w:r>
      <w:r w:rsidRPr="002D7212" w:rsidR="00E83F25">
        <w:rPr>
          <w:szCs w:val="26"/>
        </w:rPr>
        <w:t xml:space="preserve">did the employees voluntarily choose to </w:t>
      </w:r>
      <w:r w:rsidRPr="002D7212" w:rsidR="00532AB6">
        <w:rPr>
          <w:szCs w:val="26"/>
        </w:rPr>
        <w:t xml:space="preserve">take short or </w:t>
      </w:r>
      <w:r w:rsidRPr="002D7212" w:rsidR="00FE7483">
        <w:rPr>
          <w:szCs w:val="26"/>
        </w:rPr>
        <w:t>d</w:t>
      </w:r>
      <w:r w:rsidRPr="002D7212" w:rsidR="002E6014">
        <w:rPr>
          <w:szCs w:val="26"/>
        </w:rPr>
        <w:t xml:space="preserve">elayed meal periods?  On remand, the parties will </w:t>
      </w:r>
      <w:r w:rsidRPr="002D7212" w:rsidR="00574596">
        <w:rPr>
          <w:szCs w:val="26"/>
        </w:rPr>
        <w:t xml:space="preserve">have the opportunity to present </w:t>
      </w:r>
      <w:r w:rsidRPr="002D7212" w:rsidR="00C80F22">
        <w:rPr>
          <w:szCs w:val="26"/>
        </w:rPr>
        <w:t>evidence bearing on this question.</w:t>
      </w:r>
    </w:p>
    <w:p w:rsidR="009A1ACA" w:rsidRPr="002D7212">
      <w:pPr>
        <w:tabs>
          <w:tab w:val="left" w:pos="1440"/>
        </w:tabs>
        <w:ind w:firstLine="720"/>
      </w:pPr>
      <w:r w:rsidRPr="002D7212">
        <w:rPr>
          <w:szCs w:val="26"/>
        </w:rPr>
        <w:t xml:space="preserve">We provide some guidance on how </w:t>
      </w:r>
      <w:r w:rsidRPr="002D7212" w:rsidR="00AD15B8">
        <w:rPr>
          <w:szCs w:val="26"/>
        </w:rPr>
        <w:t>the rebuttable presumption should be applied on remand in light of the</w:t>
      </w:r>
      <w:r w:rsidRPr="002D7212" w:rsidR="00503643">
        <w:rPr>
          <w:szCs w:val="26"/>
        </w:rPr>
        <w:t xml:space="preserve"> </w:t>
      </w:r>
      <w:r w:rsidRPr="002D7212" w:rsidR="00CD23C4">
        <w:rPr>
          <w:szCs w:val="26"/>
        </w:rPr>
        <w:t>usual s</w:t>
      </w:r>
      <w:r w:rsidRPr="002D7212" w:rsidR="007A173E">
        <w:rPr>
          <w:szCs w:val="26"/>
        </w:rPr>
        <w:t>umma</w:t>
      </w:r>
      <w:r w:rsidRPr="002D7212" w:rsidR="00621A8E">
        <w:rPr>
          <w:szCs w:val="26"/>
        </w:rPr>
        <w:t xml:space="preserve">ry adjudication standards.  </w:t>
      </w:r>
      <w:r w:rsidRPr="002D7212" w:rsidR="00701CDC">
        <w:rPr>
          <w:szCs w:val="26"/>
        </w:rPr>
        <w:t xml:space="preserve">According to Donohue’s expert witness, </w:t>
      </w:r>
      <w:r w:rsidRPr="002D7212" w:rsidR="00F2244D">
        <w:rPr>
          <w:szCs w:val="26"/>
        </w:rPr>
        <w:t xml:space="preserve">AMN’s </w:t>
      </w:r>
      <w:r w:rsidRPr="002D7212" w:rsidR="00701CDC">
        <w:rPr>
          <w:szCs w:val="26"/>
        </w:rPr>
        <w:t xml:space="preserve">time records showed </w:t>
      </w:r>
      <w:r w:rsidRPr="002D7212" w:rsidR="00701CDC">
        <w:t xml:space="preserve">40,110 short </w:t>
      </w:r>
      <w:r w:rsidRPr="002D7212" w:rsidR="00F2244D">
        <w:t>meal periods</w:t>
      </w:r>
      <w:r w:rsidRPr="002D7212" w:rsidR="00701CDC">
        <w:t xml:space="preserve"> and 6,651 delayed </w:t>
      </w:r>
      <w:r w:rsidRPr="002D7212" w:rsidR="00F2244D">
        <w:t>meal periods</w:t>
      </w:r>
      <w:r w:rsidRPr="002D7212" w:rsidR="00701CDC">
        <w:t xml:space="preserve"> for which premium wages were not paid</w:t>
      </w:r>
      <w:r w:rsidRPr="002D7212" w:rsidR="00F2244D">
        <w:t>; these meal periods did not show up as short or delayed in AMN’s timekeeping system because of rounding</w:t>
      </w:r>
      <w:r w:rsidRPr="002D7212" w:rsidR="00701CDC">
        <w:t>.</w:t>
      </w:r>
      <w:r w:rsidRPr="002D7212" w:rsidR="00F2244D">
        <w:t xml:space="preserve">  </w:t>
      </w:r>
      <w:r w:rsidR="00AF116B">
        <w:t xml:space="preserve">The introduction of these time records by either party would trigger the rebuttable presumption.  </w:t>
      </w:r>
      <w:r w:rsidRPr="002D7212">
        <w:t xml:space="preserve">If AMN </w:t>
      </w:r>
      <w:r w:rsidRPr="002D7212" w:rsidR="00C87F0B">
        <w:t>renews its motion</w:t>
      </w:r>
      <w:r w:rsidRPr="002D7212">
        <w:t xml:space="preserve"> </w:t>
      </w:r>
      <w:r w:rsidRPr="002D7212" w:rsidR="007A173E">
        <w:rPr>
          <w:szCs w:val="26"/>
        </w:rPr>
        <w:t>for summary a</w:t>
      </w:r>
      <w:r w:rsidRPr="002D7212" w:rsidR="00250E67">
        <w:rPr>
          <w:szCs w:val="26"/>
        </w:rPr>
        <w:t xml:space="preserve">djudication, </w:t>
      </w:r>
      <w:r w:rsidRPr="002D7212">
        <w:rPr>
          <w:szCs w:val="26"/>
        </w:rPr>
        <w:t xml:space="preserve">it </w:t>
      </w:r>
      <w:r w:rsidRPr="002D7212" w:rsidR="005928CD">
        <w:rPr>
          <w:szCs w:val="26"/>
        </w:rPr>
        <w:t xml:space="preserve">must satisfy the </w:t>
      </w:r>
      <w:r w:rsidRPr="002D7212" w:rsidR="00582EDC">
        <w:rPr>
          <w:szCs w:val="26"/>
        </w:rPr>
        <w:t xml:space="preserve">initial burden of </w:t>
      </w:r>
      <w:r w:rsidRPr="002D7212" w:rsidR="00850505">
        <w:rPr>
          <w:szCs w:val="26"/>
        </w:rPr>
        <w:t xml:space="preserve">production and make a prima facie showing that </w:t>
      </w:r>
      <w:r w:rsidRPr="002D7212" w:rsidR="00C12EAA">
        <w:rPr>
          <w:szCs w:val="26"/>
        </w:rPr>
        <w:t>“</w:t>
      </w:r>
      <w:r w:rsidRPr="002D7212" w:rsidR="00952041">
        <w:rPr>
          <w:szCs w:val="26"/>
        </w:rPr>
        <w:t>one or more elements of the cause of action . . . cannot be established, or that there is a complete defense to the cause of action.”  (</w:t>
      </w:r>
      <w:r w:rsidRPr="002D7212" w:rsidR="00E91860">
        <w:rPr>
          <w:szCs w:val="26"/>
        </w:rPr>
        <w:t>Code Civ. Proc.</w:t>
      </w:r>
      <w:r w:rsidRPr="002D7212" w:rsidR="00870B5A">
        <w:rPr>
          <w:szCs w:val="26"/>
        </w:rPr>
        <w:t>,</w:t>
      </w:r>
      <w:r w:rsidRPr="002D7212" w:rsidR="00E91860">
        <w:rPr>
          <w:szCs w:val="26"/>
        </w:rPr>
        <w:t xml:space="preserve"> § 437c, subd. (p)(2).)</w:t>
      </w:r>
      <w:r w:rsidRPr="002D7212" w:rsidR="00EC7E5E">
        <w:rPr>
          <w:szCs w:val="26"/>
        </w:rPr>
        <w:t xml:space="preserve">  To satisfy </w:t>
      </w:r>
      <w:r w:rsidRPr="002D7212" w:rsidR="00E91860">
        <w:rPr>
          <w:szCs w:val="26"/>
        </w:rPr>
        <w:t>this burden</w:t>
      </w:r>
      <w:r w:rsidRPr="002D7212" w:rsidR="0020622E">
        <w:rPr>
          <w:szCs w:val="26"/>
        </w:rPr>
        <w:t xml:space="preserve">, </w:t>
      </w:r>
      <w:r w:rsidRPr="002D7212" w:rsidR="001603B7">
        <w:rPr>
          <w:szCs w:val="26"/>
        </w:rPr>
        <w:t>AMN could</w:t>
      </w:r>
      <w:r w:rsidR="001A6DE8">
        <w:rPr>
          <w:szCs w:val="26"/>
        </w:rPr>
        <w:t xml:space="preserve"> try to establish the defense</w:t>
      </w:r>
      <w:r w:rsidR="009066DE">
        <w:rPr>
          <w:szCs w:val="26"/>
        </w:rPr>
        <w:t xml:space="preserve"> that it genuinely relieved employees from duty during meal periods</w:t>
      </w:r>
      <w:r w:rsidR="00AF116B">
        <w:rPr>
          <w:szCs w:val="26"/>
        </w:rPr>
        <w:t xml:space="preserve">.  Specifically, to rebut the presumption of noncompliance arising from the time records, </w:t>
      </w:r>
      <w:r w:rsidR="001A6DE8">
        <w:rPr>
          <w:szCs w:val="26"/>
        </w:rPr>
        <w:t xml:space="preserve">AMN </w:t>
      </w:r>
      <w:r w:rsidR="00AF116B">
        <w:rPr>
          <w:szCs w:val="26"/>
        </w:rPr>
        <w:t>would need to provide evidence</w:t>
      </w:r>
      <w:r w:rsidR="001A6DE8">
        <w:rPr>
          <w:szCs w:val="26"/>
        </w:rPr>
        <w:t xml:space="preserve"> </w:t>
      </w:r>
      <w:r w:rsidRPr="002D7212" w:rsidR="00427900">
        <w:rPr>
          <w:szCs w:val="26"/>
        </w:rPr>
        <w:t xml:space="preserve">that </w:t>
      </w:r>
      <w:r w:rsidRPr="002D7212" w:rsidR="0087409D">
        <w:rPr>
          <w:szCs w:val="26"/>
        </w:rPr>
        <w:t>employees</w:t>
      </w:r>
      <w:r w:rsidR="003759D3">
        <w:rPr>
          <w:szCs w:val="26"/>
        </w:rPr>
        <w:t xml:space="preserve"> </w:t>
      </w:r>
      <w:r w:rsidR="00B4435E">
        <w:rPr>
          <w:szCs w:val="26"/>
        </w:rPr>
        <w:t>voluntarily</w:t>
      </w:r>
      <w:r w:rsidR="003759D3">
        <w:rPr>
          <w:szCs w:val="26"/>
        </w:rPr>
        <w:t xml:space="preserve"> chose to work during off-duty meal periods that appear</w:t>
      </w:r>
      <w:r w:rsidR="00B4435E">
        <w:rPr>
          <w:szCs w:val="26"/>
        </w:rPr>
        <w:t xml:space="preserve"> in time records</w:t>
      </w:r>
      <w:r w:rsidR="003759D3">
        <w:rPr>
          <w:szCs w:val="26"/>
        </w:rPr>
        <w:t xml:space="preserve"> to be short or delayed based on unrounded time punches.</w:t>
      </w:r>
      <w:r w:rsidRPr="002D7212" w:rsidR="00D91449">
        <w:rPr>
          <w:szCs w:val="26"/>
        </w:rPr>
        <w:t xml:space="preserve">  </w:t>
      </w:r>
      <w:r w:rsidRPr="002D7212" w:rsidR="00B50661">
        <w:rPr>
          <w:szCs w:val="26"/>
        </w:rPr>
        <w:t xml:space="preserve">If AMN </w:t>
      </w:r>
      <w:r w:rsidRPr="002D7212" w:rsidR="00E91860">
        <w:rPr>
          <w:szCs w:val="26"/>
        </w:rPr>
        <w:t>satisfies this burden, then the burden of production shifts to Donohue “</w:t>
      </w:r>
      <w:r w:rsidRPr="002D7212" w:rsidR="00E91860">
        <w:rPr>
          <w:szCs w:val="26"/>
          <w:shd w:val="clear" w:color="auto" w:fill="FFFFFF"/>
        </w:rPr>
        <w:t>to show that a triable issue of one or more material facts exists as to </w:t>
      </w:r>
      <w:r w:rsidRPr="002D7212" w:rsidR="00E91860">
        <w:rPr>
          <w:szCs w:val="26"/>
          <w:bdr w:val="none" w:sz="0" w:space="0" w:color="auto" w:frame="1"/>
          <w:shd w:val="clear" w:color="auto" w:fill="FFFFFF"/>
        </w:rPr>
        <w:t>the</w:t>
      </w:r>
      <w:r w:rsidRPr="002D7212" w:rsidR="00E91860">
        <w:rPr>
          <w:szCs w:val="26"/>
          <w:shd w:val="clear" w:color="auto" w:fill="FFFFFF"/>
        </w:rPr>
        <w:t> cause of action or a defense.”</w:t>
      </w:r>
      <w:r w:rsidRPr="002D7212" w:rsidR="000A55DD">
        <w:rPr>
          <w:szCs w:val="26"/>
          <w:shd w:val="clear" w:color="auto" w:fill="FFFFFF"/>
        </w:rPr>
        <w:t xml:space="preserve">  (</w:t>
      </w:r>
      <w:r w:rsidRPr="002D7212" w:rsidR="000A55DD">
        <w:rPr>
          <w:i/>
          <w:szCs w:val="26"/>
          <w:shd w:val="clear" w:color="auto" w:fill="FFFFFF"/>
        </w:rPr>
        <w:t>Ibid.</w:t>
      </w:r>
      <w:r w:rsidRPr="002D7212" w:rsidR="00A03A21">
        <w:rPr>
          <w:szCs w:val="26"/>
          <w:shd w:val="clear" w:color="auto" w:fill="FFFFFF"/>
        </w:rPr>
        <w:t xml:space="preserve">)  But </w:t>
      </w:r>
      <w:r w:rsidRPr="002D7212" w:rsidR="00EC5FED">
        <w:rPr>
          <w:szCs w:val="26"/>
          <w:shd w:val="clear" w:color="auto" w:fill="FFFFFF"/>
        </w:rPr>
        <w:t>t</w:t>
      </w:r>
      <w:r w:rsidRPr="002D7212" w:rsidR="007F6B39">
        <w:rPr>
          <w:szCs w:val="26"/>
          <w:shd w:val="clear" w:color="auto" w:fill="FFFFFF"/>
        </w:rPr>
        <w:t xml:space="preserve">he ultimate burden of persuasion remains </w:t>
      </w:r>
      <w:r w:rsidRPr="002D7212" w:rsidR="00113B57">
        <w:rPr>
          <w:szCs w:val="26"/>
          <w:shd w:val="clear" w:color="auto" w:fill="FFFFFF"/>
        </w:rPr>
        <w:t xml:space="preserve">with the defendant </w:t>
      </w:r>
      <w:r w:rsidRPr="002D7212" w:rsidR="001F655C">
        <w:rPr>
          <w:szCs w:val="26"/>
          <w:shd w:val="clear" w:color="auto" w:fill="FFFFFF"/>
        </w:rPr>
        <w:t>to show that no genuine issue of material fact exists and that it is entitled to judgment as a matter of law.</w:t>
      </w:r>
    </w:p>
    <w:p w:rsidR="001A00C0" w:rsidRPr="002D7212">
      <w:pPr>
        <w:keepNext/>
        <w:ind w:firstLine="720"/>
        <w:rPr>
          <w:szCs w:val="26"/>
          <w:shd w:val="clear" w:color="auto" w:fill="FFFFFF"/>
        </w:rPr>
      </w:pPr>
      <w:r w:rsidRPr="002D7212">
        <w:rPr>
          <w:szCs w:val="26"/>
          <w:shd w:val="clear" w:color="auto" w:fill="FFFFFF"/>
        </w:rPr>
        <w:t>Conversely, when a plaintiff moves for summary adjudication,</w:t>
      </w:r>
      <w:r w:rsidR="00FF2C9E">
        <w:rPr>
          <w:szCs w:val="26"/>
          <w:shd w:val="clear" w:color="auto" w:fill="FFFFFF"/>
        </w:rPr>
        <w:t xml:space="preserve"> the plaintiff meets “his or her burden of showing that there is no defense to a cause of action” if the plaintiff “prove[s] each element of the cause of action entitling the party to judgment on the cause of action.”  (Code Civ. Proc., § 437c, subd. (p)(1).)</w:t>
      </w:r>
      <w:r w:rsidRPr="002D7212" w:rsidR="005B2545">
        <w:rPr>
          <w:szCs w:val="26"/>
        </w:rPr>
        <w:t xml:space="preserve">  </w:t>
      </w:r>
      <w:r w:rsidRPr="002D7212" w:rsidR="00D13D67">
        <w:rPr>
          <w:szCs w:val="26"/>
        </w:rPr>
        <w:t xml:space="preserve">Donohue can satisfy that burden by </w:t>
      </w:r>
      <w:r w:rsidRPr="002D7212" w:rsidR="00D7721B">
        <w:rPr>
          <w:szCs w:val="26"/>
        </w:rPr>
        <w:t>using time records to raise a</w:t>
      </w:r>
      <w:r w:rsidRPr="002D7212" w:rsidR="00D13D67">
        <w:rPr>
          <w:szCs w:val="26"/>
        </w:rPr>
        <w:t xml:space="preserve"> rebuttable presumption </w:t>
      </w:r>
      <w:r w:rsidRPr="002D7212" w:rsidR="00C32293">
        <w:rPr>
          <w:szCs w:val="26"/>
        </w:rPr>
        <w:t>of meal period violations</w:t>
      </w:r>
      <w:r w:rsidR="003B4193">
        <w:rPr>
          <w:szCs w:val="26"/>
        </w:rPr>
        <w:t xml:space="preserve">.  </w:t>
      </w:r>
      <w:r w:rsidRPr="002D7212" w:rsidR="00931933">
        <w:rPr>
          <w:szCs w:val="26"/>
        </w:rPr>
        <w:t xml:space="preserve">Once the plaintiff meets that burden, </w:t>
      </w:r>
      <w:r w:rsidRPr="002D7212" w:rsidR="004B278A">
        <w:rPr>
          <w:szCs w:val="26"/>
        </w:rPr>
        <w:t xml:space="preserve">the burden </w:t>
      </w:r>
      <w:r w:rsidRPr="002D7212" w:rsidR="00DF6B9A">
        <w:rPr>
          <w:szCs w:val="26"/>
        </w:rPr>
        <w:t>shifts to the defendant “to show that a triable issue of one or more material facts exists as to the cause of action or a defense.”  (</w:t>
      </w:r>
      <w:r w:rsidRPr="002D7212" w:rsidR="00DF6B9A">
        <w:rPr>
          <w:i/>
          <w:szCs w:val="26"/>
        </w:rPr>
        <w:t>Ibid.</w:t>
      </w:r>
      <w:r w:rsidRPr="002D7212" w:rsidR="0012100C">
        <w:rPr>
          <w:szCs w:val="26"/>
        </w:rPr>
        <w:t>)  But t</w:t>
      </w:r>
      <w:r w:rsidRPr="002D7212" w:rsidR="00DF6B9A">
        <w:rPr>
          <w:szCs w:val="26"/>
        </w:rPr>
        <w:t xml:space="preserve">he plaintiff bears the ultimate burden of persuasion to show that </w:t>
      </w:r>
      <w:r w:rsidRPr="002D7212" w:rsidR="00DF6B9A">
        <w:rPr>
          <w:szCs w:val="26"/>
          <w:shd w:val="clear" w:color="auto" w:fill="FFFFFF"/>
        </w:rPr>
        <w:t>no genuine issue of material fact exists and that it is entitled to judgment as a matter of law.</w:t>
      </w:r>
      <w:r w:rsidRPr="002D7212" w:rsidR="00BF73DA">
        <w:rPr>
          <w:szCs w:val="26"/>
          <w:shd w:val="clear" w:color="auto" w:fill="FFFFFF"/>
        </w:rPr>
        <w:t xml:space="preserve">  </w:t>
      </w:r>
      <w:r w:rsidRPr="002D7212" w:rsidR="00235CCC">
        <w:rPr>
          <w:szCs w:val="26"/>
          <w:shd w:val="clear" w:color="auto" w:fill="FFFFFF"/>
        </w:rPr>
        <w:t xml:space="preserve">The parties may present </w:t>
      </w:r>
      <w:r w:rsidRPr="002D7212" w:rsidR="000A4A23">
        <w:rPr>
          <w:szCs w:val="26"/>
          <w:shd w:val="clear" w:color="auto" w:fill="FFFFFF"/>
        </w:rPr>
        <w:t>new evidence and arguments to address these issues on remand.</w:t>
      </w:r>
    </w:p>
    <w:p w:rsidR="00B4435E" w:rsidP="002D7212">
      <w:pPr>
        <w:tabs>
          <w:tab w:val="left" w:pos="1440"/>
        </w:tabs>
        <w:ind w:firstLine="720"/>
        <w:rPr>
          <w:szCs w:val="26"/>
        </w:rPr>
      </w:pPr>
      <w:r w:rsidRPr="002D7212">
        <w:rPr>
          <w:szCs w:val="26"/>
        </w:rPr>
        <w:t>According to AMN,</w:t>
      </w:r>
      <w:r w:rsidRPr="002D7212" w:rsidR="002A427B">
        <w:rPr>
          <w:szCs w:val="26"/>
        </w:rPr>
        <w:t xml:space="preserve"> </w:t>
      </w:r>
      <w:r w:rsidRPr="002D7212" w:rsidR="004611BE">
        <w:rPr>
          <w:szCs w:val="26"/>
        </w:rPr>
        <w:t xml:space="preserve">it has </w:t>
      </w:r>
      <w:r w:rsidRPr="002D7212" w:rsidR="0062018E">
        <w:rPr>
          <w:szCs w:val="26"/>
        </w:rPr>
        <w:t xml:space="preserve">already established that the time records do not raise a </w:t>
      </w:r>
      <w:r w:rsidRPr="002D7212" w:rsidR="00CB0B36">
        <w:rPr>
          <w:szCs w:val="26"/>
        </w:rPr>
        <w:t>rebuttable presumption of meal period violations.</w:t>
      </w:r>
      <w:r w:rsidRPr="002D7212" w:rsidR="0062018E">
        <w:rPr>
          <w:szCs w:val="26"/>
        </w:rPr>
        <w:t xml:space="preserve">  AMN argues that</w:t>
      </w:r>
      <w:r w:rsidRPr="002D7212" w:rsidR="00496957">
        <w:rPr>
          <w:szCs w:val="26"/>
        </w:rPr>
        <w:t xml:space="preserve"> </w:t>
      </w:r>
      <w:r w:rsidRPr="002D7212">
        <w:rPr>
          <w:szCs w:val="26"/>
        </w:rPr>
        <w:t>Donohue never used Team Time’s dropdown menu to indicate that she was not provided with a compliant meal period</w:t>
      </w:r>
      <w:r w:rsidRPr="002D7212" w:rsidR="004A4C58">
        <w:rPr>
          <w:szCs w:val="26"/>
        </w:rPr>
        <w:t xml:space="preserve">, which </w:t>
      </w:r>
      <w:r w:rsidRPr="002D7212" w:rsidR="00DB4872">
        <w:rPr>
          <w:szCs w:val="26"/>
        </w:rPr>
        <w:t xml:space="preserve">suggests that </w:t>
      </w:r>
      <w:r w:rsidRPr="002D7212" w:rsidR="00967D55">
        <w:rPr>
          <w:szCs w:val="26"/>
        </w:rPr>
        <w:t>she was never denied a compliant meal period</w:t>
      </w:r>
      <w:r w:rsidRPr="002D7212">
        <w:rPr>
          <w:szCs w:val="26"/>
        </w:rPr>
        <w:t>.</w:t>
      </w:r>
      <w:r w:rsidRPr="002D7212" w:rsidR="005F2B54">
        <w:rPr>
          <w:szCs w:val="26"/>
        </w:rPr>
        <w:t xml:space="preserve">  </w:t>
      </w:r>
      <w:r w:rsidRPr="002D7212">
        <w:rPr>
          <w:szCs w:val="26"/>
        </w:rPr>
        <w:t>But</w:t>
      </w:r>
      <w:r w:rsidRPr="002D7212" w:rsidR="00565D98">
        <w:rPr>
          <w:szCs w:val="26"/>
        </w:rPr>
        <w:t xml:space="preserve"> </w:t>
      </w:r>
      <w:r w:rsidRPr="002D7212">
        <w:rPr>
          <w:szCs w:val="26"/>
        </w:rPr>
        <w:t xml:space="preserve">because the dropdown menu was triggered </w:t>
      </w:r>
      <w:r w:rsidRPr="002D7212" w:rsidR="00D93BC4">
        <w:rPr>
          <w:szCs w:val="26"/>
        </w:rPr>
        <w:t>by</w:t>
      </w:r>
      <w:r w:rsidRPr="002D7212">
        <w:rPr>
          <w:szCs w:val="26"/>
        </w:rPr>
        <w:t xml:space="preserve"> rounded time punches, this evidence does not encompass </w:t>
      </w:r>
      <w:r w:rsidRPr="002D7212" w:rsidR="00F931AE">
        <w:rPr>
          <w:szCs w:val="26"/>
        </w:rPr>
        <w:t xml:space="preserve">all </w:t>
      </w:r>
      <w:r w:rsidRPr="002D7212" w:rsidR="00E45D45">
        <w:rPr>
          <w:szCs w:val="26"/>
        </w:rPr>
        <w:t>meal periods that were short or delayed based on actual time punches</w:t>
      </w:r>
      <w:r w:rsidRPr="002D7212" w:rsidR="00311333">
        <w:rPr>
          <w:szCs w:val="26"/>
        </w:rPr>
        <w:t>.</w:t>
      </w:r>
      <w:r w:rsidRPr="002D7212" w:rsidR="00CB4066">
        <w:rPr>
          <w:szCs w:val="26"/>
        </w:rPr>
        <w:t xml:space="preserve">  </w:t>
      </w:r>
      <w:r w:rsidRPr="002D7212" w:rsidR="00EA50BA">
        <w:rPr>
          <w:szCs w:val="26"/>
        </w:rPr>
        <w:t xml:space="preserve">Thus, </w:t>
      </w:r>
      <w:r w:rsidRPr="002D7212" w:rsidR="008E7A00">
        <w:rPr>
          <w:szCs w:val="26"/>
        </w:rPr>
        <w:t xml:space="preserve">AMN </w:t>
      </w:r>
      <w:r w:rsidRPr="002D7212" w:rsidR="00342E55">
        <w:rPr>
          <w:szCs w:val="26"/>
        </w:rPr>
        <w:t>cannot rely on this evidence to prove that there were no meal period violations.</w:t>
      </w:r>
    </w:p>
    <w:p w:rsidR="00B4435E" w:rsidP="002D7212">
      <w:pPr>
        <w:tabs>
          <w:tab w:val="left" w:pos="1440"/>
        </w:tabs>
        <w:ind w:firstLine="720"/>
      </w:pPr>
      <w:r w:rsidRPr="002D7212">
        <w:rPr>
          <w:szCs w:val="26"/>
        </w:rPr>
        <w:t>AMN also contends that the biweekly certifications</w:t>
      </w:r>
      <w:r w:rsidR="00215D80">
        <w:rPr>
          <w:szCs w:val="26"/>
        </w:rPr>
        <w:t xml:space="preserve"> signed by</w:t>
      </w:r>
      <w:r w:rsidRPr="002D7212">
        <w:rPr>
          <w:szCs w:val="26"/>
        </w:rPr>
        <w:t xml:space="preserve"> Donohue and other class members show that there were no meal period violations</w:t>
      </w:r>
      <w:r w:rsidR="003A6579">
        <w:rPr>
          <w:szCs w:val="26"/>
        </w:rPr>
        <w:t>.</w:t>
      </w:r>
      <w:r w:rsidRPr="002D7212">
        <w:rPr>
          <w:szCs w:val="26"/>
        </w:rPr>
        <w:t xml:space="preserve">  Those certifications stated:  “</w:t>
      </w:r>
      <w:r w:rsidRPr="002D7212">
        <w:t>I was provided the opportunity to take all meal breaks to which I was entitled, or, if not, I have reported on this timesheet that I was not provided the opportunity to take all such meal breaks.”</w:t>
      </w:r>
      <w:r w:rsidRPr="002D7212" w:rsidR="00CB52EA">
        <w:t xml:space="preserve">  Donohue argues that</w:t>
      </w:r>
      <w:r w:rsidRPr="002D7212" w:rsidR="00C60599">
        <w:t xml:space="preserve"> AMN cannot rely on the certifications to prove that there were no meal period violations.</w:t>
      </w:r>
      <w:r w:rsidRPr="002D7212" w:rsidR="005C0213">
        <w:t xml:space="preserve">  </w:t>
      </w:r>
      <w:r w:rsidRPr="002D7212" w:rsidR="007B5302">
        <w:t>B</w:t>
      </w:r>
      <w:r w:rsidRPr="002D7212" w:rsidR="00F041D7">
        <w:t>ecause the Team Time dropdown menu</w:t>
      </w:r>
      <w:r w:rsidRPr="002D7212" w:rsidR="00AC54C0">
        <w:t xml:space="preserve"> was triggered by rounded time punches,</w:t>
      </w:r>
      <w:r w:rsidR="00D61149">
        <w:t xml:space="preserve"> </w:t>
      </w:r>
      <w:r w:rsidRPr="002D7212" w:rsidR="00AC54C0">
        <w:t xml:space="preserve">the system did not </w:t>
      </w:r>
      <w:r w:rsidRPr="002D7212" w:rsidR="007B5302">
        <w:t xml:space="preserve">flag </w:t>
      </w:r>
      <w:r w:rsidRPr="002D7212" w:rsidR="00753035">
        <w:t xml:space="preserve">meal periods that were short or delayed based on unrounded </w:t>
      </w:r>
      <w:r w:rsidR="00D35CEB">
        <w:t xml:space="preserve">as opposed to rounded </w:t>
      </w:r>
      <w:r w:rsidRPr="002D7212" w:rsidR="00753035">
        <w:t>time punches.</w:t>
      </w:r>
      <w:r w:rsidRPr="002D7212" w:rsidR="003C5125">
        <w:t xml:space="preserve">  </w:t>
      </w:r>
      <w:r w:rsidRPr="002D7212" w:rsidR="00075595">
        <w:t xml:space="preserve">As a result, </w:t>
      </w:r>
      <w:r w:rsidR="00D35CEB">
        <w:t xml:space="preserve">Donohue contends, </w:t>
      </w:r>
      <w:r w:rsidRPr="002D7212" w:rsidR="002F6DEF">
        <w:t xml:space="preserve">employees </w:t>
      </w:r>
      <w:r w:rsidRPr="002D7212" w:rsidR="00DD6675">
        <w:t xml:space="preserve">would not have known about the potentially noncompliant meal periods </w:t>
      </w:r>
      <w:r w:rsidRPr="002D7212" w:rsidR="004D2323">
        <w:t xml:space="preserve">that Team Time did not flag </w:t>
      </w:r>
      <w:r w:rsidRPr="002D7212" w:rsidR="00DD6675">
        <w:t>unless they kept their own time records.</w:t>
      </w:r>
      <w:r w:rsidRPr="002D7212" w:rsidR="004D2B00">
        <w:t xml:space="preserve">  </w:t>
      </w:r>
      <w:r w:rsidRPr="002D7212" w:rsidR="00965006">
        <w:t xml:space="preserve">According to Donohue, </w:t>
      </w:r>
      <w:r w:rsidRPr="002D7212" w:rsidR="00BC08D7">
        <w:t>Team Time thus</w:t>
      </w:r>
      <w:r w:rsidRPr="002D7212" w:rsidR="000F79D3">
        <w:t xml:space="preserve"> </w:t>
      </w:r>
      <w:r w:rsidRPr="002D7212" w:rsidR="00F9172C">
        <w:t>led to the systematic underreporting of noncompliant meal periods and caused the biweekly certifications to be inaccurate.</w:t>
      </w:r>
      <w:r w:rsidRPr="002D7212" w:rsidR="004D2B00">
        <w:t xml:space="preserve">  In addition, </w:t>
      </w:r>
      <w:r w:rsidRPr="002D7212" w:rsidR="00A5454D">
        <w:t xml:space="preserve">Donohue argues that </w:t>
      </w:r>
      <w:r w:rsidRPr="002D7212" w:rsidR="005601ED">
        <w:t xml:space="preserve">the </w:t>
      </w:r>
      <w:r w:rsidRPr="002D7212" w:rsidR="0095626C">
        <w:t xml:space="preserve">significance of the certifications should be discounted because employees </w:t>
      </w:r>
      <w:r w:rsidRPr="002D7212" w:rsidR="00141E98">
        <w:t>had to sign them to get paid.</w:t>
      </w:r>
    </w:p>
    <w:p w:rsidR="00CE356F" w:rsidRPr="002D7212" w:rsidP="002D7212">
      <w:pPr>
        <w:tabs>
          <w:tab w:val="left" w:pos="1440"/>
        </w:tabs>
        <w:ind w:firstLine="720"/>
      </w:pPr>
      <w:r>
        <w:t xml:space="preserve">We leave these issues for the parties and the trial court to </w:t>
      </w:r>
      <w:r w:rsidRPr="002D7212" w:rsidR="002700B6">
        <w:t>address on remand</w:t>
      </w:r>
      <w:r w:rsidR="002700B6">
        <w:t xml:space="preserve">.  </w:t>
      </w:r>
      <w:r w:rsidRPr="002D7212" w:rsidR="000E13D8">
        <w:t>We note that if</w:t>
      </w:r>
      <w:r w:rsidR="000A3D05">
        <w:t>, as Donohue contends,</w:t>
      </w:r>
      <w:r w:rsidRPr="002D7212" w:rsidR="000E13D8">
        <w:t xml:space="preserve"> employees </w:t>
      </w:r>
      <w:r w:rsidR="000A3D05">
        <w:t>would not h</w:t>
      </w:r>
      <w:r w:rsidR="00194985">
        <w:t xml:space="preserve">ave known about </w:t>
      </w:r>
      <w:r w:rsidRPr="002D7212" w:rsidR="000E13D8">
        <w:t xml:space="preserve">potentially noncompliant </w:t>
      </w:r>
      <w:r w:rsidRPr="002D7212" w:rsidR="002D2991">
        <w:t>meal periods</w:t>
      </w:r>
      <w:r w:rsidR="00680D38">
        <w:t> </w:t>
      </w:r>
      <w:r w:rsidR="00194985">
        <w:t>that Team Time did not flag unless they kept their own time records</w:t>
      </w:r>
      <w:r w:rsidR="004454C3">
        <w:t>,</w:t>
      </w:r>
      <w:r w:rsidR="00680D38">
        <w:t> </w:t>
      </w:r>
      <w:r w:rsidRPr="002D7212" w:rsidR="002D2991">
        <w:t>then the certifications would be inaccurate</w:t>
      </w:r>
      <w:r w:rsidRPr="002D7212" w:rsidR="000C7F40">
        <w:t xml:space="preserve"> a</w:t>
      </w:r>
      <w:r w:rsidRPr="002D7212" w:rsidR="00ED3D4F">
        <w:t xml:space="preserve">nd </w:t>
      </w:r>
      <w:r w:rsidRPr="002D7212" w:rsidR="00464454">
        <w:t>cannot be used to</w:t>
      </w:r>
      <w:r w:rsidRPr="002D7212" w:rsidR="00F405D3">
        <w:t xml:space="preserve"> prove </w:t>
      </w:r>
      <w:r w:rsidRPr="002D7212" w:rsidR="00435D23">
        <w:t>that there were no meal period violations.</w:t>
      </w:r>
      <w:r w:rsidRPr="002D7212" w:rsidR="00537AE9">
        <w:t xml:space="preserve">  </w:t>
      </w:r>
      <w:r w:rsidR="004454C3">
        <w:t>I</w:t>
      </w:r>
      <w:r w:rsidRPr="002D7212" w:rsidR="00A2322F">
        <w:t>t is the employer’s duty to maintain accurate time records</w:t>
      </w:r>
      <w:r w:rsidR="004454C3">
        <w:t>; the law does not expect or require</w:t>
      </w:r>
      <w:r w:rsidRPr="002D7212" w:rsidR="00A2322F">
        <w:t xml:space="preserve"> employees to keep their own time records to uncover </w:t>
      </w:r>
      <w:r w:rsidRPr="002D7212" w:rsidR="00DA1FF7">
        <w:t>potential meal period</w:t>
      </w:r>
      <w:r w:rsidRPr="002D7212" w:rsidR="00A2322F">
        <w:t xml:space="preserve"> violations.  (Wage Order No. 4, </w:t>
      </w:r>
      <w:r w:rsidR="00D9463A">
        <w:rPr>
          <w:szCs w:val="26"/>
        </w:rPr>
        <w:t>§</w:t>
      </w:r>
      <w:r w:rsidRPr="002D7212" w:rsidR="00A2322F">
        <w:rPr>
          <w:szCs w:val="26"/>
        </w:rPr>
        <w:t> 7(A)(3).)</w:t>
      </w:r>
    </w:p>
    <w:p w:rsidR="00D44F85" w:rsidRPr="002D7212" w:rsidP="00733941">
      <w:pPr>
        <w:keepNext/>
        <w:tabs>
          <w:tab w:val="left" w:pos="720"/>
        </w:tabs>
        <w:jc w:val="center"/>
        <w:rPr>
          <w:b/>
        </w:rPr>
      </w:pPr>
      <w:r w:rsidRPr="002D7212">
        <w:rPr>
          <w:b/>
        </w:rPr>
        <w:t>CONCLUSION</w:t>
      </w:r>
    </w:p>
    <w:p w:rsidR="00D44F85" w:rsidP="002D7212">
      <w:pPr>
        <w:tabs>
          <w:tab w:val="left" w:pos="720"/>
        </w:tabs>
      </w:pPr>
      <w:r w:rsidRPr="002D7212">
        <w:tab/>
      </w:r>
      <w:r w:rsidR="00C12EE2">
        <w:t>W</w:t>
      </w:r>
      <w:r w:rsidRPr="002D7212" w:rsidR="009155A7">
        <w:t>e</w:t>
      </w:r>
      <w:r w:rsidRPr="002D7212">
        <w:t xml:space="preserve"> reverse the judgment of the Court of Appeal </w:t>
      </w:r>
      <w:r w:rsidRPr="002D7212" w:rsidR="00B52C08">
        <w:t>with directions to remand to the trial court</w:t>
      </w:r>
      <w:r w:rsidRPr="002D7212">
        <w:t xml:space="preserve"> for further proceedings consistent with this opinion.</w:t>
      </w:r>
    </w:p>
    <w:p w:rsidR="009C3BF2" w:rsidP="002D7212">
      <w:pPr>
        <w:tabs>
          <w:tab w:val="left" w:pos="720"/>
        </w:tabs>
      </w:pPr>
    </w:p>
    <w:p w:rsidR="009C3BF2" w:rsidP="009C3BF2">
      <w:pPr>
        <w:tabs>
          <w:tab w:val="left" w:pos="720"/>
        </w:tabs>
        <w:jc w:val="right"/>
        <w:rPr>
          <w:b/>
          <w:bCs/>
        </w:rPr>
      </w:pPr>
      <w:r>
        <w:rPr>
          <w:b/>
          <w:bCs/>
        </w:rPr>
        <w:t>LIU, J.</w:t>
      </w:r>
    </w:p>
    <w:p w:rsidR="009C3BF2" w:rsidP="009C3BF2">
      <w:pPr>
        <w:tabs>
          <w:tab w:val="left" w:pos="720"/>
        </w:tabs>
        <w:rPr>
          <w:b/>
          <w:bCs/>
        </w:rPr>
      </w:pPr>
    </w:p>
    <w:p w:rsidR="009C3BF2" w:rsidP="009C3BF2">
      <w:pPr>
        <w:tabs>
          <w:tab w:val="left" w:pos="720"/>
        </w:tabs>
        <w:rPr>
          <w:b/>
          <w:bCs/>
        </w:rPr>
      </w:pPr>
      <w:r>
        <w:rPr>
          <w:b/>
          <w:bCs/>
        </w:rPr>
        <w:t>We Concur:</w:t>
      </w:r>
    </w:p>
    <w:p w:rsidR="00C16DA1" w:rsidRPr="00C16DA1" w:rsidP="00C16DA1">
      <w:pPr>
        <w:spacing w:after="0" w:line="240" w:lineRule="auto"/>
        <w:rPr>
          <w:b/>
        </w:rPr>
      </w:pPr>
      <w:bookmarkStart w:id="2" w:name="author"/>
      <w:bookmarkStart w:id="3" w:name="initials"/>
      <w:bookmarkEnd w:id="2"/>
      <w:bookmarkEnd w:id="3"/>
      <w:r w:rsidRPr="00C16DA1">
        <w:rPr>
          <w:b/>
        </w:rPr>
        <w:t>CANTIL-SAKAUYE, C. J.</w:t>
      </w:r>
    </w:p>
    <w:p w:rsidR="00C16DA1" w:rsidRPr="00C16DA1" w:rsidP="00C16DA1">
      <w:pPr>
        <w:spacing w:after="0" w:line="240" w:lineRule="auto"/>
        <w:rPr>
          <w:b/>
        </w:rPr>
      </w:pPr>
      <w:r w:rsidRPr="00C16DA1">
        <w:rPr>
          <w:b/>
        </w:rPr>
        <w:t>CORRIGAN, J.</w:t>
      </w:r>
    </w:p>
    <w:p w:rsidR="00C16DA1" w:rsidRPr="00C16DA1" w:rsidP="00C16DA1">
      <w:pPr>
        <w:spacing w:after="0" w:line="240" w:lineRule="auto"/>
        <w:rPr>
          <w:b/>
        </w:rPr>
      </w:pPr>
      <w:r w:rsidRPr="00C16DA1">
        <w:rPr>
          <w:b/>
        </w:rPr>
        <w:t>CUÉLLAR, J.</w:t>
      </w:r>
    </w:p>
    <w:p w:rsidR="00C16DA1" w:rsidP="00C16DA1">
      <w:pPr>
        <w:spacing w:after="0" w:line="240" w:lineRule="auto"/>
        <w:rPr>
          <w:b/>
        </w:rPr>
      </w:pPr>
      <w:r w:rsidRPr="00C16DA1">
        <w:rPr>
          <w:b/>
        </w:rPr>
        <w:t>KRUGER, J.</w:t>
      </w:r>
    </w:p>
    <w:p w:rsidR="00C16DA1" w:rsidRPr="00C16DA1" w:rsidP="00C16DA1">
      <w:pPr>
        <w:spacing w:after="0" w:line="240" w:lineRule="auto"/>
        <w:rPr>
          <w:b/>
        </w:rPr>
      </w:pPr>
      <w:r>
        <w:rPr>
          <w:b/>
        </w:rPr>
        <w:t>GROBAN, J.</w:t>
      </w:r>
    </w:p>
    <w:p w:rsidR="00C16DA1" w:rsidRPr="00C16DA1" w:rsidP="00C16DA1">
      <w:pPr>
        <w:spacing w:after="0" w:line="240" w:lineRule="auto"/>
        <w:rPr>
          <w:b/>
        </w:rPr>
      </w:pPr>
      <w:r>
        <w:rPr>
          <w:b/>
        </w:rPr>
        <w:t>HOFFSTADT</w:t>
      </w:r>
      <w:r w:rsidRPr="00C16DA1">
        <w:rPr>
          <w:b/>
        </w:rPr>
        <w:t>, J.</w:t>
      </w:r>
      <w:r>
        <w:rPr>
          <w:position w:val="4"/>
          <w:vertAlign w:val="superscript"/>
        </w:rPr>
        <w:footnoteReference w:customMarkFollows="1" w:id="4"/>
        <w:t xml:space="preserve">*</w:t>
      </w:r>
    </w:p>
    <w:p w:rsidR="00364CA7">
      <w:pPr>
        <w:spacing w:after="0" w:line="240" w:lineRule="auto"/>
        <w:jc w:val="left"/>
        <w:rPr>
          <w:b/>
        </w:rPr>
        <w:sectPr w:rsidSect="00D11788">
          <w:headerReference w:type="default" r:id="rId13"/>
          <w:type w:val="continuous"/>
          <w:pgSz w:w="12240" w:h="15840"/>
          <w:pgMar w:top="1800" w:right="2160" w:bottom="1440" w:left="2160" w:header="720" w:footer="720" w:gutter="0"/>
          <w:cols w:space="720"/>
          <w:docGrid w:linePitch="367"/>
        </w:sectPr>
      </w:pPr>
    </w:p>
    <w:p w:rsidR="00622D7A" w:rsidRPr="00622D7A" w:rsidP="00622D7A">
      <w:pPr>
        <w:spacing w:after="0" w:line="240" w:lineRule="auto"/>
        <w:jc w:val="left"/>
        <w:rPr>
          <w:rFonts w:ascii="Times New Roman" w:hAnsi="Times New Roman"/>
          <w:i/>
          <w:sz w:val="20"/>
        </w:rPr>
      </w:pPr>
      <w:r w:rsidRPr="00622D7A">
        <w:rPr>
          <w:rFonts w:ascii="Times New Roman" w:hAnsi="Times New Roman"/>
          <w:i/>
          <w:sz w:val="20"/>
        </w:rPr>
        <w:t>See next page for addresses and telephone numbers for counsel who argued in Supreme Court.</w:t>
      </w:r>
    </w:p>
    <w:p w:rsidR="00622D7A" w:rsidRPr="00622D7A" w:rsidP="00622D7A">
      <w:pPr>
        <w:spacing w:after="0" w:line="240" w:lineRule="auto"/>
        <w:jc w:val="left"/>
        <w:rPr>
          <w:rFonts w:ascii="Times New Roman" w:hAnsi="Times New Roman"/>
          <w:i/>
          <w:sz w:val="20"/>
        </w:rPr>
      </w:pP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 xml:space="preserve">Name of Opinion  </w:t>
      </w:r>
      <w:r w:rsidRPr="00622D7A">
        <w:rPr>
          <w:rFonts w:ascii="Times New Roman" w:hAnsi="Times New Roman"/>
          <w:bCs/>
          <w:sz w:val="20"/>
        </w:rPr>
        <w:t>Donohue v. AMN Services, LLC</w:t>
      </w:r>
      <w:r w:rsidRPr="00622D7A">
        <w:rPr>
          <w:rFonts w:ascii="Times New Roman" w:hAnsi="Times New Roman"/>
          <w:b/>
          <w:sz w:val="20"/>
        </w:rPr>
        <w:t xml:space="preserve"> </w:t>
      </w:r>
      <w:r w:rsidRPr="00622D7A">
        <w:rPr>
          <w:rFonts w:ascii="Times New Roman" w:hAnsi="Times New Roman"/>
          <w:bCs/>
          <w:sz w:val="20"/>
        </w:rPr>
        <w:t xml:space="preserve"> </w:t>
      </w:r>
      <w:r w:rsidRPr="00622D7A">
        <w:rPr>
          <w:rFonts w:ascii="Times New Roman" w:hAnsi="Times New Roman"/>
          <w:sz w:val="20"/>
        </w:rPr>
        <w:t xml:space="preserve"> </w:t>
      </w:r>
      <w:r w:rsidRPr="00622D7A">
        <w:rPr>
          <w:rFonts w:ascii="Times New Roman" w:hAnsi="Times New Roman"/>
          <w:b/>
          <w:sz w:val="20"/>
        </w:rPr>
        <w:t>__________________________________________________________________________________</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Cs/>
          <w:sz w:val="20"/>
        </w:rPr>
      </w:pPr>
      <w:r w:rsidRPr="00622D7A">
        <w:rPr>
          <w:rFonts w:ascii="Times New Roman" w:hAnsi="Times New Roman"/>
          <w:b/>
          <w:sz w:val="20"/>
        </w:rPr>
        <w:t>Unpublished Opinion</w:t>
      </w:r>
    </w:p>
    <w:p w:rsidR="00622D7A" w:rsidRPr="00622D7A" w:rsidP="00622D7A">
      <w:pPr>
        <w:spacing w:after="0" w:line="240" w:lineRule="auto"/>
        <w:jc w:val="left"/>
        <w:rPr>
          <w:rFonts w:ascii="Times New Roman" w:hAnsi="Times New Roman"/>
          <w:sz w:val="20"/>
        </w:rPr>
      </w:pPr>
      <w:r w:rsidRPr="00622D7A">
        <w:rPr>
          <w:rFonts w:ascii="Times New Roman" w:hAnsi="Times New Roman"/>
          <w:b/>
          <w:sz w:val="20"/>
        </w:rPr>
        <w:t>Original Appeal</w:t>
      </w: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 xml:space="preserve">Original Proceeding </w:t>
      </w:r>
    </w:p>
    <w:p w:rsidR="00622D7A" w:rsidRPr="00622D7A" w:rsidP="00622D7A">
      <w:pPr>
        <w:spacing w:after="0" w:line="240" w:lineRule="auto"/>
        <w:jc w:val="left"/>
        <w:rPr>
          <w:rFonts w:ascii="Times New Roman" w:hAnsi="Times New Roman"/>
          <w:bCs/>
          <w:sz w:val="20"/>
        </w:rPr>
      </w:pPr>
      <w:r w:rsidRPr="00622D7A">
        <w:rPr>
          <w:rFonts w:ascii="Times New Roman" w:hAnsi="Times New Roman"/>
          <w:b/>
          <w:sz w:val="20"/>
        </w:rPr>
        <w:t xml:space="preserve">Review Granted </w:t>
      </w:r>
      <w:r w:rsidRPr="00622D7A">
        <w:rPr>
          <w:rFonts w:ascii="Times New Roman" w:hAnsi="Times New Roman"/>
          <w:bCs/>
          <w:sz w:val="20"/>
        </w:rPr>
        <w:t xml:space="preserve">XXX 29 Cal.App.5th 1068  </w:t>
      </w: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Rehearing Granted</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__________________________________________________________________________________</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Cs/>
          <w:sz w:val="20"/>
        </w:rPr>
      </w:pPr>
      <w:r w:rsidRPr="00622D7A">
        <w:rPr>
          <w:rFonts w:ascii="Times New Roman" w:hAnsi="Times New Roman"/>
          <w:b/>
          <w:sz w:val="20"/>
        </w:rPr>
        <w:t>Opinion No.</w:t>
      </w:r>
      <w:r w:rsidRPr="00622D7A">
        <w:rPr>
          <w:rFonts w:ascii="Times New Roman" w:hAnsi="Times New Roman"/>
          <w:sz w:val="20"/>
        </w:rPr>
        <w:t xml:space="preserve"> S253677</w:t>
      </w:r>
    </w:p>
    <w:p w:rsidR="00622D7A" w:rsidRPr="00622D7A" w:rsidP="00622D7A">
      <w:pPr>
        <w:spacing w:after="0" w:line="240" w:lineRule="auto"/>
        <w:jc w:val="left"/>
        <w:rPr>
          <w:rFonts w:ascii="Times New Roman" w:hAnsi="Times New Roman"/>
          <w:bCs/>
          <w:sz w:val="20"/>
        </w:rPr>
      </w:pPr>
      <w:r w:rsidRPr="00622D7A">
        <w:rPr>
          <w:rFonts w:ascii="Times New Roman" w:hAnsi="Times New Roman"/>
          <w:b/>
          <w:sz w:val="20"/>
        </w:rPr>
        <w:t>Date Filed:</w:t>
      </w:r>
      <w:r w:rsidRPr="00622D7A">
        <w:rPr>
          <w:rFonts w:ascii="Times New Roman" w:hAnsi="Times New Roman"/>
          <w:sz w:val="20"/>
        </w:rPr>
        <w:t xml:space="preserve">  February 25, 2021</w:t>
      </w: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__________________________________________________________________________________</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Cs/>
          <w:sz w:val="20"/>
        </w:rPr>
      </w:pPr>
      <w:r w:rsidRPr="00622D7A">
        <w:rPr>
          <w:rFonts w:ascii="Times New Roman" w:hAnsi="Times New Roman"/>
          <w:b/>
          <w:sz w:val="20"/>
        </w:rPr>
        <w:t xml:space="preserve">Court:  </w:t>
      </w:r>
      <w:r w:rsidRPr="00622D7A">
        <w:rPr>
          <w:rFonts w:ascii="Times New Roman" w:hAnsi="Times New Roman"/>
          <w:bCs/>
          <w:sz w:val="20"/>
        </w:rPr>
        <w:t>Superior</w:t>
      </w:r>
      <w:r w:rsidRPr="00622D7A">
        <w:rPr>
          <w:rFonts w:ascii="Times New Roman" w:hAnsi="Times New Roman"/>
          <w:b/>
          <w:sz w:val="20"/>
        </w:rPr>
        <w:t xml:space="preserve">   </w:t>
      </w:r>
    </w:p>
    <w:p w:rsidR="00622D7A" w:rsidRPr="00622D7A" w:rsidP="00622D7A">
      <w:pPr>
        <w:spacing w:after="0" w:line="240" w:lineRule="auto"/>
        <w:jc w:val="left"/>
        <w:rPr>
          <w:rFonts w:ascii="Times New Roman" w:hAnsi="Times New Roman"/>
          <w:bCs/>
          <w:sz w:val="20"/>
        </w:rPr>
      </w:pPr>
      <w:r w:rsidRPr="00622D7A">
        <w:rPr>
          <w:rFonts w:ascii="Times New Roman" w:hAnsi="Times New Roman"/>
          <w:b/>
          <w:sz w:val="20"/>
        </w:rPr>
        <w:t xml:space="preserve">County:  </w:t>
      </w:r>
      <w:r w:rsidRPr="00622D7A">
        <w:rPr>
          <w:rFonts w:ascii="Times New Roman" w:hAnsi="Times New Roman"/>
          <w:bCs/>
          <w:sz w:val="20"/>
        </w:rPr>
        <w:t>San Diego</w:t>
      </w:r>
      <w:r w:rsidRPr="00622D7A">
        <w:rPr>
          <w:rFonts w:ascii="Times New Roman" w:hAnsi="Times New Roman"/>
          <w:b/>
          <w:sz w:val="20"/>
        </w:rPr>
        <w:t xml:space="preserve">  </w:t>
      </w:r>
      <w:r w:rsidRPr="00622D7A">
        <w:rPr>
          <w:rFonts w:ascii="Times New Roman" w:hAnsi="Times New Roman"/>
          <w:bCs/>
          <w:sz w:val="20"/>
        </w:rPr>
        <w:t xml:space="preserve"> </w:t>
      </w:r>
    </w:p>
    <w:p w:rsidR="00622D7A" w:rsidRPr="00622D7A" w:rsidP="00622D7A">
      <w:pPr>
        <w:spacing w:after="0" w:line="240" w:lineRule="auto"/>
        <w:ind w:left="720" w:hanging="720"/>
        <w:jc w:val="left"/>
        <w:rPr>
          <w:rFonts w:ascii="Times New Roman" w:hAnsi="Times New Roman"/>
          <w:bCs/>
          <w:sz w:val="20"/>
        </w:rPr>
      </w:pPr>
      <w:r w:rsidRPr="00622D7A">
        <w:rPr>
          <w:rFonts w:ascii="Times New Roman" w:hAnsi="Times New Roman"/>
          <w:b/>
          <w:sz w:val="20"/>
        </w:rPr>
        <w:t xml:space="preserve">Judge:  </w:t>
      </w:r>
      <w:r w:rsidRPr="00622D7A">
        <w:rPr>
          <w:rFonts w:ascii="Times New Roman" w:hAnsi="Times New Roman"/>
          <w:bCs/>
          <w:sz w:val="20"/>
        </w:rPr>
        <w:t>Joel M. Pressman</w:t>
      </w:r>
      <w:r w:rsidRPr="00622D7A">
        <w:rPr>
          <w:rFonts w:ascii="Times New Roman" w:hAnsi="Times New Roman"/>
          <w:b/>
          <w:sz w:val="20"/>
        </w:rPr>
        <w:t xml:space="preserve">  </w:t>
      </w:r>
      <w:r w:rsidRPr="00622D7A">
        <w:rPr>
          <w:rFonts w:ascii="Times New Roman" w:hAnsi="Times New Roman"/>
          <w:bCs/>
          <w:sz w:val="20"/>
        </w:rPr>
        <w:t xml:space="preserve"> </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__________________________________________________________________________________</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Counsel:</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color w:val="373739"/>
          <w:sz w:val="20"/>
          <w:shd w:val="clear" w:color="auto" w:fill="FFFFFF"/>
        </w:rPr>
      </w:pPr>
      <w:bookmarkStart w:id="4" w:name="PAGE_3103"/>
      <w:bookmarkEnd w:id="4"/>
      <w:r w:rsidRPr="00622D7A">
        <w:rPr>
          <w:rFonts w:ascii="Times New Roman" w:hAnsi="Times New Roman"/>
          <w:color w:val="373739"/>
          <w:sz w:val="20"/>
          <w:shd w:val="clear" w:color="auto" w:fill="FFFFFF"/>
        </w:rPr>
        <w:t>Sullivan Law Group, William B. Sullivan, Eric K. Yaeckel, Clint S. Engleson; Niddrie Addams Fuller Singh and Rupa G. Singh for Plaintiff and Appellant.</w:t>
      </w:r>
    </w:p>
    <w:p w:rsidR="00622D7A" w:rsidRPr="00622D7A" w:rsidP="00622D7A">
      <w:pPr>
        <w:spacing w:after="0" w:line="240" w:lineRule="auto"/>
        <w:jc w:val="left"/>
        <w:rPr>
          <w:rFonts w:ascii="Times New Roman" w:hAnsi="Times New Roman"/>
          <w:color w:val="373739"/>
          <w:sz w:val="20"/>
          <w:shd w:val="clear" w:color="auto" w:fill="FFFFFF"/>
        </w:rPr>
      </w:pPr>
    </w:p>
    <w:p w:rsidR="00622D7A" w:rsidRPr="00622D7A" w:rsidP="00622D7A">
      <w:pPr>
        <w:spacing w:after="0" w:line="240" w:lineRule="auto"/>
        <w:jc w:val="left"/>
        <w:rPr>
          <w:rFonts w:ascii="Times New Roman" w:hAnsi="Times New Roman"/>
          <w:color w:val="373739"/>
          <w:sz w:val="20"/>
          <w:shd w:val="clear" w:color="auto" w:fill="FFFFFF"/>
        </w:rPr>
      </w:pPr>
      <w:r w:rsidRPr="00622D7A">
        <w:rPr>
          <w:rFonts w:ascii="Times New Roman" w:hAnsi="Times New Roman"/>
          <w:color w:val="373739"/>
          <w:sz w:val="20"/>
          <w:shd w:val="clear" w:color="auto" w:fill="FFFFFF"/>
        </w:rPr>
        <w:t>Cohelan Khoury &amp; Singer and Michael D. Singer for California Employment Lawyers Association as Amicus Curiae on behalf of Plaintiff and Appellant.</w:t>
      </w:r>
    </w:p>
    <w:p w:rsidR="00622D7A" w:rsidRPr="00622D7A" w:rsidP="00622D7A">
      <w:pPr>
        <w:spacing w:after="0" w:line="240" w:lineRule="auto"/>
        <w:jc w:val="left"/>
        <w:rPr>
          <w:rFonts w:ascii="Times New Roman" w:hAnsi="Times New Roman"/>
          <w:color w:val="373739"/>
          <w:sz w:val="20"/>
          <w:shd w:val="clear" w:color="auto" w:fill="FFFFFF"/>
        </w:rPr>
      </w:pPr>
    </w:p>
    <w:p w:rsidR="00622D7A" w:rsidRPr="00622D7A" w:rsidP="00622D7A">
      <w:pPr>
        <w:spacing w:after="0" w:line="240" w:lineRule="auto"/>
        <w:jc w:val="left"/>
        <w:rPr>
          <w:rFonts w:ascii="Times New Roman" w:hAnsi="Times New Roman"/>
          <w:b/>
          <w:sz w:val="20"/>
        </w:rPr>
      </w:pPr>
      <w:r w:rsidRPr="00622D7A">
        <w:rPr>
          <w:rFonts w:ascii="Times New Roman" w:hAnsi="Times New Roman"/>
          <w:color w:val="373739"/>
          <w:sz w:val="20"/>
          <w:shd w:val="clear" w:color="auto" w:fill="FFFFFF"/>
        </w:rPr>
        <w:t>H. Scott Leviant and Dennis F. Moss for Moon &amp; Yang, APC, Clients of Moon &amp; Yang, APC, and Moss Bollinger LLP as Amici Curiae on behalf of Plaintiff and Appellant.</w:t>
      </w:r>
      <w:r w:rsidRPr="00622D7A">
        <w:rPr>
          <w:rFonts w:ascii="Times New Roman" w:hAnsi="Times New Roman"/>
          <w:color w:val="373739"/>
          <w:sz w:val="20"/>
        </w:rPr>
        <w:br/>
      </w:r>
      <w:r w:rsidRPr="00622D7A">
        <w:rPr>
          <w:rFonts w:ascii="Times New Roman" w:hAnsi="Times New Roman"/>
          <w:color w:val="373739"/>
          <w:sz w:val="20"/>
        </w:rPr>
        <w:br/>
      </w:r>
      <w:r w:rsidRPr="00622D7A">
        <w:rPr>
          <w:rFonts w:ascii="Times New Roman" w:hAnsi="Times New Roman"/>
          <w:color w:val="373739"/>
          <w:sz w:val="20"/>
          <w:shd w:val="clear" w:color="auto" w:fill="FFFFFF"/>
        </w:rPr>
        <w:t xml:space="preserve">DLA Piper, </w:t>
      </w:r>
      <w:r w:rsidRPr="00622D7A">
        <w:rPr>
          <w:rFonts w:ascii="Times New Roman" w:hAnsi="Times New Roman"/>
          <w:sz w:val="20"/>
          <w:bdr w:val="none" w:sz="0" w:space="0" w:color="auto" w:frame="1"/>
        </w:rPr>
        <w:t>Mary C. Dollarhide</w:t>
      </w:r>
      <w:r w:rsidRPr="00622D7A">
        <w:rPr>
          <w:rFonts w:ascii="Times New Roman" w:hAnsi="Times New Roman"/>
          <w:color w:val="373739"/>
          <w:sz w:val="20"/>
          <w:shd w:val="clear" w:color="auto" w:fill="FFFFFF"/>
        </w:rPr>
        <w:t xml:space="preserve"> and </w:t>
      </w:r>
      <w:r w:rsidRPr="00622D7A">
        <w:rPr>
          <w:rFonts w:ascii="Times New Roman" w:hAnsi="Times New Roman"/>
          <w:sz w:val="20"/>
          <w:bdr w:val="none" w:sz="0" w:space="0" w:color="auto" w:frame="1"/>
        </w:rPr>
        <w:t>Betsey Boutelle</w:t>
      </w:r>
      <w:r w:rsidRPr="00622D7A">
        <w:rPr>
          <w:rFonts w:ascii="Times New Roman" w:hAnsi="Times New Roman"/>
          <w:color w:val="373739"/>
          <w:sz w:val="20"/>
          <w:shd w:val="clear" w:color="auto" w:fill="FFFFFF"/>
        </w:rPr>
        <w:t xml:space="preserve"> for Defendant and Respondent.</w:t>
      </w:r>
      <w:r w:rsidRPr="00622D7A">
        <w:rPr>
          <w:rFonts w:ascii="Times New Roman" w:hAnsi="Times New Roman"/>
          <w:b/>
          <w:sz w:val="20"/>
        </w:rPr>
        <w:t xml:space="preserve"> </w:t>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Cs/>
          <w:sz w:val="20"/>
        </w:rPr>
      </w:pPr>
      <w:r w:rsidRPr="00622D7A">
        <w:rPr>
          <w:rFonts w:ascii="Times New Roman" w:hAnsi="Times New Roman"/>
          <w:bCs/>
          <w:sz w:val="20"/>
        </w:rPr>
        <w:t>Jones Day, George S. Howard, Cindi L. Ritchey and Raymond W. Duer for Employers Group and California Employment Law Council as Amici Curiae on behalf of Defendant and Respondent.</w:t>
      </w:r>
      <w:r w:rsidRPr="00622D7A">
        <w:rPr>
          <w:rFonts w:ascii="Times New Roman" w:hAnsi="Times New Roman"/>
          <w:bCs/>
          <w:sz w:val="20"/>
        </w:rPr>
        <w:br w:type="page"/>
      </w: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
          <w:sz w:val="20"/>
        </w:rPr>
      </w:pPr>
    </w:p>
    <w:p w:rsidR="00622D7A" w:rsidRPr="00622D7A" w:rsidP="00622D7A">
      <w:pPr>
        <w:spacing w:after="0" w:line="240" w:lineRule="auto"/>
        <w:jc w:val="left"/>
        <w:rPr>
          <w:rFonts w:ascii="Times New Roman" w:hAnsi="Times New Roman"/>
          <w:b/>
          <w:sz w:val="20"/>
        </w:rPr>
      </w:pPr>
      <w:r w:rsidRPr="00622D7A">
        <w:rPr>
          <w:rFonts w:ascii="Times New Roman" w:hAnsi="Times New Roman"/>
          <w:b/>
          <w:sz w:val="20"/>
        </w:rPr>
        <w:t>Counsel who argued in Supreme Court (not intended for publication with opinion):</w:t>
      </w:r>
    </w:p>
    <w:p w:rsidR="00622D7A" w:rsidRPr="00622D7A" w:rsidP="00622D7A">
      <w:pPr>
        <w:spacing w:after="0" w:line="240" w:lineRule="auto"/>
        <w:jc w:val="left"/>
        <w:rPr>
          <w:rFonts w:ascii="Times New Roman" w:hAnsi="Times New Roman"/>
          <w:sz w:val="20"/>
        </w:rPr>
      </w:pP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William B. Sullivan</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Sullivan Law Group, APC</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2330 Third Avenue</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San Diego, CA 92101</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(619) 702-6760</w:t>
      </w:r>
    </w:p>
    <w:p w:rsidR="00622D7A" w:rsidRPr="00622D7A" w:rsidP="00622D7A">
      <w:pPr>
        <w:spacing w:after="0" w:line="240" w:lineRule="auto"/>
        <w:jc w:val="left"/>
        <w:rPr>
          <w:rFonts w:ascii="Times New Roman" w:hAnsi="Times New Roman"/>
          <w:sz w:val="20"/>
        </w:rPr>
      </w:pP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Eric K. Yaeckel</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Sullivan Law Group, APC</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2330 Third Avenue</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San Diego, CA 92101</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(619) 702-6760</w:t>
      </w:r>
    </w:p>
    <w:p w:rsidR="00622D7A" w:rsidRPr="00622D7A" w:rsidP="00622D7A">
      <w:pPr>
        <w:spacing w:after="0" w:line="240" w:lineRule="auto"/>
        <w:jc w:val="left"/>
        <w:rPr>
          <w:rFonts w:ascii="Times New Roman" w:hAnsi="Times New Roman"/>
          <w:sz w:val="20"/>
        </w:rPr>
      </w:pP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Mary Dollarhide</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DLA Piper LLP (US)</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4365 Executive Drive, Suite 1100</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San Diego, CA 92121</w:t>
      </w:r>
    </w:p>
    <w:p w:rsidR="00622D7A" w:rsidRPr="00622D7A" w:rsidP="00622D7A">
      <w:pPr>
        <w:spacing w:after="0" w:line="240" w:lineRule="auto"/>
        <w:jc w:val="left"/>
        <w:rPr>
          <w:rFonts w:ascii="Times New Roman" w:hAnsi="Times New Roman"/>
          <w:sz w:val="20"/>
        </w:rPr>
      </w:pPr>
      <w:r w:rsidRPr="00622D7A">
        <w:rPr>
          <w:rFonts w:ascii="Times New Roman" w:hAnsi="Times New Roman"/>
          <w:sz w:val="20"/>
        </w:rPr>
        <w:t>(858) 677-1400</w:t>
      </w:r>
    </w:p>
    <w:p w:rsidR="00F94240">
      <w:pPr>
        <w:spacing w:after="0" w:line="240" w:lineRule="auto"/>
        <w:jc w:val="left"/>
        <w:rPr>
          <w:b/>
        </w:rPr>
      </w:pPr>
    </w:p>
    <w:sectPr>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403">
    <w:pPr>
      <w:pStyle w:val="Footer"/>
    </w:pPr>
    <w:r>
      <w:fldChar w:fldCharType="begin"/>
    </w:r>
    <w:r>
      <w:instrText>PAGE</w:instrText>
    </w:r>
    <w:r>
      <w:fldChar w:fldCharType="separate"/>
    </w:r>
    <w:r>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1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403">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1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11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1393">
      <w:r>
        <w:separator/>
      </w:r>
    </w:p>
  </w:footnote>
  <w:footnote w:type="continuationSeparator" w:id="1">
    <w:p w:rsidR="00FF1393">
      <w:pPr>
        <w:rPr>
          <w:sz w:val="22"/>
        </w:rPr>
      </w:pPr>
      <w:r>
        <w:continuationSeparator/>
      </w:r>
    </w:p>
  </w:footnote>
  <w:footnote w:type="continuationNotice" w:id="2">
    <w:p w:rsidR="00FF1393">
      <w:pPr>
        <w:jc w:val="right"/>
        <w:rPr>
          <w:i/>
          <w:sz w:val="20"/>
        </w:rPr>
      </w:pPr>
    </w:p>
  </w:footnote>
  <w:footnote w:id="3">
    <w:p w:rsidR="00753403" w:rsidP="00E74409">
      <w:pPr>
        <w:pStyle w:val="FootnoteText"/>
      </w:pPr>
      <w:r>
        <w:rPr>
          <w:rStyle w:val="FootnoteReference"/>
        </w:rPr>
        <w:t>*</w:t>
      </w:r>
      <w:r>
        <w:tab/>
      </w:r>
      <w:r w:rsidRPr="00662BA9">
        <w:rPr>
          <w:szCs w:val="27"/>
        </w:rPr>
        <w:t xml:space="preserve">Associate Justice of the Court of Appeal, Second Appellate District, Division </w:t>
      </w:r>
      <w:r>
        <w:rPr>
          <w:szCs w:val="27"/>
        </w:rPr>
        <w:t>Two</w:t>
      </w:r>
      <w:r w:rsidRPr="00662BA9">
        <w:rPr>
          <w:szCs w:val="27"/>
        </w:rPr>
        <w:t>, assigned by the Chief Justice pursuant to article VI, section 6 of the California Constitution.</w:t>
      </w:r>
    </w:p>
  </w:footnote>
  <w:footnote w:id="4">
    <w:p w:rsidR="00C16DA1" w:rsidP="00C16DA1">
      <w:pPr>
        <w:pStyle w:val="FootnoteText"/>
      </w:pPr>
      <w:r>
        <w:rPr>
          <w:rStyle w:val="FootnoteReference"/>
        </w:rPr>
        <w:t>*</w:t>
      </w:r>
      <w:r>
        <w:t xml:space="preserve"> </w:t>
      </w:r>
      <w:r>
        <w:tab/>
      </w:r>
      <w:r w:rsidRPr="00C16DA1">
        <w:rPr>
          <w:szCs w:val="27"/>
        </w:rPr>
        <w:t>Associate Justice of the Court of Appeal, Second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403">
    <w:pPr>
      <w:pStyle w:val="Header"/>
    </w:pPr>
    <w:r>
      <w:t>KENNEDY DONOHUE v. AMN SERVICES, LLC</w:t>
    </w:r>
  </w:p>
  <w:p w:rsidR="00753403">
    <w:pPr>
      <w:pStyle w:val="Header"/>
    </w:pPr>
    <w:r>
      <w:t>Opinion of the Court by Liu, J.</w:t>
    </w:r>
  </w:p>
  <w:p w:rsidR="00753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1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403" w:rsidRPr="00D11788" w:rsidP="00D117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3403">
    <w:pPr>
      <w:pStyle w:val="Header"/>
    </w:pPr>
    <w:r>
      <w:t>DONOHUE v. AMN SERVICES, LLC</w:t>
    </w:r>
  </w:p>
  <w:p w:rsidR="00753403">
    <w:pPr>
      <w:pStyle w:val="Header"/>
    </w:pPr>
    <w:r>
      <w:t>Opinion of the Court by Liu, J.</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1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11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3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F03B86"/>
    <w:multiLevelType w:val="hybridMultilevel"/>
    <w:tmpl w:val="6CE641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
    <w:nsid w:val="52DC7ECA"/>
    <w:multiLevelType w:val="hybridMultilevel"/>
    <w:tmpl w:val="08CCD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212"/>
    <w:pPr>
      <w:spacing w:after="100" w:line="400" w:lineRule="exact"/>
      <w:jc w:val="both"/>
    </w:pPr>
    <w:rPr>
      <w:rFonts w:ascii="Century Schoolbook" w:hAnsi="Century Schoolbook"/>
      <w:sz w:val="27"/>
    </w:rPr>
  </w:style>
  <w:style w:type="paragraph" w:styleId="Heading1">
    <w:name w:val="heading 1"/>
    <w:basedOn w:val="Normal"/>
    <w:next w:val="Normal"/>
    <w:qFormat/>
    <w:rsid w:val="002D7212"/>
    <w:pPr>
      <w:keepNext/>
      <w:spacing w:before="140" w:line="240" w:lineRule="atLeast"/>
      <w:jc w:val="center"/>
      <w:outlineLvl w:val="0"/>
    </w:pPr>
    <w:rPr>
      <w:b/>
      <w:smallCaps/>
    </w:rPr>
  </w:style>
  <w:style w:type="paragraph" w:styleId="Heading2">
    <w:name w:val="heading 2"/>
    <w:basedOn w:val="Normal"/>
    <w:next w:val="Normal"/>
    <w:qFormat/>
    <w:rsid w:val="002D721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D7212"/>
    <w:pPr>
      <w:keepNext/>
      <w:tabs>
        <w:tab w:val="left" w:pos="1584"/>
      </w:tabs>
      <w:spacing w:before="140" w:line="240" w:lineRule="atLeast"/>
      <w:ind w:left="1584" w:hanging="432"/>
      <w:jc w:val="left"/>
      <w:outlineLvl w:val="2"/>
    </w:pPr>
    <w:rPr>
      <w:i/>
    </w:rPr>
  </w:style>
  <w:style w:type="paragraph" w:styleId="Heading4">
    <w:name w:val="heading 4"/>
    <w:basedOn w:val="Normal"/>
    <w:rsid w:val="002D7212"/>
    <w:pPr>
      <w:keepNext/>
      <w:tabs>
        <w:tab w:val="left" w:pos="2016"/>
      </w:tabs>
      <w:spacing w:before="140" w:line="240" w:lineRule="atLeast"/>
      <w:ind w:left="2016" w:hanging="432"/>
      <w:jc w:val="left"/>
      <w:outlineLvl w:val="3"/>
    </w:pPr>
    <w:rPr>
      <w:i/>
    </w:rPr>
  </w:style>
  <w:style w:type="paragraph" w:styleId="Heading5">
    <w:name w:val="heading 5"/>
    <w:basedOn w:val="Normal"/>
    <w:rsid w:val="002D721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D7212"/>
    <w:pPr>
      <w:ind w:left="720"/>
    </w:pPr>
  </w:style>
  <w:style w:type="paragraph" w:styleId="Footer">
    <w:name w:val="footer"/>
    <w:basedOn w:val="Normal"/>
    <w:qFormat/>
    <w:rsid w:val="002D7212"/>
    <w:pPr>
      <w:tabs>
        <w:tab w:val="center" w:pos="3960"/>
        <w:tab w:val="right" w:pos="10080"/>
      </w:tabs>
      <w:spacing w:after="0" w:line="240" w:lineRule="auto"/>
      <w:jc w:val="center"/>
    </w:pPr>
    <w:rPr>
      <w:sz w:val="22"/>
    </w:rPr>
  </w:style>
  <w:style w:type="paragraph" w:styleId="Header">
    <w:name w:val="header"/>
    <w:basedOn w:val="Normal"/>
    <w:qFormat/>
    <w:rsid w:val="002D721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D7212"/>
    <w:rPr>
      <w:rFonts w:ascii="Century Schoolbook" w:hAnsi="Century Schoolbook"/>
      <w:b/>
      <w:i w:val="0"/>
      <w:position w:val="4"/>
      <w:sz w:val="27"/>
      <w:vertAlign w:val="superscript"/>
    </w:rPr>
  </w:style>
  <w:style w:type="paragraph" w:styleId="FootnoteText">
    <w:name w:val="footnote text"/>
    <w:basedOn w:val="Normal"/>
    <w:link w:val="FootnoteTextChar"/>
    <w:rsid w:val="002D7212"/>
    <w:pPr>
      <w:spacing w:line="300" w:lineRule="exact"/>
    </w:pPr>
  </w:style>
  <w:style w:type="paragraph" w:customStyle="1" w:styleId="Title1">
    <w:name w:val="Title1"/>
    <w:basedOn w:val="Normal"/>
    <w:rsid w:val="002D7212"/>
    <w:pPr>
      <w:tabs>
        <w:tab w:val="left" w:pos="5760"/>
        <w:tab w:val="left" w:pos="6480"/>
      </w:tabs>
      <w:spacing w:line="240" w:lineRule="atLeast"/>
    </w:pPr>
  </w:style>
  <w:style w:type="paragraph" w:customStyle="1" w:styleId="Recommend">
    <w:name w:val="Recommend"/>
    <w:basedOn w:val="Normal"/>
    <w:rsid w:val="002D7212"/>
  </w:style>
  <w:style w:type="paragraph" w:customStyle="1" w:styleId="Summary">
    <w:name w:val="Summary"/>
    <w:basedOn w:val="Normal"/>
    <w:rsid w:val="002D7212"/>
    <w:pPr>
      <w:ind w:left="2160" w:hanging="2160"/>
    </w:pPr>
  </w:style>
  <w:style w:type="paragraph" w:customStyle="1" w:styleId="Text">
    <w:name w:val="Text"/>
    <w:basedOn w:val="Normal"/>
    <w:rsid w:val="002D7212"/>
    <w:pPr>
      <w:tabs>
        <w:tab w:val="left" w:pos="720"/>
        <w:tab w:val="left" w:pos="1440"/>
        <w:tab w:val="left" w:pos="2160"/>
        <w:tab w:val="center" w:pos="4320"/>
      </w:tabs>
      <w:spacing w:line="480" w:lineRule="atLeast"/>
      <w:ind w:firstLine="540"/>
    </w:pPr>
  </w:style>
  <w:style w:type="paragraph" w:styleId="Date">
    <w:name w:val="Date"/>
    <w:basedOn w:val="Normal"/>
    <w:semiHidden/>
    <w:rsid w:val="002D7212"/>
    <w:pPr>
      <w:jc w:val="right"/>
    </w:pPr>
  </w:style>
  <w:style w:type="character" w:styleId="PageNumber">
    <w:name w:val="page number"/>
    <w:basedOn w:val="DefaultParagraphFont"/>
    <w:rsid w:val="002D7212"/>
  </w:style>
  <w:style w:type="paragraph" w:customStyle="1" w:styleId="subject">
    <w:name w:val="subject"/>
    <w:basedOn w:val="Normal"/>
    <w:rsid w:val="002D7212"/>
    <w:pPr>
      <w:tabs>
        <w:tab w:val="left" w:pos="1008"/>
      </w:tabs>
      <w:ind w:left="990" w:hanging="990"/>
    </w:pPr>
    <w:rPr>
      <w:b/>
    </w:rPr>
  </w:style>
  <w:style w:type="paragraph" w:customStyle="1" w:styleId="Titles">
    <w:name w:val="Titles"/>
    <w:basedOn w:val="Normal"/>
    <w:rsid w:val="002D7212"/>
    <w:pPr>
      <w:tabs>
        <w:tab w:val="left" w:pos="2160"/>
      </w:tabs>
      <w:ind w:left="2160" w:hanging="2160"/>
    </w:pPr>
    <w:rPr>
      <w:b/>
    </w:rPr>
  </w:style>
  <w:style w:type="paragraph" w:styleId="TOAHeading">
    <w:name w:val="toa heading"/>
    <w:basedOn w:val="Normal"/>
    <w:next w:val="Normal"/>
    <w:semiHidden/>
    <w:rsid w:val="002D7212"/>
    <w:pPr>
      <w:spacing w:before="120"/>
    </w:pPr>
    <w:rPr>
      <w:b/>
    </w:rPr>
  </w:style>
  <w:style w:type="paragraph" w:styleId="TOC1">
    <w:name w:val="toc 1"/>
    <w:basedOn w:val="Normal"/>
    <w:next w:val="Normal"/>
    <w:autoRedefine/>
    <w:semiHidden/>
    <w:rsid w:val="002D7212"/>
  </w:style>
  <w:style w:type="paragraph" w:styleId="TOC2">
    <w:name w:val="toc 2"/>
    <w:basedOn w:val="Normal"/>
    <w:next w:val="Normal"/>
    <w:autoRedefine/>
    <w:semiHidden/>
    <w:rsid w:val="002D7212"/>
    <w:pPr>
      <w:ind w:left="259"/>
    </w:pPr>
  </w:style>
  <w:style w:type="paragraph" w:styleId="TOC3">
    <w:name w:val="toc 3"/>
    <w:basedOn w:val="Normal"/>
    <w:next w:val="Normal"/>
    <w:autoRedefine/>
    <w:semiHidden/>
    <w:rsid w:val="002D7212"/>
    <w:pPr>
      <w:ind w:left="520"/>
    </w:pPr>
  </w:style>
  <w:style w:type="paragraph" w:styleId="TOC4">
    <w:name w:val="toc 4"/>
    <w:basedOn w:val="Normal"/>
    <w:next w:val="Normal"/>
    <w:autoRedefine/>
    <w:semiHidden/>
    <w:rsid w:val="002D7212"/>
    <w:pPr>
      <w:ind w:left="780"/>
    </w:pPr>
  </w:style>
  <w:style w:type="paragraph" w:styleId="TOC5">
    <w:name w:val="toc 5"/>
    <w:basedOn w:val="Normal"/>
    <w:next w:val="Normal"/>
    <w:autoRedefine/>
    <w:semiHidden/>
    <w:rsid w:val="002D7212"/>
    <w:pPr>
      <w:ind w:left="1040"/>
    </w:pPr>
  </w:style>
  <w:style w:type="paragraph" w:styleId="TOC6">
    <w:name w:val="toc 6"/>
    <w:basedOn w:val="Normal"/>
    <w:next w:val="Normal"/>
    <w:autoRedefine/>
    <w:semiHidden/>
    <w:rsid w:val="002D7212"/>
    <w:pPr>
      <w:ind w:left="1300"/>
    </w:pPr>
  </w:style>
  <w:style w:type="paragraph" w:styleId="TOC7">
    <w:name w:val="toc 7"/>
    <w:basedOn w:val="Normal"/>
    <w:next w:val="Normal"/>
    <w:autoRedefine/>
    <w:semiHidden/>
    <w:rsid w:val="002D7212"/>
    <w:pPr>
      <w:ind w:left="1560"/>
    </w:pPr>
  </w:style>
  <w:style w:type="paragraph" w:styleId="TOC8">
    <w:name w:val="toc 8"/>
    <w:basedOn w:val="Normal"/>
    <w:next w:val="Normal"/>
    <w:autoRedefine/>
    <w:semiHidden/>
    <w:rsid w:val="002D7212"/>
    <w:pPr>
      <w:ind w:left="1820"/>
    </w:pPr>
  </w:style>
  <w:style w:type="paragraph" w:styleId="TOC9">
    <w:name w:val="toc 9"/>
    <w:basedOn w:val="Normal"/>
    <w:next w:val="Normal"/>
    <w:autoRedefine/>
    <w:semiHidden/>
    <w:rsid w:val="002D7212"/>
    <w:pPr>
      <w:ind w:left="2080"/>
    </w:pPr>
  </w:style>
  <w:style w:type="paragraph" w:customStyle="1" w:styleId="Contents">
    <w:name w:val="Contents"/>
    <w:basedOn w:val="Normal"/>
    <w:rsid w:val="002D7212"/>
    <w:pPr>
      <w:jc w:val="center"/>
    </w:pPr>
    <w:rPr>
      <w:b/>
      <w:spacing w:val="100"/>
    </w:rPr>
  </w:style>
  <w:style w:type="paragraph" w:styleId="ListParagraph">
    <w:name w:val="List Paragraph"/>
    <w:basedOn w:val="Normal"/>
    <w:uiPriority w:val="34"/>
    <w:qFormat/>
    <w:rsid w:val="00B648C2"/>
    <w:pPr>
      <w:ind w:left="720"/>
      <w:contextualSpacing/>
    </w:pPr>
  </w:style>
  <w:style w:type="character" w:styleId="CommentReference">
    <w:name w:val="annotation reference"/>
    <w:basedOn w:val="DefaultParagraphFont"/>
    <w:uiPriority w:val="99"/>
    <w:semiHidden/>
    <w:unhideWhenUsed/>
    <w:rsid w:val="005D385B"/>
    <w:rPr>
      <w:sz w:val="18"/>
      <w:szCs w:val="18"/>
    </w:rPr>
  </w:style>
  <w:style w:type="paragraph" w:styleId="CommentText">
    <w:name w:val="annotation text"/>
    <w:basedOn w:val="Normal"/>
    <w:link w:val="CommentTextChar"/>
    <w:uiPriority w:val="99"/>
    <w:unhideWhenUsed/>
    <w:rsid w:val="005D385B"/>
    <w:rPr>
      <w:sz w:val="24"/>
      <w:szCs w:val="24"/>
    </w:rPr>
  </w:style>
  <w:style w:type="character" w:customStyle="1" w:styleId="CommentTextChar">
    <w:name w:val="Comment Text Char"/>
    <w:basedOn w:val="DefaultParagraphFont"/>
    <w:link w:val="CommentText"/>
    <w:uiPriority w:val="99"/>
    <w:rsid w:val="005D385B"/>
    <w:rPr>
      <w:sz w:val="24"/>
      <w:szCs w:val="24"/>
    </w:rPr>
  </w:style>
  <w:style w:type="paragraph" w:styleId="CommentSubject">
    <w:name w:val="annotation subject"/>
    <w:basedOn w:val="CommentText"/>
    <w:next w:val="CommentText"/>
    <w:link w:val="CommentSubjectChar"/>
    <w:uiPriority w:val="99"/>
    <w:semiHidden/>
    <w:unhideWhenUsed/>
    <w:rsid w:val="005D385B"/>
    <w:rPr>
      <w:b/>
      <w:bCs/>
      <w:sz w:val="20"/>
      <w:szCs w:val="20"/>
    </w:rPr>
  </w:style>
  <w:style w:type="character" w:customStyle="1" w:styleId="CommentSubjectChar">
    <w:name w:val="Comment Subject Char"/>
    <w:basedOn w:val="CommentTextChar"/>
    <w:link w:val="CommentSubject"/>
    <w:uiPriority w:val="99"/>
    <w:semiHidden/>
    <w:rsid w:val="005D385B"/>
    <w:rPr>
      <w:b/>
      <w:bCs/>
      <w:sz w:val="24"/>
      <w:szCs w:val="24"/>
    </w:rPr>
  </w:style>
  <w:style w:type="paragraph" w:styleId="BalloonText">
    <w:name w:val="Balloon Text"/>
    <w:basedOn w:val="Normal"/>
    <w:link w:val="BalloonTextChar"/>
    <w:uiPriority w:val="99"/>
    <w:semiHidden/>
    <w:unhideWhenUsed/>
    <w:rsid w:val="005D38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85B"/>
    <w:rPr>
      <w:rFonts w:ascii="Lucida Grande" w:hAnsi="Lucida Grande" w:cs="Lucida Grande"/>
      <w:sz w:val="18"/>
      <w:szCs w:val="18"/>
    </w:rPr>
  </w:style>
  <w:style w:type="character" w:customStyle="1" w:styleId="cosearchterm">
    <w:name w:val="co_searchterm"/>
    <w:basedOn w:val="DefaultParagraphFont"/>
    <w:rsid w:val="00A82557"/>
  </w:style>
  <w:style w:type="character" w:styleId="Hyperlink">
    <w:name w:val="Hyperlink"/>
    <w:basedOn w:val="DefaultParagraphFont"/>
    <w:uiPriority w:val="99"/>
    <w:semiHidden/>
    <w:unhideWhenUsed/>
    <w:rsid w:val="00A82557"/>
    <w:rPr>
      <w:color w:val="0000FF"/>
      <w:u w:val="single"/>
    </w:rPr>
  </w:style>
  <w:style w:type="character" w:styleId="Emphasis">
    <w:name w:val="Emphasis"/>
    <w:basedOn w:val="DefaultParagraphFont"/>
    <w:uiPriority w:val="20"/>
    <w:qFormat/>
    <w:rsid w:val="00A82557"/>
    <w:rPr>
      <w:i/>
      <w:iCs/>
    </w:rPr>
  </w:style>
  <w:style w:type="paragraph" w:styleId="Revision">
    <w:name w:val="Revision"/>
    <w:hidden/>
    <w:uiPriority w:val="99"/>
    <w:semiHidden/>
    <w:rsid w:val="00956237"/>
    <w:rPr>
      <w:sz w:val="26"/>
    </w:rPr>
  </w:style>
  <w:style w:type="paragraph" w:styleId="BodyText">
    <w:name w:val="Body Text"/>
    <w:basedOn w:val="Normal"/>
    <w:link w:val="BodyTextChar"/>
    <w:qFormat/>
    <w:rsid w:val="002D7212"/>
  </w:style>
  <w:style w:type="character" w:customStyle="1" w:styleId="BodyTextChar">
    <w:name w:val="Body Text Char"/>
    <w:basedOn w:val="DefaultParagraphFont"/>
    <w:link w:val="BodyText"/>
    <w:rsid w:val="002D7212"/>
    <w:rPr>
      <w:rFonts w:ascii="Century Schoolbook" w:hAnsi="Century Schoolbook"/>
      <w:sz w:val="27"/>
    </w:rPr>
  </w:style>
  <w:style w:type="character" w:customStyle="1" w:styleId="FootnoteTextChar">
    <w:name w:val="Footnote Text Char"/>
    <w:basedOn w:val="DefaultParagraphFont"/>
    <w:link w:val="FootnoteText"/>
    <w:rsid w:val="00E74409"/>
    <w:rPr>
      <w:rFonts w:ascii="Century Schoolbook" w:hAnsi="Century Schoolbook"/>
      <w:sz w:val="27"/>
    </w:rPr>
  </w:style>
  <w:style w:type="character" w:customStyle="1" w:styleId="costarpage">
    <w:name w:val="co_starpage"/>
    <w:basedOn w:val="DefaultParagraphFont"/>
    <w:rsid w:val="00E1733C"/>
  </w:style>
  <w:style w:type="character" w:customStyle="1" w:styleId="cohl">
    <w:name w:val="co_hl"/>
    <w:basedOn w:val="DefaultParagraphFont"/>
    <w:rsid w:val="00E1733C"/>
  </w:style>
  <w:style w:type="character" w:customStyle="1" w:styleId="q-box">
    <w:name w:val="q-box"/>
    <w:basedOn w:val="DefaultParagraphFont"/>
    <w:rsid w:val="00A5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8995</Words>
  <Characters>51277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2021-02-25T17:26:58Z</dcterms:created>
  <dcterms:modified xsi:type="dcterms:W3CDTF">2021-02-25T17:26:58Z</dcterms:modified>
</cp:coreProperties>
</file>