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7BF3" w14:textId="42C7195B" w:rsidR="00A67505" w:rsidRDefault="006F4720" w:rsidP="006F4720">
      <w:pPr>
        <w:tabs>
          <w:tab w:val="left" w:pos="1440"/>
          <w:tab w:val="left" w:pos="4680"/>
          <w:tab w:val="center" w:pos="7200"/>
        </w:tabs>
        <w:spacing w:after="0"/>
        <w:jc w:val="center"/>
        <w:rPr>
          <w:sz w:val="36"/>
        </w:rPr>
      </w:pPr>
      <w:r>
        <w:rPr>
          <w:b/>
          <w:sz w:val="36"/>
        </w:rPr>
        <w:t>IN THE SUPREME COURT OF CALIFORNIA</w:t>
      </w:r>
    </w:p>
    <w:p w14:paraId="76122831" w14:textId="319CCB66" w:rsidR="006F4720" w:rsidRDefault="006F4720" w:rsidP="006F4720">
      <w:pPr>
        <w:tabs>
          <w:tab w:val="left" w:pos="1440"/>
          <w:tab w:val="left" w:pos="4680"/>
          <w:tab w:val="center" w:pos="7200"/>
        </w:tabs>
        <w:spacing w:after="0"/>
        <w:jc w:val="center"/>
      </w:pPr>
    </w:p>
    <w:p w14:paraId="6733DB99" w14:textId="7A7C480B" w:rsidR="006F4720" w:rsidRDefault="00A90D61" w:rsidP="006F4720">
      <w:pPr>
        <w:tabs>
          <w:tab w:val="left" w:pos="1440"/>
          <w:tab w:val="left" w:pos="4680"/>
          <w:tab w:val="center" w:pos="7200"/>
        </w:tabs>
        <w:spacing w:after="0"/>
        <w:jc w:val="center"/>
      </w:pPr>
      <w:r>
        <w:t>EDWARD STANCIL,</w:t>
      </w:r>
    </w:p>
    <w:p w14:paraId="39603C0B" w14:textId="68253390" w:rsidR="006F4720" w:rsidRDefault="006F4720" w:rsidP="006F4720">
      <w:pPr>
        <w:tabs>
          <w:tab w:val="left" w:pos="1440"/>
          <w:tab w:val="left" w:pos="4680"/>
          <w:tab w:val="center" w:pos="7200"/>
        </w:tabs>
        <w:spacing w:after="0"/>
        <w:jc w:val="center"/>
      </w:pPr>
      <w:r>
        <w:t>Petitioner</w:t>
      </w:r>
      <w:r w:rsidR="00A90D61">
        <w:t>,</w:t>
      </w:r>
    </w:p>
    <w:p w14:paraId="5C981AA2" w14:textId="6169864C" w:rsidR="006F4720" w:rsidRDefault="006F4720" w:rsidP="006F4720">
      <w:pPr>
        <w:tabs>
          <w:tab w:val="left" w:pos="1440"/>
          <w:tab w:val="left" w:pos="4680"/>
          <w:tab w:val="center" w:pos="7200"/>
        </w:tabs>
        <w:spacing w:after="0"/>
        <w:jc w:val="center"/>
      </w:pPr>
      <w:r>
        <w:t>v.</w:t>
      </w:r>
    </w:p>
    <w:p w14:paraId="2851EB73" w14:textId="3AF4FBEC" w:rsidR="006F4720" w:rsidRDefault="00A90D61" w:rsidP="006F4720">
      <w:pPr>
        <w:tabs>
          <w:tab w:val="left" w:pos="1440"/>
          <w:tab w:val="left" w:pos="4680"/>
          <w:tab w:val="center" w:pos="7200"/>
        </w:tabs>
        <w:spacing w:after="0"/>
        <w:jc w:val="center"/>
      </w:pPr>
      <w:r>
        <w:t>THE SUPERIOR COURT OF SAN MATEO COUNTY,</w:t>
      </w:r>
    </w:p>
    <w:p w14:paraId="3838472A" w14:textId="5BFAF17D" w:rsidR="00A90D61" w:rsidRDefault="006F4720" w:rsidP="00427A08">
      <w:pPr>
        <w:tabs>
          <w:tab w:val="left" w:pos="1440"/>
          <w:tab w:val="left" w:pos="4680"/>
          <w:tab w:val="center" w:pos="7200"/>
        </w:tabs>
        <w:spacing w:after="0"/>
        <w:jc w:val="center"/>
      </w:pPr>
      <w:r>
        <w:t>Respondent</w:t>
      </w:r>
      <w:r w:rsidR="00A90D61">
        <w:t>;</w:t>
      </w:r>
    </w:p>
    <w:p w14:paraId="21BADED9" w14:textId="7638057C" w:rsidR="00843876" w:rsidRDefault="00A90D61" w:rsidP="00843876">
      <w:pPr>
        <w:tabs>
          <w:tab w:val="left" w:pos="1440"/>
          <w:tab w:val="left" w:pos="4680"/>
          <w:tab w:val="center" w:pos="7200"/>
        </w:tabs>
        <w:spacing w:after="0"/>
        <w:jc w:val="center"/>
      </w:pPr>
      <w:r>
        <w:t>CITY OF REDWOOD CITY</w:t>
      </w:r>
      <w:r w:rsidR="00843876">
        <w:t>,</w:t>
      </w:r>
    </w:p>
    <w:p w14:paraId="6CC14F2D" w14:textId="5E374EA5" w:rsidR="00843876" w:rsidRDefault="00843876" w:rsidP="00843876">
      <w:pPr>
        <w:tabs>
          <w:tab w:val="left" w:pos="1440"/>
          <w:tab w:val="left" w:pos="4680"/>
          <w:tab w:val="center" w:pos="7200"/>
        </w:tabs>
        <w:spacing w:after="0"/>
        <w:jc w:val="center"/>
      </w:pPr>
      <w:r>
        <w:t>Real Party in Interest</w:t>
      </w:r>
      <w:r w:rsidR="00A90D61">
        <w:t>.</w:t>
      </w:r>
      <w:r>
        <w:t xml:space="preserve"> </w:t>
      </w:r>
    </w:p>
    <w:p w14:paraId="21DF76A1" w14:textId="14D6BA95" w:rsidR="006F4720" w:rsidRDefault="006F4720" w:rsidP="006F4720">
      <w:pPr>
        <w:tabs>
          <w:tab w:val="left" w:pos="1440"/>
          <w:tab w:val="left" w:pos="4680"/>
          <w:tab w:val="center" w:pos="7200"/>
        </w:tabs>
        <w:spacing w:after="0"/>
        <w:jc w:val="center"/>
      </w:pPr>
    </w:p>
    <w:p w14:paraId="0CC0B389" w14:textId="3744B4BE" w:rsidR="006F4720" w:rsidRDefault="006F4720" w:rsidP="006F4720">
      <w:pPr>
        <w:tabs>
          <w:tab w:val="left" w:pos="1440"/>
          <w:tab w:val="left" w:pos="4680"/>
          <w:tab w:val="center" w:pos="7200"/>
        </w:tabs>
        <w:spacing w:after="0"/>
        <w:jc w:val="center"/>
      </w:pPr>
      <w:r>
        <w:t>S253783</w:t>
      </w:r>
    </w:p>
    <w:p w14:paraId="61D6B9C8" w14:textId="05A228EB" w:rsidR="006F4720" w:rsidRDefault="006F4720" w:rsidP="006F4720">
      <w:pPr>
        <w:tabs>
          <w:tab w:val="left" w:pos="1440"/>
          <w:tab w:val="left" w:pos="4680"/>
          <w:tab w:val="center" w:pos="7200"/>
        </w:tabs>
        <w:spacing w:after="0"/>
        <w:jc w:val="center"/>
      </w:pPr>
    </w:p>
    <w:p w14:paraId="39086B21" w14:textId="68D35383" w:rsidR="006F4720" w:rsidRDefault="006F4720" w:rsidP="006F4720">
      <w:pPr>
        <w:tabs>
          <w:tab w:val="left" w:pos="1440"/>
          <w:tab w:val="left" w:pos="4680"/>
          <w:tab w:val="center" w:pos="7200"/>
        </w:tabs>
        <w:spacing w:after="0"/>
        <w:jc w:val="center"/>
      </w:pPr>
      <w:r>
        <w:t>First Appellate District, Division Four</w:t>
      </w:r>
    </w:p>
    <w:p w14:paraId="0E37BCF5" w14:textId="65DEB889" w:rsidR="006F4720" w:rsidRDefault="006F4720" w:rsidP="006F4720">
      <w:pPr>
        <w:tabs>
          <w:tab w:val="left" w:pos="1440"/>
          <w:tab w:val="left" w:pos="4680"/>
          <w:tab w:val="center" w:pos="7200"/>
        </w:tabs>
        <w:spacing w:after="0"/>
        <w:jc w:val="center"/>
      </w:pPr>
      <w:r>
        <w:t>A156100</w:t>
      </w:r>
    </w:p>
    <w:p w14:paraId="2C5A3F88" w14:textId="1D43FD21" w:rsidR="006F4720" w:rsidRDefault="006F4720" w:rsidP="006F4720">
      <w:pPr>
        <w:tabs>
          <w:tab w:val="left" w:pos="1440"/>
          <w:tab w:val="left" w:pos="4680"/>
          <w:tab w:val="center" w:pos="7200"/>
        </w:tabs>
        <w:spacing w:after="0"/>
        <w:jc w:val="center"/>
      </w:pPr>
    </w:p>
    <w:p w14:paraId="5452A1B8" w14:textId="4DF6E29F" w:rsidR="006F4720" w:rsidRDefault="006F4720" w:rsidP="006F4720">
      <w:pPr>
        <w:tabs>
          <w:tab w:val="left" w:pos="1440"/>
          <w:tab w:val="left" w:pos="4680"/>
          <w:tab w:val="center" w:pos="7200"/>
        </w:tabs>
        <w:spacing w:after="0"/>
        <w:jc w:val="center"/>
      </w:pPr>
      <w:r>
        <w:t>San Mateo County</w:t>
      </w:r>
      <w:r w:rsidR="00400002">
        <w:t xml:space="preserve"> Superior Court</w:t>
      </w:r>
    </w:p>
    <w:p w14:paraId="4AC88009" w14:textId="42EAAF81" w:rsidR="006F4720" w:rsidRDefault="006F4720" w:rsidP="006F4720">
      <w:pPr>
        <w:tabs>
          <w:tab w:val="left" w:pos="1440"/>
          <w:tab w:val="left" w:pos="4680"/>
          <w:tab w:val="center" w:pos="7200"/>
        </w:tabs>
        <w:spacing w:after="0"/>
        <w:jc w:val="center"/>
      </w:pPr>
      <w:r>
        <w:t>18UDL00903</w:t>
      </w:r>
    </w:p>
    <w:p w14:paraId="4B60D2D5" w14:textId="5C851E6D" w:rsidR="006F4720" w:rsidRDefault="006F4720" w:rsidP="006F4720">
      <w:pPr>
        <w:pBdr>
          <w:bottom w:val="single" w:sz="4" w:space="1" w:color="auto"/>
        </w:pBdr>
        <w:tabs>
          <w:tab w:val="left" w:pos="1440"/>
          <w:tab w:val="left" w:pos="4680"/>
          <w:tab w:val="center" w:pos="7200"/>
        </w:tabs>
        <w:spacing w:after="0"/>
        <w:jc w:val="center"/>
      </w:pPr>
    </w:p>
    <w:p w14:paraId="79ED2EC2" w14:textId="1B27CFA6" w:rsidR="006F4720" w:rsidRDefault="006F4720" w:rsidP="006F4720">
      <w:pPr>
        <w:tabs>
          <w:tab w:val="left" w:pos="1440"/>
          <w:tab w:val="left" w:pos="4680"/>
          <w:tab w:val="center" w:pos="7200"/>
        </w:tabs>
        <w:spacing w:after="0"/>
        <w:jc w:val="center"/>
      </w:pPr>
    </w:p>
    <w:p w14:paraId="6155E0DB" w14:textId="29953D87" w:rsidR="006F4720" w:rsidRDefault="00210653" w:rsidP="006F4720">
      <w:pPr>
        <w:tabs>
          <w:tab w:val="left" w:pos="1440"/>
          <w:tab w:val="left" w:pos="4680"/>
          <w:tab w:val="center" w:pos="7200"/>
        </w:tabs>
        <w:spacing w:after="0"/>
        <w:jc w:val="center"/>
      </w:pPr>
      <w:r>
        <w:t>May 3</w:t>
      </w:r>
      <w:r w:rsidR="006F4720">
        <w:t>, 2021</w:t>
      </w:r>
    </w:p>
    <w:p w14:paraId="72BB6411" w14:textId="19FAD464" w:rsidR="006F4720" w:rsidRDefault="006F4720" w:rsidP="006F4720">
      <w:pPr>
        <w:tabs>
          <w:tab w:val="left" w:pos="1440"/>
          <w:tab w:val="left" w:pos="4680"/>
          <w:tab w:val="center" w:pos="7200"/>
        </w:tabs>
        <w:spacing w:after="0"/>
        <w:jc w:val="center"/>
      </w:pPr>
    </w:p>
    <w:p w14:paraId="1296F21B" w14:textId="46CEA68C" w:rsidR="00D31A2D" w:rsidRPr="00D31A2D" w:rsidRDefault="00D31A2D" w:rsidP="00D31A2D">
      <w:pPr>
        <w:tabs>
          <w:tab w:val="left" w:pos="1440"/>
          <w:tab w:val="left" w:pos="4680"/>
          <w:tab w:val="center" w:pos="7200"/>
        </w:tabs>
        <w:spacing w:after="0"/>
        <w:jc w:val="left"/>
      </w:pPr>
      <w:r w:rsidRPr="00D31A2D">
        <w:t xml:space="preserve">Justice Cuéllar authored the opinion of the Court, </w:t>
      </w:r>
      <w:r w:rsidR="00210653" w:rsidRPr="00D16C7C">
        <w:t xml:space="preserve">in which </w:t>
      </w:r>
      <w:r w:rsidR="00210653" w:rsidRPr="006E53B2">
        <w:t xml:space="preserve">Chief Justice Cantil-Sakauye and Justices Corrigan, </w:t>
      </w:r>
      <w:r w:rsidR="00210653">
        <w:t>Liu</w:t>
      </w:r>
      <w:r w:rsidR="00210653" w:rsidRPr="006E53B2">
        <w:t xml:space="preserve">, Kruger, Groban </w:t>
      </w:r>
      <w:r w:rsidR="00210653">
        <w:t xml:space="preserve">and Jenkins </w:t>
      </w:r>
      <w:r w:rsidRPr="00D31A2D">
        <w:t>concurred.</w:t>
      </w:r>
    </w:p>
    <w:p w14:paraId="31E6AEF2" w14:textId="79D23A0D" w:rsidR="006F4720" w:rsidRDefault="006F4720" w:rsidP="006F4720">
      <w:pPr>
        <w:pBdr>
          <w:bottom w:val="single" w:sz="4" w:space="1" w:color="auto"/>
        </w:pBdr>
        <w:tabs>
          <w:tab w:val="left" w:pos="1440"/>
          <w:tab w:val="left" w:pos="4680"/>
          <w:tab w:val="center" w:pos="7200"/>
        </w:tabs>
        <w:spacing w:after="0"/>
        <w:jc w:val="left"/>
      </w:pPr>
      <w:bookmarkStart w:id="0" w:name="Return"/>
      <w:bookmarkEnd w:id="0"/>
    </w:p>
    <w:p w14:paraId="72B3D7AD" w14:textId="77777777" w:rsidR="006F4720" w:rsidRDefault="006F4720">
      <w:pPr>
        <w:tabs>
          <w:tab w:val="left" w:pos="1440"/>
          <w:tab w:val="left" w:pos="4680"/>
          <w:tab w:val="center" w:pos="7200"/>
        </w:tabs>
        <w:spacing w:line="480" w:lineRule="atLeast"/>
        <w:sectPr w:rsidR="006F4720" w:rsidSect="006F4720">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06FBC973" w14:textId="57D5168E" w:rsidR="006F4720" w:rsidRDefault="001211CE" w:rsidP="006F4720">
      <w:pPr>
        <w:tabs>
          <w:tab w:val="left" w:pos="1440"/>
          <w:tab w:val="left" w:pos="4680"/>
          <w:tab w:val="center" w:pos="7200"/>
        </w:tabs>
        <w:jc w:val="center"/>
      </w:pPr>
      <w:bookmarkStart w:id="1" w:name="_Hlk65758537"/>
      <w:r>
        <w:lastRenderedPageBreak/>
        <w:t>STANCIL</w:t>
      </w:r>
      <w:r w:rsidR="006F4720">
        <w:t xml:space="preserve"> v. </w:t>
      </w:r>
      <w:r>
        <w:t>SUPERIOR COURT</w:t>
      </w:r>
    </w:p>
    <w:bookmarkEnd w:id="1"/>
    <w:p w14:paraId="6282687B" w14:textId="55B2244D" w:rsidR="006F4720" w:rsidRDefault="006F4720" w:rsidP="006F4720">
      <w:pPr>
        <w:tabs>
          <w:tab w:val="left" w:pos="1440"/>
          <w:tab w:val="left" w:pos="4680"/>
          <w:tab w:val="center" w:pos="7200"/>
        </w:tabs>
        <w:jc w:val="center"/>
      </w:pPr>
      <w:r>
        <w:t>S253783</w:t>
      </w:r>
    </w:p>
    <w:p w14:paraId="2E2787C6" w14:textId="3D907CB0" w:rsidR="006F4720" w:rsidRDefault="006F4720" w:rsidP="006F4720">
      <w:pPr>
        <w:tabs>
          <w:tab w:val="left" w:pos="1440"/>
          <w:tab w:val="left" w:pos="4680"/>
          <w:tab w:val="center" w:pos="7200"/>
        </w:tabs>
        <w:jc w:val="center"/>
      </w:pPr>
    </w:p>
    <w:p w14:paraId="6B0C49E5" w14:textId="518108E0" w:rsidR="006F4720" w:rsidRDefault="006F4720" w:rsidP="006F4720">
      <w:pPr>
        <w:tabs>
          <w:tab w:val="left" w:pos="1440"/>
          <w:tab w:val="left" w:pos="4680"/>
          <w:tab w:val="center" w:pos="7200"/>
        </w:tabs>
        <w:jc w:val="center"/>
      </w:pPr>
      <w:r>
        <w:t xml:space="preserve">Opinion of the Court by </w:t>
      </w:r>
      <w:r w:rsidR="00843876">
        <w:t>Cuéllar, J.</w:t>
      </w:r>
    </w:p>
    <w:p w14:paraId="105B2B83" w14:textId="77777777" w:rsidR="006F4720" w:rsidRPr="006F4720" w:rsidRDefault="006F4720" w:rsidP="006F4720">
      <w:pPr>
        <w:tabs>
          <w:tab w:val="left" w:pos="1440"/>
          <w:tab w:val="left" w:pos="4680"/>
          <w:tab w:val="center" w:pos="7200"/>
        </w:tabs>
        <w:jc w:val="center"/>
      </w:pPr>
    </w:p>
    <w:p w14:paraId="5FCB4DF1" w14:textId="6A22AFEF" w:rsidR="00363F19" w:rsidRPr="006F4720" w:rsidRDefault="00003D08" w:rsidP="006F4720">
      <w:pPr>
        <w:tabs>
          <w:tab w:val="left" w:pos="720"/>
        </w:tabs>
      </w:pPr>
      <w:bookmarkStart w:id="2" w:name="mainstory"/>
      <w:bookmarkEnd w:id="2"/>
      <w:r w:rsidRPr="006F4720">
        <w:tab/>
      </w:r>
      <w:r w:rsidR="001D644C" w:rsidRPr="006F4720">
        <w:t xml:space="preserve">Because tenants and landlords have </w:t>
      </w:r>
      <w:r w:rsidR="006318AA" w:rsidRPr="006F4720">
        <w:t>differing</w:t>
      </w:r>
      <w:r w:rsidR="001D644C" w:rsidRPr="006F4720">
        <w:t xml:space="preserve"> interests, they can disagree sharply about the nature of their relationship</w:t>
      </w:r>
      <w:r w:rsidR="00373AF4" w:rsidRPr="006F4720">
        <w:t xml:space="preserve"> and </w:t>
      </w:r>
      <w:r w:rsidR="00DD5D98" w:rsidRPr="006F4720">
        <w:t xml:space="preserve">sometimes engender </w:t>
      </w:r>
      <w:r w:rsidR="001D644C" w:rsidRPr="006F4720">
        <w:t>disputes</w:t>
      </w:r>
      <w:r w:rsidR="00A16747" w:rsidRPr="006F4720">
        <w:t xml:space="preserve"> that end up in court</w:t>
      </w:r>
      <w:r w:rsidR="001D644C" w:rsidRPr="006F4720">
        <w:t xml:space="preserve">.  When that happens, certain sections of the Code of Civil Procedure — commonly known as the Unlawful Detainer Act </w:t>
      </w:r>
      <w:r w:rsidR="00B35B97" w:rsidRPr="006F4720">
        <w:t>(Code Civ</w:t>
      </w:r>
      <w:r w:rsidR="00F1705A">
        <w:t>.</w:t>
      </w:r>
      <w:r w:rsidR="00B35B97" w:rsidRPr="006F4720">
        <w:t xml:space="preserve"> Proc</w:t>
      </w:r>
      <w:r w:rsidR="00F1705A">
        <w:t>.,</w:t>
      </w:r>
      <w:r w:rsidR="00B35B97" w:rsidRPr="006F4720">
        <w:t xml:space="preserve"> </w:t>
      </w:r>
      <w:r w:rsidR="00F1705A">
        <w:t>§§</w:t>
      </w:r>
      <w:r w:rsidR="00B35B97" w:rsidRPr="006F4720">
        <w:t xml:space="preserve"> 1159</w:t>
      </w:r>
      <w:r w:rsidR="00F1705A">
        <w:t>–</w:t>
      </w:r>
      <w:r w:rsidR="00B35B97" w:rsidRPr="006F4720">
        <w:t>1179a</w:t>
      </w:r>
      <w:r w:rsidR="00B35B97" w:rsidRPr="006F4720">
        <w:rPr>
          <w:rStyle w:val="FootnoteReference"/>
        </w:rPr>
        <w:footnoteReference w:id="2"/>
      </w:r>
      <w:r w:rsidR="00B35B97" w:rsidRPr="006F4720">
        <w:t xml:space="preserve">) </w:t>
      </w:r>
      <w:r w:rsidR="001D644C" w:rsidRPr="006F4720">
        <w:t xml:space="preserve">— govern the procedures for resolving </w:t>
      </w:r>
      <w:r w:rsidR="003B26AB" w:rsidRPr="006F4720">
        <w:t>many of the most common</w:t>
      </w:r>
      <w:r w:rsidR="001D644C" w:rsidRPr="006F4720">
        <w:t xml:space="preserve"> legal disputes between landlords and tenants</w:t>
      </w:r>
      <w:r w:rsidR="00267ADC" w:rsidRPr="006F4720">
        <w:t>.</w:t>
      </w:r>
      <w:r w:rsidR="0055363B" w:rsidRPr="006F4720">
        <w:t xml:space="preserve"> </w:t>
      </w:r>
      <w:r w:rsidR="00A57F2E" w:rsidRPr="006F4720">
        <w:t xml:space="preserve"> </w:t>
      </w:r>
      <w:r w:rsidR="003B26AB" w:rsidRPr="006F4720">
        <w:t>In particular, the</w:t>
      </w:r>
      <w:r w:rsidR="00E07259" w:rsidRPr="006F4720">
        <w:t xml:space="preserve"> Unlawful Detainer Act </w:t>
      </w:r>
      <w:r w:rsidR="000D7E21" w:rsidRPr="006F4720">
        <w:t xml:space="preserve">addresses </w:t>
      </w:r>
      <w:r w:rsidR="007D6DE1" w:rsidRPr="006F4720">
        <w:t xml:space="preserve">a </w:t>
      </w:r>
      <w:r w:rsidR="00975092" w:rsidRPr="006F4720">
        <w:t>fundamental</w:t>
      </w:r>
      <w:r w:rsidR="007D6DE1" w:rsidRPr="006F4720">
        <w:t xml:space="preserve"> issue in the landlord-tenant relationship</w:t>
      </w:r>
      <w:r w:rsidR="00055CEA" w:rsidRPr="006F4720">
        <w:t>:</w:t>
      </w:r>
      <w:r w:rsidR="0089613D" w:rsidRPr="006F4720">
        <w:t xml:space="preserve"> </w:t>
      </w:r>
      <w:r w:rsidR="00F1705A">
        <w:t xml:space="preserve"> </w:t>
      </w:r>
      <w:r w:rsidR="00975092" w:rsidRPr="006F4720">
        <w:t>a</w:t>
      </w:r>
      <w:r w:rsidR="0089613D" w:rsidRPr="006F4720">
        <w:t xml:space="preserve"> tenant’s peaceful possession of real property leased from a landlord</w:t>
      </w:r>
      <w:r w:rsidR="00B466F6" w:rsidRPr="006F4720">
        <w:t>.</w:t>
      </w:r>
      <w:r w:rsidR="00EB1626" w:rsidRPr="006F4720">
        <w:t xml:space="preserve">  </w:t>
      </w:r>
      <w:r w:rsidR="00DF779F" w:rsidRPr="006F4720">
        <w:t xml:space="preserve">Given </w:t>
      </w:r>
      <w:r w:rsidR="00F16E4B">
        <w:t>society’s interest in swiftly resolving</w:t>
      </w:r>
      <w:r w:rsidR="00EB1626" w:rsidRPr="006F4720">
        <w:t xml:space="preserve"> </w:t>
      </w:r>
      <w:r w:rsidR="00F16E4B">
        <w:t>the</w:t>
      </w:r>
      <w:r w:rsidR="00F16E4B" w:rsidRPr="006F4720">
        <w:t xml:space="preserve"> </w:t>
      </w:r>
      <w:r w:rsidR="00607590" w:rsidRPr="006F4720">
        <w:t xml:space="preserve">balance </w:t>
      </w:r>
      <w:r w:rsidR="00F16E4B">
        <w:t xml:space="preserve">between </w:t>
      </w:r>
      <w:r w:rsidR="00607590" w:rsidRPr="006F4720">
        <w:t>a tenant</w:t>
      </w:r>
      <w:r w:rsidR="00251898" w:rsidRPr="006F4720">
        <w:t>’s right</w:t>
      </w:r>
      <w:r w:rsidR="00607590" w:rsidRPr="006F4720">
        <w:t xml:space="preserve"> to enjoy leased real property without disturbance and </w:t>
      </w:r>
      <w:r w:rsidR="001C14F8" w:rsidRPr="006F4720">
        <w:t>a</w:t>
      </w:r>
      <w:r w:rsidR="00607590" w:rsidRPr="006F4720">
        <w:t xml:space="preserve"> </w:t>
      </w:r>
      <w:r w:rsidR="001C14F8" w:rsidRPr="006F4720">
        <w:t>landlord’s right to</w:t>
      </w:r>
      <w:r w:rsidR="00527E95" w:rsidRPr="006F4720">
        <w:t xml:space="preserve"> ownership</w:t>
      </w:r>
      <w:r w:rsidR="001C14F8" w:rsidRPr="006F4720">
        <w:t xml:space="preserve"> income</w:t>
      </w:r>
      <w:r w:rsidR="00DD5639" w:rsidRPr="006F4720">
        <w:t xml:space="preserve">, unlawful detainer actions </w:t>
      </w:r>
      <w:r w:rsidR="00C212CC" w:rsidRPr="006F4720">
        <w:t>advance quickly</w:t>
      </w:r>
      <w:r w:rsidR="00A66FC2">
        <w:t xml:space="preserve"> — </w:t>
      </w:r>
      <w:r w:rsidR="00C212CC" w:rsidRPr="006F4720">
        <w:t xml:space="preserve">and the </w:t>
      </w:r>
      <w:r w:rsidR="006E6AF8" w:rsidRPr="006F4720">
        <w:t xml:space="preserve">relevant </w:t>
      </w:r>
      <w:r w:rsidR="00C212CC" w:rsidRPr="006F4720">
        <w:t xml:space="preserve">statutes impose shorter </w:t>
      </w:r>
      <w:r w:rsidR="00A43AF6">
        <w:t xml:space="preserve">procedural </w:t>
      </w:r>
      <w:r w:rsidR="00C212CC" w:rsidRPr="006F4720">
        <w:t xml:space="preserve">timelines than </w:t>
      </w:r>
      <w:r w:rsidR="007D513B" w:rsidRPr="006F4720">
        <w:t xml:space="preserve">the ones governing </w:t>
      </w:r>
      <w:r w:rsidR="00C212CC" w:rsidRPr="006F4720">
        <w:t>other civil actions.</w:t>
      </w:r>
      <w:r w:rsidR="00F91A63" w:rsidRPr="006F4720">
        <w:t xml:space="preserve">  </w:t>
      </w:r>
      <w:r w:rsidR="00C212CC" w:rsidRPr="006F4720">
        <w:t xml:space="preserve">These proceedings </w:t>
      </w:r>
      <w:r w:rsidR="00055525" w:rsidRPr="006F4720">
        <w:t xml:space="preserve">are limited in scope and demand strict adherence to the statutes’ procedural requirements.  </w:t>
      </w:r>
      <w:r w:rsidR="00B35B97" w:rsidRPr="006F4720">
        <w:t>At</w:t>
      </w:r>
      <w:r w:rsidR="009B6C2E" w:rsidRPr="006F4720">
        <w:t xml:space="preserve"> the center</w:t>
      </w:r>
      <w:r w:rsidR="006002D1" w:rsidRPr="006F4720">
        <w:t xml:space="preserve"> of this dispute</w:t>
      </w:r>
      <w:r w:rsidR="00B35B97" w:rsidRPr="006F4720">
        <w:t xml:space="preserve"> is the use of a motion to quash service of summons </w:t>
      </w:r>
      <w:r w:rsidR="00E72D9F">
        <w:t xml:space="preserve">under section 418.10 </w:t>
      </w:r>
      <w:r w:rsidR="00E55435" w:rsidRPr="006F4720">
        <w:t>to challenge an</w:t>
      </w:r>
      <w:r w:rsidR="00B35B97" w:rsidRPr="006F4720">
        <w:t xml:space="preserve"> unlawful detainer</w:t>
      </w:r>
      <w:r w:rsidR="00E55435" w:rsidRPr="006F4720">
        <w:t xml:space="preserve"> complaint</w:t>
      </w:r>
      <w:r w:rsidR="004F2D41" w:rsidRPr="006F4720">
        <w:t xml:space="preserve">.  </w:t>
      </w:r>
    </w:p>
    <w:p w14:paraId="157A0659" w14:textId="22A75EC4" w:rsidR="00224357" w:rsidRPr="006F4720" w:rsidRDefault="00363F19" w:rsidP="006F4720">
      <w:pPr>
        <w:tabs>
          <w:tab w:val="left" w:pos="720"/>
        </w:tabs>
      </w:pPr>
      <w:r w:rsidRPr="006F4720">
        <w:tab/>
      </w:r>
      <w:r w:rsidR="00FA528C" w:rsidRPr="006F4720">
        <w:t>The landlord in this case is the City of Redwood City</w:t>
      </w:r>
      <w:r w:rsidR="00477819">
        <w:t xml:space="preserve"> (the City)</w:t>
      </w:r>
      <w:r w:rsidR="00FA528C" w:rsidRPr="006F4720">
        <w:t xml:space="preserve">, which </w:t>
      </w:r>
      <w:r w:rsidR="007565B9" w:rsidRPr="006F4720">
        <w:t xml:space="preserve">operates Docktown Marina </w:t>
      </w:r>
      <w:r w:rsidR="00174785">
        <w:t>(Docktown)</w:t>
      </w:r>
      <w:r w:rsidR="007565B9" w:rsidRPr="006F4720">
        <w:t xml:space="preserve">.  The City filed a complaint in unlawful detainer against a tenant of Docktown, Edward Stancil.  In response, Stancil filed a motion to quash service of summons, </w:t>
      </w:r>
      <w:r w:rsidR="00C57D7A">
        <w:t>relying on</w:t>
      </w:r>
      <w:r w:rsidR="006F0EBF" w:rsidRPr="006F4720">
        <w:rPr>
          <w:i/>
        </w:rPr>
        <w:t xml:space="preserve"> </w:t>
      </w:r>
      <w:r w:rsidR="00473091" w:rsidRPr="006F4720">
        <w:rPr>
          <w:i/>
        </w:rPr>
        <w:t xml:space="preserve">Delta Imports, Inc. v. </w:t>
      </w:r>
      <w:r w:rsidR="00E43677">
        <w:rPr>
          <w:i/>
        </w:rPr>
        <w:t>Municipal</w:t>
      </w:r>
      <w:r w:rsidR="00E43677" w:rsidRPr="006F4720">
        <w:rPr>
          <w:i/>
        </w:rPr>
        <w:t xml:space="preserve"> </w:t>
      </w:r>
      <w:r w:rsidR="00473091" w:rsidRPr="006F4720">
        <w:rPr>
          <w:i/>
        </w:rPr>
        <w:t>Court</w:t>
      </w:r>
      <w:r w:rsidR="00473091" w:rsidRPr="006F4720">
        <w:t xml:space="preserve"> (1983) 146 Cal.App.3d 1033</w:t>
      </w:r>
      <w:r w:rsidR="00C57D7A">
        <w:t>, 1036</w:t>
      </w:r>
      <w:r w:rsidR="00AD616A" w:rsidRPr="006F4720">
        <w:t xml:space="preserve"> </w:t>
      </w:r>
      <w:r w:rsidR="006F0EBF" w:rsidRPr="006F4720">
        <w:t>(</w:t>
      </w:r>
      <w:r w:rsidR="006F0EBF" w:rsidRPr="006F4720">
        <w:rPr>
          <w:i/>
        </w:rPr>
        <w:t>Delta Imports</w:t>
      </w:r>
      <w:r w:rsidR="006F0EBF" w:rsidRPr="006F4720">
        <w:t xml:space="preserve">), </w:t>
      </w:r>
      <w:r w:rsidR="00CD21B3">
        <w:t xml:space="preserve">in </w:t>
      </w:r>
      <w:r w:rsidR="006F0EBF" w:rsidRPr="006F4720">
        <w:t xml:space="preserve">which </w:t>
      </w:r>
      <w:r w:rsidR="00CD21B3">
        <w:t xml:space="preserve">the Court of Appeal </w:t>
      </w:r>
      <w:r w:rsidR="00CE7158">
        <w:t>concluded that</w:t>
      </w:r>
      <w:r w:rsidR="00CD21B3">
        <w:t xml:space="preserve"> </w:t>
      </w:r>
      <w:r w:rsidR="006F0EBF" w:rsidRPr="006F4720">
        <w:t xml:space="preserve">a </w:t>
      </w:r>
      <w:r w:rsidR="00C57D7A">
        <w:t>“</w:t>
      </w:r>
      <w:bookmarkStart w:id="3" w:name="_Hlk69118242"/>
      <w:r w:rsidR="00AD189A">
        <w:t xml:space="preserve">motion to quash service is the only method by which the </w:t>
      </w:r>
      <w:r w:rsidR="006F0EBF" w:rsidRPr="006F4720">
        <w:t xml:space="preserve">defendant </w:t>
      </w:r>
      <w:r w:rsidR="00C57D7A">
        <w:t xml:space="preserve">can test whether the complaint states a cause of action for </w:t>
      </w:r>
      <w:r w:rsidR="00C57D7A">
        <w:rPr>
          <w:i/>
        </w:rPr>
        <w:t xml:space="preserve">unlawful </w:t>
      </w:r>
      <w:r w:rsidR="00C57D7A" w:rsidRPr="00C57D7A">
        <w:rPr>
          <w:i/>
        </w:rPr>
        <w:t>detaine</w:t>
      </w:r>
      <w:r w:rsidR="00C57D7A" w:rsidRPr="00BB1BD5">
        <w:rPr>
          <w:i/>
        </w:rPr>
        <w:t>r</w:t>
      </w:r>
      <w:r w:rsidR="00C57D7A">
        <w:t xml:space="preserve"> and, thereby support</w:t>
      </w:r>
      <w:r w:rsidR="00C238F2">
        <w:t>s</w:t>
      </w:r>
      <w:r w:rsidR="00C57D7A">
        <w:t xml:space="preserve"> a five-day summons</w:t>
      </w:r>
      <w:bookmarkEnd w:id="3"/>
      <w:r w:rsidR="00C57D7A">
        <w:t>.”</w:t>
      </w:r>
      <w:r w:rsidR="00473091" w:rsidRPr="00CD0714">
        <w:rPr>
          <w:iCs/>
        </w:rPr>
        <w:t xml:space="preserve">  </w:t>
      </w:r>
      <w:r w:rsidR="00473091" w:rsidRPr="006F4720">
        <w:t>The City opposed the motion to quash, relying on a mo</w:t>
      </w:r>
      <w:r w:rsidR="006F0EBF" w:rsidRPr="006F4720">
        <w:t>re</w:t>
      </w:r>
      <w:r w:rsidR="00473091" w:rsidRPr="006F4720">
        <w:t xml:space="preserve"> recent case, </w:t>
      </w:r>
      <w:r w:rsidR="00473091" w:rsidRPr="006F4720">
        <w:rPr>
          <w:i/>
        </w:rPr>
        <w:t>Borsuk</w:t>
      </w:r>
      <w:r w:rsidR="006F0EBF" w:rsidRPr="006F4720">
        <w:rPr>
          <w:i/>
        </w:rPr>
        <w:t xml:space="preserve"> v. Appellate Division</w:t>
      </w:r>
      <w:r w:rsidR="00C77B4E">
        <w:rPr>
          <w:i/>
        </w:rPr>
        <w:t xml:space="preserve"> of Superior Court</w:t>
      </w:r>
      <w:r w:rsidR="006F0EBF" w:rsidRPr="006F4720">
        <w:rPr>
          <w:i/>
        </w:rPr>
        <w:t xml:space="preserve"> </w:t>
      </w:r>
      <w:r w:rsidR="006F0EBF" w:rsidRPr="006F4720">
        <w:t>(2015) 242 Cal.App.4th 607</w:t>
      </w:r>
      <w:r w:rsidR="009B2EFB" w:rsidRPr="006F4720">
        <w:t xml:space="preserve"> (</w:t>
      </w:r>
      <w:r w:rsidR="009B2EFB" w:rsidRPr="006F4720">
        <w:rPr>
          <w:i/>
        </w:rPr>
        <w:t>Borsuk</w:t>
      </w:r>
      <w:r w:rsidR="009B2EFB" w:rsidRPr="006F4720">
        <w:t>)</w:t>
      </w:r>
      <w:r w:rsidR="006F0EBF" w:rsidRPr="006F4720">
        <w:t xml:space="preserve">, which disagreed with </w:t>
      </w:r>
      <w:r w:rsidR="0085156B">
        <w:t xml:space="preserve">this statement in </w:t>
      </w:r>
      <w:r w:rsidR="006F0EBF" w:rsidRPr="006F4720">
        <w:rPr>
          <w:i/>
        </w:rPr>
        <w:t>Delta Imports</w:t>
      </w:r>
      <w:r w:rsidR="00D050D5" w:rsidRPr="006F4720">
        <w:t xml:space="preserve">.  </w:t>
      </w:r>
      <w:r w:rsidR="002B4E83" w:rsidRPr="006F4720">
        <w:t xml:space="preserve">We granted review to decide whether a </w:t>
      </w:r>
      <w:r w:rsidR="00C57D7A">
        <w:t xml:space="preserve">defendant may use a </w:t>
      </w:r>
      <w:r w:rsidR="002B4E83" w:rsidRPr="006F4720">
        <w:t xml:space="preserve">motion to quash </w:t>
      </w:r>
      <w:r w:rsidR="00273751" w:rsidRPr="006F4720">
        <w:t xml:space="preserve">service of summons </w:t>
      </w:r>
      <w:r w:rsidR="00827909" w:rsidRPr="006F4720">
        <w:t xml:space="preserve">pursuant to </w:t>
      </w:r>
      <w:r w:rsidR="00321854" w:rsidRPr="006F4720">
        <w:t>section</w:t>
      </w:r>
      <w:r w:rsidR="00827909" w:rsidRPr="006F4720">
        <w:t xml:space="preserve"> 418.10 </w:t>
      </w:r>
      <w:r w:rsidR="002B4E83" w:rsidRPr="006F4720">
        <w:t xml:space="preserve">to </w:t>
      </w:r>
      <w:r w:rsidR="00C57D7A">
        <w:t>challenge</w:t>
      </w:r>
      <w:r w:rsidR="00C57D7A" w:rsidRPr="006F4720">
        <w:t xml:space="preserve"> </w:t>
      </w:r>
      <w:r w:rsidR="003E2A18">
        <w:t>a complaint on the ground that it fails to state a cause of action for</w:t>
      </w:r>
      <w:r w:rsidR="002B4E83" w:rsidRPr="006F4720">
        <w:t xml:space="preserve"> unlawful detainer</w:t>
      </w:r>
      <w:r w:rsidR="003E2A18">
        <w:t>.</w:t>
      </w:r>
      <w:r w:rsidR="002B4E83" w:rsidRPr="006F4720">
        <w:t xml:space="preserve">  </w:t>
      </w:r>
    </w:p>
    <w:p w14:paraId="4F6E1959" w14:textId="4E7B848E" w:rsidR="00BE5302" w:rsidRDefault="00224357" w:rsidP="009B59E6">
      <w:r w:rsidRPr="006F4720">
        <w:tab/>
      </w:r>
      <w:r w:rsidR="009B59E6">
        <w:t xml:space="preserve">What we conclude is that a defendant may not use a motion to quash service of summons to dispute the </w:t>
      </w:r>
      <w:r w:rsidR="008945AE">
        <w:t xml:space="preserve">truth of the </w:t>
      </w:r>
      <w:r w:rsidR="009B59E6">
        <w:t xml:space="preserve">allegations contained in an unlawful detainer complaint.  Rather, a motion to quash under section 418.10, subdivision (a)(1) is a limited procedural tool to contest personal jurisdiction </w:t>
      </w:r>
      <w:r w:rsidR="00342059">
        <w:t xml:space="preserve">over the defendant </w:t>
      </w:r>
      <w:r w:rsidR="009B59E6">
        <w:t xml:space="preserve">where the statutory requirements for service of process are not fulfilled.  </w:t>
      </w:r>
      <w:r w:rsidR="00811684">
        <w:t xml:space="preserve">In the unlawful detainer context, a defendant may contest personal jurisdiction where the five-day summons specific to unlawful detainer actions is not supported by a complaint for unlawful detainer.  </w:t>
      </w:r>
      <w:r w:rsidR="00557FB1">
        <w:t>Such instances</w:t>
      </w:r>
      <w:r w:rsidR="00811684">
        <w:t xml:space="preserve"> are unusual, and arise only where the summons is served alongside a complaint for a completely different cause of action </w:t>
      </w:r>
      <w:r w:rsidR="00F01799">
        <w:t>(</w:t>
      </w:r>
      <w:r w:rsidR="00317692">
        <w:t>e.g</w:t>
      </w:r>
      <w:r w:rsidR="00F01799">
        <w:t xml:space="preserve">.,  breach of contract) </w:t>
      </w:r>
      <w:r w:rsidR="00811684">
        <w:t>or a complaint that</w:t>
      </w:r>
      <w:r w:rsidR="004F02F7">
        <w:t xml:space="preserve"> fails to allege the allegations </w:t>
      </w:r>
      <w:r w:rsidR="0091281F">
        <w:t xml:space="preserve">necessary </w:t>
      </w:r>
      <w:r w:rsidR="004F02F7">
        <w:t xml:space="preserve">to </w:t>
      </w:r>
      <w:r w:rsidR="00B93716">
        <w:t xml:space="preserve">assert </w:t>
      </w:r>
      <w:r w:rsidR="004D3AA2">
        <w:t xml:space="preserve">the defendant is guilty </w:t>
      </w:r>
      <w:r w:rsidR="00614F95">
        <w:t>of</w:t>
      </w:r>
      <w:r w:rsidR="004D3AA2">
        <w:t xml:space="preserve"> </w:t>
      </w:r>
      <w:r w:rsidR="004F02F7">
        <w:t xml:space="preserve">unlawful detainer </w:t>
      </w:r>
      <w:r w:rsidR="006F33F5">
        <w:t xml:space="preserve">as specified </w:t>
      </w:r>
      <w:r w:rsidR="004F02F7">
        <w:t>in the relevant subdivision of section 1161.</w:t>
      </w:r>
      <w:r w:rsidR="00934F8B">
        <w:t xml:space="preserve"> </w:t>
      </w:r>
      <w:r w:rsidR="00811684">
        <w:t xml:space="preserve"> </w:t>
      </w:r>
      <w:r w:rsidR="009B59E6">
        <w:t>In these</w:t>
      </w:r>
      <w:r w:rsidR="00844574">
        <w:t xml:space="preserve"> </w:t>
      </w:r>
      <w:r w:rsidR="00342059">
        <w:t>rare</w:t>
      </w:r>
      <w:r w:rsidR="00844574">
        <w:t xml:space="preserve"> and </w:t>
      </w:r>
      <w:r w:rsidR="004A30CB">
        <w:t xml:space="preserve">limited </w:t>
      </w:r>
      <w:r w:rsidR="009B59E6">
        <w:t xml:space="preserve">circumstances, a defendant may use a motion to quash to challenge the </w:t>
      </w:r>
      <w:r w:rsidR="00B64ED5">
        <w:t xml:space="preserve">unlawful detainer </w:t>
      </w:r>
      <w:r w:rsidR="009B59E6">
        <w:t xml:space="preserve">five-day summons as improper.  </w:t>
      </w:r>
      <w:r w:rsidR="008E3054">
        <w:t xml:space="preserve">But no </w:t>
      </w:r>
      <w:r w:rsidR="009B59E6">
        <w:t xml:space="preserve">defendant may use a motion to quash service of summons </w:t>
      </w:r>
      <w:r w:rsidR="008E3054">
        <w:t>as a means of</w:t>
      </w:r>
      <w:r w:rsidR="009B59E6">
        <w:t xml:space="preserve"> </w:t>
      </w:r>
      <w:r w:rsidR="008E3054">
        <w:t>disputing</w:t>
      </w:r>
      <w:r w:rsidR="009B59E6">
        <w:t xml:space="preserve"> the </w:t>
      </w:r>
      <w:r w:rsidR="0004624F">
        <w:t xml:space="preserve">merits </w:t>
      </w:r>
      <w:r w:rsidR="009B59E6">
        <w:t xml:space="preserve">of the </w:t>
      </w:r>
      <w:r w:rsidR="008E3054">
        <w:t xml:space="preserve">unlawful detainer </w:t>
      </w:r>
      <w:r w:rsidR="009B59E6">
        <w:t>complaint’s allegations</w:t>
      </w:r>
      <w:r w:rsidR="000575B8">
        <w:t xml:space="preserve"> or </w:t>
      </w:r>
      <w:r w:rsidR="00694FAA">
        <w:t>to</w:t>
      </w:r>
      <w:r w:rsidR="000575B8">
        <w:t xml:space="preserve"> argue the plaintiff failed to comply with the pleading requirements specific to unlawful detainer actions set out in section 1166</w:t>
      </w:r>
      <w:r w:rsidR="009B59E6">
        <w:t xml:space="preserve">.  </w:t>
      </w:r>
    </w:p>
    <w:p w14:paraId="0552381D" w14:textId="3A8773AE" w:rsidR="00372911" w:rsidRPr="006F4720" w:rsidRDefault="00AE7139" w:rsidP="006F4720">
      <w:pPr>
        <w:tabs>
          <w:tab w:val="left" w:pos="720"/>
        </w:tabs>
      </w:pPr>
      <w:r>
        <w:tab/>
      </w:r>
      <w:r w:rsidR="003F1C7F" w:rsidRPr="006F4720">
        <w:t>Here, t</w:t>
      </w:r>
      <w:r w:rsidR="003D7DE3" w:rsidRPr="006F4720">
        <w:t xml:space="preserve">he superior court </w:t>
      </w:r>
      <w:r w:rsidR="00FE22A1" w:rsidRPr="006F4720">
        <w:t xml:space="preserve">correctly </w:t>
      </w:r>
      <w:r w:rsidR="00C867D5">
        <w:t>found</w:t>
      </w:r>
      <w:r w:rsidR="00C867D5" w:rsidRPr="006F4720">
        <w:t xml:space="preserve"> </w:t>
      </w:r>
      <w:r w:rsidR="00FE22A1" w:rsidRPr="006F4720">
        <w:t xml:space="preserve">that Stancil </w:t>
      </w:r>
      <w:r w:rsidR="00644ECB">
        <w:t xml:space="preserve">improperly </w:t>
      </w:r>
      <w:r w:rsidR="00FE22A1" w:rsidRPr="006F4720">
        <w:t xml:space="preserve">lodged his motion to quash to </w:t>
      </w:r>
      <w:r w:rsidR="00BD6189">
        <w:t>dispute the truth of</w:t>
      </w:r>
      <w:r w:rsidR="00BD6189" w:rsidRPr="006F4720">
        <w:t xml:space="preserve"> </w:t>
      </w:r>
      <w:r w:rsidR="00FE22A1" w:rsidRPr="006F4720">
        <w:t xml:space="preserve">the City’s </w:t>
      </w:r>
      <w:r w:rsidR="00BD6189">
        <w:t>allegations concerning its legal relationship with Stancil</w:t>
      </w:r>
      <w:r w:rsidR="00FE22A1" w:rsidRPr="006F4720">
        <w:t>.</w:t>
      </w:r>
      <w:r w:rsidR="00BE2526" w:rsidRPr="006F4720">
        <w:t xml:space="preserve">  </w:t>
      </w:r>
      <w:r w:rsidR="004221B4" w:rsidRPr="006F4720">
        <w:t>A</w:t>
      </w:r>
      <w:r w:rsidR="00123A85" w:rsidRPr="006F4720">
        <w:t xml:space="preserve"> defendant</w:t>
      </w:r>
      <w:r w:rsidR="0003590B" w:rsidRPr="006F4720">
        <w:t xml:space="preserve"> </w:t>
      </w:r>
      <w:r w:rsidR="00D67147">
        <w:t>who disputes the veracity of an allegation in a complaint can file</w:t>
      </w:r>
      <w:r w:rsidR="00241798" w:rsidRPr="006F4720">
        <w:t xml:space="preserve"> an</w:t>
      </w:r>
      <w:r w:rsidR="00955696" w:rsidRPr="006F4720">
        <w:t xml:space="preserve"> answer to the complaint</w:t>
      </w:r>
      <w:r w:rsidR="00F507FA" w:rsidRPr="006F4720">
        <w:t xml:space="preserve">.  </w:t>
      </w:r>
      <w:r w:rsidR="00A271CE" w:rsidRPr="006F4720">
        <w:t>(</w:t>
      </w:r>
      <w:r w:rsidR="00D134B6" w:rsidRPr="006F4720">
        <w:t>§ 430.10</w:t>
      </w:r>
      <w:r w:rsidR="00955696" w:rsidRPr="006F4720">
        <w:t>, subd. (b)</w:t>
      </w:r>
      <w:r w:rsidR="00D134B6" w:rsidRPr="006F4720">
        <w:t xml:space="preserve">.)  </w:t>
      </w:r>
      <w:r w:rsidR="00F507FA" w:rsidRPr="006F4720">
        <w:t xml:space="preserve">But </w:t>
      </w:r>
      <w:r w:rsidR="00A6224E" w:rsidRPr="006F4720">
        <w:t xml:space="preserve">because a </w:t>
      </w:r>
      <w:r w:rsidR="00BE2526" w:rsidRPr="006F4720">
        <w:t xml:space="preserve">motion to quash is not the proper procedure </w:t>
      </w:r>
      <w:r w:rsidR="00B87A45" w:rsidRPr="006F4720">
        <w:t xml:space="preserve">to </w:t>
      </w:r>
      <w:r w:rsidR="00191637">
        <w:t>litigate the merits of an unlawful detainer claim</w:t>
      </w:r>
      <w:r w:rsidR="009F1A4E" w:rsidRPr="006F4720">
        <w:t xml:space="preserve">, we affirm </w:t>
      </w:r>
      <w:r w:rsidR="00A6224E" w:rsidRPr="006F4720">
        <w:t xml:space="preserve">the </w:t>
      </w:r>
      <w:r w:rsidR="00DA7109" w:rsidRPr="006F4720">
        <w:t>C</w:t>
      </w:r>
      <w:r w:rsidR="00A6224E" w:rsidRPr="006F4720">
        <w:t xml:space="preserve">ourt of </w:t>
      </w:r>
      <w:r w:rsidR="00DA7109" w:rsidRPr="006F4720">
        <w:t>A</w:t>
      </w:r>
      <w:r w:rsidR="00A6224E" w:rsidRPr="006F4720">
        <w:t xml:space="preserve">ppeal’s </w:t>
      </w:r>
      <w:r w:rsidR="00890226" w:rsidRPr="006F4720">
        <w:t xml:space="preserve">denial of writ relief from the </w:t>
      </w:r>
      <w:r w:rsidR="00F664CA" w:rsidRPr="006F4720">
        <w:t>s</w:t>
      </w:r>
      <w:r w:rsidR="0016557B" w:rsidRPr="006F4720">
        <w:t xml:space="preserve">uperior </w:t>
      </w:r>
      <w:r w:rsidR="00F664CA" w:rsidRPr="006F4720">
        <w:t>c</w:t>
      </w:r>
      <w:r w:rsidR="00890226" w:rsidRPr="006F4720">
        <w:t xml:space="preserve">ourt’s order </w:t>
      </w:r>
      <w:r w:rsidR="009F1A4E" w:rsidRPr="006F4720">
        <w:t xml:space="preserve">denying Stancil’s motion to quash.  </w:t>
      </w:r>
    </w:p>
    <w:p w14:paraId="3E3F515B" w14:textId="77777777" w:rsidR="00D70EED" w:rsidRPr="006F4720" w:rsidRDefault="001058B8" w:rsidP="009855B4">
      <w:pPr>
        <w:tabs>
          <w:tab w:val="left" w:pos="1440"/>
        </w:tabs>
        <w:jc w:val="center"/>
        <w:rPr>
          <w:b/>
        </w:rPr>
      </w:pPr>
      <w:r w:rsidRPr="006F4720">
        <w:rPr>
          <w:b/>
        </w:rPr>
        <w:t>I</w:t>
      </w:r>
      <w:r w:rsidR="00F337E8" w:rsidRPr="006F4720">
        <w:rPr>
          <w:b/>
        </w:rPr>
        <w:t>.</w:t>
      </w:r>
    </w:p>
    <w:p w14:paraId="1E20D8F7" w14:textId="1AD23BC2" w:rsidR="00E6792B" w:rsidRPr="006F4720" w:rsidRDefault="00284315" w:rsidP="006F4720">
      <w:pPr>
        <w:ind w:firstLine="720"/>
      </w:pPr>
      <w:r w:rsidRPr="006F4720">
        <w:t>On September 21, 2018, the City filed</w:t>
      </w:r>
      <w:r w:rsidR="0043218C" w:rsidRPr="006F4720">
        <w:t xml:space="preserve"> a</w:t>
      </w:r>
      <w:r w:rsidRPr="006F4720">
        <w:t xml:space="preserve"> summon</w:t>
      </w:r>
      <w:r w:rsidR="009D6410" w:rsidRPr="006F4720">
        <w:t>s</w:t>
      </w:r>
      <w:r w:rsidRPr="006F4720">
        <w:t xml:space="preserve"> and complain</w:t>
      </w:r>
      <w:r w:rsidR="008662A3" w:rsidRPr="006F4720">
        <w:t>t</w:t>
      </w:r>
      <w:r w:rsidRPr="006F4720">
        <w:t xml:space="preserve"> in unlawful detaine</w:t>
      </w:r>
      <w:r w:rsidR="00E6792B" w:rsidRPr="006F4720">
        <w:t>r</w:t>
      </w:r>
      <w:r w:rsidRPr="006F4720">
        <w:t xml:space="preserve"> against</w:t>
      </w:r>
      <w:r w:rsidR="00150731" w:rsidRPr="006F4720">
        <w:t xml:space="preserve"> </w:t>
      </w:r>
      <w:r w:rsidR="0043218C" w:rsidRPr="006F4720">
        <w:t>Stancil</w:t>
      </w:r>
      <w:r w:rsidRPr="006F4720">
        <w:t xml:space="preserve">.  The complaint alleged that </w:t>
      </w:r>
      <w:r w:rsidR="003F431E" w:rsidRPr="006F4720">
        <w:t xml:space="preserve">in </w:t>
      </w:r>
      <w:r w:rsidR="00D22D57" w:rsidRPr="006F4720">
        <w:t xml:space="preserve">July 2013, </w:t>
      </w:r>
      <w:r w:rsidRPr="006F4720">
        <w:t xml:space="preserve">the City </w:t>
      </w:r>
      <w:r w:rsidR="004759A9" w:rsidRPr="006F4720">
        <w:t xml:space="preserve">as </w:t>
      </w:r>
      <w:r w:rsidR="00E6792B" w:rsidRPr="006F4720">
        <w:t>operator and manager of Docktown</w:t>
      </w:r>
      <w:r w:rsidR="004759A9" w:rsidRPr="006F4720">
        <w:t xml:space="preserve">, </w:t>
      </w:r>
      <w:r w:rsidRPr="006F4720">
        <w:t xml:space="preserve">gave </w:t>
      </w:r>
      <w:r w:rsidR="00272624">
        <w:t>Stancil</w:t>
      </w:r>
      <w:r w:rsidR="00272624" w:rsidRPr="006F4720">
        <w:t xml:space="preserve"> </w:t>
      </w:r>
      <w:r w:rsidRPr="006F4720">
        <w:t>the right to use</w:t>
      </w:r>
      <w:r w:rsidR="00780DF7" w:rsidRPr="006F4720">
        <w:t xml:space="preserve"> </w:t>
      </w:r>
      <w:r w:rsidR="009D6410" w:rsidRPr="006F4720">
        <w:t xml:space="preserve">a </w:t>
      </w:r>
      <w:r w:rsidRPr="006F4720">
        <w:t xml:space="preserve">berth </w:t>
      </w:r>
      <w:r w:rsidR="00E6792B" w:rsidRPr="006F4720">
        <w:t>for residential purposes</w:t>
      </w:r>
      <w:r w:rsidRPr="006F4720">
        <w:t>.  The original term of th</w:t>
      </w:r>
      <w:r w:rsidR="007B0D3C" w:rsidRPr="006F4720">
        <w:t>e</w:t>
      </w:r>
      <w:r w:rsidR="001E1D52" w:rsidRPr="006F4720">
        <w:t xml:space="preserve"> “Live Aboard Rental</w:t>
      </w:r>
      <w:r w:rsidRPr="006F4720">
        <w:t xml:space="preserve"> </w:t>
      </w:r>
      <w:r w:rsidR="001E1D52" w:rsidRPr="006F4720">
        <w:t>A</w:t>
      </w:r>
      <w:r w:rsidRPr="006F4720">
        <w:t>greement</w:t>
      </w:r>
      <w:r w:rsidR="008566DB" w:rsidRPr="006F4720">
        <w:t>”</w:t>
      </w:r>
      <w:r w:rsidRPr="006F4720">
        <w:t xml:space="preserve"> was for 12 months; after expiration of the initial term, the agreement renewed on a month-to-month basis, terminable by the City upon 60 days’ notice.  </w:t>
      </w:r>
    </w:p>
    <w:p w14:paraId="6D304B74" w14:textId="267FDD6F" w:rsidR="002F3FB6" w:rsidRPr="006F4720" w:rsidRDefault="002F3FB6" w:rsidP="006F4720">
      <w:pPr>
        <w:ind w:firstLine="720"/>
      </w:pPr>
      <w:r w:rsidRPr="006F4720">
        <w:t xml:space="preserve">In December 2016, the City Council </w:t>
      </w:r>
      <w:r w:rsidR="00B02C82">
        <w:t xml:space="preserve">of </w:t>
      </w:r>
      <w:r w:rsidR="00B02C82" w:rsidRPr="006F4720">
        <w:t xml:space="preserve">Redwood </w:t>
      </w:r>
      <w:r w:rsidR="00B02C82">
        <w:t xml:space="preserve">City </w:t>
      </w:r>
      <w:r w:rsidRPr="006F4720">
        <w:t>adopted the “Docktown Plan,” which provided relocation assistance to eligible Docktown residents through financial assistance</w:t>
      </w:r>
      <w:r w:rsidR="00B02C82">
        <w:t xml:space="preserve"> and</w:t>
      </w:r>
      <w:r w:rsidRPr="006F4720">
        <w:t xml:space="preserve"> relocation advisory services, and also detailed the process for terminating residential use at Docktown.  </w:t>
      </w:r>
      <w:r w:rsidR="00377D51" w:rsidRPr="006F4720">
        <w:t xml:space="preserve">Some Docktown residents accepted the relocation benefits and assistance, but others — including Stancil — remained.  </w:t>
      </w:r>
    </w:p>
    <w:p w14:paraId="70CB852B" w14:textId="0E4B3ABA" w:rsidR="00040D56" w:rsidRPr="006F4720" w:rsidRDefault="001144E3" w:rsidP="006F4720">
      <w:pPr>
        <w:ind w:firstLine="720"/>
      </w:pPr>
      <w:r>
        <w:t>T</w:t>
      </w:r>
      <w:r w:rsidR="00284315" w:rsidRPr="006F4720">
        <w:t xml:space="preserve">he City served Stancil </w:t>
      </w:r>
      <w:r w:rsidR="00A0224B">
        <w:t>a</w:t>
      </w:r>
      <w:r w:rsidR="00A0224B" w:rsidRPr="006F4720">
        <w:t xml:space="preserve"> </w:t>
      </w:r>
      <w:r w:rsidR="00284315" w:rsidRPr="006F4720">
        <w:t xml:space="preserve">60-day </w:t>
      </w:r>
      <w:r w:rsidR="008B6F55">
        <w:t>n</w:t>
      </w:r>
      <w:r w:rsidR="00284315" w:rsidRPr="006F4720">
        <w:t xml:space="preserve">otice to </w:t>
      </w:r>
      <w:r w:rsidR="008B6F55">
        <w:t>q</w:t>
      </w:r>
      <w:r w:rsidR="00284315" w:rsidRPr="006F4720">
        <w:t>uit and surrender possession of the premises</w:t>
      </w:r>
      <w:r w:rsidR="000D38C4" w:rsidRPr="006F4720">
        <w:t xml:space="preserve"> pursuant to sections 1946 and 1946.1</w:t>
      </w:r>
      <w:r w:rsidR="00284315" w:rsidRPr="006F4720">
        <w:t xml:space="preserve">.  </w:t>
      </w:r>
      <w:r w:rsidR="008268D6" w:rsidRPr="006F4720">
        <w:t>Stancil refused to surrender the premises</w:t>
      </w:r>
      <w:r w:rsidR="00380F5A" w:rsidRPr="006F4720">
        <w:t xml:space="preserve"> during the 60-day period</w:t>
      </w:r>
      <w:r w:rsidR="008268D6" w:rsidRPr="006F4720">
        <w:t xml:space="preserve">, so the City filed </w:t>
      </w:r>
      <w:r w:rsidR="00A0224B">
        <w:t>a</w:t>
      </w:r>
      <w:r w:rsidR="00A0224B" w:rsidRPr="006F4720">
        <w:t xml:space="preserve"> </w:t>
      </w:r>
      <w:r w:rsidR="008268D6" w:rsidRPr="006F4720">
        <w:t>complaint</w:t>
      </w:r>
      <w:r w:rsidR="00A0224B">
        <w:t xml:space="preserve"> for unlawful detainer,</w:t>
      </w:r>
      <w:r w:rsidR="008268D6" w:rsidRPr="006F4720">
        <w:t xml:space="preserve"> requesting judgment for possession and damages for each day Stancil </w:t>
      </w:r>
      <w:r w:rsidR="00A0224B" w:rsidRPr="006F4720">
        <w:t>remain</w:t>
      </w:r>
      <w:r w:rsidR="00A0224B">
        <w:t>ed</w:t>
      </w:r>
      <w:r w:rsidR="00A0224B" w:rsidRPr="006F4720">
        <w:t xml:space="preserve"> </w:t>
      </w:r>
      <w:r w:rsidR="008268D6" w:rsidRPr="006F4720">
        <w:t xml:space="preserve">in the berth at the fair value rate of $17.19 per day.  </w:t>
      </w:r>
    </w:p>
    <w:p w14:paraId="4AC0AF57" w14:textId="72140420" w:rsidR="009C6F2C" w:rsidRPr="006F4720" w:rsidRDefault="00EB7AB3" w:rsidP="006F4720">
      <w:pPr>
        <w:ind w:firstLine="720"/>
      </w:pPr>
      <w:r w:rsidRPr="006F4720">
        <w:t>In response, Stancil</w:t>
      </w:r>
      <w:r w:rsidR="006A3E86" w:rsidRPr="006F4720">
        <w:t xml:space="preserve"> f</w:t>
      </w:r>
      <w:r w:rsidRPr="006F4720">
        <w:t>iled a motion to quash</w:t>
      </w:r>
      <w:r w:rsidR="001144E3">
        <w:t xml:space="preserve"> </w:t>
      </w:r>
      <w:r w:rsidR="009855B4">
        <w:t>under</w:t>
      </w:r>
      <w:r w:rsidR="00770A03" w:rsidRPr="006F4720">
        <w:t xml:space="preserve"> </w:t>
      </w:r>
      <w:r w:rsidR="003A005F" w:rsidRPr="006F4720">
        <w:t>section 418.10</w:t>
      </w:r>
      <w:r w:rsidR="00B600C7" w:rsidRPr="006F4720">
        <w:t xml:space="preserve">.  </w:t>
      </w:r>
      <w:r w:rsidR="00494593" w:rsidRPr="006F4720">
        <w:t xml:space="preserve">Stancil argued </w:t>
      </w:r>
      <w:r w:rsidR="000219EB" w:rsidRPr="006F4720">
        <w:t xml:space="preserve">only </w:t>
      </w:r>
      <w:r w:rsidR="00706187" w:rsidRPr="006F4720">
        <w:t xml:space="preserve">the </w:t>
      </w:r>
      <w:r w:rsidR="008B6F55">
        <w:t>p</w:t>
      </w:r>
      <w:r w:rsidR="000219EB" w:rsidRPr="006F4720">
        <w:t xml:space="preserve">ort </w:t>
      </w:r>
      <w:r w:rsidR="008B6F55">
        <w:t>d</w:t>
      </w:r>
      <w:r w:rsidR="000219EB" w:rsidRPr="006F4720">
        <w:t xml:space="preserve">epartment </w:t>
      </w:r>
      <w:r w:rsidR="00706187" w:rsidRPr="006F4720">
        <w:t xml:space="preserve">— and not the City — </w:t>
      </w:r>
      <w:r w:rsidR="000219EB" w:rsidRPr="006F4720">
        <w:t>had jurisdiction over Docktown</w:t>
      </w:r>
      <w:r w:rsidR="00706187" w:rsidRPr="006F4720">
        <w:t xml:space="preserve"> and authority to sue </w:t>
      </w:r>
      <w:r w:rsidR="00E27ED7">
        <w:t xml:space="preserve">him </w:t>
      </w:r>
      <w:r w:rsidR="00706187" w:rsidRPr="006F4720">
        <w:t>in unlawful detainer</w:t>
      </w:r>
      <w:r w:rsidR="000219EB" w:rsidRPr="006F4720">
        <w:t xml:space="preserve">.  </w:t>
      </w:r>
      <w:r w:rsidR="00C15184" w:rsidRPr="006F4720">
        <w:t>Relying on</w:t>
      </w:r>
      <w:r w:rsidR="00706187" w:rsidRPr="006F4720">
        <w:t xml:space="preserve"> </w:t>
      </w:r>
      <w:r w:rsidR="00706187" w:rsidRPr="006F4720">
        <w:rPr>
          <w:i/>
        </w:rPr>
        <w:t>Delta Imports</w:t>
      </w:r>
      <w:r w:rsidR="00706187" w:rsidRPr="006F4720">
        <w:t xml:space="preserve">, Stancil asserted that a motion to quash </w:t>
      </w:r>
      <w:r w:rsidR="00163D43">
        <w:t>wa</w:t>
      </w:r>
      <w:r w:rsidR="00163D43" w:rsidRPr="006F4720">
        <w:t xml:space="preserve">s </w:t>
      </w:r>
      <w:r w:rsidR="00706187" w:rsidRPr="006F4720">
        <w:t xml:space="preserve">the </w:t>
      </w:r>
      <w:r w:rsidR="00163D43">
        <w:t xml:space="preserve">proper </w:t>
      </w:r>
      <w:r w:rsidR="00706187" w:rsidRPr="006F4720">
        <w:t xml:space="preserve">procedure to </w:t>
      </w:r>
      <w:r w:rsidR="00E27ED7">
        <w:t xml:space="preserve">raise a </w:t>
      </w:r>
      <w:r w:rsidR="00706187" w:rsidRPr="006F4720">
        <w:t xml:space="preserve">challenge </w:t>
      </w:r>
      <w:r w:rsidR="0026775F">
        <w:t>on these grounds</w:t>
      </w:r>
      <w:r w:rsidR="00706187" w:rsidRPr="006F4720">
        <w:t xml:space="preserve">. </w:t>
      </w:r>
    </w:p>
    <w:p w14:paraId="51EF9FD7" w14:textId="402F3687" w:rsidR="00680C14" w:rsidRPr="006F4720" w:rsidRDefault="00892532" w:rsidP="006F4720">
      <w:pPr>
        <w:ind w:firstLine="720"/>
        <w:rPr>
          <w:szCs w:val="26"/>
        </w:rPr>
      </w:pPr>
      <w:r w:rsidRPr="006F4720">
        <w:rPr>
          <w:szCs w:val="26"/>
        </w:rPr>
        <w:t xml:space="preserve">In its </w:t>
      </w:r>
      <w:r w:rsidR="002526AA" w:rsidRPr="006F4720">
        <w:rPr>
          <w:szCs w:val="26"/>
        </w:rPr>
        <w:t>opposition</w:t>
      </w:r>
      <w:r w:rsidRPr="006F4720">
        <w:rPr>
          <w:szCs w:val="26"/>
        </w:rPr>
        <w:t xml:space="preserve">, the City </w:t>
      </w:r>
      <w:r w:rsidR="002526AA" w:rsidRPr="006F4720">
        <w:rPr>
          <w:szCs w:val="26"/>
        </w:rPr>
        <w:t xml:space="preserve">argued that a motion to quash </w:t>
      </w:r>
      <w:r w:rsidR="007A2DAB">
        <w:rPr>
          <w:szCs w:val="26"/>
        </w:rPr>
        <w:t>may only</w:t>
      </w:r>
      <w:r w:rsidR="00420566" w:rsidRPr="006F4720">
        <w:rPr>
          <w:szCs w:val="26"/>
        </w:rPr>
        <w:t xml:space="preserve"> be used </w:t>
      </w:r>
      <w:r w:rsidR="002526AA" w:rsidRPr="006F4720">
        <w:rPr>
          <w:szCs w:val="26"/>
        </w:rPr>
        <w:t xml:space="preserve">to challenge personal jurisdiction </w:t>
      </w:r>
      <w:r w:rsidR="0065347C">
        <w:rPr>
          <w:szCs w:val="26"/>
        </w:rPr>
        <w:t xml:space="preserve">and cannot be </w:t>
      </w:r>
      <w:r w:rsidR="00177673">
        <w:rPr>
          <w:szCs w:val="26"/>
        </w:rPr>
        <w:t>used to</w:t>
      </w:r>
      <w:r w:rsidR="008E009E">
        <w:rPr>
          <w:szCs w:val="26"/>
        </w:rPr>
        <w:t xml:space="preserve"> attack a complaint for failure to state a claim</w:t>
      </w:r>
      <w:r w:rsidR="002526AA" w:rsidRPr="006F4720">
        <w:rPr>
          <w:szCs w:val="26"/>
        </w:rPr>
        <w:t xml:space="preserve">.  </w:t>
      </w:r>
      <w:r w:rsidR="00777D5E">
        <w:rPr>
          <w:szCs w:val="26"/>
        </w:rPr>
        <w:t>T</w:t>
      </w:r>
      <w:r w:rsidR="00367BF7" w:rsidRPr="006F4720">
        <w:rPr>
          <w:szCs w:val="26"/>
        </w:rPr>
        <w:t xml:space="preserve">he City </w:t>
      </w:r>
      <w:r w:rsidR="00777D5E">
        <w:rPr>
          <w:szCs w:val="26"/>
        </w:rPr>
        <w:t xml:space="preserve">maintained that </w:t>
      </w:r>
      <w:r w:rsidR="00777D5E">
        <w:rPr>
          <w:i/>
          <w:szCs w:val="26"/>
        </w:rPr>
        <w:t>Borsuk</w:t>
      </w:r>
      <w:r w:rsidR="00777D5E" w:rsidRPr="006F4720">
        <w:rPr>
          <w:szCs w:val="26"/>
        </w:rPr>
        <w:t xml:space="preserve"> </w:t>
      </w:r>
      <w:r w:rsidR="00367BF7" w:rsidRPr="006F4720">
        <w:rPr>
          <w:szCs w:val="26"/>
        </w:rPr>
        <w:t xml:space="preserve">expressly disapproved </w:t>
      </w:r>
      <w:r w:rsidR="00367BF7" w:rsidRPr="006F4720">
        <w:rPr>
          <w:i/>
          <w:szCs w:val="26"/>
        </w:rPr>
        <w:t>Delta Imports</w:t>
      </w:r>
      <w:r w:rsidR="003737C0" w:rsidRPr="006F4720">
        <w:rPr>
          <w:i/>
          <w:szCs w:val="26"/>
        </w:rPr>
        <w:t xml:space="preserve"> </w:t>
      </w:r>
      <w:r w:rsidR="003737C0" w:rsidRPr="006F4720">
        <w:rPr>
          <w:iCs/>
          <w:szCs w:val="26"/>
        </w:rPr>
        <w:t>and controlled</w:t>
      </w:r>
      <w:r w:rsidR="00367BF7" w:rsidRPr="006F4720">
        <w:rPr>
          <w:szCs w:val="26"/>
        </w:rPr>
        <w:t xml:space="preserve">.  </w:t>
      </w:r>
    </w:p>
    <w:p w14:paraId="1E122A0B" w14:textId="7F53C400" w:rsidR="00235444" w:rsidRPr="006F4720" w:rsidRDefault="00777D5E">
      <w:pPr>
        <w:ind w:firstLine="720"/>
      </w:pPr>
      <w:r>
        <w:t>Following a hearing on the motion, the superior court denied Stancil’s motion to quash and</w:t>
      </w:r>
      <w:r w:rsidR="001144E3">
        <w:t xml:space="preserve"> </w:t>
      </w:r>
      <w:r w:rsidR="00E8179E" w:rsidRPr="006F4720">
        <w:t xml:space="preserve">concluded </w:t>
      </w:r>
      <w:r>
        <w:t>his challenge to the City’s complaint had to be raised on demurrer.</w:t>
      </w:r>
      <w:r w:rsidR="00E8179E" w:rsidRPr="006F4720">
        <w:t xml:space="preserve"> </w:t>
      </w:r>
      <w:r w:rsidR="003B619C">
        <w:t xml:space="preserve"> </w:t>
      </w:r>
      <w:r w:rsidR="002F4A42" w:rsidRPr="006F4720">
        <w:t>Stancil</w:t>
      </w:r>
      <w:r w:rsidR="00942086" w:rsidRPr="006F4720">
        <w:t xml:space="preserve"> requested an immediate stay, which the </w:t>
      </w:r>
      <w:r w:rsidR="00C33AAA">
        <w:t>A</w:t>
      </w:r>
      <w:r w:rsidR="00C33AAA" w:rsidRPr="006F4720">
        <w:t xml:space="preserve">ppellate </w:t>
      </w:r>
      <w:r w:rsidR="00C33AAA">
        <w:t>D</w:t>
      </w:r>
      <w:r w:rsidR="00C33AAA" w:rsidRPr="006F4720">
        <w:t xml:space="preserve">ivision </w:t>
      </w:r>
      <w:r w:rsidR="00C33AAA">
        <w:t xml:space="preserve">of the Superior Court of San Mateo County </w:t>
      </w:r>
      <w:r w:rsidR="00942086" w:rsidRPr="006F4720">
        <w:t xml:space="preserve">denied.  </w:t>
      </w:r>
      <w:r w:rsidR="002F4A42" w:rsidRPr="006F4720">
        <w:t xml:space="preserve">Stancil </w:t>
      </w:r>
      <w:r w:rsidR="00942086" w:rsidRPr="006F4720">
        <w:t>then filed a petition for writ of mandate and prohibition challeng</w:t>
      </w:r>
      <w:r w:rsidR="002F4A42" w:rsidRPr="006F4720">
        <w:t>ing</w:t>
      </w:r>
      <w:r w:rsidR="00942086" w:rsidRPr="006F4720">
        <w:t xml:space="preserve"> the superior court’s order in the </w:t>
      </w:r>
      <w:r w:rsidR="009462C1">
        <w:t>Court of Appeal</w:t>
      </w:r>
      <w:r w:rsidR="00942086" w:rsidRPr="006F4720">
        <w:t xml:space="preserve">, which </w:t>
      </w:r>
      <w:r w:rsidR="009462C1">
        <w:t xml:space="preserve">was </w:t>
      </w:r>
      <w:r w:rsidR="00B80652" w:rsidRPr="006F4720">
        <w:t xml:space="preserve">summarily denied.  </w:t>
      </w:r>
      <w:r w:rsidR="009462C1">
        <w:t xml:space="preserve">He subsequently filed a petition for review with this court, which we granted, limiting </w:t>
      </w:r>
      <w:r w:rsidR="004E0FC7" w:rsidRPr="006F4720">
        <w:t xml:space="preserve">the issue for our determination to whether a motion to quash </w:t>
      </w:r>
      <w:r w:rsidR="00916C9D" w:rsidRPr="006F4720">
        <w:t xml:space="preserve">service of summons </w:t>
      </w:r>
      <w:r w:rsidR="004E0FC7" w:rsidRPr="006F4720">
        <w:t xml:space="preserve">is </w:t>
      </w:r>
      <w:r w:rsidR="00082615" w:rsidRPr="006F4720">
        <w:t>the proper</w:t>
      </w:r>
      <w:r w:rsidR="00C94D08" w:rsidRPr="006F4720">
        <w:t xml:space="preserve"> remedy to test whether a complaint states a cause of action for unlawful detainer. </w:t>
      </w:r>
      <w:r w:rsidR="00302CD4" w:rsidRPr="006F4720">
        <w:t xml:space="preserve"> </w:t>
      </w:r>
      <w:r w:rsidR="00942086" w:rsidRPr="006F4720">
        <w:t xml:space="preserve"> </w:t>
      </w:r>
    </w:p>
    <w:p w14:paraId="39E39999" w14:textId="3437EA22" w:rsidR="00D70EED" w:rsidRPr="006F4720" w:rsidRDefault="00230417" w:rsidP="009855B4">
      <w:pPr>
        <w:tabs>
          <w:tab w:val="left" w:pos="1440"/>
        </w:tabs>
        <w:jc w:val="center"/>
        <w:rPr>
          <w:b/>
        </w:rPr>
      </w:pPr>
      <w:r w:rsidRPr="006F4720">
        <w:rPr>
          <w:b/>
        </w:rPr>
        <w:t>II</w:t>
      </w:r>
      <w:r w:rsidR="00F337E8" w:rsidRPr="006F4720">
        <w:rPr>
          <w:b/>
        </w:rPr>
        <w:t>.</w:t>
      </w:r>
    </w:p>
    <w:p w14:paraId="601DEC06" w14:textId="2F07D8DA" w:rsidR="00866631" w:rsidRPr="006F4720" w:rsidRDefault="00866631" w:rsidP="006F4720">
      <w:pPr>
        <w:tabs>
          <w:tab w:val="left" w:pos="720"/>
          <w:tab w:val="left" w:pos="1440"/>
        </w:tabs>
        <w:rPr>
          <w:b/>
        </w:rPr>
      </w:pPr>
      <w:r w:rsidRPr="006F4720">
        <w:tab/>
        <w:t xml:space="preserve">The parties in this case disagree about how </w:t>
      </w:r>
      <w:r w:rsidR="00F16E4B">
        <w:t>an unlawful detainer defendant</w:t>
      </w:r>
      <w:r w:rsidRPr="006F4720">
        <w:t xml:space="preserve"> may </w:t>
      </w:r>
      <w:r w:rsidR="001144E3">
        <w:t xml:space="preserve">use a motion to quash service of summons </w:t>
      </w:r>
      <w:r w:rsidR="001144E3" w:rsidRPr="006F4720">
        <w:t>under section 418.10, subdivision (a)(1)</w:t>
      </w:r>
      <w:r w:rsidR="001144E3">
        <w:t xml:space="preserve">.  </w:t>
      </w:r>
      <w:r w:rsidRPr="00CB51A6">
        <w:t xml:space="preserve">Stancil argues a </w:t>
      </w:r>
      <w:r w:rsidR="00044D72" w:rsidRPr="00DA2FA9">
        <w:t xml:space="preserve">defendant may use a </w:t>
      </w:r>
      <w:r w:rsidRPr="00CB51A6">
        <w:t>motion to quash to challenge</w:t>
      </w:r>
      <w:r w:rsidR="00105CB8" w:rsidRPr="00DA2FA9">
        <w:t xml:space="preserve"> personal jurisdiction where </w:t>
      </w:r>
      <w:r w:rsidRPr="00CB51A6">
        <w:t>an unlawful detainer complaint</w:t>
      </w:r>
      <w:r w:rsidR="00105CB8" w:rsidRPr="00DA2FA9">
        <w:t xml:space="preserve"> is defective</w:t>
      </w:r>
      <w:r w:rsidR="00272624">
        <w:t xml:space="preserve"> in any manner, including when an allegation in the complaint is not true</w:t>
      </w:r>
      <w:r w:rsidRPr="00CB51A6">
        <w:t xml:space="preserve">.  In contrast, the City contends a motion to quash </w:t>
      </w:r>
      <w:r w:rsidR="00044D72" w:rsidRPr="00DA2FA9">
        <w:t xml:space="preserve">is not the proper procedure to challenge whether </w:t>
      </w:r>
      <w:r w:rsidR="00CC033C">
        <w:t xml:space="preserve">an unlawful detainer complaint </w:t>
      </w:r>
      <w:r w:rsidR="00044D72" w:rsidRPr="00DA2FA9">
        <w:t>state</w:t>
      </w:r>
      <w:r w:rsidR="00CC033C">
        <w:t>s</w:t>
      </w:r>
      <w:r w:rsidR="00044D72" w:rsidRPr="00DA2FA9">
        <w:t xml:space="preserve"> a cause of action</w:t>
      </w:r>
      <w:r w:rsidRPr="00CB51A6">
        <w:t>.</w:t>
      </w:r>
      <w:r w:rsidRPr="006F4720">
        <w:t xml:space="preserve">  </w:t>
      </w:r>
      <w:r w:rsidR="00FB636F">
        <w:t>W</w:t>
      </w:r>
      <w:r w:rsidRPr="006F4720">
        <w:t xml:space="preserve">e </w:t>
      </w:r>
      <w:r w:rsidR="00FB636F">
        <w:t>resolve this disagreement</w:t>
      </w:r>
      <w:r w:rsidR="00A06E08">
        <w:t xml:space="preserve"> by </w:t>
      </w:r>
      <w:r w:rsidR="00FB636F">
        <w:t xml:space="preserve">first </w:t>
      </w:r>
      <w:r w:rsidR="00F90B8F" w:rsidRPr="006F4720">
        <w:t>consider</w:t>
      </w:r>
      <w:r w:rsidR="00A06E08">
        <w:t>ing</w:t>
      </w:r>
      <w:r w:rsidR="00F90B8F" w:rsidRPr="006F4720">
        <w:t xml:space="preserve"> the distinctive role</w:t>
      </w:r>
      <w:r w:rsidR="00FB636F">
        <w:t xml:space="preserve"> o</w:t>
      </w:r>
      <w:r w:rsidR="00F90B8F" w:rsidRPr="006F4720">
        <w:t>f motions to quash service of summons</w:t>
      </w:r>
      <w:r w:rsidR="00FB636F">
        <w:t xml:space="preserve"> in our system of civil procedure, before turning to unlawful detainer actions.</w:t>
      </w:r>
    </w:p>
    <w:p w14:paraId="2F4DED28" w14:textId="1BC20F60" w:rsidR="00700EC6" w:rsidRPr="006F4720" w:rsidRDefault="00140E29" w:rsidP="009855B4">
      <w:pPr>
        <w:tabs>
          <w:tab w:val="left" w:pos="1440"/>
        </w:tabs>
        <w:jc w:val="center"/>
      </w:pPr>
      <w:r w:rsidRPr="006F4720">
        <w:rPr>
          <w:b/>
        </w:rPr>
        <w:t>A.</w:t>
      </w:r>
    </w:p>
    <w:p w14:paraId="3B5CA47F" w14:textId="28622B55" w:rsidR="00700EC6" w:rsidRPr="006F4720" w:rsidRDefault="00700EC6" w:rsidP="00203B98">
      <w:pPr>
        <w:tabs>
          <w:tab w:val="left" w:pos="720"/>
        </w:tabs>
      </w:pPr>
      <w:r w:rsidRPr="006F4720">
        <w:tab/>
      </w:r>
      <w:bookmarkStart w:id="4" w:name="_Hlk68772063"/>
      <w:r w:rsidR="00AD29D2">
        <w:t xml:space="preserve">Ordinarily, a court </w:t>
      </w:r>
      <w:r w:rsidR="00ED2D2C">
        <w:t>gains jurisdiction over the defendant from the time the defendant is served with a copy of the summons and the complaint on which it’s based, as required under the Code of Civil Procedure</w:t>
      </w:r>
      <w:r w:rsidR="00D631EC">
        <w:t xml:space="preserve">. </w:t>
      </w:r>
      <w:r w:rsidR="005256A1">
        <w:t xml:space="preserve"> </w:t>
      </w:r>
      <w:bookmarkEnd w:id="4"/>
      <w:r w:rsidR="00C67D7E" w:rsidRPr="006F4720">
        <w:t>(§</w:t>
      </w:r>
      <w:r w:rsidR="00C67D7E">
        <w:t>§</w:t>
      </w:r>
      <w:r w:rsidR="00C67D7E" w:rsidRPr="006F4720">
        <w:t xml:space="preserve"> 410.50</w:t>
      </w:r>
      <w:r w:rsidR="00C67D7E">
        <w:t xml:space="preserve">, 412.20; </w:t>
      </w:r>
      <w:r w:rsidR="00C67D7E" w:rsidRPr="006F4720">
        <w:rPr>
          <w:i/>
        </w:rPr>
        <w:t xml:space="preserve">Honda Motor Co. v. Superior Court </w:t>
      </w:r>
      <w:r w:rsidR="00C67D7E" w:rsidRPr="006F4720">
        <w:t>(1992) 10 Cal.App.4th 1043, 1048 (</w:t>
      </w:r>
      <w:r w:rsidR="00C67D7E" w:rsidRPr="006F4720">
        <w:rPr>
          <w:i/>
        </w:rPr>
        <w:t>Honda Motor Co.</w:t>
      </w:r>
      <w:r w:rsidR="00C67D7E" w:rsidRPr="006F4720">
        <w:t>);</w:t>
      </w:r>
      <w:r w:rsidR="00C67D7E" w:rsidRPr="006F4720">
        <w:rPr>
          <w:i/>
        </w:rPr>
        <w:t xml:space="preserve"> Stamps v. Superior Court </w:t>
      </w:r>
      <w:r w:rsidR="00C67D7E" w:rsidRPr="006F4720">
        <w:t xml:space="preserve">(1971) 14 Cal.App.3d 108, 110.)  </w:t>
      </w:r>
      <w:r w:rsidR="00ED2D2C">
        <w:t xml:space="preserve">The summons provides the defendant notice that the action described in the accompanying complaint has been filed against them in court.  </w:t>
      </w:r>
      <w:r w:rsidR="00282322">
        <w:t>A valid</w:t>
      </w:r>
      <w:r w:rsidR="00285127" w:rsidRPr="00E77B48">
        <w:t xml:space="preserve"> summons must </w:t>
      </w:r>
      <w:r w:rsidR="00285127">
        <w:t xml:space="preserve">contain </w:t>
      </w:r>
      <w:r w:rsidR="00AD29D2">
        <w:t>information such as the</w:t>
      </w:r>
      <w:r w:rsidR="00285127" w:rsidRPr="006F4720">
        <w:t xml:space="preserve"> title of the court in which the action is pending</w:t>
      </w:r>
      <w:r w:rsidR="00DD1971">
        <w:t>,</w:t>
      </w:r>
      <w:r w:rsidR="00285127" w:rsidRPr="006F4720">
        <w:t xml:space="preserve"> the names of the parties</w:t>
      </w:r>
      <w:r w:rsidR="00DD1971">
        <w:t>,</w:t>
      </w:r>
      <w:r w:rsidR="00285127" w:rsidRPr="006F4720">
        <w:t xml:space="preserve"> </w:t>
      </w:r>
      <w:r w:rsidR="00285127">
        <w:t>and a direction that the defendant file a written pleading in response to the complaint within 30 days after the summons is served</w:t>
      </w:r>
      <w:r w:rsidR="00285127" w:rsidRPr="006F4720">
        <w:t>.  (§ 412.20</w:t>
      </w:r>
      <w:r w:rsidR="00A331D7">
        <w:t>, subd. (a)</w:t>
      </w:r>
      <w:r w:rsidR="00285127" w:rsidRPr="006F4720">
        <w:t xml:space="preserve">.)  In </w:t>
      </w:r>
      <w:r w:rsidR="00285127">
        <w:t xml:space="preserve">the </w:t>
      </w:r>
      <w:r w:rsidR="00282322">
        <w:t>distinctive</w:t>
      </w:r>
      <w:r w:rsidR="00285127">
        <w:t xml:space="preserve"> context of </w:t>
      </w:r>
      <w:r w:rsidR="00285127" w:rsidRPr="006F4720">
        <w:t xml:space="preserve">unlawful detainer, the summons must </w:t>
      </w:r>
      <w:r w:rsidR="00285127">
        <w:t xml:space="preserve">also </w:t>
      </w:r>
      <w:r w:rsidR="00285127" w:rsidRPr="006F4720">
        <w:t>adhere to section</w:t>
      </w:r>
      <w:r w:rsidR="00285127">
        <w:t xml:space="preserve"> 1167</w:t>
      </w:r>
      <w:r w:rsidR="00285127" w:rsidRPr="006F4720">
        <w:t xml:space="preserve">, </w:t>
      </w:r>
      <w:r w:rsidR="00285127">
        <w:t xml:space="preserve">which </w:t>
      </w:r>
      <w:r w:rsidR="00AD29D2">
        <w:t>subjects defendants to a drastically</w:t>
      </w:r>
      <w:r w:rsidR="004B77FC">
        <w:t xml:space="preserve"> </w:t>
      </w:r>
      <w:r w:rsidR="00AD29D2">
        <w:t xml:space="preserve">abbreviated, </w:t>
      </w:r>
      <w:r w:rsidR="00953421">
        <w:t>five-</w:t>
      </w:r>
      <w:r w:rsidR="00AD29D2">
        <w:t xml:space="preserve">day </w:t>
      </w:r>
      <w:r w:rsidR="00DB4C06">
        <w:t xml:space="preserve">response </w:t>
      </w:r>
      <w:r w:rsidR="00AD29D2">
        <w:t>time</w:t>
      </w:r>
      <w:r w:rsidR="00285127" w:rsidRPr="006F4720">
        <w:t xml:space="preserve">.  (§ 1167, subd. (a).)  </w:t>
      </w:r>
    </w:p>
    <w:p w14:paraId="55D4C430" w14:textId="66FDCED0" w:rsidR="00710AEF" w:rsidRDefault="00700EC6" w:rsidP="006F4720">
      <w:pPr>
        <w:tabs>
          <w:tab w:val="left" w:pos="720"/>
        </w:tabs>
      </w:pPr>
      <w:r w:rsidRPr="006F4720">
        <w:tab/>
      </w:r>
      <w:r w:rsidR="007C556D">
        <w:t>Animating this dispute is t</w:t>
      </w:r>
      <w:r w:rsidR="00EF453A">
        <w:t xml:space="preserve">he </w:t>
      </w:r>
      <w:r w:rsidR="00B415DC">
        <w:t>possibility that a motion to quash can interfere with the</w:t>
      </w:r>
      <w:r w:rsidR="00EF453A">
        <w:t xml:space="preserve"> speedy adjudication of an unlawful detainer</w:t>
      </w:r>
      <w:r w:rsidR="00283766">
        <w:t xml:space="preserve"> </w:t>
      </w:r>
      <w:r w:rsidR="00F5203F">
        <w:t>claim</w:t>
      </w:r>
      <w:r w:rsidR="00283766">
        <w:t>.</w:t>
      </w:r>
      <w:r w:rsidR="00541835">
        <w:t xml:space="preserve">  </w:t>
      </w:r>
      <w:r w:rsidR="00203B98">
        <w:t xml:space="preserve">Using such a motion, </w:t>
      </w:r>
      <w:r w:rsidR="00203B98" w:rsidRPr="006F4720">
        <w:t xml:space="preserve">a defendant </w:t>
      </w:r>
      <w:r w:rsidR="00203B98">
        <w:t>makes</w:t>
      </w:r>
      <w:r w:rsidR="00203B98" w:rsidRPr="006F4720">
        <w:t xml:space="preserve"> a special appearance </w:t>
      </w:r>
      <w:r w:rsidR="00203B98">
        <w:t>for the narrow purpose of contesting personal jurisdiction where the summons is defective.  (</w:t>
      </w:r>
      <w:r w:rsidR="00203B98">
        <w:rPr>
          <w:i/>
          <w:iCs/>
        </w:rPr>
        <w:t>Greene v. Municipal Court</w:t>
      </w:r>
      <w:r w:rsidR="00203B98">
        <w:t xml:space="preserve"> (1975) 51 Cal.App.3d 446, 451 (</w:t>
      </w:r>
      <w:r w:rsidR="00203B98">
        <w:rPr>
          <w:i/>
          <w:iCs/>
        </w:rPr>
        <w:t>Greene</w:t>
      </w:r>
      <w:r w:rsidR="00203B98">
        <w:t xml:space="preserve">); </w:t>
      </w:r>
      <w:r w:rsidR="00203B98" w:rsidRPr="006F4720">
        <w:t>2 Witkin, Cal. Procedure (5th ed. 2020) Jurisdiction</w:t>
      </w:r>
      <w:r w:rsidR="00203B98">
        <w:t>,</w:t>
      </w:r>
      <w:r w:rsidR="00203B98" w:rsidRPr="006F4720">
        <w:t xml:space="preserve"> § 217</w:t>
      </w:r>
      <w:r w:rsidR="00203B98">
        <w:t xml:space="preserve">.)  </w:t>
      </w:r>
      <w:r w:rsidR="004625FC">
        <w:t xml:space="preserve">A plaintiff who files a claim for unlawful detainer has the substantial benefit of an expedited timeframe for the defendant’s response.  For the defendant, a motion to quash offers </w:t>
      </w:r>
      <w:r w:rsidR="00D53955">
        <w:t>a potential</w:t>
      </w:r>
      <w:r w:rsidR="004625FC">
        <w:t xml:space="preserve"> reprieve from this expedited procedure.  </w:t>
      </w:r>
      <w:r w:rsidR="004625FC" w:rsidRPr="00DE4168">
        <w:t xml:space="preserve">Pursuant to section 418.10, </w:t>
      </w:r>
      <w:r w:rsidR="00AB0A37" w:rsidRPr="00DE4168">
        <w:t xml:space="preserve">filing a motion to quash extends the defendant’s time to respond </w:t>
      </w:r>
      <w:r w:rsidR="009B1DA9" w:rsidRPr="00DE4168">
        <w:t>to the complaint</w:t>
      </w:r>
      <w:r w:rsidR="00DE4168">
        <w:t>.</w:t>
      </w:r>
      <w:r w:rsidR="00AB0A37" w:rsidRPr="00DE4168">
        <w:t xml:space="preserve">  (§ 418.10, subd. (b).)</w:t>
      </w:r>
      <w:r w:rsidR="00AB0A37">
        <w:t xml:space="preserve">  </w:t>
      </w:r>
      <w:r w:rsidR="00C549B3">
        <w:t>A</w:t>
      </w:r>
      <w:r w:rsidR="000F505A">
        <w:t>nd a</w:t>
      </w:r>
      <w:r w:rsidR="00C549B3">
        <w:t xml:space="preserve"> motion to quash offers defendants procedural advantages a demurrer or an appeal of an unlawful detainer judgment cannot.</w:t>
      </w:r>
      <w:r w:rsidR="00C549B3" w:rsidRPr="006F4720">
        <w:t xml:space="preserve"> </w:t>
      </w:r>
      <w:r w:rsidR="00C549B3">
        <w:t xml:space="preserve"> Writ review is generally unavailable to challenge a trial court’s decision denying a demurrer.</w:t>
      </w:r>
      <w:r w:rsidR="00C549B3" w:rsidRPr="006F4720">
        <w:t xml:space="preserve"> </w:t>
      </w:r>
      <w:r w:rsidR="00C549B3">
        <w:t xml:space="preserve"> </w:t>
      </w:r>
      <w:r w:rsidR="00C549B3" w:rsidRPr="006076E7">
        <w:t xml:space="preserve">(§§ 1086, 1103; </w:t>
      </w:r>
      <w:r w:rsidR="00C549B3" w:rsidRPr="006076E7">
        <w:rPr>
          <w:i/>
        </w:rPr>
        <w:t>San Diego Gas &amp; Electric Co. v. Superior Court</w:t>
      </w:r>
      <w:r w:rsidR="00C549B3" w:rsidRPr="006076E7">
        <w:t xml:space="preserve"> (1996) 13 Cal.4th 893, 912–913 &amp; fn. 17.) </w:t>
      </w:r>
      <w:r w:rsidR="00C549B3" w:rsidRPr="006F4720">
        <w:t xml:space="preserve"> </w:t>
      </w:r>
      <w:r w:rsidR="00C549B3">
        <w:t>But</w:t>
      </w:r>
      <w:r w:rsidR="00AB0A37">
        <w:t xml:space="preserve"> </w:t>
      </w:r>
      <w:r w:rsidR="004625FC">
        <w:t xml:space="preserve">when a trial court denies a motion to quash service of summons, a defendant can file a petition for writ of mandate in the reviewing court, which </w:t>
      </w:r>
      <w:r w:rsidR="008145A6">
        <w:t xml:space="preserve">effectively stays the action and </w:t>
      </w:r>
      <w:r w:rsidR="004625FC">
        <w:t xml:space="preserve">extends the </w:t>
      </w:r>
      <w:r w:rsidR="005E2741">
        <w:t xml:space="preserve">defendant’s </w:t>
      </w:r>
      <w:r w:rsidR="004625FC">
        <w:t>time to respond until after the reviewing court rules on the petition</w:t>
      </w:r>
      <w:r w:rsidR="00DC4EAC">
        <w:t>, thereby granting the defendant additional time to remain in their residence</w:t>
      </w:r>
      <w:r w:rsidR="004625FC">
        <w:t>.  (§ 418.10, subd. (c)</w:t>
      </w:r>
      <w:r w:rsidR="00857710">
        <w:t xml:space="preserve">; </w:t>
      </w:r>
      <w:r w:rsidR="00857710" w:rsidRPr="006F4720">
        <w:rPr>
          <w:i/>
        </w:rPr>
        <w:t xml:space="preserve">Butenschoen v. Flaker </w:t>
      </w:r>
      <w:r w:rsidR="00857710" w:rsidRPr="006F4720">
        <w:t>(2017) 16 Cal.App.5th Supp. 10, 14</w:t>
      </w:r>
      <w:r w:rsidR="004625FC">
        <w:t xml:space="preserve">.)  </w:t>
      </w:r>
      <w:r w:rsidR="006C60D9">
        <w:t xml:space="preserve">A defendant </w:t>
      </w:r>
      <w:r w:rsidR="00B415DC">
        <w:t>appealing</w:t>
      </w:r>
      <w:r w:rsidR="006C60D9">
        <w:t xml:space="preserve"> an unlawful detainer judgment is not automatically entitled to a stay of proceedings.  (§ 1176, subd. (a).)  If the court grants the stay, the defendant must also pay the monthly rental value to the court as a condition of issuing the stay.  (</w:t>
      </w:r>
      <w:r w:rsidR="006C60D9">
        <w:rPr>
          <w:i/>
          <w:iCs/>
        </w:rPr>
        <w:t>Ibid</w:t>
      </w:r>
      <w:r w:rsidR="006C60D9">
        <w:t xml:space="preserve">.)  In this way, a motion to quash — and the subsequent writ review of its denial — </w:t>
      </w:r>
      <w:r w:rsidR="00A12A87">
        <w:t xml:space="preserve">offers an </w:t>
      </w:r>
      <w:r w:rsidR="001A32BF">
        <w:t>appealing</w:t>
      </w:r>
      <w:r w:rsidR="00A12A87">
        <w:t xml:space="preserve"> alternative procedure </w:t>
      </w:r>
      <w:r w:rsidR="002E4E25">
        <w:t xml:space="preserve">for </w:t>
      </w:r>
      <w:r w:rsidR="00A12A87">
        <w:t xml:space="preserve">defendants concerned </w:t>
      </w:r>
      <w:r w:rsidR="00654025">
        <w:t xml:space="preserve">that </w:t>
      </w:r>
      <w:r w:rsidR="00A12A87">
        <w:t>their stay request may be denied or</w:t>
      </w:r>
      <w:r w:rsidR="00654025">
        <w:t xml:space="preserve"> that they</w:t>
      </w:r>
      <w:r w:rsidR="00A12A87">
        <w:t xml:space="preserve"> are unable to make monthly payments to the court as a condition of the stay.  </w:t>
      </w:r>
      <w:r w:rsidR="006C60D9">
        <w:t xml:space="preserve"> </w:t>
      </w:r>
    </w:p>
    <w:p w14:paraId="590F1CD0" w14:textId="68B4B1CC" w:rsidR="00AC2213" w:rsidRDefault="00EF453A" w:rsidP="006F4720">
      <w:pPr>
        <w:tabs>
          <w:tab w:val="left" w:pos="720"/>
        </w:tabs>
      </w:pPr>
      <w:r>
        <w:tab/>
      </w:r>
      <w:r w:rsidR="00700EC6" w:rsidRPr="006F4720">
        <w:t xml:space="preserve">What Stancil </w:t>
      </w:r>
      <w:r w:rsidR="009E6C11">
        <w:t xml:space="preserve">contends here </w:t>
      </w:r>
      <w:r w:rsidR="006A08D8">
        <w:t>is that any defect in a complaint renders the unlawful detainer five-day summons invalid</w:t>
      </w:r>
      <w:r w:rsidR="00700EC6" w:rsidRPr="006F4720">
        <w:t xml:space="preserve">.  He urges this court to expand the scope of </w:t>
      </w:r>
      <w:r w:rsidR="006A08D8">
        <w:t>a motion to quash</w:t>
      </w:r>
      <w:r w:rsidR="00700EC6" w:rsidRPr="006F4720">
        <w:t xml:space="preserve"> far beyond its typical application.  But </w:t>
      </w:r>
      <w:r w:rsidR="00966F13" w:rsidRPr="006F4720">
        <w:t>n</w:t>
      </w:r>
      <w:r w:rsidR="00662D3B" w:rsidRPr="006F4720">
        <w:t>either the</w:t>
      </w:r>
      <w:r w:rsidR="00700EC6" w:rsidRPr="006F4720">
        <w:t xml:space="preserve"> statutory language </w:t>
      </w:r>
      <w:r w:rsidR="00662D3B" w:rsidRPr="006F4720">
        <w:t xml:space="preserve">nor any other indicia of section 418.10’s purpose </w:t>
      </w:r>
      <w:r w:rsidR="00700EC6" w:rsidRPr="006F4720">
        <w:t xml:space="preserve">support Stancil’s </w:t>
      </w:r>
      <w:r w:rsidR="007D2125">
        <w:t>broad assertion</w:t>
      </w:r>
      <w:r w:rsidR="00700EC6" w:rsidRPr="006F4720">
        <w:t xml:space="preserve">.  </w:t>
      </w:r>
    </w:p>
    <w:p w14:paraId="743BAF17" w14:textId="69A54880" w:rsidR="00B415DC" w:rsidRDefault="00AC2213" w:rsidP="006F4720">
      <w:pPr>
        <w:tabs>
          <w:tab w:val="left" w:pos="720"/>
        </w:tabs>
      </w:pPr>
      <w:r>
        <w:tab/>
      </w:r>
      <w:r w:rsidR="00B415DC">
        <w:t xml:space="preserve">A </w:t>
      </w:r>
      <w:r w:rsidR="00700EC6" w:rsidRPr="006F4720">
        <w:t xml:space="preserve">defendant may serve and file a motion </w:t>
      </w:r>
      <w:r w:rsidR="008241BC">
        <w:t xml:space="preserve">to quash </w:t>
      </w:r>
      <w:r w:rsidR="00700EC6" w:rsidRPr="006F4720">
        <w:t>only for limited purposes</w:t>
      </w:r>
      <w:r w:rsidR="0000706D">
        <w:t>.  (§ 418.10, subd. (a)(1).)</w:t>
      </w:r>
      <w:r w:rsidR="00700EC6" w:rsidRPr="006F4720">
        <w:t xml:space="preserve"> </w:t>
      </w:r>
      <w:r w:rsidR="00B415DC">
        <w:t xml:space="preserve"> Nothing in the</w:t>
      </w:r>
      <w:r w:rsidR="008B2417">
        <w:t xml:space="preserve"> statutory language </w:t>
      </w:r>
      <w:r w:rsidR="00B415DC">
        <w:t>turns a</w:t>
      </w:r>
      <w:r w:rsidR="00E36E53">
        <w:t xml:space="preserve"> motion to quash </w:t>
      </w:r>
      <w:r w:rsidR="00B415DC">
        <w:t xml:space="preserve">into a handy all-purpose tool for taking on the factual support for particular causes of action or </w:t>
      </w:r>
      <w:r w:rsidR="00CF1A1D">
        <w:t xml:space="preserve">the </w:t>
      </w:r>
      <w:r w:rsidR="00E36E53">
        <w:t xml:space="preserve">merits of a complaint, as Stancil suggests.  </w:t>
      </w:r>
      <w:r w:rsidR="008C5A6A" w:rsidRPr="006F4720">
        <w:t>W</w:t>
      </w:r>
      <w:r w:rsidR="00BF3DAD" w:rsidRPr="006F4720">
        <w:t xml:space="preserve">hy </w:t>
      </w:r>
      <w:r w:rsidR="008C5A6A" w:rsidRPr="006F4720">
        <w:t>exactly</w:t>
      </w:r>
      <w:r w:rsidR="00472E16" w:rsidRPr="006F4720">
        <w:t xml:space="preserve"> </w:t>
      </w:r>
      <w:r w:rsidR="005975B3" w:rsidRPr="006F4720">
        <w:t xml:space="preserve">we should understand section 418.10’s </w:t>
      </w:r>
      <w:r w:rsidR="00B415DC">
        <w:t>language</w:t>
      </w:r>
      <w:r w:rsidR="0018201A">
        <w:t xml:space="preserve"> or </w:t>
      </w:r>
      <w:r w:rsidR="005975B3" w:rsidRPr="006F4720">
        <w:t xml:space="preserve">purpose </w:t>
      </w:r>
      <w:r w:rsidR="00DA7678" w:rsidRPr="006F4720">
        <w:t xml:space="preserve">to encompass </w:t>
      </w:r>
      <w:r w:rsidR="00D02E63">
        <w:t xml:space="preserve">challenges to </w:t>
      </w:r>
      <w:r w:rsidR="00760A31">
        <w:t xml:space="preserve">any </w:t>
      </w:r>
      <w:r w:rsidR="00B415DC">
        <w:t xml:space="preserve">conceivable </w:t>
      </w:r>
      <w:r w:rsidR="00760A31">
        <w:t>defect in a</w:t>
      </w:r>
      <w:r w:rsidR="004C515B">
        <w:t>n unlawful detainer</w:t>
      </w:r>
      <w:r w:rsidR="00760A31">
        <w:t xml:space="preserve"> complaint</w:t>
      </w:r>
      <w:r w:rsidR="00886C8A" w:rsidRPr="006F4720">
        <w:t xml:space="preserve"> is not something Stancil persuasively explains</w:t>
      </w:r>
      <w:r w:rsidR="00700EC6" w:rsidRPr="006F4720">
        <w:t>.</w:t>
      </w:r>
      <w:r w:rsidR="00AB65C5" w:rsidRPr="006F4720">
        <w:t xml:space="preserve">  </w:t>
      </w:r>
    </w:p>
    <w:p w14:paraId="481DA388" w14:textId="4FC44096" w:rsidR="00F16E4B" w:rsidRDefault="00B415DC" w:rsidP="006F4720">
      <w:pPr>
        <w:tabs>
          <w:tab w:val="left" w:pos="720"/>
        </w:tabs>
      </w:pPr>
      <w:r>
        <w:tab/>
      </w:r>
      <w:r w:rsidR="00EB1846" w:rsidRPr="006F4720">
        <w:t>We find no support for</w:t>
      </w:r>
      <w:r w:rsidR="008E0B40" w:rsidRPr="006F4720">
        <w:t xml:space="preserve"> such a construction</w:t>
      </w:r>
      <w:r w:rsidR="00EB1846" w:rsidRPr="006F4720">
        <w:t>.</w:t>
      </w:r>
      <w:r w:rsidR="00CB73F9" w:rsidRPr="006F4720">
        <w:t xml:space="preserve"> </w:t>
      </w:r>
      <w:r w:rsidR="00D3541D">
        <w:t xml:space="preserve"> Before the Legislature enacted the statutory provisions governing </w:t>
      </w:r>
      <w:r w:rsidR="009C3250" w:rsidRPr="006F4720">
        <w:t xml:space="preserve">motions to quash service of summons, litigants had to specially appear and carefully limit their </w:t>
      </w:r>
      <w:r w:rsidR="00D3541D" w:rsidRPr="006F4720">
        <w:t xml:space="preserve">personal jurisdiction </w:t>
      </w:r>
      <w:r w:rsidR="009C3250" w:rsidRPr="006F4720">
        <w:t>challenge</w:t>
      </w:r>
      <w:r w:rsidR="00D3541D">
        <w:t>s</w:t>
      </w:r>
      <w:r w:rsidR="009C3250" w:rsidRPr="006F4720">
        <w:t xml:space="preserve">, or </w:t>
      </w:r>
      <w:r w:rsidR="00D3541D">
        <w:t>risk making a</w:t>
      </w:r>
      <w:r w:rsidR="009C3250" w:rsidRPr="006F4720">
        <w:t xml:space="preserve"> general</w:t>
      </w:r>
      <w:r w:rsidR="00D3541D">
        <w:t xml:space="preserve"> appearance</w:t>
      </w:r>
      <w:r w:rsidR="009C3250" w:rsidRPr="006F4720">
        <w:t xml:space="preserve">.  In 1955, the Legislature enacted </w:t>
      </w:r>
      <w:r w:rsidR="006F152A">
        <w:t xml:space="preserve">former </w:t>
      </w:r>
      <w:r w:rsidR="00472E16" w:rsidRPr="006F4720">
        <w:t>section</w:t>
      </w:r>
      <w:r w:rsidR="009C3250" w:rsidRPr="006F4720">
        <w:t xml:space="preserve"> 416.1 et seq., which established a statutory motion to quash service of summons and provided an automatic extension of time for the moving party to plead pending the final determination of the motion to quash before the trial or appellate court.  (Stats. 1955, </w:t>
      </w:r>
      <w:r w:rsidR="006F152A">
        <w:t xml:space="preserve">ch. 1452, </w:t>
      </w:r>
      <w:r w:rsidR="009C3250" w:rsidRPr="006F4720">
        <w:t>§ 1, p. 2639</w:t>
      </w:r>
      <w:r w:rsidR="00C47C4D" w:rsidRPr="006F4720">
        <w:t xml:space="preserve">; Stats. </w:t>
      </w:r>
      <w:r w:rsidR="008A7EE5" w:rsidRPr="006F4720">
        <w:t>19</w:t>
      </w:r>
      <w:r w:rsidR="008A7EE5">
        <w:t>5</w:t>
      </w:r>
      <w:r w:rsidR="008A7EE5" w:rsidRPr="006F4720">
        <w:t>5</w:t>
      </w:r>
      <w:r w:rsidR="00C47C4D" w:rsidRPr="006F4720">
        <w:t>,</w:t>
      </w:r>
      <w:r w:rsidR="008A7EE5">
        <w:t xml:space="preserve"> ch. 1452,</w:t>
      </w:r>
      <w:r w:rsidR="00C47C4D" w:rsidRPr="006F4720">
        <w:t xml:space="preserve"> </w:t>
      </w:r>
      <w:r w:rsidR="009C3250" w:rsidRPr="006F4720">
        <w:t>§ 3, p. 2640; 2 Witkin, Cal. Procedure</w:t>
      </w:r>
      <w:r w:rsidR="006F152A">
        <w:t xml:space="preserve">, </w:t>
      </w:r>
      <w:r w:rsidR="006F152A">
        <w:rPr>
          <w:i/>
          <w:iCs/>
        </w:rPr>
        <w:t>supra</w:t>
      </w:r>
      <w:r w:rsidR="006F152A">
        <w:t>,</w:t>
      </w:r>
      <w:r w:rsidR="006F152A">
        <w:rPr>
          <w:i/>
          <w:iCs/>
        </w:rPr>
        <w:t xml:space="preserve"> </w:t>
      </w:r>
      <w:r w:rsidR="009C3250" w:rsidRPr="006F4720">
        <w:t>Jurisdiction</w:t>
      </w:r>
      <w:r w:rsidR="009268F2">
        <w:t>,</w:t>
      </w:r>
      <w:r w:rsidR="009C3250" w:rsidRPr="006F4720">
        <w:t xml:space="preserve"> § 217.)  The purpose of this legislative action was to correct inadequacies in the law obstructing litigants from raising jurisdictional objections early in litigation.  (</w:t>
      </w:r>
      <w:r w:rsidR="004B3ECF">
        <w:rPr>
          <w:i/>
          <w:iCs/>
        </w:rPr>
        <w:t xml:space="preserve">McCorkle v. City of Los Angeles </w:t>
      </w:r>
      <w:r w:rsidR="004B3ECF">
        <w:t xml:space="preserve">(1969) 70 Cal.2d 252, 257; </w:t>
      </w:r>
      <w:r w:rsidR="009C3250" w:rsidRPr="006F4720">
        <w:t xml:space="preserve">Note, </w:t>
      </w:r>
      <w:r w:rsidR="009C3250" w:rsidRPr="006F4720">
        <w:rPr>
          <w:i/>
        </w:rPr>
        <w:t>Special Appearance in California </w:t>
      </w:r>
      <w:r w:rsidR="009C3250" w:rsidRPr="006F4720">
        <w:t xml:space="preserve">(1958) 10 Stan. L.Rev. 711, 712.)  </w:t>
      </w:r>
    </w:p>
    <w:p w14:paraId="6D19840D" w14:textId="796DC009" w:rsidR="00C3444D" w:rsidRPr="006F4720" w:rsidRDefault="00F16E4B" w:rsidP="006F4720">
      <w:pPr>
        <w:tabs>
          <w:tab w:val="left" w:pos="720"/>
        </w:tabs>
      </w:pPr>
      <w:r>
        <w:tab/>
      </w:r>
      <w:r w:rsidR="00953421">
        <w:t>T</w:t>
      </w:r>
      <w:r w:rsidR="009C3250" w:rsidRPr="006F4720">
        <w:t xml:space="preserve">he “obvious purpose” of </w:t>
      </w:r>
      <w:r w:rsidR="006F152A">
        <w:t xml:space="preserve">former </w:t>
      </w:r>
      <w:r w:rsidR="009C3250" w:rsidRPr="006F4720">
        <w:t>sections 416.1 to 416.3</w:t>
      </w:r>
      <w:r w:rsidR="00C71884" w:rsidRPr="006F4720">
        <w:t xml:space="preserve"> </w:t>
      </w:r>
      <w:r w:rsidR="00161543">
        <w:t>wa</w:t>
      </w:r>
      <w:r w:rsidR="00161543" w:rsidRPr="006F4720">
        <w:t xml:space="preserve">s </w:t>
      </w:r>
      <w:r w:rsidR="009C3250" w:rsidRPr="006F4720">
        <w:t xml:space="preserve">to permit the </w:t>
      </w:r>
      <w:r w:rsidR="00953421">
        <w:t>defendant</w:t>
      </w:r>
      <w:r w:rsidR="009C3250" w:rsidRPr="006F4720">
        <w:t xml:space="preserve"> to challenge personal jurisdiction without waiving the right to defend on the merits.  (</w:t>
      </w:r>
      <w:r w:rsidR="009C3250" w:rsidRPr="006F4720">
        <w:rPr>
          <w:i/>
        </w:rPr>
        <w:t>Hartford</w:t>
      </w:r>
      <w:r w:rsidR="005848F2">
        <w:rPr>
          <w:i/>
        </w:rPr>
        <w:t xml:space="preserve"> v. Superior Court</w:t>
      </w:r>
      <w:r w:rsidR="005848F2">
        <w:t xml:space="preserve"> (1956) </w:t>
      </w:r>
      <w:r w:rsidR="009C3250" w:rsidRPr="006F4720">
        <w:t xml:space="preserve">47 Cal.2d </w:t>
      </w:r>
      <w:r w:rsidR="005848F2">
        <w:t xml:space="preserve">447, </w:t>
      </w:r>
      <w:r w:rsidR="009C3250" w:rsidRPr="006F4720">
        <w:t xml:space="preserve">452.)  </w:t>
      </w:r>
      <w:r w:rsidR="006F152A">
        <w:t>Former s</w:t>
      </w:r>
      <w:r w:rsidR="009C3250" w:rsidRPr="006F4720">
        <w:t xml:space="preserve">ections 416.1 to 416.3 were repealed in 1969 and their essential provisions </w:t>
      </w:r>
      <w:r w:rsidR="006A6294">
        <w:t xml:space="preserve">were </w:t>
      </w:r>
      <w:r w:rsidR="009C3250" w:rsidRPr="006F4720">
        <w:t xml:space="preserve">transferred to current section 418.10.  (See Stats. 1969, ch. 1610.)  At no point has the statutory procedure to quash service of summons included broad authorization to employ the statute to challenge </w:t>
      </w:r>
      <w:r w:rsidR="003411FF">
        <w:t>defect</w:t>
      </w:r>
      <w:r w:rsidR="0005230C">
        <w:t>s</w:t>
      </w:r>
      <w:r w:rsidR="003411FF">
        <w:t xml:space="preserve"> in the</w:t>
      </w:r>
      <w:r w:rsidR="003411FF" w:rsidRPr="006F4720">
        <w:t xml:space="preserve"> </w:t>
      </w:r>
      <w:r w:rsidR="009C3250" w:rsidRPr="006F4720">
        <w:t>complaint</w:t>
      </w:r>
      <w:r w:rsidR="00161543">
        <w:t xml:space="preserve"> as opposed to the summons</w:t>
      </w:r>
      <w:r w:rsidR="009C3250" w:rsidRPr="006F4720">
        <w:t>.</w:t>
      </w:r>
      <w:r w:rsidR="00DC2640" w:rsidDel="00DC2640">
        <w:t xml:space="preserve"> </w:t>
      </w:r>
      <w:r w:rsidR="00391FC3">
        <w:t xml:space="preserve"> </w:t>
      </w:r>
      <w:r w:rsidR="00D13685" w:rsidRPr="006F4720">
        <w:t xml:space="preserve">Essentially, Stancil contends </w:t>
      </w:r>
      <w:r w:rsidR="00DC7AEA" w:rsidRPr="006F4720">
        <w:t xml:space="preserve">that in </w:t>
      </w:r>
      <w:r w:rsidR="00D13685" w:rsidRPr="006F4720">
        <w:t xml:space="preserve">unlawful </w:t>
      </w:r>
      <w:r w:rsidR="00DC7AEA" w:rsidRPr="006F4720">
        <w:t xml:space="preserve">detainer cases, defendants </w:t>
      </w:r>
      <w:r w:rsidR="00D13685" w:rsidRPr="006F4720">
        <w:t xml:space="preserve">can use a </w:t>
      </w:r>
      <w:r w:rsidR="005D7B83">
        <w:t xml:space="preserve">motion to quash for purposes not authorized by section 418.10’s </w:t>
      </w:r>
      <w:r w:rsidR="00C867D5">
        <w:t xml:space="preserve">language </w:t>
      </w:r>
      <w:r w:rsidR="005D7B83">
        <w:t xml:space="preserve">or purpose.  </w:t>
      </w:r>
      <w:r w:rsidR="00FA572A">
        <w:t xml:space="preserve">We find no support for Stancil’s position under the statutory provisions or doctrine governing motions to quash, so we examine whether </w:t>
      </w:r>
      <w:r w:rsidR="004C29B4" w:rsidRPr="006F4720">
        <w:t>the Unlawful Detainer Act</w:t>
      </w:r>
      <w:r w:rsidR="00FA572A">
        <w:t xml:space="preserve"> justifies Stancil’s rationale</w:t>
      </w:r>
      <w:r w:rsidR="004C29B4" w:rsidRPr="006F4720">
        <w:t xml:space="preserve">. </w:t>
      </w:r>
    </w:p>
    <w:p w14:paraId="68D09368" w14:textId="25C2D545" w:rsidR="00700EC6" w:rsidRPr="006F4720" w:rsidRDefault="00AB65C5" w:rsidP="009855B4">
      <w:pPr>
        <w:tabs>
          <w:tab w:val="left" w:pos="720"/>
          <w:tab w:val="left" w:pos="1440"/>
        </w:tabs>
        <w:jc w:val="center"/>
        <w:rPr>
          <w:b/>
        </w:rPr>
      </w:pPr>
      <w:r w:rsidRPr="006F4720">
        <w:rPr>
          <w:b/>
        </w:rPr>
        <w:t>B.</w:t>
      </w:r>
    </w:p>
    <w:p w14:paraId="67809AAF" w14:textId="62B90601" w:rsidR="0081449F" w:rsidRPr="006F4720" w:rsidRDefault="00700EC6" w:rsidP="006F4720">
      <w:pPr>
        <w:tabs>
          <w:tab w:val="left" w:pos="720"/>
        </w:tabs>
      </w:pPr>
      <w:r w:rsidRPr="006F4720">
        <w:tab/>
      </w:r>
      <w:r w:rsidR="00BF63F2" w:rsidRPr="006F4720">
        <w:t>The</w:t>
      </w:r>
      <w:r w:rsidR="004B49FD" w:rsidRPr="006F4720">
        <w:t xml:space="preserve"> Unlawful Detainer Act </w:t>
      </w:r>
      <w:r w:rsidR="00802BE2" w:rsidRPr="006F4720">
        <w:t>govern</w:t>
      </w:r>
      <w:r w:rsidR="004B49FD" w:rsidRPr="006F4720">
        <w:t>s</w:t>
      </w:r>
      <w:r w:rsidR="00802BE2" w:rsidRPr="006F4720">
        <w:t xml:space="preserve"> </w:t>
      </w:r>
      <w:r w:rsidR="00E60403">
        <w:t>the procedure for</w:t>
      </w:r>
      <w:r w:rsidR="00802BE2" w:rsidRPr="006F4720">
        <w:t xml:space="preserve"> </w:t>
      </w:r>
      <w:r w:rsidR="006008A9">
        <w:t>landlords and tenants</w:t>
      </w:r>
      <w:r w:rsidR="00802BE2" w:rsidRPr="006F4720">
        <w:t xml:space="preserve"> to </w:t>
      </w:r>
      <w:r w:rsidR="00E60403">
        <w:t>resolve disputes about who has the right to possess real property</w:t>
      </w:r>
      <w:r w:rsidR="00802BE2" w:rsidRPr="006F4720">
        <w:t>.  (</w:t>
      </w:r>
      <w:r w:rsidR="00802BE2" w:rsidRPr="006F4720">
        <w:rPr>
          <w:i/>
        </w:rPr>
        <w:t xml:space="preserve">Losornio v. Motta </w:t>
      </w:r>
      <w:r w:rsidR="00802BE2" w:rsidRPr="006F4720">
        <w:t>(1998) 67 Cal.App.4th 110, 11</w:t>
      </w:r>
      <w:r w:rsidR="00E8168F">
        <w:t>3</w:t>
      </w:r>
      <w:r w:rsidR="00E60403">
        <w:t xml:space="preserve">; </w:t>
      </w:r>
      <w:r w:rsidR="008C0F01" w:rsidRPr="006F4720">
        <w:rPr>
          <w:i/>
        </w:rPr>
        <w:t>Dr. Leevil, LLC v. Westlake Health Care Center</w:t>
      </w:r>
      <w:r w:rsidR="008C0F01" w:rsidRPr="006F4720">
        <w:t xml:space="preserve"> (2018) 6 Cal.5th 474, 480.)  </w:t>
      </w:r>
      <w:r w:rsidR="005D2ED8" w:rsidRPr="006F4720">
        <w:t xml:space="preserve">Given the need for </w:t>
      </w:r>
      <w:r w:rsidR="00D00889" w:rsidRPr="006F4720">
        <w:t>quick,</w:t>
      </w:r>
      <w:r w:rsidR="005D2ED8" w:rsidRPr="006F4720">
        <w:t xml:space="preserve"> peaceful resolution</w:t>
      </w:r>
      <w:r w:rsidR="00AA7D95">
        <w:t>s</w:t>
      </w:r>
      <w:r w:rsidR="005D2ED8" w:rsidRPr="006F4720">
        <w:t xml:space="preserve"> of unlawful detainer actions, t</w:t>
      </w:r>
      <w:r w:rsidR="00192833" w:rsidRPr="006F4720">
        <w:t>he statutory procedures must be strictly adhered to, including the stringent requirements for service, notice, and filing deadlines.</w:t>
      </w:r>
      <w:r w:rsidR="0081449F" w:rsidRPr="006F4720">
        <w:rPr>
          <w:rStyle w:val="FootnoteReference"/>
        </w:rPr>
        <w:footnoteReference w:id="3"/>
      </w:r>
      <w:r w:rsidR="00192833" w:rsidRPr="006F4720">
        <w:t xml:space="preserve">  (</w:t>
      </w:r>
      <w:r w:rsidR="00192833" w:rsidRPr="006F4720">
        <w:rPr>
          <w:i/>
        </w:rPr>
        <w:t xml:space="preserve">Larson v. City and County of San Francisco </w:t>
      </w:r>
      <w:r w:rsidR="00192833" w:rsidRPr="006F4720">
        <w:t xml:space="preserve">(2011) 192 Cal.App.4th 1263, 1297; </w:t>
      </w:r>
      <w:r w:rsidR="00756091" w:rsidRPr="006F4720">
        <w:rPr>
          <w:i/>
        </w:rPr>
        <w:t>Kwok v. Bergren</w:t>
      </w:r>
      <w:r w:rsidR="00756091" w:rsidRPr="006F4720">
        <w:t xml:space="preserve"> (1982) 130 Cal.App.3d 596, </w:t>
      </w:r>
      <w:r w:rsidR="00192833" w:rsidRPr="006F4720">
        <w:t>599</w:t>
      </w:r>
      <w:r w:rsidR="009055CA">
        <w:t>–</w:t>
      </w:r>
      <w:r w:rsidR="00192833" w:rsidRPr="006F4720">
        <w:t>600</w:t>
      </w:r>
      <w:r w:rsidR="008209AB">
        <w:t xml:space="preserve"> (</w:t>
      </w:r>
      <w:r w:rsidR="008209AB">
        <w:rPr>
          <w:i/>
          <w:iCs/>
        </w:rPr>
        <w:t>Kwok</w:t>
      </w:r>
      <w:r w:rsidR="008209AB">
        <w:t>)</w:t>
      </w:r>
      <w:r w:rsidR="00192833" w:rsidRPr="006F4720">
        <w:t>.)</w:t>
      </w:r>
      <w:r w:rsidR="00DF66DB">
        <w:t xml:space="preserve">  </w:t>
      </w:r>
      <w:r w:rsidR="002F1FA9">
        <w:t>As particularly relevant here, w</w:t>
      </w:r>
      <w:r w:rsidR="00DF66DB" w:rsidRPr="006F4720">
        <w:t>ithin five days of service of the complaint</w:t>
      </w:r>
      <w:r w:rsidR="00DF66DB">
        <w:t xml:space="preserve"> and summons</w:t>
      </w:r>
      <w:r w:rsidR="00DF66DB" w:rsidRPr="006F4720">
        <w:t>, the defendant must respond to the complaint with an answer, motion to quash service of summons for lack of jurisdiction, motion to stay or dismiss the action for inconvenient forum, motion to dismiss, or demurrer.  (§§ 1167, 1167.3, 1167.4, 418.10, 1170.)</w:t>
      </w:r>
      <w:r w:rsidR="00192833" w:rsidRPr="006F4720">
        <w:t xml:space="preserve">  </w:t>
      </w:r>
    </w:p>
    <w:p w14:paraId="30BCAA05" w14:textId="2D99B2BD" w:rsidR="00AE0464" w:rsidRDefault="00B56DBD" w:rsidP="006F4720">
      <w:pPr>
        <w:tabs>
          <w:tab w:val="left" w:pos="720"/>
        </w:tabs>
      </w:pPr>
      <w:r w:rsidRPr="006F4720">
        <w:tab/>
      </w:r>
      <w:r w:rsidR="00801683" w:rsidRPr="006F4720">
        <w:t>Stancil asserts a motion to quash service of summons</w:t>
      </w:r>
      <w:r w:rsidR="003B5EEC">
        <w:t xml:space="preserve"> is the proper procedure to challenge </w:t>
      </w:r>
      <w:r w:rsidR="00861FC8">
        <w:t xml:space="preserve">personal jurisdiction </w:t>
      </w:r>
      <w:r w:rsidR="00C867D5">
        <w:t>where</w:t>
      </w:r>
      <w:r w:rsidR="00532F56">
        <w:t xml:space="preserve"> </w:t>
      </w:r>
      <w:r w:rsidR="00861FC8">
        <w:t xml:space="preserve">an unlawful detainer complaint contains </w:t>
      </w:r>
      <w:r w:rsidR="003B5EEC">
        <w:t>any</w:t>
      </w:r>
      <w:r w:rsidR="00861FC8">
        <w:t xml:space="preserve"> defect</w:t>
      </w:r>
      <w:r w:rsidR="00532F56">
        <w:t xml:space="preserve"> or its allegations are not true</w:t>
      </w:r>
      <w:r w:rsidR="00801683" w:rsidRPr="006F4720">
        <w:t xml:space="preserve">.  Neither the </w:t>
      </w:r>
      <w:r w:rsidR="00F105BC" w:rsidRPr="006F4720">
        <w:t xml:space="preserve">purpose </w:t>
      </w:r>
      <w:r w:rsidR="00F105BC">
        <w:t xml:space="preserve">nor the </w:t>
      </w:r>
      <w:r w:rsidR="00801683" w:rsidRPr="006F4720">
        <w:t xml:space="preserve">provisions of the Unlawful Detainer Act support Stancil’s </w:t>
      </w:r>
      <w:r w:rsidR="003A598F">
        <w:t xml:space="preserve">broad </w:t>
      </w:r>
      <w:r w:rsidR="00801683" w:rsidRPr="006F4720">
        <w:t>contention.</w:t>
      </w:r>
      <w:r w:rsidR="00D043CF">
        <w:t xml:space="preserve">  </w:t>
      </w:r>
      <w:r w:rsidRPr="006F4720">
        <w:t xml:space="preserve">A </w:t>
      </w:r>
      <w:r w:rsidR="00650B29">
        <w:t>plaintiff</w:t>
      </w:r>
      <w:r w:rsidR="00650B29" w:rsidRPr="006F4720">
        <w:t xml:space="preserve"> </w:t>
      </w:r>
      <w:r w:rsidRPr="006F4720">
        <w:t xml:space="preserve">may file an unlawful detainer complaint </w:t>
      </w:r>
      <w:r w:rsidR="008C121D">
        <w:t>under certain circumstances detailed in section 1161.</w:t>
      </w:r>
      <w:r w:rsidR="00663BDB">
        <w:t xml:space="preserve">  (</w:t>
      </w:r>
      <w:r w:rsidR="00663BDB">
        <w:rPr>
          <w:i/>
          <w:iCs/>
        </w:rPr>
        <w:t>Bawa v. Terhune</w:t>
      </w:r>
      <w:r w:rsidR="00663BDB">
        <w:t xml:space="preserve"> (2019) 33 Cal.App.5th Supp. 1, 5 [“A tenant is guilty of an unlawful detainer and may be properly evicted only when the landlord proves the tenant falls within at least one of the enumerated circumstances” set for</w:t>
      </w:r>
      <w:r w:rsidR="0021259A">
        <w:t>th</w:t>
      </w:r>
      <w:r w:rsidR="00663BDB">
        <w:t xml:space="preserve"> in </w:t>
      </w:r>
      <w:r w:rsidR="0021259A">
        <w:t>§</w:t>
      </w:r>
      <w:r w:rsidR="00663BDB">
        <w:t xml:space="preserve"> 1161].)</w:t>
      </w:r>
      <w:r w:rsidR="0075338C">
        <w:t xml:space="preserve">  Section 1161 specifies </w:t>
      </w:r>
      <w:r w:rsidR="008E3054">
        <w:t>a</w:t>
      </w:r>
      <w:r w:rsidR="008C121D">
        <w:t xml:space="preserve"> tenant of real property is guilty of unlawful detainer </w:t>
      </w:r>
      <w:r w:rsidR="008E3054">
        <w:t xml:space="preserve">only in specific circumstances, </w:t>
      </w:r>
      <w:r w:rsidR="008C121D">
        <w:t>where the tenant:  fails to vacate after their termination as an employee, agent, or licensee (§ 1161, subd. 1</w:t>
      </w:r>
      <w:r w:rsidR="0067260E">
        <w:t xml:space="preserve">; </w:t>
      </w:r>
      <w:r w:rsidR="0067260E">
        <w:rPr>
          <w:i/>
          <w:iCs/>
        </w:rPr>
        <w:t xml:space="preserve">Vargas v. Municipal Court </w:t>
      </w:r>
      <w:r w:rsidR="0067260E">
        <w:t>(1978) 22 Cal.3d 902, 906</w:t>
      </w:r>
      <w:r w:rsidR="009268F2" w:rsidRPr="006076E7">
        <w:t>–</w:t>
      </w:r>
      <w:r w:rsidR="0067260E">
        <w:t>907</w:t>
      </w:r>
      <w:r w:rsidR="008C121D">
        <w:t>); is in default for nonpayment of rent (§ 1161, subd. 2</w:t>
      </w:r>
      <w:r w:rsidR="00C35BF4">
        <w:t xml:space="preserve">; </w:t>
      </w:r>
      <w:r w:rsidR="00C35BF4">
        <w:rPr>
          <w:i/>
          <w:iCs/>
        </w:rPr>
        <w:t>Kruger v. Reyes</w:t>
      </w:r>
      <w:r w:rsidR="00C35BF4">
        <w:t xml:space="preserve"> (2014) 232 Cal.App.4th Supp. 10, 16</w:t>
      </w:r>
      <w:r w:rsidR="008C121D">
        <w:t>); breaches a material term of the lease (§ 1161, subd. 3</w:t>
      </w:r>
      <w:r w:rsidR="0067260E">
        <w:t xml:space="preserve">; </w:t>
      </w:r>
      <w:r w:rsidR="0067260E">
        <w:rPr>
          <w:i/>
          <w:iCs/>
        </w:rPr>
        <w:t xml:space="preserve">Boston LLC v. Juarez </w:t>
      </w:r>
      <w:r w:rsidR="0067260E">
        <w:t>(2016) 245 Cal.App.4th 75, 80)</w:t>
      </w:r>
      <w:r w:rsidR="008C121D">
        <w:t>; commits waste, allows a nuisance on the premises, or uses the premises for an unlawful purpose (§ 1161, subd. 4</w:t>
      </w:r>
      <w:r w:rsidR="00A705BB">
        <w:t xml:space="preserve">; </w:t>
      </w:r>
      <w:r w:rsidR="00A705BB">
        <w:rPr>
          <w:i/>
          <w:iCs/>
        </w:rPr>
        <w:t xml:space="preserve">Freeze v. Brinson </w:t>
      </w:r>
      <w:r w:rsidR="00A705BB">
        <w:t>(1991) 3 Cal.App.4th Supp. 1, 3</w:t>
      </w:r>
      <w:r w:rsidR="009268F2" w:rsidRPr="006076E7">
        <w:t>–</w:t>
      </w:r>
      <w:r w:rsidR="00A705BB">
        <w:t>4)</w:t>
      </w:r>
      <w:r w:rsidR="008C121D">
        <w:t xml:space="preserve">; or fails to deliver possession to the landlord after having given written notice of their intention to terminate (§ 1161, subd. 5).  </w:t>
      </w:r>
      <w:r w:rsidR="0073676A" w:rsidRPr="00F83453">
        <w:t xml:space="preserve">For a complaint </w:t>
      </w:r>
      <w:r w:rsidR="0073676A" w:rsidRPr="0073676A">
        <w:t xml:space="preserve">to sound in </w:t>
      </w:r>
      <w:r w:rsidR="0073676A" w:rsidRPr="00F83453">
        <w:t>unlawful detainer</w:t>
      </w:r>
      <w:r w:rsidR="0073676A" w:rsidRPr="0073676A">
        <w:t xml:space="preserve">, it must allege the tenant is guilty of unlawful detainer </w:t>
      </w:r>
      <w:r w:rsidR="00E60403">
        <w:t>under</w:t>
      </w:r>
      <w:r w:rsidR="0073676A" w:rsidRPr="0073676A">
        <w:t xml:space="preserve"> section </w:t>
      </w:r>
      <w:r w:rsidR="0073676A" w:rsidRPr="00F83453">
        <w:t>1161.</w:t>
      </w:r>
    </w:p>
    <w:p w14:paraId="5C0AE753" w14:textId="7C52DC32" w:rsidR="00C7214F" w:rsidRDefault="00EA1FDF" w:rsidP="006F4720">
      <w:pPr>
        <w:tabs>
          <w:tab w:val="left" w:pos="720"/>
        </w:tabs>
      </w:pPr>
      <w:r>
        <w:tab/>
      </w:r>
      <w:r w:rsidR="00E60403">
        <w:t>The</w:t>
      </w:r>
      <w:r w:rsidR="0004651C">
        <w:t xml:space="preserve"> Unlawful Detainer Act </w:t>
      </w:r>
      <w:r w:rsidR="00E60403">
        <w:t xml:space="preserve">also </w:t>
      </w:r>
      <w:r w:rsidR="0004651C">
        <w:t>sets out pleading requirements specific to unlawful detainer claims.</w:t>
      </w:r>
      <w:r w:rsidR="00ED5E51" w:rsidRPr="006F4720">
        <w:t xml:space="preserve">  </w:t>
      </w:r>
      <w:bookmarkStart w:id="5" w:name="_Hlk53814534"/>
      <w:r w:rsidR="00863055">
        <w:t xml:space="preserve">The complaint must </w:t>
      </w:r>
      <w:r w:rsidR="001B79A0" w:rsidRPr="00B32235">
        <w:t>be verified; set forth the facts on which the plaintiff seeks to recover; describe the real property with reasonable certainty; state the amount of rent in default, if applicable; and specifically state the method of service of notice of termination.  (§ 1166, subd. (a)(1)</w:t>
      </w:r>
      <w:r w:rsidR="009268F2" w:rsidRPr="006076E7">
        <w:t>–</w:t>
      </w:r>
      <w:r w:rsidR="001B79A0" w:rsidRPr="00B32235">
        <w:t>(5).)</w:t>
      </w:r>
      <w:r w:rsidR="00D86968" w:rsidRPr="00D86968">
        <w:rPr>
          <w:rStyle w:val="FootnoteReference"/>
        </w:rPr>
        <w:t xml:space="preserve"> </w:t>
      </w:r>
      <w:r w:rsidR="00D86968" w:rsidRPr="006F4720">
        <w:rPr>
          <w:rStyle w:val="FootnoteReference"/>
        </w:rPr>
        <w:footnoteReference w:id="4"/>
      </w:r>
      <w:r w:rsidR="001B79A0">
        <w:t xml:space="preserve">  </w:t>
      </w:r>
      <w:r w:rsidR="00087381" w:rsidRPr="006F4720">
        <w:t xml:space="preserve">      </w:t>
      </w:r>
      <w:r w:rsidR="0037767C" w:rsidRPr="006F4720">
        <w:t xml:space="preserve">  </w:t>
      </w:r>
      <w:r w:rsidR="0067762F" w:rsidRPr="006F4720">
        <w:tab/>
      </w:r>
    </w:p>
    <w:bookmarkEnd w:id="5"/>
    <w:p w14:paraId="0472ECD6" w14:textId="6AC3E2CA" w:rsidR="00C7214F" w:rsidRPr="006F4720" w:rsidRDefault="00AB1726" w:rsidP="004332D6">
      <w:pPr>
        <w:tabs>
          <w:tab w:val="left" w:pos="720"/>
        </w:tabs>
      </w:pPr>
      <w:r>
        <w:tab/>
        <w:t>No provision of</w:t>
      </w:r>
      <w:r w:rsidR="00B5680B" w:rsidRPr="006F4720">
        <w:t xml:space="preserve"> the Unlawful Detainer Act </w:t>
      </w:r>
      <w:r>
        <w:t xml:space="preserve">expressly </w:t>
      </w:r>
      <w:r w:rsidR="00B5680B" w:rsidRPr="006F4720">
        <w:t>authorize</w:t>
      </w:r>
      <w:r w:rsidR="00C90F59">
        <w:t>s</w:t>
      </w:r>
      <w:r w:rsidR="00B5680B" w:rsidRPr="006F4720">
        <w:t xml:space="preserve"> a defendant to</w:t>
      </w:r>
      <w:r w:rsidR="00E941F9" w:rsidRPr="006F4720">
        <w:t xml:space="preserve"> use a motion to quash to challenge an</w:t>
      </w:r>
      <w:r w:rsidR="005B336F">
        <w:t>y defect contained in an</w:t>
      </w:r>
      <w:r w:rsidR="00E941F9" w:rsidRPr="006F4720">
        <w:t xml:space="preserve"> unlawful detainer complaint</w:t>
      </w:r>
      <w:r w:rsidR="00D86968">
        <w:t>, such as failure to comply with section 1166’s pleading requirements</w:t>
      </w:r>
      <w:r w:rsidR="00E941F9" w:rsidRPr="006F4720">
        <w:t xml:space="preserve">.  </w:t>
      </w:r>
      <w:r w:rsidR="00D26FE4" w:rsidRPr="006F4720">
        <w:t>Even s</w:t>
      </w:r>
      <w:r w:rsidR="00C27114" w:rsidRPr="006F4720">
        <w:t xml:space="preserve">ection 1167.4, which </w:t>
      </w:r>
      <w:r w:rsidR="001D73E9" w:rsidRPr="006F4720">
        <w:t>pertains to motions to quash service of summons, specifies only the time restrictions</w:t>
      </w:r>
      <w:r w:rsidR="0045654D" w:rsidRPr="006F4720">
        <w:t xml:space="preserve"> </w:t>
      </w:r>
      <w:r w:rsidR="001D73E9" w:rsidRPr="006F4720">
        <w:t>for a defendant to make</w:t>
      </w:r>
      <w:r w:rsidR="0045654D" w:rsidRPr="006F4720">
        <w:t>, file, and serve</w:t>
      </w:r>
      <w:r w:rsidR="001D73E9" w:rsidRPr="006F4720">
        <w:t xml:space="preserve"> the motion</w:t>
      </w:r>
      <w:r w:rsidR="0045654D" w:rsidRPr="006F4720">
        <w:t xml:space="preserve">.  This provision expressly references motions as provided for in section 418.10, subdivision (a), </w:t>
      </w:r>
      <w:r w:rsidR="00CE0E54" w:rsidRPr="006F4720">
        <w:t>but</w:t>
      </w:r>
      <w:r w:rsidR="0045654D" w:rsidRPr="006F4720">
        <w:t xml:space="preserve"> does not set forth any alternative </w:t>
      </w:r>
      <w:r w:rsidR="000C6A57" w:rsidRPr="006F4720">
        <w:t xml:space="preserve">grounds </w:t>
      </w:r>
      <w:r w:rsidR="00C35295" w:rsidRPr="006F4720">
        <w:t>on which</w:t>
      </w:r>
      <w:r w:rsidR="000C6A57" w:rsidRPr="006F4720">
        <w:t xml:space="preserve"> a defendant </w:t>
      </w:r>
      <w:r w:rsidR="00C35295" w:rsidRPr="006F4720">
        <w:t xml:space="preserve">may </w:t>
      </w:r>
      <w:r w:rsidR="000C6A57" w:rsidRPr="006F4720">
        <w:t xml:space="preserve">file a motion to </w:t>
      </w:r>
      <w:r w:rsidR="00B97EA0" w:rsidRPr="006F4720">
        <w:t>quash</w:t>
      </w:r>
      <w:r w:rsidR="0075221F">
        <w:t xml:space="preserve"> to challenge any defect in an unlawful detainer complaint</w:t>
      </w:r>
      <w:r w:rsidR="000C6A57" w:rsidRPr="006F4720">
        <w:t>.</w:t>
      </w:r>
      <w:r w:rsidR="00C55FB6" w:rsidRPr="006F4720">
        <w:t xml:space="preserve">  (§ 1167.4.)</w:t>
      </w:r>
      <w:r w:rsidR="004332D6">
        <w:t xml:space="preserve">  </w:t>
      </w:r>
      <w:r w:rsidR="001E42EB" w:rsidRPr="006F4720">
        <w:t>We find no support in the Unlawful Detainer Act</w:t>
      </w:r>
      <w:r w:rsidR="00BC7F27">
        <w:t xml:space="preserve"> for Stancil’s broad assertion that a motion to quash service of summons </w:t>
      </w:r>
      <w:r w:rsidR="00AE437E">
        <w:t xml:space="preserve">affords </w:t>
      </w:r>
      <w:r w:rsidR="007A237C">
        <w:t xml:space="preserve">a </w:t>
      </w:r>
      <w:r w:rsidR="00AE437E">
        <w:t>defendant</w:t>
      </w:r>
      <w:r w:rsidR="00BC7F27">
        <w:t xml:space="preserve"> </w:t>
      </w:r>
      <w:r w:rsidR="00AE437E">
        <w:t>a means through which</w:t>
      </w:r>
      <w:r w:rsidR="00BC7F27">
        <w:t xml:space="preserve"> to challenge any </w:t>
      </w:r>
      <w:r w:rsidR="00AE437E">
        <w:t xml:space="preserve">conceivable </w:t>
      </w:r>
      <w:r w:rsidR="00BC7F27">
        <w:t>defect on the face of an unlawful detainer complaint</w:t>
      </w:r>
      <w:r w:rsidR="00AE437E">
        <w:t xml:space="preserve">, let alone the </w:t>
      </w:r>
      <w:r w:rsidR="00E60403">
        <w:t>veracity</w:t>
      </w:r>
      <w:r w:rsidR="00EF38F4">
        <w:t xml:space="preserve"> </w:t>
      </w:r>
      <w:r w:rsidR="00AE437E">
        <w:t>of the plaintiff’s allegat</w:t>
      </w:r>
      <w:r w:rsidR="006831A7">
        <w:t>i</w:t>
      </w:r>
      <w:r w:rsidR="00AE437E">
        <w:t>ons</w:t>
      </w:r>
      <w:r w:rsidR="001E42EB" w:rsidRPr="006F4720">
        <w:t xml:space="preserve">.  </w:t>
      </w:r>
    </w:p>
    <w:p w14:paraId="2A0BD04E" w14:textId="40F6E5B2" w:rsidR="008604B0" w:rsidRPr="006F4720" w:rsidRDefault="008604B0" w:rsidP="00BE1A74">
      <w:pPr>
        <w:tabs>
          <w:tab w:val="left" w:pos="720"/>
          <w:tab w:val="left" w:pos="1440"/>
        </w:tabs>
        <w:jc w:val="center"/>
        <w:rPr>
          <w:b/>
        </w:rPr>
      </w:pPr>
      <w:r w:rsidRPr="006F4720">
        <w:rPr>
          <w:b/>
        </w:rPr>
        <w:t>C</w:t>
      </w:r>
      <w:r w:rsidR="001D5BAC" w:rsidRPr="006F4720">
        <w:rPr>
          <w:b/>
        </w:rPr>
        <w:t>.</w:t>
      </w:r>
    </w:p>
    <w:p w14:paraId="72BCA05C" w14:textId="12BEA504" w:rsidR="001E4F27" w:rsidRDefault="00FA0E91" w:rsidP="00F251AE">
      <w:pPr>
        <w:tabs>
          <w:tab w:val="left" w:pos="720"/>
          <w:tab w:val="left" w:pos="1440"/>
        </w:tabs>
      </w:pPr>
      <w:r>
        <w:tab/>
      </w:r>
      <w:r w:rsidR="001E4F27" w:rsidRPr="00FA0E91">
        <w:t xml:space="preserve">The unique context of unlawful detainer does not transform a motion to quash to encompass challenges to </w:t>
      </w:r>
      <w:r w:rsidR="001E4F27">
        <w:t xml:space="preserve">the </w:t>
      </w:r>
      <w:r w:rsidR="00205878">
        <w:t xml:space="preserve">merits </w:t>
      </w:r>
      <w:r w:rsidR="001E4F27">
        <w:t xml:space="preserve">of </w:t>
      </w:r>
      <w:r w:rsidR="001E4F27" w:rsidRPr="00FA0E91">
        <w:t xml:space="preserve">a complaint, as Stancil suggests.  Instead, the motion to quash remains a limited procedural tool appropriate where the court lacks personal jurisdiction </w:t>
      </w:r>
      <w:r w:rsidR="001E4F27">
        <w:t xml:space="preserve">because </w:t>
      </w:r>
      <w:r w:rsidR="001E4F27" w:rsidRPr="00FA0E91">
        <w:t xml:space="preserve">the statutory requirements for service of process are not fulfilled </w:t>
      </w:r>
      <w:r w:rsidR="00427136">
        <w:t>or the</w:t>
      </w:r>
      <w:r w:rsidR="001E4F27" w:rsidRPr="00FA0E91">
        <w:t xml:space="preserve"> summons </w:t>
      </w:r>
      <w:r w:rsidR="00427136">
        <w:t xml:space="preserve">is </w:t>
      </w:r>
      <w:r w:rsidR="001E4F27" w:rsidRPr="00FA0E91">
        <w:t xml:space="preserve">defective.  </w:t>
      </w:r>
      <w:r w:rsidRPr="00FA0E91">
        <w:t>(§</w:t>
      </w:r>
      <w:r w:rsidR="00523C64">
        <w:t>§</w:t>
      </w:r>
      <w:r w:rsidRPr="00FA0E91">
        <w:t xml:space="preserve"> 410.50</w:t>
      </w:r>
      <w:r w:rsidR="00523C64">
        <w:t>,</w:t>
      </w:r>
      <w:r w:rsidRPr="00FA0E91">
        <w:t xml:space="preserve"> 412.20; </w:t>
      </w:r>
      <w:r w:rsidRPr="00FA0E91">
        <w:rPr>
          <w:i/>
          <w:iCs/>
        </w:rPr>
        <w:t>Honda Motor Co.</w:t>
      </w:r>
      <w:r w:rsidRPr="00FA0E91">
        <w:t xml:space="preserve">, </w:t>
      </w:r>
      <w:r w:rsidRPr="00FA0E91">
        <w:rPr>
          <w:i/>
          <w:iCs/>
        </w:rPr>
        <w:t>supra</w:t>
      </w:r>
      <w:r w:rsidRPr="00FA0E91">
        <w:t>,</w:t>
      </w:r>
      <w:r w:rsidRPr="00FA0E91">
        <w:rPr>
          <w:i/>
          <w:iCs/>
        </w:rPr>
        <w:t xml:space="preserve"> </w:t>
      </w:r>
      <w:r w:rsidRPr="00FA0E91">
        <w:t>10 Cal.App.4th at p. 1048.)</w:t>
      </w:r>
      <w:r w:rsidR="001E4F27">
        <w:t xml:space="preserve">  </w:t>
      </w:r>
      <w:r w:rsidR="00201103">
        <w:t>A</w:t>
      </w:r>
      <w:r w:rsidR="00AE437E" w:rsidRPr="00FA0E91">
        <w:t xml:space="preserve"> defendant may not use a motion to quash service of summons under section 418.10, subdivision (a)(1) to contest </w:t>
      </w:r>
      <w:r w:rsidR="00AE437E">
        <w:t>any</w:t>
      </w:r>
      <w:r w:rsidR="00BB3EE2">
        <w:t xml:space="preserve"> conceivable</w:t>
      </w:r>
      <w:r w:rsidR="00AE437E">
        <w:t xml:space="preserve"> defect or </w:t>
      </w:r>
      <w:r w:rsidR="00AE437E" w:rsidRPr="00FA0E91">
        <w:t xml:space="preserve">the </w:t>
      </w:r>
      <w:r w:rsidR="00205878">
        <w:t xml:space="preserve">merits of the </w:t>
      </w:r>
      <w:r w:rsidR="00AE437E" w:rsidRPr="00FA0E91">
        <w:t xml:space="preserve">allegations contained in </w:t>
      </w:r>
      <w:r w:rsidR="00AE437E">
        <w:t xml:space="preserve">an </w:t>
      </w:r>
      <w:r w:rsidR="00AE437E" w:rsidRPr="00FA0E91">
        <w:t>unlawful detainer complaint.</w:t>
      </w:r>
      <w:r w:rsidR="00E84138">
        <w:t xml:space="preserve">  </w:t>
      </w:r>
      <w:r w:rsidR="00E60403" w:rsidRPr="009214D0">
        <w:t>A defendant may instead make use of other motions:</w:t>
      </w:r>
      <w:r w:rsidR="00E84138" w:rsidRPr="009214D0">
        <w:t xml:space="preserve"> </w:t>
      </w:r>
      <w:r w:rsidR="009F120F">
        <w:t xml:space="preserve"> </w:t>
      </w:r>
      <w:r w:rsidR="00E84138" w:rsidRPr="009214D0">
        <w:t>a demurrer, motion to strike, or answer.</w:t>
      </w:r>
      <w:r w:rsidR="0078138D" w:rsidRPr="009214D0">
        <w:rPr>
          <w:rStyle w:val="FootnoteReference"/>
        </w:rPr>
        <w:footnoteReference w:id="5"/>
      </w:r>
      <w:r w:rsidR="00E84138">
        <w:t xml:space="preserve">  </w:t>
      </w:r>
      <w:r w:rsidR="001E4F27">
        <w:t xml:space="preserve">Our conclusion is grounded in a sensible reading of the relevant statutes and the case law addressing motions to quash in the unlawful detainer context.  </w:t>
      </w:r>
      <w:r w:rsidRPr="00FA0E91">
        <w:t xml:space="preserve">  </w:t>
      </w:r>
    </w:p>
    <w:p w14:paraId="2AC26E94" w14:textId="0DC007DE" w:rsidR="00686DF4" w:rsidRDefault="001E4F27" w:rsidP="0039165E">
      <w:pPr>
        <w:tabs>
          <w:tab w:val="left" w:pos="720"/>
          <w:tab w:val="left" w:pos="1440"/>
        </w:tabs>
      </w:pPr>
      <w:r>
        <w:tab/>
      </w:r>
      <w:r w:rsidR="001F75D0">
        <w:t xml:space="preserve">What we </w:t>
      </w:r>
      <w:r w:rsidR="0019439F">
        <w:t xml:space="preserve">also </w:t>
      </w:r>
      <w:r w:rsidR="001F75D0">
        <w:t>conclude is that a defendant may file a</w:t>
      </w:r>
      <w:r>
        <w:t xml:space="preserve"> motion to quash under section 418.10, subdivision (a)(1) </w:t>
      </w:r>
      <w:r w:rsidR="00520B5E">
        <w:t xml:space="preserve">for lack of personal jurisdiction where the unlawful detainer five-day summons is </w:t>
      </w:r>
      <w:r w:rsidR="00144816">
        <w:t xml:space="preserve">defective because it is </w:t>
      </w:r>
      <w:r w:rsidR="00520B5E">
        <w:t>not supported by the accompanying complaint.</w:t>
      </w:r>
      <w:r w:rsidR="008D0E71">
        <w:t xml:space="preserve">  P</w:t>
      </w:r>
      <w:r w:rsidRPr="00182429">
        <w:t>ersonal jurisdiction is conferred only where the statutory requirements for service of process are fulfilled</w:t>
      </w:r>
      <w:r w:rsidR="000C3EA2" w:rsidRPr="006B3402">
        <w:t>,</w:t>
      </w:r>
      <w:r w:rsidR="008D0E71">
        <w:t xml:space="preserve"> so</w:t>
      </w:r>
      <w:r w:rsidR="000C3EA2" w:rsidRPr="006B3402">
        <w:t xml:space="preserve"> an unlawful detainer defendant may use a motion to quash a defective summons</w:t>
      </w:r>
      <w:r w:rsidRPr="00182429">
        <w:t>.  (</w:t>
      </w:r>
      <w:r w:rsidR="008C016E" w:rsidRPr="006B3402">
        <w:t xml:space="preserve">See </w:t>
      </w:r>
      <w:r w:rsidRPr="00182429">
        <w:rPr>
          <w:i/>
          <w:iCs/>
        </w:rPr>
        <w:t>MJS Enterprises</w:t>
      </w:r>
      <w:r w:rsidR="00D318B8" w:rsidRPr="00182429">
        <w:rPr>
          <w:i/>
          <w:iCs/>
        </w:rPr>
        <w:t>,</w:t>
      </w:r>
      <w:r w:rsidRPr="00182429">
        <w:rPr>
          <w:i/>
          <w:iCs/>
        </w:rPr>
        <w:t xml:space="preserve"> Inc. v. Superior Court</w:t>
      </w:r>
      <w:r w:rsidRPr="00182429">
        <w:t xml:space="preserve"> (1984) 153 Cal.App.3d 555, 557 [explaining that “[s]ervice of a substantially defective summons does not confer jurisdiction over a party”].)</w:t>
      </w:r>
      <w:r w:rsidR="003C755A">
        <w:t xml:space="preserve">  </w:t>
      </w:r>
      <w:r w:rsidR="0039165E">
        <w:t xml:space="preserve">Valid </w:t>
      </w:r>
      <w:r w:rsidR="00583EC2">
        <w:t>service of process in an unlawful detainer case</w:t>
      </w:r>
      <w:r w:rsidR="0039165E">
        <w:t xml:space="preserve"> requires that </w:t>
      </w:r>
      <w:r w:rsidR="00583EC2">
        <w:t>t</w:t>
      </w:r>
      <w:r w:rsidR="003C755A">
        <w:t xml:space="preserve">he </w:t>
      </w:r>
      <w:r w:rsidR="00583EC2">
        <w:t xml:space="preserve">plaintiff serve </w:t>
      </w:r>
      <w:r w:rsidR="00F7140A">
        <w:t>on</w:t>
      </w:r>
      <w:r w:rsidR="00583EC2">
        <w:t xml:space="preserve"> the defendant the </w:t>
      </w:r>
      <w:r w:rsidR="003C755A">
        <w:t xml:space="preserve">five-day summons unique to unlawful detainer cases </w:t>
      </w:r>
      <w:r w:rsidR="00583EC2">
        <w:t xml:space="preserve">alongside </w:t>
      </w:r>
      <w:r w:rsidR="003C755A">
        <w:t xml:space="preserve">a complaint </w:t>
      </w:r>
      <w:r w:rsidR="002C3A58">
        <w:t xml:space="preserve">that pleads a claim </w:t>
      </w:r>
      <w:r w:rsidR="003C755A">
        <w:t>for unlawful detainer</w:t>
      </w:r>
      <w:r w:rsidR="00A0127B">
        <w:t xml:space="preserve"> </w:t>
      </w:r>
      <w:r w:rsidR="002C3A58">
        <w:t>as defined in</w:t>
      </w:r>
      <w:r w:rsidR="00A0127B">
        <w:t xml:space="preserve"> section 1161</w:t>
      </w:r>
      <w:r w:rsidR="003C755A">
        <w:t>.</w:t>
      </w:r>
      <w:r w:rsidR="00AB6F92">
        <w:t xml:space="preserve">  </w:t>
      </w:r>
      <w:r w:rsidR="00A0127B">
        <w:t>No unlawful detainer</w:t>
      </w:r>
      <w:r w:rsidR="00AB6F92">
        <w:t xml:space="preserve"> </w:t>
      </w:r>
      <w:r w:rsidR="00A0127B">
        <w:t xml:space="preserve">summons </w:t>
      </w:r>
      <w:r w:rsidR="00521B72">
        <w:t>—</w:t>
      </w:r>
      <w:r w:rsidR="00A0127B">
        <w:t> and no</w:t>
      </w:r>
      <w:r w:rsidR="00B30B63">
        <w:t xml:space="preserve"> </w:t>
      </w:r>
      <w:r w:rsidR="00A0127B">
        <w:t>five</w:t>
      </w:r>
      <w:r w:rsidR="00B30B63">
        <w:t>-</w:t>
      </w:r>
      <w:r w:rsidR="00A0127B">
        <w:t xml:space="preserve">day response timeline </w:t>
      </w:r>
      <w:r w:rsidR="00521B72">
        <w:t>—</w:t>
      </w:r>
      <w:r w:rsidR="00A0127B">
        <w:t xml:space="preserve"> is possible if it’s supported by a complaint</w:t>
      </w:r>
      <w:r w:rsidR="00AB6F92">
        <w:t xml:space="preserve"> </w:t>
      </w:r>
      <w:r w:rsidR="00A0127B">
        <w:t>that</w:t>
      </w:r>
      <w:r w:rsidR="0019439F">
        <w:t>, for example,</w:t>
      </w:r>
      <w:r w:rsidR="00A0127B">
        <w:t xml:space="preserve"> only alleges</w:t>
      </w:r>
      <w:r w:rsidR="00AB6F92">
        <w:t xml:space="preserve"> a completely different cause of actio</w:t>
      </w:r>
      <w:r w:rsidR="00A0127B">
        <w:t xml:space="preserve">n, such as </w:t>
      </w:r>
      <w:r w:rsidR="00AB6F92">
        <w:t>a contract or tort claim</w:t>
      </w:r>
      <w:r w:rsidR="0019439F">
        <w:t xml:space="preserve"> rather than an unlawful detainer claim</w:t>
      </w:r>
      <w:r w:rsidR="00AB6F92">
        <w:t xml:space="preserve">. </w:t>
      </w:r>
      <w:r w:rsidR="00285ED0">
        <w:t xml:space="preserve"> </w:t>
      </w:r>
    </w:p>
    <w:p w14:paraId="322056C0" w14:textId="5491C747" w:rsidR="00FA0E91" w:rsidRDefault="00686DF4" w:rsidP="00DF6D59">
      <w:pPr>
        <w:tabs>
          <w:tab w:val="left" w:pos="720"/>
        </w:tabs>
      </w:pPr>
      <w:r>
        <w:tab/>
      </w:r>
      <w:r w:rsidR="005678A1" w:rsidRPr="00FA0E91">
        <w:t>Th</w:t>
      </w:r>
      <w:r>
        <w:t>e</w:t>
      </w:r>
      <w:r w:rsidR="005678A1" w:rsidRPr="00FA0E91">
        <w:t xml:space="preserve"> abbreviated </w:t>
      </w:r>
      <w:r>
        <w:t xml:space="preserve">five-day </w:t>
      </w:r>
      <w:r w:rsidR="005678A1" w:rsidRPr="00FA0E91">
        <w:t xml:space="preserve">summons period </w:t>
      </w:r>
      <w:r w:rsidR="00A0127B">
        <w:t xml:space="preserve">obviously </w:t>
      </w:r>
      <w:r w:rsidR="005678A1" w:rsidRPr="00FA0E91">
        <w:t xml:space="preserve">provides a great benefit to the unlawful detainer plaintiff.  But </w:t>
      </w:r>
      <w:r w:rsidR="00AE437E">
        <w:t>the statute conferring that benefit also constrains.  A</w:t>
      </w:r>
      <w:r w:rsidR="005678A1" w:rsidRPr="00FA0E91">
        <w:t xml:space="preserve"> plaintiff who </w:t>
      </w:r>
      <w:r w:rsidR="000756D9">
        <w:t>does not assert</w:t>
      </w:r>
      <w:r w:rsidR="000756D9" w:rsidRPr="00FA0E91">
        <w:t xml:space="preserve"> </w:t>
      </w:r>
      <w:r w:rsidR="005678A1" w:rsidRPr="00FA0E91">
        <w:t xml:space="preserve">an unlawful detainer </w:t>
      </w:r>
      <w:r w:rsidR="000756D9">
        <w:t xml:space="preserve">action </w:t>
      </w:r>
      <w:r w:rsidR="005678A1">
        <w:t xml:space="preserve">in </w:t>
      </w:r>
      <w:r w:rsidR="00BF72FE">
        <w:t>accordance with the requirements of</w:t>
      </w:r>
      <w:r w:rsidR="005678A1" w:rsidRPr="00FA0E91">
        <w:t xml:space="preserve"> </w:t>
      </w:r>
      <w:r w:rsidR="00801651">
        <w:t xml:space="preserve">section </w:t>
      </w:r>
      <w:r w:rsidR="005678A1" w:rsidRPr="00FA0E91">
        <w:t>1161</w:t>
      </w:r>
      <w:r w:rsidR="00BF72FE">
        <w:t xml:space="preserve"> </w:t>
      </w:r>
      <w:r w:rsidR="005678A1" w:rsidRPr="00FA0E91">
        <w:t>may not take advantage of the accelerated summons period exclusive to unlawful detainer</w:t>
      </w:r>
      <w:r w:rsidR="00752026">
        <w:t xml:space="preserve"> claims</w:t>
      </w:r>
      <w:r w:rsidR="005678A1" w:rsidRPr="00FA0E91">
        <w:t>. </w:t>
      </w:r>
      <w:r w:rsidR="00C35BF4">
        <w:t xml:space="preserve"> </w:t>
      </w:r>
      <w:r w:rsidR="00752026">
        <w:t xml:space="preserve">(See </w:t>
      </w:r>
      <w:r w:rsidR="00752026">
        <w:rPr>
          <w:i/>
          <w:iCs/>
        </w:rPr>
        <w:t>Greene</w:t>
      </w:r>
      <w:r w:rsidR="00801651">
        <w:t xml:space="preserve">, </w:t>
      </w:r>
      <w:r w:rsidR="00752026">
        <w:rPr>
          <w:i/>
          <w:iCs/>
        </w:rPr>
        <w:t>supra</w:t>
      </w:r>
      <w:r w:rsidR="00801651">
        <w:t xml:space="preserve">, </w:t>
      </w:r>
      <w:r w:rsidR="00AF6E06">
        <w:t>51 Cal.App.3d 446, 451</w:t>
      </w:r>
      <w:r w:rsidR="0008662C">
        <w:t>–</w:t>
      </w:r>
      <w:r w:rsidR="00AF6E06">
        <w:t>452 [</w:t>
      </w:r>
      <w:r w:rsidR="00BD7764">
        <w:t xml:space="preserve">explaining the unlawful detainer five-day summons was inappropriate in that case “because the complaint, if it states a cause of action at all, states it on a theory other than unlawful detainer”].) </w:t>
      </w:r>
      <w:r w:rsidR="00801651">
        <w:t xml:space="preserve"> </w:t>
      </w:r>
      <w:r w:rsidR="001E4F27">
        <w:t>An unlawful detainer action “</w:t>
      </w:r>
      <w:r w:rsidR="00D318B8">
        <w:t xml:space="preserve"> ‘</w:t>
      </w:r>
      <w:r w:rsidR="001E4F27">
        <w:t>is a statutory proceeding and is governed solely by the provisions of the statute creating it</w:t>
      </w:r>
      <w:r w:rsidR="00D318B8">
        <w:t xml:space="preserve">’ </w:t>
      </w:r>
      <w:r w:rsidR="001E4F27">
        <w:t>” so a plaintiff’s action to recover possession of real property is only an action for unlawful detainer where the plaintiff strictly follows the statutory requirements.  (</w:t>
      </w:r>
      <w:r w:rsidR="001E4F27">
        <w:rPr>
          <w:i/>
          <w:iCs/>
        </w:rPr>
        <w:t>Kwok</w:t>
      </w:r>
      <w:r w:rsidR="004969B7">
        <w:t xml:space="preserve">, </w:t>
      </w:r>
      <w:r w:rsidR="004969B7">
        <w:rPr>
          <w:i/>
          <w:iCs/>
        </w:rPr>
        <w:t>supra</w:t>
      </w:r>
      <w:r w:rsidR="004969B7">
        <w:t>,</w:t>
      </w:r>
      <w:r w:rsidR="004969B7">
        <w:rPr>
          <w:i/>
          <w:iCs/>
        </w:rPr>
        <w:t xml:space="preserve"> </w:t>
      </w:r>
      <w:r w:rsidR="001E4F27" w:rsidRPr="00B565C1">
        <w:t xml:space="preserve">130 Cal.App.3d </w:t>
      </w:r>
      <w:r w:rsidR="004969B7">
        <w:t>at p.</w:t>
      </w:r>
      <w:r w:rsidR="001E4F27" w:rsidRPr="00B565C1">
        <w:t xml:space="preserve"> 600.)</w:t>
      </w:r>
      <w:r w:rsidR="00F31AFC">
        <w:t xml:space="preserve">  </w:t>
      </w:r>
      <w:r w:rsidR="00AE437E">
        <w:t>Where a</w:t>
      </w:r>
      <w:r w:rsidR="00FA0E91" w:rsidRPr="00FA0E91">
        <w:t xml:space="preserve"> complaint </w:t>
      </w:r>
      <w:r w:rsidR="00AE437E">
        <w:t xml:space="preserve">lacks </w:t>
      </w:r>
      <w:r w:rsidR="00AE437E" w:rsidRPr="00DF6D59">
        <w:t xml:space="preserve">even </w:t>
      </w:r>
      <w:r w:rsidR="000155E2">
        <w:t xml:space="preserve">the </w:t>
      </w:r>
      <w:r w:rsidR="00FA0E91" w:rsidRPr="00DF6D59">
        <w:t xml:space="preserve">allegations </w:t>
      </w:r>
      <w:r w:rsidR="00414910">
        <w:t xml:space="preserve">minimally necessary </w:t>
      </w:r>
      <w:r w:rsidR="000155E2">
        <w:t>to</w:t>
      </w:r>
      <w:r w:rsidR="00A0127B" w:rsidRPr="000E499B">
        <w:t xml:space="preserve"> </w:t>
      </w:r>
      <w:r w:rsidR="00FA0E91" w:rsidRPr="00DF6D59">
        <w:t>meet the requirements for unlawful detainer claims</w:t>
      </w:r>
      <w:r w:rsidR="00DF6D59">
        <w:t xml:space="preserve"> under section 1161</w:t>
      </w:r>
      <w:r w:rsidR="00AE437E" w:rsidRPr="00DF6D59">
        <w:t>, the complaint</w:t>
      </w:r>
      <w:r w:rsidR="00FA0E91" w:rsidRPr="00DF6D59">
        <w:t xml:space="preserve"> cannot support the five-day summons unique to unlawful detainer actions.</w:t>
      </w:r>
      <w:r w:rsidR="00FA0E91" w:rsidRPr="00FA0E91">
        <w:t xml:space="preserve">  </w:t>
      </w:r>
      <w:r w:rsidR="0073651C">
        <w:t>Because the use of the</w:t>
      </w:r>
      <w:r w:rsidR="0033466A">
        <w:t xml:space="preserve"> unlawful detainer</w:t>
      </w:r>
      <w:r w:rsidR="0073651C">
        <w:t xml:space="preserve"> five-day summons would then be unauthorized, such summons, even if properly served, would not confer personal jurisdiction.  </w:t>
      </w:r>
      <w:r w:rsidR="00FA0E91" w:rsidRPr="00FA0E91">
        <w:t xml:space="preserve">In these circumstances, the defendant may </w:t>
      </w:r>
      <w:r w:rsidR="0090569C">
        <w:t xml:space="preserve">decide to </w:t>
      </w:r>
      <w:r w:rsidR="00FA0E91" w:rsidRPr="00FA0E91">
        <w:t xml:space="preserve">use a motion to quash for lack of personal jurisdiction to challenge the </w:t>
      </w:r>
      <w:r w:rsidR="005B0785">
        <w:t xml:space="preserve">unlawful detainer </w:t>
      </w:r>
      <w:r w:rsidR="00BD1B2F">
        <w:t>five</w:t>
      </w:r>
      <w:r w:rsidR="00FA0E91" w:rsidRPr="00FA0E91">
        <w:t>-day summons as improper</w:t>
      </w:r>
      <w:r w:rsidR="00BD1B2F" w:rsidRPr="00BD1B2F">
        <w:t xml:space="preserve"> </w:t>
      </w:r>
      <w:r w:rsidR="00BD1B2F">
        <w:t xml:space="preserve">because it was served alongside a complaint that </w:t>
      </w:r>
      <w:r w:rsidR="002C3A58">
        <w:t xml:space="preserve">does not allege </w:t>
      </w:r>
      <w:r w:rsidR="00BD1B2F">
        <w:t xml:space="preserve">an unlawful detainer claim </w:t>
      </w:r>
      <w:r w:rsidR="002C3A58">
        <w:t xml:space="preserve">as defined in </w:t>
      </w:r>
      <w:r w:rsidR="00BD1B2F">
        <w:t>section 1161</w:t>
      </w:r>
      <w:r w:rsidR="00FA0E91" w:rsidRPr="00FA0E91">
        <w:t xml:space="preserve">.  </w:t>
      </w:r>
      <w:r w:rsidR="00AE437E">
        <w:t>What a</w:t>
      </w:r>
      <w:r w:rsidR="00FA0E91" w:rsidRPr="00FA0E91">
        <w:t xml:space="preserve"> defendant may not </w:t>
      </w:r>
      <w:r w:rsidR="00AE437E">
        <w:t>do is deploy a</w:t>
      </w:r>
      <w:r w:rsidR="00FA0E91" w:rsidRPr="00FA0E91">
        <w:t xml:space="preserve"> motion to quash to dispute the </w:t>
      </w:r>
      <w:r w:rsidR="00241AE8">
        <w:t>merits</w:t>
      </w:r>
      <w:r w:rsidR="00241AE8" w:rsidRPr="00FA0E91">
        <w:t xml:space="preserve"> </w:t>
      </w:r>
      <w:r w:rsidR="00FA0E91" w:rsidRPr="00FA0E91">
        <w:t>of the complaint’s allegations</w:t>
      </w:r>
      <w:r w:rsidR="002C3A58">
        <w:t xml:space="preserve"> or argue the complaint fails to satisfy the requirements of section 1166</w:t>
      </w:r>
      <w:r w:rsidR="00FA0E91" w:rsidRPr="00FA0E91">
        <w:t>.</w:t>
      </w:r>
    </w:p>
    <w:p w14:paraId="01B130B6" w14:textId="63E4B288" w:rsidR="006B180B" w:rsidRPr="006F4720" w:rsidRDefault="003325E7" w:rsidP="006F4720">
      <w:pPr>
        <w:tabs>
          <w:tab w:val="left" w:pos="720"/>
        </w:tabs>
      </w:pPr>
      <w:r>
        <w:tab/>
        <w:t xml:space="preserve">Our conclusion also harmonizes the existing case law addressing challenges to personal jurisdiction based on defects in an unlawful detainer complaint or summons. </w:t>
      </w:r>
      <w:bookmarkStart w:id="6" w:name="_Hlk63436123"/>
      <w:r w:rsidR="00EB357B">
        <w:t xml:space="preserve"> </w:t>
      </w:r>
      <w:r w:rsidR="008C203E">
        <w:t xml:space="preserve">Stancil urges us to conclude that </w:t>
      </w:r>
      <w:r w:rsidR="00DB0727" w:rsidRPr="006F4720">
        <w:rPr>
          <w:i/>
        </w:rPr>
        <w:t>Delta Imports</w:t>
      </w:r>
      <w:r w:rsidR="008C203E">
        <w:t xml:space="preserve"> authorizes his expansive interpretation that a motion to quash may be used to challenge any defect in an unlawful detainer complaint.</w:t>
      </w:r>
      <w:r w:rsidR="00EB357B">
        <w:t xml:space="preserve">  We decline to adopt Stancil’s </w:t>
      </w:r>
      <w:r w:rsidR="003167A0">
        <w:t xml:space="preserve">position </w:t>
      </w:r>
      <w:r w:rsidR="00EB357B">
        <w:t xml:space="preserve">and instead conclude a defendant may </w:t>
      </w:r>
      <w:r w:rsidR="003B5253">
        <w:t xml:space="preserve">choose to </w:t>
      </w:r>
      <w:r w:rsidR="00EB357B">
        <w:t>use a motion to quash to challenge a</w:t>
      </w:r>
      <w:r w:rsidR="008A3CD1">
        <w:t>n unlawful detainer</w:t>
      </w:r>
      <w:r w:rsidR="00EB357B">
        <w:t xml:space="preserve"> five-day summons served alongside a complaint that </w:t>
      </w:r>
      <w:r w:rsidR="004F2F37">
        <w:t>does not allege</w:t>
      </w:r>
      <w:r w:rsidR="00EB357B">
        <w:t xml:space="preserve"> an unlawful detainer claim under section 1161</w:t>
      </w:r>
      <w:r w:rsidR="007B4CA2">
        <w:t>.</w:t>
      </w:r>
    </w:p>
    <w:p w14:paraId="1AA81FC4" w14:textId="36EE8F63" w:rsidR="00E937E8" w:rsidRDefault="006B180B" w:rsidP="006F4720">
      <w:pPr>
        <w:tabs>
          <w:tab w:val="left" w:pos="720"/>
        </w:tabs>
      </w:pPr>
      <w:r w:rsidRPr="006F4720">
        <w:rPr>
          <w:i/>
        </w:rPr>
        <w:tab/>
      </w:r>
      <w:r w:rsidR="00052028" w:rsidRPr="006F4720">
        <w:rPr>
          <w:i/>
        </w:rPr>
        <w:t>Delta Imports</w:t>
      </w:r>
      <w:r w:rsidR="00052028" w:rsidRPr="006F4720">
        <w:t xml:space="preserve"> and other subsequent appellate decisio</w:t>
      </w:r>
      <w:r w:rsidR="004E4639" w:rsidRPr="006F4720">
        <w:t xml:space="preserve">ns </w:t>
      </w:r>
      <w:r w:rsidR="00626383" w:rsidRPr="006F4720">
        <w:t xml:space="preserve">approved of defendants using </w:t>
      </w:r>
      <w:r w:rsidR="00743C2C" w:rsidRPr="006F4720">
        <w:t xml:space="preserve">motions to quash service of summons </w:t>
      </w:r>
      <w:r w:rsidR="00594872" w:rsidRPr="006F4720">
        <w:t xml:space="preserve">to challenge </w:t>
      </w:r>
      <w:r w:rsidR="00FA0304">
        <w:t xml:space="preserve">unlawful </w:t>
      </w:r>
      <w:r w:rsidR="00743C2C" w:rsidRPr="006F4720">
        <w:t>detainer</w:t>
      </w:r>
      <w:r w:rsidR="00594872" w:rsidRPr="006F4720">
        <w:t xml:space="preserve"> complaints</w:t>
      </w:r>
      <w:r w:rsidR="00473091" w:rsidRPr="006F4720">
        <w:t xml:space="preserve">.  </w:t>
      </w:r>
      <w:r w:rsidR="001F6262" w:rsidRPr="006F4720">
        <w:t>(</w:t>
      </w:r>
      <w:r w:rsidR="003F0A73" w:rsidRPr="006F4720">
        <w:rPr>
          <w:i/>
        </w:rPr>
        <w:t xml:space="preserve">Parsons v. Superior Court </w:t>
      </w:r>
      <w:r w:rsidR="003F0A73" w:rsidRPr="006F4720">
        <w:t xml:space="preserve">(2007) 149 Cal.App.4th Supp. 1; </w:t>
      </w:r>
      <w:r w:rsidR="003F0A73" w:rsidRPr="006F4720">
        <w:rPr>
          <w:i/>
        </w:rPr>
        <w:t>Garber v. Levit</w:t>
      </w:r>
      <w:r w:rsidR="003F0A73" w:rsidRPr="006F4720">
        <w:t xml:space="preserve"> (2006) 141 Cal.App.4th Supp. 1.)</w:t>
      </w:r>
      <w:r w:rsidR="00FC4240" w:rsidRPr="006F4720">
        <w:t xml:space="preserve">  But commentators and practitioners alike have addressed the tension between </w:t>
      </w:r>
      <w:r w:rsidR="00FC4240" w:rsidRPr="006F4720">
        <w:rPr>
          <w:i/>
        </w:rPr>
        <w:t>Delta</w:t>
      </w:r>
      <w:r w:rsidR="00FC4240" w:rsidRPr="006F4720">
        <w:t xml:space="preserve"> </w:t>
      </w:r>
      <w:r w:rsidR="000C7D9B" w:rsidRPr="006F4720">
        <w:rPr>
          <w:i/>
        </w:rPr>
        <w:t>Imports</w:t>
      </w:r>
      <w:r w:rsidR="000C7D9B" w:rsidRPr="006F4720">
        <w:t xml:space="preserve"> </w:t>
      </w:r>
      <w:r w:rsidR="00FC4240" w:rsidRPr="006F4720">
        <w:t xml:space="preserve">and the more recent decision in </w:t>
      </w:r>
      <w:r w:rsidR="00FC4240" w:rsidRPr="006F4720">
        <w:rPr>
          <w:i/>
        </w:rPr>
        <w:t>Borsuk</w:t>
      </w:r>
      <w:r w:rsidR="00FC4240" w:rsidRPr="006F4720">
        <w:t xml:space="preserve">, which expressly disagreed with </w:t>
      </w:r>
      <w:r w:rsidR="00FC4240" w:rsidRPr="006F4720">
        <w:rPr>
          <w:i/>
        </w:rPr>
        <w:t>Delta Imports</w:t>
      </w:r>
      <w:r w:rsidR="009A7DA1" w:rsidRPr="00801651">
        <w:rPr>
          <w:iCs/>
        </w:rPr>
        <w:t>’</w:t>
      </w:r>
      <w:r w:rsidR="009A7DA1">
        <w:rPr>
          <w:iCs/>
        </w:rPr>
        <w:t xml:space="preserve"> holding that </w:t>
      </w:r>
      <w:r w:rsidR="009A7DA1">
        <w:t>a</w:t>
      </w:r>
      <w:r w:rsidR="009A7DA1" w:rsidRPr="006F4720">
        <w:t xml:space="preserve"> </w:t>
      </w:r>
      <w:r w:rsidR="009A7DA1">
        <w:t>“</w:t>
      </w:r>
      <w:r w:rsidR="009A7DA1" w:rsidRPr="006F4720">
        <w:t xml:space="preserve">defendant </w:t>
      </w:r>
      <w:r w:rsidR="009A7DA1">
        <w:t xml:space="preserve">can test whether the complaint states a cause of action for </w:t>
      </w:r>
      <w:r w:rsidR="009A7DA1">
        <w:rPr>
          <w:i/>
        </w:rPr>
        <w:t xml:space="preserve">unlawful </w:t>
      </w:r>
      <w:r w:rsidR="009A7DA1" w:rsidRPr="00C57D7A">
        <w:rPr>
          <w:i/>
        </w:rPr>
        <w:t>detaine</w:t>
      </w:r>
      <w:r w:rsidR="009A7DA1" w:rsidRPr="00573788">
        <w:rPr>
          <w:i/>
        </w:rPr>
        <w:t>r</w:t>
      </w:r>
      <w:r w:rsidR="009A7DA1">
        <w:t xml:space="preserve"> and, thereby support</w:t>
      </w:r>
      <w:r w:rsidR="00136DFE">
        <w:t>s</w:t>
      </w:r>
      <w:r w:rsidR="009A7DA1">
        <w:t xml:space="preserve"> a five-day summons.”  </w:t>
      </w:r>
      <w:r w:rsidR="0095296E" w:rsidRPr="006F4720">
        <w:t>(</w:t>
      </w:r>
      <w:r w:rsidR="009A7DA1" w:rsidRPr="006F4720">
        <w:rPr>
          <w:i/>
        </w:rPr>
        <w:t>Delta Imports</w:t>
      </w:r>
      <w:r w:rsidR="009A7DA1" w:rsidRPr="006F4720">
        <w:t xml:space="preserve">, </w:t>
      </w:r>
      <w:r w:rsidR="009A7DA1" w:rsidRPr="006F4720">
        <w:rPr>
          <w:i/>
        </w:rPr>
        <w:t>supra</w:t>
      </w:r>
      <w:r w:rsidR="009A7DA1" w:rsidRPr="006F4720">
        <w:t>, 146 Cal.App.3d</w:t>
      </w:r>
      <w:r w:rsidR="009A7DA1">
        <w:t xml:space="preserve"> at</w:t>
      </w:r>
      <w:r w:rsidR="009A7DA1" w:rsidRPr="006F4720">
        <w:t xml:space="preserve"> </w:t>
      </w:r>
      <w:r w:rsidR="009A7DA1">
        <w:t xml:space="preserve">p. 1036; </w:t>
      </w:r>
      <w:r w:rsidR="00136DFE">
        <w:t xml:space="preserve">Weil &amp; Brown Cal. </w:t>
      </w:r>
      <w:r w:rsidR="0095296E" w:rsidRPr="006F4720">
        <w:t>Practice Guide: Civil Procedure Before Trial</w:t>
      </w:r>
      <w:r w:rsidR="00136DFE">
        <w:t xml:space="preserve"> (The Rutter Group) </w:t>
      </w:r>
      <w:r w:rsidR="0095296E" w:rsidRPr="006F4720">
        <w:t xml:space="preserve">4:417.) </w:t>
      </w:r>
      <w:r w:rsidR="00EB3209" w:rsidRPr="006F4720">
        <w:t xml:space="preserve"> </w:t>
      </w:r>
    </w:p>
    <w:p w14:paraId="48606B28" w14:textId="7796D810" w:rsidR="0094798E" w:rsidRPr="006F4720" w:rsidRDefault="00E937E8" w:rsidP="006F4720">
      <w:pPr>
        <w:tabs>
          <w:tab w:val="left" w:pos="720"/>
        </w:tabs>
      </w:pPr>
      <w:r>
        <w:tab/>
      </w:r>
      <w:r w:rsidR="00574207" w:rsidRPr="006F4720">
        <w:t xml:space="preserve">In </w:t>
      </w:r>
      <w:r w:rsidR="00574207" w:rsidRPr="006F4720">
        <w:rPr>
          <w:i/>
        </w:rPr>
        <w:t>Delta Imports</w:t>
      </w:r>
      <w:r w:rsidR="00105CD4" w:rsidRPr="006F4720">
        <w:t>,</w:t>
      </w:r>
      <w:r w:rsidR="00726F49" w:rsidRPr="006F4720">
        <w:t xml:space="preserve"> </w:t>
      </w:r>
      <w:r w:rsidR="00FB58DE">
        <w:t xml:space="preserve">the </w:t>
      </w:r>
      <w:r w:rsidR="00DC2755" w:rsidRPr="006F4720">
        <w:t xml:space="preserve">defendants </w:t>
      </w:r>
      <w:r w:rsidR="00A51EE7">
        <w:t xml:space="preserve">filed a motion to quash service of summons arguing </w:t>
      </w:r>
      <w:r w:rsidR="00A8771C" w:rsidRPr="006F4720">
        <w:t>the complaint</w:t>
      </w:r>
      <w:r w:rsidR="00C47B0B" w:rsidRPr="006F4720">
        <w:t xml:space="preserve"> </w:t>
      </w:r>
      <w:r w:rsidR="002F4169" w:rsidRPr="006F4720">
        <w:t>could not support the five-day unlawful detainer summons.  (</w:t>
      </w:r>
      <w:r w:rsidR="002F4169" w:rsidRPr="006F4720">
        <w:rPr>
          <w:i/>
        </w:rPr>
        <w:t>Delta Imports</w:t>
      </w:r>
      <w:r w:rsidR="002F4169" w:rsidRPr="006F4720">
        <w:t xml:space="preserve">, </w:t>
      </w:r>
      <w:r w:rsidR="002F4169" w:rsidRPr="006F4720">
        <w:rPr>
          <w:i/>
        </w:rPr>
        <w:t>supra</w:t>
      </w:r>
      <w:r w:rsidR="002F4169" w:rsidRPr="006F4720">
        <w:t xml:space="preserve">, 146 Cal.App.3d at p. 1035.)  </w:t>
      </w:r>
      <w:r w:rsidR="004F4509" w:rsidRPr="006F4720">
        <w:t>T</w:t>
      </w:r>
      <w:r w:rsidR="002A6E83" w:rsidRPr="006F4720">
        <w:t xml:space="preserve">he </w:t>
      </w:r>
      <w:r w:rsidR="00DA7109" w:rsidRPr="006F4720">
        <w:t>Court of Appeal</w:t>
      </w:r>
      <w:r w:rsidR="002A6E83" w:rsidRPr="006F4720">
        <w:t xml:space="preserve"> explained that where a plaintiff claims the defendant breached the lease, the unlawful detainer complaint must also allege the plaintiff’s compliance with the notice requirements of section 1161, subdivision 3.  (</w:t>
      </w:r>
      <w:r w:rsidR="00A82F5A" w:rsidRPr="006F4720">
        <w:rPr>
          <w:i/>
        </w:rPr>
        <w:t>Delta Imports</w:t>
      </w:r>
      <w:r w:rsidR="00A82F5A">
        <w:t>,</w:t>
      </w:r>
      <w:r w:rsidR="002A6E83" w:rsidRPr="006F4720">
        <w:t xml:space="preserve"> at p. 1036.)</w:t>
      </w:r>
      <w:r w:rsidR="00801651">
        <w:t xml:space="preserve"> </w:t>
      </w:r>
      <w:r w:rsidR="002A6E83" w:rsidRPr="006F4720">
        <w:t xml:space="preserve"> </w:t>
      </w:r>
      <w:r w:rsidR="0027676B" w:rsidRPr="006F4720">
        <w:t>T</w:t>
      </w:r>
      <w:r w:rsidR="0006006F" w:rsidRPr="006F4720">
        <w:t xml:space="preserve">he </w:t>
      </w:r>
      <w:r w:rsidR="00DA7109" w:rsidRPr="006F4720">
        <w:t>Court of Appeal</w:t>
      </w:r>
      <w:r w:rsidR="0006006F" w:rsidRPr="006F4720">
        <w:t xml:space="preserve"> </w:t>
      </w:r>
      <w:r w:rsidR="0027676B" w:rsidRPr="006F4720">
        <w:t>examin</w:t>
      </w:r>
      <w:r w:rsidR="00405981" w:rsidRPr="006F4720">
        <w:t>ed</w:t>
      </w:r>
      <w:r w:rsidR="0027676B" w:rsidRPr="006F4720">
        <w:t xml:space="preserve"> the </w:t>
      </w:r>
      <w:r w:rsidR="009862CD">
        <w:t xml:space="preserve">face of the </w:t>
      </w:r>
      <w:r w:rsidR="0027676B" w:rsidRPr="006F4720">
        <w:t xml:space="preserve">complaint and </w:t>
      </w:r>
      <w:r w:rsidR="00405981" w:rsidRPr="006F4720">
        <w:t xml:space="preserve">determined </w:t>
      </w:r>
      <w:r w:rsidR="0006006F" w:rsidRPr="006F4720">
        <w:t xml:space="preserve">it </w:t>
      </w:r>
      <w:r w:rsidR="00A51EE7">
        <w:t xml:space="preserve">did not contain any of the allegations regarding </w:t>
      </w:r>
      <w:r w:rsidR="0006006F" w:rsidRPr="006F4720">
        <w:t>noti</w:t>
      </w:r>
      <w:r w:rsidR="00A51EE7">
        <w:t xml:space="preserve">ce as </w:t>
      </w:r>
      <w:r w:rsidR="00110951">
        <w:t>required by section 1161, subdivision 3</w:t>
      </w:r>
      <w:r w:rsidR="0006006F" w:rsidRPr="006F4720">
        <w:t>.  (</w:t>
      </w:r>
      <w:r w:rsidR="0006006F" w:rsidRPr="006F4720">
        <w:rPr>
          <w:i/>
        </w:rPr>
        <w:t>Delta Imports</w:t>
      </w:r>
      <w:r w:rsidR="0006006F" w:rsidRPr="006F4720">
        <w:t xml:space="preserve">, at p. 1036.)  </w:t>
      </w:r>
      <w:r w:rsidR="0027676B" w:rsidRPr="006F4720">
        <w:t>U</w:t>
      </w:r>
      <w:r w:rsidR="00B93CCA" w:rsidRPr="006F4720">
        <w:t xml:space="preserve">nder the circumstances of </w:t>
      </w:r>
      <w:r w:rsidR="00C27434">
        <w:t>that</w:t>
      </w:r>
      <w:r w:rsidR="00B93CCA" w:rsidRPr="006F4720">
        <w:t xml:space="preserve"> case, the </w:t>
      </w:r>
      <w:r w:rsidR="00DA7109" w:rsidRPr="006F4720">
        <w:t>Court of Appeal</w:t>
      </w:r>
      <w:r w:rsidR="003D53B7" w:rsidRPr="006F4720">
        <w:t xml:space="preserve"> concluded </w:t>
      </w:r>
      <w:r w:rsidR="00EB3010" w:rsidRPr="006F4720">
        <w:t xml:space="preserve">the </w:t>
      </w:r>
      <w:r w:rsidR="00B93CCA" w:rsidRPr="006F4720">
        <w:t xml:space="preserve">complaint </w:t>
      </w:r>
      <w:r w:rsidR="00394E6C">
        <w:t>was not one for</w:t>
      </w:r>
      <w:r w:rsidR="00394E6C" w:rsidRPr="006F4720">
        <w:t xml:space="preserve"> </w:t>
      </w:r>
      <w:r w:rsidR="00B93CCA" w:rsidRPr="006F4720">
        <w:t>unlawful detainer</w:t>
      </w:r>
      <w:r w:rsidR="0094798E">
        <w:t>, and therefore could not support the five-day summons</w:t>
      </w:r>
      <w:r w:rsidR="00B93CCA" w:rsidRPr="006F4720">
        <w:t xml:space="preserve">.  </w:t>
      </w:r>
      <w:r w:rsidR="007D1088" w:rsidRPr="006F4720">
        <w:t>(</w:t>
      </w:r>
      <w:r w:rsidR="007D1088" w:rsidRPr="006F4720">
        <w:rPr>
          <w:i/>
        </w:rPr>
        <w:t>Id</w:t>
      </w:r>
      <w:r w:rsidR="007D1088" w:rsidRPr="006F4720">
        <w:t>. at pp. 1035</w:t>
      </w:r>
      <w:r w:rsidR="00C55820" w:rsidRPr="006076E7">
        <w:t>–</w:t>
      </w:r>
      <w:r w:rsidR="007D1088" w:rsidRPr="006F4720">
        <w:t>1036.)</w:t>
      </w:r>
      <w:r w:rsidR="00FC42E5">
        <w:t xml:space="preserve">  The C</w:t>
      </w:r>
      <w:r w:rsidR="00002ADD">
        <w:t>ourt of Appeal remanded the case and directed the superior court to issue a peremptory writ of mandate directing the municipal court to quash service of process on the plaintiffs.  (</w:t>
      </w:r>
      <w:r w:rsidR="00002ADD">
        <w:rPr>
          <w:i/>
          <w:iCs/>
        </w:rPr>
        <w:t>Id</w:t>
      </w:r>
      <w:r w:rsidR="00002ADD">
        <w:t xml:space="preserve">. at p. 1037.)  </w:t>
      </w:r>
      <w:r w:rsidR="007D1088" w:rsidRPr="006F4720">
        <w:t xml:space="preserve">  </w:t>
      </w:r>
    </w:p>
    <w:p w14:paraId="658F333A" w14:textId="105F556F" w:rsidR="00781DC3" w:rsidRDefault="00776DDB" w:rsidP="006F4720">
      <w:pPr>
        <w:tabs>
          <w:tab w:val="left" w:pos="720"/>
        </w:tabs>
      </w:pPr>
      <w:r w:rsidRPr="006F4720">
        <w:tab/>
      </w:r>
      <w:r w:rsidR="00AD538A">
        <w:t>What the</w:t>
      </w:r>
      <w:r w:rsidR="00434509" w:rsidRPr="006F4720">
        <w:t xml:space="preserve"> </w:t>
      </w:r>
      <w:r w:rsidR="00DA7109" w:rsidRPr="006F4720">
        <w:t>Court of Appeal</w:t>
      </w:r>
      <w:r w:rsidR="00434509" w:rsidRPr="006F4720">
        <w:t xml:space="preserve"> </w:t>
      </w:r>
      <w:r w:rsidR="009D478C">
        <w:t>reasoned</w:t>
      </w:r>
      <w:r w:rsidR="00AD538A">
        <w:t xml:space="preserve"> in its brief opinion is that</w:t>
      </w:r>
      <w:r w:rsidR="009D478C" w:rsidRPr="006F4720">
        <w:t xml:space="preserve"> </w:t>
      </w:r>
      <w:r w:rsidR="00434509" w:rsidRPr="006F4720">
        <w:t>“</w:t>
      </w:r>
      <w:r w:rsidR="00AD538A">
        <w:t>[a]</w:t>
      </w:r>
      <w:r w:rsidR="00434509" w:rsidRPr="006F4720">
        <w:t xml:space="preserve"> motion to quash service is the only method by which the defendant can test whether the complaint states a cause of action for </w:t>
      </w:r>
      <w:r w:rsidR="00434509" w:rsidRPr="006F4720">
        <w:rPr>
          <w:i/>
        </w:rPr>
        <w:t>unlawful detainer</w:t>
      </w:r>
      <w:r w:rsidR="00434509" w:rsidRPr="006F4720">
        <w:t xml:space="preserve"> and, thereby, supports a five</w:t>
      </w:r>
      <w:r w:rsidR="00696CDB" w:rsidRPr="006F4720">
        <w:t>-</w:t>
      </w:r>
      <w:r w:rsidR="00434509" w:rsidRPr="006F4720">
        <w:t>day summons.”  (</w:t>
      </w:r>
      <w:r w:rsidR="009D478C" w:rsidRPr="006F4720">
        <w:rPr>
          <w:i/>
        </w:rPr>
        <w:t>Delta Imports</w:t>
      </w:r>
      <w:r w:rsidR="009D478C" w:rsidRPr="006F4720">
        <w:t xml:space="preserve">, </w:t>
      </w:r>
      <w:r w:rsidR="009D478C" w:rsidRPr="006F4720">
        <w:rPr>
          <w:i/>
        </w:rPr>
        <w:t>supra</w:t>
      </w:r>
      <w:r w:rsidR="009D478C" w:rsidRPr="006F4720">
        <w:t xml:space="preserve">, 146 Cal.App.3d </w:t>
      </w:r>
      <w:r w:rsidR="00434509" w:rsidRPr="006F4720">
        <w:t xml:space="preserve">at p. 1036.)  </w:t>
      </w:r>
      <w:r w:rsidR="00BC355D" w:rsidRPr="006F4720">
        <w:t xml:space="preserve">Stancil </w:t>
      </w:r>
      <w:r w:rsidR="004C6878">
        <w:t>erroneously read</w:t>
      </w:r>
      <w:r w:rsidR="00DF6D59">
        <w:t>s</w:t>
      </w:r>
      <w:r w:rsidR="004C6878">
        <w:t xml:space="preserve"> this statement </w:t>
      </w:r>
      <w:r w:rsidR="00A0127B">
        <w:t>as other unlawful detainer defendants sometimes have:  as authorizing</w:t>
      </w:r>
      <w:r w:rsidR="004C6878">
        <w:t xml:space="preserve"> </w:t>
      </w:r>
      <w:r w:rsidR="0013064C">
        <w:t xml:space="preserve">a defendant to </w:t>
      </w:r>
      <w:r w:rsidR="004C6878">
        <w:t xml:space="preserve">challenge </w:t>
      </w:r>
      <w:r w:rsidR="0013064C">
        <w:t xml:space="preserve">a </w:t>
      </w:r>
      <w:r w:rsidR="004C6878" w:rsidRPr="00DF6D59">
        <w:rPr>
          <w:i/>
          <w:iCs/>
        </w:rPr>
        <w:t>complaint</w:t>
      </w:r>
      <w:r w:rsidR="0013064C">
        <w:t xml:space="preserve"> using a motion to quash</w:t>
      </w:r>
      <w:r w:rsidR="005A00CA">
        <w:t xml:space="preserve">.  This </w:t>
      </w:r>
      <w:r w:rsidR="00702E9A">
        <w:t>abridged</w:t>
      </w:r>
      <w:r w:rsidR="00BB3F72">
        <w:t xml:space="preserve"> </w:t>
      </w:r>
      <w:r w:rsidR="005A00CA">
        <w:t>reading</w:t>
      </w:r>
      <w:r w:rsidR="00BB3F72">
        <w:t xml:space="preserve"> </w:t>
      </w:r>
      <w:r w:rsidR="000F59BC">
        <w:t xml:space="preserve">erroneously </w:t>
      </w:r>
      <w:r w:rsidR="00702E9A">
        <w:t>focuses on</w:t>
      </w:r>
      <w:r w:rsidR="00BB3F72">
        <w:t xml:space="preserve"> </w:t>
      </w:r>
      <w:r w:rsidR="00B43DEB">
        <w:t xml:space="preserve">testing </w:t>
      </w:r>
      <w:r w:rsidR="00BB3F72">
        <w:t xml:space="preserve">the </w:t>
      </w:r>
      <w:r w:rsidR="00702E9A">
        <w:t xml:space="preserve">complaint and ignores the </w:t>
      </w:r>
      <w:r w:rsidR="00BB3F72">
        <w:t>Court of Appeal’s conclusion</w:t>
      </w:r>
      <w:r w:rsidR="00702E9A">
        <w:t xml:space="preserve"> regarding the propriety of the five-day summons.  </w:t>
      </w:r>
      <w:r w:rsidR="00C31ECA">
        <w:t>A</w:t>
      </w:r>
      <w:r w:rsidR="009D478C">
        <w:t xml:space="preserve"> careful reading of </w:t>
      </w:r>
      <w:r w:rsidR="009D478C">
        <w:rPr>
          <w:i/>
          <w:iCs/>
        </w:rPr>
        <w:t>Delta Imports</w:t>
      </w:r>
      <w:r w:rsidR="009D478C">
        <w:t xml:space="preserve"> reveals the Court of Appeal deemed the motion to quash appropriate because the underlying complaint</w:t>
      </w:r>
      <w:r w:rsidR="001B3810">
        <w:t xml:space="preserve"> did not adhere to the requirements set forth in</w:t>
      </w:r>
      <w:r w:rsidR="009D478C">
        <w:t xml:space="preserve"> </w:t>
      </w:r>
      <w:r w:rsidR="009D478C" w:rsidRPr="00CB51A6">
        <w:t xml:space="preserve">section </w:t>
      </w:r>
      <w:r w:rsidR="00F11706" w:rsidRPr="00F11706">
        <w:t>1161</w:t>
      </w:r>
      <w:r w:rsidR="001B3810">
        <w:t>, subdivision 3</w:t>
      </w:r>
      <w:r w:rsidR="00D51E9E">
        <w:t xml:space="preserve">.  </w:t>
      </w:r>
      <w:r w:rsidR="006367C0">
        <w:t>The complaint at issue was not one for</w:t>
      </w:r>
      <w:r w:rsidR="002D6433">
        <w:t xml:space="preserve"> </w:t>
      </w:r>
      <w:r w:rsidR="00273B64">
        <w:t xml:space="preserve">unlawful detainer </w:t>
      </w:r>
      <w:r w:rsidR="009D478C">
        <w:t xml:space="preserve">and could not support </w:t>
      </w:r>
      <w:r w:rsidR="002D6433">
        <w:t xml:space="preserve">issuance of </w:t>
      </w:r>
      <w:r w:rsidR="009D478C">
        <w:t xml:space="preserve">the </w:t>
      </w:r>
      <w:r w:rsidR="009946DB">
        <w:t xml:space="preserve">unlawful detainer </w:t>
      </w:r>
      <w:r w:rsidR="009D478C">
        <w:t xml:space="preserve">five-day summons. </w:t>
      </w:r>
      <w:r w:rsidR="00C350DA">
        <w:t xml:space="preserve"> </w:t>
      </w:r>
      <w:r w:rsidR="009D478C">
        <w:t xml:space="preserve"> </w:t>
      </w:r>
    </w:p>
    <w:p w14:paraId="54F8C7BE" w14:textId="2A13A225" w:rsidR="003A63B9" w:rsidRPr="00834C2D" w:rsidRDefault="00781DC3" w:rsidP="006F4720">
      <w:pPr>
        <w:tabs>
          <w:tab w:val="left" w:pos="720"/>
        </w:tabs>
        <w:rPr>
          <w:i/>
          <w:iCs/>
        </w:rPr>
      </w:pPr>
      <w:r>
        <w:tab/>
      </w:r>
      <w:r w:rsidR="003A63B9">
        <w:rPr>
          <w:i/>
          <w:iCs/>
        </w:rPr>
        <w:t xml:space="preserve">Delta Imports </w:t>
      </w:r>
      <w:r w:rsidR="003A63B9">
        <w:t xml:space="preserve">relied on </w:t>
      </w:r>
      <w:r w:rsidR="003A63B9">
        <w:rPr>
          <w:i/>
          <w:iCs/>
        </w:rPr>
        <w:t>Greene</w:t>
      </w:r>
      <w:r w:rsidR="003A63B9">
        <w:t xml:space="preserve">, </w:t>
      </w:r>
      <w:r w:rsidR="003A63B9">
        <w:rPr>
          <w:i/>
          <w:iCs/>
        </w:rPr>
        <w:t>supra</w:t>
      </w:r>
      <w:r w:rsidR="003A63B9">
        <w:t>,</w:t>
      </w:r>
      <w:r w:rsidR="003A63B9">
        <w:rPr>
          <w:i/>
          <w:iCs/>
        </w:rPr>
        <w:t xml:space="preserve"> </w:t>
      </w:r>
      <w:r w:rsidR="003A63B9">
        <w:t>51 Cal.App.3d 446</w:t>
      </w:r>
      <w:r w:rsidR="005A223B">
        <w:t xml:space="preserve">.  The </w:t>
      </w:r>
      <w:r w:rsidR="003A63B9">
        <w:t xml:space="preserve">Court of Appeal </w:t>
      </w:r>
      <w:r w:rsidR="005A223B">
        <w:t xml:space="preserve">in </w:t>
      </w:r>
      <w:r w:rsidR="005A223B">
        <w:rPr>
          <w:i/>
          <w:iCs/>
        </w:rPr>
        <w:t xml:space="preserve">Greene </w:t>
      </w:r>
      <w:r w:rsidR="003A63B9">
        <w:t xml:space="preserve">held that </w:t>
      </w:r>
      <w:r w:rsidR="002D6433">
        <w:t xml:space="preserve">an </w:t>
      </w:r>
      <w:r w:rsidR="003A63B9">
        <w:t xml:space="preserve">unlawful detainer five-day summons did not confer personal jurisdiction when the </w:t>
      </w:r>
      <w:r w:rsidR="002D6433">
        <w:t xml:space="preserve">accompanying </w:t>
      </w:r>
      <w:r w:rsidR="003A63B9">
        <w:t>complaint</w:t>
      </w:r>
      <w:r w:rsidR="005A223B">
        <w:t xml:space="preserve"> </w:t>
      </w:r>
      <w:r w:rsidR="007636F8">
        <w:t>—</w:t>
      </w:r>
      <w:r w:rsidR="005A223B">
        <w:t xml:space="preserve"> </w:t>
      </w:r>
      <w:r w:rsidR="003A63B9">
        <w:t xml:space="preserve">though </w:t>
      </w:r>
      <w:r w:rsidR="005502D8">
        <w:t>labeled</w:t>
      </w:r>
      <w:r w:rsidR="003A63B9">
        <w:t xml:space="preserve"> as a</w:t>
      </w:r>
      <w:r w:rsidR="005502D8">
        <w:t xml:space="preserve"> complaint for </w:t>
      </w:r>
      <w:r w:rsidR="003A63B9">
        <w:t>unlawful detainer</w:t>
      </w:r>
      <w:r w:rsidR="005A223B">
        <w:t xml:space="preserve"> </w:t>
      </w:r>
      <w:r w:rsidR="007636F8">
        <w:t>—</w:t>
      </w:r>
      <w:r w:rsidR="005A223B">
        <w:t xml:space="preserve"> in fact</w:t>
      </w:r>
      <w:r w:rsidR="003A63B9">
        <w:t xml:space="preserve"> alleged </w:t>
      </w:r>
      <w:r w:rsidR="005A223B">
        <w:t>nothing more than a</w:t>
      </w:r>
      <w:r w:rsidR="003A63B9">
        <w:t xml:space="preserve"> claim for breach of a contract for the purchase of real property.  (</w:t>
      </w:r>
      <w:r w:rsidR="003A63B9">
        <w:rPr>
          <w:i/>
          <w:iCs/>
        </w:rPr>
        <w:t>Id</w:t>
      </w:r>
      <w:r w:rsidR="003A63B9">
        <w:t xml:space="preserve">. at p. 449.)  The </w:t>
      </w:r>
      <w:r w:rsidR="003A63B9">
        <w:rPr>
          <w:i/>
          <w:iCs/>
        </w:rPr>
        <w:t xml:space="preserve">Greene </w:t>
      </w:r>
      <w:r w:rsidR="003A63B9">
        <w:t>court reasoned</w:t>
      </w:r>
      <w:r w:rsidR="005A223B">
        <w:t xml:space="preserve"> </w:t>
      </w:r>
      <w:r w:rsidR="002C0B70">
        <w:t>the plaintiff improperly used the section 1167 unlawful detainer five-day summons alongside a complaint that pled something</w:t>
      </w:r>
      <w:r w:rsidR="003A63B9">
        <w:t xml:space="preserve"> </w:t>
      </w:r>
      <w:r w:rsidR="002C0B70">
        <w:t>“</w:t>
      </w:r>
      <w:r w:rsidR="003A63B9">
        <w:t>other than unlawful detainer.</w:t>
      </w:r>
      <w:r w:rsidR="002C0B70">
        <w:t>”</w:t>
      </w:r>
      <w:r w:rsidR="003A63B9">
        <w:t xml:space="preserve">  </w:t>
      </w:r>
      <w:r w:rsidR="002C0B70">
        <w:t>(</w:t>
      </w:r>
      <w:r w:rsidR="002C0B70">
        <w:rPr>
          <w:i/>
          <w:iCs/>
        </w:rPr>
        <w:t>Id</w:t>
      </w:r>
      <w:r w:rsidR="002C0B70">
        <w:t>. at pp. 451–452.)  The court deemed the summons “</w:t>
      </w:r>
      <w:r w:rsidR="003A63B9">
        <w:t>substantially defective in illegally purporting to shorten defendants’ time to plead</w:t>
      </w:r>
      <w:r w:rsidR="002C0B70">
        <w:t>” and concluded</w:t>
      </w:r>
      <w:r w:rsidR="003A63B9">
        <w:t xml:space="preserve"> the court did not acquire </w:t>
      </w:r>
      <w:r w:rsidR="00100A88">
        <w:t xml:space="preserve">personal </w:t>
      </w:r>
      <w:r w:rsidR="003A63B9">
        <w:t>jurisdiction</w:t>
      </w:r>
      <w:r w:rsidR="004718E1">
        <w:t xml:space="preserve"> over the defendants</w:t>
      </w:r>
      <w:r w:rsidR="002C0B70">
        <w:t>.</w:t>
      </w:r>
      <w:r w:rsidR="0008662C">
        <w:t xml:space="preserve">  (</w:t>
      </w:r>
      <w:r w:rsidR="0008662C">
        <w:rPr>
          <w:i/>
          <w:iCs/>
        </w:rPr>
        <w:t>Id</w:t>
      </w:r>
      <w:r w:rsidR="0008662C">
        <w:t xml:space="preserve">. at p. 452.)  </w:t>
      </w:r>
      <w:r w:rsidR="003A63B9">
        <w:t xml:space="preserve">  </w:t>
      </w:r>
    </w:p>
    <w:p w14:paraId="588BCC1E" w14:textId="0671C031" w:rsidR="00196F40" w:rsidRDefault="003A63B9" w:rsidP="006F4720">
      <w:pPr>
        <w:tabs>
          <w:tab w:val="left" w:pos="720"/>
        </w:tabs>
      </w:pPr>
      <w:r>
        <w:tab/>
      </w:r>
      <w:r w:rsidR="009860BA">
        <w:t xml:space="preserve">Relying on </w:t>
      </w:r>
      <w:bookmarkStart w:id="7" w:name="_Hlk64981792"/>
      <w:r w:rsidR="009860BA">
        <w:rPr>
          <w:i/>
        </w:rPr>
        <w:t>Greene</w:t>
      </w:r>
      <w:r w:rsidR="00796F25">
        <w:rPr>
          <w:iCs/>
        </w:rPr>
        <w:t>,</w:t>
      </w:r>
      <w:r w:rsidR="009860BA">
        <w:rPr>
          <w:i/>
        </w:rPr>
        <w:t xml:space="preserve"> </w:t>
      </w:r>
      <w:bookmarkEnd w:id="7"/>
      <w:r w:rsidR="009860BA">
        <w:t xml:space="preserve">the </w:t>
      </w:r>
      <w:r w:rsidR="009860BA">
        <w:rPr>
          <w:i/>
          <w:iCs/>
        </w:rPr>
        <w:t>Delta Imports</w:t>
      </w:r>
      <w:r w:rsidR="009860BA">
        <w:t xml:space="preserve"> court </w:t>
      </w:r>
      <w:r w:rsidR="00AD538A">
        <w:t xml:space="preserve">concluded </w:t>
      </w:r>
      <w:r w:rsidR="009860BA">
        <w:t>that “[i]f the underlying complaint fails to state a cause of action for unlawful detainer, then use of the five-day summons is improper and the defendant is entitled to an order quashing service as a matter of law.”  (</w:t>
      </w:r>
      <w:r w:rsidR="009860BA">
        <w:rPr>
          <w:i/>
        </w:rPr>
        <w:t>Delta Imports</w:t>
      </w:r>
      <w:r w:rsidR="009860BA">
        <w:t xml:space="preserve">, </w:t>
      </w:r>
      <w:r w:rsidR="009860BA">
        <w:rPr>
          <w:i/>
        </w:rPr>
        <w:t>supra</w:t>
      </w:r>
      <w:r w:rsidR="009860BA">
        <w:t xml:space="preserve">, 146 Cal.App.3d at p. 1035, citing </w:t>
      </w:r>
      <w:r w:rsidR="009860BA">
        <w:rPr>
          <w:i/>
          <w:iCs/>
        </w:rPr>
        <w:t>Greene</w:t>
      </w:r>
      <w:r w:rsidR="009860BA">
        <w:t xml:space="preserve">, </w:t>
      </w:r>
      <w:r w:rsidR="00D166D1">
        <w:rPr>
          <w:i/>
          <w:iCs/>
        </w:rPr>
        <w:t>supra</w:t>
      </w:r>
      <w:r w:rsidR="00D166D1">
        <w:t>,</w:t>
      </w:r>
      <w:r w:rsidR="00D166D1">
        <w:rPr>
          <w:i/>
          <w:iCs/>
        </w:rPr>
        <w:t xml:space="preserve"> </w:t>
      </w:r>
      <w:r w:rsidR="00D166D1">
        <w:t xml:space="preserve">51 Cal.App.3d </w:t>
      </w:r>
      <w:r w:rsidR="009860BA">
        <w:t>at p</w:t>
      </w:r>
      <w:r w:rsidR="00342836">
        <w:t>p</w:t>
      </w:r>
      <w:r w:rsidR="009860BA">
        <w:t>.</w:t>
      </w:r>
      <w:r w:rsidR="00342836">
        <w:t xml:space="preserve"> 451</w:t>
      </w:r>
      <w:r w:rsidR="00ED1DB1" w:rsidRPr="006076E7">
        <w:t>–</w:t>
      </w:r>
      <w:r w:rsidR="00342836">
        <w:t>452</w:t>
      </w:r>
      <w:r w:rsidR="009860BA">
        <w:t>.)</w:t>
      </w:r>
      <w:r w:rsidR="00E7611C">
        <w:t xml:space="preserve">  </w:t>
      </w:r>
      <w:bookmarkStart w:id="8" w:name="_Hlk64981666"/>
      <w:r w:rsidR="00E7611C">
        <w:rPr>
          <w:i/>
          <w:iCs/>
        </w:rPr>
        <w:t>Greene</w:t>
      </w:r>
      <w:r w:rsidR="00E7611C">
        <w:t xml:space="preserve"> and </w:t>
      </w:r>
      <w:r w:rsidR="00E7611C">
        <w:rPr>
          <w:i/>
          <w:iCs/>
        </w:rPr>
        <w:t>Delta Imports</w:t>
      </w:r>
      <w:r w:rsidR="00E7611C">
        <w:t xml:space="preserve"> clarify that where a five-day summons is served with a complaint that </w:t>
      </w:r>
      <w:r w:rsidR="007F7994">
        <w:t xml:space="preserve">fails to allege the defendant is guilty </w:t>
      </w:r>
      <w:r w:rsidR="002D6433">
        <w:t xml:space="preserve">of </w:t>
      </w:r>
      <w:r w:rsidR="007F7994">
        <w:t xml:space="preserve">unlawful detainer as </w:t>
      </w:r>
      <w:r w:rsidR="0099349B">
        <w:t xml:space="preserve">defined </w:t>
      </w:r>
      <w:r w:rsidR="007F7994">
        <w:t xml:space="preserve">in section 1161 or </w:t>
      </w:r>
      <w:r w:rsidR="00E7611C">
        <w:t>alleges a completely different cause of action</w:t>
      </w:r>
      <w:r w:rsidR="00387FDE">
        <w:t xml:space="preserve">, </w:t>
      </w:r>
      <w:r w:rsidR="00775234">
        <w:t xml:space="preserve">the summons is </w:t>
      </w:r>
      <w:r w:rsidR="00917E61">
        <w:t xml:space="preserve">defective </w:t>
      </w:r>
      <w:r w:rsidR="00775234">
        <w:t>and may be challenged by a motion to quash under section 41</w:t>
      </w:r>
      <w:r w:rsidR="007A02C3">
        <w:t>8</w:t>
      </w:r>
      <w:r w:rsidR="00775234">
        <w:t>.10</w:t>
      </w:r>
      <w:r w:rsidR="00A90E81">
        <w:t>, subdivision (a)(1)</w:t>
      </w:r>
      <w:r w:rsidR="00775234">
        <w:t xml:space="preserve">.  </w:t>
      </w:r>
    </w:p>
    <w:bookmarkEnd w:id="8"/>
    <w:p w14:paraId="088A1C72" w14:textId="03E6F82A" w:rsidR="008A0C55" w:rsidRDefault="00F32B9A" w:rsidP="006F4720">
      <w:pPr>
        <w:tabs>
          <w:tab w:val="left" w:pos="720"/>
        </w:tabs>
      </w:pPr>
      <w:r w:rsidRPr="006F4720">
        <w:tab/>
      </w:r>
      <w:r w:rsidR="00657A9C" w:rsidRPr="006F4720">
        <w:t xml:space="preserve">Thirty-two </w:t>
      </w:r>
      <w:r w:rsidR="000A3881" w:rsidRPr="006F4720">
        <w:t xml:space="preserve">years later, </w:t>
      </w:r>
      <w:r w:rsidR="005F4E34" w:rsidRPr="006F4720">
        <w:t xml:space="preserve">the </w:t>
      </w:r>
      <w:r w:rsidR="00DA7109" w:rsidRPr="006F4720">
        <w:t>Court of Appeal</w:t>
      </w:r>
      <w:r w:rsidR="00121BD3" w:rsidRPr="006F4720">
        <w:t xml:space="preserve"> </w:t>
      </w:r>
      <w:r w:rsidR="005A223B">
        <w:t xml:space="preserve">decided </w:t>
      </w:r>
      <w:r w:rsidR="005A223B">
        <w:rPr>
          <w:i/>
          <w:iCs/>
        </w:rPr>
        <w:t xml:space="preserve">Borsuk.  </w:t>
      </w:r>
      <w:r w:rsidR="00EF3AD9">
        <w:t xml:space="preserve">There, the defendant filed a motion to quash, asserting the court lacked jurisdiction over her because the lessor failed to properly serve her with the three-day notice to pay or quit.  </w:t>
      </w:r>
      <w:r w:rsidR="00EF3AD9" w:rsidRPr="006F4720">
        <w:t>(</w:t>
      </w:r>
      <w:r w:rsidR="00EF3AD9" w:rsidRPr="006F4720">
        <w:rPr>
          <w:i/>
        </w:rPr>
        <w:t>Borsuk</w:t>
      </w:r>
      <w:r w:rsidR="00EF3AD9" w:rsidRPr="006F4720">
        <w:t xml:space="preserve">, </w:t>
      </w:r>
      <w:r w:rsidR="00EF3AD9" w:rsidRPr="006F4720">
        <w:rPr>
          <w:i/>
        </w:rPr>
        <w:t>supra</w:t>
      </w:r>
      <w:r w:rsidR="00EF3AD9" w:rsidRPr="006F4720">
        <w:t xml:space="preserve">, </w:t>
      </w:r>
      <w:r w:rsidR="00EF3AD9">
        <w:t xml:space="preserve">242 Cal.App.4th </w:t>
      </w:r>
      <w:r w:rsidR="00EF3AD9" w:rsidRPr="006F4720">
        <w:t xml:space="preserve">at p. 610.)  </w:t>
      </w:r>
      <w:r w:rsidR="00EF3AD9">
        <w:t xml:space="preserve">The court </w:t>
      </w:r>
      <w:r w:rsidR="005A223B">
        <w:t>held that a</w:t>
      </w:r>
      <w:r w:rsidR="005F4E34" w:rsidRPr="006F4720">
        <w:t xml:space="preserve"> </w:t>
      </w:r>
      <w:r w:rsidR="00F724C0">
        <w:t>defendant</w:t>
      </w:r>
      <w:r w:rsidR="00F724C0" w:rsidRPr="006F4720">
        <w:t xml:space="preserve"> </w:t>
      </w:r>
      <w:r w:rsidR="005F4E34" w:rsidRPr="006F4720">
        <w:t xml:space="preserve">may </w:t>
      </w:r>
      <w:r w:rsidR="005F4E34" w:rsidRPr="00DE3EF4">
        <w:rPr>
          <w:iCs/>
        </w:rPr>
        <w:t>not</w:t>
      </w:r>
      <w:r w:rsidR="005F4E34" w:rsidRPr="006F4720">
        <w:t xml:space="preserve"> </w:t>
      </w:r>
      <w:r w:rsidR="001B59C5" w:rsidRPr="006F4720">
        <w:t xml:space="preserve">use a motion to quash </w:t>
      </w:r>
      <w:r w:rsidR="001B59C5" w:rsidRPr="00CB51A6">
        <w:t xml:space="preserve">to </w:t>
      </w:r>
      <w:r w:rsidR="00EC58BD" w:rsidRPr="00CB51A6">
        <w:t>contest</w:t>
      </w:r>
      <w:r w:rsidR="00EC58BD">
        <w:t xml:space="preserve"> whether a landlord properly</w:t>
      </w:r>
      <w:r w:rsidR="00EC58BD" w:rsidRPr="006F4720">
        <w:t xml:space="preserve"> </w:t>
      </w:r>
      <w:r w:rsidR="005F4E34" w:rsidRPr="006F4720">
        <w:t>serv</w:t>
      </w:r>
      <w:r w:rsidR="00EC58BD">
        <w:t>ed</w:t>
      </w:r>
      <w:r w:rsidR="005F4E34" w:rsidRPr="006F4720">
        <w:t xml:space="preserve"> the requisite</w:t>
      </w:r>
      <w:r w:rsidR="005742E8">
        <w:t xml:space="preserve"> three-day</w:t>
      </w:r>
      <w:r w:rsidR="005F4E34" w:rsidRPr="006F4720">
        <w:t xml:space="preserve"> notice </w:t>
      </w:r>
      <w:r w:rsidR="005742E8">
        <w:t>to pay or quit</w:t>
      </w:r>
      <w:r w:rsidR="001B59C5" w:rsidRPr="006F4720">
        <w:t>.</w:t>
      </w:r>
      <w:r w:rsidR="00A91D40" w:rsidRPr="006F4720">
        <w:t xml:space="preserve">  (</w:t>
      </w:r>
      <w:r w:rsidR="00EF3AD9">
        <w:rPr>
          <w:i/>
        </w:rPr>
        <w:t xml:space="preserve">Id. </w:t>
      </w:r>
      <w:r w:rsidR="001F6DC3">
        <w:t>at p</w:t>
      </w:r>
      <w:r w:rsidR="00EF3AD9">
        <w:t>p</w:t>
      </w:r>
      <w:r w:rsidR="001F6DC3">
        <w:t>.</w:t>
      </w:r>
      <w:r w:rsidR="00A91D40" w:rsidRPr="006F4720">
        <w:t xml:space="preserve"> 609</w:t>
      </w:r>
      <w:r w:rsidR="00FB58DE">
        <w:t>–</w:t>
      </w:r>
      <w:r w:rsidR="00EF3AD9">
        <w:t>610</w:t>
      </w:r>
      <w:r w:rsidR="00A91D40" w:rsidRPr="006F4720">
        <w:t xml:space="preserve">.)  </w:t>
      </w:r>
      <w:r w:rsidR="00EF3AD9">
        <w:t xml:space="preserve">In reaching that conclusion, the </w:t>
      </w:r>
      <w:r w:rsidR="00AE0F42">
        <w:rPr>
          <w:i/>
          <w:iCs/>
        </w:rPr>
        <w:t xml:space="preserve">Borsuk </w:t>
      </w:r>
      <w:r w:rsidR="00AE0F42">
        <w:t>court</w:t>
      </w:r>
      <w:r w:rsidR="00627280" w:rsidRPr="006F4720">
        <w:t xml:space="preserve"> </w:t>
      </w:r>
      <w:r w:rsidR="0065585D" w:rsidRPr="006F4720">
        <w:t xml:space="preserve">rejected </w:t>
      </w:r>
      <w:r w:rsidR="00EF3AD9">
        <w:t xml:space="preserve">the reasoning of </w:t>
      </w:r>
      <w:r w:rsidR="0065585D" w:rsidRPr="006F4720">
        <w:rPr>
          <w:i/>
        </w:rPr>
        <w:t>Delta Imports</w:t>
      </w:r>
      <w:r w:rsidR="0065585D" w:rsidRPr="006F4720">
        <w:t xml:space="preserve">, </w:t>
      </w:r>
      <w:r w:rsidR="00227A0D">
        <w:t>explaining the case</w:t>
      </w:r>
      <w:r w:rsidR="00227A0D" w:rsidRPr="006F4720">
        <w:t xml:space="preserve"> </w:t>
      </w:r>
      <w:r w:rsidR="00565FD2" w:rsidRPr="006F4720">
        <w:t>ha</w:t>
      </w:r>
      <w:r w:rsidR="00565FD2">
        <w:t>d</w:t>
      </w:r>
      <w:r w:rsidR="00565FD2" w:rsidRPr="006F4720">
        <w:t xml:space="preserve"> </w:t>
      </w:r>
      <w:r w:rsidR="00746BA9" w:rsidRPr="006F4720">
        <w:t xml:space="preserve">created confusion among practitioners </w:t>
      </w:r>
      <w:r w:rsidR="0072292A" w:rsidRPr="006F4720">
        <w:t>and finding its “broad declaration that a motion to quash is the proper way to contest whether an unlawful detainer complaint states a cause of action, and to challenge service of a notice to pay or quit, is not supportable.”  (</w:t>
      </w:r>
      <w:r w:rsidR="0008662C" w:rsidRPr="006F4720">
        <w:rPr>
          <w:i/>
        </w:rPr>
        <w:t>Borsuk</w:t>
      </w:r>
      <w:r w:rsidR="0008662C">
        <w:rPr>
          <w:iCs/>
        </w:rPr>
        <w:t>,</w:t>
      </w:r>
      <w:r w:rsidR="0008662C" w:rsidRPr="006F4720">
        <w:t xml:space="preserve"> </w:t>
      </w:r>
      <w:r w:rsidR="0072292A" w:rsidRPr="006F4720">
        <w:t xml:space="preserve">at p. </w:t>
      </w:r>
      <w:r w:rsidR="00EC114A" w:rsidRPr="006F4720">
        <w:t>612.)</w:t>
      </w:r>
      <w:r w:rsidR="0046353F">
        <w:t xml:space="preserve"> </w:t>
      </w:r>
    </w:p>
    <w:p w14:paraId="69520995" w14:textId="2ADD87C0" w:rsidR="004107F5" w:rsidRPr="00D262D3" w:rsidRDefault="008A0C55" w:rsidP="004107F5">
      <w:pPr>
        <w:tabs>
          <w:tab w:val="left" w:pos="720"/>
        </w:tabs>
      </w:pPr>
      <w:r>
        <w:tab/>
      </w:r>
      <w:r w:rsidR="005A223B">
        <w:t xml:space="preserve">What these appellate courts held is not in conflict:  </w:t>
      </w:r>
      <w:r w:rsidR="00EF3AD9">
        <w:t xml:space="preserve">under </w:t>
      </w:r>
      <w:r w:rsidR="00EF3AD9" w:rsidRPr="00136052">
        <w:rPr>
          <w:i/>
          <w:iCs/>
        </w:rPr>
        <w:t>Delta Imports</w:t>
      </w:r>
      <w:r w:rsidR="00EF3AD9">
        <w:t xml:space="preserve">, a defendant may use a motion to quash to challenge service of summons on the ground the accompanying complaint lacks even the </w:t>
      </w:r>
      <w:r w:rsidR="008E6A5D">
        <w:t>minimal</w:t>
      </w:r>
      <w:r w:rsidR="00EF3AD9">
        <w:t xml:space="preserve"> </w:t>
      </w:r>
      <w:r w:rsidR="006220EE" w:rsidRPr="00600981">
        <w:t>allegation</w:t>
      </w:r>
      <w:r w:rsidR="00136052">
        <w:t>s</w:t>
      </w:r>
      <w:r w:rsidR="00EF3AD9">
        <w:t xml:space="preserve"> required </w:t>
      </w:r>
      <w:r w:rsidR="00600981">
        <w:t>under section 1161</w:t>
      </w:r>
      <w:r w:rsidR="006220EE" w:rsidRPr="006A3F35">
        <w:t>.</w:t>
      </w:r>
      <w:r w:rsidR="006220EE">
        <w:t xml:space="preserve"> </w:t>
      </w:r>
      <w:r w:rsidR="00E3288A">
        <w:t xml:space="preserve"> </w:t>
      </w:r>
      <w:r w:rsidR="00EF3AD9">
        <w:t xml:space="preserve">Under </w:t>
      </w:r>
      <w:r w:rsidR="004107F5">
        <w:rPr>
          <w:i/>
          <w:iCs/>
        </w:rPr>
        <w:t>Borsuk</w:t>
      </w:r>
      <w:r w:rsidR="00EF3AD9">
        <w:t xml:space="preserve">, a defendant may not use a </w:t>
      </w:r>
      <w:r w:rsidR="004107F5">
        <w:t xml:space="preserve">motion to quash service of summons to contest the </w:t>
      </w:r>
      <w:r w:rsidR="004107F5" w:rsidRPr="00136052">
        <w:rPr>
          <w:i/>
          <w:iCs/>
        </w:rPr>
        <w:t>truth</w:t>
      </w:r>
      <w:r w:rsidR="004107F5">
        <w:t xml:space="preserve"> of the complaint’s allegations.  </w:t>
      </w:r>
      <w:r w:rsidR="00136052">
        <w:t>T</w:t>
      </w:r>
      <w:r w:rsidR="00136052" w:rsidRPr="00136052">
        <w:t xml:space="preserve">he </w:t>
      </w:r>
      <w:r w:rsidR="00136052" w:rsidRPr="00136052">
        <w:rPr>
          <w:i/>
          <w:iCs/>
        </w:rPr>
        <w:t>Borsuk</w:t>
      </w:r>
      <w:r w:rsidR="00136052" w:rsidRPr="00136052">
        <w:t xml:space="preserve"> court was unduly dismissive of the reasoning</w:t>
      </w:r>
      <w:r w:rsidR="00136052" w:rsidRPr="00136052">
        <w:rPr>
          <w:i/>
          <w:iCs/>
        </w:rPr>
        <w:t xml:space="preserve"> </w:t>
      </w:r>
      <w:r w:rsidR="00136052" w:rsidRPr="00136052">
        <w:t xml:space="preserve">in </w:t>
      </w:r>
      <w:r w:rsidR="00136052" w:rsidRPr="00136052">
        <w:rPr>
          <w:i/>
          <w:iCs/>
        </w:rPr>
        <w:t>Delta Imports</w:t>
      </w:r>
      <w:r w:rsidR="00136052" w:rsidRPr="00136052">
        <w:t xml:space="preserve"> </w:t>
      </w:r>
      <w:r w:rsidR="00136052">
        <w:t xml:space="preserve">and conflated </w:t>
      </w:r>
      <w:r w:rsidR="00136052" w:rsidRPr="006A3F35">
        <w:t xml:space="preserve">the </w:t>
      </w:r>
      <w:r w:rsidR="00136052" w:rsidRPr="00600981">
        <w:rPr>
          <w:i/>
          <w:iCs/>
        </w:rPr>
        <w:t>absence</w:t>
      </w:r>
      <w:r w:rsidR="00136052" w:rsidRPr="006A3F35">
        <w:t xml:space="preserve"> of a </w:t>
      </w:r>
      <w:r w:rsidR="00136052">
        <w:t>minimally-</w:t>
      </w:r>
      <w:r w:rsidR="00136052" w:rsidRPr="00600981">
        <w:t>necessary allegation</w:t>
      </w:r>
      <w:r w:rsidR="00136052" w:rsidRPr="006A3F35">
        <w:t xml:space="preserve"> </w:t>
      </w:r>
      <w:r w:rsidR="00136052">
        <w:t>under section 1161 with</w:t>
      </w:r>
      <w:r w:rsidR="00136052" w:rsidRPr="006A3F35">
        <w:t xml:space="preserve"> the </w:t>
      </w:r>
      <w:r w:rsidR="00136052" w:rsidRPr="006A3F35">
        <w:rPr>
          <w:i/>
          <w:iCs/>
        </w:rPr>
        <w:t>truth</w:t>
      </w:r>
      <w:r w:rsidR="00136052" w:rsidRPr="006A3F35">
        <w:t xml:space="preserve"> of the allegation</w:t>
      </w:r>
      <w:r w:rsidR="00136052">
        <w:t xml:space="preserve">.  </w:t>
      </w:r>
      <w:r w:rsidR="004107F5">
        <w:t>B</w:t>
      </w:r>
      <w:r w:rsidR="00136052">
        <w:t>ut b</w:t>
      </w:r>
      <w:r w:rsidR="004107F5">
        <w:t xml:space="preserve">ecause the defendant did not challenge the unlawful detainer five-day summons as defective and unsupported by the complaint, the </w:t>
      </w:r>
      <w:r w:rsidR="004107F5">
        <w:rPr>
          <w:i/>
          <w:iCs/>
        </w:rPr>
        <w:t>Borsuk</w:t>
      </w:r>
      <w:r w:rsidR="004107F5">
        <w:t xml:space="preserve"> court correctly deemed her motion to quash improper.  </w:t>
      </w:r>
    </w:p>
    <w:p w14:paraId="431F5B99" w14:textId="1BD102C1" w:rsidR="00CB7A28" w:rsidRPr="00D262D3" w:rsidRDefault="004107F5" w:rsidP="006F4720">
      <w:pPr>
        <w:tabs>
          <w:tab w:val="left" w:pos="720"/>
        </w:tabs>
      </w:pPr>
      <w:r>
        <w:tab/>
      </w:r>
      <w:r w:rsidR="00E3288A">
        <w:rPr>
          <w:i/>
          <w:iCs/>
        </w:rPr>
        <w:t>Delta Imports</w:t>
      </w:r>
      <w:r>
        <w:t xml:space="preserve"> had a more specific holding, supported by a more narrowly tailored logic, than what the appellate court in </w:t>
      </w:r>
      <w:r>
        <w:rPr>
          <w:i/>
          <w:iCs/>
        </w:rPr>
        <w:t xml:space="preserve">Borsuk </w:t>
      </w:r>
      <w:r>
        <w:t xml:space="preserve">understood:  </w:t>
      </w:r>
      <w:r w:rsidR="00E3288A">
        <w:t xml:space="preserve">the </w:t>
      </w:r>
      <w:r w:rsidR="00255FC3">
        <w:t xml:space="preserve">defendant used a </w:t>
      </w:r>
      <w:r w:rsidR="00E3288A">
        <w:t xml:space="preserve">motion to quash </w:t>
      </w:r>
      <w:r w:rsidR="00255FC3">
        <w:t>to</w:t>
      </w:r>
      <w:r w:rsidR="00DE38A9">
        <w:t xml:space="preserve"> contest</w:t>
      </w:r>
      <w:r w:rsidR="00255FC3">
        <w:t xml:space="preserve"> the unlawful detainer five-day summons </w:t>
      </w:r>
      <w:r w:rsidR="006A56B8">
        <w:t>as defective</w:t>
      </w:r>
      <w:r w:rsidR="00FC06A1">
        <w:t xml:space="preserve"> </w:t>
      </w:r>
      <w:r w:rsidR="00A7070E">
        <w:t xml:space="preserve">because </w:t>
      </w:r>
      <w:r w:rsidR="006A3F35">
        <w:t xml:space="preserve">the accompanying complaint </w:t>
      </w:r>
      <w:r w:rsidR="00255FC3">
        <w:t xml:space="preserve">did not allege the defendant was guilty </w:t>
      </w:r>
      <w:r w:rsidR="00E76C81">
        <w:t xml:space="preserve">of </w:t>
      </w:r>
      <w:r w:rsidR="00255FC3">
        <w:t xml:space="preserve">unlawful detainer </w:t>
      </w:r>
      <w:r w:rsidR="0099349B">
        <w:t xml:space="preserve">as defined in </w:t>
      </w:r>
      <w:r w:rsidR="00255FC3">
        <w:t xml:space="preserve">section 1161, subdivision 3.  </w:t>
      </w:r>
      <w:r w:rsidR="006A3F35">
        <w:t xml:space="preserve">The complaint at issue in </w:t>
      </w:r>
      <w:r w:rsidR="006A3F35" w:rsidRPr="00CF1A1D">
        <w:rPr>
          <w:i/>
          <w:iCs/>
        </w:rPr>
        <w:t xml:space="preserve">Delta Imports </w:t>
      </w:r>
      <w:r w:rsidR="007F1624" w:rsidRPr="00CF1A1D">
        <w:t xml:space="preserve">lacked the necessary notice allegations required under section 1161, subdivision 3, so the </w:t>
      </w:r>
      <w:r w:rsidR="00E96918" w:rsidRPr="00CF1A1D">
        <w:t>complaint</w:t>
      </w:r>
      <w:r w:rsidR="00C92D97" w:rsidRPr="00CF1A1D">
        <w:t xml:space="preserve"> </w:t>
      </w:r>
      <w:r w:rsidR="007F1624" w:rsidRPr="00CF1A1D">
        <w:t xml:space="preserve">was not </w:t>
      </w:r>
      <w:r w:rsidR="00E96918" w:rsidRPr="00CF1A1D">
        <w:t xml:space="preserve">one for </w:t>
      </w:r>
      <w:r w:rsidR="007F1624" w:rsidRPr="00CF1A1D">
        <w:t xml:space="preserve">unlawful detainer. </w:t>
      </w:r>
      <w:r w:rsidR="00407E3C" w:rsidRPr="00CF1A1D">
        <w:t xml:space="preserve"> </w:t>
      </w:r>
      <w:bookmarkStart w:id="9" w:name="_Hlk64981726"/>
      <w:r w:rsidR="008E6E31">
        <w:t xml:space="preserve">In contrast, the defendant in </w:t>
      </w:r>
      <w:r w:rsidR="008E6E31">
        <w:rPr>
          <w:i/>
          <w:iCs/>
        </w:rPr>
        <w:t>Borsuk</w:t>
      </w:r>
      <w:r w:rsidR="008E6E31">
        <w:t xml:space="preserve"> </w:t>
      </w:r>
      <w:r w:rsidR="00463BDE">
        <w:t xml:space="preserve">sought to challenge the </w:t>
      </w:r>
      <w:r w:rsidR="00463BDE">
        <w:rPr>
          <w:i/>
          <w:iCs/>
        </w:rPr>
        <w:t xml:space="preserve">truth </w:t>
      </w:r>
      <w:r w:rsidR="00463BDE">
        <w:t>of the plaintiff’s notice allegations</w:t>
      </w:r>
      <w:r w:rsidR="00A13CAA">
        <w:t xml:space="preserve"> with a motion to quash.  </w:t>
      </w:r>
      <w:r w:rsidR="008E6E31">
        <w:t>(</w:t>
      </w:r>
      <w:r w:rsidR="008E6E31">
        <w:rPr>
          <w:i/>
          <w:iCs/>
        </w:rPr>
        <w:t>Borsuk</w:t>
      </w:r>
      <w:r w:rsidR="008E6E31">
        <w:t xml:space="preserve">, </w:t>
      </w:r>
      <w:r w:rsidR="008E6E31">
        <w:rPr>
          <w:i/>
          <w:iCs/>
        </w:rPr>
        <w:t>supra</w:t>
      </w:r>
      <w:r w:rsidR="008E6E31">
        <w:t>, 242 Cal.App.4th at p. 610.)</w:t>
      </w:r>
      <w:r w:rsidR="004061A9">
        <w:t xml:space="preserve">  </w:t>
      </w:r>
      <w:r w:rsidR="005E403E">
        <w:t xml:space="preserve"> </w:t>
      </w:r>
      <w:bookmarkStart w:id="10" w:name="_Hlk64981753"/>
      <w:bookmarkEnd w:id="9"/>
    </w:p>
    <w:bookmarkEnd w:id="10"/>
    <w:p w14:paraId="2CE7D8C2" w14:textId="64FFCFCD" w:rsidR="004E0288" w:rsidRDefault="00672CC1" w:rsidP="00D043CF">
      <w:pPr>
        <w:tabs>
          <w:tab w:val="left" w:pos="720"/>
        </w:tabs>
      </w:pPr>
      <w:r>
        <w:tab/>
      </w:r>
      <w:r w:rsidR="00210A9B">
        <w:t>Having reviewed these cases, w</w:t>
      </w:r>
      <w:r>
        <w:t xml:space="preserve">e glean two </w:t>
      </w:r>
      <w:r w:rsidR="00D043CF">
        <w:t xml:space="preserve">related </w:t>
      </w:r>
      <w:r>
        <w:t>conclusions.  First, a motion to quash service of summons under section 418.10 is</w:t>
      </w:r>
      <w:r w:rsidR="00D043CF">
        <w:t xml:space="preserve"> as</w:t>
      </w:r>
      <w:r>
        <w:t xml:space="preserve"> limited in unlawful detainer </w:t>
      </w:r>
      <w:r w:rsidR="00D66B2C">
        <w:t xml:space="preserve">actions </w:t>
      </w:r>
      <w:r>
        <w:t xml:space="preserve">as it is in other </w:t>
      </w:r>
      <w:r w:rsidR="00A95EC1">
        <w:t xml:space="preserve">civil actions:  </w:t>
      </w:r>
      <w:r w:rsidR="00D043CF">
        <w:t>to</w:t>
      </w:r>
      <w:r w:rsidR="00A95EC1">
        <w:t xml:space="preserve"> challenge the service of process </w:t>
      </w:r>
      <w:r w:rsidR="0015555B">
        <w:t xml:space="preserve">as improper </w:t>
      </w:r>
      <w:r w:rsidR="00A95EC1">
        <w:t xml:space="preserve">or </w:t>
      </w:r>
      <w:r w:rsidR="0015555B">
        <w:t xml:space="preserve">the </w:t>
      </w:r>
      <w:r w:rsidR="00A95EC1">
        <w:t>summons</w:t>
      </w:r>
      <w:r w:rsidR="0015555B">
        <w:t xml:space="preserve"> as defective</w:t>
      </w:r>
      <w:r w:rsidR="00A95EC1">
        <w:t xml:space="preserve">.  </w:t>
      </w:r>
      <w:r w:rsidR="0056257C">
        <w:t>These cases do not support</w:t>
      </w:r>
      <w:r w:rsidR="0096552B">
        <w:t xml:space="preserve"> Stancil’s contention that </w:t>
      </w:r>
      <w:r w:rsidR="0096552B" w:rsidRPr="006F4720">
        <w:t xml:space="preserve">if the complaint is faulty </w:t>
      </w:r>
      <w:r w:rsidR="00D043CF">
        <w:t xml:space="preserve">in any conceivable way, </w:t>
      </w:r>
      <w:r w:rsidR="0096552B">
        <w:t xml:space="preserve">the </w:t>
      </w:r>
      <w:r w:rsidR="0096552B" w:rsidRPr="006F4720">
        <w:t xml:space="preserve">five-day summons </w:t>
      </w:r>
      <w:r w:rsidR="0096552B">
        <w:t xml:space="preserve">cannot confer </w:t>
      </w:r>
      <w:r w:rsidR="0096552B" w:rsidRPr="006F4720">
        <w:t>personal jurisdiction.</w:t>
      </w:r>
      <w:r w:rsidR="001A7D58">
        <w:t xml:space="preserve">  </w:t>
      </w:r>
      <w:r w:rsidR="004E0D68">
        <w:t xml:space="preserve">Nor do they expand the scope of a motion to quash in the unlawful detainer context.  </w:t>
      </w:r>
      <w:r w:rsidR="00D043CF">
        <w:t>A more sensible conclusion is that proper</w:t>
      </w:r>
      <w:r w:rsidR="004E0288">
        <w:t xml:space="preserve"> </w:t>
      </w:r>
      <w:r w:rsidR="006F19D4">
        <w:t xml:space="preserve">service of process </w:t>
      </w:r>
      <w:r w:rsidR="00D043CF">
        <w:t>under</w:t>
      </w:r>
      <w:r w:rsidR="006F19D4">
        <w:t xml:space="preserve"> sections 412.20 and 1167, </w:t>
      </w:r>
      <w:r w:rsidR="004E0288">
        <w:t>providing a copy of the summons and complaint to the defendant</w:t>
      </w:r>
      <w:r w:rsidR="006F19D4">
        <w:t>,</w:t>
      </w:r>
      <w:r w:rsidR="004E0288">
        <w:t xml:space="preserve"> </w:t>
      </w:r>
      <w:r w:rsidR="004E0288" w:rsidRPr="006F4720">
        <w:t xml:space="preserve">confers </w:t>
      </w:r>
      <w:r w:rsidR="004E0288">
        <w:t xml:space="preserve">personal </w:t>
      </w:r>
      <w:r w:rsidR="004E0288" w:rsidRPr="006F4720">
        <w:t>jurisdiction</w:t>
      </w:r>
      <w:r w:rsidR="006F19D4">
        <w:t xml:space="preserve"> in an unlawful detainer case</w:t>
      </w:r>
      <w:r w:rsidR="004E0288" w:rsidRPr="006F4720">
        <w:t xml:space="preserve">.  (§ 410.50.)  </w:t>
      </w:r>
    </w:p>
    <w:p w14:paraId="5A7B55E0" w14:textId="78FF9B15" w:rsidR="001A7D58" w:rsidRDefault="001A7D58" w:rsidP="004E0288">
      <w:pPr>
        <w:tabs>
          <w:tab w:val="left" w:pos="720"/>
        </w:tabs>
      </w:pPr>
      <w:r>
        <w:tab/>
      </w:r>
      <w:r w:rsidR="00BA30AB">
        <w:t>T</w:t>
      </w:r>
      <w:r>
        <w:t xml:space="preserve">hese cases </w:t>
      </w:r>
      <w:r w:rsidR="00D043CF">
        <w:t xml:space="preserve">also support a second, equally important conclusion: </w:t>
      </w:r>
      <w:r w:rsidR="008120CA">
        <w:t xml:space="preserve"> </w:t>
      </w:r>
      <w:r w:rsidR="00D043CF">
        <w:t>that</w:t>
      </w:r>
      <w:r>
        <w:t xml:space="preserve"> a </w:t>
      </w:r>
      <w:r w:rsidR="00D043CF">
        <w:t xml:space="preserve">defendant may properly use a </w:t>
      </w:r>
      <w:r>
        <w:t xml:space="preserve">motion to quash </w:t>
      </w:r>
      <w:r w:rsidR="00D043CF">
        <w:t>to</w:t>
      </w:r>
      <w:r>
        <w:t xml:space="preserve"> challenge personal jurisdiction in an unlawful detainer case.  Section 418.10 authorizes a motion to quash only </w:t>
      </w:r>
      <w:r w:rsidRPr="006F4720">
        <w:t>where the summons is improper</w:t>
      </w:r>
      <w:r w:rsidR="008120CA">
        <w:t>,</w:t>
      </w:r>
      <w:r w:rsidRPr="006F4720">
        <w:t xml:space="preserve"> or the service </w:t>
      </w:r>
      <w:r w:rsidR="001F26E3">
        <w:t xml:space="preserve">of process is </w:t>
      </w:r>
      <w:r w:rsidRPr="006F4720">
        <w:t>defective.</w:t>
      </w:r>
      <w:r w:rsidR="00E746C7">
        <w:t xml:space="preserve">  </w:t>
      </w:r>
      <w:r w:rsidR="001F26E3">
        <w:t xml:space="preserve">Accordingly, an unlawful detainer defendant may properly file a motion to quash to contest </w:t>
      </w:r>
      <w:r w:rsidR="002404E6">
        <w:t>a</w:t>
      </w:r>
      <w:r w:rsidR="00AB08B0">
        <w:t xml:space="preserve"> </w:t>
      </w:r>
      <w:r w:rsidR="001F26E3">
        <w:t xml:space="preserve">summons.  </w:t>
      </w:r>
      <w:r w:rsidR="00E746C7">
        <w:t xml:space="preserve">The accelerated five-day summons </w:t>
      </w:r>
      <w:r w:rsidR="00F71634">
        <w:t xml:space="preserve">required under section 1167 is applicable </w:t>
      </w:r>
      <w:r w:rsidR="00F71634">
        <w:rPr>
          <w:i/>
          <w:iCs/>
        </w:rPr>
        <w:t>only</w:t>
      </w:r>
      <w:r w:rsidR="00F71634">
        <w:t xml:space="preserve"> in unlawful detainer cases.  So where the summons instructs the defendant to respond in five days but is not accompanied with a complaint for unlawful detainer, the summons is improper and may be challenged via a motion to quash.  A complaint that fails to </w:t>
      </w:r>
      <w:r w:rsidR="004107F5">
        <w:t xml:space="preserve">even </w:t>
      </w:r>
      <w:r w:rsidR="00EA5A6D">
        <w:t xml:space="preserve">allege the defendant is guilty </w:t>
      </w:r>
      <w:r w:rsidR="00C77761">
        <w:t>of</w:t>
      </w:r>
      <w:r w:rsidR="00EA5A6D">
        <w:t xml:space="preserve"> unlawful detainer, as </w:t>
      </w:r>
      <w:r w:rsidR="0099349B">
        <w:t xml:space="preserve">defined </w:t>
      </w:r>
      <w:r w:rsidR="00EA5A6D">
        <w:t xml:space="preserve">in the relevant subdivision of section 1161, </w:t>
      </w:r>
      <w:r w:rsidR="00402763">
        <w:t>cannot support the five-day summons</w:t>
      </w:r>
      <w:r w:rsidR="00EB2370">
        <w:t xml:space="preserve"> exclusive to unlawful detainer cases</w:t>
      </w:r>
      <w:r w:rsidR="00402763">
        <w:t xml:space="preserve">. </w:t>
      </w:r>
      <w:r w:rsidR="001E5B83">
        <w:t xml:space="preserve"> </w:t>
      </w:r>
      <w:r w:rsidR="00E2113D">
        <w:t xml:space="preserve">In those </w:t>
      </w:r>
      <w:r w:rsidR="00696EF6">
        <w:t xml:space="preserve">limited </w:t>
      </w:r>
      <w:r w:rsidR="00E2113D">
        <w:t>circumstances,</w:t>
      </w:r>
      <w:r w:rsidR="00E4760E">
        <w:t xml:space="preserve"> which we expect to arise infrequently,</w:t>
      </w:r>
      <w:r w:rsidR="00E2113D">
        <w:t xml:space="preserve"> </w:t>
      </w:r>
      <w:r w:rsidR="007A707F">
        <w:t xml:space="preserve">an unlawful detainer defendant may </w:t>
      </w:r>
      <w:r w:rsidR="00A817FD">
        <w:t xml:space="preserve">choose to </w:t>
      </w:r>
      <w:r w:rsidR="007A707F">
        <w:t>use a motion to quash to challenge the summons as improper.</w:t>
      </w:r>
      <w:r w:rsidR="00047048">
        <w:t xml:space="preserve">  Our holding does not foreclose a defendant from consenting to the court’s jurisdiction and responding to the five-day summons using a different procedural tool, like a demurrer or answer</w:t>
      </w:r>
      <w:r w:rsidR="004E4DD0">
        <w:t xml:space="preserve"> </w:t>
      </w:r>
      <w:r w:rsidR="004E4DD0">
        <w:rPr>
          <w:rFonts w:eastAsia="Century Schoolbook" w:cs="Century Schoolbook"/>
        </w:rPr>
        <w:t>(§§</w:t>
      </w:r>
      <w:r w:rsidR="004E4DD0">
        <w:t> 430.10</w:t>
      </w:r>
      <w:r w:rsidR="001C76BC">
        <w:t xml:space="preserve">, </w:t>
      </w:r>
      <w:r w:rsidR="004E4DD0">
        <w:t>430.30)</w:t>
      </w:r>
      <w:r w:rsidR="00BB1452">
        <w:t xml:space="preserve">.  Nor does it stop a defendant </w:t>
      </w:r>
      <w:r w:rsidR="00BD5954">
        <w:t>from simultaneously challenging personal jurisdiction and the sufficiency of the complaint by filing a motion to quash as well as a demurrer, answer, or motion to strike (</w:t>
      </w:r>
      <w:r w:rsidR="00BD5954">
        <w:rPr>
          <w:rFonts w:eastAsia="Century Schoolbook" w:cs="Century Schoolbook"/>
        </w:rPr>
        <w:t>§ 418.10, subd. (e)).</w:t>
      </w:r>
      <w:r w:rsidR="00093CED">
        <w:t xml:space="preserve"> </w:t>
      </w:r>
    </w:p>
    <w:p w14:paraId="0C325D4E" w14:textId="25FC74E1" w:rsidR="001A7D58" w:rsidRPr="007616FD" w:rsidRDefault="00C71AA0" w:rsidP="007616FD">
      <w:pPr>
        <w:tabs>
          <w:tab w:val="left" w:pos="720"/>
        </w:tabs>
        <w:jc w:val="center"/>
        <w:rPr>
          <w:b/>
          <w:bCs/>
        </w:rPr>
      </w:pPr>
      <w:r w:rsidRPr="00AB0E8E">
        <w:rPr>
          <w:b/>
          <w:bCs/>
        </w:rPr>
        <w:t>D.</w:t>
      </w:r>
    </w:p>
    <w:p w14:paraId="65A40A2D" w14:textId="24DEE38C" w:rsidR="00CD679F" w:rsidRDefault="004E0288" w:rsidP="006F4720">
      <w:pPr>
        <w:tabs>
          <w:tab w:val="left" w:pos="720"/>
        </w:tabs>
      </w:pPr>
      <w:r w:rsidRPr="006F4720">
        <w:tab/>
      </w:r>
      <w:r w:rsidR="00AE437E" w:rsidRPr="00AE437E">
        <w:t xml:space="preserve"> </w:t>
      </w:r>
      <w:r w:rsidR="00AE437E" w:rsidRPr="006F4720">
        <w:t xml:space="preserve">Stancil’s arguments </w:t>
      </w:r>
      <w:r w:rsidR="00AE437E">
        <w:t>in this case underscore the need for clarity about the</w:t>
      </w:r>
      <w:r w:rsidR="00AE437E" w:rsidRPr="006F4720">
        <w:t xml:space="preserve"> statutory </w:t>
      </w:r>
      <w:r w:rsidR="00094C41">
        <w:t>requirements</w:t>
      </w:r>
      <w:r w:rsidR="00094C41" w:rsidRPr="006F4720">
        <w:t xml:space="preserve"> </w:t>
      </w:r>
      <w:r w:rsidR="00AE437E" w:rsidRPr="006F4720">
        <w:t xml:space="preserve">for unlawful detainer complaints.  </w:t>
      </w:r>
      <w:r w:rsidR="00A36EEE" w:rsidRPr="006F4720">
        <w:t xml:space="preserve">Stancil </w:t>
      </w:r>
      <w:r w:rsidR="00075092">
        <w:t xml:space="preserve">does not </w:t>
      </w:r>
      <w:r w:rsidR="00112204">
        <w:t xml:space="preserve">allege that </w:t>
      </w:r>
      <w:r w:rsidR="00075092">
        <w:t xml:space="preserve">the </w:t>
      </w:r>
      <w:r w:rsidR="00C71AA0">
        <w:t>City</w:t>
      </w:r>
      <w:r w:rsidR="00094C41">
        <w:t xml:space="preserve">’s complaint </w:t>
      </w:r>
      <w:r w:rsidR="00112204">
        <w:t xml:space="preserve">cannot </w:t>
      </w:r>
      <w:r w:rsidR="00094C41">
        <w:t xml:space="preserve">support the unlawful detainer five-day summons.  </w:t>
      </w:r>
      <w:r w:rsidR="002320A6">
        <w:t xml:space="preserve">Nor does he identify a defect with the summons or service of process.  </w:t>
      </w:r>
      <w:r w:rsidR="00611A92" w:rsidRPr="006F4720">
        <w:t xml:space="preserve">Instead, he </w:t>
      </w:r>
      <w:r w:rsidR="00D902DE">
        <w:t xml:space="preserve">challenges the truth of the City’s allegation that it has </w:t>
      </w:r>
      <w:r w:rsidR="00EF5B7E">
        <w:t>the right to terminate his rental agreement</w:t>
      </w:r>
      <w:r w:rsidR="00611A92" w:rsidRPr="006F4720">
        <w:t xml:space="preserve">.  </w:t>
      </w:r>
      <w:r w:rsidR="002320A6">
        <w:t xml:space="preserve">Stancil’s challenge to the City’s complaint is therefore improperly raised on a motion to quash.  </w:t>
      </w:r>
      <w:r w:rsidR="001C0B78">
        <w:t xml:space="preserve">We conclude that a motion to quash service of summons is not the proper procedure for </w:t>
      </w:r>
      <w:r w:rsidR="003D6DF0">
        <w:t>Stancil</w:t>
      </w:r>
      <w:r w:rsidR="001C0B78">
        <w:t xml:space="preserve"> to challenge the </w:t>
      </w:r>
      <w:r w:rsidR="00D775F8">
        <w:t xml:space="preserve">merits of the allegations contained in the </w:t>
      </w:r>
      <w:r w:rsidR="003D6DF0">
        <w:t>City</w:t>
      </w:r>
      <w:r w:rsidR="001C0B78">
        <w:t>’s unlawful detainer</w:t>
      </w:r>
      <w:r w:rsidR="00D775F8">
        <w:t xml:space="preserve"> complaint</w:t>
      </w:r>
      <w:r w:rsidR="001C0B78">
        <w:t xml:space="preserve">.  </w:t>
      </w:r>
    </w:p>
    <w:p w14:paraId="76A0793C" w14:textId="42CCC3EE" w:rsidR="002A3E42" w:rsidRPr="006F4720" w:rsidRDefault="009D02BE" w:rsidP="00D043CF">
      <w:pPr>
        <w:tabs>
          <w:tab w:val="left" w:pos="720"/>
        </w:tabs>
      </w:pPr>
      <w:r w:rsidRPr="006F4720">
        <w:tab/>
      </w:r>
      <w:r w:rsidR="00D043CF">
        <w:t>Under the relevant statutory provisions, the</w:t>
      </w:r>
      <w:r w:rsidR="008E3F97" w:rsidRPr="006F4720">
        <w:t xml:space="preserve"> speedy adjudication of unlawful detainer cases for lessors </w:t>
      </w:r>
      <w:r w:rsidR="00F90E72" w:rsidRPr="006F4720">
        <w:t xml:space="preserve">is </w:t>
      </w:r>
      <w:r w:rsidR="008E3F97" w:rsidRPr="006F4720">
        <w:t xml:space="preserve">balanced by ensuring </w:t>
      </w:r>
      <w:r w:rsidR="00D53A35" w:rsidRPr="006F4720">
        <w:t>their strict adherence to the rigorous requirements for service and notice.</w:t>
      </w:r>
      <w:r w:rsidR="0050645B" w:rsidRPr="006F4720">
        <w:t xml:space="preserve">  </w:t>
      </w:r>
      <w:r w:rsidR="008B399D" w:rsidRPr="006F4720">
        <w:t xml:space="preserve">But a motion to quash or set aside the summons pursuant to section 418.10 </w:t>
      </w:r>
      <w:r w:rsidR="000455EB">
        <w:t xml:space="preserve">does not, and </w:t>
      </w:r>
      <w:r w:rsidR="0073692F" w:rsidRPr="006F4720">
        <w:t xml:space="preserve">cannot address every issue with an unlawful detainer complaint. </w:t>
      </w:r>
      <w:r w:rsidR="00D04133">
        <w:t xml:space="preserve"> In the context of unlawful detainer, </w:t>
      </w:r>
      <w:r w:rsidR="008D480B">
        <w:t xml:space="preserve">as in other proceedings, </w:t>
      </w:r>
      <w:r w:rsidR="00D04133">
        <w:t>a motion to quash remains</w:t>
      </w:r>
      <w:r w:rsidR="0073692F" w:rsidRPr="006F4720">
        <w:t xml:space="preserve"> </w:t>
      </w:r>
      <w:r w:rsidR="00874ED3" w:rsidRPr="00657AD1">
        <w:t>a procedural tool to challenge personal jurisdiction</w:t>
      </w:r>
      <w:r w:rsidR="00780E6D">
        <w:t xml:space="preserve">.  A defendant may use a motion to quash </w:t>
      </w:r>
      <w:r w:rsidR="00874ED3" w:rsidRPr="00657AD1">
        <w:t xml:space="preserve">where </w:t>
      </w:r>
      <w:r w:rsidR="004F7A13" w:rsidRPr="00F251AE">
        <w:t xml:space="preserve">the </w:t>
      </w:r>
      <w:r w:rsidR="001652F2">
        <w:t xml:space="preserve">unlawful detainer </w:t>
      </w:r>
      <w:r w:rsidR="00D04133" w:rsidRPr="00F251AE">
        <w:t xml:space="preserve">five-day </w:t>
      </w:r>
      <w:r w:rsidR="00874ED3" w:rsidRPr="00CB51A6">
        <w:t xml:space="preserve">summons </w:t>
      </w:r>
      <w:r w:rsidR="004F7A13" w:rsidRPr="00F251AE">
        <w:t xml:space="preserve">is unsupported </w:t>
      </w:r>
      <w:r w:rsidR="00F37BFB">
        <w:t xml:space="preserve">by </w:t>
      </w:r>
      <w:r w:rsidR="004F7A13" w:rsidRPr="00F251AE">
        <w:t xml:space="preserve">the accompanying complaint </w:t>
      </w:r>
      <w:r w:rsidR="00F37BFB">
        <w:t xml:space="preserve">because it </w:t>
      </w:r>
      <w:r w:rsidR="0038511E">
        <w:t>is not one for unlawful detainer</w:t>
      </w:r>
      <w:r w:rsidR="00874ED3" w:rsidRPr="00657AD1">
        <w:t>.</w:t>
      </w:r>
      <w:r w:rsidR="00874ED3" w:rsidRPr="006F4720">
        <w:t xml:space="preserve">  </w:t>
      </w:r>
    </w:p>
    <w:p w14:paraId="6AE9260D" w14:textId="0097A4C3" w:rsidR="009156CF" w:rsidRPr="006F4720" w:rsidRDefault="00AF5D44" w:rsidP="006F4720">
      <w:pPr>
        <w:tabs>
          <w:tab w:val="left" w:pos="720"/>
          <w:tab w:val="left" w:pos="1440"/>
        </w:tabs>
      </w:pPr>
      <w:r w:rsidRPr="006F4720">
        <w:tab/>
      </w:r>
      <w:r w:rsidR="00480F93" w:rsidRPr="006F4720">
        <w:t>T</w:t>
      </w:r>
      <w:r w:rsidR="005A63DE" w:rsidRPr="006F4720">
        <w:t xml:space="preserve">he </w:t>
      </w:r>
      <w:r w:rsidR="00873931" w:rsidRPr="006F4720">
        <w:t>s</w:t>
      </w:r>
      <w:r w:rsidR="00FB73AC" w:rsidRPr="006F4720">
        <w:t xml:space="preserve">uperior </w:t>
      </w:r>
      <w:r w:rsidR="00873931" w:rsidRPr="006F4720">
        <w:t>c</w:t>
      </w:r>
      <w:r w:rsidR="00FB73AC" w:rsidRPr="006F4720">
        <w:t xml:space="preserve">ourt </w:t>
      </w:r>
      <w:r w:rsidR="005A63DE" w:rsidRPr="006F4720">
        <w:t xml:space="preserve">was </w:t>
      </w:r>
      <w:r w:rsidR="00480F93" w:rsidRPr="006F4720">
        <w:t>right when it found</w:t>
      </w:r>
      <w:r w:rsidR="005A63DE" w:rsidRPr="006F4720">
        <w:t xml:space="preserve"> Stancil</w:t>
      </w:r>
      <w:r w:rsidR="00FD6DE4" w:rsidRPr="006F4720">
        <w:t xml:space="preserve"> improperly used a motion to quash </w:t>
      </w:r>
      <w:r w:rsidR="00A20B2B">
        <w:t>to</w:t>
      </w:r>
      <w:r w:rsidR="00DA7109" w:rsidRPr="006F4720">
        <w:t xml:space="preserve"> </w:t>
      </w:r>
      <w:r w:rsidR="00A36F80">
        <w:t>argue</w:t>
      </w:r>
      <w:r w:rsidR="00A36F80" w:rsidRPr="006F4720">
        <w:t xml:space="preserve"> </w:t>
      </w:r>
      <w:r w:rsidR="005A63DE" w:rsidRPr="006F4720">
        <w:t>the City</w:t>
      </w:r>
      <w:r w:rsidR="00A36F80">
        <w:t xml:space="preserve"> didn’t have the right to terminate his rental agreement.</w:t>
      </w:r>
      <w:r w:rsidR="005A63DE" w:rsidRPr="006F4720">
        <w:t xml:space="preserve">  </w:t>
      </w:r>
      <w:r w:rsidR="00AE437E">
        <w:t xml:space="preserve">Unlawful detainer is a special procedure </w:t>
      </w:r>
      <w:r w:rsidR="00D00785">
        <w:t>available only for a limited purpose</w:t>
      </w:r>
      <w:r w:rsidR="00AE437E">
        <w:t xml:space="preserve">, but </w:t>
      </w:r>
      <w:r w:rsidR="00D00785">
        <w:t>so is a motion to quash.</w:t>
      </w:r>
      <w:r w:rsidR="00AE437E">
        <w:t xml:space="preserve"> </w:t>
      </w:r>
      <w:r w:rsidR="004C3753">
        <w:t xml:space="preserve"> </w:t>
      </w:r>
      <w:r w:rsidR="00AE437E">
        <w:t xml:space="preserve">Had the trial court concluded otherwise, it would have effectively countenanced the use of </w:t>
      </w:r>
      <w:r w:rsidR="00077A0B">
        <w:t xml:space="preserve">a motion to quash </w:t>
      </w:r>
      <w:r w:rsidR="00AE437E">
        <w:t xml:space="preserve">as a means of disputing the </w:t>
      </w:r>
      <w:r w:rsidR="00A36F80">
        <w:t xml:space="preserve">truth of the allegations in </w:t>
      </w:r>
      <w:r w:rsidR="00AE437E">
        <w:t xml:space="preserve">the complaint.  Instead, a motion to quash </w:t>
      </w:r>
      <w:r w:rsidR="00077A0B">
        <w:t xml:space="preserve">service of summons </w:t>
      </w:r>
      <w:r w:rsidR="00AE437E">
        <w:t>permits a defendant to</w:t>
      </w:r>
      <w:r w:rsidR="00077A0B">
        <w:t xml:space="preserve"> challenge the court’s jurisdiction where the service of process is defective</w:t>
      </w:r>
      <w:r w:rsidR="00AE437E">
        <w:t>,</w:t>
      </w:r>
      <w:r w:rsidR="00077A0B">
        <w:t xml:space="preserve"> or the </w:t>
      </w:r>
      <w:r w:rsidR="00481209">
        <w:t xml:space="preserve">unlawful detainer </w:t>
      </w:r>
      <w:r w:rsidR="00077A0B">
        <w:t xml:space="preserve">five-day summons is </w:t>
      </w:r>
      <w:r w:rsidR="005324BA">
        <w:t xml:space="preserve">accompanied </w:t>
      </w:r>
      <w:r w:rsidR="00077A0B">
        <w:t xml:space="preserve">by a complaint that </w:t>
      </w:r>
      <w:r w:rsidR="00315CBD">
        <w:t xml:space="preserve">is not one for unlawful detainer because it fails to </w:t>
      </w:r>
      <w:r w:rsidR="00FA3C5B">
        <w:t>allege</w:t>
      </w:r>
      <w:r w:rsidR="00315CBD">
        <w:t xml:space="preserve"> the defendant is guilty of unlawful detainer pursuant to the relevant subdivision of section 1161 or alleges</w:t>
      </w:r>
      <w:r w:rsidR="00FA3C5B">
        <w:t xml:space="preserve"> a different cause of action</w:t>
      </w:r>
      <w:r w:rsidR="007723EA">
        <w:t>, like breach of contract</w:t>
      </w:r>
      <w:r w:rsidR="001D0BCB">
        <w:t xml:space="preserve">.  </w:t>
      </w:r>
      <w:r w:rsidR="006C40FB" w:rsidRPr="006F4720">
        <w:t xml:space="preserve">This holding does not foreclose an unlawful detainer defendant from </w:t>
      </w:r>
      <w:r w:rsidR="00AE437E">
        <w:t>using</w:t>
      </w:r>
      <w:r w:rsidR="00AE437E" w:rsidRPr="006F4720">
        <w:t xml:space="preserve"> </w:t>
      </w:r>
      <w:r w:rsidR="006C40FB" w:rsidRPr="006F4720">
        <w:t xml:space="preserve">other procedural tools like a demurrer to challenge </w:t>
      </w:r>
      <w:r w:rsidR="008A233A">
        <w:t>the sufficiency of an</w:t>
      </w:r>
      <w:r w:rsidR="009E6A2A">
        <w:t xml:space="preserve"> unlawful detainer</w:t>
      </w:r>
      <w:r w:rsidR="008A233A">
        <w:t xml:space="preserve"> complaint</w:t>
      </w:r>
      <w:r w:rsidR="00D80A44" w:rsidRPr="006F4720">
        <w:t>.</w:t>
      </w:r>
      <w:r w:rsidR="001B320C">
        <w:t xml:space="preserve">  </w:t>
      </w:r>
      <w:r w:rsidR="004107F5">
        <w:t>Nothing compels a</w:t>
      </w:r>
      <w:r w:rsidR="001B320C">
        <w:t xml:space="preserve"> defendant to challenge personal jurisdiction using a motion to quash.  And </w:t>
      </w:r>
      <w:r w:rsidR="00E76C81">
        <w:t xml:space="preserve">a defendant may </w:t>
      </w:r>
      <w:r w:rsidR="00C77761">
        <w:t xml:space="preserve">simultaneously </w:t>
      </w:r>
      <w:r w:rsidR="00E76C81">
        <w:t xml:space="preserve">file a motion to quash, contesting the court’s jurisdiction, </w:t>
      </w:r>
      <w:r w:rsidR="00C77761">
        <w:t xml:space="preserve">and a demurrer, </w:t>
      </w:r>
      <w:r w:rsidR="00E76C81">
        <w:t xml:space="preserve">without </w:t>
      </w:r>
      <w:r w:rsidR="00C77761">
        <w:t xml:space="preserve">making a general appearance.  (§ 418.10, subd. (e).)  </w:t>
      </w:r>
      <w:r w:rsidR="00304532">
        <w:t xml:space="preserve">We therefore </w:t>
      </w:r>
      <w:r w:rsidR="00422514" w:rsidRPr="006F4720">
        <w:t xml:space="preserve">decline to adopt Stancil’s position that a motion to quash service of summons may </w:t>
      </w:r>
      <w:r w:rsidR="002E411E">
        <w:t xml:space="preserve">be used to </w:t>
      </w:r>
      <w:r w:rsidR="00AC7DE6">
        <w:t>dispute the truth of the allegations in an unlawful detainer complaint.</w:t>
      </w:r>
    </w:p>
    <w:bookmarkEnd w:id="6"/>
    <w:p w14:paraId="18ECE5F1" w14:textId="6447A16A" w:rsidR="00BA0242" w:rsidRPr="006F4720" w:rsidRDefault="00C647AF" w:rsidP="00723DEF">
      <w:pPr>
        <w:keepNext/>
        <w:tabs>
          <w:tab w:val="left" w:pos="720"/>
        </w:tabs>
        <w:jc w:val="center"/>
        <w:rPr>
          <w:b/>
        </w:rPr>
      </w:pPr>
      <w:r w:rsidRPr="006F4720">
        <w:rPr>
          <w:b/>
        </w:rPr>
        <w:t>III.</w:t>
      </w:r>
    </w:p>
    <w:p w14:paraId="58EF7B1C" w14:textId="19CE089F" w:rsidR="004D2A54" w:rsidRPr="006F4720" w:rsidRDefault="003C6176" w:rsidP="006F4720">
      <w:pPr>
        <w:tabs>
          <w:tab w:val="left" w:pos="720"/>
        </w:tabs>
      </w:pPr>
      <w:r w:rsidRPr="006F4720">
        <w:rPr>
          <w:b/>
        </w:rPr>
        <w:tab/>
      </w:r>
      <w:bookmarkStart w:id="11" w:name="_Hlk55467621"/>
      <w:r w:rsidR="004D2A54" w:rsidRPr="006F4720">
        <w:t xml:space="preserve">Motions to quash service of summons provide defendants with an </w:t>
      </w:r>
      <w:r w:rsidR="002135B2" w:rsidRPr="006F4720">
        <w:t>important tool</w:t>
      </w:r>
      <w:r w:rsidR="000844C0" w:rsidRPr="006F4720">
        <w:t xml:space="preserve"> t</w:t>
      </w:r>
      <w:r w:rsidR="000C37DA" w:rsidRPr="006F4720">
        <w:t xml:space="preserve">o quickly </w:t>
      </w:r>
      <w:r w:rsidR="00EA57A7" w:rsidRPr="006F4720">
        <w:t>challenge personal jurisdiction without waiving the right to defend on the merits or risking entry of default</w:t>
      </w:r>
      <w:r w:rsidR="00650837" w:rsidRPr="006F4720">
        <w:t>.</w:t>
      </w:r>
      <w:r w:rsidR="002135B2" w:rsidRPr="006F4720">
        <w:t xml:space="preserve">  </w:t>
      </w:r>
      <w:r w:rsidR="008B5F12" w:rsidRPr="006F4720">
        <w:t>The unlawful detainer statutes reflect the importance of resolving landlord-tenant disputes</w:t>
      </w:r>
      <w:r w:rsidR="00D00785">
        <w:t xml:space="preserve"> quickly</w:t>
      </w:r>
      <w:r w:rsidR="008B5F12" w:rsidRPr="006F4720">
        <w:t xml:space="preserve">.  Rather than </w:t>
      </w:r>
      <w:r w:rsidR="00DF0E74" w:rsidRPr="006F4720">
        <w:t>expanding the limited scope of motions to quash</w:t>
      </w:r>
      <w:r w:rsidR="008B5F12" w:rsidRPr="006F4720">
        <w:t xml:space="preserve"> in </w:t>
      </w:r>
      <w:r w:rsidR="0028378E" w:rsidRPr="006F4720">
        <w:t>the unlawful detainer context</w:t>
      </w:r>
      <w:r w:rsidR="008B5F12" w:rsidRPr="006F4720">
        <w:t>, the purpose and rationale of these statutes</w:t>
      </w:r>
      <w:r w:rsidR="002678E8" w:rsidRPr="006F4720">
        <w:t xml:space="preserve"> </w:t>
      </w:r>
      <w:r w:rsidR="0028378E" w:rsidRPr="006F4720">
        <w:t xml:space="preserve">reinforces the </w:t>
      </w:r>
      <w:r w:rsidR="008B5F12" w:rsidRPr="006F4720">
        <w:t xml:space="preserve">need </w:t>
      </w:r>
      <w:r w:rsidR="0028378E" w:rsidRPr="006F4720">
        <w:t xml:space="preserve">for </w:t>
      </w:r>
      <w:r w:rsidR="008B5F12" w:rsidRPr="006F4720">
        <w:t xml:space="preserve">such </w:t>
      </w:r>
      <w:r w:rsidR="0028378E" w:rsidRPr="006F4720">
        <w:t>limitations</w:t>
      </w:r>
      <w:r w:rsidR="004664A1" w:rsidRPr="006F4720">
        <w:t>.</w:t>
      </w:r>
      <w:r w:rsidR="00E0351C" w:rsidRPr="006F4720">
        <w:t xml:space="preserve">  </w:t>
      </w:r>
      <w:r w:rsidR="00564551" w:rsidRPr="00CB51A6">
        <w:t xml:space="preserve">We </w:t>
      </w:r>
      <w:r w:rsidR="00E0351C" w:rsidRPr="00CB51A6">
        <w:t>therefore conclude that a motion to quash service of summons can’t be used to challenge an</w:t>
      </w:r>
      <w:r w:rsidR="00B63ED9" w:rsidRPr="008C121D">
        <w:t xml:space="preserve">y </w:t>
      </w:r>
      <w:r w:rsidR="006F1E56">
        <w:t xml:space="preserve">conceivable </w:t>
      </w:r>
      <w:r w:rsidR="00B63ED9" w:rsidRPr="008C121D">
        <w:t xml:space="preserve">defect </w:t>
      </w:r>
      <w:r w:rsidR="00666FD2">
        <w:t xml:space="preserve">or the truth of the allegations </w:t>
      </w:r>
      <w:r w:rsidR="00B63ED9" w:rsidRPr="008C121D">
        <w:t>contained in an</w:t>
      </w:r>
      <w:r w:rsidR="00E0351C" w:rsidRPr="000928F3">
        <w:t xml:space="preserve"> unlawful detainer complaint.</w:t>
      </w:r>
      <w:r w:rsidR="00E13A7A" w:rsidRPr="006F4720">
        <w:t xml:space="preserve">  </w:t>
      </w:r>
      <w:r w:rsidR="00313BA9">
        <w:t xml:space="preserve">A motion to quash service of summons </w:t>
      </w:r>
      <w:r w:rsidR="00D00785">
        <w:t xml:space="preserve">permits a defendant to </w:t>
      </w:r>
      <w:r w:rsidR="00313BA9">
        <w:t xml:space="preserve">challenge personal jurisdiction where the summons is improper or the statutory requirements for service of process are not fulfilled.  </w:t>
      </w:r>
      <w:r w:rsidR="00351C87">
        <w:t>In the context of unlawful detainer, a defendant may properly file a motion to quash to challenge a</w:t>
      </w:r>
      <w:r w:rsidR="00586B4C">
        <w:t>n unlawful detainer</w:t>
      </w:r>
      <w:r w:rsidR="00351C87">
        <w:t xml:space="preserve"> five-day summons accompanied by a complaint that fails to </w:t>
      </w:r>
      <w:r w:rsidR="00D00785">
        <w:t xml:space="preserve">include even the minimal allegations necessary to justify </w:t>
      </w:r>
      <w:r w:rsidR="00351C87">
        <w:t xml:space="preserve">an unlawful detainer action as </w:t>
      </w:r>
      <w:r w:rsidR="0099349B">
        <w:t>defined in</w:t>
      </w:r>
      <w:r w:rsidR="00351C87">
        <w:t xml:space="preserve"> section 1161.  </w:t>
      </w:r>
      <w:r w:rsidR="00F20D65">
        <w:t>Defendants still have at th</w:t>
      </w:r>
      <w:r w:rsidR="002B50A8">
        <w:t>eir</w:t>
      </w:r>
      <w:r w:rsidR="00F20D65">
        <w:t xml:space="preserve"> disposal </w:t>
      </w:r>
      <w:r w:rsidR="00D00785">
        <w:t xml:space="preserve">a variety of other </w:t>
      </w:r>
      <w:r w:rsidR="00477D4B">
        <w:t xml:space="preserve">procedural </w:t>
      </w:r>
      <w:r w:rsidR="00D00785">
        <w:t xml:space="preserve">tools, </w:t>
      </w:r>
      <w:r w:rsidR="00CE09AB" w:rsidRPr="006F4720">
        <w:t xml:space="preserve">such as </w:t>
      </w:r>
      <w:r w:rsidR="0090531E" w:rsidRPr="006F4720">
        <w:t xml:space="preserve">a </w:t>
      </w:r>
      <w:r w:rsidR="005D540A" w:rsidRPr="006F4720">
        <w:t xml:space="preserve">demurrer, a motion to strike, </w:t>
      </w:r>
      <w:r w:rsidR="006F1005" w:rsidRPr="006F4720">
        <w:t>an answer</w:t>
      </w:r>
      <w:r w:rsidR="006F1005">
        <w:t>,</w:t>
      </w:r>
      <w:r w:rsidR="006F1005" w:rsidRPr="006F4720">
        <w:t xml:space="preserve"> </w:t>
      </w:r>
      <w:r w:rsidR="005D540A" w:rsidRPr="006F4720">
        <w:t xml:space="preserve">a motion for judgment on the pleadings, </w:t>
      </w:r>
      <w:r w:rsidR="006F1005">
        <w:t xml:space="preserve">or </w:t>
      </w:r>
      <w:r w:rsidR="005D540A" w:rsidRPr="006F4720">
        <w:t>a motion for summary judgment</w:t>
      </w:r>
      <w:bookmarkEnd w:id="11"/>
      <w:r w:rsidR="00E55D2B">
        <w:t xml:space="preserve">.  </w:t>
      </w:r>
      <w:r w:rsidR="004107F5">
        <w:t>A</w:t>
      </w:r>
      <w:r w:rsidR="00E55D2B">
        <w:t xml:space="preserve"> defendant </w:t>
      </w:r>
      <w:r w:rsidR="004107F5">
        <w:t xml:space="preserve">is free to </w:t>
      </w:r>
      <w:r w:rsidR="00E55D2B">
        <w:t>use those procedural tools</w:t>
      </w:r>
      <w:r w:rsidR="00F20D65">
        <w:t xml:space="preserve"> </w:t>
      </w:r>
      <w:r w:rsidR="0089525D">
        <w:t xml:space="preserve">instead of a motion to quash </w:t>
      </w:r>
      <w:r w:rsidR="00F20D65">
        <w:t xml:space="preserve">to </w:t>
      </w:r>
      <w:r w:rsidR="00E55D2B">
        <w:t xml:space="preserve">challenge the complaint as inadequate or </w:t>
      </w:r>
      <w:r w:rsidR="00F20D65">
        <w:t xml:space="preserve">contest the truth of the </w:t>
      </w:r>
      <w:r w:rsidR="00C535F8">
        <w:t xml:space="preserve">complaint’s </w:t>
      </w:r>
      <w:r w:rsidR="00F20D65">
        <w:t>allegations</w:t>
      </w:r>
      <w:r w:rsidR="006F1005">
        <w:t>.</w:t>
      </w:r>
    </w:p>
    <w:p w14:paraId="5911A85C" w14:textId="22D4EF92" w:rsidR="008706EC" w:rsidRPr="006F4720" w:rsidRDefault="004D2A54" w:rsidP="006F4720">
      <w:pPr>
        <w:tabs>
          <w:tab w:val="left" w:pos="720"/>
        </w:tabs>
      </w:pPr>
      <w:r w:rsidRPr="006F4720">
        <w:tab/>
      </w:r>
      <w:bookmarkStart w:id="12" w:name="_Hlk55463345"/>
      <w:r w:rsidR="001C3711">
        <w:t>W</w:t>
      </w:r>
      <w:r w:rsidR="00BC2D94" w:rsidRPr="006F4720">
        <w:t>e</w:t>
      </w:r>
      <w:r w:rsidR="001408C1" w:rsidRPr="006F4720">
        <w:t xml:space="preserve"> affirm the</w:t>
      </w:r>
      <w:r w:rsidR="009F0A7A" w:rsidRPr="006F4720">
        <w:t xml:space="preserve"> </w:t>
      </w:r>
      <w:r w:rsidR="00DA7109" w:rsidRPr="006F4720">
        <w:t>Court of Appeal</w:t>
      </w:r>
      <w:r w:rsidR="00E12B55" w:rsidRPr="006F4720">
        <w:t xml:space="preserve">’s denial of writ relief from the superior court’s order.  </w:t>
      </w:r>
      <w:r w:rsidR="00775CB8">
        <w:t>W</w:t>
      </w:r>
      <w:r w:rsidR="00B40362" w:rsidRPr="006F4720">
        <w:t xml:space="preserve">e conclude the superior court was correct in its determination that Stancil’s motion to quash was not the proper procedure to </w:t>
      </w:r>
      <w:r w:rsidR="00C279E4">
        <w:t>argue</w:t>
      </w:r>
      <w:r w:rsidR="00C279E4" w:rsidRPr="006F4720">
        <w:t xml:space="preserve"> </w:t>
      </w:r>
      <w:r w:rsidR="00A75755">
        <w:t>the City</w:t>
      </w:r>
      <w:r w:rsidR="00C279E4">
        <w:t xml:space="preserve"> is not a proper plaintiff</w:t>
      </w:r>
      <w:r w:rsidR="001C3711">
        <w:t>.</w:t>
      </w:r>
      <w:r w:rsidR="00B40362" w:rsidRPr="006F4720">
        <w:t xml:space="preserve"> </w:t>
      </w:r>
      <w:r w:rsidR="001C3711">
        <w:t xml:space="preserve"> </w:t>
      </w:r>
      <w:r w:rsidR="001C3711" w:rsidRPr="006F4720">
        <w:t>W</w:t>
      </w:r>
      <w:r w:rsidR="00664870" w:rsidRPr="006F4720">
        <w:t xml:space="preserve">e deny </w:t>
      </w:r>
      <w:r w:rsidR="00B40362" w:rsidRPr="006F4720">
        <w:t>Stancil</w:t>
      </w:r>
      <w:r w:rsidR="003C6176" w:rsidRPr="006F4720">
        <w:t xml:space="preserve">’s </w:t>
      </w:r>
      <w:r w:rsidR="008F38C7" w:rsidRPr="006F4720">
        <w:t xml:space="preserve">writ and </w:t>
      </w:r>
      <w:r w:rsidR="0073374C" w:rsidRPr="006F4720">
        <w:t>request for relief</w:t>
      </w:r>
      <w:r w:rsidR="00775CB8">
        <w:t>,</w:t>
      </w:r>
      <w:r w:rsidR="00E12B55" w:rsidRPr="006F4720">
        <w:t xml:space="preserve"> and </w:t>
      </w:r>
      <w:r w:rsidR="00775CB8">
        <w:t xml:space="preserve">we </w:t>
      </w:r>
      <w:r w:rsidR="00E12B55" w:rsidRPr="006F4720">
        <w:t>discharge the order to show cause</w:t>
      </w:r>
      <w:r w:rsidR="0073374C" w:rsidRPr="006F4720">
        <w:t>.</w:t>
      </w:r>
      <w:r w:rsidR="00B42DB3" w:rsidRPr="006F4720">
        <w:t xml:space="preserve">  The case is </w:t>
      </w:r>
      <w:r w:rsidR="00A22F3A" w:rsidRPr="006F4720">
        <w:t xml:space="preserve">remanded to the </w:t>
      </w:r>
      <w:r w:rsidR="00E12B55" w:rsidRPr="006F4720">
        <w:t xml:space="preserve">First District Court of Appeal with directions to remand to the </w:t>
      </w:r>
      <w:r w:rsidR="00384EDB" w:rsidRPr="006F4720">
        <w:t>s</w:t>
      </w:r>
      <w:r w:rsidR="00A22F3A" w:rsidRPr="006F4720">
        <w:t xml:space="preserve">uperior </w:t>
      </w:r>
      <w:r w:rsidR="00384EDB" w:rsidRPr="006F4720">
        <w:t>c</w:t>
      </w:r>
      <w:r w:rsidR="00A22F3A" w:rsidRPr="006F4720">
        <w:t>ourt for further proceedings</w:t>
      </w:r>
      <w:r w:rsidR="00BA200A" w:rsidRPr="006F4720">
        <w:t>.</w:t>
      </w:r>
      <w:bookmarkEnd w:id="12"/>
    </w:p>
    <w:p w14:paraId="0BE2C5B0" w14:textId="7F28918C" w:rsidR="00AE0E85" w:rsidRPr="006F4720" w:rsidRDefault="00867E42" w:rsidP="006F4720">
      <w:pPr>
        <w:tabs>
          <w:tab w:val="left" w:pos="1440"/>
        </w:tabs>
        <w:ind w:firstLine="720"/>
        <w:rPr>
          <w:b/>
        </w:rPr>
      </w:pPr>
      <w:r w:rsidRPr="006F4720">
        <w:tab/>
      </w:r>
      <w:r w:rsidRPr="006F4720">
        <w:tab/>
      </w:r>
      <w:r w:rsidRPr="006F4720">
        <w:tab/>
      </w:r>
      <w:r w:rsidRPr="006F4720">
        <w:tab/>
      </w:r>
      <w:r w:rsidRPr="006F4720">
        <w:tab/>
      </w:r>
      <w:r w:rsidRPr="006F4720">
        <w:tab/>
      </w:r>
      <w:r w:rsidRPr="006F4720">
        <w:tab/>
      </w:r>
      <w:r w:rsidR="005519B1">
        <w:rPr>
          <w:b/>
        </w:rPr>
        <w:t>CUÉLLAR</w:t>
      </w:r>
      <w:r w:rsidRPr="006F4720">
        <w:rPr>
          <w:b/>
        </w:rPr>
        <w:t>, J.</w:t>
      </w:r>
    </w:p>
    <w:p w14:paraId="5080A470" w14:textId="5264AF2E" w:rsidR="00011139" w:rsidRDefault="00011139" w:rsidP="006F4720">
      <w:pPr>
        <w:tabs>
          <w:tab w:val="left" w:pos="720"/>
        </w:tabs>
      </w:pPr>
    </w:p>
    <w:p w14:paraId="7BA15358" w14:textId="28427E56" w:rsidR="005519B1" w:rsidRDefault="005519B1" w:rsidP="006F4720">
      <w:pPr>
        <w:tabs>
          <w:tab w:val="left" w:pos="720"/>
        </w:tabs>
        <w:rPr>
          <w:b/>
          <w:bCs/>
        </w:rPr>
      </w:pPr>
      <w:r w:rsidRPr="005519B1">
        <w:rPr>
          <w:b/>
          <w:bCs/>
        </w:rPr>
        <w:t>We Concur:</w:t>
      </w:r>
    </w:p>
    <w:p w14:paraId="78374AE1" w14:textId="5A1A1BCA" w:rsidR="00210653" w:rsidRPr="00146FD3" w:rsidRDefault="00210653" w:rsidP="00210653">
      <w:pPr>
        <w:spacing w:after="0" w:line="240" w:lineRule="auto"/>
        <w:rPr>
          <w:rFonts w:ascii="Calibri" w:hAnsi="Calibri"/>
          <w:b/>
          <w:sz w:val="22"/>
          <w:lang w:val="it-IT"/>
        </w:rPr>
      </w:pPr>
      <w:r w:rsidRPr="00146FD3">
        <w:rPr>
          <w:b/>
          <w:lang w:val="it-IT"/>
        </w:rPr>
        <w:t>CANTIL-SAKAUYE, C.</w:t>
      </w:r>
      <w:r w:rsidR="00377AA2">
        <w:rPr>
          <w:b/>
          <w:lang w:val="it-IT"/>
        </w:rPr>
        <w:t> </w:t>
      </w:r>
      <w:r w:rsidRPr="00146FD3">
        <w:rPr>
          <w:b/>
          <w:lang w:val="it-IT"/>
        </w:rPr>
        <w:t>J.</w:t>
      </w:r>
    </w:p>
    <w:p w14:paraId="7C408F86" w14:textId="77777777" w:rsidR="00210653" w:rsidRPr="00146FD3" w:rsidRDefault="00210653" w:rsidP="00210653">
      <w:pPr>
        <w:spacing w:after="0" w:line="240" w:lineRule="auto"/>
        <w:rPr>
          <w:b/>
          <w:lang w:val="it-IT"/>
        </w:rPr>
      </w:pPr>
      <w:r w:rsidRPr="00146FD3">
        <w:rPr>
          <w:b/>
          <w:lang w:val="it-IT"/>
        </w:rPr>
        <w:t>CORRIGAN, J.</w:t>
      </w:r>
    </w:p>
    <w:p w14:paraId="53CEF633" w14:textId="22D5C3A1" w:rsidR="00210653" w:rsidRPr="00146FD3" w:rsidRDefault="00210653" w:rsidP="00210653">
      <w:pPr>
        <w:spacing w:after="0" w:line="240" w:lineRule="auto"/>
        <w:rPr>
          <w:b/>
          <w:lang w:val="it-IT"/>
        </w:rPr>
      </w:pPr>
      <w:r>
        <w:rPr>
          <w:b/>
          <w:lang w:val="it-IT"/>
        </w:rPr>
        <w:t>LIU</w:t>
      </w:r>
      <w:r w:rsidRPr="00146FD3">
        <w:rPr>
          <w:b/>
          <w:lang w:val="it-IT"/>
        </w:rPr>
        <w:t>, J.</w:t>
      </w:r>
    </w:p>
    <w:p w14:paraId="45C7D95F" w14:textId="77777777" w:rsidR="00210653" w:rsidRDefault="00210653" w:rsidP="00210653">
      <w:pPr>
        <w:spacing w:after="0" w:line="240" w:lineRule="auto"/>
        <w:jc w:val="left"/>
        <w:rPr>
          <w:b/>
          <w:lang w:val="it-IT"/>
        </w:rPr>
      </w:pPr>
      <w:r w:rsidRPr="00146FD3">
        <w:rPr>
          <w:b/>
          <w:lang w:val="it-IT"/>
        </w:rPr>
        <w:t>KRUGER, J.</w:t>
      </w:r>
    </w:p>
    <w:p w14:paraId="1EEAD8FF" w14:textId="77777777" w:rsidR="00210653" w:rsidRDefault="00210653" w:rsidP="00210653">
      <w:pPr>
        <w:spacing w:after="0" w:line="240" w:lineRule="auto"/>
        <w:jc w:val="left"/>
        <w:rPr>
          <w:b/>
        </w:rPr>
      </w:pPr>
      <w:r>
        <w:rPr>
          <w:b/>
        </w:rPr>
        <w:t>GROBAN, J.</w:t>
      </w:r>
    </w:p>
    <w:p w14:paraId="32936D0E" w14:textId="77777777" w:rsidR="00210653" w:rsidRDefault="00210653" w:rsidP="00210653">
      <w:pPr>
        <w:spacing w:after="0" w:line="240" w:lineRule="auto"/>
        <w:jc w:val="left"/>
        <w:rPr>
          <w:b/>
        </w:rPr>
      </w:pPr>
      <w:r>
        <w:rPr>
          <w:b/>
        </w:rPr>
        <w:t>JENKINS, J.</w:t>
      </w:r>
    </w:p>
    <w:p w14:paraId="1E2A2CE9" w14:textId="77777777" w:rsidR="00CB4F9A" w:rsidRDefault="00CB4F9A" w:rsidP="006F4720">
      <w:pPr>
        <w:tabs>
          <w:tab w:val="left" w:pos="720"/>
        </w:tabs>
        <w:rPr>
          <w:b/>
          <w:bCs/>
        </w:rPr>
        <w:sectPr w:rsidR="00CB4F9A" w:rsidSect="00CD0714">
          <w:headerReference w:type="default" r:id="rId14"/>
          <w:footerReference w:type="first" r:id="rId15"/>
          <w:pgSz w:w="12240" w:h="15840"/>
          <w:pgMar w:top="1800" w:right="2160" w:bottom="1440" w:left="2160" w:header="720" w:footer="720" w:gutter="0"/>
          <w:cols w:space="720"/>
          <w:titlePg/>
          <w:docGrid w:linePitch="367"/>
        </w:sectPr>
      </w:pPr>
    </w:p>
    <w:p w14:paraId="48891E97" w14:textId="77777777" w:rsidR="002674F9" w:rsidRPr="002674F9" w:rsidRDefault="002674F9" w:rsidP="002674F9">
      <w:pPr>
        <w:spacing w:after="0" w:line="240" w:lineRule="auto"/>
        <w:jc w:val="left"/>
        <w:rPr>
          <w:i/>
          <w:sz w:val="24"/>
          <w:szCs w:val="24"/>
        </w:rPr>
      </w:pPr>
      <w:bookmarkStart w:id="13" w:name="_Hlk69307509"/>
      <w:r w:rsidRPr="002674F9">
        <w:rPr>
          <w:i/>
          <w:sz w:val="24"/>
          <w:szCs w:val="24"/>
        </w:rPr>
        <w:t>See next page for addresses and telephone numbers for counsel who argued in Supreme Court.</w:t>
      </w:r>
    </w:p>
    <w:p w14:paraId="4F6759F3" w14:textId="77777777" w:rsidR="002674F9" w:rsidRPr="002674F9" w:rsidRDefault="002674F9" w:rsidP="002674F9">
      <w:pPr>
        <w:spacing w:after="0" w:line="240" w:lineRule="auto"/>
        <w:jc w:val="left"/>
        <w:rPr>
          <w:i/>
          <w:sz w:val="24"/>
          <w:szCs w:val="24"/>
        </w:rPr>
      </w:pPr>
    </w:p>
    <w:p w14:paraId="4AF2A9FA" w14:textId="77777777" w:rsidR="002674F9" w:rsidRPr="002674F9" w:rsidRDefault="002674F9" w:rsidP="002674F9">
      <w:pPr>
        <w:spacing w:after="0" w:line="240" w:lineRule="auto"/>
        <w:jc w:val="left"/>
        <w:rPr>
          <w:b/>
          <w:sz w:val="24"/>
          <w:szCs w:val="24"/>
        </w:rPr>
      </w:pPr>
      <w:r w:rsidRPr="002674F9">
        <w:rPr>
          <w:b/>
          <w:sz w:val="24"/>
          <w:szCs w:val="24"/>
        </w:rPr>
        <w:t xml:space="preserve">Name of Opinion </w:t>
      </w:r>
      <w:r w:rsidRPr="002674F9">
        <w:rPr>
          <w:bCs/>
          <w:sz w:val="24"/>
          <w:szCs w:val="24"/>
        </w:rPr>
        <w:t xml:space="preserve"> Stancil v. Superior Court</w:t>
      </w:r>
    </w:p>
    <w:p w14:paraId="5A6FA878" w14:textId="77777777" w:rsidR="002674F9" w:rsidRPr="002674F9" w:rsidRDefault="002674F9" w:rsidP="002674F9">
      <w:pPr>
        <w:spacing w:after="0" w:line="240" w:lineRule="auto"/>
        <w:jc w:val="left"/>
        <w:rPr>
          <w:b/>
          <w:sz w:val="24"/>
          <w:szCs w:val="24"/>
        </w:rPr>
      </w:pPr>
      <w:r w:rsidRPr="002674F9">
        <w:rPr>
          <w:b/>
          <w:sz w:val="24"/>
          <w:szCs w:val="24"/>
        </w:rPr>
        <w:t xml:space="preserve">__________________________________________________________________ </w:t>
      </w:r>
    </w:p>
    <w:p w14:paraId="089EFCD5" w14:textId="77777777" w:rsidR="002674F9" w:rsidRPr="002674F9" w:rsidRDefault="002674F9" w:rsidP="002674F9">
      <w:pPr>
        <w:spacing w:after="0" w:line="240" w:lineRule="auto"/>
        <w:jc w:val="left"/>
        <w:rPr>
          <w:b/>
          <w:sz w:val="24"/>
          <w:szCs w:val="24"/>
        </w:rPr>
      </w:pPr>
    </w:p>
    <w:p w14:paraId="565626CF" w14:textId="77777777" w:rsidR="002674F9" w:rsidRPr="002674F9" w:rsidRDefault="002674F9" w:rsidP="002674F9">
      <w:pPr>
        <w:spacing w:after="0" w:line="240" w:lineRule="auto"/>
        <w:jc w:val="left"/>
        <w:rPr>
          <w:sz w:val="24"/>
          <w:szCs w:val="24"/>
        </w:rPr>
      </w:pPr>
      <w:r w:rsidRPr="002674F9">
        <w:rPr>
          <w:b/>
          <w:bCs/>
          <w:sz w:val="24"/>
          <w:szCs w:val="24"/>
          <w:u w:val="single"/>
        </w:rPr>
        <w:t>Procedural Posture</w:t>
      </w:r>
      <w:r w:rsidRPr="002674F9">
        <w:rPr>
          <w:b/>
          <w:bCs/>
          <w:sz w:val="24"/>
          <w:szCs w:val="24"/>
        </w:rPr>
        <w:t xml:space="preserve"> </w:t>
      </w:r>
      <w:r w:rsidRPr="002674F9">
        <w:rPr>
          <w:sz w:val="24"/>
          <w:szCs w:val="24"/>
        </w:rPr>
        <w:t>(see XX below)</w:t>
      </w:r>
    </w:p>
    <w:p w14:paraId="421BAC37" w14:textId="77777777" w:rsidR="002674F9" w:rsidRPr="002674F9" w:rsidRDefault="002674F9" w:rsidP="002674F9">
      <w:pPr>
        <w:spacing w:after="0" w:line="240" w:lineRule="auto"/>
        <w:jc w:val="left"/>
        <w:rPr>
          <w:sz w:val="24"/>
          <w:szCs w:val="24"/>
        </w:rPr>
      </w:pPr>
      <w:r w:rsidRPr="002674F9">
        <w:rPr>
          <w:b/>
          <w:bCs/>
          <w:sz w:val="24"/>
          <w:szCs w:val="24"/>
        </w:rPr>
        <w:t>Original Appeal</w:t>
      </w:r>
      <w:r w:rsidRPr="002674F9">
        <w:rPr>
          <w:sz w:val="24"/>
          <w:szCs w:val="24"/>
        </w:rPr>
        <w:t xml:space="preserve"> </w:t>
      </w:r>
    </w:p>
    <w:p w14:paraId="3AAA8BBA" w14:textId="77777777" w:rsidR="002674F9" w:rsidRPr="002674F9" w:rsidRDefault="002674F9" w:rsidP="002674F9">
      <w:pPr>
        <w:spacing w:after="0" w:line="240" w:lineRule="auto"/>
        <w:jc w:val="left"/>
        <w:rPr>
          <w:b/>
          <w:bCs/>
          <w:sz w:val="24"/>
          <w:szCs w:val="24"/>
        </w:rPr>
      </w:pPr>
      <w:r w:rsidRPr="002674F9">
        <w:rPr>
          <w:b/>
          <w:bCs/>
          <w:sz w:val="24"/>
          <w:szCs w:val="24"/>
        </w:rPr>
        <w:t xml:space="preserve">Original Proceeding </w:t>
      </w:r>
      <w:r w:rsidRPr="002674F9">
        <w:rPr>
          <w:sz w:val="24"/>
          <w:szCs w:val="24"/>
        </w:rPr>
        <w:t>XX</w:t>
      </w:r>
    </w:p>
    <w:p w14:paraId="3BBF3EEE" w14:textId="77777777" w:rsidR="002674F9" w:rsidRPr="002674F9" w:rsidRDefault="002674F9" w:rsidP="002674F9">
      <w:pPr>
        <w:spacing w:after="0" w:line="240" w:lineRule="auto"/>
        <w:jc w:val="left"/>
        <w:rPr>
          <w:sz w:val="24"/>
          <w:szCs w:val="24"/>
        </w:rPr>
      </w:pPr>
      <w:r w:rsidRPr="002674F9">
        <w:rPr>
          <w:b/>
          <w:bCs/>
          <w:sz w:val="24"/>
          <w:szCs w:val="24"/>
        </w:rPr>
        <w:t>Review Granted</w:t>
      </w:r>
      <w:r w:rsidRPr="002674F9">
        <w:rPr>
          <w:sz w:val="24"/>
          <w:szCs w:val="24"/>
        </w:rPr>
        <w:t xml:space="preserve"> </w:t>
      </w:r>
      <w:r w:rsidRPr="002674F9">
        <w:rPr>
          <w:b/>
          <w:bCs/>
          <w:sz w:val="24"/>
          <w:szCs w:val="24"/>
        </w:rPr>
        <w:t xml:space="preserve">(published) </w:t>
      </w:r>
    </w:p>
    <w:p w14:paraId="32DDFA91" w14:textId="77777777" w:rsidR="002674F9" w:rsidRPr="002674F9" w:rsidRDefault="002674F9" w:rsidP="002674F9">
      <w:pPr>
        <w:spacing w:after="0" w:line="240" w:lineRule="auto"/>
        <w:jc w:val="left"/>
        <w:rPr>
          <w:sz w:val="24"/>
          <w:szCs w:val="24"/>
        </w:rPr>
      </w:pPr>
      <w:r w:rsidRPr="002674F9">
        <w:rPr>
          <w:b/>
          <w:bCs/>
          <w:sz w:val="24"/>
          <w:szCs w:val="24"/>
        </w:rPr>
        <w:t xml:space="preserve">Review Granted (unpublished) </w:t>
      </w:r>
    </w:p>
    <w:p w14:paraId="08E258CE" w14:textId="77777777" w:rsidR="002674F9" w:rsidRPr="002674F9" w:rsidRDefault="002674F9" w:rsidP="002674F9">
      <w:pPr>
        <w:spacing w:after="0" w:line="240" w:lineRule="auto"/>
        <w:jc w:val="left"/>
        <w:rPr>
          <w:b/>
          <w:bCs/>
          <w:sz w:val="24"/>
          <w:szCs w:val="24"/>
        </w:rPr>
      </w:pPr>
      <w:r w:rsidRPr="002674F9">
        <w:rPr>
          <w:b/>
          <w:bCs/>
          <w:sz w:val="24"/>
          <w:szCs w:val="24"/>
        </w:rPr>
        <w:t>Rehearing Granted</w:t>
      </w:r>
    </w:p>
    <w:p w14:paraId="6E759F4A" w14:textId="77777777" w:rsidR="002674F9" w:rsidRPr="002674F9" w:rsidRDefault="002674F9" w:rsidP="002674F9">
      <w:pPr>
        <w:spacing w:after="0" w:line="240" w:lineRule="auto"/>
        <w:jc w:val="left"/>
        <w:rPr>
          <w:b/>
          <w:sz w:val="24"/>
          <w:szCs w:val="24"/>
        </w:rPr>
      </w:pPr>
    </w:p>
    <w:p w14:paraId="316CCC86" w14:textId="77777777" w:rsidR="002674F9" w:rsidRPr="002674F9" w:rsidRDefault="002674F9" w:rsidP="002674F9">
      <w:pPr>
        <w:spacing w:after="0" w:line="240" w:lineRule="auto"/>
        <w:jc w:val="left"/>
        <w:rPr>
          <w:b/>
          <w:sz w:val="24"/>
          <w:szCs w:val="24"/>
        </w:rPr>
      </w:pPr>
      <w:r w:rsidRPr="002674F9">
        <w:rPr>
          <w:b/>
          <w:sz w:val="24"/>
          <w:szCs w:val="24"/>
        </w:rPr>
        <w:t xml:space="preserve">__________________________________________________________________ </w:t>
      </w:r>
    </w:p>
    <w:p w14:paraId="35EF0739" w14:textId="77777777" w:rsidR="002674F9" w:rsidRPr="002674F9" w:rsidRDefault="002674F9" w:rsidP="002674F9">
      <w:pPr>
        <w:spacing w:after="0" w:line="240" w:lineRule="auto"/>
        <w:jc w:val="left"/>
        <w:rPr>
          <w:b/>
          <w:sz w:val="24"/>
          <w:szCs w:val="24"/>
        </w:rPr>
      </w:pPr>
    </w:p>
    <w:p w14:paraId="2DF4E7AE" w14:textId="77777777" w:rsidR="002674F9" w:rsidRPr="002674F9" w:rsidRDefault="002674F9" w:rsidP="002674F9">
      <w:pPr>
        <w:spacing w:after="0" w:line="240" w:lineRule="auto"/>
        <w:jc w:val="left"/>
        <w:rPr>
          <w:bCs/>
          <w:sz w:val="24"/>
          <w:szCs w:val="24"/>
        </w:rPr>
      </w:pPr>
      <w:r w:rsidRPr="002674F9">
        <w:rPr>
          <w:b/>
          <w:sz w:val="24"/>
          <w:szCs w:val="24"/>
        </w:rPr>
        <w:t>Opinion No.</w:t>
      </w:r>
      <w:r w:rsidRPr="002674F9">
        <w:rPr>
          <w:sz w:val="24"/>
          <w:szCs w:val="24"/>
        </w:rPr>
        <w:t xml:space="preserve"> S253783 </w:t>
      </w:r>
    </w:p>
    <w:p w14:paraId="2768CD1D" w14:textId="77777777" w:rsidR="002674F9" w:rsidRPr="002674F9" w:rsidRDefault="002674F9" w:rsidP="002674F9">
      <w:pPr>
        <w:spacing w:after="0" w:line="240" w:lineRule="auto"/>
        <w:jc w:val="left"/>
        <w:rPr>
          <w:bCs/>
          <w:sz w:val="24"/>
          <w:szCs w:val="24"/>
        </w:rPr>
      </w:pPr>
      <w:r w:rsidRPr="002674F9">
        <w:rPr>
          <w:b/>
          <w:sz w:val="24"/>
          <w:szCs w:val="24"/>
        </w:rPr>
        <w:t>Date Filed:</w:t>
      </w:r>
      <w:r w:rsidRPr="002674F9">
        <w:rPr>
          <w:sz w:val="24"/>
          <w:szCs w:val="24"/>
        </w:rPr>
        <w:t xml:space="preserve">  May 3, 2021</w:t>
      </w:r>
    </w:p>
    <w:p w14:paraId="7A918F46" w14:textId="77777777" w:rsidR="002674F9" w:rsidRPr="002674F9" w:rsidRDefault="002674F9" w:rsidP="002674F9">
      <w:pPr>
        <w:spacing w:after="0" w:line="240" w:lineRule="auto"/>
        <w:jc w:val="left"/>
        <w:rPr>
          <w:b/>
          <w:sz w:val="24"/>
          <w:szCs w:val="24"/>
        </w:rPr>
      </w:pPr>
      <w:r w:rsidRPr="002674F9">
        <w:rPr>
          <w:b/>
          <w:sz w:val="24"/>
          <w:szCs w:val="24"/>
        </w:rPr>
        <w:t xml:space="preserve">__________________________________________________________________ </w:t>
      </w:r>
    </w:p>
    <w:p w14:paraId="3D32640B" w14:textId="77777777" w:rsidR="002674F9" w:rsidRPr="002674F9" w:rsidRDefault="002674F9" w:rsidP="002674F9">
      <w:pPr>
        <w:spacing w:after="0" w:line="240" w:lineRule="auto"/>
        <w:jc w:val="left"/>
        <w:rPr>
          <w:b/>
          <w:sz w:val="24"/>
          <w:szCs w:val="24"/>
        </w:rPr>
      </w:pPr>
    </w:p>
    <w:p w14:paraId="5134DE53" w14:textId="77777777" w:rsidR="002674F9" w:rsidRPr="002674F9" w:rsidRDefault="002674F9" w:rsidP="002674F9">
      <w:pPr>
        <w:spacing w:after="0" w:line="240" w:lineRule="auto"/>
        <w:jc w:val="left"/>
        <w:rPr>
          <w:bCs/>
          <w:sz w:val="24"/>
          <w:szCs w:val="24"/>
        </w:rPr>
      </w:pPr>
      <w:r w:rsidRPr="002674F9">
        <w:rPr>
          <w:b/>
          <w:sz w:val="24"/>
          <w:szCs w:val="24"/>
        </w:rPr>
        <w:t xml:space="preserve">Court:   </w:t>
      </w:r>
      <w:r w:rsidRPr="002674F9">
        <w:rPr>
          <w:bCs/>
          <w:sz w:val="24"/>
          <w:szCs w:val="24"/>
        </w:rPr>
        <w:t>Superior</w:t>
      </w:r>
    </w:p>
    <w:p w14:paraId="7441F84E" w14:textId="77777777" w:rsidR="002674F9" w:rsidRPr="002674F9" w:rsidRDefault="002674F9" w:rsidP="002674F9">
      <w:pPr>
        <w:spacing w:after="0" w:line="240" w:lineRule="auto"/>
        <w:jc w:val="left"/>
        <w:rPr>
          <w:bCs/>
          <w:sz w:val="24"/>
          <w:szCs w:val="24"/>
        </w:rPr>
      </w:pPr>
      <w:r w:rsidRPr="002674F9">
        <w:rPr>
          <w:b/>
          <w:sz w:val="24"/>
          <w:szCs w:val="24"/>
        </w:rPr>
        <w:t xml:space="preserve">County:  </w:t>
      </w:r>
      <w:r w:rsidRPr="002674F9">
        <w:rPr>
          <w:bCs/>
          <w:sz w:val="24"/>
          <w:szCs w:val="24"/>
        </w:rPr>
        <w:t>San Mateo</w:t>
      </w:r>
      <w:r w:rsidRPr="002674F9">
        <w:rPr>
          <w:bCs/>
          <w:sz w:val="24"/>
          <w:szCs w:val="24"/>
        </w:rPr>
        <w:tab/>
        <w:t xml:space="preserve">   </w:t>
      </w:r>
      <w:r w:rsidRPr="002674F9">
        <w:rPr>
          <w:b/>
          <w:sz w:val="24"/>
          <w:szCs w:val="24"/>
        </w:rPr>
        <w:t xml:space="preserve">  </w:t>
      </w:r>
      <w:r w:rsidRPr="002674F9">
        <w:rPr>
          <w:bCs/>
          <w:sz w:val="24"/>
          <w:szCs w:val="24"/>
        </w:rPr>
        <w:t xml:space="preserve"> </w:t>
      </w:r>
    </w:p>
    <w:p w14:paraId="21DFC698" w14:textId="77777777" w:rsidR="002674F9" w:rsidRPr="002674F9" w:rsidRDefault="002674F9" w:rsidP="002674F9">
      <w:pPr>
        <w:spacing w:after="0" w:line="240" w:lineRule="auto"/>
        <w:ind w:left="720" w:hanging="720"/>
        <w:jc w:val="left"/>
        <w:rPr>
          <w:bCs/>
          <w:sz w:val="24"/>
          <w:szCs w:val="24"/>
        </w:rPr>
      </w:pPr>
      <w:r w:rsidRPr="002674F9">
        <w:rPr>
          <w:b/>
          <w:sz w:val="24"/>
          <w:szCs w:val="24"/>
        </w:rPr>
        <w:t xml:space="preserve">Judge:  </w:t>
      </w:r>
      <w:r w:rsidRPr="002674F9">
        <w:rPr>
          <w:bCs/>
          <w:sz w:val="24"/>
          <w:szCs w:val="24"/>
        </w:rPr>
        <w:t xml:space="preserve">Susan L. Greenberg   </w:t>
      </w:r>
      <w:r w:rsidRPr="002674F9">
        <w:rPr>
          <w:b/>
          <w:sz w:val="24"/>
          <w:szCs w:val="24"/>
        </w:rPr>
        <w:t xml:space="preserve">  </w:t>
      </w:r>
      <w:r w:rsidRPr="002674F9">
        <w:rPr>
          <w:bCs/>
          <w:sz w:val="24"/>
          <w:szCs w:val="24"/>
        </w:rPr>
        <w:t xml:space="preserve"> </w:t>
      </w:r>
    </w:p>
    <w:p w14:paraId="20D26B3F" w14:textId="77777777" w:rsidR="002674F9" w:rsidRPr="002674F9" w:rsidRDefault="002674F9" w:rsidP="002674F9">
      <w:pPr>
        <w:spacing w:after="0" w:line="240" w:lineRule="auto"/>
        <w:jc w:val="left"/>
        <w:rPr>
          <w:b/>
          <w:sz w:val="24"/>
          <w:szCs w:val="24"/>
        </w:rPr>
      </w:pPr>
      <w:r w:rsidRPr="002674F9">
        <w:rPr>
          <w:b/>
          <w:sz w:val="24"/>
          <w:szCs w:val="24"/>
        </w:rPr>
        <w:t xml:space="preserve">__________________________________________________________________ </w:t>
      </w:r>
    </w:p>
    <w:p w14:paraId="436901F0" w14:textId="77777777" w:rsidR="002674F9" w:rsidRPr="002674F9" w:rsidRDefault="002674F9" w:rsidP="002674F9">
      <w:pPr>
        <w:spacing w:after="0" w:line="240" w:lineRule="auto"/>
        <w:jc w:val="left"/>
        <w:rPr>
          <w:b/>
          <w:sz w:val="24"/>
          <w:szCs w:val="24"/>
        </w:rPr>
      </w:pPr>
    </w:p>
    <w:p w14:paraId="2E7C3AEA" w14:textId="77777777" w:rsidR="002674F9" w:rsidRPr="002674F9" w:rsidRDefault="002674F9" w:rsidP="002674F9">
      <w:pPr>
        <w:spacing w:after="0" w:line="240" w:lineRule="auto"/>
        <w:jc w:val="left"/>
        <w:rPr>
          <w:b/>
          <w:sz w:val="24"/>
          <w:szCs w:val="24"/>
        </w:rPr>
      </w:pPr>
      <w:r w:rsidRPr="002674F9">
        <w:rPr>
          <w:b/>
          <w:sz w:val="24"/>
          <w:szCs w:val="24"/>
        </w:rPr>
        <w:t>Counsel:</w:t>
      </w:r>
    </w:p>
    <w:p w14:paraId="6EECFDF8" w14:textId="77777777" w:rsidR="002674F9" w:rsidRPr="002674F9" w:rsidRDefault="002674F9" w:rsidP="002674F9">
      <w:pPr>
        <w:spacing w:after="0" w:line="240" w:lineRule="auto"/>
        <w:jc w:val="left"/>
        <w:rPr>
          <w:b/>
          <w:sz w:val="24"/>
          <w:szCs w:val="24"/>
        </w:rPr>
      </w:pPr>
    </w:p>
    <w:p w14:paraId="14D80091" w14:textId="77777777" w:rsidR="002674F9" w:rsidRPr="002674F9" w:rsidRDefault="002674F9" w:rsidP="002674F9">
      <w:pPr>
        <w:spacing w:after="0" w:line="240" w:lineRule="auto"/>
        <w:jc w:val="left"/>
        <w:rPr>
          <w:color w:val="212121"/>
          <w:sz w:val="24"/>
          <w:szCs w:val="24"/>
          <w:shd w:val="clear" w:color="auto" w:fill="FFFFFF"/>
        </w:rPr>
      </w:pPr>
      <w:bookmarkStart w:id="14" w:name="PAGE_3103"/>
      <w:bookmarkEnd w:id="14"/>
      <w:r w:rsidRPr="002674F9">
        <w:rPr>
          <w:color w:val="212121"/>
          <w:sz w:val="24"/>
          <w:szCs w:val="24"/>
          <w:shd w:val="clear" w:color="auto" w:fill="FFFFFF"/>
        </w:rPr>
        <w:t>Thorsnes Bartolotta McGuire, Vincent J. Bartolotta, Jr., Karen R. Frostrom, Neal A. Markowitz, David E. Kleinfeld; Madden Law Office and Alison Madden for Petitioner.</w:t>
      </w:r>
    </w:p>
    <w:p w14:paraId="3D9A7CB0" w14:textId="77777777" w:rsidR="002674F9" w:rsidRPr="002674F9" w:rsidRDefault="002674F9" w:rsidP="002674F9">
      <w:pPr>
        <w:spacing w:after="0" w:line="240" w:lineRule="auto"/>
        <w:jc w:val="left"/>
        <w:rPr>
          <w:color w:val="212121"/>
          <w:sz w:val="24"/>
          <w:szCs w:val="24"/>
          <w:shd w:val="clear" w:color="auto" w:fill="FFFFFF"/>
        </w:rPr>
      </w:pPr>
    </w:p>
    <w:p w14:paraId="6AAE46C0"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Matthew Warren, Madeline Howard, Crystal Sims and Richard A. Rothschild for Western Center on Law &amp; Poverty as Amicus Curiae on behalf of Petitioner.</w:t>
      </w:r>
    </w:p>
    <w:p w14:paraId="3ADD1349" w14:textId="77777777" w:rsidR="002674F9" w:rsidRPr="002674F9" w:rsidRDefault="002674F9" w:rsidP="002674F9">
      <w:pPr>
        <w:spacing w:after="0" w:line="240" w:lineRule="auto"/>
        <w:jc w:val="left"/>
        <w:rPr>
          <w:color w:val="212121"/>
          <w:sz w:val="24"/>
          <w:szCs w:val="24"/>
          <w:shd w:val="clear" w:color="auto" w:fill="FFFFFF"/>
        </w:rPr>
      </w:pPr>
    </w:p>
    <w:p w14:paraId="4E39A1B3"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No appearance for Respondent.</w:t>
      </w:r>
    </w:p>
    <w:p w14:paraId="13FD2320" w14:textId="77777777" w:rsidR="002674F9" w:rsidRPr="002674F9" w:rsidRDefault="002674F9" w:rsidP="002674F9">
      <w:pPr>
        <w:spacing w:after="0" w:line="240" w:lineRule="auto"/>
        <w:jc w:val="left"/>
        <w:rPr>
          <w:color w:val="212121"/>
          <w:sz w:val="24"/>
          <w:szCs w:val="24"/>
          <w:shd w:val="clear" w:color="auto" w:fill="FFFFFF"/>
        </w:rPr>
      </w:pPr>
    </w:p>
    <w:p w14:paraId="713946F5"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Burke, Williams &amp; Sorensen, Michelle Marchetta Kenyon, Kevin D. Siegal, Randall G. Block and Maxwell Blum for Real Party in Interest.</w:t>
      </w:r>
    </w:p>
    <w:p w14:paraId="3D641805" w14:textId="77777777" w:rsidR="002674F9" w:rsidRPr="002674F9" w:rsidRDefault="002674F9" w:rsidP="002674F9">
      <w:pPr>
        <w:spacing w:after="0" w:line="240" w:lineRule="auto"/>
        <w:jc w:val="left"/>
        <w:rPr>
          <w:color w:val="212121"/>
          <w:sz w:val="24"/>
          <w:szCs w:val="24"/>
          <w:shd w:val="clear" w:color="auto" w:fill="FFFFFF"/>
        </w:rPr>
      </w:pPr>
    </w:p>
    <w:p w14:paraId="43FA4AC3"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Heidi Palutke; Dowling &amp; Marquez and Curtis F. Dowling for California Apartment Association as Amicus Curiae on behalf of Real Party in Interest.</w:t>
      </w:r>
    </w:p>
    <w:p w14:paraId="7412F799"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br w:type="page"/>
      </w:r>
    </w:p>
    <w:p w14:paraId="16B1A3D8" w14:textId="77777777" w:rsidR="002674F9" w:rsidRPr="002674F9" w:rsidRDefault="002674F9" w:rsidP="002674F9">
      <w:pPr>
        <w:spacing w:after="0" w:line="240" w:lineRule="auto"/>
        <w:jc w:val="left"/>
        <w:rPr>
          <w:b/>
          <w:sz w:val="24"/>
          <w:szCs w:val="24"/>
        </w:rPr>
      </w:pPr>
      <w:r w:rsidRPr="002674F9">
        <w:rPr>
          <w:b/>
          <w:sz w:val="24"/>
          <w:szCs w:val="24"/>
        </w:rPr>
        <w:t>Counsel who argued in Supreme Court (not intended for publication with opinion):</w:t>
      </w:r>
    </w:p>
    <w:p w14:paraId="37E7414D" w14:textId="77777777" w:rsidR="002674F9" w:rsidRPr="002674F9" w:rsidRDefault="002674F9" w:rsidP="002674F9">
      <w:pPr>
        <w:spacing w:after="0" w:line="240" w:lineRule="auto"/>
        <w:jc w:val="left"/>
        <w:rPr>
          <w:b/>
          <w:sz w:val="24"/>
          <w:szCs w:val="24"/>
        </w:rPr>
      </w:pPr>
    </w:p>
    <w:p w14:paraId="3DC10AC7" w14:textId="77777777" w:rsidR="002674F9" w:rsidRPr="002674F9" w:rsidRDefault="002674F9" w:rsidP="002674F9">
      <w:pPr>
        <w:spacing w:after="0" w:line="240" w:lineRule="auto"/>
        <w:jc w:val="left"/>
        <w:rPr>
          <w:sz w:val="24"/>
          <w:szCs w:val="24"/>
        </w:rPr>
      </w:pPr>
      <w:r w:rsidRPr="002674F9">
        <w:rPr>
          <w:sz w:val="24"/>
          <w:szCs w:val="24"/>
        </w:rPr>
        <w:t>Karen Frostrom</w:t>
      </w:r>
    </w:p>
    <w:p w14:paraId="31C74C09"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Thorsnes Bartolotta McGuire</w:t>
      </w:r>
    </w:p>
    <w:p w14:paraId="45BCC3A5"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2550 Fifth Ave., #1100</w:t>
      </w:r>
    </w:p>
    <w:p w14:paraId="75AA6AA1"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San Diego, CA 92103</w:t>
      </w:r>
    </w:p>
    <w:p w14:paraId="25C98C97"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(619) 236-9363</w:t>
      </w:r>
    </w:p>
    <w:p w14:paraId="40233820" w14:textId="77777777" w:rsidR="002674F9" w:rsidRPr="002674F9" w:rsidRDefault="002674F9" w:rsidP="002674F9">
      <w:pPr>
        <w:spacing w:after="0" w:line="240" w:lineRule="auto"/>
        <w:jc w:val="left"/>
        <w:rPr>
          <w:color w:val="212121"/>
          <w:sz w:val="24"/>
          <w:szCs w:val="24"/>
          <w:shd w:val="clear" w:color="auto" w:fill="FFFFFF"/>
        </w:rPr>
      </w:pPr>
    </w:p>
    <w:p w14:paraId="222CF11A"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Madeline Howard</w:t>
      </w:r>
    </w:p>
    <w:p w14:paraId="312A453E"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Western Center on Law &amp; Poverty</w:t>
      </w:r>
    </w:p>
    <w:p w14:paraId="3DAF2A59"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3701 Wilshire Blvd., #208</w:t>
      </w:r>
    </w:p>
    <w:p w14:paraId="03F87579" w14:textId="77777777" w:rsidR="002674F9" w:rsidRPr="002674F9" w:rsidRDefault="002674F9" w:rsidP="002674F9">
      <w:pPr>
        <w:spacing w:after="0" w:line="240" w:lineRule="auto"/>
        <w:jc w:val="left"/>
        <w:rPr>
          <w:color w:val="212121"/>
          <w:sz w:val="24"/>
          <w:szCs w:val="24"/>
          <w:shd w:val="clear" w:color="auto" w:fill="FFFFFF"/>
        </w:rPr>
      </w:pPr>
      <w:r w:rsidRPr="002674F9">
        <w:rPr>
          <w:color w:val="212121"/>
          <w:sz w:val="24"/>
          <w:szCs w:val="24"/>
          <w:shd w:val="clear" w:color="auto" w:fill="FFFFFF"/>
        </w:rPr>
        <w:t>Los Angeles, CA 90010</w:t>
      </w:r>
    </w:p>
    <w:p w14:paraId="6DBF4DF7" w14:textId="77777777" w:rsidR="002674F9" w:rsidRPr="002674F9" w:rsidRDefault="002674F9" w:rsidP="002674F9">
      <w:pPr>
        <w:spacing w:after="0" w:line="240" w:lineRule="auto"/>
        <w:jc w:val="left"/>
        <w:rPr>
          <w:sz w:val="24"/>
          <w:szCs w:val="24"/>
        </w:rPr>
      </w:pPr>
      <w:r w:rsidRPr="002674F9">
        <w:rPr>
          <w:color w:val="212121"/>
          <w:sz w:val="24"/>
          <w:szCs w:val="24"/>
          <w:shd w:val="clear" w:color="auto" w:fill="FFFFFF"/>
        </w:rPr>
        <w:t>(213) 235-2628</w:t>
      </w:r>
    </w:p>
    <w:p w14:paraId="5F1EE09C" w14:textId="77777777" w:rsidR="002674F9" w:rsidRPr="002674F9" w:rsidRDefault="002674F9" w:rsidP="002674F9">
      <w:pPr>
        <w:spacing w:after="0" w:line="240" w:lineRule="auto"/>
        <w:jc w:val="left"/>
        <w:rPr>
          <w:sz w:val="24"/>
          <w:szCs w:val="24"/>
        </w:rPr>
      </w:pPr>
    </w:p>
    <w:p w14:paraId="3E9B9F75" w14:textId="77777777" w:rsidR="002674F9" w:rsidRPr="002674F9" w:rsidRDefault="002674F9" w:rsidP="002674F9">
      <w:pPr>
        <w:spacing w:after="0" w:line="240" w:lineRule="auto"/>
        <w:jc w:val="left"/>
        <w:rPr>
          <w:sz w:val="24"/>
          <w:szCs w:val="24"/>
        </w:rPr>
      </w:pPr>
      <w:r w:rsidRPr="002674F9">
        <w:rPr>
          <w:sz w:val="24"/>
          <w:szCs w:val="24"/>
        </w:rPr>
        <w:t>Kevin D. Siegel</w:t>
      </w:r>
    </w:p>
    <w:p w14:paraId="73411CB9" w14:textId="77777777" w:rsidR="002674F9" w:rsidRPr="002674F9" w:rsidRDefault="002674F9" w:rsidP="002674F9">
      <w:pPr>
        <w:spacing w:after="0" w:line="240" w:lineRule="auto"/>
        <w:jc w:val="left"/>
        <w:rPr>
          <w:sz w:val="24"/>
          <w:szCs w:val="24"/>
        </w:rPr>
      </w:pPr>
      <w:r w:rsidRPr="002674F9">
        <w:rPr>
          <w:sz w:val="24"/>
          <w:szCs w:val="24"/>
        </w:rPr>
        <w:t>Burke, Williams &amp; Sorensen, LLP</w:t>
      </w:r>
    </w:p>
    <w:p w14:paraId="23F7E184" w14:textId="77777777" w:rsidR="002674F9" w:rsidRPr="002674F9" w:rsidRDefault="002674F9" w:rsidP="002674F9">
      <w:pPr>
        <w:spacing w:after="0" w:line="240" w:lineRule="auto"/>
        <w:jc w:val="left"/>
        <w:rPr>
          <w:sz w:val="24"/>
          <w:szCs w:val="24"/>
        </w:rPr>
      </w:pPr>
      <w:r w:rsidRPr="002674F9">
        <w:rPr>
          <w:sz w:val="24"/>
          <w:szCs w:val="24"/>
        </w:rPr>
        <w:t>1901 Harrison St., Ste. 900</w:t>
      </w:r>
    </w:p>
    <w:p w14:paraId="7793459D" w14:textId="77777777" w:rsidR="002674F9" w:rsidRPr="002674F9" w:rsidRDefault="002674F9" w:rsidP="002674F9">
      <w:pPr>
        <w:spacing w:after="0" w:line="240" w:lineRule="auto"/>
        <w:jc w:val="left"/>
        <w:rPr>
          <w:sz w:val="24"/>
          <w:szCs w:val="24"/>
        </w:rPr>
      </w:pPr>
      <w:r w:rsidRPr="002674F9">
        <w:rPr>
          <w:sz w:val="24"/>
          <w:szCs w:val="24"/>
        </w:rPr>
        <w:t>Oakland, CA 94612-3501</w:t>
      </w:r>
    </w:p>
    <w:p w14:paraId="67E28EDF" w14:textId="77777777" w:rsidR="002674F9" w:rsidRPr="002674F9" w:rsidRDefault="002674F9" w:rsidP="002674F9">
      <w:pPr>
        <w:spacing w:after="0" w:line="240" w:lineRule="auto"/>
        <w:jc w:val="left"/>
        <w:rPr>
          <w:sz w:val="24"/>
          <w:szCs w:val="24"/>
        </w:rPr>
      </w:pPr>
      <w:r w:rsidRPr="002674F9">
        <w:rPr>
          <w:sz w:val="24"/>
          <w:szCs w:val="24"/>
        </w:rPr>
        <w:t>(510) 273-8806</w:t>
      </w:r>
    </w:p>
    <w:p w14:paraId="798FDE25" w14:textId="77777777" w:rsidR="002674F9" w:rsidRPr="002674F9" w:rsidRDefault="002674F9" w:rsidP="002674F9">
      <w:pPr>
        <w:spacing w:after="0" w:line="240" w:lineRule="auto"/>
        <w:jc w:val="left"/>
        <w:rPr>
          <w:sz w:val="24"/>
          <w:szCs w:val="24"/>
        </w:rPr>
      </w:pPr>
    </w:p>
    <w:p w14:paraId="1F4A292E" w14:textId="77777777" w:rsidR="002674F9" w:rsidRPr="002674F9" w:rsidRDefault="002674F9" w:rsidP="002674F9">
      <w:pPr>
        <w:spacing w:after="0" w:line="240" w:lineRule="auto"/>
        <w:jc w:val="left"/>
        <w:rPr>
          <w:sz w:val="24"/>
          <w:szCs w:val="24"/>
        </w:rPr>
      </w:pPr>
      <w:r w:rsidRPr="002674F9">
        <w:rPr>
          <w:sz w:val="24"/>
          <w:szCs w:val="24"/>
        </w:rPr>
        <w:t>Curtis F. Dowling</w:t>
      </w:r>
    </w:p>
    <w:p w14:paraId="7B1A8760" w14:textId="77777777" w:rsidR="002674F9" w:rsidRPr="002674F9" w:rsidRDefault="002674F9" w:rsidP="002674F9">
      <w:pPr>
        <w:spacing w:after="0" w:line="240" w:lineRule="auto"/>
        <w:jc w:val="left"/>
        <w:rPr>
          <w:sz w:val="24"/>
          <w:szCs w:val="24"/>
        </w:rPr>
      </w:pPr>
      <w:r w:rsidRPr="002674F9">
        <w:rPr>
          <w:sz w:val="24"/>
          <w:szCs w:val="24"/>
        </w:rPr>
        <w:t>Dowling &amp; Marquez, LLP</w:t>
      </w:r>
    </w:p>
    <w:p w14:paraId="43C85A85" w14:textId="77777777" w:rsidR="002674F9" w:rsidRPr="002674F9" w:rsidRDefault="002674F9" w:rsidP="002674F9">
      <w:pPr>
        <w:spacing w:after="0" w:line="240" w:lineRule="auto"/>
        <w:jc w:val="left"/>
        <w:rPr>
          <w:sz w:val="24"/>
          <w:szCs w:val="24"/>
        </w:rPr>
      </w:pPr>
      <w:r w:rsidRPr="002674F9">
        <w:rPr>
          <w:sz w:val="24"/>
          <w:szCs w:val="24"/>
        </w:rPr>
        <w:t>625 Market St., 4th Floor</w:t>
      </w:r>
    </w:p>
    <w:p w14:paraId="784588D7" w14:textId="77777777" w:rsidR="002674F9" w:rsidRPr="002674F9" w:rsidRDefault="002674F9" w:rsidP="002674F9">
      <w:pPr>
        <w:spacing w:after="0" w:line="240" w:lineRule="auto"/>
        <w:jc w:val="left"/>
        <w:rPr>
          <w:sz w:val="24"/>
          <w:szCs w:val="24"/>
        </w:rPr>
      </w:pPr>
      <w:r w:rsidRPr="002674F9">
        <w:rPr>
          <w:sz w:val="24"/>
          <w:szCs w:val="24"/>
        </w:rPr>
        <w:t>San Francisco, CA 94105</w:t>
      </w:r>
    </w:p>
    <w:p w14:paraId="1E9F88DC" w14:textId="77777777" w:rsidR="002674F9" w:rsidRPr="002674F9" w:rsidRDefault="002674F9" w:rsidP="002674F9">
      <w:pPr>
        <w:spacing w:after="0" w:line="240" w:lineRule="auto"/>
        <w:jc w:val="left"/>
        <w:rPr>
          <w:sz w:val="24"/>
          <w:szCs w:val="24"/>
        </w:rPr>
      </w:pPr>
      <w:r w:rsidRPr="002674F9">
        <w:rPr>
          <w:sz w:val="24"/>
          <w:szCs w:val="24"/>
        </w:rPr>
        <w:t>(415) 977-0444</w:t>
      </w:r>
      <w:bookmarkEnd w:id="13"/>
    </w:p>
    <w:p w14:paraId="19F57286" w14:textId="7524C1C2" w:rsidR="00210653" w:rsidRPr="005519B1" w:rsidRDefault="00210653" w:rsidP="006F4720">
      <w:pPr>
        <w:tabs>
          <w:tab w:val="left" w:pos="720"/>
        </w:tabs>
        <w:rPr>
          <w:b/>
          <w:bCs/>
        </w:rPr>
      </w:pPr>
    </w:p>
    <w:sectPr w:rsidR="00210653" w:rsidRPr="005519B1" w:rsidSect="00D62206">
      <w:headerReference w:type="even" r:id="rId16"/>
      <w:headerReference w:type="default" r:id="rId17"/>
      <w:footerReference w:type="even" r:id="rId18"/>
      <w:footerReference w:type="default" r:id="rId19"/>
      <w:headerReference w:type="first" r:id="rId20"/>
      <w:footerReference w:type="first" r:id="rId21"/>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52D8" w14:textId="77777777" w:rsidR="003F48FC" w:rsidRDefault="003F48FC">
      <w:r>
        <w:separator/>
      </w:r>
    </w:p>
  </w:endnote>
  <w:endnote w:type="continuationSeparator" w:id="0">
    <w:p w14:paraId="2A311F11" w14:textId="77777777" w:rsidR="003F48FC" w:rsidRDefault="003F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146C" w14:textId="77777777" w:rsidR="00FD11DC" w:rsidRDefault="00FD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DB5" w14:textId="77777777" w:rsidR="00713492" w:rsidRDefault="00713492">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A51" w14:textId="77777777" w:rsidR="00FD11DC" w:rsidRDefault="00FD1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07B3" w14:textId="77777777" w:rsidR="00713492" w:rsidRDefault="00713492">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329" w14:textId="77777777" w:rsidR="00717E5E" w:rsidRDefault="00FD11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C86B" w14:textId="77777777" w:rsidR="00717E5E" w:rsidRDefault="00FD11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8017" w14:textId="77777777" w:rsidR="00717E5E" w:rsidRDefault="00FD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2CAD" w14:textId="77777777" w:rsidR="003F48FC" w:rsidRDefault="003F48FC">
      <w:r>
        <w:separator/>
      </w:r>
    </w:p>
  </w:footnote>
  <w:footnote w:type="continuationSeparator" w:id="0">
    <w:p w14:paraId="641377B5" w14:textId="77777777" w:rsidR="003F48FC" w:rsidRDefault="003F48FC">
      <w:pPr>
        <w:rPr>
          <w:sz w:val="22"/>
        </w:rPr>
      </w:pPr>
      <w:r>
        <w:continuationSeparator/>
      </w:r>
    </w:p>
  </w:footnote>
  <w:footnote w:type="continuationNotice" w:id="1">
    <w:p w14:paraId="2651B3E5" w14:textId="77777777" w:rsidR="003F48FC" w:rsidRDefault="003F48FC">
      <w:pPr>
        <w:jc w:val="right"/>
        <w:rPr>
          <w:i/>
          <w:sz w:val="20"/>
        </w:rPr>
      </w:pPr>
    </w:p>
  </w:footnote>
  <w:footnote w:id="2">
    <w:p w14:paraId="711D4CB6" w14:textId="26B3CF24" w:rsidR="00713492" w:rsidRDefault="00713492" w:rsidP="006F4720">
      <w:pPr>
        <w:pStyle w:val="FootnoteText"/>
      </w:pPr>
      <w:r>
        <w:rPr>
          <w:rStyle w:val="FootnoteReference"/>
        </w:rPr>
        <w:footnoteRef/>
      </w:r>
      <w:r>
        <w:t xml:space="preserve"> </w:t>
      </w:r>
      <w:r>
        <w:tab/>
        <w:t xml:space="preserve">Subsequent unspecified statutory references are to the Code of Civil Procedure. </w:t>
      </w:r>
    </w:p>
  </w:footnote>
  <w:footnote w:id="3">
    <w:p w14:paraId="65B68C88" w14:textId="3C15A87B" w:rsidR="00713492" w:rsidRDefault="00713492">
      <w:pPr>
        <w:pStyle w:val="FootnoteText"/>
      </w:pPr>
      <w:r>
        <w:rPr>
          <w:rStyle w:val="FootnoteReference"/>
        </w:rPr>
        <w:footnoteRef/>
      </w:r>
      <w:r>
        <w:t xml:space="preserve"> </w:t>
      </w:r>
      <w:r>
        <w:tab/>
      </w:r>
      <w:r w:rsidRPr="0081449F">
        <w:t xml:space="preserve">In contrast to general civil proceedings, the normal pretrial time periods prescribed by the unlawful detainer statutes are shorter for a variety of procedures, including the time to file a responsive pleading to the complaint, respond to motions to quash and for summary judgment, conduct discovery, and set the action for trial.  (§§ 1167, 1167.3, 1167.4, 1170.5, 1170.8.)  </w:t>
      </w:r>
    </w:p>
  </w:footnote>
  <w:footnote w:id="4">
    <w:p w14:paraId="2FDCC537" w14:textId="09E22433" w:rsidR="00D86968" w:rsidRDefault="00D86968" w:rsidP="00D86968">
      <w:pPr>
        <w:pStyle w:val="FootnoteText"/>
      </w:pPr>
      <w:r>
        <w:rPr>
          <w:rStyle w:val="FootnoteReference"/>
        </w:rPr>
        <w:footnoteRef/>
      </w:r>
      <w:r>
        <w:t xml:space="preserve"> </w:t>
      </w:r>
      <w:r>
        <w:tab/>
        <w:t>A lessor must provide the tenant a three-day notice to pay rent or quit, and proper service of that notice is an essential prerequisite to a judgment in the lessor’s favor pursuant to section 1161, subdivision 2.  (</w:t>
      </w:r>
      <w:r>
        <w:rPr>
          <w:i/>
        </w:rPr>
        <w:t xml:space="preserve">Palm Property Investments, LLC v. Yadegar </w:t>
      </w:r>
      <w:r>
        <w:t xml:space="preserve">(2011) 194 Cal.App.4th 1419, 1425.)  The plaintiff </w:t>
      </w:r>
      <w:r w:rsidRPr="006F4720">
        <w:t>may not obtain judgment for possession absent evidence the notice was properly served</w:t>
      </w:r>
      <w:r>
        <w:t xml:space="preserve"> in compliance with the requirements of section 1162</w:t>
      </w:r>
      <w:r w:rsidRPr="006F4720">
        <w:t>.</w:t>
      </w:r>
      <w:r w:rsidR="002C3A58">
        <w:t xml:space="preserve">  </w:t>
      </w:r>
      <w:r w:rsidR="002C3A58" w:rsidRPr="006F4720">
        <w:t>(</w:t>
      </w:r>
      <w:r w:rsidR="002C3A58" w:rsidRPr="006F4720">
        <w:rPr>
          <w:i/>
        </w:rPr>
        <w:t xml:space="preserve">Liebovich v. Shahrokhkhany </w:t>
      </w:r>
      <w:r w:rsidR="002C3A58" w:rsidRPr="006F4720">
        <w:t xml:space="preserve">(1997) 56 Cal.App.4th 511, 513.)  </w:t>
      </w:r>
    </w:p>
  </w:footnote>
  <w:footnote w:id="5">
    <w:p w14:paraId="355E1093" w14:textId="28ECF0D5" w:rsidR="0078138D" w:rsidRDefault="0078138D">
      <w:pPr>
        <w:pStyle w:val="FootnoteText"/>
      </w:pPr>
      <w:r>
        <w:rPr>
          <w:rStyle w:val="FootnoteReference"/>
        </w:rPr>
        <w:footnoteRef/>
      </w:r>
      <w:r>
        <w:t xml:space="preserve"> </w:t>
      </w:r>
      <w:r>
        <w:tab/>
        <w:t xml:space="preserve">For example, a defendant </w:t>
      </w:r>
      <w:r w:rsidR="00FD59D9">
        <w:t xml:space="preserve">who decides to waive the opportunity to contest personal jurisdiction may </w:t>
      </w:r>
      <w:r w:rsidR="003415F6">
        <w:t xml:space="preserve">instead </w:t>
      </w:r>
      <w:r w:rsidR="00FD59D9">
        <w:t xml:space="preserve">file a demurrer </w:t>
      </w:r>
      <w:r w:rsidR="00954977">
        <w:t xml:space="preserve">or answer </w:t>
      </w:r>
      <w:r w:rsidR="00FD59D9">
        <w:t xml:space="preserve">to challenge a complaint for failure to state facts sufficient to constitute a cause of action.  (§ 430.10, subd. (e).)  </w:t>
      </w:r>
      <w:r w:rsidR="00954977">
        <w:t xml:space="preserve">More specifically, a defendant may object to a complaint that does not adhere to the pleading requirements of section 1166 by demurrer.  (§ 430.30, subd. (a).)  </w:t>
      </w:r>
      <w:r w:rsidR="00FD59D9">
        <w:t xml:space="preserve">A defendant </w:t>
      </w:r>
      <w:r>
        <w:t xml:space="preserve">seeking to challenge </w:t>
      </w:r>
      <w:r w:rsidR="000259EE">
        <w:t>the factual allegations contained in an unlawful detainer complaint may do so with an answer.</w:t>
      </w:r>
      <w:r w:rsidR="007E6200">
        <w:t xml:space="preserve">  (§ 430.30, subd. (b).)  </w:t>
      </w:r>
      <w:r w:rsidR="00954977">
        <w:t xml:space="preserve">And, a defendant who does not consent to the court’s jurisdiction may file a motion to quash and simultaneously answer, demur, or move to strike the complaint.  </w:t>
      </w:r>
      <w:r w:rsidR="00CA68FA">
        <w:t xml:space="preserve">(§ 418.10, subd. (e).)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1ED3" w14:textId="77777777" w:rsidR="00FD11DC" w:rsidRDefault="00FD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E56" w14:textId="4BB0FA11" w:rsidR="001211CE" w:rsidRPr="001211CE" w:rsidRDefault="001211CE" w:rsidP="001211CE">
    <w:pPr>
      <w:pStyle w:val="Header"/>
    </w:pPr>
    <w:r w:rsidRPr="001211CE">
      <w:t>STANCIL v. SUPERIOR COURT</w:t>
    </w:r>
  </w:p>
  <w:p w14:paraId="6530A88B" w14:textId="6260FA62" w:rsidR="00713492" w:rsidRDefault="00713492">
    <w:pPr>
      <w:pStyle w:val="Header"/>
    </w:pPr>
    <w:r>
      <w:t xml:space="preserve">Opinion of the Court by </w:t>
    </w:r>
    <w:r w:rsidR="00510069">
      <w:t>Cuéllar, J.</w:t>
    </w:r>
  </w:p>
  <w:p w14:paraId="5CEE743E" w14:textId="42EE5147" w:rsidR="00E67E3D" w:rsidRDefault="00E6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A79B" w14:textId="77777777" w:rsidR="00FD11DC" w:rsidRDefault="00FD1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B258" w14:textId="77777777" w:rsidR="00E67E3D" w:rsidRPr="001211CE" w:rsidRDefault="00E67E3D" w:rsidP="001211CE">
    <w:pPr>
      <w:pStyle w:val="Header"/>
    </w:pPr>
    <w:r w:rsidRPr="001211CE">
      <w:t>STANCIL v. SUPERIOR COURT</w:t>
    </w:r>
  </w:p>
  <w:p w14:paraId="487BA5CC" w14:textId="77777777" w:rsidR="00E67E3D" w:rsidRDefault="00E67E3D">
    <w:pPr>
      <w:pStyle w:val="Header"/>
    </w:pPr>
    <w:r>
      <w:t>Opinion of the Court by Cuéllar, J.</w:t>
    </w:r>
  </w:p>
  <w:p w14:paraId="4A94560E" w14:textId="77777777" w:rsidR="00E67E3D" w:rsidRDefault="00E67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10FF" w14:textId="77777777" w:rsidR="00717E5E" w:rsidRDefault="00FD11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D975" w14:textId="77777777" w:rsidR="00717E5E" w:rsidRDefault="00FD11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21D3" w14:textId="77777777" w:rsidR="00717E5E" w:rsidRDefault="00FD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971"/>
    <w:multiLevelType w:val="hybridMultilevel"/>
    <w:tmpl w:val="A99081B6"/>
    <w:lvl w:ilvl="0" w:tplc="B4189C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7128C"/>
    <w:multiLevelType w:val="hybridMultilevel"/>
    <w:tmpl w:val="99F4BCAE"/>
    <w:lvl w:ilvl="0" w:tplc="7AB0351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40007D"/>
    <w:multiLevelType w:val="hybridMultilevel"/>
    <w:tmpl w:val="99A27F4E"/>
    <w:lvl w:ilvl="0" w:tplc="21D655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2289A"/>
    <w:multiLevelType w:val="hybridMultilevel"/>
    <w:tmpl w:val="62AE4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31586"/>
    <w:multiLevelType w:val="hybridMultilevel"/>
    <w:tmpl w:val="1130ACD0"/>
    <w:lvl w:ilvl="0" w:tplc="ED50C2E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63101"/>
    <w:multiLevelType w:val="hybridMultilevel"/>
    <w:tmpl w:val="8DBCE662"/>
    <w:lvl w:ilvl="0" w:tplc="4EA4564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30D73"/>
    <w:multiLevelType w:val="hybridMultilevel"/>
    <w:tmpl w:val="BF7EB940"/>
    <w:lvl w:ilvl="0" w:tplc="E110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EC"/>
    <w:rsid w:val="00000246"/>
    <w:rsid w:val="000002BD"/>
    <w:rsid w:val="00001500"/>
    <w:rsid w:val="000017F0"/>
    <w:rsid w:val="00002488"/>
    <w:rsid w:val="00002ADD"/>
    <w:rsid w:val="00003337"/>
    <w:rsid w:val="0000392E"/>
    <w:rsid w:val="00003D08"/>
    <w:rsid w:val="00003FBA"/>
    <w:rsid w:val="0000706D"/>
    <w:rsid w:val="00007121"/>
    <w:rsid w:val="000076E3"/>
    <w:rsid w:val="00011139"/>
    <w:rsid w:val="00011C19"/>
    <w:rsid w:val="0001367F"/>
    <w:rsid w:val="00015310"/>
    <w:rsid w:val="000155E2"/>
    <w:rsid w:val="00015A3C"/>
    <w:rsid w:val="00016B4F"/>
    <w:rsid w:val="00021190"/>
    <w:rsid w:val="000219EB"/>
    <w:rsid w:val="00022070"/>
    <w:rsid w:val="0002481F"/>
    <w:rsid w:val="00024C61"/>
    <w:rsid w:val="00024F2B"/>
    <w:rsid w:val="000259EE"/>
    <w:rsid w:val="00027AFD"/>
    <w:rsid w:val="00027CF0"/>
    <w:rsid w:val="00030E5D"/>
    <w:rsid w:val="0003129C"/>
    <w:rsid w:val="00032A3D"/>
    <w:rsid w:val="00033F87"/>
    <w:rsid w:val="00034A74"/>
    <w:rsid w:val="0003590B"/>
    <w:rsid w:val="00035D12"/>
    <w:rsid w:val="00036EA4"/>
    <w:rsid w:val="00037937"/>
    <w:rsid w:val="00040B91"/>
    <w:rsid w:val="00040D56"/>
    <w:rsid w:val="0004112D"/>
    <w:rsid w:val="000411B1"/>
    <w:rsid w:val="0004160E"/>
    <w:rsid w:val="00041BEF"/>
    <w:rsid w:val="00043D18"/>
    <w:rsid w:val="000448F2"/>
    <w:rsid w:val="00044D72"/>
    <w:rsid w:val="000455EB"/>
    <w:rsid w:val="000458E3"/>
    <w:rsid w:val="0004624F"/>
    <w:rsid w:val="000462DB"/>
    <w:rsid w:val="0004651C"/>
    <w:rsid w:val="00046565"/>
    <w:rsid w:val="00046584"/>
    <w:rsid w:val="00047048"/>
    <w:rsid w:val="0004730C"/>
    <w:rsid w:val="00047AD4"/>
    <w:rsid w:val="0005055F"/>
    <w:rsid w:val="00051E9A"/>
    <w:rsid w:val="00052028"/>
    <w:rsid w:val="0005230C"/>
    <w:rsid w:val="000523CE"/>
    <w:rsid w:val="000533CF"/>
    <w:rsid w:val="00053AB9"/>
    <w:rsid w:val="0005474F"/>
    <w:rsid w:val="00054BE8"/>
    <w:rsid w:val="00055525"/>
    <w:rsid w:val="00055CEA"/>
    <w:rsid w:val="000575B8"/>
    <w:rsid w:val="00057EEF"/>
    <w:rsid w:val="00057F88"/>
    <w:rsid w:val="00057FD5"/>
    <w:rsid w:val="0006006F"/>
    <w:rsid w:val="00060665"/>
    <w:rsid w:val="000618AA"/>
    <w:rsid w:val="0006337E"/>
    <w:rsid w:val="00065BA5"/>
    <w:rsid w:val="0006716E"/>
    <w:rsid w:val="00067250"/>
    <w:rsid w:val="0006742F"/>
    <w:rsid w:val="000704EB"/>
    <w:rsid w:val="0007050A"/>
    <w:rsid w:val="00071378"/>
    <w:rsid w:val="00075092"/>
    <w:rsid w:val="000756D9"/>
    <w:rsid w:val="00075856"/>
    <w:rsid w:val="00075866"/>
    <w:rsid w:val="0007674E"/>
    <w:rsid w:val="00076E6E"/>
    <w:rsid w:val="00077A0B"/>
    <w:rsid w:val="0008123F"/>
    <w:rsid w:val="00082615"/>
    <w:rsid w:val="000830EE"/>
    <w:rsid w:val="00083421"/>
    <w:rsid w:val="00084208"/>
    <w:rsid w:val="000844C0"/>
    <w:rsid w:val="00085232"/>
    <w:rsid w:val="0008571D"/>
    <w:rsid w:val="0008662C"/>
    <w:rsid w:val="0008688B"/>
    <w:rsid w:val="00087381"/>
    <w:rsid w:val="000900AA"/>
    <w:rsid w:val="00091DD9"/>
    <w:rsid w:val="000928F3"/>
    <w:rsid w:val="00092F83"/>
    <w:rsid w:val="00093B76"/>
    <w:rsid w:val="00093CED"/>
    <w:rsid w:val="000940CB"/>
    <w:rsid w:val="000944BF"/>
    <w:rsid w:val="000944C5"/>
    <w:rsid w:val="00094C41"/>
    <w:rsid w:val="00095FFB"/>
    <w:rsid w:val="000966DD"/>
    <w:rsid w:val="000A0842"/>
    <w:rsid w:val="000A10BC"/>
    <w:rsid w:val="000A1F80"/>
    <w:rsid w:val="000A254F"/>
    <w:rsid w:val="000A327C"/>
    <w:rsid w:val="000A3881"/>
    <w:rsid w:val="000A3F62"/>
    <w:rsid w:val="000A4569"/>
    <w:rsid w:val="000A48AA"/>
    <w:rsid w:val="000A5145"/>
    <w:rsid w:val="000A5632"/>
    <w:rsid w:val="000A5D60"/>
    <w:rsid w:val="000A6231"/>
    <w:rsid w:val="000A6379"/>
    <w:rsid w:val="000A65C9"/>
    <w:rsid w:val="000B0124"/>
    <w:rsid w:val="000B017A"/>
    <w:rsid w:val="000B2088"/>
    <w:rsid w:val="000B31A9"/>
    <w:rsid w:val="000B3AB8"/>
    <w:rsid w:val="000B43E5"/>
    <w:rsid w:val="000B4686"/>
    <w:rsid w:val="000B4AEB"/>
    <w:rsid w:val="000B5370"/>
    <w:rsid w:val="000C146E"/>
    <w:rsid w:val="000C150A"/>
    <w:rsid w:val="000C152A"/>
    <w:rsid w:val="000C2BE5"/>
    <w:rsid w:val="000C3705"/>
    <w:rsid w:val="000C37DA"/>
    <w:rsid w:val="000C3EA2"/>
    <w:rsid w:val="000C5073"/>
    <w:rsid w:val="000C60EB"/>
    <w:rsid w:val="000C6A0E"/>
    <w:rsid w:val="000C6A57"/>
    <w:rsid w:val="000C6AFD"/>
    <w:rsid w:val="000C7D9B"/>
    <w:rsid w:val="000D12B9"/>
    <w:rsid w:val="000D1816"/>
    <w:rsid w:val="000D2F41"/>
    <w:rsid w:val="000D38C4"/>
    <w:rsid w:val="000D7E21"/>
    <w:rsid w:val="000E06AA"/>
    <w:rsid w:val="000E0F25"/>
    <w:rsid w:val="000E1721"/>
    <w:rsid w:val="000E2C5E"/>
    <w:rsid w:val="000E499B"/>
    <w:rsid w:val="000E5069"/>
    <w:rsid w:val="000E57F3"/>
    <w:rsid w:val="000E5997"/>
    <w:rsid w:val="000E6C2F"/>
    <w:rsid w:val="000F0095"/>
    <w:rsid w:val="000F0D0F"/>
    <w:rsid w:val="000F20FE"/>
    <w:rsid w:val="000F27B6"/>
    <w:rsid w:val="000F29E0"/>
    <w:rsid w:val="000F3C16"/>
    <w:rsid w:val="000F505A"/>
    <w:rsid w:val="000F59BC"/>
    <w:rsid w:val="000F5CD9"/>
    <w:rsid w:val="000F7B69"/>
    <w:rsid w:val="00100086"/>
    <w:rsid w:val="00100139"/>
    <w:rsid w:val="00100A88"/>
    <w:rsid w:val="001017AF"/>
    <w:rsid w:val="00101F1B"/>
    <w:rsid w:val="00103062"/>
    <w:rsid w:val="001037E8"/>
    <w:rsid w:val="00103927"/>
    <w:rsid w:val="001058B8"/>
    <w:rsid w:val="00105CB8"/>
    <w:rsid w:val="00105CD4"/>
    <w:rsid w:val="00106EC4"/>
    <w:rsid w:val="0010726B"/>
    <w:rsid w:val="001104F1"/>
    <w:rsid w:val="00110951"/>
    <w:rsid w:val="00110FAC"/>
    <w:rsid w:val="00112204"/>
    <w:rsid w:val="00113067"/>
    <w:rsid w:val="00113649"/>
    <w:rsid w:val="001138FD"/>
    <w:rsid w:val="001144E3"/>
    <w:rsid w:val="00115F66"/>
    <w:rsid w:val="0011604A"/>
    <w:rsid w:val="001211CE"/>
    <w:rsid w:val="00121704"/>
    <w:rsid w:val="00121BD3"/>
    <w:rsid w:val="00123A85"/>
    <w:rsid w:val="00124077"/>
    <w:rsid w:val="00124442"/>
    <w:rsid w:val="0012743E"/>
    <w:rsid w:val="00130442"/>
    <w:rsid w:val="0013057E"/>
    <w:rsid w:val="0013064C"/>
    <w:rsid w:val="00130A50"/>
    <w:rsid w:val="0013105F"/>
    <w:rsid w:val="001312A1"/>
    <w:rsid w:val="001342C0"/>
    <w:rsid w:val="00135A74"/>
    <w:rsid w:val="00135F31"/>
    <w:rsid w:val="00136052"/>
    <w:rsid w:val="00136116"/>
    <w:rsid w:val="00136DFE"/>
    <w:rsid w:val="00136F14"/>
    <w:rsid w:val="001408C1"/>
    <w:rsid w:val="00140E29"/>
    <w:rsid w:val="001411CA"/>
    <w:rsid w:val="00142F7A"/>
    <w:rsid w:val="00144816"/>
    <w:rsid w:val="001452D6"/>
    <w:rsid w:val="00146512"/>
    <w:rsid w:val="0014761F"/>
    <w:rsid w:val="00150731"/>
    <w:rsid w:val="00152EA7"/>
    <w:rsid w:val="00153BC3"/>
    <w:rsid w:val="001552AA"/>
    <w:rsid w:val="0015555B"/>
    <w:rsid w:val="00155FCB"/>
    <w:rsid w:val="00156DD2"/>
    <w:rsid w:val="0016020B"/>
    <w:rsid w:val="00160A68"/>
    <w:rsid w:val="00161543"/>
    <w:rsid w:val="0016273C"/>
    <w:rsid w:val="00162921"/>
    <w:rsid w:val="001635EF"/>
    <w:rsid w:val="00163761"/>
    <w:rsid w:val="001639A1"/>
    <w:rsid w:val="00163D43"/>
    <w:rsid w:val="001648C6"/>
    <w:rsid w:val="001652F2"/>
    <w:rsid w:val="0016557B"/>
    <w:rsid w:val="00165589"/>
    <w:rsid w:val="00165F4C"/>
    <w:rsid w:val="00167A4A"/>
    <w:rsid w:val="00172231"/>
    <w:rsid w:val="001725EC"/>
    <w:rsid w:val="001740D0"/>
    <w:rsid w:val="00174785"/>
    <w:rsid w:val="001749E1"/>
    <w:rsid w:val="00174C26"/>
    <w:rsid w:val="00175BC7"/>
    <w:rsid w:val="0017726C"/>
    <w:rsid w:val="00177673"/>
    <w:rsid w:val="0018055A"/>
    <w:rsid w:val="0018201A"/>
    <w:rsid w:val="00182429"/>
    <w:rsid w:val="00183118"/>
    <w:rsid w:val="00183683"/>
    <w:rsid w:val="00187683"/>
    <w:rsid w:val="00190086"/>
    <w:rsid w:val="0019065D"/>
    <w:rsid w:val="0019127E"/>
    <w:rsid w:val="001912E3"/>
    <w:rsid w:val="00191637"/>
    <w:rsid w:val="00192833"/>
    <w:rsid w:val="00192AC0"/>
    <w:rsid w:val="00193D86"/>
    <w:rsid w:val="0019439F"/>
    <w:rsid w:val="00195562"/>
    <w:rsid w:val="0019583D"/>
    <w:rsid w:val="00196A72"/>
    <w:rsid w:val="00196F40"/>
    <w:rsid w:val="00196FB0"/>
    <w:rsid w:val="001973BD"/>
    <w:rsid w:val="001A224F"/>
    <w:rsid w:val="001A2C24"/>
    <w:rsid w:val="001A32BF"/>
    <w:rsid w:val="001A6003"/>
    <w:rsid w:val="001A608B"/>
    <w:rsid w:val="001A7ABD"/>
    <w:rsid w:val="001A7D58"/>
    <w:rsid w:val="001B320C"/>
    <w:rsid w:val="001B34D9"/>
    <w:rsid w:val="001B3810"/>
    <w:rsid w:val="001B3BB8"/>
    <w:rsid w:val="001B430F"/>
    <w:rsid w:val="001B59C5"/>
    <w:rsid w:val="001B7503"/>
    <w:rsid w:val="001B79A0"/>
    <w:rsid w:val="001B7F67"/>
    <w:rsid w:val="001C015D"/>
    <w:rsid w:val="001C0439"/>
    <w:rsid w:val="001C0B78"/>
    <w:rsid w:val="001C14F8"/>
    <w:rsid w:val="001C3038"/>
    <w:rsid w:val="001C3711"/>
    <w:rsid w:val="001C3AAC"/>
    <w:rsid w:val="001C4678"/>
    <w:rsid w:val="001C4A22"/>
    <w:rsid w:val="001C5D44"/>
    <w:rsid w:val="001C6103"/>
    <w:rsid w:val="001C76BC"/>
    <w:rsid w:val="001C7EE8"/>
    <w:rsid w:val="001D0BCB"/>
    <w:rsid w:val="001D50E7"/>
    <w:rsid w:val="001D5BAC"/>
    <w:rsid w:val="001D644C"/>
    <w:rsid w:val="001D6472"/>
    <w:rsid w:val="001D667E"/>
    <w:rsid w:val="001D73E9"/>
    <w:rsid w:val="001D7ACD"/>
    <w:rsid w:val="001E0039"/>
    <w:rsid w:val="001E006F"/>
    <w:rsid w:val="001E1D52"/>
    <w:rsid w:val="001E3E42"/>
    <w:rsid w:val="001E4295"/>
    <w:rsid w:val="001E42EB"/>
    <w:rsid w:val="001E4F27"/>
    <w:rsid w:val="001E5B83"/>
    <w:rsid w:val="001E7278"/>
    <w:rsid w:val="001E79A5"/>
    <w:rsid w:val="001E7C31"/>
    <w:rsid w:val="001F0B01"/>
    <w:rsid w:val="001F1A73"/>
    <w:rsid w:val="001F1BC8"/>
    <w:rsid w:val="001F26E3"/>
    <w:rsid w:val="001F27FC"/>
    <w:rsid w:val="001F3461"/>
    <w:rsid w:val="001F45CD"/>
    <w:rsid w:val="001F47DF"/>
    <w:rsid w:val="001F4C15"/>
    <w:rsid w:val="001F5893"/>
    <w:rsid w:val="001F6262"/>
    <w:rsid w:val="001F63DA"/>
    <w:rsid w:val="001F6790"/>
    <w:rsid w:val="001F6DC3"/>
    <w:rsid w:val="001F75D0"/>
    <w:rsid w:val="00200554"/>
    <w:rsid w:val="00201103"/>
    <w:rsid w:val="00201E04"/>
    <w:rsid w:val="0020253E"/>
    <w:rsid w:val="00203B98"/>
    <w:rsid w:val="00204BBD"/>
    <w:rsid w:val="00205015"/>
    <w:rsid w:val="00205878"/>
    <w:rsid w:val="0021058D"/>
    <w:rsid w:val="00210653"/>
    <w:rsid w:val="00210A9B"/>
    <w:rsid w:val="0021259A"/>
    <w:rsid w:val="00213402"/>
    <w:rsid w:val="0021355D"/>
    <w:rsid w:val="002135B2"/>
    <w:rsid w:val="002140B5"/>
    <w:rsid w:val="0021524F"/>
    <w:rsid w:val="002159B4"/>
    <w:rsid w:val="00215C33"/>
    <w:rsid w:val="002221F5"/>
    <w:rsid w:val="002224EB"/>
    <w:rsid w:val="002235FE"/>
    <w:rsid w:val="00223B83"/>
    <w:rsid w:val="00224357"/>
    <w:rsid w:val="00224715"/>
    <w:rsid w:val="00225860"/>
    <w:rsid w:val="00227294"/>
    <w:rsid w:val="00227A0D"/>
    <w:rsid w:val="00230417"/>
    <w:rsid w:val="00231B41"/>
    <w:rsid w:val="002320A6"/>
    <w:rsid w:val="002324B7"/>
    <w:rsid w:val="0023442A"/>
    <w:rsid w:val="00235444"/>
    <w:rsid w:val="002359C7"/>
    <w:rsid w:val="00236825"/>
    <w:rsid w:val="002378B8"/>
    <w:rsid w:val="00237E87"/>
    <w:rsid w:val="002404E6"/>
    <w:rsid w:val="00240CCB"/>
    <w:rsid w:val="00241798"/>
    <w:rsid w:val="00241AE8"/>
    <w:rsid w:val="00241AEC"/>
    <w:rsid w:val="00241EA9"/>
    <w:rsid w:val="0024281F"/>
    <w:rsid w:val="002439FC"/>
    <w:rsid w:val="002447F8"/>
    <w:rsid w:val="00244DAC"/>
    <w:rsid w:val="00246EC6"/>
    <w:rsid w:val="00250082"/>
    <w:rsid w:val="0025095B"/>
    <w:rsid w:val="00250C55"/>
    <w:rsid w:val="00250D3E"/>
    <w:rsid w:val="00251898"/>
    <w:rsid w:val="002526AA"/>
    <w:rsid w:val="00252936"/>
    <w:rsid w:val="00253D17"/>
    <w:rsid w:val="00255FC3"/>
    <w:rsid w:val="00262A94"/>
    <w:rsid w:val="00263587"/>
    <w:rsid w:val="002637F9"/>
    <w:rsid w:val="002641D3"/>
    <w:rsid w:val="00264407"/>
    <w:rsid w:val="00264CB8"/>
    <w:rsid w:val="00265056"/>
    <w:rsid w:val="002659FD"/>
    <w:rsid w:val="00265AA4"/>
    <w:rsid w:val="002674F9"/>
    <w:rsid w:val="0026775F"/>
    <w:rsid w:val="002678E8"/>
    <w:rsid w:val="00267ADC"/>
    <w:rsid w:val="00270805"/>
    <w:rsid w:val="002714ED"/>
    <w:rsid w:val="00272624"/>
    <w:rsid w:val="00272C32"/>
    <w:rsid w:val="00273751"/>
    <w:rsid w:val="00273B64"/>
    <w:rsid w:val="00274A40"/>
    <w:rsid w:val="002754E4"/>
    <w:rsid w:val="0027676B"/>
    <w:rsid w:val="002800B6"/>
    <w:rsid w:val="0028027E"/>
    <w:rsid w:val="00282322"/>
    <w:rsid w:val="002827D7"/>
    <w:rsid w:val="00283766"/>
    <w:rsid w:val="0028378E"/>
    <w:rsid w:val="002839AB"/>
    <w:rsid w:val="00284266"/>
    <w:rsid w:val="00284315"/>
    <w:rsid w:val="00285127"/>
    <w:rsid w:val="00285ED0"/>
    <w:rsid w:val="002873AD"/>
    <w:rsid w:val="0028793F"/>
    <w:rsid w:val="00291017"/>
    <w:rsid w:val="00293115"/>
    <w:rsid w:val="00293F19"/>
    <w:rsid w:val="002A1343"/>
    <w:rsid w:val="002A1654"/>
    <w:rsid w:val="002A284A"/>
    <w:rsid w:val="002A34F7"/>
    <w:rsid w:val="002A3592"/>
    <w:rsid w:val="002A3E42"/>
    <w:rsid w:val="002A4C11"/>
    <w:rsid w:val="002A6987"/>
    <w:rsid w:val="002A6E83"/>
    <w:rsid w:val="002A755E"/>
    <w:rsid w:val="002A7BCE"/>
    <w:rsid w:val="002A7CB9"/>
    <w:rsid w:val="002B0C5A"/>
    <w:rsid w:val="002B10F3"/>
    <w:rsid w:val="002B4781"/>
    <w:rsid w:val="002B4E83"/>
    <w:rsid w:val="002B50A8"/>
    <w:rsid w:val="002B55B9"/>
    <w:rsid w:val="002B7142"/>
    <w:rsid w:val="002C0B70"/>
    <w:rsid w:val="002C159F"/>
    <w:rsid w:val="002C1C56"/>
    <w:rsid w:val="002C1EB1"/>
    <w:rsid w:val="002C320C"/>
    <w:rsid w:val="002C3A58"/>
    <w:rsid w:val="002C3DAA"/>
    <w:rsid w:val="002C4D7A"/>
    <w:rsid w:val="002C799A"/>
    <w:rsid w:val="002D0002"/>
    <w:rsid w:val="002D0688"/>
    <w:rsid w:val="002D0A0F"/>
    <w:rsid w:val="002D0E41"/>
    <w:rsid w:val="002D0F5A"/>
    <w:rsid w:val="002D1CB0"/>
    <w:rsid w:val="002D23DD"/>
    <w:rsid w:val="002D406F"/>
    <w:rsid w:val="002D5223"/>
    <w:rsid w:val="002D5ABD"/>
    <w:rsid w:val="002D6433"/>
    <w:rsid w:val="002D6C59"/>
    <w:rsid w:val="002D7679"/>
    <w:rsid w:val="002E0CEE"/>
    <w:rsid w:val="002E1489"/>
    <w:rsid w:val="002E22E8"/>
    <w:rsid w:val="002E2BDB"/>
    <w:rsid w:val="002E2D3B"/>
    <w:rsid w:val="002E2D6C"/>
    <w:rsid w:val="002E411E"/>
    <w:rsid w:val="002E48AB"/>
    <w:rsid w:val="002E4E25"/>
    <w:rsid w:val="002E5264"/>
    <w:rsid w:val="002E5635"/>
    <w:rsid w:val="002E78BA"/>
    <w:rsid w:val="002F0169"/>
    <w:rsid w:val="002F15D5"/>
    <w:rsid w:val="002F196E"/>
    <w:rsid w:val="002F1FA9"/>
    <w:rsid w:val="002F26E0"/>
    <w:rsid w:val="002F3669"/>
    <w:rsid w:val="002F3FB6"/>
    <w:rsid w:val="002F40A9"/>
    <w:rsid w:val="002F4123"/>
    <w:rsid w:val="002F4169"/>
    <w:rsid w:val="002F4A42"/>
    <w:rsid w:val="002F4BDA"/>
    <w:rsid w:val="002F53DB"/>
    <w:rsid w:val="002F54C4"/>
    <w:rsid w:val="002F5FCF"/>
    <w:rsid w:val="002F74EF"/>
    <w:rsid w:val="00301E9F"/>
    <w:rsid w:val="00302CD4"/>
    <w:rsid w:val="00302CEF"/>
    <w:rsid w:val="00304532"/>
    <w:rsid w:val="00305851"/>
    <w:rsid w:val="00307132"/>
    <w:rsid w:val="0030718D"/>
    <w:rsid w:val="0031024E"/>
    <w:rsid w:val="003106F2"/>
    <w:rsid w:val="003118A8"/>
    <w:rsid w:val="00313293"/>
    <w:rsid w:val="00313BA9"/>
    <w:rsid w:val="00314517"/>
    <w:rsid w:val="00314678"/>
    <w:rsid w:val="00314C88"/>
    <w:rsid w:val="0031522E"/>
    <w:rsid w:val="00315B8A"/>
    <w:rsid w:val="00315CBD"/>
    <w:rsid w:val="00315FE9"/>
    <w:rsid w:val="0031627F"/>
    <w:rsid w:val="0031642B"/>
    <w:rsid w:val="003167A0"/>
    <w:rsid w:val="00317692"/>
    <w:rsid w:val="00317845"/>
    <w:rsid w:val="0031791D"/>
    <w:rsid w:val="00320D7E"/>
    <w:rsid w:val="00321854"/>
    <w:rsid w:val="003235F7"/>
    <w:rsid w:val="00323CDE"/>
    <w:rsid w:val="003257B6"/>
    <w:rsid w:val="00325BD5"/>
    <w:rsid w:val="00325EAA"/>
    <w:rsid w:val="00325F95"/>
    <w:rsid w:val="003262C0"/>
    <w:rsid w:val="00326520"/>
    <w:rsid w:val="00327215"/>
    <w:rsid w:val="003278BE"/>
    <w:rsid w:val="003325E7"/>
    <w:rsid w:val="00332C54"/>
    <w:rsid w:val="0033466A"/>
    <w:rsid w:val="0033483D"/>
    <w:rsid w:val="003349A1"/>
    <w:rsid w:val="003377B1"/>
    <w:rsid w:val="003403C1"/>
    <w:rsid w:val="003411FF"/>
    <w:rsid w:val="003415F6"/>
    <w:rsid w:val="00341964"/>
    <w:rsid w:val="00342059"/>
    <w:rsid w:val="00342836"/>
    <w:rsid w:val="003437B4"/>
    <w:rsid w:val="00345415"/>
    <w:rsid w:val="003458DF"/>
    <w:rsid w:val="00345B88"/>
    <w:rsid w:val="0034670A"/>
    <w:rsid w:val="00350749"/>
    <w:rsid w:val="003512E3"/>
    <w:rsid w:val="00351BB2"/>
    <w:rsid w:val="00351BD3"/>
    <w:rsid w:val="00351C87"/>
    <w:rsid w:val="003539B3"/>
    <w:rsid w:val="00353F65"/>
    <w:rsid w:val="00354772"/>
    <w:rsid w:val="00354BAF"/>
    <w:rsid w:val="00354CBA"/>
    <w:rsid w:val="00355202"/>
    <w:rsid w:val="00355B77"/>
    <w:rsid w:val="003564D4"/>
    <w:rsid w:val="00357342"/>
    <w:rsid w:val="0036162E"/>
    <w:rsid w:val="00361BB0"/>
    <w:rsid w:val="00361D50"/>
    <w:rsid w:val="00361D5B"/>
    <w:rsid w:val="003624BB"/>
    <w:rsid w:val="00362BE5"/>
    <w:rsid w:val="0036335F"/>
    <w:rsid w:val="00363BBE"/>
    <w:rsid w:val="00363D76"/>
    <w:rsid w:val="00363F19"/>
    <w:rsid w:val="00364537"/>
    <w:rsid w:val="003651DA"/>
    <w:rsid w:val="00365734"/>
    <w:rsid w:val="00366B2B"/>
    <w:rsid w:val="00367BF7"/>
    <w:rsid w:val="00367EFA"/>
    <w:rsid w:val="00370947"/>
    <w:rsid w:val="00372911"/>
    <w:rsid w:val="00372CE8"/>
    <w:rsid w:val="00373309"/>
    <w:rsid w:val="003737C0"/>
    <w:rsid w:val="00373AF4"/>
    <w:rsid w:val="0037490D"/>
    <w:rsid w:val="00375240"/>
    <w:rsid w:val="0037631C"/>
    <w:rsid w:val="003765A7"/>
    <w:rsid w:val="00376AE2"/>
    <w:rsid w:val="0037767C"/>
    <w:rsid w:val="00377767"/>
    <w:rsid w:val="00377AA2"/>
    <w:rsid w:val="00377D51"/>
    <w:rsid w:val="00380F5A"/>
    <w:rsid w:val="003830D2"/>
    <w:rsid w:val="00384EDB"/>
    <w:rsid w:val="00384F2B"/>
    <w:rsid w:val="0038511E"/>
    <w:rsid w:val="00385DD2"/>
    <w:rsid w:val="00387FDE"/>
    <w:rsid w:val="0039120A"/>
    <w:rsid w:val="0039165E"/>
    <w:rsid w:val="00391FC3"/>
    <w:rsid w:val="0039246A"/>
    <w:rsid w:val="00392E7B"/>
    <w:rsid w:val="00393D8F"/>
    <w:rsid w:val="0039450C"/>
    <w:rsid w:val="00394E6C"/>
    <w:rsid w:val="003950D3"/>
    <w:rsid w:val="00396260"/>
    <w:rsid w:val="00397A21"/>
    <w:rsid w:val="003A005F"/>
    <w:rsid w:val="003A0845"/>
    <w:rsid w:val="003A08A9"/>
    <w:rsid w:val="003A176F"/>
    <w:rsid w:val="003A210E"/>
    <w:rsid w:val="003A23A8"/>
    <w:rsid w:val="003A351B"/>
    <w:rsid w:val="003A37E9"/>
    <w:rsid w:val="003A3E0C"/>
    <w:rsid w:val="003A4024"/>
    <w:rsid w:val="003A598F"/>
    <w:rsid w:val="003A63B9"/>
    <w:rsid w:val="003A7673"/>
    <w:rsid w:val="003B01EF"/>
    <w:rsid w:val="003B1BA7"/>
    <w:rsid w:val="003B26AB"/>
    <w:rsid w:val="003B369D"/>
    <w:rsid w:val="003B3F29"/>
    <w:rsid w:val="003B47FD"/>
    <w:rsid w:val="003B507B"/>
    <w:rsid w:val="003B5253"/>
    <w:rsid w:val="003B5EEC"/>
    <w:rsid w:val="003B619C"/>
    <w:rsid w:val="003B6E68"/>
    <w:rsid w:val="003B7576"/>
    <w:rsid w:val="003C1D07"/>
    <w:rsid w:val="003C1F69"/>
    <w:rsid w:val="003C2208"/>
    <w:rsid w:val="003C2526"/>
    <w:rsid w:val="003C38DD"/>
    <w:rsid w:val="003C3B69"/>
    <w:rsid w:val="003C414B"/>
    <w:rsid w:val="003C4DAB"/>
    <w:rsid w:val="003C4E0B"/>
    <w:rsid w:val="003C4E2A"/>
    <w:rsid w:val="003C5088"/>
    <w:rsid w:val="003C562C"/>
    <w:rsid w:val="003C6176"/>
    <w:rsid w:val="003C6E3D"/>
    <w:rsid w:val="003C755A"/>
    <w:rsid w:val="003D101F"/>
    <w:rsid w:val="003D179F"/>
    <w:rsid w:val="003D2EE0"/>
    <w:rsid w:val="003D36C0"/>
    <w:rsid w:val="003D53B7"/>
    <w:rsid w:val="003D5A06"/>
    <w:rsid w:val="003D5DFB"/>
    <w:rsid w:val="003D6DEF"/>
    <w:rsid w:val="003D6DF0"/>
    <w:rsid w:val="003D742B"/>
    <w:rsid w:val="003D7DE3"/>
    <w:rsid w:val="003E036F"/>
    <w:rsid w:val="003E12BC"/>
    <w:rsid w:val="003E2618"/>
    <w:rsid w:val="003E2A18"/>
    <w:rsid w:val="003E483B"/>
    <w:rsid w:val="003E4F16"/>
    <w:rsid w:val="003E53E6"/>
    <w:rsid w:val="003E5938"/>
    <w:rsid w:val="003E5F98"/>
    <w:rsid w:val="003E607E"/>
    <w:rsid w:val="003E60B2"/>
    <w:rsid w:val="003E66E4"/>
    <w:rsid w:val="003E686F"/>
    <w:rsid w:val="003E739C"/>
    <w:rsid w:val="003E7E5A"/>
    <w:rsid w:val="003F0375"/>
    <w:rsid w:val="003F0A73"/>
    <w:rsid w:val="003F1C7F"/>
    <w:rsid w:val="003F2128"/>
    <w:rsid w:val="003F431E"/>
    <w:rsid w:val="003F48FC"/>
    <w:rsid w:val="003F5741"/>
    <w:rsid w:val="003F5EF0"/>
    <w:rsid w:val="003F6548"/>
    <w:rsid w:val="003F7EDB"/>
    <w:rsid w:val="00400002"/>
    <w:rsid w:val="004003BF"/>
    <w:rsid w:val="00400A9D"/>
    <w:rsid w:val="0040153D"/>
    <w:rsid w:val="00401A02"/>
    <w:rsid w:val="00401D27"/>
    <w:rsid w:val="00402319"/>
    <w:rsid w:val="004024CB"/>
    <w:rsid w:val="00402763"/>
    <w:rsid w:val="00404CC9"/>
    <w:rsid w:val="00404CE8"/>
    <w:rsid w:val="00404D75"/>
    <w:rsid w:val="00405392"/>
    <w:rsid w:val="00405981"/>
    <w:rsid w:val="004061A9"/>
    <w:rsid w:val="004069E1"/>
    <w:rsid w:val="004069FA"/>
    <w:rsid w:val="00407B64"/>
    <w:rsid w:val="00407E3C"/>
    <w:rsid w:val="004103D3"/>
    <w:rsid w:val="004107F5"/>
    <w:rsid w:val="00411E8C"/>
    <w:rsid w:val="00412D53"/>
    <w:rsid w:val="00413D68"/>
    <w:rsid w:val="00414910"/>
    <w:rsid w:val="004161AC"/>
    <w:rsid w:val="00416F55"/>
    <w:rsid w:val="00417DED"/>
    <w:rsid w:val="00420076"/>
    <w:rsid w:val="00420566"/>
    <w:rsid w:val="0042079A"/>
    <w:rsid w:val="004221B4"/>
    <w:rsid w:val="00422514"/>
    <w:rsid w:val="0042453F"/>
    <w:rsid w:val="00424705"/>
    <w:rsid w:val="00424E69"/>
    <w:rsid w:val="00425336"/>
    <w:rsid w:val="0042692D"/>
    <w:rsid w:val="00426E03"/>
    <w:rsid w:val="00427136"/>
    <w:rsid w:val="00427A08"/>
    <w:rsid w:val="00430030"/>
    <w:rsid w:val="00431ACE"/>
    <w:rsid w:val="0043218C"/>
    <w:rsid w:val="00432B72"/>
    <w:rsid w:val="004332D6"/>
    <w:rsid w:val="00434509"/>
    <w:rsid w:val="00434A2D"/>
    <w:rsid w:val="00436C8D"/>
    <w:rsid w:val="0044080A"/>
    <w:rsid w:val="00440F80"/>
    <w:rsid w:val="004418D9"/>
    <w:rsid w:val="0044430A"/>
    <w:rsid w:val="00445776"/>
    <w:rsid w:val="00446323"/>
    <w:rsid w:val="00446386"/>
    <w:rsid w:val="004469A5"/>
    <w:rsid w:val="00446A6E"/>
    <w:rsid w:val="00447671"/>
    <w:rsid w:val="00447939"/>
    <w:rsid w:val="00450AE9"/>
    <w:rsid w:val="00450B48"/>
    <w:rsid w:val="00450B87"/>
    <w:rsid w:val="00453600"/>
    <w:rsid w:val="00454864"/>
    <w:rsid w:val="00454FA7"/>
    <w:rsid w:val="0045654D"/>
    <w:rsid w:val="0046255D"/>
    <w:rsid w:val="004625FC"/>
    <w:rsid w:val="00462B21"/>
    <w:rsid w:val="00462B76"/>
    <w:rsid w:val="004631AF"/>
    <w:rsid w:val="0046336F"/>
    <w:rsid w:val="0046353F"/>
    <w:rsid w:val="00463BDE"/>
    <w:rsid w:val="004656DE"/>
    <w:rsid w:val="004662C4"/>
    <w:rsid w:val="00466446"/>
    <w:rsid w:val="004664A1"/>
    <w:rsid w:val="0046656B"/>
    <w:rsid w:val="00466C83"/>
    <w:rsid w:val="00467B19"/>
    <w:rsid w:val="004718E1"/>
    <w:rsid w:val="00472345"/>
    <w:rsid w:val="00472DEF"/>
    <w:rsid w:val="00472E16"/>
    <w:rsid w:val="00473091"/>
    <w:rsid w:val="00473BA7"/>
    <w:rsid w:val="004759A9"/>
    <w:rsid w:val="004762D1"/>
    <w:rsid w:val="00476367"/>
    <w:rsid w:val="0047719D"/>
    <w:rsid w:val="00477819"/>
    <w:rsid w:val="00477B0C"/>
    <w:rsid w:val="00477D4B"/>
    <w:rsid w:val="00480F93"/>
    <w:rsid w:val="00481209"/>
    <w:rsid w:val="0048275F"/>
    <w:rsid w:val="00483565"/>
    <w:rsid w:val="00485076"/>
    <w:rsid w:val="00485913"/>
    <w:rsid w:val="00485C45"/>
    <w:rsid w:val="00487D54"/>
    <w:rsid w:val="00487EF2"/>
    <w:rsid w:val="00491766"/>
    <w:rsid w:val="00492671"/>
    <w:rsid w:val="00494593"/>
    <w:rsid w:val="00494A8F"/>
    <w:rsid w:val="004950CF"/>
    <w:rsid w:val="00495577"/>
    <w:rsid w:val="004962E7"/>
    <w:rsid w:val="004969B7"/>
    <w:rsid w:val="004975B2"/>
    <w:rsid w:val="004A0D29"/>
    <w:rsid w:val="004A1F65"/>
    <w:rsid w:val="004A2368"/>
    <w:rsid w:val="004A30CB"/>
    <w:rsid w:val="004A40DE"/>
    <w:rsid w:val="004A57BC"/>
    <w:rsid w:val="004B3DBB"/>
    <w:rsid w:val="004B3ECF"/>
    <w:rsid w:val="004B401F"/>
    <w:rsid w:val="004B49FD"/>
    <w:rsid w:val="004B5BB1"/>
    <w:rsid w:val="004B6581"/>
    <w:rsid w:val="004B77FC"/>
    <w:rsid w:val="004C0787"/>
    <w:rsid w:val="004C194D"/>
    <w:rsid w:val="004C29B4"/>
    <w:rsid w:val="004C3032"/>
    <w:rsid w:val="004C3753"/>
    <w:rsid w:val="004C3BC2"/>
    <w:rsid w:val="004C4487"/>
    <w:rsid w:val="004C515B"/>
    <w:rsid w:val="004C588D"/>
    <w:rsid w:val="004C6878"/>
    <w:rsid w:val="004D0924"/>
    <w:rsid w:val="004D1031"/>
    <w:rsid w:val="004D188B"/>
    <w:rsid w:val="004D2321"/>
    <w:rsid w:val="004D2A54"/>
    <w:rsid w:val="004D2BF5"/>
    <w:rsid w:val="004D33C9"/>
    <w:rsid w:val="004D3AA2"/>
    <w:rsid w:val="004D52F4"/>
    <w:rsid w:val="004D6007"/>
    <w:rsid w:val="004D6150"/>
    <w:rsid w:val="004D61B3"/>
    <w:rsid w:val="004D6719"/>
    <w:rsid w:val="004D6E6C"/>
    <w:rsid w:val="004E0187"/>
    <w:rsid w:val="004E0288"/>
    <w:rsid w:val="004E0D68"/>
    <w:rsid w:val="004E0FC7"/>
    <w:rsid w:val="004E1181"/>
    <w:rsid w:val="004E2CD6"/>
    <w:rsid w:val="004E4140"/>
    <w:rsid w:val="004E450C"/>
    <w:rsid w:val="004E4639"/>
    <w:rsid w:val="004E4DD0"/>
    <w:rsid w:val="004E6FC8"/>
    <w:rsid w:val="004E71B9"/>
    <w:rsid w:val="004E7599"/>
    <w:rsid w:val="004E7C06"/>
    <w:rsid w:val="004F02F7"/>
    <w:rsid w:val="004F0C41"/>
    <w:rsid w:val="004F10BE"/>
    <w:rsid w:val="004F23E2"/>
    <w:rsid w:val="004F270A"/>
    <w:rsid w:val="004F2D41"/>
    <w:rsid w:val="004F2F37"/>
    <w:rsid w:val="004F4509"/>
    <w:rsid w:val="004F47E1"/>
    <w:rsid w:val="004F5109"/>
    <w:rsid w:val="004F5765"/>
    <w:rsid w:val="004F5A07"/>
    <w:rsid w:val="004F5A72"/>
    <w:rsid w:val="004F7943"/>
    <w:rsid w:val="004F7A13"/>
    <w:rsid w:val="004F7A9D"/>
    <w:rsid w:val="005000E0"/>
    <w:rsid w:val="005018B5"/>
    <w:rsid w:val="00502C67"/>
    <w:rsid w:val="00503903"/>
    <w:rsid w:val="0050645B"/>
    <w:rsid w:val="00506A37"/>
    <w:rsid w:val="00506E7F"/>
    <w:rsid w:val="005073B5"/>
    <w:rsid w:val="00510069"/>
    <w:rsid w:val="00510BEE"/>
    <w:rsid w:val="00511A17"/>
    <w:rsid w:val="00513723"/>
    <w:rsid w:val="0051505B"/>
    <w:rsid w:val="005153DC"/>
    <w:rsid w:val="00515B43"/>
    <w:rsid w:val="00515D4D"/>
    <w:rsid w:val="00516673"/>
    <w:rsid w:val="0051761D"/>
    <w:rsid w:val="005176E2"/>
    <w:rsid w:val="00520B5E"/>
    <w:rsid w:val="00520DF4"/>
    <w:rsid w:val="00521B72"/>
    <w:rsid w:val="0052245C"/>
    <w:rsid w:val="00523C64"/>
    <w:rsid w:val="00524725"/>
    <w:rsid w:val="005255FD"/>
    <w:rsid w:val="005256A1"/>
    <w:rsid w:val="00526F0C"/>
    <w:rsid w:val="005271C7"/>
    <w:rsid w:val="0052798A"/>
    <w:rsid w:val="00527E95"/>
    <w:rsid w:val="00532016"/>
    <w:rsid w:val="005324BA"/>
    <w:rsid w:val="00532F56"/>
    <w:rsid w:val="00533163"/>
    <w:rsid w:val="00533CDC"/>
    <w:rsid w:val="00534BFC"/>
    <w:rsid w:val="00535310"/>
    <w:rsid w:val="005366DB"/>
    <w:rsid w:val="00536B4F"/>
    <w:rsid w:val="00536FC7"/>
    <w:rsid w:val="00541835"/>
    <w:rsid w:val="0054264E"/>
    <w:rsid w:val="00545397"/>
    <w:rsid w:val="005502D8"/>
    <w:rsid w:val="005519B1"/>
    <w:rsid w:val="005525D1"/>
    <w:rsid w:val="00552682"/>
    <w:rsid w:val="0055306F"/>
    <w:rsid w:val="0055363B"/>
    <w:rsid w:val="0055536E"/>
    <w:rsid w:val="00556B19"/>
    <w:rsid w:val="00556B54"/>
    <w:rsid w:val="00557FB1"/>
    <w:rsid w:val="00560616"/>
    <w:rsid w:val="00561E9C"/>
    <w:rsid w:val="0056257C"/>
    <w:rsid w:val="00564551"/>
    <w:rsid w:val="00565176"/>
    <w:rsid w:val="00565FD2"/>
    <w:rsid w:val="00567357"/>
    <w:rsid w:val="005674DA"/>
    <w:rsid w:val="005678A1"/>
    <w:rsid w:val="00570970"/>
    <w:rsid w:val="00571243"/>
    <w:rsid w:val="00572EE5"/>
    <w:rsid w:val="00573E16"/>
    <w:rsid w:val="00574189"/>
    <w:rsid w:val="00574207"/>
    <w:rsid w:val="005742E8"/>
    <w:rsid w:val="0057484C"/>
    <w:rsid w:val="0057512A"/>
    <w:rsid w:val="00575419"/>
    <w:rsid w:val="00581842"/>
    <w:rsid w:val="00581971"/>
    <w:rsid w:val="00583EC2"/>
    <w:rsid w:val="00584682"/>
    <w:rsid w:val="005848F2"/>
    <w:rsid w:val="00584BC3"/>
    <w:rsid w:val="00585961"/>
    <w:rsid w:val="005859A8"/>
    <w:rsid w:val="00586B4C"/>
    <w:rsid w:val="00587449"/>
    <w:rsid w:val="0059107B"/>
    <w:rsid w:val="00592807"/>
    <w:rsid w:val="005933C3"/>
    <w:rsid w:val="00594872"/>
    <w:rsid w:val="00594D14"/>
    <w:rsid w:val="00596C7C"/>
    <w:rsid w:val="00597030"/>
    <w:rsid w:val="005975B3"/>
    <w:rsid w:val="00597682"/>
    <w:rsid w:val="005976CA"/>
    <w:rsid w:val="00597B6E"/>
    <w:rsid w:val="005A00CA"/>
    <w:rsid w:val="005A0B44"/>
    <w:rsid w:val="005A0CC7"/>
    <w:rsid w:val="005A223B"/>
    <w:rsid w:val="005A2905"/>
    <w:rsid w:val="005A3A86"/>
    <w:rsid w:val="005A4600"/>
    <w:rsid w:val="005A53F0"/>
    <w:rsid w:val="005A63DE"/>
    <w:rsid w:val="005A71E7"/>
    <w:rsid w:val="005A78FB"/>
    <w:rsid w:val="005A7951"/>
    <w:rsid w:val="005B0785"/>
    <w:rsid w:val="005B0EE1"/>
    <w:rsid w:val="005B1EC6"/>
    <w:rsid w:val="005B2632"/>
    <w:rsid w:val="005B279A"/>
    <w:rsid w:val="005B336F"/>
    <w:rsid w:val="005B3D38"/>
    <w:rsid w:val="005B3E7F"/>
    <w:rsid w:val="005B5764"/>
    <w:rsid w:val="005B693F"/>
    <w:rsid w:val="005C00AB"/>
    <w:rsid w:val="005C02C9"/>
    <w:rsid w:val="005C071C"/>
    <w:rsid w:val="005C087F"/>
    <w:rsid w:val="005C41E7"/>
    <w:rsid w:val="005C5351"/>
    <w:rsid w:val="005C5DDC"/>
    <w:rsid w:val="005C694C"/>
    <w:rsid w:val="005C720B"/>
    <w:rsid w:val="005D06B9"/>
    <w:rsid w:val="005D1636"/>
    <w:rsid w:val="005D2052"/>
    <w:rsid w:val="005D256B"/>
    <w:rsid w:val="005D2788"/>
    <w:rsid w:val="005D2ED8"/>
    <w:rsid w:val="005D2FC7"/>
    <w:rsid w:val="005D48A3"/>
    <w:rsid w:val="005D512A"/>
    <w:rsid w:val="005D540A"/>
    <w:rsid w:val="005D7B83"/>
    <w:rsid w:val="005E18C2"/>
    <w:rsid w:val="005E1F8E"/>
    <w:rsid w:val="005E2741"/>
    <w:rsid w:val="005E289C"/>
    <w:rsid w:val="005E34E6"/>
    <w:rsid w:val="005E403E"/>
    <w:rsid w:val="005F06FA"/>
    <w:rsid w:val="005F0795"/>
    <w:rsid w:val="005F166C"/>
    <w:rsid w:val="005F1793"/>
    <w:rsid w:val="005F3CC4"/>
    <w:rsid w:val="005F4D34"/>
    <w:rsid w:val="005F4E34"/>
    <w:rsid w:val="005F594E"/>
    <w:rsid w:val="005F6075"/>
    <w:rsid w:val="005F6865"/>
    <w:rsid w:val="005F7834"/>
    <w:rsid w:val="005F7C70"/>
    <w:rsid w:val="005F7F01"/>
    <w:rsid w:val="005F7FE2"/>
    <w:rsid w:val="006002D1"/>
    <w:rsid w:val="00600676"/>
    <w:rsid w:val="006008A9"/>
    <w:rsid w:val="00600981"/>
    <w:rsid w:val="0060177E"/>
    <w:rsid w:val="0060196B"/>
    <w:rsid w:val="0060352B"/>
    <w:rsid w:val="00604F11"/>
    <w:rsid w:val="00606C61"/>
    <w:rsid w:val="00607590"/>
    <w:rsid w:val="006076E7"/>
    <w:rsid w:val="00607FB5"/>
    <w:rsid w:val="00610F8D"/>
    <w:rsid w:val="00611A92"/>
    <w:rsid w:val="00611C5A"/>
    <w:rsid w:val="00611FE9"/>
    <w:rsid w:val="00612286"/>
    <w:rsid w:val="0061338C"/>
    <w:rsid w:val="006133CC"/>
    <w:rsid w:val="00613C04"/>
    <w:rsid w:val="00613E47"/>
    <w:rsid w:val="00614F95"/>
    <w:rsid w:val="00615E11"/>
    <w:rsid w:val="006164B0"/>
    <w:rsid w:val="00620786"/>
    <w:rsid w:val="0062086B"/>
    <w:rsid w:val="00620D44"/>
    <w:rsid w:val="006214FE"/>
    <w:rsid w:val="006220EE"/>
    <w:rsid w:val="00622666"/>
    <w:rsid w:val="006254A8"/>
    <w:rsid w:val="00625737"/>
    <w:rsid w:val="006261AF"/>
    <w:rsid w:val="00626383"/>
    <w:rsid w:val="00627280"/>
    <w:rsid w:val="00627297"/>
    <w:rsid w:val="00627B44"/>
    <w:rsid w:val="00630E40"/>
    <w:rsid w:val="006318AA"/>
    <w:rsid w:val="0063284D"/>
    <w:rsid w:val="00632FC8"/>
    <w:rsid w:val="006330F3"/>
    <w:rsid w:val="00633A27"/>
    <w:rsid w:val="00634D85"/>
    <w:rsid w:val="00635265"/>
    <w:rsid w:val="00635C20"/>
    <w:rsid w:val="006367C0"/>
    <w:rsid w:val="006371FA"/>
    <w:rsid w:val="00637A29"/>
    <w:rsid w:val="00637E26"/>
    <w:rsid w:val="006400EB"/>
    <w:rsid w:val="0064088E"/>
    <w:rsid w:val="00640B17"/>
    <w:rsid w:val="00644410"/>
    <w:rsid w:val="00644ECB"/>
    <w:rsid w:val="0064546B"/>
    <w:rsid w:val="00646EBF"/>
    <w:rsid w:val="00650837"/>
    <w:rsid w:val="00650B29"/>
    <w:rsid w:val="00650F07"/>
    <w:rsid w:val="0065347C"/>
    <w:rsid w:val="00654025"/>
    <w:rsid w:val="006548B8"/>
    <w:rsid w:val="0065505F"/>
    <w:rsid w:val="0065585D"/>
    <w:rsid w:val="0065663C"/>
    <w:rsid w:val="006569FD"/>
    <w:rsid w:val="00657A9C"/>
    <w:rsid w:val="00657AD1"/>
    <w:rsid w:val="00661EF3"/>
    <w:rsid w:val="00662D3B"/>
    <w:rsid w:val="00663BDB"/>
    <w:rsid w:val="0066463F"/>
    <w:rsid w:val="00664870"/>
    <w:rsid w:val="00665738"/>
    <w:rsid w:val="00666CDC"/>
    <w:rsid w:val="00666FD2"/>
    <w:rsid w:val="006701D3"/>
    <w:rsid w:val="006703D5"/>
    <w:rsid w:val="00670553"/>
    <w:rsid w:val="0067260E"/>
    <w:rsid w:val="00672CC1"/>
    <w:rsid w:val="00672EA8"/>
    <w:rsid w:val="006744B9"/>
    <w:rsid w:val="00675120"/>
    <w:rsid w:val="00675C0D"/>
    <w:rsid w:val="006775BE"/>
    <w:rsid w:val="0067762F"/>
    <w:rsid w:val="00680C14"/>
    <w:rsid w:val="00681C47"/>
    <w:rsid w:val="00681D76"/>
    <w:rsid w:val="00681FC2"/>
    <w:rsid w:val="006831A7"/>
    <w:rsid w:val="00684010"/>
    <w:rsid w:val="00684661"/>
    <w:rsid w:val="00686BA9"/>
    <w:rsid w:val="00686DF4"/>
    <w:rsid w:val="00690FDC"/>
    <w:rsid w:val="0069387A"/>
    <w:rsid w:val="00694AC4"/>
    <w:rsid w:val="00694FAA"/>
    <w:rsid w:val="00696384"/>
    <w:rsid w:val="006963E6"/>
    <w:rsid w:val="00696CDB"/>
    <w:rsid w:val="00696EF6"/>
    <w:rsid w:val="0069708B"/>
    <w:rsid w:val="006A06C4"/>
    <w:rsid w:val="006A0821"/>
    <w:rsid w:val="006A08D8"/>
    <w:rsid w:val="006A230B"/>
    <w:rsid w:val="006A3D00"/>
    <w:rsid w:val="006A3E86"/>
    <w:rsid w:val="006A3F35"/>
    <w:rsid w:val="006A54CC"/>
    <w:rsid w:val="006A56B8"/>
    <w:rsid w:val="006A58F9"/>
    <w:rsid w:val="006A5D4C"/>
    <w:rsid w:val="006A6294"/>
    <w:rsid w:val="006A7141"/>
    <w:rsid w:val="006A7C08"/>
    <w:rsid w:val="006B043D"/>
    <w:rsid w:val="006B180B"/>
    <w:rsid w:val="006B2B69"/>
    <w:rsid w:val="006B3402"/>
    <w:rsid w:val="006B53AF"/>
    <w:rsid w:val="006B650F"/>
    <w:rsid w:val="006B7328"/>
    <w:rsid w:val="006C0E71"/>
    <w:rsid w:val="006C179D"/>
    <w:rsid w:val="006C185A"/>
    <w:rsid w:val="006C1D18"/>
    <w:rsid w:val="006C1EF5"/>
    <w:rsid w:val="006C2B1F"/>
    <w:rsid w:val="006C40FB"/>
    <w:rsid w:val="006C46EA"/>
    <w:rsid w:val="006C5373"/>
    <w:rsid w:val="006C55C9"/>
    <w:rsid w:val="006C60D1"/>
    <w:rsid w:val="006C60D9"/>
    <w:rsid w:val="006C631C"/>
    <w:rsid w:val="006C76D8"/>
    <w:rsid w:val="006D0579"/>
    <w:rsid w:val="006D0940"/>
    <w:rsid w:val="006D0E74"/>
    <w:rsid w:val="006D13C6"/>
    <w:rsid w:val="006D1515"/>
    <w:rsid w:val="006D182B"/>
    <w:rsid w:val="006D2FC8"/>
    <w:rsid w:val="006D59E2"/>
    <w:rsid w:val="006D5AA1"/>
    <w:rsid w:val="006D73F6"/>
    <w:rsid w:val="006E076D"/>
    <w:rsid w:val="006E0A56"/>
    <w:rsid w:val="006E13A6"/>
    <w:rsid w:val="006E1B2F"/>
    <w:rsid w:val="006E2080"/>
    <w:rsid w:val="006E3192"/>
    <w:rsid w:val="006E31D5"/>
    <w:rsid w:val="006E6AF8"/>
    <w:rsid w:val="006E72AB"/>
    <w:rsid w:val="006E79D4"/>
    <w:rsid w:val="006F0EBF"/>
    <w:rsid w:val="006F1005"/>
    <w:rsid w:val="006F152A"/>
    <w:rsid w:val="006F19D4"/>
    <w:rsid w:val="006F1E56"/>
    <w:rsid w:val="006F21A2"/>
    <w:rsid w:val="006F278C"/>
    <w:rsid w:val="006F33F5"/>
    <w:rsid w:val="006F4720"/>
    <w:rsid w:val="006F6EB9"/>
    <w:rsid w:val="006F7A72"/>
    <w:rsid w:val="007001A1"/>
    <w:rsid w:val="007003C0"/>
    <w:rsid w:val="00700EC6"/>
    <w:rsid w:val="007022E5"/>
    <w:rsid w:val="00702E9A"/>
    <w:rsid w:val="007034EB"/>
    <w:rsid w:val="00703A30"/>
    <w:rsid w:val="00704496"/>
    <w:rsid w:val="00704C08"/>
    <w:rsid w:val="00705713"/>
    <w:rsid w:val="0070608D"/>
    <w:rsid w:val="00706187"/>
    <w:rsid w:val="00707059"/>
    <w:rsid w:val="00710AEF"/>
    <w:rsid w:val="00710E20"/>
    <w:rsid w:val="007111D5"/>
    <w:rsid w:val="00712C8E"/>
    <w:rsid w:val="00713492"/>
    <w:rsid w:val="00713935"/>
    <w:rsid w:val="00714645"/>
    <w:rsid w:val="00715206"/>
    <w:rsid w:val="0071638C"/>
    <w:rsid w:val="0072143C"/>
    <w:rsid w:val="00721586"/>
    <w:rsid w:val="00721BAF"/>
    <w:rsid w:val="00722463"/>
    <w:rsid w:val="007224C6"/>
    <w:rsid w:val="0072292A"/>
    <w:rsid w:val="00723DEF"/>
    <w:rsid w:val="00724237"/>
    <w:rsid w:val="007245F1"/>
    <w:rsid w:val="0072636A"/>
    <w:rsid w:val="00726427"/>
    <w:rsid w:val="0072672E"/>
    <w:rsid w:val="00726F49"/>
    <w:rsid w:val="0072704E"/>
    <w:rsid w:val="00727F18"/>
    <w:rsid w:val="00732C90"/>
    <w:rsid w:val="007334F7"/>
    <w:rsid w:val="0073374C"/>
    <w:rsid w:val="00735EBA"/>
    <w:rsid w:val="0073651C"/>
    <w:rsid w:val="0073676A"/>
    <w:rsid w:val="0073692F"/>
    <w:rsid w:val="0073785E"/>
    <w:rsid w:val="00740B72"/>
    <w:rsid w:val="00740E62"/>
    <w:rsid w:val="00741B95"/>
    <w:rsid w:val="00742F6C"/>
    <w:rsid w:val="007434CF"/>
    <w:rsid w:val="00743C2C"/>
    <w:rsid w:val="00745571"/>
    <w:rsid w:val="0074675B"/>
    <w:rsid w:val="00746BA9"/>
    <w:rsid w:val="00747466"/>
    <w:rsid w:val="007476F9"/>
    <w:rsid w:val="00752026"/>
    <w:rsid w:val="0075221F"/>
    <w:rsid w:val="00752D97"/>
    <w:rsid w:val="0075338C"/>
    <w:rsid w:val="0075340B"/>
    <w:rsid w:val="00753AD6"/>
    <w:rsid w:val="007552D7"/>
    <w:rsid w:val="00755494"/>
    <w:rsid w:val="00755D47"/>
    <w:rsid w:val="00756091"/>
    <w:rsid w:val="007565B9"/>
    <w:rsid w:val="0075711D"/>
    <w:rsid w:val="00757605"/>
    <w:rsid w:val="00760A31"/>
    <w:rsid w:val="007612B9"/>
    <w:rsid w:val="007613C7"/>
    <w:rsid w:val="007616FD"/>
    <w:rsid w:val="00761FD4"/>
    <w:rsid w:val="00762DA9"/>
    <w:rsid w:val="007631D0"/>
    <w:rsid w:val="00763620"/>
    <w:rsid w:val="0076367A"/>
    <w:rsid w:val="007636F8"/>
    <w:rsid w:val="00763CA2"/>
    <w:rsid w:val="007642CD"/>
    <w:rsid w:val="007644D1"/>
    <w:rsid w:val="007649AD"/>
    <w:rsid w:val="00766F51"/>
    <w:rsid w:val="00767FEA"/>
    <w:rsid w:val="007705B6"/>
    <w:rsid w:val="00770A03"/>
    <w:rsid w:val="0077135E"/>
    <w:rsid w:val="0077150A"/>
    <w:rsid w:val="007722CA"/>
    <w:rsid w:val="007723EA"/>
    <w:rsid w:val="007731ED"/>
    <w:rsid w:val="00773242"/>
    <w:rsid w:val="00773275"/>
    <w:rsid w:val="00773746"/>
    <w:rsid w:val="007737BD"/>
    <w:rsid w:val="00773A14"/>
    <w:rsid w:val="00775234"/>
    <w:rsid w:val="0077558A"/>
    <w:rsid w:val="00775CB8"/>
    <w:rsid w:val="007767D1"/>
    <w:rsid w:val="007767F5"/>
    <w:rsid w:val="0077690A"/>
    <w:rsid w:val="00776AF6"/>
    <w:rsid w:val="00776C0D"/>
    <w:rsid w:val="00776DDB"/>
    <w:rsid w:val="00776DDC"/>
    <w:rsid w:val="007777D0"/>
    <w:rsid w:val="00777D5E"/>
    <w:rsid w:val="007800F2"/>
    <w:rsid w:val="00780A6B"/>
    <w:rsid w:val="00780C49"/>
    <w:rsid w:val="00780DF7"/>
    <w:rsid w:val="00780E6D"/>
    <w:rsid w:val="0078138D"/>
    <w:rsid w:val="00781DC3"/>
    <w:rsid w:val="0078312F"/>
    <w:rsid w:val="007843AE"/>
    <w:rsid w:val="00784E38"/>
    <w:rsid w:val="007851C1"/>
    <w:rsid w:val="00785F9F"/>
    <w:rsid w:val="007870C1"/>
    <w:rsid w:val="0079025E"/>
    <w:rsid w:val="00790C28"/>
    <w:rsid w:val="00790E56"/>
    <w:rsid w:val="007912E5"/>
    <w:rsid w:val="007913CA"/>
    <w:rsid w:val="00791447"/>
    <w:rsid w:val="00791DCA"/>
    <w:rsid w:val="007936B4"/>
    <w:rsid w:val="007938A2"/>
    <w:rsid w:val="00794FC3"/>
    <w:rsid w:val="00796019"/>
    <w:rsid w:val="00796F25"/>
    <w:rsid w:val="007974B9"/>
    <w:rsid w:val="00797601"/>
    <w:rsid w:val="0079762D"/>
    <w:rsid w:val="007A02C3"/>
    <w:rsid w:val="007A084C"/>
    <w:rsid w:val="007A0F16"/>
    <w:rsid w:val="007A0F27"/>
    <w:rsid w:val="007A237C"/>
    <w:rsid w:val="007A2D29"/>
    <w:rsid w:val="007A2DAB"/>
    <w:rsid w:val="007A3275"/>
    <w:rsid w:val="007A441F"/>
    <w:rsid w:val="007A49E5"/>
    <w:rsid w:val="007A64E8"/>
    <w:rsid w:val="007A707F"/>
    <w:rsid w:val="007A70A1"/>
    <w:rsid w:val="007A797E"/>
    <w:rsid w:val="007B0601"/>
    <w:rsid w:val="007B0D3C"/>
    <w:rsid w:val="007B2777"/>
    <w:rsid w:val="007B2DE8"/>
    <w:rsid w:val="007B4CA2"/>
    <w:rsid w:val="007C0710"/>
    <w:rsid w:val="007C1315"/>
    <w:rsid w:val="007C33CD"/>
    <w:rsid w:val="007C374D"/>
    <w:rsid w:val="007C3D1E"/>
    <w:rsid w:val="007C404C"/>
    <w:rsid w:val="007C419A"/>
    <w:rsid w:val="007C4658"/>
    <w:rsid w:val="007C556D"/>
    <w:rsid w:val="007C5EAD"/>
    <w:rsid w:val="007C6866"/>
    <w:rsid w:val="007C7AF3"/>
    <w:rsid w:val="007D0B33"/>
    <w:rsid w:val="007D0CD3"/>
    <w:rsid w:val="007D1088"/>
    <w:rsid w:val="007D1FE8"/>
    <w:rsid w:val="007D2125"/>
    <w:rsid w:val="007D2582"/>
    <w:rsid w:val="007D47DE"/>
    <w:rsid w:val="007D513B"/>
    <w:rsid w:val="007D5185"/>
    <w:rsid w:val="007D5193"/>
    <w:rsid w:val="007D5403"/>
    <w:rsid w:val="007D616D"/>
    <w:rsid w:val="007D61ED"/>
    <w:rsid w:val="007D6DE1"/>
    <w:rsid w:val="007D76F1"/>
    <w:rsid w:val="007D79F6"/>
    <w:rsid w:val="007D7AC7"/>
    <w:rsid w:val="007E07A6"/>
    <w:rsid w:val="007E1FD7"/>
    <w:rsid w:val="007E3222"/>
    <w:rsid w:val="007E3352"/>
    <w:rsid w:val="007E3D99"/>
    <w:rsid w:val="007E607F"/>
    <w:rsid w:val="007E6200"/>
    <w:rsid w:val="007E737E"/>
    <w:rsid w:val="007F023C"/>
    <w:rsid w:val="007F0789"/>
    <w:rsid w:val="007F0A0C"/>
    <w:rsid w:val="007F11D5"/>
    <w:rsid w:val="007F1624"/>
    <w:rsid w:val="007F26CC"/>
    <w:rsid w:val="007F2D0E"/>
    <w:rsid w:val="007F2EC8"/>
    <w:rsid w:val="007F3475"/>
    <w:rsid w:val="007F4258"/>
    <w:rsid w:val="007F48B9"/>
    <w:rsid w:val="007F4A43"/>
    <w:rsid w:val="007F5726"/>
    <w:rsid w:val="007F5ECD"/>
    <w:rsid w:val="007F5F8E"/>
    <w:rsid w:val="007F69D8"/>
    <w:rsid w:val="007F7116"/>
    <w:rsid w:val="007F7424"/>
    <w:rsid w:val="007F7994"/>
    <w:rsid w:val="007F7999"/>
    <w:rsid w:val="007F7AF0"/>
    <w:rsid w:val="00801651"/>
    <w:rsid w:val="00801683"/>
    <w:rsid w:val="0080223B"/>
    <w:rsid w:val="00802BE2"/>
    <w:rsid w:val="0080790E"/>
    <w:rsid w:val="00807BA9"/>
    <w:rsid w:val="00810ED4"/>
    <w:rsid w:val="00810F21"/>
    <w:rsid w:val="00811233"/>
    <w:rsid w:val="00811684"/>
    <w:rsid w:val="0081183A"/>
    <w:rsid w:val="008120CA"/>
    <w:rsid w:val="00812394"/>
    <w:rsid w:val="00813081"/>
    <w:rsid w:val="0081308F"/>
    <w:rsid w:val="0081355D"/>
    <w:rsid w:val="00813F0A"/>
    <w:rsid w:val="008143BC"/>
    <w:rsid w:val="0081449F"/>
    <w:rsid w:val="008145A6"/>
    <w:rsid w:val="00815119"/>
    <w:rsid w:val="0081523F"/>
    <w:rsid w:val="008163BB"/>
    <w:rsid w:val="00817687"/>
    <w:rsid w:val="00820281"/>
    <w:rsid w:val="00820402"/>
    <w:rsid w:val="008209AB"/>
    <w:rsid w:val="008212B2"/>
    <w:rsid w:val="0082132D"/>
    <w:rsid w:val="008216EC"/>
    <w:rsid w:val="00823FA4"/>
    <w:rsid w:val="008241BC"/>
    <w:rsid w:val="0082456E"/>
    <w:rsid w:val="00824CB7"/>
    <w:rsid w:val="00824CF0"/>
    <w:rsid w:val="008257D1"/>
    <w:rsid w:val="00825CF0"/>
    <w:rsid w:val="00825F80"/>
    <w:rsid w:val="00826665"/>
    <w:rsid w:val="008268D6"/>
    <w:rsid w:val="00826F8E"/>
    <w:rsid w:val="00827909"/>
    <w:rsid w:val="0083120E"/>
    <w:rsid w:val="00831AE4"/>
    <w:rsid w:val="00834C2D"/>
    <w:rsid w:val="0083603D"/>
    <w:rsid w:val="00837305"/>
    <w:rsid w:val="0084195D"/>
    <w:rsid w:val="00842040"/>
    <w:rsid w:val="00843876"/>
    <w:rsid w:val="00843C0D"/>
    <w:rsid w:val="00844006"/>
    <w:rsid w:val="00844574"/>
    <w:rsid w:val="00845A24"/>
    <w:rsid w:val="00846111"/>
    <w:rsid w:val="00846A9E"/>
    <w:rsid w:val="00846D0A"/>
    <w:rsid w:val="00847777"/>
    <w:rsid w:val="00847B2C"/>
    <w:rsid w:val="0085004D"/>
    <w:rsid w:val="0085156B"/>
    <w:rsid w:val="00851EE4"/>
    <w:rsid w:val="00852538"/>
    <w:rsid w:val="008534E5"/>
    <w:rsid w:val="00853C6D"/>
    <w:rsid w:val="00854B70"/>
    <w:rsid w:val="00856406"/>
    <w:rsid w:val="008566DB"/>
    <w:rsid w:val="00856B0B"/>
    <w:rsid w:val="00857710"/>
    <w:rsid w:val="008601D6"/>
    <w:rsid w:val="008604B0"/>
    <w:rsid w:val="008605D2"/>
    <w:rsid w:val="008607C7"/>
    <w:rsid w:val="00861688"/>
    <w:rsid w:val="00861FC8"/>
    <w:rsid w:val="00863055"/>
    <w:rsid w:val="00863262"/>
    <w:rsid w:val="00863BC0"/>
    <w:rsid w:val="00863E14"/>
    <w:rsid w:val="00863EC7"/>
    <w:rsid w:val="008649C5"/>
    <w:rsid w:val="008662A3"/>
    <w:rsid w:val="00866631"/>
    <w:rsid w:val="008671CC"/>
    <w:rsid w:val="00867E42"/>
    <w:rsid w:val="00870090"/>
    <w:rsid w:val="008706EC"/>
    <w:rsid w:val="00870725"/>
    <w:rsid w:val="008718B5"/>
    <w:rsid w:val="008721CA"/>
    <w:rsid w:val="00872AB8"/>
    <w:rsid w:val="00873258"/>
    <w:rsid w:val="00873931"/>
    <w:rsid w:val="00874D6B"/>
    <w:rsid w:val="00874ED3"/>
    <w:rsid w:val="0087687B"/>
    <w:rsid w:val="00876A98"/>
    <w:rsid w:val="00877591"/>
    <w:rsid w:val="0088048C"/>
    <w:rsid w:val="00881B30"/>
    <w:rsid w:val="008823AB"/>
    <w:rsid w:val="008828BC"/>
    <w:rsid w:val="00883780"/>
    <w:rsid w:val="00884BD7"/>
    <w:rsid w:val="00886C8A"/>
    <w:rsid w:val="00886FFE"/>
    <w:rsid w:val="008874C4"/>
    <w:rsid w:val="00890226"/>
    <w:rsid w:val="00891DB9"/>
    <w:rsid w:val="00891DBA"/>
    <w:rsid w:val="00892532"/>
    <w:rsid w:val="00892B20"/>
    <w:rsid w:val="008932E6"/>
    <w:rsid w:val="008938B2"/>
    <w:rsid w:val="008945AE"/>
    <w:rsid w:val="0089525D"/>
    <w:rsid w:val="008960DD"/>
    <w:rsid w:val="0089613D"/>
    <w:rsid w:val="00897731"/>
    <w:rsid w:val="00897889"/>
    <w:rsid w:val="00897C17"/>
    <w:rsid w:val="008A0C55"/>
    <w:rsid w:val="008A1321"/>
    <w:rsid w:val="008A13D4"/>
    <w:rsid w:val="008A233A"/>
    <w:rsid w:val="008A2B74"/>
    <w:rsid w:val="008A3428"/>
    <w:rsid w:val="008A3539"/>
    <w:rsid w:val="008A3CD1"/>
    <w:rsid w:val="008A57D2"/>
    <w:rsid w:val="008A75D4"/>
    <w:rsid w:val="008A7EE5"/>
    <w:rsid w:val="008B1D21"/>
    <w:rsid w:val="008B2417"/>
    <w:rsid w:val="008B399D"/>
    <w:rsid w:val="008B5E20"/>
    <w:rsid w:val="008B5F12"/>
    <w:rsid w:val="008B669D"/>
    <w:rsid w:val="008B699A"/>
    <w:rsid w:val="008B6F55"/>
    <w:rsid w:val="008B7705"/>
    <w:rsid w:val="008B7B77"/>
    <w:rsid w:val="008B7D2B"/>
    <w:rsid w:val="008B7E30"/>
    <w:rsid w:val="008C016E"/>
    <w:rsid w:val="008C044F"/>
    <w:rsid w:val="008C08E4"/>
    <w:rsid w:val="008C09CB"/>
    <w:rsid w:val="008C0AA4"/>
    <w:rsid w:val="008C0F01"/>
    <w:rsid w:val="008C121D"/>
    <w:rsid w:val="008C203E"/>
    <w:rsid w:val="008C2A81"/>
    <w:rsid w:val="008C2EB6"/>
    <w:rsid w:val="008C4AA3"/>
    <w:rsid w:val="008C4BD8"/>
    <w:rsid w:val="008C5A6A"/>
    <w:rsid w:val="008C5EEC"/>
    <w:rsid w:val="008C6B5E"/>
    <w:rsid w:val="008C7D58"/>
    <w:rsid w:val="008C7FB0"/>
    <w:rsid w:val="008D0E21"/>
    <w:rsid w:val="008D0E71"/>
    <w:rsid w:val="008D4231"/>
    <w:rsid w:val="008D4566"/>
    <w:rsid w:val="008D480B"/>
    <w:rsid w:val="008D645E"/>
    <w:rsid w:val="008E009E"/>
    <w:rsid w:val="008E0B40"/>
    <w:rsid w:val="008E0C32"/>
    <w:rsid w:val="008E18B1"/>
    <w:rsid w:val="008E2E58"/>
    <w:rsid w:val="008E3054"/>
    <w:rsid w:val="008E3DFE"/>
    <w:rsid w:val="008E3F97"/>
    <w:rsid w:val="008E5307"/>
    <w:rsid w:val="008E61A1"/>
    <w:rsid w:val="008E6A5D"/>
    <w:rsid w:val="008E6E31"/>
    <w:rsid w:val="008E6F9E"/>
    <w:rsid w:val="008E78EB"/>
    <w:rsid w:val="008F2449"/>
    <w:rsid w:val="008F26AE"/>
    <w:rsid w:val="008F2CFE"/>
    <w:rsid w:val="008F38C7"/>
    <w:rsid w:val="008F5CFD"/>
    <w:rsid w:val="008F5D14"/>
    <w:rsid w:val="008F6486"/>
    <w:rsid w:val="008F71BA"/>
    <w:rsid w:val="008F7903"/>
    <w:rsid w:val="00900403"/>
    <w:rsid w:val="00900884"/>
    <w:rsid w:val="00900885"/>
    <w:rsid w:val="009023FB"/>
    <w:rsid w:val="0090303E"/>
    <w:rsid w:val="00903552"/>
    <w:rsid w:val="009035FB"/>
    <w:rsid w:val="00903C61"/>
    <w:rsid w:val="009048D5"/>
    <w:rsid w:val="00904FFD"/>
    <w:rsid w:val="0090531E"/>
    <w:rsid w:val="009055CA"/>
    <w:rsid w:val="0090569C"/>
    <w:rsid w:val="0090679C"/>
    <w:rsid w:val="00911070"/>
    <w:rsid w:val="0091281F"/>
    <w:rsid w:val="009147AE"/>
    <w:rsid w:val="00914AB4"/>
    <w:rsid w:val="009156CF"/>
    <w:rsid w:val="00916C9D"/>
    <w:rsid w:val="00917972"/>
    <w:rsid w:val="00917E61"/>
    <w:rsid w:val="00917EE3"/>
    <w:rsid w:val="0092001F"/>
    <w:rsid w:val="009210E4"/>
    <w:rsid w:val="009214D0"/>
    <w:rsid w:val="009227B8"/>
    <w:rsid w:val="0092379C"/>
    <w:rsid w:val="009238C1"/>
    <w:rsid w:val="0092445D"/>
    <w:rsid w:val="00924C27"/>
    <w:rsid w:val="009268F2"/>
    <w:rsid w:val="00927185"/>
    <w:rsid w:val="00930FB6"/>
    <w:rsid w:val="0093161A"/>
    <w:rsid w:val="00931693"/>
    <w:rsid w:val="00932402"/>
    <w:rsid w:val="00933413"/>
    <w:rsid w:val="00933D10"/>
    <w:rsid w:val="0093495C"/>
    <w:rsid w:val="00934F8B"/>
    <w:rsid w:val="00935C3F"/>
    <w:rsid w:val="00936849"/>
    <w:rsid w:val="00937F6A"/>
    <w:rsid w:val="00941258"/>
    <w:rsid w:val="009416CC"/>
    <w:rsid w:val="00941907"/>
    <w:rsid w:val="00942086"/>
    <w:rsid w:val="00942E46"/>
    <w:rsid w:val="00943340"/>
    <w:rsid w:val="00943B9F"/>
    <w:rsid w:val="009462C1"/>
    <w:rsid w:val="009468B5"/>
    <w:rsid w:val="0094798E"/>
    <w:rsid w:val="00950E84"/>
    <w:rsid w:val="0095296E"/>
    <w:rsid w:val="00953421"/>
    <w:rsid w:val="00954977"/>
    <w:rsid w:val="00955696"/>
    <w:rsid w:val="00956BC4"/>
    <w:rsid w:val="00957978"/>
    <w:rsid w:val="00960B46"/>
    <w:rsid w:val="0096259D"/>
    <w:rsid w:val="00962EB5"/>
    <w:rsid w:val="009633B2"/>
    <w:rsid w:val="00964B26"/>
    <w:rsid w:val="0096552B"/>
    <w:rsid w:val="009656EC"/>
    <w:rsid w:val="00966F13"/>
    <w:rsid w:val="009676CD"/>
    <w:rsid w:val="00972B1B"/>
    <w:rsid w:val="00974B19"/>
    <w:rsid w:val="00974BAF"/>
    <w:rsid w:val="00975092"/>
    <w:rsid w:val="00975A7F"/>
    <w:rsid w:val="00976018"/>
    <w:rsid w:val="00977ECD"/>
    <w:rsid w:val="009801C2"/>
    <w:rsid w:val="00980AC6"/>
    <w:rsid w:val="009826DC"/>
    <w:rsid w:val="00983BFC"/>
    <w:rsid w:val="00984530"/>
    <w:rsid w:val="009855B4"/>
    <w:rsid w:val="00985680"/>
    <w:rsid w:val="009860BA"/>
    <w:rsid w:val="009862CD"/>
    <w:rsid w:val="0098631A"/>
    <w:rsid w:val="0098777B"/>
    <w:rsid w:val="00987A87"/>
    <w:rsid w:val="009907B3"/>
    <w:rsid w:val="0099217A"/>
    <w:rsid w:val="00992D04"/>
    <w:rsid w:val="00992FCA"/>
    <w:rsid w:val="0099349B"/>
    <w:rsid w:val="009946DB"/>
    <w:rsid w:val="00995002"/>
    <w:rsid w:val="00996276"/>
    <w:rsid w:val="009963E4"/>
    <w:rsid w:val="009A0796"/>
    <w:rsid w:val="009A0FBA"/>
    <w:rsid w:val="009A1C64"/>
    <w:rsid w:val="009A20A3"/>
    <w:rsid w:val="009A2F47"/>
    <w:rsid w:val="009A30BA"/>
    <w:rsid w:val="009A4253"/>
    <w:rsid w:val="009A44AE"/>
    <w:rsid w:val="009A4607"/>
    <w:rsid w:val="009A462D"/>
    <w:rsid w:val="009A4A53"/>
    <w:rsid w:val="009A4D64"/>
    <w:rsid w:val="009A4F86"/>
    <w:rsid w:val="009A5D7A"/>
    <w:rsid w:val="009A5E3A"/>
    <w:rsid w:val="009A6A6A"/>
    <w:rsid w:val="009A7DA1"/>
    <w:rsid w:val="009B1AA7"/>
    <w:rsid w:val="009B1DA9"/>
    <w:rsid w:val="009B2A79"/>
    <w:rsid w:val="009B2B71"/>
    <w:rsid w:val="009B2EFB"/>
    <w:rsid w:val="009B3AF7"/>
    <w:rsid w:val="009B5544"/>
    <w:rsid w:val="009B59E6"/>
    <w:rsid w:val="009B5E75"/>
    <w:rsid w:val="009B6B0F"/>
    <w:rsid w:val="009B6C2E"/>
    <w:rsid w:val="009B74B1"/>
    <w:rsid w:val="009C03BD"/>
    <w:rsid w:val="009C0BF6"/>
    <w:rsid w:val="009C11F1"/>
    <w:rsid w:val="009C168B"/>
    <w:rsid w:val="009C3250"/>
    <w:rsid w:val="009C4AFC"/>
    <w:rsid w:val="009C4E2F"/>
    <w:rsid w:val="009C5003"/>
    <w:rsid w:val="009C51C6"/>
    <w:rsid w:val="009C5215"/>
    <w:rsid w:val="009C5B08"/>
    <w:rsid w:val="009C6435"/>
    <w:rsid w:val="009C6F2C"/>
    <w:rsid w:val="009C7A8E"/>
    <w:rsid w:val="009D02BE"/>
    <w:rsid w:val="009D1167"/>
    <w:rsid w:val="009D1B54"/>
    <w:rsid w:val="009D3071"/>
    <w:rsid w:val="009D3D93"/>
    <w:rsid w:val="009D478C"/>
    <w:rsid w:val="009D49B3"/>
    <w:rsid w:val="009D5567"/>
    <w:rsid w:val="009D5AF1"/>
    <w:rsid w:val="009D6410"/>
    <w:rsid w:val="009E0678"/>
    <w:rsid w:val="009E0681"/>
    <w:rsid w:val="009E163B"/>
    <w:rsid w:val="009E1C82"/>
    <w:rsid w:val="009E2D34"/>
    <w:rsid w:val="009E385F"/>
    <w:rsid w:val="009E3D09"/>
    <w:rsid w:val="009E6A2A"/>
    <w:rsid w:val="009E6C11"/>
    <w:rsid w:val="009E6E7C"/>
    <w:rsid w:val="009E6FB2"/>
    <w:rsid w:val="009E7F3E"/>
    <w:rsid w:val="009F0A7A"/>
    <w:rsid w:val="009F0DC2"/>
    <w:rsid w:val="009F120F"/>
    <w:rsid w:val="009F13CF"/>
    <w:rsid w:val="009F1844"/>
    <w:rsid w:val="009F1A23"/>
    <w:rsid w:val="009F1A4E"/>
    <w:rsid w:val="009F31B1"/>
    <w:rsid w:val="009F37FA"/>
    <w:rsid w:val="009F3FA9"/>
    <w:rsid w:val="009F7C3E"/>
    <w:rsid w:val="00A00BC7"/>
    <w:rsid w:val="00A0127B"/>
    <w:rsid w:val="00A01A48"/>
    <w:rsid w:val="00A0224B"/>
    <w:rsid w:val="00A022B9"/>
    <w:rsid w:val="00A03B8E"/>
    <w:rsid w:val="00A04C50"/>
    <w:rsid w:val="00A06847"/>
    <w:rsid w:val="00A069B9"/>
    <w:rsid w:val="00A069E5"/>
    <w:rsid w:val="00A06E08"/>
    <w:rsid w:val="00A109DA"/>
    <w:rsid w:val="00A10B0F"/>
    <w:rsid w:val="00A11C08"/>
    <w:rsid w:val="00A123E1"/>
    <w:rsid w:val="00A12720"/>
    <w:rsid w:val="00A127AE"/>
    <w:rsid w:val="00A12A87"/>
    <w:rsid w:val="00A13CAA"/>
    <w:rsid w:val="00A15FF7"/>
    <w:rsid w:val="00A16747"/>
    <w:rsid w:val="00A17391"/>
    <w:rsid w:val="00A17DE9"/>
    <w:rsid w:val="00A17F4B"/>
    <w:rsid w:val="00A20B2B"/>
    <w:rsid w:val="00A22012"/>
    <w:rsid w:val="00A22548"/>
    <w:rsid w:val="00A22F3A"/>
    <w:rsid w:val="00A237DC"/>
    <w:rsid w:val="00A238F5"/>
    <w:rsid w:val="00A24877"/>
    <w:rsid w:val="00A24F37"/>
    <w:rsid w:val="00A253E7"/>
    <w:rsid w:val="00A261FD"/>
    <w:rsid w:val="00A271CE"/>
    <w:rsid w:val="00A2752C"/>
    <w:rsid w:val="00A27FA1"/>
    <w:rsid w:val="00A317FF"/>
    <w:rsid w:val="00A31E57"/>
    <w:rsid w:val="00A325A1"/>
    <w:rsid w:val="00A331D7"/>
    <w:rsid w:val="00A34040"/>
    <w:rsid w:val="00A35612"/>
    <w:rsid w:val="00A35EAA"/>
    <w:rsid w:val="00A36EEE"/>
    <w:rsid w:val="00A36F80"/>
    <w:rsid w:val="00A379F8"/>
    <w:rsid w:val="00A41E70"/>
    <w:rsid w:val="00A42042"/>
    <w:rsid w:val="00A42215"/>
    <w:rsid w:val="00A426C5"/>
    <w:rsid w:val="00A43894"/>
    <w:rsid w:val="00A43AF6"/>
    <w:rsid w:val="00A43CD4"/>
    <w:rsid w:val="00A46BD7"/>
    <w:rsid w:val="00A51EE7"/>
    <w:rsid w:val="00A53A41"/>
    <w:rsid w:val="00A53D95"/>
    <w:rsid w:val="00A5520B"/>
    <w:rsid w:val="00A57EBC"/>
    <w:rsid w:val="00A57F2E"/>
    <w:rsid w:val="00A6064E"/>
    <w:rsid w:val="00A60879"/>
    <w:rsid w:val="00A60FDF"/>
    <w:rsid w:val="00A61313"/>
    <w:rsid w:val="00A61447"/>
    <w:rsid w:val="00A6224E"/>
    <w:rsid w:val="00A62B11"/>
    <w:rsid w:val="00A6352A"/>
    <w:rsid w:val="00A64667"/>
    <w:rsid w:val="00A65737"/>
    <w:rsid w:val="00A66A02"/>
    <w:rsid w:val="00A66FC2"/>
    <w:rsid w:val="00A66FEE"/>
    <w:rsid w:val="00A67032"/>
    <w:rsid w:val="00A673D0"/>
    <w:rsid w:val="00A67505"/>
    <w:rsid w:val="00A702F1"/>
    <w:rsid w:val="00A70460"/>
    <w:rsid w:val="00A70599"/>
    <w:rsid w:val="00A705BB"/>
    <w:rsid w:val="00A7070E"/>
    <w:rsid w:val="00A70E8D"/>
    <w:rsid w:val="00A71232"/>
    <w:rsid w:val="00A71D3C"/>
    <w:rsid w:val="00A71E03"/>
    <w:rsid w:val="00A72909"/>
    <w:rsid w:val="00A738C1"/>
    <w:rsid w:val="00A73D77"/>
    <w:rsid w:val="00A74FD5"/>
    <w:rsid w:val="00A75755"/>
    <w:rsid w:val="00A75BF6"/>
    <w:rsid w:val="00A77828"/>
    <w:rsid w:val="00A77FD0"/>
    <w:rsid w:val="00A813F9"/>
    <w:rsid w:val="00A8174F"/>
    <w:rsid w:val="00A817FD"/>
    <w:rsid w:val="00A8196C"/>
    <w:rsid w:val="00A81A56"/>
    <w:rsid w:val="00A82329"/>
    <w:rsid w:val="00A823D4"/>
    <w:rsid w:val="00A82905"/>
    <w:rsid w:val="00A82DB4"/>
    <w:rsid w:val="00A82F5A"/>
    <w:rsid w:val="00A83EA1"/>
    <w:rsid w:val="00A84A7D"/>
    <w:rsid w:val="00A86840"/>
    <w:rsid w:val="00A86976"/>
    <w:rsid w:val="00A8771C"/>
    <w:rsid w:val="00A87B4C"/>
    <w:rsid w:val="00A90D61"/>
    <w:rsid w:val="00A90E81"/>
    <w:rsid w:val="00A90F8E"/>
    <w:rsid w:val="00A91A1A"/>
    <w:rsid w:val="00A91D40"/>
    <w:rsid w:val="00A923AC"/>
    <w:rsid w:val="00A93C42"/>
    <w:rsid w:val="00A95A17"/>
    <w:rsid w:val="00A95CD5"/>
    <w:rsid w:val="00A95EC1"/>
    <w:rsid w:val="00A965BD"/>
    <w:rsid w:val="00AA09A6"/>
    <w:rsid w:val="00AA6192"/>
    <w:rsid w:val="00AA666C"/>
    <w:rsid w:val="00AA7D95"/>
    <w:rsid w:val="00AA7E32"/>
    <w:rsid w:val="00AB08B0"/>
    <w:rsid w:val="00AB0A37"/>
    <w:rsid w:val="00AB0D54"/>
    <w:rsid w:val="00AB1537"/>
    <w:rsid w:val="00AB1726"/>
    <w:rsid w:val="00AB1DF3"/>
    <w:rsid w:val="00AB1E09"/>
    <w:rsid w:val="00AB1F4C"/>
    <w:rsid w:val="00AB28D3"/>
    <w:rsid w:val="00AB2C71"/>
    <w:rsid w:val="00AB2DDC"/>
    <w:rsid w:val="00AB3775"/>
    <w:rsid w:val="00AB4441"/>
    <w:rsid w:val="00AB5953"/>
    <w:rsid w:val="00AB5FEB"/>
    <w:rsid w:val="00AB65C5"/>
    <w:rsid w:val="00AB6F92"/>
    <w:rsid w:val="00AB7748"/>
    <w:rsid w:val="00AC2213"/>
    <w:rsid w:val="00AC3567"/>
    <w:rsid w:val="00AC3C56"/>
    <w:rsid w:val="00AC7DE6"/>
    <w:rsid w:val="00AD0BDA"/>
    <w:rsid w:val="00AD0F14"/>
    <w:rsid w:val="00AD189A"/>
    <w:rsid w:val="00AD19E3"/>
    <w:rsid w:val="00AD1FBA"/>
    <w:rsid w:val="00AD2235"/>
    <w:rsid w:val="00AD29D2"/>
    <w:rsid w:val="00AD2F6D"/>
    <w:rsid w:val="00AD4621"/>
    <w:rsid w:val="00AD538A"/>
    <w:rsid w:val="00AD543C"/>
    <w:rsid w:val="00AD54A4"/>
    <w:rsid w:val="00AD616A"/>
    <w:rsid w:val="00AD6BC0"/>
    <w:rsid w:val="00AE0464"/>
    <w:rsid w:val="00AE061A"/>
    <w:rsid w:val="00AE0E85"/>
    <w:rsid w:val="00AE0F42"/>
    <w:rsid w:val="00AE0FE8"/>
    <w:rsid w:val="00AE195C"/>
    <w:rsid w:val="00AE437E"/>
    <w:rsid w:val="00AE66A9"/>
    <w:rsid w:val="00AE6F1F"/>
    <w:rsid w:val="00AE7139"/>
    <w:rsid w:val="00AF0526"/>
    <w:rsid w:val="00AF0EAA"/>
    <w:rsid w:val="00AF17CE"/>
    <w:rsid w:val="00AF27A8"/>
    <w:rsid w:val="00AF37EE"/>
    <w:rsid w:val="00AF4549"/>
    <w:rsid w:val="00AF47BC"/>
    <w:rsid w:val="00AF4CD2"/>
    <w:rsid w:val="00AF5D44"/>
    <w:rsid w:val="00AF5F30"/>
    <w:rsid w:val="00AF5FB1"/>
    <w:rsid w:val="00AF6E06"/>
    <w:rsid w:val="00B00298"/>
    <w:rsid w:val="00B00B0B"/>
    <w:rsid w:val="00B00CA0"/>
    <w:rsid w:val="00B012CA"/>
    <w:rsid w:val="00B02403"/>
    <w:rsid w:val="00B02B2D"/>
    <w:rsid w:val="00B02C82"/>
    <w:rsid w:val="00B03419"/>
    <w:rsid w:val="00B034C6"/>
    <w:rsid w:val="00B036D8"/>
    <w:rsid w:val="00B055A8"/>
    <w:rsid w:val="00B072E4"/>
    <w:rsid w:val="00B11488"/>
    <w:rsid w:val="00B114D7"/>
    <w:rsid w:val="00B115BA"/>
    <w:rsid w:val="00B122E5"/>
    <w:rsid w:val="00B123AE"/>
    <w:rsid w:val="00B1426E"/>
    <w:rsid w:val="00B15535"/>
    <w:rsid w:val="00B1668B"/>
    <w:rsid w:val="00B167F8"/>
    <w:rsid w:val="00B16854"/>
    <w:rsid w:val="00B17C80"/>
    <w:rsid w:val="00B222D0"/>
    <w:rsid w:val="00B2450B"/>
    <w:rsid w:val="00B24BB8"/>
    <w:rsid w:val="00B268F7"/>
    <w:rsid w:val="00B30B63"/>
    <w:rsid w:val="00B30F8B"/>
    <w:rsid w:val="00B30FF5"/>
    <w:rsid w:val="00B315AE"/>
    <w:rsid w:val="00B31CE6"/>
    <w:rsid w:val="00B3201C"/>
    <w:rsid w:val="00B32235"/>
    <w:rsid w:val="00B32437"/>
    <w:rsid w:val="00B33364"/>
    <w:rsid w:val="00B354DA"/>
    <w:rsid w:val="00B35670"/>
    <w:rsid w:val="00B35B97"/>
    <w:rsid w:val="00B35BCF"/>
    <w:rsid w:val="00B36C25"/>
    <w:rsid w:val="00B40362"/>
    <w:rsid w:val="00B415DC"/>
    <w:rsid w:val="00B42B42"/>
    <w:rsid w:val="00B42DB3"/>
    <w:rsid w:val="00B43DEB"/>
    <w:rsid w:val="00B441DD"/>
    <w:rsid w:val="00B44A9F"/>
    <w:rsid w:val="00B45A41"/>
    <w:rsid w:val="00B45D4A"/>
    <w:rsid w:val="00B466F6"/>
    <w:rsid w:val="00B47C3E"/>
    <w:rsid w:val="00B47E6A"/>
    <w:rsid w:val="00B51569"/>
    <w:rsid w:val="00B517D7"/>
    <w:rsid w:val="00B52517"/>
    <w:rsid w:val="00B5308A"/>
    <w:rsid w:val="00B54066"/>
    <w:rsid w:val="00B56787"/>
    <w:rsid w:val="00B5680B"/>
    <w:rsid w:val="00B56DBD"/>
    <w:rsid w:val="00B57CD8"/>
    <w:rsid w:val="00B600C7"/>
    <w:rsid w:val="00B630D8"/>
    <w:rsid w:val="00B63ED9"/>
    <w:rsid w:val="00B64ED5"/>
    <w:rsid w:val="00B6517D"/>
    <w:rsid w:val="00B6566D"/>
    <w:rsid w:val="00B67007"/>
    <w:rsid w:val="00B6797A"/>
    <w:rsid w:val="00B709B0"/>
    <w:rsid w:val="00B709C2"/>
    <w:rsid w:val="00B70D72"/>
    <w:rsid w:val="00B71BFB"/>
    <w:rsid w:val="00B72CCE"/>
    <w:rsid w:val="00B73230"/>
    <w:rsid w:val="00B73C5C"/>
    <w:rsid w:val="00B748D4"/>
    <w:rsid w:val="00B75A14"/>
    <w:rsid w:val="00B762D8"/>
    <w:rsid w:val="00B76357"/>
    <w:rsid w:val="00B76DEB"/>
    <w:rsid w:val="00B77F68"/>
    <w:rsid w:val="00B80382"/>
    <w:rsid w:val="00B804F3"/>
    <w:rsid w:val="00B80652"/>
    <w:rsid w:val="00B80A76"/>
    <w:rsid w:val="00B8399E"/>
    <w:rsid w:val="00B855ED"/>
    <w:rsid w:val="00B8587C"/>
    <w:rsid w:val="00B873CE"/>
    <w:rsid w:val="00B87A45"/>
    <w:rsid w:val="00B90436"/>
    <w:rsid w:val="00B91615"/>
    <w:rsid w:val="00B9261C"/>
    <w:rsid w:val="00B93716"/>
    <w:rsid w:val="00B93CCA"/>
    <w:rsid w:val="00B94741"/>
    <w:rsid w:val="00B95874"/>
    <w:rsid w:val="00B95B53"/>
    <w:rsid w:val="00B96F8C"/>
    <w:rsid w:val="00B97EA0"/>
    <w:rsid w:val="00BA0085"/>
    <w:rsid w:val="00BA0242"/>
    <w:rsid w:val="00BA133E"/>
    <w:rsid w:val="00BA17DA"/>
    <w:rsid w:val="00BA200A"/>
    <w:rsid w:val="00BA30AB"/>
    <w:rsid w:val="00BA3C12"/>
    <w:rsid w:val="00BA3EAF"/>
    <w:rsid w:val="00BA5077"/>
    <w:rsid w:val="00BA5B7E"/>
    <w:rsid w:val="00BA6052"/>
    <w:rsid w:val="00BA7036"/>
    <w:rsid w:val="00BB0030"/>
    <w:rsid w:val="00BB10F3"/>
    <w:rsid w:val="00BB1452"/>
    <w:rsid w:val="00BB15F8"/>
    <w:rsid w:val="00BB1BD5"/>
    <w:rsid w:val="00BB2B9C"/>
    <w:rsid w:val="00BB2BA8"/>
    <w:rsid w:val="00BB3EE2"/>
    <w:rsid w:val="00BB3F72"/>
    <w:rsid w:val="00BB405F"/>
    <w:rsid w:val="00BB508D"/>
    <w:rsid w:val="00BB75DB"/>
    <w:rsid w:val="00BB7C9C"/>
    <w:rsid w:val="00BC0BFC"/>
    <w:rsid w:val="00BC107B"/>
    <w:rsid w:val="00BC13F0"/>
    <w:rsid w:val="00BC14CC"/>
    <w:rsid w:val="00BC1AB5"/>
    <w:rsid w:val="00BC2D94"/>
    <w:rsid w:val="00BC355D"/>
    <w:rsid w:val="00BC5164"/>
    <w:rsid w:val="00BC56F0"/>
    <w:rsid w:val="00BC687D"/>
    <w:rsid w:val="00BC7441"/>
    <w:rsid w:val="00BC7F27"/>
    <w:rsid w:val="00BD053E"/>
    <w:rsid w:val="00BD158C"/>
    <w:rsid w:val="00BD1B2F"/>
    <w:rsid w:val="00BD296B"/>
    <w:rsid w:val="00BD2AB5"/>
    <w:rsid w:val="00BD2D10"/>
    <w:rsid w:val="00BD332C"/>
    <w:rsid w:val="00BD568C"/>
    <w:rsid w:val="00BD5954"/>
    <w:rsid w:val="00BD5BA9"/>
    <w:rsid w:val="00BD6091"/>
    <w:rsid w:val="00BD6189"/>
    <w:rsid w:val="00BD7764"/>
    <w:rsid w:val="00BE0C79"/>
    <w:rsid w:val="00BE0E44"/>
    <w:rsid w:val="00BE11F5"/>
    <w:rsid w:val="00BE1A74"/>
    <w:rsid w:val="00BE2526"/>
    <w:rsid w:val="00BE2A64"/>
    <w:rsid w:val="00BE3CDD"/>
    <w:rsid w:val="00BE443C"/>
    <w:rsid w:val="00BE454C"/>
    <w:rsid w:val="00BE5302"/>
    <w:rsid w:val="00BE6086"/>
    <w:rsid w:val="00BE7101"/>
    <w:rsid w:val="00BE7B3F"/>
    <w:rsid w:val="00BF1F03"/>
    <w:rsid w:val="00BF2105"/>
    <w:rsid w:val="00BF28C5"/>
    <w:rsid w:val="00BF3DAD"/>
    <w:rsid w:val="00BF49FE"/>
    <w:rsid w:val="00BF63F2"/>
    <w:rsid w:val="00BF72FE"/>
    <w:rsid w:val="00C00314"/>
    <w:rsid w:val="00C0148F"/>
    <w:rsid w:val="00C021F7"/>
    <w:rsid w:val="00C02EBB"/>
    <w:rsid w:val="00C02F29"/>
    <w:rsid w:val="00C11789"/>
    <w:rsid w:val="00C11CB3"/>
    <w:rsid w:val="00C1241C"/>
    <w:rsid w:val="00C12976"/>
    <w:rsid w:val="00C13031"/>
    <w:rsid w:val="00C1361C"/>
    <w:rsid w:val="00C14AD2"/>
    <w:rsid w:val="00C15184"/>
    <w:rsid w:val="00C154E2"/>
    <w:rsid w:val="00C16C6F"/>
    <w:rsid w:val="00C16FFF"/>
    <w:rsid w:val="00C205B4"/>
    <w:rsid w:val="00C20C0F"/>
    <w:rsid w:val="00C212CC"/>
    <w:rsid w:val="00C230C0"/>
    <w:rsid w:val="00C23444"/>
    <w:rsid w:val="00C238F2"/>
    <w:rsid w:val="00C2425C"/>
    <w:rsid w:val="00C26392"/>
    <w:rsid w:val="00C26DE6"/>
    <w:rsid w:val="00C27114"/>
    <w:rsid w:val="00C27434"/>
    <w:rsid w:val="00C27558"/>
    <w:rsid w:val="00C278A8"/>
    <w:rsid w:val="00C279E4"/>
    <w:rsid w:val="00C3027F"/>
    <w:rsid w:val="00C31804"/>
    <w:rsid w:val="00C31ECA"/>
    <w:rsid w:val="00C31F05"/>
    <w:rsid w:val="00C3229F"/>
    <w:rsid w:val="00C33AAA"/>
    <w:rsid w:val="00C3444D"/>
    <w:rsid w:val="00C349C4"/>
    <w:rsid w:val="00C350DA"/>
    <w:rsid w:val="00C35295"/>
    <w:rsid w:val="00C357FA"/>
    <w:rsid w:val="00C35BDF"/>
    <w:rsid w:val="00C35BF4"/>
    <w:rsid w:val="00C37B3E"/>
    <w:rsid w:val="00C405E0"/>
    <w:rsid w:val="00C40FDE"/>
    <w:rsid w:val="00C45019"/>
    <w:rsid w:val="00C4573F"/>
    <w:rsid w:val="00C45AA9"/>
    <w:rsid w:val="00C45F26"/>
    <w:rsid w:val="00C47828"/>
    <w:rsid w:val="00C47B0B"/>
    <w:rsid w:val="00C47B8D"/>
    <w:rsid w:val="00C47C4D"/>
    <w:rsid w:val="00C5062A"/>
    <w:rsid w:val="00C50B9C"/>
    <w:rsid w:val="00C50DFF"/>
    <w:rsid w:val="00C513AE"/>
    <w:rsid w:val="00C515FD"/>
    <w:rsid w:val="00C52950"/>
    <w:rsid w:val="00C535F8"/>
    <w:rsid w:val="00C547D6"/>
    <w:rsid w:val="00C549B3"/>
    <w:rsid w:val="00C55820"/>
    <w:rsid w:val="00C55FB6"/>
    <w:rsid w:val="00C56454"/>
    <w:rsid w:val="00C56CA0"/>
    <w:rsid w:val="00C57D7A"/>
    <w:rsid w:val="00C57FBB"/>
    <w:rsid w:val="00C600A6"/>
    <w:rsid w:val="00C601B2"/>
    <w:rsid w:val="00C6055A"/>
    <w:rsid w:val="00C60DFA"/>
    <w:rsid w:val="00C62CC7"/>
    <w:rsid w:val="00C63081"/>
    <w:rsid w:val="00C63BD4"/>
    <w:rsid w:val="00C647AF"/>
    <w:rsid w:val="00C648B7"/>
    <w:rsid w:val="00C64936"/>
    <w:rsid w:val="00C65163"/>
    <w:rsid w:val="00C66252"/>
    <w:rsid w:val="00C66C04"/>
    <w:rsid w:val="00C66CFA"/>
    <w:rsid w:val="00C66F6D"/>
    <w:rsid w:val="00C67D7E"/>
    <w:rsid w:val="00C70E13"/>
    <w:rsid w:val="00C71884"/>
    <w:rsid w:val="00C71AA0"/>
    <w:rsid w:val="00C71FBF"/>
    <w:rsid w:val="00C7214F"/>
    <w:rsid w:val="00C742E1"/>
    <w:rsid w:val="00C74E9B"/>
    <w:rsid w:val="00C75499"/>
    <w:rsid w:val="00C75FAB"/>
    <w:rsid w:val="00C761E0"/>
    <w:rsid w:val="00C77761"/>
    <w:rsid w:val="00C77B4E"/>
    <w:rsid w:val="00C77C0B"/>
    <w:rsid w:val="00C8146B"/>
    <w:rsid w:val="00C81717"/>
    <w:rsid w:val="00C81737"/>
    <w:rsid w:val="00C81A53"/>
    <w:rsid w:val="00C83635"/>
    <w:rsid w:val="00C84D7D"/>
    <w:rsid w:val="00C8566A"/>
    <w:rsid w:val="00C860C4"/>
    <w:rsid w:val="00C867D5"/>
    <w:rsid w:val="00C90796"/>
    <w:rsid w:val="00C90F59"/>
    <w:rsid w:val="00C9116C"/>
    <w:rsid w:val="00C91380"/>
    <w:rsid w:val="00C9140A"/>
    <w:rsid w:val="00C91A1C"/>
    <w:rsid w:val="00C920E2"/>
    <w:rsid w:val="00C92CB5"/>
    <w:rsid w:val="00C92D97"/>
    <w:rsid w:val="00C94934"/>
    <w:rsid w:val="00C94D08"/>
    <w:rsid w:val="00C95862"/>
    <w:rsid w:val="00CA3535"/>
    <w:rsid w:val="00CA3A34"/>
    <w:rsid w:val="00CA4ED0"/>
    <w:rsid w:val="00CA5486"/>
    <w:rsid w:val="00CA559D"/>
    <w:rsid w:val="00CA68FA"/>
    <w:rsid w:val="00CA6D5C"/>
    <w:rsid w:val="00CA7DA9"/>
    <w:rsid w:val="00CB14E0"/>
    <w:rsid w:val="00CB17A9"/>
    <w:rsid w:val="00CB1B9C"/>
    <w:rsid w:val="00CB29C2"/>
    <w:rsid w:val="00CB2A2A"/>
    <w:rsid w:val="00CB3CB9"/>
    <w:rsid w:val="00CB4F9A"/>
    <w:rsid w:val="00CB51A6"/>
    <w:rsid w:val="00CB5223"/>
    <w:rsid w:val="00CB5E5A"/>
    <w:rsid w:val="00CB73F9"/>
    <w:rsid w:val="00CB7573"/>
    <w:rsid w:val="00CB7A28"/>
    <w:rsid w:val="00CC033C"/>
    <w:rsid w:val="00CC2FDA"/>
    <w:rsid w:val="00CC493B"/>
    <w:rsid w:val="00CC4F4C"/>
    <w:rsid w:val="00CD010D"/>
    <w:rsid w:val="00CD03AB"/>
    <w:rsid w:val="00CD0714"/>
    <w:rsid w:val="00CD0AEB"/>
    <w:rsid w:val="00CD0C4E"/>
    <w:rsid w:val="00CD142D"/>
    <w:rsid w:val="00CD1526"/>
    <w:rsid w:val="00CD21B3"/>
    <w:rsid w:val="00CD28FB"/>
    <w:rsid w:val="00CD3A16"/>
    <w:rsid w:val="00CD3F93"/>
    <w:rsid w:val="00CD6188"/>
    <w:rsid w:val="00CD679F"/>
    <w:rsid w:val="00CD6D82"/>
    <w:rsid w:val="00CE09AB"/>
    <w:rsid w:val="00CE0D66"/>
    <w:rsid w:val="00CE0E54"/>
    <w:rsid w:val="00CE34F4"/>
    <w:rsid w:val="00CE35F3"/>
    <w:rsid w:val="00CE394C"/>
    <w:rsid w:val="00CE56AB"/>
    <w:rsid w:val="00CE5E03"/>
    <w:rsid w:val="00CE6E3A"/>
    <w:rsid w:val="00CE7158"/>
    <w:rsid w:val="00CE76B5"/>
    <w:rsid w:val="00CE7A80"/>
    <w:rsid w:val="00CF06C5"/>
    <w:rsid w:val="00CF139B"/>
    <w:rsid w:val="00CF14FC"/>
    <w:rsid w:val="00CF1A1D"/>
    <w:rsid w:val="00CF5129"/>
    <w:rsid w:val="00CF7CC3"/>
    <w:rsid w:val="00D0023A"/>
    <w:rsid w:val="00D00785"/>
    <w:rsid w:val="00D00889"/>
    <w:rsid w:val="00D02E63"/>
    <w:rsid w:val="00D033DC"/>
    <w:rsid w:val="00D036BE"/>
    <w:rsid w:val="00D03CBC"/>
    <w:rsid w:val="00D04133"/>
    <w:rsid w:val="00D043CF"/>
    <w:rsid w:val="00D050D5"/>
    <w:rsid w:val="00D0511C"/>
    <w:rsid w:val="00D0578A"/>
    <w:rsid w:val="00D05E4B"/>
    <w:rsid w:val="00D10065"/>
    <w:rsid w:val="00D10077"/>
    <w:rsid w:val="00D10EF7"/>
    <w:rsid w:val="00D1100F"/>
    <w:rsid w:val="00D114B8"/>
    <w:rsid w:val="00D11E2C"/>
    <w:rsid w:val="00D11F3B"/>
    <w:rsid w:val="00D134B6"/>
    <w:rsid w:val="00D13685"/>
    <w:rsid w:val="00D13B1A"/>
    <w:rsid w:val="00D14049"/>
    <w:rsid w:val="00D15C48"/>
    <w:rsid w:val="00D16653"/>
    <w:rsid w:val="00D166D1"/>
    <w:rsid w:val="00D1751C"/>
    <w:rsid w:val="00D20906"/>
    <w:rsid w:val="00D22D57"/>
    <w:rsid w:val="00D23B49"/>
    <w:rsid w:val="00D26026"/>
    <w:rsid w:val="00D261E3"/>
    <w:rsid w:val="00D262D3"/>
    <w:rsid w:val="00D26FE4"/>
    <w:rsid w:val="00D2712F"/>
    <w:rsid w:val="00D27870"/>
    <w:rsid w:val="00D300AC"/>
    <w:rsid w:val="00D30F61"/>
    <w:rsid w:val="00D318B8"/>
    <w:rsid w:val="00D31A2D"/>
    <w:rsid w:val="00D31A3E"/>
    <w:rsid w:val="00D326DC"/>
    <w:rsid w:val="00D32758"/>
    <w:rsid w:val="00D33B5D"/>
    <w:rsid w:val="00D3541D"/>
    <w:rsid w:val="00D355AD"/>
    <w:rsid w:val="00D36A8B"/>
    <w:rsid w:val="00D42AEA"/>
    <w:rsid w:val="00D433AB"/>
    <w:rsid w:val="00D44051"/>
    <w:rsid w:val="00D46201"/>
    <w:rsid w:val="00D46793"/>
    <w:rsid w:val="00D47039"/>
    <w:rsid w:val="00D47EBC"/>
    <w:rsid w:val="00D512A6"/>
    <w:rsid w:val="00D51E9E"/>
    <w:rsid w:val="00D53955"/>
    <w:rsid w:val="00D53A35"/>
    <w:rsid w:val="00D54141"/>
    <w:rsid w:val="00D543E0"/>
    <w:rsid w:val="00D55298"/>
    <w:rsid w:val="00D55F3B"/>
    <w:rsid w:val="00D55FF1"/>
    <w:rsid w:val="00D56002"/>
    <w:rsid w:val="00D56005"/>
    <w:rsid w:val="00D563F0"/>
    <w:rsid w:val="00D564A5"/>
    <w:rsid w:val="00D565D0"/>
    <w:rsid w:val="00D56FBA"/>
    <w:rsid w:val="00D56FC7"/>
    <w:rsid w:val="00D60C23"/>
    <w:rsid w:val="00D61BED"/>
    <w:rsid w:val="00D61EC4"/>
    <w:rsid w:val="00D631EC"/>
    <w:rsid w:val="00D63726"/>
    <w:rsid w:val="00D64F6A"/>
    <w:rsid w:val="00D66086"/>
    <w:rsid w:val="00D6669A"/>
    <w:rsid w:val="00D669AA"/>
    <w:rsid w:val="00D66B2C"/>
    <w:rsid w:val="00D67147"/>
    <w:rsid w:val="00D675D2"/>
    <w:rsid w:val="00D70DFF"/>
    <w:rsid w:val="00D70E48"/>
    <w:rsid w:val="00D70ED1"/>
    <w:rsid w:val="00D70EED"/>
    <w:rsid w:val="00D712FF"/>
    <w:rsid w:val="00D718FD"/>
    <w:rsid w:val="00D73020"/>
    <w:rsid w:val="00D73649"/>
    <w:rsid w:val="00D74286"/>
    <w:rsid w:val="00D751C8"/>
    <w:rsid w:val="00D76447"/>
    <w:rsid w:val="00D76AC6"/>
    <w:rsid w:val="00D770C0"/>
    <w:rsid w:val="00D775F8"/>
    <w:rsid w:val="00D777C5"/>
    <w:rsid w:val="00D804D7"/>
    <w:rsid w:val="00D80689"/>
    <w:rsid w:val="00D80787"/>
    <w:rsid w:val="00D80A44"/>
    <w:rsid w:val="00D80B41"/>
    <w:rsid w:val="00D820DE"/>
    <w:rsid w:val="00D82117"/>
    <w:rsid w:val="00D82239"/>
    <w:rsid w:val="00D8571E"/>
    <w:rsid w:val="00D858DF"/>
    <w:rsid w:val="00D86256"/>
    <w:rsid w:val="00D865D4"/>
    <w:rsid w:val="00D8683B"/>
    <w:rsid w:val="00D86968"/>
    <w:rsid w:val="00D902DE"/>
    <w:rsid w:val="00D902E5"/>
    <w:rsid w:val="00D903B1"/>
    <w:rsid w:val="00D9171E"/>
    <w:rsid w:val="00D931BB"/>
    <w:rsid w:val="00D93E87"/>
    <w:rsid w:val="00D942CC"/>
    <w:rsid w:val="00D94756"/>
    <w:rsid w:val="00D94F37"/>
    <w:rsid w:val="00D975B2"/>
    <w:rsid w:val="00D97DF4"/>
    <w:rsid w:val="00DA2B22"/>
    <w:rsid w:val="00DA2FA9"/>
    <w:rsid w:val="00DA3B7C"/>
    <w:rsid w:val="00DA40FA"/>
    <w:rsid w:val="00DA4FAA"/>
    <w:rsid w:val="00DA5C21"/>
    <w:rsid w:val="00DA6CF5"/>
    <w:rsid w:val="00DA7109"/>
    <w:rsid w:val="00DA7678"/>
    <w:rsid w:val="00DB0727"/>
    <w:rsid w:val="00DB1B57"/>
    <w:rsid w:val="00DB2C78"/>
    <w:rsid w:val="00DB2EF1"/>
    <w:rsid w:val="00DB3A4A"/>
    <w:rsid w:val="00DB3F1C"/>
    <w:rsid w:val="00DB4C06"/>
    <w:rsid w:val="00DB5189"/>
    <w:rsid w:val="00DB625D"/>
    <w:rsid w:val="00DB67F4"/>
    <w:rsid w:val="00DC00B7"/>
    <w:rsid w:val="00DC1528"/>
    <w:rsid w:val="00DC1BAB"/>
    <w:rsid w:val="00DC2640"/>
    <w:rsid w:val="00DC2755"/>
    <w:rsid w:val="00DC2B87"/>
    <w:rsid w:val="00DC3535"/>
    <w:rsid w:val="00DC4EAC"/>
    <w:rsid w:val="00DC6641"/>
    <w:rsid w:val="00DC6ABA"/>
    <w:rsid w:val="00DC6F60"/>
    <w:rsid w:val="00DC7AEA"/>
    <w:rsid w:val="00DD1716"/>
    <w:rsid w:val="00DD1971"/>
    <w:rsid w:val="00DD1AC2"/>
    <w:rsid w:val="00DD2CC0"/>
    <w:rsid w:val="00DD3A9F"/>
    <w:rsid w:val="00DD3F74"/>
    <w:rsid w:val="00DD41E9"/>
    <w:rsid w:val="00DD546E"/>
    <w:rsid w:val="00DD5639"/>
    <w:rsid w:val="00DD5D98"/>
    <w:rsid w:val="00DD5E27"/>
    <w:rsid w:val="00DD648A"/>
    <w:rsid w:val="00DE385C"/>
    <w:rsid w:val="00DE38A9"/>
    <w:rsid w:val="00DE3EF4"/>
    <w:rsid w:val="00DE4168"/>
    <w:rsid w:val="00DE4A14"/>
    <w:rsid w:val="00DE4AC1"/>
    <w:rsid w:val="00DE50F7"/>
    <w:rsid w:val="00DE5B1C"/>
    <w:rsid w:val="00DE5F52"/>
    <w:rsid w:val="00DE6149"/>
    <w:rsid w:val="00DE7719"/>
    <w:rsid w:val="00DE7777"/>
    <w:rsid w:val="00DE78ED"/>
    <w:rsid w:val="00DF0E74"/>
    <w:rsid w:val="00DF0F4D"/>
    <w:rsid w:val="00DF1BA1"/>
    <w:rsid w:val="00DF1BC1"/>
    <w:rsid w:val="00DF1D92"/>
    <w:rsid w:val="00DF1F7C"/>
    <w:rsid w:val="00DF39F7"/>
    <w:rsid w:val="00DF401B"/>
    <w:rsid w:val="00DF528D"/>
    <w:rsid w:val="00DF5ABB"/>
    <w:rsid w:val="00DF6177"/>
    <w:rsid w:val="00DF624D"/>
    <w:rsid w:val="00DF66DB"/>
    <w:rsid w:val="00DF6D59"/>
    <w:rsid w:val="00DF779F"/>
    <w:rsid w:val="00DF7B37"/>
    <w:rsid w:val="00DF7CA9"/>
    <w:rsid w:val="00E0037C"/>
    <w:rsid w:val="00E018DA"/>
    <w:rsid w:val="00E02550"/>
    <w:rsid w:val="00E029C8"/>
    <w:rsid w:val="00E0328D"/>
    <w:rsid w:val="00E0351C"/>
    <w:rsid w:val="00E035BB"/>
    <w:rsid w:val="00E03D3F"/>
    <w:rsid w:val="00E0612D"/>
    <w:rsid w:val="00E063F7"/>
    <w:rsid w:val="00E07259"/>
    <w:rsid w:val="00E07340"/>
    <w:rsid w:val="00E07660"/>
    <w:rsid w:val="00E10E90"/>
    <w:rsid w:val="00E11945"/>
    <w:rsid w:val="00E12153"/>
    <w:rsid w:val="00E12B55"/>
    <w:rsid w:val="00E13A7A"/>
    <w:rsid w:val="00E1437F"/>
    <w:rsid w:val="00E162CA"/>
    <w:rsid w:val="00E165BC"/>
    <w:rsid w:val="00E17451"/>
    <w:rsid w:val="00E178AE"/>
    <w:rsid w:val="00E208D8"/>
    <w:rsid w:val="00E20C0A"/>
    <w:rsid w:val="00E2113D"/>
    <w:rsid w:val="00E21A6D"/>
    <w:rsid w:val="00E22135"/>
    <w:rsid w:val="00E23156"/>
    <w:rsid w:val="00E25EE3"/>
    <w:rsid w:val="00E2650D"/>
    <w:rsid w:val="00E268E9"/>
    <w:rsid w:val="00E26BD3"/>
    <w:rsid w:val="00E271D8"/>
    <w:rsid w:val="00E27ED7"/>
    <w:rsid w:val="00E30765"/>
    <w:rsid w:val="00E309DE"/>
    <w:rsid w:val="00E30AEF"/>
    <w:rsid w:val="00E3288A"/>
    <w:rsid w:val="00E335E8"/>
    <w:rsid w:val="00E3652D"/>
    <w:rsid w:val="00E36E53"/>
    <w:rsid w:val="00E37349"/>
    <w:rsid w:val="00E40EA7"/>
    <w:rsid w:val="00E411CA"/>
    <w:rsid w:val="00E43677"/>
    <w:rsid w:val="00E448AC"/>
    <w:rsid w:val="00E45723"/>
    <w:rsid w:val="00E4666E"/>
    <w:rsid w:val="00E46885"/>
    <w:rsid w:val="00E4760E"/>
    <w:rsid w:val="00E525C8"/>
    <w:rsid w:val="00E530A2"/>
    <w:rsid w:val="00E54A67"/>
    <w:rsid w:val="00E54CC3"/>
    <w:rsid w:val="00E55435"/>
    <w:rsid w:val="00E55D2B"/>
    <w:rsid w:val="00E5665F"/>
    <w:rsid w:val="00E56C7B"/>
    <w:rsid w:val="00E60403"/>
    <w:rsid w:val="00E60776"/>
    <w:rsid w:val="00E61EF6"/>
    <w:rsid w:val="00E62185"/>
    <w:rsid w:val="00E6227E"/>
    <w:rsid w:val="00E62302"/>
    <w:rsid w:val="00E62951"/>
    <w:rsid w:val="00E63743"/>
    <w:rsid w:val="00E65FFF"/>
    <w:rsid w:val="00E6792B"/>
    <w:rsid w:val="00E67E3D"/>
    <w:rsid w:val="00E70BB3"/>
    <w:rsid w:val="00E72D9F"/>
    <w:rsid w:val="00E73441"/>
    <w:rsid w:val="00E73586"/>
    <w:rsid w:val="00E73918"/>
    <w:rsid w:val="00E74427"/>
    <w:rsid w:val="00E746C7"/>
    <w:rsid w:val="00E74B8F"/>
    <w:rsid w:val="00E74E7C"/>
    <w:rsid w:val="00E7611C"/>
    <w:rsid w:val="00E76A1A"/>
    <w:rsid w:val="00E76C33"/>
    <w:rsid w:val="00E76C81"/>
    <w:rsid w:val="00E77B48"/>
    <w:rsid w:val="00E801FB"/>
    <w:rsid w:val="00E807E0"/>
    <w:rsid w:val="00E80AA8"/>
    <w:rsid w:val="00E80F20"/>
    <w:rsid w:val="00E8168F"/>
    <w:rsid w:val="00E8179E"/>
    <w:rsid w:val="00E81B16"/>
    <w:rsid w:val="00E821B1"/>
    <w:rsid w:val="00E83123"/>
    <w:rsid w:val="00E83476"/>
    <w:rsid w:val="00E84138"/>
    <w:rsid w:val="00E84993"/>
    <w:rsid w:val="00E85613"/>
    <w:rsid w:val="00E85632"/>
    <w:rsid w:val="00E85870"/>
    <w:rsid w:val="00E90C25"/>
    <w:rsid w:val="00E91D17"/>
    <w:rsid w:val="00E92969"/>
    <w:rsid w:val="00E936F3"/>
    <w:rsid w:val="00E937E8"/>
    <w:rsid w:val="00E941F9"/>
    <w:rsid w:val="00E9433B"/>
    <w:rsid w:val="00E956A5"/>
    <w:rsid w:val="00E95A10"/>
    <w:rsid w:val="00E96918"/>
    <w:rsid w:val="00E97140"/>
    <w:rsid w:val="00E978C6"/>
    <w:rsid w:val="00EA054A"/>
    <w:rsid w:val="00EA1FDF"/>
    <w:rsid w:val="00EA2D4E"/>
    <w:rsid w:val="00EA3522"/>
    <w:rsid w:val="00EA4338"/>
    <w:rsid w:val="00EA4576"/>
    <w:rsid w:val="00EA4DA2"/>
    <w:rsid w:val="00EA4E56"/>
    <w:rsid w:val="00EA549C"/>
    <w:rsid w:val="00EA57A7"/>
    <w:rsid w:val="00EA5A6D"/>
    <w:rsid w:val="00EA5BFE"/>
    <w:rsid w:val="00EA616F"/>
    <w:rsid w:val="00EA65C8"/>
    <w:rsid w:val="00EB0273"/>
    <w:rsid w:val="00EB0AAE"/>
    <w:rsid w:val="00EB1626"/>
    <w:rsid w:val="00EB1846"/>
    <w:rsid w:val="00EB1A5F"/>
    <w:rsid w:val="00EB1E0C"/>
    <w:rsid w:val="00EB2370"/>
    <w:rsid w:val="00EB3010"/>
    <w:rsid w:val="00EB3209"/>
    <w:rsid w:val="00EB357B"/>
    <w:rsid w:val="00EB4B13"/>
    <w:rsid w:val="00EB4D2B"/>
    <w:rsid w:val="00EB4E30"/>
    <w:rsid w:val="00EB6DED"/>
    <w:rsid w:val="00EB7331"/>
    <w:rsid w:val="00EB7AB3"/>
    <w:rsid w:val="00EC00D5"/>
    <w:rsid w:val="00EC114A"/>
    <w:rsid w:val="00EC1CB9"/>
    <w:rsid w:val="00EC2079"/>
    <w:rsid w:val="00EC21E8"/>
    <w:rsid w:val="00EC2EB2"/>
    <w:rsid w:val="00EC55C8"/>
    <w:rsid w:val="00EC58BD"/>
    <w:rsid w:val="00ED0A0B"/>
    <w:rsid w:val="00ED0E66"/>
    <w:rsid w:val="00ED0F5E"/>
    <w:rsid w:val="00ED1DB1"/>
    <w:rsid w:val="00ED2338"/>
    <w:rsid w:val="00ED2D2C"/>
    <w:rsid w:val="00ED303F"/>
    <w:rsid w:val="00ED48ED"/>
    <w:rsid w:val="00ED5B31"/>
    <w:rsid w:val="00ED5C1D"/>
    <w:rsid w:val="00ED5D4B"/>
    <w:rsid w:val="00ED5E51"/>
    <w:rsid w:val="00ED7310"/>
    <w:rsid w:val="00ED74A1"/>
    <w:rsid w:val="00ED7641"/>
    <w:rsid w:val="00EE0029"/>
    <w:rsid w:val="00EE0663"/>
    <w:rsid w:val="00EE2288"/>
    <w:rsid w:val="00EE27FB"/>
    <w:rsid w:val="00EE3CE2"/>
    <w:rsid w:val="00EE4811"/>
    <w:rsid w:val="00EE5555"/>
    <w:rsid w:val="00EE5D33"/>
    <w:rsid w:val="00EE688F"/>
    <w:rsid w:val="00EE6C0C"/>
    <w:rsid w:val="00EF0A77"/>
    <w:rsid w:val="00EF1E00"/>
    <w:rsid w:val="00EF34E8"/>
    <w:rsid w:val="00EF38F4"/>
    <w:rsid w:val="00EF3AD9"/>
    <w:rsid w:val="00EF3CD4"/>
    <w:rsid w:val="00EF453A"/>
    <w:rsid w:val="00EF5178"/>
    <w:rsid w:val="00EF56EE"/>
    <w:rsid w:val="00EF5AC9"/>
    <w:rsid w:val="00EF5B7E"/>
    <w:rsid w:val="00EF6087"/>
    <w:rsid w:val="00EF61B9"/>
    <w:rsid w:val="00EF7C6B"/>
    <w:rsid w:val="00EF7E68"/>
    <w:rsid w:val="00F00B6D"/>
    <w:rsid w:val="00F010ED"/>
    <w:rsid w:val="00F01799"/>
    <w:rsid w:val="00F02899"/>
    <w:rsid w:val="00F038CE"/>
    <w:rsid w:val="00F0458A"/>
    <w:rsid w:val="00F04955"/>
    <w:rsid w:val="00F05390"/>
    <w:rsid w:val="00F0767D"/>
    <w:rsid w:val="00F07E7D"/>
    <w:rsid w:val="00F105BC"/>
    <w:rsid w:val="00F10BD1"/>
    <w:rsid w:val="00F1125D"/>
    <w:rsid w:val="00F11706"/>
    <w:rsid w:val="00F11CBE"/>
    <w:rsid w:val="00F125AB"/>
    <w:rsid w:val="00F12DBD"/>
    <w:rsid w:val="00F1330D"/>
    <w:rsid w:val="00F14959"/>
    <w:rsid w:val="00F16E4B"/>
    <w:rsid w:val="00F1705A"/>
    <w:rsid w:val="00F17493"/>
    <w:rsid w:val="00F17D3E"/>
    <w:rsid w:val="00F17EC8"/>
    <w:rsid w:val="00F202A8"/>
    <w:rsid w:val="00F20D65"/>
    <w:rsid w:val="00F211E5"/>
    <w:rsid w:val="00F22F77"/>
    <w:rsid w:val="00F23918"/>
    <w:rsid w:val="00F23A5F"/>
    <w:rsid w:val="00F251AE"/>
    <w:rsid w:val="00F25A61"/>
    <w:rsid w:val="00F27DC9"/>
    <w:rsid w:val="00F314F7"/>
    <w:rsid w:val="00F31AFC"/>
    <w:rsid w:val="00F326EB"/>
    <w:rsid w:val="00F32986"/>
    <w:rsid w:val="00F32A23"/>
    <w:rsid w:val="00F32A41"/>
    <w:rsid w:val="00F32B9A"/>
    <w:rsid w:val="00F337E8"/>
    <w:rsid w:val="00F357A2"/>
    <w:rsid w:val="00F36728"/>
    <w:rsid w:val="00F367F6"/>
    <w:rsid w:val="00F36C1F"/>
    <w:rsid w:val="00F36DC7"/>
    <w:rsid w:val="00F36E87"/>
    <w:rsid w:val="00F37BFB"/>
    <w:rsid w:val="00F4019E"/>
    <w:rsid w:val="00F403F1"/>
    <w:rsid w:val="00F406E8"/>
    <w:rsid w:val="00F41D66"/>
    <w:rsid w:val="00F42394"/>
    <w:rsid w:val="00F45DCA"/>
    <w:rsid w:val="00F46095"/>
    <w:rsid w:val="00F46685"/>
    <w:rsid w:val="00F46C79"/>
    <w:rsid w:val="00F46CD5"/>
    <w:rsid w:val="00F479C3"/>
    <w:rsid w:val="00F47B58"/>
    <w:rsid w:val="00F50283"/>
    <w:rsid w:val="00F507FA"/>
    <w:rsid w:val="00F5103D"/>
    <w:rsid w:val="00F5189F"/>
    <w:rsid w:val="00F51931"/>
    <w:rsid w:val="00F5203F"/>
    <w:rsid w:val="00F53AFD"/>
    <w:rsid w:val="00F54F80"/>
    <w:rsid w:val="00F55FEE"/>
    <w:rsid w:val="00F57A3E"/>
    <w:rsid w:val="00F61705"/>
    <w:rsid w:val="00F64144"/>
    <w:rsid w:val="00F644E3"/>
    <w:rsid w:val="00F64E48"/>
    <w:rsid w:val="00F652BE"/>
    <w:rsid w:val="00F65A9B"/>
    <w:rsid w:val="00F65AAB"/>
    <w:rsid w:val="00F664CA"/>
    <w:rsid w:val="00F70609"/>
    <w:rsid w:val="00F70A54"/>
    <w:rsid w:val="00F7140A"/>
    <w:rsid w:val="00F71634"/>
    <w:rsid w:val="00F7242E"/>
    <w:rsid w:val="00F724C0"/>
    <w:rsid w:val="00F72923"/>
    <w:rsid w:val="00F72C18"/>
    <w:rsid w:val="00F7435A"/>
    <w:rsid w:val="00F74B6A"/>
    <w:rsid w:val="00F80217"/>
    <w:rsid w:val="00F8185D"/>
    <w:rsid w:val="00F81EAB"/>
    <w:rsid w:val="00F82C80"/>
    <w:rsid w:val="00F86DBC"/>
    <w:rsid w:val="00F874B2"/>
    <w:rsid w:val="00F90B8F"/>
    <w:rsid w:val="00F90E72"/>
    <w:rsid w:val="00F919D6"/>
    <w:rsid w:val="00F91A63"/>
    <w:rsid w:val="00F94D37"/>
    <w:rsid w:val="00F94D63"/>
    <w:rsid w:val="00F94F14"/>
    <w:rsid w:val="00F95AA6"/>
    <w:rsid w:val="00F95B1F"/>
    <w:rsid w:val="00F962C5"/>
    <w:rsid w:val="00F9715A"/>
    <w:rsid w:val="00FA0304"/>
    <w:rsid w:val="00FA0E91"/>
    <w:rsid w:val="00FA20E1"/>
    <w:rsid w:val="00FA333E"/>
    <w:rsid w:val="00FA3C5B"/>
    <w:rsid w:val="00FA4746"/>
    <w:rsid w:val="00FA528C"/>
    <w:rsid w:val="00FA572A"/>
    <w:rsid w:val="00FA5A1F"/>
    <w:rsid w:val="00FA64CB"/>
    <w:rsid w:val="00FB044F"/>
    <w:rsid w:val="00FB1801"/>
    <w:rsid w:val="00FB1901"/>
    <w:rsid w:val="00FB280A"/>
    <w:rsid w:val="00FB2A7C"/>
    <w:rsid w:val="00FB2AF4"/>
    <w:rsid w:val="00FB33E0"/>
    <w:rsid w:val="00FB5337"/>
    <w:rsid w:val="00FB58AA"/>
    <w:rsid w:val="00FB58DE"/>
    <w:rsid w:val="00FB636F"/>
    <w:rsid w:val="00FB6432"/>
    <w:rsid w:val="00FB7170"/>
    <w:rsid w:val="00FB73AC"/>
    <w:rsid w:val="00FB75D0"/>
    <w:rsid w:val="00FC06A1"/>
    <w:rsid w:val="00FC1541"/>
    <w:rsid w:val="00FC23C3"/>
    <w:rsid w:val="00FC4240"/>
    <w:rsid w:val="00FC42E5"/>
    <w:rsid w:val="00FC4A94"/>
    <w:rsid w:val="00FC54AD"/>
    <w:rsid w:val="00FC5890"/>
    <w:rsid w:val="00FC5E48"/>
    <w:rsid w:val="00FC6DED"/>
    <w:rsid w:val="00FD0D68"/>
    <w:rsid w:val="00FD10CC"/>
    <w:rsid w:val="00FD11DC"/>
    <w:rsid w:val="00FD24DB"/>
    <w:rsid w:val="00FD59D9"/>
    <w:rsid w:val="00FD5CF1"/>
    <w:rsid w:val="00FD6157"/>
    <w:rsid w:val="00FD6254"/>
    <w:rsid w:val="00FD645A"/>
    <w:rsid w:val="00FD6DE4"/>
    <w:rsid w:val="00FD793D"/>
    <w:rsid w:val="00FD7C63"/>
    <w:rsid w:val="00FD7C77"/>
    <w:rsid w:val="00FD7F9A"/>
    <w:rsid w:val="00FE0506"/>
    <w:rsid w:val="00FE07C5"/>
    <w:rsid w:val="00FE0CD8"/>
    <w:rsid w:val="00FE22A1"/>
    <w:rsid w:val="00FE2AA6"/>
    <w:rsid w:val="00FE2EE7"/>
    <w:rsid w:val="00FE3A27"/>
    <w:rsid w:val="00FE5188"/>
    <w:rsid w:val="00FE5463"/>
    <w:rsid w:val="00FE7AA9"/>
    <w:rsid w:val="00FF0A41"/>
    <w:rsid w:val="00FF2697"/>
    <w:rsid w:val="00FF2D80"/>
    <w:rsid w:val="00FF30CC"/>
    <w:rsid w:val="00FF3469"/>
    <w:rsid w:val="00FF44C3"/>
    <w:rsid w:val="00FF451B"/>
    <w:rsid w:val="00FF47E6"/>
    <w:rsid w:val="00FF53EF"/>
    <w:rsid w:val="00FF5DAF"/>
    <w:rsid w:val="00FF6943"/>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D6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0"/>
    <w:pPr>
      <w:spacing w:after="100" w:line="400" w:lineRule="exact"/>
      <w:jc w:val="both"/>
    </w:pPr>
    <w:rPr>
      <w:rFonts w:ascii="Century Schoolbook" w:hAnsi="Century Schoolbook"/>
      <w:sz w:val="27"/>
    </w:rPr>
  </w:style>
  <w:style w:type="paragraph" w:styleId="Heading1">
    <w:name w:val="heading 1"/>
    <w:basedOn w:val="Normal"/>
    <w:next w:val="Normal"/>
    <w:qFormat/>
    <w:rsid w:val="006F4720"/>
    <w:pPr>
      <w:keepNext/>
      <w:spacing w:before="140" w:line="240" w:lineRule="atLeast"/>
      <w:jc w:val="center"/>
      <w:outlineLvl w:val="0"/>
    </w:pPr>
    <w:rPr>
      <w:b/>
      <w:smallCaps/>
    </w:rPr>
  </w:style>
  <w:style w:type="paragraph" w:styleId="Heading2">
    <w:name w:val="heading 2"/>
    <w:basedOn w:val="Normal"/>
    <w:next w:val="Normal"/>
    <w:qFormat/>
    <w:rsid w:val="006F472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F4720"/>
    <w:pPr>
      <w:keepNext/>
      <w:tabs>
        <w:tab w:val="left" w:pos="1584"/>
      </w:tabs>
      <w:spacing w:before="140" w:line="240" w:lineRule="atLeast"/>
      <w:ind w:left="1584" w:hanging="432"/>
      <w:jc w:val="left"/>
      <w:outlineLvl w:val="2"/>
    </w:pPr>
    <w:rPr>
      <w:i/>
    </w:rPr>
  </w:style>
  <w:style w:type="paragraph" w:styleId="Heading4">
    <w:name w:val="heading 4"/>
    <w:basedOn w:val="Normal"/>
    <w:rsid w:val="006F4720"/>
    <w:pPr>
      <w:keepNext/>
      <w:tabs>
        <w:tab w:val="left" w:pos="2016"/>
      </w:tabs>
      <w:spacing w:before="140" w:line="240" w:lineRule="atLeast"/>
      <w:ind w:left="2016" w:hanging="432"/>
      <w:jc w:val="left"/>
      <w:outlineLvl w:val="3"/>
    </w:pPr>
    <w:rPr>
      <w:i/>
    </w:rPr>
  </w:style>
  <w:style w:type="paragraph" w:styleId="Heading5">
    <w:name w:val="heading 5"/>
    <w:basedOn w:val="Normal"/>
    <w:rsid w:val="006F472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F4720"/>
    <w:pPr>
      <w:ind w:left="720"/>
    </w:pPr>
  </w:style>
  <w:style w:type="paragraph" w:styleId="Footer">
    <w:name w:val="footer"/>
    <w:basedOn w:val="Normal"/>
    <w:qFormat/>
    <w:rsid w:val="006F4720"/>
    <w:pPr>
      <w:tabs>
        <w:tab w:val="center" w:pos="3960"/>
        <w:tab w:val="right" w:pos="10080"/>
      </w:tabs>
      <w:spacing w:after="0" w:line="240" w:lineRule="auto"/>
      <w:jc w:val="center"/>
    </w:pPr>
    <w:rPr>
      <w:sz w:val="22"/>
    </w:rPr>
  </w:style>
  <w:style w:type="paragraph" w:styleId="Header">
    <w:name w:val="header"/>
    <w:basedOn w:val="Normal"/>
    <w:qFormat/>
    <w:rsid w:val="006F472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F4720"/>
    <w:rPr>
      <w:rFonts w:ascii="Century Schoolbook" w:hAnsi="Century Schoolbook"/>
      <w:b/>
      <w:i w:val="0"/>
      <w:position w:val="4"/>
      <w:sz w:val="27"/>
      <w:vertAlign w:val="superscript"/>
    </w:rPr>
  </w:style>
  <w:style w:type="paragraph" w:styleId="FootnoteText">
    <w:name w:val="footnote text"/>
    <w:basedOn w:val="Normal"/>
    <w:rsid w:val="006F4720"/>
    <w:pPr>
      <w:spacing w:line="300" w:lineRule="exact"/>
    </w:pPr>
  </w:style>
  <w:style w:type="paragraph" w:customStyle="1" w:styleId="Title1">
    <w:name w:val="Title1"/>
    <w:basedOn w:val="Normal"/>
    <w:rsid w:val="006F4720"/>
    <w:pPr>
      <w:tabs>
        <w:tab w:val="left" w:pos="5760"/>
        <w:tab w:val="left" w:pos="6480"/>
      </w:tabs>
      <w:spacing w:line="240" w:lineRule="atLeast"/>
    </w:pPr>
  </w:style>
  <w:style w:type="paragraph" w:customStyle="1" w:styleId="Recommend">
    <w:name w:val="Recommend"/>
    <w:basedOn w:val="Normal"/>
    <w:rsid w:val="006F4720"/>
  </w:style>
  <w:style w:type="paragraph" w:customStyle="1" w:styleId="Summary">
    <w:name w:val="Summary"/>
    <w:basedOn w:val="Normal"/>
    <w:rsid w:val="006F4720"/>
    <w:pPr>
      <w:ind w:left="2160" w:hanging="2160"/>
    </w:pPr>
  </w:style>
  <w:style w:type="paragraph" w:customStyle="1" w:styleId="Text">
    <w:name w:val="Text"/>
    <w:basedOn w:val="Normal"/>
    <w:rsid w:val="006F4720"/>
    <w:pPr>
      <w:tabs>
        <w:tab w:val="left" w:pos="720"/>
        <w:tab w:val="left" w:pos="1440"/>
        <w:tab w:val="left" w:pos="2160"/>
        <w:tab w:val="center" w:pos="4320"/>
      </w:tabs>
      <w:spacing w:line="480" w:lineRule="atLeast"/>
      <w:ind w:firstLine="540"/>
    </w:pPr>
  </w:style>
  <w:style w:type="paragraph" w:styleId="Date">
    <w:name w:val="Date"/>
    <w:basedOn w:val="Normal"/>
    <w:semiHidden/>
    <w:rsid w:val="006F4720"/>
    <w:pPr>
      <w:jc w:val="right"/>
    </w:pPr>
  </w:style>
  <w:style w:type="character" w:styleId="PageNumber">
    <w:name w:val="page number"/>
    <w:basedOn w:val="DefaultParagraphFont"/>
    <w:semiHidden/>
    <w:rsid w:val="006F4720"/>
  </w:style>
  <w:style w:type="paragraph" w:customStyle="1" w:styleId="subject">
    <w:name w:val="subject"/>
    <w:basedOn w:val="Normal"/>
    <w:rsid w:val="006F4720"/>
    <w:pPr>
      <w:tabs>
        <w:tab w:val="left" w:pos="1008"/>
      </w:tabs>
      <w:ind w:left="990" w:hanging="990"/>
    </w:pPr>
    <w:rPr>
      <w:b/>
    </w:rPr>
  </w:style>
  <w:style w:type="paragraph" w:customStyle="1" w:styleId="Titles">
    <w:name w:val="Titles"/>
    <w:basedOn w:val="Normal"/>
    <w:rsid w:val="006F4720"/>
    <w:pPr>
      <w:tabs>
        <w:tab w:val="left" w:pos="2160"/>
      </w:tabs>
      <w:ind w:left="2160" w:hanging="2160"/>
    </w:pPr>
    <w:rPr>
      <w:b/>
    </w:rPr>
  </w:style>
  <w:style w:type="paragraph" w:styleId="TOAHeading">
    <w:name w:val="toa heading"/>
    <w:basedOn w:val="Normal"/>
    <w:next w:val="Normal"/>
    <w:semiHidden/>
    <w:rsid w:val="006F4720"/>
    <w:pPr>
      <w:spacing w:before="120"/>
    </w:pPr>
    <w:rPr>
      <w:b/>
    </w:rPr>
  </w:style>
  <w:style w:type="paragraph" w:styleId="TOC1">
    <w:name w:val="toc 1"/>
    <w:basedOn w:val="Normal"/>
    <w:next w:val="Normal"/>
    <w:autoRedefine/>
    <w:semiHidden/>
    <w:rsid w:val="006F4720"/>
  </w:style>
  <w:style w:type="paragraph" w:styleId="TOC2">
    <w:name w:val="toc 2"/>
    <w:basedOn w:val="Normal"/>
    <w:next w:val="Normal"/>
    <w:autoRedefine/>
    <w:semiHidden/>
    <w:rsid w:val="006F4720"/>
    <w:pPr>
      <w:ind w:left="259"/>
    </w:pPr>
  </w:style>
  <w:style w:type="paragraph" w:styleId="TOC3">
    <w:name w:val="toc 3"/>
    <w:basedOn w:val="Normal"/>
    <w:next w:val="Normal"/>
    <w:autoRedefine/>
    <w:semiHidden/>
    <w:rsid w:val="006F4720"/>
    <w:pPr>
      <w:ind w:left="520"/>
    </w:pPr>
  </w:style>
  <w:style w:type="paragraph" w:styleId="TOC4">
    <w:name w:val="toc 4"/>
    <w:basedOn w:val="Normal"/>
    <w:next w:val="Normal"/>
    <w:autoRedefine/>
    <w:semiHidden/>
    <w:rsid w:val="006F4720"/>
    <w:pPr>
      <w:ind w:left="780"/>
    </w:pPr>
  </w:style>
  <w:style w:type="paragraph" w:styleId="TOC5">
    <w:name w:val="toc 5"/>
    <w:basedOn w:val="Normal"/>
    <w:next w:val="Normal"/>
    <w:autoRedefine/>
    <w:semiHidden/>
    <w:rsid w:val="006F4720"/>
    <w:pPr>
      <w:ind w:left="1040"/>
    </w:pPr>
  </w:style>
  <w:style w:type="paragraph" w:styleId="TOC6">
    <w:name w:val="toc 6"/>
    <w:basedOn w:val="Normal"/>
    <w:next w:val="Normal"/>
    <w:autoRedefine/>
    <w:semiHidden/>
    <w:rsid w:val="006F4720"/>
    <w:pPr>
      <w:ind w:left="1300"/>
    </w:pPr>
  </w:style>
  <w:style w:type="paragraph" w:styleId="TOC7">
    <w:name w:val="toc 7"/>
    <w:basedOn w:val="Normal"/>
    <w:next w:val="Normal"/>
    <w:autoRedefine/>
    <w:semiHidden/>
    <w:rsid w:val="006F4720"/>
    <w:pPr>
      <w:ind w:left="1560"/>
    </w:pPr>
  </w:style>
  <w:style w:type="paragraph" w:styleId="TOC8">
    <w:name w:val="toc 8"/>
    <w:basedOn w:val="Normal"/>
    <w:next w:val="Normal"/>
    <w:autoRedefine/>
    <w:semiHidden/>
    <w:rsid w:val="006F4720"/>
    <w:pPr>
      <w:ind w:left="1820"/>
    </w:pPr>
  </w:style>
  <w:style w:type="paragraph" w:styleId="TOC9">
    <w:name w:val="toc 9"/>
    <w:basedOn w:val="Normal"/>
    <w:next w:val="Normal"/>
    <w:autoRedefine/>
    <w:semiHidden/>
    <w:rsid w:val="006F4720"/>
    <w:pPr>
      <w:ind w:left="2080"/>
    </w:pPr>
  </w:style>
  <w:style w:type="paragraph" w:customStyle="1" w:styleId="Contents">
    <w:name w:val="Contents"/>
    <w:basedOn w:val="Normal"/>
    <w:rsid w:val="006F4720"/>
    <w:pPr>
      <w:jc w:val="center"/>
    </w:pPr>
    <w:rPr>
      <w:b/>
      <w:spacing w:val="100"/>
    </w:rPr>
  </w:style>
  <w:style w:type="paragraph" w:styleId="ListParagraph">
    <w:name w:val="List Paragraph"/>
    <w:basedOn w:val="Normal"/>
    <w:uiPriority w:val="34"/>
    <w:qFormat/>
    <w:rsid w:val="00897889"/>
    <w:pPr>
      <w:ind w:left="720"/>
      <w:contextualSpacing/>
    </w:pPr>
  </w:style>
  <w:style w:type="character" w:styleId="CommentReference">
    <w:name w:val="annotation reference"/>
    <w:basedOn w:val="DefaultParagraphFont"/>
    <w:uiPriority w:val="99"/>
    <w:semiHidden/>
    <w:unhideWhenUsed/>
    <w:rsid w:val="00D26026"/>
    <w:rPr>
      <w:sz w:val="16"/>
      <w:szCs w:val="16"/>
    </w:rPr>
  </w:style>
  <w:style w:type="paragraph" w:styleId="CommentText">
    <w:name w:val="annotation text"/>
    <w:basedOn w:val="Normal"/>
    <w:link w:val="CommentTextChar"/>
    <w:uiPriority w:val="99"/>
    <w:unhideWhenUsed/>
    <w:rsid w:val="00D26026"/>
    <w:rPr>
      <w:sz w:val="20"/>
    </w:rPr>
  </w:style>
  <w:style w:type="character" w:customStyle="1" w:styleId="CommentTextChar">
    <w:name w:val="Comment Text Char"/>
    <w:basedOn w:val="DefaultParagraphFont"/>
    <w:link w:val="CommentText"/>
    <w:uiPriority w:val="99"/>
    <w:rsid w:val="00D26026"/>
  </w:style>
  <w:style w:type="paragraph" w:styleId="CommentSubject">
    <w:name w:val="annotation subject"/>
    <w:basedOn w:val="CommentText"/>
    <w:next w:val="CommentText"/>
    <w:link w:val="CommentSubjectChar"/>
    <w:uiPriority w:val="99"/>
    <w:semiHidden/>
    <w:unhideWhenUsed/>
    <w:rsid w:val="00D26026"/>
    <w:rPr>
      <w:b/>
      <w:bCs/>
    </w:rPr>
  </w:style>
  <w:style w:type="character" w:customStyle="1" w:styleId="CommentSubjectChar">
    <w:name w:val="Comment Subject Char"/>
    <w:basedOn w:val="CommentTextChar"/>
    <w:link w:val="CommentSubject"/>
    <w:uiPriority w:val="99"/>
    <w:semiHidden/>
    <w:rsid w:val="00D26026"/>
    <w:rPr>
      <w:b/>
      <w:bCs/>
    </w:rPr>
  </w:style>
  <w:style w:type="paragraph" w:styleId="BalloonText">
    <w:name w:val="Balloon Text"/>
    <w:basedOn w:val="Normal"/>
    <w:link w:val="BalloonTextChar"/>
    <w:uiPriority w:val="99"/>
    <w:semiHidden/>
    <w:unhideWhenUsed/>
    <w:rsid w:val="000D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21"/>
    <w:rPr>
      <w:rFonts w:ascii="Segoe UI" w:hAnsi="Segoe UI" w:cs="Segoe UI"/>
      <w:sz w:val="18"/>
      <w:szCs w:val="18"/>
    </w:rPr>
  </w:style>
  <w:style w:type="paragraph" w:styleId="Revision">
    <w:name w:val="Revision"/>
    <w:hidden/>
    <w:uiPriority w:val="99"/>
    <w:semiHidden/>
    <w:rsid w:val="007E737E"/>
    <w:rPr>
      <w:sz w:val="26"/>
    </w:rPr>
  </w:style>
  <w:style w:type="character" w:styleId="PlaceholderText">
    <w:name w:val="Placeholder Text"/>
    <w:basedOn w:val="DefaultParagraphFont"/>
    <w:uiPriority w:val="99"/>
    <w:semiHidden/>
    <w:rsid w:val="000C5073"/>
    <w:rPr>
      <w:color w:val="808080"/>
    </w:rPr>
  </w:style>
  <w:style w:type="paragraph" w:styleId="BodyText">
    <w:name w:val="Body Text"/>
    <w:basedOn w:val="Normal"/>
    <w:link w:val="BodyTextChar"/>
    <w:qFormat/>
    <w:rsid w:val="006F4720"/>
  </w:style>
  <w:style w:type="character" w:customStyle="1" w:styleId="BodyTextChar">
    <w:name w:val="Body Text Char"/>
    <w:basedOn w:val="DefaultParagraphFont"/>
    <w:link w:val="BodyText"/>
    <w:rsid w:val="006F472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670">
      <w:bodyDiv w:val="1"/>
      <w:marLeft w:val="0"/>
      <w:marRight w:val="0"/>
      <w:marTop w:val="0"/>
      <w:marBottom w:val="0"/>
      <w:divBdr>
        <w:top w:val="none" w:sz="0" w:space="0" w:color="auto"/>
        <w:left w:val="none" w:sz="0" w:space="0" w:color="auto"/>
        <w:bottom w:val="none" w:sz="0" w:space="0" w:color="auto"/>
        <w:right w:val="none" w:sz="0" w:space="0" w:color="auto"/>
      </w:divBdr>
      <w:divsChild>
        <w:div w:id="404648978">
          <w:marLeft w:val="0"/>
          <w:marRight w:val="0"/>
          <w:marTop w:val="0"/>
          <w:marBottom w:val="0"/>
          <w:divBdr>
            <w:top w:val="none" w:sz="0" w:space="0" w:color="auto"/>
            <w:left w:val="none" w:sz="0" w:space="0" w:color="auto"/>
            <w:bottom w:val="none" w:sz="0" w:space="0" w:color="auto"/>
            <w:right w:val="none" w:sz="0" w:space="0" w:color="auto"/>
          </w:divBdr>
        </w:div>
      </w:divsChild>
    </w:div>
    <w:div w:id="95373454">
      <w:bodyDiv w:val="1"/>
      <w:marLeft w:val="0"/>
      <w:marRight w:val="0"/>
      <w:marTop w:val="0"/>
      <w:marBottom w:val="0"/>
      <w:divBdr>
        <w:top w:val="none" w:sz="0" w:space="0" w:color="auto"/>
        <w:left w:val="none" w:sz="0" w:space="0" w:color="auto"/>
        <w:bottom w:val="none" w:sz="0" w:space="0" w:color="auto"/>
        <w:right w:val="none" w:sz="0" w:space="0" w:color="auto"/>
      </w:divBdr>
      <w:divsChild>
        <w:div w:id="90321977">
          <w:marLeft w:val="0"/>
          <w:marRight w:val="0"/>
          <w:marTop w:val="0"/>
          <w:marBottom w:val="0"/>
          <w:divBdr>
            <w:top w:val="none" w:sz="0" w:space="0" w:color="auto"/>
            <w:left w:val="none" w:sz="0" w:space="0" w:color="auto"/>
            <w:bottom w:val="none" w:sz="0" w:space="0" w:color="auto"/>
            <w:right w:val="none" w:sz="0" w:space="0" w:color="auto"/>
          </w:divBdr>
        </w:div>
      </w:divsChild>
    </w:div>
    <w:div w:id="1198742198">
      <w:bodyDiv w:val="1"/>
      <w:marLeft w:val="0"/>
      <w:marRight w:val="0"/>
      <w:marTop w:val="0"/>
      <w:marBottom w:val="0"/>
      <w:divBdr>
        <w:top w:val="none" w:sz="0" w:space="0" w:color="auto"/>
        <w:left w:val="none" w:sz="0" w:space="0" w:color="auto"/>
        <w:bottom w:val="none" w:sz="0" w:space="0" w:color="auto"/>
        <w:right w:val="none" w:sz="0" w:space="0" w:color="auto"/>
      </w:divBdr>
      <w:divsChild>
        <w:div w:id="2110422787">
          <w:marLeft w:val="0"/>
          <w:marRight w:val="0"/>
          <w:marTop w:val="0"/>
          <w:marBottom w:val="0"/>
          <w:divBdr>
            <w:top w:val="none" w:sz="0" w:space="0" w:color="auto"/>
            <w:left w:val="none" w:sz="0" w:space="0" w:color="auto"/>
            <w:bottom w:val="none" w:sz="0" w:space="0" w:color="auto"/>
            <w:right w:val="none" w:sz="0" w:space="0" w:color="auto"/>
          </w:divBdr>
        </w:div>
      </w:divsChild>
    </w:div>
    <w:div w:id="1705981714">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2">
          <w:marLeft w:val="0"/>
          <w:marRight w:val="0"/>
          <w:marTop w:val="0"/>
          <w:marBottom w:val="0"/>
          <w:divBdr>
            <w:top w:val="none" w:sz="0" w:space="0" w:color="auto"/>
            <w:left w:val="none" w:sz="0" w:space="0" w:color="auto"/>
            <w:bottom w:val="none" w:sz="0" w:space="0" w:color="auto"/>
            <w:right w:val="none" w:sz="0" w:space="0" w:color="auto"/>
          </w:divBdr>
        </w:div>
      </w:divsChild>
    </w:div>
    <w:div w:id="2034723354">
      <w:bodyDiv w:val="1"/>
      <w:marLeft w:val="0"/>
      <w:marRight w:val="0"/>
      <w:marTop w:val="0"/>
      <w:marBottom w:val="0"/>
      <w:divBdr>
        <w:top w:val="none" w:sz="0" w:space="0" w:color="auto"/>
        <w:left w:val="none" w:sz="0" w:space="0" w:color="auto"/>
        <w:bottom w:val="none" w:sz="0" w:space="0" w:color="auto"/>
        <w:right w:val="none" w:sz="0" w:space="0" w:color="auto"/>
      </w:divBdr>
      <w:divsChild>
        <w:div w:id="13468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A025-B1A1-46ED-9CF8-DE9CEBA9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6001</Words>
  <Characters>31903</Characters>
  <Application>Microsoft Office Word</Application>
  <DocSecurity>0</DocSecurity>
  <Lines>715</Lines>
  <Paragraphs>117</Paragraphs>
  <ScaleCrop>false</ScaleCrop>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2021-05-04T00:25:04.1246379Z</dcterms:created>
  <dcterms:modified xsi:type="dcterms:W3CDTF">2021-05-04T00:25:04.1246379Z</dcterms:modified>
</cp:coreProperties>
</file>