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34FC4" w14:textId="61201472" w:rsidR="003E0F4A" w:rsidRDefault="00F273F1" w:rsidP="00F273F1">
      <w:pPr>
        <w:tabs>
          <w:tab w:val="left" w:pos="1440"/>
          <w:tab w:val="left" w:pos="4680"/>
          <w:tab w:val="center" w:pos="7200"/>
        </w:tabs>
        <w:spacing w:after="0"/>
        <w:jc w:val="center"/>
        <w:rPr>
          <w:sz w:val="36"/>
        </w:rPr>
      </w:pPr>
      <w:bookmarkStart w:id="0" w:name="VD"/>
      <w:bookmarkStart w:id="1" w:name="supernum"/>
      <w:bookmarkStart w:id="2" w:name="MarkDocLoc"/>
      <w:bookmarkEnd w:id="0"/>
      <w:bookmarkEnd w:id="1"/>
      <w:bookmarkEnd w:id="2"/>
      <w:r>
        <w:rPr>
          <w:b/>
          <w:sz w:val="36"/>
        </w:rPr>
        <w:t>IN THE SUPREME COURT OF CALIFORNIA</w:t>
      </w:r>
    </w:p>
    <w:p w14:paraId="26BD3102" w14:textId="430DDA2A" w:rsidR="00F273F1" w:rsidRDefault="00F273F1" w:rsidP="002278BD">
      <w:pPr>
        <w:tabs>
          <w:tab w:val="left" w:pos="1440"/>
          <w:tab w:val="left" w:pos="4680"/>
          <w:tab w:val="center" w:pos="7200"/>
        </w:tabs>
        <w:spacing w:after="0"/>
      </w:pPr>
    </w:p>
    <w:p w14:paraId="03CC4BCC" w14:textId="77777777" w:rsidR="00FE12DA" w:rsidRDefault="00F273F1" w:rsidP="00F273F1">
      <w:pPr>
        <w:tabs>
          <w:tab w:val="left" w:pos="1440"/>
          <w:tab w:val="left" w:pos="4680"/>
          <w:tab w:val="center" w:pos="7200"/>
        </w:tabs>
        <w:spacing w:after="0"/>
        <w:jc w:val="center"/>
      </w:pPr>
      <w:r>
        <w:t xml:space="preserve">In re GREGORY GADLIN </w:t>
      </w:r>
    </w:p>
    <w:p w14:paraId="3A3110B2" w14:textId="4F8477B2" w:rsidR="00F273F1" w:rsidRDefault="00F273F1" w:rsidP="00F273F1">
      <w:pPr>
        <w:tabs>
          <w:tab w:val="left" w:pos="1440"/>
          <w:tab w:val="left" w:pos="4680"/>
          <w:tab w:val="center" w:pos="7200"/>
        </w:tabs>
        <w:spacing w:after="0"/>
        <w:jc w:val="center"/>
      </w:pPr>
      <w:r>
        <w:t>on Habeas Corpus</w:t>
      </w:r>
      <w:r w:rsidR="00FE12DA">
        <w:t>.</w:t>
      </w:r>
    </w:p>
    <w:p w14:paraId="05775F31" w14:textId="075A4CFE" w:rsidR="00F273F1" w:rsidRDefault="00F273F1" w:rsidP="00403506">
      <w:pPr>
        <w:tabs>
          <w:tab w:val="left" w:pos="1440"/>
          <w:tab w:val="left" w:pos="4680"/>
          <w:tab w:val="center" w:pos="7200"/>
        </w:tabs>
        <w:spacing w:after="0"/>
        <w:jc w:val="center"/>
      </w:pPr>
    </w:p>
    <w:p w14:paraId="41B9F021" w14:textId="5BA7E7F6" w:rsidR="00F273F1" w:rsidRDefault="00F273F1" w:rsidP="00F273F1">
      <w:pPr>
        <w:tabs>
          <w:tab w:val="left" w:pos="1440"/>
          <w:tab w:val="left" w:pos="4680"/>
          <w:tab w:val="center" w:pos="7200"/>
        </w:tabs>
        <w:spacing w:after="0"/>
        <w:jc w:val="center"/>
      </w:pPr>
      <w:r>
        <w:t>S254599</w:t>
      </w:r>
    </w:p>
    <w:p w14:paraId="537AC054" w14:textId="273128F0" w:rsidR="00B5568B" w:rsidRDefault="00B5568B" w:rsidP="002278BD">
      <w:pPr>
        <w:tabs>
          <w:tab w:val="left" w:pos="1440"/>
          <w:tab w:val="left" w:pos="4680"/>
          <w:tab w:val="center" w:pos="7200"/>
        </w:tabs>
        <w:spacing w:after="0"/>
      </w:pPr>
    </w:p>
    <w:p w14:paraId="23FC5189" w14:textId="3590B806" w:rsidR="00B5568B" w:rsidRDefault="00B5568B" w:rsidP="00F273F1">
      <w:pPr>
        <w:tabs>
          <w:tab w:val="left" w:pos="1440"/>
          <w:tab w:val="left" w:pos="4680"/>
          <w:tab w:val="center" w:pos="7200"/>
        </w:tabs>
        <w:spacing w:after="0"/>
        <w:jc w:val="center"/>
      </w:pPr>
      <w:r>
        <w:t>Second Appellate District, Division Five</w:t>
      </w:r>
    </w:p>
    <w:p w14:paraId="0BF09207" w14:textId="6E3026F7" w:rsidR="00B5568B" w:rsidRDefault="00B5568B" w:rsidP="00F273F1">
      <w:pPr>
        <w:tabs>
          <w:tab w:val="left" w:pos="1440"/>
          <w:tab w:val="left" w:pos="4680"/>
          <w:tab w:val="center" w:pos="7200"/>
        </w:tabs>
        <w:spacing w:after="0"/>
        <w:jc w:val="center"/>
      </w:pPr>
      <w:r>
        <w:t>B289852</w:t>
      </w:r>
    </w:p>
    <w:p w14:paraId="3FE9368F" w14:textId="70DEEB2E" w:rsidR="00F273F1" w:rsidRDefault="00F273F1" w:rsidP="002278BD">
      <w:pPr>
        <w:tabs>
          <w:tab w:val="left" w:pos="1440"/>
          <w:tab w:val="left" w:pos="4680"/>
          <w:tab w:val="center" w:pos="7200"/>
        </w:tabs>
        <w:spacing w:after="0"/>
      </w:pPr>
    </w:p>
    <w:p w14:paraId="3CCB951C" w14:textId="2D510ACC" w:rsidR="00F273F1" w:rsidRDefault="002F29E8" w:rsidP="00F273F1">
      <w:pPr>
        <w:tabs>
          <w:tab w:val="left" w:pos="1440"/>
          <w:tab w:val="left" w:pos="4680"/>
          <w:tab w:val="center" w:pos="7200"/>
        </w:tabs>
        <w:spacing w:after="0"/>
        <w:jc w:val="center"/>
      </w:pPr>
      <w:r>
        <w:t xml:space="preserve">Los Angeles </w:t>
      </w:r>
      <w:r w:rsidR="00F273F1">
        <w:t>County Superior Court</w:t>
      </w:r>
      <w:r w:rsidR="00F273F1">
        <w:br/>
      </w:r>
      <w:r w:rsidR="00B93BE1">
        <w:t xml:space="preserve"> </w:t>
      </w:r>
      <w:r>
        <w:t>BA165439</w:t>
      </w:r>
    </w:p>
    <w:p w14:paraId="362DD928" w14:textId="17F0B192" w:rsidR="00F273F1" w:rsidRDefault="00F273F1" w:rsidP="00F273F1">
      <w:pPr>
        <w:pBdr>
          <w:bottom w:val="single" w:sz="4" w:space="1" w:color="auto"/>
        </w:pBdr>
        <w:tabs>
          <w:tab w:val="left" w:pos="1440"/>
          <w:tab w:val="left" w:pos="4680"/>
          <w:tab w:val="center" w:pos="7200"/>
        </w:tabs>
        <w:spacing w:after="0"/>
        <w:jc w:val="center"/>
      </w:pPr>
    </w:p>
    <w:p w14:paraId="07D8DFF2" w14:textId="2613F958" w:rsidR="00F273F1" w:rsidRDefault="00F273F1" w:rsidP="00F273F1">
      <w:pPr>
        <w:tabs>
          <w:tab w:val="left" w:pos="1440"/>
          <w:tab w:val="left" w:pos="4680"/>
          <w:tab w:val="center" w:pos="7200"/>
        </w:tabs>
        <w:spacing w:after="0"/>
        <w:jc w:val="center"/>
      </w:pPr>
    </w:p>
    <w:p w14:paraId="675161CF" w14:textId="00338D1C" w:rsidR="00F273F1" w:rsidRDefault="00D22979" w:rsidP="00F273F1">
      <w:pPr>
        <w:tabs>
          <w:tab w:val="left" w:pos="1440"/>
          <w:tab w:val="left" w:pos="4680"/>
          <w:tab w:val="center" w:pos="7200"/>
        </w:tabs>
        <w:spacing w:after="0"/>
        <w:jc w:val="center"/>
      </w:pPr>
      <w:r>
        <w:t>December 28,</w:t>
      </w:r>
      <w:r w:rsidR="00F273F1">
        <w:t xml:space="preserve"> 2020</w:t>
      </w:r>
    </w:p>
    <w:p w14:paraId="42162F2C" w14:textId="681C8AE4" w:rsidR="00F273F1" w:rsidRDefault="00F273F1" w:rsidP="00F273F1">
      <w:pPr>
        <w:tabs>
          <w:tab w:val="left" w:pos="1440"/>
          <w:tab w:val="left" w:pos="4680"/>
          <w:tab w:val="center" w:pos="7200"/>
        </w:tabs>
        <w:spacing w:after="0"/>
        <w:jc w:val="center"/>
      </w:pPr>
    </w:p>
    <w:p w14:paraId="2A0939DA" w14:textId="71A74C90" w:rsidR="00F273F1" w:rsidRDefault="00F273F1" w:rsidP="00F273F1">
      <w:pPr>
        <w:tabs>
          <w:tab w:val="left" w:pos="1440"/>
          <w:tab w:val="left" w:pos="4680"/>
          <w:tab w:val="center" w:pos="7200"/>
        </w:tabs>
        <w:spacing w:after="0"/>
        <w:jc w:val="left"/>
      </w:pPr>
      <w:r>
        <w:t>Chief Justice Cantil-Sakauye authored the opinion of the</w:t>
      </w:r>
      <w:r w:rsidR="00B5568B">
        <w:t xml:space="preserve"> </w:t>
      </w:r>
      <w:r w:rsidR="005D185A">
        <w:t>C</w:t>
      </w:r>
      <w:r>
        <w:t>ourt,</w:t>
      </w:r>
      <w:r w:rsidR="005D185A">
        <w:t xml:space="preserve"> </w:t>
      </w:r>
      <w:r>
        <w:t xml:space="preserve">in which Justices </w:t>
      </w:r>
      <w:r w:rsidR="006D0ABA">
        <w:t xml:space="preserve">Corrigan, Liu, </w:t>
      </w:r>
      <w:r w:rsidR="00D22979">
        <w:t xml:space="preserve">Cuéllar, Kruger, </w:t>
      </w:r>
      <w:r w:rsidR="006D0ABA">
        <w:t xml:space="preserve">Groban </w:t>
      </w:r>
      <w:r>
        <w:t xml:space="preserve">and </w:t>
      </w:r>
      <w:r w:rsidR="00D22979">
        <w:t>Hill</w:t>
      </w:r>
      <w:r w:rsidR="00D22979" w:rsidRPr="00C07D38">
        <w:rPr>
          <w:vertAlign w:val="superscript"/>
        </w:rPr>
        <w:t>*</w:t>
      </w:r>
      <w:r>
        <w:t xml:space="preserve"> concurred.</w:t>
      </w:r>
    </w:p>
    <w:p w14:paraId="74130BC3" w14:textId="77777777" w:rsidR="00F273F1" w:rsidRPr="00F273F1" w:rsidRDefault="00F273F1" w:rsidP="00F273F1">
      <w:pPr>
        <w:pBdr>
          <w:bottom w:val="single" w:sz="4" w:space="1" w:color="auto"/>
        </w:pBdr>
        <w:tabs>
          <w:tab w:val="left" w:pos="1440"/>
          <w:tab w:val="left" w:pos="4680"/>
          <w:tab w:val="center" w:pos="7200"/>
        </w:tabs>
        <w:spacing w:line="240" w:lineRule="atLeast"/>
        <w:jc w:val="left"/>
      </w:pPr>
      <w:bookmarkStart w:id="3" w:name="Return"/>
      <w:bookmarkEnd w:id="3"/>
    </w:p>
    <w:p w14:paraId="765C6A14" w14:textId="5B81F85A" w:rsidR="00F273F1" w:rsidRDefault="00F273F1">
      <w:pPr>
        <w:tabs>
          <w:tab w:val="left" w:pos="1440"/>
          <w:tab w:val="left" w:pos="4680"/>
          <w:tab w:val="center" w:pos="7200"/>
        </w:tabs>
        <w:spacing w:line="240" w:lineRule="atLeast"/>
      </w:pPr>
    </w:p>
    <w:p w14:paraId="24217F52" w14:textId="77777777" w:rsidR="00D1531E" w:rsidRDefault="00D1531E">
      <w:pPr>
        <w:tabs>
          <w:tab w:val="left" w:pos="1440"/>
          <w:tab w:val="left" w:pos="4680"/>
          <w:tab w:val="center" w:pos="7200"/>
        </w:tabs>
        <w:spacing w:line="240" w:lineRule="atLeast"/>
      </w:pPr>
    </w:p>
    <w:p w14:paraId="1147EED0" w14:textId="77777777" w:rsidR="00D22979" w:rsidRDefault="00D22979">
      <w:pPr>
        <w:tabs>
          <w:tab w:val="left" w:pos="1440"/>
          <w:tab w:val="left" w:pos="4680"/>
          <w:tab w:val="center" w:pos="7200"/>
        </w:tabs>
        <w:spacing w:line="240" w:lineRule="atLeast"/>
      </w:pPr>
    </w:p>
    <w:p w14:paraId="3AACF94A" w14:textId="77777777" w:rsidR="00D22979" w:rsidRDefault="00D22979">
      <w:pPr>
        <w:tabs>
          <w:tab w:val="left" w:pos="1440"/>
          <w:tab w:val="left" w:pos="4680"/>
          <w:tab w:val="center" w:pos="7200"/>
        </w:tabs>
        <w:spacing w:line="240" w:lineRule="atLeast"/>
      </w:pPr>
    </w:p>
    <w:p w14:paraId="6164EA50" w14:textId="77777777" w:rsidR="00D22979" w:rsidRDefault="00D22979">
      <w:pPr>
        <w:tabs>
          <w:tab w:val="left" w:pos="1440"/>
          <w:tab w:val="left" w:pos="4680"/>
          <w:tab w:val="center" w:pos="7200"/>
        </w:tabs>
        <w:spacing w:line="240" w:lineRule="atLeast"/>
      </w:pPr>
    </w:p>
    <w:p w14:paraId="777DEDE1" w14:textId="77777777" w:rsidR="00D22979" w:rsidRDefault="00D22979" w:rsidP="00D22979">
      <w:pPr>
        <w:pStyle w:val="FootnoteText"/>
      </w:pPr>
      <w:bookmarkStart w:id="4" w:name="_Hlk2087167"/>
      <w:r>
        <w:t>________________________</w:t>
      </w:r>
    </w:p>
    <w:p w14:paraId="351BC361" w14:textId="10111DA3" w:rsidR="00D22979" w:rsidRPr="00CE217C" w:rsidRDefault="00D22979" w:rsidP="00D22979">
      <w:pPr>
        <w:pStyle w:val="FootnoteText"/>
        <w:tabs>
          <w:tab w:val="left" w:pos="360"/>
        </w:tabs>
        <w:rPr>
          <w:sz w:val="22"/>
          <w:szCs w:val="22"/>
        </w:rPr>
      </w:pPr>
      <w:r w:rsidRPr="00EE499B">
        <w:rPr>
          <w:rStyle w:val="FootnoteReference"/>
          <w:szCs w:val="27"/>
        </w:rPr>
        <w:t>*</w:t>
      </w:r>
      <w:r w:rsidRPr="00CE217C">
        <w:rPr>
          <w:sz w:val="22"/>
          <w:szCs w:val="22"/>
        </w:rPr>
        <w:t xml:space="preserve"> </w:t>
      </w:r>
      <w:r w:rsidRPr="00CE217C">
        <w:rPr>
          <w:sz w:val="22"/>
          <w:szCs w:val="22"/>
        </w:rPr>
        <w:tab/>
      </w:r>
      <w:r w:rsidR="00EE499B">
        <w:rPr>
          <w:sz w:val="22"/>
          <w:szCs w:val="22"/>
        </w:rPr>
        <w:tab/>
      </w:r>
      <w:r w:rsidR="005245E0" w:rsidRPr="001E161B">
        <w:rPr>
          <w:szCs w:val="27"/>
        </w:rPr>
        <w:t>Presiding</w:t>
      </w:r>
      <w:r w:rsidRPr="001E161B">
        <w:rPr>
          <w:szCs w:val="27"/>
        </w:rPr>
        <w:t xml:space="preserve"> Justice of the Court of Appeal, Fifth Appellate District, assigned by the Chief Justice pursuant to article VI, section 6 of the California Constitution.</w:t>
      </w:r>
      <w:bookmarkEnd w:id="4"/>
    </w:p>
    <w:p w14:paraId="62C7D3D7" w14:textId="7C9453EF" w:rsidR="00D22979" w:rsidRDefault="00D22979">
      <w:pPr>
        <w:tabs>
          <w:tab w:val="left" w:pos="1440"/>
          <w:tab w:val="left" w:pos="4680"/>
          <w:tab w:val="center" w:pos="7200"/>
        </w:tabs>
        <w:spacing w:line="240" w:lineRule="atLeast"/>
        <w:sectPr w:rsidR="00D22979" w:rsidSect="00F273F1">
          <w:headerReference w:type="default" r:id="rId8"/>
          <w:footerReference w:type="default" r:id="rId9"/>
          <w:footnotePr>
            <w:numRestart w:val="eachSect"/>
          </w:footnotePr>
          <w:type w:val="continuous"/>
          <w:pgSz w:w="12240" w:h="15840"/>
          <w:pgMar w:top="1800" w:right="2160" w:bottom="1440" w:left="2160" w:header="720" w:footer="720" w:gutter="0"/>
          <w:cols w:space="720"/>
          <w:titlePg/>
          <w:docGrid w:linePitch="367"/>
        </w:sectPr>
      </w:pPr>
    </w:p>
    <w:p w14:paraId="25BCC66F" w14:textId="51D2F03D" w:rsidR="00F273F1" w:rsidRDefault="00F273F1" w:rsidP="00F273F1">
      <w:pPr>
        <w:tabs>
          <w:tab w:val="left" w:pos="1440"/>
          <w:tab w:val="left" w:pos="4680"/>
          <w:tab w:val="center" w:pos="7200"/>
        </w:tabs>
        <w:jc w:val="center"/>
      </w:pPr>
      <w:r>
        <w:lastRenderedPageBreak/>
        <w:t>In re GADLIN</w:t>
      </w:r>
    </w:p>
    <w:p w14:paraId="2DA8DA3F" w14:textId="7F0093D1" w:rsidR="00F273F1" w:rsidRDefault="00F273F1" w:rsidP="00F273F1">
      <w:pPr>
        <w:tabs>
          <w:tab w:val="left" w:pos="1440"/>
          <w:tab w:val="left" w:pos="4680"/>
          <w:tab w:val="center" w:pos="7200"/>
        </w:tabs>
        <w:jc w:val="center"/>
      </w:pPr>
    </w:p>
    <w:p w14:paraId="5433BF59" w14:textId="27975974" w:rsidR="00F273F1" w:rsidRDefault="00F273F1" w:rsidP="00F273F1">
      <w:pPr>
        <w:tabs>
          <w:tab w:val="left" w:pos="1440"/>
          <w:tab w:val="left" w:pos="4680"/>
          <w:tab w:val="center" w:pos="7200"/>
        </w:tabs>
        <w:jc w:val="center"/>
      </w:pPr>
      <w:r>
        <w:t>S254599</w:t>
      </w:r>
    </w:p>
    <w:p w14:paraId="744F75DA" w14:textId="27692DAC" w:rsidR="00F273F1" w:rsidRDefault="00F273F1" w:rsidP="00F273F1">
      <w:pPr>
        <w:tabs>
          <w:tab w:val="left" w:pos="1440"/>
          <w:tab w:val="left" w:pos="4680"/>
          <w:tab w:val="center" w:pos="7200"/>
        </w:tabs>
        <w:jc w:val="center"/>
      </w:pPr>
    </w:p>
    <w:p w14:paraId="0909F488" w14:textId="5E0E1D0A" w:rsidR="00F273F1" w:rsidRDefault="00F273F1" w:rsidP="00F273F1">
      <w:pPr>
        <w:tabs>
          <w:tab w:val="left" w:pos="1440"/>
          <w:tab w:val="left" w:pos="4680"/>
          <w:tab w:val="center" w:pos="7200"/>
        </w:tabs>
        <w:jc w:val="center"/>
      </w:pPr>
      <w:r>
        <w:t>Opinion of the Court by Cantil-Sakauye, C. J.</w:t>
      </w:r>
    </w:p>
    <w:p w14:paraId="5E7CE53E" w14:textId="77777777" w:rsidR="00F273F1" w:rsidRPr="00F273F1" w:rsidRDefault="00F273F1" w:rsidP="00F273F1">
      <w:pPr>
        <w:tabs>
          <w:tab w:val="left" w:pos="1440"/>
          <w:tab w:val="left" w:pos="4680"/>
          <w:tab w:val="center" w:pos="7200"/>
        </w:tabs>
        <w:jc w:val="center"/>
      </w:pPr>
    </w:p>
    <w:p w14:paraId="027D718D" w14:textId="4E1467BF" w:rsidR="003E0F4A" w:rsidRPr="00F273F1" w:rsidRDefault="00294559" w:rsidP="00F273F1">
      <w:pPr>
        <w:tabs>
          <w:tab w:val="left" w:pos="1440"/>
        </w:tabs>
        <w:ind w:firstLine="720"/>
      </w:pPr>
      <w:bookmarkStart w:id="5" w:name="mainstory"/>
      <w:bookmarkEnd w:id="5"/>
      <w:r w:rsidRPr="00F273F1">
        <w:t xml:space="preserve">In November 2016, the California electorate approved Proposition 57, the Public Safety and Rehabilitation Act of 2016.  </w:t>
      </w:r>
      <w:r w:rsidR="004C5BA6" w:rsidRPr="00F273F1">
        <w:t>The initiative</w:t>
      </w:r>
      <w:r w:rsidR="001966F1" w:rsidRPr="00F273F1">
        <w:t xml:space="preserve"> amended the California Constitution to provide</w:t>
      </w:r>
      <w:r w:rsidR="004C5BA6" w:rsidRPr="00F273F1">
        <w:t>, in relevant part,</w:t>
      </w:r>
      <w:r w:rsidR="00F118FF" w:rsidRPr="00F273F1">
        <w:t xml:space="preserve"> that “</w:t>
      </w:r>
      <w:r w:rsidR="00857099" w:rsidRPr="00F273F1">
        <w:t>[a]</w:t>
      </w:r>
      <w:proofErr w:type="spellStart"/>
      <w:r w:rsidR="00F118FF" w:rsidRPr="00F273F1">
        <w:t>ny</w:t>
      </w:r>
      <w:proofErr w:type="spellEnd"/>
      <w:r w:rsidR="00F118FF" w:rsidRPr="00F273F1">
        <w:t xml:space="preserve"> person convicted of a nonviolent felony offense and sentenced to state prison shall be eligible for parole consideration after completing the full term for his or her primary offense.”  (Cal. Const., art. I, § 32, </w:t>
      </w:r>
      <w:proofErr w:type="spellStart"/>
      <w:r w:rsidR="00F118FF" w:rsidRPr="00F273F1">
        <w:t>subd</w:t>
      </w:r>
      <w:proofErr w:type="spellEnd"/>
      <w:r w:rsidR="00F118FF" w:rsidRPr="00F273F1">
        <w:t>. (a)(1)</w:t>
      </w:r>
      <w:r w:rsidR="00AF39A5">
        <w:t xml:space="preserve"> (article I, section 32(a)</w:t>
      </w:r>
      <w:r w:rsidR="007F1426">
        <w:t>(1)</w:t>
      </w:r>
      <w:r w:rsidR="00CA79AE">
        <w:t>)</w:t>
      </w:r>
      <w:r w:rsidR="00F118FF" w:rsidRPr="00F273F1">
        <w:t>.)</w:t>
      </w:r>
      <w:r w:rsidR="000D31B2" w:rsidRPr="00F273F1">
        <w:rPr>
          <w:rStyle w:val="FootnoteReference"/>
        </w:rPr>
        <w:footnoteReference w:id="2"/>
      </w:r>
      <w:r w:rsidR="00F118FF" w:rsidRPr="00F273F1">
        <w:t xml:space="preserve">  The </w:t>
      </w:r>
      <w:r w:rsidR="0088066F" w:rsidRPr="00F273F1">
        <w:t>initiative</w:t>
      </w:r>
      <w:r w:rsidRPr="00F273F1">
        <w:t xml:space="preserve"> also directed the Department of Corrections and Rehabilitation </w:t>
      </w:r>
      <w:r w:rsidR="00C233CC" w:rsidRPr="00F273F1">
        <w:t xml:space="preserve">(the Department) </w:t>
      </w:r>
      <w:r w:rsidRPr="00F273F1">
        <w:t xml:space="preserve">to “adopt regulations in furtherance of these provisions” and </w:t>
      </w:r>
      <w:r w:rsidR="0088066F" w:rsidRPr="00F273F1">
        <w:t>instructed</w:t>
      </w:r>
      <w:r w:rsidRPr="00F273F1">
        <w:t xml:space="preserve"> the Secretary of the Department to “certify that these regulations protect and enhance public safety.”  (</w:t>
      </w:r>
      <w:r w:rsidR="00FB163E">
        <w:t xml:space="preserve">Art. I, </w:t>
      </w:r>
      <w:r w:rsidRPr="00F273F1">
        <w:t xml:space="preserve">§ 32, </w:t>
      </w:r>
      <w:proofErr w:type="spellStart"/>
      <w:r w:rsidRPr="00F273F1">
        <w:t>subd</w:t>
      </w:r>
      <w:proofErr w:type="spellEnd"/>
      <w:r w:rsidRPr="00F273F1">
        <w:t>. (b)</w:t>
      </w:r>
      <w:r w:rsidR="00D07143">
        <w:t xml:space="preserve"> (article I, section 32(b)</w:t>
      </w:r>
      <w:r w:rsidR="00CA79AE">
        <w:t>)</w:t>
      </w:r>
      <w:r w:rsidRPr="00F273F1">
        <w:t>.)</w:t>
      </w:r>
    </w:p>
    <w:p w14:paraId="2B81F68B" w14:textId="41662FA3" w:rsidR="00571C92" w:rsidRDefault="00294559" w:rsidP="00F273F1">
      <w:pPr>
        <w:tabs>
          <w:tab w:val="left" w:pos="1440"/>
        </w:tabs>
        <w:ind w:firstLine="720"/>
      </w:pPr>
      <w:r w:rsidRPr="00F273F1">
        <w:t>The Department adopted regulations</w:t>
      </w:r>
      <w:r w:rsidR="006128DB" w:rsidRPr="00F273F1">
        <w:t xml:space="preserve"> implementing a nonviolent offender parole</w:t>
      </w:r>
      <w:r w:rsidRPr="00F273F1">
        <w:t xml:space="preserve"> </w:t>
      </w:r>
      <w:r w:rsidR="00B65ACA" w:rsidRPr="00F273F1">
        <w:t xml:space="preserve">consideration process.  </w:t>
      </w:r>
      <w:r w:rsidR="0069615A" w:rsidRPr="00F273F1">
        <w:t>Those regulations</w:t>
      </w:r>
      <w:r w:rsidR="00A36D87" w:rsidRPr="00F273F1">
        <w:t xml:space="preserve"> exclude from </w:t>
      </w:r>
      <w:r w:rsidR="005F6B5B" w:rsidRPr="00F273F1">
        <w:t>nonviolent</w:t>
      </w:r>
      <w:r w:rsidR="00A36D87" w:rsidRPr="00F273F1">
        <w:t xml:space="preserve"> </w:t>
      </w:r>
      <w:r w:rsidR="009D177B" w:rsidRPr="00F273F1">
        <w:t xml:space="preserve">offender </w:t>
      </w:r>
      <w:r w:rsidR="00A36D87" w:rsidRPr="00F273F1">
        <w:t>parole consideration</w:t>
      </w:r>
      <w:r w:rsidR="00101242">
        <w:t xml:space="preserve"> any inmate who “is convicted of a sexual offense that currently requires or will require registration as a sex offender under</w:t>
      </w:r>
      <w:r w:rsidR="00BC3697">
        <w:t xml:space="preserve"> the Sex Offender Registration Act, codified in Sections 290 through 290.024 of the Penal Code</w:t>
      </w:r>
      <w:r w:rsidR="0035461B" w:rsidRPr="00F273F1">
        <w:t>.</w:t>
      </w:r>
      <w:r w:rsidR="00BC3697">
        <w:t>”  (</w:t>
      </w:r>
      <w:r w:rsidR="001130D7" w:rsidRPr="00F273F1">
        <w:t xml:space="preserve">Cal. Code </w:t>
      </w:r>
      <w:r w:rsidR="001130D7" w:rsidRPr="00F273F1">
        <w:lastRenderedPageBreak/>
        <w:t>Regs., tit. 15, §</w:t>
      </w:r>
      <w:r w:rsidR="001130D7">
        <w:t> </w:t>
      </w:r>
      <w:r w:rsidR="001130D7" w:rsidRPr="00F273F1">
        <w:t>349</w:t>
      </w:r>
      <w:r w:rsidR="001130D7">
        <w:t>1</w:t>
      </w:r>
      <w:r w:rsidR="001130D7" w:rsidRPr="00F273F1">
        <w:t xml:space="preserve">, </w:t>
      </w:r>
      <w:proofErr w:type="spellStart"/>
      <w:r w:rsidR="001130D7" w:rsidRPr="00F273F1">
        <w:t>subd</w:t>
      </w:r>
      <w:proofErr w:type="spellEnd"/>
      <w:r w:rsidR="001130D7" w:rsidRPr="00F273F1">
        <w:t>. (</w:t>
      </w:r>
      <w:r w:rsidR="001130D7">
        <w:t>b</w:t>
      </w:r>
      <w:r w:rsidR="001130D7" w:rsidRPr="00F273F1">
        <w:t>)</w:t>
      </w:r>
      <w:r w:rsidR="001130D7">
        <w:t>(3)</w:t>
      </w:r>
      <w:r w:rsidR="002E4748">
        <w:t xml:space="preserve"> [governing determinately sentenced offenders]</w:t>
      </w:r>
      <w:r w:rsidR="00CA79AE">
        <w:t xml:space="preserve">; see also </w:t>
      </w:r>
      <w:r w:rsidR="00CA79AE">
        <w:rPr>
          <w:i/>
          <w:iCs/>
        </w:rPr>
        <w:t>id</w:t>
      </w:r>
      <w:r w:rsidR="00CA79AE">
        <w:t xml:space="preserve">., § 3496, </w:t>
      </w:r>
      <w:proofErr w:type="spellStart"/>
      <w:r w:rsidR="00CA79AE">
        <w:t>subd</w:t>
      </w:r>
      <w:proofErr w:type="spellEnd"/>
      <w:r w:rsidR="00CA79AE">
        <w:t>. (b)</w:t>
      </w:r>
      <w:r w:rsidR="002E4748">
        <w:t xml:space="preserve"> [governing indeterminately sentenced offenders]</w:t>
      </w:r>
      <w:r w:rsidR="001130D7" w:rsidRPr="00F273F1">
        <w:t>.)</w:t>
      </w:r>
      <w:r w:rsidR="001130D7">
        <w:rPr>
          <w:rStyle w:val="FootnoteReference"/>
        </w:rPr>
        <w:footnoteReference w:id="3"/>
      </w:r>
      <w:r w:rsidR="00571C92">
        <w:t xml:space="preserve">  W</w:t>
      </w:r>
      <w:r w:rsidR="003A4AF8" w:rsidRPr="00F273F1">
        <w:t xml:space="preserve">e </w:t>
      </w:r>
      <w:r w:rsidR="0006081F" w:rsidRPr="00F273F1">
        <w:t xml:space="preserve">granted review to </w:t>
      </w:r>
      <w:r w:rsidR="000E6B58" w:rsidRPr="00F273F1">
        <w:t xml:space="preserve">address the </w:t>
      </w:r>
      <w:r w:rsidR="00921637">
        <w:t xml:space="preserve">validity of </w:t>
      </w:r>
      <w:r w:rsidR="00CA79AE">
        <w:t>these</w:t>
      </w:r>
      <w:r w:rsidR="00571693">
        <w:t xml:space="preserve"> </w:t>
      </w:r>
      <w:r w:rsidR="002C14DA">
        <w:t>provisions</w:t>
      </w:r>
      <w:r w:rsidR="00153ADD">
        <w:t xml:space="preserve">. </w:t>
      </w:r>
      <w:r w:rsidR="006250AC" w:rsidRPr="00F273F1">
        <w:t xml:space="preserve"> </w:t>
      </w:r>
    </w:p>
    <w:p w14:paraId="13A129EC" w14:textId="512BDD40" w:rsidR="005416FC" w:rsidRDefault="00153ADD" w:rsidP="00F273F1">
      <w:pPr>
        <w:tabs>
          <w:tab w:val="left" w:pos="1440"/>
        </w:tabs>
        <w:ind w:firstLine="720"/>
      </w:pPr>
      <w:r>
        <w:t>The Department</w:t>
      </w:r>
      <w:r w:rsidR="00AF046E">
        <w:t xml:space="preserve"> asserts it is authorized by </w:t>
      </w:r>
      <w:r w:rsidR="00D07143">
        <w:t xml:space="preserve">article I, </w:t>
      </w:r>
      <w:r w:rsidR="00AF046E">
        <w:t>section 32(b) to exclude</w:t>
      </w:r>
      <w:r w:rsidR="001208E4">
        <w:t xml:space="preserve"> from nonviolent offender parole consideration all inmates </w:t>
      </w:r>
      <w:r w:rsidR="00ED26C6">
        <w:t xml:space="preserve">convicted of a registerable sex offense, regardless of whether that offense is defined </w:t>
      </w:r>
      <w:r w:rsidR="00F16CF1">
        <w:t xml:space="preserve">by the regulations </w:t>
      </w:r>
      <w:r w:rsidR="00ED26C6">
        <w:t xml:space="preserve">as </w:t>
      </w:r>
      <w:r w:rsidR="00B62D50">
        <w:t>a non</w:t>
      </w:r>
      <w:r w:rsidR="00ED26C6">
        <w:t>violent</w:t>
      </w:r>
      <w:r w:rsidR="00B62D50">
        <w:t xml:space="preserve"> felony</w:t>
      </w:r>
      <w:r w:rsidR="00ED26C6">
        <w:t xml:space="preserve"> and regardless of whether the </w:t>
      </w:r>
      <w:r w:rsidR="00FA73B9">
        <w:t xml:space="preserve">inmate is currently incarcerated for that conviction.  </w:t>
      </w:r>
      <w:r w:rsidR="004C68FE">
        <w:t>Indeed, t</w:t>
      </w:r>
      <w:r w:rsidR="005E798E">
        <w:t xml:space="preserve">he Department’s regulations </w:t>
      </w:r>
      <w:r>
        <w:t>categorize</w:t>
      </w:r>
      <w:r w:rsidR="00FF54EF">
        <w:t xml:space="preserve"> </w:t>
      </w:r>
      <w:r>
        <w:t>inmates</w:t>
      </w:r>
      <w:r w:rsidR="00601032">
        <w:t xml:space="preserve"> </w:t>
      </w:r>
      <w:r w:rsidR="002C29F3">
        <w:t>convicted of a registerable</w:t>
      </w:r>
      <w:r w:rsidR="00601032">
        <w:t xml:space="preserve"> sex offense</w:t>
      </w:r>
      <w:r>
        <w:t xml:space="preserve"> </w:t>
      </w:r>
      <w:r w:rsidR="002C29F3">
        <w:t xml:space="preserve">as “nonviolent offenders” </w:t>
      </w:r>
      <w:r w:rsidR="00254CB1">
        <w:t>unless</w:t>
      </w:r>
      <w:r w:rsidR="00AD2113">
        <w:t>, among other criteria,</w:t>
      </w:r>
      <w:r w:rsidR="00AE51BC">
        <w:t xml:space="preserve"> they are currently incarcerated for a </w:t>
      </w:r>
      <w:r w:rsidR="004934F0">
        <w:t xml:space="preserve">violent felony listed in Penal Code section 667.5, subdivision (c).  </w:t>
      </w:r>
      <w:r w:rsidR="00AD2113">
        <w:t>(</w:t>
      </w:r>
      <w:r w:rsidR="00D053D9">
        <w:t xml:space="preserve">Cal. Code Regs., §§ 3490, </w:t>
      </w:r>
      <w:proofErr w:type="spellStart"/>
      <w:r w:rsidR="00810230">
        <w:t>subd</w:t>
      </w:r>
      <w:proofErr w:type="spellEnd"/>
      <w:r w:rsidR="00810230">
        <w:t xml:space="preserve">. (a), </w:t>
      </w:r>
      <w:r w:rsidR="00D053D9">
        <w:t>3491, subd</w:t>
      </w:r>
      <w:r w:rsidR="00CA79AE">
        <w:t>s</w:t>
      </w:r>
      <w:r w:rsidR="00D053D9">
        <w:t>. (a), (b)</w:t>
      </w:r>
      <w:r w:rsidR="00CA79AE">
        <w:t xml:space="preserve">, 3495, </w:t>
      </w:r>
      <w:proofErr w:type="spellStart"/>
      <w:r w:rsidR="00CA79AE">
        <w:t>subd</w:t>
      </w:r>
      <w:proofErr w:type="spellEnd"/>
      <w:r w:rsidR="00CA79AE">
        <w:t>. (a), 3496, subds. (a), (b)</w:t>
      </w:r>
      <w:r w:rsidR="00D053D9">
        <w:t xml:space="preserve">.)  </w:t>
      </w:r>
      <w:r>
        <w:t xml:space="preserve">Nonetheless, the regulations entirely exclude </w:t>
      </w:r>
      <w:r w:rsidR="001C17A5">
        <w:t xml:space="preserve">from nonviolent offender parole consideration </w:t>
      </w:r>
      <w:r>
        <w:t>inmates</w:t>
      </w:r>
      <w:r w:rsidR="008C1442">
        <w:t xml:space="preserve"> </w:t>
      </w:r>
      <w:r w:rsidR="001C17A5">
        <w:t xml:space="preserve">previously </w:t>
      </w:r>
      <w:r w:rsidR="008C1442">
        <w:t>convicted</w:t>
      </w:r>
      <w:r w:rsidR="001C17A5">
        <w:t xml:space="preserve"> or currently convicted</w:t>
      </w:r>
      <w:r w:rsidR="008C1442">
        <w:t xml:space="preserve"> of a</w:t>
      </w:r>
      <w:r w:rsidR="005D57E5">
        <w:t>ny</w:t>
      </w:r>
      <w:r w:rsidR="008C1442">
        <w:t xml:space="preserve"> registerable sex offense</w:t>
      </w:r>
      <w:r>
        <w:t xml:space="preserve">.  </w:t>
      </w:r>
      <w:r w:rsidR="00C57D1F">
        <w:t>W</w:t>
      </w:r>
      <w:r>
        <w:t xml:space="preserve">e conclude that this categorical exclusion </w:t>
      </w:r>
      <w:r w:rsidR="00EB2C6C">
        <w:t>conflicts with</w:t>
      </w:r>
      <w:r>
        <w:t xml:space="preserve"> the constitutional directive that inmates “convicted of a nonviolent felony offense and sentenced to state prison shall be eligible for parole consideration.”  (</w:t>
      </w:r>
      <w:r w:rsidR="00D07143">
        <w:t>Art</w:t>
      </w:r>
      <w:r w:rsidR="00DC459C">
        <w:t>.</w:t>
      </w:r>
      <w:r w:rsidR="00D07143">
        <w:t xml:space="preserve"> I, </w:t>
      </w:r>
      <w:r>
        <w:t>§ 32(a)(1).)</w:t>
      </w:r>
      <w:r w:rsidR="00186201">
        <w:t xml:space="preserve"> </w:t>
      </w:r>
    </w:p>
    <w:p w14:paraId="1B82DF91" w14:textId="53DCA735" w:rsidR="001966F1" w:rsidRPr="00F273F1" w:rsidRDefault="002077FE" w:rsidP="00F273F1">
      <w:pPr>
        <w:tabs>
          <w:tab w:val="left" w:pos="1440"/>
        </w:tabs>
        <w:ind w:firstLine="720"/>
      </w:pPr>
      <w:r>
        <w:t>We emphasize that this</w:t>
      </w:r>
      <w:r w:rsidR="005416FC">
        <w:t xml:space="preserve"> </w:t>
      </w:r>
      <w:r w:rsidR="0003163D">
        <w:t>determination</w:t>
      </w:r>
      <w:r w:rsidR="00186201">
        <w:t xml:space="preserve"> does not require the release </w:t>
      </w:r>
      <w:r w:rsidR="004C68FE">
        <w:t xml:space="preserve">on parole </w:t>
      </w:r>
      <w:r w:rsidR="00186201">
        <w:t xml:space="preserve">of </w:t>
      </w:r>
      <w:r w:rsidR="00DD0162">
        <w:t xml:space="preserve">any inmate.  </w:t>
      </w:r>
      <w:r>
        <w:t>The</w:t>
      </w:r>
      <w:r w:rsidR="00DD0162">
        <w:t xml:space="preserve"> evaluation of an inmate’s suitability for parole</w:t>
      </w:r>
      <w:r w:rsidR="00153ADD">
        <w:t xml:space="preserve"> and the processes involved in conducting that evaluation</w:t>
      </w:r>
      <w:r w:rsidR="00DD0162">
        <w:t xml:space="preserve"> remain squarely within the purview of the Department</w:t>
      </w:r>
      <w:r w:rsidR="00E917BD">
        <w:t xml:space="preserve"> and the Board of Parole Hearings</w:t>
      </w:r>
      <w:r w:rsidR="006C3D01">
        <w:t xml:space="preserve">.  </w:t>
      </w:r>
      <w:r w:rsidR="00C57D1F">
        <w:t xml:space="preserve">We </w:t>
      </w:r>
      <w:r w:rsidR="00C57D1F">
        <w:lastRenderedPageBreak/>
        <w:t>emphasize, too, that</w:t>
      </w:r>
      <w:r w:rsidR="00E54629">
        <w:t xml:space="preserve"> our conclusion here does not disturb the Department’s </w:t>
      </w:r>
      <w:r w:rsidR="0032736F">
        <w:t>exclusion from parole consideration of</w:t>
      </w:r>
      <w:r w:rsidR="00C57D1F">
        <w:t xml:space="preserve"> inmates </w:t>
      </w:r>
      <w:r w:rsidR="00150BD7">
        <w:t xml:space="preserve">currently incarcerated for violent </w:t>
      </w:r>
      <w:r w:rsidR="00717AEC">
        <w:t xml:space="preserve">felony </w:t>
      </w:r>
      <w:r w:rsidR="00150BD7">
        <w:t>sex offenses</w:t>
      </w:r>
      <w:r w:rsidR="008806DA">
        <w:t xml:space="preserve"> as defined in Penal Code section 667.5, subdivision (c)</w:t>
      </w:r>
      <w:r w:rsidR="00150BD7">
        <w:t xml:space="preserve">.  </w:t>
      </w:r>
      <w:r>
        <w:t xml:space="preserve">The Department is not permitted, however, to entirely exclude from parole consideration </w:t>
      </w:r>
      <w:r w:rsidR="002E0DC0">
        <w:t xml:space="preserve">an </w:t>
      </w:r>
      <w:r w:rsidR="00E332ED">
        <w:t>entire</w:t>
      </w:r>
      <w:r w:rsidR="00ED637A">
        <w:t xml:space="preserve"> class of inmates </w:t>
      </w:r>
      <w:r w:rsidR="00881109">
        <w:t xml:space="preserve">when those inmates </w:t>
      </w:r>
      <w:r w:rsidR="00AB66C2">
        <w:t>have been convicted of nonviolent felony offenses</w:t>
      </w:r>
      <w:r w:rsidR="00ED637A">
        <w:t>.</w:t>
      </w:r>
    </w:p>
    <w:p w14:paraId="2E4D2074" w14:textId="07FAC29E" w:rsidR="00CB0DCD" w:rsidRPr="00F273F1" w:rsidRDefault="00435240" w:rsidP="00F273F1">
      <w:pPr>
        <w:pStyle w:val="Heading1"/>
      </w:pPr>
      <w:r w:rsidRPr="00F273F1">
        <w:t xml:space="preserve">I.  </w:t>
      </w:r>
      <w:r w:rsidR="00AB0CFE" w:rsidRPr="00F273F1">
        <w:t xml:space="preserve">Facts </w:t>
      </w:r>
      <w:r w:rsidR="00CF02AF" w:rsidRPr="00F273F1">
        <w:t xml:space="preserve">And </w:t>
      </w:r>
      <w:r w:rsidR="00AB0CFE" w:rsidRPr="00F273F1">
        <w:t>Procedural History</w:t>
      </w:r>
    </w:p>
    <w:p w14:paraId="09117BEA" w14:textId="1FDB39F5" w:rsidR="00DB1C5F" w:rsidRPr="00F273F1" w:rsidRDefault="00615D43" w:rsidP="00F273F1">
      <w:pPr>
        <w:pStyle w:val="Heading2"/>
      </w:pPr>
      <w:r w:rsidRPr="00F273F1">
        <w:t xml:space="preserve">A.  </w:t>
      </w:r>
      <w:r w:rsidR="00787B03" w:rsidRPr="00F273F1">
        <w:t>The Underlying</w:t>
      </w:r>
      <w:r w:rsidR="00DB1C5F" w:rsidRPr="00F273F1">
        <w:t xml:space="preserve"> Conviction</w:t>
      </w:r>
    </w:p>
    <w:p w14:paraId="3AC624CF" w14:textId="05676711" w:rsidR="00AD3BD9" w:rsidRPr="00F273F1" w:rsidRDefault="003376C1" w:rsidP="00F273F1">
      <w:pPr>
        <w:tabs>
          <w:tab w:val="left" w:pos="1440"/>
        </w:tabs>
        <w:ind w:firstLine="720"/>
      </w:pPr>
      <w:r w:rsidRPr="00F273F1">
        <w:t xml:space="preserve">In 2007, </w:t>
      </w:r>
      <w:r w:rsidR="00674FE1" w:rsidRPr="00F273F1">
        <w:t xml:space="preserve">a jury convicted </w:t>
      </w:r>
      <w:r w:rsidR="00A03933" w:rsidRPr="00F273F1">
        <w:t xml:space="preserve">petitioner </w:t>
      </w:r>
      <w:r w:rsidR="00F4721A" w:rsidRPr="00F273F1">
        <w:t>Gregory</w:t>
      </w:r>
      <w:r w:rsidRPr="00F273F1">
        <w:t xml:space="preserve"> </w:t>
      </w:r>
      <w:proofErr w:type="spellStart"/>
      <w:r w:rsidRPr="00F273F1">
        <w:t>Gadlin</w:t>
      </w:r>
      <w:proofErr w:type="spellEnd"/>
      <w:r w:rsidR="00787B03" w:rsidRPr="00F273F1">
        <w:t xml:space="preserve"> </w:t>
      </w:r>
      <w:r w:rsidRPr="00F273F1">
        <w:t>of assault with a deadly weapon</w:t>
      </w:r>
      <w:r w:rsidR="0074083F" w:rsidRPr="00F273F1">
        <w:t>.  (</w:t>
      </w:r>
      <w:r w:rsidR="00695234" w:rsidRPr="00F273F1">
        <w:t>Pen. Code</w:t>
      </w:r>
      <w:r w:rsidR="00351700">
        <w:t>,</w:t>
      </w:r>
      <w:r w:rsidR="00695234" w:rsidRPr="00F273F1">
        <w:t xml:space="preserve"> </w:t>
      </w:r>
      <w:r w:rsidR="0074083F" w:rsidRPr="00F273F1">
        <w:t xml:space="preserve">§ 245, </w:t>
      </w:r>
      <w:proofErr w:type="spellStart"/>
      <w:r w:rsidR="0074083F" w:rsidRPr="00F273F1">
        <w:t>subd</w:t>
      </w:r>
      <w:proofErr w:type="spellEnd"/>
      <w:r w:rsidR="0074083F" w:rsidRPr="00F273F1">
        <w:t>. (a)(1).)</w:t>
      </w:r>
      <w:r w:rsidR="00AB66C2" w:rsidRPr="00F273F1">
        <w:rPr>
          <w:rStyle w:val="FootnoteReference"/>
        </w:rPr>
        <w:footnoteReference w:id="4"/>
      </w:r>
      <w:r w:rsidR="00AB66C2" w:rsidRPr="00F273F1">
        <w:t xml:space="preserve"> </w:t>
      </w:r>
      <w:r w:rsidR="0074083F" w:rsidRPr="00F273F1">
        <w:t xml:space="preserve">  The jury </w:t>
      </w:r>
      <w:r w:rsidR="00DC0ECE" w:rsidRPr="00F273F1">
        <w:t xml:space="preserve">sustained allegations that </w:t>
      </w:r>
      <w:r w:rsidR="007B6B6B" w:rsidRPr="00F273F1">
        <w:t>he</w:t>
      </w:r>
      <w:r w:rsidR="00DC0ECE" w:rsidRPr="00F273F1">
        <w:t xml:space="preserve"> had previously been convicted of two serious felonies</w:t>
      </w:r>
      <w:r w:rsidR="00622266" w:rsidRPr="00F273F1">
        <w:t xml:space="preserve"> (</w:t>
      </w:r>
      <w:r w:rsidR="00E318AF">
        <w:t>Pen. Code</w:t>
      </w:r>
      <w:r w:rsidR="00351700">
        <w:t>,</w:t>
      </w:r>
      <w:r w:rsidR="00695234" w:rsidRPr="00F273F1">
        <w:t xml:space="preserve"> </w:t>
      </w:r>
      <w:r w:rsidR="00622266" w:rsidRPr="00F273F1">
        <w:t xml:space="preserve">§ 667, </w:t>
      </w:r>
      <w:proofErr w:type="spellStart"/>
      <w:r w:rsidR="00622266" w:rsidRPr="00F273F1">
        <w:t>subd</w:t>
      </w:r>
      <w:proofErr w:type="spellEnd"/>
      <w:r w:rsidR="00622266" w:rsidRPr="00F273F1">
        <w:t xml:space="preserve">. (a)(1)):  </w:t>
      </w:r>
      <w:r w:rsidR="000205E5" w:rsidRPr="00F273F1">
        <w:t xml:space="preserve">a 1984 conviction </w:t>
      </w:r>
      <w:r w:rsidR="00622266" w:rsidRPr="00F273F1">
        <w:t>for</w:t>
      </w:r>
      <w:r w:rsidR="000205E5" w:rsidRPr="00F273F1">
        <w:t xml:space="preserve"> forcible rape</w:t>
      </w:r>
      <w:r w:rsidR="00622266" w:rsidRPr="00F273F1">
        <w:t xml:space="preserve"> (</w:t>
      </w:r>
      <w:r w:rsidR="00695234" w:rsidRPr="00F273F1">
        <w:rPr>
          <w:i/>
          <w:iCs/>
        </w:rPr>
        <w:t>id.</w:t>
      </w:r>
      <w:r w:rsidR="00695234" w:rsidRPr="00F273F1">
        <w:t xml:space="preserve">, </w:t>
      </w:r>
      <w:r w:rsidR="00622266" w:rsidRPr="00F273F1">
        <w:t xml:space="preserve">§ 261, </w:t>
      </w:r>
      <w:r w:rsidR="00351700" w:rsidRPr="00F273F1">
        <w:t xml:space="preserve">former </w:t>
      </w:r>
      <w:proofErr w:type="spellStart"/>
      <w:r w:rsidR="00622266" w:rsidRPr="00F273F1">
        <w:t>subd</w:t>
      </w:r>
      <w:proofErr w:type="spellEnd"/>
      <w:r w:rsidR="00622266" w:rsidRPr="00F273F1">
        <w:t>. (2)), and a 1986 conviction for forcible child molestation (</w:t>
      </w:r>
      <w:r w:rsidR="00695234" w:rsidRPr="00F273F1">
        <w:rPr>
          <w:i/>
          <w:iCs/>
        </w:rPr>
        <w:t>id</w:t>
      </w:r>
      <w:r w:rsidR="00695234" w:rsidRPr="00F273F1">
        <w:t xml:space="preserve">., </w:t>
      </w:r>
      <w:r w:rsidR="00622266" w:rsidRPr="00F273F1">
        <w:t xml:space="preserve">§ 288, </w:t>
      </w:r>
      <w:proofErr w:type="spellStart"/>
      <w:r w:rsidR="00622266" w:rsidRPr="00F273F1">
        <w:t>subd</w:t>
      </w:r>
      <w:proofErr w:type="spellEnd"/>
      <w:r w:rsidR="00622266" w:rsidRPr="00F273F1">
        <w:t xml:space="preserve">. (b)).  </w:t>
      </w:r>
      <w:r w:rsidR="00797230" w:rsidRPr="00F273F1">
        <w:t>Both prior convictions require registration under the Sex Offender Registration Act</w:t>
      </w:r>
      <w:r w:rsidR="00695234" w:rsidRPr="00F273F1">
        <w:t>.</w:t>
      </w:r>
      <w:r w:rsidR="00797230" w:rsidRPr="00F273F1">
        <w:t xml:space="preserve"> </w:t>
      </w:r>
      <w:r w:rsidR="00695234" w:rsidRPr="00F273F1">
        <w:t xml:space="preserve"> </w:t>
      </w:r>
      <w:r w:rsidR="00797230" w:rsidRPr="00F273F1">
        <w:t>(</w:t>
      </w:r>
      <w:r w:rsidR="00EC4619">
        <w:t>Pen. Code</w:t>
      </w:r>
      <w:r w:rsidR="00695234" w:rsidRPr="00F273F1">
        <w:t xml:space="preserve">, </w:t>
      </w:r>
      <w:r w:rsidR="00797230" w:rsidRPr="00F273F1">
        <w:t>§</w:t>
      </w:r>
      <w:r w:rsidR="00773C84" w:rsidRPr="00F273F1">
        <w:t> </w:t>
      </w:r>
      <w:r w:rsidR="00797230" w:rsidRPr="00F273F1">
        <w:t xml:space="preserve">290, </w:t>
      </w:r>
      <w:proofErr w:type="spellStart"/>
      <w:r w:rsidR="00797230" w:rsidRPr="00F273F1">
        <w:t>subd</w:t>
      </w:r>
      <w:proofErr w:type="spellEnd"/>
      <w:r w:rsidR="00797230" w:rsidRPr="00F273F1">
        <w:t>. (c)</w:t>
      </w:r>
      <w:r w:rsidR="00695234" w:rsidRPr="00F273F1">
        <w:t>.</w:t>
      </w:r>
      <w:r w:rsidR="00797230" w:rsidRPr="00F273F1">
        <w:t xml:space="preserve">)  </w:t>
      </w:r>
    </w:p>
    <w:p w14:paraId="1390E027" w14:textId="0765A4F3" w:rsidR="00CA3362" w:rsidRPr="00F273F1" w:rsidRDefault="00AD3BD9" w:rsidP="00F273F1">
      <w:pPr>
        <w:tabs>
          <w:tab w:val="left" w:pos="1440"/>
        </w:tabs>
        <w:ind w:firstLine="720"/>
      </w:pPr>
      <w:r w:rsidRPr="00F273F1">
        <w:t xml:space="preserve">Following his conviction in 2007, </w:t>
      </w:r>
      <w:r w:rsidR="00B67AD9" w:rsidRPr="00F273F1">
        <w:t>pe</w:t>
      </w:r>
      <w:r w:rsidR="00A52F25" w:rsidRPr="00F273F1">
        <w:t xml:space="preserve">titioner </w:t>
      </w:r>
      <w:r w:rsidRPr="00F273F1">
        <w:t>was sentenced to a total prison term of 35 years to life</w:t>
      </w:r>
      <w:r w:rsidR="003A3667" w:rsidRPr="00F273F1">
        <w:t xml:space="preserve">, consisting of 25 years to life for assault with a deadly weapon under the </w:t>
      </w:r>
      <w:r w:rsidR="00EC4619">
        <w:t>“</w:t>
      </w:r>
      <w:r w:rsidR="003A3667" w:rsidRPr="00F273F1">
        <w:t>Three Strikes</w:t>
      </w:r>
      <w:r w:rsidR="00EC4619">
        <w:t>”</w:t>
      </w:r>
      <w:r w:rsidR="003A3667" w:rsidRPr="00F273F1">
        <w:t xml:space="preserve"> law (</w:t>
      </w:r>
      <w:r w:rsidR="00695234" w:rsidRPr="00F273F1">
        <w:t xml:space="preserve">Pen. Code, </w:t>
      </w:r>
      <w:r w:rsidR="003A3667" w:rsidRPr="00F273F1">
        <w:t>§§ 667, subds. (b)</w:t>
      </w:r>
      <w:r w:rsidR="00DA075C">
        <w:t>–</w:t>
      </w:r>
      <w:r w:rsidR="003A3667" w:rsidRPr="00F273F1">
        <w:t>(</w:t>
      </w:r>
      <w:proofErr w:type="spellStart"/>
      <w:r w:rsidR="003A3667" w:rsidRPr="00F273F1">
        <w:t>i</w:t>
      </w:r>
      <w:proofErr w:type="spellEnd"/>
      <w:r w:rsidR="003A3667" w:rsidRPr="00F273F1">
        <w:t xml:space="preserve">), 1170.12), and </w:t>
      </w:r>
      <w:r w:rsidR="00E45BB9" w:rsidRPr="00F273F1">
        <w:t xml:space="preserve">an </w:t>
      </w:r>
      <w:r w:rsidR="00E45BB9" w:rsidRPr="00F273F1">
        <w:lastRenderedPageBreak/>
        <w:t xml:space="preserve">additional five years for each of his two prior serious felony convictions.  </w:t>
      </w:r>
      <w:r w:rsidR="00FD4617" w:rsidRPr="00F273F1">
        <w:t>His judgment was affirmed on appeal</w:t>
      </w:r>
      <w:r w:rsidR="003F0D27">
        <w:t>.</w:t>
      </w:r>
    </w:p>
    <w:p w14:paraId="7B63CCEF" w14:textId="6AE9A09C" w:rsidR="005C017F" w:rsidRPr="00F273F1" w:rsidRDefault="00C31F14" w:rsidP="00F273F1">
      <w:pPr>
        <w:pStyle w:val="Heading2"/>
      </w:pPr>
      <w:r w:rsidRPr="00F273F1">
        <w:t xml:space="preserve">B.  </w:t>
      </w:r>
      <w:r w:rsidR="00021742" w:rsidRPr="00F273F1">
        <w:t>The Underlying</w:t>
      </w:r>
      <w:r w:rsidR="00DB1C5F" w:rsidRPr="00F273F1">
        <w:t xml:space="preserve"> Habeas Corpus Petitions and </w:t>
      </w:r>
      <w:r w:rsidR="00EC4619">
        <w:t>t</w:t>
      </w:r>
      <w:r w:rsidR="005C017F" w:rsidRPr="00F273F1">
        <w:t>he Court of Appeal Opinion</w:t>
      </w:r>
    </w:p>
    <w:p w14:paraId="2312523D" w14:textId="3BC30DB1" w:rsidR="000A4987" w:rsidRPr="00F273F1" w:rsidRDefault="0041444A" w:rsidP="00F273F1">
      <w:pPr>
        <w:tabs>
          <w:tab w:val="left" w:pos="1440"/>
        </w:tabs>
        <w:ind w:firstLine="720"/>
      </w:pPr>
      <w:r w:rsidRPr="00F273F1">
        <w:t>After</w:t>
      </w:r>
      <w:r w:rsidR="00EB4B0F" w:rsidRPr="00F273F1">
        <w:t xml:space="preserve"> the electorate approved Proposition 57</w:t>
      </w:r>
      <w:r w:rsidR="00A705EA" w:rsidRPr="00F273F1">
        <w:t xml:space="preserve">, </w:t>
      </w:r>
      <w:r w:rsidR="00F36E05" w:rsidRPr="00F273F1">
        <w:t xml:space="preserve">petitioner </w:t>
      </w:r>
      <w:r w:rsidR="005F509A" w:rsidRPr="00F273F1">
        <w:t xml:space="preserve">filed </w:t>
      </w:r>
      <w:r w:rsidR="00F36E05" w:rsidRPr="00F273F1">
        <w:t xml:space="preserve">a </w:t>
      </w:r>
      <w:r w:rsidR="005F509A" w:rsidRPr="00F273F1">
        <w:t xml:space="preserve">petition for </w:t>
      </w:r>
      <w:r w:rsidR="0047260C" w:rsidRPr="00F273F1">
        <w:t xml:space="preserve">a </w:t>
      </w:r>
      <w:r w:rsidR="00031C0A" w:rsidRPr="00F273F1">
        <w:t xml:space="preserve">writ of habeas corpus in the Los Angeles County Superior Court.  The petition challenged </w:t>
      </w:r>
      <w:r w:rsidR="00B433CA" w:rsidRPr="00F273F1">
        <w:t xml:space="preserve">the Department’s </w:t>
      </w:r>
      <w:r w:rsidR="003112A8" w:rsidRPr="00F273F1">
        <w:t>determination that petitioner did not qualify for nonviolent offender parole</w:t>
      </w:r>
      <w:r w:rsidR="00EE558A" w:rsidRPr="00F273F1">
        <w:t xml:space="preserve"> consideration</w:t>
      </w:r>
      <w:r w:rsidR="003112A8" w:rsidRPr="00F273F1">
        <w:t xml:space="preserve">, and specifically challenged </w:t>
      </w:r>
      <w:r w:rsidR="0078469A" w:rsidRPr="00F273F1">
        <w:t xml:space="preserve">the </w:t>
      </w:r>
      <w:r w:rsidR="00BD3A25" w:rsidRPr="00F273F1">
        <w:t>provision of the regulations</w:t>
      </w:r>
      <w:r w:rsidR="003838A3" w:rsidRPr="00F273F1">
        <w:t xml:space="preserve"> </w:t>
      </w:r>
      <w:r w:rsidR="00A404A5" w:rsidRPr="00F273F1">
        <w:t>exclu</w:t>
      </w:r>
      <w:r w:rsidR="003838A3" w:rsidRPr="00F273F1">
        <w:t>d</w:t>
      </w:r>
      <w:r w:rsidR="0058001E" w:rsidRPr="00F273F1">
        <w:t xml:space="preserve">ing </w:t>
      </w:r>
      <w:r w:rsidR="00A404A5" w:rsidRPr="00F273F1">
        <w:t xml:space="preserve">from </w:t>
      </w:r>
      <w:r w:rsidR="00EB4B0F" w:rsidRPr="00F273F1">
        <w:t xml:space="preserve">nonviolent </w:t>
      </w:r>
      <w:r w:rsidR="00D00C69" w:rsidRPr="00F273F1">
        <w:t xml:space="preserve">offender </w:t>
      </w:r>
      <w:r w:rsidR="00A404A5" w:rsidRPr="00F273F1">
        <w:t>parole consideration</w:t>
      </w:r>
      <w:r w:rsidR="003838A3" w:rsidRPr="00F273F1">
        <w:t xml:space="preserve"> </w:t>
      </w:r>
      <w:r w:rsidR="0058001E" w:rsidRPr="00F273F1">
        <w:t xml:space="preserve">inmates like </w:t>
      </w:r>
      <w:r w:rsidR="00F36E05" w:rsidRPr="00F273F1">
        <w:t xml:space="preserve">petitioner </w:t>
      </w:r>
      <w:r w:rsidR="0058001E" w:rsidRPr="00F273F1">
        <w:t>who</w:t>
      </w:r>
      <w:r w:rsidR="00695234" w:rsidRPr="00F273F1">
        <w:t xml:space="preserve"> had been convicted</w:t>
      </w:r>
      <w:r w:rsidR="003838A3" w:rsidRPr="00F273F1">
        <w:t xml:space="preserve"> under the Three Strikes law.  The </w:t>
      </w:r>
      <w:r w:rsidR="00E239CF" w:rsidRPr="00F273F1">
        <w:t xml:space="preserve">trial </w:t>
      </w:r>
      <w:r w:rsidR="003838A3" w:rsidRPr="00F273F1">
        <w:t xml:space="preserve">court </w:t>
      </w:r>
      <w:r w:rsidR="003219AF" w:rsidRPr="00F273F1">
        <w:t>denied the petition</w:t>
      </w:r>
      <w:r w:rsidR="008620DA" w:rsidRPr="00F273F1">
        <w:t xml:space="preserve">, finding that the then-applicable regulations properly </w:t>
      </w:r>
      <w:r w:rsidR="00255F14" w:rsidRPr="00F273F1">
        <w:t>excluded inmates serving third</w:t>
      </w:r>
      <w:r w:rsidR="00134169">
        <w:t xml:space="preserve"> </w:t>
      </w:r>
      <w:r w:rsidR="00255F14" w:rsidRPr="00F273F1">
        <w:t xml:space="preserve">strike sentences </w:t>
      </w:r>
      <w:r w:rsidR="006E2C3C" w:rsidRPr="00F273F1">
        <w:t xml:space="preserve">from </w:t>
      </w:r>
      <w:r w:rsidR="007A6B40">
        <w:t xml:space="preserve">eligibility </w:t>
      </w:r>
      <w:r w:rsidR="006E2C3C" w:rsidRPr="00F273F1">
        <w:t xml:space="preserve">for </w:t>
      </w:r>
      <w:r w:rsidR="007A6B40">
        <w:t xml:space="preserve">nonviolent offender </w:t>
      </w:r>
      <w:r w:rsidR="006E2C3C" w:rsidRPr="00F273F1">
        <w:t xml:space="preserve">parole consideration.  </w:t>
      </w:r>
      <w:r w:rsidR="000A4987" w:rsidRPr="00F273F1">
        <w:t xml:space="preserve">It does not appear that either </w:t>
      </w:r>
      <w:r w:rsidR="00F36E05" w:rsidRPr="00F273F1">
        <w:t xml:space="preserve">petitioner </w:t>
      </w:r>
      <w:r w:rsidR="000A4987" w:rsidRPr="00F273F1">
        <w:t xml:space="preserve">or the Department </w:t>
      </w:r>
      <w:r w:rsidR="00D63367" w:rsidRPr="00F273F1">
        <w:t xml:space="preserve">addressed </w:t>
      </w:r>
      <w:r w:rsidR="00E60D2C" w:rsidRPr="00F273F1">
        <w:t xml:space="preserve">in the superior court proceedings </w:t>
      </w:r>
      <w:r w:rsidR="00F36E05" w:rsidRPr="00F273F1">
        <w:t>the</w:t>
      </w:r>
      <w:r w:rsidR="00E60D2C">
        <w:t xml:space="preserve"> effect of defendant’s</w:t>
      </w:r>
      <w:r w:rsidR="00F36E05" w:rsidRPr="00F273F1">
        <w:t xml:space="preserve"> </w:t>
      </w:r>
      <w:r w:rsidR="000A4987" w:rsidRPr="00F273F1">
        <w:t>prior sex offense convictions</w:t>
      </w:r>
      <w:r w:rsidR="00E60D2C">
        <w:t xml:space="preserve"> on his eligibility for nonviolent offender parole consideration</w:t>
      </w:r>
      <w:r w:rsidR="000A4987" w:rsidRPr="00F273F1">
        <w:t>.</w:t>
      </w:r>
    </w:p>
    <w:p w14:paraId="52ED6593" w14:textId="2104D5D0" w:rsidR="002A7B30" w:rsidRPr="00F273F1" w:rsidRDefault="00D63367" w:rsidP="00F273F1">
      <w:pPr>
        <w:tabs>
          <w:tab w:val="left" w:pos="1440"/>
        </w:tabs>
        <w:ind w:firstLine="720"/>
      </w:pPr>
      <w:r w:rsidRPr="00F273F1">
        <w:t>P</w:t>
      </w:r>
      <w:r w:rsidR="00F36E05" w:rsidRPr="00F273F1">
        <w:t>et</w:t>
      </w:r>
      <w:r w:rsidR="005800A1" w:rsidRPr="00F273F1">
        <w:t xml:space="preserve">itioner sought </w:t>
      </w:r>
      <w:r w:rsidR="004E1E9D" w:rsidRPr="00F273F1">
        <w:t xml:space="preserve">habeas corpus </w:t>
      </w:r>
      <w:r w:rsidR="005800A1" w:rsidRPr="00F273F1">
        <w:t xml:space="preserve">relief </w:t>
      </w:r>
      <w:r w:rsidR="004E1E9D" w:rsidRPr="00F273F1">
        <w:t>in the Court of Appeal.  Th</w:t>
      </w:r>
      <w:r w:rsidR="00DB63C6" w:rsidRPr="00F273F1">
        <w:t>at c</w:t>
      </w:r>
      <w:r w:rsidR="004E1E9D" w:rsidRPr="00F273F1">
        <w:t>ourt appointed</w:t>
      </w:r>
      <w:r w:rsidR="00F260F4" w:rsidRPr="00F273F1">
        <w:t xml:space="preserve"> counsel</w:t>
      </w:r>
      <w:r w:rsidR="00C02C73">
        <w:t>,</w:t>
      </w:r>
      <w:r w:rsidR="004E1E9D" w:rsidRPr="00F273F1">
        <w:t xml:space="preserve"> directed counsel to file an amended petition</w:t>
      </w:r>
      <w:r w:rsidR="005A1EBA" w:rsidRPr="00F273F1">
        <w:t>, and eventually issued an order to show cause.</w:t>
      </w:r>
      <w:r w:rsidR="0055579C" w:rsidRPr="00F273F1">
        <w:t xml:space="preserve">  In its return to the order to show cause, the Department asserted that </w:t>
      </w:r>
      <w:r w:rsidR="005800A1" w:rsidRPr="00F273F1">
        <w:t xml:space="preserve">petitioner </w:t>
      </w:r>
      <w:r w:rsidR="0055579C" w:rsidRPr="00F273F1">
        <w:t xml:space="preserve">was </w:t>
      </w:r>
      <w:r w:rsidR="00084C79" w:rsidRPr="00F273F1">
        <w:t xml:space="preserve">ineligible for </w:t>
      </w:r>
      <w:r w:rsidR="00EB4B0F" w:rsidRPr="00F273F1">
        <w:t>nonviolent</w:t>
      </w:r>
      <w:r w:rsidR="00F260F4" w:rsidRPr="00F273F1">
        <w:t xml:space="preserve"> offender</w:t>
      </w:r>
      <w:r w:rsidR="00EB4B0F" w:rsidRPr="00F273F1">
        <w:t xml:space="preserve"> </w:t>
      </w:r>
      <w:r w:rsidR="00084C79" w:rsidRPr="00F273F1">
        <w:t xml:space="preserve">parole consideration for two reasons:  </w:t>
      </w:r>
      <w:r w:rsidR="00695234" w:rsidRPr="00F273F1">
        <w:t>first</w:t>
      </w:r>
      <w:r w:rsidR="00084C79" w:rsidRPr="00F273F1">
        <w:t>, because he was serving an indeterminate term pursuant to the Three Strikes law</w:t>
      </w:r>
      <w:r w:rsidR="00695234" w:rsidRPr="00F273F1">
        <w:t>;</w:t>
      </w:r>
      <w:r w:rsidR="00084C79" w:rsidRPr="00F273F1">
        <w:t xml:space="preserve"> </w:t>
      </w:r>
      <w:r w:rsidR="00695234" w:rsidRPr="00F273F1">
        <w:t>second</w:t>
      </w:r>
      <w:r w:rsidR="00084C79" w:rsidRPr="00F273F1">
        <w:t xml:space="preserve">, because he had suffered a prior conviction for a sex </w:t>
      </w:r>
      <w:r w:rsidR="00084C79" w:rsidRPr="00F273F1">
        <w:lastRenderedPageBreak/>
        <w:t xml:space="preserve">offense requiring registration under </w:t>
      </w:r>
      <w:r w:rsidR="00695234" w:rsidRPr="00F273F1">
        <w:t xml:space="preserve">Penal Code </w:t>
      </w:r>
      <w:r w:rsidR="00084C79" w:rsidRPr="00F273F1">
        <w:t>section 290.</w:t>
      </w:r>
      <w:r w:rsidR="003E6578" w:rsidRPr="00F273F1">
        <w:t xml:space="preserve"> </w:t>
      </w:r>
      <w:r w:rsidR="00B625E9">
        <w:t xml:space="preserve"> </w:t>
      </w:r>
      <w:r w:rsidR="003E6578" w:rsidRPr="00F273F1">
        <w:t>The Department’s first argument is not before us.</w:t>
      </w:r>
      <w:r w:rsidR="003E6578" w:rsidRPr="00F273F1">
        <w:rPr>
          <w:rStyle w:val="FootnoteReference"/>
        </w:rPr>
        <w:footnoteReference w:id="5"/>
      </w:r>
      <w:r w:rsidR="003E6578" w:rsidRPr="00F273F1">
        <w:t xml:space="preserve">  </w:t>
      </w:r>
    </w:p>
    <w:p w14:paraId="1C27FD16" w14:textId="2D0F584F" w:rsidR="007D3E3B" w:rsidRPr="00F273F1" w:rsidRDefault="008D6403" w:rsidP="00F273F1">
      <w:pPr>
        <w:tabs>
          <w:tab w:val="left" w:pos="1440"/>
        </w:tabs>
        <w:ind w:firstLine="720"/>
      </w:pPr>
      <w:r w:rsidRPr="00F273F1">
        <w:t xml:space="preserve">The </w:t>
      </w:r>
      <w:r w:rsidR="00767AD9" w:rsidRPr="00F273F1">
        <w:t xml:space="preserve">appellate </w:t>
      </w:r>
      <w:r w:rsidR="00876F1A" w:rsidRPr="00F273F1">
        <w:t xml:space="preserve">court </w:t>
      </w:r>
      <w:r w:rsidRPr="00F273F1">
        <w:t>held</w:t>
      </w:r>
      <w:r w:rsidR="00CD0F9E" w:rsidRPr="00F273F1">
        <w:t xml:space="preserve"> </w:t>
      </w:r>
      <w:r w:rsidRPr="00F273F1">
        <w:t xml:space="preserve">that the </w:t>
      </w:r>
      <w:r w:rsidR="002433A4" w:rsidRPr="00F273F1">
        <w:t xml:space="preserve">amended </w:t>
      </w:r>
      <w:r w:rsidRPr="00F273F1">
        <w:t xml:space="preserve">regulations improperly excluded </w:t>
      </w:r>
      <w:r w:rsidR="001F14AC" w:rsidRPr="00F273F1">
        <w:t xml:space="preserve">petitioner </w:t>
      </w:r>
      <w:r w:rsidRPr="00F273F1">
        <w:t xml:space="preserve">from </w:t>
      </w:r>
      <w:r w:rsidR="00EB4B0F" w:rsidRPr="00F273F1">
        <w:t>nonviolent</w:t>
      </w:r>
      <w:r w:rsidR="00F2407E" w:rsidRPr="00F273F1">
        <w:t xml:space="preserve"> offender</w:t>
      </w:r>
      <w:r w:rsidR="00EB4B0F" w:rsidRPr="00F273F1">
        <w:t xml:space="preserve"> </w:t>
      </w:r>
      <w:r w:rsidRPr="00F273F1">
        <w:t xml:space="preserve">parole consideration based on his two prior sex offense convictions. </w:t>
      </w:r>
      <w:r w:rsidR="002900FE" w:rsidRPr="00F273F1">
        <w:t xml:space="preserve"> </w:t>
      </w:r>
      <w:r w:rsidR="00CF33EA">
        <w:t>(</w:t>
      </w:r>
      <w:proofErr w:type="spellStart"/>
      <w:r w:rsidR="00837E03">
        <w:rPr>
          <w:i/>
          <w:iCs/>
        </w:rPr>
        <w:t>Gadlin</w:t>
      </w:r>
      <w:proofErr w:type="spellEnd"/>
      <w:r w:rsidR="00206F5A">
        <w:t xml:space="preserve">, </w:t>
      </w:r>
      <w:r w:rsidR="00206F5A">
        <w:rPr>
          <w:i/>
          <w:iCs/>
        </w:rPr>
        <w:t>supra</w:t>
      </w:r>
      <w:r w:rsidR="00206F5A">
        <w:t>,</w:t>
      </w:r>
      <w:r w:rsidR="00837E03">
        <w:t xml:space="preserve"> 31 Cal.App.5th </w:t>
      </w:r>
      <w:r w:rsidR="00206F5A">
        <w:t>at pp. </w:t>
      </w:r>
      <w:r w:rsidR="00837E03">
        <w:t>789–790.)</w:t>
      </w:r>
      <w:r w:rsidR="00CF33EA">
        <w:t xml:space="preserve"> </w:t>
      </w:r>
      <w:r w:rsidR="00837E03">
        <w:t xml:space="preserve"> </w:t>
      </w:r>
      <w:r w:rsidR="00BF6B51" w:rsidRPr="00F273F1">
        <w:t xml:space="preserve">Looking to the language of the </w:t>
      </w:r>
      <w:r w:rsidR="00386264" w:rsidRPr="00F273F1">
        <w:t>c</w:t>
      </w:r>
      <w:r w:rsidR="00BF6B51" w:rsidRPr="00F273F1">
        <w:t>onstitution</w:t>
      </w:r>
      <w:r w:rsidR="00386264" w:rsidRPr="00F273F1">
        <w:t>al provision</w:t>
      </w:r>
      <w:r w:rsidR="00BF6B51" w:rsidRPr="00F273F1">
        <w:t xml:space="preserve">, the court </w:t>
      </w:r>
      <w:r w:rsidR="00E71F41" w:rsidRPr="00F273F1">
        <w:t xml:space="preserve">determined </w:t>
      </w:r>
      <w:r w:rsidR="00BF6B51" w:rsidRPr="00F273F1">
        <w:t xml:space="preserve">that “[t]he reference to ‘convicted’ and ‘sentenced’ [in </w:t>
      </w:r>
      <w:r w:rsidR="00601B4C">
        <w:t xml:space="preserve">article I, </w:t>
      </w:r>
      <w:r w:rsidR="009A78CF" w:rsidRPr="00F273F1">
        <w:t>section 32(a)(1)], in conjunction with present eligibility for parole once a full term is completed, make</w:t>
      </w:r>
      <w:r w:rsidR="00B149CB" w:rsidRPr="00F273F1">
        <w:t>[s]</w:t>
      </w:r>
      <w:r w:rsidR="009A78CF" w:rsidRPr="00F273F1">
        <w:t xml:space="preserve"> clear that early parole eligibility must be assessed based on the conviction for which an inmate is now serving a state prison sentence (the current offense), rather than prior criminal history.</w:t>
      </w:r>
      <w:r w:rsidR="00832337" w:rsidRPr="00F273F1">
        <w:t xml:space="preserve">”  </w:t>
      </w:r>
      <w:r w:rsidR="00837E03">
        <w:t>(</w:t>
      </w:r>
      <w:r w:rsidR="00837E03">
        <w:rPr>
          <w:i/>
          <w:iCs/>
        </w:rPr>
        <w:t>Id</w:t>
      </w:r>
      <w:r w:rsidR="00837E03">
        <w:t>. at p.</w:t>
      </w:r>
      <w:r w:rsidR="002278BD">
        <w:t> </w:t>
      </w:r>
      <w:r w:rsidR="00837E03">
        <w:t xml:space="preserve">789.)  </w:t>
      </w:r>
      <w:r w:rsidR="00832337" w:rsidRPr="00F273F1">
        <w:t xml:space="preserve">The court rejected the Department’s </w:t>
      </w:r>
      <w:r w:rsidR="00016CB6" w:rsidRPr="00F273F1">
        <w:t xml:space="preserve">assertion that </w:t>
      </w:r>
      <w:r w:rsidR="00E7368F" w:rsidRPr="00F273F1">
        <w:t>the Department</w:t>
      </w:r>
      <w:r w:rsidR="00016CB6" w:rsidRPr="00F273F1">
        <w:t xml:space="preserve"> could exclude offenders with prior sex offense convictions in order to protect public safety, noting that “[t]</w:t>
      </w:r>
      <w:proofErr w:type="spellStart"/>
      <w:r w:rsidR="00016CB6" w:rsidRPr="00F273F1">
        <w:t>hese</w:t>
      </w:r>
      <w:proofErr w:type="spellEnd"/>
      <w:r w:rsidR="00016CB6" w:rsidRPr="00F273F1">
        <w:t xml:space="preserve"> policy considerations</w:t>
      </w:r>
      <w:r w:rsidR="00D433CC" w:rsidRPr="00F273F1">
        <w:t xml:space="preserve"> .</w:t>
      </w:r>
      <w:r w:rsidR="00322380" w:rsidRPr="00F273F1">
        <w:t> </w:t>
      </w:r>
      <w:r w:rsidR="00D433CC" w:rsidRPr="00F273F1">
        <w:t>.</w:t>
      </w:r>
      <w:r w:rsidR="00322380" w:rsidRPr="00F273F1">
        <w:t> </w:t>
      </w:r>
      <w:r w:rsidR="00D433CC" w:rsidRPr="00F273F1">
        <w:t>.</w:t>
      </w:r>
      <w:r w:rsidR="00016CB6" w:rsidRPr="00F273F1">
        <w:t xml:space="preserve"> do not trump the plain text of section 32</w:t>
      </w:r>
      <w:r w:rsidR="00AC0AE0">
        <w:t>[</w:t>
      </w:r>
      <w:r w:rsidR="00016CB6" w:rsidRPr="00F273F1">
        <w:t>(a)(1)</w:t>
      </w:r>
      <w:r w:rsidR="00AC0AE0">
        <w:t>]</w:t>
      </w:r>
      <w:r w:rsidR="00016CB6" w:rsidRPr="00F273F1">
        <w:t xml:space="preserve">.”  </w:t>
      </w:r>
      <w:r w:rsidR="00B8323F">
        <w:t>(</w:t>
      </w:r>
      <w:r w:rsidR="00B8323F">
        <w:rPr>
          <w:i/>
          <w:iCs/>
        </w:rPr>
        <w:t>Ibid</w:t>
      </w:r>
      <w:r w:rsidR="00B8323F">
        <w:t xml:space="preserve">.)  </w:t>
      </w:r>
      <w:r w:rsidR="00016CB6" w:rsidRPr="00F273F1">
        <w:t>The court</w:t>
      </w:r>
      <w:r w:rsidR="00581A9D" w:rsidRPr="00F273F1">
        <w:t xml:space="preserve"> declined to express any opinion </w:t>
      </w:r>
      <w:r w:rsidR="00252F09" w:rsidRPr="00F273F1">
        <w:lastRenderedPageBreak/>
        <w:t xml:space="preserve">concerning </w:t>
      </w:r>
      <w:r w:rsidR="00581A9D" w:rsidRPr="00F273F1">
        <w:t xml:space="preserve">whether the exclusion of inmates based on a current conviction for a </w:t>
      </w:r>
      <w:r w:rsidR="00D433CC" w:rsidRPr="00F273F1">
        <w:t xml:space="preserve">nonviolent </w:t>
      </w:r>
      <w:r w:rsidR="00581A9D" w:rsidRPr="00F273F1">
        <w:t xml:space="preserve">sex offense </w:t>
      </w:r>
      <w:r w:rsidR="006F77B7" w:rsidRPr="00F273F1">
        <w:t>also</w:t>
      </w:r>
      <w:r w:rsidR="00581A9D" w:rsidRPr="00F273F1">
        <w:t xml:space="preserve"> violates the Constitution.</w:t>
      </w:r>
      <w:r w:rsidR="00B8323F">
        <w:t xml:space="preserve">  (</w:t>
      </w:r>
      <w:r w:rsidR="00B8323F">
        <w:rPr>
          <w:i/>
          <w:iCs/>
        </w:rPr>
        <w:t>Ibid</w:t>
      </w:r>
      <w:r w:rsidR="00B8323F">
        <w:t>.)</w:t>
      </w:r>
      <w:r w:rsidR="00B70722">
        <w:t xml:space="preserve">  The Court of Appeal granted the petition and </w:t>
      </w:r>
      <w:r w:rsidR="006D5540">
        <w:t>ordered</w:t>
      </w:r>
      <w:r w:rsidR="00B70722">
        <w:t xml:space="preserve"> the Department to</w:t>
      </w:r>
      <w:r w:rsidR="006D5540">
        <w:t xml:space="preserve"> consider petitioner for parole within 60 days.  (</w:t>
      </w:r>
      <w:r w:rsidR="006D5540">
        <w:rPr>
          <w:i/>
          <w:iCs/>
        </w:rPr>
        <w:t>Id.</w:t>
      </w:r>
      <w:r w:rsidR="006D5540">
        <w:t xml:space="preserve"> at p.</w:t>
      </w:r>
      <w:r w:rsidR="002C14DA">
        <w:t> </w:t>
      </w:r>
      <w:r w:rsidR="006D5540">
        <w:t xml:space="preserve">790.) </w:t>
      </w:r>
      <w:r w:rsidR="00B70722">
        <w:t xml:space="preserve"> </w:t>
      </w:r>
    </w:p>
    <w:p w14:paraId="160196C0" w14:textId="46A3C25F" w:rsidR="0020736C" w:rsidRPr="00EF2FAA" w:rsidRDefault="007D3E3B" w:rsidP="00F273F1">
      <w:pPr>
        <w:tabs>
          <w:tab w:val="left" w:pos="1440"/>
        </w:tabs>
        <w:ind w:firstLine="720"/>
      </w:pPr>
      <w:r w:rsidRPr="00F273F1">
        <w:t>Justice Baker authored a concurring opinion</w:t>
      </w:r>
      <w:r w:rsidR="005E585C">
        <w:t xml:space="preserve"> agreeing</w:t>
      </w:r>
      <w:r w:rsidRPr="00F273F1">
        <w:t xml:space="preserve"> with the majority that individuals convicted of prior sex offenses may not be excluded from </w:t>
      </w:r>
      <w:r w:rsidR="00675183" w:rsidRPr="00F273F1">
        <w:t>nonviolent</w:t>
      </w:r>
      <w:r w:rsidR="004F6427" w:rsidRPr="00F273F1">
        <w:t xml:space="preserve"> offender</w:t>
      </w:r>
      <w:r w:rsidRPr="00F273F1">
        <w:t xml:space="preserve"> parole consideration</w:t>
      </w:r>
      <w:r w:rsidR="005F6B94" w:rsidRPr="00F273F1">
        <w:t xml:space="preserve"> </w:t>
      </w:r>
      <w:r w:rsidR="00D64CDA" w:rsidRPr="00F273F1">
        <w:t>under the</w:t>
      </w:r>
      <w:r w:rsidR="007F7EDA" w:rsidRPr="00F273F1">
        <w:t xml:space="preserve"> </w:t>
      </w:r>
      <w:r w:rsidR="004F6427" w:rsidRPr="00F273F1">
        <w:t>newly enacted</w:t>
      </w:r>
      <w:r w:rsidR="007F7EDA" w:rsidRPr="00F273F1">
        <w:t xml:space="preserve"> constitutional provision</w:t>
      </w:r>
      <w:r w:rsidRPr="00F273F1">
        <w:t>.</w:t>
      </w:r>
      <w:r w:rsidR="009E376B">
        <w:t xml:space="preserve">  (</w:t>
      </w:r>
      <w:proofErr w:type="spellStart"/>
      <w:r w:rsidR="009E376B">
        <w:rPr>
          <w:i/>
          <w:iCs/>
        </w:rPr>
        <w:t>Gadlin</w:t>
      </w:r>
      <w:proofErr w:type="spellEnd"/>
      <w:r w:rsidR="009E376B">
        <w:t xml:space="preserve">, </w:t>
      </w:r>
      <w:r w:rsidR="009E376B">
        <w:rPr>
          <w:i/>
          <w:iCs/>
        </w:rPr>
        <w:t>supra</w:t>
      </w:r>
      <w:r w:rsidR="009E376B">
        <w:t>, 31 Cal.App.5th at p.</w:t>
      </w:r>
      <w:r w:rsidR="00FF0280">
        <w:t> 790</w:t>
      </w:r>
      <w:r w:rsidR="00F378B6">
        <w:t xml:space="preserve"> (conc. </w:t>
      </w:r>
      <w:proofErr w:type="spellStart"/>
      <w:r w:rsidR="00F378B6">
        <w:t>opn</w:t>
      </w:r>
      <w:proofErr w:type="spellEnd"/>
      <w:r w:rsidR="00F378B6">
        <w:t>. of Baker, J.)</w:t>
      </w:r>
      <w:r w:rsidR="00FF0280">
        <w:t xml:space="preserve">.)  </w:t>
      </w:r>
      <w:r w:rsidR="005E585C">
        <w:t>The concurring opinion</w:t>
      </w:r>
      <w:r w:rsidRPr="00F273F1">
        <w:t xml:space="preserve">, however, </w:t>
      </w:r>
      <w:r w:rsidR="00B625E9">
        <w:t>maintained</w:t>
      </w:r>
      <w:r w:rsidRPr="00F273F1">
        <w:t xml:space="preserve"> that individuals currently incarcerated for </w:t>
      </w:r>
      <w:r w:rsidR="00394D4D" w:rsidRPr="00F273F1">
        <w:t xml:space="preserve">nonviolent </w:t>
      </w:r>
      <w:r w:rsidRPr="00F273F1">
        <w:t xml:space="preserve">sex offenses </w:t>
      </w:r>
      <w:r w:rsidR="006D6E5B" w:rsidRPr="00F273F1">
        <w:t xml:space="preserve">may </w:t>
      </w:r>
      <w:r w:rsidRPr="00F273F1">
        <w:t xml:space="preserve">properly </w:t>
      </w:r>
      <w:r w:rsidR="00E7184B">
        <w:t xml:space="preserve">be </w:t>
      </w:r>
      <w:r w:rsidRPr="00F273F1">
        <w:t>excluded</w:t>
      </w:r>
      <w:r w:rsidR="00D13829" w:rsidRPr="00F273F1">
        <w:t xml:space="preserve"> from </w:t>
      </w:r>
      <w:r w:rsidR="00675183" w:rsidRPr="00F273F1">
        <w:t>nonviolent</w:t>
      </w:r>
      <w:r w:rsidR="00A85E57" w:rsidRPr="00F273F1">
        <w:t xml:space="preserve"> offender</w:t>
      </w:r>
      <w:r w:rsidR="00D51849">
        <w:t xml:space="preserve"> </w:t>
      </w:r>
      <w:r w:rsidR="00D13829" w:rsidRPr="00F273F1">
        <w:t>parole consideration</w:t>
      </w:r>
      <w:r w:rsidR="00D2089E" w:rsidRPr="00F273F1">
        <w:t>.</w:t>
      </w:r>
      <w:r w:rsidR="00EF2FAA">
        <w:t xml:space="preserve">  (</w:t>
      </w:r>
      <w:r w:rsidR="00EF2FAA">
        <w:rPr>
          <w:i/>
          <w:iCs/>
        </w:rPr>
        <w:t>Id</w:t>
      </w:r>
      <w:r w:rsidR="00EF2FAA">
        <w:t>. at pp. 793–796</w:t>
      </w:r>
      <w:r w:rsidR="002940A4">
        <w:t xml:space="preserve"> (conc. </w:t>
      </w:r>
      <w:proofErr w:type="spellStart"/>
      <w:r w:rsidR="002940A4">
        <w:t>opn</w:t>
      </w:r>
      <w:proofErr w:type="spellEnd"/>
      <w:r w:rsidR="002940A4">
        <w:t>. of Baker, J.)</w:t>
      </w:r>
      <w:r w:rsidR="00EF2FAA">
        <w:t>.)</w:t>
      </w:r>
    </w:p>
    <w:p w14:paraId="0A1C0993" w14:textId="7D55864F" w:rsidR="00AB0CFE" w:rsidRPr="00F273F1" w:rsidRDefault="00607C26" w:rsidP="00F273F1">
      <w:pPr>
        <w:tabs>
          <w:tab w:val="left" w:pos="1440"/>
        </w:tabs>
        <w:ind w:firstLine="720"/>
      </w:pPr>
      <w:r w:rsidRPr="00F273F1">
        <w:t>We granted the</w:t>
      </w:r>
      <w:r w:rsidR="0045028C" w:rsidRPr="00F273F1">
        <w:t xml:space="preserve"> </w:t>
      </w:r>
      <w:r w:rsidR="00A67A0B" w:rsidRPr="00F273F1">
        <w:t>Attorney General</w:t>
      </w:r>
      <w:r w:rsidRPr="00F273F1">
        <w:t>’s petition for review</w:t>
      </w:r>
      <w:r w:rsidR="00746D72">
        <w:t xml:space="preserve"> and directed the parties to address whether the Department had the authority to exclude from nonviolent offender parole consideration inmates with prior sex offense convictions requiring registration.  Following oral argument, we </w:t>
      </w:r>
      <w:r w:rsidR="001B0CD8">
        <w:t xml:space="preserve">asked the parties to submit </w:t>
      </w:r>
      <w:r w:rsidR="00746D72">
        <w:t>supplemental brief</w:t>
      </w:r>
      <w:r w:rsidR="000A7787">
        <w:t>s</w:t>
      </w:r>
      <w:r w:rsidR="00746D72">
        <w:t xml:space="preserve"> </w:t>
      </w:r>
      <w:r w:rsidR="000A7787">
        <w:t>a</w:t>
      </w:r>
      <w:r w:rsidR="00746D72">
        <w:t>ddress</w:t>
      </w:r>
      <w:r w:rsidR="000A7787">
        <w:t>ing</w:t>
      </w:r>
      <w:r w:rsidR="001B6980">
        <w:t xml:space="preserve"> whether the Department had </w:t>
      </w:r>
      <w:r w:rsidR="002C14DA">
        <w:t xml:space="preserve">the </w:t>
      </w:r>
      <w:r w:rsidR="001B6980">
        <w:t>authority to exclude from nonviolent offender parole consideration</w:t>
      </w:r>
      <w:r w:rsidR="005F70EF">
        <w:t xml:space="preserve"> those</w:t>
      </w:r>
      <w:r w:rsidR="001B6980">
        <w:t xml:space="preserve"> inmates with current nonviolent sex offense convictions </w:t>
      </w:r>
      <w:r w:rsidR="00CA6A78">
        <w:t xml:space="preserve">(that is, </w:t>
      </w:r>
      <w:r w:rsidR="005F70EF">
        <w:t xml:space="preserve">convictions </w:t>
      </w:r>
      <w:r w:rsidR="00CA6A78">
        <w:t>not listed</w:t>
      </w:r>
      <w:r w:rsidR="005F70EF">
        <w:t xml:space="preserve"> as violent</w:t>
      </w:r>
      <w:r w:rsidR="00CA6A78">
        <w:t xml:space="preserve"> in Penal Code section 667.5, subdivision (c)) </w:t>
      </w:r>
      <w:r w:rsidR="005F70EF">
        <w:t xml:space="preserve">that </w:t>
      </w:r>
      <w:r w:rsidR="001B6980">
        <w:t>requir</w:t>
      </w:r>
      <w:r w:rsidR="005F70EF">
        <w:t>e</w:t>
      </w:r>
      <w:r w:rsidR="001B6980">
        <w:t xml:space="preserve"> registration.</w:t>
      </w:r>
      <w:r w:rsidR="009D46CB">
        <w:rPr>
          <w:rStyle w:val="FootnoteReference"/>
        </w:rPr>
        <w:footnoteReference w:id="6"/>
      </w:r>
      <w:r w:rsidR="00FD518B">
        <w:t xml:space="preserve">  </w:t>
      </w:r>
      <w:r w:rsidR="00FD518B" w:rsidRPr="005C5DBF">
        <w:t xml:space="preserve">Although </w:t>
      </w:r>
      <w:r w:rsidR="00970DB7" w:rsidRPr="005C5DBF">
        <w:t>petitioner</w:t>
      </w:r>
      <w:r w:rsidR="00CA6A78" w:rsidRPr="005C5DBF">
        <w:t xml:space="preserve"> was e</w:t>
      </w:r>
      <w:r w:rsidR="00970DB7" w:rsidRPr="005C5DBF">
        <w:t>xclu</w:t>
      </w:r>
      <w:r w:rsidR="00CA6A78" w:rsidRPr="005C5DBF">
        <w:t>ded</w:t>
      </w:r>
      <w:r w:rsidR="00970DB7" w:rsidRPr="005C5DBF">
        <w:t xml:space="preserve"> from </w:t>
      </w:r>
      <w:r w:rsidR="00970DB7" w:rsidRPr="005C5DBF">
        <w:lastRenderedPageBreak/>
        <w:t xml:space="preserve">nonviolent offender parole consideration based </w:t>
      </w:r>
      <w:r w:rsidR="00A00C12">
        <w:t>solely</w:t>
      </w:r>
      <w:r w:rsidR="00970DB7" w:rsidRPr="005C5DBF">
        <w:t xml:space="preserve"> on his prior convictio</w:t>
      </w:r>
      <w:r w:rsidR="00970DB7">
        <w:t xml:space="preserve">n, </w:t>
      </w:r>
      <w:r w:rsidR="001430BE">
        <w:t xml:space="preserve">in light </w:t>
      </w:r>
      <w:r w:rsidR="002C14DA">
        <w:t xml:space="preserve">of </w:t>
      </w:r>
      <w:r w:rsidR="001430BE">
        <w:t xml:space="preserve">the concurring opinion below and the interest in resolving the matter expeditiously </w:t>
      </w:r>
      <w:r w:rsidR="00970DB7">
        <w:t>we</w:t>
      </w:r>
      <w:r w:rsidR="004D6AB5">
        <w:t xml:space="preserve"> will</w:t>
      </w:r>
      <w:r w:rsidR="00970DB7">
        <w:t xml:space="preserve"> consider the Department’s regulations </w:t>
      </w:r>
      <w:r w:rsidR="001430BE">
        <w:t xml:space="preserve">as they apply to </w:t>
      </w:r>
      <w:r w:rsidR="004D6AB5">
        <w:t xml:space="preserve">both </w:t>
      </w:r>
      <w:r w:rsidR="001430BE">
        <w:t>prior and current convictions.</w:t>
      </w:r>
    </w:p>
    <w:p w14:paraId="26EA5441" w14:textId="0EDE3DB6" w:rsidR="002344F2" w:rsidRPr="00F273F1" w:rsidRDefault="005E6EFB" w:rsidP="00E64DAB">
      <w:pPr>
        <w:pStyle w:val="Heading1"/>
      </w:pPr>
      <w:r w:rsidRPr="00F273F1">
        <w:t xml:space="preserve">II.  </w:t>
      </w:r>
      <w:r w:rsidR="00CF02AF" w:rsidRPr="00F273F1">
        <w:t>Discussion</w:t>
      </w:r>
    </w:p>
    <w:p w14:paraId="1D798211" w14:textId="0AAB7EDB" w:rsidR="00A84782" w:rsidRPr="00F273F1" w:rsidRDefault="005E6EFB" w:rsidP="00F273F1">
      <w:pPr>
        <w:pStyle w:val="Heading2"/>
      </w:pPr>
      <w:r w:rsidRPr="00F273F1">
        <w:t xml:space="preserve">A.  </w:t>
      </w:r>
      <w:r w:rsidR="00A84782" w:rsidRPr="00F273F1">
        <w:t>Proposition 57</w:t>
      </w:r>
    </w:p>
    <w:p w14:paraId="60F2DF44" w14:textId="3593CC9C" w:rsidR="00DD7079" w:rsidRPr="00F273F1" w:rsidRDefault="008F4672" w:rsidP="00F273F1">
      <w:pPr>
        <w:tabs>
          <w:tab w:val="left" w:pos="1440"/>
        </w:tabs>
        <w:ind w:firstLine="720"/>
      </w:pPr>
      <w:r w:rsidRPr="00F273F1">
        <w:t xml:space="preserve">In 2009, a </w:t>
      </w:r>
      <w:r w:rsidR="00E53F02" w:rsidRPr="00F273F1">
        <w:t xml:space="preserve">three-judge </w:t>
      </w:r>
      <w:r w:rsidRPr="00F273F1">
        <w:t xml:space="preserve">federal </w:t>
      </w:r>
      <w:r w:rsidR="00E53F02" w:rsidRPr="00F273F1">
        <w:t xml:space="preserve">district </w:t>
      </w:r>
      <w:r w:rsidR="00EB4026" w:rsidRPr="00F273F1">
        <w:t xml:space="preserve">court </w:t>
      </w:r>
      <w:r w:rsidRPr="00F273F1">
        <w:t>panel</w:t>
      </w:r>
      <w:r w:rsidR="00A33420" w:rsidRPr="00F273F1">
        <w:t xml:space="preserve"> </w:t>
      </w:r>
      <w:r w:rsidR="00EB4026" w:rsidRPr="00F273F1">
        <w:t>ordered the Department “to reduce the prisoner population to 137.5% of the adult institution’s total design capacity.”  (</w:t>
      </w:r>
      <w:r w:rsidR="00EB4026" w:rsidRPr="00F273F1">
        <w:rPr>
          <w:i/>
          <w:iCs/>
        </w:rPr>
        <w:t>Coleman v. Schwarzenegger</w:t>
      </w:r>
      <w:r w:rsidR="00EB4026" w:rsidRPr="00F273F1">
        <w:t xml:space="preserve"> (</w:t>
      </w:r>
      <w:proofErr w:type="spellStart"/>
      <w:r w:rsidR="00EB4026" w:rsidRPr="00F273F1">
        <w:t>E.D.Cal</w:t>
      </w:r>
      <w:proofErr w:type="spellEnd"/>
      <w:r w:rsidR="00EB4026" w:rsidRPr="00F273F1">
        <w:t>. 2009) 922 F.Supp.2d 8</w:t>
      </w:r>
      <w:r w:rsidR="00A937D5">
        <w:t>8</w:t>
      </w:r>
      <w:r w:rsidR="00EB4026" w:rsidRPr="00F273F1">
        <w:t xml:space="preserve">2, 962; see also </w:t>
      </w:r>
      <w:r w:rsidR="00EB4026" w:rsidRPr="00F273F1">
        <w:rPr>
          <w:i/>
          <w:iCs/>
        </w:rPr>
        <w:t>Brown v. Plata</w:t>
      </w:r>
      <w:r w:rsidR="00EB4026" w:rsidRPr="00F273F1">
        <w:t xml:space="preserve"> (2011) 563 U.S. 493, 501</w:t>
      </w:r>
      <w:r w:rsidR="007B7C27">
        <w:t>–</w:t>
      </w:r>
      <w:r w:rsidR="00EB4026" w:rsidRPr="00F273F1">
        <w:t>503.)</w:t>
      </w:r>
      <w:r w:rsidR="00C72540" w:rsidRPr="00F273F1">
        <w:t xml:space="preserve">  The California </w:t>
      </w:r>
      <w:r w:rsidR="009530E8" w:rsidRPr="00F273F1">
        <w:t>L</w:t>
      </w:r>
      <w:r w:rsidR="00C72540" w:rsidRPr="00F273F1">
        <w:t xml:space="preserve">egislature and electorate subsequently enacted </w:t>
      </w:r>
      <w:proofErr w:type="gramStart"/>
      <w:r w:rsidR="00984036" w:rsidRPr="00F273F1">
        <w:t>several</w:t>
      </w:r>
      <w:proofErr w:type="gramEnd"/>
      <w:r w:rsidR="00C72540" w:rsidRPr="00F273F1">
        <w:t xml:space="preserve"> measures aimed </w:t>
      </w:r>
      <w:r w:rsidR="00074D8C" w:rsidRPr="00F273F1">
        <w:t xml:space="preserve">to </w:t>
      </w:r>
      <w:r w:rsidR="00C72540" w:rsidRPr="00F273F1">
        <w:t>reduc</w:t>
      </w:r>
      <w:r w:rsidR="00074D8C" w:rsidRPr="00F273F1">
        <w:t xml:space="preserve">e </w:t>
      </w:r>
      <w:r w:rsidR="00C72540" w:rsidRPr="00F273F1">
        <w:t>the prison population</w:t>
      </w:r>
      <w:r w:rsidR="00986AB0" w:rsidRPr="00F273F1">
        <w:t xml:space="preserve">, including Assembly Bill </w:t>
      </w:r>
      <w:r w:rsidR="00A937D5">
        <w:t xml:space="preserve">No. </w:t>
      </w:r>
      <w:r w:rsidR="00986AB0" w:rsidRPr="00F273F1">
        <w:t>109</w:t>
      </w:r>
      <w:r w:rsidR="00374BDD" w:rsidRPr="00F273F1">
        <w:t xml:space="preserve"> (</w:t>
      </w:r>
      <w:r w:rsidR="00BC6FA6">
        <w:t xml:space="preserve">Stats. 2011, </w:t>
      </w:r>
      <w:proofErr w:type="spellStart"/>
      <w:r w:rsidR="00BC6FA6">
        <w:t>ch.</w:t>
      </w:r>
      <w:proofErr w:type="spellEnd"/>
      <w:r w:rsidR="00BC6FA6">
        <w:t xml:space="preserve"> 15, § 482 (</w:t>
      </w:r>
      <w:r w:rsidR="00776BF6">
        <w:t>2011</w:t>
      </w:r>
      <w:r w:rsidR="008D4487">
        <w:t>–</w:t>
      </w:r>
      <w:r w:rsidR="00776BF6">
        <w:t>2012 Reg. Sess.</w:t>
      </w:r>
      <w:r w:rsidR="00BC6FA6">
        <w:t>)</w:t>
      </w:r>
      <w:r w:rsidR="00144A4F">
        <w:t>; c</w:t>
      </w:r>
      <w:r w:rsidR="00433E49" w:rsidRPr="00F273F1">
        <w:t xml:space="preserve">riminal </w:t>
      </w:r>
      <w:r w:rsidR="00144A4F">
        <w:t>r</w:t>
      </w:r>
      <w:r w:rsidR="00433E49" w:rsidRPr="00F273F1">
        <w:t>ealignment</w:t>
      </w:r>
      <w:r w:rsidR="00D92438" w:rsidRPr="00F273F1">
        <w:t>)</w:t>
      </w:r>
      <w:r w:rsidR="00CE3FF5" w:rsidRPr="00F273F1">
        <w:t xml:space="preserve"> and</w:t>
      </w:r>
      <w:r w:rsidR="00986AB0" w:rsidRPr="00F273F1">
        <w:t xml:space="preserve"> Proposition 36</w:t>
      </w:r>
      <w:r w:rsidR="00A16C70" w:rsidRPr="00F273F1">
        <w:t xml:space="preserve"> (the Substance Abuse and Crime Prevention Act of 2000</w:t>
      </w:r>
      <w:r w:rsidR="006B4EA6" w:rsidRPr="00F273F1">
        <w:t>)</w:t>
      </w:r>
      <w:r w:rsidR="00C72540" w:rsidRPr="00F273F1">
        <w:t>.</w:t>
      </w:r>
      <w:r w:rsidR="00986AB0" w:rsidRPr="00F273F1">
        <w:t xml:space="preserve">  Still, the </w:t>
      </w:r>
      <w:r w:rsidR="00433E49" w:rsidRPr="00F273F1">
        <w:t xml:space="preserve">issue </w:t>
      </w:r>
      <w:r w:rsidR="00986AB0" w:rsidRPr="00F273F1">
        <w:t xml:space="preserve">persisted and in February 2014 the federal </w:t>
      </w:r>
      <w:r w:rsidR="009564EF" w:rsidRPr="00F273F1">
        <w:t xml:space="preserve">district </w:t>
      </w:r>
      <w:r w:rsidR="00986AB0" w:rsidRPr="00F273F1">
        <w:t xml:space="preserve">court ordered the Department to </w:t>
      </w:r>
      <w:r w:rsidR="00835C09" w:rsidRPr="00F273F1">
        <w:t>implement additional measures.</w:t>
      </w:r>
    </w:p>
    <w:p w14:paraId="597F90CE" w14:textId="39ABA534" w:rsidR="00A84782" w:rsidRPr="00F273F1" w:rsidRDefault="00B4670A" w:rsidP="00F273F1">
      <w:pPr>
        <w:tabs>
          <w:tab w:val="left" w:pos="1440"/>
        </w:tabs>
        <w:ind w:firstLine="720"/>
      </w:pPr>
      <w:r w:rsidRPr="00F273F1">
        <w:t>Against this backdrop, i</w:t>
      </w:r>
      <w:r w:rsidR="00A84782" w:rsidRPr="00F273F1">
        <w:t>n November 2016 the electorate approved Proposition 57.</w:t>
      </w:r>
      <w:r w:rsidR="00DD7079" w:rsidRPr="00F273F1">
        <w:t xml:space="preserve">  (</w:t>
      </w:r>
      <w:r w:rsidR="007555D5">
        <w:t>Cal.</w:t>
      </w:r>
      <w:r w:rsidR="007555D5" w:rsidRPr="00F273F1">
        <w:t xml:space="preserve"> </w:t>
      </w:r>
      <w:r w:rsidR="007555D5">
        <w:t>Sect.</w:t>
      </w:r>
      <w:r w:rsidR="007555D5" w:rsidRPr="00F273F1">
        <w:t xml:space="preserve"> </w:t>
      </w:r>
      <w:r w:rsidR="004E4D04" w:rsidRPr="00F273F1">
        <w:t xml:space="preserve">of State, </w:t>
      </w:r>
      <w:r w:rsidR="00B830DE" w:rsidRPr="00F273F1">
        <w:t>Statement of Vote Summary Pages</w:t>
      </w:r>
      <w:r w:rsidR="007555D5">
        <w:t xml:space="preserve"> (2016)</w:t>
      </w:r>
      <w:r w:rsidR="00B830DE" w:rsidRPr="00F273F1">
        <w:t xml:space="preserve"> p.</w:t>
      </w:r>
      <w:r w:rsidR="001F4B27">
        <w:t> </w:t>
      </w:r>
      <w:r w:rsidR="00B830DE" w:rsidRPr="00F273F1">
        <w:t>12 &lt;</w:t>
      </w:r>
      <w:r w:rsidR="00631899" w:rsidRPr="008026E5">
        <w:t>https://elections.cdn.sos.ca.gov/</w:t>
      </w:r>
      <w:r w:rsidR="001F4B27">
        <w:br/>
      </w:r>
      <w:proofErr w:type="spellStart"/>
      <w:r w:rsidR="00631899" w:rsidRPr="008026E5">
        <w:t>sov</w:t>
      </w:r>
      <w:proofErr w:type="spellEnd"/>
      <w:r w:rsidR="00631899" w:rsidRPr="008026E5">
        <w:t>/2016-general/</w:t>
      </w:r>
      <w:proofErr w:type="spellStart"/>
      <w:r w:rsidR="00631899" w:rsidRPr="008026E5">
        <w:t>sov</w:t>
      </w:r>
      <w:proofErr w:type="spellEnd"/>
      <w:r w:rsidR="00631899" w:rsidRPr="008026E5">
        <w:t>/06-sov-summary.pdf</w:t>
      </w:r>
      <w:r w:rsidR="00B830DE" w:rsidRPr="00F273F1">
        <w:t>&gt;</w:t>
      </w:r>
      <w:r w:rsidR="00B819B2" w:rsidRPr="00F273F1">
        <w:t xml:space="preserve"> [</w:t>
      </w:r>
      <w:r w:rsidR="00B819B2" w:rsidRPr="004B11A0">
        <w:t xml:space="preserve">as of </w:t>
      </w:r>
      <w:r w:rsidR="00B22DFB">
        <w:t xml:space="preserve">Dec. </w:t>
      </w:r>
      <w:r w:rsidR="004D0246">
        <w:t>1</w:t>
      </w:r>
      <w:r w:rsidR="002C14DA">
        <w:t>7</w:t>
      </w:r>
      <w:r w:rsidR="00B819B2" w:rsidRPr="004B11A0">
        <w:t xml:space="preserve">, </w:t>
      </w:r>
      <w:r w:rsidR="00B819B2" w:rsidRPr="004B11A0">
        <w:lastRenderedPageBreak/>
        <w:t>2</w:t>
      </w:r>
      <w:r w:rsidR="002562A8" w:rsidRPr="004B11A0">
        <w:t>020</w:t>
      </w:r>
      <w:r w:rsidR="002562A8" w:rsidRPr="00F273F1">
        <w:t>]</w:t>
      </w:r>
      <w:r w:rsidR="00DD7079" w:rsidRPr="00F273F1">
        <w:t>.)</w:t>
      </w:r>
      <w:r w:rsidR="009E492A" w:rsidRPr="00F273F1">
        <w:rPr>
          <w:rStyle w:val="FootnoteReference"/>
        </w:rPr>
        <w:footnoteReference w:id="7"/>
      </w:r>
      <w:r w:rsidR="00B830DE" w:rsidRPr="00F273F1">
        <w:t xml:space="preserve">  </w:t>
      </w:r>
      <w:r w:rsidR="00A84782" w:rsidRPr="00F273F1">
        <w:t xml:space="preserve">As relevant here, the initiative added section 32 to article I of the California Constitution.  The </w:t>
      </w:r>
      <w:r w:rsidR="00D2116F" w:rsidRPr="00F273F1">
        <w:t xml:space="preserve">new </w:t>
      </w:r>
      <w:r w:rsidR="0031312A" w:rsidRPr="00F273F1">
        <w:t>section</w:t>
      </w:r>
      <w:r w:rsidR="00F509A7" w:rsidRPr="00F273F1">
        <w:t xml:space="preserve"> states</w:t>
      </w:r>
      <w:r w:rsidR="00A84782" w:rsidRPr="00F273F1">
        <w:t>:  “Any person convicted of a nonviolent felony offense and sentenced to state prison shall be eligible for parole consideration after completing the full term for his or her primary offense.”  (</w:t>
      </w:r>
      <w:r w:rsidR="009665C8">
        <w:t>Art</w:t>
      </w:r>
      <w:r w:rsidR="00DF0FBF">
        <w:t>.</w:t>
      </w:r>
      <w:r w:rsidR="009665C8">
        <w:t xml:space="preserve"> I, </w:t>
      </w:r>
      <w:r w:rsidR="00A84782" w:rsidRPr="00F273F1">
        <w:t>§</w:t>
      </w:r>
      <w:r w:rsidR="00664D3C">
        <w:t> </w:t>
      </w:r>
      <w:r w:rsidR="00A84782" w:rsidRPr="00F273F1">
        <w:t xml:space="preserve">32(a)(1).)  </w:t>
      </w:r>
      <w:r w:rsidR="00297A1D" w:rsidRPr="00F273F1">
        <w:t xml:space="preserve">It </w:t>
      </w:r>
      <w:r w:rsidR="00A84782" w:rsidRPr="00F273F1">
        <w:t>further provides that “the full term for the primary offense means the longest term of imprisonment imposed by the court for any offense, excluding the imposition of an enhancement, consecutive sentence, or alternative sentence.”  (</w:t>
      </w:r>
      <w:r w:rsidR="00A84782" w:rsidRPr="00F273F1">
        <w:rPr>
          <w:i/>
        </w:rPr>
        <w:t>Id</w:t>
      </w:r>
      <w:r w:rsidR="00A84782" w:rsidRPr="00F273F1">
        <w:t>.</w:t>
      </w:r>
      <w:r w:rsidR="00B3623D">
        <w:t>,</w:t>
      </w:r>
      <w:r w:rsidR="00A84782" w:rsidRPr="00F273F1">
        <w:t xml:space="preserve"> </w:t>
      </w:r>
      <w:r w:rsidR="00664D3C">
        <w:t>§ 32</w:t>
      </w:r>
      <w:r w:rsidR="00A84782" w:rsidRPr="00F273F1">
        <w:t xml:space="preserve">(a)(1)(A).)  Finally, </w:t>
      </w:r>
      <w:r w:rsidR="00A97D04" w:rsidRPr="00F273F1">
        <w:t xml:space="preserve">as noted earlier, </w:t>
      </w:r>
      <w:r w:rsidR="00C04FC3" w:rsidRPr="00F273F1">
        <w:t xml:space="preserve">the </w:t>
      </w:r>
      <w:r w:rsidR="006C29DA" w:rsidRPr="00F273F1">
        <w:t xml:space="preserve">new provision </w:t>
      </w:r>
      <w:r w:rsidR="00A84782" w:rsidRPr="00F273F1">
        <w:t xml:space="preserve">directs the Department to “adopt regulations in furtherance of these provisions” and </w:t>
      </w:r>
      <w:r w:rsidR="000457DC" w:rsidRPr="00F273F1">
        <w:t>instructs</w:t>
      </w:r>
      <w:r w:rsidR="00A84782" w:rsidRPr="00F273F1">
        <w:t xml:space="preserve"> the Secretary of the Department to “certify that these regulations protect and enhance public safety.”  (</w:t>
      </w:r>
      <w:r w:rsidR="00A84782" w:rsidRPr="00F273F1">
        <w:rPr>
          <w:i/>
        </w:rPr>
        <w:t>Id</w:t>
      </w:r>
      <w:r w:rsidR="00A84782" w:rsidRPr="00F273F1">
        <w:t>.</w:t>
      </w:r>
      <w:r w:rsidR="00B3623D">
        <w:t>,</w:t>
      </w:r>
      <w:r w:rsidR="00A84782" w:rsidRPr="00F273F1">
        <w:t xml:space="preserve"> </w:t>
      </w:r>
      <w:r w:rsidR="00664D3C">
        <w:t>§ 32</w:t>
      </w:r>
      <w:r w:rsidR="00A84782" w:rsidRPr="00F273F1">
        <w:t xml:space="preserve">(b).)  </w:t>
      </w:r>
    </w:p>
    <w:p w14:paraId="1FF0FC45" w14:textId="6A86A4C1" w:rsidR="00675183" w:rsidRPr="00F273F1" w:rsidRDefault="00664D3C" w:rsidP="00F273F1">
      <w:pPr>
        <w:tabs>
          <w:tab w:val="left" w:pos="1440"/>
        </w:tabs>
        <w:ind w:firstLine="720"/>
      </w:pPr>
      <w:r>
        <w:t>Article I, s</w:t>
      </w:r>
      <w:r w:rsidR="00695234" w:rsidRPr="00F273F1">
        <w:t xml:space="preserve">ection 32(a) identifies the purposes behind the constitutional provision, stating that it was “enacted to enhance public safety, improve rehabilitation, and avoid the release of prisoners by federal court order, notwithstanding anything in this article or any other provision of law.”  </w:t>
      </w:r>
      <w:r w:rsidR="00466097" w:rsidRPr="00F273F1">
        <w:t>U</w:t>
      </w:r>
      <w:r w:rsidR="00A84782" w:rsidRPr="00F273F1">
        <w:t xml:space="preserve">ncodified portions of Proposition 57 </w:t>
      </w:r>
      <w:r w:rsidR="00695234" w:rsidRPr="00F273F1">
        <w:t xml:space="preserve">further </w:t>
      </w:r>
      <w:r w:rsidR="00A84782" w:rsidRPr="00F273F1">
        <w:t>identify the initiative’s purpose and intent.  Those purposes, in relevant part, are:  “1.  Protect and enhance public safety.  [¶]  2.  Save money by reducing wasteful spending on prisons.  [¶]  3.  Prevent federal courts from indiscriminately releasing prisoners.  [¶]  4.  Stop the revolving door of crime by emphasizing rehabilitation, especially for juveniles.”  (Voter Information Guide, Gen. Elec. (Nov. 8, 2016) text of Prop. 57, § 2, p.</w:t>
      </w:r>
      <w:r w:rsidR="002C14DA">
        <w:t> </w:t>
      </w:r>
      <w:r w:rsidR="00A84782" w:rsidRPr="00F273F1">
        <w:t>141.)  The initiative also stat</w:t>
      </w:r>
      <w:r w:rsidR="00695234" w:rsidRPr="00F273F1">
        <w:t>e</w:t>
      </w:r>
      <w:r w:rsidR="00A84782" w:rsidRPr="00F273F1">
        <w:t xml:space="preserve">s that the </w:t>
      </w:r>
      <w:r w:rsidR="00A84782" w:rsidRPr="00F273F1">
        <w:lastRenderedPageBreak/>
        <w:t>“act shall be liberally construed to effectuate its purposes.”  (</w:t>
      </w:r>
      <w:r w:rsidR="00A84782" w:rsidRPr="00F273F1">
        <w:rPr>
          <w:i/>
        </w:rPr>
        <w:t>Id</w:t>
      </w:r>
      <w:r w:rsidR="00A84782" w:rsidRPr="00F273F1">
        <w:t>.</w:t>
      </w:r>
      <w:r w:rsidR="00305BEB">
        <w:t>,</w:t>
      </w:r>
      <w:r w:rsidR="00A84782" w:rsidRPr="00F273F1">
        <w:t xml:space="preserve"> §</w:t>
      </w:r>
      <w:r w:rsidR="00266C53">
        <w:t> </w:t>
      </w:r>
      <w:r w:rsidR="00A84782" w:rsidRPr="00F273F1">
        <w:t>9, p.</w:t>
      </w:r>
      <w:r w:rsidR="001F4B27">
        <w:t> </w:t>
      </w:r>
      <w:r w:rsidR="00A84782" w:rsidRPr="00F273F1">
        <w:t xml:space="preserve">146.)    </w:t>
      </w:r>
    </w:p>
    <w:p w14:paraId="59522C35" w14:textId="7FFA3DEC" w:rsidR="00A84782" w:rsidRPr="00F273F1" w:rsidRDefault="008E1E15" w:rsidP="00F273F1">
      <w:pPr>
        <w:pStyle w:val="Heading2"/>
      </w:pPr>
      <w:r w:rsidRPr="00F273F1">
        <w:t>B.  T</w:t>
      </w:r>
      <w:r w:rsidR="00A84782" w:rsidRPr="00F273F1">
        <w:t xml:space="preserve">he </w:t>
      </w:r>
      <w:r w:rsidR="00F47DFB" w:rsidRPr="00F273F1">
        <w:t xml:space="preserve">Department’s </w:t>
      </w:r>
      <w:r w:rsidR="00A84782" w:rsidRPr="00F273F1">
        <w:t>Regulations</w:t>
      </w:r>
    </w:p>
    <w:p w14:paraId="4076E284" w14:textId="431FC8CB" w:rsidR="00A84782" w:rsidRPr="00F273F1" w:rsidRDefault="007C6CA3" w:rsidP="00F273F1">
      <w:pPr>
        <w:tabs>
          <w:tab w:val="left" w:pos="1440"/>
        </w:tabs>
        <w:ind w:firstLine="720"/>
      </w:pPr>
      <w:r w:rsidRPr="00F273F1">
        <w:t>In March 2017</w:t>
      </w:r>
      <w:r w:rsidR="00AB6921" w:rsidRPr="00F273F1">
        <w:t>,</w:t>
      </w:r>
      <w:r w:rsidRPr="00F273F1">
        <w:t xml:space="preserve"> t</w:t>
      </w:r>
      <w:r w:rsidR="00A84782" w:rsidRPr="00F273F1">
        <w:t xml:space="preserve">he Department </w:t>
      </w:r>
      <w:r w:rsidR="00C01333" w:rsidRPr="00F273F1">
        <w:t>proposed</w:t>
      </w:r>
      <w:r w:rsidR="00A84782" w:rsidRPr="00F273F1">
        <w:t xml:space="preserve"> emergency regulations to implement Proposition 57.  Those regulations</w:t>
      </w:r>
      <w:r w:rsidR="00815906" w:rsidRPr="00F273F1">
        <w:t>, which were adopted on a</w:t>
      </w:r>
      <w:r w:rsidR="00986A0D" w:rsidRPr="00F273F1">
        <w:t xml:space="preserve"> temporary </w:t>
      </w:r>
      <w:r w:rsidR="00815906" w:rsidRPr="00F273F1">
        <w:t>basis,</w:t>
      </w:r>
      <w:r w:rsidR="00A84782" w:rsidRPr="00F273F1">
        <w:t xml:space="preserve"> define</w:t>
      </w:r>
      <w:r w:rsidR="007C1CA2">
        <w:t>d</w:t>
      </w:r>
      <w:r w:rsidR="00A84782" w:rsidRPr="00F273F1">
        <w:t xml:space="preserve"> a “nonviolent offender” as an inmate who </w:t>
      </w:r>
      <w:r w:rsidR="002C14DA">
        <w:t>was</w:t>
      </w:r>
      <w:r w:rsidR="00A84782" w:rsidRPr="00F273F1">
        <w:t xml:space="preserve"> </w:t>
      </w:r>
      <w:r w:rsidR="00A84782" w:rsidRPr="00F273F1">
        <w:rPr>
          <w:i/>
          <w:iCs/>
        </w:rPr>
        <w:t>not</w:t>
      </w:r>
      <w:r w:rsidR="00A84782" w:rsidRPr="00F273F1">
        <w:t xml:space="preserve">, among other things, </w:t>
      </w:r>
      <w:r w:rsidR="00C47F61" w:rsidRPr="00F273F1">
        <w:t>serving a term for a violent felony as defined in Penal Code section 667.5, subdivision (c)</w:t>
      </w:r>
      <w:r w:rsidR="00AA6940" w:rsidRPr="00F273F1">
        <w:t xml:space="preserve"> or </w:t>
      </w:r>
      <w:r w:rsidR="00A84782" w:rsidRPr="00F273F1">
        <w:t xml:space="preserve">convicted of a sex offense </w:t>
      </w:r>
      <w:r w:rsidR="00A8541F" w:rsidRPr="00F273F1">
        <w:t>requiring</w:t>
      </w:r>
      <w:r w:rsidR="00A84782" w:rsidRPr="00F273F1">
        <w:t xml:space="preserve"> registration under </w:t>
      </w:r>
      <w:r w:rsidR="00A8541F" w:rsidRPr="00F273F1">
        <w:t>Penal Code</w:t>
      </w:r>
      <w:r w:rsidR="00AA6940" w:rsidRPr="00F273F1">
        <w:t xml:space="preserve"> </w:t>
      </w:r>
      <w:r w:rsidR="00A84782" w:rsidRPr="00F273F1">
        <w:t>section 290.  (</w:t>
      </w:r>
      <w:r w:rsidR="00D46814" w:rsidRPr="00F273F1">
        <w:t xml:space="preserve">Cal. Code Regs., </w:t>
      </w:r>
      <w:r w:rsidR="00A84782" w:rsidRPr="00F273F1">
        <w:t>§§</w:t>
      </w:r>
      <w:r w:rsidR="00266C53">
        <w:t> </w:t>
      </w:r>
      <w:r w:rsidR="00A84782" w:rsidRPr="00F273F1">
        <w:t xml:space="preserve">3490, </w:t>
      </w:r>
      <w:r w:rsidR="00305BEB" w:rsidRPr="00F273F1">
        <w:t xml:space="preserve">former </w:t>
      </w:r>
      <w:r w:rsidR="00A84782" w:rsidRPr="00F273F1">
        <w:t xml:space="preserve">subds. (a), (c), 2449.1, </w:t>
      </w:r>
      <w:r w:rsidR="001B20AE">
        <w:t xml:space="preserve">former </w:t>
      </w:r>
      <w:r w:rsidR="00A84782" w:rsidRPr="00F273F1">
        <w:t>subds. (a), (c).)</w:t>
      </w:r>
      <w:r w:rsidR="00953369" w:rsidRPr="00F273F1">
        <w:t xml:space="preserve">  </w:t>
      </w:r>
      <w:r w:rsidR="00B27D26" w:rsidRPr="00F273F1">
        <w:t>Under th</w:t>
      </w:r>
      <w:r w:rsidR="00014E4B" w:rsidRPr="00F273F1">
        <w:t xml:space="preserve">e </w:t>
      </w:r>
      <w:r w:rsidR="008F6204" w:rsidRPr="00F273F1">
        <w:t>emergency regulation</w:t>
      </w:r>
      <w:r w:rsidR="00014E4B" w:rsidRPr="00F273F1">
        <w:t xml:space="preserve">s, </w:t>
      </w:r>
      <w:r w:rsidR="00953369" w:rsidRPr="00F273F1">
        <w:t xml:space="preserve">inmates with </w:t>
      </w:r>
      <w:r w:rsidR="001F4833" w:rsidRPr="00F273F1">
        <w:t xml:space="preserve">current or </w:t>
      </w:r>
      <w:r w:rsidR="00953369" w:rsidRPr="00F273F1">
        <w:t xml:space="preserve">prior sex offense convictions </w:t>
      </w:r>
      <w:r w:rsidR="00DC045C">
        <w:t xml:space="preserve">requiring registration </w:t>
      </w:r>
      <w:r w:rsidR="00D0251E">
        <w:t>were</w:t>
      </w:r>
      <w:r w:rsidR="00D51D0E" w:rsidRPr="00F273F1">
        <w:t xml:space="preserve"> </w:t>
      </w:r>
      <w:r w:rsidR="00953369" w:rsidRPr="00F273F1">
        <w:t>excluded from nonviolent</w:t>
      </w:r>
      <w:r w:rsidR="00014E4B" w:rsidRPr="00F273F1">
        <w:t xml:space="preserve"> offender</w:t>
      </w:r>
      <w:r w:rsidR="00953369" w:rsidRPr="00F273F1">
        <w:t xml:space="preserve"> parole consideration</w:t>
      </w:r>
      <w:r w:rsidR="00A8541F" w:rsidRPr="00F273F1">
        <w:t>.</w:t>
      </w:r>
    </w:p>
    <w:p w14:paraId="1B171961" w14:textId="766D03CC" w:rsidR="00B4737F" w:rsidRPr="00F273F1" w:rsidRDefault="00A84782" w:rsidP="00F273F1">
      <w:pPr>
        <w:tabs>
          <w:tab w:val="left" w:pos="1440"/>
        </w:tabs>
        <w:ind w:firstLine="720"/>
      </w:pPr>
      <w:r w:rsidRPr="00F273F1">
        <w:t>In May 2018, the Department issued final regulations</w:t>
      </w:r>
      <w:r w:rsidR="00014E4B" w:rsidRPr="00F273F1">
        <w:t xml:space="preserve"> to replace the March 2017 emergency regulations</w:t>
      </w:r>
      <w:r w:rsidRPr="00F273F1">
        <w:t xml:space="preserve">.  </w:t>
      </w:r>
      <w:r w:rsidR="00014E4B" w:rsidRPr="00F273F1">
        <w:t>The May 2018</w:t>
      </w:r>
      <w:r w:rsidRPr="00F273F1">
        <w:t xml:space="preserve"> regulations modified</w:t>
      </w:r>
      <w:r w:rsidR="00014E4B" w:rsidRPr="00F273F1">
        <w:t xml:space="preserve"> </w:t>
      </w:r>
      <w:r w:rsidRPr="00F273F1">
        <w:t xml:space="preserve">the </w:t>
      </w:r>
      <w:r w:rsidR="00965E32" w:rsidRPr="00F273F1">
        <w:t>March 2017</w:t>
      </w:r>
      <w:r w:rsidRPr="00F273F1">
        <w:t xml:space="preserve"> emergency regulations</w:t>
      </w:r>
      <w:r w:rsidR="00965E32" w:rsidRPr="00F273F1">
        <w:t xml:space="preserve"> in </w:t>
      </w:r>
      <w:proofErr w:type="gramStart"/>
      <w:r w:rsidR="00965E32" w:rsidRPr="00F273F1">
        <w:t>various ways</w:t>
      </w:r>
      <w:proofErr w:type="gramEnd"/>
      <w:r w:rsidR="00965E32" w:rsidRPr="00F273F1">
        <w:t>, including</w:t>
      </w:r>
      <w:r w:rsidRPr="00F273F1">
        <w:t xml:space="preserve"> </w:t>
      </w:r>
      <w:r w:rsidR="00695234" w:rsidRPr="00F273F1">
        <w:t>by changing the</w:t>
      </w:r>
      <w:r w:rsidRPr="00F273F1">
        <w:t xml:space="preserve"> definition of “nonviolent offenders.”  </w:t>
      </w:r>
      <w:r w:rsidR="00695234" w:rsidRPr="00F273F1">
        <w:t>As r</w:t>
      </w:r>
      <w:r w:rsidRPr="00F273F1">
        <w:t xml:space="preserve">elevant here, the final regulations </w:t>
      </w:r>
      <w:r w:rsidR="005F2579" w:rsidRPr="00F273F1">
        <w:t>do</w:t>
      </w:r>
      <w:r w:rsidRPr="00F273F1">
        <w:t xml:space="preserve"> not exclude </w:t>
      </w:r>
      <w:r w:rsidR="0035707B" w:rsidRPr="00F273F1">
        <w:t xml:space="preserve">from the definition of “nonviolent offenders” </w:t>
      </w:r>
      <w:r w:rsidRPr="00F273F1">
        <w:t xml:space="preserve">individuals convicted of a </w:t>
      </w:r>
      <w:r w:rsidR="00A9210C" w:rsidRPr="00F273F1">
        <w:t xml:space="preserve">current or prior </w:t>
      </w:r>
      <w:r w:rsidRPr="00F273F1">
        <w:t xml:space="preserve">sex offense requiring registration.  (See </w:t>
      </w:r>
      <w:r w:rsidR="00815527" w:rsidRPr="00F273F1">
        <w:t xml:space="preserve">Cal. Code Regs., </w:t>
      </w:r>
      <w:r w:rsidR="002C14DA">
        <w:t>§</w:t>
      </w:r>
      <w:r w:rsidRPr="00F273F1">
        <w:t>§</w:t>
      </w:r>
      <w:r w:rsidR="00266C53">
        <w:t> </w:t>
      </w:r>
      <w:r w:rsidRPr="00F273F1">
        <w:t xml:space="preserve">3490, </w:t>
      </w:r>
      <w:proofErr w:type="spellStart"/>
      <w:r w:rsidRPr="00F273F1">
        <w:t>subd</w:t>
      </w:r>
      <w:proofErr w:type="spellEnd"/>
      <w:r w:rsidRPr="00F273F1">
        <w:t>. (a)</w:t>
      </w:r>
      <w:r w:rsidR="002E4748">
        <w:t xml:space="preserve"> [defining “determinately-sentenced nonviolent offender”]</w:t>
      </w:r>
      <w:r w:rsidR="002C14DA">
        <w:t xml:space="preserve">, 3495, </w:t>
      </w:r>
      <w:proofErr w:type="spellStart"/>
      <w:r w:rsidR="002C14DA">
        <w:t>subd</w:t>
      </w:r>
      <w:proofErr w:type="spellEnd"/>
      <w:r w:rsidR="002C14DA">
        <w:t>. (a)</w:t>
      </w:r>
      <w:r w:rsidR="002E4748">
        <w:t xml:space="preserve"> [defining “indeterminately-sentenced nonviolent offender”]</w:t>
      </w:r>
      <w:r w:rsidRPr="00F273F1">
        <w:t xml:space="preserve">.)  </w:t>
      </w:r>
      <w:r w:rsidR="00B4737F" w:rsidRPr="00F273F1">
        <w:t xml:space="preserve">Thus, inmates with prior sex offenses requiring registration </w:t>
      </w:r>
      <w:r w:rsidR="00A3326D" w:rsidRPr="00F273F1">
        <w:t>may be</w:t>
      </w:r>
      <w:r w:rsidR="00B4737F" w:rsidRPr="00F273F1">
        <w:t xml:space="preserve"> deemed “nonviolent offenders”</w:t>
      </w:r>
      <w:r w:rsidR="005F2579" w:rsidRPr="00F273F1">
        <w:t xml:space="preserve"> under the final regulations</w:t>
      </w:r>
      <w:r w:rsidR="001F7D0C" w:rsidRPr="00F273F1">
        <w:t xml:space="preserve"> (unless they are excluded on another basis)</w:t>
      </w:r>
      <w:r w:rsidR="005F2579" w:rsidRPr="00F273F1">
        <w:t>.</w:t>
      </w:r>
      <w:r w:rsidR="00B4737F" w:rsidRPr="00F273F1">
        <w:t xml:space="preserve">  T</w:t>
      </w:r>
      <w:r w:rsidRPr="00F273F1">
        <w:t>he regulations state</w:t>
      </w:r>
      <w:r w:rsidR="00B4737F" w:rsidRPr="00F273F1">
        <w:t>, too,</w:t>
      </w:r>
      <w:r w:rsidRPr="00F273F1">
        <w:t xml:space="preserve"> that nonviolent offenders “shall be eligible for parole consideration by the Board of Parole Hearings.”  (</w:t>
      </w:r>
      <w:r w:rsidR="00815527" w:rsidRPr="00F273F1">
        <w:rPr>
          <w:i/>
        </w:rPr>
        <w:t>Id</w:t>
      </w:r>
      <w:r w:rsidR="00815527" w:rsidRPr="00F273F1">
        <w:t>.</w:t>
      </w:r>
      <w:r w:rsidR="001B20AE">
        <w:t>,</w:t>
      </w:r>
      <w:r w:rsidR="00815527" w:rsidRPr="00F273F1">
        <w:t xml:space="preserve"> </w:t>
      </w:r>
      <w:r w:rsidRPr="00F273F1">
        <w:t>§</w:t>
      </w:r>
      <w:r w:rsidR="00266C53">
        <w:t> </w:t>
      </w:r>
      <w:r w:rsidRPr="00F273F1">
        <w:t xml:space="preserve">3491, </w:t>
      </w:r>
      <w:proofErr w:type="spellStart"/>
      <w:r w:rsidRPr="00F273F1">
        <w:t>subd</w:t>
      </w:r>
      <w:proofErr w:type="spellEnd"/>
      <w:r w:rsidRPr="00F273F1">
        <w:t>. (a)</w:t>
      </w:r>
      <w:r w:rsidR="002E4748">
        <w:t xml:space="preserve">; see also § 3496, </w:t>
      </w:r>
      <w:proofErr w:type="spellStart"/>
      <w:r w:rsidR="002E4748">
        <w:t>subd</w:t>
      </w:r>
      <w:proofErr w:type="spellEnd"/>
      <w:r w:rsidR="002E4748">
        <w:t>. (a)</w:t>
      </w:r>
      <w:r w:rsidRPr="00F273F1">
        <w:t xml:space="preserve">.)  </w:t>
      </w:r>
    </w:p>
    <w:p w14:paraId="2BDCC60F" w14:textId="3A59E3D3" w:rsidR="00A84782" w:rsidRPr="00F273F1" w:rsidRDefault="00C67B36" w:rsidP="00F273F1">
      <w:pPr>
        <w:tabs>
          <w:tab w:val="left" w:pos="1440"/>
        </w:tabs>
        <w:ind w:firstLine="720"/>
      </w:pPr>
      <w:r w:rsidRPr="00F273F1">
        <w:lastRenderedPageBreak/>
        <w:t>T</w:t>
      </w:r>
      <w:r w:rsidR="001467AC" w:rsidRPr="00F273F1">
        <w:t xml:space="preserve">he </w:t>
      </w:r>
      <w:r w:rsidR="00344A2B" w:rsidRPr="00F273F1">
        <w:t xml:space="preserve">final </w:t>
      </w:r>
      <w:r w:rsidR="001467AC" w:rsidRPr="00F273F1">
        <w:t>regulations go on to say that</w:t>
      </w:r>
      <w:r w:rsidR="00A84782" w:rsidRPr="00F273F1">
        <w:t>, “[n]</w:t>
      </w:r>
      <w:proofErr w:type="spellStart"/>
      <w:r w:rsidR="00A84782" w:rsidRPr="00F273F1">
        <w:t>otwithstanding</w:t>
      </w:r>
      <w:proofErr w:type="spellEnd"/>
      <w:r w:rsidR="00A84782" w:rsidRPr="00F273F1">
        <w:t xml:space="preserve"> </w:t>
      </w:r>
      <w:r w:rsidR="006E6BC4">
        <w:t>[section 3491</w:t>
      </w:r>
      <w:r w:rsidR="007609C0">
        <w:t>,</w:t>
      </w:r>
      <w:r w:rsidR="006E6BC4">
        <w:t xml:space="preserve">] </w:t>
      </w:r>
      <w:r w:rsidR="00A84782" w:rsidRPr="00F273F1">
        <w:t>subsection (a)</w:t>
      </w:r>
      <w:r w:rsidR="006E6BC4">
        <w:t>,</w:t>
      </w:r>
      <w:r w:rsidR="00A84782" w:rsidRPr="00F273F1">
        <w:t>”</w:t>
      </w:r>
      <w:r w:rsidR="00C45F1A">
        <w:t xml:space="preserve"> </w:t>
      </w:r>
      <w:r w:rsidR="00A84782" w:rsidRPr="00F273F1">
        <w:t>even nonviolent offenders are “not eligible for parole consideration” if</w:t>
      </w:r>
      <w:r w:rsidR="0080433C">
        <w:t>, among other things,</w:t>
      </w:r>
      <w:r w:rsidR="00A84782" w:rsidRPr="00F273F1">
        <w:t xml:space="preserve"> “[t]he inmate is convicted of a sexual offense that currently requires or will require registration as a sex offender under the Sex Offender Registration Act, codified in </w:t>
      </w:r>
      <w:r w:rsidR="001B20AE">
        <w:t>S</w:t>
      </w:r>
      <w:r w:rsidR="001B20AE" w:rsidRPr="00F273F1">
        <w:t xml:space="preserve">ections </w:t>
      </w:r>
      <w:r w:rsidR="00A84782" w:rsidRPr="00F273F1">
        <w:t>290 through 290.024 of the Penal Code.”  (</w:t>
      </w:r>
      <w:r w:rsidR="0064245F">
        <w:rPr>
          <w:iCs/>
        </w:rPr>
        <w:t>Cal. Code Regs</w:t>
      </w:r>
      <w:r w:rsidR="00A97247" w:rsidRPr="00F273F1">
        <w:t xml:space="preserve">., </w:t>
      </w:r>
      <w:r w:rsidR="00A84782" w:rsidRPr="00F273F1">
        <w:t>§</w:t>
      </w:r>
      <w:r w:rsidR="00266C53">
        <w:t> </w:t>
      </w:r>
      <w:r w:rsidR="00A84782" w:rsidRPr="00F273F1">
        <w:t xml:space="preserve">3491, </w:t>
      </w:r>
      <w:proofErr w:type="spellStart"/>
      <w:r w:rsidR="00A84782" w:rsidRPr="00F273F1">
        <w:t>subd</w:t>
      </w:r>
      <w:proofErr w:type="spellEnd"/>
      <w:r w:rsidR="00A84782" w:rsidRPr="00F273F1">
        <w:t>.</w:t>
      </w:r>
      <w:r w:rsidR="002D4EF8" w:rsidRPr="00F273F1">
        <w:t xml:space="preserve"> (b),</w:t>
      </w:r>
      <w:r w:rsidR="00A84782" w:rsidRPr="00F273F1">
        <w:t xml:space="preserve"> (b)(3)</w:t>
      </w:r>
      <w:r w:rsidR="002E4748">
        <w:t xml:space="preserve">; see also § 3496, </w:t>
      </w:r>
      <w:proofErr w:type="spellStart"/>
      <w:r w:rsidR="002E4748">
        <w:t>subd</w:t>
      </w:r>
      <w:proofErr w:type="spellEnd"/>
      <w:r w:rsidR="002E4748">
        <w:t>. (b)</w:t>
      </w:r>
      <w:r w:rsidR="00A84782" w:rsidRPr="00F273F1">
        <w:t>.)</w:t>
      </w:r>
      <w:r w:rsidR="00BC0B24" w:rsidRPr="00F273F1">
        <w:rPr>
          <w:rStyle w:val="FootnoteReference"/>
        </w:rPr>
        <w:footnoteReference w:id="8"/>
      </w:r>
      <w:r w:rsidR="000F56EE" w:rsidRPr="00F273F1">
        <w:t xml:space="preserve">  </w:t>
      </w:r>
    </w:p>
    <w:p w14:paraId="4FA6FAB3" w14:textId="77313301" w:rsidR="00A84782" w:rsidRPr="00F273F1" w:rsidRDefault="00A84782" w:rsidP="00F273F1">
      <w:pPr>
        <w:tabs>
          <w:tab w:val="left" w:pos="1440"/>
        </w:tabs>
        <w:ind w:firstLine="720"/>
      </w:pPr>
      <w:r w:rsidRPr="00F273F1">
        <w:t xml:space="preserve">The </w:t>
      </w:r>
      <w:r w:rsidR="00D15478">
        <w:t>f</w:t>
      </w:r>
      <w:r w:rsidRPr="00F273F1">
        <w:t xml:space="preserve">inal </w:t>
      </w:r>
      <w:r w:rsidR="00D15478">
        <w:t>s</w:t>
      </w:r>
      <w:r w:rsidRPr="00F273F1">
        <w:t xml:space="preserve">tatement of </w:t>
      </w:r>
      <w:r w:rsidR="00D15478">
        <w:t>r</w:t>
      </w:r>
      <w:r w:rsidRPr="00F273F1">
        <w:t>easons accompanying the May 2018 regulations acknowledged that individuals convicted of a sex offense “are no longer excluded from the definition of ‘nonviolent offender.’</w:t>
      </w:r>
      <w:r w:rsidR="00913A26" w:rsidRPr="00F273F1">
        <w:t> </w:t>
      </w:r>
      <w:r w:rsidRPr="00F273F1">
        <w:t>”  (</w:t>
      </w:r>
      <w:r w:rsidR="00E166FC">
        <w:t xml:space="preserve">Dept. of Corrections and Rehabilitation, Credit Earning and Parole Consideration </w:t>
      </w:r>
      <w:r w:rsidR="00F47DFB" w:rsidRPr="00F273F1">
        <w:t>Final Statement of Reasons</w:t>
      </w:r>
      <w:r w:rsidR="001228F7">
        <w:t xml:space="preserve"> (2018)</w:t>
      </w:r>
      <w:r w:rsidRPr="00F273F1">
        <w:t xml:space="preserve"> p.</w:t>
      </w:r>
      <w:r w:rsidR="001228F7">
        <w:t> </w:t>
      </w:r>
      <w:r w:rsidRPr="00F273F1">
        <w:t xml:space="preserve">14.)  </w:t>
      </w:r>
      <w:r w:rsidR="00B12832" w:rsidRPr="00F273F1">
        <w:t>It went on to explain</w:t>
      </w:r>
      <w:r w:rsidRPr="00F273F1">
        <w:t xml:space="preserve"> </w:t>
      </w:r>
      <w:r w:rsidR="00B12832" w:rsidRPr="00F273F1">
        <w:t>that</w:t>
      </w:r>
      <w:r w:rsidR="00100879">
        <w:t>,</w:t>
      </w:r>
      <w:r w:rsidR="00C63093" w:rsidRPr="00F273F1">
        <w:t xml:space="preserve"> notwithstanding that definition</w:t>
      </w:r>
      <w:r w:rsidR="00100879">
        <w:t>,</w:t>
      </w:r>
      <w:r w:rsidR="00B12832" w:rsidRPr="00F273F1">
        <w:t xml:space="preserve"> inmates </w:t>
      </w:r>
      <w:r w:rsidR="00980EB5">
        <w:t xml:space="preserve">currently or previously </w:t>
      </w:r>
      <w:r w:rsidR="00B12832" w:rsidRPr="00F273F1">
        <w:t xml:space="preserve">convicted of a sex offense requiring registration </w:t>
      </w:r>
      <w:r w:rsidRPr="00F273F1">
        <w:t>would</w:t>
      </w:r>
      <w:r w:rsidR="005E43A8" w:rsidRPr="00F273F1">
        <w:t xml:space="preserve"> be excluded from nonviolent</w:t>
      </w:r>
      <w:r w:rsidR="00FB1F77" w:rsidRPr="00F273F1">
        <w:t xml:space="preserve"> offender</w:t>
      </w:r>
      <w:r w:rsidR="005E43A8" w:rsidRPr="00F273F1">
        <w:t xml:space="preserve"> parole consideration based on public safety concerns.</w:t>
      </w:r>
      <w:r w:rsidRPr="00F273F1">
        <w:t xml:space="preserve">  (</w:t>
      </w:r>
      <w:r w:rsidR="0087251F" w:rsidRPr="00F273F1">
        <w:rPr>
          <w:i/>
          <w:iCs/>
        </w:rPr>
        <w:t>Id</w:t>
      </w:r>
      <w:r w:rsidR="0087251F" w:rsidRPr="00F273F1">
        <w:t>.</w:t>
      </w:r>
      <w:r w:rsidRPr="00F273F1">
        <w:t xml:space="preserve"> </w:t>
      </w:r>
      <w:r w:rsidR="0045381C">
        <w:t xml:space="preserve">at </w:t>
      </w:r>
      <w:r w:rsidRPr="00F273F1">
        <w:t>p</w:t>
      </w:r>
      <w:r w:rsidR="005E43A8" w:rsidRPr="00F273F1">
        <w:t>p</w:t>
      </w:r>
      <w:r w:rsidRPr="00F273F1">
        <w:t>.</w:t>
      </w:r>
      <w:r w:rsidR="001228F7">
        <w:t> </w:t>
      </w:r>
      <w:r w:rsidRPr="00F273F1">
        <w:t>14</w:t>
      </w:r>
      <w:r w:rsidR="005E43A8" w:rsidRPr="00F273F1">
        <w:t>, 20</w:t>
      </w:r>
      <w:r w:rsidRPr="00F273F1">
        <w:t>.)</w:t>
      </w:r>
      <w:r w:rsidR="00EA1821" w:rsidRPr="00F273F1">
        <w:rPr>
          <w:rStyle w:val="FootnoteReference"/>
        </w:rPr>
        <w:footnoteReference w:id="9"/>
      </w:r>
      <w:r w:rsidRPr="00F273F1">
        <w:t xml:space="preserve">  The </w:t>
      </w:r>
      <w:r w:rsidR="0045381C">
        <w:t>s</w:t>
      </w:r>
      <w:r w:rsidR="00E80796" w:rsidRPr="00F273F1">
        <w:t xml:space="preserve">tatement </w:t>
      </w:r>
      <w:r w:rsidR="00AE5831" w:rsidRPr="00F273F1">
        <w:t>asserted</w:t>
      </w:r>
      <w:r w:rsidRPr="00F273F1">
        <w:t xml:space="preserve"> that </w:t>
      </w:r>
      <w:r w:rsidR="005E43A8" w:rsidRPr="00F273F1">
        <w:t>such</w:t>
      </w:r>
      <w:r w:rsidRPr="00F273F1">
        <w:t xml:space="preserve"> offenders pose a “potentially high </w:t>
      </w:r>
      <w:r w:rsidRPr="00F273F1">
        <w:lastRenderedPageBreak/>
        <w:t>risk of committing further sex offenses after release from incarceration or commitment, and that protection of the public from reoffending by these offenders is a paramount public interest.”  (</w:t>
      </w:r>
      <w:r w:rsidR="0087251F" w:rsidRPr="00F273F1">
        <w:rPr>
          <w:i/>
          <w:iCs/>
        </w:rPr>
        <w:t>Id</w:t>
      </w:r>
      <w:r w:rsidR="0087251F" w:rsidRPr="00F273F1">
        <w:t>.</w:t>
      </w:r>
      <w:r w:rsidRPr="00F273F1">
        <w:t xml:space="preserve"> </w:t>
      </w:r>
      <w:r w:rsidR="001228F7">
        <w:t xml:space="preserve">at </w:t>
      </w:r>
      <w:r w:rsidRPr="00F273F1">
        <w:t>p.</w:t>
      </w:r>
      <w:r w:rsidR="001228F7">
        <w:t> </w:t>
      </w:r>
      <w:r w:rsidRPr="00F273F1">
        <w:t>20.)</w:t>
      </w:r>
      <w:r w:rsidR="002C1829" w:rsidRPr="00F273F1">
        <w:rPr>
          <w:rStyle w:val="FootnoteReference"/>
        </w:rPr>
        <w:footnoteReference w:id="10"/>
      </w:r>
      <w:r w:rsidRPr="00F273F1">
        <w:t xml:space="preserve">   </w:t>
      </w:r>
    </w:p>
    <w:p w14:paraId="5FD18EC7" w14:textId="5D3C4202" w:rsidR="00413DCE" w:rsidRPr="00F273F1" w:rsidRDefault="00DD4968" w:rsidP="00F273F1">
      <w:pPr>
        <w:pStyle w:val="Heading2"/>
      </w:pPr>
      <w:r w:rsidRPr="00F273F1">
        <w:t xml:space="preserve">C.  </w:t>
      </w:r>
      <w:r w:rsidR="000D52AC" w:rsidRPr="00F273F1">
        <w:t xml:space="preserve">Other Cases Regarding </w:t>
      </w:r>
      <w:r w:rsidR="0068153E" w:rsidRPr="00F273F1">
        <w:t xml:space="preserve">Nonviolent Offender </w:t>
      </w:r>
      <w:r w:rsidR="000D52AC" w:rsidRPr="00F273F1">
        <w:t xml:space="preserve">Parole Consideration </w:t>
      </w:r>
    </w:p>
    <w:p w14:paraId="1B7D5BA0" w14:textId="1B0CA389" w:rsidR="00BA0B00" w:rsidRPr="00F273F1" w:rsidRDefault="00157C6D" w:rsidP="00F273F1">
      <w:pPr>
        <w:tabs>
          <w:tab w:val="left" w:pos="1440"/>
        </w:tabs>
        <w:ind w:firstLine="720"/>
      </w:pPr>
      <w:r w:rsidRPr="00F273F1">
        <w:t xml:space="preserve">In addition to excluding </w:t>
      </w:r>
      <w:r w:rsidR="00DD2BA8" w:rsidRPr="00F273F1">
        <w:t xml:space="preserve">from parole consideration </w:t>
      </w:r>
      <w:r w:rsidRPr="00F273F1">
        <w:t xml:space="preserve">inmates convicted of prior </w:t>
      </w:r>
      <w:r w:rsidR="00FC25B7" w:rsidRPr="00F273F1">
        <w:t xml:space="preserve">offenses requiring registration, the </w:t>
      </w:r>
      <w:r w:rsidR="00A05CB1" w:rsidRPr="00F273F1">
        <w:t>May 2018</w:t>
      </w:r>
      <w:r w:rsidR="00497030" w:rsidRPr="00F273F1">
        <w:t xml:space="preserve"> regulations</w:t>
      </w:r>
      <w:r w:rsidR="00FC25B7" w:rsidRPr="00F273F1">
        <w:t xml:space="preserve"> categorically</w:t>
      </w:r>
      <w:r w:rsidR="00497030" w:rsidRPr="00F273F1">
        <w:t xml:space="preserve"> excluded </w:t>
      </w:r>
      <w:r w:rsidR="00FC25B7" w:rsidRPr="00F273F1">
        <w:t>certain other “nonviolent offenders”:  (</w:t>
      </w:r>
      <w:proofErr w:type="spellStart"/>
      <w:r w:rsidR="00FC25B7" w:rsidRPr="00F273F1">
        <w:t>i</w:t>
      </w:r>
      <w:proofErr w:type="spellEnd"/>
      <w:r w:rsidR="00FC25B7" w:rsidRPr="00F273F1">
        <w:t xml:space="preserve">) </w:t>
      </w:r>
      <w:r w:rsidR="00083130" w:rsidRPr="00F273F1">
        <w:t xml:space="preserve">inmates deemed ineligible based on a </w:t>
      </w:r>
      <w:r w:rsidR="00D832B8">
        <w:t>p</w:t>
      </w:r>
      <w:r w:rsidR="00083130" w:rsidRPr="00F273F1">
        <w:t xml:space="preserve">ublic </w:t>
      </w:r>
      <w:r w:rsidR="00D832B8">
        <w:t>s</w:t>
      </w:r>
      <w:r w:rsidR="00D832B8" w:rsidRPr="00F273F1">
        <w:t xml:space="preserve">afety </w:t>
      </w:r>
      <w:r w:rsidR="00D832B8">
        <w:t>s</w:t>
      </w:r>
      <w:r w:rsidR="00D832B8" w:rsidRPr="00F273F1">
        <w:t xml:space="preserve">creening </w:t>
      </w:r>
      <w:r w:rsidR="00083130" w:rsidRPr="00F273F1">
        <w:t xml:space="preserve">and </w:t>
      </w:r>
      <w:r w:rsidR="00D832B8">
        <w:t>r</w:t>
      </w:r>
      <w:r w:rsidR="00D832B8" w:rsidRPr="00F273F1">
        <w:t>eferral</w:t>
      </w:r>
      <w:r w:rsidR="00083130" w:rsidRPr="00F273F1">
        <w:t>, and, as noted, (ii) inmates serving an indeterminate term under the Three Strikes law, even whe</w:t>
      </w:r>
      <w:r w:rsidR="006E202E" w:rsidRPr="00F273F1">
        <w:t>n</w:t>
      </w:r>
      <w:r w:rsidR="00083130" w:rsidRPr="00F273F1">
        <w:t xml:space="preserve"> the third strike </w:t>
      </w:r>
      <w:r w:rsidR="002E4748">
        <w:t>was</w:t>
      </w:r>
      <w:r w:rsidR="00E810A7" w:rsidRPr="00F273F1">
        <w:t xml:space="preserve"> </w:t>
      </w:r>
      <w:r w:rsidR="00083130" w:rsidRPr="00F273F1">
        <w:t>a nonviolent felony.  Court</w:t>
      </w:r>
      <w:r w:rsidR="005A6038">
        <w:t>s</w:t>
      </w:r>
      <w:r w:rsidR="00083130" w:rsidRPr="00F273F1">
        <w:t xml:space="preserve"> of Appeal </w:t>
      </w:r>
      <w:r w:rsidR="004B1FBC" w:rsidRPr="00F273F1">
        <w:t xml:space="preserve">have </w:t>
      </w:r>
      <w:r w:rsidR="00FB08C5" w:rsidRPr="00F273F1">
        <w:t xml:space="preserve">invalidated </w:t>
      </w:r>
      <w:r w:rsidR="00083130" w:rsidRPr="00F273F1">
        <w:t>both exclusions as inconsistent with Proposition 57</w:t>
      </w:r>
      <w:r w:rsidR="00D26AEE" w:rsidRPr="00F273F1">
        <w:t xml:space="preserve"> </w:t>
      </w:r>
      <w:r w:rsidR="00083130" w:rsidRPr="00F273F1">
        <w:t xml:space="preserve">and </w:t>
      </w:r>
      <w:r w:rsidR="00D26AEE" w:rsidRPr="00F273F1">
        <w:t xml:space="preserve">have </w:t>
      </w:r>
      <w:r w:rsidR="00083130" w:rsidRPr="00F273F1">
        <w:t>directed</w:t>
      </w:r>
      <w:r w:rsidR="002B2D86" w:rsidRPr="00F273F1">
        <w:t xml:space="preserve"> the Department to adopt new regulations consistent with </w:t>
      </w:r>
      <w:r w:rsidR="008027DC">
        <w:t>the constitutional provision</w:t>
      </w:r>
      <w:r w:rsidR="002B2D86" w:rsidRPr="00F273F1">
        <w:t>.</w:t>
      </w:r>
      <w:r w:rsidR="004B1B0E" w:rsidRPr="00F273F1">
        <w:t xml:space="preserve">  (See </w:t>
      </w:r>
      <w:r w:rsidR="004B1B0E" w:rsidRPr="00F273F1">
        <w:rPr>
          <w:i/>
          <w:iCs/>
        </w:rPr>
        <w:t>In re McGhee</w:t>
      </w:r>
      <w:r w:rsidR="004B1B0E" w:rsidRPr="00F273F1">
        <w:t xml:space="preserve"> (2019) 34 Cal.App.5th 902 (</w:t>
      </w:r>
      <w:r w:rsidR="004B1B0E" w:rsidRPr="00F273F1">
        <w:rPr>
          <w:i/>
          <w:iCs/>
        </w:rPr>
        <w:t>McGhee</w:t>
      </w:r>
      <w:r w:rsidR="004B1B0E" w:rsidRPr="00F273F1">
        <w:t xml:space="preserve">); </w:t>
      </w:r>
      <w:r w:rsidR="004B1B0E" w:rsidRPr="00F273F1">
        <w:rPr>
          <w:i/>
          <w:iCs/>
        </w:rPr>
        <w:t>Edwards</w:t>
      </w:r>
      <w:r w:rsidR="004B1B0E" w:rsidRPr="00F273F1">
        <w:t xml:space="preserve">, </w:t>
      </w:r>
      <w:r w:rsidR="004B1B0E" w:rsidRPr="00F273F1">
        <w:rPr>
          <w:i/>
          <w:iCs/>
        </w:rPr>
        <w:t>supra</w:t>
      </w:r>
      <w:r w:rsidR="004B1B0E" w:rsidRPr="00F273F1">
        <w:t xml:space="preserve">, </w:t>
      </w:r>
      <w:r w:rsidR="004B1B0E" w:rsidRPr="00F273F1">
        <w:lastRenderedPageBreak/>
        <w:t>26</w:t>
      </w:r>
      <w:r w:rsidR="002278BD">
        <w:t> </w:t>
      </w:r>
      <w:r w:rsidR="004B1B0E" w:rsidRPr="00F273F1">
        <w:t>Cal.App.5th at p. 1181.)</w:t>
      </w:r>
      <w:r w:rsidR="002B2D86" w:rsidRPr="00F273F1">
        <w:t xml:space="preserve"> </w:t>
      </w:r>
      <w:r w:rsidR="004B1B0E" w:rsidRPr="00F273F1">
        <w:t xml:space="preserve"> </w:t>
      </w:r>
      <w:r w:rsidR="002B2D86" w:rsidRPr="00F273F1">
        <w:t>T</w:t>
      </w:r>
      <w:r w:rsidR="004B1B0E" w:rsidRPr="00F273F1">
        <w:t>he Department did not seek review in either case.</w:t>
      </w:r>
      <w:r w:rsidR="002B2D86" w:rsidRPr="00F273F1">
        <w:rPr>
          <w:rStyle w:val="FootnoteReference"/>
        </w:rPr>
        <w:footnoteReference w:id="11"/>
      </w:r>
    </w:p>
    <w:p w14:paraId="4CA8134D" w14:textId="2AD53853" w:rsidR="00371C63" w:rsidRPr="00F273F1" w:rsidRDefault="00561714" w:rsidP="008026E5">
      <w:pPr>
        <w:pStyle w:val="Heading2"/>
      </w:pPr>
      <w:r w:rsidRPr="00F273F1">
        <w:t xml:space="preserve">D.  </w:t>
      </w:r>
      <w:r w:rsidR="000065EB" w:rsidRPr="00F273F1">
        <w:t xml:space="preserve">Standard of Review and </w:t>
      </w:r>
      <w:r w:rsidR="004B1B0E" w:rsidRPr="00F273F1">
        <w:t>Principles</w:t>
      </w:r>
      <w:r w:rsidR="00371C63" w:rsidRPr="00F273F1">
        <w:t xml:space="preserve"> of Statutory Interpretation </w:t>
      </w:r>
    </w:p>
    <w:p w14:paraId="47A84E24" w14:textId="3FCFA302" w:rsidR="00D100EC" w:rsidRPr="00F273F1" w:rsidRDefault="00D100EC" w:rsidP="00F273F1">
      <w:pPr>
        <w:tabs>
          <w:tab w:val="left" w:pos="720"/>
        </w:tabs>
        <w:ind w:firstLine="720"/>
      </w:pPr>
      <w:r w:rsidRPr="00F273F1">
        <w:t xml:space="preserve">The principles </w:t>
      </w:r>
      <w:r w:rsidR="00E73846" w:rsidRPr="00F273F1">
        <w:t xml:space="preserve">applicable to determining the validity of regulations promulgated by a state agency </w:t>
      </w:r>
      <w:r w:rsidRPr="00F273F1">
        <w:t>are well</w:t>
      </w:r>
      <w:r w:rsidR="00BB3176">
        <w:t xml:space="preserve"> </w:t>
      </w:r>
      <w:r w:rsidRPr="00F273F1">
        <w:t>settled.</w:t>
      </w:r>
      <w:r w:rsidR="00E73846" w:rsidRPr="00F273F1">
        <w:t xml:space="preserve">  Those </w:t>
      </w:r>
      <w:r w:rsidR="000A28D6" w:rsidRPr="00F273F1">
        <w:t xml:space="preserve">precepts </w:t>
      </w:r>
      <w:r w:rsidR="00E73846" w:rsidRPr="00F273F1">
        <w:t xml:space="preserve">have traditionally been applied in the context of </w:t>
      </w:r>
      <w:r w:rsidR="008D21CA" w:rsidRPr="00F273F1">
        <w:t xml:space="preserve">a state agency’s regulations </w:t>
      </w:r>
      <w:r w:rsidR="00A20011" w:rsidRPr="00F273F1">
        <w:t>addressing</w:t>
      </w:r>
      <w:r w:rsidR="00794617" w:rsidRPr="00F273F1">
        <w:t xml:space="preserve"> statute</w:t>
      </w:r>
      <w:r w:rsidR="00F17BF2" w:rsidRPr="00F273F1">
        <w:t>s</w:t>
      </w:r>
      <w:r w:rsidR="00794617" w:rsidRPr="00F273F1">
        <w:t xml:space="preserve"> enacted by the </w:t>
      </w:r>
      <w:r w:rsidR="000D19D7">
        <w:t>L</w:t>
      </w:r>
      <w:r w:rsidR="00794617" w:rsidRPr="00F273F1">
        <w:t xml:space="preserve">egislature.  (See </w:t>
      </w:r>
      <w:r w:rsidR="00794617" w:rsidRPr="00F273F1">
        <w:rPr>
          <w:i/>
        </w:rPr>
        <w:t>Morris v. Williams</w:t>
      </w:r>
      <w:r w:rsidR="00794617" w:rsidRPr="00F273F1">
        <w:t xml:space="preserve"> (1967) 67 Cal.2d 733, 748</w:t>
      </w:r>
      <w:r w:rsidR="00BD4D46" w:rsidRPr="00F273F1">
        <w:t xml:space="preserve"> (</w:t>
      </w:r>
      <w:r w:rsidR="00BD4D46" w:rsidRPr="00F273F1">
        <w:rPr>
          <w:i/>
        </w:rPr>
        <w:t>Morris</w:t>
      </w:r>
      <w:r w:rsidR="00BD4D46" w:rsidRPr="00F273F1">
        <w:t>)</w:t>
      </w:r>
      <w:r w:rsidR="00794617" w:rsidRPr="00F273F1">
        <w:t>.)</w:t>
      </w:r>
      <w:r w:rsidR="008D21CA" w:rsidRPr="00F273F1">
        <w:t xml:space="preserve"> </w:t>
      </w:r>
      <w:r w:rsidR="00E73846" w:rsidRPr="00F273F1">
        <w:t xml:space="preserve"> </w:t>
      </w:r>
      <w:r w:rsidR="0087064D">
        <w:t>Neither party argues</w:t>
      </w:r>
      <w:r w:rsidR="00794617" w:rsidRPr="00F273F1">
        <w:t xml:space="preserve"> that th</w:t>
      </w:r>
      <w:r w:rsidR="00F17BF2" w:rsidRPr="00F273F1">
        <w:t xml:space="preserve">e relevant principles </w:t>
      </w:r>
      <w:r w:rsidR="0087064D">
        <w:t xml:space="preserve">of interpretation </w:t>
      </w:r>
      <w:r w:rsidR="00F17BF2" w:rsidRPr="00F273F1">
        <w:t>differ</w:t>
      </w:r>
      <w:r w:rsidR="00794617" w:rsidRPr="00F273F1">
        <w:t xml:space="preserve"> </w:t>
      </w:r>
      <w:r w:rsidR="000045C2" w:rsidRPr="00F273F1">
        <w:t>when</w:t>
      </w:r>
      <w:r w:rsidR="00C77894" w:rsidRPr="00F273F1">
        <w:t xml:space="preserve"> an agency has promulgated regulations to give force to a</w:t>
      </w:r>
      <w:r w:rsidR="00CC7074" w:rsidRPr="00F273F1">
        <w:t xml:space="preserve"> constitutional provision</w:t>
      </w:r>
      <w:r w:rsidR="00C77894" w:rsidRPr="00F273F1">
        <w:t>, rather than a statutory provision</w:t>
      </w:r>
      <w:r w:rsidR="00CC7074" w:rsidRPr="00F273F1">
        <w:t xml:space="preserve">.  </w:t>
      </w:r>
      <w:r w:rsidR="0087064D">
        <w:t xml:space="preserve">The parties in this case have not suggested an alternative framework to interpret agency regulations authorized by constitutional provisions, and we see no reason to think </w:t>
      </w:r>
      <w:r w:rsidR="008027DC">
        <w:t>a different framework</w:t>
      </w:r>
      <w:r w:rsidR="0087064D">
        <w:t xml:space="preserve"> would lead to a different result.  </w:t>
      </w:r>
      <w:r w:rsidR="00301CB5">
        <w:t>Therefore, f</w:t>
      </w:r>
      <w:r w:rsidR="00C77894" w:rsidRPr="00F273F1">
        <w:t>or purposes of this case</w:t>
      </w:r>
      <w:r w:rsidR="00301CB5">
        <w:t xml:space="preserve"> </w:t>
      </w:r>
      <w:r w:rsidR="00D2322B">
        <w:t xml:space="preserve">we proceed as though </w:t>
      </w:r>
      <w:r w:rsidR="00ED556A" w:rsidRPr="00F273F1">
        <w:t xml:space="preserve">the </w:t>
      </w:r>
      <w:r w:rsidR="009E1ED0">
        <w:t>ordinary</w:t>
      </w:r>
      <w:r w:rsidR="00C27556" w:rsidRPr="00F273F1">
        <w:t xml:space="preserve"> analytical approach </w:t>
      </w:r>
      <w:r w:rsidR="00ED556A" w:rsidRPr="00F273F1">
        <w:t>appl</w:t>
      </w:r>
      <w:r w:rsidR="00C27556" w:rsidRPr="00F273F1">
        <w:t>ies</w:t>
      </w:r>
      <w:r w:rsidR="00ED556A" w:rsidRPr="00F273F1">
        <w:t>.</w:t>
      </w:r>
      <w:r w:rsidR="00BD4D46" w:rsidRPr="00F273F1">
        <w:t xml:space="preserve">  (</w:t>
      </w:r>
      <w:r w:rsidRPr="00F273F1">
        <w:t xml:space="preserve">Cf. </w:t>
      </w:r>
      <w:r w:rsidR="00BD4D46" w:rsidRPr="00F273F1">
        <w:rPr>
          <w:i/>
        </w:rPr>
        <w:t xml:space="preserve">Samara v. </w:t>
      </w:r>
      <w:proofErr w:type="spellStart"/>
      <w:r w:rsidR="00BD4D46" w:rsidRPr="00F273F1">
        <w:rPr>
          <w:i/>
        </w:rPr>
        <w:t>Matar</w:t>
      </w:r>
      <w:proofErr w:type="spellEnd"/>
      <w:r w:rsidR="00BD4D46" w:rsidRPr="00F273F1">
        <w:t xml:space="preserve"> (2018) 5</w:t>
      </w:r>
      <w:r w:rsidR="00E64DAB">
        <w:t> </w:t>
      </w:r>
      <w:r w:rsidR="00BD4D46" w:rsidRPr="00F273F1">
        <w:t xml:space="preserve">Cal.5th 322, </w:t>
      </w:r>
      <w:r w:rsidR="00DA6596" w:rsidRPr="00F273F1">
        <w:t>330.)</w:t>
      </w:r>
    </w:p>
    <w:p w14:paraId="3390EA8A" w14:textId="253F181A" w:rsidR="00CB2F43" w:rsidRPr="00F273F1" w:rsidRDefault="00D748D1" w:rsidP="00F273F1">
      <w:pPr>
        <w:tabs>
          <w:tab w:val="left" w:pos="720"/>
        </w:tabs>
        <w:ind w:firstLine="720"/>
      </w:pPr>
      <w:r w:rsidRPr="00F273F1">
        <w:t>In evaluating the validity of a regulation</w:t>
      </w:r>
      <w:r w:rsidR="00D100EC" w:rsidRPr="00F273F1">
        <w:t xml:space="preserve"> under these principles</w:t>
      </w:r>
      <w:r w:rsidRPr="00F273F1">
        <w:t xml:space="preserve">, we first ask whether </w:t>
      </w:r>
      <w:r w:rsidR="000A63E3" w:rsidRPr="00F273F1">
        <w:t>the regulation is “</w:t>
      </w:r>
      <w:r w:rsidR="0049273F">
        <w:t> ‘</w:t>
      </w:r>
      <w:r w:rsidR="000A63E3" w:rsidRPr="00F273F1">
        <w:t>consistent and not in conflict with</w:t>
      </w:r>
      <w:r w:rsidR="0049273F">
        <w:t>’ </w:t>
      </w:r>
      <w:r w:rsidR="000A63E3" w:rsidRPr="00F273F1">
        <w:t>” the provision that authorizes it.  (</w:t>
      </w:r>
      <w:r w:rsidR="005C0CEC" w:rsidRPr="00F273F1">
        <w:rPr>
          <w:i/>
        </w:rPr>
        <w:t>Morris</w:t>
      </w:r>
      <w:r w:rsidR="00BD4D46" w:rsidRPr="00F273F1">
        <w:t xml:space="preserve">, </w:t>
      </w:r>
      <w:r w:rsidR="00BD4D46" w:rsidRPr="00F273F1">
        <w:rPr>
          <w:i/>
        </w:rPr>
        <w:t>supra</w:t>
      </w:r>
      <w:r w:rsidR="00BD4D46" w:rsidRPr="00F273F1">
        <w:t xml:space="preserve">, </w:t>
      </w:r>
      <w:r w:rsidR="005C0CEC" w:rsidRPr="00F273F1">
        <w:t xml:space="preserve">67 Cal.2d </w:t>
      </w:r>
      <w:r w:rsidR="00BD4D46" w:rsidRPr="00F273F1">
        <w:t>at p.</w:t>
      </w:r>
      <w:r w:rsidR="00035BEC">
        <w:t> </w:t>
      </w:r>
      <w:r w:rsidR="00534A12" w:rsidRPr="00F273F1">
        <w:t>748</w:t>
      </w:r>
      <w:r w:rsidR="0093614E">
        <w:t>, italics omitted</w:t>
      </w:r>
      <w:r w:rsidR="00E744E0" w:rsidRPr="00F273F1">
        <w:t xml:space="preserve">.)  We then </w:t>
      </w:r>
      <w:r w:rsidR="009F159E" w:rsidRPr="00F273F1">
        <w:t xml:space="preserve">inquire </w:t>
      </w:r>
      <w:r w:rsidR="00E744E0" w:rsidRPr="00F273F1">
        <w:t xml:space="preserve">whether the regulation is </w:t>
      </w:r>
      <w:proofErr w:type="gramStart"/>
      <w:r w:rsidR="00E744E0" w:rsidRPr="00F273F1">
        <w:t>reasonably necessary</w:t>
      </w:r>
      <w:proofErr w:type="gramEnd"/>
      <w:r w:rsidR="00E744E0" w:rsidRPr="00F273F1">
        <w:t xml:space="preserve"> to </w:t>
      </w:r>
      <w:r w:rsidR="00E744E0" w:rsidRPr="00F273F1">
        <w:lastRenderedPageBreak/>
        <w:t xml:space="preserve">effectuate the purpose of the </w:t>
      </w:r>
      <w:r w:rsidR="00695234" w:rsidRPr="00F273F1">
        <w:t>authorizing law</w:t>
      </w:r>
      <w:r w:rsidR="00E744E0" w:rsidRPr="00F273F1">
        <w:t>.  (</w:t>
      </w:r>
      <w:r w:rsidR="00E744E0" w:rsidRPr="00F273F1">
        <w:rPr>
          <w:i/>
        </w:rPr>
        <w:t>Id.</w:t>
      </w:r>
      <w:r w:rsidR="00E744E0" w:rsidRPr="00F273F1">
        <w:t xml:space="preserve"> at p</w:t>
      </w:r>
      <w:r w:rsidR="00CC46BA" w:rsidRPr="00F273F1">
        <w:t>p</w:t>
      </w:r>
      <w:r w:rsidR="003A0A5A">
        <w:t>.</w:t>
      </w:r>
      <w:r w:rsidR="00035BEC">
        <w:t> </w:t>
      </w:r>
      <w:r w:rsidR="00CC46BA" w:rsidRPr="00F273F1">
        <w:t>748</w:t>
      </w:r>
      <w:r w:rsidR="00806C89">
        <w:t>–</w:t>
      </w:r>
      <w:r w:rsidR="00CC46BA" w:rsidRPr="00F273F1">
        <w:t>749</w:t>
      </w:r>
      <w:r w:rsidR="00534A12" w:rsidRPr="00F273F1">
        <w:t>; see also Gov. Code, §</w:t>
      </w:r>
      <w:r w:rsidR="00A87D43">
        <w:t> </w:t>
      </w:r>
      <w:r w:rsidR="00534A12" w:rsidRPr="00F273F1">
        <w:t>11342.2 [“Whenever by the express or implied terms of any statute a state agency has authority to adopt regulations to implement, interpret, make specific or otherwise carry out the provisions of the statute, no regulation adopted is valid or effective unless consistent and not in conflict with the statute and reasonably necessary to effectuate the purpose of the statute”]</w:t>
      </w:r>
      <w:r w:rsidR="003D0EC9" w:rsidRPr="00F273F1">
        <w:t xml:space="preserve">; see also </w:t>
      </w:r>
      <w:r w:rsidR="003D0EC9" w:rsidRPr="00F273F1">
        <w:rPr>
          <w:i/>
          <w:iCs/>
        </w:rPr>
        <w:t>Woods v. Superior Court</w:t>
      </w:r>
      <w:r w:rsidR="003D0EC9" w:rsidRPr="00F273F1">
        <w:t xml:space="preserve"> (1981) 28 Cal.3d 668, 679</w:t>
      </w:r>
      <w:r w:rsidR="001A1213" w:rsidRPr="00F273F1">
        <w:t xml:space="preserve"> (</w:t>
      </w:r>
      <w:r w:rsidR="001A1213" w:rsidRPr="00F273F1">
        <w:rPr>
          <w:i/>
          <w:iCs/>
        </w:rPr>
        <w:t>Woods</w:t>
      </w:r>
      <w:r w:rsidR="001A1213" w:rsidRPr="00F273F1">
        <w:t>)</w:t>
      </w:r>
      <w:r w:rsidR="00534A12" w:rsidRPr="00F273F1">
        <w:t xml:space="preserve">.)  </w:t>
      </w:r>
      <w:r w:rsidR="003D0EC9" w:rsidRPr="00F273F1">
        <w:t>Our task as a reviewing court “ ‘</w:t>
      </w:r>
      <w:r w:rsidR="00EA5C9D">
        <w:t> “</w:t>
      </w:r>
      <w:r w:rsidR="003D0EC9" w:rsidRPr="00F273F1">
        <w:t xml:space="preserve">is to decide whether the [agency] reasonably interpreted </w:t>
      </w:r>
      <w:r w:rsidR="00984996">
        <w:t>[its]</w:t>
      </w:r>
      <w:r w:rsidR="003D0EC9" w:rsidRPr="00F273F1">
        <w:t xml:space="preserve"> mandate.</w:t>
      </w:r>
      <w:r w:rsidR="00EA5C9D">
        <w:t>” </w:t>
      </w:r>
      <w:r w:rsidR="003D0EC9" w:rsidRPr="00F273F1">
        <w:t>’ ”  (</w:t>
      </w:r>
      <w:r w:rsidR="001A1213" w:rsidRPr="00F273F1">
        <w:rPr>
          <w:i/>
          <w:iCs/>
        </w:rPr>
        <w:t>Woods</w:t>
      </w:r>
      <w:r w:rsidR="001A1213" w:rsidRPr="00F273F1">
        <w:t xml:space="preserve">, </w:t>
      </w:r>
      <w:r w:rsidR="001A1213" w:rsidRPr="00F273F1">
        <w:rPr>
          <w:i/>
          <w:iCs/>
        </w:rPr>
        <w:t>supra</w:t>
      </w:r>
      <w:r w:rsidR="001A1213" w:rsidRPr="00F273F1">
        <w:t>, 28 Cal.3d</w:t>
      </w:r>
      <w:r w:rsidR="003D0EC9" w:rsidRPr="00F273F1">
        <w:t xml:space="preserve"> at p.</w:t>
      </w:r>
      <w:r w:rsidR="00A87D43">
        <w:t> </w:t>
      </w:r>
      <w:r w:rsidR="003D0EC9" w:rsidRPr="00F273F1">
        <w:t xml:space="preserve">679, quoting </w:t>
      </w:r>
      <w:r w:rsidR="003D0EC9" w:rsidRPr="00F273F1">
        <w:rPr>
          <w:i/>
          <w:iCs/>
        </w:rPr>
        <w:t>Credit Ins. Gen. Agents Assn. v. Payne</w:t>
      </w:r>
      <w:r w:rsidR="003D0EC9" w:rsidRPr="00F273F1">
        <w:t xml:space="preserve"> (1976) 16 Cal.3d 651, 657</w:t>
      </w:r>
      <w:r w:rsidR="000A62A8">
        <w:t>.</w:t>
      </w:r>
      <w:r w:rsidR="003D0EC9" w:rsidRPr="00F273F1">
        <w:t xml:space="preserve">)  </w:t>
      </w:r>
      <w:r w:rsidR="00E1638F" w:rsidRPr="00F273F1">
        <w:t>We presume the validity of</w:t>
      </w:r>
      <w:r w:rsidR="002E7459" w:rsidRPr="00F273F1">
        <w:t xml:space="preserve"> a regulation promulgated by a state agency.  (</w:t>
      </w:r>
      <w:r w:rsidR="002E7459" w:rsidRPr="00F273F1">
        <w:rPr>
          <w:i/>
        </w:rPr>
        <w:t>Assn. of Cal</w:t>
      </w:r>
      <w:r w:rsidR="000A62A8">
        <w:rPr>
          <w:i/>
        </w:rPr>
        <w:t>ifornia</w:t>
      </w:r>
      <w:r w:rsidR="002E7459" w:rsidRPr="00F273F1">
        <w:rPr>
          <w:i/>
        </w:rPr>
        <w:t xml:space="preserve"> Ins. Companies v. Jones</w:t>
      </w:r>
      <w:r w:rsidR="002E7459" w:rsidRPr="00F273F1">
        <w:t xml:space="preserve"> (2017) 2</w:t>
      </w:r>
      <w:r w:rsidR="002278BD">
        <w:t> </w:t>
      </w:r>
      <w:r w:rsidR="002E7459" w:rsidRPr="00F273F1">
        <w:t>Cal.5th 376, 389</w:t>
      </w:r>
      <w:r w:rsidR="002B3990">
        <w:t xml:space="preserve"> (</w:t>
      </w:r>
      <w:r w:rsidR="002B3990">
        <w:rPr>
          <w:i/>
          <w:iCs/>
        </w:rPr>
        <w:t>Jones</w:t>
      </w:r>
      <w:r w:rsidR="002B3990">
        <w:t>)</w:t>
      </w:r>
      <w:r w:rsidR="002E7459" w:rsidRPr="00F273F1">
        <w:t>.)  The burden lies with the party challenging the regulation to show its invalidity.  (</w:t>
      </w:r>
      <w:r w:rsidR="002E7459" w:rsidRPr="00F273F1">
        <w:rPr>
          <w:i/>
        </w:rPr>
        <w:t>Payne</w:t>
      </w:r>
      <w:r w:rsidR="007206F8">
        <w:rPr>
          <w:iCs/>
        </w:rPr>
        <w:t xml:space="preserve">, </w:t>
      </w:r>
      <w:r w:rsidR="007206F8">
        <w:rPr>
          <w:i/>
        </w:rPr>
        <w:t>supra</w:t>
      </w:r>
      <w:r w:rsidR="007206F8">
        <w:rPr>
          <w:iCs/>
        </w:rPr>
        <w:t>,</w:t>
      </w:r>
      <w:r w:rsidR="002E7459" w:rsidRPr="00F273F1">
        <w:t xml:space="preserve"> 16 Cal.3d </w:t>
      </w:r>
      <w:r w:rsidR="007206F8">
        <w:t>at p. </w:t>
      </w:r>
      <w:r w:rsidR="002E7459" w:rsidRPr="00F273F1">
        <w:t>657.</w:t>
      </w:r>
      <w:r w:rsidR="001A1213" w:rsidRPr="00F273F1">
        <w:t xml:space="preserve">)  </w:t>
      </w:r>
      <w:r w:rsidR="005B0FAB" w:rsidRPr="00F273F1">
        <w:t>“</w:t>
      </w:r>
      <w:r w:rsidR="0092482A" w:rsidRPr="00F273F1">
        <w:t xml:space="preserve">Such a limited scope of </w:t>
      </w:r>
      <w:r w:rsidR="004302A9" w:rsidRPr="00F273F1">
        <w:t>review constitutes no judicial interference with the administrative discretion in that aspect of the rulemaking function which requires a high degree of technical skill and expertise.</w:t>
      </w:r>
      <w:r w:rsidR="000C5108" w:rsidRPr="00F273F1">
        <w:t xml:space="preserve">”  </w:t>
      </w:r>
      <w:r w:rsidR="004F261C" w:rsidRPr="00F273F1">
        <w:t>(</w:t>
      </w:r>
      <w:r w:rsidR="00B21EA7" w:rsidRPr="00F273F1">
        <w:rPr>
          <w:i/>
        </w:rPr>
        <w:t>Woods</w:t>
      </w:r>
      <w:r w:rsidR="00B21EA7" w:rsidRPr="00F273F1">
        <w:rPr>
          <w:iCs/>
        </w:rPr>
        <w:t xml:space="preserve">, </w:t>
      </w:r>
      <w:r w:rsidR="00B21EA7" w:rsidRPr="00F273F1">
        <w:rPr>
          <w:i/>
        </w:rPr>
        <w:t>supra</w:t>
      </w:r>
      <w:r w:rsidR="00B21EA7" w:rsidRPr="00F273F1">
        <w:rPr>
          <w:iCs/>
        </w:rPr>
        <w:t>, 28</w:t>
      </w:r>
      <w:r w:rsidR="002278BD">
        <w:rPr>
          <w:iCs/>
        </w:rPr>
        <w:t> </w:t>
      </w:r>
      <w:r w:rsidR="00B21EA7" w:rsidRPr="00F273F1">
        <w:rPr>
          <w:iCs/>
        </w:rPr>
        <w:t>Cal.3d</w:t>
      </w:r>
      <w:r w:rsidR="005B0FAB" w:rsidRPr="00F273F1">
        <w:t xml:space="preserve"> at p.</w:t>
      </w:r>
      <w:r w:rsidR="007206F8">
        <w:t> </w:t>
      </w:r>
      <w:r w:rsidR="005B0FAB" w:rsidRPr="00F273F1">
        <w:t>679</w:t>
      </w:r>
      <w:r w:rsidR="009A773C" w:rsidRPr="00F273F1">
        <w:t>.)</w:t>
      </w:r>
    </w:p>
    <w:p w14:paraId="608A367D" w14:textId="5B757E58" w:rsidR="00D42C42" w:rsidRPr="00F273F1" w:rsidRDefault="00880018" w:rsidP="00F273F1">
      <w:pPr>
        <w:tabs>
          <w:tab w:val="left" w:pos="720"/>
        </w:tabs>
        <w:ind w:firstLine="720"/>
      </w:pPr>
      <w:r w:rsidRPr="00F273F1">
        <w:t>“</w:t>
      </w:r>
      <w:r w:rsidR="004704C7" w:rsidRPr="00F273F1">
        <w:t> </w:t>
      </w:r>
      <w:r w:rsidRPr="00F273F1">
        <w:t>‘Our function is to inquire into the legality of the regulations, not their wisdom.’</w:t>
      </w:r>
      <w:r w:rsidR="004704C7" w:rsidRPr="00F273F1">
        <w:t> </w:t>
      </w:r>
      <w:r w:rsidRPr="00F273F1">
        <w:t>”  (</w:t>
      </w:r>
      <w:r w:rsidR="005B0FAB" w:rsidRPr="00F273F1">
        <w:rPr>
          <w:i/>
          <w:iCs/>
        </w:rPr>
        <w:t>Woods</w:t>
      </w:r>
      <w:r w:rsidR="005B0FAB" w:rsidRPr="00F273F1">
        <w:rPr>
          <w:iCs/>
        </w:rPr>
        <w:t xml:space="preserve">, </w:t>
      </w:r>
      <w:r w:rsidR="003279E9" w:rsidRPr="00F273F1">
        <w:rPr>
          <w:i/>
          <w:iCs/>
        </w:rPr>
        <w:t>supra</w:t>
      </w:r>
      <w:r w:rsidR="003279E9" w:rsidRPr="00F273F1">
        <w:rPr>
          <w:iCs/>
        </w:rPr>
        <w:t>, 28 Cal.3d</w:t>
      </w:r>
      <w:r w:rsidRPr="00F273F1">
        <w:t xml:space="preserve"> at p</w:t>
      </w:r>
      <w:r w:rsidR="00267284">
        <w:t>. </w:t>
      </w:r>
      <w:r w:rsidRPr="00F273F1">
        <w:t xml:space="preserve">679, quoting </w:t>
      </w:r>
      <w:r w:rsidRPr="00F273F1">
        <w:rPr>
          <w:i/>
          <w:iCs/>
        </w:rPr>
        <w:t>Morris</w:t>
      </w:r>
      <w:r w:rsidR="003279E9" w:rsidRPr="00F273F1">
        <w:rPr>
          <w:iCs/>
        </w:rPr>
        <w:t xml:space="preserve">, </w:t>
      </w:r>
      <w:r w:rsidR="003279E9" w:rsidRPr="00F273F1">
        <w:rPr>
          <w:i/>
          <w:iCs/>
        </w:rPr>
        <w:t>supra</w:t>
      </w:r>
      <w:r w:rsidR="003279E9" w:rsidRPr="00F273F1">
        <w:rPr>
          <w:iCs/>
        </w:rPr>
        <w:t xml:space="preserve">, </w:t>
      </w:r>
      <w:r w:rsidRPr="00F273F1">
        <w:t xml:space="preserve">67 Cal.2d </w:t>
      </w:r>
      <w:r w:rsidR="003279E9" w:rsidRPr="00F273F1">
        <w:t>at p.</w:t>
      </w:r>
      <w:r w:rsidR="00376F79">
        <w:t> </w:t>
      </w:r>
      <w:r w:rsidRPr="00F273F1">
        <w:t xml:space="preserve">737.) </w:t>
      </w:r>
      <w:r w:rsidR="004302A9" w:rsidRPr="00F273F1">
        <w:t xml:space="preserve"> </w:t>
      </w:r>
      <w:r w:rsidRPr="00F273F1">
        <w:t>Still, “</w:t>
      </w:r>
      <w:r w:rsidR="000A62A8">
        <w:t> ‘</w:t>
      </w:r>
      <w:r w:rsidR="003B7E64">
        <w:t> “</w:t>
      </w:r>
      <w:r w:rsidR="004302A9" w:rsidRPr="00F273F1">
        <w:t>final responsibility for the interpretation of the law rests with the courts.</w:t>
      </w:r>
      <w:r w:rsidR="003B7E64">
        <w:t>”</w:t>
      </w:r>
      <w:r w:rsidRPr="00F273F1">
        <w:t xml:space="preserve">  [Citations.]  </w:t>
      </w:r>
      <w:r w:rsidR="004302A9" w:rsidRPr="00F273F1">
        <w:t xml:space="preserve">Administrative regulations that alter or amend the statute or enlarge or impair its scope are void </w:t>
      </w:r>
      <w:r w:rsidRPr="00F273F1">
        <w:t>and courts not only may, but it is their obligation to strike down such regulations.</w:t>
      </w:r>
      <w:r w:rsidR="0077505A" w:rsidRPr="00F273F1">
        <w:t>’</w:t>
      </w:r>
      <w:r w:rsidR="00E83771" w:rsidRPr="00F273F1">
        <w:t> </w:t>
      </w:r>
      <w:r w:rsidR="004302A9" w:rsidRPr="00F273F1">
        <w:t xml:space="preserve">” </w:t>
      </w:r>
      <w:r w:rsidR="00C54BAA" w:rsidRPr="00F273F1">
        <w:t xml:space="preserve"> </w:t>
      </w:r>
      <w:r w:rsidR="004302A9" w:rsidRPr="00F273F1">
        <w:t>(</w:t>
      </w:r>
      <w:r w:rsidR="003B7E64">
        <w:rPr>
          <w:i/>
          <w:iCs/>
        </w:rPr>
        <w:t>Woods</w:t>
      </w:r>
      <w:r w:rsidR="003B7E64">
        <w:t xml:space="preserve">, </w:t>
      </w:r>
      <w:r w:rsidR="003B7E64">
        <w:rPr>
          <w:i/>
          <w:iCs/>
        </w:rPr>
        <w:t>supra</w:t>
      </w:r>
      <w:r w:rsidR="003B7E64">
        <w:t xml:space="preserve">, </w:t>
      </w:r>
      <w:r w:rsidR="00383049">
        <w:t>28 Cal.3d</w:t>
      </w:r>
      <w:r w:rsidR="004302A9" w:rsidRPr="00F273F1">
        <w:t> at</w:t>
      </w:r>
      <w:r w:rsidR="0077505A" w:rsidRPr="00F273F1">
        <w:t xml:space="preserve"> p.</w:t>
      </w:r>
      <w:r w:rsidR="00383049">
        <w:t> </w:t>
      </w:r>
      <w:r w:rsidR="0077505A" w:rsidRPr="00F273F1">
        <w:t xml:space="preserve">679, quoting </w:t>
      </w:r>
      <w:r w:rsidR="0077505A" w:rsidRPr="00F273F1">
        <w:rPr>
          <w:i/>
          <w:iCs/>
        </w:rPr>
        <w:t>Morris</w:t>
      </w:r>
      <w:r w:rsidR="0077505A" w:rsidRPr="00F273F1">
        <w:t xml:space="preserve">, </w:t>
      </w:r>
      <w:r w:rsidR="0077505A" w:rsidRPr="00F273F1">
        <w:rPr>
          <w:i/>
          <w:iCs/>
        </w:rPr>
        <w:t>supra</w:t>
      </w:r>
      <w:r w:rsidR="0077505A" w:rsidRPr="00F273F1">
        <w:t xml:space="preserve">, </w:t>
      </w:r>
      <w:r w:rsidR="00383049">
        <w:t xml:space="preserve">67 Cal.2d </w:t>
      </w:r>
      <w:r w:rsidR="0077505A" w:rsidRPr="00F273F1">
        <w:t>at</w:t>
      </w:r>
      <w:r w:rsidR="004302A9" w:rsidRPr="00F273F1">
        <w:t xml:space="preserve"> p.</w:t>
      </w:r>
      <w:r w:rsidR="00376F79">
        <w:t> </w:t>
      </w:r>
      <w:r w:rsidR="004302A9" w:rsidRPr="00F273F1">
        <w:t>7</w:t>
      </w:r>
      <w:r w:rsidR="0077505A" w:rsidRPr="00F273F1">
        <w:t>4</w:t>
      </w:r>
      <w:r w:rsidR="004302A9" w:rsidRPr="00F273F1">
        <w:t xml:space="preserve">8.)  </w:t>
      </w:r>
    </w:p>
    <w:p w14:paraId="7ADD553C" w14:textId="1FDD8045" w:rsidR="00B33306" w:rsidRDefault="004B5D4D" w:rsidP="00F273F1">
      <w:pPr>
        <w:tabs>
          <w:tab w:val="left" w:pos="720"/>
        </w:tabs>
        <w:ind w:firstLine="720"/>
      </w:pPr>
      <w:r w:rsidRPr="00F273F1">
        <w:lastRenderedPageBreak/>
        <w:t xml:space="preserve">To determine whether the regulation here is consistent with the constitutional provisions enacted by Proposition 57, we must interpret the constitutional provisions themselves.  </w:t>
      </w:r>
      <w:r w:rsidR="007167AD" w:rsidRPr="00F273F1">
        <w:t xml:space="preserve">Our </w:t>
      </w:r>
      <w:r w:rsidR="00FF1FD3" w:rsidRPr="00F273F1">
        <w:t xml:space="preserve">“primary concern” in </w:t>
      </w:r>
      <w:r w:rsidR="00E844FB" w:rsidRPr="00F273F1">
        <w:t>construing</w:t>
      </w:r>
      <w:r w:rsidR="00FF1FD3" w:rsidRPr="00F273F1">
        <w:t xml:space="preserve"> </w:t>
      </w:r>
      <w:r w:rsidR="00701B59" w:rsidRPr="00F273F1">
        <w:t xml:space="preserve">a </w:t>
      </w:r>
      <w:r w:rsidR="00FF1FD3" w:rsidRPr="00F273F1">
        <w:t>constitutional provision enacted through voter initiative is “giving effect to the intended purpose of the provisions at issue.”  (</w:t>
      </w:r>
      <w:r w:rsidR="00FF1FD3" w:rsidRPr="00F273F1">
        <w:rPr>
          <w:i/>
        </w:rPr>
        <w:t>California Cannabis Coalition v. City of Upland</w:t>
      </w:r>
      <w:r w:rsidR="00FF1FD3" w:rsidRPr="00F273F1">
        <w:t xml:space="preserve"> (2017) 3 Cal.5th 924, 933.)</w:t>
      </w:r>
      <w:r w:rsidR="00701B59" w:rsidRPr="00F273F1">
        <w:t xml:space="preserve">  </w:t>
      </w:r>
      <w:proofErr w:type="gramStart"/>
      <w:r w:rsidR="001637A2" w:rsidRPr="00F273F1">
        <w:t>And,</w:t>
      </w:r>
      <w:proofErr w:type="gramEnd"/>
      <w:r w:rsidR="001637A2" w:rsidRPr="00F273F1">
        <w:t xml:space="preserve"> “[</w:t>
      </w:r>
      <w:proofErr w:type="spellStart"/>
      <w:r w:rsidR="001637A2" w:rsidRPr="00F273F1">
        <w:t>i</w:t>
      </w:r>
      <w:proofErr w:type="spellEnd"/>
      <w:r w:rsidR="001637A2" w:rsidRPr="00F273F1">
        <w:t>]n interpreting a voter initiative .</w:t>
      </w:r>
      <w:r w:rsidR="00FD3F3C" w:rsidRPr="00F273F1">
        <w:t> </w:t>
      </w:r>
      <w:r w:rsidR="001637A2" w:rsidRPr="00F273F1">
        <w:t>.</w:t>
      </w:r>
      <w:r w:rsidR="00FD3F3C" w:rsidRPr="00F273F1">
        <w:t> </w:t>
      </w:r>
      <w:r w:rsidR="001637A2" w:rsidRPr="00F273F1">
        <w:t>.</w:t>
      </w:r>
      <w:r w:rsidR="00FD3F3C" w:rsidRPr="00F273F1">
        <w:t> </w:t>
      </w:r>
      <w:r w:rsidR="001637A2" w:rsidRPr="00F273F1">
        <w:t>, we apply the same principles that govern statutory construction.”  (</w:t>
      </w:r>
      <w:r w:rsidR="001637A2" w:rsidRPr="00F273F1">
        <w:rPr>
          <w:i/>
          <w:iCs/>
        </w:rPr>
        <w:t xml:space="preserve">People v. </w:t>
      </w:r>
      <w:proofErr w:type="spellStart"/>
      <w:r w:rsidR="001637A2" w:rsidRPr="00F273F1">
        <w:rPr>
          <w:i/>
          <w:iCs/>
        </w:rPr>
        <w:t>Rizo</w:t>
      </w:r>
      <w:proofErr w:type="spellEnd"/>
      <w:r w:rsidR="001637A2" w:rsidRPr="00F273F1">
        <w:t xml:space="preserve"> (2000) 22</w:t>
      </w:r>
      <w:r w:rsidR="002278BD">
        <w:t> </w:t>
      </w:r>
      <w:r w:rsidR="001637A2" w:rsidRPr="00F273F1">
        <w:t xml:space="preserve">Cal.4th 681, </w:t>
      </w:r>
      <w:r w:rsidR="005C507B" w:rsidRPr="00F273F1">
        <w:t xml:space="preserve">685, citing </w:t>
      </w:r>
      <w:r w:rsidR="005C507B" w:rsidRPr="00F273F1">
        <w:rPr>
          <w:i/>
          <w:iCs/>
        </w:rPr>
        <w:t>Horwich v. Superior Court</w:t>
      </w:r>
      <w:r w:rsidR="005C507B" w:rsidRPr="00F273F1">
        <w:t xml:space="preserve"> (1999) 21</w:t>
      </w:r>
      <w:r w:rsidR="002278BD">
        <w:t> </w:t>
      </w:r>
      <w:r w:rsidR="005C507B" w:rsidRPr="00F273F1">
        <w:t>Cal.4th 272, 276.)</w:t>
      </w:r>
      <w:r w:rsidR="001637A2" w:rsidRPr="00F273F1">
        <w:t xml:space="preserve"> </w:t>
      </w:r>
      <w:r w:rsidR="005C507B" w:rsidRPr="00F273F1">
        <w:t xml:space="preserve"> </w:t>
      </w:r>
      <w:r w:rsidR="00290A5F" w:rsidRPr="00F273F1">
        <w:t xml:space="preserve">In doing so, we </w:t>
      </w:r>
      <w:r w:rsidR="00F8581D" w:rsidRPr="00F273F1">
        <w:t xml:space="preserve">look to the text of the constitutional provision at issue and, </w:t>
      </w:r>
      <w:r w:rsidR="00785179" w:rsidRPr="00F273F1">
        <w:t xml:space="preserve">as appropriate, </w:t>
      </w:r>
      <w:r w:rsidR="00F8581D" w:rsidRPr="00F273F1">
        <w:t>extrinsic sources such as an initiative’s ballot materials.  (See</w:t>
      </w:r>
      <w:r w:rsidR="00996BA7" w:rsidRPr="00F273F1">
        <w:t xml:space="preserve"> </w:t>
      </w:r>
      <w:r w:rsidR="00996BA7" w:rsidRPr="00F273F1">
        <w:rPr>
          <w:i/>
        </w:rPr>
        <w:t>City of Upland</w:t>
      </w:r>
      <w:r w:rsidR="00996BA7" w:rsidRPr="00F273F1">
        <w:t xml:space="preserve">, </w:t>
      </w:r>
      <w:r w:rsidR="00996BA7" w:rsidRPr="00F273F1">
        <w:rPr>
          <w:i/>
        </w:rPr>
        <w:t>supra</w:t>
      </w:r>
      <w:r w:rsidR="00996BA7" w:rsidRPr="00F273F1">
        <w:t>, 3 Cal.5th at pp.</w:t>
      </w:r>
      <w:r w:rsidR="007535D8">
        <w:t> </w:t>
      </w:r>
      <w:r w:rsidR="00996BA7" w:rsidRPr="00F273F1">
        <w:t>933</w:t>
      </w:r>
      <w:r w:rsidR="00FA6B3C">
        <w:t>–</w:t>
      </w:r>
      <w:r w:rsidR="00996BA7" w:rsidRPr="00F273F1">
        <w:t xml:space="preserve">934.)    </w:t>
      </w:r>
      <w:r w:rsidR="00F8581D" w:rsidRPr="00F273F1">
        <w:t xml:space="preserve">   </w:t>
      </w:r>
    </w:p>
    <w:p w14:paraId="6B799D93" w14:textId="16911230" w:rsidR="000065EB" w:rsidRPr="00F273F1" w:rsidRDefault="00C07AEE" w:rsidP="00F273F1">
      <w:pPr>
        <w:pStyle w:val="Heading2"/>
      </w:pPr>
      <w:r w:rsidRPr="00F273F1">
        <w:t xml:space="preserve">E.  </w:t>
      </w:r>
      <w:r w:rsidR="00B33306" w:rsidRPr="00F273F1">
        <w:t xml:space="preserve">The </w:t>
      </w:r>
      <w:r w:rsidR="00BA48EF" w:rsidRPr="00F273F1">
        <w:t>Language of Proposition 57</w:t>
      </w:r>
    </w:p>
    <w:p w14:paraId="28E5EEC3" w14:textId="6A98C6FF" w:rsidR="000E58A6" w:rsidRPr="00F273F1" w:rsidRDefault="00977585" w:rsidP="00F273F1">
      <w:pPr>
        <w:tabs>
          <w:tab w:val="left" w:pos="720"/>
        </w:tabs>
        <w:ind w:firstLine="720"/>
      </w:pPr>
      <w:r w:rsidRPr="00F273F1">
        <w:t xml:space="preserve">We </w:t>
      </w:r>
      <w:r w:rsidR="00BE2A5E" w:rsidRPr="00F273F1">
        <w:t>th</w:t>
      </w:r>
      <w:r w:rsidR="0061442F" w:rsidRPr="00F273F1">
        <w:t>erefore begin our analysis by returning</w:t>
      </w:r>
      <w:r w:rsidRPr="00F273F1">
        <w:t xml:space="preserve"> to the language of the constitutional provisions enacted by Proposition 57.  </w:t>
      </w:r>
      <w:r w:rsidR="00A65153" w:rsidRPr="00F273F1">
        <w:t xml:space="preserve">As noted above, </w:t>
      </w:r>
      <w:r w:rsidR="002B2F50">
        <w:t xml:space="preserve">article I, </w:t>
      </w:r>
      <w:r w:rsidR="00A65153" w:rsidRPr="00F273F1">
        <w:t xml:space="preserve">section 32(a)(1) states:  “Any person convicted of a nonviolent felony offense and sentenced to state prison shall be eligible for parole consideration after completing the full term for his or her primary offense.”  </w:t>
      </w:r>
      <w:r w:rsidR="002B2F50">
        <w:t>Article I, s</w:t>
      </w:r>
      <w:r w:rsidR="005F2D14" w:rsidRPr="00F273F1">
        <w:t xml:space="preserve">ection 32(b) provides that the Department shall “adopt regulations in furtherance of these provisions.”  </w:t>
      </w:r>
      <w:r w:rsidR="00A375C2" w:rsidRPr="00F273F1">
        <w:t xml:space="preserve">The question here is whether </w:t>
      </w:r>
      <w:r w:rsidR="00F65809" w:rsidRPr="00F273F1">
        <w:t>these provisions</w:t>
      </w:r>
      <w:r w:rsidR="00A375C2" w:rsidRPr="00F273F1">
        <w:t xml:space="preserve"> </w:t>
      </w:r>
      <w:r w:rsidR="00313146" w:rsidRPr="00F273F1">
        <w:t>indicate</w:t>
      </w:r>
      <w:r w:rsidR="00A51ECD" w:rsidRPr="00F273F1">
        <w:t xml:space="preserve"> that the voters intended </w:t>
      </w:r>
      <w:r w:rsidR="0027293D" w:rsidRPr="00F273F1">
        <w:t xml:space="preserve">to permit the Department to </w:t>
      </w:r>
      <w:r w:rsidR="00DD06F6">
        <w:t>exclude an inmate from</w:t>
      </w:r>
      <w:r w:rsidR="000E58A6" w:rsidRPr="00F273F1">
        <w:t xml:space="preserve"> nonviolent </w:t>
      </w:r>
      <w:r w:rsidR="00495AFD" w:rsidRPr="00F273F1">
        <w:t xml:space="preserve">offender </w:t>
      </w:r>
      <w:r w:rsidR="000E58A6" w:rsidRPr="00F273F1">
        <w:t xml:space="preserve">parole consideration based on </w:t>
      </w:r>
      <w:r w:rsidR="00B84EB4">
        <w:t xml:space="preserve">a conviction for a </w:t>
      </w:r>
      <w:r w:rsidR="00F6750F">
        <w:t>registerable sex offense</w:t>
      </w:r>
      <w:r w:rsidR="00B84EB4">
        <w:t xml:space="preserve">.  In deciding that question, we </w:t>
      </w:r>
      <w:r w:rsidR="000B5B1A">
        <w:t>consider whether that prohibition may apply</w:t>
      </w:r>
      <w:r w:rsidR="00A9043B">
        <w:t>, not only with respect</w:t>
      </w:r>
      <w:r w:rsidR="000B5B1A">
        <w:t xml:space="preserve"> </w:t>
      </w:r>
      <w:r w:rsidR="00AD63F6">
        <w:t xml:space="preserve">to prior sex offense convictions </w:t>
      </w:r>
      <w:r w:rsidR="00A9043B">
        <w:t xml:space="preserve">but also with respect to </w:t>
      </w:r>
      <w:r w:rsidR="00AD63F6">
        <w:t>current sex offense convictions.</w:t>
      </w:r>
      <w:r w:rsidR="000E58A6" w:rsidRPr="00F273F1">
        <w:t xml:space="preserve"> </w:t>
      </w:r>
    </w:p>
    <w:p w14:paraId="2F5B7A5C" w14:textId="6E12BDD4" w:rsidR="00062521" w:rsidRDefault="00733016" w:rsidP="00F273F1">
      <w:pPr>
        <w:tabs>
          <w:tab w:val="left" w:pos="720"/>
        </w:tabs>
        <w:ind w:firstLine="720"/>
      </w:pPr>
      <w:r w:rsidRPr="00F273F1">
        <w:lastRenderedPageBreak/>
        <w:t>T</w:t>
      </w:r>
      <w:r w:rsidR="002A6AB6" w:rsidRPr="00F273F1">
        <w:t xml:space="preserve">he Court of Appeal </w:t>
      </w:r>
      <w:r w:rsidR="00280C5D" w:rsidRPr="00F273F1">
        <w:t>concluded</w:t>
      </w:r>
      <w:r w:rsidR="000A5A47">
        <w:t xml:space="preserve"> that the Department could </w:t>
      </w:r>
      <w:r w:rsidR="0009604B">
        <w:t>not</w:t>
      </w:r>
      <w:r w:rsidR="00853FC5">
        <w:t xml:space="preserve"> exclude </w:t>
      </w:r>
      <w:r w:rsidR="00AD63F6">
        <w:t>inmates from nonviolent offender parole consideration based on prior convictions</w:t>
      </w:r>
      <w:r w:rsidR="004E584B" w:rsidRPr="00F273F1">
        <w:t>:  “T</w:t>
      </w:r>
      <w:r w:rsidR="00280C5D" w:rsidRPr="00F273F1">
        <w:t>he reference to ‘convicted’ and ‘sentenced,’ in conjunction with present eligibility for parole once a full term is completed, make clear that early parole eligibility must be assessed based on the conviction for which an inmate is now serving a state prison sentence (the current offense), rather than prior criminal history.  This interpretation is supported by section 32</w:t>
      </w:r>
      <w:r w:rsidR="00485B5C">
        <w:t>[</w:t>
      </w:r>
      <w:r w:rsidR="00280C5D" w:rsidRPr="00F273F1">
        <w:t>(a)(1)</w:t>
      </w:r>
      <w:r w:rsidR="00485B5C">
        <w:t>]</w:t>
      </w:r>
      <w:r w:rsidR="00280C5D" w:rsidRPr="00F273F1">
        <w:t>’s use of the singular form in ‘felony offense,’ ‘primary offense,’ and ‘term.’</w:t>
      </w:r>
      <w:r w:rsidR="003B1A81" w:rsidRPr="00F273F1">
        <w:t> </w:t>
      </w:r>
      <w:r w:rsidR="00280C5D" w:rsidRPr="00F273F1">
        <w:t xml:space="preserve">” </w:t>
      </w:r>
      <w:r w:rsidR="00CC1352" w:rsidRPr="00F273F1">
        <w:t xml:space="preserve"> </w:t>
      </w:r>
      <w:r w:rsidR="00C346F0">
        <w:t>(</w:t>
      </w:r>
      <w:proofErr w:type="spellStart"/>
      <w:r w:rsidR="00C346F0">
        <w:rPr>
          <w:i/>
          <w:iCs/>
        </w:rPr>
        <w:t>Gadlin</w:t>
      </w:r>
      <w:proofErr w:type="spellEnd"/>
      <w:r w:rsidR="00C346F0">
        <w:t xml:space="preserve">, </w:t>
      </w:r>
      <w:r w:rsidR="00C346F0">
        <w:rPr>
          <w:i/>
          <w:iCs/>
        </w:rPr>
        <w:t>supra</w:t>
      </w:r>
      <w:r w:rsidR="00C346F0">
        <w:t xml:space="preserve">, 31 Cal.App.5th at p. 789.)  </w:t>
      </w:r>
      <w:r w:rsidR="004E584B" w:rsidRPr="00F273F1">
        <w:t>Petitioner</w:t>
      </w:r>
      <w:r w:rsidR="00946610" w:rsidRPr="00F273F1">
        <w:t xml:space="preserve"> agrees and</w:t>
      </w:r>
      <w:r w:rsidR="004E584B" w:rsidRPr="00F273F1">
        <w:t xml:space="preserve"> </w:t>
      </w:r>
      <w:r w:rsidR="00654D27" w:rsidRPr="00F273F1">
        <w:t>asserts there is no “suggestion in the text of the initiative that the electorate had any concern about prior convictions at the qualification stage:  the focus was exclusively on those offenders serving a term for a nonviolent offense, regardless of their criminal history.”</w:t>
      </w:r>
      <w:r w:rsidR="00475A22">
        <w:t xml:space="preserve">  </w:t>
      </w:r>
    </w:p>
    <w:p w14:paraId="781F7559" w14:textId="13D8FB03" w:rsidR="003E07A9" w:rsidRPr="00F273F1" w:rsidRDefault="00475A22" w:rsidP="00F273F1">
      <w:pPr>
        <w:tabs>
          <w:tab w:val="left" w:pos="720"/>
        </w:tabs>
        <w:ind w:firstLine="720"/>
      </w:pPr>
      <w:r>
        <w:t>As to inmates currently convicted of a</w:t>
      </w:r>
      <w:r w:rsidR="00FD7C79">
        <w:t>n</w:t>
      </w:r>
      <w:r>
        <w:t xml:space="preserve"> offense requiring registration, petitioner</w:t>
      </w:r>
      <w:r w:rsidR="00542B18">
        <w:t xml:space="preserve"> </w:t>
      </w:r>
      <w:r w:rsidR="000365CE">
        <w:t>again</w:t>
      </w:r>
      <w:r>
        <w:t xml:space="preserve"> </w:t>
      </w:r>
      <w:r w:rsidR="00A9043B">
        <w:t>emphasizes</w:t>
      </w:r>
      <w:r w:rsidR="000365CE">
        <w:t xml:space="preserve"> the language of the constitutional provision.  He notes that article I, section 32(a)(1) provides for parole consideration for inmates convicted of nonviolent felony offenses</w:t>
      </w:r>
      <w:r w:rsidR="00C42026">
        <w:t xml:space="preserve"> and that the Department’s exclusion of inmates convicted of </w:t>
      </w:r>
      <w:r w:rsidR="00FD7C79">
        <w:t xml:space="preserve">any sex offense requiring registration — including nonviolent felony offenses — </w:t>
      </w:r>
      <w:r w:rsidR="00B561D5">
        <w:t>i</w:t>
      </w:r>
      <w:r w:rsidR="003E79CC">
        <w:t xml:space="preserve">s </w:t>
      </w:r>
      <w:r w:rsidR="00FC79EE">
        <w:t xml:space="preserve">not based on a conclusion that these inmates have committed </w:t>
      </w:r>
      <w:r w:rsidR="00D86A2E">
        <w:t>“</w:t>
      </w:r>
      <w:r w:rsidR="00FC79EE">
        <w:t>violent offenses</w:t>
      </w:r>
      <w:r w:rsidR="00D86A2E">
        <w:t>” as defined in Penal Code section 667.5, subdivision (c),</w:t>
      </w:r>
      <w:r w:rsidR="00FC79EE">
        <w:t xml:space="preserve"> but on the Department’s assertion that such an exclusion is required by public safety considerations</w:t>
      </w:r>
      <w:r w:rsidR="00D965BD">
        <w:t xml:space="preserve">.  </w:t>
      </w:r>
      <w:r w:rsidR="00654D27" w:rsidRPr="00F273F1">
        <w:t xml:space="preserve"> </w:t>
      </w:r>
    </w:p>
    <w:p w14:paraId="16DB9373" w14:textId="6D78D603" w:rsidR="007859CC" w:rsidRPr="00F273F1" w:rsidRDefault="00753D07" w:rsidP="00F273F1">
      <w:pPr>
        <w:tabs>
          <w:tab w:val="left" w:pos="720"/>
        </w:tabs>
        <w:ind w:firstLine="720"/>
      </w:pPr>
      <w:r w:rsidRPr="00F273F1">
        <w:t xml:space="preserve">The </w:t>
      </w:r>
      <w:r w:rsidR="002421EE" w:rsidRPr="00F273F1">
        <w:t>Department</w:t>
      </w:r>
      <w:r w:rsidRPr="00F273F1">
        <w:t xml:space="preserve"> does not </w:t>
      </w:r>
      <w:r w:rsidR="00060219" w:rsidRPr="00F273F1">
        <w:t xml:space="preserve">assert that the </w:t>
      </w:r>
      <w:r w:rsidR="00E968DF" w:rsidRPr="00F273F1">
        <w:t>text</w:t>
      </w:r>
      <w:r w:rsidR="00060219" w:rsidRPr="00F273F1">
        <w:t xml:space="preserve"> of </w:t>
      </w:r>
      <w:r w:rsidR="00062521">
        <w:t xml:space="preserve">article I, </w:t>
      </w:r>
      <w:r w:rsidR="00060219" w:rsidRPr="00F273F1">
        <w:t>section 32(a)</w:t>
      </w:r>
      <w:r w:rsidR="00695234" w:rsidRPr="00F273F1">
        <w:t>(1)</w:t>
      </w:r>
      <w:r w:rsidR="00060219" w:rsidRPr="00F273F1">
        <w:t xml:space="preserve"> </w:t>
      </w:r>
      <w:r w:rsidR="002D6555" w:rsidRPr="00F273F1">
        <w:t xml:space="preserve">expressly demonstrates </w:t>
      </w:r>
      <w:r w:rsidR="00060219" w:rsidRPr="00F273F1">
        <w:t xml:space="preserve">the intent of the electorate to exclude inmates from nonviolent </w:t>
      </w:r>
      <w:r w:rsidR="005827D7" w:rsidRPr="00F273F1">
        <w:t xml:space="preserve">offender </w:t>
      </w:r>
      <w:r w:rsidR="00060219" w:rsidRPr="00F273F1">
        <w:t>parole consideration based on a prior conviction</w:t>
      </w:r>
      <w:r w:rsidR="00793712">
        <w:t xml:space="preserve"> or a current conviction </w:t>
      </w:r>
      <w:r w:rsidR="00793712">
        <w:lastRenderedPageBreak/>
        <w:t>for a</w:t>
      </w:r>
      <w:r w:rsidR="003E2AF0">
        <w:t xml:space="preserve">ny </w:t>
      </w:r>
      <w:r w:rsidR="002908A9">
        <w:t>registerable</w:t>
      </w:r>
      <w:r w:rsidR="00793712">
        <w:t xml:space="preserve"> offense</w:t>
      </w:r>
      <w:r w:rsidR="00060219" w:rsidRPr="00F273F1">
        <w:t xml:space="preserve">.  </w:t>
      </w:r>
      <w:r w:rsidR="00B92A58" w:rsidRPr="00F273F1">
        <w:t>T</w:t>
      </w:r>
      <w:r w:rsidR="00060219" w:rsidRPr="00F273F1">
        <w:t xml:space="preserve">he Department </w:t>
      </w:r>
      <w:r w:rsidR="005A0163" w:rsidRPr="00F273F1">
        <w:t>contends</w:t>
      </w:r>
      <w:r w:rsidR="00B92A58" w:rsidRPr="00F273F1">
        <w:t>, however,</w:t>
      </w:r>
      <w:r w:rsidR="005A0163" w:rsidRPr="00F273F1">
        <w:t xml:space="preserve"> </w:t>
      </w:r>
      <w:r w:rsidR="00B92A58" w:rsidRPr="00F273F1">
        <w:t xml:space="preserve">that </w:t>
      </w:r>
      <w:r w:rsidR="005A0163" w:rsidRPr="00F273F1">
        <w:t xml:space="preserve">the language of </w:t>
      </w:r>
      <w:r w:rsidR="00062521">
        <w:t xml:space="preserve">article I, section </w:t>
      </w:r>
      <w:r w:rsidR="00766403" w:rsidRPr="00F273F1">
        <w:t>32(a)</w:t>
      </w:r>
      <w:r w:rsidR="00695234" w:rsidRPr="00F273F1">
        <w:t>(1)</w:t>
      </w:r>
      <w:r w:rsidR="005A0163" w:rsidRPr="00F273F1">
        <w:t xml:space="preserve"> is ambiguous</w:t>
      </w:r>
      <w:r w:rsidR="00F156DB" w:rsidRPr="00F273F1">
        <w:t>, and that</w:t>
      </w:r>
      <w:r w:rsidR="00766403" w:rsidRPr="00F273F1">
        <w:t xml:space="preserve"> </w:t>
      </w:r>
      <w:r w:rsidR="005A0163" w:rsidRPr="00F273F1">
        <w:t>the Department</w:t>
      </w:r>
      <w:r w:rsidR="00766403" w:rsidRPr="00F273F1">
        <w:t xml:space="preserve"> </w:t>
      </w:r>
      <w:r w:rsidR="005A0163" w:rsidRPr="00F273F1">
        <w:t>appropriately exercised its authority</w:t>
      </w:r>
      <w:r w:rsidR="0051324D" w:rsidRPr="00F273F1">
        <w:t xml:space="preserve"> to “</w:t>
      </w:r>
      <w:r w:rsidR="00F52AF1">
        <w:t> ‘ “ ‘</w:t>
      </w:r>
      <w:r w:rsidR="0051324D" w:rsidRPr="00F273F1">
        <w:t>fill up the details</w:t>
      </w:r>
      <w:r w:rsidR="00F52AF1">
        <w:t>’ ” ’ </w:t>
      </w:r>
      <w:r w:rsidR="002B3990">
        <w:t>”</w:t>
      </w:r>
      <w:r w:rsidR="0051324D" w:rsidRPr="00F273F1">
        <w:t xml:space="preserve"> </w:t>
      </w:r>
      <w:r w:rsidR="002B3990">
        <w:t>o</w:t>
      </w:r>
      <w:r w:rsidR="0051324D" w:rsidRPr="00F273F1">
        <w:t xml:space="preserve">f </w:t>
      </w:r>
      <w:r w:rsidR="00E17871">
        <w:t xml:space="preserve">article I, </w:t>
      </w:r>
      <w:r w:rsidR="002B3990">
        <w:t>s</w:t>
      </w:r>
      <w:r w:rsidR="0051324D" w:rsidRPr="00F273F1">
        <w:t xml:space="preserve">ection 32’s parole scheme.  </w:t>
      </w:r>
      <w:r w:rsidR="004B23C2">
        <w:t>(</w:t>
      </w:r>
      <w:r w:rsidR="00061AFB" w:rsidRPr="00F273F1">
        <w:rPr>
          <w:i/>
        </w:rPr>
        <w:t>Jones</w:t>
      </w:r>
      <w:r w:rsidR="002B3990">
        <w:rPr>
          <w:iCs/>
        </w:rPr>
        <w:t xml:space="preserve">, </w:t>
      </w:r>
      <w:r w:rsidR="002B3990">
        <w:rPr>
          <w:i/>
        </w:rPr>
        <w:t>supra</w:t>
      </w:r>
      <w:r w:rsidR="002B3990">
        <w:rPr>
          <w:iCs/>
        </w:rPr>
        <w:t>,</w:t>
      </w:r>
      <w:r w:rsidR="00061AFB" w:rsidRPr="00F273F1">
        <w:t xml:space="preserve"> 2 Cal.5th </w:t>
      </w:r>
      <w:r w:rsidR="002B3990">
        <w:t>at p. </w:t>
      </w:r>
      <w:r w:rsidR="00570B65" w:rsidRPr="00F273F1">
        <w:t>391.</w:t>
      </w:r>
      <w:r w:rsidR="002B3990">
        <w:t>)</w:t>
      </w:r>
      <w:r w:rsidR="00570B65" w:rsidRPr="00F273F1">
        <w:t xml:space="preserve">  </w:t>
      </w:r>
      <w:r w:rsidR="00C95340" w:rsidRPr="00F273F1">
        <w:t xml:space="preserve">Thus, the Department asserts, an analysis of the ballot materials </w:t>
      </w:r>
      <w:r w:rsidR="00D41B8C" w:rsidRPr="00F273F1">
        <w:t xml:space="preserve">is appropriate in order </w:t>
      </w:r>
      <w:r w:rsidR="006021F0" w:rsidRPr="00F273F1">
        <w:t xml:space="preserve">to </w:t>
      </w:r>
      <w:r w:rsidR="00793712">
        <w:t>determine</w:t>
      </w:r>
      <w:r w:rsidR="006021F0" w:rsidRPr="00F273F1">
        <w:t xml:space="preserve"> the voters’ intent</w:t>
      </w:r>
      <w:r w:rsidR="00C95340" w:rsidRPr="00F273F1">
        <w:t>.</w:t>
      </w:r>
    </w:p>
    <w:p w14:paraId="03891169" w14:textId="276B0A7E" w:rsidR="00A61FFA" w:rsidRDefault="00F156DB" w:rsidP="003E2AF0">
      <w:pPr>
        <w:tabs>
          <w:tab w:val="left" w:pos="720"/>
        </w:tabs>
        <w:ind w:firstLine="720"/>
      </w:pPr>
      <w:r w:rsidRPr="00F273F1">
        <w:t xml:space="preserve">In so arguing, the Department focuses on the terms </w:t>
      </w:r>
      <w:r w:rsidR="0040434E" w:rsidRPr="00F273F1">
        <w:t xml:space="preserve">“convicted” and “nonviolent </w:t>
      </w:r>
      <w:r w:rsidR="009266CE">
        <w:t xml:space="preserve">felony </w:t>
      </w:r>
      <w:r w:rsidR="0040434E" w:rsidRPr="00F273F1">
        <w:t xml:space="preserve">offense.”  </w:t>
      </w:r>
      <w:r w:rsidR="00881411" w:rsidRPr="00F273F1">
        <w:t>The Department asserts that “nonviolent” as used in the provision “lacks a firm definition</w:t>
      </w:r>
      <w:r w:rsidR="00717FB9">
        <w:t xml:space="preserve">,” noting that the </w:t>
      </w:r>
      <w:r w:rsidR="00E17871">
        <w:t>voter information guide</w:t>
      </w:r>
      <w:r w:rsidR="00717FB9">
        <w:t xml:space="preserve"> informed voters that </w:t>
      </w:r>
      <w:r w:rsidR="00506F71" w:rsidRPr="00F273F1">
        <w:t>“the measure and current law do not specify which felony crimes are defined as nonviolent</w:t>
      </w:r>
      <w:r w:rsidR="009B351D">
        <w:t xml:space="preserve"> .</w:t>
      </w:r>
      <w:r w:rsidR="00196D8E">
        <w:t> </w:t>
      </w:r>
      <w:r w:rsidR="009B351D">
        <w:t>.</w:t>
      </w:r>
      <w:r w:rsidR="00196D8E">
        <w:t> </w:t>
      </w:r>
      <w:r w:rsidR="009B351D">
        <w:t>.</w:t>
      </w:r>
      <w:r w:rsidR="00196D8E">
        <w:t> </w:t>
      </w:r>
      <w:r w:rsidR="009B351D">
        <w:t>.</w:t>
      </w:r>
      <w:r w:rsidR="005B0127">
        <w:t>”  (</w:t>
      </w:r>
      <w:r w:rsidR="0019578F">
        <w:t>Voter Information Guide</w:t>
      </w:r>
      <w:r w:rsidR="005B0127">
        <w:t>, Gen. Elec.</w:t>
      </w:r>
      <w:r w:rsidR="00EA1398">
        <w:t xml:space="preserve">, </w:t>
      </w:r>
      <w:r w:rsidR="00EA1398">
        <w:rPr>
          <w:i/>
          <w:iCs/>
        </w:rPr>
        <w:t>supra</w:t>
      </w:r>
      <w:r w:rsidR="00EA1398">
        <w:t>,</w:t>
      </w:r>
      <w:r w:rsidR="005B0127">
        <w:t xml:space="preserve"> analysis of Prop. 57</w:t>
      </w:r>
      <w:r w:rsidR="00EA1398">
        <w:t xml:space="preserve"> by Legis. Analyst</w:t>
      </w:r>
      <w:r w:rsidR="005B0127">
        <w:t>, p. 56.)</w:t>
      </w:r>
      <w:r w:rsidR="00DF2133">
        <w:t xml:space="preserve">  We consider the alleged ambiguity of each of those terms before turning to the language of the constitutional provision as a whole.  </w:t>
      </w:r>
      <w:r w:rsidR="006F2463" w:rsidRPr="00F273F1">
        <w:t xml:space="preserve">  </w:t>
      </w:r>
    </w:p>
    <w:p w14:paraId="0FDF8BA0" w14:textId="0EBD27D2" w:rsidR="00576FC8" w:rsidRPr="00F273F1" w:rsidRDefault="00576FC8" w:rsidP="00576FC8">
      <w:pPr>
        <w:pStyle w:val="ListParagraph"/>
        <w:numPr>
          <w:ilvl w:val="0"/>
          <w:numId w:val="18"/>
        </w:numPr>
        <w:tabs>
          <w:tab w:val="left" w:pos="720"/>
        </w:tabs>
        <w:rPr>
          <w:i/>
          <w:iCs/>
        </w:rPr>
      </w:pPr>
      <w:r>
        <w:rPr>
          <w:i/>
          <w:iCs/>
        </w:rPr>
        <w:t xml:space="preserve">“Nonviolent </w:t>
      </w:r>
      <w:r w:rsidR="0019578F">
        <w:rPr>
          <w:i/>
          <w:iCs/>
        </w:rPr>
        <w:t>f</w:t>
      </w:r>
      <w:r>
        <w:rPr>
          <w:i/>
          <w:iCs/>
        </w:rPr>
        <w:t>elony</w:t>
      </w:r>
      <w:r w:rsidR="0019578F">
        <w:rPr>
          <w:i/>
          <w:iCs/>
        </w:rPr>
        <w:t xml:space="preserve"> o</w:t>
      </w:r>
      <w:r>
        <w:rPr>
          <w:i/>
          <w:iCs/>
        </w:rPr>
        <w:t>ffense”</w:t>
      </w:r>
    </w:p>
    <w:p w14:paraId="3B71B539" w14:textId="2485B870" w:rsidR="007B223F" w:rsidRDefault="00A61FFA" w:rsidP="00F273F1">
      <w:pPr>
        <w:tabs>
          <w:tab w:val="left" w:pos="720"/>
        </w:tabs>
        <w:ind w:firstLine="720"/>
      </w:pPr>
      <w:r>
        <w:t>T</w:t>
      </w:r>
      <w:r w:rsidR="003713E4">
        <w:t>he term “nonviolent</w:t>
      </w:r>
      <w:r w:rsidR="0082389E">
        <w:t xml:space="preserve"> felony offense</w:t>
      </w:r>
      <w:r w:rsidR="003713E4">
        <w:t xml:space="preserve">” is not defined in the constitutional language.  </w:t>
      </w:r>
      <w:r>
        <w:t>A</w:t>
      </w:r>
      <w:r w:rsidR="007A653C">
        <w:t>rticle I, section 32(b) delegates the Department authority to</w:t>
      </w:r>
      <w:r w:rsidR="0082389E">
        <w:t xml:space="preserve"> promulgate regulations in furtherance of the constitutional language</w:t>
      </w:r>
      <w:r w:rsidR="00FE5BB0">
        <w:t>.  T</w:t>
      </w:r>
      <w:r w:rsidR="0082389E">
        <w:t xml:space="preserve">hat authority </w:t>
      </w:r>
      <w:r w:rsidR="00D07BFC">
        <w:t xml:space="preserve">may include </w:t>
      </w:r>
      <w:proofErr w:type="gramStart"/>
      <w:r w:rsidR="00D07BFC">
        <w:t>some</w:t>
      </w:r>
      <w:proofErr w:type="gramEnd"/>
      <w:r w:rsidR="00D07BFC">
        <w:t xml:space="preserve"> discretion to define</w:t>
      </w:r>
      <w:r w:rsidR="007B223F">
        <w:t xml:space="preserve"> what constitutes a “nonviolent felony offense” for purposes of nonviolent offender parole consideration.  We need not decide the </w:t>
      </w:r>
      <w:r w:rsidR="0065021E">
        <w:t xml:space="preserve">full </w:t>
      </w:r>
      <w:r w:rsidR="007B223F">
        <w:t xml:space="preserve">scope of the Department’s authority in this context, however, given the </w:t>
      </w:r>
      <w:r w:rsidR="00CC698F">
        <w:t>limited question before us</w:t>
      </w:r>
      <w:r w:rsidR="007B223F">
        <w:t>.</w:t>
      </w:r>
      <w:r w:rsidR="004456A5">
        <w:t xml:space="preserve">  Rather, our task is to determine whether the Department’s current </w:t>
      </w:r>
      <w:r w:rsidR="00E96882">
        <w:t>regulation</w:t>
      </w:r>
      <w:r w:rsidR="00035BEC">
        <w:t>s</w:t>
      </w:r>
      <w:r w:rsidR="00C24E7B">
        <w:t>,</w:t>
      </w:r>
      <w:r w:rsidR="00E96882">
        <w:t xml:space="preserve"> which categorially exclude from nonviolent offender parole consideration all inmates subject to </w:t>
      </w:r>
      <w:r w:rsidR="00CE2B95">
        <w:t>sex offender registration</w:t>
      </w:r>
      <w:r w:rsidR="00C24E7B">
        <w:t>,</w:t>
      </w:r>
      <w:r w:rsidR="00CE2B95">
        <w:t xml:space="preserve"> </w:t>
      </w:r>
      <w:r w:rsidR="00035BEC">
        <w:lastRenderedPageBreak/>
        <w:t>are</w:t>
      </w:r>
      <w:r w:rsidR="00CE2B95">
        <w:t xml:space="preserve"> consistent with the constitutional directive that</w:t>
      </w:r>
      <w:r w:rsidR="00146E96">
        <w:t xml:space="preserve"> </w:t>
      </w:r>
      <w:r w:rsidR="00146E96" w:rsidRPr="00F273F1">
        <w:t>“</w:t>
      </w:r>
      <w:r w:rsidR="00146E96">
        <w:t>[a]</w:t>
      </w:r>
      <w:proofErr w:type="spellStart"/>
      <w:r w:rsidR="00146E96" w:rsidRPr="00F273F1">
        <w:t>ny</w:t>
      </w:r>
      <w:proofErr w:type="spellEnd"/>
      <w:r w:rsidR="00146E96" w:rsidRPr="00F273F1">
        <w:t xml:space="preserve"> person convicted of a nonviolent felony offense</w:t>
      </w:r>
      <w:r w:rsidR="00E25DE6">
        <w:t xml:space="preserve"> . . .</w:t>
      </w:r>
      <w:r w:rsidR="00146E96">
        <w:t xml:space="preserve"> </w:t>
      </w:r>
      <w:r w:rsidR="00146E96" w:rsidRPr="00F273F1">
        <w:t>shall be eligible for parole consideration</w:t>
      </w:r>
      <w:r w:rsidR="0095609A">
        <w:t xml:space="preserve"> . . . .</w:t>
      </w:r>
      <w:r w:rsidR="00146E96" w:rsidRPr="00F273F1">
        <w:t>”</w:t>
      </w:r>
      <w:r w:rsidR="00E25DE6">
        <w:t xml:space="preserve">  (A</w:t>
      </w:r>
      <w:r w:rsidR="009259F4">
        <w:t>rt. I, § 32(a)(1).)</w:t>
      </w:r>
    </w:p>
    <w:p w14:paraId="2CD7B7C4" w14:textId="6A8833B6" w:rsidR="00716E1A" w:rsidRDefault="007B223F" w:rsidP="00F273F1">
      <w:pPr>
        <w:tabs>
          <w:tab w:val="left" w:pos="720"/>
        </w:tabs>
        <w:ind w:firstLine="720"/>
      </w:pPr>
      <w:r>
        <w:t xml:space="preserve">In its initial briefing before this court, the Department conceded that </w:t>
      </w:r>
      <w:r w:rsidR="00716E1A">
        <w:t xml:space="preserve">its regulations defined </w:t>
      </w:r>
      <w:r w:rsidR="00CC574E">
        <w:t>petitioner</w:t>
      </w:r>
      <w:r w:rsidR="00716E1A">
        <w:t xml:space="preserve"> as a “nonviolent offender” based on his current conviction.  </w:t>
      </w:r>
      <w:r w:rsidR="00842182">
        <w:t xml:space="preserve">The Department noted that </w:t>
      </w:r>
      <w:r w:rsidR="00DE1313">
        <w:t>the</w:t>
      </w:r>
      <w:r w:rsidR="00842182">
        <w:t xml:space="preserve"> regulation</w:t>
      </w:r>
      <w:r w:rsidR="00DE1313">
        <w:t xml:space="preserve"> at issue</w:t>
      </w:r>
      <w:r w:rsidR="00842182">
        <w:t xml:space="preserve"> “does not merely interpret particular terms, such as ‘nonviolent’ or ‘nonviolent felony offense.’  Instead, it reflects the Secretary’s public safety determinations . . . .”</w:t>
      </w:r>
      <w:r w:rsidR="00495881">
        <w:rPr>
          <w:rStyle w:val="FootnoteReference"/>
        </w:rPr>
        <w:footnoteReference w:id="12"/>
      </w:r>
      <w:r w:rsidR="00842182">
        <w:t xml:space="preserve">  </w:t>
      </w:r>
    </w:p>
    <w:p w14:paraId="2EC574FE" w14:textId="02298875" w:rsidR="00BA0664" w:rsidRDefault="00C43C05" w:rsidP="00BE4DDB">
      <w:pPr>
        <w:tabs>
          <w:tab w:val="left" w:pos="720"/>
        </w:tabs>
        <w:ind w:firstLine="720"/>
      </w:pPr>
      <w:r>
        <w:t xml:space="preserve">In an abrupt change of position, however, </w:t>
      </w:r>
      <w:r w:rsidR="00716E1A">
        <w:t xml:space="preserve">the Department </w:t>
      </w:r>
      <w:r w:rsidR="00223E6B">
        <w:t>assert</w:t>
      </w:r>
      <w:r w:rsidR="00035BEC">
        <w:t>s</w:t>
      </w:r>
      <w:r w:rsidR="00FF7AEE">
        <w:t xml:space="preserve"> </w:t>
      </w:r>
      <w:r>
        <w:t>in its supplemental briefing</w:t>
      </w:r>
      <w:r w:rsidR="00223E6B">
        <w:t xml:space="preserve"> that its regulation</w:t>
      </w:r>
      <w:r w:rsidR="00D35C37">
        <w:t>s</w:t>
      </w:r>
      <w:r w:rsidR="00223E6B">
        <w:t xml:space="preserve"> excluding inmates with registerable sex offenses from parole consideration </w:t>
      </w:r>
      <w:r w:rsidR="00BD3DB8">
        <w:t>“</w:t>
      </w:r>
      <w:r w:rsidR="00223E6B">
        <w:t>in effect</w:t>
      </w:r>
      <w:r w:rsidR="004E3DB4">
        <w:t xml:space="preserve"> deem those offenses not to be ‘nonviolent felony offense[s]</w:t>
      </w:r>
      <w:r w:rsidR="00C103C2">
        <w:t>’</w:t>
      </w:r>
      <w:r w:rsidR="004E3DB4">
        <w:t xml:space="preserve"> under section 32, subdivision (a)(1)</w:t>
      </w:r>
      <w:r w:rsidR="00223E6B">
        <w:t>.”  That is, the Department</w:t>
      </w:r>
      <w:r w:rsidR="00D7208E">
        <w:t xml:space="preserve"> now</w:t>
      </w:r>
      <w:r w:rsidR="00223E6B">
        <w:t xml:space="preserve"> asserts that </w:t>
      </w:r>
      <w:r w:rsidR="0009573D">
        <w:t xml:space="preserve">any inmate excluded from nonviolent offender parole consideration under </w:t>
      </w:r>
      <w:r w:rsidR="00223E6B">
        <w:t xml:space="preserve">its regulations </w:t>
      </w:r>
      <w:r w:rsidR="00D7208E">
        <w:t xml:space="preserve">has been excluded based on an implicit determination that the inmate did not commit a </w:t>
      </w:r>
      <w:r w:rsidR="004D3696">
        <w:t>“</w:t>
      </w:r>
      <w:r w:rsidR="0009573D">
        <w:t>nonviolent felony offense</w:t>
      </w:r>
      <w:r w:rsidR="004D3696">
        <w:t xml:space="preserve">” </w:t>
      </w:r>
      <w:r w:rsidR="00A63A6C">
        <w:t>for purposes of article I, section 32(a)(1)</w:t>
      </w:r>
      <w:r w:rsidR="0009573D">
        <w:t>.</w:t>
      </w:r>
      <w:r w:rsidR="00BE4DDB">
        <w:t xml:space="preserve">  </w:t>
      </w:r>
      <w:r w:rsidR="00E14870">
        <w:t xml:space="preserve">We </w:t>
      </w:r>
      <w:r w:rsidR="00897C6A">
        <w:t>have previously declined to consider belated arguments not raised in a party’s opening brief.  (</w:t>
      </w:r>
      <w:r w:rsidR="00897C6A">
        <w:rPr>
          <w:i/>
        </w:rPr>
        <w:t xml:space="preserve">People v. </w:t>
      </w:r>
      <w:r w:rsidR="00BA3E2D">
        <w:rPr>
          <w:i/>
        </w:rPr>
        <w:t>Duff</w:t>
      </w:r>
      <w:r w:rsidR="00897C6A">
        <w:rPr>
          <w:iCs/>
        </w:rPr>
        <w:t xml:space="preserve"> (201</w:t>
      </w:r>
      <w:r w:rsidR="00BA3E2D">
        <w:rPr>
          <w:iCs/>
        </w:rPr>
        <w:t>4</w:t>
      </w:r>
      <w:r w:rsidR="00897C6A">
        <w:rPr>
          <w:iCs/>
        </w:rPr>
        <w:t>)</w:t>
      </w:r>
      <w:r w:rsidR="00BA3E2D">
        <w:rPr>
          <w:iCs/>
        </w:rPr>
        <w:t xml:space="preserve"> 58 Cal.4th 527, 550, fn. 9.)</w:t>
      </w:r>
      <w:r w:rsidR="00897C6A">
        <w:rPr>
          <w:iCs/>
        </w:rPr>
        <w:t xml:space="preserve"> </w:t>
      </w:r>
      <w:r w:rsidR="00E14870">
        <w:t xml:space="preserve"> Even </w:t>
      </w:r>
      <w:r w:rsidR="00E14870">
        <w:lastRenderedPageBreak/>
        <w:t>consider</w:t>
      </w:r>
      <w:r w:rsidR="00FC057F">
        <w:t>ing</w:t>
      </w:r>
      <w:r w:rsidR="00E14870">
        <w:t xml:space="preserve"> </w:t>
      </w:r>
      <w:r w:rsidR="000C3147">
        <w:t>the Department’s new argument</w:t>
      </w:r>
      <w:r w:rsidR="00E14870">
        <w:t xml:space="preserve">, </w:t>
      </w:r>
      <w:r w:rsidR="007373D4">
        <w:t>we find it to be in</w:t>
      </w:r>
      <w:r w:rsidR="00264BA5">
        <w:t xml:space="preserve">consistent with the Department’s regulations.  </w:t>
      </w:r>
    </w:p>
    <w:p w14:paraId="33DAAF7F" w14:textId="2B1B3773" w:rsidR="00467893" w:rsidRDefault="00BA0664" w:rsidP="00BA0664">
      <w:pPr>
        <w:tabs>
          <w:tab w:val="left" w:pos="720"/>
        </w:tabs>
        <w:ind w:firstLine="720"/>
      </w:pPr>
      <w:r>
        <w:t xml:space="preserve">Article I, section 32(a) refers to parole consideration for individuals “convicted of a nonviolent felony offense.”  The regulations </w:t>
      </w:r>
      <w:r w:rsidR="00D457F9">
        <w:t>do not</w:t>
      </w:r>
      <w:r>
        <w:t xml:space="preserve"> </w:t>
      </w:r>
      <w:r w:rsidR="003A58E6">
        <w:t>interpret</w:t>
      </w:r>
      <w:r>
        <w:t xml:space="preserve"> this phrase, </w:t>
      </w:r>
      <w:r w:rsidR="002924E4">
        <w:t xml:space="preserve">but </w:t>
      </w:r>
      <w:r w:rsidR="00D457F9">
        <w:t xml:space="preserve">they do </w:t>
      </w:r>
      <w:r w:rsidR="003A58E6">
        <w:t xml:space="preserve">provide </w:t>
      </w:r>
      <w:r w:rsidR="00D457F9">
        <w:t>definitions</w:t>
      </w:r>
      <w:r w:rsidR="003A58E6">
        <w:t xml:space="preserve"> </w:t>
      </w:r>
      <w:r w:rsidR="00D457F9">
        <w:t>of</w:t>
      </w:r>
      <w:r>
        <w:t xml:space="preserve"> “nonviolent offender” and “violent felony.”  (Cal. Code Regs., </w:t>
      </w:r>
      <w:r w:rsidR="00935874">
        <w:t>§</w:t>
      </w:r>
      <w:r>
        <w:t>§</w:t>
      </w:r>
      <w:r w:rsidR="00BE4DDB">
        <w:t> </w:t>
      </w:r>
      <w:r>
        <w:t>3490, subds. (a), (c)</w:t>
      </w:r>
      <w:r w:rsidR="00935874">
        <w:t>, 3495, subds. (a), (c)</w:t>
      </w:r>
      <w:r>
        <w:t xml:space="preserve">.)  </w:t>
      </w:r>
      <w:r w:rsidR="00E240CE">
        <w:t>A</w:t>
      </w:r>
      <w:r w:rsidR="0069641E">
        <w:t xml:space="preserve">n inmate is deemed a </w:t>
      </w:r>
      <w:r w:rsidR="00E240CE">
        <w:t xml:space="preserve">“nonviolent offender” </w:t>
      </w:r>
      <w:r w:rsidR="0069641E">
        <w:t>if he or she does not meet any of the listed criteria, including that the inmate is “currently serving a term of incarceration for a ‘violent felony</w:t>
      </w:r>
      <w:r w:rsidR="004726B8">
        <w:t>.’</w:t>
      </w:r>
      <w:r w:rsidR="004E1F6C">
        <w:t> </w:t>
      </w:r>
      <w:r w:rsidR="004726B8">
        <w:t>”  (</w:t>
      </w:r>
      <w:r w:rsidR="004726B8">
        <w:rPr>
          <w:i/>
          <w:iCs/>
        </w:rPr>
        <w:t>Id</w:t>
      </w:r>
      <w:r w:rsidR="004726B8">
        <w:t>.</w:t>
      </w:r>
      <w:r w:rsidR="0010010F">
        <w:t>,</w:t>
      </w:r>
      <w:r w:rsidR="004726B8">
        <w:t xml:space="preserve"> </w:t>
      </w:r>
      <w:r w:rsidR="00935874">
        <w:t>§</w:t>
      </w:r>
      <w:r w:rsidR="00BE4DDB">
        <w:t> </w:t>
      </w:r>
      <w:r w:rsidR="004726B8">
        <w:t xml:space="preserve">3490, </w:t>
      </w:r>
      <w:proofErr w:type="spellStart"/>
      <w:r w:rsidR="004726B8">
        <w:t>subd</w:t>
      </w:r>
      <w:proofErr w:type="spellEnd"/>
      <w:r w:rsidR="004726B8">
        <w:t>. (a)(5)</w:t>
      </w:r>
      <w:r w:rsidR="00935874">
        <w:t xml:space="preserve">; see also </w:t>
      </w:r>
      <w:r w:rsidR="00935874">
        <w:rPr>
          <w:i/>
          <w:iCs/>
        </w:rPr>
        <w:t>id</w:t>
      </w:r>
      <w:r w:rsidR="00935874">
        <w:t xml:space="preserve">., § 3495, </w:t>
      </w:r>
      <w:proofErr w:type="spellStart"/>
      <w:r w:rsidR="00935874">
        <w:t>subd</w:t>
      </w:r>
      <w:proofErr w:type="spellEnd"/>
      <w:r w:rsidR="00935874">
        <w:t>. (a)(3)</w:t>
      </w:r>
      <w:r w:rsidR="004726B8">
        <w:t xml:space="preserve">.)  </w:t>
      </w:r>
      <w:r w:rsidR="002924E4">
        <w:t>The regulations define a</w:t>
      </w:r>
      <w:r w:rsidR="00951050">
        <w:t xml:space="preserve"> “violent felony” </w:t>
      </w:r>
      <w:r w:rsidR="002924E4">
        <w:t>as</w:t>
      </w:r>
      <w:r w:rsidR="00BA1B0E">
        <w:t xml:space="preserve"> “a crime or enhancement as defined in subdivision (c) of Section 667.5 of the Penal Code.”  (</w:t>
      </w:r>
      <w:r w:rsidR="00BA1B0E">
        <w:rPr>
          <w:i/>
          <w:iCs/>
        </w:rPr>
        <w:t>Id</w:t>
      </w:r>
      <w:r w:rsidR="00BA1B0E">
        <w:t>.</w:t>
      </w:r>
      <w:r w:rsidR="0010010F">
        <w:t>,</w:t>
      </w:r>
      <w:r w:rsidR="00BA1B0E">
        <w:t xml:space="preserve"> §</w:t>
      </w:r>
      <w:r w:rsidR="00BE4DDB">
        <w:t> </w:t>
      </w:r>
      <w:r w:rsidR="00BA1B0E">
        <w:t>3490</w:t>
      </w:r>
      <w:r w:rsidR="004726B8">
        <w:t xml:space="preserve">, </w:t>
      </w:r>
      <w:proofErr w:type="spellStart"/>
      <w:r w:rsidR="004726B8">
        <w:t>subd</w:t>
      </w:r>
      <w:proofErr w:type="spellEnd"/>
      <w:r w:rsidR="004726B8">
        <w:t xml:space="preserve">. </w:t>
      </w:r>
      <w:r w:rsidR="00BA1B0E">
        <w:t>(c)</w:t>
      </w:r>
      <w:r w:rsidR="00935874">
        <w:t xml:space="preserve">; see also </w:t>
      </w:r>
      <w:r w:rsidR="00935874">
        <w:rPr>
          <w:i/>
          <w:iCs/>
        </w:rPr>
        <w:t>id</w:t>
      </w:r>
      <w:r w:rsidR="00935874">
        <w:t xml:space="preserve">., § 3495, </w:t>
      </w:r>
      <w:proofErr w:type="spellStart"/>
      <w:r w:rsidR="00935874">
        <w:t>subd</w:t>
      </w:r>
      <w:proofErr w:type="spellEnd"/>
      <w:r w:rsidR="00935874">
        <w:t>. (c)</w:t>
      </w:r>
      <w:r w:rsidR="00BA1B0E">
        <w:t xml:space="preserve">.) </w:t>
      </w:r>
      <w:r w:rsidR="002924E4">
        <w:t xml:space="preserve"> </w:t>
      </w:r>
      <w:r>
        <w:t xml:space="preserve">The Department </w:t>
      </w:r>
      <w:r w:rsidR="00AC346B">
        <w:t xml:space="preserve">now </w:t>
      </w:r>
      <w:r>
        <w:t>assert</w:t>
      </w:r>
      <w:r w:rsidR="00D65D5F">
        <w:t>s</w:t>
      </w:r>
      <w:r>
        <w:t xml:space="preserve"> that a “nonviolent felony offense” is “not simply any offense that is not among the violent felonies listed” in the Penal Code, but that </w:t>
      </w:r>
      <w:r w:rsidR="00DB5720">
        <w:t xml:space="preserve">under the regulations </w:t>
      </w:r>
      <w:r>
        <w:t>“all inmates not excluded by [the regulatory] criteria are considered ‘convicted of a nonviolent felony offe</w:t>
      </w:r>
      <w:r w:rsidR="000462FC">
        <w:t>n</w:t>
      </w:r>
      <w:r>
        <w:t>se’ and eligible for participation in the nonviolent parole program.”</w:t>
      </w:r>
      <w:r w:rsidR="004C2B14">
        <w:t xml:space="preserve">  </w:t>
      </w:r>
    </w:p>
    <w:p w14:paraId="4FCE5913" w14:textId="1C103B1F" w:rsidR="00466D3F" w:rsidRDefault="004C2B14" w:rsidP="00BA0664">
      <w:pPr>
        <w:tabs>
          <w:tab w:val="left" w:pos="720"/>
        </w:tabs>
        <w:ind w:firstLine="720"/>
      </w:pPr>
      <w:r>
        <w:t xml:space="preserve">The regulations do not </w:t>
      </w:r>
      <w:r w:rsidR="00467893">
        <w:t xml:space="preserve">support the Department’s </w:t>
      </w:r>
      <w:r w:rsidR="00487FD6">
        <w:t>position</w:t>
      </w:r>
      <w:r>
        <w:t>.</w:t>
      </w:r>
      <w:r w:rsidR="003B7361">
        <w:t xml:space="preserve">  Although the regulations do not define what constitutes a “nonviolent felony,”</w:t>
      </w:r>
      <w:r>
        <w:t xml:space="preserve"> </w:t>
      </w:r>
      <w:r w:rsidR="00105130">
        <w:t xml:space="preserve">the adoption of a definition </w:t>
      </w:r>
      <w:r w:rsidR="00487FD6">
        <w:t>for what constitutes</w:t>
      </w:r>
      <w:r w:rsidR="00105130">
        <w:t xml:space="preserve"> </w:t>
      </w:r>
      <w:r w:rsidR="006E0A07">
        <w:t>a “violent felony”</w:t>
      </w:r>
      <w:r w:rsidR="00105130">
        <w:t xml:space="preserve"> indicates </w:t>
      </w:r>
      <w:r w:rsidR="0011113C">
        <w:t xml:space="preserve">that offenses not defined as “violent” would amount to “nonviolent felonies.”  </w:t>
      </w:r>
      <w:r w:rsidR="00466D3F">
        <w:t xml:space="preserve">This </w:t>
      </w:r>
      <w:r w:rsidR="0098317C">
        <w:t xml:space="preserve">not only </w:t>
      </w:r>
      <w:r w:rsidR="00466D3F">
        <w:t>makes intuitive sense</w:t>
      </w:r>
      <w:r w:rsidR="0098317C">
        <w:t>, but</w:t>
      </w:r>
      <w:r w:rsidR="00466D3F">
        <w:t xml:space="preserve"> </w:t>
      </w:r>
      <w:r w:rsidR="0098317C">
        <w:t xml:space="preserve">also </w:t>
      </w:r>
      <w:r w:rsidR="00466D3F">
        <w:t xml:space="preserve">is </w:t>
      </w:r>
      <w:r w:rsidR="002B163E">
        <w:t>supported by</w:t>
      </w:r>
      <w:r w:rsidR="00466D3F">
        <w:t xml:space="preserve"> the structure of the regulations.</w:t>
      </w:r>
    </w:p>
    <w:p w14:paraId="0A9F92D6" w14:textId="465110CE" w:rsidR="00E906B6" w:rsidRDefault="00E906B6" w:rsidP="00E906B6">
      <w:pPr>
        <w:tabs>
          <w:tab w:val="left" w:pos="720"/>
        </w:tabs>
        <w:ind w:firstLine="720"/>
      </w:pPr>
      <w:r>
        <w:t xml:space="preserve">The regulations refer to “nonviolent felony offense[s]” </w:t>
      </w:r>
      <w:r w:rsidR="00367C26">
        <w:t xml:space="preserve">(Cal. Code Regs., § 3490, </w:t>
      </w:r>
      <w:proofErr w:type="spellStart"/>
      <w:r w:rsidR="00367C26">
        <w:t>subd</w:t>
      </w:r>
      <w:proofErr w:type="spellEnd"/>
      <w:r w:rsidR="00367C26">
        <w:t xml:space="preserve">. (a)(6)) </w:t>
      </w:r>
      <w:r>
        <w:t>and offenses that are “not a ‘violent felony’</w:t>
      </w:r>
      <w:r w:rsidR="00DB5720">
        <w:t> </w:t>
      </w:r>
      <w:r>
        <w:t>”</w:t>
      </w:r>
      <w:r w:rsidR="00367C26">
        <w:t xml:space="preserve"> (</w:t>
      </w:r>
      <w:r w:rsidR="00367C26">
        <w:rPr>
          <w:i/>
          <w:iCs/>
        </w:rPr>
        <w:t>id</w:t>
      </w:r>
      <w:r w:rsidR="00367C26">
        <w:t>., § </w:t>
      </w:r>
      <w:r w:rsidR="007A19CC">
        <w:t xml:space="preserve">3490, </w:t>
      </w:r>
      <w:proofErr w:type="spellStart"/>
      <w:r w:rsidR="007A19CC">
        <w:t>subd</w:t>
      </w:r>
      <w:proofErr w:type="spellEnd"/>
      <w:r w:rsidR="007A19CC">
        <w:t>. (b)).</w:t>
      </w:r>
      <w:r>
        <w:t xml:space="preserve">  In defining the term </w:t>
      </w:r>
      <w:r>
        <w:lastRenderedPageBreak/>
        <w:t xml:space="preserve">“nonviolent offender,” for example, the regulations exclude from that term an inmate “currently serving a term of incarceration </w:t>
      </w:r>
      <w:r>
        <w:rPr>
          <w:i/>
          <w:iCs/>
        </w:rPr>
        <w:t>for a nonviolent felony offense</w:t>
      </w:r>
      <w:r>
        <w:t xml:space="preserve"> after completing a concurrent determinate term for a ‘violent felony.’</w:t>
      </w:r>
      <w:r w:rsidR="00DB5720">
        <w:t> </w:t>
      </w:r>
      <w:r>
        <w:t>”  (</w:t>
      </w:r>
      <w:r w:rsidR="007A19CC">
        <w:rPr>
          <w:i/>
          <w:iCs/>
        </w:rPr>
        <w:t>Id</w:t>
      </w:r>
      <w:r>
        <w:t xml:space="preserve">., § 3490, </w:t>
      </w:r>
      <w:proofErr w:type="spellStart"/>
      <w:r>
        <w:t>subd</w:t>
      </w:r>
      <w:proofErr w:type="spellEnd"/>
      <w:r>
        <w:t>. (a)(6)</w:t>
      </w:r>
      <w:r w:rsidR="00DB5720">
        <w:t>,</w:t>
      </w:r>
      <w:r w:rsidR="00301F07">
        <w:t xml:space="preserve"> </w:t>
      </w:r>
      <w:r w:rsidR="00DB5720">
        <w:t xml:space="preserve">italics </w:t>
      </w:r>
      <w:r w:rsidR="00301F07">
        <w:t>added</w:t>
      </w:r>
      <w:r>
        <w:t xml:space="preserve">; see also </w:t>
      </w:r>
      <w:r>
        <w:rPr>
          <w:i/>
          <w:iCs/>
        </w:rPr>
        <w:t>id</w:t>
      </w:r>
      <w:r>
        <w:t>.</w:t>
      </w:r>
      <w:r w:rsidR="00267067">
        <w:t>,</w:t>
      </w:r>
      <w:r>
        <w:t xml:space="preserve"> §§ 2449.1, </w:t>
      </w:r>
      <w:proofErr w:type="spellStart"/>
      <w:r>
        <w:t>subd</w:t>
      </w:r>
      <w:proofErr w:type="spellEnd"/>
      <w:r>
        <w:t xml:space="preserve">. (a)(6), 2449.30, </w:t>
      </w:r>
      <w:proofErr w:type="spellStart"/>
      <w:r>
        <w:t>subd</w:t>
      </w:r>
      <w:proofErr w:type="spellEnd"/>
      <w:r>
        <w:t xml:space="preserve">. (a)(5), 3495, </w:t>
      </w:r>
      <w:proofErr w:type="spellStart"/>
      <w:r>
        <w:t>subd</w:t>
      </w:r>
      <w:proofErr w:type="spellEnd"/>
      <w:r>
        <w:t xml:space="preserve">. (a)(5).)  In this context, it is clear that a “nonviolent felony offense” stands in contrast to a “violent felony.”  </w:t>
      </w:r>
    </w:p>
    <w:p w14:paraId="26D0DF7B" w14:textId="2EFE7EA3" w:rsidR="00E906B6" w:rsidRDefault="00E906B6" w:rsidP="00E906B6">
      <w:pPr>
        <w:tabs>
          <w:tab w:val="left" w:pos="720"/>
        </w:tabs>
        <w:ind w:firstLine="720"/>
      </w:pPr>
      <w:r>
        <w:t>Other portions of the regulations make the same distinction.  The</w:t>
      </w:r>
      <w:r w:rsidR="00DB5720">
        <w:t xml:space="preserve">y </w:t>
      </w:r>
      <w:r>
        <w:t xml:space="preserve">note that the term “nonviolent offender” “includes an inmate who has completed a determinate or indeterminate term of incarceration and is currently serving a determinate term for an in-prison offense that is </w:t>
      </w:r>
      <w:r>
        <w:rPr>
          <w:i/>
          <w:iCs/>
        </w:rPr>
        <w:t>not a ‘violent felony</w:t>
      </w:r>
      <w:r>
        <w:t>.’</w:t>
      </w:r>
      <w:r w:rsidR="00DB5720">
        <w:t> </w:t>
      </w:r>
      <w:r>
        <w:t>”  (</w:t>
      </w:r>
      <w:r w:rsidR="007A19CC">
        <w:t>Cal. Code Regs</w:t>
      </w:r>
      <w:r>
        <w:t>.</w:t>
      </w:r>
      <w:r w:rsidR="007A19CC">
        <w:t>,</w:t>
      </w:r>
      <w:r>
        <w:t xml:space="preserve"> §</w:t>
      </w:r>
      <w:r w:rsidR="00301F07">
        <w:t> </w:t>
      </w:r>
      <w:r>
        <w:t xml:space="preserve">3490, </w:t>
      </w:r>
      <w:proofErr w:type="spellStart"/>
      <w:r>
        <w:t>subd</w:t>
      </w:r>
      <w:proofErr w:type="spellEnd"/>
      <w:r>
        <w:t>. (b)</w:t>
      </w:r>
      <w:r w:rsidR="00DB5720">
        <w:t>, italics</w:t>
      </w:r>
      <w:r w:rsidR="00301F07">
        <w:t xml:space="preserve"> added</w:t>
      </w:r>
      <w:r>
        <w:t xml:space="preserve">; see also </w:t>
      </w:r>
      <w:r>
        <w:rPr>
          <w:i/>
          <w:iCs/>
        </w:rPr>
        <w:t>id</w:t>
      </w:r>
      <w:r>
        <w:t>.</w:t>
      </w:r>
      <w:r w:rsidR="007A19CC">
        <w:t>,</w:t>
      </w:r>
      <w:r>
        <w:t xml:space="preserve"> §§</w:t>
      </w:r>
      <w:r w:rsidR="00301F07">
        <w:t> </w:t>
      </w:r>
      <w:r>
        <w:t xml:space="preserve">2449.1, </w:t>
      </w:r>
      <w:proofErr w:type="spellStart"/>
      <w:r>
        <w:t>subd</w:t>
      </w:r>
      <w:proofErr w:type="spellEnd"/>
      <w:r>
        <w:t xml:space="preserve">. (b), 2449.30, </w:t>
      </w:r>
      <w:proofErr w:type="spellStart"/>
      <w:r>
        <w:t>subd</w:t>
      </w:r>
      <w:proofErr w:type="spellEnd"/>
      <w:r>
        <w:t xml:space="preserve">. (b), 3495, </w:t>
      </w:r>
      <w:proofErr w:type="spellStart"/>
      <w:r>
        <w:t>subd</w:t>
      </w:r>
      <w:proofErr w:type="spellEnd"/>
      <w:r>
        <w:t>. (b).)  Similarly, the regulations direct the Department to review each inmate’s eligibility for nonviolent offender parole consideration.  (</w:t>
      </w:r>
      <w:r>
        <w:rPr>
          <w:i/>
          <w:iCs/>
        </w:rPr>
        <w:t>Id</w:t>
      </w:r>
      <w:r>
        <w:t>.</w:t>
      </w:r>
      <w:r w:rsidR="007A19CC">
        <w:t>,</w:t>
      </w:r>
      <w:r>
        <w:t xml:space="preserve"> §</w:t>
      </w:r>
      <w:r w:rsidR="00CE5CBA">
        <w:t> </w:t>
      </w:r>
      <w:r>
        <w:t xml:space="preserve">3491.)  The Department conducts a new eligibility review, in relevant part, “when an inmate begins serving a determinate term for an in-prison offense that is </w:t>
      </w:r>
      <w:r>
        <w:rPr>
          <w:i/>
          <w:iCs/>
        </w:rPr>
        <w:t>not a violent felony</w:t>
      </w:r>
      <w:r>
        <w:t>.”  (</w:t>
      </w:r>
      <w:r>
        <w:rPr>
          <w:i/>
          <w:iCs/>
        </w:rPr>
        <w:t>Id</w:t>
      </w:r>
      <w:r>
        <w:t>.</w:t>
      </w:r>
      <w:r w:rsidR="007A19CC">
        <w:t>,</w:t>
      </w:r>
      <w:r>
        <w:t xml:space="preserve"> §</w:t>
      </w:r>
      <w:r w:rsidR="003D4AF9">
        <w:t> </w:t>
      </w:r>
      <w:r>
        <w:t xml:space="preserve">3491, </w:t>
      </w:r>
      <w:proofErr w:type="spellStart"/>
      <w:r>
        <w:t>subd</w:t>
      </w:r>
      <w:proofErr w:type="spellEnd"/>
      <w:r>
        <w:t>. (d)</w:t>
      </w:r>
      <w:r w:rsidR="00DB5720">
        <w:t>, italics a</w:t>
      </w:r>
      <w:r w:rsidR="003D4AF9">
        <w:t>dde</w:t>
      </w:r>
      <w:r w:rsidR="00DB5720">
        <w:t>d</w:t>
      </w:r>
      <w:r>
        <w:t>; see also §§</w:t>
      </w:r>
      <w:r w:rsidR="00967974">
        <w:t> </w:t>
      </w:r>
      <w:r>
        <w:t xml:space="preserve">3496, </w:t>
      </w:r>
      <w:proofErr w:type="spellStart"/>
      <w:r>
        <w:t>subd</w:t>
      </w:r>
      <w:proofErr w:type="spellEnd"/>
      <w:r>
        <w:t xml:space="preserve">. (e)(2)(A), (B).)  The regulations, then, effectively define the term “nonviolent felony offense” not by </w:t>
      </w:r>
      <w:r w:rsidR="00D423BD">
        <w:t xml:space="preserve">implicitly </w:t>
      </w:r>
      <w:r>
        <w:t xml:space="preserve">prescribing the scope of </w:t>
      </w:r>
      <w:r w:rsidR="00D423BD">
        <w:t xml:space="preserve">those </w:t>
      </w:r>
      <w:r>
        <w:t xml:space="preserve">inmates ultimately deemed eligible for parole consideration, but by contrasting that term with the definition </w:t>
      </w:r>
      <w:r w:rsidR="00D423BD">
        <w:t xml:space="preserve">of </w:t>
      </w:r>
      <w:r>
        <w:t xml:space="preserve"> “violent felony” as adopted by the Department.</w:t>
      </w:r>
    </w:p>
    <w:p w14:paraId="361A2CF4" w14:textId="33BA726E" w:rsidR="00E906B6" w:rsidRDefault="00E906B6" w:rsidP="00E906B6">
      <w:pPr>
        <w:tabs>
          <w:tab w:val="left" w:pos="720"/>
        </w:tabs>
        <w:ind w:firstLine="720"/>
      </w:pPr>
      <w:r>
        <w:t xml:space="preserve">Further, the </w:t>
      </w:r>
      <w:r w:rsidR="00685985">
        <w:t>regulations</w:t>
      </w:r>
      <w:r>
        <w:t xml:space="preserve"> exclude from nonviolent offender parole consideration another class of inmates defined by the regulations as “nonviolent offenders” — inmates eligible for a parole consideration hearing </w:t>
      </w:r>
      <w:r w:rsidR="00D23562">
        <w:t xml:space="preserve">under Penal Code section 3051 or section 3055 </w:t>
      </w:r>
      <w:r>
        <w:t>within one year</w:t>
      </w:r>
      <w:r w:rsidR="00D423BD">
        <w:t>,</w:t>
      </w:r>
      <w:r>
        <w:t xml:space="preserve"> or whose initial parole </w:t>
      </w:r>
      <w:r>
        <w:lastRenderedPageBreak/>
        <w:t>consideration hearing</w:t>
      </w:r>
      <w:r w:rsidR="00935874">
        <w:t xml:space="preserve"> under those provisions</w:t>
      </w:r>
      <w:r>
        <w:t xml:space="preserve"> has already been scheduled.  (Cal. Code Regs., §</w:t>
      </w:r>
      <w:r w:rsidR="00D23562">
        <w:t> </w:t>
      </w:r>
      <w:r>
        <w:t xml:space="preserve">3491, </w:t>
      </w:r>
      <w:proofErr w:type="spellStart"/>
      <w:r>
        <w:t>subd</w:t>
      </w:r>
      <w:proofErr w:type="spellEnd"/>
      <w:r>
        <w:t xml:space="preserve">. (b)(2).)  Applying the Department’s </w:t>
      </w:r>
      <w:r w:rsidR="00D423BD">
        <w:t xml:space="preserve">new </w:t>
      </w:r>
      <w:r>
        <w:t xml:space="preserve">assertion to that context, the exclusion of these inmates </w:t>
      </w:r>
      <w:r w:rsidR="001610ED">
        <w:t xml:space="preserve">would </w:t>
      </w:r>
      <w:r>
        <w:t xml:space="preserve">reflect the Department’s determination that they have not been convicted of a “nonviolent felony offense.”  </w:t>
      </w:r>
      <w:r w:rsidR="001610ED">
        <w:t xml:space="preserve">But the </w:t>
      </w:r>
      <w:r>
        <w:t xml:space="preserve">assertion does not pass muster; although we are not considering the validity of this regulatory provision, we perceive no tenable argument that an exclusion based on the timing of a parole hearing </w:t>
      </w:r>
      <w:r w:rsidR="00FC053E">
        <w:t xml:space="preserve">in turn </w:t>
      </w:r>
      <w:r>
        <w:t xml:space="preserve">reflects a determination </w:t>
      </w:r>
      <w:r w:rsidR="00FC053E">
        <w:t>regarding</w:t>
      </w:r>
      <w:r>
        <w:t xml:space="preserve"> the nature of the inmate’s underlying offense</w:t>
      </w:r>
      <w:r w:rsidR="00935874">
        <w:t xml:space="preserve"> as violent or nonviolent</w:t>
      </w:r>
      <w:r>
        <w:t xml:space="preserve">.  </w:t>
      </w:r>
    </w:p>
    <w:p w14:paraId="694882B2" w14:textId="0DBBF3DB" w:rsidR="007F16B6" w:rsidRDefault="00D26B90" w:rsidP="00BA0664">
      <w:pPr>
        <w:tabs>
          <w:tab w:val="left" w:pos="720"/>
        </w:tabs>
        <w:ind w:firstLine="720"/>
      </w:pPr>
      <w:r>
        <w:t>Finally</w:t>
      </w:r>
      <w:r w:rsidR="00466D3F">
        <w:t xml:space="preserve">, the regulations do not </w:t>
      </w:r>
      <w:r w:rsidR="0042159D">
        <w:t>include registerable sex offenses within the definition of what constitutes</w:t>
      </w:r>
      <w:r w:rsidR="00466D3F">
        <w:t xml:space="preserve"> a “violent felony</w:t>
      </w:r>
      <w:r w:rsidR="00604BE4">
        <w:t>,</w:t>
      </w:r>
      <w:r w:rsidR="00466D3F">
        <w:t>”</w:t>
      </w:r>
      <w:r w:rsidR="00D5551D">
        <w:t xml:space="preserve"> </w:t>
      </w:r>
      <w:r w:rsidR="00604BE4">
        <w:t>n</w:t>
      </w:r>
      <w:r w:rsidR="00D5551D">
        <w:t>or</w:t>
      </w:r>
      <w:r w:rsidR="00604BE4">
        <w:t xml:space="preserve"> do the regulations </w:t>
      </w:r>
      <w:r w:rsidR="00D5551D">
        <w:t xml:space="preserve"> explicitly state that such offenses are </w:t>
      </w:r>
      <w:r w:rsidR="00F1181B">
        <w:t xml:space="preserve">excluded from the definition </w:t>
      </w:r>
      <w:r w:rsidR="00DD270C">
        <w:t>of</w:t>
      </w:r>
      <w:r w:rsidR="00D5551D">
        <w:t xml:space="preserve"> </w:t>
      </w:r>
      <w:r w:rsidR="00DD270C">
        <w:t xml:space="preserve">a </w:t>
      </w:r>
      <w:r w:rsidR="00D5551D">
        <w:t>“nonviolent</w:t>
      </w:r>
      <w:r w:rsidR="00DD270C">
        <w:t xml:space="preserve"> felony</w:t>
      </w:r>
      <w:r w:rsidR="00D5551D">
        <w:t>.”</w:t>
      </w:r>
      <w:r w:rsidR="00466D3F">
        <w:t xml:space="preserve"> </w:t>
      </w:r>
      <w:r w:rsidR="0042159D">
        <w:t xml:space="preserve"> </w:t>
      </w:r>
      <w:r w:rsidR="009157BF">
        <w:t>A</w:t>
      </w:r>
      <w:r w:rsidR="00373BED">
        <w:t xml:space="preserve">lthough the Department now asserts </w:t>
      </w:r>
      <w:r w:rsidR="00287CB3">
        <w:t xml:space="preserve">the regulations </w:t>
      </w:r>
      <w:r w:rsidR="004E1AD7">
        <w:t xml:space="preserve">effectively </w:t>
      </w:r>
      <w:r w:rsidR="00287CB3">
        <w:t>exclude registerable sex offenses from the category of “nonviolent felony offenses,” the regulation</w:t>
      </w:r>
      <w:r w:rsidR="00935874">
        <w:t>s</w:t>
      </w:r>
      <w:r w:rsidR="003C09EC">
        <w:t xml:space="preserve"> at issue</w:t>
      </w:r>
      <w:r w:rsidR="00287CB3">
        <w:t xml:space="preserve"> </w:t>
      </w:r>
      <w:r w:rsidR="00B05E31">
        <w:t xml:space="preserve">plainly </w:t>
      </w:r>
      <w:r w:rsidR="00935874">
        <w:t>are</w:t>
      </w:r>
      <w:r w:rsidR="00B05E31">
        <w:t xml:space="preserve"> not focused on nonviolent </w:t>
      </w:r>
      <w:r w:rsidR="00B05E31" w:rsidRPr="00B05E31">
        <w:rPr>
          <w:i/>
          <w:iCs/>
        </w:rPr>
        <w:t>felony</w:t>
      </w:r>
      <w:r w:rsidR="00B05E31">
        <w:t xml:space="preserve"> offenses — </w:t>
      </w:r>
      <w:r w:rsidR="00935874">
        <w:t>they</w:t>
      </w:r>
      <w:r w:rsidR="00BD27EF">
        <w:t xml:space="preserve"> exclude </w:t>
      </w:r>
      <w:r w:rsidR="008A7072">
        <w:t xml:space="preserve">from parole consideration </w:t>
      </w:r>
      <w:r w:rsidR="00BD27EF">
        <w:t>an inmate convicted of any registerable sex offense</w:t>
      </w:r>
      <w:r w:rsidR="008A7072">
        <w:t>,</w:t>
      </w:r>
      <w:r w:rsidR="00BD27EF">
        <w:t xml:space="preserve"> </w:t>
      </w:r>
      <w:r w:rsidR="008A7072">
        <w:t>felony or misdemeanor</w:t>
      </w:r>
      <w:r w:rsidR="00BD27EF">
        <w:t xml:space="preserve">.  </w:t>
      </w:r>
      <w:r w:rsidR="00D802B7">
        <w:t>(Cal. Code Regs., §</w:t>
      </w:r>
      <w:r w:rsidR="00935874">
        <w:t>§</w:t>
      </w:r>
      <w:r w:rsidR="008A7072">
        <w:t> </w:t>
      </w:r>
      <w:r w:rsidR="00D802B7">
        <w:t xml:space="preserve">3491, </w:t>
      </w:r>
      <w:proofErr w:type="spellStart"/>
      <w:r w:rsidR="00D802B7">
        <w:t>subd</w:t>
      </w:r>
      <w:proofErr w:type="spellEnd"/>
      <w:r w:rsidR="00D802B7">
        <w:t>. (</w:t>
      </w:r>
      <w:r w:rsidR="005319D8">
        <w:t>b)(3)</w:t>
      </w:r>
      <w:r w:rsidR="00935874">
        <w:t xml:space="preserve">, 3496, </w:t>
      </w:r>
      <w:proofErr w:type="spellStart"/>
      <w:r w:rsidR="00935874">
        <w:t>subd</w:t>
      </w:r>
      <w:proofErr w:type="spellEnd"/>
      <w:r w:rsidR="00935874">
        <w:t>. (b)</w:t>
      </w:r>
      <w:r w:rsidR="005319D8">
        <w:t>; see</w:t>
      </w:r>
      <w:r w:rsidR="00E67A95">
        <w:t xml:space="preserve">, e.g., </w:t>
      </w:r>
      <w:r w:rsidR="00AF7395">
        <w:t>Pen. Code, §</w:t>
      </w:r>
      <w:r w:rsidR="00D720BC">
        <w:t>§</w:t>
      </w:r>
      <w:r w:rsidR="008A7072">
        <w:t> </w:t>
      </w:r>
      <w:r w:rsidR="00AF7395">
        <w:t xml:space="preserve">290, </w:t>
      </w:r>
      <w:proofErr w:type="spellStart"/>
      <w:r w:rsidR="00AF7395">
        <w:t>subd</w:t>
      </w:r>
      <w:proofErr w:type="spellEnd"/>
      <w:r w:rsidR="00AF7395">
        <w:t>. (</w:t>
      </w:r>
      <w:r w:rsidR="00E24744">
        <w:t>c)</w:t>
      </w:r>
      <w:r w:rsidR="00984AC1">
        <w:t xml:space="preserve"> [listing offenses requiring registration, including possession of child </w:t>
      </w:r>
      <w:r w:rsidR="00F74370">
        <w:t>pornography</w:t>
      </w:r>
      <w:r w:rsidR="00984AC1">
        <w:t xml:space="preserve"> and indecent exposure]</w:t>
      </w:r>
      <w:r w:rsidR="00D720BC">
        <w:t>, 311.</w:t>
      </w:r>
      <w:r w:rsidR="00296DCA">
        <w:t>11 [</w:t>
      </w:r>
      <w:r w:rsidR="000118BD">
        <w:t xml:space="preserve">criminalizing </w:t>
      </w:r>
      <w:r w:rsidR="00296DCA">
        <w:t>possession of child pornography</w:t>
      </w:r>
      <w:r w:rsidR="000118BD">
        <w:t xml:space="preserve"> as a misdemeanor or felony]; </w:t>
      </w:r>
      <w:r w:rsidR="00110A0B">
        <w:t xml:space="preserve">314 [criminalizing indecent exposure as misdemeanor in </w:t>
      </w:r>
      <w:r w:rsidR="007C414F">
        <w:t>some</w:t>
      </w:r>
      <w:r w:rsidR="00110A0B">
        <w:t xml:space="preserve"> cases].)</w:t>
      </w:r>
    </w:p>
    <w:p w14:paraId="44F24605" w14:textId="21D08800" w:rsidR="007B223F" w:rsidRDefault="00F1636D" w:rsidP="00AD4C41">
      <w:pPr>
        <w:tabs>
          <w:tab w:val="left" w:pos="720"/>
        </w:tabs>
        <w:ind w:firstLine="720"/>
      </w:pPr>
      <w:r>
        <w:t>In short, t</w:t>
      </w:r>
      <w:r w:rsidR="00264BA5" w:rsidRPr="00264BA5">
        <w:t>he regulations do not exclude inmates with registerable</w:t>
      </w:r>
      <w:r w:rsidR="00264BA5">
        <w:t xml:space="preserve"> sex offenses from parole consideration based on a determination that those inmates have </w:t>
      </w:r>
      <w:r w:rsidR="0096712D">
        <w:t xml:space="preserve">not been convicted </w:t>
      </w:r>
      <w:r w:rsidR="00264BA5">
        <w:t xml:space="preserve">of nonviolent felonies.  Rather, the regulations categorize </w:t>
      </w:r>
      <w:r w:rsidR="001F1DA5">
        <w:lastRenderedPageBreak/>
        <w:t xml:space="preserve">otherwise eligible </w:t>
      </w:r>
      <w:r w:rsidR="00264BA5">
        <w:t xml:space="preserve">inmates with registerable sex offenses as “nonviolent offender[s]” who are nonetheless excluded from parole consideration.  (Cal. Code Regs., </w:t>
      </w:r>
      <w:r w:rsidR="00935874">
        <w:t>§</w:t>
      </w:r>
      <w:r w:rsidR="00264BA5">
        <w:t>§</w:t>
      </w:r>
      <w:r w:rsidR="001F1DA5">
        <w:t> </w:t>
      </w:r>
      <w:r w:rsidR="00264BA5">
        <w:t>3491, subds. (a), (b)</w:t>
      </w:r>
      <w:r w:rsidR="00625C4B">
        <w:t>(3)</w:t>
      </w:r>
      <w:r w:rsidR="00935874">
        <w:t>, 3496, subds. (a), (b)</w:t>
      </w:r>
      <w:r w:rsidR="00264BA5">
        <w:t xml:space="preserve">.)  The structure of the Department’s regulations therefore </w:t>
      </w:r>
      <w:r w:rsidR="00A55240">
        <w:t>contradicts</w:t>
      </w:r>
      <w:r w:rsidR="00264BA5">
        <w:t xml:space="preserve"> the Department</w:t>
      </w:r>
      <w:r w:rsidR="00E023D0">
        <w:t>’s newly</w:t>
      </w:r>
      <w:r w:rsidR="00E5232A">
        <w:t xml:space="preserve"> </w:t>
      </w:r>
      <w:r w:rsidR="00E023D0">
        <w:t>asserted position</w:t>
      </w:r>
      <w:r w:rsidR="00E948CD">
        <w:t>.  The regulations i</w:t>
      </w:r>
      <w:r w:rsidR="00E023D0">
        <w:t xml:space="preserve">ndicate </w:t>
      </w:r>
      <w:r w:rsidR="00576A73">
        <w:t>the Department’s exclusion of registerable sex offenses is not</w:t>
      </w:r>
      <w:r w:rsidR="00264BA5">
        <w:t xml:space="preserve"> </w:t>
      </w:r>
      <w:r w:rsidR="001C6745">
        <w:t xml:space="preserve">based on an </w:t>
      </w:r>
      <w:r w:rsidR="00264BA5">
        <w:t>interpret</w:t>
      </w:r>
      <w:r w:rsidR="001C6745">
        <w:t>ation of</w:t>
      </w:r>
      <w:r w:rsidR="00264BA5">
        <w:t xml:space="preserve"> what offenses are considered “nonviolent,” but </w:t>
      </w:r>
      <w:r w:rsidR="00E76480">
        <w:t xml:space="preserve">is </w:t>
      </w:r>
      <w:r w:rsidR="001C6745">
        <w:t xml:space="preserve">based on a public safety determination that requires the Department </w:t>
      </w:r>
      <w:r w:rsidR="00264BA5">
        <w:t>to carv</w:t>
      </w:r>
      <w:r w:rsidR="001C6745">
        <w:t>e</w:t>
      </w:r>
      <w:r w:rsidR="00264BA5">
        <w:t xml:space="preserve"> out exceptions to parole consideration within the class of inmates it has determined to be “nonviolent offender[s].”</w:t>
      </w:r>
      <w:r w:rsidR="00CF179F">
        <w:rPr>
          <w:rStyle w:val="FootnoteReference"/>
        </w:rPr>
        <w:footnoteReference w:id="13"/>
      </w:r>
      <w:r w:rsidR="00CF0AB3">
        <w:t xml:space="preserve"> </w:t>
      </w:r>
      <w:r w:rsidR="0009573D">
        <w:t xml:space="preserve">  </w:t>
      </w:r>
      <w:r w:rsidR="00CC574E">
        <w:t xml:space="preserve">  </w:t>
      </w:r>
    </w:p>
    <w:p w14:paraId="57FE22AB" w14:textId="77777777" w:rsidR="006B67C0" w:rsidRDefault="006B67C0" w:rsidP="00AD4C41">
      <w:pPr>
        <w:tabs>
          <w:tab w:val="left" w:pos="720"/>
        </w:tabs>
        <w:ind w:firstLine="720"/>
      </w:pPr>
    </w:p>
    <w:p w14:paraId="14658FDB" w14:textId="18FCAEFE" w:rsidR="00576FC8" w:rsidRPr="00F273F1" w:rsidRDefault="00576FC8" w:rsidP="00576FC8">
      <w:pPr>
        <w:pStyle w:val="ListParagraph"/>
        <w:numPr>
          <w:ilvl w:val="0"/>
          <w:numId w:val="18"/>
        </w:numPr>
        <w:tabs>
          <w:tab w:val="left" w:pos="720"/>
        </w:tabs>
        <w:rPr>
          <w:i/>
          <w:iCs/>
        </w:rPr>
      </w:pPr>
      <w:r>
        <w:rPr>
          <w:i/>
          <w:iCs/>
        </w:rPr>
        <w:lastRenderedPageBreak/>
        <w:t>“Convicted”</w:t>
      </w:r>
    </w:p>
    <w:p w14:paraId="1AE81940" w14:textId="268FE36E" w:rsidR="008824DD" w:rsidRPr="00F273F1" w:rsidRDefault="00025681" w:rsidP="00F273F1">
      <w:pPr>
        <w:tabs>
          <w:tab w:val="left" w:pos="720"/>
        </w:tabs>
        <w:ind w:firstLine="720"/>
      </w:pPr>
      <w:r w:rsidRPr="00F273F1">
        <w:t xml:space="preserve">The Department asserts that </w:t>
      </w:r>
      <w:r w:rsidR="002B586B" w:rsidRPr="00F273F1">
        <w:t xml:space="preserve">the term </w:t>
      </w:r>
      <w:r w:rsidRPr="00F273F1">
        <w:t>“convicted” “</w:t>
      </w:r>
      <w:r w:rsidR="00D24AC4" w:rsidRPr="00F273F1">
        <w:t> </w:t>
      </w:r>
      <w:r w:rsidR="0084391F" w:rsidRPr="00F273F1">
        <w:t>‘</w:t>
      </w:r>
      <w:r w:rsidRPr="00F273F1">
        <w:t>conveys no self-evident meaning</w:t>
      </w:r>
      <w:r w:rsidR="00393EC2" w:rsidRPr="00F273F1">
        <w:t>,</w:t>
      </w:r>
      <w:r w:rsidR="002328F8" w:rsidRPr="00F273F1">
        <w:t>’</w:t>
      </w:r>
      <w:r w:rsidR="00D24AC4" w:rsidRPr="00F273F1">
        <w:t> </w:t>
      </w:r>
      <w:r w:rsidRPr="00F273F1">
        <w:t>”</w:t>
      </w:r>
      <w:r w:rsidR="00393EC2" w:rsidRPr="00F273F1">
        <w:t xml:space="preserve"> </w:t>
      </w:r>
      <w:r w:rsidR="008C0923" w:rsidRPr="00F273F1">
        <w:t xml:space="preserve">quoting </w:t>
      </w:r>
      <w:r w:rsidR="00393EC2" w:rsidRPr="00F273F1">
        <w:rPr>
          <w:i/>
        </w:rPr>
        <w:t xml:space="preserve">People v. Woodhead </w:t>
      </w:r>
      <w:r w:rsidR="00393EC2" w:rsidRPr="00F273F1">
        <w:t>(1987) 43 Cal.3d 1002</w:t>
      </w:r>
      <w:r w:rsidR="00205337" w:rsidRPr="00F273F1">
        <w:t xml:space="preserve">, </w:t>
      </w:r>
      <w:r w:rsidR="00705216" w:rsidRPr="00F273F1">
        <w:t>1008</w:t>
      </w:r>
      <w:r w:rsidR="00393EC2" w:rsidRPr="00F273F1">
        <w:t xml:space="preserve"> (</w:t>
      </w:r>
      <w:r w:rsidR="00393EC2" w:rsidRPr="00F273F1">
        <w:rPr>
          <w:i/>
        </w:rPr>
        <w:t>Woodhead</w:t>
      </w:r>
      <w:r w:rsidR="00393EC2" w:rsidRPr="00F273F1">
        <w:t xml:space="preserve">). </w:t>
      </w:r>
      <w:r w:rsidR="002328F8" w:rsidRPr="00F273F1">
        <w:t xml:space="preserve"> </w:t>
      </w:r>
      <w:r w:rsidR="00A64FB8" w:rsidRPr="00F273F1">
        <w:t>In</w:t>
      </w:r>
      <w:r w:rsidR="00393EC2" w:rsidRPr="00F273F1">
        <w:t xml:space="preserve"> that case</w:t>
      </w:r>
      <w:r w:rsidR="00A64FB8" w:rsidRPr="00F273F1">
        <w:t xml:space="preserve">, </w:t>
      </w:r>
      <w:r w:rsidR="00EC5EA6">
        <w:t>we</w:t>
      </w:r>
      <w:r w:rsidR="005C3DDC" w:rsidRPr="00F273F1">
        <w:t xml:space="preserve"> considered </w:t>
      </w:r>
      <w:r w:rsidR="000A34C8" w:rsidRPr="00F273F1">
        <w:t>a Welfare and Institutions Code provision stating that “</w:t>
      </w:r>
      <w:r w:rsidR="004E71D9">
        <w:t> ‘</w:t>
      </w:r>
      <w:r w:rsidR="00AF1E7D">
        <w:t>[</w:t>
      </w:r>
      <w:r w:rsidR="000A34C8" w:rsidRPr="00F273F1">
        <w:t>n</w:t>
      </w:r>
      <w:r w:rsidR="00AF1E7D">
        <w:t>]</w:t>
      </w:r>
      <w:r w:rsidR="000A34C8" w:rsidRPr="00F273F1">
        <w:t>o person convicted of .</w:t>
      </w:r>
      <w:r w:rsidR="0029064D" w:rsidRPr="00F273F1">
        <w:t> </w:t>
      </w:r>
      <w:r w:rsidR="000A34C8" w:rsidRPr="00F273F1">
        <w:t>.</w:t>
      </w:r>
      <w:r w:rsidR="0029064D" w:rsidRPr="00F273F1">
        <w:t> </w:t>
      </w:r>
      <w:r w:rsidR="000A34C8" w:rsidRPr="00F273F1">
        <w:t>. any .</w:t>
      </w:r>
      <w:r w:rsidR="0029064D" w:rsidRPr="00F273F1">
        <w:t> </w:t>
      </w:r>
      <w:r w:rsidR="000A34C8" w:rsidRPr="00F273F1">
        <w:t>.</w:t>
      </w:r>
      <w:r w:rsidR="0029064D" w:rsidRPr="00F273F1">
        <w:t> </w:t>
      </w:r>
      <w:r w:rsidR="000A34C8" w:rsidRPr="00F273F1">
        <w:t>. serious felony</w:t>
      </w:r>
      <w:r w:rsidR="00F90B2A" w:rsidRPr="00F273F1">
        <w:t xml:space="preserve"> .</w:t>
      </w:r>
      <w:r w:rsidR="0029064D" w:rsidRPr="00F273F1">
        <w:t> </w:t>
      </w:r>
      <w:r w:rsidR="00F90B2A" w:rsidRPr="00F273F1">
        <w:t>.</w:t>
      </w:r>
      <w:r w:rsidR="0029064D" w:rsidRPr="00F273F1">
        <w:t> </w:t>
      </w:r>
      <w:r w:rsidR="00F90B2A" w:rsidRPr="00F273F1">
        <w:t>. committed when he or she was 18 years of age or older shall be committed to Youth Authority.</w:t>
      </w:r>
      <w:r w:rsidR="00AF1E7D">
        <w:t>’ </w:t>
      </w:r>
      <w:r w:rsidR="00F90B2A" w:rsidRPr="00F273F1">
        <w:t>”  (</w:t>
      </w:r>
      <w:r w:rsidR="00393EC2" w:rsidRPr="00F273F1">
        <w:rPr>
          <w:i/>
        </w:rPr>
        <w:t>Id</w:t>
      </w:r>
      <w:r w:rsidR="00393EC2" w:rsidRPr="00F273F1">
        <w:rPr>
          <w:iCs/>
        </w:rPr>
        <w:t xml:space="preserve">. </w:t>
      </w:r>
      <w:r w:rsidR="00F90B2A" w:rsidRPr="00F273F1">
        <w:t>at p.</w:t>
      </w:r>
      <w:r w:rsidR="00267284">
        <w:t> </w:t>
      </w:r>
      <w:r w:rsidR="00F90B2A" w:rsidRPr="00F273F1">
        <w:t xml:space="preserve">1006, quoting </w:t>
      </w:r>
      <w:proofErr w:type="spellStart"/>
      <w:r w:rsidR="00F90B2A" w:rsidRPr="00F273F1">
        <w:t>Welf</w:t>
      </w:r>
      <w:proofErr w:type="spellEnd"/>
      <w:r w:rsidR="00F90B2A" w:rsidRPr="00F273F1">
        <w:t xml:space="preserve">. &amp; Inst. Code, </w:t>
      </w:r>
      <w:r w:rsidR="00785809" w:rsidRPr="00F273F1">
        <w:t xml:space="preserve">former </w:t>
      </w:r>
      <w:r w:rsidR="00F90B2A" w:rsidRPr="00F273F1">
        <w:t>§</w:t>
      </w:r>
      <w:r w:rsidR="00267284">
        <w:t> </w:t>
      </w:r>
      <w:r w:rsidR="00F90B2A" w:rsidRPr="00F273F1">
        <w:t>1732.5.)</w:t>
      </w:r>
      <w:r w:rsidR="00FE70C0" w:rsidRPr="00F273F1">
        <w:t xml:space="preserve">  The</w:t>
      </w:r>
      <w:r w:rsidR="00185EAC" w:rsidRPr="00F273F1">
        <w:t xml:space="preserve"> Youth Authority in </w:t>
      </w:r>
      <w:r w:rsidR="00185EAC" w:rsidRPr="00F273F1">
        <w:rPr>
          <w:i/>
        </w:rPr>
        <w:t>Woodhead</w:t>
      </w:r>
      <w:r w:rsidR="00185EAC" w:rsidRPr="00F273F1">
        <w:t xml:space="preserve"> </w:t>
      </w:r>
      <w:r w:rsidR="00E57B18" w:rsidRPr="00F273F1">
        <w:t xml:space="preserve">had </w:t>
      </w:r>
      <w:r w:rsidR="00185EAC" w:rsidRPr="00F273F1">
        <w:t xml:space="preserve">rejected </w:t>
      </w:r>
      <w:r w:rsidR="002161DB" w:rsidRPr="00F273F1">
        <w:t xml:space="preserve">such </w:t>
      </w:r>
      <w:r w:rsidR="00185EAC" w:rsidRPr="00F273F1">
        <w:t>a</w:t>
      </w:r>
      <w:r w:rsidR="007D735E" w:rsidRPr="00F273F1">
        <w:t xml:space="preserve"> commitment for the</w:t>
      </w:r>
      <w:r w:rsidR="00185EAC" w:rsidRPr="00F273F1">
        <w:t xml:space="preserve"> defendant because</w:t>
      </w:r>
      <w:r w:rsidR="0061494B" w:rsidRPr="00F273F1">
        <w:t>,</w:t>
      </w:r>
      <w:r w:rsidR="00185EAC" w:rsidRPr="00F273F1">
        <w:t xml:space="preserve"> although his current conviction was not for a serious felony, </w:t>
      </w:r>
      <w:r w:rsidR="0061494B" w:rsidRPr="00F273F1">
        <w:t>he had previously been convicted of a serious felony.  (</w:t>
      </w:r>
      <w:r w:rsidR="00AF1E7D">
        <w:rPr>
          <w:i/>
        </w:rPr>
        <w:t>Woodhead</w:t>
      </w:r>
      <w:r w:rsidR="00D40BFB">
        <w:t xml:space="preserve">, </w:t>
      </w:r>
      <w:r w:rsidR="00D40BFB">
        <w:rPr>
          <w:i/>
          <w:iCs/>
        </w:rPr>
        <w:t>supra</w:t>
      </w:r>
      <w:r w:rsidR="00D40BFB">
        <w:t>, 43 Cal.3d at</w:t>
      </w:r>
      <w:r w:rsidR="0061494B" w:rsidRPr="00F273F1">
        <w:t xml:space="preserve"> p.</w:t>
      </w:r>
      <w:r w:rsidR="00092196">
        <w:t> </w:t>
      </w:r>
      <w:r w:rsidR="0061494B" w:rsidRPr="00F273F1">
        <w:t>1006.)</w:t>
      </w:r>
      <w:r w:rsidR="006503E4" w:rsidRPr="00F273F1">
        <w:t xml:space="preserve">  We held this was improper</w:t>
      </w:r>
      <w:r w:rsidR="00CC64AE" w:rsidRPr="00F273F1">
        <w:t xml:space="preserve">, and that the term as used in the </w:t>
      </w:r>
      <w:r w:rsidR="0008399C" w:rsidRPr="00F273F1">
        <w:t>relevant</w:t>
      </w:r>
      <w:r w:rsidR="00CC64AE" w:rsidRPr="00F273F1">
        <w:t xml:space="preserve"> </w:t>
      </w:r>
      <w:r w:rsidR="0059712E" w:rsidRPr="00F273F1">
        <w:t xml:space="preserve">code </w:t>
      </w:r>
      <w:r w:rsidR="00CC64AE" w:rsidRPr="00F273F1">
        <w:t xml:space="preserve">section </w:t>
      </w:r>
      <w:r w:rsidR="00BF1B38" w:rsidRPr="00F273F1">
        <w:t>meant “</w:t>
      </w:r>
      <w:r w:rsidR="00BF1B38" w:rsidRPr="008026E5">
        <w:rPr>
          <w:i/>
          <w:iCs/>
        </w:rPr>
        <w:t>currently</w:t>
      </w:r>
      <w:r w:rsidR="00BF1B38" w:rsidRPr="00F273F1">
        <w:t xml:space="preserve"> convicted.”</w:t>
      </w:r>
      <w:r w:rsidR="00547634" w:rsidRPr="00F273F1">
        <w:t xml:space="preserve">  (</w:t>
      </w:r>
      <w:r w:rsidR="00547634" w:rsidRPr="00F273F1">
        <w:rPr>
          <w:i/>
        </w:rPr>
        <w:t>Id</w:t>
      </w:r>
      <w:r w:rsidR="00547634" w:rsidRPr="00F273F1">
        <w:t>. at p.</w:t>
      </w:r>
      <w:r w:rsidR="00092196">
        <w:t> </w:t>
      </w:r>
      <w:r w:rsidR="00547634" w:rsidRPr="00F273F1">
        <w:t>1010.)</w:t>
      </w:r>
      <w:r w:rsidR="00BF1B38" w:rsidRPr="00F273F1">
        <w:t xml:space="preserve">  In doing so, however, we noted that </w:t>
      </w:r>
      <w:r w:rsidR="006503E4" w:rsidRPr="00F273F1">
        <w:t xml:space="preserve">the term “convicted” </w:t>
      </w:r>
      <w:r w:rsidR="00F06065" w:rsidRPr="00F273F1">
        <w:t>“may have different meanings in different contexts, or even different meanings within a single statute.”  (</w:t>
      </w:r>
      <w:r w:rsidR="00BF1B38" w:rsidRPr="00F273F1">
        <w:rPr>
          <w:i/>
        </w:rPr>
        <w:t>Id</w:t>
      </w:r>
      <w:r w:rsidR="00BF1B38" w:rsidRPr="00F273F1">
        <w:t>. at p.</w:t>
      </w:r>
      <w:r w:rsidR="00092196">
        <w:t> </w:t>
      </w:r>
      <w:r w:rsidR="00C76099" w:rsidRPr="00F273F1">
        <w:t xml:space="preserve">1008, citing </w:t>
      </w:r>
      <w:r w:rsidR="00C76099" w:rsidRPr="00F273F1">
        <w:rPr>
          <w:i/>
        </w:rPr>
        <w:t>People v. Valentine</w:t>
      </w:r>
      <w:r w:rsidR="00C76099" w:rsidRPr="00F273F1">
        <w:t xml:space="preserve"> (1986) 42 Cal.3d 170, 177, fn.</w:t>
      </w:r>
      <w:r w:rsidR="002776C3">
        <w:t> </w:t>
      </w:r>
      <w:r w:rsidR="00C76099" w:rsidRPr="00F273F1">
        <w:t>2.)</w:t>
      </w:r>
      <w:r w:rsidR="00E512CF" w:rsidRPr="00F273F1">
        <w:t xml:space="preserve">  Thus, we looked to extrinsic sources to determ</w:t>
      </w:r>
      <w:r w:rsidR="008824DD" w:rsidRPr="00F273F1">
        <w:t>ine its meaning in that case.  (</w:t>
      </w:r>
      <w:r w:rsidR="00795F89">
        <w:rPr>
          <w:i/>
        </w:rPr>
        <w:t>Woodhead</w:t>
      </w:r>
      <w:r w:rsidR="00795F89">
        <w:rPr>
          <w:iCs/>
        </w:rPr>
        <w:t xml:space="preserve">, </w:t>
      </w:r>
      <w:r w:rsidR="00795F89">
        <w:rPr>
          <w:i/>
        </w:rPr>
        <w:t>supra</w:t>
      </w:r>
      <w:r w:rsidR="00795F89">
        <w:rPr>
          <w:iCs/>
        </w:rPr>
        <w:t xml:space="preserve">, </w:t>
      </w:r>
      <w:r w:rsidR="009D0A02">
        <w:rPr>
          <w:iCs/>
        </w:rPr>
        <w:t xml:space="preserve">43 Cal.3d </w:t>
      </w:r>
      <w:r w:rsidR="008824DD" w:rsidRPr="00F273F1">
        <w:t>at p.</w:t>
      </w:r>
      <w:r w:rsidR="009D0A02">
        <w:t> </w:t>
      </w:r>
      <w:r w:rsidR="008824DD" w:rsidRPr="00F273F1">
        <w:t>1008.)</w:t>
      </w:r>
    </w:p>
    <w:p w14:paraId="1B53CF0C" w14:textId="1293C128" w:rsidR="004A1A58" w:rsidRPr="00F273F1" w:rsidRDefault="008824DD" w:rsidP="001B13A3">
      <w:pPr>
        <w:tabs>
          <w:tab w:val="left" w:pos="720"/>
        </w:tabs>
        <w:ind w:firstLine="720"/>
      </w:pPr>
      <w:r w:rsidRPr="00F273F1">
        <w:t>T</w:t>
      </w:r>
      <w:r w:rsidR="00BA0A43" w:rsidRPr="00F273F1">
        <w:t>he Department</w:t>
      </w:r>
      <w:r w:rsidR="007D735E" w:rsidRPr="00F273F1">
        <w:t xml:space="preserve"> </w:t>
      </w:r>
      <w:r w:rsidR="0042498B" w:rsidRPr="00F273F1">
        <w:t>does not assert that the term</w:t>
      </w:r>
      <w:r w:rsidRPr="00F273F1">
        <w:t xml:space="preserve"> “convicted”</w:t>
      </w:r>
      <w:r w:rsidR="0042498B" w:rsidRPr="00F273F1">
        <w:t xml:space="preserve"> as used in the </w:t>
      </w:r>
      <w:r w:rsidR="001B4D1F" w:rsidRPr="00F273F1">
        <w:t>amended c</w:t>
      </w:r>
      <w:r w:rsidR="0042498B" w:rsidRPr="00F273F1">
        <w:t>onstitution</w:t>
      </w:r>
      <w:r w:rsidR="001B4D1F" w:rsidRPr="00F273F1">
        <w:t>al provisions</w:t>
      </w:r>
      <w:r w:rsidR="008B67C8">
        <w:t xml:space="preserve"> </w:t>
      </w:r>
      <w:r w:rsidR="0042498B" w:rsidRPr="00F273F1">
        <w:t>means “ever convicted”</w:t>
      </w:r>
      <w:r w:rsidR="00BA0A43" w:rsidRPr="00F273F1">
        <w:t xml:space="preserve"> or otherwise evinces an intent to exclude inmates from nonviolent </w:t>
      </w:r>
      <w:r w:rsidR="00966204" w:rsidRPr="00F273F1">
        <w:t xml:space="preserve">offender </w:t>
      </w:r>
      <w:r w:rsidR="00BA0A43" w:rsidRPr="00F273F1">
        <w:t>parole consideration based on a prior conviction.</w:t>
      </w:r>
      <w:r w:rsidR="00ED3256">
        <w:t xml:space="preserve">  </w:t>
      </w:r>
      <w:r w:rsidR="00785809">
        <w:t>Nor can</w:t>
      </w:r>
      <w:r w:rsidR="002D78E7">
        <w:t xml:space="preserve"> we conclude that the term is ambiguous in this context.  A</w:t>
      </w:r>
      <w:r w:rsidR="00D84A56" w:rsidRPr="00F273F1">
        <w:t xml:space="preserve">s the Court of Appeal explained, the language of </w:t>
      </w:r>
      <w:r w:rsidR="009D0A02">
        <w:t xml:space="preserve">article I, </w:t>
      </w:r>
      <w:r w:rsidR="00D84A56" w:rsidRPr="00F273F1">
        <w:t xml:space="preserve">section 32(a)(1) indicates the voters intended that nonviolent </w:t>
      </w:r>
      <w:r w:rsidR="00BF513D" w:rsidRPr="00F273F1">
        <w:t xml:space="preserve">offender </w:t>
      </w:r>
      <w:r w:rsidR="00D84A56" w:rsidRPr="00F273F1">
        <w:t xml:space="preserve">parole consideration would be premised on the inmate’s current conviction alone.  The use of the terms “convicted” and “sentenced,” </w:t>
      </w:r>
      <w:r w:rsidR="004705C9" w:rsidRPr="00F273F1">
        <w:t xml:space="preserve">viewed </w:t>
      </w:r>
      <w:r w:rsidR="00D84A56" w:rsidRPr="00F273F1">
        <w:t xml:space="preserve">in context with the </w:t>
      </w:r>
      <w:r w:rsidR="00D84A56" w:rsidRPr="00F273F1">
        <w:lastRenderedPageBreak/>
        <w:t xml:space="preserve">provision that the inmate would be eligible for parole consideration “after completing the full term for his or her primary offense,” make this clear.  </w:t>
      </w:r>
      <w:r w:rsidR="004C19C6">
        <w:t xml:space="preserve">(Art. I, § 32(a)(1).)  </w:t>
      </w:r>
      <w:r w:rsidR="00D84A56" w:rsidRPr="00F273F1">
        <w:t xml:space="preserve">Parole eligibility under the provision is conditioned on an inmate’s </w:t>
      </w:r>
      <w:r w:rsidR="009B5EE9" w:rsidRPr="00F273F1">
        <w:t xml:space="preserve">current </w:t>
      </w:r>
      <w:r w:rsidR="00D84A56" w:rsidRPr="00F273F1">
        <w:t xml:space="preserve">conviction for a nonviolent felony, the inmate’s being sentenced to prison, and the inmate’s completion of the “full term” for the “primary offense.”  </w:t>
      </w:r>
      <w:r w:rsidR="004C19C6">
        <w:t>(</w:t>
      </w:r>
      <w:r w:rsidR="004C19C6">
        <w:rPr>
          <w:i/>
          <w:iCs/>
        </w:rPr>
        <w:t>Ibid</w:t>
      </w:r>
      <w:r w:rsidR="004C19C6">
        <w:t xml:space="preserve">.)  </w:t>
      </w:r>
      <w:r w:rsidR="00D84A56" w:rsidRPr="00F273F1">
        <w:t xml:space="preserve">None of those terms indicate any intent to </w:t>
      </w:r>
      <w:r w:rsidR="00433F04">
        <w:t>consider</w:t>
      </w:r>
      <w:r w:rsidR="00D84A56" w:rsidRPr="00F273F1">
        <w:t xml:space="preserve"> prior convictions in determining </w:t>
      </w:r>
      <w:r w:rsidR="00BF513D" w:rsidRPr="00F273F1">
        <w:t xml:space="preserve">nonviolent offender </w:t>
      </w:r>
      <w:r w:rsidR="00D84A56" w:rsidRPr="00F273F1">
        <w:t>parole eligibility.</w:t>
      </w:r>
      <w:r w:rsidR="006437F9" w:rsidRPr="006437F9">
        <w:t xml:space="preserve"> </w:t>
      </w:r>
      <w:r w:rsidR="006B67C0">
        <w:t xml:space="preserve"> </w:t>
      </w:r>
      <w:r w:rsidR="006437F9">
        <w:t>Nor does the Department assert that the term “convicted” has any bearing on the eligibility of inmates currently convicted of nonviolent felony offenses requiring registration under Penal Code section 290.</w:t>
      </w:r>
    </w:p>
    <w:p w14:paraId="6F3F9488" w14:textId="3AB53D74" w:rsidR="00F4230E" w:rsidRPr="00F273F1" w:rsidRDefault="00F4230E" w:rsidP="00F4230E">
      <w:pPr>
        <w:pStyle w:val="ListParagraph"/>
        <w:numPr>
          <w:ilvl w:val="0"/>
          <w:numId w:val="18"/>
        </w:numPr>
        <w:tabs>
          <w:tab w:val="left" w:pos="720"/>
        </w:tabs>
        <w:rPr>
          <w:i/>
          <w:iCs/>
        </w:rPr>
      </w:pPr>
      <w:r w:rsidRPr="00F273F1">
        <w:rPr>
          <w:i/>
          <w:iCs/>
        </w:rPr>
        <w:t xml:space="preserve">The </w:t>
      </w:r>
      <w:r w:rsidR="00785809">
        <w:rPr>
          <w:i/>
          <w:iCs/>
        </w:rPr>
        <w:t>l</w:t>
      </w:r>
      <w:r w:rsidR="00DF2133">
        <w:rPr>
          <w:i/>
          <w:iCs/>
        </w:rPr>
        <w:t xml:space="preserve">anguage </w:t>
      </w:r>
      <w:r w:rsidR="00785809">
        <w:rPr>
          <w:i/>
          <w:iCs/>
        </w:rPr>
        <w:t>r</w:t>
      </w:r>
      <w:r w:rsidR="00DF2133">
        <w:rPr>
          <w:i/>
          <w:iCs/>
        </w:rPr>
        <w:t xml:space="preserve">ead as a </w:t>
      </w:r>
      <w:r w:rsidR="00785809">
        <w:rPr>
          <w:i/>
          <w:iCs/>
        </w:rPr>
        <w:t>w</w:t>
      </w:r>
      <w:r w:rsidR="00DF2133">
        <w:rPr>
          <w:i/>
          <w:iCs/>
        </w:rPr>
        <w:t>hole</w:t>
      </w:r>
    </w:p>
    <w:p w14:paraId="143172E9" w14:textId="56393B98" w:rsidR="00C048F0" w:rsidRDefault="002931A2" w:rsidP="00F273F1">
      <w:pPr>
        <w:tabs>
          <w:tab w:val="left" w:pos="720"/>
        </w:tabs>
        <w:ind w:firstLine="720"/>
      </w:pPr>
      <w:r>
        <w:t>We conclude, then,</w:t>
      </w:r>
      <w:r w:rsidR="0042498B" w:rsidRPr="00F273F1">
        <w:t xml:space="preserve"> that</w:t>
      </w:r>
      <w:r w:rsidR="00BD7B24" w:rsidRPr="00F273F1">
        <w:t xml:space="preserve"> </w:t>
      </w:r>
      <w:r w:rsidR="00703C24">
        <w:t xml:space="preserve">article I, </w:t>
      </w:r>
      <w:r w:rsidR="00BD7B24" w:rsidRPr="00F273F1">
        <w:t xml:space="preserve">section 32(a)(1), although containing some terms that might be ambiguous in other respects, </w:t>
      </w:r>
      <w:r w:rsidR="00414E8B" w:rsidRPr="00F273F1">
        <w:t xml:space="preserve">is not ambiguous </w:t>
      </w:r>
      <w:r w:rsidR="006970AF" w:rsidRPr="00F273F1">
        <w:t xml:space="preserve">concerning </w:t>
      </w:r>
      <w:r w:rsidR="00414E8B" w:rsidRPr="00F273F1">
        <w:t xml:space="preserve">its scope </w:t>
      </w:r>
      <w:r w:rsidR="009811AD" w:rsidRPr="00F273F1">
        <w:t>regarding</w:t>
      </w:r>
      <w:r w:rsidR="00414E8B" w:rsidRPr="00F273F1">
        <w:t xml:space="preserve"> offenders who were previously convicted of a </w:t>
      </w:r>
      <w:r w:rsidR="00E650C6">
        <w:t xml:space="preserve">registerable </w:t>
      </w:r>
      <w:r w:rsidR="00414E8B" w:rsidRPr="00F273F1">
        <w:t>sex offense</w:t>
      </w:r>
      <w:r w:rsidR="00466D0B">
        <w:t xml:space="preserve"> or </w:t>
      </w:r>
      <w:r w:rsidR="00AC00E6">
        <w:t>who are currently convicted of a registerable sex offense</w:t>
      </w:r>
      <w:r w:rsidR="00081D2A">
        <w:t xml:space="preserve"> </w:t>
      </w:r>
      <w:r w:rsidR="00785809">
        <w:t xml:space="preserve">that </w:t>
      </w:r>
      <w:r w:rsidR="00081D2A">
        <w:t xml:space="preserve">the Department has </w:t>
      </w:r>
      <w:r w:rsidR="00985A82">
        <w:t xml:space="preserve">itself </w:t>
      </w:r>
      <w:r w:rsidR="00081D2A">
        <w:t>defined as nonviolent</w:t>
      </w:r>
      <w:r w:rsidR="00414E8B" w:rsidRPr="00F273F1">
        <w:t xml:space="preserve">.  </w:t>
      </w:r>
      <w:r w:rsidR="00C048F0">
        <w:t xml:space="preserve">Under those regulations, these offenders have been convicted of a nonviolent felony offense and </w:t>
      </w:r>
      <w:r w:rsidR="00FF41F4">
        <w:t xml:space="preserve">article I, section 32(a)(1) directs that they </w:t>
      </w:r>
      <w:r w:rsidR="00C048F0">
        <w:t>“shall be eligible for parole consideration.”</w:t>
      </w:r>
      <w:r w:rsidR="004C19C6">
        <w:t xml:space="preserve">  </w:t>
      </w:r>
    </w:p>
    <w:p w14:paraId="105D3015" w14:textId="01C8FC40" w:rsidR="006003DE" w:rsidRPr="00F273F1" w:rsidRDefault="0042498B" w:rsidP="00F273F1">
      <w:pPr>
        <w:tabs>
          <w:tab w:val="left" w:pos="720"/>
        </w:tabs>
        <w:ind w:firstLine="720"/>
      </w:pPr>
      <w:r w:rsidRPr="00F273F1">
        <w:t xml:space="preserve">Still, the </w:t>
      </w:r>
      <w:r w:rsidR="00EC2DDE" w:rsidRPr="00F273F1">
        <w:t>Department</w:t>
      </w:r>
      <w:r w:rsidRPr="00F273F1">
        <w:t xml:space="preserve"> asserts that the </w:t>
      </w:r>
      <w:r w:rsidR="00235352" w:rsidRPr="00F273F1">
        <w:t xml:space="preserve">alleged </w:t>
      </w:r>
      <w:r w:rsidRPr="00F273F1">
        <w:t xml:space="preserve">general ambiguity of </w:t>
      </w:r>
      <w:r w:rsidR="00414E8B" w:rsidRPr="00F273F1">
        <w:t>those terms</w:t>
      </w:r>
      <w:r w:rsidRPr="00F273F1">
        <w:t xml:space="preserve"> allows </w:t>
      </w:r>
      <w:r w:rsidR="00EC2DDE" w:rsidRPr="00F273F1">
        <w:t>it</w:t>
      </w:r>
      <w:r w:rsidRPr="00F273F1">
        <w:t xml:space="preserve"> to provide exceptions </w:t>
      </w:r>
      <w:r w:rsidR="00695234" w:rsidRPr="00F273F1">
        <w:t>to</w:t>
      </w:r>
      <w:r w:rsidRPr="00F273F1">
        <w:t xml:space="preserve"> the general rule</w:t>
      </w:r>
      <w:r w:rsidR="005264ED" w:rsidRPr="00F273F1">
        <w:t xml:space="preserve"> that such offenders “shall be eligible for parole consideration</w:t>
      </w:r>
      <w:r w:rsidRPr="00F273F1">
        <w:t>.</w:t>
      </w:r>
      <w:r w:rsidR="005264ED" w:rsidRPr="00F273F1">
        <w:t>”</w:t>
      </w:r>
      <w:r w:rsidRPr="00F273F1">
        <w:t xml:space="preserve">  </w:t>
      </w:r>
      <w:r w:rsidR="00FF41F4">
        <w:t xml:space="preserve">(Art. I, § 32(a)(1).)  </w:t>
      </w:r>
      <w:r w:rsidRPr="00F273F1">
        <w:t xml:space="preserve">That is, even </w:t>
      </w:r>
      <w:r w:rsidR="00124811" w:rsidRPr="00F273F1">
        <w:t>when</w:t>
      </w:r>
      <w:r w:rsidRPr="00F273F1">
        <w:t xml:space="preserve"> it is not contested that an inmate is “convicted of a nonviolent felony offense and sentenced to state prison” (</w:t>
      </w:r>
      <w:r w:rsidR="00060E81">
        <w:rPr>
          <w:i/>
          <w:iCs/>
        </w:rPr>
        <w:t>ibid</w:t>
      </w:r>
      <w:r w:rsidR="00060E81">
        <w:t>.</w:t>
      </w:r>
      <w:r w:rsidRPr="00F273F1">
        <w:t>), the Department</w:t>
      </w:r>
      <w:r w:rsidR="00C426ED" w:rsidRPr="00F273F1">
        <w:t xml:space="preserve"> asserts it</w:t>
      </w:r>
      <w:r w:rsidRPr="00F273F1">
        <w:t xml:space="preserve"> retains discretion to carv</w:t>
      </w:r>
      <w:r w:rsidR="00C426ED" w:rsidRPr="00F273F1">
        <w:t>e</w:t>
      </w:r>
      <w:r w:rsidRPr="00F273F1">
        <w:t xml:space="preserve"> out exclusions </w:t>
      </w:r>
      <w:r w:rsidR="004A0EB1" w:rsidRPr="00F273F1">
        <w:t>barring</w:t>
      </w:r>
      <w:r w:rsidR="00E62693" w:rsidRPr="00F273F1">
        <w:t xml:space="preserve"> otherwise eligible inmates </w:t>
      </w:r>
      <w:r w:rsidR="004A0EB1" w:rsidRPr="00F273F1">
        <w:t>from</w:t>
      </w:r>
      <w:r w:rsidR="00E62693" w:rsidRPr="00F273F1">
        <w:t xml:space="preserve"> </w:t>
      </w:r>
      <w:r w:rsidR="00EC51AE" w:rsidRPr="00F273F1">
        <w:t>parole consideration</w:t>
      </w:r>
      <w:r w:rsidR="00F3071F">
        <w:t xml:space="preserve"> </w:t>
      </w:r>
      <w:r w:rsidR="00750A8D" w:rsidRPr="00F273F1">
        <w:t>—</w:t>
      </w:r>
      <w:r w:rsidR="00F3071F">
        <w:t xml:space="preserve"> </w:t>
      </w:r>
      <w:r w:rsidR="00750A8D" w:rsidRPr="00F273F1">
        <w:rPr>
          <w:iCs/>
        </w:rPr>
        <w:lastRenderedPageBreak/>
        <w:t>notwithstanding th</w:t>
      </w:r>
      <w:r w:rsidR="00367EB7" w:rsidRPr="00F273F1">
        <w:rPr>
          <w:iCs/>
        </w:rPr>
        <w:t>e constitutional language stating that “</w:t>
      </w:r>
      <w:r w:rsidR="00060E81">
        <w:rPr>
          <w:iCs/>
        </w:rPr>
        <w:t>[</w:t>
      </w:r>
      <w:r w:rsidR="00367EB7" w:rsidRPr="00F273F1">
        <w:rPr>
          <w:iCs/>
        </w:rPr>
        <w:t>a</w:t>
      </w:r>
      <w:r w:rsidR="00060E81">
        <w:rPr>
          <w:iCs/>
        </w:rPr>
        <w:t>]</w:t>
      </w:r>
      <w:proofErr w:type="spellStart"/>
      <w:r w:rsidR="00367EB7" w:rsidRPr="00F273F1">
        <w:rPr>
          <w:iCs/>
        </w:rPr>
        <w:t>ny</w:t>
      </w:r>
      <w:proofErr w:type="spellEnd"/>
      <w:r w:rsidR="00367EB7" w:rsidRPr="00F273F1">
        <w:rPr>
          <w:iCs/>
        </w:rPr>
        <w:t xml:space="preserve">” </w:t>
      </w:r>
      <w:r w:rsidR="00D81947" w:rsidRPr="00F273F1">
        <w:rPr>
          <w:iCs/>
        </w:rPr>
        <w:t>such inmates</w:t>
      </w:r>
      <w:r w:rsidR="00750A8D" w:rsidRPr="00F273F1">
        <w:rPr>
          <w:iCs/>
        </w:rPr>
        <w:t xml:space="preserve"> “shall be eligible for parole consideration”</w:t>
      </w:r>
      <w:r w:rsidR="00060E81">
        <w:rPr>
          <w:iCs/>
        </w:rPr>
        <w:t xml:space="preserve"> (</w:t>
      </w:r>
      <w:r w:rsidR="00060E81">
        <w:rPr>
          <w:i/>
        </w:rPr>
        <w:t>ibid</w:t>
      </w:r>
      <w:r w:rsidR="00060E81">
        <w:rPr>
          <w:iCs/>
        </w:rPr>
        <w:t>.).</w:t>
      </w:r>
      <w:r w:rsidRPr="00F273F1">
        <w:t xml:space="preserve"> </w:t>
      </w:r>
    </w:p>
    <w:p w14:paraId="46B3D9B9" w14:textId="6F0D4A8B" w:rsidR="0042498B" w:rsidRPr="00F273F1" w:rsidRDefault="006B288D" w:rsidP="00F273F1">
      <w:pPr>
        <w:tabs>
          <w:tab w:val="left" w:pos="720"/>
        </w:tabs>
        <w:ind w:firstLine="720"/>
      </w:pPr>
      <w:r w:rsidRPr="00F273F1">
        <w:t>In support of that position, the</w:t>
      </w:r>
      <w:r w:rsidR="00731CBE" w:rsidRPr="00F273F1">
        <w:t xml:space="preserve"> Department points to </w:t>
      </w:r>
      <w:r w:rsidR="0006321C">
        <w:t xml:space="preserve">the directive in </w:t>
      </w:r>
      <w:r w:rsidR="00703C24">
        <w:t xml:space="preserve">article I, </w:t>
      </w:r>
      <w:r w:rsidR="00731CBE" w:rsidRPr="00F273F1">
        <w:t xml:space="preserve">section 32(b) </w:t>
      </w:r>
      <w:r w:rsidR="00985A82">
        <w:t xml:space="preserve">specifying </w:t>
      </w:r>
      <w:r w:rsidR="00731CBE" w:rsidRPr="00F273F1">
        <w:t>that</w:t>
      </w:r>
      <w:r w:rsidR="00985A82">
        <w:t xml:space="preserve"> it</w:t>
      </w:r>
      <w:r w:rsidR="00731CBE" w:rsidRPr="00F273F1">
        <w:t xml:space="preserve"> “shall adopt regulations in furtherance of these provisions</w:t>
      </w:r>
      <w:r w:rsidR="00A34628" w:rsidRPr="00F273F1">
        <w:t xml:space="preserve">,” and that the Secretary of the Department “shall certify that these regulations protect and enhance public safety.”  </w:t>
      </w:r>
      <w:r w:rsidR="00AF749F" w:rsidRPr="00F273F1">
        <w:t>According to the Department, this language “signaled to voters that the Department would continue to have an important role in shaping the implementation of the nonviolent parole consideration process</w:t>
      </w:r>
      <w:r w:rsidR="00C95ED2" w:rsidRPr="00F273F1">
        <w:t>,” and that “the Proposition’s text is not itself the whole of the nonviolent parole program, but only the framework for that program.”</w:t>
      </w:r>
    </w:p>
    <w:p w14:paraId="5B294081" w14:textId="62307F69" w:rsidR="00DB37FA" w:rsidRPr="00F273F1" w:rsidRDefault="006B288D" w:rsidP="00F273F1">
      <w:pPr>
        <w:tabs>
          <w:tab w:val="left" w:pos="720"/>
        </w:tabs>
        <w:ind w:firstLine="720"/>
      </w:pPr>
      <w:r w:rsidRPr="00F273F1">
        <w:t xml:space="preserve">The Department’s position is </w:t>
      </w:r>
      <w:r w:rsidR="002472E4" w:rsidRPr="00F273F1">
        <w:t>un</w:t>
      </w:r>
      <w:r w:rsidR="00D437B4" w:rsidRPr="00F273F1">
        <w:t>persuasive.</w:t>
      </w:r>
      <w:r w:rsidR="0099505F" w:rsidRPr="00F273F1">
        <w:t xml:space="preserve">  </w:t>
      </w:r>
      <w:r w:rsidR="00703C24">
        <w:t>Article I, s</w:t>
      </w:r>
      <w:r w:rsidR="00D73E31" w:rsidRPr="00F273F1">
        <w:t>ection 32(b) directs the adoption of regulations “in furtherance of”</w:t>
      </w:r>
      <w:r w:rsidR="0041463A" w:rsidRPr="00F273F1">
        <w:t xml:space="preserve"> the prior provisions</w:t>
      </w:r>
      <w:r w:rsidR="00F02F70" w:rsidRPr="00F273F1">
        <w:t xml:space="preserve"> of </w:t>
      </w:r>
      <w:r w:rsidR="009D244B">
        <w:t xml:space="preserve">article I, </w:t>
      </w:r>
      <w:r w:rsidR="00F02F70" w:rsidRPr="00F273F1">
        <w:t>section 32</w:t>
      </w:r>
      <w:r w:rsidR="0041463A" w:rsidRPr="00F273F1">
        <w:t>.</w:t>
      </w:r>
      <w:r w:rsidR="00F02F70" w:rsidRPr="00F273F1">
        <w:t xml:space="preserve">  </w:t>
      </w:r>
      <w:r w:rsidR="00F25826" w:rsidRPr="00F273F1">
        <w:t xml:space="preserve">Merriam-Webster’s dictionary defines “furtherance” as “the act of furthering; </w:t>
      </w:r>
      <w:r w:rsidR="00285B99">
        <w:t>ADVANCEMENT</w:t>
      </w:r>
      <w:r w:rsidR="00F25826" w:rsidRPr="00F273F1">
        <w:t>.”</w:t>
      </w:r>
      <w:r w:rsidR="0060272D" w:rsidRPr="00F273F1">
        <w:t xml:space="preserve">  </w:t>
      </w:r>
      <w:r w:rsidR="00C2290F" w:rsidRPr="00F273F1">
        <w:t>(Merriam-Webster</w:t>
      </w:r>
      <w:r w:rsidR="00C21D5D">
        <w:t xml:space="preserve"> Dict. Online</w:t>
      </w:r>
      <w:r w:rsidR="00C2290F" w:rsidRPr="00F273F1">
        <w:t xml:space="preserve"> (2020) &lt;</w:t>
      </w:r>
      <w:r w:rsidR="00C21D5D" w:rsidRPr="008026E5">
        <w:t>https://www.merriam-webster.com/dictionary/</w:t>
      </w:r>
      <w:r w:rsidR="001F4B27">
        <w:br/>
      </w:r>
      <w:r w:rsidR="00C21D5D" w:rsidRPr="008026E5">
        <w:t>furtherance</w:t>
      </w:r>
      <w:r w:rsidR="00DD7ECB" w:rsidRPr="00F273F1">
        <w:t>&gt;</w:t>
      </w:r>
      <w:r w:rsidR="00414DBD" w:rsidRPr="00F273F1">
        <w:t xml:space="preserve"> </w:t>
      </w:r>
      <w:r w:rsidR="00DD7ECB" w:rsidRPr="00F273F1">
        <w:t xml:space="preserve">[as of </w:t>
      </w:r>
      <w:r w:rsidR="004D0246">
        <w:t>Dec</w:t>
      </w:r>
      <w:r w:rsidR="00C21D5D">
        <w:t>.</w:t>
      </w:r>
      <w:r w:rsidR="0082522B">
        <w:t xml:space="preserve"> 1</w:t>
      </w:r>
      <w:r w:rsidR="006B67C0">
        <w:t>7</w:t>
      </w:r>
      <w:r w:rsidR="0082522B">
        <w:t>,</w:t>
      </w:r>
      <w:r w:rsidR="00DD7ECB" w:rsidRPr="00F273F1">
        <w:t xml:space="preserve"> 2020].)</w:t>
      </w:r>
      <w:r w:rsidR="00F25826" w:rsidRPr="00F273F1">
        <w:t xml:space="preserve">  And in its verb form</w:t>
      </w:r>
      <w:r w:rsidR="0060272D" w:rsidRPr="00F273F1">
        <w:t>,</w:t>
      </w:r>
      <w:r w:rsidR="00F25826" w:rsidRPr="00F273F1">
        <w:t xml:space="preserve"> “further” is defined as “to help forward; </w:t>
      </w:r>
      <w:r w:rsidR="00C21D5D">
        <w:t>PROMOTE</w:t>
      </w:r>
      <w:r w:rsidR="00F25826" w:rsidRPr="00F273F1">
        <w:t>.”</w:t>
      </w:r>
      <w:r w:rsidR="00C06F84" w:rsidRPr="00F273F1">
        <w:t xml:space="preserve">  (Merriam-Webster</w:t>
      </w:r>
      <w:r w:rsidR="00C21D5D">
        <w:t xml:space="preserve"> Dict. Online, </w:t>
      </w:r>
      <w:r w:rsidR="00C21D5D">
        <w:rPr>
          <w:i/>
          <w:iCs/>
        </w:rPr>
        <w:t>supra</w:t>
      </w:r>
      <w:r w:rsidR="00C21D5D">
        <w:t xml:space="preserve">, </w:t>
      </w:r>
      <w:r w:rsidR="00C06F84" w:rsidRPr="00F273F1">
        <w:t>&lt;</w:t>
      </w:r>
      <w:r w:rsidR="00C21D5D" w:rsidRPr="008026E5">
        <w:t>https://www.merriam-webster.com/dictionary/further</w:t>
      </w:r>
      <w:r w:rsidR="00C06F84" w:rsidRPr="00F273F1">
        <w:t>&gt;</w:t>
      </w:r>
      <w:r w:rsidR="00414DBD" w:rsidRPr="00F273F1">
        <w:t xml:space="preserve"> </w:t>
      </w:r>
      <w:r w:rsidR="00C06F84" w:rsidRPr="00F273F1">
        <w:t xml:space="preserve">[as of </w:t>
      </w:r>
      <w:r w:rsidR="004D0246">
        <w:t>Dec</w:t>
      </w:r>
      <w:r w:rsidR="00C21D5D">
        <w:t>.</w:t>
      </w:r>
      <w:r w:rsidR="001F4B27">
        <w:t> </w:t>
      </w:r>
      <w:r w:rsidR="0082522B">
        <w:t>1</w:t>
      </w:r>
      <w:r w:rsidR="006B67C0">
        <w:t>7</w:t>
      </w:r>
      <w:r w:rsidR="0082522B">
        <w:t>,</w:t>
      </w:r>
      <w:r w:rsidR="00C06F84" w:rsidRPr="00F273F1">
        <w:t xml:space="preserve"> 2020</w:t>
      </w:r>
      <w:r w:rsidR="00C01DB5" w:rsidRPr="00F273F1">
        <w:t>]</w:t>
      </w:r>
      <w:r w:rsidR="00C06F84" w:rsidRPr="00F273F1">
        <w:t>.)</w:t>
      </w:r>
      <w:r w:rsidR="00F25826" w:rsidRPr="00F273F1">
        <w:t xml:space="preserve">  </w:t>
      </w:r>
      <w:r w:rsidR="00AF2DBB" w:rsidRPr="00F273F1">
        <w:t>The Department make</w:t>
      </w:r>
      <w:r w:rsidR="00F94136" w:rsidRPr="00F273F1">
        <w:t>s</w:t>
      </w:r>
      <w:r w:rsidR="00AF2DBB" w:rsidRPr="00F273F1">
        <w:t xml:space="preserve"> </w:t>
      </w:r>
      <w:r w:rsidR="00F94136" w:rsidRPr="00F273F1">
        <w:t xml:space="preserve">no </w:t>
      </w:r>
      <w:r w:rsidR="00AF2DBB" w:rsidRPr="00F273F1">
        <w:t xml:space="preserve">argument, and </w:t>
      </w:r>
      <w:r w:rsidR="00157088">
        <w:t xml:space="preserve">we </w:t>
      </w:r>
      <w:r w:rsidR="00AF2DBB" w:rsidRPr="00F273F1">
        <w:t xml:space="preserve">perceive none, that </w:t>
      </w:r>
      <w:r w:rsidR="001E39F4" w:rsidRPr="00F273F1">
        <w:t>deeming</w:t>
      </w:r>
      <w:r w:rsidR="002103C8" w:rsidRPr="00F273F1">
        <w:t xml:space="preserve"> ineligible </w:t>
      </w:r>
      <w:r w:rsidR="001E39F4" w:rsidRPr="00F273F1">
        <w:t xml:space="preserve">for parole </w:t>
      </w:r>
      <w:r w:rsidR="006B67C0">
        <w:t xml:space="preserve">consideration </w:t>
      </w:r>
      <w:r w:rsidR="002103C8" w:rsidRPr="00F273F1">
        <w:t xml:space="preserve">all offenders </w:t>
      </w:r>
      <w:r w:rsidR="0032081B">
        <w:t xml:space="preserve">within the class considered here — those </w:t>
      </w:r>
      <w:r w:rsidR="002103C8" w:rsidRPr="00F273F1">
        <w:t>with prior</w:t>
      </w:r>
      <w:r w:rsidR="00BB0804">
        <w:t xml:space="preserve"> registerable</w:t>
      </w:r>
      <w:r w:rsidR="002103C8" w:rsidRPr="00F273F1">
        <w:t xml:space="preserve"> convictions</w:t>
      </w:r>
      <w:r w:rsidR="0032081B">
        <w:t xml:space="preserve"> or current </w:t>
      </w:r>
      <w:r w:rsidR="00022B24">
        <w:t xml:space="preserve">convictions for </w:t>
      </w:r>
      <w:r w:rsidR="0032081B">
        <w:t>nonviolent</w:t>
      </w:r>
      <w:r w:rsidR="00022B24">
        <w:t xml:space="preserve"> offenses requiring</w:t>
      </w:r>
      <w:r w:rsidR="0032081B">
        <w:t xml:space="preserve"> </w:t>
      </w:r>
      <w:r w:rsidR="00022B24">
        <w:t xml:space="preserve">registration </w:t>
      </w:r>
      <w:r w:rsidR="0032081B">
        <w:t xml:space="preserve">— </w:t>
      </w:r>
      <w:r w:rsidR="003724A8" w:rsidRPr="00F273F1">
        <w:t xml:space="preserve">would </w:t>
      </w:r>
      <w:r w:rsidR="00EC44F9" w:rsidRPr="00F273F1">
        <w:t xml:space="preserve">further the intent of </w:t>
      </w:r>
      <w:r w:rsidR="003724A8" w:rsidRPr="00F273F1">
        <w:t xml:space="preserve">the constitutional provision declaring </w:t>
      </w:r>
      <w:r w:rsidR="00AA4D67">
        <w:t>inmates convicted of nonviolent felonies to be</w:t>
      </w:r>
      <w:r w:rsidR="003724A8" w:rsidRPr="00F273F1">
        <w:t xml:space="preserve"> eligible for parole consideration</w:t>
      </w:r>
      <w:r w:rsidR="00695234" w:rsidRPr="00F273F1">
        <w:t>.</w:t>
      </w:r>
      <w:r w:rsidR="00866027" w:rsidRPr="00F273F1">
        <w:t xml:space="preserve">  </w:t>
      </w:r>
    </w:p>
    <w:p w14:paraId="280B7267" w14:textId="0D58A6D4" w:rsidR="00785B40" w:rsidRDefault="00DB37FA" w:rsidP="00FA5C27">
      <w:pPr>
        <w:tabs>
          <w:tab w:val="left" w:pos="720"/>
        </w:tabs>
        <w:ind w:firstLine="720"/>
      </w:pPr>
      <w:r w:rsidRPr="00F273F1">
        <w:lastRenderedPageBreak/>
        <w:t xml:space="preserve">The Department’s reliance on the requirement that the Secretary </w:t>
      </w:r>
      <w:r w:rsidR="00111444" w:rsidRPr="00F273F1">
        <w:t xml:space="preserve">certify that </w:t>
      </w:r>
      <w:r w:rsidR="007D2F3D" w:rsidRPr="00F273F1">
        <w:t>the</w:t>
      </w:r>
      <w:r w:rsidR="00111444" w:rsidRPr="00F273F1">
        <w:t xml:space="preserve"> regulations “protect and enhance public safety” is similarly </w:t>
      </w:r>
      <w:r w:rsidR="00505B6A" w:rsidRPr="00F273F1">
        <w:t>un</w:t>
      </w:r>
      <w:r w:rsidR="00111444" w:rsidRPr="00F273F1">
        <w:t>persuasive.</w:t>
      </w:r>
      <w:r w:rsidR="00505B6A" w:rsidRPr="00F273F1">
        <w:t xml:space="preserve">  </w:t>
      </w:r>
      <w:r w:rsidR="003429D5">
        <w:t>Indeed, t</w:t>
      </w:r>
      <w:r w:rsidR="000C6E28" w:rsidRPr="00F273F1">
        <w:t>he Secretary</w:t>
      </w:r>
      <w:r w:rsidR="00FC1AF2" w:rsidRPr="00F273F1">
        <w:t xml:space="preserve"> must </w:t>
      </w:r>
      <w:r w:rsidR="003429D5">
        <w:t xml:space="preserve">so </w:t>
      </w:r>
      <w:r w:rsidR="00FC1AF2" w:rsidRPr="00F273F1">
        <w:t>certify</w:t>
      </w:r>
      <w:r w:rsidR="003429D5">
        <w:t>.</w:t>
      </w:r>
      <w:r w:rsidR="00FC1AF2" w:rsidRPr="00F273F1">
        <w:t xml:space="preserve">  (</w:t>
      </w:r>
      <w:r w:rsidR="009D244B">
        <w:t xml:space="preserve">Art. I, </w:t>
      </w:r>
      <w:r w:rsidR="00FC1AF2" w:rsidRPr="00F273F1">
        <w:t>§</w:t>
      </w:r>
      <w:r w:rsidR="005426DD">
        <w:t> </w:t>
      </w:r>
      <w:r w:rsidR="00FC1AF2" w:rsidRPr="00F273F1">
        <w:t>32(b).)</w:t>
      </w:r>
      <w:r w:rsidR="0007564F" w:rsidRPr="00F273F1">
        <w:t xml:space="preserve">  </w:t>
      </w:r>
      <w:r w:rsidR="003429D5">
        <w:t xml:space="preserve">But this </w:t>
      </w:r>
      <w:r w:rsidR="00B138AB" w:rsidRPr="00F273F1">
        <w:t xml:space="preserve">requirement does not authorize the </w:t>
      </w:r>
      <w:r w:rsidR="006B67C0">
        <w:t>Department</w:t>
      </w:r>
      <w:r w:rsidR="00B138AB" w:rsidRPr="00F273F1">
        <w:t xml:space="preserve"> to promulgate regulations that</w:t>
      </w:r>
      <w:r w:rsidR="005426DD">
        <w:t xml:space="preserve"> </w:t>
      </w:r>
      <w:r w:rsidR="00402586" w:rsidRPr="00F273F1">
        <w:t>are in conflict with</w:t>
      </w:r>
      <w:r w:rsidR="00B138AB" w:rsidRPr="00F273F1">
        <w:t xml:space="preserve"> th</w:t>
      </w:r>
      <w:r w:rsidR="006B67C0">
        <w:t>e constitutional</w:t>
      </w:r>
      <w:r w:rsidR="00B138AB" w:rsidRPr="00F273F1">
        <w:t xml:space="preserve"> provisions.</w:t>
      </w:r>
      <w:r w:rsidR="004D115B">
        <w:t xml:space="preserve">  To conclude otherwise would eviscerate the </w:t>
      </w:r>
      <w:r w:rsidR="000E0D0C">
        <w:t xml:space="preserve">language of </w:t>
      </w:r>
      <w:r w:rsidR="009D244B">
        <w:t xml:space="preserve">article I, </w:t>
      </w:r>
      <w:r w:rsidR="000E0D0C">
        <w:t>section 32(a)(1) mandating that inmates convicted of nonviolent felony offenses “shall</w:t>
      </w:r>
      <w:r w:rsidR="00E84F5E">
        <w:t xml:space="preserve"> be eligible</w:t>
      </w:r>
      <w:r w:rsidR="000E0D0C">
        <w:t xml:space="preserve">” </w:t>
      </w:r>
      <w:r w:rsidR="00E84F5E">
        <w:t>for parole consideration</w:t>
      </w:r>
      <w:r w:rsidR="000B3DCA">
        <w:t xml:space="preserve">.  Indeed, </w:t>
      </w:r>
      <w:r w:rsidR="0059274C">
        <w:t xml:space="preserve">under </w:t>
      </w:r>
      <w:r w:rsidR="000B3DCA">
        <w:t xml:space="preserve">the Department’s </w:t>
      </w:r>
      <w:r w:rsidR="0059274C">
        <w:t xml:space="preserve">interpretation the Secretary would be empowered to curtail parole eligibility based on </w:t>
      </w:r>
      <w:r w:rsidR="007B0B3A">
        <w:t xml:space="preserve">any criteria </w:t>
      </w:r>
      <w:r w:rsidR="003429D5">
        <w:t>so</w:t>
      </w:r>
      <w:r w:rsidR="007B0B3A">
        <w:t xml:space="preserve"> long as the Secretary asserted those restrictions </w:t>
      </w:r>
      <w:r w:rsidR="00150E53">
        <w:t>protected</w:t>
      </w:r>
      <w:r w:rsidR="007B0B3A">
        <w:t xml:space="preserve"> public safety.  </w:t>
      </w:r>
      <w:r w:rsidR="00024310">
        <w:t>Such</w:t>
      </w:r>
      <w:r w:rsidR="00635757">
        <w:t xml:space="preserve"> an approach would be </w:t>
      </w:r>
      <w:r w:rsidR="003429D5">
        <w:t>untenable</w:t>
      </w:r>
      <w:r w:rsidR="00024310">
        <w:t xml:space="preserve">, </w:t>
      </w:r>
      <w:r w:rsidR="00B8187B">
        <w:t xml:space="preserve">violating </w:t>
      </w:r>
      <w:r w:rsidR="00971736">
        <w:t xml:space="preserve">the </w:t>
      </w:r>
      <w:r w:rsidR="00AD6100">
        <w:t>directive that regulations must be “</w:t>
      </w:r>
      <w:r w:rsidR="00103FEC">
        <w:t> ‘</w:t>
      </w:r>
      <w:r w:rsidR="00AD6100">
        <w:t xml:space="preserve">consistent and not </w:t>
      </w:r>
      <w:r w:rsidR="003429D5">
        <w:t>in conflict</w:t>
      </w:r>
      <w:r w:rsidR="00AD6100">
        <w:t xml:space="preserve"> with</w:t>
      </w:r>
      <w:r w:rsidR="00103FEC">
        <w:t>’ </w:t>
      </w:r>
      <w:r w:rsidR="00AD6100">
        <w:t>” an authorizing constitutional provision.  (</w:t>
      </w:r>
      <w:r w:rsidR="00AD6100">
        <w:rPr>
          <w:i/>
          <w:iCs/>
        </w:rPr>
        <w:t>Morris</w:t>
      </w:r>
      <w:r w:rsidR="00AD6100">
        <w:t xml:space="preserve">, </w:t>
      </w:r>
      <w:r w:rsidR="00AD6100">
        <w:rPr>
          <w:i/>
          <w:iCs/>
        </w:rPr>
        <w:t>supra</w:t>
      </w:r>
      <w:r w:rsidR="00AD6100">
        <w:t>, 67</w:t>
      </w:r>
      <w:r w:rsidR="002776C3">
        <w:t> </w:t>
      </w:r>
      <w:r w:rsidR="00AD6100">
        <w:t>Cal.2d at p. 748</w:t>
      </w:r>
      <w:r w:rsidR="00103FEC">
        <w:t>, italics omitted</w:t>
      </w:r>
      <w:r w:rsidR="00AD6100">
        <w:t xml:space="preserve">.)  </w:t>
      </w:r>
    </w:p>
    <w:p w14:paraId="27715AC3" w14:textId="3BF6D873" w:rsidR="001F278C" w:rsidRPr="00F273F1" w:rsidRDefault="00FA5C27" w:rsidP="00F273F1">
      <w:pPr>
        <w:tabs>
          <w:tab w:val="left" w:pos="720"/>
        </w:tabs>
        <w:ind w:firstLine="720"/>
      </w:pPr>
      <w:r>
        <w:t>This is not to suggest that the Department lacks any meaningful power to promulgate regulations pursuant to article</w:t>
      </w:r>
      <w:r w:rsidR="001F4B27">
        <w:t> </w:t>
      </w:r>
      <w:r>
        <w:t xml:space="preserve">I, section 32(b).  The </w:t>
      </w:r>
      <w:r w:rsidR="00135C48">
        <w:t>Department</w:t>
      </w:r>
      <w:r>
        <w:t xml:space="preserve"> is empowered to </w:t>
      </w:r>
      <w:r w:rsidR="00B8187B">
        <w:t>adopt</w:t>
      </w:r>
      <w:r>
        <w:t xml:space="preserve"> regulations consistent </w:t>
      </w:r>
      <w:r w:rsidR="003B5FD6">
        <w:t xml:space="preserve">with the </w:t>
      </w:r>
      <w:r w:rsidR="004430FD">
        <w:t xml:space="preserve">constitutional </w:t>
      </w:r>
      <w:r w:rsidR="003B5FD6">
        <w:t xml:space="preserve">provisions </w:t>
      </w:r>
      <w:r w:rsidR="004430FD">
        <w:t xml:space="preserve">and </w:t>
      </w:r>
      <w:r w:rsidR="00135C48">
        <w:t xml:space="preserve">the </w:t>
      </w:r>
      <w:r w:rsidR="004430FD">
        <w:t>purpose of article I, section 32</w:t>
      </w:r>
      <w:r w:rsidR="0008548C">
        <w:t>.  As relevant here, the adopted regulations must constitute a reasonable interpretation of the requirement in article I, section 32(a)(1)</w:t>
      </w:r>
      <w:r w:rsidR="00635757">
        <w:t xml:space="preserve"> </w:t>
      </w:r>
      <w:r w:rsidR="0008548C">
        <w:t>that “[a]</w:t>
      </w:r>
      <w:proofErr w:type="spellStart"/>
      <w:r w:rsidR="0008548C">
        <w:t>ny</w:t>
      </w:r>
      <w:proofErr w:type="spellEnd"/>
      <w:r w:rsidR="0008548C">
        <w:t xml:space="preserve"> person convicted of a nonviolent felony offense and sentenced to state prison shall be eligible for parole consideration after </w:t>
      </w:r>
      <w:r w:rsidR="0038607F">
        <w:t>completing</w:t>
      </w:r>
      <w:r w:rsidR="0008548C">
        <w:t xml:space="preserve"> the full term for his or her primary offense.”</w:t>
      </w:r>
      <w:r w:rsidR="0038607F">
        <w:t xml:space="preserve">  </w:t>
      </w:r>
      <w:r w:rsidR="00923B89">
        <w:t xml:space="preserve">The regulations also must evidence </w:t>
      </w:r>
      <w:proofErr w:type="gramStart"/>
      <w:r w:rsidR="00923B89">
        <w:t>some</w:t>
      </w:r>
      <w:proofErr w:type="gramEnd"/>
      <w:r w:rsidR="00923B89">
        <w:t xml:space="preserve"> connection with the mandate to “protect and enhance public safety.</w:t>
      </w:r>
      <w:r w:rsidR="003A777D">
        <w:t>”</w:t>
      </w:r>
      <w:r w:rsidR="00923B89">
        <w:t xml:space="preserve">  (Art. I, </w:t>
      </w:r>
      <w:r w:rsidR="001C6EAB">
        <w:t>§</w:t>
      </w:r>
      <w:r w:rsidR="004A09FF">
        <w:t> </w:t>
      </w:r>
      <w:r w:rsidR="00923B89">
        <w:t>32(b).)</w:t>
      </w:r>
    </w:p>
    <w:p w14:paraId="314B224E" w14:textId="4C685D61" w:rsidR="009F35EB" w:rsidRPr="00F273F1" w:rsidRDefault="00565CA6" w:rsidP="00F273F1">
      <w:pPr>
        <w:tabs>
          <w:tab w:val="left" w:pos="720"/>
        </w:tabs>
        <w:ind w:firstLine="720"/>
      </w:pPr>
      <w:r w:rsidRPr="00F273F1">
        <w:t xml:space="preserve">Nor can it be said that the </w:t>
      </w:r>
      <w:r w:rsidR="006A4A5C" w:rsidRPr="00F273F1">
        <w:t xml:space="preserve">initiative’s overall </w:t>
      </w:r>
      <w:r w:rsidRPr="00F273F1">
        <w:t xml:space="preserve">focus on public safety </w:t>
      </w:r>
      <w:r w:rsidR="00EE086F" w:rsidRPr="00F273F1">
        <w:t>is sufficient to grant the Department the broad authority</w:t>
      </w:r>
      <w:r w:rsidR="005C79F5" w:rsidRPr="00F273F1">
        <w:t xml:space="preserve"> </w:t>
      </w:r>
      <w:r w:rsidR="00EE086F" w:rsidRPr="00F273F1">
        <w:t xml:space="preserve">it </w:t>
      </w:r>
      <w:r w:rsidR="008D249B" w:rsidRPr="00F273F1">
        <w:t>claims</w:t>
      </w:r>
      <w:r w:rsidR="00EE086F" w:rsidRPr="00F273F1">
        <w:t>.</w:t>
      </w:r>
      <w:r w:rsidR="001F278C" w:rsidRPr="00F273F1">
        <w:t xml:space="preserve">  </w:t>
      </w:r>
      <w:r w:rsidR="00617762" w:rsidRPr="00F273F1">
        <w:t xml:space="preserve">A conclusion that the electorate made </w:t>
      </w:r>
      <w:r w:rsidR="00617762" w:rsidRPr="00F273F1">
        <w:lastRenderedPageBreak/>
        <w:t xml:space="preserve">certain inmates </w:t>
      </w:r>
      <w:r w:rsidR="00617762" w:rsidRPr="00F273F1">
        <w:rPr>
          <w:i/>
          <w:iCs/>
        </w:rPr>
        <w:t>eligible</w:t>
      </w:r>
      <w:r w:rsidR="00617762" w:rsidRPr="00F273F1">
        <w:t xml:space="preserve"> for parole consideration </w:t>
      </w:r>
      <w:r w:rsidR="00D63782" w:rsidRPr="00F273F1">
        <w:t xml:space="preserve">does not require the Department to </w:t>
      </w:r>
      <w:r w:rsidR="00AD2524" w:rsidRPr="00F273F1">
        <w:t xml:space="preserve">find </w:t>
      </w:r>
      <w:r w:rsidR="005B76CA" w:rsidRPr="00F273F1">
        <w:t xml:space="preserve">each of those inmates </w:t>
      </w:r>
      <w:r w:rsidR="005B76CA" w:rsidRPr="00F273F1">
        <w:rPr>
          <w:i/>
          <w:iCs/>
        </w:rPr>
        <w:t>suitable</w:t>
      </w:r>
      <w:r w:rsidR="005B76CA" w:rsidRPr="00F273F1">
        <w:t xml:space="preserve"> for parole</w:t>
      </w:r>
      <w:r w:rsidR="00BF4628" w:rsidRPr="00F273F1">
        <w:t xml:space="preserve">.  </w:t>
      </w:r>
      <w:r w:rsidR="00B76A07">
        <w:t xml:space="preserve">Indeed, </w:t>
      </w:r>
      <w:proofErr w:type="gramStart"/>
      <w:r w:rsidR="00B76A07">
        <w:t>many</w:t>
      </w:r>
      <w:proofErr w:type="gramEnd"/>
      <w:r w:rsidR="00B76A07">
        <w:t xml:space="preserve"> factors relevant to public safety may best be addressed through parole suitability determinations.  </w:t>
      </w:r>
      <w:r w:rsidR="00963D57" w:rsidRPr="00F273F1">
        <w:t>Th</w:t>
      </w:r>
      <w:r w:rsidR="00610F27" w:rsidRPr="00F273F1">
        <w:t xml:space="preserve">e </w:t>
      </w:r>
      <w:r w:rsidR="00963D57" w:rsidRPr="00F273F1">
        <w:t xml:space="preserve">Department </w:t>
      </w:r>
      <w:r w:rsidR="00610F27" w:rsidRPr="00F273F1">
        <w:t xml:space="preserve">is left with ample room </w:t>
      </w:r>
      <w:r w:rsidR="00963D57" w:rsidRPr="00F273F1">
        <w:t xml:space="preserve">to </w:t>
      </w:r>
      <w:r w:rsidR="005B76CA" w:rsidRPr="00F273F1">
        <w:t xml:space="preserve">protect public safety by </w:t>
      </w:r>
      <w:r w:rsidR="00AD2524" w:rsidRPr="00F273F1">
        <w:t>craft</w:t>
      </w:r>
      <w:r w:rsidR="005B76CA" w:rsidRPr="00F273F1">
        <w:t>ing</w:t>
      </w:r>
      <w:r w:rsidR="00AD2524" w:rsidRPr="00F273F1">
        <w:t xml:space="preserve"> the specific process</w:t>
      </w:r>
      <w:r w:rsidR="005B76CA" w:rsidRPr="00F273F1">
        <w:t>es</w:t>
      </w:r>
      <w:r w:rsidR="00AD2524" w:rsidRPr="00F273F1">
        <w:t xml:space="preserve"> </w:t>
      </w:r>
      <w:r w:rsidR="004440F3" w:rsidRPr="00F273F1">
        <w:t xml:space="preserve">under </w:t>
      </w:r>
      <w:r w:rsidR="00AD2524" w:rsidRPr="00F273F1">
        <w:t>which parole suitability is</w:t>
      </w:r>
      <w:r w:rsidR="005B76CA" w:rsidRPr="00F273F1">
        <w:t xml:space="preserve"> determined on a case-by-case basis</w:t>
      </w:r>
      <w:r w:rsidR="00EF70B6">
        <w:t xml:space="preserve">.  </w:t>
      </w:r>
      <w:r w:rsidR="00C27123">
        <w:t>And i</w:t>
      </w:r>
      <w:r w:rsidR="00EF70B6">
        <w:t xml:space="preserve">t </w:t>
      </w:r>
      <w:r w:rsidR="00656EBF">
        <w:t xml:space="preserve">has done </w:t>
      </w:r>
      <w:r w:rsidR="00EF70B6">
        <w:t>so; t</w:t>
      </w:r>
      <w:r w:rsidR="000C4B85">
        <w:t xml:space="preserve">he regulations </w:t>
      </w:r>
      <w:r w:rsidR="00524722">
        <w:t xml:space="preserve">direct the Board of Parole Hearings to consider “all relevant and reliable information” </w:t>
      </w:r>
      <w:r w:rsidR="00BA3B8F">
        <w:t xml:space="preserve">(Cal. Code Regs., § 2449.4, </w:t>
      </w:r>
      <w:proofErr w:type="spellStart"/>
      <w:r w:rsidR="00BA3B8F">
        <w:t>subd</w:t>
      </w:r>
      <w:proofErr w:type="spellEnd"/>
      <w:r w:rsidR="00BA3B8F">
        <w:t xml:space="preserve">. (b)) </w:t>
      </w:r>
      <w:r w:rsidR="00524722">
        <w:t xml:space="preserve">to determine whether the inmate poses a </w:t>
      </w:r>
      <w:r w:rsidR="00E47F6C">
        <w:t>“</w:t>
      </w:r>
      <w:r w:rsidR="00524722">
        <w:t>current, unreasonable risk of violence or a current, unreasonable risk of significant criminal activity</w:t>
      </w:r>
      <w:r w:rsidR="00734E47">
        <w:t>”</w:t>
      </w:r>
      <w:r w:rsidR="00FA2470">
        <w:t xml:space="preserve"> (</w:t>
      </w:r>
      <w:r w:rsidR="00FA2470">
        <w:rPr>
          <w:i/>
          <w:iCs/>
        </w:rPr>
        <w:t>id</w:t>
      </w:r>
      <w:r w:rsidR="00FA2470">
        <w:t xml:space="preserve">., </w:t>
      </w:r>
      <w:proofErr w:type="spellStart"/>
      <w:r w:rsidR="00FA2470">
        <w:t>subd</w:t>
      </w:r>
      <w:proofErr w:type="spellEnd"/>
      <w:r w:rsidR="00FA2470">
        <w:t>. (c)),</w:t>
      </w:r>
      <w:r w:rsidR="00734E47">
        <w:t xml:space="preserve"> including an inmate’s “documented criminal history</w:t>
      </w:r>
      <w:r w:rsidR="00E47F6C">
        <w:t>” (</w:t>
      </w:r>
      <w:r w:rsidR="00CC56DD">
        <w:rPr>
          <w:i/>
          <w:iCs/>
        </w:rPr>
        <w:t>id</w:t>
      </w:r>
      <w:r w:rsidR="00CC56DD">
        <w:t xml:space="preserve">., </w:t>
      </w:r>
      <w:proofErr w:type="spellStart"/>
      <w:r w:rsidR="00CC56DD">
        <w:t>subd</w:t>
      </w:r>
      <w:proofErr w:type="spellEnd"/>
      <w:r w:rsidR="00CC56DD">
        <w:t>. (</w:t>
      </w:r>
      <w:r w:rsidR="00C30887">
        <w:t>b</w:t>
      </w:r>
      <w:r w:rsidR="00CC56DD">
        <w:t>)</w:t>
      </w:r>
      <w:r w:rsidR="00C30887">
        <w:t>(1)</w:t>
      </w:r>
      <w:r w:rsidR="00734E47">
        <w:t>)</w:t>
      </w:r>
      <w:r w:rsidR="00C30887">
        <w:t>.</w:t>
      </w:r>
    </w:p>
    <w:p w14:paraId="5884B33C" w14:textId="582277C2" w:rsidR="000550FD" w:rsidRPr="00F273F1" w:rsidRDefault="004A09FF" w:rsidP="00F273F1">
      <w:pPr>
        <w:tabs>
          <w:tab w:val="left" w:pos="720"/>
        </w:tabs>
        <w:ind w:firstLine="720"/>
        <w:rPr>
          <w:iCs/>
        </w:rPr>
      </w:pPr>
      <w:r>
        <w:t>As noted earlier, t</w:t>
      </w:r>
      <w:r w:rsidR="00615344" w:rsidRPr="00F273F1">
        <w:t>he D</w:t>
      </w:r>
      <w:r w:rsidR="001F278C" w:rsidRPr="00F273F1">
        <w:t xml:space="preserve">epartment </w:t>
      </w:r>
      <w:r w:rsidR="007A2621" w:rsidRPr="00F273F1">
        <w:t xml:space="preserve">also </w:t>
      </w:r>
      <w:r w:rsidR="001F278C" w:rsidRPr="00F273F1">
        <w:t xml:space="preserve">contends </w:t>
      </w:r>
      <w:r w:rsidR="001F278C" w:rsidRPr="00F273F1">
        <w:rPr>
          <w:iCs/>
        </w:rPr>
        <w:t xml:space="preserve">the voters would have understood from the constitutional provision directing the Department to adopt regulations in furtherance of the initiative that the </w:t>
      </w:r>
      <w:r w:rsidR="00AD40BA">
        <w:rPr>
          <w:iCs/>
        </w:rPr>
        <w:t>measure</w:t>
      </w:r>
      <w:r w:rsidR="001F278C" w:rsidRPr="00F273F1">
        <w:rPr>
          <w:iCs/>
        </w:rPr>
        <w:t xml:space="preserve"> provided only a “framework” for nonviolent</w:t>
      </w:r>
      <w:r w:rsidR="00326632" w:rsidRPr="00F273F1">
        <w:rPr>
          <w:iCs/>
        </w:rPr>
        <w:t xml:space="preserve"> offender</w:t>
      </w:r>
      <w:r w:rsidR="001F278C" w:rsidRPr="00F273F1">
        <w:rPr>
          <w:iCs/>
        </w:rPr>
        <w:t xml:space="preserve"> parole consideration, </w:t>
      </w:r>
      <w:r w:rsidR="00695234" w:rsidRPr="00F273F1">
        <w:rPr>
          <w:iCs/>
        </w:rPr>
        <w:t xml:space="preserve">and </w:t>
      </w:r>
      <w:r w:rsidR="001F278C" w:rsidRPr="00F273F1">
        <w:rPr>
          <w:iCs/>
        </w:rPr>
        <w:t xml:space="preserve">that the Department </w:t>
      </w:r>
      <w:r w:rsidR="00326632" w:rsidRPr="00F273F1">
        <w:rPr>
          <w:iCs/>
        </w:rPr>
        <w:t>would</w:t>
      </w:r>
      <w:r w:rsidR="001F278C" w:rsidRPr="00F273F1">
        <w:rPr>
          <w:iCs/>
        </w:rPr>
        <w:t xml:space="preserve"> “fill up the detail</w:t>
      </w:r>
      <w:r w:rsidR="009F35EB" w:rsidRPr="00F273F1">
        <w:rPr>
          <w:iCs/>
        </w:rPr>
        <w:t>s</w:t>
      </w:r>
      <w:r w:rsidR="001F278C" w:rsidRPr="00F273F1">
        <w:rPr>
          <w:iCs/>
        </w:rPr>
        <w:t>”</w:t>
      </w:r>
      <w:r w:rsidR="001F4B27">
        <w:rPr>
          <w:iCs/>
        </w:rPr>
        <w:t> </w:t>
      </w:r>
      <w:r w:rsidR="00CF41A2" w:rsidRPr="00F273F1">
        <w:rPr>
          <w:iCs/>
        </w:rPr>
        <w:t>—</w:t>
      </w:r>
      <w:r w:rsidR="001F4B27">
        <w:rPr>
          <w:iCs/>
        </w:rPr>
        <w:t> </w:t>
      </w:r>
      <w:r w:rsidR="00750A8D" w:rsidRPr="00F273F1">
        <w:rPr>
          <w:iCs/>
        </w:rPr>
        <w:t xml:space="preserve">again, </w:t>
      </w:r>
      <w:r w:rsidR="00147121" w:rsidRPr="00F273F1">
        <w:rPr>
          <w:iCs/>
        </w:rPr>
        <w:t>notwi</w:t>
      </w:r>
      <w:r w:rsidR="007E19A9" w:rsidRPr="00F273F1">
        <w:rPr>
          <w:iCs/>
        </w:rPr>
        <w:t xml:space="preserve">thstanding </w:t>
      </w:r>
      <w:r w:rsidR="009F35EB" w:rsidRPr="00F273F1">
        <w:rPr>
          <w:iCs/>
        </w:rPr>
        <w:t>the</w:t>
      </w:r>
      <w:r w:rsidR="004871C2">
        <w:rPr>
          <w:iCs/>
        </w:rPr>
        <w:t xml:space="preserve"> constitutional directive that inmates</w:t>
      </w:r>
      <w:r w:rsidR="007A6FA6">
        <w:rPr>
          <w:iCs/>
        </w:rPr>
        <w:t xml:space="preserve"> who fall under article I, section 32(a)(1)</w:t>
      </w:r>
      <w:r w:rsidR="009F35EB" w:rsidRPr="00F273F1">
        <w:rPr>
          <w:iCs/>
        </w:rPr>
        <w:t xml:space="preserve"> “shall be eligible</w:t>
      </w:r>
      <w:r w:rsidR="00147121" w:rsidRPr="00F273F1">
        <w:rPr>
          <w:iCs/>
        </w:rPr>
        <w:t xml:space="preserve"> for parole consideration</w:t>
      </w:r>
      <w:r w:rsidR="004871C2">
        <w:rPr>
          <w:iCs/>
        </w:rPr>
        <w:t>.</w:t>
      </w:r>
      <w:r w:rsidR="009F35EB" w:rsidRPr="00F273F1">
        <w:rPr>
          <w:iCs/>
        </w:rPr>
        <w:t xml:space="preserve">” </w:t>
      </w:r>
    </w:p>
    <w:p w14:paraId="710298E5" w14:textId="10367D95" w:rsidR="00D52AE7" w:rsidRPr="00F273F1" w:rsidRDefault="000550FD" w:rsidP="00F273F1">
      <w:pPr>
        <w:tabs>
          <w:tab w:val="left" w:pos="720"/>
        </w:tabs>
        <w:ind w:firstLine="720"/>
        <w:rPr>
          <w:iCs/>
        </w:rPr>
      </w:pPr>
      <w:r w:rsidRPr="00F273F1">
        <w:rPr>
          <w:iCs/>
        </w:rPr>
        <w:t xml:space="preserve">In support of this proposition, the Department relies on </w:t>
      </w:r>
      <w:r w:rsidRPr="00F273F1">
        <w:rPr>
          <w:i/>
          <w:iCs/>
        </w:rPr>
        <w:t>Jones</w:t>
      </w:r>
      <w:r w:rsidR="0096738C">
        <w:t xml:space="preserve">, </w:t>
      </w:r>
      <w:r w:rsidR="0096738C">
        <w:rPr>
          <w:i/>
          <w:iCs/>
        </w:rPr>
        <w:t>supra</w:t>
      </w:r>
      <w:r w:rsidR="0096738C">
        <w:t xml:space="preserve">, </w:t>
      </w:r>
      <w:r w:rsidRPr="00F273F1">
        <w:rPr>
          <w:iCs/>
        </w:rPr>
        <w:t>2</w:t>
      </w:r>
      <w:r w:rsidR="0096738C">
        <w:rPr>
          <w:iCs/>
        </w:rPr>
        <w:t xml:space="preserve"> </w:t>
      </w:r>
      <w:r w:rsidRPr="00F273F1">
        <w:rPr>
          <w:iCs/>
        </w:rPr>
        <w:t xml:space="preserve">Cal.5th 376.  </w:t>
      </w:r>
      <w:r w:rsidR="00AD40BA">
        <w:rPr>
          <w:iCs/>
        </w:rPr>
        <w:t>There</w:t>
      </w:r>
      <w:r w:rsidR="007E19A9" w:rsidRPr="00F273F1">
        <w:rPr>
          <w:iCs/>
        </w:rPr>
        <w:t xml:space="preserve"> we </w:t>
      </w:r>
      <w:r w:rsidRPr="00F273F1">
        <w:rPr>
          <w:iCs/>
        </w:rPr>
        <w:t xml:space="preserve">considered </w:t>
      </w:r>
      <w:r w:rsidR="0033018D" w:rsidRPr="00F273F1">
        <w:rPr>
          <w:iCs/>
        </w:rPr>
        <w:t>the validity of a regulation enacted by the Insurance Commissioner.</w:t>
      </w:r>
      <w:r w:rsidR="00017060" w:rsidRPr="00F273F1">
        <w:rPr>
          <w:iCs/>
        </w:rPr>
        <w:t xml:space="preserve">  (</w:t>
      </w:r>
      <w:r w:rsidR="00017060" w:rsidRPr="00F273F1">
        <w:rPr>
          <w:i/>
          <w:iCs/>
        </w:rPr>
        <w:t>Id</w:t>
      </w:r>
      <w:r w:rsidR="00017060" w:rsidRPr="00F273F1">
        <w:rPr>
          <w:iCs/>
        </w:rPr>
        <w:t>. at p.</w:t>
      </w:r>
      <w:r w:rsidR="005426DD">
        <w:rPr>
          <w:iCs/>
        </w:rPr>
        <w:t> </w:t>
      </w:r>
      <w:r w:rsidR="00017060" w:rsidRPr="00F273F1">
        <w:rPr>
          <w:iCs/>
        </w:rPr>
        <w:t xml:space="preserve">382.)  </w:t>
      </w:r>
      <w:r w:rsidR="001221BA" w:rsidRPr="00F273F1">
        <w:rPr>
          <w:iCs/>
        </w:rPr>
        <w:t>The underlying statute directed the Commissioner to “</w:t>
      </w:r>
      <w:r w:rsidR="00595280">
        <w:rPr>
          <w:iCs/>
        </w:rPr>
        <w:t> ‘</w:t>
      </w:r>
      <w:r w:rsidR="001221BA" w:rsidRPr="00F273F1">
        <w:rPr>
          <w:iCs/>
        </w:rPr>
        <w:t>promulgate reasonable rules and regulations .</w:t>
      </w:r>
      <w:r w:rsidR="007E19A9" w:rsidRPr="00F273F1">
        <w:rPr>
          <w:iCs/>
        </w:rPr>
        <w:t> </w:t>
      </w:r>
      <w:r w:rsidR="001221BA" w:rsidRPr="00F273F1">
        <w:rPr>
          <w:iCs/>
        </w:rPr>
        <w:t>.</w:t>
      </w:r>
      <w:r w:rsidR="007E19A9" w:rsidRPr="00F273F1">
        <w:rPr>
          <w:iCs/>
        </w:rPr>
        <w:t> </w:t>
      </w:r>
      <w:r w:rsidR="001221BA" w:rsidRPr="00F273F1">
        <w:rPr>
          <w:iCs/>
        </w:rPr>
        <w:t>. as are necessary to administer</w:t>
      </w:r>
      <w:r w:rsidR="00595280">
        <w:rPr>
          <w:iCs/>
        </w:rPr>
        <w:t>’ </w:t>
      </w:r>
      <w:r w:rsidR="001221BA" w:rsidRPr="00F273F1">
        <w:rPr>
          <w:iCs/>
        </w:rPr>
        <w:t>” the Unfair Insurance Practices Act.  (</w:t>
      </w:r>
      <w:r w:rsidR="00595280">
        <w:rPr>
          <w:i/>
          <w:iCs/>
        </w:rPr>
        <w:t>Jones</w:t>
      </w:r>
      <w:r w:rsidR="00595280">
        <w:t xml:space="preserve">, </w:t>
      </w:r>
      <w:r w:rsidR="00595280">
        <w:rPr>
          <w:i/>
          <w:iCs/>
        </w:rPr>
        <w:t>supra</w:t>
      </w:r>
      <w:r w:rsidR="00595280">
        <w:t>, 2 Cal.5th at p.</w:t>
      </w:r>
      <w:r w:rsidR="002925D1">
        <w:t> </w:t>
      </w:r>
      <w:r w:rsidR="00595280">
        <w:t>382</w:t>
      </w:r>
      <w:r w:rsidR="001221BA" w:rsidRPr="00F273F1">
        <w:rPr>
          <w:iCs/>
        </w:rPr>
        <w:t>, quoting Ins. Code, §</w:t>
      </w:r>
      <w:r w:rsidR="00C06F84" w:rsidRPr="00F273F1">
        <w:rPr>
          <w:iCs/>
        </w:rPr>
        <w:t> </w:t>
      </w:r>
      <w:r w:rsidR="001221BA" w:rsidRPr="00F273F1">
        <w:rPr>
          <w:iCs/>
        </w:rPr>
        <w:t>790.10.)</w:t>
      </w:r>
      <w:r w:rsidR="00E330D3" w:rsidRPr="00F273F1">
        <w:rPr>
          <w:iCs/>
        </w:rPr>
        <w:t xml:space="preserve">  </w:t>
      </w:r>
      <w:r w:rsidR="00533DF9" w:rsidRPr="00F273F1">
        <w:rPr>
          <w:iCs/>
        </w:rPr>
        <w:t xml:space="preserve">Included in the </w:t>
      </w:r>
      <w:r w:rsidR="002925D1">
        <w:rPr>
          <w:iCs/>
        </w:rPr>
        <w:t>a</w:t>
      </w:r>
      <w:r w:rsidR="00533DF9" w:rsidRPr="00F273F1">
        <w:rPr>
          <w:iCs/>
        </w:rPr>
        <w:t xml:space="preserve">ct was a prohibition on making or disseminating any “untrue, deceptive, or misleading statements </w:t>
      </w:r>
      <w:r w:rsidR="00533DF9" w:rsidRPr="00F273F1">
        <w:rPr>
          <w:iCs/>
        </w:rPr>
        <w:lastRenderedPageBreak/>
        <w:t>with respect to the business of insurance.”  (</w:t>
      </w:r>
      <w:r w:rsidR="002925D1">
        <w:rPr>
          <w:i/>
          <w:iCs/>
        </w:rPr>
        <w:t>Jones</w:t>
      </w:r>
      <w:r w:rsidR="002925D1">
        <w:t xml:space="preserve">, </w:t>
      </w:r>
      <w:r w:rsidR="002925D1">
        <w:rPr>
          <w:i/>
          <w:iCs/>
        </w:rPr>
        <w:t>supra</w:t>
      </w:r>
      <w:r w:rsidR="002925D1">
        <w:t>, 2</w:t>
      </w:r>
      <w:r w:rsidR="002278BD">
        <w:t> </w:t>
      </w:r>
      <w:r w:rsidR="002925D1">
        <w:t xml:space="preserve">Cal.5th </w:t>
      </w:r>
      <w:r w:rsidR="00533DF9" w:rsidRPr="00F273F1">
        <w:rPr>
          <w:iCs/>
        </w:rPr>
        <w:t>at p</w:t>
      </w:r>
      <w:r w:rsidR="00671C43" w:rsidRPr="00F273F1">
        <w:rPr>
          <w:iCs/>
        </w:rPr>
        <w:t>p.</w:t>
      </w:r>
      <w:r w:rsidR="005426DD">
        <w:rPr>
          <w:iCs/>
        </w:rPr>
        <w:t> </w:t>
      </w:r>
      <w:r w:rsidR="00671C43" w:rsidRPr="00F273F1">
        <w:rPr>
          <w:iCs/>
        </w:rPr>
        <w:t>390</w:t>
      </w:r>
      <w:r w:rsidR="00715BFB">
        <w:rPr>
          <w:iCs/>
        </w:rPr>
        <w:t>–</w:t>
      </w:r>
      <w:r w:rsidR="00671C43" w:rsidRPr="00F273F1">
        <w:rPr>
          <w:iCs/>
        </w:rPr>
        <w:t>391.)</w:t>
      </w:r>
      <w:r w:rsidR="004861B0" w:rsidRPr="00F273F1">
        <w:rPr>
          <w:iCs/>
        </w:rPr>
        <w:t xml:space="preserve">  The Commissioner’s regulation, in turn, </w:t>
      </w:r>
      <w:r w:rsidR="00385F37" w:rsidRPr="00F273F1">
        <w:rPr>
          <w:iCs/>
        </w:rPr>
        <w:t>specified how</w:t>
      </w:r>
      <w:r w:rsidR="00D52AE7" w:rsidRPr="00F273F1">
        <w:rPr>
          <w:iCs/>
        </w:rPr>
        <w:t xml:space="preserve"> insurance company estimates </w:t>
      </w:r>
      <w:r w:rsidR="002A20A4">
        <w:rPr>
          <w:iCs/>
        </w:rPr>
        <w:t>concerning</w:t>
      </w:r>
      <w:r w:rsidR="00D52AE7" w:rsidRPr="00F273F1">
        <w:rPr>
          <w:iCs/>
        </w:rPr>
        <w:t xml:space="preserve"> the cost to rebuild or replace a home </w:t>
      </w:r>
      <w:r w:rsidR="00135C48">
        <w:rPr>
          <w:iCs/>
        </w:rPr>
        <w:t>were</w:t>
      </w:r>
      <w:r w:rsidR="00D52AE7" w:rsidRPr="00F273F1">
        <w:rPr>
          <w:iCs/>
        </w:rPr>
        <w:t xml:space="preserve"> calculated and communicated, and barred insurance companies from communicating a replacement cost estimate that did not comply with the regulation.  (</w:t>
      </w:r>
      <w:r w:rsidR="00D52AE7" w:rsidRPr="00F273F1">
        <w:rPr>
          <w:i/>
          <w:iCs/>
        </w:rPr>
        <w:t>Id</w:t>
      </w:r>
      <w:r w:rsidR="00D52AE7" w:rsidRPr="00F273F1">
        <w:rPr>
          <w:iCs/>
        </w:rPr>
        <w:t>. at p.</w:t>
      </w:r>
      <w:r w:rsidR="005426DD">
        <w:rPr>
          <w:iCs/>
        </w:rPr>
        <w:t> </w:t>
      </w:r>
      <w:r w:rsidR="00D52AE7" w:rsidRPr="00F273F1">
        <w:rPr>
          <w:iCs/>
        </w:rPr>
        <w:t>385.)</w:t>
      </w:r>
      <w:r w:rsidR="00783855" w:rsidRPr="00F273F1">
        <w:rPr>
          <w:iCs/>
        </w:rPr>
        <w:t xml:space="preserve">  The plaintiffs sought declaratory relief, asserting that the Commissioner had exceeded the authority </w:t>
      </w:r>
      <w:r w:rsidR="00481F7E" w:rsidRPr="00F273F1">
        <w:rPr>
          <w:iCs/>
        </w:rPr>
        <w:t xml:space="preserve">given </w:t>
      </w:r>
      <w:r w:rsidR="00783855" w:rsidRPr="00F273F1">
        <w:rPr>
          <w:iCs/>
        </w:rPr>
        <w:t xml:space="preserve">under the </w:t>
      </w:r>
      <w:r w:rsidR="002925D1">
        <w:rPr>
          <w:iCs/>
        </w:rPr>
        <w:t>a</w:t>
      </w:r>
      <w:r w:rsidR="00783855" w:rsidRPr="00F273F1">
        <w:rPr>
          <w:iCs/>
        </w:rPr>
        <w:t xml:space="preserve">ct by defining a new </w:t>
      </w:r>
      <w:r w:rsidR="009C39C6" w:rsidRPr="00F273F1">
        <w:rPr>
          <w:iCs/>
        </w:rPr>
        <w:t>unfair and deceptive insurance practice.  (</w:t>
      </w:r>
      <w:r w:rsidR="009C39C6" w:rsidRPr="00F273F1">
        <w:rPr>
          <w:i/>
          <w:iCs/>
        </w:rPr>
        <w:t>Id</w:t>
      </w:r>
      <w:r w:rsidR="009C39C6" w:rsidRPr="00F273F1">
        <w:rPr>
          <w:iCs/>
        </w:rPr>
        <w:t>. at p.</w:t>
      </w:r>
      <w:r w:rsidR="005426DD">
        <w:rPr>
          <w:iCs/>
        </w:rPr>
        <w:t> </w:t>
      </w:r>
      <w:r w:rsidR="009C39C6" w:rsidRPr="00F273F1">
        <w:rPr>
          <w:iCs/>
        </w:rPr>
        <w:t>388.)</w:t>
      </w:r>
    </w:p>
    <w:p w14:paraId="55056DED" w14:textId="26134843" w:rsidR="001221BA" w:rsidRPr="00F273F1" w:rsidRDefault="009C39C6" w:rsidP="00F273F1">
      <w:pPr>
        <w:tabs>
          <w:tab w:val="left" w:pos="720"/>
        </w:tabs>
        <w:ind w:firstLine="720"/>
        <w:rPr>
          <w:iCs/>
        </w:rPr>
      </w:pPr>
      <w:r w:rsidRPr="00F273F1">
        <w:rPr>
          <w:iCs/>
        </w:rPr>
        <w:t xml:space="preserve">We disagreed, noting that the </w:t>
      </w:r>
      <w:r w:rsidR="002925D1">
        <w:rPr>
          <w:iCs/>
        </w:rPr>
        <w:t>a</w:t>
      </w:r>
      <w:r w:rsidRPr="00F273F1">
        <w:rPr>
          <w:iCs/>
        </w:rPr>
        <w:t xml:space="preserve">ct vested broad </w:t>
      </w:r>
      <w:r w:rsidR="002A20A4">
        <w:rPr>
          <w:iCs/>
        </w:rPr>
        <w:t>power</w:t>
      </w:r>
      <w:r w:rsidRPr="00F273F1">
        <w:rPr>
          <w:iCs/>
        </w:rPr>
        <w:t xml:space="preserve"> in the Commissioner</w:t>
      </w:r>
      <w:r w:rsidR="003D234F" w:rsidRPr="00F273F1">
        <w:rPr>
          <w:iCs/>
        </w:rPr>
        <w:t xml:space="preserve"> to promulgate regulations “necessary to administer” the </w:t>
      </w:r>
      <w:r w:rsidR="002925D1">
        <w:rPr>
          <w:iCs/>
        </w:rPr>
        <w:t>a</w:t>
      </w:r>
      <w:r w:rsidR="003D234F" w:rsidRPr="00F273F1">
        <w:rPr>
          <w:iCs/>
        </w:rPr>
        <w:t>ct.  (</w:t>
      </w:r>
      <w:r w:rsidR="003D234F" w:rsidRPr="00F273F1">
        <w:rPr>
          <w:i/>
          <w:iCs/>
        </w:rPr>
        <w:t>Jones</w:t>
      </w:r>
      <w:r w:rsidR="003D234F" w:rsidRPr="00F273F1">
        <w:rPr>
          <w:iCs/>
        </w:rPr>
        <w:t xml:space="preserve">, </w:t>
      </w:r>
      <w:r w:rsidR="003D234F" w:rsidRPr="00F273F1">
        <w:rPr>
          <w:i/>
          <w:iCs/>
        </w:rPr>
        <w:t>supra</w:t>
      </w:r>
      <w:r w:rsidR="003D234F" w:rsidRPr="00F273F1">
        <w:rPr>
          <w:iCs/>
        </w:rPr>
        <w:t>, 2 Cal.5th at p.</w:t>
      </w:r>
      <w:r w:rsidR="005426DD">
        <w:rPr>
          <w:iCs/>
        </w:rPr>
        <w:t> </w:t>
      </w:r>
      <w:r w:rsidR="003D234F" w:rsidRPr="00F273F1">
        <w:rPr>
          <w:iCs/>
        </w:rPr>
        <w:t>39</w:t>
      </w:r>
      <w:r w:rsidR="005A597D">
        <w:rPr>
          <w:iCs/>
        </w:rPr>
        <w:t>1</w:t>
      </w:r>
      <w:r w:rsidR="00DB7B01" w:rsidRPr="00F273F1">
        <w:rPr>
          <w:iCs/>
        </w:rPr>
        <w:t>.)</w:t>
      </w:r>
      <w:r w:rsidR="00540780" w:rsidRPr="00F273F1">
        <w:rPr>
          <w:iCs/>
        </w:rPr>
        <w:t xml:space="preserve">  </w:t>
      </w:r>
      <w:r w:rsidR="002C7335" w:rsidRPr="00F273F1">
        <w:rPr>
          <w:iCs/>
        </w:rPr>
        <w:t xml:space="preserve">We held that the Commissioner’s authority to administer the </w:t>
      </w:r>
      <w:r w:rsidR="005A597D">
        <w:rPr>
          <w:iCs/>
        </w:rPr>
        <w:t>a</w:t>
      </w:r>
      <w:r w:rsidR="005A597D" w:rsidRPr="00F273F1">
        <w:rPr>
          <w:iCs/>
        </w:rPr>
        <w:t xml:space="preserve">ct </w:t>
      </w:r>
      <w:r w:rsidR="002C7335" w:rsidRPr="00F273F1">
        <w:rPr>
          <w:iCs/>
        </w:rPr>
        <w:t>included promulgat</w:t>
      </w:r>
      <w:r w:rsidR="00695234" w:rsidRPr="00F273F1">
        <w:rPr>
          <w:iCs/>
        </w:rPr>
        <w:t>ing</w:t>
      </w:r>
      <w:r w:rsidR="002C7335" w:rsidRPr="00F273F1">
        <w:rPr>
          <w:iCs/>
        </w:rPr>
        <w:t xml:space="preserve"> rules </w:t>
      </w:r>
      <w:r w:rsidR="00B8027C" w:rsidRPr="00F273F1">
        <w:rPr>
          <w:iCs/>
        </w:rPr>
        <w:t xml:space="preserve">“applying to a specific kind of statement prohibited under” the </w:t>
      </w:r>
      <w:r w:rsidR="005A597D">
        <w:rPr>
          <w:iCs/>
        </w:rPr>
        <w:t>act</w:t>
      </w:r>
      <w:r w:rsidR="00B8027C" w:rsidRPr="00F273F1">
        <w:rPr>
          <w:iCs/>
        </w:rPr>
        <w:t>.  (</w:t>
      </w:r>
      <w:r w:rsidR="00B8027C" w:rsidRPr="00F273F1">
        <w:rPr>
          <w:i/>
          <w:iCs/>
        </w:rPr>
        <w:t>Id</w:t>
      </w:r>
      <w:r w:rsidR="00B8027C" w:rsidRPr="00F273F1">
        <w:rPr>
          <w:iCs/>
        </w:rPr>
        <w:t>. at p.</w:t>
      </w:r>
      <w:r w:rsidR="005426DD">
        <w:rPr>
          <w:iCs/>
        </w:rPr>
        <w:t> </w:t>
      </w:r>
      <w:r w:rsidR="00B8027C" w:rsidRPr="00F273F1">
        <w:rPr>
          <w:iCs/>
        </w:rPr>
        <w:t xml:space="preserve">392.)  Thus, </w:t>
      </w:r>
      <w:r w:rsidR="00695234" w:rsidRPr="00F273F1">
        <w:rPr>
          <w:iCs/>
        </w:rPr>
        <w:t xml:space="preserve">we held it was well within the Commissioner’s </w:t>
      </w:r>
      <w:r w:rsidR="00D8315D">
        <w:rPr>
          <w:iCs/>
        </w:rPr>
        <w:t>power</w:t>
      </w:r>
      <w:r w:rsidR="00D8315D" w:rsidRPr="00F273F1">
        <w:rPr>
          <w:iCs/>
        </w:rPr>
        <w:t xml:space="preserve"> </w:t>
      </w:r>
      <w:r w:rsidR="00695234" w:rsidRPr="00F273F1">
        <w:rPr>
          <w:iCs/>
        </w:rPr>
        <w:t xml:space="preserve">to promulgate </w:t>
      </w:r>
      <w:r w:rsidR="00B8027C" w:rsidRPr="00F273F1">
        <w:rPr>
          <w:iCs/>
        </w:rPr>
        <w:t xml:space="preserve">regulations </w:t>
      </w:r>
      <w:r w:rsidR="003F632D" w:rsidRPr="00F273F1">
        <w:rPr>
          <w:iCs/>
        </w:rPr>
        <w:t xml:space="preserve">implementing and interpreting the </w:t>
      </w:r>
      <w:r w:rsidR="002E1A9A">
        <w:rPr>
          <w:iCs/>
        </w:rPr>
        <w:t>a</w:t>
      </w:r>
      <w:r w:rsidR="003F632D" w:rsidRPr="00F273F1">
        <w:rPr>
          <w:iCs/>
        </w:rPr>
        <w:t xml:space="preserve">ct’s prohibition on unfair and deceptive insurance practices by identifying </w:t>
      </w:r>
      <w:r w:rsidR="00BE2E25" w:rsidRPr="00F273F1">
        <w:rPr>
          <w:iCs/>
        </w:rPr>
        <w:t xml:space="preserve">a type of specific unfair and deceptive insurance practice and developing rules </w:t>
      </w:r>
      <w:r w:rsidR="00BB6B36" w:rsidRPr="00F273F1">
        <w:rPr>
          <w:iCs/>
        </w:rPr>
        <w:t xml:space="preserve">concerning </w:t>
      </w:r>
      <w:r w:rsidR="00BE2E25" w:rsidRPr="00F273F1">
        <w:rPr>
          <w:iCs/>
        </w:rPr>
        <w:t>that practice.</w:t>
      </w:r>
      <w:r w:rsidR="00695234" w:rsidRPr="00F273F1">
        <w:rPr>
          <w:iCs/>
        </w:rPr>
        <w:t xml:space="preserve">  (</w:t>
      </w:r>
      <w:r w:rsidR="00695234" w:rsidRPr="00F273F1">
        <w:rPr>
          <w:i/>
        </w:rPr>
        <w:t>Ibid</w:t>
      </w:r>
      <w:r w:rsidR="00695234" w:rsidRPr="00F273F1">
        <w:rPr>
          <w:iCs/>
        </w:rPr>
        <w:t>.)</w:t>
      </w:r>
      <w:r w:rsidR="00BE2E25" w:rsidRPr="00F273F1">
        <w:rPr>
          <w:iCs/>
        </w:rPr>
        <w:t xml:space="preserve">  </w:t>
      </w:r>
    </w:p>
    <w:p w14:paraId="6D8DD073" w14:textId="64530B2E" w:rsidR="00A95A0D" w:rsidRPr="00F273F1" w:rsidRDefault="00063D09" w:rsidP="00F273F1">
      <w:pPr>
        <w:tabs>
          <w:tab w:val="left" w:pos="720"/>
        </w:tabs>
        <w:ind w:firstLine="720"/>
        <w:rPr>
          <w:iCs/>
        </w:rPr>
      </w:pPr>
      <w:r w:rsidRPr="00F273F1">
        <w:rPr>
          <w:i/>
          <w:iCs/>
        </w:rPr>
        <w:t>Jones</w:t>
      </w:r>
      <w:r w:rsidRPr="00F273F1">
        <w:rPr>
          <w:iCs/>
        </w:rPr>
        <w:t xml:space="preserve"> is readily distinguishable from this case.  </w:t>
      </w:r>
      <w:r w:rsidR="00494241">
        <w:rPr>
          <w:iCs/>
        </w:rPr>
        <w:t>As we have described above, t</w:t>
      </w:r>
      <w:r w:rsidRPr="00F273F1">
        <w:rPr>
          <w:iCs/>
        </w:rPr>
        <w:t xml:space="preserve">he </w:t>
      </w:r>
      <w:r w:rsidR="007B6B36" w:rsidRPr="00F273F1">
        <w:rPr>
          <w:iCs/>
        </w:rPr>
        <w:t>Department</w:t>
      </w:r>
      <w:r w:rsidR="00494241">
        <w:rPr>
          <w:iCs/>
        </w:rPr>
        <w:t>’s regulations</w:t>
      </w:r>
      <w:r w:rsidR="007B6B36" w:rsidRPr="00F273F1">
        <w:rPr>
          <w:iCs/>
        </w:rPr>
        <w:t xml:space="preserve"> do not </w:t>
      </w:r>
      <w:r w:rsidR="00757FCA" w:rsidRPr="00F273F1">
        <w:rPr>
          <w:iCs/>
        </w:rPr>
        <w:t xml:space="preserve">interpret </w:t>
      </w:r>
      <w:r w:rsidR="00582F9A" w:rsidRPr="00F273F1">
        <w:rPr>
          <w:iCs/>
        </w:rPr>
        <w:t xml:space="preserve">the </w:t>
      </w:r>
      <w:proofErr w:type="gramStart"/>
      <w:r w:rsidRPr="00F273F1">
        <w:rPr>
          <w:iCs/>
        </w:rPr>
        <w:t xml:space="preserve">arguably </w:t>
      </w:r>
      <w:r w:rsidR="00695234" w:rsidRPr="00F273F1">
        <w:rPr>
          <w:iCs/>
        </w:rPr>
        <w:t>ambiguous</w:t>
      </w:r>
      <w:proofErr w:type="gramEnd"/>
      <w:r w:rsidR="00695234" w:rsidRPr="00F273F1">
        <w:rPr>
          <w:iCs/>
        </w:rPr>
        <w:t xml:space="preserve"> terms</w:t>
      </w:r>
      <w:r w:rsidRPr="00F273F1">
        <w:rPr>
          <w:iCs/>
        </w:rPr>
        <w:t xml:space="preserve"> </w:t>
      </w:r>
      <w:r w:rsidR="00210434" w:rsidRPr="00F273F1">
        <w:rPr>
          <w:iCs/>
        </w:rPr>
        <w:t xml:space="preserve">of </w:t>
      </w:r>
      <w:r w:rsidRPr="00F273F1">
        <w:rPr>
          <w:iCs/>
        </w:rPr>
        <w:t>Proposition 57</w:t>
      </w:r>
      <w:r w:rsidR="004E086D" w:rsidRPr="00F273F1">
        <w:rPr>
          <w:iCs/>
        </w:rPr>
        <w:t xml:space="preserve">.  </w:t>
      </w:r>
      <w:r w:rsidR="00135C48">
        <w:rPr>
          <w:iCs/>
        </w:rPr>
        <w:t>And</w:t>
      </w:r>
      <w:r w:rsidR="003C0168" w:rsidRPr="00F273F1">
        <w:rPr>
          <w:iCs/>
        </w:rPr>
        <w:t xml:space="preserve">, </w:t>
      </w:r>
      <w:r w:rsidR="00895DD7" w:rsidRPr="00F273F1">
        <w:rPr>
          <w:iCs/>
        </w:rPr>
        <w:t>as t</w:t>
      </w:r>
      <w:r w:rsidR="004E086D" w:rsidRPr="00F273F1">
        <w:rPr>
          <w:iCs/>
        </w:rPr>
        <w:t xml:space="preserve">he Department </w:t>
      </w:r>
      <w:r w:rsidR="00494241">
        <w:rPr>
          <w:iCs/>
        </w:rPr>
        <w:t xml:space="preserve">initially </w:t>
      </w:r>
      <w:r w:rsidR="004E086D" w:rsidRPr="00F273F1">
        <w:rPr>
          <w:iCs/>
        </w:rPr>
        <w:t>concede</w:t>
      </w:r>
      <w:r w:rsidR="00494241">
        <w:rPr>
          <w:iCs/>
        </w:rPr>
        <w:t>d</w:t>
      </w:r>
      <w:r w:rsidR="004E086D" w:rsidRPr="00F273F1">
        <w:rPr>
          <w:iCs/>
        </w:rPr>
        <w:t xml:space="preserve">, </w:t>
      </w:r>
      <w:r w:rsidR="00895DD7" w:rsidRPr="00F273F1">
        <w:rPr>
          <w:iCs/>
        </w:rPr>
        <w:t>it</w:t>
      </w:r>
      <w:r w:rsidR="0023431E" w:rsidRPr="00F273F1">
        <w:rPr>
          <w:iCs/>
        </w:rPr>
        <w:t>s</w:t>
      </w:r>
      <w:r w:rsidR="00895DD7" w:rsidRPr="00F273F1">
        <w:rPr>
          <w:iCs/>
        </w:rPr>
        <w:t xml:space="preserve"> </w:t>
      </w:r>
      <w:r w:rsidR="003C0168" w:rsidRPr="00F273F1">
        <w:rPr>
          <w:iCs/>
        </w:rPr>
        <w:t xml:space="preserve">regulations </w:t>
      </w:r>
      <w:r w:rsidR="00135C48">
        <w:rPr>
          <w:iCs/>
        </w:rPr>
        <w:t xml:space="preserve">do not </w:t>
      </w:r>
      <w:r w:rsidR="00895DD7" w:rsidRPr="00F273F1">
        <w:rPr>
          <w:iCs/>
        </w:rPr>
        <w:t xml:space="preserve">purport to </w:t>
      </w:r>
      <w:r w:rsidR="004E4870" w:rsidRPr="00F273F1">
        <w:rPr>
          <w:iCs/>
        </w:rPr>
        <w:t>clarify</w:t>
      </w:r>
      <w:r w:rsidR="00895DD7" w:rsidRPr="00F273F1">
        <w:rPr>
          <w:iCs/>
        </w:rPr>
        <w:t xml:space="preserve"> </w:t>
      </w:r>
      <w:r w:rsidR="00356A9D" w:rsidRPr="00F273F1">
        <w:rPr>
          <w:iCs/>
        </w:rPr>
        <w:t>which</w:t>
      </w:r>
      <w:r w:rsidR="004E4870" w:rsidRPr="00F273F1">
        <w:rPr>
          <w:iCs/>
        </w:rPr>
        <w:t xml:space="preserve"> inmates are “convicted of </w:t>
      </w:r>
      <w:r w:rsidR="00120E63">
        <w:rPr>
          <w:iCs/>
        </w:rPr>
        <w:t xml:space="preserve">a </w:t>
      </w:r>
      <w:r w:rsidR="004E4870" w:rsidRPr="00F273F1">
        <w:rPr>
          <w:iCs/>
        </w:rPr>
        <w:t xml:space="preserve">nonviolent </w:t>
      </w:r>
      <w:r w:rsidR="00F12851">
        <w:rPr>
          <w:iCs/>
        </w:rPr>
        <w:t xml:space="preserve">felony </w:t>
      </w:r>
      <w:r w:rsidR="004E4870" w:rsidRPr="00F273F1">
        <w:rPr>
          <w:iCs/>
        </w:rPr>
        <w:t xml:space="preserve">offense.”  </w:t>
      </w:r>
      <w:r w:rsidR="002E1A9A">
        <w:rPr>
          <w:iCs/>
        </w:rPr>
        <w:t xml:space="preserve">(Art. I, § 32(a)(1).)  </w:t>
      </w:r>
      <w:r w:rsidR="004E4870" w:rsidRPr="00F273F1">
        <w:rPr>
          <w:iCs/>
        </w:rPr>
        <w:t xml:space="preserve">Rather, the Department asserts a power to </w:t>
      </w:r>
      <w:r w:rsidR="00CC56C1" w:rsidRPr="00F273F1">
        <w:rPr>
          <w:iCs/>
        </w:rPr>
        <w:t>create an exception not expressly or impliedly referred to in the constitutional provisions.</w:t>
      </w:r>
      <w:r w:rsidR="00BE2E25" w:rsidRPr="00F273F1">
        <w:rPr>
          <w:iCs/>
        </w:rPr>
        <w:t xml:space="preserve">  </w:t>
      </w:r>
      <w:r w:rsidR="00B26461" w:rsidRPr="00F273F1">
        <w:rPr>
          <w:iCs/>
        </w:rPr>
        <w:t>Neither our analysis nor o</w:t>
      </w:r>
      <w:r w:rsidR="00503454" w:rsidRPr="00F273F1">
        <w:rPr>
          <w:iCs/>
        </w:rPr>
        <w:t xml:space="preserve">ur holding in </w:t>
      </w:r>
      <w:r w:rsidR="00BE2E25" w:rsidRPr="00F273F1">
        <w:rPr>
          <w:i/>
          <w:iCs/>
        </w:rPr>
        <w:t>Jones</w:t>
      </w:r>
      <w:r w:rsidR="00B26461" w:rsidRPr="00F273F1">
        <w:rPr>
          <w:i/>
          <w:iCs/>
        </w:rPr>
        <w:t xml:space="preserve"> </w:t>
      </w:r>
      <w:r w:rsidR="00356A9D" w:rsidRPr="00F273F1">
        <w:rPr>
          <w:iCs/>
        </w:rPr>
        <w:t>authorize</w:t>
      </w:r>
      <w:r w:rsidR="00B26461" w:rsidRPr="00F273F1">
        <w:rPr>
          <w:iCs/>
        </w:rPr>
        <w:t>s</w:t>
      </w:r>
      <w:r w:rsidR="00356A9D" w:rsidRPr="00F273F1">
        <w:rPr>
          <w:iCs/>
        </w:rPr>
        <w:t xml:space="preserve"> such a departure from the electorate’s command. </w:t>
      </w:r>
      <w:r w:rsidR="00A52899" w:rsidRPr="00F273F1">
        <w:rPr>
          <w:iCs/>
        </w:rPr>
        <w:t xml:space="preserve"> </w:t>
      </w:r>
    </w:p>
    <w:p w14:paraId="115A95C5" w14:textId="11E8FD7A" w:rsidR="00103F7C" w:rsidRPr="00F273F1" w:rsidRDefault="00356A9D" w:rsidP="00F273F1">
      <w:pPr>
        <w:tabs>
          <w:tab w:val="left" w:pos="720"/>
        </w:tabs>
        <w:ind w:firstLine="720"/>
        <w:rPr>
          <w:iCs/>
        </w:rPr>
      </w:pPr>
      <w:r w:rsidRPr="00F273F1">
        <w:rPr>
          <w:iCs/>
        </w:rPr>
        <w:lastRenderedPageBreak/>
        <w:t>Instead, t</w:t>
      </w:r>
      <w:r w:rsidR="001F278C" w:rsidRPr="00F273F1">
        <w:rPr>
          <w:iCs/>
        </w:rPr>
        <w:t>he framework described by the language of the constitutional</w:t>
      </w:r>
      <w:r w:rsidR="00A95A0D" w:rsidRPr="00F273F1">
        <w:rPr>
          <w:iCs/>
        </w:rPr>
        <w:t xml:space="preserve"> provision</w:t>
      </w:r>
      <w:r w:rsidR="001F278C" w:rsidRPr="00F273F1">
        <w:rPr>
          <w:iCs/>
        </w:rPr>
        <w:t xml:space="preserve"> </w:t>
      </w:r>
      <w:r w:rsidR="00257236" w:rsidRPr="00F273F1">
        <w:rPr>
          <w:iCs/>
        </w:rPr>
        <w:t xml:space="preserve">establishes </w:t>
      </w:r>
      <w:r w:rsidR="001F278C" w:rsidRPr="00F273F1">
        <w:rPr>
          <w:iCs/>
        </w:rPr>
        <w:t>a parole consideration process for “</w:t>
      </w:r>
      <w:r w:rsidR="00411E27">
        <w:rPr>
          <w:iCs/>
        </w:rPr>
        <w:t>[</w:t>
      </w:r>
      <w:r w:rsidR="001F278C" w:rsidRPr="00F273F1">
        <w:rPr>
          <w:iCs/>
        </w:rPr>
        <w:t>a</w:t>
      </w:r>
      <w:r w:rsidR="00411E27">
        <w:rPr>
          <w:iCs/>
        </w:rPr>
        <w:t>]</w:t>
      </w:r>
      <w:proofErr w:type="spellStart"/>
      <w:r w:rsidR="001F278C" w:rsidRPr="00F273F1">
        <w:rPr>
          <w:iCs/>
        </w:rPr>
        <w:t>ny</w:t>
      </w:r>
      <w:proofErr w:type="spellEnd"/>
      <w:r w:rsidR="001F278C" w:rsidRPr="00F273F1">
        <w:rPr>
          <w:iCs/>
        </w:rPr>
        <w:t xml:space="preserve"> person convicted of a nonviolent felony offense.”</w:t>
      </w:r>
      <w:r w:rsidR="00BF2313">
        <w:rPr>
          <w:iCs/>
        </w:rPr>
        <w:t xml:space="preserve">  (Art. I, § 32(a)(1).)</w:t>
      </w:r>
      <w:r w:rsidR="001F278C" w:rsidRPr="00F273F1">
        <w:rPr>
          <w:iCs/>
        </w:rPr>
        <w:t xml:space="preserve">  </w:t>
      </w:r>
      <w:r w:rsidR="008C5F10" w:rsidRPr="00F273F1">
        <w:rPr>
          <w:iCs/>
        </w:rPr>
        <w:t xml:space="preserve">Although </w:t>
      </w:r>
      <w:r w:rsidR="00A95A0D" w:rsidRPr="00F273F1">
        <w:rPr>
          <w:iCs/>
        </w:rPr>
        <w:t>the Department asserts it</w:t>
      </w:r>
      <w:r w:rsidR="00046D15" w:rsidRPr="00F273F1">
        <w:rPr>
          <w:iCs/>
        </w:rPr>
        <w:t>s regulation</w:t>
      </w:r>
      <w:r w:rsidR="00951ECE" w:rsidRPr="00F273F1">
        <w:rPr>
          <w:iCs/>
        </w:rPr>
        <w:t>s</w:t>
      </w:r>
      <w:r w:rsidR="00046D15" w:rsidRPr="00F273F1">
        <w:rPr>
          <w:iCs/>
        </w:rPr>
        <w:t xml:space="preserve"> </w:t>
      </w:r>
      <w:r w:rsidR="00A95A0D" w:rsidRPr="00F273F1">
        <w:rPr>
          <w:iCs/>
        </w:rPr>
        <w:t xml:space="preserve">merely fill up the details of that </w:t>
      </w:r>
      <w:r w:rsidR="006A6FCC" w:rsidRPr="00F273F1">
        <w:rPr>
          <w:iCs/>
        </w:rPr>
        <w:t>provision, c</w:t>
      </w:r>
      <w:r w:rsidR="001F278C" w:rsidRPr="00F273F1">
        <w:rPr>
          <w:iCs/>
        </w:rPr>
        <w:t xml:space="preserve">arving out wholesale exclusions from </w:t>
      </w:r>
      <w:r w:rsidR="006A6FCC" w:rsidRPr="00F273F1">
        <w:rPr>
          <w:iCs/>
        </w:rPr>
        <w:t>an</w:t>
      </w:r>
      <w:r w:rsidR="001F278C" w:rsidRPr="00F273F1">
        <w:rPr>
          <w:iCs/>
        </w:rPr>
        <w:t xml:space="preserve"> otherwise broad mandate “is hardly a detail.”  (</w:t>
      </w:r>
      <w:r w:rsidR="001F278C" w:rsidRPr="00F273F1">
        <w:rPr>
          <w:i/>
        </w:rPr>
        <w:t>McGhee</w:t>
      </w:r>
      <w:r w:rsidR="001F278C" w:rsidRPr="00F273F1">
        <w:rPr>
          <w:iCs/>
        </w:rPr>
        <w:t xml:space="preserve">, </w:t>
      </w:r>
      <w:r w:rsidR="001F278C" w:rsidRPr="00F273F1">
        <w:rPr>
          <w:i/>
        </w:rPr>
        <w:t>supra</w:t>
      </w:r>
      <w:r w:rsidR="001F278C" w:rsidRPr="00F273F1">
        <w:rPr>
          <w:iCs/>
        </w:rPr>
        <w:t>, 34</w:t>
      </w:r>
      <w:r w:rsidR="005426DD">
        <w:rPr>
          <w:iCs/>
        </w:rPr>
        <w:t> </w:t>
      </w:r>
      <w:r w:rsidR="001F278C" w:rsidRPr="00F273F1">
        <w:rPr>
          <w:iCs/>
        </w:rPr>
        <w:t>Cal.App.5th at p. 911.)</w:t>
      </w:r>
      <w:r w:rsidR="00881ACD">
        <w:rPr>
          <w:iCs/>
        </w:rPr>
        <w:t xml:space="preserve">  Had the drafters of Proposition 57, and by extension the voters, intended to exclude inmates </w:t>
      </w:r>
      <w:r w:rsidR="00F65F76">
        <w:rPr>
          <w:iCs/>
        </w:rPr>
        <w:t>from nonviolent offender parole consideration</w:t>
      </w:r>
      <w:r w:rsidR="00525359">
        <w:rPr>
          <w:iCs/>
        </w:rPr>
        <w:t xml:space="preserve"> based on prior or current sex offense convictions</w:t>
      </w:r>
      <w:r w:rsidR="00F65F76">
        <w:rPr>
          <w:iCs/>
        </w:rPr>
        <w:t>, it would have been a simple matter to say so explicitly.  (See, e.g., Pen. Code, §§</w:t>
      </w:r>
      <w:r w:rsidR="00D74DA7">
        <w:rPr>
          <w:iCs/>
        </w:rPr>
        <w:t> </w:t>
      </w:r>
      <w:r w:rsidR="00F65F76">
        <w:rPr>
          <w:iCs/>
        </w:rPr>
        <w:t xml:space="preserve">1170.18, </w:t>
      </w:r>
      <w:proofErr w:type="spellStart"/>
      <w:r w:rsidR="00F65F76">
        <w:rPr>
          <w:iCs/>
        </w:rPr>
        <w:t>subd</w:t>
      </w:r>
      <w:proofErr w:type="spellEnd"/>
      <w:r w:rsidR="00F65F76">
        <w:rPr>
          <w:iCs/>
        </w:rPr>
        <w:t>. (</w:t>
      </w:r>
      <w:proofErr w:type="spellStart"/>
      <w:r w:rsidR="00F65F76">
        <w:rPr>
          <w:iCs/>
        </w:rPr>
        <w:t>i</w:t>
      </w:r>
      <w:proofErr w:type="spellEnd"/>
      <w:r w:rsidR="00F65F76">
        <w:rPr>
          <w:iCs/>
        </w:rPr>
        <w:t>)</w:t>
      </w:r>
      <w:r w:rsidR="002E3328">
        <w:rPr>
          <w:iCs/>
        </w:rPr>
        <w:t xml:space="preserve"> [</w:t>
      </w:r>
      <w:r w:rsidR="00AB3CCA">
        <w:rPr>
          <w:iCs/>
        </w:rPr>
        <w:t>statutory provision enacted by Prop</w:t>
      </w:r>
      <w:r w:rsidR="002F109E">
        <w:rPr>
          <w:iCs/>
        </w:rPr>
        <w:t>.</w:t>
      </w:r>
      <w:r w:rsidR="00AB3CCA">
        <w:rPr>
          <w:iCs/>
        </w:rPr>
        <w:t xml:space="preserve"> 47 </w:t>
      </w:r>
      <w:r w:rsidR="002E3328">
        <w:rPr>
          <w:iCs/>
        </w:rPr>
        <w:t>“</w:t>
      </w:r>
      <w:r w:rsidR="00F7112A">
        <w:rPr>
          <w:iCs/>
        </w:rPr>
        <w:t xml:space="preserve">does not apply to a person who has one or more prior convictions . . . for an offense requiring registration pursuant to subdivision (c) of Section 290”]; </w:t>
      </w:r>
      <w:r w:rsidR="009B42BF">
        <w:rPr>
          <w:iCs/>
        </w:rPr>
        <w:t xml:space="preserve">1170.12, </w:t>
      </w:r>
      <w:proofErr w:type="spellStart"/>
      <w:r w:rsidR="009B42BF">
        <w:rPr>
          <w:iCs/>
        </w:rPr>
        <w:t>subd</w:t>
      </w:r>
      <w:proofErr w:type="spellEnd"/>
      <w:r w:rsidR="009B42BF">
        <w:rPr>
          <w:iCs/>
        </w:rPr>
        <w:t>. (c)(2)</w:t>
      </w:r>
      <w:r w:rsidR="002F109E">
        <w:rPr>
          <w:iCs/>
        </w:rPr>
        <w:t>(C)(ii)</w:t>
      </w:r>
      <w:r w:rsidR="009B42BF">
        <w:rPr>
          <w:iCs/>
        </w:rPr>
        <w:t xml:space="preserve"> [statutory provision enacted by Prop</w:t>
      </w:r>
      <w:r w:rsidR="002F109E">
        <w:rPr>
          <w:iCs/>
        </w:rPr>
        <w:t>.</w:t>
      </w:r>
      <w:r w:rsidR="009B42BF">
        <w:rPr>
          <w:iCs/>
        </w:rPr>
        <w:t xml:space="preserve"> 36 excludes</w:t>
      </w:r>
      <w:r w:rsidR="00AF5621">
        <w:rPr>
          <w:iCs/>
        </w:rPr>
        <w:t xml:space="preserve"> offenders whose “current offense is a felony sex offense . . . that results in mandatory registration as a sex offender pursuant to subdivision (c) of Section 290”]; 2933.05, </w:t>
      </w:r>
      <w:proofErr w:type="spellStart"/>
      <w:r w:rsidR="00AF5621">
        <w:rPr>
          <w:iCs/>
        </w:rPr>
        <w:t>subd</w:t>
      </w:r>
      <w:proofErr w:type="spellEnd"/>
      <w:r w:rsidR="00AF5621">
        <w:rPr>
          <w:iCs/>
        </w:rPr>
        <w:t>. (e)(3) [statute enacted by Legislature excludes from custody credit provision “</w:t>
      </w:r>
      <w:r w:rsidR="002F109E">
        <w:rPr>
          <w:iCs/>
        </w:rPr>
        <w:t>[a]</w:t>
      </w:r>
      <w:proofErr w:type="spellStart"/>
      <w:r w:rsidR="00AF5621">
        <w:rPr>
          <w:iCs/>
        </w:rPr>
        <w:t>ny</w:t>
      </w:r>
      <w:proofErr w:type="spellEnd"/>
      <w:r w:rsidR="00AF5621">
        <w:rPr>
          <w:iCs/>
        </w:rPr>
        <w:t xml:space="preserve"> person required to register as a sex offender”].)</w:t>
      </w:r>
      <w:r w:rsidR="002D6FF8">
        <w:rPr>
          <w:iCs/>
        </w:rPr>
        <w:t xml:space="preserve">  As it </w:t>
      </w:r>
      <w:r w:rsidR="002A20A4">
        <w:rPr>
          <w:iCs/>
        </w:rPr>
        <w:t>stands</w:t>
      </w:r>
      <w:r w:rsidR="002D6FF8">
        <w:rPr>
          <w:iCs/>
        </w:rPr>
        <w:t xml:space="preserve">, </w:t>
      </w:r>
      <w:r w:rsidR="0017562D" w:rsidRPr="00F273F1">
        <w:rPr>
          <w:iCs/>
        </w:rPr>
        <w:t>the initiative</w:t>
      </w:r>
      <w:r w:rsidR="002A20A4">
        <w:rPr>
          <w:iCs/>
        </w:rPr>
        <w:t>’s language</w:t>
      </w:r>
      <w:r w:rsidR="0017562D" w:rsidRPr="00F273F1">
        <w:rPr>
          <w:iCs/>
        </w:rPr>
        <w:t xml:space="preserve"> </w:t>
      </w:r>
      <w:r w:rsidR="002D6FF8">
        <w:rPr>
          <w:iCs/>
        </w:rPr>
        <w:t xml:space="preserve">provides no indication </w:t>
      </w:r>
      <w:r w:rsidR="0017562D" w:rsidRPr="00F273F1">
        <w:rPr>
          <w:iCs/>
        </w:rPr>
        <w:t xml:space="preserve">that the voters intended to allow the Department to create </w:t>
      </w:r>
      <w:r w:rsidR="002F48BF">
        <w:rPr>
          <w:iCs/>
        </w:rPr>
        <w:t>a wholesale exclusion</w:t>
      </w:r>
      <w:r w:rsidR="0017562D" w:rsidRPr="00F273F1">
        <w:rPr>
          <w:iCs/>
        </w:rPr>
        <w:t xml:space="preserve"> </w:t>
      </w:r>
      <w:r w:rsidR="00DE27D2">
        <w:rPr>
          <w:iCs/>
        </w:rPr>
        <w:t xml:space="preserve">from parole consideration </w:t>
      </w:r>
      <w:r w:rsidR="0017562D" w:rsidRPr="00F273F1">
        <w:rPr>
          <w:iCs/>
        </w:rPr>
        <w:t xml:space="preserve">based on an inmate’s </w:t>
      </w:r>
      <w:r w:rsidR="00357D94">
        <w:rPr>
          <w:iCs/>
        </w:rPr>
        <w:t>sex offense convictions</w:t>
      </w:r>
      <w:r w:rsidR="00DE27D2">
        <w:rPr>
          <w:iCs/>
        </w:rPr>
        <w:t xml:space="preserve"> when the </w:t>
      </w:r>
      <w:r w:rsidR="00AE13C3">
        <w:rPr>
          <w:iCs/>
        </w:rPr>
        <w:t xml:space="preserve">inmate was </w:t>
      </w:r>
      <w:r w:rsidR="004B5416">
        <w:rPr>
          <w:iCs/>
        </w:rPr>
        <w:t>convicted of</w:t>
      </w:r>
      <w:r w:rsidR="00AE13C3">
        <w:rPr>
          <w:iCs/>
        </w:rPr>
        <w:t xml:space="preserve"> a</w:t>
      </w:r>
      <w:r w:rsidR="004B5416">
        <w:rPr>
          <w:iCs/>
        </w:rPr>
        <w:t xml:space="preserve"> nonviolent felon</w:t>
      </w:r>
      <w:r w:rsidR="00AE13C3">
        <w:rPr>
          <w:iCs/>
        </w:rPr>
        <w:t>y</w:t>
      </w:r>
      <w:r w:rsidR="008B1786">
        <w:rPr>
          <w:iCs/>
        </w:rPr>
        <w:t>.</w:t>
      </w:r>
      <w:r w:rsidR="0017562D" w:rsidRPr="00F273F1">
        <w:rPr>
          <w:iCs/>
        </w:rPr>
        <w:t xml:space="preserve"> </w:t>
      </w:r>
      <w:r w:rsidR="008B1786">
        <w:rPr>
          <w:iCs/>
        </w:rPr>
        <w:t xml:space="preserve"> W</w:t>
      </w:r>
      <w:r w:rsidR="0017562D" w:rsidRPr="00F273F1">
        <w:rPr>
          <w:iCs/>
        </w:rPr>
        <w:t xml:space="preserve">e </w:t>
      </w:r>
      <w:r w:rsidR="00057787" w:rsidRPr="00F273F1">
        <w:rPr>
          <w:iCs/>
        </w:rPr>
        <w:t>decline to</w:t>
      </w:r>
      <w:r w:rsidR="0017562D" w:rsidRPr="00F273F1">
        <w:rPr>
          <w:iCs/>
        </w:rPr>
        <w:t xml:space="preserve"> </w:t>
      </w:r>
      <w:r w:rsidR="00A71FA8" w:rsidRPr="00F273F1">
        <w:rPr>
          <w:iCs/>
        </w:rPr>
        <w:t>create one ourselves.</w:t>
      </w:r>
      <w:r w:rsidR="00EA10CD">
        <w:rPr>
          <w:rStyle w:val="FootnoteReference"/>
        </w:rPr>
        <w:footnoteReference w:id="14"/>
      </w:r>
    </w:p>
    <w:p w14:paraId="7C3BD06F" w14:textId="57A99CEA" w:rsidR="00974E67" w:rsidRPr="00F273F1" w:rsidRDefault="00974E67" w:rsidP="00F273F1">
      <w:pPr>
        <w:pStyle w:val="Heading2"/>
      </w:pPr>
      <w:r w:rsidRPr="00F273F1">
        <w:lastRenderedPageBreak/>
        <w:t xml:space="preserve">F.  </w:t>
      </w:r>
      <w:r w:rsidR="006634F5" w:rsidRPr="00F273F1">
        <w:t>Consideration of the Ballot Materials</w:t>
      </w:r>
    </w:p>
    <w:p w14:paraId="471DD316" w14:textId="62ADC676" w:rsidR="00BB2ABA" w:rsidRPr="003B4F02" w:rsidRDefault="00D2423D" w:rsidP="00F273F1">
      <w:pPr>
        <w:tabs>
          <w:tab w:val="left" w:pos="720"/>
        </w:tabs>
        <w:ind w:firstLine="720"/>
      </w:pPr>
      <w:r w:rsidRPr="00F273F1">
        <w:t>When</w:t>
      </w:r>
      <w:r w:rsidR="008E6EF1" w:rsidRPr="00F273F1">
        <w:t xml:space="preserve"> the constitutional text “is unambiguous and provides a clear answer, we need go no further.”  (See </w:t>
      </w:r>
      <w:r w:rsidR="008E6EF1" w:rsidRPr="00F273F1">
        <w:rPr>
          <w:i/>
          <w:iCs/>
        </w:rPr>
        <w:t>Microsoft Corp. v. Franchise Tax Bd.</w:t>
      </w:r>
      <w:r w:rsidR="008E6EF1" w:rsidRPr="00F273F1">
        <w:t xml:space="preserve"> (2006) 39 Cal.4th 750, 758.)  </w:t>
      </w:r>
      <w:proofErr w:type="gramStart"/>
      <w:r w:rsidR="00524944" w:rsidRPr="00F273F1">
        <w:t>Consideration of the ballot materials,</w:t>
      </w:r>
      <w:proofErr w:type="gramEnd"/>
      <w:r w:rsidR="00524944" w:rsidRPr="00F273F1">
        <w:t xml:space="preserve"> however, </w:t>
      </w:r>
      <w:r w:rsidR="005E10C5" w:rsidRPr="00F273F1">
        <w:t xml:space="preserve">only buttresses our reading of the constitutional text in this case.  (See </w:t>
      </w:r>
      <w:proofErr w:type="spellStart"/>
      <w:r w:rsidR="005E10C5" w:rsidRPr="00F273F1">
        <w:rPr>
          <w:i/>
          <w:iCs/>
        </w:rPr>
        <w:t>Scher</w:t>
      </w:r>
      <w:proofErr w:type="spellEnd"/>
      <w:r w:rsidR="005E10C5" w:rsidRPr="00F273F1">
        <w:rPr>
          <w:i/>
          <w:iCs/>
        </w:rPr>
        <w:t xml:space="preserve"> v. Burke</w:t>
      </w:r>
      <w:r w:rsidR="005E10C5" w:rsidRPr="00F273F1">
        <w:t xml:space="preserve"> (2017) 3 Cal.5th 136,</w:t>
      </w:r>
      <w:r w:rsidR="00E7344F">
        <w:t xml:space="preserve"> </w:t>
      </w:r>
      <w:r w:rsidR="00FD245E">
        <w:t>149 [legislative history and historical circumstances may buttress reading of a statute</w:t>
      </w:r>
      <w:r w:rsidR="00FD245E" w:rsidRPr="00FD245E">
        <w:t xml:space="preserve"> </w:t>
      </w:r>
      <w:r w:rsidR="00FD245E">
        <w:t>and are entitled to “some weight</w:t>
      </w:r>
      <w:r w:rsidR="00692950">
        <w:t>,</w:t>
      </w:r>
      <w:r w:rsidR="00FD245E">
        <w:t>” but are “by no means dispositive”]</w:t>
      </w:r>
      <w:r w:rsidR="005E10C5" w:rsidRPr="00F273F1">
        <w:t xml:space="preserve">.) </w:t>
      </w:r>
      <w:r w:rsidR="00524944" w:rsidRPr="00F273F1">
        <w:t xml:space="preserve"> </w:t>
      </w:r>
    </w:p>
    <w:p w14:paraId="083A7346" w14:textId="69208D16" w:rsidR="00AD10EB" w:rsidRPr="00F273F1" w:rsidRDefault="00AD10EB" w:rsidP="00C10714">
      <w:pPr>
        <w:pStyle w:val="ListParagraph"/>
        <w:numPr>
          <w:ilvl w:val="0"/>
          <w:numId w:val="22"/>
        </w:numPr>
        <w:tabs>
          <w:tab w:val="left" w:pos="720"/>
        </w:tabs>
        <w:rPr>
          <w:i/>
          <w:iCs/>
        </w:rPr>
      </w:pPr>
      <w:r w:rsidRPr="00F273F1">
        <w:rPr>
          <w:i/>
          <w:iCs/>
        </w:rPr>
        <w:t xml:space="preserve">The </w:t>
      </w:r>
      <w:r w:rsidR="00692950">
        <w:rPr>
          <w:i/>
          <w:iCs/>
        </w:rPr>
        <w:t>b</w:t>
      </w:r>
      <w:r w:rsidRPr="00F273F1">
        <w:rPr>
          <w:i/>
          <w:iCs/>
        </w:rPr>
        <w:t xml:space="preserve">allot </w:t>
      </w:r>
      <w:r w:rsidR="00692950">
        <w:rPr>
          <w:i/>
          <w:iCs/>
        </w:rPr>
        <w:t>m</w:t>
      </w:r>
      <w:r w:rsidRPr="00F273F1">
        <w:rPr>
          <w:i/>
          <w:iCs/>
        </w:rPr>
        <w:t>aterials</w:t>
      </w:r>
      <w:r w:rsidR="006634F5" w:rsidRPr="00F273F1">
        <w:rPr>
          <w:i/>
          <w:iCs/>
        </w:rPr>
        <w:t xml:space="preserve"> </w:t>
      </w:r>
      <w:r w:rsidR="00692950">
        <w:rPr>
          <w:i/>
          <w:iCs/>
        </w:rPr>
        <w:t>p</w:t>
      </w:r>
      <w:r w:rsidR="006634F5" w:rsidRPr="00F273F1">
        <w:rPr>
          <w:i/>
          <w:iCs/>
        </w:rPr>
        <w:t xml:space="preserve">resented to the </w:t>
      </w:r>
      <w:r w:rsidR="00692950">
        <w:rPr>
          <w:i/>
          <w:iCs/>
        </w:rPr>
        <w:t>v</w:t>
      </w:r>
      <w:r w:rsidR="006634F5" w:rsidRPr="00F273F1">
        <w:rPr>
          <w:i/>
          <w:iCs/>
        </w:rPr>
        <w:t>oters</w:t>
      </w:r>
    </w:p>
    <w:p w14:paraId="4564F50F" w14:textId="463EA1F0" w:rsidR="00AD10EB" w:rsidRPr="00F273F1" w:rsidRDefault="00AD10EB" w:rsidP="00F273F1">
      <w:pPr>
        <w:tabs>
          <w:tab w:val="left" w:pos="720"/>
        </w:tabs>
        <w:ind w:firstLine="720"/>
      </w:pPr>
      <w:r w:rsidRPr="00F273F1">
        <w:t xml:space="preserve">The ballot materials presented to the voters consisted of three sections:  the </w:t>
      </w:r>
      <w:r w:rsidR="00E7344F">
        <w:t>o</w:t>
      </w:r>
      <w:r w:rsidRPr="00F273F1">
        <w:t xml:space="preserve">fficial </w:t>
      </w:r>
      <w:r w:rsidR="00E7344F">
        <w:t>t</w:t>
      </w:r>
      <w:r w:rsidRPr="00F273F1">
        <w:t xml:space="preserve">itle and </w:t>
      </w:r>
      <w:r w:rsidR="00E7344F">
        <w:t>s</w:t>
      </w:r>
      <w:r w:rsidR="00E7344F" w:rsidRPr="00F273F1">
        <w:t xml:space="preserve">ummary </w:t>
      </w:r>
      <w:r w:rsidRPr="00F273F1">
        <w:t xml:space="preserve">prepared by the Attorney General, the </w:t>
      </w:r>
      <w:r w:rsidR="00E7344F">
        <w:t>a</w:t>
      </w:r>
      <w:r w:rsidR="00E7344F" w:rsidRPr="00F273F1">
        <w:t xml:space="preserve">nalysis </w:t>
      </w:r>
      <w:r w:rsidRPr="00F273F1">
        <w:t xml:space="preserve">of the </w:t>
      </w:r>
      <w:r w:rsidR="00B6311F">
        <w:t>L</w:t>
      </w:r>
      <w:r w:rsidR="00E7344F" w:rsidRPr="00F273F1">
        <w:t xml:space="preserve">egislative </w:t>
      </w:r>
      <w:r w:rsidR="00B6311F">
        <w:t>A</w:t>
      </w:r>
      <w:r w:rsidR="00E7344F" w:rsidRPr="00F273F1">
        <w:t>nalyst</w:t>
      </w:r>
      <w:r w:rsidRPr="00F273F1">
        <w:t xml:space="preserve">, and the </w:t>
      </w:r>
      <w:r w:rsidR="00E7344F">
        <w:t>a</w:t>
      </w:r>
      <w:r w:rsidR="00E7344F" w:rsidRPr="00F273F1">
        <w:t xml:space="preserve">rguments </w:t>
      </w:r>
      <w:r w:rsidRPr="00F273F1">
        <w:t>in favor</w:t>
      </w:r>
      <w:r w:rsidR="00D526E2">
        <w:t xml:space="preserve"> of</w:t>
      </w:r>
      <w:r w:rsidRPr="00F273F1">
        <w:t xml:space="preserve"> and against the proposition (an argument in favor by the proponents followed by a rebuttal by the opponents, and an argument against by the opponents followed by a rebuttal by the proponents).  </w:t>
      </w:r>
    </w:p>
    <w:p w14:paraId="4D1A15DE" w14:textId="023462B1" w:rsidR="00AD10EB" w:rsidRPr="00F273F1" w:rsidRDefault="00AD10EB" w:rsidP="00F273F1">
      <w:pPr>
        <w:tabs>
          <w:tab w:val="left" w:pos="720"/>
        </w:tabs>
        <w:ind w:firstLine="720"/>
      </w:pPr>
      <w:r w:rsidRPr="00F273F1">
        <w:t xml:space="preserve">The </w:t>
      </w:r>
      <w:r w:rsidR="00E7344F">
        <w:t>o</w:t>
      </w:r>
      <w:r w:rsidR="00E7344F" w:rsidRPr="00F273F1">
        <w:t xml:space="preserve">fficial </w:t>
      </w:r>
      <w:r w:rsidR="00E7344F">
        <w:t>t</w:t>
      </w:r>
      <w:r w:rsidR="00E7344F" w:rsidRPr="00F273F1">
        <w:t xml:space="preserve">itle </w:t>
      </w:r>
      <w:r w:rsidRPr="00F273F1">
        <w:t xml:space="preserve">and </w:t>
      </w:r>
      <w:r w:rsidR="00E7344F">
        <w:t>s</w:t>
      </w:r>
      <w:r w:rsidR="00E7344F" w:rsidRPr="00F273F1">
        <w:t xml:space="preserve">ummary </w:t>
      </w:r>
      <w:r w:rsidRPr="00F273F1">
        <w:t>described the parole provisions of Proposition 57 as follows:</w:t>
      </w:r>
      <w:r w:rsidR="000A12A5">
        <w:t xml:space="preserve">  </w:t>
      </w:r>
      <w:r w:rsidRPr="00F273F1">
        <w:t xml:space="preserve">“Allows parole consideration for persons convicted of nonviolent felonies, upon completion of prison term for their primary offense as defined.  [¶] . . . Requires Department of Corrections and Rehabilitation to adopt regulations to implement new parole and sentence credit provisions and certify they enhance public safety.”  (Voter </w:t>
      </w:r>
      <w:r w:rsidRPr="00F273F1">
        <w:lastRenderedPageBreak/>
        <w:t>Information Guide, Gen. Elec.</w:t>
      </w:r>
      <w:r w:rsidR="004735D7">
        <w:t xml:space="preserve">, </w:t>
      </w:r>
      <w:r w:rsidR="004735D7">
        <w:rPr>
          <w:i/>
          <w:iCs/>
        </w:rPr>
        <w:t>supra</w:t>
      </w:r>
      <w:r w:rsidR="004735D7">
        <w:t xml:space="preserve">, </w:t>
      </w:r>
      <w:r w:rsidRPr="00F273F1">
        <w:t>Official Title and Summary, p.</w:t>
      </w:r>
      <w:r w:rsidR="00D122B1">
        <w:t> </w:t>
      </w:r>
      <w:r w:rsidRPr="00F273F1">
        <w:t>54.)</w:t>
      </w:r>
    </w:p>
    <w:p w14:paraId="7CC5C22E" w14:textId="7DD79C27" w:rsidR="00AD10EB" w:rsidRPr="00F273F1" w:rsidRDefault="00AD10EB" w:rsidP="00F273F1">
      <w:pPr>
        <w:tabs>
          <w:tab w:val="left" w:pos="720"/>
        </w:tabs>
        <w:ind w:firstLine="720"/>
      </w:pPr>
      <w:r w:rsidRPr="00F273F1">
        <w:t xml:space="preserve">The </w:t>
      </w:r>
      <w:r w:rsidR="004735D7">
        <w:t>a</w:t>
      </w:r>
      <w:r w:rsidRPr="00F273F1">
        <w:t xml:space="preserve">nalysis by the Legislative Analyst provided a broad description of the then-existing sentencing and parole consideration scheme.  Notably, the </w:t>
      </w:r>
      <w:r w:rsidR="00B6311F">
        <w:t>a</w:t>
      </w:r>
      <w:r w:rsidRPr="00F273F1">
        <w:t xml:space="preserve">nalysis described </w:t>
      </w:r>
      <w:r w:rsidR="00F01FBF" w:rsidRPr="00F273F1">
        <w:t xml:space="preserve">a </w:t>
      </w:r>
      <w:r w:rsidRPr="00F273F1">
        <w:t xml:space="preserve">parole process </w:t>
      </w:r>
      <w:r w:rsidR="000B78BF" w:rsidRPr="00F273F1">
        <w:t xml:space="preserve">implemented by the Department following the February 2014 federal court order in </w:t>
      </w:r>
      <w:r w:rsidR="000B78BF" w:rsidRPr="00F273F1">
        <w:rPr>
          <w:i/>
          <w:iCs/>
        </w:rPr>
        <w:t>Coleman</w:t>
      </w:r>
      <w:r w:rsidR="000B78BF" w:rsidRPr="00F273F1">
        <w:t>/</w:t>
      </w:r>
      <w:r w:rsidR="000B78BF" w:rsidRPr="00F273F1">
        <w:rPr>
          <w:i/>
          <w:iCs/>
        </w:rPr>
        <w:t>Plata</w:t>
      </w:r>
      <w:r w:rsidR="000B78BF" w:rsidRPr="00F273F1">
        <w:t xml:space="preserve"> </w:t>
      </w:r>
      <w:r w:rsidR="001A6CFF" w:rsidRPr="00F273F1">
        <w:t xml:space="preserve">known as </w:t>
      </w:r>
      <w:r w:rsidR="00B01AC1">
        <w:t>n</w:t>
      </w:r>
      <w:r w:rsidR="00B6311F" w:rsidRPr="00F273F1">
        <w:t xml:space="preserve">onviolent </w:t>
      </w:r>
      <w:r w:rsidR="00B01AC1">
        <w:t>s</w:t>
      </w:r>
      <w:r w:rsidR="001A6CFF" w:rsidRPr="00F273F1">
        <w:t xml:space="preserve">econd </w:t>
      </w:r>
      <w:r w:rsidR="00B01AC1">
        <w:t>s</w:t>
      </w:r>
      <w:r w:rsidR="001A6CFF" w:rsidRPr="00F273F1">
        <w:t xml:space="preserve">trike </w:t>
      </w:r>
      <w:r w:rsidR="00B01AC1">
        <w:t>o</w:t>
      </w:r>
      <w:r w:rsidR="001A6CFF" w:rsidRPr="00F273F1">
        <w:t>ffender parole</w:t>
      </w:r>
      <w:r w:rsidRPr="00F273F1">
        <w:t>.</w:t>
      </w:r>
      <w:r w:rsidRPr="00F273F1">
        <w:rPr>
          <w:rStyle w:val="FootnoteReference"/>
        </w:rPr>
        <w:footnoteReference w:id="15"/>
      </w:r>
      <w:r w:rsidRPr="00F273F1">
        <w:t xml:space="preserve">  The </w:t>
      </w:r>
      <w:r w:rsidR="00B6311F">
        <w:t>a</w:t>
      </w:r>
      <w:r w:rsidR="00B6311F" w:rsidRPr="00F273F1">
        <w:t xml:space="preserve">nalysis </w:t>
      </w:r>
      <w:r w:rsidRPr="00F273F1">
        <w:t xml:space="preserve">stated:  “Individuals who receive a determinate sentence do not need a parole consideration hearing to be released from prison at the end of their sentence.  However, </w:t>
      </w:r>
      <w:proofErr w:type="gramStart"/>
      <w:r w:rsidRPr="00F273F1">
        <w:t>some of</w:t>
      </w:r>
      <w:proofErr w:type="gramEnd"/>
      <w:r w:rsidRPr="00F273F1">
        <w:t xml:space="preserve"> these individuals currently are eligible for parole consideration hearings before they have served their entire sentence.  For example, certain individuals who have not been convicted of violent felonies are currently eligible for parole consideration after they have served half of their prison sentence.  This was one of several measures put in place by a federal court to reduce the state’s prison population.”  (Voter Information Guide, Gen. Elec.</w:t>
      </w:r>
      <w:r w:rsidR="006861FD">
        <w:t xml:space="preserve">, </w:t>
      </w:r>
      <w:r w:rsidR="006861FD">
        <w:rPr>
          <w:i/>
          <w:iCs/>
        </w:rPr>
        <w:t>supra</w:t>
      </w:r>
      <w:r w:rsidR="006861FD">
        <w:t>,</w:t>
      </w:r>
      <w:r w:rsidRPr="00F273F1">
        <w:t xml:space="preserve"> </w:t>
      </w:r>
      <w:r w:rsidR="006861FD">
        <w:t>a</w:t>
      </w:r>
      <w:r w:rsidRPr="00F273F1">
        <w:t xml:space="preserve">nalysis </w:t>
      </w:r>
      <w:r w:rsidR="006861FD">
        <w:t xml:space="preserve">of Prop. 57 </w:t>
      </w:r>
      <w:r w:rsidRPr="00F273F1">
        <w:t>by Legis</w:t>
      </w:r>
      <w:r w:rsidR="006861FD">
        <w:t>.</w:t>
      </w:r>
      <w:r w:rsidRPr="00F273F1">
        <w:t xml:space="preserve"> Analyst, p.</w:t>
      </w:r>
      <w:r w:rsidR="005426DD">
        <w:t> </w:t>
      </w:r>
      <w:r w:rsidRPr="00F273F1">
        <w:t xml:space="preserve">54.) </w:t>
      </w:r>
    </w:p>
    <w:p w14:paraId="49B76B6D" w14:textId="22F24152" w:rsidR="00AD10EB" w:rsidRPr="00F273F1" w:rsidRDefault="00AD10EB" w:rsidP="00F273F1">
      <w:pPr>
        <w:tabs>
          <w:tab w:val="left" w:pos="720"/>
        </w:tabs>
        <w:ind w:firstLine="720"/>
      </w:pPr>
      <w:r w:rsidRPr="00F273F1">
        <w:t xml:space="preserve">The </w:t>
      </w:r>
      <w:r w:rsidR="00411E27">
        <w:t>a</w:t>
      </w:r>
      <w:r w:rsidRPr="00F273F1">
        <w:t>nalysis then described the changes to the parole system that would result from the passage of Proposition</w:t>
      </w:r>
      <w:r w:rsidR="005426DD">
        <w:t> </w:t>
      </w:r>
      <w:r w:rsidRPr="00F273F1">
        <w:t xml:space="preserve">57.  </w:t>
      </w:r>
      <w:r w:rsidR="000D551D">
        <w:t>It</w:t>
      </w:r>
      <w:r w:rsidR="001F4B27">
        <w:t> </w:t>
      </w:r>
      <w:r w:rsidRPr="00F273F1">
        <w:t>stated that the initiative “changes the State Constitution to make individuals who are convicted of ‘nonviolent felony’ offenses eligible for parole consideration after serving the full prison term for their primary offense.”  (Voter Information Guide, Gen. Elec.</w:t>
      </w:r>
      <w:r w:rsidR="006861FD">
        <w:t xml:space="preserve">, </w:t>
      </w:r>
      <w:r w:rsidR="006861FD">
        <w:rPr>
          <w:i/>
          <w:iCs/>
        </w:rPr>
        <w:t>supra</w:t>
      </w:r>
      <w:r w:rsidR="006861FD">
        <w:t>, a</w:t>
      </w:r>
      <w:r w:rsidRPr="00F273F1">
        <w:t>nalysis</w:t>
      </w:r>
      <w:r w:rsidR="00242F14">
        <w:t xml:space="preserve"> of Prop. 57</w:t>
      </w:r>
      <w:r w:rsidRPr="00F273F1">
        <w:t xml:space="preserve"> by Legis</w:t>
      </w:r>
      <w:r w:rsidR="006861FD">
        <w:t xml:space="preserve">. </w:t>
      </w:r>
      <w:r w:rsidRPr="00F273F1">
        <w:t xml:space="preserve">Analyst, </w:t>
      </w:r>
      <w:r w:rsidRPr="00F273F1">
        <w:lastRenderedPageBreak/>
        <w:t>p.</w:t>
      </w:r>
      <w:r w:rsidR="005426DD">
        <w:t> </w:t>
      </w:r>
      <w:r w:rsidRPr="00F273F1">
        <w:t xml:space="preserve">56.)  The </w:t>
      </w:r>
      <w:r w:rsidR="00242F14">
        <w:t>a</w:t>
      </w:r>
      <w:r w:rsidRPr="00F273F1">
        <w:t>nalysis noted that “[a]</w:t>
      </w:r>
      <w:proofErr w:type="spellStart"/>
      <w:r w:rsidRPr="00F273F1">
        <w:t>lthough</w:t>
      </w:r>
      <w:proofErr w:type="spellEnd"/>
      <w:r w:rsidRPr="00F273F1">
        <w:t xml:space="preserve"> the measure and current law do not specify which felony crimes are defined as nonviolent, this analysis assumes a nonviolent felony offense would include any felony offense that is not specifically defined in statute as violent.”  (</w:t>
      </w:r>
      <w:r w:rsidRPr="00F273F1">
        <w:rPr>
          <w:i/>
          <w:iCs/>
        </w:rPr>
        <w:t>Ibid</w:t>
      </w:r>
      <w:r w:rsidRPr="00F273F1">
        <w:t xml:space="preserve">.)  </w:t>
      </w:r>
      <w:r w:rsidR="000D551D">
        <w:t>It</w:t>
      </w:r>
      <w:r w:rsidRPr="00F273F1">
        <w:t xml:space="preserve"> also described the anticipated fiscal effects of the initiative</w:t>
      </w:r>
      <w:r w:rsidR="00612E7C">
        <w:t xml:space="preserve"> </w:t>
      </w:r>
      <w:r w:rsidRPr="00F273F1">
        <w:t>“[b]</w:t>
      </w:r>
      <w:proofErr w:type="spellStart"/>
      <w:r w:rsidRPr="00F273F1">
        <w:t>ased</w:t>
      </w:r>
      <w:proofErr w:type="spellEnd"/>
      <w:r w:rsidRPr="00F273F1">
        <w:t xml:space="preserve"> on recent [Board of Parole Hearings] experience with parole consideration for certain nonviolent offenders,” pursuant to the federal court order.  (</w:t>
      </w:r>
      <w:r w:rsidRPr="00F273F1">
        <w:rPr>
          <w:i/>
          <w:iCs/>
        </w:rPr>
        <w:t>Ibid</w:t>
      </w:r>
      <w:r w:rsidRPr="00F273F1">
        <w:t xml:space="preserve">.)  </w:t>
      </w:r>
      <w:r w:rsidR="00612E7C">
        <w:t xml:space="preserve">Finally, the </w:t>
      </w:r>
      <w:r w:rsidR="00242F14">
        <w:t xml:space="preserve">analysis </w:t>
      </w:r>
      <w:r w:rsidRPr="00F273F1">
        <w:t>estimated that “the ongoing fiscal impact of this provision would likely be state savings in the tens of millions of dollars annually.  These savings would be offset somewhat by additional costs for [the Board of Parole Hearings] to conduct more parole considerations.”  (</w:t>
      </w:r>
      <w:r w:rsidRPr="00F273F1">
        <w:rPr>
          <w:i/>
          <w:iCs/>
        </w:rPr>
        <w:t>Ibid</w:t>
      </w:r>
      <w:r w:rsidRPr="00F273F1">
        <w:t xml:space="preserve">.)  </w:t>
      </w:r>
    </w:p>
    <w:p w14:paraId="1CA1133C" w14:textId="16EAA6CA" w:rsidR="00AD10EB" w:rsidRPr="00F273F1" w:rsidRDefault="00612E7C" w:rsidP="00F273F1">
      <w:pPr>
        <w:tabs>
          <w:tab w:val="left" w:pos="720"/>
        </w:tabs>
        <w:ind w:firstLine="720"/>
      </w:pPr>
      <w:proofErr w:type="gramStart"/>
      <w:r>
        <w:t>Ultimately</w:t>
      </w:r>
      <w:r w:rsidR="00AD10EB" w:rsidRPr="00F273F1">
        <w:t>, the</w:t>
      </w:r>
      <w:proofErr w:type="gramEnd"/>
      <w:r w:rsidR="00AD10EB" w:rsidRPr="00F273F1">
        <w:t xml:space="preserve"> </w:t>
      </w:r>
      <w:r w:rsidR="00242F14">
        <w:t>a</w:t>
      </w:r>
      <w:r w:rsidR="00242F14" w:rsidRPr="00F273F1">
        <w:t xml:space="preserve">rguments </w:t>
      </w:r>
      <w:r w:rsidR="000B78BF">
        <w:t xml:space="preserve">for </w:t>
      </w:r>
      <w:r w:rsidR="00AD10EB" w:rsidRPr="00F273F1">
        <w:t xml:space="preserve">and against the </w:t>
      </w:r>
      <w:r w:rsidR="00242F14">
        <w:t>p</w:t>
      </w:r>
      <w:r w:rsidR="00242F14" w:rsidRPr="00F273F1">
        <w:t xml:space="preserve">roposition </w:t>
      </w:r>
      <w:r w:rsidR="00AD10EB" w:rsidRPr="00F273F1">
        <w:t>were presented to the voters.  The proponents first urged that the initiative would allow “parole consideration for people with non-violent convictions who complete the full prison term for their primary offense.”  (Voter Information Guide, Gen. Elec.</w:t>
      </w:r>
      <w:r w:rsidR="00242F14">
        <w:t xml:space="preserve">, </w:t>
      </w:r>
      <w:r w:rsidR="00242F14">
        <w:rPr>
          <w:i/>
          <w:iCs/>
        </w:rPr>
        <w:t>supra</w:t>
      </w:r>
      <w:r w:rsidR="00242F14">
        <w:t>, a</w:t>
      </w:r>
      <w:r w:rsidR="00AD10EB" w:rsidRPr="00F273F1">
        <w:t xml:space="preserve">rgument in </w:t>
      </w:r>
      <w:r w:rsidR="00242F14">
        <w:t>f</w:t>
      </w:r>
      <w:r w:rsidR="00242F14" w:rsidRPr="00F273F1">
        <w:t xml:space="preserve">avor </w:t>
      </w:r>
      <w:r w:rsidR="00AD10EB" w:rsidRPr="00F273F1">
        <w:t>of Prop</w:t>
      </w:r>
      <w:r w:rsidR="00242F14">
        <w:t>.</w:t>
      </w:r>
      <w:r w:rsidR="00AD10EB" w:rsidRPr="00F273F1">
        <w:t xml:space="preserve"> 57, p.</w:t>
      </w:r>
      <w:r w:rsidR="00D122B1">
        <w:t> </w:t>
      </w:r>
      <w:r w:rsidR="00AD10EB" w:rsidRPr="00F273F1">
        <w:t xml:space="preserve">58.)  The proponents did not address whether individuals convicted of nonviolent sex offenses would be eligible, or whether prior convictions would impact an inmate’s eligibility.  </w:t>
      </w:r>
    </w:p>
    <w:p w14:paraId="6A6BA815" w14:textId="61660DF4" w:rsidR="00AD10EB" w:rsidRPr="00F273F1" w:rsidRDefault="00AD10EB" w:rsidP="00F273F1">
      <w:pPr>
        <w:tabs>
          <w:tab w:val="left" w:pos="720"/>
        </w:tabs>
        <w:ind w:firstLine="720"/>
      </w:pPr>
      <w:r w:rsidRPr="00F273F1">
        <w:t>The opponents’ rebuttal and argument against Proposition 57 asserted that the initiative would allow for parole consideration for those convicted of various “nonviolent” sex offenses, including rape of an unconscious victim and sex trafficking.  (Voter Information Guide, Gen. Elec.</w:t>
      </w:r>
      <w:r w:rsidR="00403B17">
        <w:t xml:space="preserve">, </w:t>
      </w:r>
      <w:r w:rsidR="00403B17">
        <w:rPr>
          <w:i/>
          <w:iCs/>
        </w:rPr>
        <w:t>supra</w:t>
      </w:r>
      <w:r w:rsidR="00403B17">
        <w:t>,</w:t>
      </w:r>
      <w:r w:rsidRPr="00F273F1">
        <w:t xml:space="preserve"> </w:t>
      </w:r>
      <w:r w:rsidR="00403B17">
        <w:t>r</w:t>
      </w:r>
      <w:r w:rsidRPr="00F273F1">
        <w:t xml:space="preserve">ebuttal to </w:t>
      </w:r>
      <w:r w:rsidR="00403B17">
        <w:t>a</w:t>
      </w:r>
      <w:r w:rsidRPr="00F273F1">
        <w:t xml:space="preserve">rgument in </w:t>
      </w:r>
      <w:r w:rsidR="00403B17">
        <w:t>f</w:t>
      </w:r>
      <w:r w:rsidRPr="00F273F1">
        <w:t>avor of Prop</w:t>
      </w:r>
      <w:r w:rsidR="00403B17">
        <w:t>.</w:t>
      </w:r>
      <w:r w:rsidRPr="00F273F1">
        <w:t xml:space="preserve"> 57, p.</w:t>
      </w:r>
      <w:r w:rsidR="00D122B1">
        <w:t> </w:t>
      </w:r>
      <w:r w:rsidRPr="00F273F1">
        <w:t xml:space="preserve">58.)  The opponents </w:t>
      </w:r>
      <w:r w:rsidR="00612E7C">
        <w:t>further</w:t>
      </w:r>
      <w:r w:rsidRPr="00F273F1">
        <w:t xml:space="preserve"> asserted that inmates would be eligible for nonviolent </w:t>
      </w:r>
      <w:r w:rsidR="0069702C" w:rsidRPr="00F273F1">
        <w:t xml:space="preserve">offender </w:t>
      </w:r>
      <w:r w:rsidRPr="00F273F1">
        <w:t xml:space="preserve">parole consideration despite having suffered prior convictions, stating:  “Those previously convicted of MURDER, </w:t>
      </w:r>
      <w:r w:rsidRPr="00F273F1">
        <w:lastRenderedPageBreak/>
        <w:t>RAPE and CHILD MOLESTATION would be eligible for early parole” (</w:t>
      </w:r>
      <w:r w:rsidRPr="00F273F1">
        <w:rPr>
          <w:i/>
          <w:iCs/>
        </w:rPr>
        <w:t>ibid</w:t>
      </w:r>
      <w:r w:rsidRPr="00F273F1">
        <w:t>.), that “[Proposition] 57 permits the worst career criminals to be treated the same as first-time offenders” (</w:t>
      </w:r>
      <w:r w:rsidRPr="00F273F1">
        <w:rPr>
          <w:i/>
          <w:iCs/>
        </w:rPr>
        <w:t>id</w:t>
      </w:r>
      <w:r w:rsidRPr="00F273F1">
        <w:t>.</w:t>
      </w:r>
      <w:r w:rsidR="00B0253E">
        <w:t>, argument against Prop. 57,</w:t>
      </w:r>
      <w:r w:rsidRPr="00F273F1">
        <w:t xml:space="preserve"> p.</w:t>
      </w:r>
      <w:r w:rsidR="00D122B1">
        <w:t> </w:t>
      </w:r>
      <w:r w:rsidRPr="00F273F1">
        <w:t>59</w:t>
      </w:r>
      <w:r w:rsidR="00B0253E">
        <w:t>, italics omitted</w:t>
      </w:r>
      <w:r w:rsidRPr="00F273F1">
        <w:t xml:space="preserve">), and that “16,000 dangerous criminals, including those previously convicted of murder and rape, would be eligible for </w:t>
      </w:r>
      <w:proofErr w:type="gramStart"/>
      <w:r w:rsidRPr="00F273F1">
        <w:t>early release</w:t>
      </w:r>
      <w:proofErr w:type="gramEnd"/>
      <w:r w:rsidRPr="00F273F1">
        <w:t>” (</w:t>
      </w:r>
      <w:r w:rsidRPr="00F273F1">
        <w:rPr>
          <w:i/>
          <w:iCs/>
        </w:rPr>
        <w:t>ibid</w:t>
      </w:r>
      <w:r w:rsidRPr="00F273F1">
        <w:t>.</w:t>
      </w:r>
      <w:r w:rsidR="00B0253E">
        <w:t>, italics omitted</w:t>
      </w:r>
      <w:r w:rsidRPr="00F273F1">
        <w:t xml:space="preserve">).  </w:t>
      </w:r>
    </w:p>
    <w:p w14:paraId="6E8B59DE" w14:textId="7D4DDB6B" w:rsidR="001B115D" w:rsidRPr="00F273F1" w:rsidRDefault="00AD10EB" w:rsidP="00F273F1">
      <w:pPr>
        <w:tabs>
          <w:tab w:val="left" w:pos="720"/>
        </w:tabs>
        <w:ind w:firstLine="720"/>
      </w:pPr>
      <w:r w:rsidRPr="00F273F1">
        <w:t>The proponents’ rebuttal responded by saying the opponents “are wrong.”  (Voter Information Guide, Gen. Elec.</w:t>
      </w:r>
      <w:r w:rsidR="006A2264">
        <w:t xml:space="preserve">, </w:t>
      </w:r>
      <w:r w:rsidR="006A2264">
        <w:rPr>
          <w:i/>
          <w:iCs/>
        </w:rPr>
        <w:t>supra</w:t>
      </w:r>
      <w:r w:rsidR="006A2264">
        <w:t>,</w:t>
      </w:r>
      <w:r w:rsidRPr="00F273F1">
        <w:t xml:space="preserve"> </w:t>
      </w:r>
      <w:r w:rsidR="006A2264">
        <w:t>r</w:t>
      </w:r>
      <w:r w:rsidRPr="00F273F1">
        <w:t xml:space="preserve">ebuttal to </w:t>
      </w:r>
      <w:r w:rsidR="006A2264">
        <w:t>a</w:t>
      </w:r>
      <w:r w:rsidRPr="00F273F1">
        <w:t xml:space="preserve">rgument </w:t>
      </w:r>
      <w:r w:rsidR="006A2264">
        <w:t>a</w:t>
      </w:r>
      <w:r w:rsidRPr="00F273F1">
        <w:t>gainst Prop</w:t>
      </w:r>
      <w:r w:rsidR="006A2264">
        <w:t>.</w:t>
      </w:r>
      <w:r w:rsidRPr="00F273F1">
        <w:t xml:space="preserve"> 57, p.</w:t>
      </w:r>
      <w:r w:rsidR="00B0632C">
        <w:t> </w:t>
      </w:r>
      <w:r w:rsidRPr="00F273F1">
        <w:t>59.)  The rebuttal stated that the initiative would not authorize parole for violent offenders, “as defined in Penal Code 667.5(c).”  (</w:t>
      </w:r>
      <w:r w:rsidRPr="00F273F1">
        <w:rPr>
          <w:i/>
          <w:iCs/>
        </w:rPr>
        <w:t>Ibid</w:t>
      </w:r>
      <w:r w:rsidRPr="00F273F1">
        <w:t>.)  Finally</w:t>
      </w:r>
      <w:r w:rsidR="001B115D" w:rsidRPr="00F273F1">
        <w:t>,</w:t>
      </w:r>
      <w:r w:rsidRPr="00F273F1">
        <w:t xml:space="preserve"> the rebuttal stated that the initiative “[d]</w:t>
      </w:r>
      <w:proofErr w:type="spellStart"/>
      <w:r w:rsidRPr="00F273F1">
        <w:t>oes</w:t>
      </w:r>
      <w:proofErr w:type="spellEnd"/>
      <w:r w:rsidRPr="00F273F1">
        <w:t xml:space="preserve"> NOT and will not change the federal court order that excludes sex offenders, as defined in Penal Code 290, from parole.”  (</w:t>
      </w:r>
      <w:r w:rsidRPr="00F273F1">
        <w:rPr>
          <w:i/>
          <w:iCs/>
        </w:rPr>
        <w:t>Ibi</w:t>
      </w:r>
      <w:r w:rsidR="001B115D" w:rsidRPr="00F273F1">
        <w:rPr>
          <w:i/>
          <w:iCs/>
        </w:rPr>
        <w:t>d.</w:t>
      </w:r>
      <w:r w:rsidR="001B115D" w:rsidRPr="00F273F1">
        <w:t>)</w:t>
      </w:r>
    </w:p>
    <w:p w14:paraId="31FE10C4" w14:textId="68D222FB" w:rsidR="00AD10EB" w:rsidRPr="00F273F1" w:rsidRDefault="00AD10EB" w:rsidP="00C10714">
      <w:pPr>
        <w:pStyle w:val="ListParagraph"/>
        <w:numPr>
          <w:ilvl w:val="0"/>
          <w:numId w:val="22"/>
        </w:numPr>
        <w:tabs>
          <w:tab w:val="left" w:pos="720"/>
        </w:tabs>
        <w:rPr>
          <w:i/>
          <w:iCs/>
        </w:rPr>
      </w:pPr>
      <w:r w:rsidRPr="00F273F1">
        <w:rPr>
          <w:i/>
          <w:iCs/>
        </w:rPr>
        <w:t xml:space="preserve">The Department’s </w:t>
      </w:r>
      <w:r w:rsidR="00612E7C">
        <w:rPr>
          <w:i/>
          <w:iCs/>
        </w:rPr>
        <w:t>a</w:t>
      </w:r>
      <w:r w:rsidRPr="00F273F1">
        <w:rPr>
          <w:i/>
          <w:iCs/>
        </w:rPr>
        <w:t>rgument</w:t>
      </w:r>
    </w:p>
    <w:p w14:paraId="7AD5FFBF" w14:textId="2EE7947A" w:rsidR="00AD10EB" w:rsidRPr="00F273F1" w:rsidRDefault="00AD10EB" w:rsidP="00F273F1">
      <w:pPr>
        <w:tabs>
          <w:tab w:val="left" w:pos="720"/>
        </w:tabs>
      </w:pPr>
      <w:r w:rsidRPr="00F273F1">
        <w:tab/>
        <w:t xml:space="preserve">The Department contends the ballot materials clearly indicate the voters’ intent to exclude inmates with </w:t>
      </w:r>
      <w:r w:rsidR="0093030E">
        <w:t>any</w:t>
      </w:r>
      <w:r w:rsidRPr="00F273F1">
        <w:t xml:space="preserve"> </w:t>
      </w:r>
      <w:r w:rsidR="007E04FE">
        <w:t xml:space="preserve">registerable </w:t>
      </w:r>
      <w:r w:rsidRPr="00F273F1">
        <w:t xml:space="preserve">sex offense conviction </w:t>
      </w:r>
      <w:r w:rsidR="0093030E">
        <w:t xml:space="preserve">(prior or current) </w:t>
      </w:r>
      <w:r w:rsidRPr="00F273F1">
        <w:t xml:space="preserve">from nonviolent </w:t>
      </w:r>
      <w:r w:rsidR="00E95E9A" w:rsidRPr="00F273F1">
        <w:t xml:space="preserve">offender </w:t>
      </w:r>
      <w:r w:rsidRPr="00F273F1">
        <w:t>parole consideration.  The Department focuse</w:t>
      </w:r>
      <w:r w:rsidR="00E95E9A" w:rsidRPr="00F273F1">
        <w:t>s</w:t>
      </w:r>
      <w:r w:rsidRPr="00F273F1">
        <w:t xml:space="preserve"> on the back-and-forth in the arguments for and against the initiative, and primarily emphasizes the statement in the proponents’ rebuttal that Proposition 57 “[d]</w:t>
      </w:r>
      <w:proofErr w:type="spellStart"/>
      <w:r w:rsidRPr="00F273F1">
        <w:t>oes</w:t>
      </w:r>
      <w:proofErr w:type="spellEnd"/>
      <w:r w:rsidRPr="00F273F1">
        <w:t xml:space="preserve"> NOT and will not change the federal court order that excludes sex offenders, as defined in Penal Code 290, from parole.”</w:t>
      </w:r>
      <w:r w:rsidR="002F2D17">
        <w:t xml:space="preserve">  </w:t>
      </w:r>
      <w:r w:rsidR="002F2D17" w:rsidRPr="00F273F1">
        <w:t>(Voter Information Guide, Gen. Elec.</w:t>
      </w:r>
      <w:r w:rsidR="002F2D17">
        <w:t xml:space="preserve">, </w:t>
      </w:r>
      <w:r w:rsidR="002F2D17">
        <w:rPr>
          <w:i/>
          <w:iCs/>
        </w:rPr>
        <w:t>supra</w:t>
      </w:r>
      <w:r w:rsidR="002F2D17">
        <w:t>,</w:t>
      </w:r>
      <w:r w:rsidR="002F2D17" w:rsidRPr="00F273F1">
        <w:t xml:space="preserve"> </w:t>
      </w:r>
      <w:r w:rsidR="002F2D17">
        <w:t>r</w:t>
      </w:r>
      <w:r w:rsidR="002F2D17" w:rsidRPr="00F273F1">
        <w:t xml:space="preserve">ebuttal to </w:t>
      </w:r>
      <w:r w:rsidR="002F2D17">
        <w:t>a</w:t>
      </w:r>
      <w:r w:rsidR="002F2D17" w:rsidRPr="00F273F1">
        <w:t xml:space="preserve">rgument </w:t>
      </w:r>
      <w:r w:rsidR="002F2D17">
        <w:t>a</w:t>
      </w:r>
      <w:r w:rsidR="002F2D17" w:rsidRPr="00F273F1">
        <w:t>gainst Prop</w:t>
      </w:r>
      <w:r w:rsidR="002F2D17">
        <w:t>.</w:t>
      </w:r>
      <w:r w:rsidR="002F2D17" w:rsidRPr="00F273F1">
        <w:t xml:space="preserve"> 57, p.</w:t>
      </w:r>
      <w:r w:rsidR="002F2D17">
        <w:t> </w:t>
      </w:r>
      <w:r w:rsidR="002F2D17" w:rsidRPr="00F273F1">
        <w:t>59.)</w:t>
      </w:r>
      <w:r w:rsidRPr="00F273F1">
        <w:t xml:space="preserve">  According to the Department, this statement “unequivocally rebutted” the opponents’ argument that any sex offender would be eligible for nonviolent</w:t>
      </w:r>
      <w:r w:rsidR="00D05F91" w:rsidRPr="00F273F1">
        <w:t xml:space="preserve"> offender</w:t>
      </w:r>
      <w:r w:rsidRPr="00F273F1">
        <w:t xml:space="preserve"> parole consideration, regardless of whether the conviction was for a </w:t>
      </w:r>
      <w:r w:rsidRPr="00F273F1">
        <w:lastRenderedPageBreak/>
        <w:t>current or prior offense.  The Department also points to the proponents’ assertion that the Secretary of the Department must certify the regulations implementing Proposition 57 “as protecting public safety.”  In light of these statements, the Department contends, “</w:t>
      </w:r>
      <w:r w:rsidR="002F2D17">
        <w:t>A</w:t>
      </w:r>
      <w:r w:rsidRPr="00F273F1">
        <w:t xml:space="preserve"> reasonable voter thereby understood that the Secretary would ensure that the adopted regulations would exclude sex offenders from parole, just as the proponents indicated.”</w:t>
      </w:r>
    </w:p>
    <w:p w14:paraId="7EC14CB3" w14:textId="00CFFE75" w:rsidR="00AD10EB" w:rsidRPr="00F273F1" w:rsidRDefault="00AD10EB" w:rsidP="00F273F1">
      <w:pPr>
        <w:tabs>
          <w:tab w:val="left" w:pos="720"/>
        </w:tabs>
        <w:ind w:firstLine="720"/>
      </w:pPr>
      <w:r w:rsidRPr="00F273F1">
        <w:t xml:space="preserve">The Department further points to the Legislative Analyst’s discussion of the federal court order in the ballot materials.  As noted, the </w:t>
      </w:r>
      <w:r w:rsidR="0094290C">
        <w:t>a</w:t>
      </w:r>
      <w:r w:rsidR="0094290C" w:rsidRPr="00F273F1">
        <w:t xml:space="preserve">nalysis </w:t>
      </w:r>
      <w:r w:rsidRPr="00F273F1">
        <w:t>informed the voters that “certain individuals who have not been convicted of violent felonies are currently eligible for parole consideration after they have served half of their prison sentence” and identified that parole scheme as “one of several measures put in place by a federal court to reduce the state’s prison population.”  (Voter Information Guide, Gen. Elec.</w:t>
      </w:r>
      <w:r w:rsidR="0094290C">
        <w:t xml:space="preserve">, </w:t>
      </w:r>
      <w:r w:rsidR="0094290C">
        <w:rPr>
          <w:i/>
          <w:iCs/>
        </w:rPr>
        <w:t>supra</w:t>
      </w:r>
      <w:r w:rsidR="0094290C">
        <w:t>,</w:t>
      </w:r>
      <w:r w:rsidRPr="00F273F1">
        <w:t xml:space="preserve"> </w:t>
      </w:r>
      <w:r w:rsidR="0094290C">
        <w:t>a</w:t>
      </w:r>
      <w:r w:rsidRPr="00F273F1">
        <w:t xml:space="preserve">nalysis </w:t>
      </w:r>
      <w:r w:rsidR="0094290C">
        <w:t xml:space="preserve">of Prop. 57 </w:t>
      </w:r>
      <w:r w:rsidRPr="00F273F1">
        <w:t>by Legis</w:t>
      </w:r>
      <w:r w:rsidR="0094290C">
        <w:t>.</w:t>
      </w:r>
      <w:r w:rsidRPr="00F273F1">
        <w:t xml:space="preserve"> Analyst, p.</w:t>
      </w:r>
      <w:r w:rsidR="00F9656F">
        <w:t> </w:t>
      </w:r>
      <w:r w:rsidRPr="00F273F1">
        <w:t xml:space="preserve">54.)  Based on these “repeated references to the federal court order,” the Department asserts, the voters should be understood to have approved the initiative with the intent that individuals convicted of a </w:t>
      </w:r>
      <w:r w:rsidR="00C16F30">
        <w:t xml:space="preserve">registerable </w:t>
      </w:r>
      <w:r w:rsidRPr="00F273F1">
        <w:t xml:space="preserve">sex offense would be excluded from nonviolent </w:t>
      </w:r>
      <w:r w:rsidR="00D05F91" w:rsidRPr="00F273F1">
        <w:t xml:space="preserve">offender </w:t>
      </w:r>
      <w:r w:rsidRPr="00F273F1">
        <w:t>parole consideration.</w:t>
      </w:r>
    </w:p>
    <w:p w14:paraId="7527AE95" w14:textId="427DCB60" w:rsidR="00B70970" w:rsidRPr="00F273F1" w:rsidRDefault="00AD10EB" w:rsidP="00F273F1">
      <w:pPr>
        <w:tabs>
          <w:tab w:val="left" w:pos="720"/>
        </w:tabs>
        <w:ind w:firstLine="720"/>
      </w:pPr>
      <w:r w:rsidRPr="00F273F1">
        <w:t>Finally, the Department emphasizes that the voters were considering arguments made in favor of the initiative by then-Governor Edmund G. Brown Jr.</w:t>
      </w:r>
      <w:r w:rsidR="00056E0E" w:rsidRPr="00F273F1">
        <w:t>, who</w:t>
      </w:r>
      <w:r w:rsidR="00382E89" w:rsidRPr="00F273F1">
        <w:t xml:space="preserve"> </w:t>
      </w:r>
      <w:r w:rsidR="004A37FC" w:rsidRPr="00F273F1">
        <w:t>w</w:t>
      </w:r>
      <w:r w:rsidR="00B70970" w:rsidRPr="00F273F1">
        <w:t>as</w:t>
      </w:r>
      <w:r w:rsidR="004A37FC" w:rsidRPr="00F273F1">
        <w:t xml:space="preserve"> </w:t>
      </w:r>
      <w:r w:rsidR="00056E0E" w:rsidRPr="00F273F1">
        <w:t>listed on the ballot materials</w:t>
      </w:r>
      <w:r w:rsidR="00B70970" w:rsidRPr="00F273F1">
        <w:t xml:space="preserve"> as an author of the arguments in favor </w:t>
      </w:r>
      <w:r w:rsidR="00EC4877">
        <w:t xml:space="preserve">of the initiative </w:t>
      </w:r>
      <w:r w:rsidR="00B70970" w:rsidRPr="00F273F1">
        <w:t>and</w:t>
      </w:r>
      <w:r w:rsidR="00EC4877">
        <w:t xml:space="preserve"> the</w:t>
      </w:r>
      <w:r w:rsidR="00B70970" w:rsidRPr="00F273F1">
        <w:t xml:space="preserve"> rebuttal to the arguments against </w:t>
      </w:r>
      <w:r w:rsidR="00EC4877">
        <w:t>the initiative</w:t>
      </w:r>
      <w:r w:rsidR="004A37FC" w:rsidRPr="00F273F1">
        <w:t>.</w:t>
      </w:r>
      <w:r w:rsidR="00056E0E" w:rsidRPr="00F273F1">
        <w:t xml:space="preserve"> </w:t>
      </w:r>
      <w:r w:rsidRPr="00F273F1">
        <w:t xml:space="preserve"> The Department asserts that it “seems reasonable that voters would give special weight to the arguments and assurances of </w:t>
      </w:r>
      <w:r w:rsidRPr="00F273F1">
        <w:lastRenderedPageBreak/>
        <w:t>government experts — here, of the Governor of the State of California.”</w:t>
      </w:r>
    </w:p>
    <w:p w14:paraId="528BE77D" w14:textId="03DA42F8" w:rsidR="00AD10EB" w:rsidRPr="00F273F1" w:rsidRDefault="00AD10EB" w:rsidP="00C10714">
      <w:pPr>
        <w:pStyle w:val="ListParagraph"/>
        <w:numPr>
          <w:ilvl w:val="0"/>
          <w:numId w:val="22"/>
        </w:numPr>
        <w:tabs>
          <w:tab w:val="left" w:pos="720"/>
        </w:tabs>
        <w:rPr>
          <w:i/>
          <w:iCs/>
        </w:rPr>
      </w:pPr>
      <w:r w:rsidRPr="00F273F1">
        <w:rPr>
          <w:i/>
          <w:iCs/>
        </w:rPr>
        <w:t xml:space="preserve">Analysis </w:t>
      </w:r>
    </w:p>
    <w:p w14:paraId="5C3C7F93" w14:textId="4A6E3925" w:rsidR="00AD10EB" w:rsidRPr="00F273F1" w:rsidRDefault="00AD10EB" w:rsidP="00F273F1">
      <w:pPr>
        <w:tabs>
          <w:tab w:val="left" w:pos="720"/>
        </w:tabs>
      </w:pPr>
      <w:r w:rsidRPr="00F273F1">
        <w:tab/>
        <w:t xml:space="preserve">The question is whether the ballot materials indicate that voters intended to exclude certain inmates </w:t>
      </w:r>
      <w:r w:rsidR="00BA6F47">
        <w:t xml:space="preserve">convicted of nonviolent felonies </w:t>
      </w:r>
      <w:r w:rsidRPr="00F273F1">
        <w:t xml:space="preserve">from nonviolent </w:t>
      </w:r>
      <w:r w:rsidR="00B70970" w:rsidRPr="00F273F1">
        <w:t xml:space="preserve">offender </w:t>
      </w:r>
      <w:r w:rsidRPr="00F273F1">
        <w:t>parole consideration</w:t>
      </w:r>
      <w:r w:rsidR="00E5596E">
        <w:t xml:space="preserve"> </w:t>
      </w:r>
      <w:r w:rsidR="004E7F49">
        <w:t>—</w:t>
      </w:r>
      <w:r w:rsidRPr="00F273F1">
        <w:t xml:space="preserve"> or intended to allow the Department to craft regulations that would exclude such inmates</w:t>
      </w:r>
      <w:r w:rsidR="004E7F49">
        <w:t xml:space="preserve"> —</w:t>
      </w:r>
      <w:r w:rsidRPr="00F273F1">
        <w:t xml:space="preserve"> including those </w:t>
      </w:r>
      <w:r w:rsidR="00E5596E">
        <w:t xml:space="preserve">previously or currently </w:t>
      </w:r>
      <w:r w:rsidRPr="00F273F1">
        <w:t>convicted of sex offenses</w:t>
      </w:r>
      <w:r w:rsidR="00814F29" w:rsidRPr="00F273F1">
        <w:t xml:space="preserve"> requiring registration pursuant to </w:t>
      </w:r>
      <w:r w:rsidRPr="00F273F1">
        <w:t xml:space="preserve">Penal Code </w:t>
      </w:r>
      <w:r w:rsidR="007B3481">
        <w:t xml:space="preserve">section </w:t>
      </w:r>
      <w:r w:rsidRPr="00F273F1">
        <w:t xml:space="preserve">290.  </w:t>
      </w:r>
      <w:r w:rsidR="00D82E43" w:rsidRPr="00F273F1">
        <w:t>Considering the ballot materials as a whole, the language of the constitutional provision, and</w:t>
      </w:r>
      <w:r w:rsidRPr="00F273F1">
        <w:t xml:space="preserve"> the ambiguous nature of the ballot arguments, we can</w:t>
      </w:r>
      <w:r w:rsidR="009B030C">
        <w:t>not</w:t>
      </w:r>
      <w:r w:rsidRPr="00F273F1">
        <w:t xml:space="preserve"> conclude the voters</w:t>
      </w:r>
      <w:r w:rsidR="005E3B34" w:rsidRPr="00F273F1">
        <w:t xml:space="preserve"> intended to base </w:t>
      </w:r>
      <w:r w:rsidR="004A3ACF" w:rsidRPr="00F273F1">
        <w:t>eligibility for nonviolent offender parole consideration on any prior convictions an inmate may have suffered</w:t>
      </w:r>
      <w:r w:rsidR="007B45D2" w:rsidRPr="00F273F1">
        <w:t xml:space="preserve">, </w:t>
      </w:r>
      <w:r w:rsidR="000B7628">
        <w:t>or any current conviction for a</w:t>
      </w:r>
      <w:r w:rsidR="00223172">
        <w:t xml:space="preserve"> </w:t>
      </w:r>
      <w:r w:rsidR="001F136E">
        <w:t xml:space="preserve">nonviolent </w:t>
      </w:r>
      <w:r w:rsidR="00F76AC8">
        <w:t>offense requiring registration</w:t>
      </w:r>
      <w:r w:rsidR="007C74AA">
        <w:t xml:space="preserve"> as a sex offender</w:t>
      </w:r>
      <w:r w:rsidR="007B45D2" w:rsidRPr="00F273F1">
        <w:t>.</w:t>
      </w:r>
      <w:r w:rsidRPr="00F273F1">
        <w:t xml:space="preserve">  </w:t>
      </w:r>
    </w:p>
    <w:p w14:paraId="17F70A17" w14:textId="142B7104" w:rsidR="00AD10EB" w:rsidRPr="00F273F1" w:rsidRDefault="00AD10EB" w:rsidP="00F273F1">
      <w:pPr>
        <w:tabs>
          <w:tab w:val="left" w:pos="720"/>
        </w:tabs>
      </w:pPr>
      <w:r w:rsidRPr="00F273F1">
        <w:tab/>
        <w:t xml:space="preserve">The Department’s focus on a single line in the proponents’ rebuttal argument overlooks the context of the entire ballot materials provided to the voters.  </w:t>
      </w:r>
      <w:r w:rsidR="0010118C">
        <w:t>T</w:t>
      </w:r>
      <w:r w:rsidRPr="00F273F1">
        <w:t xml:space="preserve">he language of the constitutional provision did not indicate to the voters that inmates’ prior convictions would play a role in determining nonviolent </w:t>
      </w:r>
      <w:r w:rsidR="004B4AD3" w:rsidRPr="00F273F1">
        <w:t xml:space="preserve">offender </w:t>
      </w:r>
      <w:r w:rsidRPr="00F273F1">
        <w:t xml:space="preserve">parole eligibility.  Nor did the Attorney General’s </w:t>
      </w:r>
      <w:r w:rsidR="008C62FC">
        <w:t>o</w:t>
      </w:r>
      <w:r w:rsidR="008C62FC" w:rsidRPr="00F273F1">
        <w:t xml:space="preserve">fficial </w:t>
      </w:r>
      <w:r w:rsidR="008C62FC">
        <w:t>t</w:t>
      </w:r>
      <w:r w:rsidR="008C62FC" w:rsidRPr="00F273F1">
        <w:t xml:space="preserve">itle </w:t>
      </w:r>
      <w:r w:rsidRPr="00F273F1">
        <w:t xml:space="preserve">and </w:t>
      </w:r>
      <w:r w:rsidR="008C62FC">
        <w:t>s</w:t>
      </w:r>
      <w:r w:rsidR="008C62FC" w:rsidRPr="00F273F1">
        <w:t>ummary</w:t>
      </w:r>
      <w:r w:rsidRPr="00F273F1">
        <w:t xml:space="preserve">, the Legislative Analyst’s </w:t>
      </w:r>
      <w:r w:rsidR="008C62FC">
        <w:t>a</w:t>
      </w:r>
      <w:r w:rsidR="008C62FC" w:rsidRPr="00F273F1">
        <w:t>nalysis</w:t>
      </w:r>
      <w:r w:rsidRPr="00F273F1">
        <w:t xml:space="preserve">, or the proponents’ initial </w:t>
      </w:r>
      <w:r w:rsidR="008C62FC">
        <w:t>a</w:t>
      </w:r>
      <w:r w:rsidR="008C62FC" w:rsidRPr="00F273F1">
        <w:t xml:space="preserve">rgument </w:t>
      </w:r>
      <w:r w:rsidRPr="00F273F1">
        <w:t xml:space="preserve">in </w:t>
      </w:r>
      <w:r w:rsidR="008C62FC">
        <w:t>f</w:t>
      </w:r>
      <w:r w:rsidR="008C62FC" w:rsidRPr="00F273F1">
        <w:t xml:space="preserve">avor </w:t>
      </w:r>
      <w:r w:rsidRPr="00F273F1">
        <w:t xml:space="preserve">of Proposition 57 so indicate.  If, as the Department asserts, the voters intended to carve out an entire category of offenders from nonviolent parole consideration based on prior criminal history, these sources </w:t>
      </w:r>
      <w:proofErr w:type="gramStart"/>
      <w:r w:rsidRPr="00F273F1">
        <w:t>likely would</w:t>
      </w:r>
      <w:proofErr w:type="gramEnd"/>
      <w:r w:rsidRPr="00F273F1">
        <w:t xml:space="preserve"> have mentioned as much.  (See </w:t>
      </w:r>
      <w:r w:rsidRPr="00F273F1">
        <w:rPr>
          <w:i/>
          <w:iCs/>
        </w:rPr>
        <w:t>People v. Valencia</w:t>
      </w:r>
      <w:r w:rsidR="00D94A32">
        <w:t xml:space="preserve"> (2017)</w:t>
      </w:r>
      <w:r w:rsidRPr="00F273F1">
        <w:t xml:space="preserve"> 3 Cal.5th</w:t>
      </w:r>
      <w:r w:rsidR="002A0A3E">
        <w:t xml:space="preserve"> </w:t>
      </w:r>
      <w:r w:rsidR="00D94A32">
        <w:t xml:space="preserve">347, </w:t>
      </w:r>
      <w:r w:rsidRPr="00F273F1">
        <w:t>365</w:t>
      </w:r>
      <w:r w:rsidR="005048DD">
        <w:t>–</w:t>
      </w:r>
      <w:r w:rsidRPr="00F273F1">
        <w:t xml:space="preserve">366.)  </w:t>
      </w:r>
    </w:p>
    <w:p w14:paraId="7B4AC61B" w14:textId="7C98ACDA" w:rsidR="00AD10EB" w:rsidRPr="00F273F1" w:rsidRDefault="00AD10EB" w:rsidP="00F273F1">
      <w:pPr>
        <w:tabs>
          <w:tab w:val="left" w:pos="720"/>
        </w:tabs>
      </w:pPr>
      <w:r w:rsidRPr="00F273F1">
        <w:lastRenderedPageBreak/>
        <w:tab/>
        <w:t xml:space="preserve">Even the arguments in the ballot materials are not as helpful to the Department’s position as it contends.  The opponents of the initiative pointed out that “career criminals” would be treated the same as first-time offenders under the initiative, and that inmates “previously convicted of murder and rape” would be eligible for early release.  </w:t>
      </w:r>
      <w:r w:rsidR="00BE6610" w:rsidRPr="00F273F1">
        <w:t>(Voter Information Guide, Gen. Elec.</w:t>
      </w:r>
      <w:r w:rsidR="00BE6610">
        <w:t xml:space="preserve">, </w:t>
      </w:r>
      <w:r w:rsidR="00BE6610">
        <w:rPr>
          <w:i/>
          <w:iCs/>
        </w:rPr>
        <w:t>supra</w:t>
      </w:r>
      <w:r w:rsidR="00BE6610">
        <w:t>,</w:t>
      </w:r>
      <w:r w:rsidR="00BE6610" w:rsidRPr="00F273F1">
        <w:t xml:space="preserve"> </w:t>
      </w:r>
      <w:r w:rsidR="00BE6610">
        <w:t>a</w:t>
      </w:r>
      <w:r w:rsidR="00BE6610" w:rsidRPr="00F273F1">
        <w:t xml:space="preserve">rgument </w:t>
      </w:r>
      <w:r w:rsidR="00BE6610">
        <w:t>a</w:t>
      </w:r>
      <w:r w:rsidR="00BE6610" w:rsidRPr="00F273F1">
        <w:t>gainst Prop</w:t>
      </w:r>
      <w:r w:rsidR="00BE6610">
        <w:t>.</w:t>
      </w:r>
      <w:r w:rsidR="00BE6610" w:rsidRPr="00F273F1">
        <w:t xml:space="preserve"> 57, p.</w:t>
      </w:r>
      <w:r w:rsidR="00BE6610">
        <w:t> </w:t>
      </w:r>
      <w:r w:rsidR="00BE6610" w:rsidRPr="00F273F1">
        <w:t>59</w:t>
      </w:r>
      <w:r w:rsidR="00BE6610">
        <w:t>, italics omitted</w:t>
      </w:r>
      <w:r w:rsidR="00BE6610" w:rsidRPr="00F273F1">
        <w:t>.)</w:t>
      </w:r>
      <w:r w:rsidR="00BE6610">
        <w:t xml:space="preserve">  </w:t>
      </w:r>
      <w:r w:rsidRPr="00F273F1">
        <w:t xml:space="preserve">The opponents’ argument was thus clear:  </w:t>
      </w:r>
      <w:r w:rsidR="00BE6610">
        <w:t>A</w:t>
      </w:r>
      <w:r w:rsidRPr="00F273F1">
        <w:t xml:space="preserve">n inmate’s prior convictions, regardless of their number or nature, would not be a disqualifying factor for nonviolent parole consideration purposes.  That the voters approved Proposition </w:t>
      </w:r>
      <w:r w:rsidR="00D526E2">
        <w:t xml:space="preserve">57 </w:t>
      </w:r>
      <w:r w:rsidRPr="00F273F1">
        <w:t>“despite these warnings” supports a conclusion that the voters intended to provide broad parole consideration for nonviolent offenders without regard for prior convictions.  (</w:t>
      </w:r>
      <w:r w:rsidRPr="00F273F1">
        <w:rPr>
          <w:i/>
          <w:iCs/>
        </w:rPr>
        <w:t>Robert L.</w:t>
      </w:r>
      <w:r w:rsidR="00430A84">
        <w:rPr>
          <w:i/>
          <w:iCs/>
        </w:rPr>
        <w:t xml:space="preserve"> v. Superior Court</w:t>
      </w:r>
      <w:r w:rsidR="00430A84">
        <w:t xml:space="preserve"> (2003) </w:t>
      </w:r>
      <w:r w:rsidRPr="00F273F1">
        <w:t>30</w:t>
      </w:r>
      <w:r w:rsidR="00D5771E">
        <w:t> </w:t>
      </w:r>
      <w:r w:rsidRPr="00F273F1">
        <w:t xml:space="preserve">Cal.4th </w:t>
      </w:r>
      <w:r w:rsidR="00875C8E">
        <w:t xml:space="preserve">894, </w:t>
      </w:r>
      <w:r w:rsidRPr="00F273F1">
        <w:t>907</w:t>
      </w:r>
      <w:r w:rsidR="008C6DD0">
        <w:t xml:space="preserve"> (</w:t>
      </w:r>
      <w:r w:rsidR="008C6DD0">
        <w:rPr>
          <w:i/>
          <w:iCs/>
        </w:rPr>
        <w:t>Robert L.</w:t>
      </w:r>
      <w:r w:rsidR="008C6DD0">
        <w:t>)</w:t>
      </w:r>
      <w:r w:rsidRPr="00F273F1">
        <w:t xml:space="preserve">.)  </w:t>
      </w:r>
    </w:p>
    <w:p w14:paraId="48F17478" w14:textId="7FB2EB31" w:rsidR="00F26331" w:rsidRDefault="00E24C52" w:rsidP="00F26331">
      <w:pPr>
        <w:tabs>
          <w:tab w:val="left" w:pos="720"/>
        </w:tabs>
        <w:ind w:firstLine="720"/>
      </w:pPr>
      <w:r w:rsidRPr="00F273F1">
        <w:t xml:space="preserve">It is true that the proponents stated broadly that the opponents’ arguments were “wrong.”  </w:t>
      </w:r>
      <w:r w:rsidR="00D57333" w:rsidRPr="00F273F1">
        <w:t>(Voter Information Guide, Gen. Elec.</w:t>
      </w:r>
      <w:r w:rsidR="00D57333">
        <w:t xml:space="preserve">, </w:t>
      </w:r>
      <w:r w:rsidR="00D57333">
        <w:rPr>
          <w:i/>
          <w:iCs/>
        </w:rPr>
        <w:t>supra</w:t>
      </w:r>
      <w:r w:rsidR="00D57333">
        <w:t>,</w:t>
      </w:r>
      <w:r w:rsidR="00D57333" w:rsidRPr="00F273F1">
        <w:t xml:space="preserve"> </w:t>
      </w:r>
      <w:r w:rsidR="00D57333">
        <w:t>r</w:t>
      </w:r>
      <w:r w:rsidR="00D57333" w:rsidRPr="00F273F1">
        <w:t xml:space="preserve">ebuttal to </w:t>
      </w:r>
      <w:r w:rsidR="00D57333">
        <w:t>a</w:t>
      </w:r>
      <w:r w:rsidR="00D57333" w:rsidRPr="00F273F1">
        <w:t xml:space="preserve">rgument </w:t>
      </w:r>
      <w:r w:rsidR="00D57333">
        <w:t>a</w:t>
      </w:r>
      <w:r w:rsidR="00D57333" w:rsidRPr="00F273F1">
        <w:t>gainst Prop</w:t>
      </w:r>
      <w:r w:rsidR="00D57333">
        <w:t>.</w:t>
      </w:r>
      <w:r w:rsidR="00D57333" w:rsidRPr="00F273F1">
        <w:t xml:space="preserve"> 57, p.</w:t>
      </w:r>
      <w:r w:rsidR="00D57333">
        <w:t> </w:t>
      </w:r>
      <w:r w:rsidR="00D57333" w:rsidRPr="00F273F1">
        <w:t>59.)</w:t>
      </w:r>
      <w:r w:rsidR="00D57333">
        <w:t xml:space="preserve">  </w:t>
      </w:r>
      <w:r w:rsidRPr="00F273F1">
        <w:t>But this cannot be taken as a blanket denial of each argument raised by the opponents, and the Department does not claim it is.  Indeed, there are portions of the opponents’ argument that the Department must concede were correct, including the characterization that individuals convicted of and currently serving sentences for nonviolent offenses (as defined in Pen</w:t>
      </w:r>
      <w:r w:rsidR="00D57333">
        <w:t>.</w:t>
      </w:r>
      <w:r w:rsidRPr="00F273F1">
        <w:t xml:space="preserve"> Code</w:t>
      </w:r>
      <w:r w:rsidR="00D57333">
        <w:t>, § </w:t>
      </w:r>
      <w:r>
        <w:t xml:space="preserve">667.5, </w:t>
      </w:r>
      <w:proofErr w:type="spellStart"/>
      <w:r>
        <w:t>subd</w:t>
      </w:r>
      <w:proofErr w:type="spellEnd"/>
      <w:r w:rsidR="00D57333">
        <w:t>.</w:t>
      </w:r>
      <w:r>
        <w:t xml:space="preserve"> (c)</w:t>
      </w:r>
      <w:r w:rsidRPr="00F273F1">
        <w:t xml:space="preserve">) like assault with a deadly weapon would be eligible for nonviolent offender parole consideration, or that an individual with a prior violent felony </w:t>
      </w:r>
      <w:r>
        <w:t xml:space="preserve">conviction for </w:t>
      </w:r>
      <w:r w:rsidRPr="00F273F1">
        <w:t xml:space="preserve">murder would not be excluded from nonviolent offender parole consideration.  The proponents’ failure to respond directly to the opponents’ clear assertion that individuals with prior sex </w:t>
      </w:r>
      <w:r w:rsidRPr="00F273F1">
        <w:lastRenderedPageBreak/>
        <w:t xml:space="preserve">offenses or extensive criminal histories would be eligible for parole consideration under the initiative is another indication that the voters did not intend to exclude such inmates from the nonviolent offender parole process.  (See </w:t>
      </w:r>
      <w:r w:rsidRPr="00F273F1">
        <w:rPr>
          <w:i/>
          <w:iCs/>
        </w:rPr>
        <w:t>Robert L.</w:t>
      </w:r>
      <w:r w:rsidRPr="00F273F1">
        <w:t xml:space="preserve">, </w:t>
      </w:r>
      <w:r w:rsidRPr="00F273F1">
        <w:rPr>
          <w:i/>
          <w:iCs/>
        </w:rPr>
        <w:t>supra</w:t>
      </w:r>
      <w:r w:rsidRPr="00F273F1">
        <w:t>, 30</w:t>
      </w:r>
      <w:r w:rsidR="002776C3">
        <w:t> </w:t>
      </w:r>
      <w:r w:rsidRPr="00F273F1">
        <w:t>Cal.4th at pp.</w:t>
      </w:r>
      <w:r w:rsidR="00F9656F">
        <w:t> </w:t>
      </w:r>
      <w:r w:rsidRPr="00F273F1">
        <w:t>906</w:t>
      </w:r>
      <w:r w:rsidR="00F9656F">
        <w:t>–</w:t>
      </w:r>
      <w:r w:rsidRPr="00F273F1">
        <w:t xml:space="preserve">907.)  </w:t>
      </w:r>
    </w:p>
    <w:p w14:paraId="6CBDF6A2" w14:textId="019A90A3" w:rsidR="00C73364" w:rsidRDefault="00996A4D" w:rsidP="00F26331">
      <w:pPr>
        <w:tabs>
          <w:tab w:val="left" w:pos="720"/>
        </w:tabs>
        <w:ind w:firstLine="720"/>
      </w:pPr>
      <w:r>
        <w:t xml:space="preserve">The Department’s </w:t>
      </w:r>
      <w:r w:rsidR="009E51A7">
        <w:t>position</w:t>
      </w:r>
      <w:r>
        <w:t xml:space="preserve"> </w:t>
      </w:r>
      <w:r w:rsidR="009E51A7">
        <w:t>is</w:t>
      </w:r>
      <w:r>
        <w:t xml:space="preserve"> </w:t>
      </w:r>
      <w:proofErr w:type="gramStart"/>
      <w:r>
        <w:t>somewhat more</w:t>
      </w:r>
      <w:proofErr w:type="gramEnd"/>
      <w:r>
        <w:t xml:space="preserve"> </w:t>
      </w:r>
      <w:r w:rsidR="002128A2">
        <w:t xml:space="preserve">persuasive with regard to the exclusion for inmates currently convicted of </w:t>
      </w:r>
      <w:r w:rsidR="00BC621B">
        <w:t xml:space="preserve">nonviolent </w:t>
      </w:r>
      <w:r w:rsidR="002128A2">
        <w:t xml:space="preserve">registerable sex offenses.  </w:t>
      </w:r>
      <w:r w:rsidR="00B35395">
        <w:t xml:space="preserve">Plainly, there is tension between the language of the constitutional provision </w:t>
      </w:r>
      <w:r w:rsidR="00C36E5D">
        <w:t>directing parole consideration for all inmates convicted of nonviolent felonies and the assertion in the ballot argument that “sex offenders” would be excluded from parole consideration.</w:t>
      </w:r>
      <w:r w:rsidR="003D11BE">
        <w:t xml:space="preserve">  </w:t>
      </w:r>
      <w:r w:rsidR="00990825" w:rsidRPr="00F273F1">
        <w:t>(Voter Information Guide, Gen. Elec.</w:t>
      </w:r>
      <w:r w:rsidR="00990825">
        <w:t xml:space="preserve">, </w:t>
      </w:r>
      <w:r w:rsidR="00990825">
        <w:rPr>
          <w:i/>
          <w:iCs/>
        </w:rPr>
        <w:t>supra</w:t>
      </w:r>
      <w:r w:rsidR="00990825">
        <w:t>,</w:t>
      </w:r>
      <w:r w:rsidR="00990825" w:rsidRPr="00F273F1">
        <w:t xml:space="preserve"> </w:t>
      </w:r>
      <w:r w:rsidR="00990825">
        <w:t>r</w:t>
      </w:r>
      <w:r w:rsidR="00990825" w:rsidRPr="00F273F1">
        <w:t xml:space="preserve">ebuttal to </w:t>
      </w:r>
      <w:r w:rsidR="00990825">
        <w:t>a</w:t>
      </w:r>
      <w:r w:rsidR="00990825" w:rsidRPr="00F273F1">
        <w:t xml:space="preserve">rgument </w:t>
      </w:r>
      <w:r w:rsidR="00990825">
        <w:t>a</w:t>
      </w:r>
      <w:r w:rsidR="00990825" w:rsidRPr="00F273F1">
        <w:t>gainst Prop</w:t>
      </w:r>
      <w:r w:rsidR="00990825">
        <w:t>.</w:t>
      </w:r>
      <w:r w:rsidR="00990825" w:rsidRPr="00F273F1">
        <w:t xml:space="preserve"> 57, p.</w:t>
      </w:r>
      <w:r w:rsidR="00990825">
        <w:t> </w:t>
      </w:r>
      <w:r w:rsidR="00990825" w:rsidRPr="00F273F1">
        <w:t>59.)</w:t>
      </w:r>
      <w:r w:rsidR="00990825">
        <w:t xml:space="preserve">  </w:t>
      </w:r>
      <w:r w:rsidR="003D11BE">
        <w:t xml:space="preserve">And there is </w:t>
      </w:r>
      <w:r w:rsidR="009A0214">
        <w:t xml:space="preserve">a clear conflict between the arguments from the proponents (asserting all sex offenders would be excluded) and the opponents (asserting that </w:t>
      </w:r>
      <w:proofErr w:type="gramStart"/>
      <w:r w:rsidR="009A0214">
        <w:t>some</w:t>
      </w:r>
      <w:proofErr w:type="gramEnd"/>
      <w:r w:rsidR="009A0214">
        <w:t xml:space="preserve"> sex offenders would</w:t>
      </w:r>
      <w:r w:rsidR="00C86E7D">
        <w:t xml:space="preserve"> not be excluded).</w:t>
      </w:r>
      <w:r w:rsidR="008D3170">
        <w:t xml:space="preserve"> </w:t>
      </w:r>
      <w:r w:rsidR="00C36E5D">
        <w:t xml:space="preserve"> </w:t>
      </w:r>
      <w:r w:rsidR="0036197D">
        <w:t xml:space="preserve">But we do not </w:t>
      </w:r>
      <w:r w:rsidR="00132270">
        <w:t xml:space="preserve">resolve </w:t>
      </w:r>
      <w:r w:rsidR="00C86E7D">
        <w:t>these</w:t>
      </w:r>
      <w:r w:rsidR="00132270">
        <w:t xml:space="preserve"> tension</w:t>
      </w:r>
      <w:r w:rsidR="00C86E7D">
        <w:t>s</w:t>
      </w:r>
      <w:r w:rsidR="00132270">
        <w:t xml:space="preserve"> by relying solely on the ballot materials.  Rather, w</w:t>
      </w:r>
      <w:r w:rsidR="00D55D4F">
        <w:t>e presume that the voters relied on the text of the measure.</w:t>
      </w:r>
      <w:r w:rsidR="000A65AC">
        <w:t xml:space="preserve">  (See </w:t>
      </w:r>
      <w:r w:rsidR="000A65AC" w:rsidRPr="00F273F1">
        <w:rPr>
          <w:i/>
          <w:iCs/>
        </w:rPr>
        <w:t>Delaney v. Superior Court</w:t>
      </w:r>
      <w:r w:rsidR="00990825">
        <w:t xml:space="preserve"> (1990)</w:t>
      </w:r>
      <w:r w:rsidR="000A65AC" w:rsidRPr="00F273F1">
        <w:t xml:space="preserve"> 50 Cal.3d </w:t>
      </w:r>
      <w:r w:rsidR="00990825">
        <w:t>785</w:t>
      </w:r>
      <w:r w:rsidR="001F790B">
        <w:t xml:space="preserve">, </w:t>
      </w:r>
      <w:r w:rsidR="000A65AC" w:rsidRPr="00F273F1">
        <w:t>803</w:t>
      </w:r>
      <w:r w:rsidR="00817AB1">
        <w:t xml:space="preserve">; see also </w:t>
      </w:r>
      <w:proofErr w:type="spellStart"/>
      <w:r w:rsidR="00817AB1">
        <w:rPr>
          <w:i/>
          <w:iCs/>
        </w:rPr>
        <w:t>Amwest</w:t>
      </w:r>
      <w:proofErr w:type="spellEnd"/>
      <w:r w:rsidR="00817AB1">
        <w:rPr>
          <w:i/>
          <w:iCs/>
        </w:rPr>
        <w:t xml:space="preserve"> Surety v. Wilson</w:t>
      </w:r>
      <w:r w:rsidR="00817AB1">
        <w:t xml:space="preserve"> (1995) 10 Cal.4th 1243, 1260–1261, citing </w:t>
      </w:r>
      <w:r w:rsidR="00817AB1">
        <w:rPr>
          <w:i/>
          <w:iCs/>
        </w:rPr>
        <w:t>Wright v. Jordan</w:t>
      </w:r>
      <w:r w:rsidR="00817AB1">
        <w:t xml:space="preserve"> (1923) 192 Cal. 704, 713.)</w:t>
      </w:r>
      <w:r w:rsidR="00D55D4F">
        <w:t xml:space="preserve"> </w:t>
      </w:r>
      <w:r w:rsidR="000A65AC">
        <w:t xml:space="preserve"> </w:t>
      </w:r>
    </w:p>
    <w:p w14:paraId="7E9EEB06" w14:textId="4FE744A5" w:rsidR="00AD10EB" w:rsidRPr="00F273F1" w:rsidRDefault="00D55D4F" w:rsidP="00F26331">
      <w:pPr>
        <w:tabs>
          <w:tab w:val="left" w:pos="720"/>
        </w:tabs>
        <w:ind w:firstLine="720"/>
      </w:pPr>
      <w:r>
        <w:t>T</w:t>
      </w:r>
      <w:r w:rsidR="008D3170">
        <w:t>he voters were explicitly warned in the margins of the voter guide that “Arguments printed on this page are the opinions of the authors, and have not been checked for accuracy by any official agency.”  (</w:t>
      </w:r>
      <w:r w:rsidR="008D3170" w:rsidRPr="00F273F1">
        <w:t>Voter Information Guide, Gen. Elec.</w:t>
      </w:r>
      <w:r w:rsidR="008D3170">
        <w:t>,</w:t>
      </w:r>
      <w:r w:rsidR="001F790B">
        <w:t xml:space="preserve"> </w:t>
      </w:r>
      <w:r w:rsidR="001F790B">
        <w:rPr>
          <w:i/>
          <w:iCs/>
        </w:rPr>
        <w:t>supra</w:t>
      </w:r>
      <w:r w:rsidR="001F790B">
        <w:t>,</w:t>
      </w:r>
      <w:r w:rsidR="008D3170">
        <w:t xml:space="preserve"> pp. </w:t>
      </w:r>
      <w:r w:rsidR="008D3170" w:rsidRPr="00F273F1">
        <w:t>5</w:t>
      </w:r>
      <w:r w:rsidR="008D3170">
        <w:t>8–59</w:t>
      </w:r>
      <w:r w:rsidR="008D3170" w:rsidRPr="00F273F1">
        <w:t>.)</w:t>
      </w:r>
      <w:r w:rsidR="008D3170">
        <w:t xml:space="preserve">  Even assuming the ballot materials conveyed to the voters that any conviction for a registerable sex offense, current or prior, would exclude an inmate from parole consideration under the proposed initiative, this interpretation remains at odds with the language of the constitutional </w:t>
      </w:r>
      <w:r w:rsidR="008D3170">
        <w:lastRenderedPageBreak/>
        <w:t>provision before the voters</w:t>
      </w:r>
      <w:r w:rsidR="000358A9">
        <w:t>,</w:t>
      </w:r>
      <w:r w:rsidR="008D3170">
        <w:t xml:space="preserve"> as we have already discussed.</w:t>
      </w:r>
      <w:r w:rsidR="003B4F02">
        <w:t xml:space="preserve">  </w:t>
      </w:r>
      <w:r w:rsidR="00F9279F">
        <w:t>And nothing in the remaining ballot materials suggested that sex offender registration</w:t>
      </w:r>
      <w:r w:rsidR="006B5CBA">
        <w:t xml:space="preserve"> for a nonviolent </w:t>
      </w:r>
      <w:r w:rsidR="00485A55">
        <w:t>felony</w:t>
      </w:r>
      <w:r w:rsidR="00F9279F">
        <w:t xml:space="preserve"> </w:t>
      </w:r>
      <w:r w:rsidR="00FC3997">
        <w:t xml:space="preserve">(or for a misdemeanor) </w:t>
      </w:r>
      <w:r w:rsidR="00F9279F">
        <w:t>would exclude an</w:t>
      </w:r>
      <w:r w:rsidR="006B5CBA">
        <w:t xml:space="preserve"> inmate from parole consideration.  </w:t>
      </w:r>
      <w:r w:rsidR="00AD10EB" w:rsidRPr="00F273F1">
        <w:t>We cannot say that a reasonable voter</w:t>
      </w:r>
      <w:r w:rsidR="009861CF" w:rsidRPr="00F273F1">
        <w:t>,</w:t>
      </w:r>
      <w:r w:rsidR="00AD10EB" w:rsidRPr="00F273F1">
        <w:t xml:space="preserve"> </w:t>
      </w:r>
      <w:r w:rsidR="009861CF" w:rsidRPr="00F273F1">
        <w:t xml:space="preserve">after reviewing </w:t>
      </w:r>
      <w:r w:rsidR="000F5C70" w:rsidRPr="00F273F1">
        <w:t>the</w:t>
      </w:r>
      <w:r w:rsidR="009861CF" w:rsidRPr="00F273F1">
        <w:t xml:space="preserve"> ballot materials and the</w:t>
      </w:r>
      <w:r w:rsidR="000F5C70" w:rsidRPr="00F273F1">
        <w:t xml:space="preserve"> language of the proposed constitutional provision</w:t>
      </w:r>
      <w:r w:rsidR="009861CF" w:rsidRPr="00F273F1">
        <w:t xml:space="preserve">, would have </w:t>
      </w:r>
      <w:r w:rsidR="00EC7305">
        <w:t>believed that</w:t>
      </w:r>
      <w:r w:rsidR="009861CF" w:rsidRPr="00F273F1">
        <w:t xml:space="preserve"> </w:t>
      </w:r>
      <w:r w:rsidR="003B4F02">
        <w:t>a</w:t>
      </w:r>
      <w:r w:rsidR="00F06C45" w:rsidRPr="00F273F1">
        <w:t xml:space="preserve"> single line</w:t>
      </w:r>
      <w:r w:rsidR="003B4F02">
        <w:t xml:space="preserve"> reflecting the proponents’ </w:t>
      </w:r>
      <w:r w:rsidR="00627603">
        <w:t xml:space="preserve">disputed </w:t>
      </w:r>
      <w:r w:rsidR="003B4F02">
        <w:t>opinion would overcome the language of the constitutional provision</w:t>
      </w:r>
      <w:r w:rsidR="00AD10EB" w:rsidRPr="00F273F1">
        <w:t xml:space="preserve">.  </w:t>
      </w:r>
    </w:p>
    <w:p w14:paraId="31AB30B4" w14:textId="674D4797" w:rsidR="00AD10EB" w:rsidRPr="00F273F1" w:rsidRDefault="00AD10EB" w:rsidP="00F273F1">
      <w:pPr>
        <w:tabs>
          <w:tab w:val="left" w:pos="720"/>
        </w:tabs>
        <w:ind w:firstLine="720"/>
      </w:pPr>
      <w:r w:rsidRPr="00F273F1">
        <w:t xml:space="preserve">The Department’s view is that because the then-existing </w:t>
      </w:r>
      <w:r w:rsidR="00F77B18">
        <w:t>n</w:t>
      </w:r>
      <w:r w:rsidRPr="00F273F1">
        <w:t xml:space="preserve">onviolent </w:t>
      </w:r>
      <w:r w:rsidR="00F77B18">
        <w:t>s</w:t>
      </w:r>
      <w:r w:rsidRPr="00F273F1">
        <w:t xml:space="preserve">econd </w:t>
      </w:r>
      <w:r w:rsidR="00F77B18">
        <w:t>s</w:t>
      </w:r>
      <w:r w:rsidRPr="00F273F1">
        <w:t xml:space="preserve">trike </w:t>
      </w:r>
      <w:r w:rsidR="00F77B18">
        <w:t>o</w:t>
      </w:r>
      <w:r w:rsidR="00103E9B" w:rsidRPr="00F273F1">
        <w:t xml:space="preserve">ffender </w:t>
      </w:r>
      <w:r w:rsidRPr="00F273F1">
        <w:t xml:space="preserve">parole process excluded inmates with a prior or current sex offense requiring registration, the voters would have understood that Proposition 57 would exclude those offenders as well.  But </w:t>
      </w:r>
      <w:r w:rsidR="004712D3">
        <w:t>there is no indication the voters would have understood that to be the case</w:t>
      </w:r>
      <w:r w:rsidRPr="00F273F1">
        <w:t xml:space="preserve">.  As the Department acknowledges, the federal court order referenced in the ballot materials </w:t>
      </w:r>
      <w:r w:rsidR="00103E9B" w:rsidRPr="00F273F1">
        <w:t>did</w:t>
      </w:r>
      <w:r w:rsidRPr="00F273F1">
        <w:t xml:space="preserve"> not exclude inmates with sex offenses from parole consideration.  Rather, it was the Department’s </w:t>
      </w:r>
      <w:r w:rsidRPr="00A62233">
        <w:rPr>
          <w:i/>
          <w:iCs/>
        </w:rPr>
        <w:t>implementation</w:t>
      </w:r>
      <w:r w:rsidRPr="00F273F1">
        <w:t xml:space="preserve"> of the </w:t>
      </w:r>
      <w:r w:rsidR="00F77B18">
        <w:t>n</w:t>
      </w:r>
      <w:r w:rsidRPr="00F273F1">
        <w:t xml:space="preserve">onviolent </w:t>
      </w:r>
      <w:proofErr w:type="gramStart"/>
      <w:r w:rsidR="00F77B18">
        <w:t>s</w:t>
      </w:r>
      <w:r w:rsidRPr="00F273F1">
        <w:t xml:space="preserve">econd </w:t>
      </w:r>
      <w:r w:rsidR="00F77B18">
        <w:t>s</w:t>
      </w:r>
      <w:r w:rsidRPr="00F273F1">
        <w:t>trike</w:t>
      </w:r>
      <w:proofErr w:type="gramEnd"/>
      <w:r w:rsidRPr="00F273F1">
        <w:t xml:space="preserve"> </w:t>
      </w:r>
      <w:r w:rsidR="00F77B18">
        <w:t>o</w:t>
      </w:r>
      <w:r w:rsidR="00103E9B" w:rsidRPr="00F273F1">
        <w:t xml:space="preserve">ffender </w:t>
      </w:r>
      <w:r w:rsidRPr="00F273F1">
        <w:t xml:space="preserve">parole process that carved out that exception.  </w:t>
      </w:r>
    </w:p>
    <w:p w14:paraId="0CEEB3A5" w14:textId="64CF5D0F" w:rsidR="000514C6" w:rsidRPr="00F273F1" w:rsidRDefault="00AD10EB" w:rsidP="00F273F1">
      <w:pPr>
        <w:tabs>
          <w:tab w:val="left" w:pos="720"/>
        </w:tabs>
        <w:ind w:firstLine="720"/>
      </w:pPr>
      <w:r w:rsidRPr="00F273F1">
        <w:t xml:space="preserve">The Department contends that the other references in the ballot materials to the federal court order would have alerted voters that Proposition 57 would not alter the </w:t>
      </w:r>
      <w:r w:rsidR="00F77B18">
        <w:t>n</w:t>
      </w:r>
      <w:r w:rsidRPr="00F273F1">
        <w:t xml:space="preserve">onviolent </w:t>
      </w:r>
      <w:r w:rsidR="00F77B18">
        <w:t>s</w:t>
      </w:r>
      <w:r w:rsidRPr="00F273F1">
        <w:t xml:space="preserve">econd </w:t>
      </w:r>
      <w:r w:rsidR="00F77B18">
        <w:t>s</w:t>
      </w:r>
      <w:r w:rsidRPr="00F273F1">
        <w:t>trike</w:t>
      </w:r>
      <w:r w:rsidR="00F77B18">
        <w:t xml:space="preserve"> o</w:t>
      </w:r>
      <w:r w:rsidR="004C48A9" w:rsidRPr="00F273F1">
        <w:t xml:space="preserve">ffender </w:t>
      </w:r>
      <w:r w:rsidRPr="00F273F1">
        <w:t xml:space="preserve">parole process established under that order.  This argument, too, falls short.  The only other reference to the federal court order in the ballot materials is contained in the </w:t>
      </w:r>
      <w:r w:rsidR="00256055">
        <w:t>a</w:t>
      </w:r>
      <w:r w:rsidR="00256055" w:rsidRPr="00F273F1">
        <w:t xml:space="preserve">nalysis </w:t>
      </w:r>
      <w:r w:rsidRPr="00F273F1">
        <w:t xml:space="preserve">of the Legislative Analyst.  That </w:t>
      </w:r>
      <w:r w:rsidR="00D502E5">
        <w:t>passage</w:t>
      </w:r>
      <w:r w:rsidRPr="00F273F1">
        <w:t xml:space="preserve"> notes that under then-existing law, certain inmates sentenced to determinate terms for nonviolent offenses were eligible for parole, a measure “put in place by a federal court to reduce the state’s prison population.”  </w:t>
      </w:r>
      <w:r w:rsidR="00256055" w:rsidRPr="00F273F1">
        <w:t xml:space="preserve">(Voter Information Guide, Gen. </w:t>
      </w:r>
      <w:r w:rsidR="00256055" w:rsidRPr="00F273F1">
        <w:lastRenderedPageBreak/>
        <w:t>Elec.</w:t>
      </w:r>
      <w:r w:rsidR="00256055">
        <w:t xml:space="preserve">, </w:t>
      </w:r>
      <w:r w:rsidR="00256055">
        <w:rPr>
          <w:i/>
          <w:iCs/>
        </w:rPr>
        <w:t>supra</w:t>
      </w:r>
      <w:r w:rsidR="00256055">
        <w:t>,</w:t>
      </w:r>
      <w:r w:rsidR="00256055" w:rsidRPr="00F273F1">
        <w:t xml:space="preserve"> </w:t>
      </w:r>
      <w:r w:rsidR="00256055">
        <w:t>analysis of</w:t>
      </w:r>
      <w:r w:rsidR="00256055" w:rsidRPr="00F273F1">
        <w:t xml:space="preserve"> Prop</w:t>
      </w:r>
      <w:r w:rsidR="00256055">
        <w:t>.</w:t>
      </w:r>
      <w:r w:rsidR="00256055" w:rsidRPr="00F273F1">
        <w:t xml:space="preserve"> 57</w:t>
      </w:r>
      <w:r w:rsidR="00256055">
        <w:t xml:space="preserve"> by Legis. Analyst</w:t>
      </w:r>
      <w:r w:rsidR="00256055" w:rsidRPr="00F273F1">
        <w:t>, p.</w:t>
      </w:r>
      <w:r w:rsidR="00256055">
        <w:t> </w:t>
      </w:r>
      <w:r w:rsidR="00256055" w:rsidRPr="00F273F1">
        <w:t>5</w:t>
      </w:r>
      <w:r w:rsidR="00256055">
        <w:t>4</w:t>
      </w:r>
      <w:r w:rsidR="00256055" w:rsidRPr="00F273F1">
        <w:t>.)</w:t>
      </w:r>
      <w:r w:rsidR="00256055">
        <w:t xml:space="preserve">  </w:t>
      </w:r>
      <w:r w:rsidRPr="00F273F1">
        <w:t xml:space="preserve">Even if it </w:t>
      </w:r>
      <w:r w:rsidR="004C48A9" w:rsidRPr="00F273F1">
        <w:t xml:space="preserve">were </w:t>
      </w:r>
      <w:r w:rsidRPr="00F273F1">
        <w:t xml:space="preserve">clear to the voters that this referred to the same federal court order mentioned in the proponents’ rebuttal argument, it does not assert that the then-existing parole scheme excluded inmates based on prior or current convictions for sex offenses.  </w:t>
      </w:r>
    </w:p>
    <w:p w14:paraId="44801871" w14:textId="434B9FBB" w:rsidR="00AD10EB" w:rsidRPr="00F273F1" w:rsidRDefault="00AD10EB" w:rsidP="00F273F1">
      <w:pPr>
        <w:tabs>
          <w:tab w:val="left" w:pos="720"/>
        </w:tabs>
        <w:ind w:firstLine="720"/>
      </w:pPr>
      <w:r w:rsidRPr="00F273F1">
        <w:t xml:space="preserve">The Department’s assertion, then, is that the voters would have read the single oblique reference to the court order in the proponents’ rebuttal and would have been familiar not only with that order but </w:t>
      </w:r>
      <w:r w:rsidR="00113D53">
        <w:t xml:space="preserve">also </w:t>
      </w:r>
      <w:r w:rsidRPr="00F273F1">
        <w:t xml:space="preserve">with the administrative documents implementing that court order.  Those implementing documents, however, were not before the voters.  </w:t>
      </w:r>
      <w:r w:rsidR="00AE245F" w:rsidRPr="00F273F1">
        <w:t>An assumption that voters understood the nuances of an administrative program the ballot materials reference</w:t>
      </w:r>
      <w:r w:rsidR="00FC3997">
        <w:t>d</w:t>
      </w:r>
      <w:r w:rsidR="00AE245F" w:rsidRPr="00F273F1">
        <w:t xml:space="preserve"> </w:t>
      </w:r>
      <w:r w:rsidR="00D502E5" w:rsidRPr="00F273F1">
        <w:t xml:space="preserve">only vaguely </w:t>
      </w:r>
      <w:r w:rsidR="00AE245F" w:rsidRPr="00F273F1">
        <w:t xml:space="preserve">and did not actually present would stretch </w:t>
      </w:r>
      <w:r w:rsidR="00403B5F" w:rsidRPr="00F273F1">
        <w:t xml:space="preserve">beyond the breaking point </w:t>
      </w:r>
      <w:r w:rsidR="00AE245F" w:rsidRPr="00F273F1">
        <w:t>our axio</w:t>
      </w:r>
      <w:r w:rsidR="00D2423D" w:rsidRPr="00F273F1">
        <w:t>m</w:t>
      </w:r>
      <w:r w:rsidR="00AE245F" w:rsidRPr="00F273F1">
        <w:t xml:space="preserve"> that voters are generally aware of existing law.  </w:t>
      </w:r>
      <w:r w:rsidR="00B224DD" w:rsidRPr="00F273F1">
        <w:t xml:space="preserve">(See </w:t>
      </w:r>
      <w:r w:rsidR="00B224DD" w:rsidRPr="00F273F1">
        <w:rPr>
          <w:i/>
          <w:iCs/>
        </w:rPr>
        <w:t>Robert L.</w:t>
      </w:r>
      <w:r w:rsidR="00B224DD" w:rsidRPr="00F273F1">
        <w:t xml:space="preserve">, </w:t>
      </w:r>
      <w:r w:rsidR="00B224DD" w:rsidRPr="00F273F1">
        <w:rPr>
          <w:i/>
          <w:iCs/>
        </w:rPr>
        <w:t>supra</w:t>
      </w:r>
      <w:r w:rsidR="00B224DD" w:rsidRPr="00F273F1">
        <w:t>, 30</w:t>
      </w:r>
      <w:r w:rsidR="000C43B8">
        <w:t> </w:t>
      </w:r>
      <w:r w:rsidR="00B224DD" w:rsidRPr="00F273F1">
        <w:t>Cal.4th at p.</w:t>
      </w:r>
      <w:r w:rsidR="00E25585">
        <w:t> </w:t>
      </w:r>
      <w:r w:rsidR="00B224DD" w:rsidRPr="00F273F1">
        <w:t xml:space="preserve">905 [“to the extent the Court of Appeal, in ascertaining the voters’ intent, relied on evidence of the drafters’ intent that was not presented to the voters, we decline to follow it”]).  </w:t>
      </w:r>
      <w:r w:rsidRPr="00F273F1">
        <w:t>“[A] possible inference based on the ballot argument is an insufficient basis on which to ignore the unrestricted and unambiguous language of the measure itself.  It would be a strained approach to constitutional analysis if we were to give more weight to a possible inference in an extrinsic source (a ballot argument) than to a clear statement in the Constitution itself.”  (</w:t>
      </w:r>
      <w:r w:rsidRPr="00F273F1">
        <w:rPr>
          <w:i/>
          <w:iCs/>
        </w:rPr>
        <w:t>Delaney v. Superior Court</w:t>
      </w:r>
      <w:r w:rsidRPr="00F273F1">
        <w:t xml:space="preserve">, </w:t>
      </w:r>
      <w:r w:rsidRPr="00F273F1">
        <w:rPr>
          <w:i/>
          <w:iCs/>
        </w:rPr>
        <w:t>supra</w:t>
      </w:r>
      <w:r w:rsidRPr="00F273F1">
        <w:t>, 50</w:t>
      </w:r>
      <w:r w:rsidR="002278BD">
        <w:t> </w:t>
      </w:r>
      <w:r w:rsidRPr="00F273F1">
        <w:t>Cal.3d at p.</w:t>
      </w:r>
      <w:r w:rsidR="00E25585">
        <w:t> </w:t>
      </w:r>
      <w:r w:rsidRPr="00F273F1">
        <w:t xml:space="preserve">803.)   </w:t>
      </w:r>
    </w:p>
    <w:p w14:paraId="22DBDDED" w14:textId="339D2C61" w:rsidR="00AD10EB" w:rsidRPr="00F273F1" w:rsidRDefault="00AD10EB" w:rsidP="00F273F1">
      <w:pPr>
        <w:tabs>
          <w:tab w:val="left" w:pos="720"/>
        </w:tabs>
        <w:ind w:firstLine="720"/>
        <w:rPr>
          <w:iCs/>
        </w:rPr>
      </w:pPr>
      <w:r w:rsidRPr="00F273F1">
        <w:t xml:space="preserve">Our analysis of the voters’ intent does not change merely because the proponents of the initiative here included the Governor.  The Department cites no authority for </w:t>
      </w:r>
      <w:r w:rsidR="00753E60">
        <w:t xml:space="preserve">the </w:t>
      </w:r>
      <w:r w:rsidRPr="00F273F1">
        <w:t>proposition</w:t>
      </w:r>
      <w:r w:rsidR="00BB4A4A">
        <w:t xml:space="preserve"> that the voters would credit the views of the Governor over those of the opponents</w:t>
      </w:r>
      <w:r w:rsidRPr="00F273F1">
        <w:t xml:space="preserve">, and </w:t>
      </w:r>
      <w:r w:rsidR="009D7DB8">
        <w:t>we</w:t>
      </w:r>
      <w:r w:rsidRPr="00F273F1">
        <w:t xml:space="preserve"> have found none.  </w:t>
      </w:r>
      <w:r w:rsidRPr="00F273F1">
        <w:lastRenderedPageBreak/>
        <w:t xml:space="preserve">On the contrary, our case law examining ballot materials to discern the voters’ intent has considered arguments proffered by both opponents and proponents, and without regard for whether one party was an elected official.  (See, e.g., </w:t>
      </w:r>
      <w:r w:rsidRPr="00F273F1">
        <w:rPr>
          <w:i/>
        </w:rPr>
        <w:t>Robert L.</w:t>
      </w:r>
      <w:r w:rsidRPr="00F273F1">
        <w:rPr>
          <w:iCs/>
        </w:rPr>
        <w:t xml:space="preserve">, </w:t>
      </w:r>
      <w:r w:rsidRPr="00F273F1">
        <w:rPr>
          <w:i/>
        </w:rPr>
        <w:t>supra</w:t>
      </w:r>
      <w:r w:rsidRPr="00F273F1">
        <w:rPr>
          <w:iCs/>
        </w:rPr>
        <w:t>, 30</w:t>
      </w:r>
      <w:r w:rsidR="002776C3">
        <w:rPr>
          <w:iCs/>
        </w:rPr>
        <w:t> </w:t>
      </w:r>
      <w:r w:rsidRPr="00F273F1">
        <w:rPr>
          <w:iCs/>
        </w:rPr>
        <w:t>Cal.4th at pp.</w:t>
      </w:r>
      <w:r w:rsidR="000C43B8">
        <w:rPr>
          <w:iCs/>
        </w:rPr>
        <w:t> </w:t>
      </w:r>
      <w:r w:rsidRPr="00F273F1">
        <w:rPr>
          <w:iCs/>
        </w:rPr>
        <w:t>906</w:t>
      </w:r>
      <w:r w:rsidR="008155AB">
        <w:rPr>
          <w:iCs/>
        </w:rPr>
        <w:t>–</w:t>
      </w:r>
      <w:r w:rsidRPr="00F273F1">
        <w:rPr>
          <w:iCs/>
        </w:rPr>
        <w:t xml:space="preserve">907 [giving weight to opponents’ arguments].)  </w:t>
      </w:r>
      <w:r w:rsidR="00F203FA">
        <w:rPr>
          <w:iCs/>
        </w:rPr>
        <w:t>In any event, as explained earlier, when an argument for or against a ballot measure conflicts with the measure’s plain text, the text must govern the measure’s interpretation.</w:t>
      </w:r>
    </w:p>
    <w:p w14:paraId="75C45F20" w14:textId="3F39536D" w:rsidR="0067270B" w:rsidRDefault="00AD10EB" w:rsidP="00F273F1">
      <w:pPr>
        <w:tabs>
          <w:tab w:val="left" w:pos="720"/>
        </w:tabs>
        <w:ind w:firstLine="720"/>
        <w:rPr>
          <w:iCs/>
        </w:rPr>
      </w:pPr>
      <w:r w:rsidRPr="00F273F1">
        <w:rPr>
          <w:iCs/>
        </w:rPr>
        <w:t xml:space="preserve">The Department </w:t>
      </w:r>
      <w:r w:rsidR="00E25A0C" w:rsidRPr="00F273F1">
        <w:rPr>
          <w:iCs/>
        </w:rPr>
        <w:t>reprises</w:t>
      </w:r>
      <w:r w:rsidRPr="00F273F1">
        <w:rPr>
          <w:iCs/>
        </w:rPr>
        <w:t xml:space="preserve"> </w:t>
      </w:r>
      <w:r w:rsidR="002A231D">
        <w:rPr>
          <w:iCs/>
        </w:rPr>
        <w:t xml:space="preserve">yet again </w:t>
      </w:r>
      <w:r w:rsidRPr="00F273F1">
        <w:rPr>
          <w:iCs/>
        </w:rPr>
        <w:t xml:space="preserve">its arguments that the voters would have understood from the constitutional provision directing the Department to adopt regulations in furtherance of the initiative that the initiative provided only a “framework” for nonviolent </w:t>
      </w:r>
      <w:r w:rsidR="00AE7EA6" w:rsidRPr="00F273F1">
        <w:rPr>
          <w:iCs/>
        </w:rPr>
        <w:t xml:space="preserve">offender </w:t>
      </w:r>
      <w:r w:rsidRPr="00F273F1">
        <w:rPr>
          <w:iCs/>
        </w:rPr>
        <w:t>parole consideration, that the Department would fill up the details</w:t>
      </w:r>
      <w:r w:rsidR="00EF6092">
        <w:rPr>
          <w:iCs/>
        </w:rPr>
        <w:t>,</w:t>
      </w:r>
      <w:r w:rsidRPr="00F273F1">
        <w:rPr>
          <w:iCs/>
        </w:rPr>
        <w:t xml:space="preserve"> and that the focus on public safety considerations in the constitutional language and ballot materials would give the Department broad authority to determine what inmates would be eligible for</w:t>
      </w:r>
      <w:r w:rsidR="00AE7EA6" w:rsidRPr="00F273F1">
        <w:rPr>
          <w:iCs/>
        </w:rPr>
        <w:t xml:space="preserve"> </w:t>
      </w:r>
      <w:r w:rsidRPr="00F273F1">
        <w:rPr>
          <w:iCs/>
        </w:rPr>
        <w:t>parole consideration</w:t>
      </w:r>
      <w:r w:rsidR="00AE7EA6" w:rsidRPr="00F273F1">
        <w:rPr>
          <w:iCs/>
        </w:rPr>
        <w:t xml:space="preserve"> under the initiative</w:t>
      </w:r>
      <w:r w:rsidRPr="00F273F1">
        <w:rPr>
          <w:iCs/>
        </w:rPr>
        <w:t xml:space="preserve">.  These </w:t>
      </w:r>
      <w:r w:rsidR="00853E10" w:rsidRPr="00F273F1">
        <w:rPr>
          <w:iCs/>
        </w:rPr>
        <w:t xml:space="preserve">assertions </w:t>
      </w:r>
      <w:r w:rsidRPr="00F273F1">
        <w:rPr>
          <w:iCs/>
        </w:rPr>
        <w:t xml:space="preserve">are no more persuasive in the context of the ballot materials than they are in the context of </w:t>
      </w:r>
      <w:r w:rsidR="00FA26E6" w:rsidRPr="00F273F1">
        <w:rPr>
          <w:iCs/>
        </w:rPr>
        <w:t xml:space="preserve">reviewing </w:t>
      </w:r>
      <w:r w:rsidRPr="00F273F1">
        <w:rPr>
          <w:iCs/>
        </w:rPr>
        <w:t xml:space="preserve">the language of the constitutional provisions at issue.  Without language in the </w:t>
      </w:r>
      <w:r w:rsidR="00E513B6">
        <w:rPr>
          <w:iCs/>
        </w:rPr>
        <w:t>constitutional provision</w:t>
      </w:r>
      <w:r w:rsidRPr="00F273F1">
        <w:rPr>
          <w:iCs/>
        </w:rPr>
        <w:t xml:space="preserve"> that expressed or strongly implied the authority of the Department to carry out such exclusions, we cannot say the voters intended such exclusions.  (</w:t>
      </w:r>
      <w:r w:rsidRPr="00F273F1">
        <w:rPr>
          <w:i/>
        </w:rPr>
        <w:t>People v. Valencia</w:t>
      </w:r>
      <w:r w:rsidRPr="00F273F1">
        <w:rPr>
          <w:iCs/>
        </w:rPr>
        <w:t xml:space="preserve">, </w:t>
      </w:r>
      <w:r w:rsidRPr="00F273F1">
        <w:rPr>
          <w:i/>
        </w:rPr>
        <w:t>supra</w:t>
      </w:r>
      <w:r w:rsidRPr="00F273F1">
        <w:rPr>
          <w:iCs/>
        </w:rPr>
        <w:t>, 3</w:t>
      </w:r>
      <w:r w:rsidR="000C43B8">
        <w:rPr>
          <w:iCs/>
        </w:rPr>
        <w:t> </w:t>
      </w:r>
      <w:r w:rsidRPr="00F273F1">
        <w:rPr>
          <w:iCs/>
        </w:rPr>
        <w:t>Cal.5th at p.</w:t>
      </w:r>
      <w:r w:rsidR="00E25585">
        <w:rPr>
          <w:iCs/>
        </w:rPr>
        <w:t> </w:t>
      </w:r>
      <w:r w:rsidRPr="00F273F1">
        <w:rPr>
          <w:iCs/>
        </w:rPr>
        <w:t xml:space="preserve">364.)  </w:t>
      </w:r>
      <w:r w:rsidR="0067270B">
        <w:rPr>
          <w:iCs/>
        </w:rPr>
        <w:br w:type="page"/>
      </w:r>
    </w:p>
    <w:p w14:paraId="08C18122" w14:textId="64021C5A" w:rsidR="001B57E8" w:rsidRPr="00F273F1" w:rsidRDefault="00B53AAE" w:rsidP="00F273F1">
      <w:pPr>
        <w:pStyle w:val="Heading1"/>
      </w:pPr>
      <w:r w:rsidRPr="00F273F1">
        <w:lastRenderedPageBreak/>
        <w:t xml:space="preserve">III.  </w:t>
      </w:r>
      <w:r w:rsidR="001B57E8" w:rsidRPr="00F273F1">
        <w:t>Conclusion</w:t>
      </w:r>
    </w:p>
    <w:p w14:paraId="2166277E" w14:textId="0F1C2460" w:rsidR="00CB127A" w:rsidRPr="00F273F1" w:rsidRDefault="001B57E8" w:rsidP="00F273F1">
      <w:pPr>
        <w:tabs>
          <w:tab w:val="left" w:pos="1440"/>
        </w:tabs>
        <w:ind w:firstLine="720"/>
      </w:pPr>
      <w:r w:rsidRPr="00F273F1">
        <w:t xml:space="preserve">The constitutional provision approved by the voters </w:t>
      </w:r>
      <w:r w:rsidR="00C218FA" w:rsidRPr="00F273F1">
        <w:t>does</w:t>
      </w:r>
      <w:r w:rsidRPr="00F273F1">
        <w:t xml:space="preserve"> not </w:t>
      </w:r>
      <w:r w:rsidR="00C218FA" w:rsidRPr="00F273F1">
        <w:t xml:space="preserve">require the release of any inmate.  </w:t>
      </w:r>
      <w:r w:rsidR="00AF6559" w:rsidRPr="00F273F1">
        <w:t>Whether an inm</w:t>
      </w:r>
      <w:r w:rsidR="00525012" w:rsidRPr="00F273F1">
        <w:t>ate is suitable for parole depends in part on that individual’s</w:t>
      </w:r>
      <w:r w:rsidR="00AF6559" w:rsidRPr="00F273F1">
        <w:t xml:space="preserve"> prior criminal history</w:t>
      </w:r>
      <w:r w:rsidR="00FE6340">
        <w:t xml:space="preserve"> </w:t>
      </w:r>
      <w:r w:rsidR="0032644F">
        <w:t xml:space="preserve">and </w:t>
      </w:r>
      <w:r w:rsidR="005324BD">
        <w:t xml:space="preserve">the nature of his or her </w:t>
      </w:r>
      <w:r w:rsidR="0032644F">
        <w:t>current offense</w:t>
      </w:r>
      <w:r w:rsidR="00AF6559" w:rsidRPr="00F273F1">
        <w:t>.</w:t>
      </w:r>
      <w:r w:rsidR="0032644F">
        <w:t xml:space="preserve">  Thus, the Board of Parole Hearings may consider an inmate’s prior or current sex offense convictions when evaluating the inmate’s suitability for parole.</w:t>
      </w:r>
      <w:r w:rsidR="00AF6559" w:rsidRPr="00F273F1">
        <w:t xml:space="preserve">  (Cal. Code Regs., </w:t>
      </w:r>
      <w:r w:rsidR="00D30C75">
        <w:t>§</w:t>
      </w:r>
      <w:r w:rsidR="00AF6559" w:rsidRPr="00F273F1">
        <w:t>§</w:t>
      </w:r>
      <w:r w:rsidR="00382939">
        <w:t> </w:t>
      </w:r>
      <w:r w:rsidR="00AF6559" w:rsidRPr="00F273F1">
        <w:t>2449.</w:t>
      </w:r>
      <w:r w:rsidR="00593CA3">
        <w:t>4</w:t>
      </w:r>
      <w:r w:rsidR="00AF6559" w:rsidRPr="00F273F1">
        <w:t xml:space="preserve">, </w:t>
      </w:r>
      <w:proofErr w:type="spellStart"/>
      <w:r w:rsidR="00AF6559" w:rsidRPr="00F273F1">
        <w:t>subd</w:t>
      </w:r>
      <w:proofErr w:type="spellEnd"/>
      <w:r w:rsidR="00AF6559" w:rsidRPr="00F273F1">
        <w:t>. (</w:t>
      </w:r>
      <w:r w:rsidR="00D30C75">
        <w:t>b</w:t>
      </w:r>
      <w:r w:rsidR="00593CA3">
        <w:t>)</w:t>
      </w:r>
      <w:r w:rsidR="00D30C75">
        <w:t>(1), 2449.</w:t>
      </w:r>
      <w:r w:rsidR="00D04413">
        <w:t>5</w:t>
      </w:r>
      <w:r w:rsidR="00AF6559" w:rsidRPr="00F273F1">
        <w:t>.)</w:t>
      </w:r>
      <w:r w:rsidR="00C97525" w:rsidRPr="00F273F1">
        <w:t xml:space="preserve">  T</w:t>
      </w:r>
      <w:r w:rsidR="00525012" w:rsidRPr="00F273F1">
        <w:t>he Department’s regulation</w:t>
      </w:r>
      <w:r w:rsidR="00C86E83">
        <w:t>s</w:t>
      </w:r>
      <w:r w:rsidR="00C97525" w:rsidRPr="00F273F1">
        <w:t>, however,</w:t>
      </w:r>
      <w:r w:rsidR="00525012" w:rsidRPr="00F273F1">
        <w:t xml:space="preserve"> </w:t>
      </w:r>
      <w:r w:rsidR="008554FB" w:rsidRPr="00F273F1">
        <w:t xml:space="preserve">treat all </w:t>
      </w:r>
      <w:r w:rsidR="00AF025E" w:rsidRPr="00F273F1">
        <w:t xml:space="preserve">individuals with </w:t>
      </w:r>
      <w:r w:rsidR="008554FB" w:rsidRPr="00F273F1">
        <w:t xml:space="preserve">convictions for </w:t>
      </w:r>
      <w:r w:rsidR="003E3DA5">
        <w:t xml:space="preserve">registerable </w:t>
      </w:r>
      <w:r w:rsidR="008554FB" w:rsidRPr="00F273F1">
        <w:t xml:space="preserve">sex offenses </w:t>
      </w:r>
      <w:r w:rsidR="00AF025E" w:rsidRPr="00F273F1">
        <w:t>as categorically ineligible for parole</w:t>
      </w:r>
      <w:r w:rsidR="00427D71">
        <w:t>, even when the Department</w:t>
      </w:r>
      <w:r w:rsidR="005D6603">
        <w:t>’s own regulations</w:t>
      </w:r>
      <w:r w:rsidR="00427D71">
        <w:t xml:space="preserve"> classif</w:t>
      </w:r>
      <w:r w:rsidR="005D6603">
        <w:t>y</w:t>
      </w:r>
      <w:r w:rsidR="00427D71">
        <w:t xml:space="preserve"> </w:t>
      </w:r>
      <w:r w:rsidR="00742BD4">
        <w:t>those inmates as having been convicted of a nonviolent felony</w:t>
      </w:r>
      <w:r w:rsidR="00AF025E" w:rsidRPr="00F273F1">
        <w:t xml:space="preserve">.  </w:t>
      </w:r>
      <w:r w:rsidR="00BF4C7A" w:rsidRPr="00F273F1">
        <w:t>In doing so</w:t>
      </w:r>
      <w:r w:rsidR="00D35B1D" w:rsidRPr="00F273F1">
        <w:t>,</w:t>
      </w:r>
      <w:r w:rsidR="00BF4C7A" w:rsidRPr="00F273F1">
        <w:t xml:space="preserve"> </w:t>
      </w:r>
      <w:r w:rsidR="00742BD4">
        <w:t>the Department</w:t>
      </w:r>
      <w:r w:rsidR="00BF4C7A" w:rsidRPr="00F273F1">
        <w:t xml:space="preserve"> </w:t>
      </w:r>
      <w:r w:rsidR="003C7AEC" w:rsidRPr="00F273F1">
        <w:t xml:space="preserve">denies </w:t>
      </w:r>
      <w:r w:rsidR="00D35B1D" w:rsidRPr="00F273F1">
        <w:t xml:space="preserve">even </w:t>
      </w:r>
      <w:r w:rsidR="00BF4C7A" w:rsidRPr="00F273F1">
        <w:t xml:space="preserve">the mere possibility of parole to </w:t>
      </w:r>
      <w:r w:rsidR="003C7AEC" w:rsidRPr="00F273F1">
        <w:t>an entire category of “person[s] convicted of a nonviolent felony offense</w:t>
      </w:r>
      <w:r w:rsidR="004B57CA" w:rsidRPr="00F273F1">
        <w:t>.</w:t>
      </w:r>
      <w:r w:rsidR="003C7AEC" w:rsidRPr="00F273F1">
        <w:t>”</w:t>
      </w:r>
      <w:r w:rsidR="005F17AD" w:rsidRPr="00F273F1">
        <w:t xml:space="preserve">  </w:t>
      </w:r>
      <w:r w:rsidR="00D04413">
        <w:t xml:space="preserve">(Art. I, § 32(a)(1).)  </w:t>
      </w:r>
      <w:r w:rsidR="001822A6" w:rsidRPr="00F273F1">
        <w:t xml:space="preserve">This precondition to parole consideration is </w:t>
      </w:r>
      <w:r w:rsidR="00283759" w:rsidRPr="00F273F1">
        <w:t>inconsistent with</w:t>
      </w:r>
      <w:r w:rsidR="001822A6" w:rsidRPr="00F273F1">
        <w:t xml:space="preserve"> the Constitution</w:t>
      </w:r>
      <w:r w:rsidR="004B57CA" w:rsidRPr="00F273F1">
        <w:t xml:space="preserve"> as amended by Proposition 57</w:t>
      </w:r>
      <w:r w:rsidR="001822A6" w:rsidRPr="00F273F1">
        <w:t xml:space="preserve">.  </w:t>
      </w:r>
    </w:p>
    <w:p w14:paraId="60A90390" w14:textId="52D85D3A" w:rsidR="007B3660" w:rsidRDefault="000C3AC2" w:rsidP="00EE499B">
      <w:pPr>
        <w:tabs>
          <w:tab w:val="left" w:pos="1440"/>
        </w:tabs>
        <w:ind w:firstLine="720"/>
      </w:pPr>
      <w:r>
        <w:t>We</w:t>
      </w:r>
      <w:r w:rsidR="00DD7955" w:rsidRPr="00F273F1">
        <w:t xml:space="preserve"> therefore hold that nonviolent </w:t>
      </w:r>
      <w:r>
        <w:t xml:space="preserve">offender </w:t>
      </w:r>
      <w:r w:rsidR="00DD7955" w:rsidRPr="00F273F1">
        <w:t xml:space="preserve">parole eligibility must be based on an inmate’s current conviction.  </w:t>
      </w:r>
      <w:r w:rsidR="00F216DC">
        <w:t xml:space="preserve">We further hold that an inmate may not be excluded from nonviolent offender parole consideration based on a current conviction for a </w:t>
      </w:r>
      <w:r w:rsidR="00EB22C5">
        <w:t>registerable</w:t>
      </w:r>
      <w:r w:rsidR="00F216DC">
        <w:t xml:space="preserve"> </w:t>
      </w:r>
      <w:r w:rsidR="00EB22C5">
        <w:t>felony</w:t>
      </w:r>
      <w:r w:rsidR="00F216DC">
        <w:t xml:space="preserve"> offense </w:t>
      </w:r>
      <w:r w:rsidR="00CC7315">
        <w:t xml:space="preserve">that </w:t>
      </w:r>
      <w:r w:rsidR="00EB22C5">
        <w:t>the Department’s regulations have defined as nonviolent</w:t>
      </w:r>
      <w:r w:rsidR="00F216DC">
        <w:t xml:space="preserve">.  </w:t>
      </w:r>
      <w:r w:rsidR="00DD7955" w:rsidRPr="00F273F1">
        <w:t xml:space="preserve">The </w:t>
      </w:r>
      <w:r w:rsidR="005C11DD">
        <w:t>regulatory provision</w:t>
      </w:r>
      <w:r w:rsidR="00FC3997">
        <w:t>s</w:t>
      </w:r>
      <w:r w:rsidR="00DD7955" w:rsidRPr="00F273F1">
        <w:t xml:space="preserve"> at issue here </w:t>
      </w:r>
      <w:r w:rsidR="00FC3997">
        <w:t>are</w:t>
      </w:r>
      <w:r w:rsidR="005C11DD" w:rsidRPr="00F273F1">
        <w:t xml:space="preserve"> </w:t>
      </w:r>
      <w:r w:rsidR="00DD7955" w:rsidRPr="00F273F1">
        <w:t xml:space="preserve">inconsistent with the language of </w:t>
      </w:r>
      <w:r w:rsidR="003D79B9">
        <w:t xml:space="preserve">article I, </w:t>
      </w:r>
      <w:r w:rsidR="00DD7955" w:rsidRPr="00F273F1">
        <w:t>section 32(a)(1) and cannot stand.</w:t>
      </w:r>
      <w:r w:rsidR="00517080">
        <w:t xml:space="preserve">  We direct the Department to </w:t>
      </w:r>
      <w:r w:rsidR="005E016E">
        <w:t xml:space="preserve">treat as void and repeal </w:t>
      </w:r>
      <w:r w:rsidR="00A92D9F">
        <w:t xml:space="preserve">California Code of Regulations, </w:t>
      </w:r>
      <w:r w:rsidR="003B402D">
        <w:t>section 3491, subdivision (b)(3)</w:t>
      </w:r>
      <w:r w:rsidR="005E016E">
        <w:t>,</w:t>
      </w:r>
      <w:r w:rsidR="00CA79AE">
        <w:t xml:space="preserve"> and section 3496, subdivision (b),</w:t>
      </w:r>
      <w:r w:rsidR="005E016E">
        <w:t xml:space="preserve"> and to make any further conforming changes necessary to render the regulations consistent with </w:t>
      </w:r>
      <w:r w:rsidR="003D79B9">
        <w:t xml:space="preserve">article I, </w:t>
      </w:r>
      <w:r w:rsidR="005E016E">
        <w:t>section 32(a)(1) and this opinion.</w:t>
      </w:r>
      <w:r w:rsidR="00C46537">
        <w:t xml:space="preserve">  </w:t>
      </w:r>
    </w:p>
    <w:p w14:paraId="3929BC6B" w14:textId="0DEC18D2" w:rsidR="000214FC" w:rsidRPr="00F273F1" w:rsidRDefault="000214FC" w:rsidP="00F273F1">
      <w:pPr>
        <w:tabs>
          <w:tab w:val="left" w:pos="1440"/>
        </w:tabs>
        <w:ind w:firstLine="720"/>
      </w:pPr>
      <w:r>
        <w:lastRenderedPageBreak/>
        <w:t>The judgment of the Court of Appeal is affirmed.</w:t>
      </w:r>
    </w:p>
    <w:p w14:paraId="7BD5DAB5" w14:textId="733F11D0" w:rsidR="007B3660" w:rsidRDefault="007B3660" w:rsidP="00F273F1">
      <w:pPr>
        <w:tabs>
          <w:tab w:val="left" w:pos="1440"/>
        </w:tabs>
      </w:pPr>
    </w:p>
    <w:p w14:paraId="559B3FBD" w14:textId="3A22E638" w:rsidR="002F29E8" w:rsidRDefault="002F29E8" w:rsidP="002F29E8">
      <w:pPr>
        <w:tabs>
          <w:tab w:val="right" w:pos="7740"/>
        </w:tabs>
        <w:rPr>
          <w:b/>
          <w:bCs/>
        </w:rPr>
      </w:pPr>
      <w:r>
        <w:tab/>
      </w:r>
      <w:r w:rsidRPr="002F29E8">
        <w:rPr>
          <w:b/>
          <w:bCs/>
        </w:rPr>
        <w:t>CANTIL-SAKAUYE, C. J.</w:t>
      </w:r>
    </w:p>
    <w:p w14:paraId="67E6D6D2" w14:textId="1DCC2662" w:rsidR="00CC7315" w:rsidRDefault="00CC7315" w:rsidP="002F29E8">
      <w:pPr>
        <w:tabs>
          <w:tab w:val="right" w:pos="7740"/>
        </w:tabs>
        <w:rPr>
          <w:b/>
          <w:bCs/>
        </w:rPr>
      </w:pPr>
    </w:p>
    <w:p w14:paraId="3BE94D40" w14:textId="0F5A986F" w:rsidR="00CC7315" w:rsidRPr="002F29E8" w:rsidRDefault="00CC7315" w:rsidP="002F29E8">
      <w:pPr>
        <w:tabs>
          <w:tab w:val="right" w:pos="7740"/>
        </w:tabs>
        <w:rPr>
          <w:b/>
          <w:bCs/>
        </w:rPr>
      </w:pPr>
      <w:r>
        <w:rPr>
          <w:b/>
          <w:bCs/>
        </w:rPr>
        <w:t>We Concur:</w:t>
      </w:r>
    </w:p>
    <w:p w14:paraId="72BA9275" w14:textId="77777777" w:rsidR="00D22979" w:rsidRPr="00D22979" w:rsidRDefault="00D22979" w:rsidP="00D22979">
      <w:pPr>
        <w:tabs>
          <w:tab w:val="left" w:pos="1440"/>
        </w:tabs>
        <w:spacing w:after="0" w:line="240" w:lineRule="auto"/>
        <w:rPr>
          <w:b/>
          <w:bCs/>
        </w:rPr>
      </w:pPr>
      <w:r w:rsidRPr="00D22979">
        <w:rPr>
          <w:b/>
          <w:bCs/>
        </w:rPr>
        <w:t>CORRIGAN, J.</w:t>
      </w:r>
    </w:p>
    <w:p w14:paraId="666B48E7" w14:textId="77777777" w:rsidR="00D22979" w:rsidRPr="00D22979" w:rsidRDefault="00D22979" w:rsidP="00D22979">
      <w:pPr>
        <w:tabs>
          <w:tab w:val="left" w:pos="1440"/>
        </w:tabs>
        <w:spacing w:after="0" w:line="240" w:lineRule="auto"/>
        <w:rPr>
          <w:b/>
          <w:bCs/>
        </w:rPr>
      </w:pPr>
      <w:r w:rsidRPr="00D22979">
        <w:rPr>
          <w:b/>
          <w:bCs/>
        </w:rPr>
        <w:t>LIU, J.</w:t>
      </w:r>
    </w:p>
    <w:p w14:paraId="4B4A239A" w14:textId="09F23AEF" w:rsidR="004A0C1C" w:rsidRPr="00D22979" w:rsidRDefault="00D22979" w:rsidP="00D22979">
      <w:pPr>
        <w:tabs>
          <w:tab w:val="left" w:pos="1440"/>
        </w:tabs>
        <w:spacing w:after="0" w:line="240" w:lineRule="auto"/>
        <w:rPr>
          <w:b/>
          <w:bCs/>
        </w:rPr>
      </w:pPr>
      <w:r w:rsidRPr="00D22979">
        <w:rPr>
          <w:b/>
          <w:bCs/>
        </w:rPr>
        <w:t>CUÉLLAR, J.</w:t>
      </w:r>
    </w:p>
    <w:p w14:paraId="2CCBA463" w14:textId="2C319505" w:rsidR="00D22979" w:rsidRPr="00D22979" w:rsidRDefault="00D22979" w:rsidP="00D22979">
      <w:pPr>
        <w:tabs>
          <w:tab w:val="left" w:pos="1440"/>
        </w:tabs>
        <w:spacing w:after="0" w:line="240" w:lineRule="auto"/>
        <w:rPr>
          <w:b/>
          <w:bCs/>
        </w:rPr>
      </w:pPr>
      <w:r w:rsidRPr="00D22979">
        <w:rPr>
          <w:b/>
          <w:bCs/>
        </w:rPr>
        <w:t>KRUGER, J.</w:t>
      </w:r>
    </w:p>
    <w:p w14:paraId="052E9EDC" w14:textId="329BFBA8" w:rsidR="00D22979" w:rsidRPr="00D22979" w:rsidRDefault="00D22979" w:rsidP="00D22979">
      <w:pPr>
        <w:tabs>
          <w:tab w:val="left" w:pos="1440"/>
        </w:tabs>
        <w:spacing w:after="0" w:line="240" w:lineRule="auto"/>
        <w:rPr>
          <w:b/>
          <w:bCs/>
        </w:rPr>
      </w:pPr>
      <w:r w:rsidRPr="00D22979">
        <w:rPr>
          <w:b/>
          <w:bCs/>
        </w:rPr>
        <w:t>GROBAN, J.</w:t>
      </w:r>
    </w:p>
    <w:p w14:paraId="25123A38" w14:textId="1771BAF8" w:rsidR="00D22979" w:rsidRDefault="00D22979" w:rsidP="00D22979">
      <w:pPr>
        <w:tabs>
          <w:tab w:val="left" w:pos="1440"/>
        </w:tabs>
        <w:spacing w:after="0" w:line="240" w:lineRule="auto"/>
      </w:pPr>
      <w:r w:rsidRPr="00D22979">
        <w:rPr>
          <w:b/>
          <w:bCs/>
        </w:rPr>
        <w:t>HILL, J.</w:t>
      </w:r>
      <w:r w:rsidRPr="00C07D38">
        <w:rPr>
          <w:b/>
          <w:bCs/>
          <w:vertAlign w:val="superscript"/>
        </w:rPr>
        <w:t>*</w:t>
      </w:r>
    </w:p>
    <w:p w14:paraId="011E7FD5" w14:textId="5C3E41F0" w:rsidR="00D22979" w:rsidRDefault="00D22979" w:rsidP="002776C3">
      <w:pPr>
        <w:tabs>
          <w:tab w:val="left" w:pos="1440"/>
        </w:tabs>
      </w:pPr>
    </w:p>
    <w:p w14:paraId="5B747332" w14:textId="1D742B4B" w:rsidR="00D22979" w:rsidRDefault="00D22979" w:rsidP="002776C3">
      <w:pPr>
        <w:tabs>
          <w:tab w:val="left" w:pos="1440"/>
        </w:tabs>
      </w:pPr>
    </w:p>
    <w:p w14:paraId="0CADA5D4" w14:textId="7CBF77B9" w:rsidR="00D22979" w:rsidRDefault="00D22979" w:rsidP="002776C3">
      <w:pPr>
        <w:tabs>
          <w:tab w:val="left" w:pos="1440"/>
        </w:tabs>
      </w:pPr>
    </w:p>
    <w:p w14:paraId="5860FFDF" w14:textId="1C44FE08" w:rsidR="00D22979" w:rsidRDefault="00D22979" w:rsidP="002776C3">
      <w:pPr>
        <w:tabs>
          <w:tab w:val="left" w:pos="1440"/>
        </w:tabs>
      </w:pPr>
    </w:p>
    <w:p w14:paraId="1DD24197" w14:textId="262AF8AD" w:rsidR="00D22979" w:rsidRDefault="00D22979" w:rsidP="002776C3">
      <w:pPr>
        <w:tabs>
          <w:tab w:val="left" w:pos="1440"/>
        </w:tabs>
      </w:pPr>
    </w:p>
    <w:p w14:paraId="5992CEE0" w14:textId="701752E5" w:rsidR="00D22979" w:rsidRDefault="00D22979" w:rsidP="002776C3">
      <w:pPr>
        <w:tabs>
          <w:tab w:val="left" w:pos="1440"/>
        </w:tabs>
      </w:pPr>
    </w:p>
    <w:p w14:paraId="49D40E22" w14:textId="672EFA67" w:rsidR="00D22979" w:rsidRDefault="00D22979" w:rsidP="002776C3">
      <w:pPr>
        <w:tabs>
          <w:tab w:val="left" w:pos="1440"/>
        </w:tabs>
      </w:pPr>
    </w:p>
    <w:p w14:paraId="10492946" w14:textId="528EAE93" w:rsidR="00D22979" w:rsidRDefault="00D22979" w:rsidP="002776C3">
      <w:pPr>
        <w:tabs>
          <w:tab w:val="left" w:pos="1440"/>
        </w:tabs>
      </w:pPr>
    </w:p>
    <w:p w14:paraId="46CC1871" w14:textId="1ED27521" w:rsidR="00D22979" w:rsidRDefault="00D22979" w:rsidP="002776C3">
      <w:pPr>
        <w:tabs>
          <w:tab w:val="left" w:pos="1440"/>
        </w:tabs>
      </w:pPr>
    </w:p>
    <w:p w14:paraId="0AE430CF" w14:textId="2C0FDC32" w:rsidR="00D22979" w:rsidRDefault="00D22979" w:rsidP="002776C3">
      <w:pPr>
        <w:tabs>
          <w:tab w:val="left" w:pos="1440"/>
        </w:tabs>
      </w:pPr>
    </w:p>
    <w:p w14:paraId="777F3AB5" w14:textId="66FC3C12" w:rsidR="00EE499B" w:rsidRDefault="00EE499B" w:rsidP="002776C3">
      <w:pPr>
        <w:tabs>
          <w:tab w:val="left" w:pos="1440"/>
        </w:tabs>
      </w:pPr>
    </w:p>
    <w:p w14:paraId="7599645D" w14:textId="18AC3E39" w:rsidR="00EE499B" w:rsidRDefault="00EE499B" w:rsidP="002776C3">
      <w:pPr>
        <w:tabs>
          <w:tab w:val="left" w:pos="1440"/>
        </w:tabs>
      </w:pPr>
    </w:p>
    <w:p w14:paraId="2AC7EBB6" w14:textId="77777777" w:rsidR="00EE499B" w:rsidRDefault="00EE499B" w:rsidP="002776C3">
      <w:pPr>
        <w:tabs>
          <w:tab w:val="left" w:pos="1440"/>
        </w:tabs>
      </w:pPr>
    </w:p>
    <w:p w14:paraId="3BF580F4" w14:textId="77777777" w:rsidR="00D22979" w:rsidRDefault="00D22979" w:rsidP="00D22979">
      <w:pPr>
        <w:pStyle w:val="FootnoteText"/>
      </w:pPr>
      <w:r>
        <w:t>________________________</w:t>
      </w:r>
    </w:p>
    <w:p w14:paraId="0FCF3947" w14:textId="72A71D04" w:rsidR="003E3408" w:rsidRDefault="00D22979" w:rsidP="00D22979">
      <w:pPr>
        <w:pStyle w:val="FootnoteText"/>
        <w:tabs>
          <w:tab w:val="left" w:pos="360"/>
        </w:tabs>
        <w:rPr>
          <w:sz w:val="24"/>
          <w:szCs w:val="24"/>
        </w:rPr>
        <w:sectPr w:rsidR="003E3408" w:rsidSect="006D0ABA">
          <w:footerReference w:type="first" r:id="rId10"/>
          <w:footnotePr>
            <w:numRestart w:val="eachSect"/>
          </w:footnotePr>
          <w:pgSz w:w="12240" w:h="15840"/>
          <w:pgMar w:top="1800" w:right="2160" w:bottom="1440" w:left="2160" w:header="720" w:footer="720" w:gutter="0"/>
          <w:pgNumType w:start="1"/>
          <w:cols w:space="720"/>
          <w:titlePg/>
          <w:docGrid w:linePitch="367"/>
        </w:sectPr>
      </w:pPr>
      <w:r w:rsidRPr="00EE499B">
        <w:rPr>
          <w:rStyle w:val="FootnoteReference"/>
          <w:szCs w:val="27"/>
        </w:rPr>
        <w:t>*</w:t>
      </w:r>
      <w:r w:rsidRPr="00CE217C">
        <w:rPr>
          <w:sz w:val="22"/>
          <w:szCs w:val="22"/>
        </w:rPr>
        <w:t xml:space="preserve"> </w:t>
      </w:r>
      <w:r w:rsidRPr="00CE217C">
        <w:rPr>
          <w:sz w:val="22"/>
          <w:szCs w:val="22"/>
        </w:rPr>
        <w:tab/>
      </w:r>
      <w:r w:rsidR="00EE499B">
        <w:rPr>
          <w:sz w:val="22"/>
          <w:szCs w:val="22"/>
        </w:rPr>
        <w:tab/>
      </w:r>
      <w:r w:rsidR="005245E0" w:rsidRPr="001E161B">
        <w:rPr>
          <w:szCs w:val="27"/>
        </w:rPr>
        <w:t>Presiding</w:t>
      </w:r>
      <w:r w:rsidRPr="001E161B">
        <w:rPr>
          <w:szCs w:val="27"/>
        </w:rPr>
        <w:t xml:space="preserve"> Justice of the Court of Appeal, Fifth Appellate District, assigned by the Chief Justice pursuant to article VI, section 6 of the California Constitution.</w:t>
      </w:r>
    </w:p>
    <w:p w14:paraId="54E1C7B5" w14:textId="77777777" w:rsidR="0015083D" w:rsidRPr="0015083D" w:rsidRDefault="0015083D" w:rsidP="0015083D">
      <w:pPr>
        <w:spacing w:after="0" w:line="240" w:lineRule="auto"/>
        <w:jc w:val="left"/>
        <w:rPr>
          <w:rFonts w:ascii="Times New Roman" w:hAnsi="Times New Roman"/>
          <w:i/>
          <w:sz w:val="20"/>
        </w:rPr>
      </w:pPr>
      <w:r w:rsidRPr="0015083D">
        <w:rPr>
          <w:rFonts w:ascii="Times New Roman" w:hAnsi="Times New Roman"/>
          <w:i/>
          <w:sz w:val="20"/>
        </w:rPr>
        <w:lastRenderedPageBreak/>
        <w:t>See next page for addresses and telephone numbers for counsel who argued in Supreme Court.</w:t>
      </w:r>
    </w:p>
    <w:p w14:paraId="74B75D9E" w14:textId="77777777" w:rsidR="0015083D" w:rsidRPr="0015083D" w:rsidRDefault="0015083D" w:rsidP="0015083D">
      <w:pPr>
        <w:spacing w:after="0" w:line="240" w:lineRule="auto"/>
        <w:jc w:val="left"/>
        <w:rPr>
          <w:rFonts w:ascii="Times New Roman" w:hAnsi="Times New Roman"/>
          <w:i/>
          <w:sz w:val="20"/>
        </w:rPr>
      </w:pPr>
    </w:p>
    <w:p w14:paraId="398F61B2" w14:textId="77777777" w:rsidR="0015083D" w:rsidRPr="0015083D" w:rsidRDefault="0015083D" w:rsidP="0015083D">
      <w:pPr>
        <w:spacing w:after="0" w:line="240" w:lineRule="auto"/>
        <w:jc w:val="left"/>
        <w:rPr>
          <w:rFonts w:ascii="Times New Roman" w:hAnsi="Times New Roman"/>
          <w:b/>
          <w:sz w:val="20"/>
        </w:rPr>
      </w:pPr>
      <w:r w:rsidRPr="0015083D">
        <w:rPr>
          <w:rFonts w:ascii="Times New Roman" w:hAnsi="Times New Roman"/>
          <w:b/>
          <w:sz w:val="20"/>
        </w:rPr>
        <w:t xml:space="preserve">Name of Opinion </w:t>
      </w:r>
      <w:r w:rsidRPr="0015083D">
        <w:rPr>
          <w:rFonts w:ascii="Times New Roman" w:hAnsi="Times New Roman"/>
          <w:bCs/>
          <w:sz w:val="20"/>
        </w:rPr>
        <w:t xml:space="preserve"> In re </w:t>
      </w:r>
      <w:proofErr w:type="spellStart"/>
      <w:r w:rsidRPr="0015083D">
        <w:rPr>
          <w:rFonts w:ascii="Times New Roman" w:hAnsi="Times New Roman"/>
          <w:bCs/>
          <w:sz w:val="20"/>
        </w:rPr>
        <w:t>Gadlin</w:t>
      </w:r>
      <w:proofErr w:type="spellEnd"/>
    </w:p>
    <w:p w14:paraId="4CA3C7B3" w14:textId="77777777" w:rsidR="0015083D" w:rsidRPr="0015083D" w:rsidRDefault="0015083D" w:rsidP="0015083D">
      <w:pPr>
        <w:spacing w:after="0" w:line="240" w:lineRule="auto"/>
        <w:jc w:val="left"/>
        <w:rPr>
          <w:rFonts w:ascii="Times New Roman" w:hAnsi="Times New Roman"/>
          <w:b/>
          <w:sz w:val="20"/>
        </w:rPr>
      </w:pPr>
      <w:r w:rsidRPr="0015083D">
        <w:rPr>
          <w:rFonts w:ascii="Times New Roman" w:hAnsi="Times New Roman"/>
          <w:b/>
          <w:sz w:val="20"/>
        </w:rPr>
        <w:t>__________________________________________________________________________________</w:t>
      </w:r>
    </w:p>
    <w:p w14:paraId="4230F64B" w14:textId="77777777" w:rsidR="0015083D" w:rsidRPr="0015083D" w:rsidRDefault="0015083D" w:rsidP="0015083D">
      <w:pPr>
        <w:spacing w:after="0" w:line="240" w:lineRule="auto"/>
        <w:jc w:val="left"/>
        <w:rPr>
          <w:rFonts w:ascii="Times New Roman" w:hAnsi="Times New Roman"/>
          <w:b/>
          <w:sz w:val="20"/>
        </w:rPr>
      </w:pPr>
    </w:p>
    <w:p w14:paraId="6B657409" w14:textId="77777777" w:rsidR="0015083D" w:rsidRPr="0015083D" w:rsidRDefault="0015083D" w:rsidP="0015083D">
      <w:pPr>
        <w:spacing w:after="0" w:line="240" w:lineRule="auto"/>
        <w:jc w:val="left"/>
        <w:rPr>
          <w:rFonts w:ascii="Times New Roman" w:hAnsi="Times New Roman"/>
          <w:bCs/>
          <w:sz w:val="20"/>
        </w:rPr>
      </w:pPr>
      <w:r w:rsidRPr="0015083D">
        <w:rPr>
          <w:rFonts w:ascii="Times New Roman" w:hAnsi="Times New Roman"/>
          <w:b/>
          <w:sz w:val="20"/>
        </w:rPr>
        <w:t xml:space="preserve">Unpublished Opinion </w:t>
      </w:r>
    </w:p>
    <w:p w14:paraId="2E21607A" w14:textId="77777777" w:rsidR="0015083D" w:rsidRPr="0015083D" w:rsidRDefault="0015083D" w:rsidP="0015083D">
      <w:pPr>
        <w:spacing w:after="0" w:line="240" w:lineRule="auto"/>
        <w:jc w:val="left"/>
        <w:rPr>
          <w:rFonts w:ascii="Times New Roman" w:hAnsi="Times New Roman"/>
          <w:sz w:val="20"/>
        </w:rPr>
      </w:pPr>
      <w:r w:rsidRPr="0015083D">
        <w:rPr>
          <w:rFonts w:ascii="Times New Roman" w:hAnsi="Times New Roman"/>
          <w:b/>
          <w:sz w:val="20"/>
        </w:rPr>
        <w:t xml:space="preserve">Original Appeal  </w:t>
      </w:r>
    </w:p>
    <w:p w14:paraId="517EEEAD" w14:textId="77777777" w:rsidR="0015083D" w:rsidRPr="0015083D" w:rsidRDefault="0015083D" w:rsidP="0015083D">
      <w:pPr>
        <w:spacing w:after="0" w:line="240" w:lineRule="auto"/>
        <w:jc w:val="left"/>
        <w:rPr>
          <w:rFonts w:ascii="Times New Roman" w:hAnsi="Times New Roman"/>
          <w:b/>
          <w:sz w:val="20"/>
        </w:rPr>
      </w:pPr>
      <w:r w:rsidRPr="0015083D">
        <w:rPr>
          <w:rFonts w:ascii="Times New Roman" w:hAnsi="Times New Roman"/>
          <w:b/>
          <w:sz w:val="20"/>
        </w:rPr>
        <w:t xml:space="preserve">Original Proceeding </w:t>
      </w:r>
    </w:p>
    <w:p w14:paraId="0D975232" w14:textId="77777777" w:rsidR="0015083D" w:rsidRPr="0015083D" w:rsidRDefault="0015083D" w:rsidP="0015083D">
      <w:pPr>
        <w:spacing w:after="0" w:line="240" w:lineRule="auto"/>
        <w:jc w:val="left"/>
        <w:rPr>
          <w:rFonts w:ascii="Times New Roman" w:hAnsi="Times New Roman"/>
          <w:b/>
          <w:sz w:val="20"/>
        </w:rPr>
      </w:pPr>
      <w:r w:rsidRPr="0015083D">
        <w:rPr>
          <w:rFonts w:ascii="Times New Roman" w:hAnsi="Times New Roman"/>
          <w:b/>
          <w:sz w:val="20"/>
        </w:rPr>
        <w:t xml:space="preserve">Review Granted </w:t>
      </w:r>
      <w:r w:rsidRPr="0015083D">
        <w:rPr>
          <w:rFonts w:ascii="Times New Roman" w:hAnsi="Times New Roman"/>
          <w:bCs/>
          <w:sz w:val="20"/>
        </w:rPr>
        <w:t>XXX 31 Cal.App.5th 784</w:t>
      </w:r>
    </w:p>
    <w:p w14:paraId="0138F87F" w14:textId="77777777" w:rsidR="0015083D" w:rsidRPr="0015083D" w:rsidRDefault="0015083D" w:rsidP="0015083D">
      <w:pPr>
        <w:spacing w:after="0" w:line="240" w:lineRule="auto"/>
        <w:jc w:val="left"/>
        <w:rPr>
          <w:rFonts w:ascii="Times New Roman" w:hAnsi="Times New Roman"/>
          <w:b/>
          <w:sz w:val="20"/>
        </w:rPr>
      </w:pPr>
      <w:r w:rsidRPr="0015083D">
        <w:rPr>
          <w:rFonts w:ascii="Times New Roman" w:hAnsi="Times New Roman"/>
          <w:b/>
          <w:sz w:val="20"/>
        </w:rPr>
        <w:t>Rehearing Granted</w:t>
      </w:r>
    </w:p>
    <w:p w14:paraId="01A1D9B0" w14:textId="77777777" w:rsidR="0015083D" w:rsidRPr="0015083D" w:rsidRDefault="0015083D" w:rsidP="0015083D">
      <w:pPr>
        <w:spacing w:after="0" w:line="240" w:lineRule="auto"/>
        <w:jc w:val="left"/>
        <w:rPr>
          <w:rFonts w:ascii="Times New Roman" w:hAnsi="Times New Roman"/>
          <w:b/>
          <w:sz w:val="20"/>
        </w:rPr>
      </w:pPr>
    </w:p>
    <w:p w14:paraId="3928D53C" w14:textId="77777777" w:rsidR="0015083D" w:rsidRPr="0015083D" w:rsidRDefault="0015083D" w:rsidP="0015083D">
      <w:pPr>
        <w:spacing w:after="0" w:line="240" w:lineRule="auto"/>
        <w:jc w:val="left"/>
        <w:rPr>
          <w:rFonts w:ascii="Times New Roman" w:hAnsi="Times New Roman"/>
          <w:b/>
          <w:sz w:val="20"/>
        </w:rPr>
      </w:pPr>
      <w:r w:rsidRPr="0015083D">
        <w:rPr>
          <w:rFonts w:ascii="Times New Roman" w:hAnsi="Times New Roman"/>
          <w:b/>
          <w:sz w:val="20"/>
        </w:rPr>
        <w:t>__________________________________________________________________________________</w:t>
      </w:r>
    </w:p>
    <w:p w14:paraId="6E8928C9" w14:textId="77777777" w:rsidR="0015083D" w:rsidRPr="0015083D" w:rsidRDefault="0015083D" w:rsidP="0015083D">
      <w:pPr>
        <w:spacing w:after="0" w:line="240" w:lineRule="auto"/>
        <w:jc w:val="left"/>
        <w:rPr>
          <w:rFonts w:ascii="Times New Roman" w:hAnsi="Times New Roman"/>
          <w:b/>
          <w:sz w:val="20"/>
        </w:rPr>
      </w:pPr>
    </w:p>
    <w:p w14:paraId="1EEE8B47" w14:textId="77777777" w:rsidR="0015083D" w:rsidRPr="0015083D" w:rsidRDefault="0015083D" w:rsidP="0015083D">
      <w:pPr>
        <w:spacing w:after="0" w:line="240" w:lineRule="auto"/>
        <w:jc w:val="left"/>
        <w:rPr>
          <w:rFonts w:ascii="Times New Roman" w:hAnsi="Times New Roman"/>
          <w:bCs/>
          <w:sz w:val="20"/>
        </w:rPr>
      </w:pPr>
      <w:r w:rsidRPr="0015083D">
        <w:rPr>
          <w:rFonts w:ascii="Times New Roman" w:hAnsi="Times New Roman"/>
          <w:b/>
          <w:sz w:val="20"/>
        </w:rPr>
        <w:t>Opinion No.</w:t>
      </w:r>
      <w:r w:rsidRPr="0015083D">
        <w:rPr>
          <w:rFonts w:ascii="Times New Roman" w:hAnsi="Times New Roman"/>
          <w:sz w:val="20"/>
        </w:rPr>
        <w:t xml:space="preserve"> S254599</w:t>
      </w:r>
    </w:p>
    <w:p w14:paraId="4061D7C4" w14:textId="77777777" w:rsidR="0015083D" w:rsidRPr="0015083D" w:rsidRDefault="0015083D" w:rsidP="0015083D">
      <w:pPr>
        <w:spacing w:after="0" w:line="240" w:lineRule="auto"/>
        <w:jc w:val="left"/>
        <w:rPr>
          <w:rFonts w:ascii="Times New Roman" w:hAnsi="Times New Roman"/>
          <w:bCs/>
          <w:sz w:val="20"/>
        </w:rPr>
      </w:pPr>
      <w:r w:rsidRPr="0015083D">
        <w:rPr>
          <w:rFonts w:ascii="Times New Roman" w:hAnsi="Times New Roman"/>
          <w:b/>
          <w:sz w:val="20"/>
        </w:rPr>
        <w:t>Date Filed:</w:t>
      </w:r>
      <w:r w:rsidRPr="0015083D">
        <w:rPr>
          <w:rFonts w:ascii="Times New Roman" w:hAnsi="Times New Roman"/>
          <w:sz w:val="20"/>
        </w:rPr>
        <w:t xml:space="preserve">  December 28, 2020</w:t>
      </w:r>
    </w:p>
    <w:p w14:paraId="049F6428" w14:textId="77777777" w:rsidR="0015083D" w:rsidRPr="0015083D" w:rsidRDefault="0015083D" w:rsidP="0015083D">
      <w:pPr>
        <w:spacing w:after="0" w:line="240" w:lineRule="auto"/>
        <w:jc w:val="left"/>
        <w:rPr>
          <w:rFonts w:ascii="Times New Roman" w:hAnsi="Times New Roman"/>
          <w:b/>
          <w:sz w:val="20"/>
        </w:rPr>
      </w:pPr>
      <w:r w:rsidRPr="0015083D">
        <w:rPr>
          <w:rFonts w:ascii="Times New Roman" w:hAnsi="Times New Roman"/>
          <w:b/>
          <w:sz w:val="20"/>
        </w:rPr>
        <w:t>__________________________________________________________________________________</w:t>
      </w:r>
    </w:p>
    <w:p w14:paraId="71D1FFDC" w14:textId="77777777" w:rsidR="0015083D" w:rsidRPr="0015083D" w:rsidRDefault="0015083D" w:rsidP="0015083D">
      <w:pPr>
        <w:spacing w:after="0" w:line="240" w:lineRule="auto"/>
        <w:jc w:val="left"/>
        <w:rPr>
          <w:rFonts w:ascii="Times New Roman" w:hAnsi="Times New Roman"/>
          <w:b/>
          <w:sz w:val="20"/>
        </w:rPr>
      </w:pPr>
    </w:p>
    <w:p w14:paraId="20519701" w14:textId="77777777" w:rsidR="0015083D" w:rsidRPr="0015083D" w:rsidRDefault="0015083D" w:rsidP="0015083D">
      <w:pPr>
        <w:spacing w:after="0" w:line="240" w:lineRule="auto"/>
        <w:jc w:val="left"/>
        <w:rPr>
          <w:rFonts w:ascii="Times New Roman" w:hAnsi="Times New Roman"/>
          <w:bCs/>
          <w:sz w:val="20"/>
        </w:rPr>
      </w:pPr>
      <w:r w:rsidRPr="0015083D">
        <w:rPr>
          <w:rFonts w:ascii="Times New Roman" w:hAnsi="Times New Roman"/>
          <w:b/>
          <w:sz w:val="20"/>
        </w:rPr>
        <w:t xml:space="preserve">Court:  </w:t>
      </w:r>
      <w:r w:rsidRPr="0015083D">
        <w:rPr>
          <w:rFonts w:ascii="Times New Roman" w:hAnsi="Times New Roman"/>
          <w:bCs/>
          <w:sz w:val="20"/>
        </w:rPr>
        <w:t>Superior</w:t>
      </w:r>
    </w:p>
    <w:p w14:paraId="751AD368" w14:textId="77777777" w:rsidR="0015083D" w:rsidRPr="0015083D" w:rsidRDefault="0015083D" w:rsidP="0015083D">
      <w:pPr>
        <w:spacing w:after="0" w:line="240" w:lineRule="auto"/>
        <w:jc w:val="left"/>
        <w:rPr>
          <w:rFonts w:ascii="Times New Roman" w:hAnsi="Times New Roman"/>
          <w:bCs/>
          <w:sz w:val="20"/>
        </w:rPr>
      </w:pPr>
      <w:r w:rsidRPr="0015083D">
        <w:rPr>
          <w:rFonts w:ascii="Times New Roman" w:hAnsi="Times New Roman"/>
          <w:b/>
          <w:sz w:val="20"/>
        </w:rPr>
        <w:t xml:space="preserve">County:  </w:t>
      </w:r>
      <w:r w:rsidRPr="0015083D">
        <w:rPr>
          <w:rFonts w:ascii="Times New Roman" w:hAnsi="Times New Roman"/>
          <w:bCs/>
          <w:sz w:val="20"/>
        </w:rPr>
        <w:t>Los Angeles</w:t>
      </w:r>
    </w:p>
    <w:p w14:paraId="212D3904" w14:textId="77777777" w:rsidR="0015083D" w:rsidRPr="0015083D" w:rsidRDefault="0015083D" w:rsidP="0015083D">
      <w:pPr>
        <w:spacing w:after="0" w:line="240" w:lineRule="auto"/>
        <w:ind w:left="720" w:hanging="720"/>
        <w:jc w:val="left"/>
        <w:rPr>
          <w:rFonts w:ascii="Times New Roman" w:hAnsi="Times New Roman"/>
          <w:bCs/>
          <w:sz w:val="20"/>
        </w:rPr>
      </w:pPr>
      <w:r w:rsidRPr="0015083D">
        <w:rPr>
          <w:rFonts w:ascii="Times New Roman" w:hAnsi="Times New Roman"/>
          <w:b/>
          <w:sz w:val="20"/>
        </w:rPr>
        <w:t xml:space="preserve">Judge: </w:t>
      </w:r>
      <w:r w:rsidRPr="0015083D">
        <w:rPr>
          <w:rFonts w:ascii="Times New Roman" w:hAnsi="Times New Roman"/>
          <w:bCs/>
          <w:sz w:val="20"/>
        </w:rPr>
        <w:t xml:space="preserve"> William C. Ryan</w:t>
      </w:r>
    </w:p>
    <w:p w14:paraId="5EF10839" w14:textId="77777777" w:rsidR="0015083D" w:rsidRPr="0015083D" w:rsidRDefault="0015083D" w:rsidP="0015083D">
      <w:pPr>
        <w:spacing w:after="0" w:line="240" w:lineRule="auto"/>
        <w:jc w:val="left"/>
        <w:rPr>
          <w:rFonts w:ascii="Times New Roman" w:hAnsi="Times New Roman"/>
          <w:b/>
          <w:sz w:val="20"/>
        </w:rPr>
      </w:pPr>
    </w:p>
    <w:p w14:paraId="5FD54E45" w14:textId="77777777" w:rsidR="0015083D" w:rsidRPr="0015083D" w:rsidRDefault="0015083D" w:rsidP="0015083D">
      <w:pPr>
        <w:spacing w:after="0" w:line="240" w:lineRule="auto"/>
        <w:jc w:val="left"/>
        <w:rPr>
          <w:rFonts w:ascii="Times New Roman" w:hAnsi="Times New Roman"/>
          <w:b/>
          <w:sz w:val="20"/>
        </w:rPr>
      </w:pPr>
      <w:r w:rsidRPr="0015083D">
        <w:rPr>
          <w:rFonts w:ascii="Times New Roman" w:hAnsi="Times New Roman"/>
          <w:b/>
          <w:sz w:val="20"/>
        </w:rPr>
        <w:t>__________________________________________________________________________________</w:t>
      </w:r>
    </w:p>
    <w:p w14:paraId="1528858F" w14:textId="77777777" w:rsidR="0015083D" w:rsidRPr="0015083D" w:rsidRDefault="0015083D" w:rsidP="0015083D">
      <w:pPr>
        <w:spacing w:after="0" w:line="240" w:lineRule="auto"/>
        <w:jc w:val="left"/>
        <w:rPr>
          <w:rFonts w:ascii="Times New Roman" w:hAnsi="Times New Roman"/>
          <w:b/>
          <w:sz w:val="20"/>
        </w:rPr>
      </w:pPr>
    </w:p>
    <w:p w14:paraId="4E988648" w14:textId="77777777" w:rsidR="0015083D" w:rsidRPr="0015083D" w:rsidRDefault="0015083D" w:rsidP="0015083D">
      <w:pPr>
        <w:spacing w:after="0" w:line="240" w:lineRule="auto"/>
        <w:jc w:val="left"/>
        <w:rPr>
          <w:rFonts w:ascii="Times New Roman" w:hAnsi="Times New Roman"/>
          <w:b/>
          <w:color w:val="FF0000"/>
          <w:sz w:val="20"/>
        </w:rPr>
      </w:pPr>
      <w:r w:rsidRPr="0015083D">
        <w:rPr>
          <w:rFonts w:ascii="Times New Roman" w:hAnsi="Times New Roman"/>
          <w:b/>
          <w:sz w:val="20"/>
        </w:rPr>
        <w:t>Counsel:</w:t>
      </w:r>
    </w:p>
    <w:p w14:paraId="4C644EFF" w14:textId="77777777" w:rsidR="0015083D" w:rsidRPr="0015083D" w:rsidRDefault="0015083D" w:rsidP="0015083D">
      <w:pPr>
        <w:spacing w:after="0" w:line="240" w:lineRule="auto"/>
        <w:jc w:val="left"/>
        <w:rPr>
          <w:rFonts w:ascii="Times New Roman" w:hAnsi="Times New Roman"/>
          <w:b/>
          <w:sz w:val="20"/>
        </w:rPr>
      </w:pPr>
    </w:p>
    <w:p w14:paraId="3F377A7B" w14:textId="77777777" w:rsidR="0015083D" w:rsidRPr="0015083D" w:rsidRDefault="0015083D" w:rsidP="0015083D">
      <w:pPr>
        <w:spacing w:after="0" w:line="240" w:lineRule="auto"/>
        <w:jc w:val="left"/>
        <w:rPr>
          <w:rFonts w:ascii="Times New Roman" w:hAnsi="Times New Roman"/>
          <w:color w:val="373739"/>
          <w:sz w:val="20"/>
          <w:shd w:val="clear" w:color="auto" w:fill="FFFFFF"/>
        </w:rPr>
      </w:pPr>
      <w:r w:rsidRPr="0015083D">
        <w:rPr>
          <w:rFonts w:ascii="Times New Roman" w:hAnsi="Times New Roman"/>
          <w:sz w:val="20"/>
          <w:bdr w:val="none" w:sz="0" w:space="0" w:color="auto" w:frame="1"/>
        </w:rPr>
        <w:t xml:space="preserve">Michael </w:t>
      </w:r>
      <w:proofErr w:type="spellStart"/>
      <w:r w:rsidRPr="0015083D">
        <w:rPr>
          <w:rFonts w:ascii="Times New Roman" w:hAnsi="Times New Roman"/>
          <w:sz w:val="20"/>
          <w:bdr w:val="none" w:sz="0" w:space="0" w:color="auto" w:frame="1"/>
        </w:rPr>
        <w:t>Satris</w:t>
      </w:r>
      <w:proofErr w:type="spellEnd"/>
      <w:r w:rsidRPr="0015083D">
        <w:rPr>
          <w:rFonts w:ascii="Times New Roman" w:hAnsi="Times New Roman"/>
          <w:sz w:val="20"/>
          <w:bdr w:val="none" w:sz="0" w:space="0" w:color="auto" w:frame="1"/>
        </w:rPr>
        <w:t>; Law Office of Janice M. Bellucci and Janice M. Bellucci</w:t>
      </w:r>
      <w:r w:rsidRPr="0015083D">
        <w:rPr>
          <w:rFonts w:ascii="Times New Roman" w:hAnsi="Times New Roman"/>
          <w:color w:val="373739"/>
          <w:sz w:val="20"/>
          <w:shd w:val="clear" w:color="auto" w:fill="FFFFFF"/>
        </w:rPr>
        <w:t xml:space="preserve">, under appointments by the Supreme Court, for Petitioner Gregory </w:t>
      </w:r>
      <w:proofErr w:type="spellStart"/>
      <w:r w:rsidRPr="0015083D">
        <w:rPr>
          <w:rFonts w:ascii="Times New Roman" w:hAnsi="Times New Roman"/>
          <w:color w:val="373739"/>
          <w:sz w:val="20"/>
          <w:shd w:val="clear" w:color="auto" w:fill="FFFFFF"/>
        </w:rPr>
        <w:t>Gadlin</w:t>
      </w:r>
      <w:proofErr w:type="spellEnd"/>
      <w:r w:rsidRPr="0015083D">
        <w:rPr>
          <w:rFonts w:ascii="Times New Roman" w:hAnsi="Times New Roman"/>
          <w:color w:val="373739"/>
          <w:sz w:val="20"/>
          <w:shd w:val="clear" w:color="auto" w:fill="FFFFFF"/>
        </w:rPr>
        <w:t>.</w:t>
      </w:r>
    </w:p>
    <w:p w14:paraId="4E62A576" w14:textId="77777777" w:rsidR="0015083D" w:rsidRPr="0015083D" w:rsidRDefault="0015083D" w:rsidP="0015083D">
      <w:pPr>
        <w:spacing w:after="0" w:line="240" w:lineRule="auto"/>
        <w:jc w:val="left"/>
        <w:rPr>
          <w:rFonts w:ascii="Times New Roman" w:hAnsi="Times New Roman"/>
          <w:color w:val="373739"/>
          <w:sz w:val="20"/>
          <w:shd w:val="clear" w:color="auto" w:fill="FFFFFF"/>
        </w:rPr>
      </w:pPr>
    </w:p>
    <w:p w14:paraId="39728578" w14:textId="77777777" w:rsidR="0015083D" w:rsidRPr="0015083D" w:rsidRDefault="0015083D" w:rsidP="0015083D">
      <w:pPr>
        <w:spacing w:after="0" w:line="240" w:lineRule="auto"/>
        <w:jc w:val="left"/>
        <w:rPr>
          <w:rFonts w:ascii="Times New Roman" w:hAnsi="Times New Roman"/>
          <w:color w:val="373739"/>
          <w:sz w:val="20"/>
          <w:shd w:val="clear" w:color="auto" w:fill="FFFFFF"/>
        </w:rPr>
      </w:pPr>
      <w:r w:rsidRPr="0015083D">
        <w:rPr>
          <w:rFonts w:ascii="Times New Roman" w:hAnsi="Times New Roman"/>
          <w:color w:val="373739"/>
          <w:sz w:val="20"/>
          <w:shd w:val="clear" w:color="auto" w:fill="FFFFFF"/>
        </w:rPr>
        <w:t>Law Office of Janice M. Bellucci and Janice M. Bellucci for Alliance for Constitutional Sex Offense Laws, Inc.,</w:t>
      </w:r>
      <w:r w:rsidRPr="0015083D">
        <w:rPr>
          <w:rFonts w:ascii="Times New Roman" w:hAnsi="Times New Roman"/>
          <w:color w:val="FF0000"/>
          <w:sz w:val="20"/>
          <w:shd w:val="clear" w:color="auto" w:fill="FFFFFF"/>
        </w:rPr>
        <w:t xml:space="preserve"> </w:t>
      </w:r>
      <w:r w:rsidRPr="0015083D">
        <w:rPr>
          <w:rFonts w:ascii="Times New Roman" w:hAnsi="Times New Roman"/>
          <w:color w:val="373739"/>
          <w:sz w:val="20"/>
          <w:shd w:val="clear" w:color="auto" w:fill="FFFFFF"/>
        </w:rPr>
        <w:t xml:space="preserve">as Amicus Curiae on behalf of Petitioner Gregory </w:t>
      </w:r>
      <w:proofErr w:type="spellStart"/>
      <w:r w:rsidRPr="0015083D">
        <w:rPr>
          <w:rFonts w:ascii="Times New Roman" w:hAnsi="Times New Roman"/>
          <w:color w:val="373739"/>
          <w:sz w:val="20"/>
          <w:shd w:val="clear" w:color="auto" w:fill="FFFFFF"/>
        </w:rPr>
        <w:t>Gadlin</w:t>
      </w:r>
      <w:proofErr w:type="spellEnd"/>
      <w:r w:rsidRPr="0015083D">
        <w:rPr>
          <w:rFonts w:ascii="Times New Roman" w:hAnsi="Times New Roman"/>
          <w:color w:val="373739"/>
          <w:sz w:val="20"/>
          <w:shd w:val="clear" w:color="auto" w:fill="FFFFFF"/>
        </w:rPr>
        <w:t>.</w:t>
      </w:r>
    </w:p>
    <w:p w14:paraId="7977321E" w14:textId="77777777" w:rsidR="0015083D" w:rsidRPr="0015083D" w:rsidRDefault="0015083D" w:rsidP="0015083D">
      <w:pPr>
        <w:spacing w:after="0" w:line="240" w:lineRule="auto"/>
        <w:jc w:val="left"/>
        <w:rPr>
          <w:rFonts w:ascii="Times New Roman" w:hAnsi="Times New Roman"/>
          <w:color w:val="373739"/>
          <w:sz w:val="20"/>
          <w:highlight w:val="yellow"/>
          <w:shd w:val="clear" w:color="auto" w:fill="FFFFFF"/>
        </w:rPr>
      </w:pPr>
    </w:p>
    <w:p w14:paraId="6CCAADD2" w14:textId="77777777" w:rsidR="0015083D" w:rsidRPr="0015083D" w:rsidRDefault="0015083D" w:rsidP="0015083D">
      <w:pPr>
        <w:spacing w:after="0" w:line="240" w:lineRule="auto"/>
        <w:jc w:val="left"/>
        <w:rPr>
          <w:rFonts w:ascii="Times New Roman" w:hAnsi="Times New Roman"/>
          <w:color w:val="373739"/>
          <w:sz w:val="20"/>
          <w:shd w:val="clear" w:color="auto" w:fill="FFFFFF"/>
        </w:rPr>
      </w:pPr>
      <w:r w:rsidRPr="0015083D">
        <w:rPr>
          <w:rFonts w:ascii="Times New Roman" w:hAnsi="Times New Roman"/>
          <w:color w:val="373739"/>
          <w:sz w:val="20"/>
          <w:shd w:val="clear" w:color="auto" w:fill="FFFFFF"/>
        </w:rPr>
        <w:t xml:space="preserve">Rosen Bien Galvan &amp; Grunfeld and Ernest Galvan for Nineteen Social Science and Law Scholars as Amici Curiae on behalf of Petitioner Gregory </w:t>
      </w:r>
      <w:proofErr w:type="spellStart"/>
      <w:r w:rsidRPr="0015083D">
        <w:rPr>
          <w:rFonts w:ascii="Times New Roman" w:hAnsi="Times New Roman"/>
          <w:color w:val="373739"/>
          <w:sz w:val="20"/>
          <w:shd w:val="clear" w:color="auto" w:fill="FFFFFF"/>
        </w:rPr>
        <w:t>Gadlin</w:t>
      </w:r>
      <w:proofErr w:type="spellEnd"/>
      <w:r w:rsidRPr="0015083D">
        <w:rPr>
          <w:rFonts w:ascii="Times New Roman" w:hAnsi="Times New Roman"/>
          <w:color w:val="373739"/>
          <w:sz w:val="20"/>
          <w:shd w:val="clear" w:color="auto" w:fill="FFFFFF"/>
        </w:rPr>
        <w:t>.</w:t>
      </w:r>
      <w:r w:rsidRPr="0015083D">
        <w:rPr>
          <w:rFonts w:ascii="Times New Roman" w:hAnsi="Times New Roman"/>
          <w:color w:val="373739"/>
          <w:sz w:val="20"/>
        </w:rPr>
        <w:br/>
      </w:r>
      <w:r w:rsidRPr="0015083D">
        <w:rPr>
          <w:rFonts w:ascii="Times New Roman" w:hAnsi="Times New Roman"/>
          <w:color w:val="373739"/>
          <w:sz w:val="20"/>
        </w:rPr>
        <w:br/>
      </w:r>
      <w:r w:rsidRPr="0015083D">
        <w:rPr>
          <w:rFonts w:ascii="Times New Roman" w:hAnsi="Times New Roman"/>
          <w:sz w:val="20"/>
          <w:bdr w:val="none" w:sz="0" w:space="0" w:color="auto" w:frame="1"/>
        </w:rPr>
        <w:t>Xavier Becerra</w:t>
      </w:r>
      <w:r w:rsidRPr="0015083D">
        <w:rPr>
          <w:rFonts w:ascii="Times New Roman" w:hAnsi="Times New Roman"/>
          <w:color w:val="373739"/>
          <w:sz w:val="20"/>
          <w:shd w:val="clear" w:color="auto" w:fill="FFFFFF"/>
        </w:rPr>
        <w:t xml:space="preserve">, Attorney General, James Root and Lance E. Winters, Chief Assistant Attorneys General, </w:t>
      </w:r>
      <w:proofErr w:type="spellStart"/>
      <w:r w:rsidRPr="0015083D">
        <w:rPr>
          <w:rFonts w:ascii="Times New Roman" w:hAnsi="Times New Roman"/>
          <w:color w:val="373739"/>
          <w:sz w:val="20"/>
          <w:shd w:val="clear" w:color="auto" w:fill="FFFFFF"/>
        </w:rPr>
        <w:t>Janill</w:t>
      </w:r>
      <w:proofErr w:type="spellEnd"/>
      <w:r w:rsidRPr="0015083D">
        <w:rPr>
          <w:rFonts w:ascii="Times New Roman" w:hAnsi="Times New Roman"/>
          <w:color w:val="373739"/>
          <w:sz w:val="20"/>
          <w:shd w:val="clear" w:color="auto" w:fill="FFFFFF"/>
        </w:rPr>
        <w:t xml:space="preserve"> L. Richards, Principal Deputy Solicitor General, </w:t>
      </w:r>
      <w:r w:rsidRPr="0015083D">
        <w:rPr>
          <w:rFonts w:ascii="Times New Roman" w:hAnsi="Times New Roman"/>
          <w:sz w:val="20"/>
          <w:bdr w:val="none" w:sz="0" w:space="0" w:color="auto" w:frame="1"/>
        </w:rPr>
        <w:t>Phillip J. Lindsay</w:t>
      </w:r>
      <w:r w:rsidRPr="0015083D">
        <w:rPr>
          <w:rFonts w:ascii="Times New Roman" w:hAnsi="Times New Roman"/>
          <w:color w:val="373739"/>
          <w:sz w:val="20"/>
          <w:shd w:val="clear" w:color="auto" w:fill="FFFFFF"/>
        </w:rPr>
        <w:t xml:space="preserve">, Assistant Attorney General, </w:t>
      </w:r>
      <w:r w:rsidRPr="0015083D">
        <w:rPr>
          <w:rFonts w:ascii="Times New Roman" w:hAnsi="Times New Roman"/>
          <w:sz w:val="20"/>
          <w:bdr w:val="none" w:sz="0" w:space="0" w:color="auto" w:frame="1"/>
        </w:rPr>
        <w:t>Julie A. Malone</w:t>
      </w:r>
      <w:r w:rsidRPr="0015083D">
        <w:rPr>
          <w:rFonts w:ascii="Times New Roman" w:hAnsi="Times New Roman"/>
          <w:color w:val="373739"/>
          <w:sz w:val="20"/>
          <w:shd w:val="clear" w:color="auto" w:fill="FFFFFF"/>
        </w:rPr>
        <w:t xml:space="preserve">, </w:t>
      </w:r>
      <w:r w:rsidRPr="0015083D">
        <w:rPr>
          <w:rFonts w:ascii="Times New Roman" w:hAnsi="Times New Roman"/>
          <w:sz w:val="20"/>
          <w:bdr w:val="none" w:sz="0" w:space="0" w:color="auto" w:frame="1"/>
        </w:rPr>
        <w:t>Charles Chung and Amanda J. Murray</w:t>
      </w:r>
      <w:r w:rsidRPr="0015083D">
        <w:rPr>
          <w:rFonts w:ascii="Times New Roman" w:hAnsi="Times New Roman"/>
          <w:color w:val="373739"/>
          <w:sz w:val="20"/>
          <w:shd w:val="clear" w:color="auto" w:fill="FFFFFF"/>
        </w:rPr>
        <w:t>, Deputy Attorneys General, for Respondent The People.</w:t>
      </w:r>
      <w:r w:rsidRPr="0015083D">
        <w:rPr>
          <w:rFonts w:ascii="Times New Roman" w:hAnsi="Times New Roman"/>
          <w:color w:val="373739"/>
          <w:sz w:val="20"/>
          <w:shd w:val="clear" w:color="auto" w:fill="FFFFFF"/>
        </w:rPr>
        <w:br w:type="page"/>
      </w:r>
    </w:p>
    <w:p w14:paraId="367B341F" w14:textId="77777777" w:rsidR="0015083D" w:rsidRPr="0015083D" w:rsidRDefault="0015083D" w:rsidP="0015083D">
      <w:pPr>
        <w:spacing w:after="0" w:line="240" w:lineRule="auto"/>
        <w:jc w:val="left"/>
        <w:rPr>
          <w:rFonts w:ascii="Times New Roman" w:hAnsi="Times New Roman"/>
          <w:b/>
          <w:sz w:val="20"/>
        </w:rPr>
      </w:pPr>
    </w:p>
    <w:p w14:paraId="2F8B5338" w14:textId="77777777" w:rsidR="0015083D" w:rsidRPr="0015083D" w:rsidRDefault="0015083D" w:rsidP="0015083D">
      <w:pPr>
        <w:spacing w:after="0" w:line="240" w:lineRule="auto"/>
        <w:jc w:val="left"/>
        <w:rPr>
          <w:rFonts w:ascii="Times New Roman" w:hAnsi="Times New Roman"/>
          <w:b/>
          <w:sz w:val="20"/>
        </w:rPr>
      </w:pPr>
    </w:p>
    <w:p w14:paraId="0F04498A" w14:textId="77777777" w:rsidR="0015083D" w:rsidRPr="0015083D" w:rsidRDefault="0015083D" w:rsidP="0015083D">
      <w:pPr>
        <w:spacing w:after="0" w:line="240" w:lineRule="auto"/>
        <w:jc w:val="left"/>
        <w:rPr>
          <w:rFonts w:ascii="Times New Roman" w:hAnsi="Times New Roman"/>
          <w:b/>
          <w:sz w:val="20"/>
        </w:rPr>
      </w:pPr>
    </w:p>
    <w:p w14:paraId="3285DD78" w14:textId="77777777" w:rsidR="0015083D" w:rsidRPr="0015083D" w:rsidRDefault="0015083D" w:rsidP="0015083D">
      <w:pPr>
        <w:spacing w:after="0" w:line="240" w:lineRule="auto"/>
        <w:jc w:val="left"/>
        <w:rPr>
          <w:rFonts w:ascii="Times New Roman" w:hAnsi="Times New Roman"/>
          <w:b/>
          <w:sz w:val="20"/>
        </w:rPr>
      </w:pPr>
      <w:r w:rsidRPr="0015083D">
        <w:rPr>
          <w:rFonts w:ascii="Times New Roman" w:hAnsi="Times New Roman"/>
          <w:b/>
          <w:sz w:val="20"/>
        </w:rPr>
        <w:t>Counsel who argued in Supreme Court (not intended for publication with opinion):</w:t>
      </w:r>
    </w:p>
    <w:p w14:paraId="548E101F" w14:textId="77777777" w:rsidR="0015083D" w:rsidRPr="0015083D" w:rsidRDefault="0015083D" w:rsidP="0015083D">
      <w:pPr>
        <w:spacing w:after="0" w:line="240" w:lineRule="auto"/>
        <w:jc w:val="left"/>
        <w:rPr>
          <w:rFonts w:ascii="Times New Roman" w:hAnsi="Times New Roman"/>
          <w:b/>
          <w:sz w:val="20"/>
        </w:rPr>
      </w:pPr>
    </w:p>
    <w:p w14:paraId="690D52B2" w14:textId="77777777" w:rsidR="0015083D" w:rsidRPr="0015083D" w:rsidRDefault="0015083D" w:rsidP="0015083D">
      <w:pPr>
        <w:spacing w:after="0" w:line="240" w:lineRule="auto"/>
        <w:jc w:val="left"/>
        <w:rPr>
          <w:rFonts w:ascii="Times New Roman" w:hAnsi="Times New Roman"/>
          <w:sz w:val="20"/>
        </w:rPr>
      </w:pPr>
      <w:r w:rsidRPr="0015083D">
        <w:rPr>
          <w:rFonts w:ascii="Times New Roman" w:hAnsi="Times New Roman"/>
          <w:sz w:val="20"/>
        </w:rPr>
        <w:t>Charles Chung</w:t>
      </w:r>
    </w:p>
    <w:p w14:paraId="3F2A63E9" w14:textId="77777777" w:rsidR="0015083D" w:rsidRPr="0015083D" w:rsidRDefault="0015083D" w:rsidP="0015083D">
      <w:pPr>
        <w:spacing w:after="0" w:line="240" w:lineRule="auto"/>
        <w:jc w:val="left"/>
        <w:rPr>
          <w:rFonts w:ascii="Times New Roman" w:hAnsi="Times New Roman"/>
          <w:sz w:val="20"/>
        </w:rPr>
      </w:pPr>
      <w:r w:rsidRPr="0015083D">
        <w:rPr>
          <w:rFonts w:ascii="Times New Roman" w:hAnsi="Times New Roman"/>
          <w:sz w:val="20"/>
        </w:rPr>
        <w:t>Deputy Attorney General</w:t>
      </w:r>
    </w:p>
    <w:p w14:paraId="5847B50A" w14:textId="77777777" w:rsidR="0015083D" w:rsidRPr="0015083D" w:rsidRDefault="0015083D" w:rsidP="0015083D">
      <w:pPr>
        <w:spacing w:after="0" w:line="240" w:lineRule="auto"/>
        <w:jc w:val="left"/>
        <w:rPr>
          <w:rFonts w:ascii="Times New Roman" w:hAnsi="Times New Roman"/>
          <w:sz w:val="20"/>
        </w:rPr>
      </w:pPr>
      <w:r w:rsidRPr="0015083D">
        <w:rPr>
          <w:rFonts w:ascii="Times New Roman" w:hAnsi="Times New Roman"/>
          <w:sz w:val="20"/>
        </w:rPr>
        <w:t>300 South Spring St., Suite 1702</w:t>
      </w:r>
    </w:p>
    <w:p w14:paraId="51F920D7" w14:textId="77777777" w:rsidR="0015083D" w:rsidRPr="0015083D" w:rsidRDefault="0015083D" w:rsidP="0015083D">
      <w:pPr>
        <w:spacing w:after="0" w:line="240" w:lineRule="auto"/>
        <w:jc w:val="left"/>
        <w:rPr>
          <w:rFonts w:ascii="Times New Roman" w:hAnsi="Times New Roman"/>
          <w:sz w:val="20"/>
        </w:rPr>
      </w:pPr>
      <w:r w:rsidRPr="0015083D">
        <w:rPr>
          <w:rFonts w:ascii="Times New Roman" w:hAnsi="Times New Roman"/>
          <w:sz w:val="20"/>
        </w:rPr>
        <w:t>Los Angeles, CA 90013</w:t>
      </w:r>
    </w:p>
    <w:p w14:paraId="5D6DBAA2" w14:textId="77777777" w:rsidR="0015083D" w:rsidRPr="0015083D" w:rsidRDefault="0015083D" w:rsidP="0015083D">
      <w:pPr>
        <w:spacing w:after="0" w:line="240" w:lineRule="auto"/>
        <w:jc w:val="left"/>
        <w:rPr>
          <w:rFonts w:ascii="Times New Roman" w:hAnsi="Times New Roman"/>
          <w:sz w:val="20"/>
        </w:rPr>
      </w:pPr>
      <w:r w:rsidRPr="0015083D">
        <w:rPr>
          <w:rFonts w:ascii="Times New Roman" w:hAnsi="Times New Roman"/>
          <w:sz w:val="20"/>
        </w:rPr>
        <w:t>(213) 269-6026</w:t>
      </w:r>
    </w:p>
    <w:p w14:paraId="559DD395" w14:textId="77777777" w:rsidR="0015083D" w:rsidRPr="0015083D" w:rsidRDefault="0015083D" w:rsidP="0015083D">
      <w:pPr>
        <w:spacing w:after="0" w:line="240" w:lineRule="auto"/>
        <w:jc w:val="left"/>
        <w:rPr>
          <w:rFonts w:ascii="Times New Roman" w:hAnsi="Times New Roman"/>
          <w:sz w:val="20"/>
        </w:rPr>
      </w:pPr>
    </w:p>
    <w:p w14:paraId="22CAE933" w14:textId="77777777" w:rsidR="0015083D" w:rsidRPr="0015083D" w:rsidRDefault="0015083D" w:rsidP="0015083D">
      <w:pPr>
        <w:spacing w:after="0" w:line="240" w:lineRule="auto"/>
        <w:jc w:val="left"/>
        <w:rPr>
          <w:rFonts w:ascii="Times New Roman" w:hAnsi="Times New Roman"/>
          <w:sz w:val="20"/>
        </w:rPr>
      </w:pPr>
      <w:r w:rsidRPr="0015083D">
        <w:rPr>
          <w:rFonts w:ascii="Times New Roman" w:hAnsi="Times New Roman"/>
          <w:sz w:val="20"/>
        </w:rPr>
        <w:t>Janice M. Bellucci</w:t>
      </w:r>
    </w:p>
    <w:p w14:paraId="5D611CD9" w14:textId="77777777" w:rsidR="0015083D" w:rsidRPr="0015083D" w:rsidRDefault="0015083D" w:rsidP="0015083D">
      <w:pPr>
        <w:spacing w:after="0" w:line="240" w:lineRule="auto"/>
        <w:jc w:val="left"/>
        <w:rPr>
          <w:rFonts w:ascii="Times New Roman" w:hAnsi="Times New Roman"/>
          <w:sz w:val="20"/>
        </w:rPr>
      </w:pPr>
      <w:r w:rsidRPr="0015083D">
        <w:rPr>
          <w:rFonts w:ascii="Times New Roman" w:hAnsi="Times New Roman"/>
          <w:sz w:val="20"/>
        </w:rPr>
        <w:t>Law Office of Janice M. Bellucci</w:t>
      </w:r>
    </w:p>
    <w:p w14:paraId="719C8A12" w14:textId="77777777" w:rsidR="0015083D" w:rsidRPr="0015083D" w:rsidRDefault="0015083D" w:rsidP="0015083D">
      <w:pPr>
        <w:spacing w:after="0" w:line="240" w:lineRule="auto"/>
        <w:jc w:val="left"/>
        <w:rPr>
          <w:rFonts w:ascii="Times New Roman" w:hAnsi="Times New Roman"/>
          <w:sz w:val="20"/>
        </w:rPr>
      </w:pPr>
      <w:r w:rsidRPr="0015083D">
        <w:rPr>
          <w:rFonts w:ascii="Times New Roman" w:hAnsi="Times New Roman"/>
          <w:sz w:val="20"/>
        </w:rPr>
        <w:t>1215 K St., 17th Floor</w:t>
      </w:r>
    </w:p>
    <w:p w14:paraId="1D69BB31" w14:textId="77777777" w:rsidR="0015083D" w:rsidRPr="0015083D" w:rsidRDefault="0015083D" w:rsidP="0015083D">
      <w:pPr>
        <w:spacing w:after="0" w:line="240" w:lineRule="auto"/>
        <w:jc w:val="left"/>
        <w:rPr>
          <w:rFonts w:ascii="Times New Roman" w:hAnsi="Times New Roman"/>
          <w:sz w:val="20"/>
        </w:rPr>
      </w:pPr>
      <w:r w:rsidRPr="0015083D">
        <w:rPr>
          <w:rFonts w:ascii="Times New Roman" w:hAnsi="Times New Roman"/>
          <w:sz w:val="20"/>
        </w:rPr>
        <w:t>Sacramento, CA 95814</w:t>
      </w:r>
    </w:p>
    <w:p w14:paraId="7C3F1AF1" w14:textId="77777777" w:rsidR="0015083D" w:rsidRPr="0015083D" w:rsidRDefault="0015083D" w:rsidP="0015083D">
      <w:pPr>
        <w:spacing w:after="0" w:line="240" w:lineRule="auto"/>
        <w:jc w:val="left"/>
        <w:rPr>
          <w:rFonts w:ascii="Times New Roman" w:hAnsi="Times New Roman"/>
          <w:sz w:val="20"/>
        </w:rPr>
      </w:pPr>
      <w:r w:rsidRPr="0015083D">
        <w:rPr>
          <w:rFonts w:ascii="Times New Roman" w:hAnsi="Times New Roman"/>
          <w:sz w:val="20"/>
        </w:rPr>
        <w:t>(805) 896-7854</w:t>
      </w:r>
    </w:p>
    <w:p w14:paraId="1BF98F15" w14:textId="77777777" w:rsidR="0015083D" w:rsidRPr="0015083D" w:rsidRDefault="0015083D" w:rsidP="0015083D">
      <w:pPr>
        <w:spacing w:after="0" w:line="240" w:lineRule="auto"/>
        <w:jc w:val="left"/>
        <w:rPr>
          <w:rFonts w:ascii="Times New Roman" w:hAnsi="Times New Roman"/>
          <w:sz w:val="20"/>
        </w:rPr>
      </w:pPr>
    </w:p>
    <w:p w14:paraId="40B6B2C8" w14:textId="4FBC8F38" w:rsidR="00D22979" w:rsidRPr="00D22979" w:rsidRDefault="00D22979" w:rsidP="00D22979">
      <w:pPr>
        <w:pStyle w:val="FootnoteText"/>
        <w:tabs>
          <w:tab w:val="left" w:pos="360"/>
        </w:tabs>
        <w:rPr>
          <w:sz w:val="22"/>
          <w:szCs w:val="22"/>
        </w:rPr>
      </w:pPr>
    </w:p>
    <w:sectPr w:rsidR="00D22979" w:rsidRPr="00D22979">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8A343" w14:textId="77777777" w:rsidR="002F5A24" w:rsidRDefault="002F5A24">
      <w:r>
        <w:separator/>
      </w:r>
    </w:p>
  </w:endnote>
  <w:endnote w:type="continuationSeparator" w:id="0">
    <w:p w14:paraId="6264610F" w14:textId="77777777" w:rsidR="002F5A24" w:rsidRDefault="002F5A24">
      <w:r>
        <w:continuationSeparator/>
      </w:r>
    </w:p>
  </w:endnote>
  <w:endnote w:type="continuationNotice" w:id="1">
    <w:p w14:paraId="6894A81B" w14:textId="77777777" w:rsidR="002F5A24" w:rsidRDefault="002F5A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F98C" w14:textId="0D1105A3" w:rsidR="003E0F4A" w:rsidRDefault="00DF4C77">
    <w:pPr>
      <w:pStyle w:val="Foote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32999906"/>
      <w:docPartObj>
        <w:docPartGallery w:val="Page Numbers (Bottom of Page)"/>
        <w:docPartUnique/>
      </w:docPartObj>
    </w:sdtPr>
    <w:sdtEndPr>
      <w:rPr>
        <w:rStyle w:val="PageNumber"/>
      </w:rPr>
    </w:sdtEndPr>
    <w:sdtContent>
      <w:p w14:paraId="7BF8BC65" w14:textId="303B0E3A" w:rsidR="003E7E92" w:rsidRDefault="003E7E92" w:rsidP="000706D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8939A3" w14:textId="2D70915A" w:rsidR="00F273F1" w:rsidRDefault="00F273F1" w:rsidP="002776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F1B43" w14:textId="77777777" w:rsidR="00C74F75" w:rsidRDefault="00D75A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1F33D" w14:textId="77777777" w:rsidR="00C74F75" w:rsidRDefault="00D75A5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A7367" w14:textId="77777777" w:rsidR="00C74F75" w:rsidRDefault="00D75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76E7E" w14:textId="77777777" w:rsidR="002F5A24" w:rsidRDefault="002F5A24">
      <w:r>
        <w:separator/>
      </w:r>
    </w:p>
  </w:footnote>
  <w:footnote w:type="continuationSeparator" w:id="0">
    <w:p w14:paraId="3D570F77" w14:textId="77777777" w:rsidR="002F5A24" w:rsidRDefault="002F5A24">
      <w:pPr>
        <w:rPr>
          <w:sz w:val="22"/>
        </w:rPr>
      </w:pPr>
      <w:r>
        <w:continuationSeparator/>
      </w:r>
    </w:p>
  </w:footnote>
  <w:footnote w:type="continuationNotice" w:id="1">
    <w:p w14:paraId="20CE3E8B" w14:textId="77777777" w:rsidR="002F5A24" w:rsidRPr="00E64DAB" w:rsidRDefault="002F5A24" w:rsidP="00E64DAB">
      <w:pPr>
        <w:pStyle w:val="Footer"/>
      </w:pPr>
    </w:p>
  </w:footnote>
  <w:footnote w:id="2">
    <w:p w14:paraId="43D71EEA" w14:textId="4FBAC028" w:rsidR="000D31B2" w:rsidRDefault="000D31B2" w:rsidP="000D31B2">
      <w:pPr>
        <w:pStyle w:val="FootnoteText"/>
      </w:pPr>
      <w:r>
        <w:rPr>
          <w:rStyle w:val="FootnoteReference"/>
        </w:rPr>
        <w:footnoteRef/>
      </w:r>
      <w:r>
        <w:t xml:space="preserve"> </w:t>
      </w:r>
      <w:r>
        <w:tab/>
        <w:t xml:space="preserve">Further </w:t>
      </w:r>
      <w:r w:rsidR="008C3E42">
        <w:t>article</w:t>
      </w:r>
      <w:r>
        <w:t xml:space="preserve"> references are to the California Constitution</w:t>
      </w:r>
      <w:r w:rsidR="008D1342">
        <w:t xml:space="preserve"> unless otherwise indicated</w:t>
      </w:r>
      <w:r>
        <w:t>.</w:t>
      </w:r>
    </w:p>
  </w:footnote>
  <w:footnote w:id="3">
    <w:p w14:paraId="44CBCB59" w14:textId="77777777" w:rsidR="001130D7" w:rsidRDefault="001130D7" w:rsidP="001130D7">
      <w:pPr>
        <w:pStyle w:val="FootnoteText"/>
      </w:pPr>
      <w:r>
        <w:rPr>
          <w:rStyle w:val="FootnoteReference"/>
        </w:rPr>
        <w:footnoteRef/>
      </w:r>
      <w:r>
        <w:t xml:space="preserve"> </w:t>
      </w:r>
      <w:r>
        <w:tab/>
        <w:t xml:space="preserve">Further undesignated references to the California Code of Regulations are to title 15 unless otherwise noted.  </w:t>
      </w:r>
    </w:p>
  </w:footnote>
  <w:footnote w:id="4">
    <w:p w14:paraId="72980B04" w14:textId="2AEF5EBF" w:rsidR="005D7D2B" w:rsidRDefault="00AB66C2" w:rsidP="00AB66C2">
      <w:pPr>
        <w:pStyle w:val="FootnoteText"/>
      </w:pPr>
      <w:r>
        <w:rPr>
          <w:rStyle w:val="FootnoteReference"/>
        </w:rPr>
        <w:footnoteRef/>
      </w:r>
      <w:r>
        <w:t xml:space="preserve"> </w:t>
      </w:r>
      <w:r>
        <w:tab/>
        <w:t>As discussed below, the Department’s regulations implementing Proposition 57 adopt the definition of “violent felony” established in Penal Code section 667.5, subdivision (c).</w:t>
      </w:r>
      <w:r w:rsidR="00150189">
        <w:t xml:space="preserve">  (Cal. Code Regs., §</w:t>
      </w:r>
      <w:r w:rsidR="002C14DA">
        <w:t>§</w:t>
      </w:r>
      <w:r w:rsidR="00150189">
        <w:t xml:space="preserve"> 3490, subd. (</w:t>
      </w:r>
      <w:r w:rsidR="00EE12AF">
        <w:t>c)</w:t>
      </w:r>
      <w:r w:rsidR="002C14DA">
        <w:t>, 3495, subd. (c)</w:t>
      </w:r>
      <w:r w:rsidR="00EE12AF">
        <w:t>.)</w:t>
      </w:r>
      <w:r>
        <w:t xml:space="preserve">  Petitioner’s current conviction for assault with a deadly weapon is not a violent felony under that statute.  The parties do not discuss, and we do not consider, the validity of the Department’s regulations concerning the adoption of the Penal Code on this point.</w:t>
      </w:r>
    </w:p>
  </w:footnote>
  <w:footnote w:id="5">
    <w:p w14:paraId="4EDA933C" w14:textId="67DA9030" w:rsidR="003E6578" w:rsidRPr="00B65110" w:rsidRDefault="003E6578" w:rsidP="00F273F1">
      <w:pPr>
        <w:pStyle w:val="FootnoteText"/>
      </w:pPr>
      <w:r>
        <w:rPr>
          <w:rStyle w:val="FootnoteReference"/>
        </w:rPr>
        <w:footnoteRef/>
      </w:r>
      <w:r>
        <w:t xml:space="preserve"> </w:t>
      </w:r>
      <w:r w:rsidR="00490435">
        <w:tab/>
      </w:r>
      <w:r w:rsidR="00B625E9">
        <w:t>When</w:t>
      </w:r>
      <w:r w:rsidR="00490435" w:rsidRPr="00490435">
        <w:t xml:space="preserve"> the </w:t>
      </w:r>
      <w:r w:rsidR="00490435">
        <w:t xml:space="preserve">present </w:t>
      </w:r>
      <w:r w:rsidR="00490435" w:rsidRPr="00490435">
        <w:t xml:space="preserve">matter was pending in the </w:t>
      </w:r>
      <w:r w:rsidR="00095C6F">
        <w:t>Court of Appeal</w:t>
      </w:r>
      <w:r w:rsidR="00490435" w:rsidRPr="00490435">
        <w:t xml:space="preserve">, </w:t>
      </w:r>
      <w:r w:rsidR="00F11AF0">
        <w:t>that</w:t>
      </w:r>
      <w:r w:rsidR="00490435" w:rsidRPr="00490435">
        <w:t xml:space="preserve"> same </w:t>
      </w:r>
      <w:r w:rsidR="00F11AF0">
        <w:t>court</w:t>
      </w:r>
      <w:r w:rsidR="00490435" w:rsidRPr="00490435">
        <w:t xml:space="preserve"> decided </w:t>
      </w:r>
      <w:r w:rsidR="00490435" w:rsidRPr="00A2566E">
        <w:rPr>
          <w:i/>
          <w:iCs/>
        </w:rPr>
        <w:t>In re Edwards</w:t>
      </w:r>
      <w:r w:rsidR="00490435" w:rsidRPr="00490435">
        <w:t xml:space="preserve"> (2018) 26</w:t>
      </w:r>
      <w:r w:rsidR="002776C3">
        <w:t> </w:t>
      </w:r>
      <w:r w:rsidR="00490435" w:rsidRPr="00490435">
        <w:t>Cal.App.5th 1181 (</w:t>
      </w:r>
      <w:r w:rsidR="00490435" w:rsidRPr="001E4794">
        <w:rPr>
          <w:i/>
          <w:iCs/>
        </w:rPr>
        <w:t>Edwards</w:t>
      </w:r>
      <w:r w:rsidR="00605EAC">
        <w:t>)</w:t>
      </w:r>
      <w:r w:rsidR="00490435" w:rsidRPr="00490435">
        <w:t xml:space="preserve">.  </w:t>
      </w:r>
      <w:r w:rsidR="00490435" w:rsidRPr="001E4794">
        <w:rPr>
          <w:i/>
          <w:iCs/>
        </w:rPr>
        <w:t>Edwards</w:t>
      </w:r>
      <w:r w:rsidR="00490435" w:rsidRPr="00490435">
        <w:t xml:space="preserve"> held that the regulations implementing Proposition 57 improperly excluded from nonviolent offender parole consideration </w:t>
      </w:r>
      <w:r w:rsidR="008B66BE">
        <w:t>t</w:t>
      </w:r>
      <w:r w:rsidR="00490435" w:rsidRPr="00490435">
        <w:t xml:space="preserve">hird </w:t>
      </w:r>
      <w:r w:rsidR="008B66BE">
        <w:t>s</w:t>
      </w:r>
      <w:r w:rsidR="00490435" w:rsidRPr="00490435">
        <w:t>trike offenders whose third strike was for a nonviolent offense.  (</w:t>
      </w:r>
      <w:r w:rsidR="008B66BE">
        <w:rPr>
          <w:i/>
          <w:iCs/>
        </w:rPr>
        <w:t>Edwards</w:t>
      </w:r>
      <w:r w:rsidR="008B66BE">
        <w:t>,</w:t>
      </w:r>
      <w:r w:rsidR="00490435" w:rsidRPr="00490435">
        <w:t xml:space="preserve"> at pp. 1185</w:t>
      </w:r>
      <w:r w:rsidR="00605EAC">
        <w:t>–</w:t>
      </w:r>
      <w:r w:rsidR="00490435" w:rsidRPr="00490435">
        <w:t>1186.)  The court directed the Department to amend the regulations accordingly, and the Department did so in December 2018.  (</w:t>
      </w:r>
      <w:r w:rsidR="00490435" w:rsidRPr="001E4794">
        <w:rPr>
          <w:i/>
          <w:iCs/>
        </w:rPr>
        <w:t>Id</w:t>
      </w:r>
      <w:r w:rsidR="00490435" w:rsidRPr="00490435">
        <w:t>. at pp. 1192</w:t>
      </w:r>
      <w:r w:rsidR="00605EAC">
        <w:t>–</w:t>
      </w:r>
      <w:r w:rsidR="00490435" w:rsidRPr="00490435">
        <w:t xml:space="preserve">1193.)  The Court of Appeal in the present case concluded that the amended regulations effectively mooted the Department’s argument that petitioner’s conviction under the Three Strikes </w:t>
      </w:r>
      <w:r w:rsidR="00DC459C">
        <w:t>l</w:t>
      </w:r>
      <w:r w:rsidR="00490435" w:rsidRPr="00490435">
        <w:t>aw made him ineligible for nonviolent offender parole consideration.</w:t>
      </w:r>
      <w:r w:rsidR="00B65110">
        <w:t xml:space="preserve">  (</w:t>
      </w:r>
      <w:r w:rsidR="00DA5DD2">
        <w:rPr>
          <w:i/>
          <w:iCs/>
        </w:rPr>
        <w:t xml:space="preserve">In re </w:t>
      </w:r>
      <w:r w:rsidR="00B65110">
        <w:rPr>
          <w:i/>
          <w:iCs/>
        </w:rPr>
        <w:t>Gadlin</w:t>
      </w:r>
      <w:r w:rsidR="00DA5DD2">
        <w:t xml:space="preserve"> (2019) </w:t>
      </w:r>
      <w:r w:rsidR="00B65110">
        <w:t>31</w:t>
      </w:r>
      <w:r w:rsidR="002776C3">
        <w:t> </w:t>
      </w:r>
      <w:r w:rsidR="00B65110">
        <w:t xml:space="preserve">Cal.App.5th </w:t>
      </w:r>
      <w:r w:rsidR="00206F5A">
        <w:t>784,</w:t>
      </w:r>
      <w:r w:rsidR="00DE082B">
        <w:t> 787</w:t>
      </w:r>
      <w:r w:rsidR="00206F5A">
        <w:t xml:space="preserve"> (</w:t>
      </w:r>
      <w:r w:rsidR="00206F5A">
        <w:rPr>
          <w:i/>
          <w:iCs/>
        </w:rPr>
        <w:t>Gadlin</w:t>
      </w:r>
      <w:r w:rsidR="00206F5A">
        <w:t>)</w:t>
      </w:r>
      <w:r w:rsidR="00DE082B">
        <w:t>.)</w:t>
      </w:r>
    </w:p>
  </w:footnote>
  <w:footnote w:id="6">
    <w:p w14:paraId="2B9E1129" w14:textId="40B75D4A" w:rsidR="009D46CB" w:rsidRPr="0062251F" w:rsidRDefault="009D46CB" w:rsidP="009D46CB">
      <w:pPr>
        <w:pStyle w:val="FootnoteText"/>
      </w:pPr>
      <w:r>
        <w:rPr>
          <w:rStyle w:val="FootnoteReference"/>
        </w:rPr>
        <w:footnoteRef/>
      </w:r>
      <w:r>
        <w:t xml:space="preserve"> </w:t>
      </w:r>
      <w:r>
        <w:tab/>
        <w:t xml:space="preserve">The Court of Appeal recently considered </w:t>
      </w:r>
      <w:r w:rsidR="00E77B32">
        <w:t>th</w:t>
      </w:r>
      <w:r w:rsidR="002C3CC7">
        <w:t>is issue and concluded that the</w:t>
      </w:r>
      <w:r w:rsidR="00E77B32">
        <w:t xml:space="preserve"> </w:t>
      </w:r>
      <w:r w:rsidR="001302AA">
        <w:t xml:space="preserve">Department </w:t>
      </w:r>
      <w:r w:rsidR="005A5231">
        <w:t>could not</w:t>
      </w:r>
      <w:r w:rsidR="00E77B32">
        <w:t xml:space="preserve"> </w:t>
      </w:r>
      <w:r w:rsidR="001302AA">
        <w:t>exclud</w:t>
      </w:r>
      <w:r w:rsidR="00836949">
        <w:t>e</w:t>
      </w:r>
      <w:r w:rsidR="001302AA">
        <w:t xml:space="preserve"> </w:t>
      </w:r>
      <w:r w:rsidR="00E77B32">
        <w:t xml:space="preserve">inmates currently convicted of </w:t>
      </w:r>
      <w:r>
        <w:t>a</w:t>
      </w:r>
      <w:r w:rsidR="00E77B32">
        <w:t xml:space="preserve"> nonviolent registerable sex </w:t>
      </w:r>
      <w:r w:rsidR="00EE062E">
        <w:t>offense</w:t>
      </w:r>
      <w:r w:rsidR="00836949">
        <w:t>.  (</w:t>
      </w:r>
      <w:r>
        <w:rPr>
          <w:i/>
          <w:iCs/>
        </w:rPr>
        <w:t xml:space="preserve">Alliance for Constitutional Sex Offense Laws v. Department of Corrections &amp; Rehabilitation </w:t>
      </w:r>
      <w:r>
        <w:t>(2020) 45 Cal.App.5th 225</w:t>
      </w:r>
      <w:r w:rsidR="00836949">
        <w:t xml:space="preserve">, 234 </w:t>
      </w:r>
      <w:r>
        <w:t>(</w:t>
      </w:r>
      <w:r w:rsidRPr="008822B6">
        <w:rPr>
          <w:i/>
          <w:iCs/>
        </w:rPr>
        <w:t>Alliance</w:t>
      </w:r>
      <w:r>
        <w:t>)</w:t>
      </w:r>
      <w:r w:rsidR="00E77B32">
        <w:t>.</w:t>
      </w:r>
      <w:r w:rsidR="00836949">
        <w:t>)</w:t>
      </w:r>
      <w:r>
        <w:t xml:space="preserve">  Counsel in the present matter is the same </w:t>
      </w:r>
      <w:r w:rsidR="00836949">
        <w:t xml:space="preserve">counsel </w:t>
      </w:r>
      <w:r>
        <w:t xml:space="preserve">as </w:t>
      </w:r>
      <w:r w:rsidR="00836949">
        <w:t xml:space="preserve">appeared </w:t>
      </w:r>
      <w:r>
        <w:t xml:space="preserve">in </w:t>
      </w:r>
      <w:r>
        <w:rPr>
          <w:i/>
          <w:iCs/>
        </w:rPr>
        <w:t>Alliance</w:t>
      </w:r>
      <w:r>
        <w:t>.</w:t>
      </w:r>
      <w:r w:rsidR="00FB6766">
        <w:t xml:space="preserve">  We granted review in </w:t>
      </w:r>
      <w:r w:rsidR="00FB6766">
        <w:rPr>
          <w:i/>
          <w:iCs/>
        </w:rPr>
        <w:t>Alliance</w:t>
      </w:r>
      <w:r w:rsidR="00FB6766">
        <w:t xml:space="preserve"> and deferred briefing </w:t>
      </w:r>
      <w:r w:rsidR="008D5E12">
        <w:t>pending resolution of the matter before us.</w:t>
      </w:r>
      <w:r>
        <w:t xml:space="preserve"> </w:t>
      </w:r>
    </w:p>
  </w:footnote>
  <w:footnote w:id="7">
    <w:p w14:paraId="2C5DB374" w14:textId="08ED8A0B" w:rsidR="009E492A" w:rsidRDefault="009E492A" w:rsidP="00F273F1">
      <w:pPr>
        <w:pStyle w:val="FootnoteText"/>
      </w:pPr>
      <w:r>
        <w:rPr>
          <w:rStyle w:val="FootnoteReference"/>
        </w:rPr>
        <w:footnoteRef/>
      </w:r>
      <w:r>
        <w:t xml:space="preserve"> </w:t>
      </w:r>
      <w:r>
        <w:tab/>
        <w:t xml:space="preserve">All Internet citations in </w:t>
      </w:r>
      <w:r w:rsidR="00397FB2">
        <w:t xml:space="preserve">this </w:t>
      </w:r>
      <w:r>
        <w:t xml:space="preserve">opinion </w:t>
      </w:r>
      <w:r w:rsidR="00631899">
        <w:t>are</w:t>
      </w:r>
      <w:r w:rsidR="00B409F8">
        <w:t xml:space="preserve"> archived by year, docket number</w:t>
      </w:r>
      <w:r w:rsidR="008D4487">
        <w:t>,</w:t>
      </w:r>
      <w:r w:rsidR="00B409F8">
        <w:t xml:space="preserve"> and case name at &lt;</w:t>
      </w:r>
      <w:r w:rsidR="00631899" w:rsidRPr="008026E5">
        <w:t>http://courts.ca.gov/</w:t>
      </w:r>
      <w:r w:rsidR="001F4B27">
        <w:br/>
      </w:r>
      <w:r w:rsidR="00631899" w:rsidRPr="008026E5">
        <w:t>38324.htm</w:t>
      </w:r>
      <w:r w:rsidR="00B409F8">
        <w:t>&gt;.</w:t>
      </w:r>
    </w:p>
  </w:footnote>
  <w:footnote w:id="8">
    <w:p w14:paraId="7072EBAF" w14:textId="1D150560" w:rsidR="00BC0B24" w:rsidRDefault="00BC0B24" w:rsidP="00F273F1">
      <w:pPr>
        <w:pStyle w:val="FootnoteText"/>
      </w:pPr>
      <w:r>
        <w:rPr>
          <w:rStyle w:val="FootnoteReference"/>
        </w:rPr>
        <w:footnoteRef/>
      </w:r>
      <w:r>
        <w:t xml:space="preserve"> </w:t>
      </w:r>
      <w:r>
        <w:tab/>
      </w:r>
      <w:r w:rsidR="00CE627D">
        <w:t xml:space="preserve">The regulations detail the eligibility criteria for both </w:t>
      </w:r>
      <w:r w:rsidR="003F61A7">
        <w:t>determinately sentenced offenders (see Cal. Code Regs., §§</w:t>
      </w:r>
      <w:r w:rsidR="00B71A86">
        <w:t> </w:t>
      </w:r>
      <w:r w:rsidR="003F61A7">
        <w:t>3490</w:t>
      </w:r>
      <w:r w:rsidR="006D49CA">
        <w:t>–</w:t>
      </w:r>
      <w:r w:rsidR="003F61A7">
        <w:t xml:space="preserve">3491) and indeterminately sentenced offenders (see </w:t>
      </w:r>
      <w:r w:rsidR="003F61A7">
        <w:rPr>
          <w:i/>
          <w:iCs/>
        </w:rPr>
        <w:t>id</w:t>
      </w:r>
      <w:r w:rsidR="003F61A7">
        <w:t>., §§</w:t>
      </w:r>
      <w:r w:rsidR="00B71A86">
        <w:t> </w:t>
      </w:r>
      <w:r w:rsidR="003F61A7">
        <w:t>3495</w:t>
      </w:r>
      <w:r w:rsidR="006D49CA">
        <w:t>–</w:t>
      </w:r>
      <w:r w:rsidR="003F61A7">
        <w:t xml:space="preserve">3496).  </w:t>
      </w:r>
      <w:r w:rsidR="00485096">
        <w:t xml:space="preserve">The provisions are identical as relevant here; both exclude from nonviolent offender parole consideration </w:t>
      </w:r>
      <w:r w:rsidR="0037619B">
        <w:t xml:space="preserve">an inmate convicted of a sexual offense that currently requires or will require registration.  </w:t>
      </w:r>
      <w:r w:rsidR="00551BBB">
        <w:t>(</w:t>
      </w:r>
      <w:r w:rsidR="00551BBB">
        <w:rPr>
          <w:i/>
          <w:iCs/>
        </w:rPr>
        <w:t>Id</w:t>
      </w:r>
      <w:r w:rsidR="00551BBB">
        <w:t>., §§</w:t>
      </w:r>
      <w:r w:rsidR="008E3903">
        <w:t> </w:t>
      </w:r>
      <w:r w:rsidR="00551BBB">
        <w:t>3491, subd. (b)(3), 3496, subd. (</w:t>
      </w:r>
      <w:r w:rsidR="00041236">
        <w:t>b)</w:t>
      </w:r>
      <w:r w:rsidR="0034353D">
        <w:t>.)</w:t>
      </w:r>
    </w:p>
  </w:footnote>
  <w:footnote w:id="9">
    <w:p w14:paraId="41267DE5" w14:textId="77777777" w:rsidR="00EA1821" w:rsidRPr="00F747F5" w:rsidRDefault="00EA1821" w:rsidP="00EA1821">
      <w:pPr>
        <w:pStyle w:val="FootnoteText"/>
      </w:pPr>
      <w:r>
        <w:rPr>
          <w:rStyle w:val="FootnoteReference"/>
        </w:rPr>
        <w:footnoteRef/>
      </w:r>
      <w:r>
        <w:t xml:space="preserve"> </w:t>
      </w:r>
      <w:r>
        <w:tab/>
        <w:t xml:space="preserve">The risk to the community posed by individuals convicted of sex offenses is sharply contested by the parties and </w:t>
      </w:r>
      <w:r w:rsidRPr="008026E5">
        <w:t>amici</w:t>
      </w:r>
      <w:r>
        <w:t>.  Given our conclusions regarding the language of the Constitution and the intent of the voters as reflected in the ballot materials, however, we need not address this issue.</w:t>
      </w:r>
    </w:p>
  </w:footnote>
  <w:footnote w:id="10">
    <w:p w14:paraId="6492093A" w14:textId="18C17E11" w:rsidR="00B7729C" w:rsidRDefault="002C1829">
      <w:pPr>
        <w:pStyle w:val="FootnoteText"/>
      </w:pPr>
      <w:r>
        <w:rPr>
          <w:rStyle w:val="FootnoteReference"/>
        </w:rPr>
        <w:footnoteRef/>
      </w:r>
      <w:r>
        <w:t xml:space="preserve"> </w:t>
      </w:r>
      <w:r>
        <w:tab/>
      </w:r>
      <w:r w:rsidRPr="002C1829">
        <w:t xml:space="preserve">The </w:t>
      </w:r>
      <w:r w:rsidR="002F2247">
        <w:t>f</w:t>
      </w:r>
      <w:r w:rsidRPr="002C1829">
        <w:t xml:space="preserve">inal </w:t>
      </w:r>
      <w:r w:rsidR="002F2247">
        <w:t>s</w:t>
      </w:r>
      <w:r w:rsidRPr="002C1829">
        <w:t xml:space="preserve">tatement of </w:t>
      </w:r>
      <w:r w:rsidR="002F2247">
        <w:t>r</w:t>
      </w:r>
      <w:r w:rsidRPr="002C1829">
        <w:t>easons accompanying the regulations also provided estimates concerning the number of inmates who would be affected by this exclusion.  According to the Department, approximately 22,400 inmates were required at that time to register for a sex offense based on a current or prior conviction.  Of those, more than 18,000 were currently convicted of a violent offense as defined in Penal Code section 667.5, subdivision (c) and thus, under the Department’s regulations, were ineligible for nonviolent offender parole consideration based on their current conviction in any event.  Of the remaining 4,400 or so inmates convicted of a nonviolent offense (and currently incarcerated based on that offense), it is not clear how many would be excluded from nonviolent offender parole consideration based on a prior (as opposed to a current) sex offense conviction.</w:t>
      </w:r>
    </w:p>
  </w:footnote>
  <w:footnote w:id="11">
    <w:p w14:paraId="036F9617" w14:textId="7BB13201" w:rsidR="0035045C" w:rsidRPr="00F273F1" w:rsidRDefault="002B2D86" w:rsidP="00F273F1">
      <w:pPr>
        <w:pStyle w:val="FootnoteText"/>
      </w:pPr>
      <w:r>
        <w:rPr>
          <w:rStyle w:val="FootnoteReference"/>
        </w:rPr>
        <w:footnoteRef/>
      </w:r>
      <w:r>
        <w:t xml:space="preserve"> </w:t>
      </w:r>
      <w:r>
        <w:tab/>
      </w:r>
      <w:r w:rsidR="0035045C">
        <w:t>As noted, t</w:t>
      </w:r>
      <w:r>
        <w:t xml:space="preserve">he Department </w:t>
      </w:r>
      <w:r w:rsidR="004B1B0E">
        <w:t xml:space="preserve">amended </w:t>
      </w:r>
      <w:r w:rsidR="00325B9F">
        <w:t>its</w:t>
      </w:r>
      <w:r w:rsidR="004B1B0E">
        <w:t xml:space="preserve"> regulations following the decision in </w:t>
      </w:r>
      <w:r w:rsidR="004B1B0E">
        <w:rPr>
          <w:i/>
          <w:iCs/>
        </w:rPr>
        <w:t>Edwards</w:t>
      </w:r>
      <w:r w:rsidR="009A2487">
        <w:t>,</w:t>
      </w:r>
      <w:r w:rsidR="004B1B0E">
        <w:t xml:space="preserve"> and </w:t>
      </w:r>
      <w:r w:rsidR="009A2487">
        <w:t xml:space="preserve">it did so </w:t>
      </w:r>
      <w:r w:rsidR="004B1B0E">
        <w:t xml:space="preserve">again following the decision in </w:t>
      </w:r>
      <w:r>
        <w:rPr>
          <w:i/>
        </w:rPr>
        <w:t>McGhee</w:t>
      </w:r>
      <w:r>
        <w:t xml:space="preserve">.  </w:t>
      </w:r>
      <w:r w:rsidR="004B6B9A">
        <w:t>As amended</w:t>
      </w:r>
      <w:r w:rsidR="00B17171">
        <w:t>, t</w:t>
      </w:r>
      <w:r>
        <w:t xml:space="preserve">he operative language regarding the exclusion of individuals convicted of </w:t>
      </w:r>
      <w:r w:rsidR="00C8295C">
        <w:t xml:space="preserve">registerable </w:t>
      </w:r>
      <w:r>
        <w:t>sex offenses</w:t>
      </w:r>
      <w:r w:rsidR="00B17171">
        <w:t xml:space="preserve"> </w:t>
      </w:r>
      <w:r>
        <w:t xml:space="preserve">remains unchanged from the May 2018 version of the </w:t>
      </w:r>
      <w:r w:rsidR="00BB3176">
        <w:t>r</w:t>
      </w:r>
      <w:r>
        <w:t xml:space="preserve">egulations.  (See </w:t>
      </w:r>
      <w:r w:rsidR="00855AC2">
        <w:t xml:space="preserve">Cal. Code Regs., </w:t>
      </w:r>
      <w:r w:rsidR="00207692">
        <w:t>§</w:t>
      </w:r>
      <w:r w:rsidR="00855AC2">
        <w:t>§</w:t>
      </w:r>
      <w:r w:rsidR="00616352">
        <w:t> </w:t>
      </w:r>
      <w:r w:rsidR="00207692">
        <w:t>3490</w:t>
      </w:r>
      <w:r w:rsidR="00212C8C">
        <w:t>–</w:t>
      </w:r>
      <w:r w:rsidR="00207692">
        <w:t>3491</w:t>
      </w:r>
      <w:r w:rsidR="002E4748">
        <w:t>, 3495–3496</w:t>
      </w:r>
      <w:r w:rsidR="00855AC2">
        <w:t>.)</w:t>
      </w:r>
    </w:p>
  </w:footnote>
  <w:footnote w:id="12">
    <w:p w14:paraId="24098A04" w14:textId="6B621565" w:rsidR="00495881" w:rsidRDefault="00495881">
      <w:pPr>
        <w:pStyle w:val="FootnoteText"/>
      </w:pPr>
      <w:r>
        <w:rPr>
          <w:rStyle w:val="FootnoteReference"/>
        </w:rPr>
        <w:footnoteRef/>
      </w:r>
      <w:r>
        <w:t xml:space="preserve"> </w:t>
      </w:r>
      <w:r>
        <w:tab/>
      </w:r>
      <w:r w:rsidR="00334706">
        <w:t xml:space="preserve">The Department likewise asserted in </w:t>
      </w:r>
      <w:r w:rsidR="00334706">
        <w:rPr>
          <w:i/>
          <w:iCs/>
        </w:rPr>
        <w:t>Alliance</w:t>
      </w:r>
      <w:r>
        <w:t xml:space="preserve"> </w:t>
      </w:r>
      <w:r w:rsidR="00DE2CDA">
        <w:t>that its exclusion from parole consideration of inmates with current convictions for nonviolent</w:t>
      </w:r>
      <w:r w:rsidR="000651E7">
        <w:t xml:space="preserve"> registerable sex offenses was based only on public safety concerns</w:t>
      </w:r>
      <w:r>
        <w:t>.  (</w:t>
      </w:r>
      <w:r>
        <w:rPr>
          <w:i/>
          <w:iCs/>
        </w:rPr>
        <w:t>Alliance</w:t>
      </w:r>
      <w:r w:rsidR="000651E7">
        <w:t xml:space="preserve">, </w:t>
      </w:r>
      <w:r w:rsidR="000651E7">
        <w:rPr>
          <w:i/>
          <w:iCs/>
        </w:rPr>
        <w:t>supra</w:t>
      </w:r>
      <w:r w:rsidR="000651E7">
        <w:t xml:space="preserve">, </w:t>
      </w:r>
      <w:r>
        <w:t xml:space="preserve">45 Cal.App.5th </w:t>
      </w:r>
      <w:r w:rsidR="000651E7">
        <w:t>at p. </w:t>
      </w:r>
      <w:r>
        <w:t>231 [“</w:t>
      </w:r>
      <w:r w:rsidR="006327E1">
        <w:t>t</w:t>
      </w:r>
      <w:r>
        <w:t xml:space="preserve">he Department does </w:t>
      </w:r>
      <w:r w:rsidRPr="00F53779">
        <w:rPr>
          <w:i/>
          <w:iCs/>
        </w:rPr>
        <w:t>not</w:t>
      </w:r>
      <w:r>
        <w:t xml:space="preserve"> argue that all sex offenses requiring registration under Penal Code section 290 are excluded from the term ‘nonviolent felony offense’ for purposes of </w:t>
      </w:r>
      <w:r w:rsidR="00820A41">
        <w:t xml:space="preserve">California Constitution, </w:t>
      </w:r>
      <w:r>
        <w:t>article I, section 32, subdivision (a)(1)”].)</w:t>
      </w:r>
    </w:p>
  </w:footnote>
  <w:footnote w:id="13">
    <w:p w14:paraId="10A8371F" w14:textId="753232B7" w:rsidR="007A3D55" w:rsidRPr="00D55D6F" w:rsidRDefault="00CF179F">
      <w:pPr>
        <w:pStyle w:val="FootnoteText"/>
      </w:pPr>
      <w:r>
        <w:rPr>
          <w:rStyle w:val="FootnoteReference"/>
        </w:rPr>
        <w:footnoteRef/>
      </w:r>
      <w:r>
        <w:t xml:space="preserve"> </w:t>
      </w:r>
      <w:r>
        <w:tab/>
        <w:t xml:space="preserve">The Department also relies on </w:t>
      </w:r>
      <w:r w:rsidR="004868B9">
        <w:t xml:space="preserve">the </w:t>
      </w:r>
      <w:r w:rsidR="00455DB3">
        <w:t>f</w:t>
      </w:r>
      <w:r w:rsidR="004868B9">
        <w:t xml:space="preserve">inal </w:t>
      </w:r>
      <w:r w:rsidR="00455DB3">
        <w:t>s</w:t>
      </w:r>
      <w:r w:rsidR="004868B9">
        <w:t xml:space="preserve">tatement of </w:t>
      </w:r>
      <w:r w:rsidR="00455DB3">
        <w:t>r</w:t>
      </w:r>
      <w:r w:rsidR="004868B9">
        <w:t xml:space="preserve">easons accompanying its regulations </w:t>
      </w:r>
      <w:r w:rsidR="00505444">
        <w:t xml:space="preserve">(see </w:t>
      </w:r>
      <w:r w:rsidR="00505444">
        <w:rPr>
          <w:i/>
          <w:iCs/>
        </w:rPr>
        <w:t>ante</w:t>
      </w:r>
      <w:r w:rsidR="00505444">
        <w:t>, fn.</w:t>
      </w:r>
      <w:r w:rsidR="00525CC0">
        <w:t xml:space="preserve"> </w:t>
      </w:r>
      <w:r w:rsidR="006B67C0">
        <w:t>9</w:t>
      </w:r>
      <w:r w:rsidR="00EB42E6">
        <w:t>)</w:t>
      </w:r>
      <w:r w:rsidR="00505444">
        <w:t xml:space="preserve"> </w:t>
      </w:r>
      <w:r w:rsidR="004868B9" w:rsidRPr="00505444">
        <w:t>for</w:t>
      </w:r>
      <w:r w:rsidR="004868B9">
        <w:t xml:space="preserve"> the assertion that inmates convicted of registerable sex offenses were excluded from the parole scheme based on a determination that those felonies were not nonviolent.  </w:t>
      </w:r>
      <w:r w:rsidR="008F2855">
        <w:t xml:space="preserve">The </w:t>
      </w:r>
      <w:r w:rsidR="00455DB3">
        <w:t xml:space="preserve">final statement </w:t>
      </w:r>
      <w:r w:rsidR="008F2855">
        <w:t xml:space="preserve">of </w:t>
      </w:r>
      <w:r w:rsidR="00455DB3">
        <w:t>reasons</w:t>
      </w:r>
      <w:r w:rsidR="008F2855">
        <w:t xml:space="preserve">, however, indicates otherwise.  </w:t>
      </w:r>
      <w:r w:rsidR="00E15F27">
        <w:t xml:space="preserve">The Department emphasizes that the </w:t>
      </w:r>
      <w:r w:rsidR="00455DB3">
        <w:t xml:space="preserve">final statement </w:t>
      </w:r>
      <w:r w:rsidR="00E15F27">
        <w:t xml:space="preserve">of </w:t>
      </w:r>
      <w:r w:rsidR="00455DB3">
        <w:t xml:space="preserve">reasons </w:t>
      </w:r>
      <w:r w:rsidR="00FA7474">
        <w:t xml:space="preserve">essentially stated </w:t>
      </w:r>
      <w:r w:rsidR="00525CC0">
        <w:t xml:space="preserve">that </w:t>
      </w:r>
      <w:r w:rsidR="00FA7474">
        <w:t xml:space="preserve">the Department had determined registerable sex offenses did not constitute nonviolent felony offenses, pointing to </w:t>
      </w:r>
      <w:r w:rsidR="00852942">
        <w:t xml:space="preserve">the </w:t>
      </w:r>
      <w:r w:rsidR="00525CC0">
        <w:t xml:space="preserve">language, </w:t>
      </w:r>
      <w:r w:rsidR="00852942">
        <w:t xml:space="preserve">“these sex offenses demonstrate a sufficient degree of violence and represent an unreasonable risk to public safety to require that sex offenders be excluded from nonviolent parole consideration.”  </w:t>
      </w:r>
      <w:r w:rsidR="00D55D6F">
        <w:t xml:space="preserve">Elsewhere, however, the </w:t>
      </w:r>
      <w:r w:rsidR="00455DB3">
        <w:t>f</w:t>
      </w:r>
      <w:r w:rsidR="00D55D6F">
        <w:t xml:space="preserve">inal </w:t>
      </w:r>
      <w:r w:rsidR="00455DB3">
        <w:t xml:space="preserve">statement </w:t>
      </w:r>
      <w:r w:rsidR="00D55D6F">
        <w:t xml:space="preserve">of </w:t>
      </w:r>
      <w:r w:rsidR="00455DB3">
        <w:t xml:space="preserve">reasons </w:t>
      </w:r>
      <w:r w:rsidR="00D55D6F">
        <w:t xml:space="preserve">notes that “Public safety requires that sex offenders be excluded from nonviolent parole consideration.”  </w:t>
      </w:r>
      <w:r w:rsidR="00D4480B">
        <w:t xml:space="preserve">Nowhere does the </w:t>
      </w:r>
      <w:r w:rsidR="00455DB3">
        <w:t xml:space="preserve">final statement </w:t>
      </w:r>
      <w:r w:rsidR="00D4480B">
        <w:t xml:space="preserve">of </w:t>
      </w:r>
      <w:r w:rsidR="00455DB3">
        <w:t xml:space="preserve">reasons </w:t>
      </w:r>
      <w:r w:rsidR="00EB7E2E">
        <w:t>provide</w:t>
      </w:r>
      <w:r w:rsidR="00D4480B">
        <w:t xml:space="preserve"> that registerable sex offenses are not considered “nonviolent felony offenses.”  </w:t>
      </w:r>
      <w:r w:rsidR="00233A5A">
        <w:t xml:space="preserve"> </w:t>
      </w:r>
      <w:r w:rsidR="00D55D6F">
        <w:t xml:space="preserve"> </w:t>
      </w:r>
    </w:p>
    <w:p w14:paraId="5E7A5DB6" w14:textId="67F54E53" w:rsidR="00CF179F" w:rsidRDefault="008F2855" w:rsidP="007A3D55">
      <w:pPr>
        <w:pStyle w:val="FootnoteText"/>
        <w:ind w:firstLine="720"/>
      </w:pPr>
      <w:r>
        <w:t xml:space="preserve">Further, to the extent the </w:t>
      </w:r>
      <w:r w:rsidR="009F06F5">
        <w:t>final s</w:t>
      </w:r>
      <w:r>
        <w:t xml:space="preserve">tatement of </w:t>
      </w:r>
      <w:r w:rsidR="009F06F5">
        <w:t xml:space="preserve">reasons </w:t>
      </w:r>
      <w:r>
        <w:t>supports the Department’s newly</w:t>
      </w:r>
      <w:r w:rsidR="009F06F5">
        <w:t xml:space="preserve"> </w:t>
      </w:r>
      <w:r>
        <w:t xml:space="preserve">raised position, it is inconsistent with the structure of the regulations the Department ultimately adopted, as discussed above. </w:t>
      </w:r>
    </w:p>
  </w:footnote>
  <w:footnote w:id="14">
    <w:p w14:paraId="5E8E4BDA" w14:textId="6B0D410C" w:rsidR="00EA10CD" w:rsidRDefault="00EA10CD" w:rsidP="00EA10CD">
      <w:pPr>
        <w:pStyle w:val="FootnoteText"/>
      </w:pPr>
      <w:r>
        <w:rPr>
          <w:rStyle w:val="FootnoteReference"/>
        </w:rPr>
        <w:footnoteRef/>
      </w:r>
      <w:r>
        <w:t xml:space="preserve"> </w:t>
      </w:r>
      <w:r>
        <w:tab/>
        <w:t xml:space="preserve">Every Court of Appeal to have considered the issue has agreed with </w:t>
      </w:r>
      <w:r w:rsidR="002513A4">
        <w:t>our conclusion</w:t>
      </w:r>
      <w:r>
        <w:t xml:space="preserve"> that the Department’s regulations excluding inmates from nonviolent parole consideration based on prior offenses are contrary to the constitutional language enacted by Proposition 57.  (See </w:t>
      </w:r>
      <w:r>
        <w:rPr>
          <w:i/>
          <w:iCs/>
        </w:rPr>
        <w:t>In re King</w:t>
      </w:r>
      <w:r>
        <w:rPr>
          <w:iCs/>
        </w:rPr>
        <w:t xml:space="preserve"> (2020) 54 Cal.App.5th 814;</w:t>
      </w:r>
      <w:r>
        <w:t xml:space="preserve"> </w:t>
      </w:r>
      <w:r>
        <w:rPr>
          <w:i/>
          <w:iCs/>
        </w:rPr>
        <w:t>In re Chavez</w:t>
      </w:r>
      <w:r>
        <w:t xml:space="preserve"> (2020) 51 Cal.App.5th 748, 756;</w:t>
      </w:r>
      <w:r>
        <w:rPr>
          <w:i/>
          <w:iCs/>
        </w:rPr>
        <w:t xml:space="preserve"> In re Schuster</w:t>
      </w:r>
      <w:r>
        <w:t xml:space="preserve"> (2019) 42 Cal.App.5th 943, 954–955.)</w:t>
      </w:r>
    </w:p>
  </w:footnote>
  <w:footnote w:id="15">
    <w:p w14:paraId="1609F334" w14:textId="616C3409" w:rsidR="00AD10EB" w:rsidRPr="005C683F" w:rsidRDefault="00AD10EB" w:rsidP="00F273F1">
      <w:pPr>
        <w:pStyle w:val="FootnoteText"/>
      </w:pPr>
      <w:r>
        <w:rPr>
          <w:rStyle w:val="FootnoteReference"/>
        </w:rPr>
        <w:footnoteRef/>
      </w:r>
      <w:r>
        <w:t xml:space="preserve"> </w:t>
      </w:r>
      <w:r>
        <w:tab/>
        <w:t xml:space="preserve">The </w:t>
      </w:r>
      <w:r w:rsidR="00B01AC1">
        <w:t>n</w:t>
      </w:r>
      <w:r>
        <w:t xml:space="preserve">onviolent </w:t>
      </w:r>
      <w:r w:rsidR="00B01AC1">
        <w:t>s</w:t>
      </w:r>
      <w:r>
        <w:t xml:space="preserve">econd </w:t>
      </w:r>
      <w:r w:rsidR="00B01AC1">
        <w:t>s</w:t>
      </w:r>
      <w:r>
        <w:t xml:space="preserve">trike </w:t>
      </w:r>
      <w:r w:rsidR="00B01AC1">
        <w:t>o</w:t>
      </w:r>
      <w:r w:rsidR="002C3360">
        <w:t xml:space="preserve">ffender </w:t>
      </w:r>
      <w:r>
        <w:t>parole process provided parole eligibility for nonviolent, non-sex-registrant, second</w:t>
      </w:r>
      <w:r w:rsidR="00636DC0">
        <w:t xml:space="preserve"> </w:t>
      </w:r>
      <w:r>
        <w:t xml:space="preserve">strike offenders who </w:t>
      </w:r>
      <w:r w:rsidR="00636DC0">
        <w:t>had</w:t>
      </w:r>
      <w:r>
        <w:t xml:space="preserve"> served 50</w:t>
      </w:r>
      <w:r w:rsidR="00E64DAB">
        <w:t> </w:t>
      </w:r>
      <w:r>
        <w:t>percent of their sentence</w:t>
      </w:r>
      <w:r w:rsidR="004240BE">
        <w:t>.</w:t>
      </w:r>
      <w:r w:rsidR="005C683F">
        <w:t xml:space="preserve">  (See </w:t>
      </w:r>
      <w:r w:rsidR="005C683F">
        <w:rPr>
          <w:i/>
          <w:iCs/>
        </w:rPr>
        <w:t>In re Ilasa</w:t>
      </w:r>
      <w:r w:rsidR="005C683F">
        <w:t xml:space="preserve"> (2016) 3 Cal.App.</w:t>
      </w:r>
      <w:r w:rsidR="00196276">
        <w:t>5th 489, 495.)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A00D4" w14:textId="2F80602D" w:rsidR="00F273F1" w:rsidRDefault="00F273F1">
    <w:pPr>
      <w:pStyle w:val="Header"/>
    </w:pPr>
    <w:r>
      <w:t xml:space="preserve">In re GADLIN </w:t>
    </w:r>
  </w:p>
  <w:p w14:paraId="31C34613" w14:textId="3996DE39" w:rsidR="00F273F1" w:rsidRDefault="00F273F1">
    <w:pPr>
      <w:pStyle w:val="Header"/>
    </w:pPr>
    <w:r>
      <w:t>Opinion of the Court by Cantil-Sakauye, C. J.</w:t>
    </w:r>
  </w:p>
  <w:p w14:paraId="6BD81290" w14:textId="77777777" w:rsidR="00F273F1" w:rsidRDefault="00F273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2D219" w14:textId="77777777" w:rsidR="00C74F75" w:rsidRDefault="00D75A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CD454" w14:textId="77777777" w:rsidR="00C74F75" w:rsidRDefault="00D75A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EB93B" w14:textId="77777777" w:rsidR="00C74F75" w:rsidRDefault="00D75A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F6E63"/>
    <w:multiLevelType w:val="hybridMultilevel"/>
    <w:tmpl w:val="470609A0"/>
    <w:lvl w:ilvl="0" w:tplc="A492FC5E">
      <w:numFmt w:val="bullet"/>
      <w:lvlText w:val="-"/>
      <w:lvlJc w:val="left"/>
      <w:pPr>
        <w:ind w:left="1080" w:hanging="360"/>
      </w:pPr>
      <w:rPr>
        <w:rFonts w:ascii="Times New Roman" w:eastAsia="Times New Roman"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E7658E"/>
    <w:multiLevelType w:val="hybridMultilevel"/>
    <w:tmpl w:val="3FB8E784"/>
    <w:lvl w:ilvl="0" w:tplc="FCFCF0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D66229"/>
    <w:multiLevelType w:val="hybridMultilevel"/>
    <w:tmpl w:val="B52E40C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97EFA"/>
    <w:multiLevelType w:val="hybridMultilevel"/>
    <w:tmpl w:val="D8A6F584"/>
    <w:lvl w:ilvl="0" w:tplc="79008AA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850970"/>
    <w:multiLevelType w:val="hybridMultilevel"/>
    <w:tmpl w:val="09AC901C"/>
    <w:lvl w:ilvl="0" w:tplc="BE987E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DD23F0"/>
    <w:multiLevelType w:val="hybridMultilevel"/>
    <w:tmpl w:val="042EA754"/>
    <w:lvl w:ilvl="0" w:tplc="289A01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3B3EFF"/>
    <w:multiLevelType w:val="hybridMultilevel"/>
    <w:tmpl w:val="5B96ED16"/>
    <w:lvl w:ilvl="0" w:tplc="FCFCF0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7FF2ED6"/>
    <w:multiLevelType w:val="hybridMultilevel"/>
    <w:tmpl w:val="17427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24567D"/>
    <w:multiLevelType w:val="hybridMultilevel"/>
    <w:tmpl w:val="CD0A7D46"/>
    <w:lvl w:ilvl="0" w:tplc="E4B6B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A5246B0"/>
    <w:multiLevelType w:val="hybridMultilevel"/>
    <w:tmpl w:val="A8EC1874"/>
    <w:lvl w:ilvl="0" w:tplc="8ECA67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F83461"/>
    <w:multiLevelType w:val="hybridMultilevel"/>
    <w:tmpl w:val="F8FA4FB8"/>
    <w:lvl w:ilvl="0" w:tplc="25D4A672">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 w15:restartNumberingAfterBreak="0">
    <w:nsid w:val="3486499F"/>
    <w:multiLevelType w:val="hybridMultilevel"/>
    <w:tmpl w:val="96B4004C"/>
    <w:lvl w:ilvl="0" w:tplc="3C005B4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7D403F1"/>
    <w:multiLevelType w:val="hybridMultilevel"/>
    <w:tmpl w:val="3FB8E784"/>
    <w:lvl w:ilvl="0" w:tplc="FCFCF0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ADA7663"/>
    <w:multiLevelType w:val="hybridMultilevel"/>
    <w:tmpl w:val="3998D0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5D374F2"/>
    <w:multiLevelType w:val="hybridMultilevel"/>
    <w:tmpl w:val="63682A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F32957"/>
    <w:multiLevelType w:val="hybridMultilevel"/>
    <w:tmpl w:val="F7C28E80"/>
    <w:lvl w:ilvl="0" w:tplc="FCFCF0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B315E39"/>
    <w:multiLevelType w:val="hybridMultilevel"/>
    <w:tmpl w:val="7CD20AAC"/>
    <w:lvl w:ilvl="0" w:tplc="05E0CCDA">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0B745B"/>
    <w:multiLevelType w:val="hybridMultilevel"/>
    <w:tmpl w:val="B85C1C9E"/>
    <w:lvl w:ilvl="0" w:tplc="731A0602">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74B6CD3"/>
    <w:multiLevelType w:val="hybridMultilevel"/>
    <w:tmpl w:val="893E82C6"/>
    <w:lvl w:ilvl="0" w:tplc="F8F67D3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343608"/>
    <w:multiLevelType w:val="hybridMultilevel"/>
    <w:tmpl w:val="D3A2AA7E"/>
    <w:lvl w:ilvl="0" w:tplc="12B4062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6FED1AFE"/>
    <w:multiLevelType w:val="hybridMultilevel"/>
    <w:tmpl w:val="1B388D6A"/>
    <w:lvl w:ilvl="0" w:tplc="C31ECA36">
      <w:start w:val="1"/>
      <w:numFmt w:val="decimal"/>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1" w15:restartNumberingAfterBreak="0">
    <w:nsid w:val="733F75C0"/>
    <w:multiLevelType w:val="hybridMultilevel"/>
    <w:tmpl w:val="23E8C684"/>
    <w:lvl w:ilvl="0" w:tplc="95963D8A">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3"/>
  </w:num>
  <w:num w:numId="2">
    <w:abstractNumId w:val="0"/>
  </w:num>
  <w:num w:numId="3">
    <w:abstractNumId w:val="16"/>
  </w:num>
  <w:num w:numId="4">
    <w:abstractNumId w:val="5"/>
  </w:num>
  <w:num w:numId="5">
    <w:abstractNumId w:val="14"/>
  </w:num>
  <w:num w:numId="6">
    <w:abstractNumId w:val="8"/>
  </w:num>
  <w:num w:numId="7">
    <w:abstractNumId w:val="18"/>
  </w:num>
  <w:num w:numId="8">
    <w:abstractNumId w:val="3"/>
  </w:num>
  <w:num w:numId="9">
    <w:abstractNumId w:val="21"/>
  </w:num>
  <w:num w:numId="10">
    <w:abstractNumId w:val="2"/>
  </w:num>
  <w:num w:numId="11">
    <w:abstractNumId w:val="17"/>
  </w:num>
  <w:num w:numId="12">
    <w:abstractNumId w:val="4"/>
  </w:num>
  <w:num w:numId="13">
    <w:abstractNumId w:val="9"/>
  </w:num>
  <w:num w:numId="14">
    <w:abstractNumId w:val="10"/>
  </w:num>
  <w:num w:numId="15">
    <w:abstractNumId w:val="20"/>
  </w:num>
  <w:num w:numId="16">
    <w:abstractNumId w:val="7"/>
  </w:num>
  <w:num w:numId="17">
    <w:abstractNumId w:val="11"/>
  </w:num>
  <w:num w:numId="18">
    <w:abstractNumId w:val="1"/>
  </w:num>
  <w:num w:numId="19">
    <w:abstractNumId w:val="19"/>
  </w:num>
  <w:num w:numId="20">
    <w:abstractNumId w:val="6"/>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1"/>
  <w:removePersonalInformation/>
  <w:removeDateAndTime/>
  <w:printFractionalCharacterWidth/>
  <w:activeWritingStyle w:appName="MSWord" w:lang="en-US" w:vendorID="64" w:dllVersion="5" w:nlCheck="1" w:checkStyle="1"/>
  <w:activeWritingStyle w:appName="MSWord" w:lang="en-US" w:vendorID="64" w:dllVersion="0" w:nlCheck="1" w:checkStyle="0"/>
  <w:activeWritingStyle w:appName="MSWord" w:lang="en-US" w:vendorID="64" w:dllVersion="4096" w:nlCheck="1" w:checkStyle="0"/>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559"/>
    <w:rsid w:val="000005AB"/>
    <w:rsid w:val="00000A2B"/>
    <w:rsid w:val="00000B73"/>
    <w:rsid w:val="00003FF2"/>
    <w:rsid w:val="000045C2"/>
    <w:rsid w:val="00004B36"/>
    <w:rsid w:val="000064D2"/>
    <w:rsid w:val="000065EB"/>
    <w:rsid w:val="00007AC6"/>
    <w:rsid w:val="00007C3C"/>
    <w:rsid w:val="00007E69"/>
    <w:rsid w:val="00010C9A"/>
    <w:rsid w:val="00010F0E"/>
    <w:rsid w:val="00011076"/>
    <w:rsid w:val="000118BD"/>
    <w:rsid w:val="00012733"/>
    <w:rsid w:val="00012EFB"/>
    <w:rsid w:val="00013478"/>
    <w:rsid w:val="000149AC"/>
    <w:rsid w:val="00014E4B"/>
    <w:rsid w:val="00016CB6"/>
    <w:rsid w:val="00017060"/>
    <w:rsid w:val="00017C7F"/>
    <w:rsid w:val="000205E5"/>
    <w:rsid w:val="00020EAC"/>
    <w:rsid w:val="000214FC"/>
    <w:rsid w:val="00021742"/>
    <w:rsid w:val="00022B24"/>
    <w:rsid w:val="00023926"/>
    <w:rsid w:val="00023AFD"/>
    <w:rsid w:val="00023DB2"/>
    <w:rsid w:val="00024310"/>
    <w:rsid w:val="00025681"/>
    <w:rsid w:val="00025BD2"/>
    <w:rsid w:val="0003057A"/>
    <w:rsid w:val="00030CD7"/>
    <w:rsid w:val="0003130A"/>
    <w:rsid w:val="0003163D"/>
    <w:rsid w:val="000316C8"/>
    <w:rsid w:val="00031C0A"/>
    <w:rsid w:val="00032225"/>
    <w:rsid w:val="00033AFB"/>
    <w:rsid w:val="000345A1"/>
    <w:rsid w:val="00034D5F"/>
    <w:rsid w:val="000358A9"/>
    <w:rsid w:val="00035BEC"/>
    <w:rsid w:val="000365CE"/>
    <w:rsid w:val="00037E5C"/>
    <w:rsid w:val="00041236"/>
    <w:rsid w:val="000413C3"/>
    <w:rsid w:val="00041CAB"/>
    <w:rsid w:val="000431C2"/>
    <w:rsid w:val="00043D91"/>
    <w:rsid w:val="00044A34"/>
    <w:rsid w:val="00044C32"/>
    <w:rsid w:val="000457DC"/>
    <w:rsid w:val="000462FC"/>
    <w:rsid w:val="00046B2B"/>
    <w:rsid w:val="00046D15"/>
    <w:rsid w:val="00050FCE"/>
    <w:rsid w:val="000514C6"/>
    <w:rsid w:val="0005193A"/>
    <w:rsid w:val="00051B56"/>
    <w:rsid w:val="000546EF"/>
    <w:rsid w:val="000547D9"/>
    <w:rsid w:val="00054F96"/>
    <w:rsid w:val="000550FD"/>
    <w:rsid w:val="00055566"/>
    <w:rsid w:val="0005656C"/>
    <w:rsid w:val="00056986"/>
    <w:rsid w:val="00056E0E"/>
    <w:rsid w:val="00057787"/>
    <w:rsid w:val="00060081"/>
    <w:rsid w:val="00060219"/>
    <w:rsid w:val="0006081F"/>
    <w:rsid w:val="00060948"/>
    <w:rsid w:val="00060E81"/>
    <w:rsid w:val="000612E2"/>
    <w:rsid w:val="00061AFB"/>
    <w:rsid w:val="00062521"/>
    <w:rsid w:val="0006321C"/>
    <w:rsid w:val="00063AC5"/>
    <w:rsid w:val="00063D09"/>
    <w:rsid w:val="000641C4"/>
    <w:rsid w:val="000646B8"/>
    <w:rsid w:val="000651E7"/>
    <w:rsid w:val="00065377"/>
    <w:rsid w:val="0006539B"/>
    <w:rsid w:val="0006686A"/>
    <w:rsid w:val="00067239"/>
    <w:rsid w:val="00067437"/>
    <w:rsid w:val="00067C78"/>
    <w:rsid w:val="00070CB9"/>
    <w:rsid w:val="00071157"/>
    <w:rsid w:val="00071D0E"/>
    <w:rsid w:val="000728DB"/>
    <w:rsid w:val="00073DBD"/>
    <w:rsid w:val="00074D8C"/>
    <w:rsid w:val="0007564F"/>
    <w:rsid w:val="000756E5"/>
    <w:rsid w:val="000765FA"/>
    <w:rsid w:val="00076F57"/>
    <w:rsid w:val="000774A7"/>
    <w:rsid w:val="000778FD"/>
    <w:rsid w:val="00077D9C"/>
    <w:rsid w:val="00080A26"/>
    <w:rsid w:val="00080EF0"/>
    <w:rsid w:val="00081D2A"/>
    <w:rsid w:val="00082C43"/>
    <w:rsid w:val="00083130"/>
    <w:rsid w:val="00083600"/>
    <w:rsid w:val="0008399C"/>
    <w:rsid w:val="000842B3"/>
    <w:rsid w:val="00084C79"/>
    <w:rsid w:val="0008548C"/>
    <w:rsid w:val="000860A8"/>
    <w:rsid w:val="00086C6C"/>
    <w:rsid w:val="0008708A"/>
    <w:rsid w:val="00087C1A"/>
    <w:rsid w:val="000904A6"/>
    <w:rsid w:val="00091624"/>
    <w:rsid w:val="00091AAD"/>
    <w:rsid w:val="00092196"/>
    <w:rsid w:val="000927AE"/>
    <w:rsid w:val="000927C5"/>
    <w:rsid w:val="0009333F"/>
    <w:rsid w:val="000953B0"/>
    <w:rsid w:val="0009573D"/>
    <w:rsid w:val="00095884"/>
    <w:rsid w:val="00095C6F"/>
    <w:rsid w:val="0009604B"/>
    <w:rsid w:val="00096715"/>
    <w:rsid w:val="000A12A5"/>
    <w:rsid w:val="000A28D6"/>
    <w:rsid w:val="000A2F81"/>
    <w:rsid w:val="000A34C8"/>
    <w:rsid w:val="000A44EE"/>
    <w:rsid w:val="000A4987"/>
    <w:rsid w:val="000A5A47"/>
    <w:rsid w:val="000A5BCD"/>
    <w:rsid w:val="000A5FC0"/>
    <w:rsid w:val="000A605B"/>
    <w:rsid w:val="000A62A8"/>
    <w:rsid w:val="000A63E3"/>
    <w:rsid w:val="000A65AC"/>
    <w:rsid w:val="000A6AC5"/>
    <w:rsid w:val="000A6E7D"/>
    <w:rsid w:val="000A7787"/>
    <w:rsid w:val="000B0215"/>
    <w:rsid w:val="000B0F92"/>
    <w:rsid w:val="000B1212"/>
    <w:rsid w:val="000B1A13"/>
    <w:rsid w:val="000B2395"/>
    <w:rsid w:val="000B2995"/>
    <w:rsid w:val="000B3A29"/>
    <w:rsid w:val="000B3DCA"/>
    <w:rsid w:val="000B477D"/>
    <w:rsid w:val="000B47FA"/>
    <w:rsid w:val="000B542A"/>
    <w:rsid w:val="000B5987"/>
    <w:rsid w:val="000B5B1A"/>
    <w:rsid w:val="000B5E75"/>
    <w:rsid w:val="000B7628"/>
    <w:rsid w:val="000B78BF"/>
    <w:rsid w:val="000C099C"/>
    <w:rsid w:val="000C0C1D"/>
    <w:rsid w:val="000C0EDB"/>
    <w:rsid w:val="000C15F2"/>
    <w:rsid w:val="000C176B"/>
    <w:rsid w:val="000C198B"/>
    <w:rsid w:val="000C28BC"/>
    <w:rsid w:val="000C3147"/>
    <w:rsid w:val="000C33F9"/>
    <w:rsid w:val="000C3A46"/>
    <w:rsid w:val="000C3AC2"/>
    <w:rsid w:val="000C43B8"/>
    <w:rsid w:val="000C4B85"/>
    <w:rsid w:val="000C5108"/>
    <w:rsid w:val="000C5D53"/>
    <w:rsid w:val="000C6E28"/>
    <w:rsid w:val="000D19D7"/>
    <w:rsid w:val="000D1F50"/>
    <w:rsid w:val="000D238B"/>
    <w:rsid w:val="000D31B2"/>
    <w:rsid w:val="000D3235"/>
    <w:rsid w:val="000D32B7"/>
    <w:rsid w:val="000D42CF"/>
    <w:rsid w:val="000D49C2"/>
    <w:rsid w:val="000D52AC"/>
    <w:rsid w:val="000D551D"/>
    <w:rsid w:val="000D5ACA"/>
    <w:rsid w:val="000D5B42"/>
    <w:rsid w:val="000D68CC"/>
    <w:rsid w:val="000D7631"/>
    <w:rsid w:val="000D769C"/>
    <w:rsid w:val="000E0655"/>
    <w:rsid w:val="000E0D0C"/>
    <w:rsid w:val="000E23E1"/>
    <w:rsid w:val="000E3A61"/>
    <w:rsid w:val="000E3FD8"/>
    <w:rsid w:val="000E4283"/>
    <w:rsid w:val="000E4FB2"/>
    <w:rsid w:val="000E4FDC"/>
    <w:rsid w:val="000E58A6"/>
    <w:rsid w:val="000E5C78"/>
    <w:rsid w:val="000E6269"/>
    <w:rsid w:val="000E66C6"/>
    <w:rsid w:val="000E6989"/>
    <w:rsid w:val="000E6B58"/>
    <w:rsid w:val="000E6C62"/>
    <w:rsid w:val="000E784B"/>
    <w:rsid w:val="000F0245"/>
    <w:rsid w:val="000F054A"/>
    <w:rsid w:val="000F08F6"/>
    <w:rsid w:val="000F1C51"/>
    <w:rsid w:val="000F2270"/>
    <w:rsid w:val="000F2A57"/>
    <w:rsid w:val="000F3750"/>
    <w:rsid w:val="000F4223"/>
    <w:rsid w:val="000F47CA"/>
    <w:rsid w:val="000F56EE"/>
    <w:rsid w:val="000F5C70"/>
    <w:rsid w:val="000F6DD3"/>
    <w:rsid w:val="000F7684"/>
    <w:rsid w:val="0010010F"/>
    <w:rsid w:val="00100879"/>
    <w:rsid w:val="001009B9"/>
    <w:rsid w:val="00100E5A"/>
    <w:rsid w:val="0010118C"/>
    <w:rsid w:val="00101242"/>
    <w:rsid w:val="001016CE"/>
    <w:rsid w:val="00103090"/>
    <w:rsid w:val="001039E4"/>
    <w:rsid w:val="00103E9B"/>
    <w:rsid w:val="00103F7C"/>
    <w:rsid w:val="00103FEC"/>
    <w:rsid w:val="001043B1"/>
    <w:rsid w:val="00104692"/>
    <w:rsid w:val="00105130"/>
    <w:rsid w:val="00107525"/>
    <w:rsid w:val="001106BA"/>
    <w:rsid w:val="00110A0B"/>
    <w:rsid w:val="0011113C"/>
    <w:rsid w:val="00111444"/>
    <w:rsid w:val="0011156D"/>
    <w:rsid w:val="00111D21"/>
    <w:rsid w:val="001130B2"/>
    <w:rsid w:val="001130D7"/>
    <w:rsid w:val="00113D53"/>
    <w:rsid w:val="001147EC"/>
    <w:rsid w:val="00114F08"/>
    <w:rsid w:val="0011503A"/>
    <w:rsid w:val="00115069"/>
    <w:rsid w:val="001158DD"/>
    <w:rsid w:val="00115A78"/>
    <w:rsid w:val="001206EA"/>
    <w:rsid w:val="001208E4"/>
    <w:rsid w:val="00120E63"/>
    <w:rsid w:val="00120ED1"/>
    <w:rsid w:val="00121ECF"/>
    <w:rsid w:val="00121FFD"/>
    <w:rsid w:val="001221BA"/>
    <w:rsid w:val="001228F7"/>
    <w:rsid w:val="00122B57"/>
    <w:rsid w:val="00124811"/>
    <w:rsid w:val="00125F21"/>
    <w:rsid w:val="001264DC"/>
    <w:rsid w:val="00127085"/>
    <w:rsid w:val="001302AA"/>
    <w:rsid w:val="0013042B"/>
    <w:rsid w:val="0013162E"/>
    <w:rsid w:val="001316B3"/>
    <w:rsid w:val="00132270"/>
    <w:rsid w:val="00132EC3"/>
    <w:rsid w:val="00133264"/>
    <w:rsid w:val="00134169"/>
    <w:rsid w:val="00134779"/>
    <w:rsid w:val="0013567E"/>
    <w:rsid w:val="00135742"/>
    <w:rsid w:val="00135C48"/>
    <w:rsid w:val="00136073"/>
    <w:rsid w:val="001372FA"/>
    <w:rsid w:val="00140737"/>
    <w:rsid w:val="00140D7D"/>
    <w:rsid w:val="0014182E"/>
    <w:rsid w:val="00142DD0"/>
    <w:rsid w:val="001430BE"/>
    <w:rsid w:val="0014352B"/>
    <w:rsid w:val="001441B1"/>
    <w:rsid w:val="00144A4F"/>
    <w:rsid w:val="0014520E"/>
    <w:rsid w:val="001467AC"/>
    <w:rsid w:val="00146E5A"/>
    <w:rsid w:val="00146E96"/>
    <w:rsid w:val="00147121"/>
    <w:rsid w:val="001475C3"/>
    <w:rsid w:val="00147AF5"/>
    <w:rsid w:val="00150189"/>
    <w:rsid w:val="0015083D"/>
    <w:rsid w:val="00150BD7"/>
    <w:rsid w:val="00150D09"/>
    <w:rsid w:val="00150E53"/>
    <w:rsid w:val="0015150B"/>
    <w:rsid w:val="00152EB8"/>
    <w:rsid w:val="00153ADD"/>
    <w:rsid w:val="00155265"/>
    <w:rsid w:val="00155A06"/>
    <w:rsid w:val="001567D7"/>
    <w:rsid w:val="0015693B"/>
    <w:rsid w:val="0015705D"/>
    <w:rsid w:val="00157088"/>
    <w:rsid w:val="00157B39"/>
    <w:rsid w:val="00157C6D"/>
    <w:rsid w:val="00157F44"/>
    <w:rsid w:val="001606F9"/>
    <w:rsid w:val="001610ED"/>
    <w:rsid w:val="00161189"/>
    <w:rsid w:val="001627DA"/>
    <w:rsid w:val="00162CA7"/>
    <w:rsid w:val="001637A2"/>
    <w:rsid w:val="0016582B"/>
    <w:rsid w:val="00165E2B"/>
    <w:rsid w:val="00166382"/>
    <w:rsid w:val="001665B1"/>
    <w:rsid w:val="00166982"/>
    <w:rsid w:val="00166CE9"/>
    <w:rsid w:val="00166F26"/>
    <w:rsid w:val="00167A30"/>
    <w:rsid w:val="00167F5C"/>
    <w:rsid w:val="00170A7E"/>
    <w:rsid w:val="00171493"/>
    <w:rsid w:val="00171643"/>
    <w:rsid w:val="0017185E"/>
    <w:rsid w:val="00171867"/>
    <w:rsid w:val="0017240E"/>
    <w:rsid w:val="00172616"/>
    <w:rsid w:val="00173300"/>
    <w:rsid w:val="0017396E"/>
    <w:rsid w:val="00173A11"/>
    <w:rsid w:val="0017562D"/>
    <w:rsid w:val="001761F1"/>
    <w:rsid w:val="0017791B"/>
    <w:rsid w:val="00180379"/>
    <w:rsid w:val="001812AE"/>
    <w:rsid w:val="001822A6"/>
    <w:rsid w:val="00182DF2"/>
    <w:rsid w:val="00185EAC"/>
    <w:rsid w:val="00186201"/>
    <w:rsid w:val="00190097"/>
    <w:rsid w:val="00190E5E"/>
    <w:rsid w:val="00191AB3"/>
    <w:rsid w:val="00192930"/>
    <w:rsid w:val="001935C3"/>
    <w:rsid w:val="0019578F"/>
    <w:rsid w:val="00196276"/>
    <w:rsid w:val="001966F1"/>
    <w:rsid w:val="00196C6D"/>
    <w:rsid w:val="00196D8E"/>
    <w:rsid w:val="00196E3C"/>
    <w:rsid w:val="00197E66"/>
    <w:rsid w:val="001A1213"/>
    <w:rsid w:val="001A1377"/>
    <w:rsid w:val="001A32B9"/>
    <w:rsid w:val="001A338C"/>
    <w:rsid w:val="001A3F2B"/>
    <w:rsid w:val="001A3F49"/>
    <w:rsid w:val="001A48C1"/>
    <w:rsid w:val="001A5A1D"/>
    <w:rsid w:val="001A6800"/>
    <w:rsid w:val="001A6CFF"/>
    <w:rsid w:val="001B0059"/>
    <w:rsid w:val="001B0835"/>
    <w:rsid w:val="001B0A82"/>
    <w:rsid w:val="001B0CD8"/>
    <w:rsid w:val="001B115D"/>
    <w:rsid w:val="001B11CC"/>
    <w:rsid w:val="001B13A3"/>
    <w:rsid w:val="001B1CF9"/>
    <w:rsid w:val="001B20AE"/>
    <w:rsid w:val="001B24E1"/>
    <w:rsid w:val="001B3618"/>
    <w:rsid w:val="001B4328"/>
    <w:rsid w:val="001B47DB"/>
    <w:rsid w:val="001B4D1F"/>
    <w:rsid w:val="001B4D20"/>
    <w:rsid w:val="001B57E8"/>
    <w:rsid w:val="001B60CD"/>
    <w:rsid w:val="001B6980"/>
    <w:rsid w:val="001B708A"/>
    <w:rsid w:val="001C0823"/>
    <w:rsid w:val="001C17A5"/>
    <w:rsid w:val="001C1F95"/>
    <w:rsid w:val="001C2515"/>
    <w:rsid w:val="001C2DBA"/>
    <w:rsid w:val="001C398B"/>
    <w:rsid w:val="001C5887"/>
    <w:rsid w:val="001C6745"/>
    <w:rsid w:val="001C6EAB"/>
    <w:rsid w:val="001C7FC9"/>
    <w:rsid w:val="001D02B5"/>
    <w:rsid w:val="001D04BC"/>
    <w:rsid w:val="001D0731"/>
    <w:rsid w:val="001D24E7"/>
    <w:rsid w:val="001D44C5"/>
    <w:rsid w:val="001D501C"/>
    <w:rsid w:val="001D555A"/>
    <w:rsid w:val="001D65DB"/>
    <w:rsid w:val="001D65FB"/>
    <w:rsid w:val="001D77EA"/>
    <w:rsid w:val="001D7A48"/>
    <w:rsid w:val="001D7E2A"/>
    <w:rsid w:val="001E0521"/>
    <w:rsid w:val="001E0585"/>
    <w:rsid w:val="001E15F4"/>
    <w:rsid w:val="001E161B"/>
    <w:rsid w:val="001E3394"/>
    <w:rsid w:val="001E39F4"/>
    <w:rsid w:val="001E4794"/>
    <w:rsid w:val="001E4F93"/>
    <w:rsid w:val="001E5321"/>
    <w:rsid w:val="001E5342"/>
    <w:rsid w:val="001E5A8D"/>
    <w:rsid w:val="001E63A3"/>
    <w:rsid w:val="001E6A40"/>
    <w:rsid w:val="001E728E"/>
    <w:rsid w:val="001F03E6"/>
    <w:rsid w:val="001F0DDA"/>
    <w:rsid w:val="001F0E9B"/>
    <w:rsid w:val="001F136E"/>
    <w:rsid w:val="001F14AC"/>
    <w:rsid w:val="001F1DA5"/>
    <w:rsid w:val="001F278C"/>
    <w:rsid w:val="001F2AE1"/>
    <w:rsid w:val="001F2C6C"/>
    <w:rsid w:val="001F31B2"/>
    <w:rsid w:val="001F322C"/>
    <w:rsid w:val="001F3999"/>
    <w:rsid w:val="001F41AC"/>
    <w:rsid w:val="001F4833"/>
    <w:rsid w:val="001F4B27"/>
    <w:rsid w:val="001F5175"/>
    <w:rsid w:val="001F5630"/>
    <w:rsid w:val="001F5FA7"/>
    <w:rsid w:val="001F6854"/>
    <w:rsid w:val="001F790B"/>
    <w:rsid w:val="001F7D0C"/>
    <w:rsid w:val="00201D2A"/>
    <w:rsid w:val="002033D8"/>
    <w:rsid w:val="002043EB"/>
    <w:rsid w:val="00205337"/>
    <w:rsid w:val="00206292"/>
    <w:rsid w:val="00206F5A"/>
    <w:rsid w:val="0020736C"/>
    <w:rsid w:val="00207692"/>
    <w:rsid w:val="002077FE"/>
    <w:rsid w:val="00207883"/>
    <w:rsid w:val="002078C7"/>
    <w:rsid w:val="00207DCB"/>
    <w:rsid w:val="002103C8"/>
    <w:rsid w:val="00210434"/>
    <w:rsid w:val="002105BA"/>
    <w:rsid w:val="002116A3"/>
    <w:rsid w:val="002125D6"/>
    <w:rsid w:val="002128A2"/>
    <w:rsid w:val="00212B4F"/>
    <w:rsid w:val="00212C8C"/>
    <w:rsid w:val="00212D38"/>
    <w:rsid w:val="00212DD6"/>
    <w:rsid w:val="00212ECA"/>
    <w:rsid w:val="0021446A"/>
    <w:rsid w:val="002161DB"/>
    <w:rsid w:val="002166BB"/>
    <w:rsid w:val="00221781"/>
    <w:rsid w:val="00222852"/>
    <w:rsid w:val="00222FDA"/>
    <w:rsid w:val="00223172"/>
    <w:rsid w:val="00223D3C"/>
    <w:rsid w:val="00223E6B"/>
    <w:rsid w:val="00225918"/>
    <w:rsid w:val="00225D4E"/>
    <w:rsid w:val="002265C6"/>
    <w:rsid w:val="00226CC8"/>
    <w:rsid w:val="00227091"/>
    <w:rsid w:val="002272E6"/>
    <w:rsid w:val="002278BD"/>
    <w:rsid w:val="00230C05"/>
    <w:rsid w:val="0023164A"/>
    <w:rsid w:val="00231ED0"/>
    <w:rsid w:val="00232381"/>
    <w:rsid w:val="002328F8"/>
    <w:rsid w:val="00232D55"/>
    <w:rsid w:val="00233A5A"/>
    <w:rsid w:val="00233E94"/>
    <w:rsid w:val="0023431E"/>
    <w:rsid w:val="002344F2"/>
    <w:rsid w:val="002349C0"/>
    <w:rsid w:val="00235352"/>
    <w:rsid w:val="00235A87"/>
    <w:rsid w:val="00236CEF"/>
    <w:rsid w:val="00237070"/>
    <w:rsid w:val="00237EBB"/>
    <w:rsid w:val="00237FDE"/>
    <w:rsid w:val="002406CD"/>
    <w:rsid w:val="00240A18"/>
    <w:rsid w:val="00240F12"/>
    <w:rsid w:val="002421EE"/>
    <w:rsid w:val="00242F14"/>
    <w:rsid w:val="002433A4"/>
    <w:rsid w:val="002436D7"/>
    <w:rsid w:val="00243FBF"/>
    <w:rsid w:val="00245D58"/>
    <w:rsid w:val="00245DCF"/>
    <w:rsid w:val="002472E4"/>
    <w:rsid w:val="002500D3"/>
    <w:rsid w:val="00250C1D"/>
    <w:rsid w:val="002513A4"/>
    <w:rsid w:val="0025243E"/>
    <w:rsid w:val="00252F09"/>
    <w:rsid w:val="00254AF6"/>
    <w:rsid w:val="00254CB1"/>
    <w:rsid w:val="00255F14"/>
    <w:rsid w:val="00256055"/>
    <w:rsid w:val="002560A0"/>
    <w:rsid w:val="002562A8"/>
    <w:rsid w:val="002567B5"/>
    <w:rsid w:val="00257236"/>
    <w:rsid w:val="00261759"/>
    <w:rsid w:val="0026183A"/>
    <w:rsid w:val="00262184"/>
    <w:rsid w:val="00262ADF"/>
    <w:rsid w:val="0026348E"/>
    <w:rsid w:val="00263502"/>
    <w:rsid w:val="0026420F"/>
    <w:rsid w:val="00264696"/>
    <w:rsid w:val="00264BA5"/>
    <w:rsid w:val="0026519E"/>
    <w:rsid w:val="00266C09"/>
    <w:rsid w:val="00266C53"/>
    <w:rsid w:val="00267067"/>
    <w:rsid w:val="00267284"/>
    <w:rsid w:val="00270EB8"/>
    <w:rsid w:val="0027230A"/>
    <w:rsid w:val="0027293D"/>
    <w:rsid w:val="00273612"/>
    <w:rsid w:val="00273FA3"/>
    <w:rsid w:val="00273FB1"/>
    <w:rsid w:val="002746A1"/>
    <w:rsid w:val="0027568B"/>
    <w:rsid w:val="00276FA2"/>
    <w:rsid w:val="002772A7"/>
    <w:rsid w:val="002776C3"/>
    <w:rsid w:val="00280C5D"/>
    <w:rsid w:val="0028260C"/>
    <w:rsid w:val="00282809"/>
    <w:rsid w:val="00282BCA"/>
    <w:rsid w:val="00283759"/>
    <w:rsid w:val="00283827"/>
    <w:rsid w:val="00284093"/>
    <w:rsid w:val="002848C8"/>
    <w:rsid w:val="00285B11"/>
    <w:rsid w:val="00285B99"/>
    <w:rsid w:val="0028614D"/>
    <w:rsid w:val="002876A4"/>
    <w:rsid w:val="00287CB3"/>
    <w:rsid w:val="00287DB0"/>
    <w:rsid w:val="00287E57"/>
    <w:rsid w:val="002900FE"/>
    <w:rsid w:val="00290231"/>
    <w:rsid w:val="0029064D"/>
    <w:rsid w:val="002908A9"/>
    <w:rsid w:val="002908C4"/>
    <w:rsid w:val="00290A5F"/>
    <w:rsid w:val="0029189F"/>
    <w:rsid w:val="002924E4"/>
    <w:rsid w:val="002925D1"/>
    <w:rsid w:val="00292DBC"/>
    <w:rsid w:val="002931A2"/>
    <w:rsid w:val="00293AA6"/>
    <w:rsid w:val="00293E12"/>
    <w:rsid w:val="00293FF0"/>
    <w:rsid w:val="002940A4"/>
    <w:rsid w:val="00294559"/>
    <w:rsid w:val="00296DCA"/>
    <w:rsid w:val="00297A1D"/>
    <w:rsid w:val="002A0A3E"/>
    <w:rsid w:val="002A0AC1"/>
    <w:rsid w:val="002A0B52"/>
    <w:rsid w:val="002A13C9"/>
    <w:rsid w:val="002A1527"/>
    <w:rsid w:val="002A20A4"/>
    <w:rsid w:val="002A231D"/>
    <w:rsid w:val="002A2514"/>
    <w:rsid w:val="002A3834"/>
    <w:rsid w:val="002A38E5"/>
    <w:rsid w:val="002A4599"/>
    <w:rsid w:val="002A467B"/>
    <w:rsid w:val="002A4B10"/>
    <w:rsid w:val="002A4C37"/>
    <w:rsid w:val="002A4D89"/>
    <w:rsid w:val="002A597B"/>
    <w:rsid w:val="002A691C"/>
    <w:rsid w:val="002A6AB6"/>
    <w:rsid w:val="002A73BA"/>
    <w:rsid w:val="002A7B30"/>
    <w:rsid w:val="002A7B8F"/>
    <w:rsid w:val="002B163E"/>
    <w:rsid w:val="002B1804"/>
    <w:rsid w:val="002B2633"/>
    <w:rsid w:val="002B2D86"/>
    <w:rsid w:val="002B2F50"/>
    <w:rsid w:val="002B311A"/>
    <w:rsid w:val="002B3990"/>
    <w:rsid w:val="002B4195"/>
    <w:rsid w:val="002B5709"/>
    <w:rsid w:val="002B586B"/>
    <w:rsid w:val="002B6DFA"/>
    <w:rsid w:val="002B7B96"/>
    <w:rsid w:val="002C08A6"/>
    <w:rsid w:val="002C1360"/>
    <w:rsid w:val="002C14DA"/>
    <w:rsid w:val="002C1542"/>
    <w:rsid w:val="002C1829"/>
    <w:rsid w:val="002C1ED2"/>
    <w:rsid w:val="002C27B4"/>
    <w:rsid w:val="002C29F3"/>
    <w:rsid w:val="002C31F5"/>
    <w:rsid w:val="002C3360"/>
    <w:rsid w:val="002C3CC7"/>
    <w:rsid w:val="002C4B8B"/>
    <w:rsid w:val="002C6672"/>
    <w:rsid w:val="002C7335"/>
    <w:rsid w:val="002C7C21"/>
    <w:rsid w:val="002D0972"/>
    <w:rsid w:val="002D1FEF"/>
    <w:rsid w:val="002D35EB"/>
    <w:rsid w:val="002D37CE"/>
    <w:rsid w:val="002D440A"/>
    <w:rsid w:val="002D4EF8"/>
    <w:rsid w:val="002D50A1"/>
    <w:rsid w:val="002D6555"/>
    <w:rsid w:val="002D6C83"/>
    <w:rsid w:val="002D6FF8"/>
    <w:rsid w:val="002D7023"/>
    <w:rsid w:val="002D78E7"/>
    <w:rsid w:val="002E0DC0"/>
    <w:rsid w:val="002E12DB"/>
    <w:rsid w:val="002E1A9A"/>
    <w:rsid w:val="002E2327"/>
    <w:rsid w:val="002E2536"/>
    <w:rsid w:val="002E2851"/>
    <w:rsid w:val="002E3328"/>
    <w:rsid w:val="002E36F8"/>
    <w:rsid w:val="002E44D2"/>
    <w:rsid w:val="002E4748"/>
    <w:rsid w:val="002E6C1B"/>
    <w:rsid w:val="002E7459"/>
    <w:rsid w:val="002E7670"/>
    <w:rsid w:val="002F0125"/>
    <w:rsid w:val="002F01D5"/>
    <w:rsid w:val="002F031C"/>
    <w:rsid w:val="002F0921"/>
    <w:rsid w:val="002F109E"/>
    <w:rsid w:val="002F1C12"/>
    <w:rsid w:val="002F1CF6"/>
    <w:rsid w:val="002F2247"/>
    <w:rsid w:val="002F279B"/>
    <w:rsid w:val="002F29E8"/>
    <w:rsid w:val="002F2D17"/>
    <w:rsid w:val="002F390F"/>
    <w:rsid w:val="002F46A9"/>
    <w:rsid w:val="002F48BF"/>
    <w:rsid w:val="002F5A24"/>
    <w:rsid w:val="002F5C5E"/>
    <w:rsid w:val="002F6BDF"/>
    <w:rsid w:val="002F70AB"/>
    <w:rsid w:val="00300C2B"/>
    <w:rsid w:val="00301CB5"/>
    <w:rsid w:val="00301F07"/>
    <w:rsid w:val="0030234D"/>
    <w:rsid w:val="0030301A"/>
    <w:rsid w:val="003039A4"/>
    <w:rsid w:val="00303E73"/>
    <w:rsid w:val="003040AD"/>
    <w:rsid w:val="003040F5"/>
    <w:rsid w:val="00304797"/>
    <w:rsid w:val="00305BEB"/>
    <w:rsid w:val="00306035"/>
    <w:rsid w:val="0030613E"/>
    <w:rsid w:val="003072B7"/>
    <w:rsid w:val="00310C2F"/>
    <w:rsid w:val="003112A8"/>
    <w:rsid w:val="00312793"/>
    <w:rsid w:val="00312DEA"/>
    <w:rsid w:val="00312FE1"/>
    <w:rsid w:val="0031312A"/>
    <w:rsid w:val="00313146"/>
    <w:rsid w:val="00314894"/>
    <w:rsid w:val="00314BEB"/>
    <w:rsid w:val="00315C6B"/>
    <w:rsid w:val="00315CC6"/>
    <w:rsid w:val="0032014D"/>
    <w:rsid w:val="0032081B"/>
    <w:rsid w:val="00320AA6"/>
    <w:rsid w:val="003215AC"/>
    <w:rsid w:val="003219AF"/>
    <w:rsid w:val="00322380"/>
    <w:rsid w:val="0032251B"/>
    <w:rsid w:val="00323030"/>
    <w:rsid w:val="00323781"/>
    <w:rsid w:val="003237FA"/>
    <w:rsid w:val="00324E19"/>
    <w:rsid w:val="00325B9F"/>
    <w:rsid w:val="0032644F"/>
    <w:rsid w:val="00326632"/>
    <w:rsid w:val="00326ABB"/>
    <w:rsid w:val="0032721F"/>
    <w:rsid w:val="00327253"/>
    <w:rsid w:val="00327365"/>
    <w:rsid w:val="0032736F"/>
    <w:rsid w:val="0032757A"/>
    <w:rsid w:val="003279E9"/>
    <w:rsid w:val="0033018D"/>
    <w:rsid w:val="00330B29"/>
    <w:rsid w:val="003310DA"/>
    <w:rsid w:val="00333A85"/>
    <w:rsid w:val="00333CFA"/>
    <w:rsid w:val="00334706"/>
    <w:rsid w:val="00334B63"/>
    <w:rsid w:val="00334C34"/>
    <w:rsid w:val="003359CD"/>
    <w:rsid w:val="00335BE0"/>
    <w:rsid w:val="00336D45"/>
    <w:rsid w:val="003376C1"/>
    <w:rsid w:val="0034152C"/>
    <w:rsid w:val="00341B3C"/>
    <w:rsid w:val="003423F5"/>
    <w:rsid w:val="003429D5"/>
    <w:rsid w:val="00342ABB"/>
    <w:rsid w:val="003434F6"/>
    <w:rsid w:val="0034353D"/>
    <w:rsid w:val="00343D96"/>
    <w:rsid w:val="00344A2B"/>
    <w:rsid w:val="0034573F"/>
    <w:rsid w:val="00345D55"/>
    <w:rsid w:val="00346614"/>
    <w:rsid w:val="00346903"/>
    <w:rsid w:val="00346C1B"/>
    <w:rsid w:val="003501CD"/>
    <w:rsid w:val="0035045C"/>
    <w:rsid w:val="00350C8D"/>
    <w:rsid w:val="00351694"/>
    <w:rsid w:val="00351700"/>
    <w:rsid w:val="00351966"/>
    <w:rsid w:val="0035461B"/>
    <w:rsid w:val="0035603F"/>
    <w:rsid w:val="00356A9D"/>
    <w:rsid w:val="0035707B"/>
    <w:rsid w:val="00357D94"/>
    <w:rsid w:val="003607C6"/>
    <w:rsid w:val="003611F4"/>
    <w:rsid w:val="0036197D"/>
    <w:rsid w:val="003626A9"/>
    <w:rsid w:val="00363F97"/>
    <w:rsid w:val="00365020"/>
    <w:rsid w:val="003658E9"/>
    <w:rsid w:val="003660CD"/>
    <w:rsid w:val="003676E1"/>
    <w:rsid w:val="0036771F"/>
    <w:rsid w:val="00367C26"/>
    <w:rsid w:val="00367EB7"/>
    <w:rsid w:val="0037003E"/>
    <w:rsid w:val="003713E4"/>
    <w:rsid w:val="0037150A"/>
    <w:rsid w:val="00371C63"/>
    <w:rsid w:val="00371EC8"/>
    <w:rsid w:val="00371FEF"/>
    <w:rsid w:val="003724A8"/>
    <w:rsid w:val="003730FC"/>
    <w:rsid w:val="00373BED"/>
    <w:rsid w:val="0037421F"/>
    <w:rsid w:val="0037447F"/>
    <w:rsid w:val="003746D1"/>
    <w:rsid w:val="003747EA"/>
    <w:rsid w:val="003748C7"/>
    <w:rsid w:val="0037490D"/>
    <w:rsid w:val="00374BDD"/>
    <w:rsid w:val="0037619B"/>
    <w:rsid w:val="00376F79"/>
    <w:rsid w:val="00380230"/>
    <w:rsid w:val="00380571"/>
    <w:rsid w:val="00380730"/>
    <w:rsid w:val="00382939"/>
    <w:rsid w:val="00382964"/>
    <w:rsid w:val="00382E89"/>
    <w:rsid w:val="00383049"/>
    <w:rsid w:val="003838A3"/>
    <w:rsid w:val="00385608"/>
    <w:rsid w:val="00385F37"/>
    <w:rsid w:val="0038607F"/>
    <w:rsid w:val="00386264"/>
    <w:rsid w:val="00387790"/>
    <w:rsid w:val="00387942"/>
    <w:rsid w:val="00392467"/>
    <w:rsid w:val="00392A72"/>
    <w:rsid w:val="00393814"/>
    <w:rsid w:val="00393EC2"/>
    <w:rsid w:val="00394D4D"/>
    <w:rsid w:val="0039685E"/>
    <w:rsid w:val="00396DFD"/>
    <w:rsid w:val="00397194"/>
    <w:rsid w:val="003971FC"/>
    <w:rsid w:val="003977AD"/>
    <w:rsid w:val="00397FB2"/>
    <w:rsid w:val="003A073A"/>
    <w:rsid w:val="003A07E0"/>
    <w:rsid w:val="003A09BB"/>
    <w:rsid w:val="003A0A5A"/>
    <w:rsid w:val="003A0A7B"/>
    <w:rsid w:val="003A1DC7"/>
    <w:rsid w:val="003A3667"/>
    <w:rsid w:val="003A48A4"/>
    <w:rsid w:val="003A4AF8"/>
    <w:rsid w:val="003A57E3"/>
    <w:rsid w:val="003A580C"/>
    <w:rsid w:val="003A58E6"/>
    <w:rsid w:val="003A5BC3"/>
    <w:rsid w:val="003A5D51"/>
    <w:rsid w:val="003A651C"/>
    <w:rsid w:val="003A73A3"/>
    <w:rsid w:val="003A777D"/>
    <w:rsid w:val="003A7B88"/>
    <w:rsid w:val="003B02B0"/>
    <w:rsid w:val="003B1A81"/>
    <w:rsid w:val="003B3DEF"/>
    <w:rsid w:val="003B402D"/>
    <w:rsid w:val="003B4F02"/>
    <w:rsid w:val="003B4F4D"/>
    <w:rsid w:val="003B5FD6"/>
    <w:rsid w:val="003B6682"/>
    <w:rsid w:val="003B722E"/>
    <w:rsid w:val="003B7361"/>
    <w:rsid w:val="003B7E64"/>
    <w:rsid w:val="003C0168"/>
    <w:rsid w:val="003C06E6"/>
    <w:rsid w:val="003C083F"/>
    <w:rsid w:val="003C09EC"/>
    <w:rsid w:val="003C1B1F"/>
    <w:rsid w:val="003C2AB4"/>
    <w:rsid w:val="003C2DAF"/>
    <w:rsid w:val="003C36EE"/>
    <w:rsid w:val="003C3847"/>
    <w:rsid w:val="003C3C1B"/>
    <w:rsid w:val="003C472B"/>
    <w:rsid w:val="003C72B2"/>
    <w:rsid w:val="003C7AEC"/>
    <w:rsid w:val="003D0EC9"/>
    <w:rsid w:val="003D11BE"/>
    <w:rsid w:val="003D189F"/>
    <w:rsid w:val="003D1FB1"/>
    <w:rsid w:val="003D234F"/>
    <w:rsid w:val="003D3563"/>
    <w:rsid w:val="003D387C"/>
    <w:rsid w:val="003D4AF9"/>
    <w:rsid w:val="003D4E35"/>
    <w:rsid w:val="003D547A"/>
    <w:rsid w:val="003D6220"/>
    <w:rsid w:val="003D6D8E"/>
    <w:rsid w:val="003D79B9"/>
    <w:rsid w:val="003D7E78"/>
    <w:rsid w:val="003E00DE"/>
    <w:rsid w:val="003E07A9"/>
    <w:rsid w:val="003E09D3"/>
    <w:rsid w:val="003E0A02"/>
    <w:rsid w:val="003E0A77"/>
    <w:rsid w:val="003E0F4A"/>
    <w:rsid w:val="003E2AF0"/>
    <w:rsid w:val="003E3408"/>
    <w:rsid w:val="003E3738"/>
    <w:rsid w:val="003E3DA5"/>
    <w:rsid w:val="003E4083"/>
    <w:rsid w:val="003E43BA"/>
    <w:rsid w:val="003E4E8D"/>
    <w:rsid w:val="003E4FA8"/>
    <w:rsid w:val="003E6578"/>
    <w:rsid w:val="003E690A"/>
    <w:rsid w:val="003E69E6"/>
    <w:rsid w:val="003E79CC"/>
    <w:rsid w:val="003E7E92"/>
    <w:rsid w:val="003F0A93"/>
    <w:rsid w:val="003F0D27"/>
    <w:rsid w:val="003F1AD1"/>
    <w:rsid w:val="003F2F1B"/>
    <w:rsid w:val="003F36C6"/>
    <w:rsid w:val="003F4E4D"/>
    <w:rsid w:val="003F61A7"/>
    <w:rsid w:val="003F632D"/>
    <w:rsid w:val="004011E0"/>
    <w:rsid w:val="00402586"/>
    <w:rsid w:val="00403458"/>
    <w:rsid w:val="00403506"/>
    <w:rsid w:val="00403607"/>
    <w:rsid w:val="00403B17"/>
    <w:rsid w:val="00403B3F"/>
    <w:rsid w:val="00403B5F"/>
    <w:rsid w:val="00403DA0"/>
    <w:rsid w:val="00404078"/>
    <w:rsid w:val="0040434E"/>
    <w:rsid w:val="004043B6"/>
    <w:rsid w:val="00411E27"/>
    <w:rsid w:val="00412294"/>
    <w:rsid w:val="004129B6"/>
    <w:rsid w:val="00413469"/>
    <w:rsid w:val="00413DCE"/>
    <w:rsid w:val="0041444A"/>
    <w:rsid w:val="0041463A"/>
    <w:rsid w:val="00414DBD"/>
    <w:rsid w:val="00414E8B"/>
    <w:rsid w:val="00415438"/>
    <w:rsid w:val="00416C26"/>
    <w:rsid w:val="004173DD"/>
    <w:rsid w:val="004179CC"/>
    <w:rsid w:val="004207E3"/>
    <w:rsid w:val="0042159D"/>
    <w:rsid w:val="00421F7E"/>
    <w:rsid w:val="00422AB3"/>
    <w:rsid w:val="00422BA9"/>
    <w:rsid w:val="00423063"/>
    <w:rsid w:val="00423901"/>
    <w:rsid w:val="004240BE"/>
    <w:rsid w:val="00424471"/>
    <w:rsid w:val="00424987"/>
    <w:rsid w:val="0042498B"/>
    <w:rsid w:val="00426493"/>
    <w:rsid w:val="00426D82"/>
    <w:rsid w:val="00427D71"/>
    <w:rsid w:val="004302A9"/>
    <w:rsid w:val="004302AC"/>
    <w:rsid w:val="0043044D"/>
    <w:rsid w:val="00430884"/>
    <w:rsid w:val="00430A84"/>
    <w:rsid w:val="00431610"/>
    <w:rsid w:val="00431BF2"/>
    <w:rsid w:val="004336F5"/>
    <w:rsid w:val="00433CD5"/>
    <w:rsid w:val="00433E49"/>
    <w:rsid w:val="00433F04"/>
    <w:rsid w:val="0043432D"/>
    <w:rsid w:val="00434443"/>
    <w:rsid w:val="00435240"/>
    <w:rsid w:val="00436B5B"/>
    <w:rsid w:val="00437DCA"/>
    <w:rsid w:val="0044017E"/>
    <w:rsid w:val="00440A63"/>
    <w:rsid w:val="004418C6"/>
    <w:rsid w:val="004430FD"/>
    <w:rsid w:val="004440F3"/>
    <w:rsid w:val="00444479"/>
    <w:rsid w:val="00444641"/>
    <w:rsid w:val="00444772"/>
    <w:rsid w:val="004456A5"/>
    <w:rsid w:val="004459C6"/>
    <w:rsid w:val="00446484"/>
    <w:rsid w:val="00446CE5"/>
    <w:rsid w:val="00447364"/>
    <w:rsid w:val="0045028C"/>
    <w:rsid w:val="0045084B"/>
    <w:rsid w:val="0045099B"/>
    <w:rsid w:val="00450AE3"/>
    <w:rsid w:val="004511A7"/>
    <w:rsid w:val="0045165B"/>
    <w:rsid w:val="0045381C"/>
    <w:rsid w:val="004538FD"/>
    <w:rsid w:val="00453AF7"/>
    <w:rsid w:val="004554C2"/>
    <w:rsid w:val="00455DB3"/>
    <w:rsid w:val="0045647E"/>
    <w:rsid w:val="004570BF"/>
    <w:rsid w:val="004615D8"/>
    <w:rsid w:val="0046221E"/>
    <w:rsid w:val="00462692"/>
    <w:rsid w:val="00466097"/>
    <w:rsid w:val="0046678F"/>
    <w:rsid w:val="00466D0B"/>
    <w:rsid w:val="00466D3F"/>
    <w:rsid w:val="00467893"/>
    <w:rsid w:val="0046796E"/>
    <w:rsid w:val="004704C7"/>
    <w:rsid w:val="004705C9"/>
    <w:rsid w:val="004712D3"/>
    <w:rsid w:val="00472015"/>
    <w:rsid w:val="0047212E"/>
    <w:rsid w:val="0047260C"/>
    <w:rsid w:val="004726B8"/>
    <w:rsid w:val="0047291F"/>
    <w:rsid w:val="004735D7"/>
    <w:rsid w:val="00473D86"/>
    <w:rsid w:val="0047469B"/>
    <w:rsid w:val="0047471D"/>
    <w:rsid w:val="004747D7"/>
    <w:rsid w:val="00474907"/>
    <w:rsid w:val="00475A22"/>
    <w:rsid w:val="00475F4F"/>
    <w:rsid w:val="00481932"/>
    <w:rsid w:val="00481F7E"/>
    <w:rsid w:val="004828D7"/>
    <w:rsid w:val="004837BF"/>
    <w:rsid w:val="00483EF9"/>
    <w:rsid w:val="00485096"/>
    <w:rsid w:val="00485A55"/>
    <w:rsid w:val="00485B5C"/>
    <w:rsid w:val="004861B0"/>
    <w:rsid w:val="004868B9"/>
    <w:rsid w:val="004871C2"/>
    <w:rsid w:val="00487FD6"/>
    <w:rsid w:val="00490435"/>
    <w:rsid w:val="0049099A"/>
    <w:rsid w:val="00490ED5"/>
    <w:rsid w:val="004916A9"/>
    <w:rsid w:val="00492678"/>
    <w:rsid w:val="0049273F"/>
    <w:rsid w:val="00492B48"/>
    <w:rsid w:val="004934F0"/>
    <w:rsid w:val="00494241"/>
    <w:rsid w:val="0049529A"/>
    <w:rsid w:val="00495881"/>
    <w:rsid w:val="00495AFD"/>
    <w:rsid w:val="004969E3"/>
    <w:rsid w:val="00497030"/>
    <w:rsid w:val="00497258"/>
    <w:rsid w:val="00497658"/>
    <w:rsid w:val="004A09FF"/>
    <w:rsid w:val="004A0C1C"/>
    <w:rsid w:val="004A0EB1"/>
    <w:rsid w:val="004A1505"/>
    <w:rsid w:val="004A1A58"/>
    <w:rsid w:val="004A37FC"/>
    <w:rsid w:val="004A3ACF"/>
    <w:rsid w:val="004A41E8"/>
    <w:rsid w:val="004A5F0D"/>
    <w:rsid w:val="004A5F6A"/>
    <w:rsid w:val="004B0F9A"/>
    <w:rsid w:val="004B1128"/>
    <w:rsid w:val="004B11A0"/>
    <w:rsid w:val="004B1B0E"/>
    <w:rsid w:val="004B1FBC"/>
    <w:rsid w:val="004B23C2"/>
    <w:rsid w:val="004B2F0F"/>
    <w:rsid w:val="004B3719"/>
    <w:rsid w:val="004B4AD3"/>
    <w:rsid w:val="004B4D75"/>
    <w:rsid w:val="004B4E33"/>
    <w:rsid w:val="004B5158"/>
    <w:rsid w:val="004B5416"/>
    <w:rsid w:val="004B55B0"/>
    <w:rsid w:val="004B57CA"/>
    <w:rsid w:val="004B5D4D"/>
    <w:rsid w:val="004B6B9A"/>
    <w:rsid w:val="004C010D"/>
    <w:rsid w:val="004C052B"/>
    <w:rsid w:val="004C0978"/>
    <w:rsid w:val="004C19C6"/>
    <w:rsid w:val="004C2B14"/>
    <w:rsid w:val="004C30F2"/>
    <w:rsid w:val="004C3B17"/>
    <w:rsid w:val="004C3B4C"/>
    <w:rsid w:val="004C3EFD"/>
    <w:rsid w:val="004C48A9"/>
    <w:rsid w:val="004C53DD"/>
    <w:rsid w:val="004C57CB"/>
    <w:rsid w:val="004C5BA6"/>
    <w:rsid w:val="004C68FE"/>
    <w:rsid w:val="004C76E5"/>
    <w:rsid w:val="004D0150"/>
    <w:rsid w:val="004D0246"/>
    <w:rsid w:val="004D09FA"/>
    <w:rsid w:val="004D0E69"/>
    <w:rsid w:val="004D115B"/>
    <w:rsid w:val="004D3275"/>
    <w:rsid w:val="004D3322"/>
    <w:rsid w:val="004D3696"/>
    <w:rsid w:val="004D498F"/>
    <w:rsid w:val="004D4C72"/>
    <w:rsid w:val="004D688C"/>
    <w:rsid w:val="004D6AB5"/>
    <w:rsid w:val="004E086D"/>
    <w:rsid w:val="004E0BD1"/>
    <w:rsid w:val="004E1AD7"/>
    <w:rsid w:val="004E1E9D"/>
    <w:rsid w:val="004E1F6C"/>
    <w:rsid w:val="004E2FDE"/>
    <w:rsid w:val="004E34D5"/>
    <w:rsid w:val="004E3DB4"/>
    <w:rsid w:val="004E3ECF"/>
    <w:rsid w:val="004E3FE7"/>
    <w:rsid w:val="004E4870"/>
    <w:rsid w:val="004E4D04"/>
    <w:rsid w:val="004E4EBC"/>
    <w:rsid w:val="004E5042"/>
    <w:rsid w:val="004E5354"/>
    <w:rsid w:val="004E575B"/>
    <w:rsid w:val="004E584B"/>
    <w:rsid w:val="004E5DD4"/>
    <w:rsid w:val="004E60BB"/>
    <w:rsid w:val="004E71D9"/>
    <w:rsid w:val="004E7C10"/>
    <w:rsid w:val="004E7F49"/>
    <w:rsid w:val="004F0C77"/>
    <w:rsid w:val="004F219D"/>
    <w:rsid w:val="004F222B"/>
    <w:rsid w:val="004F261C"/>
    <w:rsid w:val="004F2AB2"/>
    <w:rsid w:val="004F3EBC"/>
    <w:rsid w:val="004F3FBE"/>
    <w:rsid w:val="004F6427"/>
    <w:rsid w:val="004F6754"/>
    <w:rsid w:val="004F679E"/>
    <w:rsid w:val="004F7F4A"/>
    <w:rsid w:val="00501EB2"/>
    <w:rsid w:val="00501ED3"/>
    <w:rsid w:val="00503454"/>
    <w:rsid w:val="005042CC"/>
    <w:rsid w:val="00504570"/>
    <w:rsid w:val="005048DD"/>
    <w:rsid w:val="00505075"/>
    <w:rsid w:val="005053AA"/>
    <w:rsid w:val="00505444"/>
    <w:rsid w:val="00505B6A"/>
    <w:rsid w:val="00505C9E"/>
    <w:rsid w:val="00506957"/>
    <w:rsid w:val="00506F71"/>
    <w:rsid w:val="00507337"/>
    <w:rsid w:val="00511300"/>
    <w:rsid w:val="005117EF"/>
    <w:rsid w:val="00512086"/>
    <w:rsid w:val="00513071"/>
    <w:rsid w:val="0051324D"/>
    <w:rsid w:val="00513DA7"/>
    <w:rsid w:val="005155ED"/>
    <w:rsid w:val="00517080"/>
    <w:rsid w:val="005173B9"/>
    <w:rsid w:val="0052084D"/>
    <w:rsid w:val="005214E6"/>
    <w:rsid w:val="00521722"/>
    <w:rsid w:val="0052172E"/>
    <w:rsid w:val="0052215A"/>
    <w:rsid w:val="00522BB2"/>
    <w:rsid w:val="005232E7"/>
    <w:rsid w:val="00523CD9"/>
    <w:rsid w:val="005241D4"/>
    <w:rsid w:val="005243C3"/>
    <w:rsid w:val="005243E4"/>
    <w:rsid w:val="005245E0"/>
    <w:rsid w:val="0052470D"/>
    <w:rsid w:val="00524722"/>
    <w:rsid w:val="00524944"/>
    <w:rsid w:val="00525012"/>
    <w:rsid w:val="00525359"/>
    <w:rsid w:val="0052545E"/>
    <w:rsid w:val="00525919"/>
    <w:rsid w:val="00525CC0"/>
    <w:rsid w:val="005264ED"/>
    <w:rsid w:val="00526AFF"/>
    <w:rsid w:val="0052776F"/>
    <w:rsid w:val="005277BD"/>
    <w:rsid w:val="005306E8"/>
    <w:rsid w:val="005309B8"/>
    <w:rsid w:val="005309EA"/>
    <w:rsid w:val="005319D8"/>
    <w:rsid w:val="005324BD"/>
    <w:rsid w:val="00532883"/>
    <w:rsid w:val="00533A52"/>
    <w:rsid w:val="00533DF9"/>
    <w:rsid w:val="00533FC0"/>
    <w:rsid w:val="00534A12"/>
    <w:rsid w:val="00535768"/>
    <w:rsid w:val="00536CE5"/>
    <w:rsid w:val="005375AE"/>
    <w:rsid w:val="00537A30"/>
    <w:rsid w:val="00540780"/>
    <w:rsid w:val="005409E7"/>
    <w:rsid w:val="005416FC"/>
    <w:rsid w:val="005418D9"/>
    <w:rsid w:val="005419C6"/>
    <w:rsid w:val="005426DD"/>
    <w:rsid w:val="00542B18"/>
    <w:rsid w:val="00542F61"/>
    <w:rsid w:val="0054305F"/>
    <w:rsid w:val="005430B4"/>
    <w:rsid w:val="0054342D"/>
    <w:rsid w:val="005448CB"/>
    <w:rsid w:val="00546A2E"/>
    <w:rsid w:val="00547634"/>
    <w:rsid w:val="0055146A"/>
    <w:rsid w:val="00551653"/>
    <w:rsid w:val="00551672"/>
    <w:rsid w:val="00551BBB"/>
    <w:rsid w:val="005521CD"/>
    <w:rsid w:val="00553AA9"/>
    <w:rsid w:val="0055461F"/>
    <w:rsid w:val="0055579C"/>
    <w:rsid w:val="00556681"/>
    <w:rsid w:val="0055677E"/>
    <w:rsid w:val="00557020"/>
    <w:rsid w:val="0055793D"/>
    <w:rsid w:val="00561539"/>
    <w:rsid w:val="00561714"/>
    <w:rsid w:val="00561E8B"/>
    <w:rsid w:val="005629BF"/>
    <w:rsid w:val="00563191"/>
    <w:rsid w:val="00563B60"/>
    <w:rsid w:val="00563C1A"/>
    <w:rsid w:val="00563EE1"/>
    <w:rsid w:val="0056445D"/>
    <w:rsid w:val="00565CA6"/>
    <w:rsid w:val="00566296"/>
    <w:rsid w:val="005668D1"/>
    <w:rsid w:val="005676F5"/>
    <w:rsid w:val="00567C46"/>
    <w:rsid w:val="0057049D"/>
    <w:rsid w:val="00570B65"/>
    <w:rsid w:val="00570B7A"/>
    <w:rsid w:val="005713C2"/>
    <w:rsid w:val="00571693"/>
    <w:rsid w:val="00571B50"/>
    <w:rsid w:val="00571C92"/>
    <w:rsid w:val="005727B2"/>
    <w:rsid w:val="0057338D"/>
    <w:rsid w:val="00575533"/>
    <w:rsid w:val="00575877"/>
    <w:rsid w:val="00576535"/>
    <w:rsid w:val="00576A73"/>
    <w:rsid w:val="00576FC8"/>
    <w:rsid w:val="00577D38"/>
    <w:rsid w:val="0058001E"/>
    <w:rsid w:val="005800A1"/>
    <w:rsid w:val="00581786"/>
    <w:rsid w:val="00581A9D"/>
    <w:rsid w:val="00581C53"/>
    <w:rsid w:val="00582084"/>
    <w:rsid w:val="0058210B"/>
    <w:rsid w:val="005827D7"/>
    <w:rsid w:val="00582A00"/>
    <w:rsid w:val="00582F9A"/>
    <w:rsid w:val="005837EA"/>
    <w:rsid w:val="00584C5A"/>
    <w:rsid w:val="00584CD1"/>
    <w:rsid w:val="00585754"/>
    <w:rsid w:val="00586296"/>
    <w:rsid w:val="00586B99"/>
    <w:rsid w:val="00587BF2"/>
    <w:rsid w:val="00590D41"/>
    <w:rsid w:val="00590FF9"/>
    <w:rsid w:val="0059168C"/>
    <w:rsid w:val="0059274C"/>
    <w:rsid w:val="00592F80"/>
    <w:rsid w:val="00593110"/>
    <w:rsid w:val="00593CA3"/>
    <w:rsid w:val="00595280"/>
    <w:rsid w:val="00596640"/>
    <w:rsid w:val="0059712E"/>
    <w:rsid w:val="005A0163"/>
    <w:rsid w:val="005A1365"/>
    <w:rsid w:val="005A1890"/>
    <w:rsid w:val="005A1C9B"/>
    <w:rsid w:val="005A1EBA"/>
    <w:rsid w:val="005A2044"/>
    <w:rsid w:val="005A2321"/>
    <w:rsid w:val="005A373C"/>
    <w:rsid w:val="005A3F11"/>
    <w:rsid w:val="005A4605"/>
    <w:rsid w:val="005A4EAA"/>
    <w:rsid w:val="005A5231"/>
    <w:rsid w:val="005A597D"/>
    <w:rsid w:val="005A6038"/>
    <w:rsid w:val="005A66BB"/>
    <w:rsid w:val="005A762B"/>
    <w:rsid w:val="005B0127"/>
    <w:rsid w:val="005B0FAB"/>
    <w:rsid w:val="005B1320"/>
    <w:rsid w:val="005B1CFF"/>
    <w:rsid w:val="005B1DE3"/>
    <w:rsid w:val="005B2572"/>
    <w:rsid w:val="005B2B53"/>
    <w:rsid w:val="005B41F6"/>
    <w:rsid w:val="005B4210"/>
    <w:rsid w:val="005B50FB"/>
    <w:rsid w:val="005B76CA"/>
    <w:rsid w:val="005C017F"/>
    <w:rsid w:val="005C0CEC"/>
    <w:rsid w:val="005C0D46"/>
    <w:rsid w:val="005C11DD"/>
    <w:rsid w:val="005C170D"/>
    <w:rsid w:val="005C337F"/>
    <w:rsid w:val="005C3C9A"/>
    <w:rsid w:val="005C3DDC"/>
    <w:rsid w:val="005C40A0"/>
    <w:rsid w:val="005C42CC"/>
    <w:rsid w:val="005C507B"/>
    <w:rsid w:val="005C5DBF"/>
    <w:rsid w:val="005C683F"/>
    <w:rsid w:val="005C70D5"/>
    <w:rsid w:val="005C7181"/>
    <w:rsid w:val="005C742A"/>
    <w:rsid w:val="005C74C8"/>
    <w:rsid w:val="005C79F5"/>
    <w:rsid w:val="005D0004"/>
    <w:rsid w:val="005D0BAD"/>
    <w:rsid w:val="005D185A"/>
    <w:rsid w:val="005D1CB8"/>
    <w:rsid w:val="005D2B11"/>
    <w:rsid w:val="005D476B"/>
    <w:rsid w:val="005D57E5"/>
    <w:rsid w:val="005D5B60"/>
    <w:rsid w:val="005D64D6"/>
    <w:rsid w:val="005D6603"/>
    <w:rsid w:val="005D6D6F"/>
    <w:rsid w:val="005D783B"/>
    <w:rsid w:val="005D7D2B"/>
    <w:rsid w:val="005D7EC2"/>
    <w:rsid w:val="005E016E"/>
    <w:rsid w:val="005E0C75"/>
    <w:rsid w:val="005E10C5"/>
    <w:rsid w:val="005E12F8"/>
    <w:rsid w:val="005E2312"/>
    <w:rsid w:val="005E2828"/>
    <w:rsid w:val="005E3771"/>
    <w:rsid w:val="005E3B34"/>
    <w:rsid w:val="005E43A8"/>
    <w:rsid w:val="005E52DA"/>
    <w:rsid w:val="005E585C"/>
    <w:rsid w:val="005E618E"/>
    <w:rsid w:val="005E6EFB"/>
    <w:rsid w:val="005E798E"/>
    <w:rsid w:val="005F0246"/>
    <w:rsid w:val="005F0710"/>
    <w:rsid w:val="005F103B"/>
    <w:rsid w:val="005F17AD"/>
    <w:rsid w:val="005F238F"/>
    <w:rsid w:val="005F2579"/>
    <w:rsid w:val="005F2D14"/>
    <w:rsid w:val="005F3A89"/>
    <w:rsid w:val="005F509A"/>
    <w:rsid w:val="005F6225"/>
    <w:rsid w:val="005F65DE"/>
    <w:rsid w:val="005F6B5B"/>
    <w:rsid w:val="005F6B94"/>
    <w:rsid w:val="005F6D6C"/>
    <w:rsid w:val="005F70EF"/>
    <w:rsid w:val="005F7149"/>
    <w:rsid w:val="0060019A"/>
    <w:rsid w:val="006003DE"/>
    <w:rsid w:val="00600C39"/>
    <w:rsid w:val="00601032"/>
    <w:rsid w:val="00601A40"/>
    <w:rsid w:val="00601B40"/>
    <w:rsid w:val="00601B4C"/>
    <w:rsid w:val="006021F0"/>
    <w:rsid w:val="0060272D"/>
    <w:rsid w:val="00603EA2"/>
    <w:rsid w:val="006041F4"/>
    <w:rsid w:val="006046F0"/>
    <w:rsid w:val="00604BE4"/>
    <w:rsid w:val="00604DA2"/>
    <w:rsid w:val="006055FC"/>
    <w:rsid w:val="00605EAC"/>
    <w:rsid w:val="00606CB3"/>
    <w:rsid w:val="00607C26"/>
    <w:rsid w:val="00607EDE"/>
    <w:rsid w:val="00607F9F"/>
    <w:rsid w:val="00610874"/>
    <w:rsid w:val="00610F27"/>
    <w:rsid w:val="00611635"/>
    <w:rsid w:val="006128DB"/>
    <w:rsid w:val="00612E7C"/>
    <w:rsid w:val="0061315F"/>
    <w:rsid w:val="0061442F"/>
    <w:rsid w:val="0061494B"/>
    <w:rsid w:val="00614C76"/>
    <w:rsid w:val="00614CB9"/>
    <w:rsid w:val="00615344"/>
    <w:rsid w:val="0061540C"/>
    <w:rsid w:val="00615D43"/>
    <w:rsid w:val="00616352"/>
    <w:rsid w:val="0061659F"/>
    <w:rsid w:val="0061669F"/>
    <w:rsid w:val="00616F3C"/>
    <w:rsid w:val="00617205"/>
    <w:rsid w:val="00617762"/>
    <w:rsid w:val="006200F5"/>
    <w:rsid w:val="00621647"/>
    <w:rsid w:val="00622266"/>
    <w:rsid w:val="0062251F"/>
    <w:rsid w:val="00622D9C"/>
    <w:rsid w:val="0062398B"/>
    <w:rsid w:val="006245AB"/>
    <w:rsid w:val="00624F85"/>
    <w:rsid w:val="006250AC"/>
    <w:rsid w:val="006252C6"/>
    <w:rsid w:val="00625C4B"/>
    <w:rsid w:val="006263C3"/>
    <w:rsid w:val="0062646A"/>
    <w:rsid w:val="006266DB"/>
    <w:rsid w:val="00627603"/>
    <w:rsid w:val="00630902"/>
    <w:rsid w:val="00631899"/>
    <w:rsid w:val="00631C64"/>
    <w:rsid w:val="006327E1"/>
    <w:rsid w:val="0063384B"/>
    <w:rsid w:val="006340A2"/>
    <w:rsid w:val="006346C0"/>
    <w:rsid w:val="006348C9"/>
    <w:rsid w:val="00635757"/>
    <w:rsid w:val="00635891"/>
    <w:rsid w:val="00635917"/>
    <w:rsid w:val="00635F7B"/>
    <w:rsid w:val="00636DC0"/>
    <w:rsid w:val="00636DFD"/>
    <w:rsid w:val="00641235"/>
    <w:rsid w:val="00641456"/>
    <w:rsid w:val="00641CCA"/>
    <w:rsid w:val="006420CE"/>
    <w:rsid w:val="0064245F"/>
    <w:rsid w:val="006424D6"/>
    <w:rsid w:val="006437F9"/>
    <w:rsid w:val="00644496"/>
    <w:rsid w:val="0064483F"/>
    <w:rsid w:val="00645620"/>
    <w:rsid w:val="006461EA"/>
    <w:rsid w:val="0064662A"/>
    <w:rsid w:val="0065021E"/>
    <w:rsid w:val="006503E4"/>
    <w:rsid w:val="006516D0"/>
    <w:rsid w:val="006517B4"/>
    <w:rsid w:val="00651D9C"/>
    <w:rsid w:val="006541BA"/>
    <w:rsid w:val="00654D27"/>
    <w:rsid w:val="00655037"/>
    <w:rsid w:val="0065505B"/>
    <w:rsid w:val="0065544C"/>
    <w:rsid w:val="0065585C"/>
    <w:rsid w:val="00655B48"/>
    <w:rsid w:val="00655B61"/>
    <w:rsid w:val="00655BC1"/>
    <w:rsid w:val="00656362"/>
    <w:rsid w:val="00656EBF"/>
    <w:rsid w:val="00657C6D"/>
    <w:rsid w:val="00661445"/>
    <w:rsid w:val="00662319"/>
    <w:rsid w:val="006634F5"/>
    <w:rsid w:val="00663B79"/>
    <w:rsid w:val="00664D3C"/>
    <w:rsid w:val="00666FD7"/>
    <w:rsid w:val="00667484"/>
    <w:rsid w:val="0067020D"/>
    <w:rsid w:val="0067075A"/>
    <w:rsid w:val="006711A8"/>
    <w:rsid w:val="00671C43"/>
    <w:rsid w:val="00671F04"/>
    <w:rsid w:val="0067270B"/>
    <w:rsid w:val="0067296F"/>
    <w:rsid w:val="006740B7"/>
    <w:rsid w:val="006743B0"/>
    <w:rsid w:val="00674F4E"/>
    <w:rsid w:val="00674FE1"/>
    <w:rsid w:val="00675183"/>
    <w:rsid w:val="006766E8"/>
    <w:rsid w:val="00676776"/>
    <w:rsid w:val="0068153E"/>
    <w:rsid w:val="00681C5E"/>
    <w:rsid w:val="00682E4B"/>
    <w:rsid w:val="00683333"/>
    <w:rsid w:val="00684A18"/>
    <w:rsid w:val="00684E7E"/>
    <w:rsid w:val="0068512D"/>
    <w:rsid w:val="006852D5"/>
    <w:rsid w:val="00685985"/>
    <w:rsid w:val="006861FD"/>
    <w:rsid w:val="006864D0"/>
    <w:rsid w:val="006865E9"/>
    <w:rsid w:val="006911F9"/>
    <w:rsid w:val="00691493"/>
    <w:rsid w:val="00691A4E"/>
    <w:rsid w:val="00691B35"/>
    <w:rsid w:val="00691D57"/>
    <w:rsid w:val="00692950"/>
    <w:rsid w:val="00693051"/>
    <w:rsid w:val="006941F6"/>
    <w:rsid w:val="0069455D"/>
    <w:rsid w:val="00694579"/>
    <w:rsid w:val="00695234"/>
    <w:rsid w:val="00695C5D"/>
    <w:rsid w:val="00695D41"/>
    <w:rsid w:val="0069615A"/>
    <w:rsid w:val="0069641E"/>
    <w:rsid w:val="00696654"/>
    <w:rsid w:val="0069702C"/>
    <w:rsid w:val="006970AF"/>
    <w:rsid w:val="006A0E81"/>
    <w:rsid w:val="006A2264"/>
    <w:rsid w:val="006A348A"/>
    <w:rsid w:val="006A4A5C"/>
    <w:rsid w:val="006A4FBB"/>
    <w:rsid w:val="006A5FA7"/>
    <w:rsid w:val="006A6FCC"/>
    <w:rsid w:val="006B050F"/>
    <w:rsid w:val="006B2576"/>
    <w:rsid w:val="006B288D"/>
    <w:rsid w:val="006B295A"/>
    <w:rsid w:val="006B2AB7"/>
    <w:rsid w:val="006B3020"/>
    <w:rsid w:val="006B4063"/>
    <w:rsid w:val="006B4B4C"/>
    <w:rsid w:val="006B4EA6"/>
    <w:rsid w:val="006B5CBA"/>
    <w:rsid w:val="006B67C0"/>
    <w:rsid w:val="006B6A4C"/>
    <w:rsid w:val="006B76AE"/>
    <w:rsid w:val="006C023B"/>
    <w:rsid w:val="006C027E"/>
    <w:rsid w:val="006C0DD2"/>
    <w:rsid w:val="006C163C"/>
    <w:rsid w:val="006C1753"/>
    <w:rsid w:val="006C1F3F"/>
    <w:rsid w:val="006C24D0"/>
    <w:rsid w:val="006C29DA"/>
    <w:rsid w:val="006C3D01"/>
    <w:rsid w:val="006C44F6"/>
    <w:rsid w:val="006C4C51"/>
    <w:rsid w:val="006C68DD"/>
    <w:rsid w:val="006C70C4"/>
    <w:rsid w:val="006C7442"/>
    <w:rsid w:val="006D0ABA"/>
    <w:rsid w:val="006D0B4F"/>
    <w:rsid w:val="006D3ECE"/>
    <w:rsid w:val="006D422A"/>
    <w:rsid w:val="006D4938"/>
    <w:rsid w:val="006D49CA"/>
    <w:rsid w:val="006D5540"/>
    <w:rsid w:val="006D66E5"/>
    <w:rsid w:val="006D6E5B"/>
    <w:rsid w:val="006E02FB"/>
    <w:rsid w:val="006E0A07"/>
    <w:rsid w:val="006E0CD1"/>
    <w:rsid w:val="006E13C3"/>
    <w:rsid w:val="006E153F"/>
    <w:rsid w:val="006E202E"/>
    <w:rsid w:val="006E2046"/>
    <w:rsid w:val="006E256E"/>
    <w:rsid w:val="006E2907"/>
    <w:rsid w:val="006E2C3C"/>
    <w:rsid w:val="006E2E26"/>
    <w:rsid w:val="006E6BC4"/>
    <w:rsid w:val="006E75F1"/>
    <w:rsid w:val="006E7829"/>
    <w:rsid w:val="006F1224"/>
    <w:rsid w:val="006F1D84"/>
    <w:rsid w:val="006F2463"/>
    <w:rsid w:val="006F4689"/>
    <w:rsid w:val="006F538E"/>
    <w:rsid w:val="006F6506"/>
    <w:rsid w:val="006F679A"/>
    <w:rsid w:val="006F77B7"/>
    <w:rsid w:val="006F7A9E"/>
    <w:rsid w:val="0070054E"/>
    <w:rsid w:val="00700AC7"/>
    <w:rsid w:val="00701A1B"/>
    <w:rsid w:val="00701B59"/>
    <w:rsid w:val="00702DBF"/>
    <w:rsid w:val="00703C24"/>
    <w:rsid w:val="00705216"/>
    <w:rsid w:val="007057C0"/>
    <w:rsid w:val="00710F9B"/>
    <w:rsid w:val="00714307"/>
    <w:rsid w:val="00714845"/>
    <w:rsid w:val="00715820"/>
    <w:rsid w:val="00715BFB"/>
    <w:rsid w:val="00715D7C"/>
    <w:rsid w:val="007167AD"/>
    <w:rsid w:val="00716E1A"/>
    <w:rsid w:val="007174E1"/>
    <w:rsid w:val="00717AEC"/>
    <w:rsid w:val="00717FB9"/>
    <w:rsid w:val="007206F8"/>
    <w:rsid w:val="007214A8"/>
    <w:rsid w:val="00721A70"/>
    <w:rsid w:val="00721B62"/>
    <w:rsid w:val="00723530"/>
    <w:rsid w:val="0072468E"/>
    <w:rsid w:val="00724CC4"/>
    <w:rsid w:val="00725195"/>
    <w:rsid w:val="00725B8B"/>
    <w:rsid w:val="00726052"/>
    <w:rsid w:val="007266D6"/>
    <w:rsid w:val="00726FB7"/>
    <w:rsid w:val="00727282"/>
    <w:rsid w:val="0072736C"/>
    <w:rsid w:val="00727AD5"/>
    <w:rsid w:val="00731767"/>
    <w:rsid w:val="00731CBE"/>
    <w:rsid w:val="007324C1"/>
    <w:rsid w:val="00732B93"/>
    <w:rsid w:val="00732EEC"/>
    <w:rsid w:val="00733016"/>
    <w:rsid w:val="0073314A"/>
    <w:rsid w:val="00734E47"/>
    <w:rsid w:val="007350DF"/>
    <w:rsid w:val="007353E7"/>
    <w:rsid w:val="00735972"/>
    <w:rsid w:val="00736403"/>
    <w:rsid w:val="00736C8E"/>
    <w:rsid w:val="00736E8C"/>
    <w:rsid w:val="007373D4"/>
    <w:rsid w:val="00737866"/>
    <w:rsid w:val="007379C0"/>
    <w:rsid w:val="0074025C"/>
    <w:rsid w:val="0074083F"/>
    <w:rsid w:val="00741B42"/>
    <w:rsid w:val="00742BD4"/>
    <w:rsid w:val="00742C2A"/>
    <w:rsid w:val="00743809"/>
    <w:rsid w:val="0074549E"/>
    <w:rsid w:val="00746509"/>
    <w:rsid w:val="00746D72"/>
    <w:rsid w:val="00747312"/>
    <w:rsid w:val="00750A8D"/>
    <w:rsid w:val="007522C4"/>
    <w:rsid w:val="00752E8D"/>
    <w:rsid w:val="00752F73"/>
    <w:rsid w:val="00753014"/>
    <w:rsid w:val="007535D8"/>
    <w:rsid w:val="00753D07"/>
    <w:rsid w:val="00753E60"/>
    <w:rsid w:val="00754E1F"/>
    <w:rsid w:val="007555D5"/>
    <w:rsid w:val="00757E04"/>
    <w:rsid w:val="00757FA5"/>
    <w:rsid w:val="00757FCA"/>
    <w:rsid w:val="007602CA"/>
    <w:rsid w:val="007609C0"/>
    <w:rsid w:val="007615EC"/>
    <w:rsid w:val="007645A6"/>
    <w:rsid w:val="00766403"/>
    <w:rsid w:val="00766DB2"/>
    <w:rsid w:val="00767AD9"/>
    <w:rsid w:val="00767CAF"/>
    <w:rsid w:val="00767F01"/>
    <w:rsid w:val="007710B8"/>
    <w:rsid w:val="00771742"/>
    <w:rsid w:val="00771C76"/>
    <w:rsid w:val="0077204E"/>
    <w:rsid w:val="0077214E"/>
    <w:rsid w:val="00772670"/>
    <w:rsid w:val="00772DCF"/>
    <w:rsid w:val="00773C84"/>
    <w:rsid w:val="0077428B"/>
    <w:rsid w:val="0077505A"/>
    <w:rsid w:val="00775140"/>
    <w:rsid w:val="00775A66"/>
    <w:rsid w:val="0077622B"/>
    <w:rsid w:val="007765E7"/>
    <w:rsid w:val="00776BF6"/>
    <w:rsid w:val="0077723B"/>
    <w:rsid w:val="00780582"/>
    <w:rsid w:val="0078067A"/>
    <w:rsid w:val="00780AD8"/>
    <w:rsid w:val="0078365B"/>
    <w:rsid w:val="00783855"/>
    <w:rsid w:val="00783C22"/>
    <w:rsid w:val="0078469A"/>
    <w:rsid w:val="007848E4"/>
    <w:rsid w:val="00785179"/>
    <w:rsid w:val="00785809"/>
    <w:rsid w:val="007859CC"/>
    <w:rsid w:val="00785B40"/>
    <w:rsid w:val="00787B03"/>
    <w:rsid w:val="00787D89"/>
    <w:rsid w:val="007913B1"/>
    <w:rsid w:val="00791E98"/>
    <w:rsid w:val="00793712"/>
    <w:rsid w:val="00793D74"/>
    <w:rsid w:val="00794460"/>
    <w:rsid w:val="00794617"/>
    <w:rsid w:val="007949CF"/>
    <w:rsid w:val="00795487"/>
    <w:rsid w:val="00795F89"/>
    <w:rsid w:val="00797230"/>
    <w:rsid w:val="0079730B"/>
    <w:rsid w:val="00797E5D"/>
    <w:rsid w:val="00797ED9"/>
    <w:rsid w:val="007A19CC"/>
    <w:rsid w:val="007A2375"/>
    <w:rsid w:val="007A2621"/>
    <w:rsid w:val="007A2A09"/>
    <w:rsid w:val="007A34B4"/>
    <w:rsid w:val="007A3D55"/>
    <w:rsid w:val="007A4398"/>
    <w:rsid w:val="007A543B"/>
    <w:rsid w:val="007A5703"/>
    <w:rsid w:val="007A5AD6"/>
    <w:rsid w:val="007A5EF5"/>
    <w:rsid w:val="007A653C"/>
    <w:rsid w:val="007A6A09"/>
    <w:rsid w:val="007A6B40"/>
    <w:rsid w:val="007A6F85"/>
    <w:rsid w:val="007A6FA6"/>
    <w:rsid w:val="007A7D73"/>
    <w:rsid w:val="007B0427"/>
    <w:rsid w:val="007B0AE4"/>
    <w:rsid w:val="007B0B3A"/>
    <w:rsid w:val="007B223F"/>
    <w:rsid w:val="007B26C0"/>
    <w:rsid w:val="007B3481"/>
    <w:rsid w:val="007B3660"/>
    <w:rsid w:val="007B3B15"/>
    <w:rsid w:val="007B45D2"/>
    <w:rsid w:val="007B5E29"/>
    <w:rsid w:val="007B6B36"/>
    <w:rsid w:val="007B6B6B"/>
    <w:rsid w:val="007B7C27"/>
    <w:rsid w:val="007C09DE"/>
    <w:rsid w:val="007C0E95"/>
    <w:rsid w:val="007C126B"/>
    <w:rsid w:val="007C1CA2"/>
    <w:rsid w:val="007C284D"/>
    <w:rsid w:val="007C3791"/>
    <w:rsid w:val="007C414F"/>
    <w:rsid w:val="007C5247"/>
    <w:rsid w:val="007C5268"/>
    <w:rsid w:val="007C5327"/>
    <w:rsid w:val="007C5EA1"/>
    <w:rsid w:val="007C6CA3"/>
    <w:rsid w:val="007C6CE3"/>
    <w:rsid w:val="007C74AA"/>
    <w:rsid w:val="007D1089"/>
    <w:rsid w:val="007D1B1C"/>
    <w:rsid w:val="007D2177"/>
    <w:rsid w:val="007D2698"/>
    <w:rsid w:val="007D26EB"/>
    <w:rsid w:val="007D2923"/>
    <w:rsid w:val="007D2A36"/>
    <w:rsid w:val="007D2F3D"/>
    <w:rsid w:val="007D3A4E"/>
    <w:rsid w:val="007D3E3B"/>
    <w:rsid w:val="007D43F1"/>
    <w:rsid w:val="007D5467"/>
    <w:rsid w:val="007D6BC0"/>
    <w:rsid w:val="007D735E"/>
    <w:rsid w:val="007E04FE"/>
    <w:rsid w:val="007E0540"/>
    <w:rsid w:val="007E058E"/>
    <w:rsid w:val="007E12B4"/>
    <w:rsid w:val="007E19A9"/>
    <w:rsid w:val="007E1F04"/>
    <w:rsid w:val="007E2A6A"/>
    <w:rsid w:val="007E2E4A"/>
    <w:rsid w:val="007E3669"/>
    <w:rsid w:val="007E3B55"/>
    <w:rsid w:val="007E4956"/>
    <w:rsid w:val="007E55BB"/>
    <w:rsid w:val="007E6DBB"/>
    <w:rsid w:val="007E74D5"/>
    <w:rsid w:val="007F1426"/>
    <w:rsid w:val="007F1447"/>
    <w:rsid w:val="007F16B6"/>
    <w:rsid w:val="007F1D85"/>
    <w:rsid w:val="007F2D5F"/>
    <w:rsid w:val="007F3EEB"/>
    <w:rsid w:val="007F5BE0"/>
    <w:rsid w:val="007F6F52"/>
    <w:rsid w:val="007F7EDA"/>
    <w:rsid w:val="00800AA7"/>
    <w:rsid w:val="0080192B"/>
    <w:rsid w:val="00801989"/>
    <w:rsid w:val="008026E5"/>
    <w:rsid w:val="008027DC"/>
    <w:rsid w:val="00802C31"/>
    <w:rsid w:val="00802D07"/>
    <w:rsid w:val="00803120"/>
    <w:rsid w:val="0080373E"/>
    <w:rsid w:val="00803C53"/>
    <w:rsid w:val="0080433C"/>
    <w:rsid w:val="00804863"/>
    <w:rsid w:val="00806C89"/>
    <w:rsid w:val="00810230"/>
    <w:rsid w:val="00812123"/>
    <w:rsid w:val="0081221C"/>
    <w:rsid w:val="008127D9"/>
    <w:rsid w:val="00813933"/>
    <w:rsid w:val="00813E61"/>
    <w:rsid w:val="0081411E"/>
    <w:rsid w:val="008143DC"/>
    <w:rsid w:val="008149B9"/>
    <w:rsid w:val="00814F29"/>
    <w:rsid w:val="00815527"/>
    <w:rsid w:val="008155AB"/>
    <w:rsid w:val="00815906"/>
    <w:rsid w:val="008163CA"/>
    <w:rsid w:val="0081649F"/>
    <w:rsid w:val="00816E18"/>
    <w:rsid w:val="008173BA"/>
    <w:rsid w:val="00817AB1"/>
    <w:rsid w:val="00820A41"/>
    <w:rsid w:val="008217E9"/>
    <w:rsid w:val="0082188B"/>
    <w:rsid w:val="008224DC"/>
    <w:rsid w:val="00822C82"/>
    <w:rsid w:val="0082389E"/>
    <w:rsid w:val="0082522B"/>
    <w:rsid w:val="00825BDF"/>
    <w:rsid w:val="00832009"/>
    <w:rsid w:val="00832279"/>
    <w:rsid w:val="00832337"/>
    <w:rsid w:val="008338E2"/>
    <w:rsid w:val="00834A46"/>
    <w:rsid w:val="0083562B"/>
    <w:rsid w:val="0083571B"/>
    <w:rsid w:val="00835960"/>
    <w:rsid w:val="00835C09"/>
    <w:rsid w:val="00835C86"/>
    <w:rsid w:val="008361A6"/>
    <w:rsid w:val="00836949"/>
    <w:rsid w:val="00836CF3"/>
    <w:rsid w:val="00837B9B"/>
    <w:rsid w:val="00837E03"/>
    <w:rsid w:val="00840049"/>
    <w:rsid w:val="0084031C"/>
    <w:rsid w:val="0084122E"/>
    <w:rsid w:val="00842182"/>
    <w:rsid w:val="00842DA5"/>
    <w:rsid w:val="0084391F"/>
    <w:rsid w:val="008448FA"/>
    <w:rsid w:val="00844EBD"/>
    <w:rsid w:val="00845059"/>
    <w:rsid w:val="008452A2"/>
    <w:rsid w:val="00845704"/>
    <w:rsid w:val="008465B5"/>
    <w:rsid w:val="0084758E"/>
    <w:rsid w:val="00850291"/>
    <w:rsid w:val="008505B4"/>
    <w:rsid w:val="008528A4"/>
    <w:rsid w:val="008528CA"/>
    <w:rsid w:val="00852942"/>
    <w:rsid w:val="00853E10"/>
    <w:rsid w:val="00853FC5"/>
    <w:rsid w:val="00854C81"/>
    <w:rsid w:val="008554FB"/>
    <w:rsid w:val="00855AC2"/>
    <w:rsid w:val="00856098"/>
    <w:rsid w:val="00857099"/>
    <w:rsid w:val="00857751"/>
    <w:rsid w:val="00860886"/>
    <w:rsid w:val="008620DA"/>
    <w:rsid w:val="00862BCD"/>
    <w:rsid w:val="00862DB1"/>
    <w:rsid w:val="0086345F"/>
    <w:rsid w:val="00863A69"/>
    <w:rsid w:val="00866027"/>
    <w:rsid w:val="008661E2"/>
    <w:rsid w:val="008677A5"/>
    <w:rsid w:val="008678E3"/>
    <w:rsid w:val="008705A9"/>
    <w:rsid w:val="0087064D"/>
    <w:rsid w:val="0087251F"/>
    <w:rsid w:val="008727AB"/>
    <w:rsid w:val="008739F2"/>
    <w:rsid w:val="00874321"/>
    <w:rsid w:val="00874ED8"/>
    <w:rsid w:val="0087526B"/>
    <w:rsid w:val="00875C8E"/>
    <w:rsid w:val="00876DB5"/>
    <w:rsid w:val="00876F1A"/>
    <w:rsid w:val="00880018"/>
    <w:rsid w:val="0088066F"/>
    <w:rsid w:val="008806DA"/>
    <w:rsid w:val="00881109"/>
    <w:rsid w:val="00881411"/>
    <w:rsid w:val="00881ACD"/>
    <w:rsid w:val="00882224"/>
    <w:rsid w:val="008822B6"/>
    <w:rsid w:val="008824DD"/>
    <w:rsid w:val="00883F96"/>
    <w:rsid w:val="00885669"/>
    <w:rsid w:val="0088614B"/>
    <w:rsid w:val="00886744"/>
    <w:rsid w:val="00886EAF"/>
    <w:rsid w:val="00891707"/>
    <w:rsid w:val="008922E2"/>
    <w:rsid w:val="0089397A"/>
    <w:rsid w:val="00894FFA"/>
    <w:rsid w:val="00895DD7"/>
    <w:rsid w:val="00896241"/>
    <w:rsid w:val="00897734"/>
    <w:rsid w:val="00897C6A"/>
    <w:rsid w:val="00897EFF"/>
    <w:rsid w:val="008A0352"/>
    <w:rsid w:val="008A0EF1"/>
    <w:rsid w:val="008A1349"/>
    <w:rsid w:val="008A2DBC"/>
    <w:rsid w:val="008A2F90"/>
    <w:rsid w:val="008A3183"/>
    <w:rsid w:val="008A4750"/>
    <w:rsid w:val="008A514F"/>
    <w:rsid w:val="008A525B"/>
    <w:rsid w:val="008A6692"/>
    <w:rsid w:val="008A7072"/>
    <w:rsid w:val="008A78BD"/>
    <w:rsid w:val="008A7D47"/>
    <w:rsid w:val="008B1786"/>
    <w:rsid w:val="008B1AC3"/>
    <w:rsid w:val="008B2A43"/>
    <w:rsid w:val="008B2B27"/>
    <w:rsid w:val="008B3750"/>
    <w:rsid w:val="008B66BE"/>
    <w:rsid w:val="008B67C8"/>
    <w:rsid w:val="008B6883"/>
    <w:rsid w:val="008B6AD8"/>
    <w:rsid w:val="008B71D5"/>
    <w:rsid w:val="008C0923"/>
    <w:rsid w:val="008C0A3D"/>
    <w:rsid w:val="008C1442"/>
    <w:rsid w:val="008C1E2D"/>
    <w:rsid w:val="008C3E42"/>
    <w:rsid w:val="008C4F79"/>
    <w:rsid w:val="008C5F10"/>
    <w:rsid w:val="008C62FC"/>
    <w:rsid w:val="008C65D3"/>
    <w:rsid w:val="008C6DD0"/>
    <w:rsid w:val="008C7896"/>
    <w:rsid w:val="008C7E30"/>
    <w:rsid w:val="008C7F7D"/>
    <w:rsid w:val="008D0040"/>
    <w:rsid w:val="008D0D48"/>
    <w:rsid w:val="008D1342"/>
    <w:rsid w:val="008D1C37"/>
    <w:rsid w:val="008D1D5B"/>
    <w:rsid w:val="008D1E93"/>
    <w:rsid w:val="008D21CA"/>
    <w:rsid w:val="008D249B"/>
    <w:rsid w:val="008D3170"/>
    <w:rsid w:val="008D3A3C"/>
    <w:rsid w:val="008D4487"/>
    <w:rsid w:val="008D4B7B"/>
    <w:rsid w:val="008D5671"/>
    <w:rsid w:val="008D59B9"/>
    <w:rsid w:val="008D5AE0"/>
    <w:rsid w:val="008D5E12"/>
    <w:rsid w:val="008D6403"/>
    <w:rsid w:val="008D6675"/>
    <w:rsid w:val="008D6A1B"/>
    <w:rsid w:val="008E08BF"/>
    <w:rsid w:val="008E187D"/>
    <w:rsid w:val="008E1E15"/>
    <w:rsid w:val="008E1EF4"/>
    <w:rsid w:val="008E224E"/>
    <w:rsid w:val="008E229A"/>
    <w:rsid w:val="008E29E8"/>
    <w:rsid w:val="008E2B28"/>
    <w:rsid w:val="008E2EB3"/>
    <w:rsid w:val="008E2F50"/>
    <w:rsid w:val="008E35C6"/>
    <w:rsid w:val="008E3903"/>
    <w:rsid w:val="008E5AC5"/>
    <w:rsid w:val="008E6EF1"/>
    <w:rsid w:val="008E7886"/>
    <w:rsid w:val="008E7BF7"/>
    <w:rsid w:val="008F076C"/>
    <w:rsid w:val="008F12D0"/>
    <w:rsid w:val="008F12F8"/>
    <w:rsid w:val="008F18E2"/>
    <w:rsid w:val="008F2394"/>
    <w:rsid w:val="008F2855"/>
    <w:rsid w:val="008F34E5"/>
    <w:rsid w:val="008F3CB4"/>
    <w:rsid w:val="008F4672"/>
    <w:rsid w:val="008F4A53"/>
    <w:rsid w:val="008F563F"/>
    <w:rsid w:val="008F5B31"/>
    <w:rsid w:val="008F6204"/>
    <w:rsid w:val="008F6BB6"/>
    <w:rsid w:val="008F73F0"/>
    <w:rsid w:val="008F7438"/>
    <w:rsid w:val="008F7A32"/>
    <w:rsid w:val="00900326"/>
    <w:rsid w:val="00901628"/>
    <w:rsid w:val="0090206B"/>
    <w:rsid w:val="00904135"/>
    <w:rsid w:val="00904B2A"/>
    <w:rsid w:val="00904F86"/>
    <w:rsid w:val="00906D7D"/>
    <w:rsid w:val="009071E5"/>
    <w:rsid w:val="00907831"/>
    <w:rsid w:val="00907D29"/>
    <w:rsid w:val="009111BC"/>
    <w:rsid w:val="00911437"/>
    <w:rsid w:val="00912362"/>
    <w:rsid w:val="00912D6C"/>
    <w:rsid w:val="00913A26"/>
    <w:rsid w:val="00913C7D"/>
    <w:rsid w:val="00913DBF"/>
    <w:rsid w:val="00914621"/>
    <w:rsid w:val="00914A00"/>
    <w:rsid w:val="009157BF"/>
    <w:rsid w:val="0091649B"/>
    <w:rsid w:val="00917513"/>
    <w:rsid w:val="00917662"/>
    <w:rsid w:val="009204E2"/>
    <w:rsid w:val="00920F89"/>
    <w:rsid w:val="00921637"/>
    <w:rsid w:val="009216BD"/>
    <w:rsid w:val="0092189B"/>
    <w:rsid w:val="009218D4"/>
    <w:rsid w:val="009219D3"/>
    <w:rsid w:val="00921DCB"/>
    <w:rsid w:val="009221E7"/>
    <w:rsid w:val="00922AF4"/>
    <w:rsid w:val="00922CFE"/>
    <w:rsid w:val="00922DB0"/>
    <w:rsid w:val="00923A7E"/>
    <w:rsid w:val="00923B89"/>
    <w:rsid w:val="0092482A"/>
    <w:rsid w:val="009259F4"/>
    <w:rsid w:val="00925F10"/>
    <w:rsid w:val="009266CE"/>
    <w:rsid w:val="00926BA3"/>
    <w:rsid w:val="00927519"/>
    <w:rsid w:val="00927C7F"/>
    <w:rsid w:val="0093030E"/>
    <w:rsid w:val="00932A9C"/>
    <w:rsid w:val="00933B5B"/>
    <w:rsid w:val="00933E9B"/>
    <w:rsid w:val="009349AB"/>
    <w:rsid w:val="00934C5F"/>
    <w:rsid w:val="00935874"/>
    <w:rsid w:val="00935CFB"/>
    <w:rsid w:val="0093614E"/>
    <w:rsid w:val="00936AEF"/>
    <w:rsid w:val="0093716C"/>
    <w:rsid w:val="009401EA"/>
    <w:rsid w:val="00940A7B"/>
    <w:rsid w:val="0094160A"/>
    <w:rsid w:val="009417CF"/>
    <w:rsid w:val="00941A91"/>
    <w:rsid w:val="0094290C"/>
    <w:rsid w:val="00942B7A"/>
    <w:rsid w:val="00942C84"/>
    <w:rsid w:val="009445B3"/>
    <w:rsid w:val="00944AE3"/>
    <w:rsid w:val="00945256"/>
    <w:rsid w:val="00946610"/>
    <w:rsid w:val="0095015A"/>
    <w:rsid w:val="00950C7D"/>
    <w:rsid w:val="00950FD5"/>
    <w:rsid w:val="00951050"/>
    <w:rsid w:val="00951843"/>
    <w:rsid w:val="00951ECE"/>
    <w:rsid w:val="009528B9"/>
    <w:rsid w:val="00952BAC"/>
    <w:rsid w:val="009530E8"/>
    <w:rsid w:val="00953369"/>
    <w:rsid w:val="0095350C"/>
    <w:rsid w:val="00954413"/>
    <w:rsid w:val="009544B8"/>
    <w:rsid w:val="00955D96"/>
    <w:rsid w:val="0095609A"/>
    <w:rsid w:val="009564EF"/>
    <w:rsid w:val="009608E8"/>
    <w:rsid w:val="0096149F"/>
    <w:rsid w:val="00961575"/>
    <w:rsid w:val="00961643"/>
    <w:rsid w:val="00962359"/>
    <w:rsid w:val="009629DE"/>
    <w:rsid w:val="00962AF3"/>
    <w:rsid w:val="00963AB0"/>
    <w:rsid w:val="00963D57"/>
    <w:rsid w:val="00964AF4"/>
    <w:rsid w:val="00965E32"/>
    <w:rsid w:val="00966204"/>
    <w:rsid w:val="009665C8"/>
    <w:rsid w:val="00966FFA"/>
    <w:rsid w:val="0096712D"/>
    <w:rsid w:val="0096738C"/>
    <w:rsid w:val="00967974"/>
    <w:rsid w:val="00970DB7"/>
    <w:rsid w:val="00970EC9"/>
    <w:rsid w:val="00971736"/>
    <w:rsid w:val="00972FA4"/>
    <w:rsid w:val="009739C4"/>
    <w:rsid w:val="00973E10"/>
    <w:rsid w:val="00974E67"/>
    <w:rsid w:val="00974E81"/>
    <w:rsid w:val="009755A0"/>
    <w:rsid w:val="009758E0"/>
    <w:rsid w:val="009767DD"/>
    <w:rsid w:val="00977585"/>
    <w:rsid w:val="00977821"/>
    <w:rsid w:val="00977D2E"/>
    <w:rsid w:val="00980EB5"/>
    <w:rsid w:val="009811AD"/>
    <w:rsid w:val="0098317C"/>
    <w:rsid w:val="00983F76"/>
    <w:rsid w:val="00984036"/>
    <w:rsid w:val="009846E4"/>
    <w:rsid w:val="00984996"/>
    <w:rsid w:val="00984AC1"/>
    <w:rsid w:val="009857C9"/>
    <w:rsid w:val="00985A82"/>
    <w:rsid w:val="00985BED"/>
    <w:rsid w:val="00985ED1"/>
    <w:rsid w:val="00985F61"/>
    <w:rsid w:val="009861CF"/>
    <w:rsid w:val="0098672E"/>
    <w:rsid w:val="00986878"/>
    <w:rsid w:val="00986A0D"/>
    <w:rsid w:val="00986AB0"/>
    <w:rsid w:val="00986C5D"/>
    <w:rsid w:val="009879EF"/>
    <w:rsid w:val="00987A89"/>
    <w:rsid w:val="00987FC3"/>
    <w:rsid w:val="00990825"/>
    <w:rsid w:val="00990E48"/>
    <w:rsid w:val="00992699"/>
    <w:rsid w:val="0099358E"/>
    <w:rsid w:val="00993C7F"/>
    <w:rsid w:val="00994172"/>
    <w:rsid w:val="0099505F"/>
    <w:rsid w:val="0099528E"/>
    <w:rsid w:val="00996A4D"/>
    <w:rsid w:val="00996BA7"/>
    <w:rsid w:val="0099721A"/>
    <w:rsid w:val="00997914"/>
    <w:rsid w:val="00997D75"/>
    <w:rsid w:val="009A015D"/>
    <w:rsid w:val="009A0214"/>
    <w:rsid w:val="009A0548"/>
    <w:rsid w:val="009A0E2D"/>
    <w:rsid w:val="009A1981"/>
    <w:rsid w:val="009A2487"/>
    <w:rsid w:val="009A2EB7"/>
    <w:rsid w:val="009A3F55"/>
    <w:rsid w:val="009A52CC"/>
    <w:rsid w:val="009A5566"/>
    <w:rsid w:val="009A595F"/>
    <w:rsid w:val="009A74FA"/>
    <w:rsid w:val="009A773C"/>
    <w:rsid w:val="009A78CF"/>
    <w:rsid w:val="009B030C"/>
    <w:rsid w:val="009B096C"/>
    <w:rsid w:val="009B351D"/>
    <w:rsid w:val="009B42BF"/>
    <w:rsid w:val="009B4F53"/>
    <w:rsid w:val="009B503F"/>
    <w:rsid w:val="009B5625"/>
    <w:rsid w:val="009B5657"/>
    <w:rsid w:val="009B5EE9"/>
    <w:rsid w:val="009B671F"/>
    <w:rsid w:val="009B7D68"/>
    <w:rsid w:val="009C0690"/>
    <w:rsid w:val="009C0737"/>
    <w:rsid w:val="009C1265"/>
    <w:rsid w:val="009C16A3"/>
    <w:rsid w:val="009C2653"/>
    <w:rsid w:val="009C33AB"/>
    <w:rsid w:val="009C39C6"/>
    <w:rsid w:val="009C3FC9"/>
    <w:rsid w:val="009C42F2"/>
    <w:rsid w:val="009C49AE"/>
    <w:rsid w:val="009C559F"/>
    <w:rsid w:val="009C666D"/>
    <w:rsid w:val="009C66A2"/>
    <w:rsid w:val="009C67DA"/>
    <w:rsid w:val="009D0A02"/>
    <w:rsid w:val="009D177B"/>
    <w:rsid w:val="009D244B"/>
    <w:rsid w:val="009D245D"/>
    <w:rsid w:val="009D2D37"/>
    <w:rsid w:val="009D2F18"/>
    <w:rsid w:val="009D3403"/>
    <w:rsid w:val="009D398A"/>
    <w:rsid w:val="009D3A0F"/>
    <w:rsid w:val="009D3EBE"/>
    <w:rsid w:val="009D46CB"/>
    <w:rsid w:val="009D7DB8"/>
    <w:rsid w:val="009E04E0"/>
    <w:rsid w:val="009E06F4"/>
    <w:rsid w:val="009E1ED0"/>
    <w:rsid w:val="009E300E"/>
    <w:rsid w:val="009E376B"/>
    <w:rsid w:val="009E492A"/>
    <w:rsid w:val="009E4E10"/>
    <w:rsid w:val="009E51A7"/>
    <w:rsid w:val="009E7C16"/>
    <w:rsid w:val="009F06F5"/>
    <w:rsid w:val="009F1529"/>
    <w:rsid w:val="009F159E"/>
    <w:rsid w:val="009F2D9A"/>
    <w:rsid w:val="009F35EB"/>
    <w:rsid w:val="009F3B60"/>
    <w:rsid w:val="009F3E18"/>
    <w:rsid w:val="009F4A43"/>
    <w:rsid w:val="009F4E37"/>
    <w:rsid w:val="009F5115"/>
    <w:rsid w:val="009F6B4C"/>
    <w:rsid w:val="009F7ED4"/>
    <w:rsid w:val="00A00743"/>
    <w:rsid w:val="00A00C12"/>
    <w:rsid w:val="00A01A79"/>
    <w:rsid w:val="00A01AE4"/>
    <w:rsid w:val="00A032C1"/>
    <w:rsid w:val="00A03933"/>
    <w:rsid w:val="00A05CB1"/>
    <w:rsid w:val="00A06FA2"/>
    <w:rsid w:val="00A077C6"/>
    <w:rsid w:val="00A11150"/>
    <w:rsid w:val="00A123D4"/>
    <w:rsid w:val="00A13F35"/>
    <w:rsid w:val="00A14A15"/>
    <w:rsid w:val="00A14C89"/>
    <w:rsid w:val="00A15C83"/>
    <w:rsid w:val="00A1625B"/>
    <w:rsid w:val="00A167BA"/>
    <w:rsid w:val="00A16C70"/>
    <w:rsid w:val="00A17B19"/>
    <w:rsid w:val="00A17EE5"/>
    <w:rsid w:val="00A20011"/>
    <w:rsid w:val="00A20AEF"/>
    <w:rsid w:val="00A22641"/>
    <w:rsid w:val="00A23297"/>
    <w:rsid w:val="00A23CC2"/>
    <w:rsid w:val="00A23EFA"/>
    <w:rsid w:val="00A246A7"/>
    <w:rsid w:val="00A2566E"/>
    <w:rsid w:val="00A25725"/>
    <w:rsid w:val="00A257C7"/>
    <w:rsid w:val="00A25F56"/>
    <w:rsid w:val="00A25FBE"/>
    <w:rsid w:val="00A2614A"/>
    <w:rsid w:val="00A276A3"/>
    <w:rsid w:val="00A278D8"/>
    <w:rsid w:val="00A30FF3"/>
    <w:rsid w:val="00A31388"/>
    <w:rsid w:val="00A3182F"/>
    <w:rsid w:val="00A32EBC"/>
    <w:rsid w:val="00A3326D"/>
    <w:rsid w:val="00A33420"/>
    <w:rsid w:val="00A3404E"/>
    <w:rsid w:val="00A34628"/>
    <w:rsid w:val="00A34731"/>
    <w:rsid w:val="00A34DBD"/>
    <w:rsid w:val="00A35CBF"/>
    <w:rsid w:val="00A36D87"/>
    <w:rsid w:val="00A37017"/>
    <w:rsid w:val="00A375C2"/>
    <w:rsid w:val="00A404A5"/>
    <w:rsid w:val="00A404AE"/>
    <w:rsid w:val="00A408AC"/>
    <w:rsid w:val="00A41C22"/>
    <w:rsid w:val="00A421D2"/>
    <w:rsid w:val="00A4264C"/>
    <w:rsid w:val="00A42BD5"/>
    <w:rsid w:val="00A45894"/>
    <w:rsid w:val="00A46240"/>
    <w:rsid w:val="00A46AA9"/>
    <w:rsid w:val="00A47AF6"/>
    <w:rsid w:val="00A47F91"/>
    <w:rsid w:val="00A5103D"/>
    <w:rsid w:val="00A51ECD"/>
    <w:rsid w:val="00A51FAC"/>
    <w:rsid w:val="00A52535"/>
    <w:rsid w:val="00A52899"/>
    <w:rsid w:val="00A52F25"/>
    <w:rsid w:val="00A53896"/>
    <w:rsid w:val="00A544C5"/>
    <w:rsid w:val="00A54DB2"/>
    <w:rsid w:val="00A55240"/>
    <w:rsid w:val="00A57316"/>
    <w:rsid w:val="00A57ECD"/>
    <w:rsid w:val="00A61FFA"/>
    <w:rsid w:val="00A62233"/>
    <w:rsid w:val="00A63189"/>
    <w:rsid w:val="00A63A6C"/>
    <w:rsid w:val="00A64356"/>
    <w:rsid w:val="00A64F09"/>
    <w:rsid w:val="00A64FB8"/>
    <w:rsid w:val="00A65153"/>
    <w:rsid w:val="00A66DBC"/>
    <w:rsid w:val="00A6764C"/>
    <w:rsid w:val="00A67A0B"/>
    <w:rsid w:val="00A67D3B"/>
    <w:rsid w:val="00A67F5E"/>
    <w:rsid w:val="00A705EA"/>
    <w:rsid w:val="00A70D91"/>
    <w:rsid w:val="00A714F7"/>
    <w:rsid w:val="00A716B5"/>
    <w:rsid w:val="00A71FA8"/>
    <w:rsid w:val="00A72A66"/>
    <w:rsid w:val="00A733F5"/>
    <w:rsid w:val="00A7343A"/>
    <w:rsid w:val="00A744C2"/>
    <w:rsid w:val="00A74D0F"/>
    <w:rsid w:val="00A75362"/>
    <w:rsid w:val="00A76850"/>
    <w:rsid w:val="00A773A3"/>
    <w:rsid w:val="00A77C65"/>
    <w:rsid w:val="00A8017B"/>
    <w:rsid w:val="00A809ED"/>
    <w:rsid w:val="00A8274F"/>
    <w:rsid w:val="00A831B2"/>
    <w:rsid w:val="00A84782"/>
    <w:rsid w:val="00A8541F"/>
    <w:rsid w:val="00A8563B"/>
    <w:rsid w:val="00A85E57"/>
    <w:rsid w:val="00A86CEF"/>
    <w:rsid w:val="00A87207"/>
    <w:rsid w:val="00A87D43"/>
    <w:rsid w:val="00A9043B"/>
    <w:rsid w:val="00A905E7"/>
    <w:rsid w:val="00A90B8E"/>
    <w:rsid w:val="00A91C02"/>
    <w:rsid w:val="00A91D1B"/>
    <w:rsid w:val="00A9210C"/>
    <w:rsid w:val="00A928E7"/>
    <w:rsid w:val="00A92A17"/>
    <w:rsid w:val="00A92D9F"/>
    <w:rsid w:val="00A92F6C"/>
    <w:rsid w:val="00A937D5"/>
    <w:rsid w:val="00A93F29"/>
    <w:rsid w:val="00A940F8"/>
    <w:rsid w:val="00A946E2"/>
    <w:rsid w:val="00A94D4D"/>
    <w:rsid w:val="00A94E2B"/>
    <w:rsid w:val="00A95103"/>
    <w:rsid w:val="00A95A0D"/>
    <w:rsid w:val="00A96D41"/>
    <w:rsid w:val="00A97247"/>
    <w:rsid w:val="00A97983"/>
    <w:rsid w:val="00A97D04"/>
    <w:rsid w:val="00AA09D2"/>
    <w:rsid w:val="00AA3936"/>
    <w:rsid w:val="00AA419D"/>
    <w:rsid w:val="00AA41C9"/>
    <w:rsid w:val="00AA4D67"/>
    <w:rsid w:val="00AA4E7B"/>
    <w:rsid w:val="00AA4F5C"/>
    <w:rsid w:val="00AA6940"/>
    <w:rsid w:val="00AA77AF"/>
    <w:rsid w:val="00AB0308"/>
    <w:rsid w:val="00AB047A"/>
    <w:rsid w:val="00AB0CFE"/>
    <w:rsid w:val="00AB0EA2"/>
    <w:rsid w:val="00AB1D5C"/>
    <w:rsid w:val="00AB3AD1"/>
    <w:rsid w:val="00AB3CCA"/>
    <w:rsid w:val="00AB4A0B"/>
    <w:rsid w:val="00AB4F69"/>
    <w:rsid w:val="00AB5881"/>
    <w:rsid w:val="00AB66C2"/>
    <w:rsid w:val="00AB6921"/>
    <w:rsid w:val="00AB76CF"/>
    <w:rsid w:val="00AB79C3"/>
    <w:rsid w:val="00AB7D63"/>
    <w:rsid w:val="00AC00E6"/>
    <w:rsid w:val="00AC0357"/>
    <w:rsid w:val="00AC042C"/>
    <w:rsid w:val="00AC0AE0"/>
    <w:rsid w:val="00AC142F"/>
    <w:rsid w:val="00AC1ECC"/>
    <w:rsid w:val="00AC24D7"/>
    <w:rsid w:val="00AC346B"/>
    <w:rsid w:val="00AC56A9"/>
    <w:rsid w:val="00AC7366"/>
    <w:rsid w:val="00AC7398"/>
    <w:rsid w:val="00AC7533"/>
    <w:rsid w:val="00AD02F8"/>
    <w:rsid w:val="00AD0BB2"/>
    <w:rsid w:val="00AD0F7F"/>
    <w:rsid w:val="00AD10EB"/>
    <w:rsid w:val="00AD2113"/>
    <w:rsid w:val="00AD2313"/>
    <w:rsid w:val="00AD2524"/>
    <w:rsid w:val="00AD2AAE"/>
    <w:rsid w:val="00AD3772"/>
    <w:rsid w:val="00AD3815"/>
    <w:rsid w:val="00AD3BD9"/>
    <w:rsid w:val="00AD40BA"/>
    <w:rsid w:val="00AD43A7"/>
    <w:rsid w:val="00AD4C41"/>
    <w:rsid w:val="00AD4D92"/>
    <w:rsid w:val="00AD6100"/>
    <w:rsid w:val="00AD63F6"/>
    <w:rsid w:val="00AD7104"/>
    <w:rsid w:val="00AD7A1D"/>
    <w:rsid w:val="00AD7BA5"/>
    <w:rsid w:val="00AE13C3"/>
    <w:rsid w:val="00AE1A8E"/>
    <w:rsid w:val="00AE245F"/>
    <w:rsid w:val="00AE2CA0"/>
    <w:rsid w:val="00AE391E"/>
    <w:rsid w:val="00AE3992"/>
    <w:rsid w:val="00AE3A44"/>
    <w:rsid w:val="00AE51BC"/>
    <w:rsid w:val="00AE5831"/>
    <w:rsid w:val="00AE7EA6"/>
    <w:rsid w:val="00AF0035"/>
    <w:rsid w:val="00AF025E"/>
    <w:rsid w:val="00AF046E"/>
    <w:rsid w:val="00AF05F2"/>
    <w:rsid w:val="00AF1E7D"/>
    <w:rsid w:val="00AF2295"/>
    <w:rsid w:val="00AF2DBB"/>
    <w:rsid w:val="00AF39A5"/>
    <w:rsid w:val="00AF43E1"/>
    <w:rsid w:val="00AF4CC6"/>
    <w:rsid w:val="00AF4E98"/>
    <w:rsid w:val="00AF5615"/>
    <w:rsid w:val="00AF5621"/>
    <w:rsid w:val="00AF5D0F"/>
    <w:rsid w:val="00AF616D"/>
    <w:rsid w:val="00AF62F1"/>
    <w:rsid w:val="00AF6559"/>
    <w:rsid w:val="00AF67A7"/>
    <w:rsid w:val="00AF70C8"/>
    <w:rsid w:val="00AF7395"/>
    <w:rsid w:val="00AF749F"/>
    <w:rsid w:val="00B017C1"/>
    <w:rsid w:val="00B01AB6"/>
    <w:rsid w:val="00B01AC1"/>
    <w:rsid w:val="00B01B34"/>
    <w:rsid w:val="00B0253E"/>
    <w:rsid w:val="00B02EA6"/>
    <w:rsid w:val="00B02EBD"/>
    <w:rsid w:val="00B043DF"/>
    <w:rsid w:val="00B047FC"/>
    <w:rsid w:val="00B05E31"/>
    <w:rsid w:val="00B05F22"/>
    <w:rsid w:val="00B0632C"/>
    <w:rsid w:val="00B07043"/>
    <w:rsid w:val="00B07CED"/>
    <w:rsid w:val="00B07D0C"/>
    <w:rsid w:val="00B102CC"/>
    <w:rsid w:val="00B10D23"/>
    <w:rsid w:val="00B10ED6"/>
    <w:rsid w:val="00B115D2"/>
    <w:rsid w:val="00B11AC8"/>
    <w:rsid w:val="00B11B37"/>
    <w:rsid w:val="00B12832"/>
    <w:rsid w:val="00B1366E"/>
    <w:rsid w:val="00B138AB"/>
    <w:rsid w:val="00B14150"/>
    <w:rsid w:val="00B145B5"/>
    <w:rsid w:val="00B14606"/>
    <w:rsid w:val="00B149CB"/>
    <w:rsid w:val="00B14A03"/>
    <w:rsid w:val="00B15127"/>
    <w:rsid w:val="00B16C59"/>
    <w:rsid w:val="00B16E1B"/>
    <w:rsid w:val="00B17171"/>
    <w:rsid w:val="00B20969"/>
    <w:rsid w:val="00B21EA7"/>
    <w:rsid w:val="00B224DD"/>
    <w:rsid w:val="00B22DFB"/>
    <w:rsid w:val="00B22FA3"/>
    <w:rsid w:val="00B252F8"/>
    <w:rsid w:val="00B26108"/>
    <w:rsid w:val="00B2621B"/>
    <w:rsid w:val="00B26461"/>
    <w:rsid w:val="00B27D26"/>
    <w:rsid w:val="00B31B38"/>
    <w:rsid w:val="00B32229"/>
    <w:rsid w:val="00B3289B"/>
    <w:rsid w:val="00B328FD"/>
    <w:rsid w:val="00B33306"/>
    <w:rsid w:val="00B334CE"/>
    <w:rsid w:val="00B35395"/>
    <w:rsid w:val="00B35ADC"/>
    <w:rsid w:val="00B3623D"/>
    <w:rsid w:val="00B367FA"/>
    <w:rsid w:val="00B37003"/>
    <w:rsid w:val="00B372C0"/>
    <w:rsid w:val="00B409F8"/>
    <w:rsid w:val="00B433CA"/>
    <w:rsid w:val="00B4596E"/>
    <w:rsid w:val="00B45D36"/>
    <w:rsid w:val="00B4670A"/>
    <w:rsid w:val="00B4737F"/>
    <w:rsid w:val="00B50103"/>
    <w:rsid w:val="00B528CD"/>
    <w:rsid w:val="00B53712"/>
    <w:rsid w:val="00B53AAE"/>
    <w:rsid w:val="00B53F92"/>
    <w:rsid w:val="00B547BA"/>
    <w:rsid w:val="00B5504F"/>
    <w:rsid w:val="00B5568B"/>
    <w:rsid w:val="00B561D5"/>
    <w:rsid w:val="00B56C13"/>
    <w:rsid w:val="00B57341"/>
    <w:rsid w:val="00B60252"/>
    <w:rsid w:val="00B605C1"/>
    <w:rsid w:val="00B60DCE"/>
    <w:rsid w:val="00B61AA6"/>
    <w:rsid w:val="00B61E54"/>
    <w:rsid w:val="00B625E9"/>
    <w:rsid w:val="00B62922"/>
    <w:rsid w:val="00B62D50"/>
    <w:rsid w:val="00B6311F"/>
    <w:rsid w:val="00B6355E"/>
    <w:rsid w:val="00B65110"/>
    <w:rsid w:val="00B65ACA"/>
    <w:rsid w:val="00B66882"/>
    <w:rsid w:val="00B67655"/>
    <w:rsid w:val="00B67AD9"/>
    <w:rsid w:val="00B70473"/>
    <w:rsid w:val="00B70722"/>
    <w:rsid w:val="00B70970"/>
    <w:rsid w:val="00B70C5C"/>
    <w:rsid w:val="00B71A86"/>
    <w:rsid w:val="00B7252A"/>
    <w:rsid w:val="00B73E47"/>
    <w:rsid w:val="00B76A07"/>
    <w:rsid w:val="00B76DD8"/>
    <w:rsid w:val="00B7729C"/>
    <w:rsid w:val="00B779E2"/>
    <w:rsid w:val="00B8027C"/>
    <w:rsid w:val="00B8187B"/>
    <w:rsid w:val="00B819B2"/>
    <w:rsid w:val="00B82B7A"/>
    <w:rsid w:val="00B82CD5"/>
    <w:rsid w:val="00B830DE"/>
    <w:rsid w:val="00B8323F"/>
    <w:rsid w:val="00B83D09"/>
    <w:rsid w:val="00B84833"/>
    <w:rsid w:val="00B84EB4"/>
    <w:rsid w:val="00B858AF"/>
    <w:rsid w:val="00B85FE3"/>
    <w:rsid w:val="00B860DF"/>
    <w:rsid w:val="00B86408"/>
    <w:rsid w:val="00B87771"/>
    <w:rsid w:val="00B878B5"/>
    <w:rsid w:val="00B91EAC"/>
    <w:rsid w:val="00B924DA"/>
    <w:rsid w:val="00B92A58"/>
    <w:rsid w:val="00B93265"/>
    <w:rsid w:val="00B93BE1"/>
    <w:rsid w:val="00B95E78"/>
    <w:rsid w:val="00B96825"/>
    <w:rsid w:val="00B96D6F"/>
    <w:rsid w:val="00BA0664"/>
    <w:rsid w:val="00BA0819"/>
    <w:rsid w:val="00BA0A43"/>
    <w:rsid w:val="00BA0B00"/>
    <w:rsid w:val="00BA18BB"/>
    <w:rsid w:val="00BA199B"/>
    <w:rsid w:val="00BA1A29"/>
    <w:rsid w:val="00BA1B0E"/>
    <w:rsid w:val="00BA2163"/>
    <w:rsid w:val="00BA3B8F"/>
    <w:rsid w:val="00BA3CE6"/>
    <w:rsid w:val="00BA3E2D"/>
    <w:rsid w:val="00BA4132"/>
    <w:rsid w:val="00BA48EF"/>
    <w:rsid w:val="00BA50F9"/>
    <w:rsid w:val="00BA5812"/>
    <w:rsid w:val="00BA6535"/>
    <w:rsid w:val="00BA67D1"/>
    <w:rsid w:val="00BA6EBA"/>
    <w:rsid w:val="00BA6F47"/>
    <w:rsid w:val="00BA73DA"/>
    <w:rsid w:val="00BB0804"/>
    <w:rsid w:val="00BB1420"/>
    <w:rsid w:val="00BB18E1"/>
    <w:rsid w:val="00BB1D90"/>
    <w:rsid w:val="00BB1DF9"/>
    <w:rsid w:val="00BB2348"/>
    <w:rsid w:val="00BB2ABA"/>
    <w:rsid w:val="00BB3176"/>
    <w:rsid w:val="00BB3950"/>
    <w:rsid w:val="00BB4A4A"/>
    <w:rsid w:val="00BB5A5C"/>
    <w:rsid w:val="00BB5E34"/>
    <w:rsid w:val="00BB5F32"/>
    <w:rsid w:val="00BB6B36"/>
    <w:rsid w:val="00BB6DBD"/>
    <w:rsid w:val="00BC00AC"/>
    <w:rsid w:val="00BC065A"/>
    <w:rsid w:val="00BC0B24"/>
    <w:rsid w:val="00BC0EED"/>
    <w:rsid w:val="00BC1441"/>
    <w:rsid w:val="00BC1F84"/>
    <w:rsid w:val="00BC3298"/>
    <w:rsid w:val="00BC3697"/>
    <w:rsid w:val="00BC3D1F"/>
    <w:rsid w:val="00BC435A"/>
    <w:rsid w:val="00BC4415"/>
    <w:rsid w:val="00BC61B0"/>
    <w:rsid w:val="00BC621B"/>
    <w:rsid w:val="00BC6A16"/>
    <w:rsid w:val="00BC6FA6"/>
    <w:rsid w:val="00BD14B9"/>
    <w:rsid w:val="00BD2268"/>
    <w:rsid w:val="00BD27EF"/>
    <w:rsid w:val="00BD2B28"/>
    <w:rsid w:val="00BD2D3A"/>
    <w:rsid w:val="00BD3A25"/>
    <w:rsid w:val="00BD3DB8"/>
    <w:rsid w:val="00BD3FD0"/>
    <w:rsid w:val="00BD4532"/>
    <w:rsid w:val="00BD4D46"/>
    <w:rsid w:val="00BD554E"/>
    <w:rsid w:val="00BD635B"/>
    <w:rsid w:val="00BD6C26"/>
    <w:rsid w:val="00BD6F12"/>
    <w:rsid w:val="00BD71C5"/>
    <w:rsid w:val="00BD7483"/>
    <w:rsid w:val="00BD7731"/>
    <w:rsid w:val="00BD7B24"/>
    <w:rsid w:val="00BD7B5B"/>
    <w:rsid w:val="00BE05CB"/>
    <w:rsid w:val="00BE08C5"/>
    <w:rsid w:val="00BE0A13"/>
    <w:rsid w:val="00BE1605"/>
    <w:rsid w:val="00BE16C9"/>
    <w:rsid w:val="00BE27B6"/>
    <w:rsid w:val="00BE2A5E"/>
    <w:rsid w:val="00BE2E25"/>
    <w:rsid w:val="00BE37A2"/>
    <w:rsid w:val="00BE41CD"/>
    <w:rsid w:val="00BE4636"/>
    <w:rsid w:val="00BE4DDB"/>
    <w:rsid w:val="00BE51A1"/>
    <w:rsid w:val="00BE5F6B"/>
    <w:rsid w:val="00BE62B3"/>
    <w:rsid w:val="00BE6610"/>
    <w:rsid w:val="00BE674A"/>
    <w:rsid w:val="00BE69AE"/>
    <w:rsid w:val="00BE7243"/>
    <w:rsid w:val="00BE7755"/>
    <w:rsid w:val="00BF1894"/>
    <w:rsid w:val="00BF1B38"/>
    <w:rsid w:val="00BF2313"/>
    <w:rsid w:val="00BF2662"/>
    <w:rsid w:val="00BF3016"/>
    <w:rsid w:val="00BF3DEA"/>
    <w:rsid w:val="00BF40E0"/>
    <w:rsid w:val="00BF44A6"/>
    <w:rsid w:val="00BF4628"/>
    <w:rsid w:val="00BF4C7A"/>
    <w:rsid w:val="00BF5136"/>
    <w:rsid w:val="00BF513D"/>
    <w:rsid w:val="00BF57BC"/>
    <w:rsid w:val="00BF5E12"/>
    <w:rsid w:val="00BF6B51"/>
    <w:rsid w:val="00BF759D"/>
    <w:rsid w:val="00BF7C20"/>
    <w:rsid w:val="00C00A6D"/>
    <w:rsid w:val="00C01333"/>
    <w:rsid w:val="00C013DF"/>
    <w:rsid w:val="00C01DB5"/>
    <w:rsid w:val="00C02B2D"/>
    <w:rsid w:val="00C02BB6"/>
    <w:rsid w:val="00C02C73"/>
    <w:rsid w:val="00C03971"/>
    <w:rsid w:val="00C0463C"/>
    <w:rsid w:val="00C0482A"/>
    <w:rsid w:val="00C048F0"/>
    <w:rsid w:val="00C04FC3"/>
    <w:rsid w:val="00C050C7"/>
    <w:rsid w:val="00C05CB6"/>
    <w:rsid w:val="00C06F84"/>
    <w:rsid w:val="00C07196"/>
    <w:rsid w:val="00C07AEE"/>
    <w:rsid w:val="00C07D38"/>
    <w:rsid w:val="00C103C2"/>
    <w:rsid w:val="00C10714"/>
    <w:rsid w:val="00C11EE2"/>
    <w:rsid w:val="00C12A62"/>
    <w:rsid w:val="00C1384A"/>
    <w:rsid w:val="00C139C4"/>
    <w:rsid w:val="00C165E6"/>
    <w:rsid w:val="00C16F30"/>
    <w:rsid w:val="00C17AD3"/>
    <w:rsid w:val="00C17AFC"/>
    <w:rsid w:val="00C2125E"/>
    <w:rsid w:val="00C218FA"/>
    <w:rsid w:val="00C21D5D"/>
    <w:rsid w:val="00C226D0"/>
    <w:rsid w:val="00C2290F"/>
    <w:rsid w:val="00C22A22"/>
    <w:rsid w:val="00C233CC"/>
    <w:rsid w:val="00C240E7"/>
    <w:rsid w:val="00C246FF"/>
    <w:rsid w:val="00C24969"/>
    <w:rsid w:val="00C24E7B"/>
    <w:rsid w:val="00C25EAC"/>
    <w:rsid w:val="00C27123"/>
    <w:rsid w:val="00C27556"/>
    <w:rsid w:val="00C27811"/>
    <w:rsid w:val="00C30887"/>
    <w:rsid w:val="00C30ECF"/>
    <w:rsid w:val="00C31DC4"/>
    <w:rsid w:val="00C31F14"/>
    <w:rsid w:val="00C333F9"/>
    <w:rsid w:val="00C346F0"/>
    <w:rsid w:val="00C35143"/>
    <w:rsid w:val="00C35383"/>
    <w:rsid w:val="00C35936"/>
    <w:rsid w:val="00C36C94"/>
    <w:rsid w:val="00C36E5D"/>
    <w:rsid w:val="00C407CB"/>
    <w:rsid w:val="00C40880"/>
    <w:rsid w:val="00C40EBD"/>
    <w:rsid w:val="00C41509"/>
    <w:rsid w:val="00C41726"/>
    <w:rsid w:val="00C41E73"/>
    <w:rsid w:val="00C42026"/>
    <w:rsid w:val="00C4229A"/>
    <w:rsid w:val="00C42495"/>
    <w:rsid w:val="00C426ED"/>
    <w:rsid w:val="00C4391F"/>
    <w:rsid w:val="00C43C05"/>
    <w:rsid w:val="00C44B23"/>
    <w:rsid w:val="00C44B5C"/>
    <w:rsid w:val="00C45291"/>
    <w:rsid w:val="00C45C06"/>
    <w:rsid w:val="00C45F1A"/>
    <w:rsid w:val="00C46192"/>
    <w:rsid w:val="00C46537"/>
    <w:rsid w:val="00C47F61"/>
    <w:rsid w:val="00C5190F"/>
    <w:rsid w:val="00C51C81"/>
    <w:rsid w:val="00C51E94"/>
    <w:rsid w:val="00C52197"/>
    <w:rsid w:val="00C53962"/>
    <w:rsid w:val="00C54187"/>
    <w:rsid w:val="00C545C9"/>
    <w:rsid w:val="00C54BAA"/>
    <w:rsid w:val="00C55DE2"/>
    <w:rsid w:val="00C5630F"/>
    <w:rsid w:val="00C565CD"/>
    <w:rsid w:val="00C5693F"/>
    <w:rsid w:val="00C57D1F"/>
    <w:rsid w:val="00C606C9"/>
    <w:rsid w:val="00C61451"/>
    <w:rsid w:val="00C61854"/>
    <w:rsid w:val="00C61FDC"/>
    <w:rsid w:val="00C62156"/>
    <w:rsid w:val="00C626A2"/>
    <w:rsid w:val="00C62A7D"/>
    <w:rsid w:val="00C63093"/>
    <w:rsid w:val="00C63481"/>
    <w:rsid w:val="00C6378F"/>
    <w:rsid w:val="00C6380F"/>
    <w:rsid w:val="00C63DDB"/>
    <w:rsid w:val="00C64AEA"/>
    <w:rsid w:val="00C64DE2"/>
    <w:rsid w:val="00C64DE9"/>
    <w:rsid w:val="00C6548B"/>
    <w:rsid w:val="00C65565"/>
    <w:rsid w:val="00C66557"/>
    <w:rsid w:val="00C671A6"/>
    <w:rsid w:val="00C67262"/>
    <w:rsid w:val="00C67B36"/>
    <w:rsid w:val="00C67CDC"/>
    <w:rsid w:val="00C7042B"/>
    <w:rsid w:val="00C7107E"/>
    <w:rsid w:val="00C71D57"/>
    <w:rsid w:val="00C71E88"/>
    <w:rsid w:val="00C71ED6"/>
    <w:rsid w:val="00C72540"/>
    <w:rsid w:val="00C726A0"/>
    <w:rsid w:val="00C73364"/>
    <w:rsid w:val="00C73890"/>
    <w:rsid w:val="00C76099"/>
    <w:rsid w:val="00C76409"/>
    <w:rsid w:val="00C76418"/>
    <w:rsid w:val="00C77894"/>
    <w:rsid w:val="00C80D5A"/>
    <w:rsid w:val="00C81351"/>
    <w:rsid w:val="00C81D88"/>
    <w:rsid w:val="00C8295C"/>
    <w:rsid w:val="00C8372F"/>
    <w:rsid w:val="00C83D5C"/>
    <w:rsid w:val="00C83E1E"/>
    <w:rsid w:val="00C865F0"/>
    <w:rsid w:val="00C86E7D"/>
    <w:rsid w:val="00C86E83"/>
    <w:rsid w:val="00C90122"/>
    <w:rsid w:val="00C91246"/>
    <w:rsid w:val="00C9198F"/>
    <w:rsid w:val="00C91A70"/>
    <w:rsid w:val="00C92CDE"/>
    <w:rsid w:val="00C95340"/>
    <w:rsid w:val="00C95ED2"/>
    <w:rsid w:val="00C97525"/>
    <w:rsid w:val="00C975FF"/>
    <w:rsid w:val="00C97A00"/>
    <w:rsid w:val="00C97BFC"/>
    <w:rsid w:val="00CA083D"/>
    <w:rsid w:val="00CA0BFA"/>
    <w:rsid w:val="00CA171A"/>
    <w:rsid w:val="00CA19B5"/>
    <w:rsid w:val="00CA2C98"/>
    <w:rsid w:val="00CA30B6"/>
    <w:rsid w:val="00CA3362"/>
    <w:rsid w:val="00CA3B51"/>
    <w:rsid w:val="00CA4803"/>
    <w:rsid w:val="00CA4DBB"/>
    <w:rsid w:val="00CA5363"/>
    <w:rsid w:val="00CA6339"/>
    <w:rsid w:val="00CA6A78"/>
    <w:rsid w:val="00CA79AE"/>
    <w:rsid w:val="00CA7A2F"/>
    <w:rsid w:val="00CB0DCD"/>
    <w:rsid w:val="00CB127A"/>
    <w:rsid w:val="00CB1987"/>
    <w:rsid w:val="00CB23C4"/>
    <w:rsid w:val="00CB23D3"/>
    <w:rsid w:val="00CB2A11"/>
    <w:rsid w:val="00CB2F43"/>
    <w:rsid w:val="00CB335C"/>
    <w:rsid w:val="00CB39FA"/>
    <w:rsid w:val="00CB4163"/>
    <w:rsid w:val="00CB4529"/>
    <w:rsid w:val="00CB4C96"/>
    <w:rsid w:val="00CB5148"/>
    <w:rsid w:val="00CB6917"/>
    <w:rsid w:val="00CB6ADB"/>
    <w:rsid w:val="00CC0AAF"/>
    <w:rsid w:val="00CC0AFB"/>
    <w:rsid w:val="00CC1352"/>
    <w:rsid w:val="00CC3EC5"/>
    <w:rsid w:val="00CC41CD"/>
    <w:rsid w:val="00CC46BA"/>
    <w:rsid w:val="00CC56C1"/>
    <w:rsid w:val="00CC56DD"/>
    <w:rsid w:val="00CC574E"/>
    <w:rsid w:val="00CC587E"/>
    <w:rsid w:val="00CC64AE"/>
    <w:rsid w:val="00CC698F"/>
    <w:rsid w:val="00CC7074"/>
    <w:rsid w:val="00CC7315"/>
    <w:rsid w:val="00CC7E9D"/>
    <w:rsid w:val="00CD0E33"/>
    <w:rsid w:val="00CD0F9E"/>
    <w:rsid w:val="00CD1D1E"/>
    <w:rsid w:val="00CD2452"/>
    <w:rsid w:val="00CD32D4"/>
    <w:rsid w:val="00CD5417"/>
    <w:rsid w:val="00CE1D62"/>
    <w:rsid w:val="00CE20C4"/>
    <w:rsid w:val="00CE21DA"/>
    <w:rsid w:val="00CE2B95"/>
    <w:rsid w:val="00CE3606"/>
    <w:rsid w:val="00CE3FF5"/>
    <w:rsid w:val="00CE568D"/>
    <w:rsid w:val="00CE5CBA"/>
    <w:rsid w:val="00CE627D"/>
    <w:rsid w:val="00CE6EA0"/>
    <w:rsid w:val="00CF02AF"/>
    <w:rsid w:val="00CF0AB3"/>
    <w:rsid w:val="00CF1284"/>
    <w:rsid w:val="00CF179F"/>
    <w:rsid w:val="00CF1E58"/>
    <w:rsid w:val="00CF2B8F"/>
    <w:rsid w:val="00CF33EA"/>
    <w:rsid w:val="00CF3471"/>
    <w:rsid w:val="00CF3952"/>
    <w:rsid w:val="00CF3DCA"/>
    <w:rsid w:val="00CF41A2"/>
    <w:rsid w:val="00CF453D"/>
    <w:rsid w:val="00CF53A3"/>
    <w:rsid w:val="00CF7F78"/>
    <w:rsid w:val="00D001B9"/>
    <w:rsid w:val="00D00238"/>
    <w:rsid w:val="00D0036E"/>
    <w:rsid w:val="00D00C69"/>
    <w:rsid w:val="00D0251E"/>
    <w:rsid w:val="00D035A6"/>
    <w:rsid w:val="00D04413"/>
    <w:rsid w:val="00D053D9"/>
    <w:rsid w:val="00D05B9B"/>
    <w:rsid w:val="00D05EE2"/>
    <w:rsid w:val="00D05F91"/>
    <w:rsid w:val="00D07143"/>
    <w:rsid w:val="00D075CB"/>
    <w:rsid w:val="00D07BFC"/>
    <w:rsid w:val="00D07E96"/>
    <w:rsid w:val="00D100EC"/>
    <w:rsid w:val="00D11860"/>
    <w:rsid w:val="00D122B1"/>
    <w:rsid w:val="00D12CBE"/>
    <w:rsid w:val="00D137E4"/>
    <w:rsid w:val="00D13829"/>
    <w:rsid w:val="00D13881"/>
    <w:rsid w:val="00D13A0F"/>
    <w:rsid w:val="00D14DF9"/>
    <w:rsid w:val="00D1531E"/>
    <w:rsid w:val="00D15478"/>
    <w:rsid w:val="00D1608E"/>
    <w:rsid w:val="00D16356"/>
    <w:rsid w:val="00D16CC9"/>
    <w:rsid w:val="00D16D5A"/>
    <w:rsid w:val="00D2089E"/>
    <w:rsid w:val="00D2116F"/>
    <w:rsid w:val="00D217A2"/>
    <w:rsid w:val="00D21DBA"/>
    <w:rsid w:val="00D22979"/>
    <w:rsid w:val="00D2322B"/>
    <w:rsid w:val="00D23562"/>
    <w:rsid w:val="00D2423D"/>
    <w:rsid w:val="00D24AC4"/>
    <w:rsid w:val="00D24B6B"/>
    <w:rsid w:val="00D24F8E"/>
    <w:rsid w:val="00D268C0"/>
    <w:rsid w:val="00D26AA4"/>
    <w:rsid w:val="00D26AEE"/>
    <w:rsid w:val="00D26B90"/>
    <w:rsid w:val="00D279A6"/>
    <w:rsid w:val="00D27FE4"/>
    <w:rsid w:val="00D300E8"/>
    <w:rsid w:val="00D30C75"/>
    <w:rsid w:val="00D31FD5"/>
    <w:rsid w:val="00D353E1"/>
    <w:rsid w:val="00D35B1D"/>
    <w:rsid w:val="00D35C37"/>
    <w:rsid w:val="00D364C3"/>
    <w:rsid w:val="00D36B67"/>
    <w:rsid w:val="00D36BB4"/>
    <w:rsid w:val="00D3720D"/>
    <w:rsid w:val="00D40381"/>
    <w:rsid w:val="00D40BFB"/>
    <w:rsid w:val="00D41B8C"/>
    <w:rsid w:val="00D423BD"/>
    <w:rsid w:val="00D429EC"/>
    <w:rsid w:val="00D42B7A"/>
    <w:rsid w:val="00D42C42"/>
    <w:rsid w:val="00D433CC"/>
    <w:rsid w:val="00D437B4"/>
    <w:rsid w:val="00D43DF8"/>
    <w:rsid w:val="00D4480B"/>
    <w:rsid w:val="00D457F9"/>
    <w:rsid w:val="00D46714"/>
    <w:rsid w:val="00D46814"/>
    <w:rsid w:val="00D502E5"/>
    <w:rsid w:val="00D50D5E"/>
    <w:rsid w:val="00D51234"/>
    <w:rsid w:val="00D5141D"/>
    <w:rsid w:val="00D51494"/>
    <w:rsid w:val="00D51849"/>
    <w:rsid w:val="00D51D0E"/>
    <w:rsid w:val="00D526E2"/>
    <w:rsid w:val="00D52AE7"/>
    <w:rsid w:val="00D5551D"/>
    <w:rsid w:val="00D557EA"/>
    <w:rsid w:val="00D5594F"/>
    <w:rsid w:val="00D55D1E"/>
    <w:rsid w:val="00D55D4F"/>
    <w:rsid w:val="00D55D6F"/>
    <w:rsid w:val="00D55E4F"/>
    <w:rsid w:val="00D55E56"/>
    <w:rsid w:val="00D56441"/>
    <w:rsid w:val="00D572E1"/>
    <w:rsid w:val="00D57333"/>
    <w:rsid w:val="00D5771E"/>
    <w:rsid w:val="00D57929"/>
    <w:rsid w:val="00D603C7"/>
    <w:rsid w:val="00D6137C"/>
    <w:rsid w:val="00D63367"/>
    <w:rsid w:val="00D63782"/>
    <w:rsid w:val="00D64CDA"/>
    <w:rsid w:val="00D653F2"/>
    <w:rsid w:val="00D65BFE"/>
    <w:rsid w:val="00D65D5F"/>
    <w:rsid w:val="00D65F41"/>
    <w:rsid w:val="00D67583"/>
    <w:rsid w:val="00D70580"/>
    <w:rsid w:val="00D71524"/>
    <w:rsid w:val="00D7208E"/>
    <w:rsid w:val="00D720BC"/>
    <w:rsid w:val="00D72930"/>
    <w:rsid w:val="00D72DE8"/>
    <w:rsid w:val="00D72EC4"/>
    <w:rsid w:val="00D73422"/>
    <w:rsid w:val="00D73E31"/>
    <w:rsid w:val="00D74561"/>
    <w:rsid w:val="00D748D1"/>
    <w:rsid w:val="00D74DA7"/>
    <w:rsid w:val="00D76C5A"/>
    <w:rsid w:val="00D77380"/>
    <w:rsid w:val="00D802B7"/>
    <w:rsid w:val="00D808C0"/>
    <w:rsid w:val="00D81947"/>
    <w:rsid w:val="00D81C59"/>
    <w:rsid w:val="00D8217B"/>
    <w:rsid w:val="00D82E43"/>
    <w:rsid w:val="00D8315D"/>
    <w:rsid w:val="00D832B8"/>
    <w:rsid w:val="00D835E6"/>
    <w:rsid w:val="00D8426B"/>
    <w:rsid w:val="00D84A56"/>
    <w:rsid w:val="00D854B1"/>
    <w:rsid w:val="00D86A2E"/>
    <w:rsid w:val="00D900AA"/>
    <w:rsid w:val="00D91585"/>
    <w:rsid w:val="00D91C20"/>
    <w:rsid w:val="00D91E85"/>
    <w:rsid w:val="00D92438"/>
    <w:rsid w:val="00D92912"/>
    <w:rsid w:val="00D92B2D"/>
    <w:rsid w:val="00D93231"/>
    <w:rsid w:val="00D94A32"/>
    <w:rsid w:val="00D965BD"/>
    <w:rsid w:val="00D96E2E"/>
    <w:rsid w:val="00D9783F"/>
    <w:rsid w:val="00DA0668"/>
    <w:rsid w:val="00DA075C"/>
    <w:rsid w:val="00DA5DD2"/>
    <w:rsid w:val="00DA63AC"/>
    <w:rsid w:val="00DA6596"/>
    <w:rsid w:val="00DA75C8"/>
    <w:rsid w:val="00DA78B5"/>
    <w:rsid w:val="00DB1AF2"/>
    <w:rsid w:val="00DB1C5F"/>
    <w:rsid w:val="00DB271E"/>
    <w:rsid w:val="00DB29F2"/>
    <w:rsid w:val="00DB37FA"/>
    <w:rsid w:val="00DB3C61"/>
    <w:rsid w:val="00DB5720"/>
    <w:rsid w:val="00DB594B"/>
    <w:rsid w:val="00DB5E57"/>
    <w:rsid w:val="00DB63C6"/>
    <w:rsid w:val="00DB66C2"/>
    <w:rsid w:val="00DB7093"/>
    <w:rsid w:val="00DB7B01"/>
    <w:rsid w:val="00DC045C"/>
    <w:rsid w:val="00DC0ECE"/>
    <w:rsid w:val="00DC0ED9"/>
    <w:rsid w:val="00DC16B9"/>
    <w:rsid w:val="00DC2575"/>
    <w:rsid w:val="00DC35DA"/>
    <w:rsid w:val="00DC3D75"/>
    <w:rsid w:val="00DC459C"/>
    <w:rsid w:val="00DC4EE1"/>
    <w:rsid w:val="00DC6118"/>
    <w:rsid w:val="00DC7518"/>
    <w:rsid w:val="00DC7E36"/>
    <w:rsid w:val="00DC7E3F"/>
    <w:rsid w:val="00DD0162"/>
    <w:rsid w:val="00DD06F6"/>
    <w:rsid w:val="00DD1B65"/>
    <w:rsid w:val="00DD270C"/>
    <w:rsid w:val="00DD2978"/>
    <w:rsid w:val="00DD2BA8"/>
    <w:rsid w:val="00DD3B82"/>
    <w:rsid w:val="00DD3CED"/>
    <w:rsid w:val="00DD406F"/>
    <w:rsid w:val="00DD443A"/>
    <w:rsid w:val="00DD4968"/>
    <w:rsid w:val="00DD5301"/>
    <w:rsid w:val="00DD6586"/>
    <w:rsid w:val="00DD6653"/>
    <w:rsid w:val="00DD6BDF"/>
    <w:rsid w:val="00DD6E44"/>
    <w:rsid w:val="00DD7079"/>
    <w:rsid w:val="00DD7955"/>
    <w:rsid w:val="00DD79BD"/>
    <w:rsid w:val="00DD7D63"/>
    <w:rsid w:val="00DD7ECB"/>
    <w:rsid w:val="00DE0245"/>
    <w:rsid w:val="00DE082B"/>
    <w:rsid w:val="00DE1313"/>
    <w:rsid w:val="00DE1BE0"/>
    <w:rsid w:val="00DE27D2"/>
    <w:rsid w:val="00DE2CDA"/>
    <w:rsid w:val="00DE4B34"/>
    <w:rsid w:val="00DE4D9A"/>
    <w:rsid w:val="00DE5030"/>
    <w:rsid w:val="00DE62E0"/>
    <w:rsid w:val="00DE7062"/>
    <w:rsid w:val="00DF09D5"/>
    <w:rsid w:val="00DF0FBF"/>
    <w:rsid w:val="00DF1404"/>
    <w:rsid w:val="00DF2133"/>
    <w:rsid w:val="00DF227D"/>
    <w:rsid w:val="00DF2DA8"/>
    <w:rsid w:val="00DF4AFF"/>
    <w:rsid w:val="00DF4C77"/>
    <w:rsid w:val="00DF62C6"/>
    <w:rsid w:val="00DF6713"/>
    <w:rsid w:val="00E0119A"/>
    <w:rsid w:val="00E023D0"/>
    <w:rsid w:val="00E05870"/>
    <w:rsid w:val="00E066E4"/>
    <w:rsid w:val="00E06935"/>
    <w:rsid w:val="00E100C0"/>
    <w:rsid w:val="00E14870"/>
    <w:rsid w:val="00E1551B"/>
    <w:rsid w:val="00E15AE3"/>
    <w:rsid w:val="00E15F27"/>
    <w:rsid w:val="00E1638F"/>
    <w:rsid w:val="00E166FC"/>
    <w:rsid w:val="00E1672E"/>
    <w:rsid w:val="00E16DB8"/>
    <w:rsid w:val="00E17871"/>
    <w:rsid w:val="00E205C9"/>
    <w:rsid w:val="00E20F51"/>
    <w:rsid w:val="00E21349"/>
    <w:rsid w:val="00E21AC0"/>
    <w:rsid w:val="00E222D3"/>
    <w:rsid w:val="00E234AE"/>
    <w:rsid w:val="00E236EE"/>
    <w:rsid w:val="00E239CF"/>
    <w:rsid w:val="00E240CE"/>
    <w:rsid w:val="00E24744"/>
    <w:rsid w:val="00E24C52"/>
    <w:rsid w:val="00E25585"/>
    <w:rsid w:val="00E255C4"/>
    <w:rsid w:val="00E25A0C"/>
    <w:rsid w:val="00E25DE6"/>
    <w:rsid w:val="00E2646F"/>
    <w:rsid w:val="00E27700"/>
    <w:rsid w:val="00E312C2"/>
    <w:rsid w:val="00E318AF"/>
    <w:rsid w:val="00E31D84"/>
    <w:rsid w:val="00E32F42"/>
    <w:rsid w:val="00E330D3"/>
    <w:rsid w:val="00E332ED"/>
    <w:rsid w:val="00E33467"/>
    <w:rsid w:val="00E35F11"/>
    <w:rsid w:val="00E36289"/>
    <w:rsid w:val="00E370FA"/>
    <w:rsid w:val="00E379B4"/>
    <w:rsid w:val="00E40212"/>
    <w:rsid w:val="00E403A7"/>
    <w:rsid w:val="00E40F73"/>
    <w:rsid w:val="00E413D6"/>
    <w:rsid w:val="00E41EC6"/>
    <w:rsid w:val="00E4276A"/>
    <w:rsid w:val="00E42F55"/>
    <w:rsid w:val="00E434A1"/>
    <w:rsid w:val="00E4488F"/>
    <w:rsid w:val="00E45BB9"/>
    <w:rsid w:val="00E4643A"/>
    <w:rsid w:val="00E46F5A"/>
    <w:rsid w:val="00E47470"/>
    <w:rsid w:val="00E47F6C"/>
    <w:rsid w:val="00E5090F"/>
    <w:rsid w:val="00E51021"/>
    <w:rsid w:val="00E512CF"/>
    <w:rsid w:val="00E513B6"/>
    <w:rsid w:val="00E5232A"/>
    <w:rsid w:val="00E528CA"/>
    <w:rsid w:val="00E53967"/>
    <w:rsid w:val="00E53CC8"/>
    <w:rsid w:val="00E53F02"/>
    <w:rsid w:val="00E54629"/>
    <w:rsid w:val="00E54FA1"/>
    <w:rsid w:val="00E556AC"/>
    <w:rsid w:val="00E55935"/>
    <w:rsid w:val="00E5596E"/>
    <w:rsid w:val="00E57B18"/>
    <w:rsid w:val="00E601C1"/>
    <w:rsid w:val="00E6083E"/>
    <w:rsid w:val="00E60D2C"/>
    <w:rsid w:val="00E60F10"/>
    <w:rsid w:val="00E60F46"/>
    <w:rsid w:val="00E61472"/>
    <w:rsid w:val="00E61B1A"/>
    <w:rsid w:val="00E6222E"/>
    <w:rsid w:val="00E62693"/>
    <w:rsid w:val="00E63B36"/>
    <w:rsid w:val="00E64DAB"/>
    <w:rsid w:val="00E64F6D"/>
    <w:rsid w:val="00E650C6"/>
    <w:rsid w:val="00E65A4E"/>
    <w:rsid w:val="00E65BC4"/>
    <w:rsid w:val="00E66148"/>
    <w:rsid w:val="00E66752"/>
    <w:rsid w:val="00E6752B"/>
    <w:rsid w:val="00E67A95"/>
    <w:rsid w:val="00E70BC4"/>
    <w:rsid w:val="00E7184B"/>
    <w:rsid w:val="00E71F41"/>
    <w:rsid w:val="00E724B0"/>
    <w:rsid w:val="00E7344F"/>
    <w:rsid w:val="00E7368F"/>
    <w:rsid w:val="00E73846"/>
    <w:rsid w:val="00E73BCB"/>
    <w:rsid w:val="00E744E0"/>
    <w:rsid w:val="00E75480"/>
    <w:rsid w:val="00E75DF7"/>
    <w:rsid w:val="00E76290"/>
    <w:rsid w:val="00E76480"/>
    <w:rsid w:val="00E76831"/>
    <w:rsid w:val="00E76C73"/>
    <w:rsid w:val="00E7728A"/>
    <w:rsid w:val="00E77B32"/>
    <w:rsid w:val="00E77CB2"/>
    <w:rsid w:val="00E80238"/>
    <w:rsid w:val="00E80796"/>
    <w:rsid w:val="00E80D0F"/>
    <w:rsid w:val="00E810A7"/>
    <w:rsid w:val="00E82302"/>
    <w:rsid w:val="00E824BC"/>
    <w:rsid w:val="00E82C80"/>
    <w:rsid w:val="00E83771"/>
    <w:rsid w:val="00E83E43"/>
    <w:rsid w:val="00E844FB"/>
    <w:rsid w:val="00E84AFE"/>
    <w:rsid w:val="00E84F5E"/>
    <w:rsid w:val="00E87260"/>
    <w:rsid w:val="00E87850"/>
    <w:rsid w:val="00E87F67"/>
    <w:rsid w:val="00E902CF"/>
    <w:rsid w:val="00E905CB"/>
    <w:rsid w:val="00E90630"/>
    <w:rsid w:val="00E906B6"/>
    <w:rsid w:val="00E917BD"/>
    <w:rsid w:val="00E9267E"/>
    <w:rsid w:val="00E93CDD"/>
    <w:rsid w:val="00E948CD"/>
    <w:rsid w:val="00E94D18"/>
    <w:rsid w:val="00E95AA8"/>
    <w:rsid w:val="00E95E9A"/>
    <w:rsid w:val="00E96409"/>
    <w:rsid w:val="00E96882"/>
    <w:rsid w:val="00E968DF"/>
    <w:rsid w:val="00E971AF"/>
    <w:rsid w:val="00E97638"/>
    <w:rsid w:val="00E978DB"/>
    <w:rsid w:val="00EA078D"/>
    <w:rsid w:val="00EA0973"/>
    <w:rsid w:val="00EA10CD"/>
    <w:rsid w:val="00EA1398"/>
    <w:rsid w:val="00EA1821"/>
    <w:rsid w:val="00EA366A"/>
    <w:rsid w:val="00EA455C"/>
    <w:rsid w:val="00EA5946"/>
    <w:rsid w:val="00EA5C9D"/>
    <w:rsid w:val="00EA7830"/>
    <w:rsid w:val="00EB040D"/>
    <w:rsid w:val="00EB0BB5"/>
    <w:rsid w:val="00EB1872"/>
    <w:rsid w:val="00EB18D8"/>
    <w:rsid w:val="00EB1F71"/>
    <w:rsid w:val="00EB22C5"/>
    <w:rsid w:val="00EB2C6C"/>
    <w:rsid w:val="00EB4026"/>
    <w:rsid w:val="00EB42E6"/>
    <w:rsid w:val="00EB4B0F"/>
    <w:rsid w:val="00EB59FD"/>
    <w:rsid w:val="00EB69BA"/>
    <w:rsid w:val="00EB7E2E"/>
    <w:rsid w:val="00EC1ADC"/>
    <w:rsid w:val="00EC2DDE"/>
    <w:rsid w:val="00EC44F9"/>
    <w:rsid w:val="00EC4619"/>
    <w:rsid w:val="00EC4877"/>
    <w:rsid w:val="00EC51AE"/>
    <w:rsid w:val="00EC5EA6"/>
    <w:rsid w:val="00EC5FC3"/>
    <w:rsid w:val="00EC6A21"/>
    <w:rsid w:val="00EC6FE1"/>
    <w:rsid w:val="00EC7305"/>
    <w:rsid w:val="00EC7999"/>
    <w:rsid w:val="00EC7B87"/>
    <w:rsid w:val="00ED26C6"/>
    <w:rsid w:val="00ED3256"/>
    <w:rsid w:val="00ED3997"/>
    <w:rsid w:val="00ED556A"/>
    <w:rsid w:val="00ED5726"/>
    <w:rsid w:val="00ED637A"/>
    <w:rsid w:val="00ED696F"/>
    <w:rsid w:val="00EE03BB"/>
    <w:rsid w:val="00EE062E"/>
    <w:rsid w:val="00EE086F"/>
    <w:rsid w:val="00EE0C0E"/>
    <w:rsid w:val="00EE12AF"/>
    <w:rsid w:val="00EE133B"/>
    <w:rsid w:val="00EE3143"/>
    <w:rsid w:val="00EE4107"/>
    <w:rsid w:val="00EE4767"/>
    <w:rsid w:val="00EE499B"/>
    <w:rsid w:val="00EE4F8C"/>
    <w:rsid w:val="00EE558A"/>
    <w:rsid w:val="00EE5B39"/>
    <w:rsid w:val="00EE64D9"/>
    <w:rsid w:val="00EE7BFD"/>
    <w:rsid w:val="00EF03F0"/>
    <w:rsid w:val="00EF2FAA"/>
    <w:rsid w:val="00EF34B2"/>
    <w:rsid w:val="00EF43AE"/>
    <w:rsid w:val="00EF450E"/>
    <w:rsid w:val="00EF4A34"/>
    <w:rsid w:val="00EF6092"/>
    <w:rsid w:val="00EF6561"/>
    <w:rsid w:val="00EF70B6"/>
    <w:rsid w:val="00EF7F39"/>
    <w:rsid w:val="00F00822"/>
    <w:rsid w:val="00F00ECC"/>
    <w:rsid w:val="00F01E30"/>
    <w:rsid w:val="00F01FBF"/>
    <w:rsid w:val="00F02EB5"/>
    <w:rsid w:val="00F02F70"/>
    <w:rsid w:val="00F02F8F"/>
    <w:rsid w:val="00F031E2"/>
    <w:rsid w:val="00F03B66"/>
    <w:rsid w:val="00F04EA6"/>
    <w:rsid w:val="00F05BC7"/>
    <w:rsid w:val="00F06065"/>
    <w:rsid w:val="00F063B0"/>
    <w:rsid w:val="00F06C45"/>
    <w:rsid w:val="00F07350"/>
    <w:rsid w:val="00F07A58"/>
    <w:rsid w:val="00F10E9C"/>
    <w:rsid w:val="00F113B6"/>
    <w:rsid w:val="00F1181B"/>
    <w:rsid w:val="00F118FF"/>
    <w:rsid w:val="00F11AF0"/>
    <w:rsid w:val="00F127FF"/>
    <w:rsid w:val="00F12851"/>
    <w:rsid w:val="00F138E1"/>
    <w:rsid w:val="00F13E1D"/>
    <w:rsid w:val="00F14C6D"/>
    <w:rsid w:val="00F155FF"/>
    <w:rsid w:val="00F156DB"/>
    <w:rsid w:val="00F1570B"/>
    <w:rsid w:val="00F1636D"/>
    <w:rsid w:val="00F16CF1"/>
    <w:rsid w:val="00F17BF2"/>
    <w:rsid w:val="00F17F6E"/>
    <w:rsid w:val="00F200D8"/>
    <w:rsid w:val="00F203FA"/>
    <w:rsid w:val="00F205B6"/>
    <w:rsid w:val="00F20B2E"/>
    <w:rsid w:val="00F216DC"/>
    <w:rsid w:val="00F21B6C"/>
    <w:rsid w:val="00F2249F"/>
    <w:rsid w:val="00F22C8A"/>
    <w:rsid w:val="00F23480"/>
    <w:rsid w:val="00F2407E"/>
    <w:rsid w:val="00F241C3"/>
    <w:rsid w:val="00F25227"/>
    <w:rsid w:val="00F25826"/>
    <w:rsid w:val="00F260F4"/>
    <w:rsid w:val="00F26331"/>
    <w:rsid w:val="00F273F1"/>
    <w:rsid w:val="00F27CBB"/>
    <w:rsid w:val="00F3037A"/>
    <w:rsid w:val="00F3071F"/>
    <w:rsid w:val="00F3208B"/>
    <w:rsid w:val="00F32792"/>
    <w:rsid w:val="00F349AA"/>
    <w:rsid w:val="00F3582D"/>
    <w:rsid w:val="00F36E05"/>
    <w:rsid w:val="00F37861"/>
    <w:rsid w:val="00F378B6"/>
    <w:rsid w:val="00F41637"/>
    <w:rsid w:val="00F4230E"/>
    <w:rsid w:val="00F438DC"/>
    <w:rsid w:val="00F43ADE"/>
    <w:rsid w:val="00F442EB"/>
    <w:rsid w:val="00F44BC0"/>
    <w:rsid w:val="00F44DF2"/>
    <w:rsid w:val="00F45465"/>
    <w:rsid w:val="00F4721A"/>
    <w:rsid w:val="00F47287"/>
    <w:rsid w:val="00F477E1"/>
    <w:rsid w:val="00F47DFB"/>
    <w:rsid w:val="00F509A7"/>
    <w:rsid w:val="00F52AF1"/>
    <w:rsid w:val="00F53779"/>
    <w:rsid w:val="00F54409"/>
    <w:rsid w:val="00F56A04"/>
    <w:rsid w:val="00F57362"/>
    <w:rsid w:val="00F61F84"/>
    <w:rsid w:val="00F65809"/>
    <w:rsid w:val="00F65CFA"/>
    <w:rsid w:val="00F65F76"/>
    <w:rsid w:val="00F662E5"/>
    <w:rsid w:val="00F6750F"/>
    <w:rsid w:val="00F67712"/>
    <w:rsid w:val="00F7090B"/>
    <w:rsid w:val="00F70D83"/>
    <w:rsid w:val="00F7112A"/>
    <w:rsid w:val="00F71CF1"/>
    <w:rsid w:val="00F71DB2"/>
    <w:rsid w:val="00F72F48"/>
    <w:rsid w:val="00F72F6E"/>
    <w:rsid w:val="00F730FB"/>
    <w:rsid w:val="00F741C3"/>
    <w:rsid w:val="00F74370"/>
    <w:rsid w:val="00F747F5"/>
    <w:rsid w:val="00F76AC8"/>
    <w:rsid w:val="00F7724F"/>
    <w:rsid w:val="00F77B18"/>
    <w:rsid w:val="00F803CA"/>
    <w:rsid w:val="00F80B67"/>
    <w:rsid w:val="00F82BAB"/>
    <w:rsid w:val="00F840CD"/>
    <w:rsid w:val="00F8439A"/>
    <w:rsid w:val="00F8581D"/>
    <w:rsid w:val="00F85F7C"/>
    <w:rsid w:val="00F86311"/>
    <w:rsid w:val="00F868FE"/>
    <w:rsid w:val="00F90B2A"/>
    <w:rsid w:val="00F90B99"/>
    <w:rsid w:val="00F9279F"/>
    <w:rsid w:val="00F934DC"/>
    <w:rsid w:val="00F94136"/>
    <w:rsid w:val="00F9434F"/>
    <w:rsid w:val="00F95A2F"/>
    <w:rsid w:val="00F9656F"/>
    <w:rsid w:val="00F97DBA"/>
    <w:rsid w:val="00FA0B23"/>
    <w:rsid w:val="00FA2285"/>
    <w:rsid w:val="00FA2470"/>
    <w:rsid w:val="00FA26E6"/>
    <w:rsid w:val="00FA2741"/>
    <w:rsid w:val="00FA2C41"/>
    <w:rsid w:val="00FA3279"/>
    <w:rsid w:val="00FA32D4"/>
    <w:rsid w:val="00FA43D0"/>
    <w:rsid w:val="00FA4680"/>
    <w:rsid w:val="00FA481D"/>
    <w:rsid w:val="00FA4989"/>
    <w:rsid w:val="00FA53AB"/>
    <w:rsid w:val="00FA5838"/>
    <w:rsid w:val="00FA5C27"/>
    <w:rsid w:val="00FA6878"/>
    <w:rsid w:val="00FA6B3C"/>
    <w:rsid w:val="00FA7293"/>
    <w:rsid w:val="00FA73B9"/>
    <w:rsid w:val="00FA7474"/>
    <w:rsid w:val="00FA765A"/>
    <w:rsid w:val="00FB08C5"/>
    <w:rsid w:val="00FB0B14"/>
    <w:rsid w:val="00FB0FCC"/>
    <w:rsid w:val="00FB163E"/>
    <w:rsid w:val="00FB1F77"/>
    <w:rsid w:val="00FB58E9"/>
    <w:rsid w:val="00FB5FF1"/>
    <w:rsid w:val="00FB6766"/>
    <w:rsid w:val="00FB7261"/>
    <w:rsid w:val="00FB7F8D"/>
    <w:rsid w:val="00FC0209"/>
    <w:rsid w:val="00FC053E"/>
    <w:rsid w:val="00FC057F"/>
    <w:rsid w:val="00FC0627"/>
    <w:rsid w:val="00FC0CAD"/>
    <w:rsid w:val="00FC1525"/>
    <w:rsid w:val="00FC1AF2"/>
    <w:rsid w:val="00FC25B7"/>
    <w:rsid w:val="00FC2D5F"/>
    <w:rsid w:val="00FC366B"/>
    <w:rsid w:val="00FC3997"/>
    <w:rsid w:val="00FC40E9"/>
    <w:rsid w:val="00FC4B4E"/>
    <w:rsid w:val="00FC4BEC"/>
    <w:rsid w:val="00FC5DE4"/>
    <w:rsid w:val="00FC6712"/>
    <w:rsid w:val="00FC68F8"/>
    <w:rsid w:val="00FC79EE"/>
    <w:rsid w:val="00FD06D8"/>
    <w:rsid w:val="00FD0725"/>
    <w:rsid w:val="00FD1D42"/>
    <w:rsid w:val="00FD245E"/>
    <w:rsid w:val="00FD2831"/>
    <w:rsid w:val="00FD36EB"/>
    <w:rsid w:val="00FD3733"/>
    <w:rsid w:val="00FD3A0C"/>
    <w:rsid w:val="00FD3F3C"/>
    <w:rsid w:val="00FD4617"/>
    <w:rsid w:val="00FD49B8"/>
    <w:rsid w:val="00FD518B"/>
    <w:rsid w:val="00FD7299"/>
    <w:rsid w:val="00FD730E"/>
    <w:rsid w:val="00FD7A18"/>
    <w:rsid w:val="00FD7B42"/>
    <w:rsid w:val="00FD7C79"/>
    <w:rsid w:val="00FE0457"/>
    <w:rsid w:val="00FE0CC3"/>
    <w:rsid w:val="00FE12DA"/>
    <w:rsid w:val="00FE2061"/>
    <w:rsid w:val="00FE2744"/>
    <w:rsid w:val="00FE2787"/>
    <w:rsid w:val="00FE38F7"/>
    <w:rsid w:val="00FE44C1"/>
    <w:rsid w:val="00FE4FE2"/>
    <w:rsid w:val="00FE5BB0"/>
    <w:rsid w:val="00FE6340"/>
    <w:rsid w:val="00FE70C0"/>
    <w:rsid w:val="00FE78A5"/>
    <w:rsid w:val="00FF0280"/>
    <w:rsid w:val="00FF03E2"/>
    <w:rsid w:val="00FF0C58"/>
    <w:rsid w:val="00FF0E8A"/>
    <w:rsid w:val="00FF1FD3"/>
    <w:rsid w:val="00FF318A"/>
    <w:rsid w:val="00FF33FA"/>
    <w:rsid w:val="00FF41F4"/>
    <w:rsid w:val="00FF4718"/>
    <w:rsid w:val="00FF478B"/>
    <w:rsid w:val="00FF54EF"/>
    <w:rsid w:val="00FF6D94"/>
    <w:rsid w:val="00FF7889"/>
    <w:rsid w:val="00FF7936"/>
    <w:rsid w:val="00FF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04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3F1"/>
    <w:pPr>
      <w:spacing w:after="100" w:line="400" w:lineRule="exact"/>
      <w:jc w:val="both"/>
    </w:pPr>
    <w:rPr>
      <w:rFonts w:ascii="Century Schoolbook" w:hAnsi="Century Schoolbook"/>
      <w:sz w:val="27"/>
    </w:rPr>
  </w:style>
  <w:style w:type="paragraph" w:styleId="Heading1">
    <w:name w:val="heading 1"/>
    <w:basedOn w:val="Normal"/>
    <w:next w:val="Normal"/>
    <w:qFormat/>
    <w:rsid w:val="00F273F1"/>
    <w:pPr>
      <w:keepNext/>
      <w:spacing w:before="140" w:line="240" w:lineRule="atLeast"/>
      <w:jc w:val="center"/>
      <w:outlineLvl w:val="0"/>
    </w:pPr>
    <w:rPr>
      <w:b/>
      <w:smallCaps/>
    </w:rPr>
  </w:style>
  <w:style w:type="paragraph" w:styleId="Heading2">
    <w:name w:val="heading 2"/>
    <w:basedOn w:val="Normal"/>
    <w:next w:val="Normal"/>
    <w:qFormat/>
    <w:rsid w:val="00F273F1"/>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F273F1"/>
    <w:pPr>
      <w:keepNext/>
      <w:tabs>
        <w:tab w:val="left" w:pos="1584"/>
      </w:tabs>
      <w:spacing w:before="140" w:line="240" w:lineRule="atLeast"/>
      <w:ind w:left="1584" w:hanging="432"/>
      <w:jc w:val="left"/>
      <w:outlineLvl w:val="2"/>
    </w:pPr>
    <w:rPr>
      <w:i/>
    </w:rPr>
  </w:style>
  <w:style w:type="paragraph" w:styleId="Heading4">
    <w:name w:val="heading 4"/>
    <w:basedOn w:val="Normal"/>
    <w:rsid w:val="00F273F1"/>
    <w:pPr>
      <w:keepNext/>
      <w:tabs>
        <w:tab w:val="left" w:pos="2016"/>
      </w:tabs>
      <w:spacing w:before="140" w:line="240" w:lineRule="atLeast"/>
      <w:ind w:left="2016" w:hanging="432"/>
      <w:jc w:val="left"/>
      <w:outlineLvl w:val="3"/>
    </w:pPr>
    <w:rPr>
      <w:i/>
    </w:rPr>
  </w:style>
  <w:style w:type="paragraph" w:styleId="Heading5">
    <w:name w:val="heading 5"/>
    <w:basedOn w:val="Normal"/>
    <w:rsid w:val="00F273F1"/>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F273F1"/>
    <w:pPr>
      <w:ind w:left="720"/>
    </w:pPr>
  </w:style>
  <w:style w:type="paragraph" w:styleId="Footer">
    <w:name w:val="footer"/>
    <w:basedOn w:val="Normal"/>
    <w:qFormat/>
    <w:rsid w:val="00F273F1"/>
    <w:pPr>
      <w:tabs>
        <w:tab w:val="center" w:pos="3960"/>
        <w:tab w:val="right" w:pos="10080"/>
      </w:tabs>
      <w:spacing w:after="0" w:line="240" w:lineRule="auto"/>
      <w:jc w:val="center"/>
    </w:pPr>
    <w:rPr>
      <w:sz w:val="22"/>
    </w:rPr>
  </w:style>
  <w:style w:type="paragraph" w:styleId="Header">
    <w:name w:val="header"/>
    <w:basedOn w:val="Normal"/>
    <w:qFormat/>
    <w:rsid w:val="00F273F1"/>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F273F1"/>
    <w:rPr>
      <w:rFonts w:ascii="Century Schoolbook" w:hAnsi="Century Schoolbook"/>
      <w:b/>
      <w:i w:val="0"/>
      <w:position w:val="4"/>
      <w:sz w:val="27"/>
      <w:vertAlign w:val="superscript"/>
    </w:rPr>
  </w:style>
  <w:style w:type="paragraph" w:styleId="FootnoteText">
    <w:name w:val="footnote text"/>
    <w:basedOn w:val="Normal"/>
    <w:link w:val="FootnoteTextChar"/>
    <w:rsid w:val="00F273F1"/>
    <w:pPr>
      <w:spacing w:line="300" w:lineRule="exact"/>
    </w:pPr>
  </w:style>
  <w:style w:type="paragraph" w:customStyle="1" w:styleId="Title1">
    <w:name w:val="Title1"/>
    <w:basedOn w:val="Normal"/>
    <w:rsid w:val="00F273F1"/>
    <w:pPr>
      <w:tabs>
        <w:tab w:val="left" w:pos="5760"/>
        <w:tab w:val="left" w:pos="6480"/>
      </w:tabs>
      <w:spacing w:line="240" w:lineRule="atLeast"/>
    </w:pPr>
  </w:style>
  <w:style w:type="paragraph" w:customStyle="1" w:styleId="Recommend">
    <w:name w:val="Recommend"/>
    <w:basedOn w:val="Normal"/>
    <w:rsid w:val="00F273F1"/>
  </w:style>
  <w:style w:type="paragraph" w:customStyle="1" w:styleId="Summary">
    <w:name w:val="Summary"/>
    <w:basedOn w:val="Normal"/>
    <w:rsid w:val="00F273F1"/>
    <w:pPr>
      <w:ind w:left="2160" w:hanging="2160"/>
    </w:pPr>
  </w:style>
  <w:style w:type="paragraph" w:customStyle="1" w:styleId="Text">
    <w:name w:val="Text"/>
    <w:basedOn w:val="Normal"/>
    <w:rsid w:val="00F273F1"/>
    <w:pPr>
      <w:tabs>
        <w:tab w:val="left" w:pos="720"/>
        <w:tab w:val="left" w:pos="1440"/>
        <w:tab w:val="left" w:pos="2160"/>
        <w:tab w:val="center" w:pos="4320"/>
      </w:tabs>
      <w:spacing w:line="480" w:lineRule="atLeast"/>
      <w:ind w:firstLine="540"/>
    </w:pPr>
  </w:style>
  <w:style w:type="paragraph" w:styleId="Date">
    <w:name w:val="Date"/>
    <w:basedOn w:val="Normal"/>
    <w:semiHidden/>
    <w:rsid w:val="00F273F1"/>
    <w:pPr>
      <w:jc w:val="right"/>
    </w:pPr>
  </w:style>
  <w:style w:type="character" w:styleId="PageNumber">
    <w:name w:val="page number"/>
    <w:basedOn w:val="DefaultParagraphFont"/>
    <w:semiHidden/>
    <w:rsid w:val="00F273F1"/>
  </w:style>
  <w:style w:type="paragraph" w:customStyle="1" w:styleId="subject">
    <w:name w:val="subject"/>
    <w:basedOn w:val="Normal"/>
    <w:rsid w:val="00F273F1"/>
    <w:pPr>
      <w:tabs>
        <w:tab w:val="left" w:pos="1008"/>
      </w:tabs>
      <w:ind w:left="990" w:hanging="990"/>
    </w:pPr>
    <w:rPr>
      <w:b/>
    </w:rPr>
  </w:style>
  <w:style w:type="paragraph" w:customStyle="1" w:styleId="Titles">
    <w:name w:val="Titles"/>
    <w:basedOn w:val="Normal"/>
    <w:rsid w:val="00F273F1"/>
    <w:pPr>
      <w:tabs>
        <w:tab w:val="left" w:pos="2160"/>
      </w:tabs>
      <w:ind w:left="2160" w:hanging="2160"/>
    </w:pPr>
    <w:rPr>
      <w:b/>
    </w:rPr>
  </w:style>
  <w:style w:type="paragraph" w:styleId="TOAHeading">
    <w:name w:val="toa heading"/>
    <w:basedOn w:val="Normal"/>
    <w:next w:val="Normal"/>
    <w:semiHidden/>
    <w:rsid w:val="00F273F1"/>
    <w:pPr>
      <w:spacing w:before="120"/>
    </w:pPr>
    <w:rPr>
      <w:b/>
    </w:rPr>
  </w:style>
  <w:style w:type="paragraph" w:styleId="TOC1">
    <w:name w:val="toc 1"/>
    <w:basedOn w:val="Normal"/>
    <w:next w:val="Normal"/>
    <w:autoRedefine/>
    <w:semiHidden/>
    <w:rsid w:val="00F273F1"/>
  </w:style>
  <w:style w:type="paragraph" w:styleId="TOC2">
    <w:name w:val="toc 2"/>
    <w:basedOn w:val="Normal"/>
    <w:next w:val="Normal"/>
    <w:autoRedefine/>
    <w:semiHidden/>
    <w:rsid w:val="00F273F1"/>
    <w:pPr>
      <w:ind w:left="259"/>
    </w:pPr>
  </w:style>
  <w:style w:type="paragraph" w:styleId="TOC3">
    <w:name w:val="toc 3"/>
    <w:basedOn w:val="Normal"/>
    <w:next w:val="Normal"/>
    <w:autoRedefine/>
    <w:semiHidden/>
    <w:rsid w:val="00F273F1"/>
    <w:pPr>
      <w:ind w:left="520"/>
    </w:pPr>
  </w:style>
  <w:style w:type="paragraph" w:styleId="TOC4">
    <w:name w:val="toc 4"/>
    <w:basedOn w:val="Normal"/>
    <w:next w:val="Normal"/>
    <w:autoRedefine/>
    <w:semiHidden/>
    <w:rsid w:val="00F273F1"/>
    <w:pPr>
      <w:ind w:left="780"/>
    </w:pPr>
  </w:style>
  <w:style w:type="paragraph" w:styleId="TOC5">
    <w:name w:val="toc 5"/>
    <w:basedOn w:val="Normal"/>
    <w:next w:val="Normal"/>
    <w:autoRedefine/>
    <w:semiHidden/>
    <w:rsid w:val="00F273F1"/>
    <w:pPr>
      <w:ind w:left="1040"/>
    </w:pPr>
  </w:style>
  <w:style w:type="paragraph" w:styleId="TOC6">
    <w:name w:val="toc 6"/>
    <w:basedOn w:val="Normal"/>
    <w:next w:val="Normal"/>
    <w:autoRedefine/>
    <w:semiHidden/>
    <w:rsid w:val="00F273F1"/>
    <w:pPr>
      <w:ind w:left="1300"/>
    </w:pPr>
  </w:style>
  <w:style w:type="paragraph" w:styleId="TOC7">
    <w:name w:val="toc 7"/>
    <w:basedOn w:val="Normal"/>
    <w:next w:val="Normal"/>
    <w:autoRedefine/>
    <w:semiHidden/>
    <w:rsid w:val="00F273F1"/>
    <w:pPr>
      <w:ind w:left="1560"/>
    </w:pPr>
  </w:style>
  <w:style w:type="paragraph" w:styleId="TOC8">
    <w:name w:val="toc 8"/>
    <w:basedOn w:val="Normal"/>
    <w:next w:val="Normal"/>
    <w:autoRedefine/>
    <w:semiHidden/>
    <w:rsid w:val="00F273F1"/>
    <w:pPr>
      <w:ind w:left="1820"/>
    </w:pPr>
  </w:style>
  <w:style w:type="paragraph" w:styleId="TOC9">
    <w:name w:val="toc 9"/>
    <w:basedOn w:val="Normal"/>
    <w:next w:val="Normal"/>
    <w:autoRedefine/>
    <w:semiHidden/>
    <w:rsid w:val="00F273F1"/>
    <w:pPr>
      <w:ind w:left="2080"/>
    </w:pPr>
  </w:style>
  <w:style w:type="paragraph" w:customStyle="1" w:styleId="Contents">
    <w:name w:val="Contents"/>
    <w:basedOn w:val="Normal"/>
    <w:rsid w:val="00F273F1"/>
    <w:pPr>
      <w:jc w:val="center"/>
    </w:pPr>
    <w:rPr>
      <w:b/>
      <w:spacing w:val="100"/>
    </w:rPr>
  </w:style>
  <w:style w:type="paragraph" w:styleId="ListParagraph">
    <w:name w:val="List Paragraph"/>
    <w:basedOn w:val="Normal"/>
    <w:uiPriority w:val="34"/>
    <w:qFormat/>
    <w:rsid w:val="007324C1"/>
    <w:pPr>
      <w:ind w:left="720"/>
      <w:contextualSpacing/>
    </w:pPr>
  </w:style>
  <w:style w:type="character" w:styleId="Emphasis">
    <w:name w:val="Emphasis"/>
    <w:basedOn w:val="DefaultParagraphFont"/>
    <w:uiPriority w:val="20"/>
    <w:qFormat/>
    <w:rsid w:val="00AB047A"/>
    <w:rPr>
      <w:i/>
      <w:iCs/>
    </w:rPr>
  </w:style>
  <w:style w:type="character" w:customStyle="1" w:styleId="costarpage">
    <w:name w:val="co_starpage"/>
    <w:basedOn w:val="DefaultParagraphFont"/>
    <w:rsid w:val="00AB047A"/>
  </w:style>
  <w:style w:type="character" w:styleId="Hyperlink">
    <w:name w:val="Hyperlink"/>
    <w:basedOn w:val="DefaultParagraphFont"/>
    <w:uiPriority w:val="99"/>
    <w:unhideWhenUsed/>
    <w:rsid w:val="008E7886"/>
    <w:rPr>
      <w:color w:val="0000FF" w:themeColor="hyperlink"/>
      <w:u w:val="single"/>
    </w:rPr>
  </w:style>
  <w:style w:type="character" w:styleId="UnresolvedMention">
    <w:name w:val="Unresolved Mention"/>
    <w:basedOn w:val="DefaultParagraphFont"/>
    <w:uiPriority w:val="99"/>
    <w:semiHidden/>
    <w:unhideWhenUsed/>
    <w:rsid w:val="008E7886"/>
    <w:rPr>
      <w:color w:val="605E5C"/>
      <w:shd w:val="clear" w:color="auto" w:fill="E1DFDD"/>
    </w:rPr>
  </w:style>
  <w:style w:type="paragraph" w:styleId="BalloonText">
    <w:name w:val="Balloon Text"/>
    <w:basedOn w:val="Normal"/>
    <w:link w:val="BalloonTextChar"/>
    <w:uiPriority w:val="99"/>
    <w:semiHidden/>
    <w:unhideWhenUsed/>
    <w:rsid w:val="0059168C"/>
    <w:rPr>
      <w:sz w:val="18"/>
      <w:szCs w:val="18"/>
    </w:rPr>
  </w:style>
  <w:style w:type="character" w:customStyle="1" w:styleId="BalloonTextChar">
    <w:name w:val="Balloon Text Char"/>
    <w:basedOn w:val="DefaultParagraphFont"/>
    <w:link w:val="BalloonText"/>
    <w:uiPriority w:val="99"/>
    <w:semiHidden/>
    <w:rsid w:val="0059168C"/>
    <w:rPr>
      <w:sz w:val="18"/>
      <w:szCs w:val="18"/>
    </w:rPr>
  </w:style>
  <w:style w:type="character" w:styleId="FollowedHyperlink">
    <w:name w:val="FollowedHyperlink"/>
    <w:basedOn w:val="DefaultParagraphFont"/>
    <w:uiPriority w:val="99"/>
    <w:semiHidden/>
    <w:unhideWhenUsed/>
    <w:rsid w:val="004E4D04"/>
    <w:rPr>
      <w:color w:val="800080" w:themeColor="followedHyperlink"/>
      <w:u w:val="single"/>
    </w:rPr>
  </w:style>
  <w:style w:type="character" w:styleId="CommentReference">
    <w:name w:val="annotation reference"/>
    <w:basedOn w:val="DefaultParagraphFont"/>
    <w:uiPriority w:val="99"/>
    <w:semiHidden/>
    <w:unhideWhenUsed/>
    <w:rsid w:val="0014352B"/>
    <w:rPr>
      <w:sz w:val="16"/>
      <w:szCs w:val="16"/>
    </w:rPr>
  </w:style>
  <w:style w:type="paragraph" w:styleId="CommentText">
    <w:name w:val="annotation text"/>
    <w:basedOn w:val="Normal"/>
    <w:link w:val="CommentTextChar"/>
    <w:uiPriority w:val="99"/>
    <w:unhideWhenUsed/>
    <w:rsid w:val="0014352B"/>
    <w:rPr>
      <w:sz w:val="20"/>
    </w:rPr>
  </w:style>
  <w:style w:type="character" w:customStyle="1" w:styleId="CommentTextChar">
    <w:name w:val="Comment Text Char"/>
    <w:basedOn w:val="DefaultParagraphFont"/>
    <w:link w:val="CommentText"/>
    <w:uiPriority w:val="99"/>
    <w:rsid w:val="0014352B"/>
  </w:style>
  <w:style w:type="paragraph" w:styleId="CommentSubject">
    <w:name w:val="annotation subject"/>
    <w:basedOn w:val="CommentText"/>
    <w:next w:val="CommentText"/>
    <w:link w:val="CommentSubjectChar"/>
    <w:uiPriority w:val="99"/>
    <w:semiHidden/>
    <w:unhideWhenUsed/>
    <w:rsid w:val="0014352B"/>
    <w:rPr>
      <w:b/>
      <w:bCs/>
    </w:rPr>
  </w:style>
  <w:style w:type="character" w:customStyle="1" w:styleId="CommentSubjectChar">
    <w:name w:val="Comment Subject Char"/>
    <w:basedOn w:val="CommentTextChar"/>
    <w:link w:val="CommentSubject"/>
    <w:uiPriority w:val="99"/>
    <w:semiHidden/>
    <w:rsid w:val="0014352B"/>
    <w:rPr>
      <w:b/>
      <w:bCs/>
    </w:rPr>
  </w:style>
  <w:style w:type="character" w:customStyle="1" w:styleId="FootnoteTextChar">
    <w:name w:val="Footnote Text Char"/>
    <w:basedOn w:val="DefaultParagraphFont"/>
    <w:link w:val="FootnoteText"/>
    <w:rsid w:val="00C24969"/>
    <w:rPr>
      <w:rFonts w:ascii="Century Schoolbook" w:hAnsi="Century Schoolbook"/>
      <w:sz w:val="27"/>
    </w:rPr>
  </w:style>
  <w:style w:type="paragraph" w:styleId="BodyText">
    <w:name w:val="Body Text"/>
    <w:basedOn w:val="Normal"/>
    <w:link w:val="BodyTextChar"/>
    <w:qFormat/>
    <w:rsid w:val="00F273F1"/>
  </w:style>
  <w:style w:type="character" w:customStyle="1" w:styleId="BodyTextChar">
    <w:name w:val="Body Text Char"/>
    <w:basedOn w:val="DefaultParagraphFont"/>
    <w:link w:val="BodyText"/>
    <w:rsid w:val="00F273F1"/>
    <w:rPr>
      <w:rFonts w:ascii="Century Schoolbook" w:hAnsi="Century Schoolbook"/>
      <w:sz w:val="27"/>
    </w:rPr>
  </w:style>
  <w:style w:type="paragraph" w:styleId="Revision">
    <w:name w:val="Revision"/>
    <w:hidden/>
    <w:uiPriority w:val="99"/>
    <w:semiHidden/>
    <w:rsid w:val="00797ED9"/>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05006">
      <w:bodyDiv w:val="1"/>
      <w:marLeft w:val="0"/>
      <w:marRight w:val="0"/>
      <w:marTop w:val="0"/>
      <w:marBottom w:val="0"/>
      <w:divBdr>
        <w:top w:val="none" w:sz="0" w:space="0" w:color="auto"/>
        <w:left w:val="none" w:sz="0" w:space="0" w:color="auto"/>
        <w:bottom w:val="none" w:sz="0" w:space="0" w:color="auto"/>
        <w:right w:val="none" w:sz="0" w:space="0" w:color="auto"/>
      </w:divBdr>
      <w:divsChild>
        <w:div w:id="655955432">
          <w:marLeft w:val="0"/>
          <w:marRight w:val="0"/>
          <w:marTop w:val="0"/>
          <w:marBottom w:val="0"/>
          <w:divBdr>
            <w:top w:val="none" w:sz="0" w:space="0" w:color="auto"/>
            <w:left w:val="none" w:sz="0" w:space="0" w:color="auto"/>
            <w:bottom w:val="none" w:sz="0" w:space="0" w:color="auto"/>
            <w:right w:val="none" w:sz="0" w:space="0" w:color="auto"/>
          </w:divBdr>
        </w:div>
      </w:divsChild>
    </w:div>
    <w:div w:id="256719750">
      <w:bodyDiv w:val="1"/>
      <w:marLeft w:val="0"/>
      <w:marRight w:val="0"/>
      <w:marTop w:val="0"/>
      <w:marBottom w:val="0"/>
      <w:divBdr>
        <w:top w:val="none" w:sz="0" w:space="0" w:color="auto"/>
        <w:left w:val="none" w:sz="0" w:space="0" w:color="auto"/>
        <w:bottom w:val="none" w:sz="0" w:space="0" w:color="auto"/>
        <w:right w:val="none" w:sz="0" w:space="0" w:color="auto"/>
      </w:divBdr>
    </w:div>
    <w:div w:id="264000425">
      <w:bodyDiv w:val="1"/>
      <w:marLeft w:val="0"/>
      <w:marRight w:val="0"/>
      <w:marTop w:val="0"/>
      <w:marBottom w:val="0"/>
      <w:divBdr>
        <w:top w:val="none" w:sz="0" w:space="0" w:color="auto"/>
        <w:left w:val="none" w:sz="0" w:space="0" w:color="auto"/>
        <w:bottom w:val="none" w:sz="0" w:space="0" w:color="auto"/>
        <w:right w:val="none" w:sz="0" w:space="0" w:color="auto"/>
      </w:divBdr>
    </w:div>
    <w:div w:id="594827696">
      <w:bodyDiv w:val="1"/>
      <w:marLeft w:val="0"/>
      <w:marRight w:val="0"/>
      <w:marTop w:val="0"/>
      <w:marBottom w:val="0"/>
      <w:divBdr>
        <w:top w:val="none" w:sz="0" w:space="0" w:color="auto"/>
        <w:left w:val="none" w:sz="0" w:space="0" w:color="auto"/>
        <w:bottom w:val="none" w:sz="0" w:space="0" w:color="auto"/>
        <w:right w:val="none" w:sz="0" w:space="0" w:color="auto"/>
      </w:divBdr>
      <w:divsChild>
        <w:div w:id="611404779">
          <w:marLeft w:val="0"/>
          <w:marRight w:val="0"/>
          <w:marTop w:val="0"/>
          <w:marBottom w:val="0"/>
          <w:divBdr>
            <w:top w:val="none" w:sz="0" w:space="0" w:color="auto"/>
            <w:left w:val="none" w:sz="0" w:space="0" w:color="auto"/>
            <w:bottom w:val="none" w:sz="0" w:space="0" w:color="auto"/>
            <w:right w:val="none" w:sz="0" w:space="0" w:color="auto"/>
          </w:divBdr>
        </w:div>
      </w:divsChild>
    </w:div>
    <w:div w:id="1029450449">
      <w:bodyDiv w:val="1"/>
      <w:marLeft w:val="0"/>
      <w:marRight w:val="0"/>
      <w:marTop w:val="0"/>
      <w:marBottom w:val="0"/>
      <w:divBdr>
        <w:top w:val="none" w:sz="0" w:space="0" w:color="auto"/>
        <w:left w:val="none" w:sz="0" w:space="0" w:color="auto"/>
        <w:bottom w:val="none" w:sz="0" w:space="0" w:color="auto"/>
        <w:right w:val="none" w:sz="0" w:space="0" w:color="auto"/>
      </w:divBdr>
    </w:div>
    <w:div w:id="1130316499">
      <w:bodyDiv w:val="1"/>
      <w:marLeft w:val="0"/>
      <w:marRight w:val="0"/>
      <w:marTop w:val="0"/>
      <w:marBottom w:val="0"/>
      <w:divBdr>
        <w:top w:val="none" w:sz="0" w:space="0" w:color="auto"/>
        <w:left w:val="none" w:sz="0" w:space="0" w:color="auto"/>
        <w:bottom w:val="none" w:sz="0" w:space="0" w:color="auto"/>
        <w:right w:val="none" w:sz="0" w:space="0" w:color="auto"/>
      </w:divBdr>
    </w:div>
    <w:div w:id="1297371260">
      <w:bodyDiv w:val="1"/>
      <w:marLeft w:val="0"/>
      <w:marRight w:val="0"/>
      <w:marTop w:val="0"/>
      <w:marBottom w:val="0"/>
      <w:divBdr>
        <w:top w:val="none" w:sz="0" w:space="0" w:color="auto"/>
        <w:left w:val="none" w:sz="0" w:space="0" w:color="auto"/>
        <w:bottom w:val="none" w:sz="0" w:space="0" w:color="auto"/>
        <w:right w:val="none" w:sz="0" w:space="0" w:color="auto"/>
      </w:divBdr>
    </w:div>
    <w:div w:id="1600288100">
      <w:bodyDiv w:val="1"/>
      <w:marLeft w:val="0"/>
      <w:marRight w:val="0"/>
      <w:marTop w:val="0"/>
      <w:marBottom w:val="0"/>
      <w:divBdr>
        <w:top w:val="none" w:sz="0" w:space="0" w:color="auto"/>
        <w:left w:val="none" w:sz="0" w:space="0" w:color="auto"/>
        <w:bottom w:val="none" w:sz="0" w:space="0" w:color="auto"/>
        <w:right w:val="none" w:sz="0" w:space="0" w:color="auto"/>
      </w:divBdr>
      <w:divsChild>
        <w:div w:id="987906385">
          <w:marLeft w:val="0"/>
          <w:marRight w:val="0"/>
          <w:marTop w:val="0"/>
          <w:marBottom w:val="0"/>
          <w:divBdr>
            <w:top w:val="none" w:sz="0" w:space="0" w:color="auto"/>
            <w:left w:val="none" w:sz="0" w:space="0" w:color="auto"/>
            <w:bottom w:val="none" w:sz="0" w:space="0" w:color="auto"/>
            <w:right w:val="none" w:sz="0" w:space="0" w:color="auto"/>
          </w:divBdr>
        </w:div>
      </w:divsChild>
    </w:div>
    <w:div w:id="1691251725">
      <w:bodyDiv w:val="1"/>
      <w:marLeft w:val="0"/>
      <w:marRight w:val="0"/>
      <w:marTop w:val="0"/>
      <w:marBottom w:val="0"/>
      <w:divBdr>
        <w:top w:val="none" w:sz="0" w:space="0" w:color="auto"/>
        <w:left w:val="none" w:sz="0" w:space="0" w:color="auto"/>
        <w:bottom w:val="none" w:sz="0" w:space="0" w:color="auto"/>
        <w:right w:val="none" w:sz="0" w:space="0" w:color="auto"/>
      </w:divBdr>
    </w:div>
    <w:div w:id="1883708775">
      <w:bodyDiv w:val="1"/>
      <w:marLeft w:val="0"/>
      <w:marRight w:val="0"/>
      <w:marTop w:val="0"/>
      <w:marBottom w:val="0"/>
      <w:divBdr>
        <w:top w:val="none" w:sz="0" w:space="0" w:color="auto"/>
        <w:left w:val="none" w:sz="0" w:space="0" w:color="auto"/>
        <w:bottom w:val="none" w:sz="0" w:space="0" w:color="auto"/>
        <w:right w:val="none" w:sz="0" w:space="0" w:color="auto"/>
      </w:divBdr>
    </w:div>
    <w:div w:id="212272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71CB1-815C-4D06-B4CC-B1A7258C4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10029</Words>
  <Characters>57418</Characters>
  <Application>Microsoft Office Word</Application>
  <DocSecurity>0</DocSecurity>
  <Lines>478</Lines>
  <Paragraphs>134</Paragraphs>
  <ScaleCrop>false</ScaleCrop>
  <Manager/>
  <Company/>
  <LinksUpToDate>false</LinksUpToDate>
  <CharactersWithSpaces>67313</CharactersWithSpaces>
  <SharedDoc>false</SharedDoc>
  <HyperlinkBase/>
  <HLinks>
    <vt:vector size="30" baseType="variant">
      <vt:variant>
        <vt:i4>6946943</vt:i4>
      </vt:variant>
      <vt:variant>
        <vt:i4>6</vt:i4>
      </vt:variant>
      <vt:variant>
        <vt:i4>0</vt:i4>
      </vt:variant>
      <vt:variant>
        <vt:i4>5</vt:i4>
      </vt:variant>
      <vt:variant>
        <vt:lpwstr>https://www.merriam-webster.com/dictionary/further</vt:lpwstr>
      </vt:variant>
      <vt:variant>
        <vt:lpwstr/>
      </vt:variant>
      <vt:variant>
        <vt:i4>6357117</vt:i4>
      </vt:variant>
      <vt:variant>
        <vt:i4>3</vt:i4>
      </vt:variant>
      <vt:variant>
        <vt:i4>0</vt:i4>
      </vt:variant>
      <vt:variant>
        <vt:i4>5</vt:i4>
      </vt:variant>
      <vt:variant>
        <vt:lpwstr>https://www.merriam-webster.com/dictionary/furtherance</vt:lpwstr>
      </vt:variant>
      <vt:variant>
        <vt:lpwstr/>
      </vt:variant>
      <vt:variant>
        <vt:i4>4849667</vt:i4>
      </vt:variant>
      <vt:variant>
        <vt:i4>0</vt:i4>
      </vt:variant>
      <vt:variant>
        <vt:i4>0</vt:i4>
      </vt:variant>
      <vt:variant>
        <vt:i4>5</vt:i4>
      </vt:variant>
      <vt:variant>
        <vt:lpwstr>https://elections.cdn.sos.ca.gov/sov/2016-general/sov/06-sov-summary.pdf</vt:lpwstr>
      </vt:variant>
      <vt:variant>
        <vt:lpwstr/>
      </vt:variant>
      <vt:variant>
        <vt:i4>5046272</vt:i4>
      </vt:variant>
      <vt:variant>
        <vt:i4>3</vt:i4>
      </vt:variant>
      <vt:variant>
        <vt:i4>0</vt:i4>
      </vt:variant>
      <vt:variant>
        <vt:i4>5</vt:i4>
      </vt:variant>
      <vt:variant>
        <vt:lpwstr>https://www.sos.ca.gov/elections/ballot-measures/initiative-and-referendum-status/eligible-statewide-initiative-measures/</vt:lpwstr>
      </vt:variant>
      <vt:variant>
        <vt:lpwstr/>
      </vt:variant>
      <vt:variant>
        <vt:i4>2359354</vt:i4>
      </vt:variant>
      <vt:variant>
        <vt:i4>0</vt:i4>
      </vt:variant>
      <vt:variant>
        <vt:i4>0</vt:i4>
      </vt:variant>
      <vt:variant>
        <vt:i4>5</vt:i4>
      </vt:variant>
      <vt:variant>
        <vt:lpwstr>https://www.cdcr.ca.gov/regulations/adult-operations/pending-changes-to-department-rules-2/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2020-12-23T18:29:00Z</dcterms:created>
  <dcterms:modified xsi:type="dcterms:W3CDTF">2020-12-23T18:29:00Z</dcterms:modified>
  <cp:category/>
</cp:coreProperties>
</file>