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AD6A" w14:textId="042E9533" w:rsidR="003D403E" w:rsidRPr="003D283D" w:rsidRDefault="007F1BD8" w:rsidP="007F1BD8">
      <w:pPr>
        <w:tabs>
          <w:tab w:val="left" w:pos="1440"/>
          <w:tab w:val="left" w:pos="4680"/>
          <w:tab w:val="center" w:pos="7200"/>
        </w:tabs>
        <w:spacing w:after="0"/>
        <w:jc w:val="center"/>
        <w:rPr>
          <w:sz w:val="36"/>
        </w:rPr>
      </w:pPr>
      <w:bookmarkStart w:id="0" w:name="MarkDocLoc"/>
      <w:bookmarkEnd w:id="0"/>
      <w:r w:rsidRPr="003D283D">
        <w:rPr>
          <w:b/>
          <w:sz w:val="36"/>
        </w:rPr>
        <w:t>IN THE SUPREME COURT OF CALIFORNIA</w:t>
      </w:r>
    </w:p>
    <w:p w14:paraId="0A1E84D8" w14:textId="4FDB189A" w:rsidR="007F1BD8" w:rsidRPr="003D283D" w:rsidRDefault="007F1BD8" w:rsidP="007F1BD8">
      <w:pPr>
        <w:tabs>
          <w:tab w:val="left" w:pos="1440"/>
          <w:tab w:val="left" w:pos="4680"/>
          <w:tab w:val="center" w:pos="7200"/>
        </w:tabs>
        <w:spacing w:after="0"/>
        <w:jc w:val="center"/>
      </w:pPr>
    </w:p>
    <w:p w14:paraId="234BA663" w14:textId="75C96BD0" w:rsidR="007F1BD8" w:rsidRPr="003D283D" w:rsidRDefault="007F1BD8" w:rsidP="007F1BD8">
      <w:pPr>
        <w:tabs>
          <w:tab w:val="left" w:pos="1440"/>
          <w:tab w:val="left" w:pos="4680"/>
          <w:tab w:val="center" w:pos="7200"/>
        </w:tabs>
        <w:spacing w:after="0"/>
        <w:jc w:val="center"/>
      </w:pPr>
      <w:r w:rsidRPr="003D283D">
        <w:t>Conservatorship of the Person of O.B.</w:t>
      </w:r>
    </w:p>
    <w:p w14:paraId="5E7E22A2" w14:textId="77777777" w:rsidR="00F10E8D" w:rsidRPr="003D283D" w:rsidRDefault="00F10E8D" w:rsidP="00F10E8D">
      <w:pPr>
        <w:pBdr>
          <w:bottom w:val="single" w:sz="4" w:space="1" w:color="auto"/>
        </w:pBdr>
        <w:tabs>
          <w:tab w:val="left" w:pos="1440"/>
          <w:tab w:val="left" w:pos="4680"/>
          <w:tab w:val="center" w:pos="7200"/>
        </w:tabs>
        <w:spacing w:after="0"/>
        <w:jc w:val="center"/>
      </w:pPr>
    </w:p>
    <w:p w14:paraId="4ACD5227" w14:textId="77777777" w:rsidR="000C5F26" w:rsidRPr="003D283D" w:rsidRDefault="000C5F26" w:rsidP="00F10E8D">
      <w:pPr>
        <w:tabs>
          <w:tab w:val="left" w:pos="1440"/>
          <w:tab w:val="left" w:pos="4680"/>
          <w:tab w:val="center" w:pos="7200"/>
        </w:tabs>
        <w:spacing w:after="0"/>
      </w:pPr>
    </w:p>
    <w:p w14:paraId="75B1E1C4" w14:textId="00362810" w:rsidR="007F1BD8" w:rsidRPr="003D283D" w:rsidRDefault="007F1BD8" w:rsidP="007F1BD8">
      <w:pPr>
        <w:tabs>
          <w:tab w:val="left" w:pos="1440"/>
          <w:tab w:val="left" w:pos="4680"/>
          <w:tab w:val="center" w:pos="7200"/>
        </w:tabs>
        <w:spacing w:after="0"/>
        <w:jc w:val="center"/>
      </w:pPr>
      <w:r w:rsidRPr="003D283D">
        <w:t>T.B. et al.,</w:t>
      </w:r>
      <w:r w:rsidR="000C5F26" w:rsidRPr="003D283D">
        <w:t xml:space="preserve"> as </w:t>
      </w:r>
      <w:proofErr w:type="spellStart"/>
      <w:r w:rsidR="000C5F26" w:rsidRPr="003D283D">
        <w:t>Co</w:t>
      </w:r>
      <w:r w:rsidR="00A368C2" w:rsidRPr="003D283D">
        <w:t>co</w:t>
      </w:r>
      <w:r w:rsidR="000C5F26" w:rsidRPr="003D283D">
        <w:t>nservators</w:t>
      </w:r>
      <w:proofErr w:type="spellEnd"/>
      <w:r w:rsidR="000C5F26" w:rsidRPr="003D283D">
        <w:t xml:space="preserve">, </w:t>
      </w:r>
      <w:proofErr w:type="gramStart"/>
      <w:r w:rsidR="000C5F26" w:rsidRPr="003D283D">
        <w:t>etc.</w:t>
      </w:r>
      <w:proofErr w:type="gramEnd"/>
      <w:r w:rsidR="000C5F26" w:rsidRPr="003D283D">
        <w:t>,</w:t>
      </w:r>
    </w:p>
    <w:p w14:paraId="4B3A0226" w14:textId="5EEBCDB7" w:rsidR="007F1BD8" w:rsidRPr="003D283D" w:rsidRDefault="007F1BD8" w:rsidP="007F1BD8">
      <w:pPr>
        <w:tabs>
          <w:tab w:val="left" w:pos="1440"/>
          <w:tab w:val="left" w:pos="4680"/>
          <w:tab w:val="center" w:pos="7200"/>
        </w:tabs>
        <w:spacing w:after="0"/>
        <w:jc w:val="center"/>
      </w:pPr>
      <w:r w:rsidRPr="003D283D">
        <w:t>Petitioners and Respondents</w:t>
      </w:r>
      <w:r w:rsidR="000C5F26" w:rsidRPr="003D283D">
        <w:t>,</w:t>
      </w:r>
    </w:p>
    <w:p w14:paraId="3AFC8A1C" w14:textId="3147CE38" w:rsidR="007F1BD8" w:rsidRPr="003D283D" w:rsidRDefault="007F1BD8" w:rsidP="007F1BD8">
      <w:pPr>
        <w:tabs>
          <w:tab w:val="left" w:pos="1440"/>
          <w:tab w:val="left" w:pos="4680"/>
          <w:tab w:val="center" w:pos="7200"/>
        </w:tabs>
        <w:spacing w:after="0"/>
        <w:jc w:val="center"/>
      </w:pPr>
      <w:r w:rsidRPr="003D283D">
        <w:t>v.</w:t>
      </w:r>
    </w:p>
    <w:p w14:paraId="2ABF03A0" w14:textId="4D76922B" w:rsidR="007F1BD8" w:rsidRPr="003D283D" w:rsidRDefault="007F1BD8" w:rsidP="007F1BD8">
      <w:pPr>
        <w:tabs>
          <w:tab w:val="left" w:pos="1440"/>
          <w:tab w:val="left" w:pos="4680"/>
          <w:tab w:val="center" w:pos="7200"/>
        </w:tabs>
        <w:spacing w:after="0"/>
        <w:jc w:val="center"/>
      </w:pPr>
      <w:r w:rsidRPr="003D283D">
        <w:t>O.B.</w:t>
      </w:r>
      <w:r w:rsidR="000C5F26" w:rsidRPr="003D283D">
        <w:t>,</w:t>
      </w:r>
    </w:p>
    <w:p w14:paraId="71891BB4" w14:textId="4CB860EA" w:rsidR="007F1BD8" w:rsidRPr="003D283D" w:rsidRDefault="007F1BD8" w:rsidP="007F1BD8">
      <w:pPr>
        <w:spacing w:after="0"/>
        <w:jc w:val="center"/>
      </w:pPr>
      <w:r w:rsidRPr="003D283D">
        <w:t>Objector and Appellant.</w:t>
      </w:r>
    </w:p>
    <w:p w14:paraId="48690E71" w14:textId="015BE20A" w:rsidR="007F1BD8" w:rsidRPr="003D283D" w:rsidRDefault="007F1BD8" w:rsidP="007F1BD8">
      <w:pPr>
        <w:tabs>
          <w:tab w:val="left" w:pos="1440"/>
          <w:tab w:val="left" w:pos="4680"/>
          <w:tab w:val="center" w:pos="7200"/>
        </w:tabs>
        <w:spacing w:after="0"/>
        <w:jc w:val="center"/>
      </w:pPr>
    </w:p>
    <w:p w14:paraId="3CFB5D12" w14:textId="138BEA09" w:rsidR="007F1BD8" w:rsidRPr="003D283D" w:rsidRDefault="007F1BD8" w:rsidP="007F1BD8">
      <w:pPr>
        <w:tabs>
          <w:tab w:val="left" w:pos="1440"/>
          <w:tab w:val="left" w:pos="4680"/>
          <w:tab w:val="center" w:pos="7200"/>
        </w:tabs>
        <w:spacing w:after="0"/>
        <w:jc w:val="center"/>
      </w:pPr>
      <w:r w:rsidRPr="003D283D">
        <w:t>S254938</w:t>
      </w:r>
    </w:p>
    <w:p w14:paraId="799E248C" w14:textId="42ED016D" w:rsidR="007F1BD8" w:rsidRPr="003D283D" w:rsidRDefault="007F1BD8" w:rsidP="007F1BD8">
      <w:pPr>
        <w:tabs>
          <w:tab w:val="left" w:pos="1440"/>
          <w:tab w:val="left" w:pos="4680"/>
          <w:tab w:val="center" w:pos="7200"/>
        </w:tabs>
        <w:spacing w:after="0"/>
        <w:jc w:val="center"/>
      </w:pPr>
    </w:p>
    <w:p w14:paraId="195C8219" w14:textId="18C86BE7" w:rsidR="007F1BD8" w:rsidRPr="003D283D" w:rsidRDefault="007F1BD8" w:rsidP="007F1BD8">
      <w:pPr>
        <w:tabs>
          <w:tab w:val="left" w:pos="1440"/>
          <w:tab w:val="left" w:pos="4680"/>
          <w:tab w:val="center" w:pos="7200"/>
        </w:tabs>
        <w:spacing w:after="0"/>
        <w:jc w:val="center"/>
      </w:pPr>
      <w:r w:rsidRPr="003D283D">
        <w:t>Second Appellate District, Division Six</w:t>
      </w:r>
    </w:p>
    <w:p w14:paraId="5BE03DCE" w14:textId="58D250D0" w:rsidR="007F1BD8" w:rsidRPr="003D283D" w:rsidRDefault="007F1BD8" w:rsidP="007F1BD8">
      <w:pPr>
        <w:tabs>
          <w:tab w:val="left" w:pos="1440"/>
          <w:tab w:val="left" w:pos="4680"/>
          <w:tab w:val="center" w:pos="7200"/>
        </w:tabs>
        <w:spacing w:after="0"/>
        <w:jc w:val="center"/>
      </w:pPr>
      <w:r w:rsidRPr="003D283D">
        <w:t>B290805</w:t>
      </w:r>
    </w:p>
    <w:p w14:paraId="34F829DE" w14:textId="2F6B0B35" w:rsidR="007F1BD8" w:rsidRPr="003D283D" w:rsidRDefault="007F1BD8" w:rsidP="007F1BD8">
      <w:pPr>
        <w:tabs>
          <w:tab w:val="left" w:pos="1440"/>
          <w:tab w:val="left" w:pos="4680"/>
          <w:tab w:val="center" w:pos="7200"/>
        </w:tabs>
        <w:spacing w:after="0"/>
        <w:jc w:val="center"/>
      </w:pPr>
    </w:p>
    <w:p w14:paraId="3899B6C3" w14:textId="055C85F0" w:rsidR="007F1BD8" w:rsidRPr="003D283D" w:rsidRDefault="007F1BD8" w:rsidP="007F1BD8">
      <w:pPr>
        <w:tabs>
          <w:tab w:val="left" w:pos="1440"/>
          <w:tab w:val="left" w:pos="4680"/>
          <w:tab w:val="center" w:pos="7200"/>
        </w:tabs>
        <w:spacing w:after="0"/>
        <w:jc w:val="center"/>
      </w:pPr>
      <w:r w:rsidRPr="003D283D">
        <w:t>Santa Barbara County</w:t>
      </w:r>
      <w:r w:rsidR="000C5F26" w:rsidRPr="003D283D">
        <w:t xml:space="preserve"> Superior Court</w:t>
      </w:r>
    </w:p>
    <w:p w14:paraId="75F019D4" w14:textId="1773298F" w:rsidR="007F1BD8" w:rsidRPr="003D283D" w:rsidRDefault="007F1BD8" w:rsidP="007F1BD8">
      <w:pPr>
        <w:tabs>
          <w:tab w:val="left" w:pos="1440"/>
          <w:tab w:val="left" w:pos="4680"/>
          <w:tab w:val="center" w:pos="7200"/>
        </w:tabs>
        <w:spacing w:after="0"/>
        <w:jc w:val="center"/>
      </w:pPr>
      <w:r w:rsidRPr="003D283D">
        <w:t>17PR00325</w:t>
      </w:r>
    </w:p>
    <w:p w14:paraId="2C2F36B4" w14:textId="2A5274AE" w:rsidR="007F1BD8" w:rsidRPr="003D283D" w:rsidRDefault="007F1BD8" w:rsidP="007F1BD8">
      <w:pPr>
        <w:pBdr>
          <w:bottom w:val="single" w:sz="4" w:space="1" w:color="auto"/>
        </w:pBdr>
        <w:tabs>
          <w:tab w:val="left" w:pos="1440"/>
          <w:tab w:val="left" w:pos="4680"/>
          <w:tab w:val="center" w:pos="7200"/>
        </w:tabs>
        <w:spacing w:after="0"/>
        <w:jc w:val="center"/>
      </w:pPr>
    </w:p>
    <w:p w14:paraId="3852F028" w14:textId="60D40A2B" w:rsidR="007F1BD8" w:rsidRPr="003D283D" w:rsidRDefault="007F1BD8" w:rsidP="007F1BD8">
      <w:pPr>
        <w:tabs>
          <w:tab w:val="left" w:pos="1440"/>
          <w:tab w:val="left" w:pos="4680"/>
          <w:tab w:val="center" w:pos="7200"/>
        </w:tabs>
        <w:spacing w:after="0"/>
        <w:jc w:val="center"/>
      </w:pPr>
    </w:p>
    <w:p w14:paraId="4196F314" w14:textId="25092C39" w:rsidR="007F1BD8" w:rsidRPr="003D283D" w:rsidRDefault="008F2018" w:rsidP="007F1BD8">
      <w:pPr>
        <w:tabs>
          <w:tab w:val="left" w:pos="1440"/>
          <w:tab w:val="left" w:pos="4680"/>
          <w:tab w:val="center" w:pos="7200"/>
        </w:tabs>
        <w:spacing w:after="0"/>
        <w:jc w:val="center"/>
      </w:pPr>
      <w:r w:rsidRPr="003D283D">
        <w:t>July 2</w:t>
      </w:r>
      <w:r w:rsidR="00555EE5" w:rsidRPr="003D283D">
        <w:t>7</w:t>
      </w:r>
      <w:r w:rsidRPr="003D283D">
        <w:t>,</w:t>
      </w:r>
      <w:r w:rsidR="007F1BD8" w:rsidRPr="003D283D">
        <w:t xml:space="preserve"> 2020</w:t>
      </w:r>
    </w:p>
    <w:p w14:paraId="3F418E1D" w14:textId="50F5BEB5" w:rsidR="007F1BD8" w:rsidRPr="003D283D" w:rsidRDefault="007F1BD8" w:rsidP="007F1BD8">
      <w:pPr>
        <w:tabs>
          <w:tab w:val="left" w:pos="1440"/>
          <w:tab w:val="left" w:pos="4680"/>
          <w:tab w:val="center" w:pos="7200"/>
        </w:tabs>
        <w:spacing w:after="0"/>
        <w:jc w:val="center"/>
      </w:pPr>
    </w:p>
    <w:p w14:paraId="5EC18F67" w14:textId="0E7D0A11" w:rsidR="007F1BD8" w:rsidRPr="003D283D" w:rsidRDefault="007F1BD8" w:rsidP="007F1BD8">
      <w:pPr>
        <w:tabs>
          <w:tab w:val="left" w:pos="1440"/>
          <w:tab w:val="left" w:pos="4680"/>
          <w:tab w:val="center" w:pos="7200"/>
        </w:tabs>
        <w:spacing w:after="0"/>
        <w:jc w:val="left"/>
      </w:pPr>
      <w:r w:rsidRPr="003D283D">
        <w:t xml:space="preserve">Chief Justice Cantil-Sakauye authored the opinion of the Court, in which Justices </w:t>
      </w:r>
      <w:r w:rsidR="008F2018" w:rsidRPr="003D283D">
        <w:t xml:space="preserve">Chin, Corrigan, Liu, Cuéllar, Kruger and Groban </w:t>
      </w:r>
      <w:r w:rsidRPr="003D283D">
        <w:t>concurred.</w:t>
      </w:r>
    </w:p>
    <w:p w14:paraId="65C53F19" w14:textId="77777777" w:rsidR="007F1BD8" w:rsidRPr="003D283D" w:rsidRDefault="007F1BD8" w:rsidP="007F1BD8">
      <w:pPr>
        <w:pBdr>
          <w:bottom w:val="single" w:sz="4" w:space="1" w:color="auto"/>
        </w:pBdr>
        <w:tabs>
          <w:tab w:val="left" w:pos="1440"/>
          <w:tab w:val="left" w:pos="4680"/>
          <w:tab w:val="center" w:pos="7200"/>
        </w:tabs>
        <w:spacing w:line="480" w:lineRule="atLeast"/>
        <w:jc w:val="left"/>
      </w:pPr>
      <w:bookmarkStart w:id="1" w:name="Return"/>
      <w:bookmarkEnd w:id="1"/>
    </w:p>
    <w:p w14:paraId="30B06FF7" w14:textId="77777777" w:rsidR="007F1BD8" w:rsidRPr="003D283D" w:rsidRDefault="007F1BD8">
      <w:pPr>
        <w:tabs>
          <w:tab w:val="left" w:pos="1440"/>
          <w:tab w:val="left" w:pos="4680"/>
          <w:tab w:val="center" w:pos="7200"/>
        </w:tabs>
        <w:spacing w:line="480" w:lineRule="atLeast"/>
        <w:rPr>
          <w:sz w:val="28"/>
        </w:rPr>
        <w:sectPr w:rsidR="007F1BD8" w:rsidRPr="003D283D" w:rsidSect="007F1BD8">
          <w:headerReference w:type="default" r:id="rId8"/>
          <w:footerReference w:type="default" r:id="rId9"/>
          <w:pgSz w:w="12240" w:h="15840"/>
          <w:pgMar w:top="1800" w:right="2160" w:bottom="1440" w:left="2160" w:header="720" w:footer="720" w:gutter="0"/>
          <w:cols w:space="720"/>
          <w:titlePg/>
          <w:docGrid w:linePitch="367"/>
        </w:sectPr>
      </w:pPr>
    </w:p>
    <w:p w14:paraId="512FC52A" w14:textId="48544B04" w:rsidR="007F1BD8" w:rsidRPr="003D283D" w:rsidRDefault="00CD4BC0" w:rsidP="007F1BD8">
      <w:pPr>
        <w:tabs>
          <w:tab w:val="left" w:pos="1440"/>
          <w:tab w:val="left" w:pos="4680"/>
          <w:tab w:val="center" w:pos="7200"/>
        </w:tabs>
        <w:jc w:val="center"/>
      </w:pPr>
      <w:r w:rsidRPr="003D283D">
        <w:lastRenderedPageBreak/>
        <w:t>CONSERVATORSHIP OF</w:t>
      </w:r>
      <w:r w:rsidR="007F1BD8" w:rsidRPr="003D283D">
        <w:t xml:space="preserve"> O.B.</w:t>
      </w:r>
    </w:p>
    <w:p w14:paraId="40311520" w14:textId="5EA282CC" w:rsidR="007F1BD8" w:rsidRPr="003D283D" w:rsidRDefault="007F1BD8" w:rsidP="007F1BD8">
      <w:pPr>
        <w:tabs>
          <w:tab w:val="left" w:pos="1440"/>
          <w:tab w:val="left" w:pos="4680"/>
          <w:tab w:val="center" w:pos="7200"/>
        </w:tabs>
        <w:jc w:val="center"/>
      </w:pPr>
      <w:r w:rsidRPr="003D283D">
        <w:t>S254938</w:t>
      </w:r>
    </w:p>
    <w:p w14:paraId="1B80A401" w14:textId="31207050" w:rsidR="007F1BD8" w:rsidRPr="003D283D" w:rsidRDefault="007F1BD8" w:rsidP="007F1BD8">
      <w:pPr>
        <w:tabs>
          <w:tab w:val="left" w:pos="1440"/>
          <w:tab w:val="left" w:pos="4680"/>
          <w:tab w:val="center" w:pos="7200"/>
        </w:tabs>
        <w:jc w:val="center"/>
      </w:pPr>
    </w:p>
    <w:p w14:paraId="44817E82" w14:textId="2AAAAF7E" w:rsidR="007F1BD8" w:rsidRPr="003D283D" w:rsidRDefault="007F1BD8" w:rsidP="007F1BD8">
      <w:pPr>
        <w:tabs>
          <w:tab w:val="left" w:pos="1440"/>
          <w:tab w:val="left" w:pos="4680"/>
          <w:tab w:val="center" w:pos="7200"/>
        </w:tabs>
        <w:jc w:val="center"/>
      </w:pPr>
      <w:r w:rsidRPr="003D283D">
        <w:t>Opinion of the Court by Cantil-Sakauye, C. J.</w:t>
      </w:r>
    </w:p>
    <w:p w14:paraId="711B3F66" w14:textId="77777777" w:rsidR="007F1BD8" w:rsidRPr="003D283D" w:rsidRDefault="007F1BD8" w:rsidP="007F1BD8">
      <w:pPr>
        <w:tabs>
          <w:tab w:val="left" w:pos="1440"/>
          <w:tab w:val="left" w:pos="4680"/>
          <w:tab w:val="center" w:pos="7200"/>
        </w:tabs>
        <w:jc w:val="center"/>
      </w:pPr>
    </w:p>
    <w:p w14:paraId="45796F3A" w14:textId="61C63223" w:rsidR="00062DB8" w:rsidRPr="003D283D" w:rsidRDefault="00062DB8" w:rsidP="007F1BD8">
      <w:pPr>
        <w:ind w:firstLine="720"/>
        <w:rPr>
          <w:szCs w:val="26"/>
        </w:rPr>
      </w:pPr>
      <w:bookmarkStart w:id="2" w:name="mainstory"/>
      <w:bookmarkEnd w:id="2"/>
      <w:r w:rsidRPr="003D283D">
        <w:rPr>
          <w:szCs w:val="26"/>
        </w:rPr>
        <w:t xml:space="preserve">Measured by the certainty </w:t>
      </w:r>
      <w:r w:rsidR="00DE4089" w:rsidRPr="003D283D">
        <w:rPr>
          <w:szCs w:val="26"/>
        </w:rPr>
        <w:t xml:space="preserve">each </w:t>
      </w:r>
      <w:r w:rsidR="00FB7464" w:rsidRPr="003D283D">
        <w:rPr>
          <w:szCs w:val="26"/>
        </w:rPr>
        <w:t>demands</w:t>
      </w:r>
      <w:r w:rsidRPr="003D283D">
        <w:rPr>
          <w:szCs w:val="26"/>
        </w:rPr>
        <w:t>, the standard of proof known as clear and convincing evidence</w:t>
      </w:r>
      <w:r w:rsidR="00247F06" w:rsidRPr="003D283D">
        <w:rPr>
          <w:szCs w:val="26"/>
        </w:rPr>
        <w:t xml:space="preserve"> — </w:t>
      </w:r>
      <w:r w:rsidR="00C24797" w:rsidRPr="003D283D">
        <w:rPr>
          <w:szCs w:val="26"/>
        </w:rPr>
        <w:t xml:space="preserve">which requires </w:t>
      </w:r>
      <w:r w:rsidR="00581897" w:rsidRPr="003D283D">
        <w:rPr>
          <w:szCs w:val="26"/>
        </w:rPr>
        <w:t>proof making the existence of a</w:t>
      </w:r>
      <w:r w:rsidR="00F4711F" w:rsidRPr="003D283D">
        <w:rPr>
          <w:szCs w:val="26"/>
        </w:rPr>
        <w:t xml:space="preserve"> fact highly probable</w:t>
      </w:r>
      <w:r w:rsidR="00D7666B" w:rsidRPr="003D283D">
        <w:rPr>
          <w:szCs w:val="26"/>
        </w:rPr>
        <w:t xml:space="preserve"> </w:t>
      </w:r>
      <w:r w:rsidR="00247F06" w:rsidRPr="003D283D">
        <w:rPr>
          <w:szCs w:val="26"/>
        </w:rPr>
        <w:t>—</w:t>
      </w:r>
      <w:r w:rsidRPr="003D283D">
        <w:rPr>
          <w:szCs w:val="26"/>
        </w:rPr>
        <w:t xml:space="preserve"> falls between the “more likely than not” </w:t>
      </w:r>
      <w:r w:rsidR="006A284F" w:rsidRPr="003D283D">
        <w:rPr>
          <w:szCs w:val="26"/>
        </w:rPr>
        <w:t>standard</w:t>
      </w:r>
      <w:r w:rsidRPr="003D283D">
        <w:rPr>
          <w:szCs w:val="26"/>
        </w:rPr>
        <w:t xml:space="preserve"> commonly referred to as a preponderance of the evidence and the more </w:t>
      </w:r>
      <w:r w:rsidR="00DE63DC" w:rsidRPr="003D283D">
        <w:rPr>
          <w:szCs w:val="26"/>
        </w:rPr>
        <w:t>rigorous</w:t>
      </w:r>
      <w:r w:rsidRPr="003D283D">
        <w:rPr>
          <w:szCs w:val="26"/>
        </w:rPr>
        <w:t xml:space="preserve"> </w:t>
      </w:r>
      <w:r w:rsidR="006A284F" w:rsidRPr="003D283D">
        <w:rPr>
          <w:szCs w:val="26"/>
        </w:rPr>
        <w:t>standard</w:t>
      </w:r>
      <w:r w:rsidRPr="003D283D">
        <w:rPr>
          <w:szCs w:val="26"/>
        </w:rPr>
        <w:t xml:space="preserve"> of proof beyond a reasonable doubt.  We granted review in this case to clarify how an appellate court is to review the sufficiency of the evidence associated with a </w:t>
      </w:r>
      <w:r w:rsidR="003E0A3C" w:rsidRPr="003D283D">
        <w:rPr>
          <w:szCs w:val="26"/>
        </w:rPr>
        <w:t>finding</w:t>
      </w:r>
      <w:r w:rsidR="00581897" w:rsidRPr="003D283D">
        <w:rPr>
          <w:szCs w:val="26"/>
        </w:rPr>
        <w:t xml:space="preserve"> </w:t>
      </w:r>
      <w:r w:rsidR="000204AD" w:rsidRPr="003D283D">
        <w:rPr>
          <w:szCs w:val="26"/>
        </w:rPr>
        <w:t xml:space="preserve">made </w:t>
      </w:r>
      <w:r w:rsidR="00581897" w:rsidRPr="003D283D">
        <w:rPr>
          <w:szCs w:val="26"/>
        </w:rPr>
        <w:t xml:space="preserve">by </w:t>
      </w:r>
      <w:r w:rsidR="00244799" w:rsidRPr="003D283D">
        <w:rPr>
          <w:szCs w:val="26"/>
        </w:rPr>
        <w:t>the</w:t>
      </w:r>
      <w:r w:rsidR="003F6377" w:rsidRPr="003D283D">
        <w:rPr>
          <w:szCs w:val="26"/>
        </w:rPr>
        <w:t xml:space="preserve"> </w:t>
      </w:r>
      <w:r w:rsidR="000A6CCD" w:rsidRPr="003D283D">
        <w:rPr>
          <w:szCs w:val="26"/>
        </w:rPr>
        <w:t xml:space="preserve">trier of fact </w:t>
      </w:r>
      <w:r w:rsidR="003F6377" w:rsidRPr="003D283D">
        <w:rPr>
          <w:szCs w:val="26"/>
        </w:rPr>
        <w:t>pursuant to</w:t>
      </w:r>
      <w:r w:rsidR="00581897" w:rsidRPr="003D283D">
        <w:rPr>
          <w:szCs w:val="26"/>
        </w:rPr>
        <w:t xml:space="preserve"> the</w:t>
      </w:r>
      <w:r w:rsidR="0049136A" w:rsidRPr="003D283D">
        <w:rPr>
          <w:szCs w:val="26"/>
        </w:rPr>
        <w:t xml:space="preserve"> clear and convincing </w:t>
      </w:r>
      <w:r w:rsidR="00581897" w:rsidRPr="003D283D">
        <w:rPr>
          <w:szCs w:val="26"/>
        </w:rPr>
        <w:t>standard</w:t>
      </w:r>
      <w:r w:rsidRPr="003D283D">
        <w:rPr>
          <w:szCs w:val="26"/>
        </w:rPr>
        <w:t xml:space="preserve">.  </w:t>
      </w:r>
    </w:p>
    <w:p w14:paraId="3055DD3C" w14:textId="5D14B731" w:rsidR="00895CA5" w:rsidRPr="003D283D" w:rsidRDefault="00062DB8" w:rsidP="007F1BD8">
      <w:pPr>
        <w:ind w:firstLine="720"/>
        <w:rPr>
          <w:szCs w:val="26"/>
        </w:rPr>
      </w:pPr>
      <w:r w:rsidRPr="003D283D">
        <w:rPr>
          <w:szCs w:val="26"/>
        </w:rPr>
        <w:t xml:space="preserve">The issue arises here after the probate court </w:t>
      </w:r>
      <w:r w:rsidR="00E2273E" w:rsidRPr="003D283D">
        <w:rPr>
          <w:szCs w:val="26"/>
        </w:rPr>
        <w:t xml:space="preserve">appointed limited </w:t>
      </w:r>
      <w:proofErr w:type="spellStart"/>
      <w:r w:rsidR="006B5E67" w:rsidRPr="003D283D">
        <w:rPr>
          <w:szCs w:val="26"/>
        </w:rPr>
        <w:t>co</w:t>
      </w:r>
      <w:r w:rsidR="00E2273E" w:rsidRPr="003D283D">
        <w:rPr>
          <w:szCs w:val="26"/>
        </w:rPr>
        <w:t>conservators</w:t>
      </w:r>
      <w:proofErr w:type="spellEnd"/>
      <w:r w:rsidRPr="003D283D">
        <w:rPr>
          <w:szCs w:val="26"/>
        </w:rPr>
        <w:t xml:space="preserve"> </w:t>
      </w:r>
      <w:r w:rsidR="00E67CAB" w:rsidRPr="003D283D">
        <w:rPr>
          <w:szCs w:val="26"/>
        </w:rPr>
        <w:t>for</w:t>
      </w:r>
      <w:r w:rsidRPr="003D283D">
        <w:rPr>
          <w:szCs w:val="26"/>
        </w:rPr>
        <w:t xml:space="preserve"> O.B., a young woman with</w:t>
      </w:r>
      <w:r w:rsidR="000831CB" w:rsidRPr="003D283D">
        <w:rPr>
          <w:szCs w:val="26"/>
        </w:rPr>
        <w:t xml:space="preserve"> </w:t>
      </w:r>
      <w:r w:rsidRPr="003D283D">
        <w:rPr>
          <w:szCs w:val="26"/>
        </w:rPr>
        <w:t xml:space="preserve">autism.  </w:t>
      </w:r>
      <w:r w:rsidR="00DE63DC" w:rsidRPr="003D283D">
        <w:rPr>
          <w:szCs w:val="26"/>
        </w:rPr>
        <w:t xml:space="preserve">In challenging this order, </w:t>
      </w:r>
      <w:r w:rsidRPr="003D283D">
        <w:rPr>
          <w:szCs w:val="26"/>
        </w:rPr>
        <w:t xml:space="preserve">O.B. </w:t>
      </w:r>
      <w:r w:rsidR="00EA598C" w:rsidRPr="003D283D">
        <w:rPr>
          <w:szCs w:val="26"/>
        </w:rPr>
        <w:t xml:space="preserve">argues </w:t>
      </w:r>
      <w:r w:rsidRPr="003D283D">
        <w:rPr>
          <w:szCs w:val="26"/>
        </w:rPr>
        <w:t xml:space="preserve">that the </w:t>
      </w:r>
      <w:r w:rsidR="00EA598C" w:rsidRPr="003D283D">
        <w:rPr>
          <w:szCs w:val="26"/>
        </w:rPr>
        <w:t>proof</w:t>
      </w:r>
      <w:r w:rsidR="003F6377" w:rsidRPr="003D283D">
        <w:rPr>
          <w:szCs w:val="26"/>
        </w:rPr>
        <w:t xml:space="preserve"> </w:t>
      </w:r>
      <w:r w:rsidRPr="003D283D">
        <w:rPr>
          <w:szCs w:val="26"/>
        </w:rPr>
        <w:t>before the probate court did</w:t>
      </w:r>
      <w:r w:rsidR="000831CB" w:rsidRPr="003D283D">
        <w:rPr>
          <w:szCs w:val="26"/>
        </w:rPr>
        <w:t xml:space="preserve"> not</w:t>
      </w:r>
      <w:r w:rsidRPr="003D283D">
        <w:rPr>
          <w:szCs w:val="26"/>
        </w:rPr>
        <w:t xml:space="preserve"> </w:t>
      </w:r>
      <w:r w:rsidR="004349A5" w:rsidRPr="003D283D">
        <w:rPr>
          <w:szCs w:val="26"/>
        </w:rPr>
        <w:t xml:space="preserve">clearly and convincingly </w:t>
      </w:r>
      <w:r w:rsidR="000831CB" w:rsidRPr="003D283D">
        <w:rPr>
          <w:szCs w:val="26"/>
        </w:rPr>
        <w:t>establish</w:t>
      </w:r>
      <w:r w:rsidR="00EA598C" w:rsidRPr="003D283D">
        <w:rPr>
          <w:szCs w:val="26"/>
        </w:rPr>
        <w:t xml:space="preserve"> </w:t>
      </w:r>
      <w:r w:rsidR="000831CB" w:rsidRPr="003D283D">
        <w:rPr>
          <w:szCs w:val="26"/>
        </w:rPr>
        <w:t>th</w:t>
      </w:r>
      <w:r w:rsidR="00EA598C" w:rsidRPr="003D283D">
        <w:rPr>
          <w:szCs w:val="26"/>
        </w:rPr>
        <w:t>at</w:t>
      </w:r>
      <w:r w:rsidR="000831CB" w:rsidRPr="003D283D">
        <w:rPr>
          <w:szCs w:val="26"/>
        </w:rPr>
        <w:t xml:space="preserve"> </w:t>
      </w:r>
      <w:r w:rsidR="00320DC7" w:rsidRPr="003D283D">
        <w:rPr>
          <w:szCs w:val="26"/>
        </w:rPr>
        <w:t>a limited conservatorship was warranted</w:t>
      </w:r>
      <w:r w:rsidR="00EA598C" w:rsidRPr="003D283D">
        <w:rPr>
          <w:szCs w:val="26"/>
        </w:rPr>
        <w:t xml:space="preserve">. </w:t>
      </w:r>
      <w:r w:rsidR="003E3E57" w:rsidRPr="003D283D">
        <w:rPr>
          <w:szCs w:val="26"/>
        </w:rPr>
        <w:t xml:space="preserve"> </w:t>
      </w:r>
      <w:r w:rsidR="00320DC7" w:rsidRPr="003D283D">
        <w:rPr>
          <w:szCs w:val="26"/>
        </w:rPr>
        <w:t xml:space="preserve">(See Prob. Code, § 1801, subd. (e) [“The standard of proof for the appointment of a conservator pursuant to this section shall be clear and convincing evidence”].)  </w:t>
      </w:r>
    </w:p>
    <w:p w14:paraId="2A9E903D" w14:textId="0231B9A8" w:rsidR="00062DB8" w:rsidRPr="003D283D" w:rsidRDefault="003F6377" w:rsidP="007F1BD8">
      <w:pPr>
        <w:ind w:firstLine="720"/>
        <w:rPr>
          <w:szCs w:val="26"/>
          <w:shd w:val="clear" w:color="auto" w:fill="FFFFFF"/>
        </w:rPr>
      </w:pPr>
      <w:r w:rsidRPr="003D283D">
        <w:rPr>
          <w:szCs w:val="26"/>
        </w:rPr>
        <w:t>There is a split of opinion over how an appellate court should address a claim</w:t>
      </w:r>
      <w:r w:rsidR="000204AD" w:rsidRPr="003D283D">
        <w:rPr>
          <w:szCs w:val="26"/>
        </w:rPr>
        <w:t xml:space="preserve"> of insufficient evidence</w:t>
      </w:r>
      <w:r w:rsidRPr="003D283D">
        <w:rPr>
          <w:szCs w:val="26"/>
        </w:rPr>
        <w:t xml:space="preserve"> such as the one </w:t>
      </w:r>
      <w:r w:rsidR="00244799" w:rsidRPr="003D283D">
        <w:rPr>
          <w:szCs w:val="26"/>
        </w:rPr>
        <w:t>advanced</w:t>
      </w:r>
      <w:r w:rsidRPr="003D283D">
        <w:rPr>
          <w:szCs w:val="26"/>
        </w:rPr>
        <w:t xml:space="preserve"> </w:t>
      </w:r>
      <w:r w:rsidR="00B728FF" w:rsidRPr="003D283D">
        <w:rPr>
          <w:szCs w:val="26"/>
        </w:rPr>
        <w:t>here</w:t>
      </w:r>
      <w:r w:rsidRPr="003D283D">
        <w:rPr>
          <w:szCs w:val="26"/>
        </w:rPr>
        <w:t xml:space="preserve">.  </w:t>
      </w:r>
      <w:r w:rsidR="003B5FAD" w:rsidRPr="003D283D">
        <w:rPr>
          <w:szCs w:val="26"/>
        </w:rPr>
        <w:t xml:space="preserve">One </w:t>
      </w:r>
      <w:r w:rsidR="00B22E42" w:rsidRPr="003D283D">
        <w:rPr>
          <w:szCs w:val="26"/>
        </w:rPr>
        <w:t xml:space="preserve">approach </w:t>
      </w:r>
      <w:proofErr w:type="gramStart"/>
      <w:r w:rsidR="001441CF" w:rsidRPr="003D283D">
        <w:rPr>
          <w:szCs w:val="26"/>
        </w:rPr>
        <w:t>account</w:t>
      </w:r>
      <w:r w:rsidR="00965C52" w:rsidRPr="003D283D">
        <w:rPr>
          <w:szCs w:val="26"/>
        </w:rPr>
        <w:t>s</w:t>
      </w:r>
      <w:proofErr w:type="gramEnd"/>
      <w:r w:rsidR="001441CF" w:rsidRPr="003D283D">
        <w:rPr>
          <w:szCs w:val="26"/>
        </w:rPr>
        <w:t xml:space="preserve"> for </w:t>
      </w:r>
      <w:r w:rsidRPr="003D283D">
        <w:rPr>
          <w:szCs w:val="26"/>
        </w:rPr>
        <w:t>the fact that th</w:t>
      </w:r>
      <w:r w:rsidR="00004326" w:rsidRPr="003D283D">
        <w:rPr>
          <w:szCs w:val="26"/>
        </w:rPr>
        <w:t xml:space="preserve">e clear and convincing </w:t>
      </w:r>
      <w:r w:rsidRPr="003D283D">
        <w:rPr>
          <w:szCs w:val="26"/>
        </w:rPr>
        <w:t xml:space="preserve">standard of proof requires </w:t>
      </w:r>
      <w:r w:rsidR="00CB370F" w:rsidRPr="003D283D">
        <w:rPr>
          <w:szCs w:val="26"/>
        </w:rPr>
        <w:t>greater</w:t>
      </w:r>
      <w:r w:rsidRPr="003D283D">
        <w:rPr>
          <w:szCs w:val="26"/>
        </w:rPr>
        <w:t xml:space="preserve"> certainty than the preponderance standard</w:t>
      </w:r>
      <w:r w:rsidR="00CB370F" w:rsidRPr="003D283D">
        <w:rPr>
          <w:szCs w:val="26"/>
        </w:rPr>
        <w:t xml:space="preserve"> does</w:t>
      </w:r>
      <w:r w:rsidR="00062DB8" w:rsidRPr="003D283D">
        <w:rPr>
          <w:szCs w:val="26"/>
        </w:rPr>
        <w:t xml:space="preserve">.  </w:t>
      </w:r>
      <w:r w:rsidR="00DA178B" w:rsidRPr="003D283D">
        <w:rPr>
          <w:szCs w:val="26"/>
        </w:rPr>
        <w:t>Courts adopting this view</w:t>
      </w:r>
      <w:r w:rsidR="00581897" w:rsidRPr="003D283D">
        <w:rPr>
          <w:szCs w:val="26"/>
        </w:rPr>
        <w:t xml:space="preserve"> </w:t>
      </w:r>
      <w:r w:rsidR="007B71C7" w:rsidRPr="003D283D">
        <w:rPr>
          <w:szCs w:val="26"/>
        </w:rPr>
        <w:t>inquire</w:t>
      </w:r>
      <w:r w:rsidR="00581897" w:rsidRPr="003D283D">
        <w:rPr>
          <w:szCs w:val="26"/>
        </w:rPr>
        <w:t xml:space="preserve"> whether </w:t>
      </w:r>
      <w:r w:rsidR="003C4469" w:rsidRPr="003D283D">
        <w:rPr>
          <w:szCs w:val="26"/>
        </w:rPr>
        <w:t>the record</w:t>
      </w:r>
      <w:r w:rsidR="008662E3" w:rsidRPr="003D283D">
        <w:rPr>
          <w:szCs w:val="26"/>
        </w:rPr>
        <w:t xml:space="preserve"> developed before the trial court</w:t>
      </w:r>
      <w:r w:rsidR="003C4469" w:rsidRPr="003D283D">
        <w:rPr>
          <w:szCs w:val="26"/>
        </w:rPr>
        <w:t xml:space="preserve"> contains substantial evidence </w:t>
      </w:r>
      <w:r w:rsidR="004349A5" w:rsidRPr="003D283D">
        <w:rPr>
          <w:szCs w:val="26"/>
        </w:rPr>
        <w:t>allowing</w:t>
      </w:r>
      <w:r w:rsidR="003C4469" w:rsidRPr="003D283D">
        <w:rPr>
          <w:szCs w:val="26"/>
        </w:rPr>
        <w:t xml:space="preserve"> a reasonable factfinder </w:t>
      </w:r>
      <w:r w:rsidR="007B71C7" w:rsidRPr="003D283D">
        <w:rPr>
          <w:szCs w:val="26"/>
        </w:rPr>
        <w:lastRenderedPageBreak/>
        <w:t xml:space="preserve">to </w:t>
      </w:r>
      <w:r w:rsidR="002170DA" w:rsidRPr="003D283D">
        <w:rPr>
          <w:szCs w:val="26"/>
        </w:rPr>
        <w:t xml:space="preserve">make the </w:t>
      </w:r>
      <w:r w:rsidR="00DE63DC" w:rsidRPr="003D283D">
        <w:rPr>
          <w:szCs w:val="26"/>
        </w:rPr>
        <w:t xml:space="preserve">challenged </w:t>
      </w:r>
      <w:r w:rsidR="002170DA" w:rsidRPr="003D283D">
        <w:rPr>
          <w:szCs w:val="26"/>
        </w:rPr>
        <w:t>finding with the confidence required by the clear and convincing standard</w:t>
      </w:r>
      <w:r w:rsidR="003C4469" w:rsidRPr="003D283D">
        <w:rPr>
          <w:szCs w:val="26"/>
        </w:rPr>
        <w:t xml:space="preserve">.  </w:t>
      </w:r>
      <w:r w:rsidR="00062DB8" w:rsidRPr="003D283D">
        <w:rPr>
          <w:szCs w:val="26"/>
        </w:rPr>
        <w:t xml:space="preserve">(E.g., </w:t>
      </w:r>
      <w:r w:rsidR="00062DB8" w:rsidRPr="003D283D">
        <w:rPr>
          <w:i/>
          <w:iCs/>
          <w:szCs w:val="26"/>
        </w:rPr>
        <w:t xml:space="preserve">T.J. </w:t>
      </w:r>
      <w:r w:rsidR="004B3F76" w:rsidRPr="003D283D">
        <w:rPr>
          <w:i/>
          <w:iCs/>
          <w:szCs w:val="26"/>
        </w:rPr>
        <w:t>v. Superior Court</w:t>
      </w:r>
      <w:r w:rsidR="004B3F76" w:rsidRPr="003D283D">
        <w:rPr>
          <w:szCs w:val="26"/>
        </w:rPr>
        <w:t xml:space="preserve"> </w:t>
      </w:r>
      <w:r w:rsidR="00062DB8" w:rsidRPr="003D283D">
        <w:rPr>
          <w:szCs w:val="26"/>
        </w:rPr>
        <w:t>(2018) 21</w:t>
      </w:r>
      <w:r w:rsidR="00694479" w:rsidRPr="003D283D">
        <w:rPr>
          <w:szCs w:val="26"/>
        </w:rPr>
        <w:t> </w:t>
      </w:r>
      <w:r w:rsidR="00062DB8" w:rsidRPr="003D283D">
        <w:rPr>
          <w:szCs w:val="26"/>
        </w:rPr>
        <w:t>Cal.App.5th 1229, 1239-1240</w:t>
      </w:r>
      <w:r w:rsidR="004B3F76" w:rsidRPr="003D283D">
        <w:rPr>
          <w:szCs w:val="26"/>
        </w:rPr>
        <w:t xml:space="preserve"> (</w:t>
      </w:r>
      <w:r w:rsidR="004B3F76" w:rsidRPr="003D283D">
        <w:rPr>
          <w:i/>
          <w:iCs/>
          <w:szCs w:val="26"/>
        </w:rPr>
        <w:t>T.J.</w:t>
      </w:r>
      <w:r w:rsidR="004B3F76" w:rsidRPr="003D283D">
        <w:rPr>
          <w:szCs w:val="26"/>
        </w:rPr>
        <w:t>)</w:t>
      </w:r>
      <w:r w:rsidR="00062DB8" w:rsidRPr="003D283D">
        <w:rPr>
          <w:szCs w:val="26"/>
        </w:rPr>
        <w:t xml:space="preserve">.)  </w:t>
      </w:r>
      <w:r w:rsidR="00581897" w:rsidRPr="003D283D">
        <w:rPr>
          <w:szCs w:val="26"/>
        </w:rPr>
        <w:t>Another</w:t>
      </w:r>
      <w:r w:rsidR="00B824FE" w:rsidRPr="003D283D">
        <w:rPr>
          <w:szCs w:val="26"/>
        </w:rPr>
        <w:t xml:space="preserve"> </w:t>
      </w:r>
      <w:r w:rsidR="00C473F2" w:rsidRPr="003D283D">
        <w:rPr>
          <w:szCs w:val="26"/>
        </w:rPr>
        <w:t>position</w:t>
      </w:r>
      <w:r w:rsidR="00581897" w:rsidRPr="003D283D">
        <w:rPr>
          <w:szCs w:val="26"/>
        </w:rPr>
        <w:t xml:space="preserve"> maintains</w:t>
      </w:r>
      <w:r w:rsidR="00C473F2" w:rsidRPr="003D283D">
        <w:rPr>
          <w:szCs w:val="26"/>
        </w:rPr>
        <w:t xml:space="preserve"> </w:t>
      </w:r>
      <w:r w:rsidR="001441CF" w:rsidRPr="003D283D">
        <w:rPr>
          <w:szCs w:val="26"/>
          <w:shd w:val="clear" w:color="auto" w:fill="FFFFFF"/>
        </w:rPr>
        <w:t>that</w:t>
      </w:r>
      <w:r w:rsidR="0049136A" w:rsidRPr="003D283D">
        <w:rPr>
          <w:szCs w:val="26"/>
          <w:shd w:val="clear" w:color="auto" w:fill="FFFFFF"/>
        </w:rPr>
        <w:t xml:space="preserve"> </w:t>
      </w:r>
      <w:r w:rsidR="001441CF" w:rsidRPr="003D283D">
        <w:rPr>
          <w:szCs w:val="26"/>
          <w:shd w:val="clear" w:color="auto" w:fill="FFFFFF"/>
        </w:rPr>
        <w:t xml:space="preserve">the </w:t>
      </w:r>
      <w:r w:rsidR="0049136A" w:rsidRPr="003D283D">
        <w:rPr>
          <w:szCs w:val="26"/>
          <w:shd w:val="clear" w:color="auto" w:fill="FFFFFF"/>
        </w:rPr>
        <w:t xml:space="preserve">clear and convincing </w:t>
      </w:r>
      <w:r w:rsidR="001441CF" w:rsidRPr="003D283D">
        <w:rPr>
          <w:szCs w:val="26"/>
          <w:shd w:val="clear" w:color="auto" w:fill="FFFFFF"/>
        </w:rPr>
        <w:t xml:space="preserve">standard of proof </w:t>
      </w:r>
      <w:r w:rsidR="000204AD" w:rsidRPr="003D283D">
        <w:rPr>
          <w:szCs w:val="26"/>
          <w:shd w:val="clear" w:color="auto" w:fill="FFFFFF"/>
        </w:rPr>
        <w:t>has no bearing on appellate review for sufficiency of the evidence</w:t>
      </w:r>
      <w:r w:rsidR="00B22E42" w:rsidRPr="003D283D">
        <w:rPr>
          <w:szCs w:val="26"/>
          <w:shd w:val="clear" w:color="auto" w:fill="FFFFFF"/>
        </w:rPr>
        <w:t xml:space="preserve">.  </w:t>
      </w:r>
      <w:r w:rsidR="000040A0" w:rsidRPr="003D283D">
        <w:rPr>
          <w:szCs w:val="26"/>
        </w:rPr>
        <w:t xml:space="preserve">(E.g., </w:t>
      </w:r>
      <w:r w:rsidR="000040A0" w:rsidRPr="003D283D">
        <w:rPr>
          <w:i/>
          <w:iCs/>
          <w:szCs w:val="26"/>
          <w:shd w:val="clear" w:color="auto" w:fill="FFFFFF"/>
        </w:rPr>
        <w:t>In re Marriage of Murray</w:t>
      </w:r>
      <w:r w:rsidR="000040A0" w:rsidRPr="003D283D">
        <w:rPr>
          <w:szCs w:val="26"/>
          <w:shd w:val="clear" w:color="auto" w:fill="FFFFFF"/>
        </w:rPr>
        <w:t xml:space="preserve"> (2002) 101 Cal.App.4th 581, 604.)</w:t>
      </w:r>
      <w:r w:rsidR="005D52C6" w:rsidRPr="003D283D">
        <w:rPr>
          <w:szCs w:val="26"/>
          <w:shd w:val="clear" w:color="auto" w:fill="FFFFFF"/>
        </w:rPr>
        <w:t xml:space="preserve"> </w:t>
      </w:r>
      <w:r w:rsidR="001441CF" w:rsidRPr="003D283D">
        <w:rPr>
          <w:szCs w:val="26"/>
          <w:shd w:val="clear" w:color="auto" w:fill="FFFFFF"/>
        </w:rPr>
        <w:t xml:space="preserve"> </w:t>
      </w:r>
      <w:r w:rsidR="00B22E42" w:rsidRPr="003D283D">
        <w:rPr>
          <w:szCs w:val="26"/>
          <w:shd w:val="clear" w:color="auto" w:fill="FFFFFF"/>
        </w:rPr>
        <w:t>From this perspective,</w:t>
      </w:r>
      <w:r w:rsidR="00B22E42" w:rsidRPr="003D283D">
        <w:rPr>
          <w:szCs w:val="26"/>
        </w:rPr>
        <w:t xml:space="preserve"> </w:t>
      </w:r>
      <w:r w:rsidR="009D6E0D" w:rsidRPr="003D283D">
        <w:rPr>
          <w:szCs w:val="26"/>
        </w:rPr>
        <w:t xml:space="preserve">a court </w:t>
      </w:r>
      <w:r w:rsidR="000204AD" w:rsidRPr="003D283D">
        <w:rPr>
          <w:szCs w:val="26"/>
        </w:rPr>
        <w:t>reviewing</w:t>
      </w:r>
      <w:r w:rsidR="009D6E0D" w:rsidRPr="003D283D">
        <w:rPr>
          <w:szCs w:val="26"/>
        </w:rPr>
        <w:t xml:space="preserve"> a finding requiring clear and convincing proof </w:t>
      </w:r>
      <w:r w:rsidR="000204AD" w:rsidRPr="003D283D">
        <w:rPr>
          <w:szCs w:val="26"/>
        </w:rPr>
        <w:t>surveys</w:t>
      </w:r>
      <w:r w:rsidR="009D6E0D" w:rsidRPr="003D283D">
        <w:rPr>
          <w:szCs w:val="26"/>
        </w:rPr>
        <w:t xml:space="preserve"> the record for substantial evidence</w:t>
      </w:r>
      <w:r w:rsidR="003C4469" w:rsidRPr="003D283D">
        <w:rPr>
          <w:szCs w:val="26"/>
        </w:rPr>
        <w:t>,</w:t>
      </w:r>
      <w:r w:rsidR="009D6E0D" w:rsidRPr="003D283D">
        <w:rPr>
          <w:szCs w:val="26"/>
        </w:rPr>
        <w:t xml:space="preserve"> without also considering whether this evidence reasonably could have yielded a </w:t>
      </w:r>
      <w:r w:rsidR="000A6CCD" w:rsidRPr="003D283D">
        <w:rPr>
          <w:szCs w:val="26"/>
        </w:rPr>
        <w:t>finding made</w:t>
      </w:r>
      <w:r w:rsidR="009D6E0D" w:rsidRPr="003D283D">
        <w:rPr>
          <w:szCs w:val="26"/>
        </w:rPr>
        <w:t xml:space="preserve"> with the</w:t>
      </w:r>
      <w:r w:rsidR="000A6CCD" w:rsidRPr="003D283D">
        <w:rPr>
          <w:szCs w:val="26"/>
        </w:rPr>
        <w:t xml:space="preserve"> specific degree of</w:t>
      </w:r>
      <w:r w:rsidR="009D6E0D" w:rsidRPr="003D283D">
        <w:rPr>
          <w:szCs w:val="26"/>
        </w:rPr>
        <w:t xml:space="preserve"> </w:t>
      </w:r>
      <w:r w:rsidR="00DA178B" w:rsidRPr="003D283D">
        <w:rPr>
          <w:szCs w:val="26"/>
        </w:rPr>
        <w:t>certainty</w:t>
      </w:r>
      <w:r w:rsidR="009D6E0D" w:rsidRPr="003D283D">
        <w:rPr>
          <w:szCs w:val="26"/>
        </w:rPr>
        <w:t xml:space="preserve"> required by the clear and convincing standard.  </w:t>
      </w:r>
    </w:p>
    <w:p w14:paraId="298DAA34" w14:textId="6BFF56A8" w:rsidR="00062DB8" w:rsidRPr="003D283D" w:rsidRDefault="00320DC7" w:rsidP="00320DC7">
      <w:pPr>
        <w:ind w:firstLine="720"/>
        <w:rPr>
          <w:szCs w:val="26"/>
        </w:rPr>
      </w:pPr>
      <w:r w:rsidRPr="003D283D">
        <w:rPr>
          <w:szCs w:val="26"/>
        </w:rPr>
        <w:t>We conclude</w:t>
      </w:r>
      <w:r w:rsidR="00D7666B" w:rsidRPr="003D283D">
        <w:rPr>
          <w:szCs w:val="26"/>
        </w:rPr>
        <w:t xml:space="preserve"> </w:t>
      </w:r>
      <w:r w:rsidR="00062DB8" w:rsidRPr="003D283D">
        <w:rPr>
          <w:szCs w:val="26"/>
        </w:rPr>
        <w:t>that</w:t>
      </w:r>
      <w:r w:rsidR="006B5E67" w:rsidRPr="003D283D">
        <w:rPr>
          <w:szCs w:val="26"/>
        </w:rPr>
        <w:t xml:space="preserve"> </w:t>
      </w:r>
      <w:r w:rsidR="006F182C" w:rsidRPr="003D283D">
        <w:rPr>
          <w:szCs w:val="26"/>
        </w:rPr>
        <w:t xml:space="preserve">appellate </w:t>
      </w:r>
      <w:r w:rsidR="00004326" w:rsidRPr="003D283D">
        <w:rPr>
          <w:szCs w:val="26"/>
        </w:rPr>
        <w:t xml:space="preserve">review of the sufficiency of the evidence in support of a finding requiring clear and convincing proof </w:t>
      </w:r>
      <w:r w:rsidR="006F182C" w:rsidRPr="003D283D">
        <w:rPr>
          <w:szCs w:val="26"/>
        </w:rPr>
        <w:t>must account for the level of confidence th</w:t>
      </w:r>
      <w:r w:rsidR="00D72B36" w:rsidRPr="003D283D">
        <w:rPr>
          <w:szCs w:val="26"/>
        </w:rPr>
        <w:t>is</w:t>
      </w:r>
      <w:r w:rsidR="006F182C" w:rsidRPr="003D283D">
        <w:rPr>
          <w:szCs w:val="26"/>
        </w:rPr>
        <w:t xml:space="preserve"> standard</w:t>
      </w:r>
      <w:r w:rsidR="00004326" w:rsidRPr="003D283D">
        <w:rPr>
          <w:szCs w:val="26"/>
        </w:rPr>
        <w:t xml:space="preserve"> demands</w:t>
      </w:r>
      <w:r w:rsidR="006F182C" w:rsidRPr="003D283D">
        <w:rPr>
          <w:szCs w:val="26"/>
        </w:rPr>
        <w:t xml:space="preserve">.  </w:t>
      </w:r>
      <w:r w:rsidR="00D72B36" w:rsidRPr="003D283D">
        <w:rPr>
          <w:szCs w:val="26"/>
        </w:rPr>
        <w:t>In a matter such as the one before us</w:t>
      </w:r>
      <w:r w:rsidR="000A6CCD" w:rsidRPr="003D283D">
        <w:rPr>
          <w:szCs w:val="26"/>
        </w:rPr>
        <w:t>, w</w:t>
      </w:r>
      <w:r w:rsidR="00A20B1B" w:rsidRPr="003D283D">
        <w:rPr>
          <w:szCs w:val="26"/>
        </w:rPr>
        <w:t xml:space="preserve">hen reviewing a finding </w:t>
      </w:r>
      <w:r w:rsidR="000A6CCD" w:rsidRPr="003D283D">
        <w:rPr>
          <w:szCs w:val="26"/>
        </w:rPr>
        <w:t>that a fact ha</w:t>
      </w:r>
      <w:r w:rsidR="000F30FF" w:rsidRPr="003D283D">
        <w:rPr>
          <w:szCs w:val="26"/>
        </w:rPr>
        <w:t>s</w:t>
      </w:r>
      <w:r w:rsidR="000A6CCD" w:rsidRPr="003D283D">
        <w:rPr>
          <w:szCs w:val="26"/>
        </w:rPr>
        <w:t xml:space="preserve"> been proved by</w:t>
      </w:r>
      <w:r w:rsidR="00A20B1B" w:rsidRPr="003D283D">
        <w:rPr>
          <w:szCs w:val="26"/>
        </w:rPr>
        <w:t xml:space="preserve"> clear and convincing evidence</w:t>
      </w:r>
      <w:r w:rsidR="00F01FCE" w:rsidRPr="003D283D">
        <w:rPr>
          <w:szCs w:val="26"/>
        </w:rPr>
        <w:t>,</w:t>
      </w:r>
      <w:r w:rsidR="003E0A3C" w:rsidRPr="003D283D">
        <w:rPr>
          <w:szCs w:val="26"/>
        </w:rPr>
        <w:t xml:space="preserve"> t</w:t>
      </w:r>
      <w:r w:rsidRPr="003D283D">
        <w:rPr>
          <w:szCs w:val="26"/>
        </w:rPr>
        <w:t xml:space="preserve">he </w:t>
      </w:r>
      <w:r w:rsidR="00CF07B5" w:rsidRPr="003D283D">
        <w:rPr>
          <w:szCs w:val="26"/>
        </w:rPr>
        <w:t>question</w:t>
      </w:r>
      <w:r w:rsidRPr="003D283D">
        <w:rPr>
          <w:szCs w:val="26"/>
        </w:rPr>
        <w:t xml:space="preserve"> before the</w:t>
      </w:r>
      <w:r w:rsidR="004349A5" w:rsidRPr="003D283D">
        <w:rPr>
          <w:szCs w:val="26"/>
        </w:rPr>
        <w:t xml:space="preserve"> appellate</w:t>
      </w:r>
      <w:r w:rsidRPr="003D283D">
        <w:rPr>
          <w:szCs w:val="26"/>
        </w:rPr>
        <w:t xml:space="preserve"> court is whether</w:t>
      </w:r>
      <w:r w:rsidR="004C1563" w:rsidRPr="003D283D">
        <w:rPr>
          <w:szCs w:val="26"/>
        </w:rPr>
        <w:t xml:space="preserve"> </w:t>
      </w:r>
      <w:r w:rsidRPr="003D283D">
        <w:rPr>
          <w:szCs w:val="26"/>
        </w:rPr>
        <w:t xml:space="preserve">the record as a whole contains substantial evidence </w:t>
      </w:r>
      <w:r w:rsidR="00E05477" w:rsidRPr="003D283D">
        <w:rPr>
          <w:szCs w:val="26"/>
        </w:rPr>
        <w:t>from which a reasonable</w:t>
      </w:r>
      <w:r w:rsidR="004C1563" w:rsidRPr="003D283D">
        <w:rPr>
          <w:szCs w:val="26"/>
        </w:rPr>
        <w:t xml:space="preserve"> </w:t>
      </w:r>
      <w:r w:rsidR="003F6377" w:rsidRPr="003D283D">
        <w:rPr>
          <w:szCs w:val="26"/>
        </w:rPr>
        <w:t>factfinder</w:t>
      </w:r>
      <w:r w:rsidR="004C1563" w:rsidRPr="003D283D">
        <w:rPr>
          <w:szCs w:val="26"/>
        </w:rPr>
        <w:t xml:space="preserve"> could </w:t>
      </w:r>
      <w:r w:rsidR="002A6FED" w:rsidRPr="003D283D">
        <w:rPr>
          <w:szCs w:val="26"/>
        </w:rPr>
        <w:t>have found</w:t>
      </w:r>
      <w:r w:rsidR="001A5706" w:rsidRPr="003D283D">
        <w:rPr>
          <w:szCs w:val="26"/>
        </w:rPr>
        <w:t xml:space="preserve"> it highly probable that the fact </w:t>
      </w:r>
      <w:r w:rsidR="002A6FED" w:rsidRPr="003D283D">
        <w:rPr>
          <w:szCs w:val="26"/>
        </w:rPr>
        <w:t>wa</w:t>
      </w:r>
      <w:r w:rsidR="000A6CCD" w:rsidRPr="003D283D">
        <w:rPr>
          <w:szCs w:val="26"/>
        </w:rPr>
        <w:t xml:space="preserve">s </w:t>
      </w:r>
      <w:r w:rsidR="001A5706" w:rsidRPr="003D283D">
        <w:rPr>
          <w:szCs w:val="26"/>
        </w:rPr>
        <w:t>true</w:t>
      </w:r>
      <w:r w:rsidR="00E05477" w:rsidRPr="003D283D">
        <w:rPr>
          <w:szCs w:val="26"/>
        </w:rPr>
        <w:t xml:space="preserve">. </w:t>
      </w:r>
      <w:r w:rsidR="009A69E8" w:rsidRPr="003D283D">
        <w:rPr>
          <w:szCs w:val="26"/>
        </w:rPr>
        <w:t xml:space="preserve"> </w:t>
      </w:r>
      <w:r w:rsidR="00752EFA" w:rsidRPr="003D283D">
        <w:rPr>
          <w:szCs w:val="26"/>
        </w:rPr>
        <w:t>C</w:t>
      </w:r>
      <w:r w:rsidR="000831CB" w:rsidRPr="003D283D">
        <w:rPr>
          <w:szCs w:val="26"/>
        </w:rPr>
        <w:t>onsistent with well-established principles</w:t>
      </w:r>
      <w:r w:rsidR="00752EFA" w:rsidRPr="003D283D">
        <w:rPr>
          <w:szCs w:val="26"/>
        </w:rPr>
        <w:t xml:space="preserve"> </w:t>
      </w:r>
      <w:r w:rsidR="00CB42E5" w:rsidRPr="003D283D">
        <w:rPr>
          <w:szCs w:val="26"/>
        </w:rPr>
        <w:t>governing</w:t>
      </w:r>
      <w:r w:rsidR="00752EFA" w:rsidRPr="003D283D">
        <w:rPr>
          <w:szCs w:val="26"/>
        </w:rPr>
        <w:t xml:space="preserve"> review for sufficiency of the evidence</w:t>
      </w:r>
      <w:r w:rsidR="000831CB" w:rsidRPr="003D283D">
        <w:rPr>
          <w:szCs w:val="26"/>
        </w:rPr>
        <w:t>, i</w:t>
      </w:r>
      <w:r w:rsidR="00062DB8" w:rsidRPr="003D283D">
        <w:rPr>
          <w:szCs w:val="26"/>
        </w:rPr>
        <w:t xml:space="preserve">n </w:t>
      </w:r>
      <w:r w:rsidR="005D52C6" w:rsidRPr="003D283D">
        <w:rPr>
          <w:szCs w:val="26"/>
        </w:rPr>
        <w:t>making</w:t>
      </w:r>
      <w:r w:rsidR="00062DB8" w:rsidRPr="003D283D">
        <w:rPr>
          <w:szCs w:val="26"/>
        </w:rPr>
        <w:t xml:space="preserve"> </w:t>
      </w:r>
      <w:r w:rsidR="009A69E8" w:rsidRPr="003D283D">
        <w:rPr>
          <w:szCs w:val="26"/>
        </w:rPr>
        <w:t>this</w:t>
      </w:r>
      <w:r w:rsidR="00996286" w:rsidRPr="003D283D">
        <w:rPr>
          <w:szCs w:val="26"/>
        </w:rPr>
        <w:t xml:space="preserve"> </w:t>
      </w:r>
      <w:r w:rsidR="00062DB8" w:rsidRPr="003D283D">
        <w:rPr>
          <w:szCs w:val="26"/>
        </w:rPr>
        <w:t>assessment</w:t>
      </w:r>
      <w:r w:rsidR="009A69E8" w:rsidRPr="003D283D">
        <w:rPr>
          <w:szCs w:val="26"/>
        </w:rPr>
        <w:t xml:space="preserve"> </w:t>
      </w:r>
      <w:r w:rsidR="004349A5" w:rsidRPr="003D283D">
        <w:rPr>
          <w:szCs w:val="26"/>
        </w:rPr>
        <w:t>the</w:t>
      </w:r>
      <w:r w:rsidR="00062DB8" w:rsidRPr="003D283D">
        <w:rPr>
          <w:szCs w:val="26"/>
        </w:rPr>
        <w:t xml:space="preserve"> </w:t>
      </w:r>
      <w:r w:rsidR="00F01FCE" w:rsidRPr="003D283D">
        <w:rPr>
          <w:szCs w:val="26"/>
        </w:rPr>
        <w:t xml:space="preserve">appellate </w:t>
      </w:r>
      <w:r w:rsidR="00062DB8" w:rsidRPr="003D283D">
        <w:rPr>
          <w:szCs w:val="26"/>
        </w:rPr>
        <w:t xml:space="preserve">court must </w:t>
      </w:r>
      <w:r w:rsidR="00236DAE" w:rsidRPr="003D283D">
        <w:rPr>
          <w:szCs w:val="26"/>
        </w:rPr>
        <w:t xml:space="preserve">view the record in the light most favorable to the prevailing party below and </w:t>
      </w:r>
      <w:r w:rsidR="00752EFA" w:rsidRPr="003D283D">
        <w:rPr>
          <w:szCs w:val="26"/>
        </w:rPr>
        <w:t>give</w:t>
      </w:r>
      <w:r w:rsidR="00062DB8" w:rsidRPr="003D283D">
        <w:rPr>
          <w:szCs w:val="26"/>
        </w:rPr>
        <w:t xml:space="preserve"> due deference to how the trier of fact may have </w:t>
      </w:r>
      <w:r w:rsidR="004C1563" w:rsidRPr="003D283D">
        <w:rPr>
          <w:szCs w:val="26"/>
        </w:rPr>
        <w:t>evaluated</w:t>
      </w:r>
      <w:r w:rsidR="00062DB8" w:rsidRPr="003D283D">
        <w:rPr>
          <w:szCs w:val="26"/>
        </w:rPr>
        <w:t xml:space="preserve"> the credibility of witnesses, resolved conflicts in the evidence, and drawn reasonable inferences from the </w:t>
      </w:r>
      <w:r w:rsidR="00244799" w:rsidRPr="003D283D">
        <w:rPr>
          <w:szCs w:val="26"/>
        </w:rPr>
        <w:t>evidence</w:t>
      </w:r>
      <w:r w:rsidR="00062DB8" w:rsidRPr="003D283D">
        <w:rPr>
          <w:szCs w:val="26"/>
        </w:rPr>
        <w:t xml:space="preserve">.  </w:t>
      </w:r>
    </w:p>
    <w:p w14:paraId="1A64F4F3" w14:textId="4B669F5C" w:rsidR="003B5FAD" w:rsidRPr="003D283D" w:rsidRDefault="003B5FAD" w:rsidP="00320DC7">
      <w:pPr>
        <w:ind w:firstLine="720"/>
        <w:rPr>
          <w:szCs w:val="26"/>
        </w:rPr>
      </w:pPr>
      <w:r w:rsidRPr="003D283D">
        <w:rPr>
          <w:szCs w:val="26"/>
        </w:rPr>
        <w:t>Because the Court of Appeal</w:t>
      </w:r>
      <w:r w:rsidR="004349A5" w:rsidRPr="003D283D">
        <w:rPr>
          <w:szCs w:val="26"/>
        </w:rPr>
        <w:t xml:space="preserve"> below</w:t>
      </w:r>
      <w:r w:rsidR="00180905" w:rsidRPr="003D283D">
        <w:rPr>
          <w:szCs w:val="26"/>
        </w:rPr>
        <w:t xml:space="preserve"> </w:t>
      </w:r>
      <w:r w:rsidRPr="003D283D">
        <w:rPr>
          <w:szCs w:val="26"/>
        </w:rPr>
        <w:t xml:space="preserve">took </w:t>
      </w:r>
      <w:r w:rsidR="00244799" w:rsidRPr="003D283D">
        <w:rPr>
          <w:szCs w:val="26"/>
        </w:rPr>
        <w:t xml:space="preserve">the position that the clear and convincing standard of proof </w:t>
      </w:r>
      <w:r w:rsidR="00244799" w:rsidRPr="003D283D">
        <w:rPr>
          <w:szCs w:val="26"/>
          <w:shd w:val="clear" w:color="auto" w:fill="FFFFFF"/>
        </w:rPr>
        <w:t>“ ‘ “disappears” </w:t>
      </w:r>
      <w:r w:rsidR="00977E24" w:rsidRPr="003D283D">
        <w:rPr>
          <w:szCs w:val="26"/>
          <w:shd w:val="clear" w:color="auto" w:fill="FFFFFF"/>
        </w:rPr>
        <w:t>’</w:t>
      </w:r>
      <w:r w:rsidR="00244799" w:rsidRPr="003D283D">
        <w:rPr>
          <w:szCs w:val="26"/>
          <w:shd w:val="clear" w:color="auto" w:fill="FFFFFF"/>
        </w:rPr>
        <w:t xml:space="preserve"> ” on appeal </w:t>
      </w:r>
      <w:r w:rsidR="00244799" w:rsidRPr="003D283D">
        <w:rPr>
          <w:szCs w:val="26"/>
        </w:rPr>
        <w:t>(</w:t>
      </w:r>
      <w:r w:rsidR="00244799" w:rsidRPr="003D283D">
        <w:rPr>
          <w:i/>
          <w:iCs/>
          <w:szCs w:val="26"/>
        </w:rPr>
        <w:t>Conservatorship of O.B.</w:t>
      </w:r>
      <w:r w:rsidR="00244799" w:rsidRPr="003D283D">
        <w:rPr>
          <w:szCs w:val="26"/>
        </w:rPr>
        <w:t xml:space="preserve"> (2019) 32 Cal.App.5th 626, 633)</w:t>
      </w:r>
      <w:r w:rsidR="00180905" w:rsidRPr="003D283D">
        <w:rPr>
          <w:szCs w:val="26"/>
        </w:rPr>
        <w:t xml:space="preserve"> </w:t>
      </w:r>
      <w:r w:rsidR="00E8738C" w:rsidRPr="003D283D">
        <w:rPr>
          <w:szCs w:val="26"/>
        </w:rPr>
        <w:lastRenderedPageBreak/>
        <w:t>when</w:t>
      </w:r>
      <w:r w:rsidR="004349A5" w:rsidRPr="003D283D">
        <w:rPr>
          <w:szCs w:val="26"/>
        </w:rPr>
        <w:t xml:space="preserve"> it</w:t>
      </w:r>
      <w:r w:rsidR="00180905" w:rsidRPr="003D283D">
        <w:rPr>
          <w:szCs w:val="26"/>
        </w:rPr>
        <w:t xml:space="preserve"> rejected O.B.’s challenge to the sufficiency of the evidence</w:t>
      </w:r>
      <w:r w:rsidR="003F6377" w:rsidRPr="003D283D">
        <w:rPr>
          <w:szCs w:val="26"/>
        </w:rPr>
        <w:t xml:space="preserve">, </w:t>
      </w:r>
      <w:r w:rsidRPr="003D283D">
        <w:rPr>
          <w:szCs w:val="26"/>
        </w:rPr>
        <w:t>we reverse.</w:t>
      </w:r>
    </w:p>
    <w:p w14:paraId="3AC75A11" w14:textId="77777777" w:rsidR="00062DB8" w:rsidRPr="003D283D" w:rsidRDefault="00062DB8" w:rsidP="00F776FE">
      <w:pPr>
        <w:keepNext/>
        <w:keepLines/>
        <w:jc w:val="center"/>
        <w:rPr>
          <w:b/>
          <w:bCs/>
          <w:smallCaps/>
          <w:szCs w:val="26"/>
        </w:rPr>
      </w:pPr>
      <w:r w:rsidRPr="003D283D">
        <w:rPr>
          <w:b/>
          <w:bCs/>
          <w:smallCaps/>
          <w:szCs w:val="26"/>
        </w:rPr>
        <w:t>I.  Background</w:t>
      </w:r>
    </w:p>
    <w:p w14:paraId="0CD71B77" w14:textId="352CA8DA" w:rsidR="000C34B1" w:rsidRPr="003D283D" w:rsidRDefault="0099417D" w:rsidP="00BF05C9">
      <w:pPr>
        <w:ind w:firstLine="720"/>
        <w:rPr>
          <w:szCs w:val="26"/>
        </w:rPr>
      </w:pPr>
      <w:r w:rsidRPr="003D283D">
        <w:rPr>
          <w:szCs w:val="26"/>
        </w:rPr>
        <w:t>I</w:t>
      </w:r>
      <w:r w:rsidR="00062DB8" w:rsidRPr="003D283D">
        <w:rPr>
          <w:szCs w:val="26"/>
        </w:rPr>
        <w:t>n August 2017</w:t>
      </w:r>
      <w:r w:rsidRPr="003D283D">
        <w:rPr>
          <w:szCs w:val="26"/>
        </w:rPr>
        <w:t xml:space="preserve">, </w:t>
      </w:r>
      <w:r w:rsidR="000C34B1" w:rsidRPr="003D283D">
        <w:rPr>
          <w:szCs w:val="26"/>
        </w:rPr>
        <w:t xml:space="preserve">respondents </w:t>
      </w:r>
      <w:r w:rsidR="00062DB8" w:rsidRPr="003D283D">
        <w:rPr>
          <w:szCs w:val="26"/>
        </w:rPr>
        <w:t xml:space="preserve">T.B. and C.B. filed a petition in Santa Barbara County Superior Court requesting </w:t>
      </w:r>
      <w:r w:rsidR="00912514" w:rsidRPr="003D283D">
        <w:rPr>
          <w:szCs w:val="26"/>
        </w:rPr>
        <w:t xml:space="preserve">that they be appointed as limited </w:t>
      </w:r>
      <w:proofErr w:type="spellStart"/>
      <w:r w:rsidR="00912514" w:rsidRPr="003D283D">
        <w:rPr>
          <w:szCs w:val="26"/>
        </w:rPr>
        <w:t>coconservators</w:t>
      </w:r>
      <w:proofErr w:type="spellEnd"/>
      <w:r w:rsidR="00062DB8" w:rsidRPr="003D283D">
        <w:rPr>
          <w:szCs w:val="26"/>
        </w:rPr>
        <w:t xml:space="preserve"> </w:t>
      </w:r>
      <w:r w:rsidR="00184444" w:rsidRPr="003D283D">
        <w:rPr>
          <w:szCs w:val="26"/>
        </w:rPr>
        <w:t>for</w:t>
      </w:r>
      <w:r w:rsidR="00062DB8" w:rsidRPr="003D283D">
        <w:rPr>
          <w:szCs w:val="26"/>
        </w:rPr>
        <w:t xml:space="preserve"> O.B., a young woman with</w:t>
      </w:r>
      <w:r w:rsidR="00D21B45" w:rsidRPr="003D283D">
        <w:rPr>
          <w:szCs w:val="26"/>
        </w:rPr>
        <w:t xml:space="preserve"> </w:t>
      </w:r>
      <w:r w:rsidR="00062DB8" w:rsidRPr="003D283D">
        <w:rPr>
          <w:szCs w:val="26"/>
        </w:rPr>
        <w:t>autism spectrum</w:t>
      </w:r>
      <w:r w:rsidR="00D21B45" w:rsidRPr="003D283D">
        <w:rPr>
          <w:szCs w:val="26"/>
        </w:rPr>
        <w:t xml:space="preserve"> disorder</w:t>
      </w:r>
      <w:r w:rsidR="00062DB8" w:rsidRPr="003D283D">
        <w:rPr>
          <w:szCs w:val="26"/>
        </w:rPr>
        <w:t xml:space="preserve">. </w:t>
      </w:r>
      <w:r w:rsidRPr="003D283D">
        <w:rPr>
          <w:szCs w:val="26"/>
        </w:rPr>
        <w:t xml:space="preserve"> </w:t>
      </w:r>
      <w:r w:rsidR="000C34B1" w:rsidRPr="003D283D">
        <w:rPr>
          <w:szCs w:val="26"/>
        </w:rPr>
        <w:t>T.B. and C.B. are O.B.’s mother and older sister, respectively</w:t>
      </w:r>
      <w:r w:rsidR="00062DB8" w:rsidRPr="003D283D">
        <w:rPr>
          <w:szCs w:val="26"/>
        </w:rPr>
        <w:t xml:space="preserve">. </w:t>
      </w:r>
      <w:r w:rsidR="000C34B1" w:rsidRPr="003D283D">
        <w:rPr>
          <w:szCs w:val="26"/>
        </w:rPr>
        <w:t xml:space="preserve"> </w:t>
      </w:r>
      <w:r w:rsidR="00062DB8" w:rsidRPr="003D283D">
        <w:rPr>
          <w:szCs w:val="26"/>
        </w:rPr>
        <w:t>At the time T.B. and C.B. filed their petition, O.B. was 18 years old and resided with her great-grandmother, L.K., in Santa Barbara County.</w:t>
      </w:r>
      <w:r w:rsidR="000C34B1" w:rsidRPr="003D283D">
        <w:rPr>
          <w:szCs w:val="26"/>
        </w:rPr>
        <w:t xml:space="preserve">  </w:t>
      </w:r>
    </w:p>
    <w:p w14:paraId="33455D2D" w14:textId="44912785" w:rsidR="00062DB8" w:rsidRPr="003D283D" w:rsidRDefault="00C8170B" w:rsidP="007F1BD8">
      <w:pPr>
        <w:ind w:firstLine="720"/>
        <w:rPr>
          <w:szCs w:val="26"/>
        </w:rPr>
      </w:pPr>
      <w:r w:rsidRPr="003D283D">
        <w:rPr>
          <w:szCs w:val="26"/>
        </w:rPr>
        <w:t>The</w:t>
      </w:r>
      <w:r w:rsidR="00062DB8" w:rsidRPr="003D283D">
        <w:rPr>
          <w:szCs w:val="26"/>
        </w:rPr>
        <w:t xml:space="preserve"> public defender was appointed as counsel for O.B</w:t>
      </w:r>
      <w:r w:rsidRPr="003D283D">
        <w:rPr>
          <w:szCs w:val="26"/>
        </w:rPr>
        <w:t>.</w:t>
      </w:r>
      <w:r w:rsidR="0099417D" w:rsidRPr="003D283D">
        <w:rPr>
          <w:szCs w:val="26"/>
        </w:rPr>
        <w:t xml:space="preserve"> </w:t>
      </w:r>
      <w:r w:rsidR="00067611" w:rsidRPr="003D283D">
        <w:rPr>
          <w:szCs w:val="26"/>
        </w:rPr>
        <w:t xml:space="preserve"> </w:t>
      </w:r>
      <w:r w:rsidR="0099417D" w:rsidRPr="003D283D">
        <w:rPr>
          <w:szCs w:val="26"/>
        </w:rPr>
        <w:t>(</w:t>
      </w:r>
      <w:r w:rsidR="00067611" w:rsidRPr="003D283D">
        <w:rPr>
          <w:szCs w:val="26"/>
        </w:rPr>
        <w:t>S</w:t>
      </w:r>
      <w:r w:rsidR="00BF05C9" w:rsidRPr="003D283D">
        <w:rPr>
          <w:szCs w:val="26"/>
        </w:rPr>
        <w:t xml:space="preserve">ee </w:t>
      </w:r>
      <w:r w:rsidR="0049136A" w:rsidRPr="003D283D">
        <w:rPr>
          <w:szCs w:val="26"/>
        </w:rPr>
        <w:t xml:space="preserve">Prob. Code, </w:t>
      </w:r>
      <w:r w:rsidRPr="003D283D">
        <w:rPr>
          <w:szCs w:val="26"/>
        </w:rPr>
        <w:t>§</w:t>
      </w:r>
      <w:r w:rsidR="0099417D" w:rsidRPr="003D283D">
        <w:rPr>
          <w:szCs w:val="26"/>
        </w:rPr>
        <w:t> 1471</w:t>
      </w:r>
      <w:r w:rsidR="00067611" w:rsidRPr="003D283D">
        <w:rPr>
          <w:szCs w:val="26"/>
        </w:rPr>
        <w:t>.</w:t>
      </w:r>
      <w:r w:rsidR="0099417D" w:rsidRPr="003D283D">
        <w:rPr>
          <w:szCs w:val="26"/>
        </w:rPr>
        <w:t>)</w:t>
      </w:r>
      <w:r w:rsidR="003522B9" w:rsidRPr="003D283D">
        <w:rPr>
          <w:szCs w:val="26"/>
        </w:rPr>
        <w:t xml:space="preserve"> </w:t>
      </w:r>
      <w:r w:rsidR="00062DB8" w:rsidRPr="003D283D">
        <w:rPr>
          <w:szCs w:val="26"/>
        </w:rPr>
        <w:t xml:space="preserve"> </w:t>
      </w:r>
      <w:r w:rsidR="00F77A88" w:rsidRPr="003D283D">
        <w:rPr>
          <w:szCs w:val="26"/>
        </w:rPr>
        <w:t>A</w:t>
      </w:r>
      <w:r w:rsidR="005A110F" w:rsidRPr="003D283D">
        <w:rPr>
          <w:szCs w:val="26"/>
        </w:rPr>
        <w:t xml:space="preserve"> contested</w:t>
      </w:r>
      <w:r w:rsidR="00184444" w:rsidRPr="003D283D">
        <w:rPr>
          <w:szCs w:val="26"/>
        </w:rPr>
        <w:t xml:space="preserve"> evidentiary</w:t>
      </w:r>
      <w:r w:rsidR="00062DB8" w:rsidRPr="003D283D">
        <w:rPr>
          <w:szCs w:val="26"/>
        </w:rPr>
        <w:t xml:space="preserve"> hearing </w:t>
      </w:r>
      <w:r w:rsidR="00F77A88" w:rsidRPr="003D283D">
        <w:rPr>
          <w:szCs w:val="26"/>
        </w:rPr>
        <w:t>was held</w:t>
      </w:r>
      <w:r w:rsidR="00E1502E" w:rsidRPr="003D283D">
        <w:rPr>
          <w:szCs w:val="26"/>
        </w:rPr>
        <w:t xml:space="preserve"> in the probate court</w:t>
      </w:r>
      <w:r w:rsidR="00F77A88" w:rsidRPr="003D283D">
        <w:rPr>
          <w:szCs w:val="26"/>
        </w:rPr>
        <w:t xml:space="preserve"> </w:t>
      </w:r>
      <w:r w:rsidR="00E1502E" w:rsidRPr="003D283D">
        <w:rPr>
          <w:szCs w:val="26"/>
        </w:rPr>
        <w:t>to determine</w:t>
      </w:r>
      <w:r w:rsidR="00062DB8" w:rsidRPr="003D283D">
        <w:rPr>
          <w:szCs w:val="26"/>
        </w:rPr>
        <w:t xml:space="preserve"> </w:t>
      </w:r>
      <w:r w:rsidR="003522B9" w:rsidRPr="003D283D">
        <w:rPr>
          <w:szCs w:val="26"/>
        </w:rPr>
        <w:t xml:space="preserve">whether </w:t>
      </w:r>
      <w:r w:rsidR="000C7147" w:rsidRPr="003D283D">
        <w:rPr>
          <w:szCs w:val="26"/>
        </w:rPr>
        <w:t xml:space="preserve">a </w:t>
      </w:r>
      <w:r w:rsidRPr="003D283D">
        <w:rPr>
          <w:szCs w:val="26"/>
        </w:rPr>
        <w:t xml:space="preserve">limited </w:t>
      </w:r>
      <w:r w:rsidR="000C7147" w:rsidRPr="003D283D">
        <w:rPr>
          <w:szCs w:val="26"/>
        </w:rPr>
        <w:t>conservatorship should be imposed</w:t>
      </w:r>
      <w:r w:rsidR="00184444" w:rsidRPr="003D283D">
        <w:rPr>
          <w:szCs w:val="26"/>
        </w:rPr>
        <w:t>.  This hearing</w:t>
      </w:r>
      <w:r w:rsidR="003522B9" w:rsidRPr="003D283D">
        <w:rPr>
          <w:szCs w:val="26"/>
        </w:rPr>
        <w:t xml:space="preserve"> </w:t>
      </w:r>
      <w:r w:rsidR="000C34B1" w:rsidRPr="003D283D">
        <w:rPr>
          <w:szCs w:val="26"/>
        </w:rPr>
        <w:t>was conducted across</w:t>
      </w:r>
      <w:r w:rsidR="00062DB8" w:rsidRPr="003D283D">
        <w:rPr>
          <w:szCs w:val="26"/>
        </w:rPr>
        <w:t xml:space="preserve"> </w:t>
      </w:r>
      <w:proofErr w:type="gramStart"/>
      <w:r w:rsidR="00062DB8" w:rsidRPr="003D283D">
        <w:rPr>
          <w:szCs w:val="26"/>
        </w:rPr>
        <w:t>several</w:t>
      </w:r>
      <w:proofErr w:type="gramEnd"/>
      <w:r w:rsidR="00062DB8" w:rsidRPr="003D283D">
        <w:rPr>
          <w:szCs w:val="26"/>
        </w:rPr>
        <w:t xml:space="preserve"> court sessions </w:t>
      </w:r>
      <w:r w:rsidR="00466E54" w:rsidRPr="003D283D">
        <w:rPr>
          <w:szCs w:val="26"/>
        </w:rPr>
        <w:t xml:space="preserve">occurring </w:t>
      </w:r>
      <w:r w:rsidR="00062DB8" w:rsidRPr="003D283D">
        <w:rPr>
          <w:szCs w:val="26"/>
        </w:rPr>
        <w:t>between September 2017 and May 2018</w:t>
      </w:r>
      <w:r w:rsidR="00E1502E" w:rsidRPr="003D283D">
        <w:rPr>
          <w:szCs w:val="26"/>
        </w:rPr>
        <w:t>, with the probate court judge sitting as the trier of fact</w:t>
      </w:r>
      <w:r w:rsidR="00062DB8" w:rsidRPr="003D283D">
        <w:rPr>
          <w:szCs w:val="26"/>
        </w:rPr>
        <w:t xml:space="preserve">.  </w:t>
      </w:r>
      <w:proofErr w:type="gramStart"/>
      <w:r w:rsidR="006B33F3" w:rsidRPr="003D283D">
        <w:rPr>
          <w:szCs w:val="26"/>
        </w:rPr>
        <w:t>Several</w:t>
      </w:r>
      <w:proofErr w:type="gramEnd"/>
      <w:r w:rsidR="006B33F3" w:rsidRPr="003D283D">
        <w:rPr>
          <w:szCs w:val="26"/>
        </w:rPr>
        <w:t xml:space="preserve"> witnesses testified at the hearing.  Among them, T.B., C.B., L.K., and</w:t>
      </w:r>
      <w:r w:rsidR="00204812" w:rsidRPr="003D283D">
        <w:rPr>
          <w:szCs w:val="26"/>
        </w:rPr>
        <w:t xml:space="preserve"> a cousin of</w:t>
      </w:r>
      <w:r w:rsidR="006B33F3" w:rsidRPr="003D283D">
        <w:rPr>
          <w:szCs w:val="26"/>
        </w:rPr>
        <w:t xml:space="preserve"> O.B. testified to their interactions with and observations of O.B.  Dr. Kathy </w:t>
      </w:r>
      <w:proofErr w:type="spellStart"/>
      <w:r w:rsidR="006B33F3" w:rsidRPr="003D283D">
        <w:rPr>
          <w:szCs w:val="26"/>
        </w:rPr>
        <w:t>Khoie</w:t>
      </w:r>
      <w:proofErr w:type="spellEnd"/>
      <w:r w:rsidR="006B33F3" w:rsidRPr="003D283D">
        <w:rPr>
          <w:szCs w:val="26"/>
        </w:rPr>
        <w:t xml:space="preserve">, a psychologist, testified that </w:t>
      </w:r>
      <w:proofErr w:type="gramStart"/>
      <w:r w:rsidR="006B33F3" w:rsidRPr="003D283D">
        <w:rPr>
          <w:szCs w:val="26"/>
        </w:rPr>
        <w:t>in her opinion</w:t>
      </w:r>
      <w:r w:rsidR="000C5F26" w:rsidRPr="003D283D">
        <w:rPr>
          <w:szCs w:val="26"/>
        </w:rPr>
        <w:t>,</w:t>
      </w:r>
      <w:r w:rsidR="006B33F3" w:rsidRPr="003D283D">
        <w:rPr>
          <w:szCs w:val="26"/>
        </w:rPr>
        <w:t xml:space="preserve"> O.B.</w:t>
      </w:r>
      <w:proofErr w:type="gramEnd"/>
      <w:r w:rsidR="006B33F3" w:rsidRPr="003D283D">
        <w:rPr>
          <w:szCs w:val="26"/>
        </w:rPr>
        <w:t xml:space="preserve"> was not a proper candidate for a limited conservatorship.  Christopher </w:t>
      </w:r>
      <w:proofErr w:type="spellStart"/>
      <w:r w:rsidR="006B33F3" w:rsidRPr="003D283D">
        <w:rPr>
          <w:szCs w:val="26"/>
        </w:rPr>
        <w:t>Donati</w:t>
      </w:r>
      <w:proofErr w:type="spellEnd"/>
      <w:r w:rsidR="006B33F3" w:rsidRPr="003D283D">
        <w:rPr>
          <w:szCs w:val="26"/>
        </w:rPr>
        <w:t>, a</w:t>
      </w:r>
      <w:r w:rsidR="00E95B23" w:rsidRPr="003D283D">
        <w:rPr>
          <w:szCs w:val="26"/>
        </w:rPr>
        <w:t>n</w:t>
      </w:r>
      <w:r w:rsidR="006B33F3" w:rsidRPr="003D283D">
        <w:rPr>
          <w:szCs w:val="26"/>
        </w:rPr>
        <w:t xml:space="preserve"> investigator with the Santa Barbara County Public Guardian’s Office, similarly testified that he did not feel a limited conservatorship was necessary. </w:t>
      </w:r>
    </w:p>
    <w:p w14:paraId="7BF4B27D" w14:textId="1A9434C8" w:rsidR="00062DB8" w:rsidRPr="003D283D" w:rsidRDefault="00062DB8" w:rsidP="004349A5">
      <w:pPr>
        <w:ind w:firstLine="720"/>
        <w:rPr>
          <w:szCs w:val="26"/>
        </w:rPr>
      </w:pPr>
      <w:r w:rsidRPr="003D283D">
        <w:rPr>
          <w:szCs w:val="26"/>
        </w:rPr>
        <w:t xml:space="preserve">Before ruling on </w:t>
      </w:r>
      <w:r w:rsidR="003B4F4E" w:rsidRPr="003D283D">
        <w:rPr>
          <w:szCs w:val="26"/>
        </w:rPr>
        <w:t>a limited</w:t>
      </w:r>
      <w:r w:rsidRPr="003D283D">
        <w:rPr>
          <w:szCs w:val="26"/>
        </w:rPr>
        <w:t xml:space="preserve"> conservatorship, the</w:t>
      </w:r>
      <w:r w:rsidR="00D8214C" w:rsidRPr="003D283D">
        <w:rPr>
          <w:szCs w:val="26"/>
        </w:rPr>
        <w:t xml:space="preserve"> judge</w:t>
      </w:r>
      <w:r w:rsidRPr="003D283D">
        <w:rPr>
          <w:szCs w:val="26"/>
        </w:rPr>
        <w:t xml:space="preserve"> stated that </w:t>
      </w:r>
      <w:r w:rsidR="00D8214C" w:rsidRPr="003D283D">
        <w:rPr>
          <w:szCs w:val="26"/>
        </w:rPr>
        <w:t>he</w:t>
      </w:r>
      <w:r w:rsidRPr="003D283D">
        <w:rPr>
          <w:szCs w:val="26"/>
        </w:rPr>
        <w:t xml:space="preserve"> had “been involved in </w:t>
      </w:r>
      <w:proofErr w:type="gramStart"/>
      <w:r w:rsidRPr="003D283D">
        <w:rPr>
          <w:szCs w:val="26"/>
        </w:rPr>
        <w:t>numerous</w:t>
      </w:r>
      <w:proofErr w:type="gramEnd"/>
      <w:r w:rsidRPr="003D283D">
        <w:rPr>
          <w:szCs w:val="26"/>
        </w:rPr>
        <w:t xml:space="preserve"> hearings, and [O.B.] has been at all of them or most of them.  </w:t>
      </w:r>
      <w:proofErr w:type="gramStart"/>
      <w:r w:rsidRPr="003D283D">
        <w:rPr>
          <w:szCs w:val="26"/>
        </w:rPr>
        <w:t>So</w:t>
      </w:r>
      <w:proofErr w:type="gramEnd"/>
      <w:r w:rsidRPr="003D283D">
        <w:rPr>
          <w:szCs w:val="26"/>
        </w:rPr>
        <w:t xml:space="preserve"> in addition to some of the different witnesses I am entitled to base my decision based in part on my own observation of [O.B.] at the proceedings.”  </w:t>
      </w:r>
      <w:r w:rsidR="00A60072" w:rsidRPr="003D283D">
        <w:rPr>
          <w:szCs w:val="26"/>
        </w:rPr>
        <w:t>T</w:t>
      </w:r>
      <w:r w:rsidRPr="003D283D">
        <w:rPr>
          <w:szCs w:val="26"/>
        </w:rPr>
        <w:t xml:space="preserve">he </w:t>
      </w:r>
      <w:r w:rsidR="00F77A88" w:rsidRPr="003D283D">
        <w:rPr>
          <w:szCs w:val="26"/>
        </w:rPr>
        <w:t>judge</w:t>
      </w:r>
      <w:r w:rsidRPr="003D283D">
        <w:rPr>
          <w:szCs w:val="26"/>
        </w:rPr>
        <w:t xml:space="preserve"> found that a limited conservatorship </w:t>
      </w:r>
      <w:r w:rsidRPr="003D283D">
        <w:rPr>
          <w:szCs w:val="26"/>
        </w:rPr>
        <w:lastRenderedPageBreak/>
        <w:t xml:space="preserve">was </w:t>
      </w:r>
      <w:r w:rsidR="00A60072" w:rsidRPr="003D283D">
        <w:rPr>
          <w:szCs w:val="26"/>
        </w:rPr>
        <w:t>“</w:t>
      </w:r>
      <w:r w:rsidRPr="003D283D">
        <w:rPr>
          <w:szCs w:val="26"/>
        </w:rPr>
        <w:t>appropriate</w:t>
      </w:r>
      <w:r w:rsidR="00A60072" w:rsidRPr="003D283D">
        <w:rPr>
          <w:szCs w:val="26"/>
        </w:rPr>
        <w:t xml:space="preserve">” and appointed T.B. and C.B. as limited </w:t>
      </w:r>
      <w:proofErr w:type="spellStart"/>
      <w:r w:rsidR="00466E54" w:rsidRPr="003D283D">
        <w:rPr>
          <w:szCs w:val="26"/>
        </w:rPr>
        <w:t>co</w:t>
      </w:r>
      <w:r w:rsidR="00A60072" w:rsidRPr="003D283D">
        <w:rPr>
          <w:szCs w:val="26"/>
        </w:rPr>
        <w:t>conservators</w:t>
      </w:r>
      <w:proofErr w:type="spellEnd"/>
      <w:r w:rsidRPr="003D283D">
        <w:rPr>
          <w:szCs w:val="26"/>
        </w:rPr>
        <w:t xml:space="preserve">. </w:t>
      </w:r>
      <w:r w:rsidR="004B3F76" w:rsidRPr="003D283D">
        <w:rPr>
          <w:szCs w:val="26"/>
        </w:rPr>
        <w:t xml:space="preserve"> </w:t>
      </w:r>
      <w:r w:rsidR="005B761C" w:rsidRPr="003D283D">
        <w:rPr>
          <w:szCs w:val="26"/>
        </w:rPr>
        <w:t xml:space="preserve">The parties were asked if any requested a statement of decision.  No one did, and the </w:t>
      </w:r>
      <w:r w:rsidR="00F77A88" w:rsidRPr="003D283D">
        <w:rPr>
          <w:szCs w:val="26"/>
        </w:rPr>
        <w:t>judge</w:t>
      </w:r>
      <w:r w:rsidR="005B761C" w:rsidRPr="003D283D">
        <w:rPr>
          <w:szCs w:val="26"/>
        </w:rPr>
        <w:t xml:space="preserve"> did not otherwise </w:t>
      </w:r>
      <w:r w:rsidR="009F02F0" w:rsidRPr="003D283D">
        <w:rPr>
          <w:szCs w:val="26"/>
        </w:rPr>
        <w:t xml:space="preserve">explain in </w:t>
      </w:r>
      <w:r w:rsidR="00F77A88" w:rsidRPr="003D283D">
        <w:rPr>
          <w:szCs w:val="26"/>
        </w:rPr>
        <w:t>detail</w:t>
      </w:r>
      <w:r w:rsidR="005B761C" w:rsidRPr="003D283D">
        <w:rPr>
          <w:szCs w:val="26"/>
        </w:rPr>
        <w:t xml:space="preserve"> how </w:t>
      </w:r>
      <w:r w:rsidR="00F77A88" w:rsidRPr="003D283D">
        <w:rPr>
          <w:szCs w:val="26"/>
        </w:rPr>
        <w:t>he</w:t>
      </w:r>
      <w:r w:rsidR="005B761C" w:rsidRPr="003D283D">
        <w:rPr>
          <w:szCs w:val="26"/>
        </w:rPr>
        <w:t xml:space="preserve"> had arrived at </w:t>
      </w:r>
      <w:r w:rsidR="00F77A88" w:rsidRPr="003D283D">
        <w:rPr>
          <w:szCs w:val="26"/>
        </w:rPr>
        <w:t>his</w:t>
      </w:r>
      <w:r w:rsidR="005B761C" w:rsidRPr="003D283D">
        <w:rPr>
          <w:szCs w:val="26"/>
        </w:rPr>
        <w:t xml:space="preserve"> findings.  </w:t>
      </w:r>
      <w:r w:rsidR="00F77A88" w:rsidRPr="003D283D">
        <w:rPr>
          <w:szCs w:val="26"/>
        </w:rPr>
        <w:t>He said, “I can go through and comment on everybody’s testimony.  I don’t see any reason to do that.  T</w:t>
      </w:r>
      <w:r w:rsidR="005B761C" w:rsidRPr="003D283D">
        <w:rPr>
          <w:szCs w:val="26"/>
        </w:rPr>
        <w:t xml:space="preserve">he reviewing court can look at the record.”  </w:t>
      </w:r>
    </w:p>
    <w:p w14:paraId="1637DFEE" w14:textId="07BA0D4E" w:rsidR="00062DB8" w:rsidRPr="003D283D" w:rsidRDefault="00062DB8" w:rsidP="004F2574">
      <w:pPr>
        <w:ind w:firstLine="720"/>
        <w:rPr>
          <w:szCs w:val="26"/>
        </w:rPr>
      </w:pPr>
      <w:r w:rsidRPr="003D283D">
        <w:rPr>
          <w:szCs w:val="26"/>
        </w:rPr>
        <w:t xml:space="preserve">O.B. appealed, raising </w:t>
      </w:r>
      <w:proofErr w:type="gramStart"/>
      <w:r w:rsidRPr="003D283D">
        <w:rPr>
          <w:szCs w:val="26"/>
        </w:rPr>
        <w:t>several</w:t>
      </w:r>
      <w:proofErr w:type="gramEnd"/>
      <w:r w:rsidRPr="003D283D">
        <w:rPr>
          <w:szCs w:val="26"/>
        </w:rPr>
        <w:t xml:space="preserve"> claims of error.  The Court of Appeal affirmed.  As relevant here, the </w:t>
      </w:r>
      <w:r w:rsidR="006C217F" w:rsidRPr="003D283D">
        <w:rPr>
          <w:szCs w:val="26"/>
        </w:rPr>
        <w:t>appellate court</w:t>
      </w:r>
      <w:r w:rsidRPr="003D283D">
        <w:rPr>
          <w:szCs w:val="26"/>
        </w:rPr>
        <w:t xml:space="preserve"> </w:t>
      </w:r>
      <w:r w:rsidR="00650737" w:rsidRPr="003D283D">
        <w:rPr>
          <w:szCs w:val="26"/>
        </w:rPr>
        <w:t>rejected O.B.’s argument</w:t>
      </w:r>
      <w:r w:rsidRPr="003D283D">
        <w:rPr>
          <w:szCs w:val="26"/>
        </w:rPr>
        <w:t xml:space="preserve"> </w:t>
      </w:r>
      <w:r w:rsidR="00E95B23" w:rsidRPr="003D283D">
        <w:rPr>
          <w:szCs w:val="26"/>
        </w:rPr>
        <w:t xml:space="preserve">that </w:t>
      </w:r>
      <w:r w:rsidRPr="003D283D">
        <w:rPr>
          <w:szCs w:val="26"/>
        </w:rPr>
        <w:t>the</w:t>
      </w:r>
      <w:r w:rsidR="00650737" w:rsidRPr="003D283D">
        <w:rPr>
          <w:szCs w:val="26"/>
        </w:rPr>
        <w:t xml:space="preserve"> evidence before the </w:t>
      </w:r>
      <w:r w:rsidR="00F77A88" w:rsidRPr="003D283D">
        <w:rPr>
          <w:szCs w:val="26"/>
        </w:rPr>
        <w:t>probate</w:t>
      </w:r>
      <w:r w:rsidR="00650737" w:rsidRPr="003D283D">
        <w:rPr>
          <w:szCs w:val="26"/>
        </w:rPr>
        <w:t xml:space="preserve"> court was </w:t>
      </w:r>
      <w:r w:rsidR="00627361" w:rsidRPr="003D283D">
        <w:rPr>
          <w:szCs w:val="26"/>
        </w:rPr>
        <w:t>insufficient</w:t>
      </w:r>
      <w:r w:rsidRPr="003D283D">
        <w:rPr>
          <w:szCs w:val="26"/>
        </w:rPr>
        <w:t xml:space="preserve"> </w:t>
      </w:r>
      <w:r w:rsidR="00D7442F" w:rsidRPr="003D283D">
        <w:rPr>
          <w:szCs w:val="26"/>
        </w:rPr>
        <w:t xml:space="preserve">to </w:t>
      </w:r>
      <w:r w:rsidR="00E2273E" w:rsidRPr="003D283D">
        <w:rPr>
          <w:szCs w:val="26"/>
        </w:rPr>
        <w:t>justify the appointment of</w:t>
      </w:r>
      <w:r w:rsidR="00D7442F" w:rsidRPr="003D283D">
        <w:rPr>
          <w:szCs w:val="26"/>
        </w:rPr>
        <w:t xml:space="preserve"> limited </w:t>
      </w:r>
      <w:proofErr w:type="spellStart"/>
      <w:r w:rsidR="00A70692" w:rsidRPr="003D283D">
        <w:rPr>
          <w:szCs w:val="26"/>
        </w:rPr>
        <w:t>co</w:t>
      </w:r>
      <w:r w:rsidR="00E2273E" w:rsidRPr="003D283D">
        <w:rPr>
          <w:szCs w:val="26"/>
        </w:rPr>
        <w:t>conservators</w:t>
      </w:r>
      <w:proofErr w:type="spellEnd"/>
      <w:r w:rsidRPr="003D283D">
        <w:rPr>
          <w:szCs w:val="26"/>
        </w:rPr>
        <w:t xml:space="preserve">.  </w:t>
      </w:r>
      <w:r w:rsidR="0020518D" w:rsidRPr="003D283D">
        <w:rPr>
          <w:szCs w:val="26"/>
        </w:rPr>
        <w:t>In making this argument</w:t>
      </w:r>
      <w:r w:rsidR="00650737" w:rsidRPr="003D283D">
        <w:rPr>
          <w:szCs w:val="26"/>
        </w:rPr>
        <w:t>,</w:t>
      </w:r>
      <w:r w:rsidRPr="003D283D">
        <w:rPr>
          <w:szCs w:val="26"/>
        </w:rPr>
        <w:t xml:space="preserve"> O.B. explained that the clear and convincing standard of proof applie</w:t>
      </w:r>
      <w:r w:rsidR="00BF05C9" w:rsidRPr="003D283D">
        <w:rPr>
          <w:szCs w:val="26"/>
        </w:rPr>
        <w:t>s</w:t>
      </w:r>
      <w:r w:rsidRPr="003D283D">
        <w:rPr>
          <w:szCs w:val="26"/>
        </w:rPr>
        <w:t xml:space="preserve"> to the decision to </w:t>
      </w:r>
      <w:r w:rsidR="00365F68" w:rsidRPr="003D283D">
        <w:rPr>
          <w:szCs w:val="26"/>
        </w:rPr>
        <w:t>appoint</w:t>
      </w:r>
      <w:r w:rsidRPr="003D283D">
        <w:rPr>
          <w:szCs w:val="26"/>
        </w:rPr>
        <w:t xml:space="preserve"> a limited conservator and argued that the Court of Appeal “must apply the same standard in determining whether ‘substantial evidence’ supports the judgment.”  </w:t>
      </w:r>
      <w:r w:rsidR="00824BA8" w:rsidRPr="003D283D">
        <w:rPr>
          <w:szCs w:val="26"/>
        </w:rPr>
        <w:t>(</w:t>
      </w:r>
      <w:r w:rsidR="00824BA8" w:rsidRPr="003D283D">
        <w:rPr>
          <w:i/>
          <w:iCs/>
          <w:szCs w:val="26"/>
        </w:rPr>
        <w:t>Conservatorship of O.B.</w:t>
      </w:r>
      <w:r w:rsidR="00244799" w:rsidRPr="003D283D">
        <w:rPr>
          <w:szCs w:val="26"/>
        </w:rPr>
        <w:t xml:space="preserve">, </w:t>
      </w:r>
      <w:r w:rsidR="00244799" w:rsidRPr="003D283D">
        <w:rPr>
          <w:i/>
          <w:iCs/>
          <w:szCs w:val="26"/>
        </w:rPr>
        <w:t>supra</w:t>
      </w:r>
      <w:r w:rsidR="00244799" w:rsidRPr="003D283D">
        <w:rPr>
          <w:szCs w:val="26"/>
        </w:rPr>
        <w:t xml:space="preserve">, </w:t>
      </w:r>
      <w:r w:rsidR="00824BA8" w:rsidRPr="003D283D">
        <w:rPr>
          <w:szCs w:val="26"/>
        </w:rPr>
        <w:t xml:space="preserve">32 Cal.App.5th </w:t>
      </w:r>
      <w:r w:rsidR="00244799" w:rsidRPr="003D283D">
        <w:rPr>
          <w:szCs w:val="26"/>
        </w:rPr>
        <w:t>at p.</w:t>
      </w:r>
      <w:r w:rsidR="00824BA8" w:rsidRPr="003D283D">
        <w:rPr>
          <w:szCs w:val="26"/>
        </w:rPr>
        <w:t xml:space="preserve"> 633.)  </w:t>
      </w:r>
      <w:r w:rsidR="00650737" w:rsidRPr="003D283D">
        <w:rPr>
          <w:szCs w:val="26"/>
        </w:rPr>
        <w:t xml:space="preserve">In finding the evidence </w:t>
      </w:r>
      <w:proofErr w:type="gramStart"/>
      <w:r w:rsidR="00650737" w:rsidRPr="003D283D">
        <w:rPr>
          <w:szCs w:val="26"/>
        </w:rPr>
        <w:t>sufficient</w:t>
      </w:r>
      <w:proofErr w:type="gramEnd"/>
      <w:r w:rsidR="00650737" w:rsidRPr="003D283D">
        <w:rPr>
          <w:szCs w:val="26"/>
        </w:rPr>
        <w:t>, the Court of Appeal observed that, contrary to O.B.’s position,</w:t>
      </w:r>
      <w:r w:rsidRPr="003D283D">
        <w:rPr>
          <w:szCs w:val="26"/>
        </w:rPr>
        <w:t xml:space="preserve"> “</w:t>
      </w:r>
      <w:r w:rsidR="00E51377" w:rsidRPr="003D283D">
        <w:rPr>
          <w:szCs w:val="26"/>
        </w:rPr>
        <w:t> </w:t>
      </w:r>
      <w:r w:rsidRPr="003D283D">
        <w:rPr>
          <w:szCs w:val="26"/>
        </w:rPr>
        <w:t>‘The “clear and convincing” standard</w:t>
      </w:r>
      <w:r w:rsidR="008D18C6" w:rsidRPr="003D283D">
        <w:rPr>
          <w:szCs w:val="26"/>
        </w:rPr>
        <w:t> </w:t>
      </w:r>
      <w:r w:rsidRPr="003D283D">
        <w:rPr>
          <w:szCs w:val="26"/>
        </w:rPr>
        <w:t>. . . is for the edification and guidance of the trial court and not a standard for appellate review.  [Citations.]  “</w:t>
      </w:r>
      <w:r w:rsidR="00D7442F" w:rsidRPr="003D283D">
        <w:rPr>
          <w:szCs w:val="26"/>
        </w:rPr>
        <w:t> </w:t>
      </w:r>
      <w:r w:rsidRPr="003D283D">
        <w:rPr>
          <w:szCs w:val="26"/>
        </w:rPr>
        <w:t>‘The sufficiency of evidence to establish a given fact, where the law requires proof of the fact to be clear and convincing, is primarily a question for the trial court to determine, and if there is substantial evidence to support its conclusion, the determination is not open to review on appeal.’  [Citations.]”  [Citation.]  Thus, on appeal from a judgment required to be based upon clear and convincing evidence, “the clear and convincing test disappears</w:t>
      </w:r>
      <w:r w:rsidR="00FA4B85" w:rsidRPr="003D283D">
        <w:rPr>
          <w:szCs w:val="26"/>
        </w:rPr>
        <w:t> </w:t>
      </w:r>
      <w:r w:rsidRPr="003D283D">
        <w:rPr>
          <w:szCs w:val="26"/>
        </w:rPr>
        <w:t xml:space="preserve">. . . [and] the usual rule of conflicting evidence is applied, giving full effect to the respondent’s evidence, however slight, and disregarding the </w:t>
      </w:r>
      <w:r w:rsidRPr="003D283D">
        <w:rPr>
          <w:szCs w:val="26"/>
        </w:rPr>
        <w:lastRenderedPageBreak/>
        <w:t>appellant’s evidence, however strong.”</w:t>
      </w:r>
      <w:r w:rsidR="00E51377" w:rsidRPr="003D283D">
        <w:rPr>
          <w:szCs w:val="26"/>
        </w:rPr>
        <w:t xml:space="preserve">  [Citation.]</w:t>
      </w:r>
      <w:r w:rsidR="00F54B81" w:rsidRPr="003D283D">
        <w:rPr>
          <w:szCs w:val="26"/>
        </w:rPr>
        <w:t>’</w:t>
      </w:r>
      <w:r w:rsidR="00E51377" w:rsidRPr="003D283D">
        <w:rPr>
          <w:szCs w:val="26"/>
        </w:rPr>
        <w:t xml:space="preserve">  [Citation.]”  </w:t>
      </w:r>
      <w:r w:rsidRPr="003D283D">
        <w:rPr>
          <w:szCs w:val="26"/>
        </w:rPr>
        <w:t>(</w:t>
      </w:r>
      <w:r w:rsidR="00824BA8" w:rsidRPr="003D283D">
        <w:rPr>
          <w:i/>
          <w:iCs/>
          <w:szCs w:val="26"/>
        </w:rPr>
        <w:t>Id</w:t>
      </w:r>
      <w:r w:rsidR="00824BA8" w:rsidRPr="003D283D">
        <w:rPr>
          <w:szCs w:val="26"/>
        </w:rPr>
        <w:t>.</w:t>
      </w:r>
      <w:r w:rsidR="0020518D" w:rsidRPr="003D283D">
        <w:rPr>
          <w:szCs w:val="26"/>
        </w:rPr>
        <w:t>,</w:t>
      </w:r>
      <w:r w:rsidR="00341E32" w:rsidRPr="003D283D">
        <w:rPr>
          <w:szCs w:val="26"/>
        </w:rPr>
        <w:t xml:space="preserve"> </w:t>
      </w:r>
      <w:r w:rsidR="00824BA8" w:rsidRPr="003D283D">
        <w:rPr>
          <w:szCs w:val="26"/>
        </w:rPr>
        <w:t xml:space="preserve">at pp. </w:t>
      </w:r>
      <w:r w:rsidR="00341E32" w:rsidRPr="003D283D">
        <w:rPr>
          <w:szCs w:val="26"/>
        </w:rPr>
        <w:t>633-634</w:t>
      </w:r>
      <w:r w:rsidR="006B33F3" w:rsidRPr="003D283D">
        <w:rPr>
          <w:szCs w:val="26"/>
        </w:rPr>
        <w:t>.)</w:t>
      </w:r>
      <w:r w:rsidRPr="003D283D">
        <w:rPr>
          <w:rStyle w:val="FootnoteReference"/>
          <w:bCs/>
        </w:rPr>
        <w:footnoteReference w:id="2"/>
      </w:r>
    </w:p>
    <w:p w14:paraId="78966DD2" w14:textId="48578AC3" w:rsidR="00062DB8" w:rsidRPr="003D283D" w:rsidRDefault="00062DB8" w:rsidP="007F1BD8">
      <w:pPr>
        <w:ind w:firstLine="720"/>
        <w:rPr>
          <w:szCs w:val="26"/>
        </w:rPr>
      </w:pPr>
      <w:r w:rsidRPr="003D283D">
        <w:rPr>
          <w:szCs w:val="26"/>
        </w:rPr>
        <w:t>We granted review</w:t>
      </w:r>
      <w:r w:rsidR="00650737" w:rsidRPr="003D283D">
        <w:rPr>
          <w:szCs w:val="26"/>
        </w:rPr>
        <w:t>.</w:t>
      </w:r>
    </w:p>
    <w:p w14:paraId="3E00129E" w14:textId="254560E2" w:rsidR="00062DB8" w:rsidRPr="003D283D" w:rsidRDefault="00062DB8" w:rsidP="00F776FE">
      <w:pPr>
        <w:keepNext/>
        <w:jc w:val="center"/>
        <w:rPr>
          <w:b/>
          <w:bCs/>
          <w:smallCaps/>
          <w:szCs w:val="26"/>
        </w:rPr>
      </w:pPr>
      <w:r w:rsidRPr="003D283D">
        <w:rPr>
          <w:b/>
          <w:bCs/>
          <w:smallCaps/>
          <w:szCs w:val="26"/>
        </w:rPr>
        <w:t xml:space="preserve">II. </w:t>
      </w:r>
      <w:r w:rsidR="006C217F" w:rsidRPr="003D283D">
        <w:rPr>
          <w:b/>
          <w:bCs/>
          <w:smallCaps/>
          <w:szCs w:val="26"/>
        </w:rPr>
        <w:t xml:space="preserve"> </w:t>
      </w:r>
      <w:r w:rsidRPr="003D283D">
        <w:rPr>
          <w:b/>
          <w:bCs/>
          <w:smallCaps/>
          <w:szCs w:val="26"/>
        </w:rPr>
        <w:t>Discussion</w:t>
      </w:r>
    </w:p>
    <w:p w14:paraId="23D6FEA8" w14:textId="41A5E697" w:rsidR="00062DB8" w:rsidRPr="003D283D" w:rsidRDefault="00650737" w:rsidP="00730887">
      <w:pPr>
        <w:keepNext/>
        <w:ind w:firstLine="720"/>
        <w:rPr>
          <w:szCs w:val="26"/>
        </w:rPr>
      </w:pPr>
      <w:r w:rsidRPr="003D283D">
        <w:rPr>
          <w:szCs w:val="26"/>
        </w:rPr>
        <w:t>Our</w:t>
      </w:r>
      <w:r w:rsidR="006C217F" w:rsidRPr="003D283D">
        <w:rPr>
          <w:szCs w:val="26"/>
        </w:rPr>
        <w:t xml:space="preserve"> analysis of the issue</w:t>
      </w:r>
      <w:r w:rsidR="004649AA" w:rsidRPr="003D283D">
        <w:rPr>
          <w:szCs w:val="26"/>
        </w:rPr>
        <w:t xml:space="preserve"> before us</w:t>
      </w:r>
      <w:r w:rsidR="00062DB8" w:rsidRPr="003D283D">
        <w:rPr>
          <w:szCs w:val="26"/>
        </w:rPr>
        <w:t xml:space="preserve"> begins with</w:t>
      </w:r>
      <w:r w:rsidR="008D18C6" w:rsidRPr="003D283D">
        <w:rPr>
          <w:szCs w:val="26"/>
        </w:rPr>
        <w:t xml:space="preserve"> an</w:t>
      </w:r>
      <w:r w:rsidR="00062DB8" w:rsidRPr="003D283D">
        <w:rPr>
          <w:szCs w:val="26"/>
        </w:rPr>
        <w:t xml:space="preserve"> explanation of the clear and convincing </w:t>
      </w:r>
      <w:r w:rsidR="00803F74" w:rsidRPr="003D283D">
        <w:rPr>
          <w:szCs w:val="26"/>
        </w:rPr>
        <w:t>standard</w:t>
      </w:r>
      <w:r w:rsidR="00062DB8" w:rsidRPr="003D283D">
        <w:rPr>
          <w:szCs w:val="26"/>
        </w:rPr>
        <w:t xml:space="preserve"> of proof and </w:t>
      </w:r>
      <w:r w:rsidR="008D18C6" w:rsidRPr="003D283D">
        <w:rPr>
          <w:szCs w:val="26"/>
        </w:rPr>
        <w:t xml:space="preserve">a </w:t>
      </w:r>
      <w:r w:rsidR="00BF05C9" w:rsidRPr="003D283D">
        <w:rPr>
          <w:szCs w:val="26"/>
        </w:rPr>
        <w:t>survey</w:t>
      </w:r>
      <w:r w:rsidR="008D18C6" w:rsidRPr="003D283D">
        <w:rPr>
          <w:szCs w:val="26"/>
        </w:rPr>
        <w:t xml:space="preserve"> of </w:t>
      </w:r>
      <w:r w:rsidR="00062DB8" w:rsidRPr="003D283D">
        <w:rPr>
          <w:szCs w:val="26"/>
        </w:rPr>
        <w:t xml:space="preserve">its various applications.  </w:t>
      </w:r>
      <w:r w:rsidR="00173AEC" w:rsidRPr="003D283D">
        <w:rPr>
          <w:szCs w:val="26"/>
        </w:rPr>
        <w:t>We next</w:t>
      </w:r>
      <w:r w:rsidR="00062DB8" w:rsidRPr="003D283D">
        <w:rPr>
          <w:szCs w:val="26"/>
        </w:rPr>
        <w:t xml:space="preserve"> </w:t>
      </w:r>
      <w:r w:rsidR="001A75DB" w:rsidRPr="003D283D">
        <w:rPr>
          <w:szCs w:val="26"/>
        </w:rPr>
        <w:t xml:space="preserve">assess how </w:t>
      </w:r>
      <w:r w:rsidR="004F2574" w:rsidRPr="003D283D">
        <w:rPr>
          <w:szCs w:val="26"/>
        </w:rPr>
        <w:t>appellate</w:t>
      </w:r>
      <w:r w:rsidR="001A75DB" w:rsidRPr="003D283D">
        <w:rPr>
          <w:szCs w:val="26"/>
        </w:rPr>
        <w:t xml:space="preserve"> courts have </w:t>
      </w:r>
      <w:r w:rsidR="004F2574" w:rsidRPr="003D283D">
        <w:rPr>
          <w:szCs w:val="26"/>
        </w:rPr>
        <w:t>perceived</w:t>
      </w:r>
      <w:r w:rsidR="001A75DB" w:rsidRPr="003D283D">
        <w:rPr>
          <w:szCs w:val="26"/>
        </w:rPr>
        <w:t xml:space="preserve"> their role in </w:t>
      </w:r>
      <w:r w:rsidR="004F2574" w:rsidRPr="003D283D">
        <w:rPr>
          <w:szCs w:val="26"/>
        </w:rPr>
        <w:t>reviewing</w:t>
      </w:r>
      <w:r w:rsidR="00062DB8" w:rsidRPr="003D283D">
        <w:rPr>
          <w:szCs w:val="26"/>
        </w:rPr>
        <w:t xml:space="preserve"> </w:t>
      </w:r>
      <w:r w:rsidR="00C25BCC" w:rsidRPr="003D283D">
        <w:rPr>
          <w:szCs w:val="26"/>
        </w:rPr>
        <w:t xml:space="preserve">claims that </w:t>
      </w:r>
      <w:r w:rsidR="00340916" w:rsidRPr="003D283D">
        <w:rPr>
          <w:szCs w:val="26"/>
        </w:rPr>
        <w:t xml:space="preserve">the </w:t>
      </w:r>
      <w:r w:rsidR="00C25BCC" w:rsidRPr="003D283D">
        <w:rPr>
          <w:szCs w:val="26"/>
        </w:rPr>
        <w:t>evidence before the trial court did or did not satisfy the clear and convincing standard</w:t>
      </w:r>
      <w:r w:rsidR="00062DB8" w:rsidRPr="003D283D">
        <w:rPr>
          <w:szCs w:val="26"/>
        </w:rPr>
        <w:t xml:space="preserve">.  </w:t>
      </w:r>
      <w:r w:rsidR="004F2574" w:rsidRPr="003D283D">
        <w:rPr>
          <w:szCs w:val="26"/>
        </w:rPr>
        <w:t>Ultimately, we conclude that</w:t>
      </w:r>
      <w:r w:rsidR="00173AEC" w:rsidRPr="003D283D">
        <w:rPr>
          <w:szCs w:val="26"/>
        </w:rPr>
        <w:t xml:space="preserve"> logic, </w:t>
      </w:r>
      <w:r w:rsidR="00117DD7" w:rsidRPr="003D283D">
        <w:rPr>
          <w:szCs w:val="26"/>
        </w:rPr>
        <w:t xml:space="preserve">sound policy, and </w:t>
      </w:r>
      <w:r w:rsidR="00173AEC" w:rsidRPr="003D283D">
        <w:rPr>
          <w:szCs w:val="26"/>
        </w:rPr>
        <w:t>precedent</w:t>
      </w:r>
      <w:r w:rsidR="00117DD7" w:rsidRPr="003D283D">
        <w:rPr>
          <w:szCs w:val="26"/>
        </w:rPr>
        <w:t xml:space="preserve"> </w:t>
      </w:r>
      <w:r w:rsidR="004F2574" w:rsidRPr="003D283D">
        <w:rPr>
          <w:szCs w:val="26"/>
        </w:rPr>
        <w:t>all point toward the same conclusion</w:t>
      </w:r>
      <w:r w:rsidR="00530E84" w:rsidRPr="003D283D">
        <w:rPr>
          <w:szCs w:val="26"/>
        </w:rPr>
        <w:t xml:space="preserve">:  When </w:t>
      </w:r>
      <w:r w:rsidR="00C25BCC" w:rsidRPr="003D283D">
        <w:rPr>
          <w:szCs w:val="26"/>
        </w:rPr>
        <w:t>reviewing a finding</w:t>
      </w:r>
      <w:r w:rsidR="00530E84" w:rsidRPr="003D283D">
        <w:rPr>
          <w:szCs w:val="26"/>
        </w:rPr>
        <w:t xml:space="preserve"> made </w:t>
      </w:r>
      <w:r w:rsidR="00C25BCC" w:rsidRPr="003D283D">
        <w:rPr>
          <w:szCs w:val="26"/>
        </w:rPr>
        <w:t>pursuant to the</w:t>
      </w:r>
      <w:r w:rsidR="00530E84" w:rsidRPr="003D283D">
        <w:rPr>
          <w:szCs w:val="26"/>
        </w:rPr>
        <w:t xml:space="preserve"> clear and convincing </w:t>
      </w:r>
      <w:r w:rsidR="00C25BCC" w:rsidRPr="003D283D">
        <w:rPr>
          <w:szCs w:val="26"/>
        </w:rPr>
        <w:t>standard</w:t>
      </w:r>
      <w:r w:rsidR="008B49F6" w:rsidRPr="003D283D">
        <w:rPr>
          <w:szCs w:val="26"/>
        </w:rPr>
        <w:t xml:space="preserve"> of proof</w:t>
      </w:r>
      <w:r w:rsidR="00530E84" w:rsidRPr="003D283D">
        <w:rPr>
          <w:szCs w:val="26"/>
        </w:rPr>
        <w:t xml:space="preserve">, </w:t>
      </w:r>
      <w:r w:rsidR="00E63714" w:rsidRPr="003D283D">
        <w:rPr>
          <w:szCs w:val="26"/>
        </w:rPr>
        <w:t xml:space="preserve">an </w:t>
      </w:r>
      <w:r w:rsidR="00530E84" w:rsidRPr="003D283D">
        <w:rPr>
          <w:szCs w:val="26"/>
        </w:rPr>
        <w:t>a</w:t>
      </w:r>
      <w:r w:rsidR="00365F68" w:rsidRPr="003D283D">
        <w:rPr>
          <w:szCs w:val="26"/>
        </w:rPr>
        <w:t xml:space="preserve">ppellate court </w:t>
      </w:r>
      <w:r w:rsidR="004F2574" w:rsidRPr="003D283D">
        <w:rPr>
          <w:iCs/>
          <w:szCs w:val="26"/>
        </w:rPr>
        <w:t>must</w:t>
      </w:r>
      <w:r w:rsidR="00365F68" w:rsidRPr="003D283D">
        <w:rPr>
          <w:szCs w:val="26"/>
        </w:rPr>
        <w:t xml:space="preserve"> </w:t>
      </w:r>
      <w:r w:rsidR="008B49F6" w:rsidRPr="003D283D">
        <w:rPr>
          <w:szCs w:val="26"/>
        </w:rPr>
        <w:t xml:space="preserve">attune </w:t>
      </w:r>
      <w:r w:rsidR="00E63714" w:rsidRPr="003D283D">
        <w:rPr>
          <w:szCs w:val="26"/>
        </w:rPr>
        <w:t>its</w:t>
      </w:r>
      <w:r w:rsidR="00530E84" w:rsidRPr="003D283D">
        <w:rPr>
          <w:szCs w:val="26"/>
        </w:rPr>
        <w:t xml:space="preserve"> review </w:t>
      </w:r>
      <w:r w:rsidR="00C25BCC" w:rsidRPr="003D283D">
        <w:rPr>
          <w:szCs w:val="26"/>
        </w:rPr>
        <w:t xml:space="preserve">for </w:t>
      </w:r>
      <w:r w:rsidR="008B49F6" w:rsidRPr="003D283D">
        <w:rPr>
          <w:szCs w:val="26"/>
        </w:rPr>
        <w:t>substantial</w:t>
      </w:r>
      <w:r w:rsidR="00C25BCC" w:rsidRPr="003D283D">
        <w:rPr>
          <w:szCs w:val="26"/>
        </w:rPr>
        <w:t xml:space="preserve"> evidence </w:t>
      </w:r>
      <w:r w:rsidR="00530E84" w:rsidRPr="003D283D">
        <w:rPr>
          <w:szCs w:val="26"/>
        </w:rPr>
        <w:t>to</w:t>
      </w:r>
      <w:r w:rsidR="00F64B9B" w:rsidRPr="003D283D">
        <w:rPr>
          <w:szCs w:val="26"/>
        </w:rPr>
        <w:t xml:space="preserve"> the heightened degree of certainty required by this standard</w:t>
      </w:r>
      <w:r w:rsidR="00530E84" w:rsidRPr="003D283D">
        <w:rPr>
          <w:szCs w:val="26"/>
        </w:rPr>
        <w:t>.</w:t>
      </w:r>
    </w:p>
    <w:p w14:paraId="09F442E9" w14:textId="1829EEFC" w:rsidR="00062DB8" w:rsidRPr="003D283D" w:rsidRDefault="004649AA" w:rsidP="00160AC4">
      <w:pPr>
        <w:pStyle w:val="ListParagraph"/>
        <w:keepNext/>
        <w:keepLines/>
        <w:spacing w:after="100" w:line="240" w:lineRule="auto"/>
        <w:ind w:left="1080" w:hanging="360"/>
        <w:rPr>
          <w:rFonts w:ascii="Century Schoolbook" w:hAnsi="Century Schoolbook" w:cs="Times New Roman"/>
          <w:b/>
          <w:bCs/>
          <w:sz w:val="27"/>
          <w:szCs w:val="26"/>
        </w:rPr>
      </w:pPr>
      <w:r w:rsidRPr="003D283D">
        <w:rPr>
          <w:rFonts w:ascii="Century Schoolbook" w:hAnsi="Century Schoolbook" w:cs="Times New Roman"/>
          <w:b/>
          <w:bCs/>
          <w:sz w:val="27"/>
          <w:szCs w:val="26"/>
        </w:rPr>
        <w:t xml:space="preserve">A. </w:t>
      </w:r>
      <w:r w:rsidR="00160AC4" w:rsidRPr="003D283D">
        <w:rPr>
          <w:rFonts w:ascii="Century Schoolbook" w:hAnsi="Century Schoolbook" w:cs="Times New Roman"/>
          <w:b/>
          <w:bCs/>
          <w:sz w:val="27"/>
          <w:szCs w:val="26"/>
        </w:rPr>
        <w:tab/>
      </w:r>
      <w:r w:rsidR="00062DB8" w:rsidRPr="003D283D">
        <w:rPr>
          <w:rFonts w:ascii="Century Schoolbook" w:hAnsi="Century Schoolbook" w:cs="Times New Roman"/>
          <w:b/>
          <w:bCs/>
          <w:sz w:val="27"/>
          <w:szCs w:val="26"/>
        </w:rPr>
        <w:t>Clear and Convincing Evidence</w:t>
      </w:r>
      <w:r w:rsidR="00160AC4" w:rsidRPr="003D283D">
        <w:rPr>
          <w:rFonts w:ascii="Century Schoolbook" w:hAnsi="Century Schoolbook" w:cs="Times New Roman"/>
          <w:b/>
          <w:bCs/>
          <w:sz w:val="27"/>
          <w:szCs w:val="26"/>
        </w:rPr>
        <w:t xml:space="preserve"> as a</w:t>
      </w:r>
      <w:r w:rsidR="00062DB8" w:rsidRPr="003D283D">
        <w:rPr>
          <w:rFonts w:ascii="Century Schoolbook" w:hAnsi="Century Schoolbook" w:cs="Times New Roman"/>
          <w:b/>
          <w:bCs/>
          <w:sz w:val="27"/>
          <w:szCs w:val="26"/>
        </w:rPr>
        <w:t xml:space="preserve"> Standard of Proof</w:t>
      </w:r>
    </w:p>
    <w:p w14:paraId="7AB789E1" w14:textId="061D563B" w:rsidR="00062DB8" w:rsidRPr="003D283D" w:rsidRDefault="00062DB8" w:rsidP="007F1BD8">
      <w:pPr>
        <w:ind w:firstLine="720"/>
        <w:rPr>
          <w:rFonts w:eastAsiaTheme="minorHAnsi"/>
          <w:szCs w:val="26"/>
        </w:rPr>
      </w:pPr>
      <w:r w:rsidRPr="003D283D">
        <w:rPr>
          <w:szCs w:val="26"/>
        </w:rPr>
        <w:t xml:space="preserve">A </w:t>
      </w:r>
      <w:r w:rsidR="00196847" w:rsidRPr="003D283D">
        <w:rPr>
          <w:szCs w:val="26"/>
        </w:rPr>
        <w:t>“ ‘[</w:t>
      </w:r>
      <w:r w:rsidRPr="003D283D">
        <w:rPr>
          <w:szCs w:val="26"/>
        </w:rPr>
        <w:t>b</w:t>
      </w:r>
      <w:r w:rsidR="00196847" w:rsidRPr="003D283D">
        <w:rPr>
          <w:szCs w:val="26"/>
        </w:rPr>
        <w:t>]</w:t>
      </w:r>
      <w:proofErr w:type="spellStart"/>
      <w:r w:rsidRPr="003D283D">
        <w:rPr>
          <w:szCs w:val="26"/>
        </w:rPr>
        <w:t>urden</w:t>
      </w:r>
      <w:proofErr w:type="spellEnd"/>
      <w:r w:rsidR="00EB5E5F" w:rsidRPr="003D283D">
        <w:rPr>
          <w:szCs w:val="26"/>
        </w:rPr>
        <w:t xml:space="preserve"> </w:t>
      </w:r>
      <w:r w:rsidRPr="003D283D">
        <w:rPr>
          <w:szCs w:val="26"/>
        </w:rPr>
        <w:t>of proof</w:t>
      </w:r>
      <w:r w:rsidR="00196847" w:rsidRPr="003D283D">
        <w:rPr>
          <w:szCs w:val="26"/>
        </w:rPr>
        <w:t>’</w:t>
      </w:r>
      <w:r w:rsidRPr="003D283D">
        <w:rPr>
          <w:szCs w:val="26"/>
        </w:rPr>
        <w:t xml:space="preserve"> means the obligation of a party to establish by evidence a requisite degree of belief concerning a fact in the mind of the trier of fact or the court.” </w:t>
      </w:r>
      <w:r w:rsidR="008D18C6" w:rsidRPr="003D283D">
        <w:rPr>
          <w:szCs w:val="26"/>
        </w:rPr>
        <w:t xml:space="preserve"> </w:t>
      </w:r>
      <w:r w:rsidRPr="003D283D">
        <w:rPr>
          <w:szCs w:val="26"/>
        </w:rPr>
        <w:t>(</w:t>
      </w:r>
      <w:proofErr w:type="spellStart"/>
      <w:r w:rsidRPr="003D283D">
        <w:rPr>
          <w:szCs w:val="26"/>
        </w:rPr>
        <w:t>Evid</w:t>
      </w:r>
      <w:proofErr w:type="spellEnd"/>
      <w:r w:rsidRPr="003D283D">
        <w:rPr>
          <w:szCs w:val="26"/>
        </w:rPr>
        <w:t>. Code, § 115.)  “The burden of proof may require a party to . . . establish the existence or nonexistence of a fact by a preponderance of the evidence, by clear and convincing proof, or by proof beyond a reasonable doubt.”  (</w:t>
      </w:r>
      <w:r w:rsidRPr="003D283D">
        <w:rPr>
          <w:i/>
          <w:iCs/>
          <w:szCs w:val="26"/>
        </w:rPr>
        <w:t>Ibid</w:t>
      </w:r>
      <w:r w:rsidRPr="003D283D">
        <w:rPr>
          <w:szCs w:val="26"/>
        </w:rPr>
        <w:t>.)</w:t>
      </w:r>
      <w:r w:rsidR="00EB5E5F" w:rsidRPr="003D283D">
        <w:rPr>
          <w:szCs w:val="26"/>
        </w:rPr>
        <w:t xml:space="preserve"> </w:t>
      </w:r>
      <w:r w:rsidRPr="003D283D">
        <w:rPr>
          <w:szCs w:val="26"/>
        </w:rPr>
        <w:t xml:space="preserve"> </w:t>
      </w:r>
      <w:r w:rsidR="00196847" w:rsidRPr="003D283D">
        <w:rPr>
          <w:szCs w:val="26"/>
        </w:rPr>
        <w:t>The</w:t>
      </w:r>
      <w:r w:rsidR="00EB5E5F" w:rsidRPr="003D283D">
        <w:rPr>
          <w:szCs w:val="26"/>
        </w:rPr>
        <w:t xml:space="preserve"> </w:t>
      </w:r>
      <w:r w:rsidRPr="003D283D">
        <w:rPr>
          <w:szCs w:val="26"/>
        </w:rPr>
        <w:t xml:space="preserve">standard of proof </w:t>
      </w:r>
      <w:r w:rsidR="00196847" w:rsidRPr="003D283D">
        <w:rPr>
          <w:szCs w:val="26"/>
        </w:rPr>
        <w:t xml:space="preserve">that applies to a particular determination </w:t>
      </w:r>
      <w:r w:rsidRPr="003D283D">
        <w:rPr>
          <w:szCs w:val="26"/>
        </w:rPr>
        <w:t xml:space="preserve">serves “to instruct the fact finder concerning the degree of confidence our society deems necessary </w:t>
      </w:r>
      <w:r w:rsidRPr="003D283D">
        <w:rPr>
          <w:szCs w:val="26"/>
        </w:rPr>
        <w:lastRenderedPageBreak/>
        <w:t>in the correctness of factual conclusions for a particular type of adjudication, to allocate the risk of error between the litigants, and to indicate the relative importance attached to the ultimate decision.”  (</w:t>
      </w:r>
      <w:r w:rsidRPr="003D283D">
        <w:rPr>
          <w:i/>
          <w:iCs/>
          <w:szCs w:val="26"/>
        </w:rPr>
        <w:t xml:space="preserve">Conservatorship of Wendland </w:t>
      </w:r>
      <w:r w:rsidRPr="003D283D">
        <w:rPr>
          <w:szCs w:val="26"/>
        </w:rPr>
        <w:t>(2001) 26 Cal.4th 519, 5</w:t>
      </w:r>
      <w:r w:rsidR="008E3DBE" w:rsidRPr="003D283D">
        <w:rPr>
          <w:szCs w:val="26"/>
        </w:rPr>
        <w:t>46</w:t>
      </w:r>
      <w:r w:rsidRPr="003D283D">
        <w:rPr>
          <w:szCs w:val="26"/>
        </w:rPr>
        <w:t xml:space="preserve"> (</w:t>
      </w:r>
      <w:r w:rsidRPr="003D283D">
        <w:rPr>
          <w:i/>
          <w:iCs/>
          <w:szCs w:val="26"/>
        </w:rPr>
        <w:t>Wendland</w:t>
      </w:r>
      <w:r w:rsidRPr="003D283D">
        <w:rPr>
          <w:szCs w:val="26"/>
        </w:rPr>
        <w:t xml:space="preserve">); see also </w:t>
      </w:r>
      <w:proofErr w:type="gramStart"/>
      <w:r w:rsidRPr="003D283D">
        <w:rPr>
          <w:i/>
          <w:iCs/>
          <w:szCs w:val="26"/>
        </w:rPr>
        <w:t>In</w:t>
      </w:r>
      <w:proofErr w:type="gramEnd"/>
      <w:r w:rsidRPr="003D283D">
        <w:rPr>
          <w:i/>
          <w:iCs/>
          <w:szCs w:val="26"/>
        </w:rPr>
        <w:t xml:space="preserve"> re Winship</w:t>
      </w:r>
      <w:r w:rsidRPr="003D283D">
        <w:rPr>
          <w:szCs w:val="26"/>
        </w:rPr>
        <w:t xml:space="preserve"> (1970) 397 U.S. 358, 369-373</w:t>
      </w:r>
      <w:r w:rsidR="00923B1F" w:rsidRPr="003D283D">
        <w:rPr>
          <w:szCs w:val="26"/>
        </w:rPr>
        <w:t xml:space="preserve"> (</w:t>
      </w:r>
      <w:r w:rsidRPr="003D283D">
        <w:rPr>
          <w:szCs w:val="26"/>
        </w:rPr>
        <w:t>conc. opn. of Harlan, J.</w:t>
      </w:r>
      <w:r w:rsidR="00923B1F" w:rsidRPr="003D283D">
        <w:rPr>
          <w:szCs w:val="26"/>
        </w:rPr>
        <w:t>).</w:t>
      </w:r>
      <w:r w:rsidRPr="003D283D">
        <w:rPr>
          <w:szCs w:val="26"/>
        </w:rPr>
        <w:t xml:space="preserve">)  </w:t>
      </w:r>
    </w:p>
    <w:p w14:paraId="6E318781" w14:textId="087A3954" w:rsidR="00062DB8" w:rsidRPr="003D283D" w:rsidRDefault="00062DB8" w:rsidP="007F1BD8">
      <w:pPr>
        <w:ind w:firstLine="810"/>
        <w:rPr>
          <w:szCs w:val="26"/>
        </w:rPr>
      </w:pPr>
      <w:r w:rsidRPr="003D283D">
        <w:rPr>
          <w:szCs w:val="26"/>
        </w:rPr>
        <w:t>“The default standard of proof in civil cases is the preponderance of the evidence.”  (</w:t>
      </w:r>
      <w:r w:rsidRPr="003D283D">
        <w:rPr>
          <w:i/>
          <w:iCs/>
          <w:szCs w:val="26"/>
        </w:rPr>
        <w:t>Wendland</w:t>
      </w:r>
      <w:r w:rsidRPr="003D283D">
        <w:rPr>
          <w:szCs w:val="26"/>
        </w:rPr>
        <w:t xml:space="preserve">, </w:t>
      </w:r>
      <w:r w:rsidRPr="003D283D">
        <w:rPr>
          <w:i/>
          <w:iCs/>
          <w:szCs w:val="26"/>
        </w:rPr>
        <w:t>supra</w:t>
      </w:r>
      <w:r w:rsidRPr="003D283D">
        <w:rPr>
          <w:szCs w:val="26"/>
        </w:rPr>
        <w:t>, 26 Cal.4th at p. 5</w:t>
      </w:r>
      <w:r w:rsidR="008E3DBE" w:rsidRPr="003D283D">
        <w:rPr>
          <w:szCs w:val="26"/>
        </w:rPr>
        <w:t>46</w:t>
      </w:r>
      <w:r w:rsidRPr="003D283D">
        <w:rPr>
          <w:szCs w:val="26"/>
        </w:rPr>
        <w:t xml:space="preserve">, citing </w:t>
      </w:r>
      <w:proofErr w:type="spellStart"/>
      <w:r w:rsidRPr="003D283D">
        <w:rPr>
          <w:szCs w:val="26"/>
        </w:rPr>
        <w:t>Evid</w:t>
      </w:r>
      <w:proofErr w:type="spellEnd"/>
      <w:r w:rsidRPr="003D283D">
        <w:rPr>
          <w:szCs w:val="26"/>
        </w:rPr>
        <w:t>. Code, § 115.)  This standard “</w:t>
      </w:r>
      <w:r w:rsidR="003C41D8" w:rsidRPr="003D283D">
        <w:rPr>
          <w:szCs w:val="26"/>
        </w:rPr>
        <w:t> </w:t>
      </w:r>
      <w:r w:rsidR="00A45457" w:rsidRPr="003D283D">
        <w:rPr>
          <w:szCs w:val="26"/>
        </w:rPr>
        <w:t>‘</w:t>
      </w:r>
      <w:r w:rsidRPr="003D283D">
        <w:rPr>
          <w:szCs w:val="26"/>
        </w:rPr>
        <w:t xml:space="preserve">simply requires the trier of fact </w:t>
      </w:r>
      <w:r w:rsidR="00A45457" w:rsidRPr="003D283D">
        <w:rPr>
          <w:szCs w:val="26"/>
        </w:rPr>
        <w:t>“</w:t>
      </w:r>
      <w:r w:rsidRPr="003D283D">
        <w:rPr>
          <w:szCs w:val="26"/>
        </w:rPr>
        <w:t>to believe that the existence of a fact is more probable than its nonexistence.</w:t>
      </w:r>
      <w:r w:rsidR="00A45457" w:rsidRPr="003D283D">
        <w:rPr>
          <w:szCs w:val="26"/>
        </w:rPr>
        <w:t>” </w:t>
      </w:r>
      <w:r w:rsidRPr="003D283D">
        <w:rPr>
          <w:szCs w:val="26"/>
        </w:rPr>
        <w:t>’ ”  (</w:t>
      </w:r>
      <w:r w:rsidRPr="003D283D">
        <w:rPr>
          <w:i/>
          <w:iCs/>
          <w:szCs w:val="26"/>
        </w:rPr>
        <w:t>In re Angelia P.</w:t>
      </w:r>
      <w:r w:rsidRPr="003D283D">
        <w:rPr>
          <w:szCs w:val="26"/>
        </w:rPr>
        <w:t xml:space="preserve"> (1981) 28 Cal.3d 908, 91</w:t>
      </w:r>
      <w:r w:rsidR="0036139C" w:rsidRPr="003D283D">
        <w:rPr>
          <w:szCs w:val="26"/>
        </w:rPr>
        <w:t>8</w:t>
      </w:r>
      <w:r w:rsidRPr="003D283D">
        <w:rPr>
          <w:szCs w:val="26"/>
        </w:rPr>
        <w:t xml:space="preserve">.)  The </w:t>
      </w:r>
      <w:r w:rsidR="00375B89" w:rsidRPr="003D283D">
        <w:rPr>
          <w:szCs w:val="26"/>
        </w:rPr>
        <w:t>more demanding</w:t>
      </w:r>
      <w:r w:rsidRPr="003D283D">
        <w:rPr>
          <w:szCs w:val="26"/>
        </w:rPr>
        <w:t xml:space="preserve"> standard of proof beyond a reasonable doubt, meanwhile, applies to </w:t>
      </w:r>
      <w:r w:rsidR="00DB5D17" w:rsidRPr="003D283D">
        <w:rPr>
          <w:szCs w:val="26"/>
        </w:rPr>
        <w:t>findings</w:t>
      </w:r>
      <w:r w:rsidRPr="003D283D">
        <w:rPr>
          <w:szCs w:val="26"/>
        </w:rPr>
        <w:t xml:space="preserve"> of guilt in criminal matters.  (</w:t>
      </w:r>
      <w:r w:rsidRPr="003D283D">
        <w:rPr>
          <w:i/>
          <w:iCs/>
          <w:szCs w:val="26"/>
        </w:rPr>
        <w:t>In re Winship</w:t>
      </w:r>
      <w:r w:rsidRPr="003D283D">
        <w:rPr>
          <w:szCs w:val="26"/>
        </w:rPr>
        <w:t xml:space="preserve">, </w:t>
      </w:r>
      <w:r w:rsidRPr="003D283D">
        <w:rPr>
          <w:i/>
          <w:iCs/>
          <w:szCs w:val="26"/>
        </w:rPr>
        <w:t>supra</w:t>
      </w:r>
      <w:r w:rsidRPr="003D283D">
        <w:rPr>
          <w:szCs w:val="26"/>
        </w:rPr>
        <w:t>, 397 U.S. at p.</w:t>
      </w:r>
      <w:r w:rsidR="00A368C2" w:rsidRPr="003D283D">
        <w:rPr>
          <w:szCs w:val="26"/>
        </w:rPr>
        <w:t> </w:t>
      </w:r>
      <w:r w:rsidRPr="003D283D">
        <w:rPr>
          <w:szCs w:val="26"/>
        </w:rPr>
        <w:t xml:space="preserve">364.)  Reasonable doubt “ ‘is not a mere </w:t>
      </w:r>
      <w:proofErr w:type="gramStart"/>
      <w:r w:rsidRPr="003D283D">
        <w:rPr>
          <w:szCs w:val="26"/>
        </w:rPr>
        <w:t>possible doubt</w:t>
      </w:r>
      <w:proofErr w:type="gramEnd"/>
      <w:r w:rsidRPr="003D283D">
        <w:rPr>
          <w:szCs w:val="26"/>
        </w:rPr>
        <w:t xml:space="preserve">; because everything relating to human affairs is open to some possible or imaginary doubt.  It is </w:t>
      </w:r>
      <w:r w:rsidR="0036139C" w:rsidRPr="003D283D">
        <w:rPr>
          <w:szCs w:val="26"/>
        </w:rPr>
        <w:t>that</w:t>
      </w:r>
      <w:r w:rsidRPr="003D283D">
        <w:rPr>
          <w:szCs w:val="26"/>
        </w:rPr>
        <w:t xml:space="preserve"> state of the case, which, after the entire comparison or consideration of all the evidence, leaves the minds of jurors in that condition that they cannot say they feel an abiding conviction of the truth of the charge.”  (Pen. Code, §</w:t>
      </w:r>
      <w:r w:rsidR="00A368C2" w:rsidRPr="003D283D">
        <w:rPr>
          <w:szCs w:val="26"/>
        </w:rPr>
        <w:t> </w:t>
      </w:r>
      <w:r w:rsidRPr="003D283D">
        <w:rPr>
          <w:szCs w:val="26"/>
        </w:rPr>
        <w:t>1096.)</w:t>
      </w:r>
    </w:p>
    <w:p w14:paraId="7D2848FC" w14:textId="45CB842C" w:rsidR="00062DB8" w:rsidRPr="003D283D" w:rsidRDefault="00062DB8" w:rsidP="007F1BD8">
      <w:pPr>
        <w:ind w:firstLine="720"/>
        <w:rPr>
          <w:b/>
          <w:bCs/>
          <w:szCs w:val="26"/>
        </w:rPr>
      </w:pPr>
      <w:r w:rsidRPr="003D283D">
        <w:rPr>
          <w:szCs w:val="26"/>
        </w:rPr>
        <w:t xml:space="preserve">The standard </w:t>
      </w:r>
      <w:r w:rsidR="00E51377" w:rsidRPr="003D283D">
        <w:rPr>
          <w:szCs w:val="26"/>
        </w:rPr>
        <w:t xml:space="preserve">of proof </w:t>
      </w:r>
      <w:r w:rsidRPr="003D283D">
        <w:rPr>
          <w:szCs w:val="26"/>
        </w:rPr>
        <w:t xml:space="preserve">known as clear and convincing evidence </w:t>
      </w:r>
      <w:r w:rsidR="00F04E89" w:rsidRPr="003D283D">
        <w:rPr>
          <w:szCs w:val="26"/>
        </w:rPr>
        <w:t>demands</w:t>
      </w:r>
      <w:r w:rsidRPr="003D283D">
        <w:rPr>
          <w:szCs w:val="26"/>
        </w:rPr>
        <w:t xml:space="preserve"> a degree of certainty greater than that </w:t>
      </w:r>
      <w:r w:rsidR="00BE71ED" w:rsidRPr="003D283D">
        <w:rPr>
          <w:szCs w:val="26"/>
        </w:rPr>
        <w:t>involved</w:t>
      </w:r>
      <w:r w:rsidR="00EB5E5F" w:rsidRPr="003D283D">
        <w:rPr>
          <w:szCs w:val="26"/>
        </w:rPr>
        <w:t xml:space="preserve"> with</w:t>
      </w:r>
      <w:r w:rsidRPr="003D283D">
        <w:rPr>
          <w:szCs w:val="26"/>
        </w:rPr>
        <w:t xml:space="preserve"> the preponderance standard, but less than what is </w:t>
      </w:r>
      <w:r w:rsidR="00F04E89" w:rsidRPr="003D283D">
        <w:rPr>
          <w:szCs w:val="26"/>
        </w:rPr>
        <w:t>required</w:t>
      </w:r>
      <w:r w:rsidRPr="003D283D">
        <w:rPr>
          <w:szCs w:val="26"/>
        </w:rPr>
        <w:t xml:space="preserve"> by </w:t>
      </w:r>
      <w:r w:rsidR="00F04E89" w:rsidRPr="003D283D">
        <w:rPr>
          <w:szCs w:val="26"/>
        </w:rPr>
        <w:t xml:space="preserve">the standard of </w:t>
      </w:r>
      <w:r w:rsidRPr="003D283D">
        <w:rPr>
          <w:szCs w:val="26"/>
        </w:rPr>
        <w:t>proof beyond a reasonable doubt.  This intermediate standard “requires a finding of high probability.”  (</w:t>
      </w:r>
      <w:r w:rsidRPr="003D283D">
        <w:rPr>
          <w:i/>
          <w:iCs/>
          <w:szCs w:val="26"/>
        </w:rPr>
        <w:t>In re Angelia P.</w:t>
      </w:r>
      <w:r w:rsidRPr="003D283D">
        <w:rPr>
          <w:szCs w:val="26"/>
        </w:rPr>
        <w:t xml:space="preserve">, </w:t>
      </w:r>
      <w:r w:rsidRPr="003D283D">
        <w:rPr>
          <w:i/>
          <w:iCs/>
          <w:szCs w:val="26"/>
        </w:rPr>
        <w:t>supra</w:t>
      </w:r>
      <w:r w:rsidRPr="003D283D">
        <w:rPr>
          <w:szCs w:val="26"/>
        </w:rPr>
        <w:t xml:space="preserve">, 28 Cal.3d at p. 919; see also CACI No. 201 [“Certain facts must be proved by clear and convincing evidence . . . .  This means the party must persuade </w:t>
      </w:r>
      <w:r w:rsidRPr="003D283D">
        <w:rPr>
          <w:szCs w:val="26"/>
        </w:rPr>
        <w:lastRenderedPageBreak/>
        <w:t>you that it is highly probable that the fact is true”].)</w:t>
      </w:r>
      <w:r w:rsidRPr="003D283D">
        <w:rPr>
          <w:rStyle w:val="FootnoteReference"/>
        </w:rPr>
        <w:footnoteReference w:id="3"/>
      </w:r>
      <w:r w:rsidRPr="003D283D">
        <w:rPr>
          <w:b/>
          <w:bCs/>
          <w:szCs w:val="26"/>
        </w:rPr>
        <w:t xml:space="preserve"> </w:t>
      </w:r>
      <w:r w:rsidRPr="003D283D">
        <w:rPr>
          <w:szCs w:val="26"/>
        </w:rPr>
        <w:t xml:space="preserve"> </w:t>
      </w:r>
      <w:r w:rsidR="00470131" w:rsidRPr="003D283D">
        <w:rPr>
          <w:szCs w:val="26"/>
        </w:rPr>
        <w:t>O</w:t>
      </w:r>
      <w:r w:rsidRPr="003D283D">
        <w:rPr>
          <w:szCs w:val="26"/>
        </w:rPr>
        <w:t>ne commentator has expl</w:t>
      </w:r>
      <w:r w:rsidR="009C7C74" w:rsidRPr="003D283D">
        <w:rPr>
          <w:szCs w:val="26"/>
        </w:rPr>
        <w:t>icat</w:t>
      </w:r>
      <w:r w:rsidRPr="003D283D">
        <w:rPr>
          <w:szCs w:val="26"/>
        </w:rPr>
        <w:t>ed, “The precise meaning of ‘clear and convincing proof’ does not lend itself readily to definition.  It is</w:t>
      </w:r>
      <w:proofErr w:type="gramStart"/>
      <w:r w:rsidRPr="003D283D">
        <w:rPr>
          <w:szCs w:val="26"/>
        </w:rPr>
        <w:t>, in reality, a</w:t>
      </w:r>
      <w:proofErr w:type="gramEnd"/>
      <w:r w:rsidRPr="003D283D">
        <w:rPr>
          <w:szCs w:val="26"/>
        </w:rPr>
        <w:t xml:space="preserve"> question of how strongly the minds of the trier or triers of fact must be convinced that the facts are as contended by the proponent. . . . </w:t>
      </w:r>
      <w:r w:rsidR="00F511F1" w:rsidRPr="003D283D">
        <w:rPr>
          <w:szCs w:val="26"/>
        </w:rPr>
        <w:t xml:space="preserve"> </w:t>
      </w:r>
      <w:r w:rsidRPr="003D283D">
        <w:rPr>
          <w:szCs w:val="26"/>
        </w:rPr>
        <w:t>Where clear and convincing proof is required, the proponent must convince the jury or judge</w:t>
      </w:r>
      <w:proofErr w:type="gramStart"/>
      <w:r w:rsidRPr="003D283D">
        <w:rPr>
          <w:szCs w:val="26"/>
        </w:rPr>
        <w:t>, as the case may be, that</w:t>
      </w:r>
      <w:proofErr w:type="gramEnd"/>
      <w:r w:rsidRPr="003D283D">
        <w:rPr>
          <w:szCs w:val="26"/>
        </w:rPr>
        <w:t xml:space="preserve"> it is </w:t>
      </w:r>
      <w:r w:rsidRPr="003D283D">
        <w:rPr>
          <w:i/>
          <w:iCs/>
          <w:szCs w:val="26"/>
        </w:rPr>
        <w:t>highly probable</w:t>
      </w:r>
      <w:r w:rsidRPr="003D283D">
        <w:rPr>
          <w:szCs w:val="26"/>
        </w:rPr>
        <w:t xml:space="preserve"> that the facts which he asserts are true.  He must do more than show that the facts are probably true.”  (</w:t>
      </w:r>
      <w:r w:rsidR="000C5F26" w:rsidRPr="003D283D">
        <w:rPr>
          <w:szCs w:val="26"/>
        </w:rPr>
        <w:t>Comment</w:t>
      </w:r>
      <w:r w:rsidRPr="003D283D">
        <w:rPr>
          <w:szCs w:val="26"/>
        </w:rPr>
        <w:t xml:space="preserve">, </w:t>
      </w:r>
      <w:r w:rsidRPr="003D283D">
        <w:rPr>
          <w:i/>
          <w:iCs/>
          <w:szCs w:val="26"/>
        </w:rPr>
        <w:t>Evidence: Clear and Convincing Proof: Appellate Review</w:t>
      </w:r>
      <w:r w:rsidRPr="003D283D">
        <w:rPr>
          <w:szCs w:val="26"/>
        </w:rPr>
        <w:t xml:space="preserve"> (1944) 32 Cal.</w:t>
      </w:r>
      <w:r w:rsidR="00BB690C" w:rsidRPr="003D283D">
        <w:rPr>
          <w:szCs w:val="26"/>
        </w:rPr>
        <w:t xml:space="preserve"> </w:t>
      </w:r>
      <w:r w:rsidRPr="003D283D">
        <w:rPr>
          <w:szCs w:val="26"/>
        </w:rPr>
        <w:t>L.Rev. 74, 75.)</w:t>
      </w:r>
    </w:p>
    <w:p w14:paraId="3E6F00D8" w14:textId="2691C80F" w:rsidR="00062DB8" w:rsidRPr="003D283D" w:rsidRDefault="00062DB8" w:rsidP="007F1BD8">
      <w:pPr>
        <w:ind w:firstLine="720"/>
        <w:rPr>
          <w:szCs w:val="26"/>
        </w:rPr>
      </w:pPr>
      <w:r w:rsidRPr="003D283D">
        <w:rPr>
          <w:szCs w:val="26"/>
        </w:rPr>
        <w:t xml:space="preserve">Today, the clear and convincing standard </w:t>
      </w:r>
      <w:r w:rsidR="00BE71ED" w:rsidRPr="003D283D">
        <w:rPr>
          <w:szCs w:val="26"/>
        </w:rPr>
        <w:t xml:space="preserve">applies to </w:t>
      </w:r>
      <w:r w:rsidRPr="003D283D">
        <w:rPr>
          <w:szCs w:val="26"/>
        </w:rPr>
        <w:t>various determinations “ ‘where particularly important individual interests or rights are at stake,’ such as the termination of parental rights, involuntary commitment, and deportation.”  (</w:t>
      </w:r>
      <w:r w:rsidRPr="003D283D">
        <w:rPr>
          <w:i/>
          <w:iCs/>
          <w:szCs w:val="26"/>
        </w:rPr>
        <w:t>Weiner v. Fleischman</w:t>
      </w:r>
      <w:r w:rsidRPr="003D283D">
        <w:rPr>
          <w:szCs w:val="26"/>
        </w:rPr>
        <w:t xml:space="preserve"> (1991) 54 Cal.3d 476, 487, quoting </w:t>
      </w:r>
      <w:r w:rsidRPr="003D283D">
        <w:rPr>
          <w:i/>
          <w:iCs/>
          <w:szCs w:val="26"/>
        </w:rPr>
        <w:t>Herman &amp; MacLean v. Huddleston</w:t>
      </w:r>
      <w:r w:rsidRPr="003D283D">
        <w:rPr>
          <w:szCs w:val="26"/>
        </w:rPr>
        <w:t xml:space="preserve"> (1983) 459 U.S. 375, 389; see also </w:t>
      </w:r>
      <w:proofErr w:type="spellStart"/>
      <w:r w:rsidR="00CD3C2F" w:rsidRPr="003D283D">
        <w:rPr>
          <w:i/>
          <w:iCs/>
          <w:szCs w:val="26"/>
        </w:rPr>
        <w:t>Santosky</w:t>
      </w:r>
      <w:proofErr w:type="spellEnd"/>
      <w:r w:rsidR="00CD3C2F" w:rsidRPr="003D283D">
        <w:rPr>
          <w:i/>
          <w:iCs/>
          <w:szCs w:val="26"/>
        </w:rPr>
        <w:t xml:space="preserve"> v. Kramer</w:t>
      </w:r>
      <w:r w:rsidR="00CD3C2F" w:rsidRPr="003D283D">
        <w:rPr>
          <w:szCs w:val="26"/>
        </w:rPr>
        <w:t xml:space="preserve"> (1982) 4</w:t>
      </w:r>
      <w:r w:rsidR="0036139C" w:rsidRPr="003D283D">
        <w:rPr>
          <w:szCs w:val="26"/>
        </w:rPr>
        <w:t>5</w:t>
      </w:r>
      <w:r w:rsidR="00CD3C2F" w:rsidRPr="003D283D">
        <w:rPr>
          <w:szCs w:val="26"/>
        </w:rPr>
        <w:t>5 U.S. 745, 769</w:t>
      </w:r>
      <w:r w:rsidR="000C5F26" w:rsidRPr="003D283D">
        <w:rPr>
          <w:szCs w:val="26"/>
        </w:rPr>
        <w:t>;</w:t>
      </w:r>
      <w:r w:rsidR="00CD3C2F" w:rsidRPr="003D283D">
        <w:rPr>
          <w:szCs w:val="26"/>
        </w:rPr>
        <w:t xml:space="preserve"> </w:t>
      </w:r>
      <w:r w:rsidRPr="003D283D">
        <w:rPr>
          <w:i/>
          <w:iCs/>
          <w:szCs w:val="26"/>
        </w:rPr>
        <w:t>Addington v. Texas</w:t>
      </w:r>
      <w:r w:rsidRPr="003D283D">
        <w:rPr>
          <w:szCs w:val="26"/>
        </w:rPr>
        <w:t xml:space="preserve"> (197</w:t>
      </w:r>
      <w:r w:rsidR="0036139C" w:rsidRPr="003D283D">
        <w:rPr>
          <w:szCs w:val="26"/>
        </w:rPr>
        <w:t>9</w:t>
      </w:r>
      <w:r w:rsidRPr="003D283D">
        <w:rPr>
          <w:szCs w:val="26"/>
        </w:rPr>
        <w:t>) 441 U.S. 418, 423</w:t>
      </w:r>
      <w:r w:rsidR="0036139C" w:rsidRPr="003D283D">
        <w:rPr>
          <w:szCs w:val="26"/>
        </w:rPr>
        <w:t>-424</w:t>
      </w:r>
      <w:r w:rsidRPr="003D283D">
        <w:rPr>
          <w:szCs w:val="26"/>
        </w:rPr>
        <w:t xml:space="preserve">; </w:t>
      </w:r>
      <w:proofErr w:type="spellStart"/>
      <w:r w:rsidRPr="003D283D">
        <w:rPr>
          <w:i/>
          <w:iCs/>
          <w:szCs w:val="26"/>
        </w:rPr>
        <w:t>Woodby</w:t>
      </w:r>
      <w:proofErr w:type="spellEnd"/>
      <w:r w:rsidRPr="003D283D">
        <w:rPr>
          <w:i/>
          <w:iCs/>
          <w:szCs w:val="26"/>
        </w:rPr>
        <w:t xml:space="preserve"> v. </w:t>
      </w:r>
      <w:r w:rsidR="0036139C" w:rsidRPr="003D283D">
        <w:rPr>
          <w:i/>
          <w:iCs/>
          <w:szCs w:val="26"/>
        </w:rPr>
        <w:t>Immigration Service</w:t>
      </w:r>
      <w:r w:rsidRPr="003D283D">
        <w:rPr>
          <w:szCs w:val="26"/>
        </w:rPr>
        <w:t xml:space="preserve"> (1966) 385 U.S. 276, 285</w:t>
      </w:r>
      <w:r w:rsidR="00CD3C2F" w:rsidRPr="003D283D">
        <w:rPr>
          <w:szCs w:val="26"/>
        </w:rPr>
        <w:t>-286</w:t>
      </w:r>
      <w:r w:rsidRPr="003D283D">
        <w:rPr>
          <w:szCs w:val="26"/>
        </w:rPr>
        <w:t xml:space="preserve">.)  Other findings </w:t>
      </w:r>
      <w:r w:rsidR="00D84C46" w:rsidRPr="003D283D">
        <w:rPr>
          <w:szCs w:val="26"/>
        </w:rPr>
        <w:t>requiring</w:t>
      </w:r>
      <w:r w:rsidRPr="003D283D">
        <w:rPr>
          <w:szCs w:val="26"/>
        </w:rPr>
        <w:t xml:space="preserve"> clear and convincing proof include whether a </w:t>
      </w:r>
      <w:r w:rsidR="004F465C" w:rsidRPr="003D283D">
        <w:rPr>
          <w:szCs w:val="26"/>
        </w:rPr>
        <w:t xml:space="preserve">civil </w:t>
      </w:r>
      <w:r w:rsidRPr="003D283D">
        <w:rPr>
          <w:szCs w:val="26"/>
        </w:rPr>
        <w:t xml:space="preserve">defendant is guilty of the “oppression, fraud, or malice” that allows for the </w:t>
      </w:r>
      <w:r w:rsidR="00CD3C2F" w:rsidRPr="003D283D">
        <w:rPr>
          <w:szCs w:val="26"/>
        </w:rPr>
        <w:t>imposition</w:t>
      </w:r>
      <w:r w:rsidRPr="003D283D">
        <w:rPr>
          <w:szCs w:val="26"/>
        </w:rPr>
        <w:t xml:space="preserve"> of punitive damages (Civ. Code, § 3294</w:t>
      </w:r>
      <w:r w:rsidR="00CD3C2F" w:rsidRPr="003D283D">
        <w:rPr>
          <w:szCs w:val="26"/>
        </w:rPr>
        <w:t>, subd. (a)</w:t>
      </w:r>
      <w:r w:rsidRPr="003D283D">
        <w:rPr>
          <w:szCs w:val="26"/>
        </w:rPr>
        <w:t xml:space="preserve">), whether a conservator can withdraw life-sustaining care </w:t>
      </w:r>
      <w:r w:rsidR="004F465C" w:rsidRPr="003D283D">
        <w:rPr>
          <w:szCs w:val="26"/>
        </w:rPr>
        <w:t>from</w:t>
      </w:r>
      <w:r w:rsidRPr="003D283D">
        <w:rPr>
          <w:szCs w:val="26"/>
        </w:rPr>
        <w:t xml:space="preserve"> a </w:t>
      </w:r>
      <w:proofErr w:type="spellStart"/>
      <w:r w:rsidRPr="003D283D">
        <w:rPr>
          <w:szCs w:val="26"/>
        </w:rPr>
        <w:t>conservatee</w:t>
      </w:r>
      <w:proofErr w:type="spellEnd"/>
      <w:r w:rsidRPr="003D283D">
        <w:rPr>
          <w:szCs w:val="26"/>
        </w:rPr>
        <w:t xml:space="preserve"> (</w:t>
      </w:r>
      <w:r w:rsidRPr="003D283D">
        <w:rPr>
          <w:i/>
          <w:iCs/>
          <w:szCs w:val="26"/>
        </w:rPr>
        <w:t>Wendland</w:t>
      </w:r>
      <w:r w:rsidRPr="003D283D">
        <w:rPr>
          <w:szCs w:val="26"/>
        </w:rPr>
        <w:t xml:space="preserve">, </w:t>
      </w:r>
      <w:r w:rsidRPr="003D283D">
        <w:rPr>
          <w:i/>
          <w:iCs/>
          <w:szCs w:val="26"/>
        </w:rPr>
        <w:t>supra</w:t>
      </w:r>
      <w:r w:rsidRPr="003D283D">
        <w:rPr>
          <w:szCs w:val="26"/>
        </w:rPr>
        <w:t>, 26 Cal.4th at p. 524), whether conditions necessary for the nonconsensual</w:t>
      </w:r>
      <w:r w:rsidR="0036139C" w:rsidRPr="003D283D">
        <w:rPr>
          <w:szCs w:val="26"/>
        </w:rPr>
        <w:t xml:space="preserve">, </w:t>
      </w:r>
      <w:r w:rsidR="0036139C" w:rsidRPr="003D283D">
        <w:rPr>
          <w:szCs w:val="26"/>
        </w:rPr>
        <w:lastRenderedPageBreak/>
        <w:t>nonemergency</w:t>
      </w:r>
      <w:r w:rsidRPr="003D283D">
        <w:rPr>
          <w:szCs w:val="26"/>
        </w:rPr>
        <w:t xml:space="preserve"> administration of psychiatric medication to a prison inmate have been satisfied (Pen. Code, §</w:t>
      </w:r>
      <w:r w:rsidR="00375B89" w:rsidRPr="003D283D">
        <w:rPr>
          <w:szCs w:val="26"/>
        </w:rPr>
        <w:t> </w:t>
      </w:r>
      <w:r w:rsidRPr="003D283D">
        <w:rPr>
          <w:szCs w:val="26"/>
        </w:rPr>
        <w:t xml:space="preserve">2602, subd. (c)(8)), and whether a publisher acted with the </w:t>
      </w:r>
      <w:r w:rsidR="00613E4C" w:rsidRPr="003D283D">
        <w:rPr>
          <w:szCs w:val="26"/>
        </w:rPr>
        <w:t>intent (“actual malice”)</w:t>
      </w:r>
      <w:r w:rsidRPr="003D283D">
        <w:rPr>
          <w:szCs w:val="26"/>
        </w:rPr>
        <w:t xml:space="preserve"> that must be shown for a plaintiff to prevail </w:t>
      </w:r>
      <w:r w:rsidR="00613E4C" w:rsidRPr="003D283D">
        <w:rPr>
          <w:szCs w:val="26"/>
        </w:rPr>
        <w:t xml:space="preserve">in certain kinds of defamation cases </w:t>
      </w:r>
      <w:r w:rsidRPr="003D283D">
        <w:rPr>
          <w:szCs w:val="26"/>
        </w:rPr>
        <w:t>(</w:t>
      </w:r>
      <w:r w:rsidRPr="003D283D">
        <w:rPr>
          <w:i/>
          <w:iCs/>
          <w:szCs w:val="26"/>
        </w:rPr>
        <w:t>Gertz v. Robert Welch, Inc.</w:t>
      </w:r>
      <w:r w:rsidRPr="003D283D">
        <w:rPr>
          <w:szCs w:val="26"/>
        </w:rPr>
        <w:t xml:space="preserve"> (1974) 418</w:t>
      </w:r>
      <w:r w:rsidR="00A368C2" w:rsidRPr="003D283D">
        <w:rPr>
          <w:szCs w:val="26"/>
        </w:rPr>
        <w:t> </w:t>
      </w:r>
      <w:r w:rsidRPr="003D283D">
        <w:rPr>
          <w:szCs w:val="26"/>
        </w:rPr>
        <w:t>U.S. 323, 342).</w:t>
      </w:r>
    </w:p>
    <w:p w14:paraId="43802F3E" w14:textId="1711B1DD" w:rsidR="00062DB8" w:rsidRPr="003D283D" w:rsidRDefault="00062DB8" w:rsidP="007F1BD8">
      <w:pPr>
        <w:ind w:firstLine="810"/>
        <w:rPr>
          <w:szCs w:val="26"/>
        </w:rPr>
      </w:pPr>
      <w:r w:rsidRPr="003D283D">
        <w:rPr>
          <w:szCs w:val="26"/>
        </w:rPr>
        <w:t>Going further back in time, “</w:t>
      </w:r>
      <w:r w:rsidR="000C5F26" w:rsidRPr="003D283D">
        <w:rPr>
          <w:szCs w:val="26"/>
        </w:rPr>
        <w:t>[t]</w:t>
      </w:r>
      <w:r w:rsidRPr="003D283D">
        <w:rPr>
          <w:szCs w:val="26"/>
        </w:rPr>
        <w:t xml:space="preserve">he requirement in civil actions of more than a preponderance of the evidence was first applied in equity to claims which experience had shown to be inherently subject to fabrication, lapse of memory, or the flexibility of conscience.”  (Note, </w:t>
      </w:r>
      <w:r w:rsidRPr="003D283D">
        <w:rPr>
          <w:i/>
          <w:iCs/>
          <w:szCs w:val="26"/>
        </w:rPr>
        <w:t xml:space="preserve">Appellate Review in the Federal Courts of Findings </w:t>
      </w:r>
      <w:r w:rsidR="00375B89" w:rsidRPr="003D283D">
        <w:rPr>
          <w:i/>
          <w:iCs/>
          <w:szCs w:val="26"/>
        </w:rPr>
        <w:t>Requiring</w:t>
      </w:r>
      <w:r w:rsidRPr="003D283D">
        <w:rPr>
          <w:i/>
          <w:iCs/>
          <w:szCs w:val="26"/>
        </w:rPr>
        <w:t xml:space="preserve"> More </w:t>
      </w:r>
      <w:r w:rsidR="0036139C" w:rsidRPr="003D283D">
        <w:rPr>
          <w:i/>
          <w:iCs/>
          <w:szCs w:val="26"/>
        </w:rPr>
        <w:t>t</w:t>
      </w:r>
      <w:r w:rsidRPr="003D283D">
        <w:rPr>
          <w:i/>
          <w:iCs/>
          <w:szCs w:val="26"/>
        </w:rPr>
        <w:t>han a Preponderance of the Evidence</w:t>
      </w:r>
      <w:r w:rsidRPr="003D283D">
        <w:rPr>
          <w:szCs w:val="26"/>
        </w:rPr>
        <w:t xml:space="preserve"> (1946) 60</w:t>
      </w:r>
      <w:r w:rsidR="00694479" w:rsidRPr="003D283D">
        <w:rPr>
          <w:szCs w:val="26"/>
        </w:rPr>
        <w:t> </w:t>
      </w:r>
      <w:proofErr w:type="spellStart"/>
      <w:r w:rsidRPr="003D283D">
        <w:rPr>
          <w:szCs w:val="26"/>
        </w:rPr>
        <w:t>Harv</w:t>
      </w:r>
      <w:proofErr w:type="spellEnd"/>
      <w:r w:rsidRPr="003D283D">
        <w:rPr>
          <w:szCs w:val="26"/>
        </w:rPr>
        <w:t>. L.Rev. 111, 11</w:t>
      </w:r>
      <w:r w:rsidR="0036139C" w:rsidRPr="003D283D">
        <w:rPr>
          <w:szCs w:val="26"/>
        </w:rPr>
        <w:t>2</w:t>
      </w:r>
      <w:r w:rsidRPr="003D283D">
        <w:rPr>
          <w:szCs w:val="26"/>
        </w:rPr>
        <w:t xml:space="preserve">.)  This court’s early case law </w:t>
      </w:r>
      <w:r w:rsidR="00BB690C" w:rsidRPr="003D283D">
        <w:rPr>
          <w:szCs w:val="26"/>
        </w:rPr>
        <w:t>addressing</w:t>
      </w:r>
      <w:r w:rsidRPr="003D283D">
        <w:rPr>
          <w:szCs w:val="26"/>
        </w:rPr>
        <w:t xml:space="preserve"> the clear and convincing standard of proof </w:t>
      </w:r>
      <w:proofErr w:type="gramStart"/>
      <w:r w:rsidRPr="003D283D">
        <w:rPr>
          <w:szCs w:val="26"/>
        </w:rPr>
        <w:t>commonly involved</w:t>
      </w:r>
      <w:proofErr w:type="gramEnd"/>
      <w:r w:rsidRPr="003D283D">
        <w:rPr>
          <w:szCs w:val="26"/>
        </w:rPr>
        <w:t xml:space="preserve"> </w:t>
      </w:r>
      <w:r w:rsidR="0036139C" w:rsidRPr="003D283D">
        <w:rPr>
          <w:szCs w:val="26"/>
        </w:rPr>
        <w:t>claims of this character</w:t>
      </w:r>
      <w:r w:rsidR="00F04E89" w:rsidRPr="003D283D">
        <w:rPr>
          <w:szCs w:val="26"/>
        </w:rPr>
        <w:t>, such as</w:t>
      </w:r>
      <w:r w:rsidRPr="003D283D">
        <w:rPr>
          <w:szCs w:val="26"/>
        </w:rPr>
        <w:t xml:space="preserve"> </w:t>
      </w:r>
      <w:r w:rsidR="00F04E89" w:rsidRPr="003D283D">
        <w:rPr>
          <w:szCs w:val="26"/>
        </w:rPr>
        <w:t>assertions</w:t>
      </w:r>
      <w:r w:rsidRPr="003D283D">
        <w:rPr>
          <w:szCs w:val="26"/>
        </w:rPr>
        <w:t xml:space="preserve"> that a written instrument should be reformed on the basis of fraud, mistake, or </w:t>
      </w:r>
      <w:proofErr w:type="spellStart"/>
      <w:r w:rsidRPr="003D283D">
        <w:rPr>
          <w:szCs w:val="26"/>
        </w:rPr>
        <w:t>parol</w:t>
      </w:r>
      <w:proofErr w:type="spellEnd"/>
      <w:r w:rsidRPr="003D283D">
        <w:rPr>
          <w:szCs w:val="26"/>
        </w:rPr>
        <w:t xml:space="preserve"> evidence.  In one early case </w:t>
      </w:r>
      <w:r w:rsidR="008D103A" w:rsidRPr="003D283D">
        <w:rPr>
          <w:szCs w:val="26"/>
        </w:rPr>
        <w:t xml:space="preserve">of this </w:t>
      </w:r>
      <w:r w:rsidR="00303DC1" w:rsidRPr="003D283D">
        <w:rPr>
          <w:szCs w:val="26"/>
        </w:rPr>
        <w:t>kind</w:t>
      </w:r>
      <w:r w:rsidRPr="003D283D">
        <w:rPr>
          <w:szCs w:val="26"/>
        </w:rPr>
        <w:t xml:space="preserve">, </w:t>
      </w:r>
      <w:r w:rsidRPr="003D283D">
        <w:rPr>
          <w:i/>
          <w:iCs/>
          <w:szCs w:val="26"/>
        </w:rPr>
        <w:t>Lestrade v. Barth</w:t>
      </w:r>
      <w:r w:rsidRPr="003D283D">
        <w:rPr>
          <w:szCs w:val="26"/>
        </w:rPr>
        <w:t xml:space="preserve"> (1862) 19 Cal. 660, we </w:t>
      </w:r>
      <w:r w:rsidR="00202A8C" w:rsidRPr="003D283D">
        <w:rPr>
          <w:szCs w:val="26"/>
        </w:rPr>
        <w:t>observed</w:t>
      </w:r>
      <w:r w:rsidRPr="003D283D">
        <w:rPr>
          <w:szCs w:val="26"/>
        </w:rPr>
        <w:t xml:space="preserve"> that whe</w:t>
      </w:r>
      <w:r w:rsidR="0036139C" w:rsidRPr="003D283D">
        <w:rPr>
          <w:szCs w:val="26"/>
        </w:rPr>
        <w:t>n</w:t>
      </w:r>
      <w:r w:rsidRPr="003D283D">
        <w:rPr>
          <w:szCs w:val="26"/>
        </w:rPr>
        <w:t xml:space="preserve"> the correction of a mistake in a written instrument </w:t>
      </w:r>
      <w:r w:rsidR="0036139C" w:rsidRPr="003D283D">
        <w:rPr>
          <w:szCs w:val="26"/>
        </w:rPr>
        <w:t>wa</w:t>
      </w:r>
      <w:r w:rsidRPr="003D283D">
        <w:rPr>
          <w:szCs w:val="26"/>
        </w:rPr>
        <w:t xml:space="preserve">s sought in equity, the evidence </w:t>
      </w:r>
      <w:r w:rsidR="00E63714" w:rsidRPr="003D283D">
        <w:rPr>
          <w:szCs w:val="26"/>
        </w:rPr>
        <w:t>showing</w:t>
      </w:r>
      <w:r w:rsidRPr="003D283D">
        <w:rPr>
          <w:szCs w:val="26"/>
        </w:rPr>
        <w:t xml:space="preserve"> </w:t>
      </w:r>
      <w:r w:rsidR="00E63714" w:rsidRPr="003D283D">
        <w:rPr>
          <w:szCs w:val="26"/>
        </w:rPr>
        <w:t>such a</w:t>
      </w:r>
      <w:r w:rsidRPr="003D283D">
        <w:rPr>
          <w:szCs w:val="26"/>
        </w:rPr>
        <w:t xml:space="preserve"> mistake </w:t>
      </w:r>
      <w:r w:rsidR="0036139C" w:rsidRPr="003D283D">
        <w:rPr>
          <w:szCs w:val="26"/>
        </w:rPr>
        <w:t>“</w:t>
      </w:r>
      <w:r w:rsidRPr="003D283D">
        <w:rPr>
          <w:szCs w:val="26"/>
        </w:rPr>
        <w:t xml:space="preserve">must be clear and convincing, </w:t>
      </w:r>
      <w:r w:rsidR="0036139C" w:rsidRPr="003D283D">
        <w:rPr>
          <w:szCs w:val="26"/>
        </w:rPr>
        <w:t xml:space="preserve">making out the mistake to the entire satisfaction of the Court, </w:t>
      </w:r>
      <w:r w:rsidRPr="003D283D">
        <w:rPr>
          <w:szCs w:val="26"/>
        </w:rPr>
        <w:t xml:space="preserve">and not loose, equivocal or contradictory, leaving the mistake open to doubt.”  </w:t>
      </w:r>
      <w:r w:rsidR="0036139C" w:rsidRPr="003D283D">
        <w:rPr>
          <w:szCs w:val="26"/>
        </w:rPr>
        <w:t>(</w:t>
      </w:r>
      <w:r w:rsidR="0036139C" w:rsidRPr="003D283D">
        <w:rPr>
          <w:i/>
          <w:szCs w:val="26"/>
        </w:rPr>
        <w:t>Id</w:t>
      </w:r>
      <w:r w:rsidR="0036139C" w:rsidRPr="003D283D">
        <w:rPr>
          <w:szCs w:val="26"/>
        </w:rPr>
        <w:t xml:space="preserve">., at p. 675.)  </w:t>
      </w:r>
      <w:r w:rsidRPr="003D283D">
        <w:rPr>
          <w:szCs w:val="26"/>
        </w:rPr>
        <w:t xml:space="preserve">We later stated in </w:t>
      </w:r>
      <w:r w:rsidRPr="003D283D">
        <w:rPr>
          <w:i/>
          <w:iCs/>
          <w:szCs w:val="26"/>
        </w:rPr>
        <w:t>Sheehan v. Sullivan</w:t>
      </w:r>
      <w:r w:rsidRPr="003D283D">
        <w:rPr>
          <w:szCs w:val="26"/>
        </w:rPr>
        <w:t xml:space="preserve"> (1899) 126 Cal. 189</w:t>
      </w:r>
      <w:r w:rsidR="0036139C" w:rsidRPr="003D283D">
        <w:rPr>
          <w:szCs w:val="26"/>
        </w:rPr>
        <w:t xml:space="preserve"> </w:t>
      </w:r>
      <w:r w:rsidRPr="003D283D">
        <w:rPr>
          <w:szCs w:val="26"/>
        </w:rPr>
        <w:t>(</w:t>
      </w:r>
      <w:r w:rsidRPr="003D283D">
        <w:rPr>
          <w:i/>
          <w:iCs/>
          <w:szCs w:val="26"/>
        </w:rPr>
        <w:t>Sheehan</w:t>
      </w:r>
      <w:r w:rsidRPr="003D283D">
        <w:rPr>
          <w:szCs w:val="26"/>
        </w:rPr>
        <w:t xml:space="preserve">) that “[t]he authorities are uniform to the point that to justify a court in determining from oral testimony that a deed which purports to convey land absolutely in fee simple was intended to be something different, as a mortgage or trust, such testimony must be clear, convincing, and conclusive — something more than that modicum of evidence which appellate courts sometimes hold sufficient to warrant a finding where the matter </w:t>
      </w:r>
      <w:r w:rsidRPr="003D283D">
        <w:rPr>
          <w:szCs w:val="26"/>
        </w:rPr>
        <w:lastRenderedPageBreak/>
        <w:t>is not so serious as the overthrow of a clearly</w:t>
      </w:r>
      <w:r w:rsidR="0036139C" w:rsidRPr="003D283D">
        <w:rPr>
          <w:szCs w:val="26"/>
        </w:rPr>
        <w:t xml:space="preserve"> </w:t>
      </w:r>
      <w:r w:rsidRPr="003D283D">
        <w:rPr>
          <w:szCs w:val="26"/>
        </w:rPr>
        <w:t xml:space="preserve">expressed deed, solemnly executed and delivered.”  </w:t>
      </w:r>
      <w:r w:rsidR="0036139C" w:rsidRPr="003D283D">
        <w:rPr>
          <w:szCs w:val="26"/>
        </w:rPr>
        <w:t>(</w:t>
      </w:r>
      <w:r w:rsidR="0036139C" w:rsidRPr="003D283D">
        <w:rPr>
          <w:i/>
          <w:szCs w:val="26"/>
        </w:rPr>
        <w:t>Id</w:t>
      </w:r>
      <w:r w:rsidR="0036139C" w:rsidRPr="003D283D">
        <w:rPr>
          <w:szCs w:val="26"/>
        </w:rPr>
        <w:t>., at p. 193.)</w:t>
      </w:r>
    </w:p>
    <w:p w14:paraId="692D6BC3" w14:textId="2F2CF38D" w:rsidR="00303DC1" w:rsidRPr="003D283D" w:rsidRDefault="00303DC1" w:rsidP="00303DC1">
      <w:pPr>
        <w:keepNext/>
        <w:keepLines/>
        <w:spacing w:line="240" w:lineRule="auto"/>
        <w:ind w:left="1080" w:hanging="360"/>
        <w:rPr>
          <w:b/>
          <w:bCs/>
          <w:szCs w:val="26"/>
        </w:rPr>
      </w:pPr>
      <w:r w:rsidRPr="003D283D">
        <w:rPr>
          <w:b/>
          <w:bCs/>
          <w:szCs w:val="26"/>
        </w:rPr>
        <w:t>B.</w:t>
      </w:r>
      <w:r w:rsidRPr="003D283D">
        <w:rPr>
          <w:b/>
          <w:bCs/>
          <w:szCs w:val="26"/>
        </w:rPr>
        <w:tab/>
        <w:t>Consideration of the Clear and Convincing Standard in Appellate Review for Sufficiency of the Evidence</w:t>
      </w:r>
    </w:p>
    <w:p w14:paraId="27A13005" w14:textId="36C6F870" w:rsidR="00062DB8" w:rsidRPr="003D283D" w:rsidRDefault="00F77A88" w:rsidP="007F1BD8">
      <w:pPr>
        <w:ind w:firstLine="720"/>
        <w:rPr>
          <w:szCs w:val="26"/>
        </w:rPr>
      </w:pPr>
      <w:bookmarkStart w:id="3" w:name="_Hlk46134980"/>
      <w:r w:rsidRPr="003D283D">
        <w:rPr>
          <w:szCs w:val="26"/>
        </w:rPr>
        <w:t>T</w:t>
      </w:r>
      <w:r w:rsidR="00062DB8" w:rsidRPr="003D283D">
        <w:rPr>
          <w:szCs w:val="26"/>
        </w:rPr>
        <w:t xml:space="preserve">he court in </w:t>
      </w:r>
      <w:r w:rsidR="00062DB8" w:rsidRPr="003D283D">
        <w:rPr>
          <w:i/>
          <w:iCs/>
          <w:szCs w:val="26"/>
        </w:rPr>
        <w:t>Sheehan</w:t>
      </w:r>
      <w:r w:rsidR="00062DB8" w:rsidRPr="003D283D">
        <w:rPr>
          <w:szCs w:val="26"/>
        </w:rPr>
        <w:t xml:space="preserve">, </w:t>
      </w:r>
      <w:r w:rsidR="00062DB8" w:rsidRPr="003D283D">
        <w:rPr>
          <w:i/>
          <w:iCs/>
          <w:szCs w:val="26"/>
        </w:rPr>
        <w:t>supra</w:t>
      </w:r>
      <w:r w:rsidR="00062DB8" w:rsidRPr="003D283D">
        <w:rPr>
          <w:szCs w:val="26"/>
        </w:rPr>
        <w:t>, 126 Cal. 189</w:t>
      </w:r>
      <w:r w:rsidR="004649AA" w:rsidRPr="003D283D">
        <w:rPr>
          <w:szCs w:val="26"/>
        </w:rPr>
        <w:t>,</w:t>
      </w:r>
      <w:r w:rsidR="00062DB8" w:rsidRPr="003D283D">
        <w:rPr>
          <w:szCs w:val="26"/>
        </w:rPr>
        <w:t xml:space="preserve"> also addressed how other </w:t>
      </w:r>
      <w:r w:rsidR="00BB690C" w:rsidRPr="003D283D">
        <w:rPr>
          <w:szCs w:val="26"/>
        </w:rPr>
        <w:t xml:space="preserve">appellate </w:t>
      </w:r>
      <w:r w:rsidR="00062DB8" w:rsidRPr="003D283D">
        <w:rPr>
          <w:szCs w:val="26"/>
        </w:rPr>
        <w:t xml:space="preserve">courts had </w:t>
      </w:r>
      <w:r w:rsidR="00E52AFA" w:rsidRPr="003D283D">
        <w:rPr>
          <w:szCs w:val="26"/>
        </w:rPr>
        <w:t>evaluated</w:t>
      </w:r>
      <w:r w:rsidR="00062DB8" w:rsidRPr="003D283D">
        <w:rPr>
          <w:szCs w:val="26"/>
        </w:rPr>
        <w:t xml:space="preserve"> </w:t>
      </w:r>
      <w:r w:rsidR="00BB690C" w:rsidRPr="003D283D">
        <w:rPr>
          <w:szCs w:val="26"/>
        </w:rPr>
        <w:t>claims</w:t>
      </w:r>
      <w:r w:rsidR="00062DB8" w:rsidRPr="003D283D">
        <w:rPr>
          <w:szCs w:val="26"/>
        </w:rPr>
        <w:t xml:space="preserve"> that </w:t>
      </w:r>
      <w:proofErr w:type="spellStart"/>
      <w:r w:rsidR="00613E4C" w:rsidRPr="003D283D">
        <w:rPr>
          <w:szCs w:val="26"/>
        </w:rPr>
        <w:t>parol</w:t>
      </w:r>
      <w:proofErr w:type="spellEnd"/>
      <w:r w:rsidR="00BB690C" w:rsidRPr="003D283D">
        <w:rPr>
          <w:szCs w:val="26"/>
        </w:rPr>
        <w:t xml:space="preserve"> evidence introduced before the trial court </w:t>
      </w:r>
      <w:r w:rsidR="004B3EA5" w:rsidRPr="003D283D">
        <w:rPr>
          <w:szCs w:val="26"/>
        </w:rPr>
        <w:t xml:space="preserve">had not </w:t>
      </w:r>
      <w:r w:rsidR="00DE340A" w:rsidRPr="003D283D">
        <w:rPr>
          <w:szCs w:val="26"/>
        </w:rPr>
        <w:t xml:space="preserve">adequately </w:t>
      </w:r>
      <w:r w:rsidR="002732DB" w:rsidRPr="003D283D">
        <w:rPr>
          <w:szCs w:val="26"/>
        </w:rPr>
        <w:t>established</w:t>
      </w:r>
      <w:r w:rsidR="00BB690C" w:rsidRPr="003D283D">
        <w:rPr>
          <w:szCs w:val="26"/>
        </w:rPr>
        <w:t xml:space="preserve"> that </w:t>
      </w:r>
      <w:r w:rsidR="00062DB8" w:rsidRPr="003D283D">
        <w:rPr>
          <w:szCs w:val="26"/>
        </w:rPr>
        <w:t>a written deed instrument, absolute on its face, was in fact a mortgage</w:t>
      </w:r>
      <w:r w:rsidR="00613E4C" w:rsidRPr="003D283D">
        <w:rPr>
          <w:szCs w:val="26"/>
        </w:rPr>
        <w:t xml:space="preserve"> or trust</w:t>
      </w:r>
      <w:r w:rsidR="00062DB8" w:rsidRPr="003D283D">
        <w:rPr>
          <w:szCs w:val="26"/>
        </w:rPr>
        <w:t>.</w:t>
      </w:r>
      <w:bookmarkEnd w:id="3"/>
      <w:r w:rsidR="00062DB8" w:rsidRPr="003D283D">
        <w:rPr>
          <w:szCs w:val="26"/>
        </w:rPr>
        <w:t xml:space="preserve">  Our opinion in </w:t>
      </w:r>
      <w:r w:rsidR="00062DB8" w:rsidRPr="003D283D">
        <w:rPr>
          <w:i/>
          <w:iCs/>
          <w:szCs w:val="26"/>
        </w:rPr>
        <w:t>Sheehan</w:t>
      </w:r>
      <w:r w:rsidR="00062DB8" w:rsidRPr="003D283D">
        <w:rPr>
          <w:szCs w:val="26"/>
        </w:rPr>
        <w:t xml:space="preserve"> observed that </w:t>
      </w:r>
      <w:r w:rsidR="00E52AFA" w:rsidRPr="003D283D">
        <w:rPr>
          <w:szCs w:val="26"/>
        </w:rPr>
        <w:t>through</w:t>
      </w:r>
      <w:r w:rsidR="00062DB8" w:rsidRPr="003D283D">
        <w:rPr>
          <w:szCs w:val="26"/>
        </w:rPr>
        <w:t xml:space="preserve"> such matters (e.g., </w:t>
      </w:r>
      <w:r w:rsidR="00062DB8" w:rsidRPr="003D283D">
        <w:rPr>
          <w:i/>
          <w:iCs/>
          <w:szCs w:val="26"/>
        </w:rPr>
        <w:t>Mahoney v. Bostwick</w:t>
      </w:r>
      <w:r w:rsidR="00062DB8" w:rsidRPr="003D283D">
        <w:rPr>
          <w:szCs w:val="26"/>
        </w:rPr>
        <w:t xml:space="preserve"> (1892) 96 Cal. 53) the authorities “clearly declare that the rule</w:t>
      </w:r>
      <w:r w:rsidR="00613E4C" w:rsidRPr="003D283D">
        <w:rPr>
          <w:szCs w:val="26"/>
        </w:rPr>
        <w:t>,</w:t>
      </w:r>
      <w:r w:rsidR="00062DB8" w:rsidRPr="003D283D">
        <w:rPr>
          <w:szCs w:val="26"/>
        </w:rPr>
        <w:t xml:space="preserve"> as above stated [requiring clear and convincing evidence</w:t>
      </w:r>
      <w:r w:rsidR="00F04E89" w:rsidRPr="003D283D">
        <w:rPr>
          <w:szCs w:val="26"/>
        </w:rPr>
        <w:t xml:space="preserve"> that the intent was contrary to the deed’s terms</w:t>
      </w:r>
      <w:r w:rsidR="00062DB8" w:rsidRPr="003D283D">
        <w:rPr>
          <w:szCs w:val="26"/>
        </w:rPr>
        <w:t>]</w:t>
      </w:r>
      <w:r w:rsidR="00DE340A" w:rsidRPr="003D283D">
        <w:rPr>
          <w:szCs w:val="26"/>
        </w:rPr>
        <w:t>,</w:t>
      </w:r>
      <w:r w:rsidR="00062DB8" w:rsidRPr="003D283D">
        <w:rPr>
          <w:szCs w:val="26"/>
        </w:rPr>
        <w:t xml:space="preserve"> should govern trial courts, and tha</w:t>
      </w:r>
      <w:r w:rsidR="00DE340A" w:rsidRPr="003D283D">
        <w:rPr>
          <w:szCs w:val="26"/>
        </w:rPr>
        <w:t xml:space="preserve">t, where an absolute deed has been found to be something else, </w:t>
      </w:r>
      <w:r w:rsidR="00062DB8" w:rsidRPr="003D283D">
        <w:rPr>
          <w:szCs w:val="26"/>
        </w:rPr>
        <w:t xml:space="preserve">the sufficiency of the evidence to support the finding should be considered by the appellate court </w:t>
      </w:r>
      <w:r w:rsidR="00062DB8" w:rsidRPr="003D283D">
        <w:rPr>
          <w:i/>
          <w:iCs/>
          <w:szCs w:val="26"/>
        </w:rPr>
        <w:t>in the light of that rule</w:t>
      </w:r>
      <w:r w:rsidR="00062DB8" w:rsidRPr="003D283D">
        <w:rPr>
          <w:szCs w:val="26"/>
        </w:rPr>
        <w:t>.”  (</w:t>
      </w:r>
      <w:r w:rsidR="00BB690C" w:rsidRPr="003D283D">
        <w:rPr>
          <w:i/>
          <w:iCs/>
          <w:szCs w:val="26"/>
        </w:rPr>
        <w:t>Sheehan</w:t>
      </w:r>
      <w:r w:rsidR="00062DB8" w:rsidRPr="003D283D">
        <w:rPr>
          <w:szCs w:val="26"/>
        </w:rPr>
        <w:t xml:space="preserve">, at p. 193, italics added.)  In other words, even though the standard of clear and convincing evidence directly governed </w:t>
      </w:r>
      <w:r w:rsidR="004649AA" w:rsidRPr="003D283D">
        <w:rPr>
          <w:szCs w:val="26"/>
        </w:rPr>
        <w:t xml:space="preserve">only </w:t>
      </w:r>
      <w:r w:rsidR="00062DB8" w:rsidRPr="003D283D">
        <w:rPr>
          <w:szCs w:val="26"/>
        </w:rPr>
        <w:t xml:space="preserve">the determination made by the </w:t>
      </w:r>
      <w:r w:rsidR="00730887" w:rsidRPr="003D283D">
        <w:rPr>
          <w:szCs w:val="26"/>
        </w:rPr>
        <w:t>trier of fact</w:t>
      </w:r>
      <w:r w:rsidR="00062DB8" w:rsidRPr="003D283D">
        <w:rPr>
          <w:szCs w:val="26"/>
        </w:rPr>
        <w:t xml:space="preserve">, appellate courts </w:t>
      </w:r>
      <w:r w:rsidR="00E52AFA" w:rsidRPr="003D283D">
        <w:rPr>
          <w:szCs w:val="26"/>
        </w:rPr>
        <w:t>assessing the</w:t>
      </w:r>
      <w:r w:rsidR="00062DB8" w:rsidRPr="003D283D">
        <w:rPr>
          <w:szCs w:val="26"/>
        </w:rPr>
        <w:t xml:space="preserve"> sufficiency of the evidence still had to take this standard of proof into account </w:t>
      </w:r>
      <w:r w:rsidR="005550BD" w:rsidRPr="003D283D">
        <w:rPr>
          <w:szCs w:val="26"/>
        </w:rPr>
        <w:t>by appropriately reframing their inquiry</w:t>
      </w:r>
      <w:r w:rsidR="00062DB8" w:rsidRPr="003D283D">
        <w:rPr>
          <w:szCs w:val="26"/>
        </w:rPr>
        <w:t>.</w:t>
      </w:r>
    </w:p>
    <w:p w14:paraId="6DBC0921" w14:textId="5DED8AC2" w:rsidR="00062DB8" w:rsidRPr="003D283D" w:rsidRDefault="003E0B25" w:rsidP="007F1BD8">
      <w:pPr>
        <w:ind w:firstLine="810"/>
        <w:rPr>
          <w:szCs w:val="26"/>
        </w:rPr>
      </w:pPr>
      <w:r w:rsidRPr="003D283D">
        <w:rPr>
          <w:szCs w:val="26"/>
        </w:rPr>
        <w:t>It was</w:t>
      </w:r>
      <w:r w:rsidR="00F04E89" w:rsidRPr="003D283D">
        <w:rPr>
          <w:szCs w:val="26"/>
        </w:rPr>
        <w:t xml:space="preserve"> understood</w:t>
      </w:r>
      <w:r w:rsidRPr="003D283D">
        <w:rPr>
          <w:szCs w:val="26"/>
        </w:rPr>
        <w:t xml:space="preserve"> even at the time </w:t>
      </w:r>
      <w:r w:rsidRPr="003D283D">
        <w:rPr>
          <w:i/>
          <w:iCs/>
          <w:szCs w:val="26"/>
        </w:rPr>
        <w:t>Sheehan</w:t>
      </w:r>
      <w:r w:rsidRPr="003D283D">
        <w:rPr>
          <w:szCs w:val="26"/>
        </w:rPr>
        <w:t xml:space="preserve"> was decided</w:t>
      </w:r>
      <w:r w:rsidR="00F04E89" w:rsidRPr="003D283D">
        <w:rPr>
          <w:szCs w:val="26"/>
        </w:rPr>
        <w:t xml:space="preserve"> that </w:t>
      </w:r>
      <w:r w:rsidR="00CB60D5" w:rsidRPr="003D283D">
        <w:rPr>
          <w:szCs w:val="26"/>
        </w:rPr>
        <w:t>this adjustment</w:t>
      </w:r>
      <w:r w:rsidR="00F04E89" w:rsidRPr="003D283D">
        <w:rPr>
          <w:szCs w:val="26"/>
        </w:rPr>
        <w:t xml:space="preserve"> </w:t>
      </w:r>
      <w:r w:rsidRPr="003D283D">
        <w:rPr>
          <w:szCs w:val="26"/>
        </w:rPr>
        <w:t xml:space="preserve">in appellate perspective when the clear and convincing standard applied below </w:t>
      </w:r>
      <w:r w:rsidR="00F04E89" w:rsidRPr="003D283D">
        <w:rPr>
          <w:szCs w:val="26"/>
        </w:rPr>
        <w:t xml:space="preserve">did not provide </w:t>
      </w:r>
      <w:r w:rsidRPr="003D283D">
        <w:rPr>
          <w:szCs w:val="26"/>
        </w:rPr>
        <w:t>reviewing</w:t>
      </w:r>
      <w:r w:rsidR="00F04E89" w:rsidRPr="003D283D">
        <w:rPr>
          <w:szCs w:val="26"/>
        </w:rPr>
        <w:t xml:space="preserve"> courts with a liberal license to substitute their views </w:t>
      </w:r>
      <w:r w:rsidR="005550BD" w:rsidRPr="003D283D">
        <w:rPr>
          <w:szCs w:val="26"/>
        </w:rPr>
        <w:t xml:space="preserve">for the conclusions drawn by the trier of fact </w:t>
      </w:r>
      <w:r w:rsidR="00B560DD" w:rsidRPr="003D283D">
        <w:rPr>
          <w:szCs w:val="26"/>
        </w:rPr>
        <w:t>on matters such as witness credibility and the resolution of conflicts in the evidence</w:t>
      </w:r>
      <w:r w:rsidR="00062DB8" w:rsidRPr="003D283D">
        <w:rPr>
          <w:szCs w:val="26"/>
        </w:rPr>
        <w:t xml:space="preserve">.  In </w:t>
      </w:r>
      <w:proofErr w:type="spellStart"/>
      <w:r w:rsidR="00062DB8" w:rsidRPr="003D283D">
        <w:rPr>
          <w:i/>
          <w:iCs/>
          <w:szCs w:val="26"/>
        </w:rPr>
        <w:t>Jarnatt</w:t>
      </w:r>
      <w:proofErr w:type="spellEnd"/>
      <w:r w:rsidR="00062DB8" w:rsidRPr="003D283D">
        <w:rPr>
          <w:i/>
          <w:iCs/>
          <w:szCs w:val="26"/>
        </w:rPr>
        <w:t xml:space="preserve"> v. Cooper</w:t>
      </w:r>
      <w:r w:rsidR="00062DB8" w:rsidRPr="003D283D">
        <w:rPr>
          <w:szCs w:val="26"/>
        </w:rPr>
        <w:t xml:space="preserve"> (1881) 59 Cal. 703, </w:t>
      </w:r>
      <w:r w:rsidR="005550BD" w:rsidRPr="003D283D">
        <w:rPr>
          <w:szCs w:val="26"/>
        </w:rPr>
        <w:t xml:space="preserve">for example, </w:t>
      </w:r>
      <w:r w:rsidR="00062DB8" w:rsidRPr="003D283D">
        <w:rPr>
          <w:szCs w:val="26"/>
        </w:rPr>
        <w:t>this court</w:t>
      </w:r>
      <w:r w:rsidR="00EB5E5F" w:rsidRPr="003D283D">
        <w:rPr>
          <w:szCs w:val="26"/>
        </w:rPr>
        <w:t xml:space="preserve"> had</w:t>
      </w:r>
      <w:r w:rsidR="00062DB8" w:rsidRPr="003D283D">
        <w:rPr>
          <w:szCs w:val="26"/>
        </w:rPr>
        <w:t xml:space="preserve"> explained, “</w:t>
      </w:r>
      <w:r w:rsidR="00062DB8" w:rsidRPr="003D283D">
        <w:rPr>
          <w:szCs w:val="26"/>
          <w:shd w:val="clear" w:color="auto" w:fill="FFFFFF"/>
        </w:rPr>
        <w:t xml:space="preserve">It is doubtless a well-settled rule that the party </w:t>
      </w:r>
      <w:r w:rsidR="00062DB8" w:rsidRPr="003D283D">
        <w:rPr>
          <w:szCs w:val="26"/>
          <w:shd w:val="clear" w:color="auto" w:fill="FFFFFF"/>
        </w:rPr>
        <w:lastRenderedPageBreak/>
        <w:t xml:space="preserve">alleging fraud or mistake is bound to prove his allegation by clear and convincing evidence.  That is, that the evidence which tends to prove the alleged fraud or mistake, if standing alone, uncontradicted, would establish a clear </w:t>
      </w:r>
      <w:r w:rsidR="00062DB8" w:rsidRPr="003D283D">
        <w:rPr>
          <w:rStyle w:val="Emphasis"/>
          <w:szCs w:val="26"/>
          <w:bdr w:val="none" w:sz="0" w:space="0" w:color="auto" w:frame="1"/>
        </w:rPr>
        <w:t>prima facie</w:t>
      </w:r>
      <w:r w:rsidR="00062DB8" w:rsidRPr="003D283D">
        <w:rPr>
          <w:szCs w:val="26"/>
          <w:shd w:val="clear" w:color="auto" w:fill="FFFFFF"/>
        </w:rPr>
        <w:t xml:space="preserve"> case of fraud or mistake.  If it does not, this Court may reverse the judgment on the ground of insufficiency of the evidence to justify the decision.  But where the evidence which tends to prove fraud or mistake, if standing alone, uncontradicted, is sufficiently clear and convincing, we </w:t>
      </w:r>
      <w:proofErr w:type="spellStart"/>
      <w:r w:rsidR="00062DB8" w:rsidRPr="003D283D">
        <w:rPr>
          <w:szCs w:val="26"/>
          <w:shd w:val="clear" w:color="auto" w:fill="FFFFFF"/>
        </w:rPr>
        <w:t>can not</w:t>
      </w:r>
      <w:proofErr w:type="spellEnd"/>
      <w:r w:rsidRPr="003D283D">
        <w:rPr>
          <w:szCs w:val="26"/>
          <w:shd w:val="clear" w:color="auto" w:fill="FFFFFF"/>
        </w:rPr>
        <w:t xml:space="preserve"> </w:t>
      </w:r>
      <w:r w:rsidR="00062DB8" w:rsidRPr="003D283D">
        <w:rPr>
          <w:szCs w:val="26"/>
          <w:shd w:val="clear" w:color="auto" w:fill="FFFFFF"/>
        </w:rPr>
        <w:t xml:space="preserve">reverse the judgment on the ground that such evidence is contradicted by other evidence, because the right to pass upon the credibility of witnesses is not vested in this Court.”  </w:t>
      </w:r>
      <w:r w:rsidR="00D26836" w:rsidRPr="003D283D">
        <w:rPr>
          <w:szCs w:val="26"/>
          <w:shd w:val="clear" w:color="auto" w:fill="FFFFFF"/>
        </w:rPr>
        <w:t>(</w:t>
      </w:r>
      <w:r w:rsidR="00D26836" w:rsidRPr="003D283D">
        <w:rPr>
          <w:i/>
          <w:szCs w:val="26"/>
          <w:shd w:val="clear" w:color="auto" w:fill="FFFFFF"/>
        </w:rPr>
        <w:t>Id</w:t>
      </w:r>
      <w:r w:rsidR="00D26836" w:rsidRPr="003D283D">
        <w:rPr>
          <w:szCs w:val="26"/>
          <w:shd w:val="clear" w:color="auto" w:fill="FFFFFF"/>
        </w:rPr>
        <w:t xml:space="preserve">., at p. 706.)  </w:t>
      </w:r>
    </w:p>
    <w:p w14:paraId="555FB9C3" w14:textId="4E4866FA" w:rsidR="0003420E" w:rsidRPr="003D283D" w:rsidRDefault="00462AC2" w:rsidP="007F1BD8">
      <w:pPr>
        <w:ind w:firstLine="810"/>
        <w:rPr>
          <w:szCs w:val="26"/>
          <w:shd w:val="clear" w:color="auto" w:fill="FFFFFF"/>
        </w:rPr>
      </w:pPr>
      <w:r w:rsidRPr="003D283D">
        <w:rPr>
          <w:szCs w:val="26"/>
        </w:rPr>
        <w:t>Since</w:t>
      </w:r>
      <w:r w:rsidR="00184BCF" w:rsidRPr="003D283D">
        <w:rPr>
          <w:szCs w:val="26"/>
        </w:rPr>
        <w:t xml:space="preserve"> </w:t>
      </w:r>
      <w:r w:rsidR="00D26836" w:rsidRPr="003D283D">
        <w:rPr>
          <w:i/>
          <w:szCs w:val="26"/>
        </w:rPr>
        <w:t>Sheehan</w:t>
      </w:r>
      <w:r w:rsidR="00062DB8" w:rsidRPr="003D283D">
        <w:rPr>
          <w:szCs w:val="26"/>
        </w:rPr>
        <w:t xml:space="preserve">, </w:t>
      </w:r>
      <w:r w:rsidR="00730887" w:rsidRPr="003D283D">
        <w:rPr>
          <w:szCs w:val="26"/>
        </w:rPr>
        <w:t>we</w:t>
      </w:r>
      <w:r w:rsidRPr="003D283D">
        <w:rPr>
          <w:szCs w:val="26"/>
        </w:rPr>
        <w:t xml:space="preserve"> have</w:t>
      </w:r>
      <w:r w:rsidR="00730887" w:rsidRPr="003D283D">
        <w:rPr>
          <w:szCs w:val="26"/>
        </w:rPr>
        <w:t xml:space="preserve"> reiterated</w:t>
      </w:r>
      <w:r w:rsidRPr="003D283D">
        <w:rPr>
          <w:szCs w:val="26"/>
        </w:rPr>
        <w:t xml:space="preserve"> — albeit sometimes subtly —</w:t>
      </w:r>
      <w:r w:rsidR="00730887" w:rsidRPr="003D283D">
        <w:rPr>
          <w:szCs w:val="26"/>
        </w:rPr>
        <w:t xml:space="preserve"> </w:t>
      </w:r>
      <w:r w:rsidR="00062DB8" w:rsidRPr="003D283D">
        <w:rPr>
          <w:szCs w:val="26"/>
        </w:rPr>
        <w:t xml:space="preserve">that when the clear and convincing standard of proof applied </w:t>
      </w:r>
      <w:r w:rsidR="000C5F26" w:rsidRPr="003D283D">
        <w:rPr>
          <w:szCs w:val="26"/>
        </w:rPr>
        <w:t xml:space="preserve">in </w:t>
      </w:r>
      <w:r w:rsidR="00062DB8" w:rsidRPr="003D283D">
        <w:rPr>
          <w:szCs w:val="26"/>
        </w:rPr>
        <w:t xml:space="preserve">the trial court, an appellate </w:t>
      </w:r>
      <w:r w:rsidR="006B5B13" w:rsidRPr="003D283D">
        <w:rPr>
          <w:szCs w:val="26"/>
        </w:rPr>
        <w:t>court should review the record for</w:t>
      </w:r>
      <w:r w:rsidR="00062DB8" w:rsidRPr="003D283D">
        <w:rPr>
          <w:szCs w:val="26"/>
        </w:rPr>
        <w:t xml:space="preserve"> sufficien</w:t>
      </w:r>
      <w:r w:rsidR="006B5B13" w:rsidRPr="003D283D">
        <w:rPr>
          <w:szCs w:val="26"/>
        </w:rPr>
        <w:t>t evidence in a manner mindful of the elevated degree of certainty required by this standard</w:t>
      </w:r>
      <w:r w:rsidR="00062DB8" w:rsidRPr="003D283D">
        <w:rPr>
          <w:szCs w:val="26"/>
          <w:shd w:val="clear" w:color="auto" w:fill="FFFFFF"/>
        </w:rPr>
        <w:t xml:space="preserve">.  </w:t>
      </w:r>
      <w:r w:rsidR="00B05768" w:rsidRPr="003D283D">
        <w:rPr>
          <w:szCs w:val="26"/>
          <w:shd w:val="clear" w:color="auto" w:fill="FFFFFF"/>
        </w:rPr>
        <w:t>Th</w:t>
      </w:r>
      <w:r w:rsidR="00264F43" w:rsidRPr="003D283D">
        <w:rPr>
          <w:szCs w:val="26"/>
          <w:shd w:val="clear" w:color="auto" w:fill="FFFFFF"/>
        </w:rPr>
        <w:t>is</w:t>
      </w:r>
      <w:r w:rsidR="00B05768" w:rsidRPr="003D283D">
        <w:rPr>
          <w:szCs w:val="26"/>
          <w:shd w:val="clear" w:color="auto" w:fill="FFFFFF"/>
        </w:rPr>
        <w:t xml:space="preserve"> </w:t>
      </w:r>
      <w:r w:rsidR="00264F43" w:rsidRPr="003D283D">
        <w:rPr>
          <w:szCs w:val="26"/>
          <w:shd w:val="clear" w:color="auto" w:fill="FFFFFF"/>
        </w:rPr>
        <w:t>guidance</w:t>
      </w:r>
      <w:r w:rsidR="00B05768" w:rsidRPr="003D283D">
        <w:rPr>
          <w:szCs w:val="26"/>
          <w:shd w:val="clear" w:color="auto" w:fill="FFFFFF"/>
        </w:rPr>
        <w:t xml:space="preserve"> often </w:t>
      </w:r>
      <w:r w:rsidR="00264F43" w:rsidRPr="003D283D">
        <w:rPr>
          <w:szCs w:val="26"/>
          <w:shd w:val="clear" w:color="auto" w:fill="FFFFFF"/>
        </w:rPr>
        <w:t>has</w:t>
      </w:r>
      <w:r w:rsidR="00B05768" w:rsidRPr="003D283D">
        <w:rPr>
          <w:szCs w:val="26"/>
          <w:shd w:val="clear" w:color="auto" w:fill="FFFFFF"/>
        </w:rPr>
        <w:t xml:space="preserve"> been coupled with </w:t>
      </w:r>
      <w:r w:rsidR="00264F43" w:rsidRPr="003D283D">
        <w:rPr>
          <w:szCs w:val="26"/>
          <w:shd w:val="clear" w:color="auto" w:fill="FFFFFF"/>
        </w:rPr>
        <w:t>language recognizing</w:t>
      </w:r>
      <w:r w:rsidR="00B05768" w:rsidRPr="003D283D">
        <w:rPr>
          <w:szCs w:val="26"/>
          <w:shd w:val="clear" w:color="auto" w:fill="FFFFFF"/>
        </w:rPr>
        <w:t xml:space="preserve"> the </w:t>
      </w:r>
      <w:r w:rsidR="003B1E69" w:rsidRPr="003D283D">
        <w:rPr>
          <w:szCs w:val="26"/>
          <w:shd w:val="clear" w:color="auto" w:fill="FFFFFF"/>
        </w:rPr>
        <w:t xml:space="preserve">limits </w:t>
      </w:r>
      <w:r w:rsidR="00264F43" w:rsidRPr="003D283D">
        <w:rPr>
          <w:szCs w:val="26"/>
          <w:shd w:val="clear" w:color="auto" w:fill="FFFFFF"/>
        </w:rPr>
        <w:t>of</w:t>
      </w:r>
      <w:r w:rsidR="003B1E69" w:rsidRPr="003D283D">
        <w:rPr>
          <w:szCs w:val="26"/>
          <w:shd w:val="clear" w:color="auto" w:fill="FFFFFF"/>
        </w:rPr>
        <w:t xml:space="preserve"> </w:t>
      </w:r>
      <w:r w:rsidR="00730887" w:rsidRPr="003D283D">
        <w:rPr>
          <w:szCs w:val="26"/>
          <w:shd w:val="clear" w:color="auto" w:fill="FFFFFF"/>
        </w:rPr>
        <w:t>such</w:t>
      </w:r>
      <w:r w:rsidR="003B1E69" w:rsidRPr="003D283D">
        <w:rPr>
          <w:szCs w:val="26"/>
          <w:shd w:val="clear" w:color="auto" w:fill="FFFFFF"/>
        </w:rPr>
        <w:t xml:space="preserve"> review</w:t>
      </w:r>
      <w:r w:rsidR="00B05768" w:rsidRPr="003D283D">
        <w:rPr>
          <w:szCs w:val="26"/>
          <w:shd w:val="clear" w:color="auto" w:fill="FFFFFF"/>
        </w:rPr>
        <w:t xml:space="preserve">.  </w:t>
      </w:r>
      <w:r w:rsidR="00264F43" w:rsidRPr="003D283D">
        <w:rPr>
          <w:szCs w:val="26"/>
          <w:shd w:val="clear" w:color="auto" w:fill="FFFFFF"/>
        </w:rPr>
        <w:t>More than a century ago, i</w:t>
      </w:r>
      <w:r w:rsidR="00184BCF" w:rsidRPr="003D283D">
        <w:rPr>
          <w:szCs w:val="26"/>
          <w:shd w:val="clear" w:color="auto" w:fill="FFFFFF"/>
        </w:rPr>
        <w:t>n</w:t>
      </w:r>
      <w:r w:rsidR="00A10340" w:rsidRPr="003D283D">
        <w:rPr>
          <w:szCs w:val="26"/>
          <w:shd w:val="clear" w:color="auto" w:fill="FFFFFF"/>
        </w:rPr>
        <w:t xml:space="preserve"> </w:t>
      </w:r>
      <w:proofErr w:type="spellStart"/>
      <w:r w:rsidR="00A10340" w:rsidRPr="003D283D">
        <w:rPr>
          <w:i/>
          <w:iCs/>
          <w:szCs w:val="26"/>
          <w:shd w:val="clear" w:color="auto" w:fill="FFFFFF"/>
        </w:rPr>
        <w:t>Wadleigh</w:t>
      </w:r>
      <w:proofErr w:type="spellEnd"/>
      <w:r w:rsidR="00A10340" w:rsidRPr="003D283D">
        <w:rPr>
          <w:i/>
          <w:iCs/>
          <w:szCs w:val="26"/>
          <w:shd w:val="clear" w:color="auto" w:fill="FFFFFF"/>
        </w:rPr>
        <w:t xml:space="preserve"> v. Phelps</w:t>
      </w:r>
      <w:r w:rsidR="00A10340" w:rsidRPr="003D283D">
        <w:rPr>
          <w:szCs w:val="26"/>
          <w:shd w:val="clear" w:color="auto" w:fill="FFFFFF"/>
        </w:rPr>
        <w:t xml:space="preserve"> (1906) 149 Cal. 627</w:t>
      </w:r>
      <w:r w:rsidR="00184BCF" w:rsidRPr="003D283D">
        <w:rPr>
          <w:szCs w:val="26"/>
          <w:shd w:val="clear" w:color="auto" w:fill="FFFFFF"/>
        </w:rPr>
        <w:t>,</w:t>
      </w:r>
      <w:r w:rsidR="00EB5E5F" w:rsidRPr="003D283D">
        <w:rPr>
          <w:szCs w:val="26"/>
          <w:shd w:val="clear" w:color="auto" w:fill="FFFFFF"/>
        </w:rPr>
        <w:t xml:space="preserve"> </w:t>
      </w:r>
      <w:r w:rsidR="00A10340" w:rsidRPr="003D283D">
        <w:rPr>
          <w:szCs w:val="26"/>
          <w:shd w:val="clear" w:color="auto" w:fill="FFFFFF"/>
        </w:rPr>
        <w:t xml:space="preserve">we upheld a finding that a deed, absolute on its face, was in fact a mortgage. </w:t>
      </w:r>
      <w:r w:rsidR="00184BCF" w:rsidRPr="003D283D">
        <w:rPr>
          <w:szCs w:val="26"/>
          <w:shd w:val="clear" w:color="auto" w:fill="FFFFFF"/>
        </w:rPr>
        <w:t xml:space="preserve"> (</w:t>
      </w:r>
      <w:r w:rsidR="00184BCF" w:rsidRPr="003D283D">
        <w:rPr>
          <w:i/>
          <w:szCs w:val="26"/>
          <w:shd w:val="clear" w:color="auto" w:fill="FFFFFF"/>
        </w:rPr>
        <w:t>Id</w:t>
      </w:r>
      <w:r w:rsidR="00184BCF" w:rsidRPr="003D283D">
        <w:rPr>
          <w:szCs w:val="26"/>
          <w:shd w:val="clear" w:color="auto" w:fill="FFFFFF"/>
        </w:rPr>
        <w:t>., at p. 639.)</w:t>
      </w:r>
      <w:r w:rsidR="00A10340" w:rsidRPr="003D283D">
        <w:rPr>
          <w:szCs w:val="26"/>
          <w:shd w:val="clear" w:color="auto" w:fill="FFFFFF"/>
        </w:rPr>
        <w:t xml:space="preserve"> </w:t>
      </w:r>
      <w:r w:rsidR="00184BCF" w:rsidRPr="003D283D">
        <w:rPr>
          <w:szCs w:val="26"/>
          <w:shd w:val="clear" w:color="auto" w:fill="FFFFFF"/>
        </w:rPr>
        <w:t xml:space="preserve"> </w:t>
      </w:r>
      <w:r w:rsidR="00A10340" w:rsidRPr="003D283D">
        <w:rPr>
          <w:szCs w:val="26"/>
          <w:shd w:val="clear" w:color="auto" w:fill="FFFFFF"/>
        </w:rPr>
        <w:t xml:space="preserve">In doing so, we </w:t>
      </w:r>
      <w:r w:rsidR="00202A8C" w:rsidRPr="003D283D">
        <w:rPr>
          <w:szCs w:val="26"/>
          <w:shd w:val="clear" w:color="auto" w:fill="FFFFFF"/>
        </w:rPr>
        <w:t>exp</w:t>
      </w:r>
      <w:r w:rsidR="009C7C74" w:rsidRPr="003D283D">
        <w:rPr>
          <w:szCs w:val="26"/>
          <w:shd w:val="clear" w:color="auto" w:fill="FFFFFF"/>
        </w:rPr>
        <w:t>ound</w:t>
      </w:r>
      <w:r w:rsidR="00202A8C" w:rsidRPr="003D283D">
        <w:rPr>
          <w:szCs w:val="26"/>
          <w:shd w:val="clear" w:color="auto" w:fill="FFFFFF"/>
        </w:rPr>
        <w:t>ed,</w:t>
      </w:r>
      <w:r w:rsidR="00A10340" w:rsidRPr="003D283D">
        <w:rPr>
          <w:szCs w:val="26"/>
          <w:shd w:val="clear" w:color="auto" w:fill="FFFFFF"/>
        </w:rPr>
        <w:t xml:space="preserve"> “It is, of course, the universal rule that the presumption of law, independent of proof, is that such a deed is what it purports to be — viz. an absolute conveyance — and that this presumption must prevail unless the evidence to the contrary is entirely plain and convincing.  This, however, does not mean that the evidence in the record on appeal must be entirely plain and convincing to an appellate court.</w:t>
      </w:r>
      <w:r w:rsidR="00B560DD" w:rsidRPr="003D283D">
        <w:rPr>
          <w:szCs w:val="26"/>
          <w:shd w:val="clear" w:color="auto" w:fill="FFFFFF"/>
        </w:rPr>
        <w:t xml:space="preserve"> </w:t>
      </w:r>
      <w:r w:rsidR="00A10340" w:rsidRPr="003D283D">
        <w:rPr>
          <w:szCs w:val="26"/>
          <w:shd w:val="clear" w:color="auto" w:fill="FFFFFF"/>
        </w:rPr>
        <w:t xml:space="preserve"> This question of fact, like other questions of fact, is one for the trial court, and while, as said in </w:t>
      </w:r>
      <w:r w:rsidR="00A10340" w:rsidRPr="003D283D">
        <w:rPr>
          <w:i/>
          <w:szCs w:val="26"/>
          <w:shd w:val="clear" w:color="auto" w:fill="FFFFFF"/>
        </w:rPr>
        <w:t>Sheehan v. Sullivan</w:t>
      </w:r>
      <w:r w:rsidR="00A10340" w:rsidRPr="003D283D">
        <w:rPr>
          <w:szCs w:val="26"/>
          <w:shd w:val="clear" w:color="auto" w:fill="FFFFFF"/>
        </w:rPr>
        <w:t>, 126 Cal. 189, 193 . .</w:t>
      </w:r>
      <w:r w:rsidR="00A10340" w:rsidRPr="003D283D">
        <w:t> .</w:t>
      </w:r>
      <w:r w:rsidR="00E8738C" w:rsidRPr="003D283D">
        <w:t> </w:t>
      </w:r>
      <w:r w:rsidR="00A10340" w:rsidRPr="003D283D">
        <w:rPr>
          <w:szCs w:val="26"/>
          <w:shd w:val="clear" w:color="auto" w:fill="FFFFFF"/>
        </w:rPr>
        <w:t xml:space="preserve">, the appellate court will consider the question as to the </w:t>
      </w:r>
      <w:r w:rsidR="00A10340" w:rsidRPr="003D283D">
        <w:rPr>
          <w:szCs w:val="26"/>
          <w:shd w:val="clear" w:color="auto" w:fill="FFFFFF"/>
        </w:rPr>
        <w:lastRenderedPageBreak/>
        <w:t xml:space="preserve">sufficiency of the evidence in the light of that rule, it will not disturb the finding of the trial court to the effect that the deed is a mortgage, </w:t>
      </w:r>
      <w:r w:rsidR="00A10340" w:rsidRPr="003D283D">
        <w:rPr>
          <w:iCs/>
          <w:szCs w:val="26"/>
          <w:shd w:val="clear" w:color="auto" w:fill="FFFFFF"/>
        </w:rPr>
        <w:t xml:space="preserve">where there is substantial evidence </w:t>
      </w:r>
      <w:r w:rsidR="00A10340" w:rsidRPr="003D283D">
        <w:rPr>
          <w:i/>
          <w:szCs w:val="26"/>
          <w:shd w:val="clear" w:color="auto" w:fill="FFFFFF"/>
        </w:rPr>
        <w:t>warranting a clear and satisfactory conviction to that effect</w:t>
      </w:r>
      <w:r w:rsidR="00A10340" w:rsidRPr="003D283D">
        <w:rPr>
          <w:szCs w:val="26"/>
          <w:shd w:val="clear" w:color="auto" w:fill="FFFFFF"/>
        </w:rPr>
        <w:t>.  All questions as to preponderance and conflict of evidence are for the trial court.”  (</w:t>
      </w:r>
      <w:r w:rsidR="00A10340" w:rsidRPr="003D283D">
        <w:rPr>
          <w:i/>
          <w:szCs w:val="26"/>
          <w:shd w:val="clear" w:color="auto" w:fill="FFFFFF"/>
        </w:rPr>
        <w:t>Id</w:t>
      </w:r>
      <w:r w:rsidR="00A10340" w:rsidRPr="003D283D">
        <w:rPr>
          <w:szCs w:val="26"/>
          <w:shd w:val="clear" w:color="auto" w:fill="FFFFFF"/>
        </w:rPr>
        <w:t>., at p. 637</w:t>
      </w:r>
      <w:r w:rsidRPr="003D283D">
        <w:rPr>
          <w:szCs w:val="26"/>
          <w:shd w:val="clear" w:color="auto" w:fill="FFFFFF"/>
        </w:rPr>
        <w:t>, italics added</w:t>
      </w:r>
      <w:r w:rsidR="00A10340" w:rsidRPr="003D283D">
        <w:rPr>
          <w:szCs w:val="26"/>
          <w:shd w:val="clear" w:color="auto" w:fill="FFFFFF"/>
        </w:rPr>
        <w:t>; see also</w:t>
      </w:r>
      <w:r w:rsidR="00C75F18" w:rsidRPr="003D283D">
        <w:rPr>
          <w:szCs w:val="26"/>
          <w:shd w:val="clear" w:color="auto" w:fill="FFFFFF"/>
        </w:rPr>
        <w:t xml:space="preserve"> </w:t>
      </w:r>
      <w:r w:rsidR="00DE340A" w:rsidRPr="003D283D">
        <w:rPr>
          <w:i/>
          <w:iCs/>
          <w:szCs w:val="26"/>
          <w:shd w:val="clear" w:color="auto" w:fill="FFFFFF"/>
        </w:rPr>
        <w:t xml:space="preserve">Title Ins. </w:t>
      </w:r>
      <w:r w:rsidR="00184BCF" w:rsidRPr="003D283D">
        <w:rPr>
          <w:i/>
          <w:iCs/>
          <w:szCs w:val="26"/>
          <w:shd w:val="clear" w:color="auto" w:fill="FFFFFF"/>
        </w:rPr>
        <w:t>and</w:t>
      </w:r>
      <w:r w:rsidR="00DE340A" w:rsidRPr="003D283D">
        <w:rPr>
          <w:i/>
          <w:iCs/>
          <w:szCs w:val="26"/>
          <w:shd w:val="clear" w:color="auto" w:fill="FFFFFF"/>
        </w:rPr>
        <w:t xml:space="preserve"> Trust Co. v. Ingersoll</w:t>
      </w:r>
      <w:r w:rsidR="00DE340A" w:rsidRPr="003D283D">
        <w:rPr>
          <w:szCs w:val="26"/>
          <w:shd w:val="clear" w:color="auto" w:fill="FFFFFF"/>
        </w:rPr>
        <w:t xml:space="preserve"> (1910) 158 Cal. 474, 484; </w:t>
      </w:r>
      <w:proofErr w:type="spellStart"/>
      <w:r w:rsidR="00062DB8" w:rsidRPr="003D283D">
        <w:rPr>
          <w:i/>
          <w:iCs/>
          <w:szCs w:val="26"/>
          <w:shd w:val="clear" w:color="auto" w:fill="FFFFFF"/>
        </w:rPr>
        <w:t>Couts</w:t>
      </w:r>
      <w:proofErr w:type="spellEnd"/>
      <w:r w:rsidR="00062DB8" w:rsidRPr="003D283D">
        <w:rPr>
          <w:i/>
          <w:iCs/>
          <w:szCs w:val="26"/>
          <w:shd w:val="clear" w:color="auto" w:fill="FFFFFF"/>
        </w:rPr>
        <w:t xml:space="preserve"> v. Winston</w:t>
      </w:r>
      <w:r w:rsidR="00062DB8" w:rsidRPr="003D283D">
        <w:rPr>
          <w:szCs w:val="26"/>
          <w:shd w:val="clear" w:color="auto" w:fill="FFFFFF"/>
        </w:rPr>
        <w:t xml:space="preserve"> (1908) 153</w:t>
      </w:r>
      <w:r w:rsidR="00A368C2" w:rsidRPr="003D283D">
        <w:rPr>
          <w:szCs w:val="26"/>
          <w:shd w:val="clear" w:color="auto" w:fill="FFFFFF"/>
        </w:rPr>
        <w:t> </w:t>
      </w:r>
      <w:r w:rsidR="00062DB8" w:rsidRPr="003D283D">
        <w:rPr>
          <w:szCs w:val="26"/>
          <w:shd w:val="clear" w:color="auto" w:fill="FFFFFF"/>
        </w:rPr>
        <w:t xml:space="preserve">Cal. 686, 688-689.)  </w:t>
      </w:r>
    </w:p>
    <w:p w14:paraId="61B7249B" w14:textId="11EC2FCA" w:rsidR="00062DB8" w:rsidRPr="003D283D" w:rsidRDefault="0066340D" w:rsidP="007F1BD8">
      <w:pPr>
        <w:ind w:firstLine="810"/>
        <w:rPr>
          <w:szCs w:val="26"/>
          <w:shd w:val="clear" w:color="auto" w:fill="FFFFFF"/>
        </w:rPr>
      </w:pPr>
      <w:proofErr w:type="gramStart"/>
      <w:r w:rsidRPr="003D283D">
        <w:rPr>
          <w:szCs w:val="26"/>
          <w:shd w:val="clear" w:color="auto" w:fill="FFFFFF"/>
        </w:rPr>
        <w:t>S</w:t>
      </w:r>
      <w:r w:rsidR="00462AC2" w:rsidRPr="003D283D">
        <w:rPr>
          <w:szCs w:val="26"/>
          <w:shd w:val="clear" w:color="auto" w:fill="FFFFFF"/>
        </w:rPr>
        <w:t>everal</w:t>
      </w:r>
      <w:r w:rsidR="00264F43" w:rsidRPr="003D283D">
        <w:rPr>
          <w:szCs w:val="26"/>
          <w:shd w:val="clear" w:color="auto" w:fill="FFFFFF"/>
        </w:rPr>
        <w:t xml:space="preserve"> of</w:t>
      </w:r>
      <w:proofErr w:type="gramEnd"/>
      <w:r w:rsidR="00264F43" w:rsidRPr="003D283D">
        <w:rPr>
          <w:szCs w:val="26"/>
          <w:shd w:val="clear" w:color="auto" w:fill="FFFFFF"/>
        </w:rPr>
        <w:t xml:space="preserve"> our more</w:t>
      </w:r>
      <w:r w:rsidR="00462AC2" w:rsidRPr="003D283D">
        <w:rPr>
          <w:szCs w:val="26"/>
          <w:shd w:val="clear" w:color="auto" w:fill="FFFFFF"/>
        </w:rPr>
        <w:t xml:space="preserve"> recent </w:t>
      </w:r>
      <w:r w:rsidR="00264F43" w:rsidRPr="003D283D">
        <w:rPr>
          <w:szCs w:val="26"/>
          <w:shd w:val="clear" w:color="auto" w:fill="FFFFFF"/>
        </w:rPr>
        <w:t>decisions</w:t>
      </w:r>
      <w:r w:rsidR="00462AC2" w:rsidRPr="003D283D">
        <w:rPr>
          <w:szCs w:val="26"/>
          <w:shd w:val="clear" w:color="auto" w:fill="FFFFFF"/>
        </w:rPr>
        <w:t xml:space="preserve"> involving</w:t>
      </w:r>
      <w:r w:rsidR="00264F43" w:rsidRPr="003D283D">
        <w:rPr>
          <w:szCs w:val="26"/>
          <w:shd w:val="clear" w:color="auto" w:fill="FFFFFF"/>
        </w:rPr>
        <w:t xml:space="preserve"> </w:t>
      </w:r>
      <w:r w:rsidR="00462AC2" w:rsidRPr="003D283D">
        <w:rPr>
          <w:szCs w:val="26"/>
          <w:shd w:val="clear" w:color="auto" w:fill="FFFFFF"/>
        </w:rPr>
        <w:t>the clear and convincing standard of proof</w:t>
      </w:r>
      <w:r w:rsidRPr="003D283D">
        <w:rPr>
          <w:szCs w:val="26"/>
          <w:shd w:val="clear" w:color="auto" w:fill="FFFFFF"/>
        </w:rPr>
        <w:t xml:space="preserve"> </w:t>
      </w:r>
      <w:r w:rsidR="00462AC2" w:rsidRPr="003D283D">
        <w:rPr>
          <w:szCs w:val="26"/>
          <w:shd w:val="clear" w:color="auto" w:fill="FFFFFF"/>
        </w:rPr>
        <w:t>also</w:t>
      </w:r>
      <w:r w:rsidR="00223930" w:rsidRPr="003D283D">
        <w:rPr>
          <w:szCs w:val="26"/>
          <w:shd w:val="clear" w:color="auto" w:fill="FFFFFF"/>
        </w:rPr>
        <w:t xml:space="preserve"> have</w:t>
      </w:r>
      <w:r w:rsidR="00264F43" w:rsidRPr="003D283D">
        <w:rPr>
          <w:szCs w:val="26"/>
          <w:shd w:val="clear" w:color="auto" w:fill="FFFFFF"/>
        </w:rPr>
        <w:t xml:space="preserve"> </w:t>
      </w:r>
      <w:r w:rsidR="00462AC2" w:rsidRPr="003D283D">
        <w:rPr>
          <w:szCs w:val="26"/>
          <w:shd w:val="clear" w:color="auto" w:fill="FFFFFF"/>
        </w:rPr>
        <w:t>recognized that this standard affects a</w:t>
      </w:r>
      <w:r w:rsidR="00264F43" w:rsidRPr="003D283D">
        <w:rPr>
          <w:szCs w:val="26"/>
          <w:shd w:val="clear" w:color="auto" w:fill="FFFFFF"/>
        </w:rPr>
        <w:t xml:space="preserve"> reviewing court’s</w:t>
      </w:r>
      <w:r w:rsidR="00462AC2" w:rsidRPr="003D283D">
        <w:rPr>
          <w:szCs w:val="26"/>
          <w:shd w:val="clear" w:color="auto" w:fill="FFFFFF"/>
        </w:rPr>
        <w:t xml:space="preserve"> assessment of the sufficiency of the evidence</w:t>
      </w:r>
      <w:r w:rsidR="0003420E" w:rsidRPr="003D283D">
        <w:rPr>
          <w:szCs w:val="26"/>
          <w:shd w:val="clear" w:color="auto" w:fill="FFFFFF"/>
        </w:rPr>
        <w:t>.</w:t>
      </w:r>
      <w:r w:rsidR="00062DB8" w:rsidRPr="003D283D">
        <w:rPr>
          <w:szCs w:val="26"/>
          <w:shd w:val="clear" w:color="auto" w:fill="FFFFFF"/>
        </w:rPr>
        <w:t xml:space="preserve"> </w:t>
      </w:r>
      <w:r w:rsidR="0003420E" w:rsidRPr="003D283D">
        <w:rPr>
          <w:szCs w:val="26"/>
          <w:shd w:val="clear" w:color="auto" w:fill="FFFFFF"/>
        </w:rPr>
        <w:t xml:space="preserve"> I</w:t>
      </w:r>
      <w:r w:rsidR="00062DB8" w:rsidRPr="003D283D">
        <w:rPr>
          <w:szCs w:val="26"/>
          <w:shd w:val="clear" w:color="auto" w:fill="FFFFFF"/>
        </w:rPr>
        <w:t xml:space="preserve">n </w:t>
      </w:r>
      <w:r w:rsidR="00062DB8" w:rsidRPr="003D283D">
        <w:rPr>
          <w:i/>
          <w:iCs/>
          <w:szCs w:val="26"/>
        </w:rPr>
        <w:t>In re Angelia P.</w:t>
      </w:r>
      <w:r w:rsidR="00062DB8" w:rsidRPr="003D283D">
        <w:rPr>
          <w:szCs w:val="26"/>
        </w:rPr>
        <w:t xml:space="preserve">, </w:t>
      </w:r>
      <w:r w:rsidR="00062DB8" w:rsidRPr="003D283D">
        <w:rPr>
          <w:i/>
          <w:iCs/>
          <w:szCs w:val="26"/>
        </w:rPr>
        <w:t>supra</w:t>
      </w:r>
      <w:r w:rsidR="00062DB8" w:rsidRPr="003D283D">
        <w:rPr>
          <w:szCs w:val="26"/>
        </w:rPr>
        <w:t xml:space="preserve">, 28 Cal.3d 908, </w:t>
      </w:r>
      <w:r w:rsidR="0003420E" w:rsidRPr="003D283D">
        <w:rPr>
          <w:szCs w:val="26"/>
        </w:rPr>
        <w:t xml:space="preserve">we </w:t>
      </w:r>
      <w:r w:rsidR="005C4B16" w:rsidRPr="003D283D">
        <w:rPr>
          <w:szCs w:val="26"/>
        </w:rPr>
        <w:t>stated</w:t>
      </w:r>
      <w:r w:rsidR="00062DB8" w:rsidRPr="003D283D">
        <w:rPr>
          <w:szCs w:val="26"/>
        </w:rPr>
        <w:t xml:space="preserve"> that </w:t>
      </w:r>
      <w:r w:rsidR="003A1B8E" w:rsidRPr="003D283D">
        <w:rPr>
          <w:szCs w:val="26"/>
        </w:rPr>
        <w:t>when</w:t>
      </w:r>
      <w:r w:rsidR="00062DB8" w:rsidRPr="003D283D">
        <w:rPr>
          <w:szCs w:val="26"/>
        </w:rPr>
        <w:t xml:space="preserve"> reviewing</w:t>
      </w:r>
      <w:r w:rsidR="00BE71ED" w:rsidRPr="003D283D">
        <w:rPr>
          <w:szCs w:val="26"/>
        </w:rPr>
        <w:t xml:space="preserve"> the sufficiency of the evidence supporting</w:t>
      </w:r>
      <w:r w:rsidR="00062DB8" w:rsidRPr="003D283D">
        <w:rPr>
          <w:szCs w:val="26"/>
        </w:rPr>
        <w:t xml:space="preserve"> an order </w:t>
      </w:r>
      <w:r w:rsidR="008F3DD7" w:rsidRPr="003D283D">
        <w:rPr>
          <w:szCs w:val="26"/>
        </w:rPr>
        <w:t>terminating parental rights</w:t>
      </w:r>
      <w:r w:rsidR="003A1B8E" w:rsidRPr="003D283D">
        <w:rPr>
          <w:szCs w:val="26"/>
        </w:rPr>
        <w:t>,</w:t>
      </w:r>
      <w:r w:rsidR="008F3DD7" w:rsidRPr="003D283D">
        <w:rPr>
          <w:szCs w:val="26"/>
        </w:rPr>
        <w:t xml:space="preserve"> issued </w:t>
      </w:r>
      <w:r w:rsidR="003A1B8E" w:rsidRPr="003D283D">
        <w:rPr>
          <w:szCs w:val="26"/>
        </w:rPr>
        <w:t>upon a finding of</w:t>
      </w:r>
      <w:r w:rsidR="00A44923" w:rsidRPr="003D283D">
        <w:rPr>
          <w:szCs w:val="26"/>
        </w:rPr>
        <w:t xml:space="preserve"> clear and convincing evidence</w:t>
      </w:r>
      <w:r w:rsidR="008F3DD7" w:rsidRPr="003D283D">
        <w:rPr>
          <w:szCs w:val="26"/>
        </w:rPr>
        <w:t xml:space="preserve"> </w:t>
      </w:r>
      <w:r w:rsidR="00AC4C3D" w:rsidRPr="003D283D">
        <w:rPr>
          <w:szCs w:val="26"/>
        </w:rPr>
        <w:t>(see Civ. Code, former § 232, subd. (a))</w:t>
      </w:r>
      <w:r w:rsidR="003E0B25" w:rsidRPr="003D283D">
        <w:rPr>
          <w:szCs w:val="26"/>
        </w:rPr>
        <w:t xml:space="preserve">, </w:t>
      </w:r>
      <w:r w:rsidR="00062DB8" w:rsidRPr="003D283D">
        <w:rPr>
          <w:szCs w:val="26"/>
        </w:rPr>
        <w:t xml:space="preserve">“ ‘the [appellate] court must review the whole record in the light most favorable to the judgment below to determine whether it discloses substantial evidence — that is, evidence which is reasonable, credible, and of solid value — such that a reasonable trier of fact could find [that </w:t>
      </w:r>
      <w:r w:rsidR="003E0B25" w:rsidRPr="003D283D">
        <w:rPr>
          <w:szCs w:val="26"/>
        </w:rPr>
        <w:t>termination of parental rights</w:t>
      </w:r>
      <w:r w:rsidR="00062DB8" w:rsidRPr="003D283D">
        <w:rPr>
          <w:szCs w:val="26"/>
        </w:rPr>
        <w:t xml:space="preserve"> is appropriate based on clear and convincing evidence].’ ”  (</w:t>
      </w:r>
      <w:r w:rsidR="004B3EA5" w:rsidRPr="003D283D">
        <w:rPr>
          <w:i/>
          <w:iCs/>
          <w:szCs w:val="26"/>
        </w:rPr>
        <w:t>In re Angelia P.</w:t>
      </w:r>
      <w:r w:rsidR="00062DB8" w:rsidRPr="003D283D">
        <w:rPr>
          <w:szCs w:val="26"/>
        </w:rPr>
        <w:t xml:space="preserve">, at p. 924; see also </w:t>
      </w:r>
      <w:r w:rsidR="00062DB8" w:rsidRPr="003D283D">
        <w:rPr>
          <w:i/>
          <w:iCs/>
          <w:szCs w:val="26"/>
        </w:rPr>
        <w:t xml:space="preserve">In re </w:t>
      </w:r>
      <w:proofErr w:type="spellStart"/>
      <w:r w:rsidR="00062DB8" w:rsidRPr="003D283D">
        <w:rPr>
          <w:i/>
          <w:iCs/>
          <w:szCs w:val="26"/>
        </w:rPr>
        <w:t>Jasmon</w:t>
      </w:r>
      <w:proofErr w:type="spellEnd"/>
      <w:r w:rsidR="00062DB8" w:rsidRPr="003D283D">
        <w:rPr>
          <w:i/>
          <w:iCs/>
          <w:szCs w:val="26"/>
        </w:rPr>
        <w:t xml:space="preserve"> O.</w:t>
      </w:r>
      <w:r w:rsidR="00062DB8" w:rsidRPr="003D283D">
        <w:rPr>
          <w:szCs w:val="26"/>
        </w:rPr>
        <w:t xml:space="preserve"> (1994) 8 Cal.4th 398, 423 [taking a similar view of the appellate court’s </w:t>
      </w:r>
      <w:r w:rsidR="00EC68FC" w:rsidRPr="003D283D">
        <w:rPr>
          <w:szCs w:val="26"/>
        </w:rPr>
        <w:t>responsibility</w:t>
      </w:r>
      <w:r w:rsidR="008F3DD7" w:rsidRPr="003D283D">
        <w:rPr>
          <w:szCs w:val="26"/>
        </w:rPr>
        <w:t xml:space="preserve"> in reviewing a </w:t>
      </w:r>
      <w:r w:rsidR="00DB5D17" w:rsidRPr="003D283D">
        <w:rPr>
          <w:szCs w:val="26"/>
        </w:rPr>
        <w:t>finding</w:t>
      </w:r>
      <w:r w:rsidR="008F3DD7" w:rsidRPr="003D283D">
        <w:rPr>
          <w:szCs w:val="26"/>
        </w:rPr>
        <w:t xml:space="preserve"> under</w:t>
      </w:r>
      <w:r w:rsidR="00B632FA" w:rsidRPr="003D283D">
        <w:rPr>
          <w:szCs w:val="26"/>
        </w:rPr>
        <w:t xml:space="preserve"> Civ. Code,</w:t>
      </w:r>
      <w:r w:rsidR="008F3DD7" w:rsidRPr="003D283D">
        <w:rPr>
          <w:szCs w:val="26"/>
        </w:rPr>
        <w:t xml:space="preserve"> former </w:t>
      </w:r>
      <w:r w:rsidR="00B632FA" w:rsidRPr="003D283D">
        <w:rPr>
          <w:szCs w:val="26"/>
        </w:rPr>
        <w:t>§ </w:t>
      </w:r>
      <w:r w:rsidR="008F3DD7" w:rsidRPr="003D283D">
        <w:rPr>
          <w:szCs w:val="26"/>
        </w:rPr>
        <w:t>232</w:t>
      </w:r>
      <w:r w:rsidR="00062DB8" w:rsidRPr="003D283D">
        <w:rPr>
          <w:szCs w:val="26"/>
        </w:rPr>
        <w:t xml:space="preserve">].)  </w:t>
      </w:r>
      <w:r w:rsidR="00650737" w:rsidRPr="003D283D">
        <w:rPr>
          <w:szCs w:val="26"/>
        </w:rPr>
        <w:t>I</w:t>
      </w:r>
      <w:r w:rsidR="00062DB8" w:rsidRPr="003D283D">
        <w:rPr>
          <w:szCs w:val="26"/>
        </w:rPr>
        <w:t xml:space="preserve">n </w:t>
      </w:r>
      <w:r w:rsidR="00062DB8" w:rsidRPr="003D283D">
        <w:rPr>
          <w:i/>
          <w:iCs/>
          <w:szCs w:val="26"/>
        </w:rPr>
        <w:t>Wendland</w:t>
      </w:r>
      <w:r w:rsidR="00062DB8" w:rsidRPr="003D283D">
        <w:rPr>
          <w:szCs w:val="26"/>
        </w:rPr>
        <w:t xml:space="preserve">, </w:t>
      </w:r>
      <w:r w:rsidR="00062DB8" w:rsidRPr="003D283D">
        <w:rPr>
          <w:i/>
          <w:iCs/>
          <w:szCs w:val="26"/>
        </w:rPr>
        <w:t>supra</w:t>
      </w:r>
      <w:r w:rsidR="00062DB8" w:rsidRPr="003D283D">
        <w:rPr>
          <w:szCs w:val="26"/>
        </w:rPr>
        <w:t>, 26 Cal.4th 519, whe</w:t>
      </w:r>
      <w:r w:rsidR="0003420E" w:rsidRPr="003D283D">
        <w:rPr>
          <w:szCs w:val="26"/>
        </w:rPr>
        <w:t>re</w:t>
      </w:r>
      <w:r w:rsidR="00062DB8" w:rsidRPr="003D283D">
        <w:rPr>
          <w:szCs w:val="26"/>
        </w:rPr>
        <w:t xml:space="preserve"> we reviewed a finding by the trial court that the clear and convincing standard had not been satisfied, we described our </w:t>
      </w:r>
      <w:r w:rsidR="007D533A" w:rsidRPr="003D283D">
        <w:rPr>
          <w:szCs w:val="26"/>
        </w:rPr>
        <w:t>task</w:t>
      </w:r>
      <w:r w:rsidR="00062DB8" w:rsidRPr="003D283D">
        <w:rPr>
          <w:szCs w:val="26"/>
        </w:rPr>
        <w:t xml:space="preserve"> as follows:  “The ‘clear and convincing evidence’ test requires a finding of high probability . . .</w:t>
      </w:r>
      <w:r w:rsidR="00462AC2" w:rsidRPr="003D283D">
        <w:rPr>
          <w:szCs w:val="26"/>
        </w:rPr>
        <w:t> </w:t>
      </w:r>
      <w:r w:rsidR="00062DB8" w:rsidRPr="003D283D">
        <w:rPr>
          <w:szCs w:val="26"/>
        </w:rPr>
        <w:t>.  Applying that standard here, we ask whether the evidence . . . has that degree of clarity</w:t>
      </w:r>
      <w:r w:rsidR="00B632FA" w:rsidRPr="003D283D">
        <w:rPr>
          <w:szCs w:val="26"/>
        </w:rPr>
        <w:t> </w:t>
      </w:r>
      <w:r w:rsidR="00062DB8" w:rsidRPr="003D283D">
        <w:rPr>
          <w:szCs w:val="26"/>
        </w:rPr>
        <w:t>.</w:t>
      </w:r>
      <w:r w:rsidR="00B632FA" w:rsidRPr="003D283D">
        <w:rPr>
          <w:szCs w:val="26"/>
        </w:rPr>
        <w:t> . . .</w:t>
      </w:r>
      <w:r w:rsidR="00062DB8" w:rsidRPr="003D283D">
        <w:rPr>
          <w:szCs w:val="26"/>
        </w:rPr>
        <w:t>”  (</w:t>
      </w:r>
      <w:r w:rsidR="00062DB8" w:rsidRPr="003D283D">
        <w:rPr>
          <w:i/>
          <w:iCs/>
          <w:szCs w:val="26"/>
        </w:rPr>
        <w:t>Id</w:t>
      </w:r>
      <w:r w:rsidR="00062DB8" w:rsidRPr="003D283D">
        <w:rPr>
          <w:szCs w:val="26"/>
        </w:rPr>
        <w:t>., at p. 552.)</w:t>
      </w:r>
      <w:r w:rsidR="00650737" w:rsidRPr="003D283D">
        <w:rPr>
          <w:szCs w:val="26"/>
          <w:vertAlign w:val="superscript"/>
        </w:rPr>
        <w:t xml:space="preserve"> </w:t>
      </w:r>
      <w:r w:rsidR="00650737" w:rsidRPr="003D283D">
        <w:rPr>
          <w:szCs w:val="26"/>
          <w:shd w:val="clear" w:color="auto" w:fill="FFFFFF"/>
        </w:rPr>
        <w:t xml:space="preserve"> </w:t>
      </w:r>
      <w:r w:rsidR="00650737" w:rsidRPr="003D283D">
        <w:rPr>
          <w:szCs w:val="26"/>
        </w:rPr>
        <w:t xml:space="preserve">And most recently, in </w:t>
      </w:r>
      <w:r w:rsidR="00650737" w:rsidRPr="003D283D">
        <w:rPr>
          <w:i/>
          <w:iCs/>
          <w:szCs w:val="26"/>
        </w:rPr>
        <w:t>In re White</w:t>
      </w:r>
      <w:r w:rsidR="00650737" w:rsidRPr="003D283D">
        <w:rPr>
          <w:szCs w:val="26"/>
        </w:rPr>
        <w:t xml:space="preserve"> </w:t>
      </w:r>
      <w:r w:rsidR="008935D9" w:rsidRPr="003D283D">
        <w:rPr>
          <w:szCs w:val="26"/>
        </w:rPr>
        <w:lastRenderedPageBreak/>
        <w:t>(2020)</w:t>
      </w:r>
      <w:r w:rsidR="00650737" w:rsidRPr="003D283D">
        <w:rPr>
          <w:szCs w:val="26"/>
        </w:rPr>
        <w:t xml:space="preserve"> </w:t>
      </w:r>
      <w:r w:rsidR="00B632FA" w:rsidRPr="003D283D">
        <w:rPr>
          <w:szCs w:val="26"/>
        </w:rPr>
        <w:t>9</w:t>
      </w:r>
      <w:r w:rsidR="00650737" w:rsidRPr="003D283D">
        <w:rPr>
          <w:szCs w:val="26"/>
        </w:rPr>
        <w:t xml:space="preserve"> Cal. 5th </w:t>
      </w:r>
      <w:r w:rsidR="00B632FA" w:rsidRPr="003D283D">
        <w:rPr>
          <w:szCs w:val="26"/>
        </w:rPr>
        <w:t>455</w:t>
      </w:r>
      <w:r w:rsidR="00650737" w:rsidRPr="003D283D">
        <w:rPr>
          <w:szCs w:val="26"/>
        </w:rPr>
        <w:t xml:space="preserve">, </w:t>
      </w:r>
      <w:r w:rsidR="00B632FA" w:rsidRPr="003D283D">
        <w:rPr>
          <w:szCs w:val="26"/>
        </w:rPr>
        <w:t>465</w:t>
      </w:r>
      <w:r w:rsidR="00650737" w:rsidRPr="003D283D">
        <w:rPr>
          <w:szCs w:val="26"/>
        </w:rPr>
        <w:t xml:space="preserve"> (</w:t>
      </w:r>
      <w:r w:rsidR="00650737" w:rsidRPr="003D283D">
        <w:rPr>
          <w:i/>
          <w:iCs/>
          <w:szCs w:val="26"/>
        </w:rPr>
        <w:t>White</w:t>
      </w:r>
      <w:r w:rsidR="00650737" w:rsidRPr="003D283D">
        <w:rPr>
          <w:szCs w:val="26"/>
        </w:rPr>
        <w:t xml:space="preserve">), we </w:t>
      </w:r>
      <w:r w:rsidR="009C7C74" w:rsidRPr="003D283D">
        <w:rPr>
          <w:szCs w:val="26"/>
        </w:rPr>
        <w:t>specified</w:t>
      </w:r>
      <w:r w:rsidR="00650737" w:rsidRPr="003D283D">
        <w:rPr>
          <w:szCs w:val="26"/>
        </w:rPr>
        <w:t xml:space="preserve">, “To deny bail under article I, section 12(b) [of the California Constitution], a trial court must also find, by clear and convincing evidence, “a substantial likelihood the person’s release would result in great bodily harm to others.’  [Citation.] . . .  On review, we consider whether any reasonable trier of fact could find, by clear and convincing evidence, a substantial likelihood that the person’s release would lead to great bodily harm to others.”  </w:t>
      </w:r>
    </w:p>
    <w:p w14:paraId="20C95A56" w14:textId="796D5FD0" w:rsidR="00062DB8" w:rsidRPr="003D283D" w:rsidRDefault="00E72F8E" w:rsidP="007F1BD8">
      <w:pPr>
        <w:ind w:firstLine="810"/>
        <w:rPr>
          <w:szCs w:val="26"/>
          <w:shd w:val="clear" w:color="auto" w:fill="FFFFFF"/>
        </w:rPr>
      </w:pPr>
      <w:r w:rsidRPr="003D283D">
        <w:rPr>
          <w:szCs w:val="26"/>
          <w:shd w:val="clear" w:color="auto" w:fill="FFFFFF"/>
        </w:rPr>
        <w:t xml:space="preserve">As respondents </w:t>
      </w:r>
      <w:r w:rsidR="00B824E6" w:rsidRPr="003D283D">
        <w:rPr>
          <w:szCs w:val="26"/>
          <w:shd w:val="clear" w:color="auto" w:fill="FFFFFF"/>
        </w:rPr>
        <w:t>observe</w:t>
      </w:r>
      <w:r w:rsidRPr="003D283D">
        <w:rPr>
          <w:szCs w:val="26"/>
          <w:shd w:val="clear" w:color="auto" w:fill="FFFFFF"/>
        </w:rPr>
        <w:t xml:space="preserve">, </w:t>
      </w:r>
      <w:r w:rsidR="003A1B8E" w:rsidRPr="003D283D">
        <w:rPr>
          <w:szCs w:val="26"/>
          <w:shd w:val="clear" w:color="auto" w:fill="FFFFFF"/>
        </w:rPr>
        <w:t xml:space="preserve">we have on other occasions </w:t>
      </w:r>
      <w:r w:rsidR="0066340D" w:rsidRPr="003D283D">
        <w:rPr>
          <w:szCs w:val="26"/>
          <w:shd w:val="clear" w:color="auto" w:fill="FFFFFF"/>
        </w:rPr>
        <w:t>provided</w:t>
      </w:r>
      <w:r w:rsidR="003A1B8E" w:rsidRPr="003D283D">
        <w:rPr>
          <w:szCs w:val="26"/>
          <w:shd w:val="clear" w:color="auto" w:fill="FFFFFF"/>
        </w:rPr>
        <w:t xml:space="preserve"> </w:t>
      </w:r>
      <w:proofErr w:type="gramStart"/>
      <w:r w:rsidR="003A1B8E" w:rsidRPr="003D283D">
        <w:rPr>
          <w:szCs w:val="26"/>
          <w:shd w:val="clear" w:color="auto" w:fill="FFFFFF"/>
        </w:rPr>
        <w:t>somewhat different</w:t>
      </w:r>
      <w:proofErr w:type="gramEnd"/>
      <w:r w:rsidR="003A1B8E" w:rsidRPr="003D283D">
        <w:rPr>
          <w:szCs w:val="26"/>
          <w:shd w:val="clear" w:color="auto" w:fill="FFFFFF"/>
        </w:rPr>
        <w:t xml:space="preserve"> description</w:t>
      </w:r>
      <w:r w:rsidR="00462AC2" w:rsidRPr="003D283D">
        <w:rPr>
          <w:szCs w:val="26"/>
          <w:shd w:val="clear" w:color="auto" w:fill="FFFFFF"/>
        </w:rPr>
        <w:t>s</w:t>
      </w:r>
      <w:r w:rsidR="003A1B8E" w:rsidRPr="003D283D">
        <w:rPr>
          <w:szCs w:val="26"/>
          <w:shd w:val="clear" w:color="auto" w:fill="FFFFFF"/>
        </w:rPr>
        <w:t xml:space="preserve"> of the </w:t>
      </w:r>
      <w:r w:rsidR="00964427" w:rsidRPr="003D283D">
        <w:rPr>
          <w:szCs w:val="26"/>
          <w:shd w:val="clear" w:color="auto" w:fill="FFFFFF"/>
        </w:rPr>
        <w:t>reviewing</w:t>
      </w:r>
      <w:r w:rsidR="003A1B8E" w:rsidRPr="003D283D">
        <w:rPr>
          <w:szCs w:val="26"/>
          <w:shd w:val="clear" w:color="auto" w:fill="FFFFFF"/>
        </w:rPr>
        <w:t xml:space="preserve"> court’s role</w:t>
      </w:r>
      <w:r w:rsidR="0066340D" w:rsidRPr="003D283D">
        <w:rPr>
          <w:szCs w:val="26"/>
          <w:shd w:val="clear" w:color="auto" w:fill="FFFFFF"/>
        </w:rPr>
        <w:t xml:space="preserve"> in evaluating a finding requiring clear and convincing evidence</w:t>
      </w:r>
      <w:r w:rsidR="00475E1C" w:rsidRPr="003D283D">
        <w:rPr>
          <w:szCs w:val="26"/>
          <w:shd w:val="clear" w:color="auto" w:fill="FFFFFF"/>
        </w:rPr>
        <w:t xml:space="preserve">. </w:t>
      </w:r>
      <w:r w:rsidR="008C6544" w:rsidRPr="003D283D">
        <w:rPr>
          <w:szCs w:val="26"/>
          <w:shd w:val="clear" w:color="auto" w:fill="FFFFFF"/>
        </w:rPr>
        <w:t xml:space="preserve"> </w:t>
      </w:r>
      <w:r w:rsidR="003A1B8E" w:rsidRPr="003D283D">
        <w:rPr>
          <w:szCs w:val="26"/>
          <w:shd w:val="clear" w:color="auto" w:fill="FFFFFF"/>
        </w:rPr>
        <w:t>W</w:t>
      </w:r>
      <w:r w:rsidR="00475E1C" w:rsidRPr="003D283D">
        <w:rPr>
          <w:szCs w:val="26"/>
          <w:shd w:val="clear" w:color="auto" w:fill="FFFFFF"/>
        </w:rPr>
        <w:t>e</w:t>
      </w:r>
      <w:r w:rsidR="004675B9" w:rsidRPr="003D283D">
        <w:rPr>
          <w:szCs w:val="26"/>
          <w:shd w:val="clear" w:color="auto" w:fill="FFFFFF"/>
        </w:rPr>
        <w:t xml:space="preserve"> </w:t>
      </w:r>
      <w:r w:rsidR="003A1B8E" w:rsidRPr="003D283D">
        <w:rPr>
          <w:szCs w:val="26"/>
          <w:shd w:val="clear" w:color="auto" w:fill="FFFFFF"/>
        </w:rPr>
        <w:t xml:space="preserve">often </w:t>
      </w:r>
      <w:r w:rsidR="004675B9" w:rsidRPr="003D283D">
        <w:rPr>
          <w:szCs w:val="26"/>
          <w:shd w:val="clear" w:color="auto" w:fill="FFFFFF"/>
        </w:rPr>
        <w:t>have</w:t>
      </w:r>
      <w:r w:rsidR="008C6544" w:rsidRPr="003D283D">
        <w:rPr>
          <w:szCs w:val="26"/>
          <w:shd w:val="clear" w:color="auto" w:fill="FFFFFF"/>
        </w:rPr>
        <w:t xml:space="preserve"> emphasized the appellate court’s general responsibility to review</w:t>
      </w:r>
      <w:r w:rsidR="009C25BD" w:rsidRPr="003D283D">
        <w:rPr>
          <w:szCs w:val="26"/>
          <w:shd w:val="clear" w:color="auto" w:fill="FFFFFF"/>
        </w:rPr>
        <w:t xml:space="preserve"> the record</w:t>
      </w:r>
      <w:r w:rsidR="008C6544" w:rsidRPr="003D283D">
        <w:rPr>
          <w:szCs w:val="26"/>
          <w:shd w:val="clear" w:color="auto" w:fill="FFFFFF"/>
        </w:rPr>
        <w:t xml:space="preserve"> for substantial evidence</w:t>
      </w:r>
      <w:r w:rsidR="00475E1C" w:rsidRPr="003D283D">
        <w:rPr>
          <w:szCs w:val="26"/>
          <w:shd w:val="clear" w:color="auto" w:fill="FFFFFF"/>
        </w:rPr>
        <w:t>,</w:t>
      </w:r>
      <w:r w:rsidR="008C6544" w:rsidRPr="003D283D">
        <w:rPr>
          <w:szCs w:val="26"/>
          <w:shd w:val="clear" w:color="auto" w:fill="FFFFFF"/>
        </w:rPr>
        <w:t xml:space="preserve"> even when the clear and convincing standard of proof applied before the trial court</w:t>
      </w:r>
      <w:r w:rsidR="00062DB8" w:rsidRPr="003D283D">
        <w:rPr>
          <w:szCs w:val="26"/>
          <w:shd w:val="clear" w:color="auto" w:fill="FFFFFF"/>
        </w:rPr>
        <w:t>.  (</w:t>
      </w:r>
      <w:r w:rsidR="00B17932" w:rsidRPr="003D283D">
        <w:rPr>
          <w:szCs w:val="26"/>
          <w:shd w:val="clear" w:color="auto" w:fill="FFFFFF"/>
        </w:rPr>
        <w:t>E</w:t>
      </w:r>
      <w:r w:rsidR="00062DB8" w:rsidRPr="003D283D">
        <w:rPr>
          <w:szCs w:val="26"/>
          <w:shd w:val="clear" w:color="auto" w:fill="FFFFFF"/>
        </w:rPr>
        <w:t xml:space="preserve">.g., </w:t>
      </w:r>
      <w:r w:rsidR="00062DB8" w:rsidRPr="003D283D">
        <w:rPr>
          <w:i/>
          <w:iCs/>
          <w:szCs w:val="26"/>
        </w:rPr>
        <w:t xml:space="preserve">In re Marriage of </w:t>
      </w:r>
      <w:proofErr w:type="spellStart"/>
      <w:r w:rsidR="00062DB8" w:rsidRPr="003D283D">
        <w:rPr>
          <w:i/>
          <w:iCs/>
          <w:szCs w:val="26"/>
        </w:rPr>
        <w:t>Saslow</w:t>
      </w:r>
      <w:proofErr w:type="spellEnd"/>
      <w:r w:rsidR="00062DB8" w:rsidRPr="003D283D">
        <w:rPr>
          <w:szCs w:val="26"/>
        </w:rPr>
        <w:t xml:space="preserve"> (1985) 40 Cal.3d 848, 863; </w:t>
      </w:r>
      <w:r w:rsidR="00062DB8" w:rsidRPr="003D283D">
        <w:rPr>
          <w:i/>
          <w:iCs/>
          <w:szCs w:val="26"/>
        </w:rPr>
        <w:t>Crail v. Blakely</w:t>
      </w:r>
      <w:r w:rsidR="00062DB8" w:rsidRPr="003D283D">
        <w:rPr>
          <w:szCs w:val="26"/>
        </w:rPr>
        <w:t xml:space="preserve"> (1973) 8 Cal.3d 744, 750 (</w:t>
      </w:r>
      <w:r w:rsidR="00062DB8" w:rsidRPr="003D283D">
        <w:rPr>
          <w:i/>
          <w:iCs/>
          <w:szCs w:val="26"/>
        </w:rPr>
        <w:t>Crail</w:t>
      </w:r>
      <w:r w:rsidR="00062DB8" w:rsidRPr="003D283D">
        <w:rPr>
          <w:szCs w:val="26"/>
        </w:rPr>
        <w:t xml:space="preserve">); </w:t>
      </w:r>
      <w:r w:rsidR="00062DB8" w:rsidRPr="003D283D">
        <w:rPr>
          <w:i/>
          <w:iCs/>
          <w:szCs w:val="26"/>
        </w:rPr>
        <w:t>Nat</w:t>
      </w:r>
      <w:r w:rsidR="00184BCF" w:rsidRPr="003D283D">
        <w:rPr>
          <w:i/>
          <w:iCs/>
          <w:szCs w:val="26"/>
        </w:rPr>
        <w:t>.</w:t>
      </w:r>
      <w:r w:rsidR="00062DB8" w:rsidRPr="003D283D">
        <w:rPr>
          <w:i/>
          <w:iCs/>
          <w:szCs w:val="26"/>
        </w:rPr>
        <w:t xml:space="preserve"> Auto &amp; Cas. Co. v. Ind</w:t>
      </w:r>
      <w:r w:rsidR="00184BCF" w:rsidRPr="003D283D">
        <w:rPr>
          <w:i/>
          <w:iCs/>
          <w:szCs w:val="26"/>
        </w:rPr>
        <w:t>.</w:t>
      </w:r>
      <w:r w:rsidR="00062DB8" w:rsidRPr="003D283D">
        <w:rPr>
          <w:i/>
          <w:iCs/>
          <w:szCs w:val="26"/>
        </w:rPr>
        <w:t xml:space="preserve"> Acc. Com</w:t>
      </w:r>
      <w:r w:rsidR="00184BCF" w:rsidRPr="003D283D">
        <w:rPr>
          <w:i/>
          <w:iCs/>
          <w:szCs w:val="26"/>
        </w:rPr>
        <w:t>.</w:t>
      </w:r>
      <w:r w:rsidR="00062DB8" w:rsidRPr="003D283D">
        <w:rPr>
          <w:i/>
          <w:iCs/>
          <w:szCs w:val="26"/>
        </w:rPr>
        <w:t xml:space="preserve"> </w:t>
      </w:r>
      <w:r w:rsidR="00062DB8" w:rsidRPr="003D283D">
        <w:rPr>
          <w:szCs w:val="26"/>
        </w:rPr>
        <w:t xml:space="preserve">(1949) 34 Cal.2d 20, 25; </w:t>
      </w:r>
      <w:r w:rsidR="00062DB8" w:rsidRPr="003D283D">
        <w:rPr>
          <w:i/>
          <w:iCs/>
          <w:szCs w:val="26"/>
        </w:rPr>
        <w:t xml:space="preserve">Viner v. </w:t>
      </w:r>
      <w:proofErr w:type="spellStart"/>
      <w:r w:rsidR="00062DB8" w:rsidRPr="003D283D">
        <w:rPr>
          <w:i/>
          <w:iCs/>
          <w:szCs w:val="26"/>
        </w:rPr>
        <w:t>Untrecht</w:t>
      </w:r>
      <w:proofErr w:type="spellEnd"/>
      <w:r w:rsidR="00062DB8" w:rsidRPr="003D283D">
        <w:rPr>
          <w:szCs w:val="26"/>
        </w:rPr>
        <w:t xml:space="preserve"> (1945) 26</w:t>
      </w:r>
      <w:r w:rsidR="00A368C2" w:rsidRPr="003D283D">
        <w:rPr>
          <w:szCs w:val="26"/>
        </w:rPr>
        <w:t> </w:t>
      </w:r>
      <w:r w:rsidR="00062DB8" w:rsidRPr="003D283D">
        <w:rPr>
          <w:szCs w:val="26"/>
        </w:rPr>
        <w:t xml:space="preserve">Cal.2d 261, 267; </w:t>
      </w:r>
      <w:proofErr w:type="spellStart"/>
      <w:r w:rsidR="00062DB8" w:rsidRPr="003D283D">
        <w:rPr>
          <w:i/>
          <w:iCs/>
          <w:szCs w:val="26"/>
        </w:rPr>
        <w:t>Stromerson</w:t>
      </w:r>
      <w:proofErr w:type="spellEnd"/>
      <w:r w:rsidR="00062DB8" w:rsidRPr="003D283D">
        <w:rPr>
          <w:i/>
          <w:iCs/>
          <w:szCs w:val="26"/>
        </w:rPr>
        <w:t xml:space="preserve"> v. Averill</w:t>
      </w:r>
      <w:r w:rsidR="00062DB8" w:rsidRPr="003D283D">
        <w:rPr>
          <w:szCs w:val="26"/>
        </w:rPr>
        <w:t xml:space="preserve"> (1943) 22 Cal.2d 808, 815 (</w:t>
      </w:r>
      <w:proofErr w:type="spellStart"/>
      <w:r w:rsidR="00062DB8" w:rsidRPr="003D283D">
        <w:rPr>
          <w:i/>
          <w:iCs/>
          <w:szCs w:val="26"/>
        </w:rPr>
        <w:t>Stromerson</w:t>
      </w:r>
      <w:proofErr w:type="spellEnd"/>
      <w:r w:rsidR="00062DB8" w:rsidRPr="003D283D">
        <w:rPr>
          <w:szCs w:val="26"/>
        </w:rPr>
        <w:t>)</w:t>
      </w:r>
      <w:r w:rsidR="00B722D8" w:rsidRPr="003D283D">
        <w:rPr>
          <w:szCs w:val="26"/>
          <w:shd w:val="clear" w:color="auto" w:fill="FFFFFF"/>
        </w:rPr>
        <w:t xml:space="preserve">; </w:t>
      </w:r>
      <w:r w:rsidR="00062DB8" w:rsidRPr="003D283D">
        <w:rPr>
          <w:i/>
          <w:iCs/>
          <w:szCs w:val="26"/>
        </w:rPr>
        <w:t>Simonton v. Los Angeles T</w:t>
      </w:r>
      <w:r w:rsidR="00184BCF" w:rsidRPr="003D283D">
        <w:rPr>
          <w:i/>
          <w:iCs/>
          <w:szCs w:val="26"/>
        </w:rPr>
        <w:t>.</w:t>
      </w:r>
      <w:r w:rsidR="00062DB8" w:rsidRPr="003D283D">
        <w:rPr>
          <w:i/>
          <w:iCs/>
          <w:szCs w:val="26"/>
        </w:rPr>
        <w:t xml:space="preserve"> &amp; S. Bank</w:t>
      </w:r>
      <w:r w:rsidR="00062DB8" w:rsidRPr="003D283D">
        <w:rPr>
          <w:szCs w:val="26"/>
        </w:rPr>
        <w:t xml:space="preserve"> (1928) 205 Cal. 252, 259; </w:t>
      </w:r>
      <w:r w:rsidR="004128A8" w:rsidRPr="003D283D">
        <w:rPr>
          <w:i/>
          <w:iCs/>
          <w:szCs w:val="26"/>
        </w:rPr>
        <w:t>Treadwell v. Nickel</w:t>
      </w:r>
      <w:r w:rsidR="004128A8" w:rsidRPr="003D283D">
        <w:rPr>
          <w:szCs w:val="26"/>
        </w:rPr>
        <w:t xml:space="preserve"> (1924) 194 Cal. 243, 260-261; </w:t>
      </w:r>
      <w:r w:rsidR="00062DB8" w:rsidRPr="003D283D">
        <w:rPr>
          <w:i/>
          <w:iCs/>
          <w:szCs w:val="26"/>
          <w:shd w:val="clear" w:color="auto" w:fill="FFFFFF"/>
        </w:rPr>
        <w:t>Steinberger v. Young</w:t>
      </w:r>
      <w:r w:rsidR="00062DB8" w:rsidRPr="003D283D">
        <w:rPr>
          <w:szCs w:val="26"/>
          <w:shd w:val="clear" w:color="auto" w:fill="FFFFFF"/>
        </w:rPr>
        <w:t xml:space="preserve"> (1917) 175 Cal. 81, 84-85 (</w:t>
      </w:r>
      <w:r w:rsidR="00062DB8" w:rsidRPr="003D283D">
        <w:rPr>
          <w:i/>
          <w:iCs/>
          <w:szCs w:val="26"/>
          <w:shd w:val="clear" w:color="auto" w:fill="FFFFFF"/>
        </w:rPr>
        <w:t>Steinberger</w:t>
      </w:r>
      <w:r w:rsidR="00062DB8" w:rsidRPr="003D283D">
        <w:rPr>
          <w:szCs w:val="26"/>
          <w:shd w:val="clear" w:color="auto" w:fill="FFFFFF"/>
        </w:rPr>
        <w:t>)</w:t>
      </w:r>
      <w:r w:rsidR="00062DB8" w:rsidRPr="003D283D">
        <w:rPr>
          <w:szCs w:val="26"/>
        </w:rPr>
        <w:t>.)</w:t>
      </w:r>
      <w:r w:rsidR="00062DB8" w:rsidRPr="003D283D">
        <w:rPr>
          <w:szCs w:val="26"/>
          <w:shd w:val="clear" w:color="auto" w:fill="FFFFFF"/>
        </w:rPr>
        <w:t xml:space="preserve"> </w:t>
      </w:r>
      <w:r w:rsidR="0026477A" w:rsidRPr="003D283D">
        <w:rPr>
          <w:szCs w:val="26"/>
          <w:shd w:val="clear" w:color="auto" w:fill="FFFFFF"/>
        </w:rPr>
        <w:t xml:space="preserve"> </w:t>
      </w:r>
      <w:r w:rsidR="00202A8C" w:rsidRPr="003D283D">
        <w:rPr>
          <w:szCs w:val="26"/>
          <w:shd w:val="clear" w:color="auto" w:fill="FFFFFF"/>
        </w:rPr>
        <w:t>In</w:t>
      </w:r>
      <w:r w:rsidR="00062DB8" w:rsidRPr="003D283D">
        <w:rPr>
          <w:szCs w:val="26"/>
          <w:shd w:val="clear" w:color="auto" w:fill="FFFFFF"/>
        </w:rPr>
        <w:t xml:space="preserve"> </w:t>
      </w:r>
      <w:r w:rsidR="00B41704" w:rsidRPr="003D283D">
        <w:rPr>
          <w:i/>
          <w:iCs/>
          <w:szCs w:val="26"/>
          <w:shd w:val="clear" w:color="auto" w:fill="FFFFFF"/>
        </w:rPr>
        <w:t>Crail</w:t>
      </w:r>
      <w:r w:rsidR="00062DB8" w:rsidRPr="003D283D">
        <w:rPr>
          <w:szCs w:val="26"/>
          <w:shd w:val="clear" w:color="auto" w:fill="FFFFFF"/>
        </w:rPr>
        <w:t xml:space="preserve">, </w:t>
      </w:r>
      <w:r w:rsidR="00202A8C" w:rsidRPr="003D283D">
        <w:rPr>
          <w:szCs w:val="26"/>
          <w:shd w:val="clear" w:color="auto" w:fill="FFFFFF"/>
        </w:rPr>
        <w:t xml:space="preserve">we </w:t>
      </w:r>
      <w:r w:rsidR="00B824E6" w:rsidRPr="003D283D">
        <w:rPr>
          <w:szCs w:val="26"/>
          <w:shd w:val="clear" w:color="auto" w:fill="FFFFFF"/>
        </w:rPr>
        <w:t>explained</w:t>
      </w:r>
      <w:r w:rsidR="00202A8C" w:rsidRPr="003D283D">
        <w:rPr>
          <w:szCs w:val="26"/>
          <w:shd w:val="clear" w:color="auto" w:fill="FFFFFF"/>
        </w:rPr>
        <w:t xml:space="preserve"> </w:t>
      </w:r>
      <w:r w:rsidR="00B41704" w:rsidRPr="003D283D">
        <w:rPr>
          <w:szCs w:val="26"/>
          <w:shd w:val="clear" w:color="auto" w:fill="FFFFFF"/>
        </w:rPr>
        <w:t>that the clear and convincing</w:t>
      </w:r>
      <w:r w:rsidR="00B41704" w:rsidRPr="003D283D">
        <w:t xml:space="preserve"> “</w:t>
      </w:r>
      <w:r w:rsidR="00B41704" w:rsidRPr="003D283D">
        <w:rPr>
          <w:szCs w:val="26"/>
        </w:rPr>
        <w:t xml:space="preserve">standard was adopted . . . for the edification and guidance of the trial </w:t>
      </w:r>
      <w:proofErr w:type="gramStart"/>
      <w:r w:rsidR="00B41704" w:rsidRPr="003D283D">
        <w:rPr>
          <w:szCs w:val="26"/>
        </w:rPr>
        <w:t>court, and</w:t>
      </w:r>
      <w:proofErr w:type="gramEnd"/>
      <w:r w:rsidR="00B41704" w:rsidRPr="003D283D">
        <w:rPr>
          <w:szCs w:val="26"/>
        </w:rPr>
        <w:t xml:space="preserve"> was not intended as a standard for appellate review.  ‘The sufficiency of evidence to establish a given fact, where the law requires proof of the fact to be clear and convincing, is primarily a question for the trial court to determine, and if there is substantial evidence to support its conclusion, the determination is not open to review on appeal.’ ” (</w:t>
      </w:r>
      <w:r w:rsidR="00B632FA" w:rsidRPr="003D283D">
        <w:rPr>
          <w:i/>
          <w:iCs/>
          <w:szCs w:val="26"/>
        </w:rPr>
        <w:t>Crail</w:t>
      </w:r>
      <w:r w:rsidR="00B41704" w:rsidRPr="003D283D">
        <w:rPr>
          <w:szCs w:val="26"/>
        </w:rPr>
        <w:t>, at p. 750.</w:t>
      </w:r>
      <w:r w:rsidR="00B41704" w:rsidRPr="003D283D">
        <w:rPr>
          <w:szCs w:val="26"/>
          <w:shd w:val="clear" w:color="auto" w:fill="FFFFFF"/>
        </w:rPr>
        <w:t xml:space="preserve">)  </w:t>
      </w:r>
      <w:r w:rsidR="00AC4C3D" w:rsidRPr="003D283D">
        <w:rPr>
          <w:szCs w:val="26"/>
        </w:rPr>
        <w:t xml:space="preserve">Respondents </w:t>
      </w:r>
      <w:r w:rsidR="006B3E78" w:rsidRPr="003D283D">
        <w:rPr>
          <w:szCs w:val="26"/>
        </w:rPr>
        <w:t>extract from</w:t>
      </w:r>
      <w:r w:rsidR="00AC4C3D" w:rsidRPr="003D283D">
        <w:rPr>
          <w:szCs w:val="26"/>
        </w:rPr>
        <w:t xml:space="preserve"> </w:t>
      </w:r>
      <w:r w:rsidR="005D6066" w:rsidRPr="003D283D">
        <w:rPr>
          <w:szCs w:val="26"/>
        </w:rPr>
        <w:t>th</w:t>
      </w:r>
      <w:r w:rsidR="00202A8C" w:rsidRPr="003D283D">
        <w:rPr>
          <w:szCs w:val="26"/>
        </w:rPr>
        <w:t xml:space="preserve">ese </w:t>
      </w:r>
      <w:r w:rsidR="00B41704" w:rsidRPr="003D283D">
        <w:rPr>
          <w:szCs w:val="26"/>
        </w:rPr>
        <w:t>decisions</w:t>
      </w:r>
      <w:r w:rsidR="00062DB8" w:rsidRPr="003D283D">
        <w:rPr>
          <w:szCs w:val="26"/>
        </w:rPr>
        <w:t xml:space="preserve"> </w:t>
      </w:r>
      <w:r w:rsidR="006B3E78" w:rsidRPr="003D283D">
        <w:rPr>
          <w:szCs w:val="26"/>
        </w:rPr>
        <w:t xml:space="preserve">the </w:t>
      </w:r>
      <w:r w:rsidR="006B3E78" w:rsidRPr="003D283D">
        <w:rPr>
          <w:szCs w:val="26"/>
        </w:rPr>
        <w:lastRenderedPageBreak/>
        <w:t>principle</w:t>
      </w:r>
      <w:r w:rsidR="00681EE2" w:rsidRPr="003D283D">
        <w:rPr>
          <w:szCs w:val="26"/>
        </w:rPr>
        <w:t xml:space="preserve"> that</w:t>
      </w:r>
      <w:r w:rsidR="00062DB8" w:rsidRPr="003D283D">
        <w:rPr>
          <w:szCs w:val="26"/>
        </w:rPr>
        <w:t xml:space="preserve"> </w:t>
      </w:r>
      <w:r w:rsidR="006B3E78" w:rsidRPr="003D283D">
        <w:rPr>
          <w:szCs w:val="26"/>
        </w:rPr>
        <w:t xml:space="preserve">appellate review </w:t>
      </w:r>
      <w:r w:rsidR="00C9087D" w:rsidRPr="003D283D">
        <w:rPr>
          <w:szCs w:val="26"/>
        </w:rPr>
        <w:t>of a finding made under the clear and convincing standard</w:t>
      </w:r>
      <w:r w:rsidR="00681EE2" w:rsidRPr="003D283D">
        <w:rPr>
          <w:szCs w:val="26"/>
        </w:rPr>
        <w:t xml:space="preserve"> </w:t>
      </w:r>
      <w:r w:rsidR="008D103A" w:rsidRPr="003D283D">
        <w:rPr>
          <w:szCs w:val="26"/>
        </w:rPr>
        <w:t xml:space="preserve">is </w:t>
      </w:r>
      <w:r w:rsidR="00681EE2" w:rsidRPr="003D283D">
        <w:rPr>
          <w:szCs w:val="26"/>
        </w:rPr>
        <w:t>limited</w:t>
      </w:r>
      <w:r w:rsidR="0026477A" w:rsidRPr="003D283D">
        <w:rPr>
          <w:szCs w:val="26"/>
        </w:rPr>
        <w:t xml:space="preserve"> </w:t>
      </w:r>
      <w:r w:rsidR="005D6066" w:rsidRPr="003D283D">
        <w:rPr>
          <w:szCs w:val="26"/>
        </w:rPr>
        <w:t xml:space="preserve">to </w:t>
      </w:r>
      <w:r w:rsidR="00681EE2" w:rsidRPr="003D283D">
        <w:rPr>
          <w:szCs w:val="26"/>
        </w:rPr>
        <w:t xml:space="preserve">whether the </w:t>
      </w:r>
      <w:r w:rsidR="00B41704" w:rsidRPr="003D283D">
        <w:rPr>
          <w:szCs w:val="26"/>
        </w:rPr>
        <w:t>finding is supported by</w:t>
      </w:r>
      <w:r w:rsidR="005D6066" w:rsidRPr="003D283D">
        <w:rPr>
          <w:szCs w:val="26"/>
        </w:rPr>
        <w:t xml:space="preserve"> </w:t>
      </w:r>
      <w:r w:rsidR="006B3E78" w:rsidRPr="003D283D">
        <w:rPr>
          <w:szCs w:val="26"/>
        </w:rPr>
        <w:t xml:space="preserve">evidence that is </w:t>
      </w:r>
      <w:r w:rsidR="00681EE2" w:rsidRPr="003D283D">
        <w:rPr>
          <w:szCs w:val="26"/>
        </w:rPr>
        <w:t>“</w:t>
      </w:r>
      <w:r w:rsidR="00681EE2" w:rsidRPr="003D283D">
        <w:rPr>
          <w:szCs w:val="27"/>
          <w:bdr w:val="none" w:sz="0" w:space="0" w:color="auto" w:frame="1"/>
        </w:rPr>
        <w:t>credible, reasonable, and solid”</w:t>
      </w:r>
      <w:r w:rsidR="006B3E78" w:rsidRPr="003D283D">
        <w:rPr>
          <w:szCs w:val="27"/>
          <w:bdr w:val="none" w:sz="0" w:space="0" w:color="auto" w:frame="1"/>
        </w:rPr>
        <w:t xml:space="preserve"> —</w:t>
      </w:r>
      <w:r w:rsidR="00705110" w:rsidRPr="003D283D">
        <w:rPr>
          <w:szCs w:val="27"/>
          <w:bdr w:val="none" w:sz="0" w:space="0" w:color="auto" w:frame="1"/>
        </w:rPr>
        <w:t xml:space="preserve"> words common</w:t>
      </w:r>
      <w:r w:rsidR="006B3E78" w:rsidRPr="003D283D">
        <w:rPr>
          <w:szCs w:val="27"/>
          <w:bdr w:val="none" w:sz="0" w:space="0" w:color="auto" w:frame="1"/>
        </w:rPr>
        <w:t xml:space="preserve">ly used </w:t>
      </w:r>
      <w:r w:rsidR="00824839" w:rsidRPr="003D283D">
        <w:rPr>
          <w:szCs w:val="27"/>
          <w:bdr w:val="none" w:sz="0" w:space="0" w:color="auto" w:frame="1"/>
        </w:rPr>
        <w:t>in</w:t>
      </w:r>
      <w:r w:rsidR="00705110" w:rsidRPr="003D283D">
        <w:rPr>
          <w:szCs w:val="27"/>
          <w:bdr w:val="none" w:sz="0" w:space="0" w:color="auto" w:frame="1"/>
        </w:rPr>
        <w:t xml:space="preserve"> </w:t>
      </w:r>
      <w:r w:rsidR="006B3E78" w:rsidRPr="003D283D">
        <w:rPr>
          <w:szCs w:val="27"/>
          <w:bdr w:val="none" w:sz="0" w:space="0" w:color="auto" w:frame="1"/>
        </w:rPr>
        <w:t>describ</w:t>
      </w:r>
      <w:r w:rsidR="00824839" w:rsidRPr="003D283D">
        <w:rPr>
          <w:szCs w:val="27"/>
          <w:bdr w:val="none" w:sz="0" w:space="0" w:color="auto" w:frame="1"/>
        </w:rPr>
        <w:t>ing</w:t>
      </w:r>
      <w:r w:rsidR="00705110" w:rsidRPr="003D283D">
        <w:rPr>
          <w:szCs w:val="27"/>
          <w:bdr w:val="none" w:sz="0" w:space="0" w:color="auto" w:frame="1"/>
        </w:rPr>
        <w:t xml:space="preserve"> “substantial evidence</w:t>
      </w:r>
      <w:r w:rsidR="006B3E78" w:rsidRPr="003D283D">
        <w:rPr>
          <w:szCs w:val="27"/>
          <w:bdr w:val="none" w:sz="0" w:space="0" w:color="auto" w:frame="1"/>
        </w:rPr>
        <w:t>.</w:t>
      </w:r>
      <w:r w:rsidR="00705110" w:rsidRPr="003D283D">
        <w:rPr>
          <w:szCs w:val="27"/>
          <w:bdr w:val="none" w:sz="0" w:space="0" w:color="auto" w:frame="1"/>
        </w:rPr>
        <w:t xml:space="preserve">” </w:t>
      </w:r>
      <w:r w:rsidR="006B3E78" w:rsidRPr="003D283D">
        <w:rPr>
          <w:szCs w:val="27"/>
          <w:bdr w:val="none" w:sz="0" w:space="0" w:color="auto" w:frame="1"/>
        </w:rPr>
        <w:t xml:space="preserve"> (See </w:t>
      </w:r>
      <w:r w:rsidR="006B3E78" w:rsidRPr="003D283D">
        <w:rPr>
          <w:i/>
          <w:iCs/>
          <w:szCs w:val="27"/>
          <w:bdr w:val="none" w:sz="0" w:space="0" w:color="auto" w:frame="1"/>
        </w:rPr>
        <w:t xml:space="preserve">In re </w:t>
      </w:r>
      <w:proofErr w:type="spellStart"/>
      <w:r w:rsidR="006B3E78" w:rsidRPr="003D283D">
        <w:rPr>
          <w:i/>
          <w:iCs/>
          <w:szCs w:val="27"/>
          <w:bdr w:val="none" w:sz="0" w:space="0" w:color="auto" w:frame="1"/>
        </w:rPr>
        <w:t>Teed’s</w:t>
      </w:r>
      <w:proofErr w:type="spellEnd"/>
      <w:r w:rsidR="006B3E78" w:rsidRPr="003D283D">
        <w:rPr>
          <w:i/>
          <w:iCs/>
          <w:szCs w:val="27"/>
          <w:bdr w:val="none" w:sz="0" w:space="0" w:color="auto" w:frame="1"/>
        </w:rPr>
        <w:t xml:space="preserve"> Estate</w:t>
      </w:r>
      <w:r w:rsidR="006B3E78" w:rsidRPr="003D283D">
        <w:rPr>
          <w:szCs w:val="27"/>
          <w:bdr w:val="none" w:sz="0" w:space="0" w:color="auto" w:frame="1"/>
        </w:rPr>
        <w:t xml:space="preserve"> (1952) 112 Cal.App.2d 638, 644.)</w:t>
      </w:r>
      <w:r w:rsidR="00062DB8" w:rsidRPr="003D283D">
        <w:rPr>
          <w:rStyle w:val="FootnoteReference"/>
          <w:bCs/>
        </w:rPr>
        <w:footnoteReference w:id="4"/>
      </w:r>
      <w:r w:rsidR="00062DB8" w:rsidRPr="003D283D">
        <w:rPr>
          <w:bCs/>
          <w:szCs w:val="26"/>
        </w:rPr>
        <w:t xml:space="preserve"> </w:t>
      </w:r>
      <w:r w:rsidR="00062DB8" w:rsidRPr="003D283D">
        <w:rPr>
          <w:b/>
          <w:bCs/>
          <w:szCs w:val="26"/>
        </w:rPr>
        <w:t xml:space="preserve"> </w:t>
      </w:r>
    </w:p>
    <w:p w14:paraId="16C03455" w14:textId="0FA5EB84" w:rsidR="0079307E" w:rsidRPr="003D283D" w:rsidRDefault="00895CA5" w:rsidP="007F1BD8">
      <w:pPr>
        <w:ind w:firstLine="720"/>
        <w:rPr>
          <w:szCs w:val="26"/>
          <w:shd w:val="clear" w:color="auto" w:fill="FFFFFF"/>
        </w:rPr>
      </w:pPr>
      <w:r w:rsidRPr="003D283D">
        <w:rPr>
          <w:szCs w:val="26"/>
        </w:rPr>
        <w:t>T</w:t>
      </w:r>
      <w:r w:rsidR="008C0DB8" w:rsidRPr="003D283D">
        <w:rPr>
          <w:szCs w:val="26"/>
        </w:rPr>
        <w:t>he decisions of the</w:t>
      </w:r>
      <w:r w:rsidR="003670B1" w:rsidRPr="003D283D">
        <w:rPr>
          <w:szCs w:val="26"/>
        </w:rPr>
        <w:t xml:space="preserve"> Courts of Appeal</w:t>
      </w:r>
      <w:r w:rsidR="00FF026F" w:rsidRPr="003D283D">
        <w:rPr>
          <w:szCs w:val="26"/>
        </w:rPr>
        <w:t xml:space="preserve"> also</w:t>
      </w:r>
      <w:r w:rsidRPr="003D283D">
        <w:rPr>
          <w:szCs w:val="26"/>
        </w:rPr>
        <w:t xml:space="preserve"> do not speak with one </w:t>
      </w:r>
      <w:r w:rsidR="00FF026F" w:rsidRPr="003D283D">
        <w:rPr>
          <w:szCs w:val="26"/>
        </w:rPr>
        <w:t xml:space="preserve">clear </w:t>
      </w:r>
      <w:r w:rsidRPr="003D283D">
        <w:rPr>
          <w:szCs w:val="26"/>
        </w:rPr>
        <w:t>voice</w:t>
      </w:r>
      <w:r w:rsidR="008C0DB8" w:rsidRPr="003D283D">
        <w:rPr>
          <w:szCs w:val="26"/>
        </w:rPr>
        <w:t xml:space="preserve"> </w:t>
      </w:r>
      <w:r w:rsidR="007C021D" w:rsidRPr="003D283D">
        <w:rPr>
          <w:szCs w:val="26"/>
        </w:rPr>
        <w:t>regarding</w:t>
      </w:r>
      <w:r w:rsidR="000040A0" w:rsidRPr="003D283D">
        <w:rPr>
          <w:szCs w:val="26"/>
        </w:rPr>
        <w:t xml:space="preserve"> how </w:t>
      </w:r>
      <w:r w:rsidR="007A0042" w:rsidRPr="003D283D">
        <w:rPr>
          <w:szCs w:val="26"/>
        </w:rPr>
        <w:t>appellate review for sufficiency of the evidence should unfold when the standard of proof before the trial court was clear and convincing evidence</w:t>
      </w:r>
      <w:r w:rsidR="00062DB8" w:rsidRPr="003D283D">
        <w:rPr>
          <w:szCs w:val="26"/>
        </w:rPr>
        <w:t>.  (</w:t>
      </w:r>
      <w:r w:rsidR="00062DB8" w:rsidRPr="003D283D">
        <w:rPr>
          <w:i/>
          <w:iCs/>
          <w:szCs w:val="26"/>
        </w:rPr>
        <w:t>T.J.</w:t>
      </w:r>
      <w:r w:rsidR="00062DB8" w:rsidRPr="003D283D">
        <w:rPr>
          <w:szCs w:val="26"/>
        </w:rPr>
        <w:t xml:space="preserve">, </w:t>
      </w:r>
      <w:r w:rsidR="00062DB8" w:rsidRPr="003D283D">
        <w:rPr>
          <w:i/>
          <w:iCs/>
          <w:szCs w:val="26"/>
        </w:rPr>
        <w:t>supra</w:t>
      </w:r>
      <w:r w:rsidR="00062DB8" w:rsidRPr="003D283D">
        <w:rPr>
          <w:szCs w:val="26"/>
        </w:rPr>
        <w:t xml:space="preserve">, 21 Cal.App.5th </w:t>
      </w:r>
      <w:r w:rsidR="00FB7464" w:rsidRPr="003D283D">
        <w:rPr>
          <w:szCs w:val="26"/>
        </w:rPr>
        <w:t xml:space="preserve">at </w:t>
      </w:r>
      <w:r w:rsidR="00AC4C3D" w:rsidRPr="003D283D">
        <w:rPr>
          <w:szCs w:val="26"/>
        </w:rPr>
        <w:t>p</w:t>
      </w:r>
      <w:r w:rsidR="00FB7464" w:rsidRPr="003D283D">
        <w:rPr>
          <w:szCs w:val="26"/>
        </w:rPr>
        <w:t>p. </w:t>
      </w:r>
      <w:r w:rsidR="00062DB8" w:rsidRPr="003D283D">
        <w:rPr>
          <w:szCs w:val="26"/>
        </w:rPr>
        <w:t>123</w:t>
      </w:r>
      <w:r w:rsidR="004B3F76" w:rsidRPr="003D283D">
        <w:rPr>
          <w:szCs w:val="26"/>
        </w:rPr>
        <w:t>8</w:t>
      </w:r>
      <w:r w:rsidR="00062DB8" w:rsidRPr="003D283D">
        <w:rPr>
          <w:szCs w:val="26"/>
        </w:rPr>
        <w:t>-12</w:t>
      </w:r>
      <w:r w:rsidR="004B3F76" w:rsidRPr="003D283D">
        <w:rPr>
          <w:szCs w:val="26"/>
        </w:rPr>
        <w:t>39</w:t>
      </w:r>
      <w:r w:rsidR="00AC4C3D" w:rsidRPr="003D283D">
        <w:rPr>
          <w:szCs w:val="26"/>
        </w:rPr>
        <w:t xml:space="preserve"> [discussing</w:t>
      </w:r>
      <w:r w:rsidR="00B41704" w:rsidRPr="003D283D">
        <w:rPr>
          <w:szCs w:val="26"/>
        </w:rPr>
        <w:t xml:space="preserve"> the views expressed</w:t>
      </w:r>
      <w:r w:rsidR="002B7A25" w:rsidRPr="003D283D">
        <w:rPr>
          <w:szCs w:val="26"/>
        </w:rPr>
        <w:t xml:space="preserve"> </w:t>
      </w:r>
      <w:r w:rsidR="00B41704" w:rsidRPr="003D283D">
        <w:rPr>
          <w:szCs w:val="26"/>
        </w:rPr>
        <w:t>on</w:t>
      </w:r>
      <w:r w:rsidR="002B7A25" w:rsidRPr="003D283D">
        <w:rPr>
          <w:szCs w:val="26"/>
        </w:rPr>
        <w:t xml:space="preserve"> this subject</w:t>
      </w:r>
      <w:r w:rsidR="00AC4C3D" w:rsidRPr="003D283D">
        <w:rPr>
          <w:szCs w:val="26"/>
        </w:rPr>
        <w:t>]</w:t>
      </w:r>
      <w:r w:rsidR="00062DB8" w:rsidRPr="003D283D">
        <w:rPr>
          <w:szCs w:val="26"/>
        </w:rPr>
        <w:t xml:space="preserve">.) </w:t>
      </w:r>
      <w:r w:rsidR="002B7A25" w:rsidRPr="003D283D">
        <w:rPr>
          <w:szCs w:val="26"/>
        </w:rPr>
        <w:t xml:space="preserve"> </w:t>
      </w:r>
      <w:r w:rsidR="007D687E" w:rsidRPr="003D283D">
        <w:rPr>
          <w:szCs w:val="26"/>
        </w:rPr>
        <w:t>One view</w:t>
      </w:r>
      <w:r w:rsidR="001B0E8C" w:rsidRPr="003D283D">
        <w:rPr>
          <w:szCs w:val="26"/>
        </w:rPr>
        <w:t xml:space="preserve"> downplay</w:t>
      </w:r>
      <w:r w:rsidR="007D687E" w:rsidRPr="003D283D">
        <w:rPr>
          <w:szCs w:val="26"/>
        </w:rPr>
        <w:t>s</w:t>
      </w:r>
      <w:r w:rsidR="001B0E8C" w:rsidRPr="003D283D">
        <w:rPr>
          <w:szCs w:val="26"/>
        </w:rPr>
        <w:t xml:space="preserve"> the significance of the clear and convincing standard of proof in this </w:t>
      </w:r>
      <w:r w:rsidR="001B0E8C" w:rsidRPr="003D283D">
        <w:rPr>
          <w:szCs w:val="26"/>
        </w:rPr>
        <w:lastRenderedPageBreak/>
        <w:t>context</w:t>
      </w:r>
      <w:r w:rsidR="007D687E" w:rsidRPr="003D283D">
        <w:rPr>
          <w:szCs w:val="26"/>
        </w:rPr>
        <w:t xml:space="preserve">.  Within this group, </w:t>
      </w:r>
      <w:proofErr w:type="gramStart"/>
      <w:r w:rsidR="007D687E" w:rsidRPr="003D283D">
        <w:rPr>
          <w:szCs w:val="26"/>
        </w:rPr>
        <w:t>a few</w:t>
      </w:r>
      <w:proofErr w:type="gramEnd"/>
      <w:r w:rsidR="007D687E" w:rsidRPr="003D283D">
        <w:rPr>
          <w:szCs w:val="26"/>
        </w:rPr>
        <w:t xml:space="preserve"> courts have </w:t>
      </w:r>
      <w:r w:rsidR="00B41704" w:rsidRPr="003D283D">
        <w:rPr>
          <w:szCs w:val="26"/>
        </w:rPr>
        <w:t xml:space="preserve">flatly </w:t>
      </w:r>
      <w:r w:rsidR="002B7A25" w:rsidRPr="003D283D">
        <w:rPr>
          <w:szCs w:val="26"/>
        </w:rPr>
        <w:t>stat</w:t>
      </w:r>
      <w:r w:rsidR="007D687E" w:rsidRPr="003D283D">
        <w:rPr>
          <w:szCs w:val="26"/>
        </w:rPr>
        <w:t>ed</w:t>
      </w:r>
      <w:r w:rsidR="00062DB8" w:rsidRPr="003D283D">
        <w:rPr>
          <w:szCs w:val="26"/>
        </w:rPr>
        <w:t xml:space="preserve"> that </w:t>
      </w:r>
      <w:r w:rsidR="000040A0" w:rsidRPr="003D283D">
        <w:rPr>
          <w:szCs w:val="26"/>
        </w:rPr>
        <w:t>a requirement of</w:t>
      </w:r>
      <w:r w:rsidR="002A42BF" w:rsidRPr="003D283D">
        <w:rPr>
          <w:szCs w:val="26"/>
        </w:rPr>
        <w:t xml:space="preserve"> clear and convincing proof before the trial court </w:t>
      </w:r>
      <w:r w:rsidR="007D687E" w:rsidRPr="003D283D">
        <w:rPr>
          <w:szCs w:val="26"/>
        </w:rPr>
        <w:t>does not necessitate any modifications to the conventional approach to appellate review for</w:t>
      </w:r>
      <w:r w:rsidR="002A42BF" w:rsidRPr="003D283D">
        <w:rPr>
          <w:szCs w:val="26"/>
        </w:rPr>
        <w:t xml:space="preserve"> substantial evidence</w:t>
      </w:r>
      <w:r w:rsidR="007D687E" w:rsidRPr="003D283D">
        <w:rPr>
          <w:szCs w:val="26"/>
        </w:rPr>
        <w:t xml:space="preserve"> in a civil matter</w:t>
      </w:r>
      <w:r w:rsidR="0079307E" w:rsidRPr="003D283D">
        <w:rPr>
          <w:szCs w:val="26"/>
        </w:rPr>
        <w:t xml:space="preserve">. </w:t>
      </w:r>
      <w:r w:rsidR="002A42BF" w:rsidRPr="003D283D">
        <w:rPr>
          <w:szCs w:val="26"/>
        </w:rPr>
        <w:t xml:space="preserve"> </w:t>
      </w:r>
      <w:r w:rsidR="0079307E" w:rsidRPr="003D283D">
        <w:rPr>
          <w:szCs w:val="26"/>
        </w:rPr>
        <w:t>(</w:t>
      </w:r>
      <w:r w:rsidR="0079307E" w:rsidRPr="003D283D">
        <w:rPr>
          <w:i/>
          <w:szCs w:val="26"/>
        </w:rPr>
        <w:t>Ian J</w:t>
      </w:r>
      <w:r w:rsidR="00B632FA" w:rsidRPr="003D283D">
        <w:rPr>
          <w:i/>
          <w:szCs w:val="26"/>
        </w:rPr>
        <w:t>.</w:t>
      </w:r>
      <w:r w:rsidR="0079307E" w:rsidRPr="003D283D">
        <w:rPr>
          <w:i/>
          <w:szCs w:val="26"/>
        </w:rPr>
        <w:t xml:space="preserve"> v. Peter M.</w:t>
      </w:r>
      <w:r w:rsidR="0079307E" w:rsidRPr="003D283D">
        <w:rPr>
          <w:szCs w:val="26"/>
        </w:rPr>
        <w:t xml:space="preserve"> (2013) 213 Cal.App.4th 189, 208; </w:t>
      </w:r>
      <w:r w:rsidR="0079307E" w:rsidRPr="003D283D">
        <w:rPr>
          <w:i/>
          <w:szCs w:val="26"/>
        </w:rPr>
        <w:t>In re Marriage of Ruelas</w:t>
      </w:r>
      <w:r w:rsidR="0079307E" w:rsidRPr="003D283D">
        <w:rPr>
          <w:szCs w:val="26"/>
        </w:rPr>
        <w:t xml:space="preserve"> (2007) 154 Cal.App.4th 339, 345; </w:t>
      </w:r>
      <w:r w:rsidR="0079307E" w:rsidRPr="003D283D">
        <w:rPr>
          <w:i/>
          <w:iCs/>
          <w:szCs w:val="26"/>
          <w:shd w:val="clear" w:color="auto" w:fill="FFFFFF"/>
        </w:rPr>
        <w:t>In re Marriage of Murray</w:t>
      </w:r>
      <w:r w:rsidR="0079307E" w:rsidRPr="003D283D">
        <w:rPr>
          <w:szCs w:val="26"/>
          <w:shd w:val="clear" w:color="auto" w:fill="FFFFFF"/>
        </w:rPr>
        <w:t xml:space="preserve"> (2002) 101 Cal.App.4th 581, 604; </w:t>
      </w:r>
      <w:r w:rsidR="0079307E" w:rsidRPr="003D283D">
        <w:rPr>
          <w:i/>
          <w:iCs/>
          <w:szCs w:val="26"/>
        </w:rPr>
        <w:t>Patrick v. Maryland Casualty Co.</w:t>
      </w:r>
      <w:r w:rsidR="0079307E" w:rsidRPr="003D283D">
        <w:rPr>
          <w:szCs w:val="26"/>
        </w:rPr>
        <w:t xml:space="preserve"> (1990) 217 Cal.App.3d 1566, 1576</w:t>
      </w:r>
      <w:r w:rsidR="0079307E" w:rsidRPr="003D283D">
        <w:rPr>
          <w:szCs w:val="26"/>
          <w:shd w:val="clear" w:color="auto" w:fill="FFFFFF"/>
        </w:rPr>
        <w:t>.)  Thus it has been said</w:t>
      </w:r>
      <w:r w:rsidR="007D687E" w:rsidRPr="003D283D">
        <w:rPr>
          <w:szCs w:val="26"/>
          <w:shd w:val="clear" w:color="auto" w:fill="FFFFFF"/>
        </w:rPr>
        <w:t>, “[t]he substantial evidence rule that applies on appeal, applies without regard to the standard of proof applicable at trial” (</w:t>
      </w:r>
      <w:r w:rsidR="007D687E" w:rsidRPr="003D283D">
        <w:rPr>
          <w:i/>
          <w:iCs/>
          <w:szCs w:val="26"/>
          <w:shd w:val="clear" w:color="auto" w:fill="FFFFFF"/>
        </w:rPr>
        <w:t>In re Marriage of Ruelas</w:t>
      </w:r>
      <w:r w:rsidR="007D687E" w:rsidRPr="003D283D">
        <w:rPr>
          <w:szCs w:val="26"/>
          <w:shd w:val="clear" w:color="auto" w:fill="FFFFFF"/>
        </w:rPr>
        <w:t xml:space="preserve">, at p. 345), meaning that </w:t>
      </w:r>
      <w:r w:rsidR="002A42BF" w:rsidRPr="003D283D">
        <w:rPr>
          <w:szCs w:val="26"/>
        </w:rPr>
        <w:t>a court reviewing a finding</w:t>
      </w:r>
      <w:r w:rsidR="0079307E" w:rsidRPr="003D283D">
        <w:rPr>
          <w:szCs w:val="26"/>
        </w:rPr>
        <w:t xml:space="preserve"> requiring clear and convincing proof</w:t>
      </w:r>
      <w:r w:rsidR="002A42BF" w:rsidRPr="003D283D">
        <w:rPr>
          <w:szCs w:val="26"/>
        </w:rPr>
        <w:t xml:space="preserve"> is </w:t>
      </w:r>
      <w:r w:rsidR="007C021D" w:rsidRPr="003D283D">
        <w:rPr>
          <w:szCs w:val="26"/>
        </w:rPr>
        <w:t>“</w:t>
      </w:r>
      <w:r w:rsidR="002A42BF" w:rsidRPr="003D283D">
        <w:rPr>
          <w:szCs w:val="26"/>
        </w:rPr>
        <w:t xml:space="preserve">not required to find </w:t>
      </w:r>
      <w:r w:rsidR="002A42BF" w:rsidRPr="003D283D">
        <w:rPr>
          <w:i/>
          <w:iCs/>
          <w:szCs w:val="26"/>
        </w:rPr>
        <w:t>more</w:t>
      </w:r>
      <w:r w:rsidR="002A42BF" w:rsidRPr="003D283D">
        <w:rPr>
          <w:szCs w:val="26"/>
        </w:rPr>
        <w:t xml:space="preserve"> substantial evidence to support the trial court’s finding ‘than [it] would if the burden of proof had been only a preponderance of the evidence’ ” </w:t>
      </w:r>
      <w:r w:rsidR="00062DB8" w:rsidRPr="003D283D">
        <w:rPr>
          <w:szCs w:val="26"/>
        </w:rPr>
        <w:t>(</w:t>
      </w:r>
      <w:r w:rsidR="002B7A25" w:rsidRPr="003D283D">
        <w:rPr>
          <w:i/>
          <w:szCs w:val="26"/>
        </w:rPr>
        <w:t>Ian J</w:t>
      </w:r>
      <w:r w:rsidR="00B632FA" w:rsidRPr="003D283D">
        <w:rPr>
          <w:i/>
          <w:szCs w:val="26"/>
        </w:rPr>
        <w:t>.</w:t>
      </w:r>
      <w:r w:rsidR="002B7A25" w:rsidRPr="003D283D">
        <w:rPr>
          <w:i/>
          <w:szCs w:val="26"/>
        </w:rPr>
        <w:t xml:space="preserve"> v. Peter M.</w:t>
      </w:r>
      <w:r w:rsidR="0079307E" w:rsidRPr="003D283D">
        <w:rPr>
          <w:szCs w:val="26"/>
        </w:rPr>
        <w:t xml:space="preserve">, at p. </w:t>
      </w:r>
      <w:r w:rsidR="002B7A25" w:rsidRPr="003D283D">
        <w:rPr>
          <w:szCs w:val="26"/>
        </w:rPr>
        <w:t>208</w:t>
      </w:r>
      <w:r w:rsidR="00062DB8" w:rsidRPr="003D283D">
        <w:rPr>
          <w:szCs w:val="26"/>
          <w:shd w:val="clear" w:color="auto" w:fill="FFFFFF"/>
        </w:rPr>
        <w:t>)</w:t>
      </w:r>
      <w:r w:rsidR="007D687E" w:rsidRPr="003D283D">
        <w:rPr>
          <w:szCs w:val="26"/>
          <w:shd w:val="clear" w:color="auto" w:fill="FFFFFF"/>
        </w:rPr>
        <w:t>.</w:t>
      </w:r>
      <w:r w:rsidR="00062DB8" w:rsidRPr="003D283D">
        <w:rPr>
          <w:szCs w:val="26"/>
          <w:shd w:val="clear" w:color="auto" w:fill="FFFFFF"/>
        </w:rPr>
        <w:t xml:space="preserve">  </w:t>
      </w:r>
    </w:p>
    <w:p w14:paraId="679B4F29" w14:textId="5B13CA03" w:rsidR="00062DB8" w:rsidRPr="003D283D" w:rsidRDefault="007D687E" w:rsidP="007F1BD8">
      <w:pPr>
        <w:ind w:firstLine="720"/>
        <w:rPr>
          <w:szCs w:val="26"/>
        </w:rPr>
      </w:pPr>
      <w:r w:rsidRPr="003D283D">
        <w:rPr>
          <w:szCs w:val="26"/>
        </w:rPr>
        <w:t>Many c</w:t>
      </w:r>
      <w:r w:rsidR="00236DAE" w:rsidRPr="003D283D">
        <w:rPr>
          <w:szCs w:val="26"/>
        </w:rPr>
        <w:t>ourts</w:t>
      </w:r>
      <w:r w:rsidR="002A42BF" w:rsidRPr="003D283D">
        <w:rPr>
          <w:szCs w:val="26"/>
        </w:rPr>
        <w:t xml:space="preserve"> </w:t>
      </w:r>
      <w:r w:rsidR="00062DB8" w:rsidRPr="003D283D">
        <w:rPr>
          <w:szCs w:val="26"/>
        </w:rPr>
        <w:t xml:space="preserve">have </w:t>
      </w:r>
      <w:r w:rsidR="006D31E1" w:rsidRPr="003D283D">
        <w:rPr>
          <w:szCs w:val="26"/>
        </w:rPr>
        <w:t xml:space="preserve">drawn </w:t>
      </w:r>
      <w:r w:rsidR="00236DAE" w:rsidRPr="003D283D">
        <w:rPr>
          <w:szCs w:val="26"/>
        </w:rPr>
        <w:t xml:space="preserve">a similar lesson </w:t>
      </w:r>
      <w:r w:rsidR="006D31E1" w:rsidRPr="003D283D">
        <w:rPr>
          <w:szCs w:val="26"/>
        </w:rPr>
        <w:t>from</w:t>
      </w:r>
      <w:r w:rsidR="00062DB8" w:rsidRPr="003D283D">
        <w:rPr>
          <w:szCs w:val="26"/>
        </w:rPr>
        <w:t xml:space="preserve"> the Witkin treatise on </w:t>
      </w:r>
      <w:r w:rsidR="00B632FA" w:rsidRPr="003D283D">
        <w:rPr>
          <w:szCs w:val="26"/>
        </w:rPr>
        <w:t xml:space="preserve">California </w:t>
      </w:r>
      <w:r w:rsidR="00062DB8" w:rsidRPr="003D283D">
        <w:rPr>
          <w:szCs w:val="26"/>
        </w:rPr>
        <w:t xml:space="preserve">Procedure, </w:t>
      </w:r>
      <w:r w:rsidR="0026477A" w:rsidRPr="003D283D">
        <w:rPr>
          <w:szCs w:val="26"/>
        </w:rPr>
        <w:t>which</w:t>
      </w:r>
      <w:r w:rsidR="00062DB8" w:rsidRPr="003D283D">
        <w:rPr>
          <w:szCs w:val="26"/>
        </w:rPr>
        <w:t xml:space="preserve"> provides</w:t>
      </w:r>
      <w:r w:rsidR="003670B1" w:rsidRPr="003D283D">
        <w:rPr>
          <w:szCs w:val="26"/>
        </w:rPr>
        <w:t xml:space="preserve"> in relevant part</w:t>
      </w:r>
      <w:r w:rsidR="00062DB8" w:rsidRPr="003D283D">
        <w:rPr>
          <w:szCs w:val="26"/>
        </w:rPr>
        <w:t>, “</w:t>
      </w:r>
      <w:r w:rsidR="00062DB8" w:rsidRPr="003D283D">
        <w:rPr>
          <w:szCs w:val="26"/>
          <w:shd w:val="clear" w:color="auto" w:fill="FFFFFF"/>
        </w:rPr>
        <w:t xml:space="preserve">In a few situations, the law requires that a party produce more than an ordinary preponderance; he or she must establish a fact by </w:t>
      </w:r>
      <w:r w:rsidR="004F465C" w:rsidRPr="003D283D">
        <w:rPr>
          <w:szCs w:val="26"/>
          <w:shd w:val="clear" w:color="auto" w:fill="FFFFFF"/>
        </w:rPr>
        <w:t>‘</w:t>
      </w:r>
      <w:r w:rsidR="00062DB8" w:rsidRPr="003D283D">
        <w:rPr>
          <w:szCs w:val="26"/>
          <w:shd w:val="clear" w:color="auto" w:fill="FFFFFF"/>
        </w:rPr>
        <w:t>clear and convincing evidence.</w:t>
      </w:r>
      <w:r w:rsidR="004F465C" w:rsidRPr="003D283D">
        <w:rPr>
          <w:szCs w:val="26"/>
          <w:shd w:val="clear" w:color="auto" w:fill="FFFFFF"/>
        </w:rPr>
        <w:t>’</w:t>
      </w:r>
      <w:r w:rsidR="00062DB8" w:rsidRPr="003D283D">
        <w:rPr>
          <w:szCs w:val="26"/>
          <w:shd w:val="clear" w:color="auto" w:fill="FFFFFF"/>
        </w:rPr>
        <w:t xml:space="preserve">  [Citations.]  But the requirement applies only in the trial court.  The judge may reject a showing as not measuring up to the standard, but, if the judge decides in favor of the party with this heavy burden, </w:t>
      </w:r>
      <w:r w:rsidR="00062DB8" w:rsidRPr="003D283D">
        <w:rPr>
          <w:i/>
          <w:iCs/>
          <w:szCs w:val="26"/>
          <w:shd w:val="clear" w:color="auto" w:fill="FFFFFF"/>
        </w:rPr>
        <w:t>the clear and convincing test disappears</w:t>
      </w:r>
      <w:r w:rsidR="00062DB8" w:rsidRPr="003D283D">
        <w:rPr>
          <w:szCs w:val="26"/>
          <w:shd w:val="clear" w:color="auto" w:fill="FFFFFF"/>
        </w:rPr>
        <w:t>.  On appeal, the usual rule of conflicting evidence is applied, giving full effect to the respondent’s evidence, however slight, and disregarding the appellant’s evidence, however strong.”  (</w:t>
      </w:r>
      <w:r w:rsidR="004B3EA5" w:rsidRPr="003D283D">
        <w:rPr>
          <w:szCs w:val="26"/>
          <w:shd w:val="clear" w:color="auto" w:fill="FFFFFF"/>
        </w:rPr>
        <w:t xml:space="preserve">9 </w:t>
      </w:r>
      <w:r w:rsidR="00062DB8" w:rsidRPr="003D283D">
        <w:rPr>
          <w:szCs w:val="26"/>
          <w:shd w:val="clear" w:color="auto" w:fill="FFFFFF"/>
        </w:rPr>
        <w:t>Witkin</w:t>
      </w:r>
      <w:r w:rsidR="008D630D" w:rsidRPr="003D283D">
        <w:rPr>
          <w:szCs w:val="26"/>
          <w:shd w:val="clear" w:color="auto" w:fill="FFFFFF"/>
        </w:rPr>
        <w:t>, Cal.</w:t>
      </w:r>
      <w:r w:rsidR="00062DB8" w:rsidRPr="003D283D">
        <w:rPr>
          <w:szCs w:val="26"/>
          <w:shd w:val="clear" w:color="auto" w:fill="FFFFFF"/>
        </w:rPr>
        <w:t xml:space="preserve"> Procedure (5th ed. 2008) Appeal, § 371, p. 428</w:t>
      </w:r>
      <w:r w:rsidR="004F465C" w:rsidRPr="003D283D">
        <w:rPr>
          <w:szCs w:val="26"/>
          <w:shd w:val="clear" w:color="auto" w:fill="FFFFFF"/>
        </w:rPr>
        <w:t>, italics added</w:t>
      </w:r>
      <w:r w:rsidR="00062DB8" w:rsidRPr="003D283D">
        <w:rPr>
          <w:szCs w:val="26"/>
          <w:shd w:val="clear" w:color="auto" w:fill="FFFFFF"/>
        </w:rPr>
        <w:t>.)</w:t>
      </w:r>
      <w:r w:rsidR="008C434A" w:rsidRPr="003D283D">
        <w:rPr>
          <w:shd w:val="clear" w:color="auto" w:fill="FFFFFF"/>
        </w:rPr>
        <w:t xml:space="preserve"> </w:t>
      </w:r>
      <w:r w:rsidR="000A59E4" w:rsidRPr="003D283D">
        <w:rPr>
          <w:shd w:val="clear" w:color="auto" w:fill="FFFFFF"/>
        </w:rPr>
        <w:t xml:space="preserve"> </w:t>
      </w:r>
      <w:r w:rsidR="0079307E" w:rsidRPr="003D283D">
        <w:rPr>
          <w:szCs w:val="26"/>
          <w:shd w:val="clear" w:color="auto" w:fill="FFFFFF"/>
        </w:rPr>
        <w:t xml:space="preserve">The assertion that </w:t>
      </w:r>
      <w:r w:rsidR="008C434A" w:rsidRPr="003D283D">
        <w:rPr>
          <w:szCs w:val="26"/>
          <w:shd w:val="clear" w:color="auto" w:fill="FFFFFF"/>
        </w:rPr>
        <w:t xml:space="preserve">“the clear and convincing test disappears” </w:t>
      </w:r>
      <w:r w:rsidR="00B632FA" w:rsidRPr="003D283D">
        <w:rPr>
          <w:szCs w:val="26"/>
          <w:shd w:val="clear" w:color="auto" w:fill="FFFFFF"/>
        </w:rPr>
        <w:t>(</w:t>
      </w:r>
      <w:r w:rsidR="00B632FA" w:rsidRPr="003D283D">
        <w:rPr>
          <w:i/>
          <w:iCs/>
          <w:szCs w:val="26"/>
          <w:shd w:val="clear" w:color="auto" w:fill="FFFFFF"/>
        </w:rPr>
        <w:t>ibid</w:t>
      </w:r>
      <w:r w:rsidR="00B632FA" w:rsidRPr="003D283D">
        <w:rPr>
          <w:szCs w:val="26"/>
          <w:shd w:val="clear" w:color="auto" w:fill="FFFFFF"/>
        </w:rPr>
        <w:t xml:space="preserve">.) </w:t>
      </w:r>
      <w:r w:rsidR="00A5167C" w:rsidRPr="003D283D">
        <w:rPr>
          <w:szCs w:val="26"/>
          <w:shd w:val="clear" w:color="auto" w:fill="FFFFFF"/>
        </w:rPr>
        <w:t>on appeal</w:t>
      </w:r>
      <w:r w:rsidR="007C021D" w:rsidRPr="003D283D">
        <w:rPr>
          <w:szCs w:val="26"/>
          <w:shd w:val="clear" w:color="auto" w:fill="FFFFFF"/>
        </w:rPr>
        <w:t xml:space="preserve"> fairly</w:t>
      </w:r>
      <w:r w:rsidR="0079307E" w:rsidRPr="003D283D">
        <w:rPr>
          <w:szCs w:val="26"/>
          <w:shd w:val="clear" w:color="auto" w:fill="FFFFFF"/>
        </w:rPr>
        <w:t xml:space="preserve"> </w:t>
      </w:r>
      <w:r w:rsidR="000040A0" w:rsidRPr="003D283D">
        <w:rPr>
          <w:szCs w:val="26"/>
          <w:shd w:val="clear" w:color="auto" w:fill="FFFFFF"/>
        </w:rPr>
        <w:t>imparts</w:t>
      </w:r>
      <w:r w:rsidR="00A5167C" w:rsidRPr="003D283D">
        <w:rPr>
          <w:szCs w:val="26"/>
          <w:shd w:val="clear" w:color="auto" w:fill="FFFFFF"/>
        </w:rPr>
        <w:t xml:space="preserve"> that </w:t>
      </w:r>
      <w:r w:rsidR="000F2145" w:rsidRPr="003D283D">
        <w:rPr>
          <w:szCs w:val="26"/>
          <w:shd w:val="clear" w:color="auto" w:fill="FFFFFF"/>
        </w:rPr>
        <w:t>th</w:t>
      </w:r>
      <w:r w:rsidR="00493269" w:rsidRPr="003D283D">
        <w:rPr>
          <w:szCs w:val="26"/>
          <w:shd w:val="clear" w:color="auto" w:fill="FFFFFF"/>
        </w:rPr>
        <w:t xml:space="preserve">is </w:t>
      </w:r>
      <w:r w:rsidR="00A5167C" w:rsidRPr="003D283D">
        <w:rPr>
          <w:szCs w:val="26"/>
          <w:shd w:val="clear" w:color="auto" w:fill="FFFFFF"/>
        </w:rPr>
        <w:t xml:space="preserve">standard of proof </w:t>
      </w:r>
      <w:r w:rsidR="002C5746" w:rsidRPr="003D283D">
        <w:rPr>
          <w:szCs w:val="26"/>
          <w:shd w:val="clear" w:color="auto" w:fill="FFFFFF"/>
        </w:rPr>
        <w:t>has</w:t>
      </w:r>
      <w:r w:rsidR="00A5167C" w:rsidRPr="003D283D">
        <w:rPr>
          <w:szCs w:val="26"/>
          <w:shd w:val="clear" w:color="auto" w:fill="FFFFFF"/>
        </w:rPr>
        <w:t xml:space="preserve"> </w:t>
      </w:r>
      <w:r w:rsidR="00A5167C" w:rsidRPr="003D283D">
        <w:rPr>
          <w:szCs w:val="26"/>
          <w:shd w:val="clear" w:color="auto" w:fill="FFFFFF"/>
        </w:rPr>
        <w:lastRenderedPageBreak/>
        <w:t>no bearing</w:t>
      </w:r>
      <w:r w:rsidR="005D6066" w:rsidRPr="003D283D">
        <w:rPr>
          <w:szCs w:val="26"/>
          <w:shd w:val="clear" w:color="auto" w:fill="FFFFFF"/>
        </w:rPr>
        <w:t xml:space="preserve"> </w:t>
      </w:r>
      <w:r w:rsidR="001B0E8C" w:rsidRPr="003D283D">
        <w:rPr>
          <w:szCs w:val="26"/>
          <w:shd w:val="clear" w:color="auto" w:fill="FFFFFF"/>
        </w:rPr>
        <w:t xml:space="preserve">whatsoever </w:t>
      </w:r>
      <w:r w:rsidR="00A5167C" w:rsidRPr="003D283D">
        <w:rPr>
          <w:szCs w:val="26"/>
          <w:shd w:val="clear" w:color="auto" w:fill="FFFFFF"/>
        </w:rPr>
        <w:t>on appellate review for sufficiency of the evidence.</w:t>
      </w:r>
      <w:r w:rsidR="000A59E4" w:rsidRPr="003D283D">
        <w:rPr>
          <w:rStyle w:val="FootnoteReference"/>
          <w:bCs/>
        </w:rPr>
        <w:footnoteReference w:id="5"/>
      </w:r>
      <w:r w:rsidR="000A59E4" w:rsidRPr="003D283D">
        <w:rPr>
          <w:shd w:val="clear" w:color="auto" w:fill="FFFFFF"/>
        </w:rPr>
        <w:t xml:space="preserve"> </w:t>
      </w:r>
      <w:r w:rsidR="00A5167C" w:rsidRPr="003D283D">
        <w:rPr>
          <w:szCs w:val="26"/>
          <w:shd w:val="clear" w:color="auto" w:fill="FFFFFF"/>
        </w:rPr>
        <w:t xml:space="preserve"> </w:t>
      </w:r>
    </w:p>
    <w:p w14:paraId="546501BC" w14:textId="3EE332E4" w:rsidR="00BF26F2" w:rsidRPr="003D283D" w:rsidRDefault="0036357F" w:rsidP="00493269">
      <w:pPr>
        <w:ind w:firstLine="720"/>
        <w:rPr>
          <w:szCs w:val="26"/>
        </w:rPr>
      </w:pPr>
      <w:r w:rsidRPr="003D283D">
        <w:rPr>
          <w:szCs w:val="26"/>
        </w:rPr>
        <w:t>Another viewpoint</w:t>
      </w:r>
      <w:r w:rsidR="002C5746" w:rsidRPr="003D283D">
        <w:rPr>
          <w:szCs w:val="26"/>
        </w:rPr>
        <w:t xml:space="preserve"> </w:t>
      </w:r>
      <w:r w:rsidR="004F465C" w:rsidRPr="003D283D">
        <w:rPr>
          <w:szCs w:val="26"/>
        </w:rPr>
        <w:t>regard</w:t>
      </w:r>
      <w:r w:rsidRPr="003D283D">
        <w:rPr>
          <w:szCs w:val="26"/>
        </w:rPr>
        <w:t>s</w:t>
      </w:r>
      <w:r w:rsidR="004F465C" w:rsidRPr="003D283D">
        <w:rPr>
          <w:szCs w:val="26"/>
        </w:rPr>
        <w:t xml:space="preserve"> a</w:t>
      </w:r>
      <w:r w:rsidR="00964A2C" w:rsidRPr="003D283D">
        <w:rPr>
          <w:szCs w:val="26"/>
        </w:rPr>
        <w:t>n a</w:t>
      </w:r>
      <w:r w:rsidR="004F465C" w:rsidRPr="003D283D">
        <w:rPr>
          <w:szCs w:val="26"/>
        </w:rPr>
        <w:t>ppellate court</w:t>
      </w:r>
      <w:r w:rsidR="00062DB8" w:rsidRPr="003D283D">
        <w:rPr>
          <w:szCs w:val="26"/>
        </w:rPr>
        <w:t xml:space="preserve"> as obligated to review </w:t>
      </w:r>
      <w:r w:rsidRPr="003D283D">
        <w:rPr>
          <w:szCs w:val="26"/>
        </w:rPr>
        <w:t>the</w:t>
      </w:r>
      <w:r w:rsidR="00062DB8" w:rsidRPr="003D283D">
        <w:rPr>
          <w:szCs w:val="26"/>
        </w:rPr>
        <w:t xml:space="preserve"> record for </w:t>
      </w:r>
      <w:r w:rsidR="00824BA8" w:rsidRPr="003D283D">
        <w:rPr>
          <w:szCs w:val="26"/>
        </w:rPr>
        <w:t>substantial</w:t>
      </w:r>
      <w:r w:rsidR="00062DB8" w:rsidRPr="003D283D">
        <w:rPr>
          <w:szCs w:val="26"/>
        </w:rPr>
        <w:t xml:space="preserve"> evidence in a manner mindful of the</w:t>
      </w:r>
      <w:r w:rsidRPr="003D283D">
        <w:rPr>
          <w:szCs w:val="26"/>
        </w:rPr>
        <w:t xml:space="preserve"> fact that the</w:t>
      </w:r>
      <w:r w:rsidR="00062DB8" w:rsidRPr="003D283D">
        <w:rPr>
          <w:szCs w:val="26"/>
        </w:rPr>
        <w:t xml:space="preserve"> clear and convincing standard </w:t>
      </w:r>
      <w:r w:rsidR="00964A2C" w:rsidRPr="003D283D">
        <w:rPr>
          <w:szCs w:val="26"/>
        </w:rPr>
        <w:t xml:space="preserve">of proof </w:t>
      </w:r>
      <w:r w:rsidR="00062DB8" w:rsidRPr="003D283D">
        <w:rPr>
          <w:szCs w:val="26"/>
        </w:rPr>
        <w:t>applied before the trial court.</w:t>
      </w:r>
      <w:r w:rsidR="00062DB8" w:rsidRPr="003D283D">
        <w:rPr>
          <w:rStyle w:val="FootnoteReference"/>
          <w:bCs/>
        </w:rPr>
        <w:footnoteReference w:id="6"/>
      </w:r>
      <w:r w:rsidR="00062DB8" w:rsidRPr="003D283D">
        <w:rPr>
          <w:bCs/>
        </w:rPr>
        <w:t xml:space="preserve"> </w:t>
      </w:r>
      <w:r w:rsidR="00062DB8" w:rsidRPr="003D283D">
        <w:rPr>
          <w:bCs/>
          <w:szCs w:val="26"/>
        </w:rPr>
        <w:t xml:space="preserve"> </w:t>
      </w:r>
      <w:r w:rsidR="00964A2C" w:rsidRPr="003D283D">
        <w:rPr>
          <w:szCs w:val="26"/>
        </w:rPr>
        <w:t>T</w:t>
      </w:r>
      <w:r w:rsidR="00062DB8" w:rsidRPr="003D283D">
        <w:rPr>
          <w:szCs w:val="26"/>
        </w:rPr>
        <w:t>his approach</w:t>
      </w:r>
      <w:r w:rsidR="00236DAE" w:rsidRPr="003D283D">
        <w:rPr>
          <w:szCs w:val="26"/>
        </w:rPr>
        <w:t xml:space="preserve"> </w:t>
      </w:r>
      <w:r w:rsidR="00964A2C" w:rsidRPr="003D283D">
        <w:rPr>
          <w:szCs w:val="26"/>
        </w:rPr>
        <w:t xml:space="preserve">recently was </w:t>
      </w:r>
      <w:r w:rsidR="00964A2C" w:rsidRPr="003D283D">
        <w:rPr>
          <w:szCs w:val="26"/>
        </w:rPr>
        <w:lastRenderedPageBreak/>
        <w:t xml:space="preserve">adopted by the court </w:t>
      </w:r>
      <w:r w:rsidR="00236DAE" w:rsidRPr="003D283D">
        <w:rPr>
          <w:szCs w:val="26"/>
        </w:rPr>
        <w:t>in</w:t>
      </w:r>
      <w:r w:rsidR="00062DB8" w:rsidRPr="003D283D">
        <w:rPr>
          <w:szCs w:val="26"/>
        </w:rPr>
        <w:t xml:space="preserve"> </w:t>
      </w:r>
      <w:r w:rsidR="000040A0" w:rsidRPr="003D283D">
        <w:rPr>
          <w:szCs w:val="26"/>
        </w:rPr>
        <w:t>connection with</w:t>
      </w:r>
      <w:r w:rsidR="00F54B81" w:rsidRPr="003D283D">
        <w:rPr>
          <w:szCs w:val="26"/>
        </w:rPr>
        <w:t xml:space="preserve"> a dependency proceeding (see </w:t>
      </w:r>
      <w:proofErr w:type="spellStart"/>
      <w:r w:rsidR="00F54B81" w:rsidRPr="003D283D">
        <w:rPr>
          <w:szCs w:val="26"/>
        </w:rPr>
        <w:t>Welf</w:t>
      </w:r>
      <w:proofErr w:type="spellEnd"/>
      <w:r w:rsidR="00F54B81" w:rsidRPr="003D283D">
        <w:rPr>
          <w:szCs w:val="26"/>
        </w:rPr>
        <w:t>. &amp; Inst. Code, § 366.2</w:t>
      </w:r>
      <w:r w:rsidR="00A80F65" w:rsidRPr="003D283D">
        <w:rPr>
          <w:szCs w:val="26"/>
        </w:rPr>
        <w:t>1, subd. (g)(1)(C)(ii)</w:t>
      </w:r>
      <w:r w:rsidR="00F54B81" w:rsidRPr="003D283D">
        <w:rPr>
          <w:szCs w:val="26"/>
        </w:rPr>
        <w:t xml:space="preserve">) in </w:t>
      </w:r>
      <w:r w:rsidR="00062DB8" w:rsidRPr="003D283D">
        <w:rPr>
          <w:i/>
          <w:iCs/>
          <w:szCs w:val="26"/>
        </w:rPr>
        <w:t>T.J.</w:t>
      </w:r>
      <w:r w:rsidR="00062DB8" w:rsidRPr="003D283D">
        <w:rPr>
          <w:szCs w:val="26"/>
        </w:rPr>
        <w:t xml:space="preserve">, </w:t>
      </w:r>
      <w:r w:rsidR="00062DB8" w:rsidRPr="003D283D">
        <w:rPr>
          <w:i/>
          <w:iCs/>
          <w:szCs w:val="26"/>
        </w:rPr>
        <w:t>supra</w:t>
      </w:r>
      <w:r w:rsidR="00062DB8" w:rsidRPr="003D283D">
        <w:rPr>
          <w:szCs w:val="26"/>
        </w:rPr>
        <w:t>, 21</w:t>
      </w:r>
      <w:r w:rsidR="00BC00B3" w:rsidRPr="003D283D">
        <w:rPr>
          <w:szCs w:val="26"/>
        </w:rPr>
        <w:t> </w:t>
      </w:r>
      <w:r w:rsidR="00062DB8" w:rsidRPr="003D283D">
        <w:rPr>
          <w:szCs w:val="26"/>
        </w:rPr>
        <w:t>Cal.App.5th 1229</w:t>
      </w:r>
      <w:r w:rsidR="00964A2C" w:rsidRPr="003D283D">
        <w:rPr>
          <w:szCs w:val="26"/>
        </w:rPr>
        <w:t xml:space="preserve">.  </w:t>
      </w:r>
      <w:r w:rsidR="001B0E8C" w:rsidRPr="003D283D">
        <w:rPr>
          <w:szCs w:val="26"/>
        </w:rPr>
        <w:t>T</w:t>
      </w:r>
      <w:r w:rsidR="00964A2C" w:rsidRPr="003D283D">
        <w:rPr>
          <w:szCs w:val="26"/>
        </w:rPr>
        <w:t>h</w:t>
      </w:r>
      <w:r w:rsidR="001B0E8C" w:rsidRPr="003D283D">
        <w:rPr>
          <w:szCs w:val="26"/>
        </w:rPr>
        <w:t>e</w:t>
      </w:r>
      <w:r w:rsidR="00964A2C" w:rsidRPr="003D283D">
        <w:rPr>
          <w:szCs w:val="26"/>
        </w:rPr>
        <w:t xml:space="preserve"> </w:t>
      </w:r>
      <w:r w:rsidR="00232F57" w:rsidRPr="003D283D">
        <w:rPr>
          <w:szCs w:val="26"/>
        </w:rPr>
        <w:t>court</w:t>
      </w:r>
      <w:r w:rsidR="001B0E8C" w:rsidRPr="003D283D">
        <w:rPr>
          <w:szCs w:val="26"/>
        </w:rPr>
        <w:t xml:space="preserve"> in </w:t>
      </w:r>
      <w:r w:rsidR="001B0E8C" w:rsidRPr="003D283D">
        <w:rPr>
          <w:i/>
          <w:szCs w:val="26"/>
        </w:rPr>
        <w:t>T.J.</w:t>
      </w:r>
      <w:r w:rsidR="00232F57" w:rsidRPr="003D283D">
        <w:rPr>
          <w:szCs w:val="26"/>
        </w:rPr>
        <w:t xml:space="preserve"> </w:t>
      </w:r>
      <w:r w:rsidR="00062DB8" w:rsidRPr="003D283D">
        <w:rPr>
          <w:szCs w:val="26"/>
        </w:rPr>
        <w:t>observ</w:t>
      </w:r>
      <w:r w:rsidR="00964A2C" w:rsidRPr="003D283D">
        <w:rPr>
          <w:szCs w:val="26"/>
        </w:rPr>
        <w:t>ed</w:t>
      </w:r>
      <w:r w:rsidR="00062DB8" w:rsidRPr="003D283D">
        <w:rPr>
          <w:szCs w:val="26"/>
        </w:rPr>
        <w:t xml:space="preserve"> that “[i]f the clear and convincing evidence standard ‘disappears’ on appellate review, </w:t>
      </w:r>
      <w:proofErr w:type="gramStart"/>
      <w:r w:rsidR="00062DB8" w:rsidRPr="003D283D">
        <w:rPr>
          <w:szCs w:val="26"/>
        </w:rPr>
        <w:t>that</w:t>
      </w:r>
      <w:proofErr w:type="gramEnd"/>
      <w:r w:rsidR="00062DB8" w:rsidRPr="003D283D">
        <w:rPr>
          <w:szCs w:val="26"/>
        </w:rPr>
        <w:t xml:space="preserve"> means the distinction between the preponderance standard and the clear and convincing standard</w:t>
      </w:r>
      <w:r w:rsidR="004A6E53" w:rsidRPr="003D283D">
        <w:rPr>
          <w:szCs w:val="26"/>
        </w:rPr>
        <w:t xml:space="preserve"> . . . </w:t>
      </w:r>
      <w:r w:rsidR="00062DB8" w:rsidRPr="003D283D">
        <w:rPr>
          <w:szCs w:val="26"/>
        </w:rPr>
        <w:t>is utterly lost on appeal</w:t>
      </w:r>
      <w:r w:rsidR="00622DE5" w:rsidRPr="003D283D">
        <w:rPr>
          <w:szCs w:val="26"/>
        </w:rPr>
        <w:t> </w:t>
      </w:r>
      <w:r w:rsidR="00062DB8" w:rsidRPr="003D283D">
        <w:rPr>
          <w:szCs w:val="26"/>
        </w:rPr>
        <w:t>.</w:t>
      </w:r>
      <w:r w:rsidR="00622DE5" w:rsidRPr="003D283D">
        <w:rPr>
          <w:szCs w:val="26"/>
        </w:rPr>
        <w:t> . . .</w:t>
      </w:r>
      <w:r w:rsidR="00062DB8" w:rsidRPr="003D283D">
        <w:rPr>
          <w:szCs w:val="26"/>
        </w:rPr>
        <w:t>”  (</w:t>
      </w:r>
      <w:r w:rsidR="00622DE5" w:rsidRPr="003D283D">
        <w:rPr>
          <w:i/>
          <w:iCs/>
          <w:szCs w:val="26"/>
        </w:rPr>
        <w:t>T.J</w:t>
      </w:r>
      <w:r w:rsidR="00622DE5" w:rsidRPr="003D283D">
        <w:rPr>
          <w:i/>
        </w:rPr>
        <w:t>.</w:t>
      </w:r>
      <w:r w:rsidR="00062DB8" w:rsidRPr="003D283D">
        <w:rPr>
          <w:szCs w:val="26"/>
        </w:rPr>
        <w:t xml:space="preserve">, at p. 1239.)  </w:t>
      </w:r>
      <w:r w:rsidR="001B0E8C" w:rsidRPr="003D283D">
        <w:rPr>
          <w:szCs w:val="26"/>
        </w:rPr>
        <w:t>S</w:t>
      </w:r>
      <w:r w:rsidR="00062DB8" w:rsidRPr="003D283D">
        <w:rPr>
          <w:szCs w:val="26"/>
        </w:rPr>
        <w:t xml:space="preserve">uch an outcome </w:t>
      </w:r>
      <w:r w:rsidR="001B0E8C" w:rsidRPr="003D283D">
        <w:rPr>
          <w:szCs w:val="26"/>
        </w:rPr>
        <w:t xml:space="preserve">was regarded </w:t>
      </w:r>
      <w:r w:rsidR="00062DB8" w:rsidRPr="003D283D">
        <w:rPr>
          <w:szCs w:val="26"/>
        </w:rPr>
        <w:t xml:space="preserve">as </w:t>
      </w:r>
      <w:r w:rsidR="003670B1" w:rsidRPr="003D283D">
        <w:rPr>
          <w:szCs w:val="26"/>
        </w:rPr>
        <w:t>compromising</w:t>
      </w:r>
      <w:r w:rsidR="00062DB8" w:rsidRPr="003D283D">
        <w:rPr>
          <w:szCs w:val="26"/>
        </w:rPr>
        <w:t xml:space="preserve"> “the integrity of the review process,” because if the clear and convincing standard has no bearing whatsoever on appellate review, “the ability of the appellate court to correct error is unacceptably weakened.”  (</w:t>
      </w:r>
      <w:r w:rsidR="00062DB8" w:rsidRPr="003D283D">
        <w:rPr>
          <w:i/>
          <w:iCs/>
          <w:szCs w:val="26"/>
        </w:rPr>
        <w:t>Ibid</w:t>
      </w:r>
      <w:r w:rsidR="00062DB8" w:rsidRPr="003D283D">
        <w:rPr>
          <w:szCs w:val="26"/>
        </w:rPr>
        <w:t xml:space="preserve">.)  </w:t>
      </w:r>
      <w:r w:rsidR="00824839" w:rsidRPr="003D283D">
        <w:rPr>
          <w:szCs w:val="26"/>
        </w:rPr>
        <w:t>Moved by</w:t>
      </w:r>
      <w:r w:rsidR="00493269" w:rsidRPr="003D283D">
        <w:rPr>
          <w:szCs w:val="26"/>
        </w:rPr>
        <w:t xml:space="preserve"> these considerations, t</w:t>
      </w:r>
      <w:r w:rsidR="00062DB8" w:rsidRPr="003D283D">
        <w:rPr>
          <w:szCs w:val="26"/>
        </w:rPr>
        <w:t xml:space="preserve">he </w:t>
      </w:r>
      <w:r w:rsidR="009B1B67" w:rsidRPr="003D283D">
        <w:rPr>
          <w:szCs w:val="26"/>
        </w:rPr>
        <w:t xml:space="preserve">court </w:t>
      </w:r>
      <w:r w:rsidR="00226DF8" w:rsidRPr="003D283D">
        <w:rPr>
          <w:szCs w:val="26"/>
        </w:rPr>
        <w:t xml:space="preserve">in </w:t>
      </w:r>
      <w:r w:rsidR="00226DF8" w:rsidRPr="003D283D">
        <w:rPr>
          <w:i/>
          <w:iCs/>
          <w:szCs w:val="26"/>
        </w:rPr>
        <w:t>T.J.</w:t>
      </w:r>
      <w:r w:rsidR="00226DF8" w:rsidRPr="003D283D">
        <w:rPr>
          <w:szCs w:val="26"/>
        </w:rPr>
        <w:t xml:space="preserve"> </w:t>
      </w:r>
      <w:r w:rsidR="00062DB8" w:rsidRPr="003D283D">
        <w:rPr>
          <w:szCs w:val="26"/>
        </w:rPr>
        <w:t xml:space="preserve">concluded that it must </w:t>
      </w:r>
      <w:r w:rsidR="00A80F65" w:rsidRPr="003D283D">
        <w:rPr>
          <w:szCs w:val="26"/>
        </w:rPr>
        <w:t>“ ‘</w:t>
      </w:r>
      <w:r w:rsidR="00062DB8" w:rsidRPr="003D283D">
        <w:rPr>
          <w:szCs w:val="26"/>
        </w:rPr>
        <w:t xml:space="preserve">review the record in the light most favorable to the trial court’s order to determine whether there is substantial evidence from which a reasonable trier of fact could make the necessary findings </w:t>
      </w:r>
      <w:r w:rsidR="00062DB8" w:rsidRPr="003D283D">
        <w:rPr>
          <w:i/>
          <w:iCs/>
          <w:szCs w:val="26"/>
        </w:rPr>
        <w:t>based on the clear and convincing evidence standard</w:t>
      </w:r>
      <w:r w:rsidR="00062DB8" w:rsidRPr="003D283D">
        <w:rPr>
          <w:szCs w:val="26"/>
        </w:rPr>
        <w:t>.</w:t>
      </w:r>
      <w:r w:rsidR="00F54B81" w:rsidRPr="003D283D">
        <w:rPr>
          <w:szCs w:val="26"/>
        </w:rPr>
        <w:t>’ </w:t>
      </w:r>
      <w:r w:rsidR="00062DB8" w:rsidRPr="003D283D">
        <w:rPr>
          <w:szCs w:val="26"/>
        </w:rPr>
        <w:t>”  (</w:t>
      </w:r>
      <w:r w:rsidR="00062DB8" w:rsidRPr="003D283D">
        <w:rPr>
          <w:i/>
          <w:iCs/>
          <w:szCs w:val="26"/>
        </w:rPr>
        <w:t>Ibid</w:t>
      </w:r>
      <w:r w:rsidR="00062DB8" w:rsidRPr="003D283D">
        <w:rPr>
          <w:szCs w:val="26"/>
        </w:rPr>
        <w:t>.</w:t>
      </w:r>
      <w:r w:rsidR="00A80F65" w:rsidRPr="003D283D">
        <w:rPr>
          <w:szCs w:val="26"/>
        </w:rPr>
        <w:t xml:space="preserve">, </w:t>
      </w:r>
      <w:r w:rsidR="00A80F65" w:rsidRPr="003D283D">
        <w:t>quoting</w:t>
      </w:r>
      <w:r w:rsidR="00A80F65" w:rsidRPr="003D283D">
        <w:rPr>
          <w:i/>
          <w:szCs w:val="26"/>
        </w:rPr>
        <w:t xml:space="preserve"> </w:t>
      </w:r>
      <w:proofErr w:type="gramStart"/>
      <w:r w:rsidR="00A80F65" w:rsidRPr="003D283D">
        <w:rPr>
          <w:i/>
          <w:szCs w:val="26"/>
        </w:rPr>
        <w:t>In</w:t>
      </w:r>
      <w:proofErr w:type="gramEnd"/>
      <w:r w:rsidR="00A80F65" w:rsidRPr="003D283D">
        <w:rPr>
          <w:i/>
          <w:szCs w:val="26"/>
        </w:rPr>
        <w:t xml:space="preserve"> re </w:t>
      </w:r>
      <w:proofErr w:type="spellStart"/>
      <w:r w:rsidR="00A80F65" w:rsidRPr="003D283D">
        <w:rPr>
          <w:i/>
          <w:szCs w:val="26"/>
        </w:rPr>
        <w:t>Isayah</w:t>
      </w:r>
      <w:proofErr w:type="spellEnd"/>
      <w:r w:rsidR="00A80F65" w:rsidRPr="003D283D">
        <w:rPr>
          <w:i/>
          <w:szCs w:val="26"/>
        </w:rPr>
        <w:t xml:space="preserve"> C.</w:t>
      </w:r>
      <w:r w:rsidR="00A80F65" w:rsidRPr="003D283D">
        <w:rPr>
          <w:szCs w:val="26"/>
        </w:rPr>
        <w:t xml:space="preserve">, </w:t>
      </w:r>
      <w:r w:rsidR="00A80F65" w:rsidRPr="003D283D">
        <w:rPr>
          <w:i/>
          <w:szCs w:val="26"/>
        </w:rPr>
        <w:t>supra</w:t>
      </w:r>
      <w:r w:rsidR="00A80F65" w:rsidRPr="003D283D">
        <w:rPr>
          <w:szCs w:val="26"/>
        </w:rPr>
        <w:t>, 118</w:t>
      </w:r>
      <w:r w:rsidR="00A368C2" w:rsidRPr="003D283D">
        <w:rPr>
          <w:szCs w:val="26"/>
        </w:rPr>
        <w:t> </w:t>
      </w:r>
      <w:r w:rsidR="00A80F65" w:rsidRPr="003D283D">
        <w:rPr>
          <w:szCs w:val="26"/>
        </w:rPr>
        <w:t>Cal.App.4th at p. 694.</w:t>
      </w:r>
      <w:r w:rsidR="00062DB8" w:rsidRPr="003D283D">
        <w:rPr>
          <w:szCs w:val="26"/>
        </w:rPr>
        <w:t>)</w:t>
      </w:r>
    </w:p>
    <w:p w14:paraId="2BF693BE" w14:textId="5EDBBF77" w:rsidR="00E8738C" w:rsidRPr="003D283D" w:rsidRDefault="00E8738C" w:rsidP="00493269">
      <w:pPr>
        <w:ind w:firstLine="720"/>
        <w:rPr>
          <w:szCs w:val="26"/>
        </w:rPr>
      </w:pPr>
      <w:r w:rsidRPr="003D283D">
        <w:rPr>
          <w:szCs w:val="26"/>
        </w:rPr>
        <w:t>All in all, it would be</w:t>
      </w:r>
      <w:r w:rsidR="0056498C" w:rsidRPr="003D283D">
        <w:rPr>
          <w:szCs w:val="26"/>
        </w:rPr>
        <w:t xml:space="preserve"> a</w:t>
      </w:r>
      <w:r w:rsidRPr="003D283D">
        <w:rPr>
          <w:szCs w:val="26"/>
        </w:rPr>
        <w:t xml:space="preserve"> fair </w:t>
      </w:r>
      <w:r w:rsidR="009E178A" w:rsidRPr="003D283D">
        <w:rPr>
          <w:szCs w:val="26"/>
        </w:rPr>
        <w:t>summariz</w:t>
      </w:r>
      <w:r w:rsidR="0056498C" w:rsidRPr="003D283D">
        <w:rPr>
          <w:szCs w:val="26"/>
        </w:rPr>
        <w:t>ation to say</w:t>
      </w:r>
      <w:r w:rsidRPr="003D283D">
        <w:rPr>
          <w:szCs w:val="26"/>
        </w:rPr>
        <w:t xml:space="preserve"> that although the trend within our more recent decisions has been to </w:t>
      </w:r>
      <w:r w:rsidR="00310546" w:rsidRPr="003D283D">
        <w:rPr>
          <w:szCs w:val="26"/>
        </w:rPr>
        <w:t>recognize</w:t>
      </w:r>
      <w:r w:rsidRPr="003D283D">
        <w:rPr>
          <w:szCs w:val="26"/>
        </w:rPr>
        <w:t xml:space="preserve"> that the </w:t>
      </w:r>
      <w:r w:rsidR="00AF2567" w:rsidRPr="003D283D">
        <w:rPr>
          <w:szCs w:val="26"/>
        </w:rPr>
        <w:t>application</w:t>
      </w:r>
      <w:r w:rsidR="00D25653" w:rsidRPr="003D283D">
        <w:rPr>
          <w:szCs w:val="26"/>
        </w:rPr>
        <w:t xml:space="preserve"> of the </w:t>
      </w:r>
      <w:r w:rsidRPr="003D283D">
        <w:rPr>
          <w:szCs w:val="26"/>
        </w:rPr>
        <w:t>clear and convincing standard of proof</w:t>
      </w:r>
      <w:r w:rsidR="00D25653" w:rsidRPr="003D283D">
        <w:rPr>
          <w:szCs w:val="26"/>
        </w:rPr>
        <w:t xml:space="preserve"> before the trial court</w:t>
      </w:r>
      <w:r w:rsidRPr="003D283D">
        <w:rPr>
          <w:szCs w:val="26"/>
        </w:rPr>
        <w:t xml:space="preserve"> </w:t>
      </w:r>
      <w:r w:rsidR="00D25653" w:rsidRPr="003D283D">
        <w:rPr>
          <w:szCs w:val="26"/>
        </w:rPr>
        <w:t>affects</w:t>
      </w:r>
      <w:r w:rsidRPr="003D283D">
        <w:rPr>
          <w:szCs w:val="26"/>
        </w:rPr>
        <w:t xml:space="preserve"> appellate review for sufficiency of the evidence, our case law</w:t>
      </w:r>
      <w:r w:rsidR="00310546" w:rsidRPr="003D283D">
        <w:rPr>
          <w:szCs w:val="26"/>
        </w:rPr>
        <w:t xml:space="preserve"> also</w:t>
      </w:r>
      <w:r w:rsidRPr="003D283D">
        <w:rPr>
          <w:szCs w:val="26"/>
        </w:rPr>
        <w:t xml:space="preserve"> contains contrary suggestions </w:t>
      </w:r>
      <w:r w:rsidR="00D25653" w:rsidRPr="003D283D">
        <w:rPr>
          <w:szCs w:val="26"/>
        </w:rPr>
        <w:t>that have</w:t>
      </w:r>
      <w:r w:rsidRPr="003D283D">
        <w:rPr>
          <w:szCs w:val="26"/>
        </w:rPr>
        <w:t xml:space="preserve"> contributed to what is now a significant split of authority among the Courts of Appeal.  </w:t>
      </w:r>
    </w:p>
    <w:p w14:paraId="38600FF1" w14:textId="519F778F" w:rsidR="00062DB8" w:rsidRPr="003D283D" w:rsidRDefault="00BF26F2" w:rsidP="00493269">
      <w:pPr>
        <w:keepNext/>
        <w:keepLines/>
        <w:spacing w:before="100" w:line="240" w:lineRule="auto"/>
        <w:ind w:left="1080" w:hanging="360"/>
        <w:rPr>
          <w:b/>
          <w:bCs/>
          <w:szCs w:val="26"/>
        </w:rPr>
      </w:pPr>
      <w:r w:rsidRPr="003D283D">
        <w:rPr>
          <w:b/>
          <w:bCs/>
          <w:szCs w:val="26"/>
        </w:rPr>
        <w:lastRenderedPageBreak/>
        <w:t>C.</w:t>
      </w:r>
      <w:r w:rsidR="009B1B67" w:rsidRPr="003D283D">
        <w:rPr>
          <w:b/>
          <w:bCs/>
          <w:szCs w:val="26"/>
        </w:rPr>
        <w:tab/>
      </w:r>
      <w:r w:rsidR="00D03E8C" w:rsidRPr="003D283D">
        <w:rPr>
          <w:b/>
          <w:bCs/>
          <w:szCs w:val="26"/>
        </w:rPr>
        <w:t>The Clear and Convincing Standard of Proof Inform</w:t>
      </w:r>
      <w:r w:rsidR="001D3637" w:rsidRPr="003D283D">
        <w:rPr>
          <w:b/>
          <w:bCs/>
          <w:szCs w:val="26"/>
        </w:rPr>
        <w:t>s</w:t>
      </w:r>
      <w:r w:rsidR="00A44923" w:rsidRPr="003D283D">
        <w:rPr>
          <w:b/>
          <w:bCs/>
          <w:szCs w:val="26"/>
        </w:rPr>
        <w:t xml:space="preserve"> Appellate Review</w:t>
      </w:r>
      <w:r w:rsidR="00D03E8C" w:rsidRPr="003D283D">
        <w:rPr>
          <w:b/>
          <w:bCs/>
          <w:szCs w:val="26"/>
        </w:rPr>
        <w:t xml:space="preserve"> </w:t>
      </w:r>
      <w:r w:rsidR="001D3637" w:rsidRPr="003D283D">
        <w:rPr>
          <w:b/>
          <w:bCs/>
          <w:szCs w:val="26"/>
        </w:rPr>
        <w:t>for Substantial Evidence</w:t>
      </w:r>
    </w:p>
    <w:p w14:paraId="585058A1" w14:textId="31AAD53D" w:rsidR="00062DB8" w:rsidRPr="003D283D" w:rsidRDefault="00F747E0" w:rsidP="007F1BD8">
      <w:pPr>
        <w:pStyle w:val="ListParagraph"/>
        <w:spacing w:after="100" w:line="400" w:lineRule="exact"/>
        <w:ind w:left="0" w:firstLine="720"/>
        <w:rPr>
          <w:rFonts w:ascii="Century Schoolbook" w:hAnsi="Century Schoolbook" w:cs="Times New Roman"/>
          <w:sz w:val="27"/>
          <w:szCs w:val="26"/>
        </w:rPr>
      </w:pPr>
      <w:r w:rsidRPr="003D283D">
        <w:rPr>
          <w:rFonts w:ascii="Century Schoolbook" w:hAnsi="Century Schoolbook" w:cs="Times New Roman"/>
          <w:sz w:val="27"/>
          <w:szCs w:val="26"/>
        </w:rPr>
        <w:t>W</w:t>
      </w:r>
      <w:r w:rsidR="00062DB8" w:rsidRPr="003D283D">
        <w:rPr>
          <w:rFonts w:ascii="Century Schoolbook" w:hAnsi="Century Schoolbook" w:cs="Times New Roman"/>
          <w:sz w:val="27"/>
          <w:szCs w:val="26"/>
        </w:rPr>
        <w:t>e</w:t>
      </w:r>
      <w:r w:rsidR="00E8738C" w:rsidRPr="003D283D">
        <w:rPr>
          <w:rFonts w:ascii="Century Schoolbook" w:hAnsi="Century Schoolbook" w:cs="Times New Roman"/>
          <w:sz w:val="27"/>
          <w:szCs w:val="26"/>
        </w:rPr>
        <w:t xml:space="preserve"> now dispel</w:t>
      </w:r>
      <w:r w:rsidR="00062DB8" w:rsidRPr="003D283D">
        <w:rPr>
          <w:rFonts w:ascii="Century Schoolbook" w:hAnsi="Century Schoolbook" w:cs="Times New Roman"/>
          <w:sz w:val="27"/>
          <w:szCs w:val="26"/>
        </w:rPr>
        <w:t xml:space="preserve"> </w:t>
      </w:r>
      <w:r w:rsidR="00E8738C" w:rsidRPr="003D283D">
        <w:rPr>
          <w:rFonts w:ascii="Century Schoolbook" w:hAnsi="Century Schoolbook" w:cs="Times New Roman"/>
          <w:sz w:val="27"/>
          <w:szCs w:val="26"/>
        </w:rPr>
        <w:t xml:space="preserve">this uncertainty over the proper manner of appellate review by </w:t>
      </w:r>
      <w:r w:rsidR="00273FF9" w:rsidRPr="003D283D">
        <w:rPr>
          <w:rFonts w:ascii="Century Schoolbook" w:hAnsi="Century Schoolbook" w:cs="Times New Roman"/>
          <w:sz w:val="27"/>
          <w:szCs w:val="26"/>
        </w:rPr>
        <w:t>clarifying</w:t>
      </w:r>
      <w:r w:rsidR="00A263E1" w:rsidRPr="003D283D">
        <w:rPr>
          <w:rFonts w:ascii="Century Schoolbook" w:hAnsi="Century Schoolbook" w:cs="Times New Roman"/>
          <w:sz w:val="27"/>
          <w:szCs w:val="26"/>
        </w:rPr>
        <w:t xml:space="preserve"> that </w:t>
      </w:r>
      <w:r w:rsidR="00273FF9" w:rsidRPr="003D283D">
        <w:rPr>
          <w:rFonts w:ascii="Century Schoolbook" w:hAnsi="Century Schoolbook" w:cs="Times New Roman"/>
          <w:sz w:val="27"/>
          <w:szCs w:val="26"/>
        </w:rPr>
        <w:t xml:space="preserve">an appellate court evaluating the sufficiency of the evidence in support of a finding must make an appropriate adjustment to its analysis </w:t>
      </w:r>
      <w:r w:rsidR="00A263E1" w:rsidRPr="003D283D">
        <w:rPr>
          <w:rFonts w:ascii="Century Schoolbook" w:hAnsi="Century Schoolbook" w:cs="Times New Roman"/>
          <w:sz w:val="27"/>
          <w:szCs w:val="26"/>
        </w:rPr>
        <w:t>when the clear and convincing standard of proof applie</w:t>
      </w:r>
      <w:r w:rsidR="00742D0A" w:rsidRPr="003D283D">
        <w:rPr>
          <w:rFonts w:ascii="Century Schoolbook" w:hAnsi="Century Schoolbook" w:cs="Times New Roman"/>
          <w:sz w:val="27"/>
          <w:szCs w:val="26"/>
        </w:rPr>
        <w:t>d</w:t>
      </w:r>
      <w:r w:rsidR="00A263E1" w:rsidRPr="003D283D">
        <w:rPr>
          <w:rFonts w:ascii="Century Schoolbook" w:hAnsi="Century Schoolbook" w:cs="Times New Roman"/>
          <w:sz w:val="27"/>
          <w:szCs w:val="26"/>
        </w:rPr>
        <w:t xml:space="preserve"> </w:t>
      </w:r>
      <w:r w:rsidR="00742D0A" w:rsidRPr="003D283D">
        <w:rPr>
          <w:rFonts w:ascii="Century Schoolbook" w:hAnsi="Century Schoolbook" w:cs="Times New Roman"/>
          <w:sz w:val="27"/>
          <w:szCs w:val="26"/>
        </w:rPr>
        <w:t>before the trial court</w:t>
      </w:r>
      <w:r w:rsidR="00A263E1" w:rsidRPr="003D283D">
        <w:rPr>
          <w:rFonts w:ascii="Century Schoolbook" w:hAnsi="Century Schoolbook" w:cs="Times New Roman"/>
          <w:sz w:val="27"/>
          <w:szCs w:val="26"/>
        </w:rPr>
        <w:t xml:space="preserve">.  </w:t>
      </w:r>
      <w:r w:rsidR="00493269" w:rsidRPr="003D283D">
        <w:rPr>
          <w:rFonts w:ascii="Century Schoolbook" w:hAnsi="Century Schoolbook" w:cs="Times New Roman"/>
          <w:sz w:val="27"/>
          <w:szCs w:val="26"/>
        </w:rPr>
        <w:t>In general, w</w:t>
      </w:r>
      <w:r w:rsidR="006C6E4E" w:rsidRPr="003D283D">
        <w:rPr>
          <w:rFonts w:ascii="Century Schoolbook" w:hAnsi="Century Schoolbook" w:cs="Times New Roman"/>
          <w:sz w:val="27"/>
          <w:szCs w:val="26"/>
        </w:rPr>
        <w:t xml:space="preserve">hen </w:t>
      </w:r>
      <w:r w:rsidR="00273FF9" w:rsidRPr="003D283D">
        <w:rPr>
          <w:rFonts w:ascii="Century Schoolbook" w:hAnsi="Century Schoolbook" w:cs="Times New Roman"/>
          <w:sz w:val="27"/>
          <w:szCs w:val="26"/>
        </w:rPr>
        <w:t>presented with a challenge to the sufficiency of the evidence associated with</w:t>
      </w:r>
      <w:r w:rsidR="000C6E69" w:rsidRPr="003D283D">
        <w:rPr>
          <w:rFonts w:ascii="Century Schoolbook" w:hAnsi="Century Schoolbook" w:cs="Times New Roman"/>
          <w:sz w:val="27"/>
          <w:szCs w:val="26"/>
        </w:rPr>
        <w:t xml:space="preserve"> </w:t>
      </w:r>
      <w:r w:rsidR="006C6E4E" w:rsidRPr="003D283D">
        <w:rPr>
          <w:rFonts w:ascii="Century Schoolbook" w:hAnsi="Century Schoolbook" w:cs="Times New Roman"/>
          <w:sz w:val="27"/>
          <w:szCs w:val="26"/>
        </w:rPr>
        <w:t>a</w:t>
      </w:r>
      <w:r w:rsidR="00D21106" w:rsidRPr="003D283D">
        <w:rPr>
          <w:rFonts w:ascii="Century Schoolbook" w:hAnsi="Century Schoolbook" w:cs="Times New Roman"/>
          <w:sz w:val="27"/>
          <w:szCs w:val="26"/>
        </w:rPr>
        <w:t xml:space="preserve"> </w:t>
      </w:r>
      <w:r w:rsidR="006C6E4E" w:rsidRPr="003D283D">
        <w:rPr>
          <w:rFonts w:ascii="Century Schoolbook" w:hAnsi="Century Schoolbook" w:cs="Times New Roman"/>
          <w:sz w:val="27"/>
          <w:szCs w:val="26"/>
        </w:rPr>
        <w:t xml:space="preserve">finding </w:t>
      </w:r>
      <w:r w:rsidR="00273FF9" w:rsidRPr="003D283D">
        <w:rPr>
          <w:rFonts w:ascii="Century Schoolbook" w:hAnsi="Century Schoolbook" w:cs="Times New Roman"/>
          <w:sz w:val="27"/>
          <w:szCs w:val="26"/>
        </w:rPr>
        <w:t>requiring</w:t>
      </w:r>
      <w:r w:rsidR="006C6E4E" w:rsidRPr="003D283D">
        <w:rPr>
          <w:rFonts w:ascii="Century Schoolbook" w:hAnsi="Century Schoolbook" w:cs="Times New Roman"/>
          <w:sz w:val="27"/>
          <w:szCs w:val="26"/>
        </w:rPr>
        <w:t xml:space="preserve"> clear and convincing </w:t>
      </w:r>
      <w:r w:rsidR="00DD0308" w:rsidRPr="003D283D">
        <w:rPr>
          <w:rFonts w:ascii="Century Schoolbook" w:hAnsi="Century Schoolbook" w:cs="Times New Roman"/>
          <w:sz w:val="27"/>
          <w:szCs w:val="26"/>
        </w:rPr>
        <w:t>evidence</w:t>
      </w:r>
      <w:r w:rsidR="006C6E4E" w:rsidRPr="003D283D">
        <w:rPr>
          <w:rFonts w:ascii="Century Schoolbook" w:hAnsi="Century Schoolbook" w:cs="Times New Roman"/>
          <w:sz w:val="27"/>
          <w:szCs w:val="26"/>
        </w:rPr>
        <w:t xml:space="preserve">, </w:t>
      </w:r>
      <w:r w:rsidR="000C6E69" w:rsidRPr="003D283D">
        <w:rPr>
          <w:rFonts w:ascii="Century Schoolbook" w:hAnsi="Century Schoolbook" w:cs="Times New Roman"/>
          <w:sz w:val="27"/>
          <w:szCs w:val="26"/>
        </w:rPr>
        <w:t>the court</w:t>
      </w:r>
      <w:r w:rsidR="00062DB8" w:rsidRPr="003D283D">
        <w:rPr>
          <w:rFonts w:ascii="Century Schoolbook" w:hAnsi="Century Schoolbook" w:cs="Times New Roman"/>
          <w:sz w:val="27"/>
          <w:szCs w:val="26"/>
        </w:rPr>
        <w:t xml:space="preserve"> must</w:t>
      </w:r>
      <w:r w:rsidR="006D31E1" w:rsidRPr="003D283D">
        <w:rPr>
          <w:rFonts w:ascii="Century Schoolbook" w:hAnsi="Century Schoolbook" w:cs="Times New Roman"/>
          <w:sz w:val="27"/>
          <w:szCs w:val="26"/>
        </w:rPr>
        <w:t xml:space="preserve"> determine whether </w:t>
      </w:r>
      <w:r w:rsidR="004436CD" w:rsidRPr="003D283D">
        <w:rPr>
          <w:rFonts w:ascii="Century Schoolbook" w:hAnsi="Century Schoolbook" w:cs="Times New Roman"/>
          <w:sz w:val="27"/>
          <w:szCs w:val="26"/>
        </w:rPr>
        <w:t>the record, viewed as a whole,</w:t>
      </w:r>
      <w:r w:rsidR="008F6A52" w:rsidRPr="003D283D">
        <w:rPr>
          <w:rFonts w:ascii="Century Schoolbook" w:hAnsi="Century Schoolbook" w:cs="Times New Roman"/>
          <w:sz w:val="27"/>
          <w:szCs w:val="26"/>
        </w:rPr>
        <w:t xml:space="preserve"> contains substantial evidence from which </w:t>
      </w:r>
      <w:r w:rsidR="00A05747" w:rsidRPr="003D283D">
        <w:rPr>
          <w:rFonts w:ascii="Century Schoolbook" w:hAnsi="Century Schoolbook" w:cs="Times New Roman"/>
          <w:sz w:val="27"/>
          <w:szCs w:val="26"/>
        </w:rPr>
        <w:t xml:space="preserve">a </w:t>
      </w:r>
      <w:r w:rsidR="002472C3" w:rsidRPr="003D283D">
        <w:rPr>
          <w:rFonts w:ascii="Century Schoolbook" w:hAnsi="Century Schoolbook" w:cs="Times New Roman"/>
          <w:sz w:val="27"/>
          <w:szCs w:val="26"/>
        </w:rPr>
        <w:t>reasonable</w:t>
      </w:r>
      <w:r w:rsidR="006D31E1" w:rsidRPr="003D283D">
        <w:rPr>
          <w:rFonts w:ascii="Century Schoolbook" w:hAnsi="Century Schoolbook" w:cs="Times New Roman"/>
          <w:sz w:val="27"/>
          <w:szCs w:val="26"/>
        </w:rPr>
        <w:t xml:space="preserve"> trier of fact could </w:t>
      </w:r>
      <w:r w:rsidR="009C7C74" w:rsidRPr="003D283D">
        <w:rPr>
          <w:rFonts w:ascii="Century Schoolbook" w:hAnsi="Century Schoolbook" w:cs="Times New Roman"/>
          <w:sz w:val="27"/>
          <w:szCs w:val="26"/>
        </w:rPr>
        <w:t>have made</w:t>
      </w:r>
      <w:r w:rsidR="003670B1" w:rsidRPr="003D283D">
        <w:rPr>
          <w:rFonts w:ascii="Century Schoolbook" w:hAnsi="Century Schoolbook" w:cs="Times New Roman"/>
          <w:sz w:val="27"/>
          <w:szCs w:val="26"/>
        </w:rPr>
        <w:t xml:space="preserve"> the finding </w:t>
      </w:r>
      <w:r w:rsidR="00742D0A" w:rsidRPr="003D283D">
        <w:rPr>
          <w:rFonts w:ascii="Century Schoolbook" w:hAnsi="Century Schoolbook" w:cs="Times New Roman"/>
          <w:sz w:val="27"/>
          <w:szCs w:val="26"/>
        </w:rPr>
        <w:t>of high probability</w:t>
      </w:r>
      <w:r w:rsidR="003670B1" w:rsidRPr="003D283D">
        <w:rPr>
          <w:rFonts w:ascii="Century Schoolbook" w:hAnsi="Century Schoolbook" w:cs="Times New Roman"/>
          <w:sz w:val="27"/>
          <w:szCs w:val="26"/>
        </w:rPr>
        <w:t xml:space="preserve"> </w:t>
      </w:r>
      <w:r w:rsidR="00273FF9" w:rsidRPr="003D283D">
        <w:rPr>
          <w:rFonts w:ascii="Century Schoolbook" w:hAnsi="Century Schoolbook" w:cs="Times New Roman"/>
          <w:sz w:val="27"/>
          <w:szCs w:val="26"/>
        </w:rPr>
        <w:t>demanded</w:t>
      </w:r>
      <w:r w:rsidR="003670B1" w:rsidRPr="003D283D">
        <w:rPr>
          <w:rFonts w:ascii="Century Schoolbook" w:hAnsi="Century Schoolbook" w:cs="Times New Roman"/>
          <w:sz w:val="27"/>
          <w:szCs w:val="26"/>
        </w:rPr>
        <w:t xml:space="preserve"> by th</w:t>
      </w:r>
      <w:r w:rsidR="00273FF9" w:rsidRPr="003D283D">
        <w:rPr>
          <w:rFonts w:ascii="Century Schoolbook" w:hAnsi="Century Schoolbook" w:cs="Times New Roman"/>
          <w:sz w:val="27"/>
          <w:szCs w:val="26"/>
        </w:rPr>
        <w:t xml:space="preserve">is </w:t>
      </w:r>
      <w:r w:rsidR="003670B1" w:rsidRPr="003D283D">
        <w:rPr>
          <w:rFonts w:ascii="Century Schoolbook" w:hAnsi="Century Schoolbook" w:cs="Times New Roman"/>
          <w:sz w:val="27"/>
          <w:szCs w:val="26"/>
        </w:rPr>
        <w:t>standard</w:t>
      </w:r>
      <w:r w:rsidR="00273FF9" w:rsidRPr="003D283D">
        <w:rPr>
          <w:rFonts w:ascii="Century Schoolbook" w:hAnsi="Century Schoolbook" w:cs="Times New Roman"/>
          <w:sz w:val="27"/>
          <w:szCs w:val="26"/>
        </w:rPr>
        <w:t xml:space="preserve"> of proof</w:t>
      </w:r>
      <w:r w:rsidR="006C6E4E" w:rsidRPr="003D283D">
        <w:rPr>
          <w:rFonts w:ascii="Century Schoolbook" w:hAnsi="Century Schoolbook" w:cs="Times New Roman"/>
          <w:sz w:val="27"/>
          <w:szCs w:val="26"/>
        </w:rPr>
        <w:t>.</w:t>
      </w:r>
      <w:r w:rsidR="007435F2" w:rsidRPr="003D283D">
        <w:rPr>
          <w:rStyle w:val="FootnoteReference"/>
          <w:bCs/>
          <w:szCs w:val="20"/>
        </w:rPr>
        <w:footnoteReference w:id="7"/>
      </w:r>
      <w:r w:rsidR="006C6E4E" w:rsidRPr="003D283D">
        <w:rPr>
          <w:rFonts w:ascii="Century Schoolbook" w:hAnsi="Century Schoolbook" w:cs="Times New Roman"/>
          <w:sz w:val="27"/>
          <w:szCs w:val="26"/>
        </w:rPr>
        <w:t xml:space="preserve">  </w:t>
      </w:r>
    </w:p>
    <w:p w14:paraId="1D650EA7" w14:textId="1A187543" w:rsidR="00062DB8" w:rsidRPr="003D283D" w:rsidRDefault="00062DB8" w:rsidP="00B37786">
      <w:pPr>
        <w:pStyle w:val="NormalWeb"/>
        <w:spacing w:before="0" w:beforeAutospacing="0" w:afterAutospacing="0"/>
        <w:ind w:firstLine="720"/>
        <w:rPr>
          <w:sz w:val="27"/>
          <w:szCs w:val="26"/>
          <w:bdr w:val="none" w:sz="0" w:space="0" w:color="auto" w:frame="1"/>
        </w:rPr>
      </w:pPr>
      <w:r w:rsidRPr="003D283D">
        <w:rPr>
          <w:sz w:val="27"/>
          <w:szCs w:val="26"/>
        </w:rPr>
        <w:t xml:space="preserve">This </w:t>
      </w:r>
      <w:r w:rsidR="00B37786" w:rsidRPr="003D283D">
        <w:rPr>
          <w:sz w:val="27"/>
          <w:szCs w:val="26"/>
        </w:rPr>
        <w:t>rule</w:t>
      </w:r>
      <w:r w:rsidRPr="003D283D">
        <w:rPr>
          <w:sz w:val="27"/>
          <w:szCs w:val="26"/>
        </w:rPr>
        <w:t xml:space="preserve"> </w:t>
      </w:r>
      <w:r w:rsidR="002D47AA" w:rsidRPr="003D283D">
        <w:rPr>
          <w:sz w:val="27"/>
          <w:szCs w:val="26"/>
        </w:rPr>
        <w:t>finds support in</w:t>
      </w:r>
      <w:r w:rsidRPr="003D283D">
        <w:rPr>
          <w:sz w:val="27"/>
          <w:szCs w:val="26"/>
        </w:rPr>
        <w:t xml:space="preserve"> logic, </w:t>
      </w:r>
      <w:r w:rsidR="00824839" w:rsidRPr="003D283D">
        <w:rPr>
          <w:sz w:val="27"/>
          <w:szCs w:val="26"/>
        </w:rPr>
        <w:t xml:space="preserve">in </w:t>
      </w:r>
      <w:r w:rsidR="000C6E69" w:rsidRPr="003D283D">
        <w:rPr>
          <w:sz w:val="27"/>
          <w:szCs w:val="26"/>
        </w:rPr>
        <w:t xml:space="preserve">the </w:t>
      </w:r>
      <w:r w:rsidRPr="003D283D">
        <w:rPr>
          <w:sz w:val="27"/>
          <w:szCs w:val="26"/>
        </w:rPr>
        <w:t>policy</w:t>
      </w:r>
      <w:r w:rsidR="000C6E69" w:rsidRPr="003D283D">
        <w:rPr>
          <w:sz w:val="27"/>
          <w:szCs w:val="26"/>
        </w:rPr>
        <w:t xml:space="preserve"> interests that are often implicated when clear and convincing evidence supplies the standard of proof</w:t>
      </w:r>
      <w:r w:rsidR="00117DD7" w:rsidRPr="003D283D">
        <w:rPr>
          <w:sz w:val="27"/>
          <w:szCs w:val="26"/>
        </w:rPr>
        <w:t xml:space="preserve">, and </w:t>
      </w:r>
      <w:r w:rsidR="00824839" w:rsidRPr="003D283D">
        <w:rPr>
          <w:sz w:val="27"/>
          <w:szCs w:val="26"/>
        </w:rPr>
        <w:t xml:space="preserve">in </w:t>
      </w:r>
      <w:r w:rsidR="00117DD7" w:rsidRPr="003D283D">
        <w:rPr>
          <w:sz w:val="27"/>
          <w:szCs w:val="26"/>
        </w:rPr>
        <w:t>precedent</w:t>
      </w:r>
      <w:r w:rsidRPr="003D283D">
        <w:rPr>
          <w:sz w:val="27"/>
          <w:szCs w:val="26"/>
        </w:rPr>
        <w:t>.  First, “</w:t>
      </w:r>
      <w:r w:rsidR="00622DE5" w:rsidRPr="003D283D">
        <w:rPr>
          <w:sz w:val="27"/>
          <w:szCs w:val="26"/>
        </w:rPr>
        <w:t>[a]</w:t>
      </w:r>
      <w:r w:rsidRPr="003D283D">
        <w:rPr>
          <w:sz w:val="27"/>
          <w:szCs w:val="26"/>
        </w:rPr>
        <w:t>s a matter of logic, a finding that must be based on clear and convincing evidence cannot be viewed on appeal the same as one that may be sustained on a mere preponderance.”</w:t>
      </w:r>
      <w:r w:rsidRPr="003D283D">
        <w:rPr>
          <w:sz w:val="27"/>
          <w:szCs w:val="26"/>
          <w:bdr w:val="none" w:sz="0" w:space="0" w:color="auto" w:frame="1"/>
        </w:rPr>
        <w:t>  (</w:t>
      </w:r>
      <w:r w:rsidRPr="003D283D">
        <w:rPr>
          <w:i/>
          <w:iCs/>
          <w:sz w:val="27"/>
          <w:szCs w:val="26"/>
          <w:bdr w:val="none" w:sz="0" w:space="0" w:color="auto" w:frame="1"/>
        </w:rPr>
        <w:t>In re C.H.</w:t>
      </w:r>
      <w:r w:rsidRPr="003D283D">
        <w:rPr>
          <w:sz w:val="27"/>
          <w:szCs w:val="26"/>
          <w:bdr w:val="none" w:sz="0" w:space="0" w:color="auto" w:frame="1"/>
        </w:rPr>
        <w:t xml:space="preserve"> (Tex. 2002) 89 S.W.3d 17, 25.)  </w:t>
      </w:r>
      <w:r w:rsidR="003670B1" w:rsidRPr="003D283D">
        <w:rPr>
          <w:sz w:val="27"/>
          <w:szCs w:val="26"/>
          <w:bdr w:val="none" w:sz="0" w:space="0" w:color="auto" w:frame="1"/>
        </w:rPr>
        <w:t xml:space="preserve">As we have long </w:t>
      </w:r>
      <w:r w:rsidR="00310546" w:rsidRPr="003D283D">
        <w:rPr>
          <w:sz w:val="27"/>
          <w:szCs w:val="27"/>
          <w:bdr w:val="none" w:sz="0" w:space="0" w:color="auto" w:frame="1"/>
        </w:rPr>
        <w:t>acknowledg</w:t>
      </w:r>
      <w:r w:rsidR="003670B1" w:rsidRPr="003D283D">
        <w:rPr>
          <w:sz w:val="27"/>
          <w:szCs w:val="27"/>
          <w:bdr w:val="none" w:sz="0" w:space="0" w:color="auto" w:frame="1"/>
        </w:rPr>
        <w:t xml:space="preserve">ed (see, e.g., </w:t>
      </w:r>
      <w:r w:rsidR="003670B1" w:rsidRPr="003D283D">
        <w:rPr>
          <w:i/>
          <w:iCs/>
          <w:sz w:val="27"/>
          <w:szCs w:val="27"/>
        </w:rPr>
        <w:t>Sheehan</w:t>
      </w:r>
      <w:r w:rsidR="003670B1" w:rsidRPr="003D283D">
        <w:rPr>
          <w:iCs/>
          <w:sz w:val="27"/>
          <w:szCs w:val="27"/>
        </w:rPr>
        <w:t xml:space="preserve">, </w:t>
      </w:r>
      <w:r w:rsidR="003670B1" w:rsidRPr="003D283D">
        <w:rPr>
          <w:i/>
          <w:iCs/>
          <w:sz w:val="27"/>
          <w:szCs w:val="27"/>
        </w:rPr>
        <w:t>supra</w:t>
      </w:r>
      <w:r w:rsidR="003670B1" w:rsidRPr="003D283D">
        <w:rPr>
          <w:iCs/>
          <w:sz w:val="27"/>
          <w:szCs w:val="27"/>
        </w:rPr>
        <w:t xml:space="preserve">, </w:t>
      </w:r>
      <w:r w:rsidR="003670B1" w:rsidRPr="003D283D">
        <w:rPr>
          <w:sz w:val="27"/>
          <w:szCs w:val="27"/>
        </w:rPr>
        <w:t>126 Cal. at p. 193)</w:t>
      </w:r>
      <w:r w:rsidR="003670B1" w:rsidRPr="003D283D">
        <w:rPr>
          <w:sz w:val="27"/>
          <w:szCs w:val="27"/>
          <w:bdr w:val="none" w:sz="0" w:space="0" w:color="auto" w:frame="1"/>
        </w:rPr>
        <w:t>, t</w:t>
      </w:r>
      <w:r w:rsidRPr="003D283D">
        <w:rPr>
          <w:sz w:val="27"/>
          <w:szCs w:val="27"/>
          <w:bdr w:val="none" w:sz="0" w:space="0" w:color="auto" w:frame="1"/>
        </w:rPr>
        <w:t>he clear and convincing standard of proof</w:t>
      </w:r>
      <w:r w:rsidR="007371DF" w:rsidRPr="003D283D">
        <w:rPr>
          <w:sz w:val="27"/>
          <w:szCs w:val="27"/>
          <w:bdr w:val="none" w:sz="0" w:space="0" w:color="auto" w:frame="1"/>
        </w:rPr>
        <w:t xml:space="preserve"> normally</w:t>
      </w:r>
      <w:r w:rsidRPr="003D283D">
        <w:rPr>
          <w:sz w:val="27"/>
          <w:szCs w:val="27"/>
          <w:bdr w:val="none" w:sz="0" w:space="0" w:color="auto" w:frame="1"/>
        </w:rPr>
        <w:t xml:space="preserve"> applies </w:t>
      </w:r>
      <w:r w:rsidR="007371DF" w:rsidRPr="003D283D">
        <w:rPr>
          <w:sz w:val="27"/>
          <w:szCs w:val="27"/>
          <w:bdr w:val="none" w:sz="0" w:space="0" w:color="auto" w:frame="1"/>
        </w:rPr>
        <w:t>direct</w:t>
      </w:r>
      <w:r w:rsidR="00FD6C07" w:rsidRPr="003D283D">
        <w:rPr>
          <w:sz w:val="27"/>
          <w:szCs w:val="27"/>
          <w:bdr w:val="none" w:sz="0" w:space="0" w:color="auto" w:frame="1"/>
        </w:rPr>
        <w:t>ly</w:t>
      </w:r>
      <w:r w:rsidR="007371DF" w:rsidRPr="003D283D">
        <w:rPr>
          <w:sz w:val="27"/>
          <w:szCs w:val="27"/>
          <w:bdr w:val="none" w:sz="0" w:space="0" w:color="auto" w:frame="1"/>
        </w:rPr>
        <w:t xml:space="preserve"> only </w:t>
      </w:r>
      <w:r w:rsidRPr="003D283D">
        <w:rPr>
          <w:sz w:val="27"/>
          <w:szCs w:val="27"/>
          <w:bdr w:val="none" w:sz="0" w:space="0" w:color="auto" w:frame="1"/>
        </w:rPr>
        <w:t>before</w:t>
      </w:r>
      <w:r w:rsidRPr="003D283D">
        <w:rPr>
          <w:sz w:val="27"/>
          <w:szCs w:val="26"/>
          <w:bdr w:val="none" w:sz="0" w:space="0" w:color="auto" w:frame="1"/>
        </w:rPr>
        <w:t xml:space="preserve"> the trial court; appellate </w:t>
      </w:r>
      <w:r w:rsidR="000C6E69" w:rsidRPr="003D283D">
        <w:rPr>
          <w:sz w:val="27"/>
          <w:szCs w:val="26"/>
          <w:bdr w:val="none" w:sz="0" w:space="0" w:color="auto" w:frame="1"/>
        </w:rPr>
        <w:t>courts</w:t>
      </w:r>
      <w:r w:rsidR="00D03E8C" w:rsidRPr="003D283D">
        <w:rPr>
          <w:sz w:val="27"/>
          <w:szCs w:val="26"/>
          <w:bdr w:val="none" w:sz="0" w:space="0" w:color="auto" w:frame="1"/>
        </w:rPr>
        <w:t xml:space="preserve"> </w:t>
      </w:r>
      <w:r w:rsidR="001D3637" w:rsidRPr="003D283D">
        <w:rPr>
          <w:sz w:val="27"/>
          <w:szCs w:val="26"/>
          <w:bdr w:val="none" w:sz="0" w:space="0" w:color="auto" w:frame="1"/>
        </w:rPr>
        <w:t xml:space="preserve">normally </w:t>
      </w:r>
      <w:r w:rsidRPr="003D283D">
        <w:rPr>
          <w:sz w:val="27"/>
          <w:szCs w:val="26"/>
          <w:bdr w:val="none" w:sz="0" w:space="0" w:color="auto" w:frame="1"/>
        </w:rPr>
        <w:t xml:space="preserve">do not decide </w:t>
      </w:r>
      <w:r w:rsidRPr="003D283D">
        <w:rPr>
          <w:sz w:val="27"/>
          <w:szCs w:val="26"/>
          <w:bdr w:val="none" w:sz="0" w:space="0" w:color="auto" w:frame="1"/>
        </w:rPr>
        <w:lastRenderedPageBreak/>
        <w:t xml:space="preserve">whether they </w:t>
      </w:r>
      <w:r w:rsidR="00824839" w:rsidRPr="003D283D">
        <w:rPr>
          <w:sz w:val="27"/>
          <w:szCs w:val="26"/>
          <w:bdr w:val="none" w:sz="0" w:space="0" w:color="auto" w:frame="1"/>
        </w:rPr>
        <w:t xml:space="preserve">themselves </w:t>
      </w:r>
      <w:r w:rsidRPr="003D283D">
        <w:rPr>
          <w:sz w:val="27"/>
          <w:szCs w:val="26"/>
          <w:bdr w:val="none" w:sz="0" w:space="0" w:color="auto" w:frame="1"/>
        </w:rPr>
        <w:t xml:space="preserve">believe the evidence </w:t>
      </w:r>
      <w:r w:rsidR="00F64E19" w:rsidRPr="003D283D">
        <w:rPr>
          <w:sz w:val="27"/>
          <w:szCs w:val="26"/>
          <w:bdr w:val="none" w:sz="0" w:space="0" w:color="auto" w:frame="1"/>
        </w:rPr>
        <w:t>was so probative</w:t>
      </w:r>
      <w:r w:rsidRPr="003D283D">
        <w:rPr>
          <w:sz w:val="27"/>
          <w:szCs w:val="26"/>
          <w:bdr w:val="none" w:sz="0" w:space="0" w:color="auto" w:frame="1"/>
        </w:rPr>
        <w:t>.</w:t>
      </w:r>
      <w:r w:rsidRPr="003D283D">
        <w:rPr>
          <w:sz w:val="27"/>
          <w:szCs w:val="20"/>
          <w:bdr w:val="none" w:sz="0" w:space="0" w:color="auto" w:frame="1"/>
        </w:rPr>
        <w:t xml:space="preserve"> </w:t>
      </w:r>
      <w:r w:rsidRPr="003D283D">
        <w:rPr>
          <w:sz w:val="27"/>
          <w:szCs w:val="26"/>
          <w:bdr w:val="none" w:sz="0" w:space="0" w:color="auto" w:frame="1"/>
        </w:rPr>
        <w:t xml:space="preserve"> And the </w:t>
      </w:r>
      <w:r w:rsidRPr="003D283D">
        <w:rPr>
          <w:iCs/>
          <w:sz w:val="27"/>
          <w:szCs w:val="26"/>
          <w:bdr w:val="none" w:sz="0" w:space="0" w:color="auto" w:frame="1"/>
        </w:rPr>
        <w:t>fundamental</w:t>
      </w:r>
      <w:r w:rsidRPr="003D283D">
        <w:rPr>
          <w:sz w:val="27"/>
          <w:szCs w:val="26"/>
          <w:bdr w:val="none" w:sz="0" w:space="0" w:color="auto" w:frame="1"/>
        </w:rPr>
        <w:t xml:space="preserve"> question before </w:t>
      </w:r>
      <w:r w:rsidR="00493B3C" w:rsidRPr="003D283D">
        <w:rPr>
          <w:sz w:val="27"/>
          <w:szCs w:val="26"/>
          <w:bdr w:val="none" w:sz="0" w:space="0" w:color="auto" w:frame="1"/>
        </w:rPr>
        <w:t>an</w:t>
      </w:r>
      <w:r w:rsidRPr="003D283D">
        <w:rPr>
          <w:sz w:val="27"/>
          <w:szCs w:val="26"/>
          <w:bdr w:val="none" w:sz="0" w:space="0" w:color="auto" w:frame="1"/>
        </w:rPr>
        <w:t xml:space="preserve"> appellate court</w:t>
      </w:r>
      <w:r w:rsidR="00493B3C" w:rsidRPr="003D283D">
        <w:rPr>
          <w:sz w:val="27"/>
          <w:szCs w:val="26"/>
          <w:bdr w:val="none" w:sz="0" w:space="0" w:color="auto" w:frame="1"/>
        </w:rPr>
        <w:t xml:space="preserve"> reviewing for sufficiency of the evidence</w:t>
      </w:r>
      <w:r w:rsidRPr="003D283D">
        <w:rPr>
          <w:sz w:val="27"/>
          <w:szCs w:val="26"/>
          <w:bdr w:val="none" w:sz="0" w:space="0" w:color="auto" w:frame="1"/>
        </w:rPr>
        <w:t xml:space="preserve"> is the same</w:t>
      </w:r>
      <w:r w:rsidR="00493B3C" w:rsidRPr="003D283D">
        <w:rPr>
          <w:sz w:val="27"/>
          <w:szCs w:val="26"/>
          <w:bdr w:val="none" w:sz="0" w:space="0" w:color="auto" w:frame="1"/>
        </w:rPr>
        <w:t>,</w:t>
      </w:r>
      <w:r w:rsidRPr="003D283D">
        <w:rPr>
          <w:sz w:val="27"/>
          <w:szCs w:val="26"/>
          <w:bdr w:val="none" w:sz="0" w:space="0" w:color="auto" w:frame="1"/>
        </w:rPr>
        <w:t xml:space="preserve"> regardless of </w:t>
      </w:r>
      <w:r w:rsidR="00D21106" w:rsidRPr="003D283D">
        <w:rPr>
          <w:sz w:val="27"/>
          <w:szCs w:val="26"/>
          <w:bdr w:val="none" w:sz="0" w:space="0" w:color="auto" w:frame="1"/>
        </w:rPr>
        <w:t>the</w:t>
      </w:r>
      <w:r w:rsidRPr="003D283D">
        <w:rPr>
          <w:sz w:val="27"/>
          <w:szCs w:val="26"/>
          <w:bdr w:val="none" w:sz="0" w:space="0" w:color="auto" w:frame="1"/>
        </w:rPr>
        <w:t xml:space="preserve"> standard </w:t>
      </w:r>
      <w:r w:rsidR="00D21106" w:rsidRPr="003D283D">
        <w:rPr>
          <w:sz w:val="27"/>
          <w:szCs w:val="26"/>
          <w:bdr w:val="none" w:sz="0" w:space="0" w:color="auto" w:frame="1"/>
        </w:rPr>
        <w:t xml:space="preserve">of proof that </w:t>
      </w:r>
      <w:r w:rsidRPr="003D283D">
        <w:rPr>
          <w:sz w:val="27"/>
          <w:szCs w:val="26"/>
          <w:bdr w:val="none" w:sz="0" w:space="0" w:color="auto" w:frame="1"/>
        </w:rPr>
        <w:t>applied below:  whether a</w:t>
      </w:r>
      <w:r w:rsidR="00B37786" w:rsidRPr="003D283D">
        <w:rPr>
          <w:sz w:val="27"/>
          <w:szCs w:val="26"/>
          <w:bdr w:val="none" w:sz="0" w:space="0" w:color="auto" w:frame="1"/>
        </w:rPr>
        <w:t>ny</w:t>
      </w:r>
      <w:r w:rsidRPr="003D283D">
        <w:rPr>
          <w:sz w:val="27"/>
          <w:szCs w:val="26"/>
          <w:bdr w:val="none" w:sz="0" w:space="0" w:color="auto" w:frame="1"/>
        </w:rPr>
        <w:t xml:space="preserve"> </w:t>
      </w:r>
      <w:r w:rsidR="002472C3" w:rsidRPr="003D283D">
        <w:rPr>
          <w:sz w:val="27"/>
          <w:szCs w:val="26"/>
          <w:bdr w:val="none" w:sz="0" w:space="0" w:color="auto" w:frame="1"/>
        </w:rPr>
        <w:t>reasonable</w:t>
      </w:r>
      <w:r w:rsidRPr="003D283D">
        <w:rPr>
          <w:sz w:val="27"/>
          <w:szCs w:val="26"/>
          <w:bdr w:val="none" w:sz="0" w:space="0" w:color="auto" w:frame="1"/>
        </w:rPr>
        <w:t xml:space="preserve"> trier of fact could have made the </w:t>
      </w:r>
      <w:r w:rsidR="000C6E69" w:rsidRPr="003D283D">
        <w:rPr>
          <w:sz w:val="27"/>
          <w:szCs w:val="26"/>
          <w:bdr w:val="none" w:sz="0" w:space="0" w:color="auto" w:frame="1"/>
        </w:rPr>
        <w:t>finding</w:t>
      </w:r>
      <w:r w:rsidRPr="003D283D">
        <w:rPr>
          <w:sz w:val="27"/>
          <w:szCs w:val="26"/>
          <w:bdr w:val="none" w:sz="0" w:space="0" w:color="auto" w:frame="1"/>
        </w:rPr>
        <w:t xml:space="preserve"> that is now </w:t>
      </w:r>
      <w:r w:rsidR="00493B3C" w:rsidRPr="003D283D">
        <w:rPr>
          <w:sz w:val="27"/>
          <w:szCs w:val="26"/>
          <w:bdr w:val="none" w:sz="0" w:space="0" w:color="auto" w:frame="1"/>
        </w:rPr>
        <w:t>challenged</w:t>
      </w:r>
      <w:r w:rsidRPr="003D283D">
        <w:rPr>
          <w:sz w:val="27"/>
          <w:szCs w:val="26"/>
          <w:bdr w:val="none" w:sz="0" w:space="0" w:color="auto" w:frame="1"/>
        </w:rPr>
        <w:t xml:space="preserve"> on appeal.  But</w:t>
      </w:r>
      <w:r w:rsidR="00D21106" w:rsidRPr="003D283D">
        <w:rPr>
          <w:sz w:val="27"/>
          <w:szCs w:val="26"/>
          <w:bdr w:val="none" w:sz="0" w:space="0" w:color="auto" w:frame="1"/>
        </w:rPr>
        <w:t xml:space="preserve"> the issue before </w:t>
      </w:r>
      <w:r w:rsidR="000C6E69" w:rsidRPr="003D283D">
        <w:rPr>
          <w:sz w:val="27"/>
          <w:szCs w:val="26"/>
          <w:bdr w:val="none" w:sz="0" w:space="0" w:color="auto" w:frame="1"/>
        </w:rPr>
        <w:t>a reviewing</w:t>
      </w:r>
      <w:r w:rsidR="00D21106" w:rsidRPr="003D283D">
        <w:rPr>
          <w:sz w:val="27"/>
          <w:szCs w:val="26"/>
          <w:bdr w:val="none" w:sz="0" w:space="0" w:color="auto" w:frame="1"/>
        </w:rPr>
        <w:t xml:space="preserve"> court in </w:t>
      </w:r>
      <w:r w:rsidR="000C6E69" w:rsidRPr="003D283D">
        <w:rPr>
          <w:sz w:val="27"/>
          <w:szCs w:val="26"/>
          <w:bdr w:val="none" w:sz="0" w:space="0" w:color="auto" w:frame="1"/>
        </w:rPr>
        <w:t>a</w:t>
      </w:r>
      <w:r w:rsidR="00D21106" w:rsidRPr="003D283D">
        <w:rPr>
          <w:sz w:val="27"/>
          <w:szCs w:val="26"/>
          <w:bdr w:val="none" w:sz="0" w:space="0" w:color="auto" w:frame="1"/>
        </w:rPr>
        <w:t xml:space="preserve"> </w:t>
      </w:r>
      <w:r w:rsidR="000C6E69" w:rsidRPr="003D283D">
        <w:rPr>
          <w:sz w:val="27"/>
          <w:szCs w:val="26"/>
          <w:bdr w:val="none" w:sz="0" w:space="0" w:color="auto" w:frame="1"/>
        </w:rPr>
        <w:t>given case</w:t>
      </w:r>
      <w:r w:rsidR="00D21106" w:rsidRPr="003D283D">
        <w:rPr>
          <w:sz w:val="27"/>
          <w:szCs w:val="26"/>
          <w:bdr w:val="none" w:sz="0" w:space="0" w:color="auto" w:frame="1"/>
        </w:rPr>
        <w:t xml:space="preserve"> is whether the trier of fact could have made the finding it </w:t>
      </w:r>
      <w:r w:rsidR="00D21106" w:rsidRPr="003D283D">
        <w:rPr>
          <w:i/>
          <w:sz w:val="27"/>
          <w:szCs w:val="26"/>
          <w:bdr w:val="none" w:sz="0" w:space="0" w:color="auto" w:frame="1"/>
        </w:rPr>
        <w:t>did</w:t>
      </w:r>
      <w:r w:rsidR="00D21106" w:rsidRPr="003D283D">
        <w:rPr>
          <w:sz w:val="27"/>
          <w:szCs w:val="26"/>
          <w:bdr w:val="none" w:sz="0" w:space="0" w:color="auto" w:frame="1"/>
        </w:rPr>
        <w:t xml:space="preserve"> arrive upon, rather than a hypothetical finding involving a </w:t>
      </w:r>
      <w:r w:rsidR="000C6E69" w:rsidRPr="003D283D">
        <w:rPr>
          <w:sz w:val="27"/>
          <w:szCs w:val="26"/>
          <w:bdr w:val="none" w:sz="0" w:space="0" w:color="auto" w:frame="1"/>
        </w:rPr>
        <w:t xml:space="preserve">different </w:t>
      </w:r>
      <w:r w:rsidR="00D21106" w:rsidRPr="003D283D">
        <w:rPr>
          <w:sz w:val="27"/>
          <w:szCs w:val="26"/>
          <w:bdr w:val="none" w:sz="0" w:space="0" w:color="auto" w:frame="1"/>
        </w:rPr>
        <w:t xml:space="preserve">standard of proof.  Therefore, when </w:t>
      </w:r>
      <w:r w:rsidR="00B07892" w:rsidRPr="003D283D">
        <w:rPr>
          <w:sz w:val="27"/>
          <w:szCs w:val="26"/>
          <w:bdr w:val="none" w:sz="0" w:space="0" w:color="auto" w:frame="1"/>
        </w:rPr>
        <w:t xml:space="preserve">reviewing a finding </w:t>
      </w:r>
      <w:r w:rsidR="009F5F6F" w:rsidRPr="003D283D">
        <w:rPr>
          <w:sz w:val="27"/>
          <w:szCs w:val="26"/>
          <w:bdr w:val="none" w:sz="0" w:space="0" w:color="auto" w:frame="1"/>
        </w:rPr>
        <w:t>that demands</w:t>
      </w:r>
      <w:r w:rsidR="00F64E19" w:rsidRPr="003D283D">
        <w:rPr>
          <w:sz w:val="27"/>
          <w:szCs w:val="26"/>
          <w:bdr w:val="none" w:sz="0" w:space="0" w:color="auto" w:frame="1"/>
        </w:rPr>
        <w:t xml:space="preserve"> </w:t>
      </w:r>
      <w:r w:rsidR="00E34830" w:rsidRPr="003D283D">
        <w:rPr>
          <w:sz w:val="27"/>
          <w:szCs w:val="26"/>
          <w:bdr w:val="none" w:sz="0" w:space="0" w:color="auto" w:frame="1"/>
        </w:rPr>
        <w:t xml:space="preserve">clear and </w:t>
      </w:r>
      <w:r w:rsidR="00F64E19" w:rsidRPr="003D283D">
        <w:rPr>
          <w:sz w:val="27"/>
          <w:szCs w:val="26"/>
          <w:bdr w:val="none" w:sz="0" w:space="0" w:color="auto" w:frame="1"/>
        </w:rPr>
        <w:t xml:space="preserve">convincing </w:t>
      </w:r>
      <w:r w:rsidR="00B07892" w:rsidRPr="003D283D">
        <w:rPr>
          <w:sz w:val="27"/>
          <w:szCs w:val="26"/>
          <w:bdr w:val="none" w:sz="0" w:space="0" w:color="auto" w:frame="1"/>
        </w:rPr>
        <w:t>evidence</w:t>
      </w:r>
      <w:r w:rsidR="00F64E19" w:rsidRPr="003D283D">
        <w:rPr>
          <w:sz w:val="27"/>
          <w:szCs w:val="26"/>
          <w:bdr w:val="none" w:sz="0" w:space="0" w:color="auto" w:frame="1"/>
        </w:rPr>
        <w:t>,</w:t>
      </w:r>
      <w:r w:rsidR="002D47AA" w:rsidRPr="003D283D">
        <w:rPr>
          <w:sz w:val="27"/>
          <w:szCs w:val="26"/>
          <w:bdr w:val="none" w:sz="0" w:space="0" w:color="auto" w:frame="1"/>
        </w:rPr>
        <w:t xml:space="preserve"> </w:t>
      </w:r>
      <w:r w:rsidR="000C6E69" w:rsidRPr="003D283D">
        <w:rPr>
          <w:sz w:val="27"/>
          <w:szCs w:val="26"/>
          <w:bdr w:val="none" w:sz="0" w:space="0" w:color="auto" w:frame="1"/>
        </w:rPr>
        <w:t>an</w:t>
      </w:r>
      <w:r w:rsidR="002D1157" w:rsidRPr="003D283D">
        <w:rPr>
          <w:sz w:val="27"/>
          <w:szCs w:val="26"/>
          <w:bdr w:val="none" w:sz="0" w:space="0" w:color="auto" w:frame="1"/>
        </w:rPr>
        <w:t xml:space="preserve"> appellate court</w:t>
      </w:r>
      <w:r w:rsidRPr="003D283D">
        <w:rPr>
          <w:sz w:val="27"/>
          <w:szCs w:val="26"/>
          <w:bdr w:val="none" w:sz="0" w:space="0" w:color="auto" w:frame="1"/>
        </w:rPr>
        <w:t xml:space="preserve"> must </w:t>
      </w:r>
      <w:r w:rsidR="00B07892" w:rsidRPr="003D283D">
        <w:rPr>
          <w:sz w:val="27"/>
          <w:szCs w:val="26"/>
          <w:bdr w:val="none" w:sz="0" w:space="0" w:color="auto" w:frame="1"/>
        </w:rPr>
        <w:t>determine</w:t>
      </w:r>
      <w:r w:rsidRPr="003D283D">
        <w:rPr>
          <w:sz w:val="27"/>
          <w:szCs w:val="26"/>
          <w:bdr w:val="none" w:sz="0" w:space="0" w:color="auto" w:frame="1"/>
        </w:rPr>
        <w:t xml:space="preserve"> whether </w:t>
      </w:r>
      <w:r w:rsidR="001E4105" w:rsidRPr="003D283D">
        <w:rPr>
          <w:sz w:val="27"/>
          <w:szCs w:val="26"/>
          <w:bdr w:val="none" w:sz="0" w:space="0" w:color="auto" w:frame="1"/>
        </w:rPr>
        <w:t>the</w:t>
      </w:r>
      <w:r w:rsidRPr="003D283D">
        <w:rPr>
          <w:sz w:val="27"/>
          <w:szCs w:val="26"/>
          <w:bdr w:val="none" w:sz="0" w:space="0" w:color="auto" w:frame="1"/>
        </w:rPr>
        <w:t xml:space="preserve"> </w:t>
      </w:r>
      <w:r w:rsidR="00F20950" w:rsidRPr="003D283D">
        <w:rPr>
          <w:sz w:val="27"/>
          <w:szCs w:val="26"/>
          <w:bdr w:val="none" w:sz="0" w:space="0" w:color="auto" w:frame="1"/>
        </w:rPr>
        <w:t xml:space="preserve">evidence </w:t>
      </w:r>
      <w:proofErr w:type="gramStart"/>
      <w:r w:rsidR="00F64E19" w:rsidRPr="003D283D">
        <w:rPr>
          <w:sz w:val="27"/>
          <w:szCs w:val="26"/>
          <w:bdr w:val="none" w:sz="0" w:space="0" w:color="auto" w:frame="1"/>
        </w:rPr>
        <w:t>reasonably could</w:t>
      </w:r>
      <w:proofErr w:type="gramEnd"/>
      <w:r w:rsidR="00F64E19" w:rsidRPr="003D283D">
        <w:rPr>
          <w:sz w:val="27"/>
          <w:szCs w:val="26"/>
          <w:bdr w:val="none" w:sz="0" w:space="0" w:color="auto" w:frame="1"/>
        </w:rPr>
        <w:t xml:space="preserve"> have</w:t>
      </w:r>
      <w:r w:rsidR="000C6E69" w:rsidRPr="003D283D">
        <w:rPr>
          <w:sz w:val="27"/>
          <w:szCs w:val="26"/>
          <w:bdr w:val="none" w:sz="0" w:space="0" w:color="auto" w:frame="1"/>
        </w:rPr>
        <w:t xml:space="preserve"> </w:t>
      </w:r>
      <w:r w:rsidR="00824839" w:rsidRPr="003D283D">
        <w:rPr>
          <w:sz w:val="27"/>
          <w:szCs w:val="26"/>
          <w:bdr w:val="none" w:sz="0" w:space="0" w:color="auto" w:frame="1"/>
        </w:rPr>
        <w:t>led to</w:t>
      </w:r>
      <w:r w:rsidR="000C6E69" w:rsidRPr="003D283D">
        <w:rPr>
          <w:sz w:val="27"/>
          <w:szCs w:val="26"/>
          <w:bdr w:val="none" w:sz="0" w:space="0" w:color="auto" w:frame="1"/>
        </w:rPr>
        <w:t xml:space="preserve"> a finding made with the </w:t>
      </w:r>
      <w:r w:rsidR="00B07892" w:rsidRPr="003D283D">
        <w:rPr>
          <w:sz w:val="27"/>
          <w:szCs w:val="26"/>
          <w:bdr w:val="none" w:sz="0" w:space="0" w:color="auto" w:frame="1"/>
        </w:rPr>
        <w:t xml:space="preserve">specific </w:t>
      </w:r>
      <w:r w:rsidR="000C6E69" w:rsidRPr="003D283D">
        <w:rPr>
          <w:sz w:val="27"/>
          <w:szCs w:val="26"/>
          <w:bdr w:val="none" w:sz="0" w:space="0" w:color="auto" w:frame="1"/>
        </w:rPr>
        <w:t xml:space="preserve">degree of confidence required by </w:t>
      </w:r>
      <w:r w:rsidR="00493269" w:rsidRPr="003D283D">
        <w:rPr>
          <w:sz w:val="27"/>
          <w:szCs w:val="26"/>
          <w:bdr w:val="none" w:sz="0" w:space="0" w:color="auto" w:frame="1"/>
        </w:rPr>
        <w:t>this</w:t>
      </w:r>
      <w:r w:rsidR="000C6E69" w:rsidRPr="003D283D">
        <w:rPr>
          <w:sz w:val="27"/>
          <w:szCs w:val="26"/>
          <w:bdr w:val="none" w:sz="0" w:space="0" w:color="auto" w:frame="1"/>
        </w:rPr>
        <w:t xml:space="preserve"> standard</w:t>
      </w:r>
      <w:r w:rsidR="00653629" w:rsidRPr="003D283D">
        <w:rPr>
          <w:sz w:val="27"/>
          <w:szCs w:val="26"/>
          <w:bdr w:val="none" w:sz="0" w:space="0" w:color="auto" w:frame="1"/>
        </w:rPr>
        <w:t xml:space="preserve">. </w:t>
      </w:r>
      <w:r w:rsidRPr="003D283D">
        <w:rPr>
          <w:sz w:val="27"/>
          <w:szCs w:val="26"/>
          <w:bdr w:val="none" w:sz="0" w:space="0" w:color="auto" w:frame="1"/>
        </w:rPr>
        <w:t xml:space="preserve"> </w:t>
      </w:r>
    </w:p>
    <w:p w14:paraId="779DF827" w14:textId="736BEA30" w:rsidR="00493269" w:rsidRPr="003D283D" w:rsidRDefault="006B6E90" w:rsidP="007F1BD8">
      <w:pPr>
        <w:pStyle w:val="NormalWeb"/>
        <w:spacing w:before="0" w:beforeAutospacing="0" w:afterAutospacing="0"/>
        <w:ind w:firstLine="720"/>
        <w:rPr>
          <w:sz w:val="27"/>
          <w:szCs w:val="27"/>
          <w:bdr w:val="none" w:sz="0" w:space="0" w:color="auto" w:frame="1"/>
        </w:rPr>
      </w:pPr>
      <w:r w:rsidRPr="003D283D">
        <w:rPr>
          <w:sz w:val="27"/>
          <w:szCs w:val="27"/>
          <w:bdr w:val="none" w:sz="0" w:space="0" w:color="auto" w:frame="1"/>
        </w:rPr>
        <w:t>Taking the clear and convincing standard into account</w:t>
      </w:r>
      <w:r w:rsidR="00273FF9" w:rsidRPr="003D283D">
        <w:rPr>
          <w:sz w:val="27"/>
          <w:szCs w:val="27"/>
          <w:bdr w:val="none" w:sz="0" w:space="0" w:color="auto" w:frame="1"/>
        </w:rPr>
        <w:t xml:space="preserve"> in </w:t>
      </w:r>
      <w:r w:rsidR="0005539B" w:rsidRPr="003D283D">
        <w:rPr>
          <w:sz w:val="27"/>
          <w:szCs w:val="27"/>
          <w:bdr w:val="none" w:sz="0" w:space="0" w:color="auto" w:frame="1"/>
        </w:rPr>
        <w:t>this context</w:t>
      </w:r>
      <w:r w:rsidR="00B46FCE" w:rsidRPr="003D283D">
        <w:rPr>
          <w:sz w:val="27"/>
          <w:szCs w:val="27"/>
          <w:bdr w:val="none" w:sz="0" w:space="0" w:color="auto" w:frame="1"/>
        </w:rPr>
        <w:t xml:space="preserve"> </w:t>
      </w:r>
      <w:r w:rsidR="00232F57" w:rsidRPr="003D283D">
        <w:rPr>
          <w:sz w:val="27"/>
          <w:szCs w:val="27"/>
          <w:bdr w:val="none" w:sz="0" w:space="0" w:color="auto" w:frame="1"/>
        </w:rPr>
        <w:t>is also logically consistent</w:t>
      </w:r>
      <w:r w:rsidR="00B46FCE" w:rsidRPr="003D283D">
        <w:rPr>
          <w:sz w:val="27"/>
          <w:szCs w:val="27"/>
          <w:bdr w:val="none" w:sz="0" w:space="0" w:color="auto" w:frame="1"/>
        </w:rPr>
        <w:t xml:space="preserve"> with </w:t>
      </w:r>
      <w:r w:rsidR="006F0D68" w:rsidRPr="003D283D">
        <w:rPr>
          <w:sz w:val="27"/>
          <w:szCs w:val="27"/>
          <w:bdr w:val="none" w:sz="0" w:space="0" w:color="auto" w:frame="1"/>
        </w:rPr>
        <w:t>the</w:t>
      </w:r>
      <w:r w:rsidR="001E51B7" w:rsidRPr="003D283D">
        <w:rPr>
          <w:sz w:val="27"/>
          <w:szCs w:val="27"/>
          <w:bdr w:val="none" w:sz="0" w:space="0" w:color="auto" w:frame="1"/>
        </w:rPr>
        <w:t xml:space="preserve"> principle</w:t>
      </w:r>
      <w:r w:rsidR="00B46FCE" w:rsidRPr="003D283D">
        <w:rPr>
          <w:sz w:val="27"/>
          <w:szCs w:val="27"/>
          <w:bdr w:val="none" w:sz="0" w:space="0" w:color="auto" w:frame="1"/>
        </w:rPr>
        <w:t xml:space="preserve"> that</w:t>
      </w:r>
      <w:r w:rsidR="00A012AD" w:rsidRPr="003D283D">
        <w:rPr>
          <w:sz w:val="27"/>
          <w:szCs w:val="27"/>
          <w:bdr w:val="none" w:sz="0" w:space="0" w:color="auto" w:frame="1"/>
        </w:rPr>
        <w:t xml:space="preserve"> a</w:t>
      </w:r>
      <w:r w:rsidR="00E34830" w:rsidRPr="003D283D">
        <w:rPr>
          <w:sz w:val="27"/>
          <w:szCs w:val="27"/>
          <w:bdr w:val="none" w:sz="0" w:space="0" w:color="auto" w:frame="1"/>
        </w:rPr>
        <w:t>n appellate</w:t>
      </w:r>
      <w:r w:rsidR="008334EF" w:rsidRPr="003D283D">
        <w:rPr>
          <w:sz w:val="27"/>
          <w:szCs w:val="27"/>
          <w:bdr w:val="none" w:sz="0" w:space="0" w:color="auto" w:frame="1"/>
        </w:rPr>
        <w:t xml:space="preserve"> </w:t>
      </w:r>
      <w:r w:rsidR="00A012AD" w:rsidRPr="003D283D">
        <w:rPr>
          <w:sz w:val="27"/>
          <w:szCs w:val="27"/>
          <w:bdr w:val="none" w:sz="0" w:space="0" w:color="auto" w:frame="1"/>
        </w:rPr>
        <w:t xml:space="preserve">court addressing a claim of insufficient </w:t>
      </w:r>
      <w:r w:rsidR="0005539B" w:rsidRPr="003D283D">
        <w:rPr>
          <w:sz w:val="27"/>
          <w:szCs w:val="27"/>
          <w:bdr w:val="none" w:sz="0" w:space="0" w:color="auto" w:frame="1"/>
        </w:rPr>
        <w:t>proof</w:t>
      </w:r>
      <w:r w:rsidR="00A012AD" w:rsidRPr="003D283D">
        <w:rPr>
          <w:sz w:val="27"/>
          <w:szCs w:val="27"/>
          <w:bdr w:val="none" w:sz="0" w:space="0" w:color="auto" w:frame="1"/>
        </w:rPr>
        <w:t xml:space="preserve"> reviews the record </w:t>
      </w:r>
      <w:r w:rsidR="00B46FCE" w:rsidRPr="003D283D">
        <w:rPr>
          <w:sz w:val="27"/>
          <w:szCs w:val="27"/>
          <w:bdr w:val="none" w:sz="0" w:space="0" w:color="auto" w:frame="1"/>
        </w:rPr>
        <w:t>for substantial evidence</w:t>
      </w:r>
      <w:r w:rsidR="00F50609" w:rsidRPr="003D283D">
        <w:rPr>
          <w:sz w:val="27"/>
          <w:szCs w:val="27"/>
          <w:bdr w:val="none" w:sz="0" w:space="0" w:color="auto" w:frame="1"/>
        </w:rPr>
        <w:t xml:space="preserve"> supporting the challenged finding</w:t>
      </w:r>
      <w:r w:rsidR="00B46FCE" w:rsidRPr="003D283D">
        <w:rPr>
          <w:sz w:val="27"/>
          <w:szCs w:val="27"/>
          <w:bdr w:val="none" w:sz="0" w:space="0" w:color="auto" w:frame="1"/>
        </w:rPr>
        <w:t>.  Substantial evidence is evidence that is “of ponderable legal significance,” “reasonable in nature, credible, and of solid value,” and “ ‘substantial’ proof of the essentials which the law requires in a particular case.”  (</w:t>
      </w:r>
      <w:r w:rsidR="00B46FCE" w:rsidRPr="003D283D">
        <w:rPr>
          <w:i/>
          <w:iCs/>
          <w:sz w:val="27"/>
          <w:szCs w:val="27"/>
          <w:bdr w:val="none" w:sz="0" w:space="0" w:color="auto" w:frame="1"/>
        </w:rPr>
        <w:t xml:space="preserve">In re </w:t>
      </w:r>
      <w:proofErr w:type="spellStart"/>
      <w:r w:rsidR="00B46FCE" w:rsidRPr="003D283D">
        <w:rPr>
          <w:i/>
          <w:iCs/>
          <w:sz w:val="27"/>
          <w:szCs w:val="27"/>
          <w:bdr w:val="none" w:sz="0" w:space="0" w:color="auto" w:frame="1"/>
        </w:rPr>
        <w:t>Teed’s</w:t>
      </w:r>
      <w:proofErr w:type="spellEnd"/>
      <w:r w:rsidR="00B46FCE" w:rsidRPr="003D283D">
        <w:rPr>
          <w:i/>
          <w:iCs/>
          <w:sz w:val="27"/>
          <w:szCs w:val="27"/>
          <w:bdr w:val="none" w:sz="0" w:space="0" w:color="auto" w:frame="1"/>
        </w:rPr>
        <w:t xml:space="preserve"> Estate</w:t>
      </w:r>
      <w:r w:rsidR="00681EE2" w:rsidRPr="003D283D">
        <w:rPr>
          <w:sz w:val="27"/>
          <w:szCs w:val="27"/>
          <w:bdr w:val="none" w:sz="0" w:space="0" w:color="auto" w:frame="1"/>
        </w:rPr>
        <w:t xml:space="preserve">, </w:t>
      </w:r>
      <w:r w:rsidR="00681EE2" w:rsidRPr="003D283D">
        <w:rPr>
          <w:i/>
          <w:iCs/>
          <w:sz w:val="27"/>
          <w:szCs w:val="27"/>
          <w:bdr w:val="none" w:sz="0" w:space="0" w:color="auto" w:frame="1"/>
        </w:rPr>
        <w:t>supra</w:t>
      </w:r>
      <w:r w:rsidR="00681EE2" w:rsidRPr="003D283D">
        <w:rPr>
          <w:sz w:val="27"/>
          <w:szCs w:val="27"/>
          <w:bdr w:val="none" w:sz="0" w:space="0" w:color="auto" w:frame="1"/>
        </w:rPr>
        <w:t xml:space="preserve">, </w:t>
      </w:r>
      <w:r w:rsidR="00B46FCE" w:rsidRPr="003D283D">
        <w:rPr>
          <w:sz w:val="27"/>
          <w:szCs w:val="27"/>
          <w:bdr w:val="none" w:sz="0" w:space="0" w:color="auto" w:frame="1"/>
        </w:rPr>
        <w:t>112 Cal.App.2d</w:t>
      </w:r>
      <w:r w:rsidR="008D103A" w:rsidRPr="003D283D">
        <w:rPr>
          <w:sz w:val="27"/>
          <w:szCs w:val="27"/>
          <w:bdr w:val="none" w:sz="0" w:space="0" w:color="auto" w:frame="1"/>
        </w:rPr>
        <w:t xml:space="preserve"> </w:t>
      </w:r>
      <w:r w:rsidR="00681EE2" w:rsidRPr="003D283D">
        <w:rPr>
          <w:sz w:val="27"/>
          <w:szCs w:val="27"/>
          <w:bdr w:val="none" w:sz="0" w:space="0" w:color="auto" w:frame="1"/>
        </w:rPr>
        <w:t>at p.</w:t>
      </w:r>
      <w:r w:rsidR="00B46FCE" w:rsidRPr="003D283D">
        <w:rPr>
          <w:sz w:val="27"/>
          <w:szCs w:val="27"/>
          <w:bdr w:val="none" w:sz="0" w:space="0" w:color="auto" w:frame="1"/>
        </w:rPr>
        <w:t xml:space="preserve"> 644.)  Respondents </w:t>
      </w:r>
      <w:r w:rsidR="00F747E0" w:rsidRPr="003D283D">
        <w:rPr>
          <w:sz w:val="27"/>
          <w:szCs w:val="27"/>
          <w:bdr w:val="none" w:sz="0" w:space="0" w:color="auto" w:frame="1"/>
        </w:rPr>
        <w:t>draw from this definition</w:t>
      </w:r>
      <w:r w:rsidR="001E51B7" w:rsidRPr="003D283D">
        <w:rPr>
          <w:sz w:val="27"/>
          <w:szCs w:val="27"/>
          <w:bdr w:val="none" w:sz="0" w:space="0" w:color="auto" w:frame="1"/>
        </w:rPr>
        <w:t xml:space="preserve"> of substantial evidence</w:t>
      </w:r>
      <w:r w:rsidR="00F747E0" w:rsidRPr="003D283D">
        <w:rPr>
          <w:sz w:val="27"/>
          <w:szCs w:val="27"/>
          <w:bdr w:val="none" w:sz="0" w:space="0" w:color="auto" w:frame="1"/>
        </w:rPr>
        <w:t xml:space="preserve"> </w:t>
      </w:r>
      <w:r w:rsidR="00B46FCE" w:rsidRPr="003D283D">
        <w:rPr>
          <w:sz w:val="27"/>
          <w:szCs w:val="27"/>
          <w:bdr w:val="none" w:sz="0" w:space="0" w:color="auto" w:frame="1"/>
        </w:rPr>
        <w:t>in</w:t>
      </w:r>
      <w:r w:rsidR="009422CC" w:rsidRPr="003D283D">
        <w:rPr>
          <w:sz w:val="27"/>
          <w:szCs w:val="27"/>
          <w:bdr w:val="none" w:sz="0" w:space="0" w:color="auto" w:frame="1"/>
        </w:rPr>
        <w:t xml:space="preserve"> </w:t>
      </w:r>
      <w:r w:rsidR="001E51B7" w:rsidRPr="003D283D">
        <w:rPr>
          <w:sz w:val="27"/>
          <w:szCs w:val="27"/>
          <w:bdr w:val="none" w:sz="0" w:space="0" w:color="auto" w:frame="1"/>
        </w:rPr>
        <w:t>advocating for their approach to appellate review.  They assert that “[s]</w:t>
      </w:r>
      <w:proofErr w:type="spellStart"/>
      <w:r w:rsidR="001E51B7" w:rsidRPr="003D283D">
        <w:rPr>
          <w:sz w:val="27"/>
          <w:szCs w:val="27"/>
          <w:bdr w:val="none" w:sz="0" w:space="0" w:color="auto" w:frame="1"/>
        </w:rPr>
        <w:t>olid</w:t>
      </w:r>
      <w:proofErr w:type="spellEnd"/>
      <w:r w:rsidR="001E51B7" w:rsidRPr="003D283D">
        <w:rPr>
          <w:sz w:val="27"/>
          <w:szCs w:val="27"/>
          <w:bdr w:val="none" w:sz="0" w:space="0" w:color="auto" w:frame="1"/>
        </w:rPr>
        <w:t>, credible evidence is . . . by definition, clear and convincing because we have rationally invested with determinative significance the trial court’s rejection — on credibility, persuasiveness, or other grounds — of the evidence to the contrary,” and</w:t>
      </w:r>
      <w:r w:rsidR="00883FAF" w:rsidRPr="003D283D">
        <w:rPr>
          <w:sz w:val="27"/>
          <w:szCs w:val="27"/>
          <w:bdr w:val="none" w:sz="0" w:space="0" w:color="auto" w:frame="1"/>
        </w:rPr>
        <w:t xml:space="preserve"> “[t]he evidence necessary to support the decision below must be credible, reasonable, and solid; otherwise the judgment will be reversed</w:t>
      </w:r>
      <w:r w:rsidR="001A417C" w:rsidRPr="003D283D">
        <w:rPr>
          <w:sz w:val="27"/>
          <w:szCs w:val="27"/>
          <w:bdr w:val="none" w:sz="0" w:space="0" w:color="auto" w:frame="1"/>
        </w:rPr>
        <w:t>.</w:t>
      </w:r>
      <w:r w:rsidR="00883FAF" w:rsidRPr="003D283D">
        <w:rPr>
          <w:sz w:val="27"/>
          <w:szCs w:val="27"/>
          <w:bdr w:val="none" w:sz="0" w:space="0" w:color="auto" w:frame="1"/>
        </w:rPr>
        <w:t>”</w:t>
      </w:r>
      <w:r w:rsidR="00F747E0" w:rsidRPr="003D283D">
        <w:rPr>
          <w:sz w:val="27"/>
          <w:szCs w:val="27"/>
          <w:bdr w:val="none" w:sz="0" w:space="0" w:color="auto" w:frame="1"/>
        </w:rPr>
        <w:t xml:space="preserve">  </w:t>
      </w:r>
      <w:r w:rsidR="001E51B7" w:rsidRPr="003D283D">
        <w:rPr>
          <w:sz w:val="27"/>
          <w:szCs w:val="27"/>
          <w:bdr w:val="none" w:sz="0" w:space="0" w:color="auto" w:frame="1"/>
        </w:rPr>
        <w:t>But these assertions ignore</w:t>
      </w:r>
      <w:r w:rsidR="00E35C51" w:rsidRPr="003D283D">
        <w:rPr>
          <w:sz w:val="27"/>
          <w:szCs w:val="27"/>
          <w:bdr w:val="none" w:sz="0" w:space="0" w:color="auto" w:frame="1"/>
        </w:rPr>
        <w:t xml:space="preserve"> part of what makes substantial </w:t>
      </w:r>
      <w:r w:rsidR="00E35C51" w:rsidRPr="003D283D">
        <w:rPr>
          <w:sz w:val="27"/>
          <w:szCs w:val="27"/>
          <w:bdr w:val="none" w:sz="0" w:space="0" w:color="auto" w:frame="1"/>
        </w:rPr>
        <w:lastRenderedPageBreak/>
        <w:t xml:space="preserve">evidence </w:t>
      </w:r>
      <w:r w:rsidR="00E35C51" w:rsidRPr="003D283D">
        <w:rPr>
          <w:i/>
          <w:sz w:val="27"/>
          <w:bdr w:val="none" w:sz="0" w:space="0" w:color="auto" w:frame="1"/>
        </w:rPr>
        <w:t>substantial</w:t>
      </w:r>
      <w:r w:rsidR="00F747E0" w:rsidRPr="003D283D">
        <w:rPr>
          <w:sz w:val="27"/>
          <w:szCs w:val="27"/>
          <w:bdr w:val="none" w:sz="0" w:space="0" w:color="auto" w:frame="1"/>
        </w:rPr>
        <w:t xml:space="preserve">. </w:t>
      </w:r>
      <w:r w:rsidR="00A012AD" w:rsidRPr="003D283D">
        <w:rPr>
          <w:sz w:val="27"/>
          <w:szCs w:val="27"/>
          <w:bdr w:val="none" w:sz="0" w:space="0" w:color="auto" w:frame="1"/>
        </w:rPr>
        <w:t xml:space="preserve"> </w:t>
      </w:r>
      <w:r w:rsidR="000F0A6B" w:rsidRPr="003D283D">
        <w:rPr>
          <w:sz w:val="27"/>
          <w:szCs w:val="27"/>
          <w:bdr w:val="none" w:sz="0" w:space="0" w:color="auto" w:frame="1"/>
        </w:rPr>
        <w:t>E</w:t>
      </w:r>
      <w:r w:rsidR="00F747E0" w:rsidRPr="003D283D">
        <w:rPr>
          <w:sz w:val="27"/>
          <w:szCs w:val="27"/>
          <w:bdr w:val="none" w:sz="0" w:space="0" w:color="auto" w:frame="1"/>
        </w:rPr>
        <w:t xml:space="preserve">ven if evidence </w:t>
      </w:r>
      <w:r w:rsidR="00235212" w:rsidRPr="003D283D">
        <w:rPr>
          <w:sz w:val="27"/>
          <w:szCs w:val="27"/>
          <w:bdr w:val="none" w:sz="0" w:space="0" w:color="auto" w:frame="1"/>
        </w:rPr>
        <w:t>is capable of</w:t>
      </w:r>
      <w:r w:rsidR="00F747E0" w:rsidRPr="003D283D">
        <w:rPr>
          <w:sz w:val="27"/>
          <w:szCs w:val="27"/>
          <w:bdr w:val="none" w:sz="0" w:space="0" w:color="auto" w:frame="1"/>
        </w:rPr>
        <w:t xml:space="preserve"> be</w:t>
      </w:r>
      <w:r w:rsidR="00235212" w:rsidRPr="003D283D">
        <w:rPr>
          <w:sz w:val="27"/>
          <w:szCs w:val="27"/>
          <w:bdr w:val="none" w:sz="0" w:space="0" w:color="auto" w:frame="1"/>
        </w:rPr>
        <w:t>ing</w:t>
      </w:r>
      <w:r w:rsidR="00F747E0" w:rsidRPr="003D283D">
        <w:rPr>
          <w:sz w:val="27"/>
          <w:szCs w:val="27"/>
          <w:bdr w:val="none" w:sz="0" w:space="0" w:color="auto" w:frame="1"/>
        </w:rPr>
        <w:t xml:space="preserve"> regarded as “credible,” </w:t>
      </w:r>
      <w:r w:rsidR="001F2035" w:rsidRPr="003D283D">
        <w:rPr>
          <w:sz w:val="27"/>
          <w:szCs w:val="27"/>
          <w:bdr w:val="none" w:sz="0" w:space="0" w:color="auto" w:frame="1"/>
        </w:rPr>
        <w:t xml:space="preserve">“reasonable,” </w:t>
      </w:r>
      <w:r w:rsidR="00F747E0" w:rsidRPr="003D283D">
        <w:rPr>
          <w:sz w:val="27"/>
          <w:szCs w:val="27"/>
          <w:bdr w:val="none" w:sz="0" w:space="0" w:color="auto" w:frame="1"/>
        </w:rPr>
        <w:t>and “solid,” to amount to substantial evidence it also must be “of ponderable legal significance</w:t>
      </w:r>
      <w:r w:rsidR="00232F57" w:rsidRPr="003D283D">
        <w:rPr>
          <w:sz w:val="27"/>
          <w:szCs w:val="27"/>
          <w:bdr w:val="none" w:sz="0" w:space="0" w:color="auto" w:frame="1"/>
        </w:rPr>
        <w:t>.</w:t>
      </w:r>
      <w:r w:rsidR="00F747E0" w:rsidRPr="003D283D">
        <w:rPr>
          <w:sz w:val="27"/>
          <w:szCs w:val="27"/>
          <w:bdr w:val="none" w:sz="0" w:space="0" w:color="auto" w:frame="1"/>
        </w:rPr>
        <w:t>”</w:t>
      </w:r>
      <w:r w:rsidR="00232F57" w:rsidRPr="003D283D">
        <w:rPr>
          <w:sz w:val="27"/>
          <w:szCs w:val="27"/>
          <w:bdr w:val="none" w:sz="0" w:space="0" w:color="auto" w:frame="1"/>
        </w:rPr>
        <w:t xml:space="preserve"> </w:t>
      </w:r>
      <w:r w:rsidR="00A012AD" w:rsidRPr="003D283D">
        <w:rPr>
          <w:sz w:val="27"/>
          <w:szCs w:val="27"/>
          <w:bdr w:val="none" w:sz="0" w:space="0" w:color="auto" w:frame="1"/>
        </w:rPr>
        <w:t xml:space="preserve"> </w:t>
      </w:r>
      <w:r w:rsidR="00F747E0" w:rsidRPr="003D283D">
        <w:rPr>
          <w:sz w:val="27"/>
          <w:szCs w:val="27"/>
          <w:bdr w:val="none" w:sz="0" w:space="0" w:color="auto" w:frame="1"/>
        </w:rPr>
        <w:t>(</w:t>
      </w:r>
      <w:r w:rsidR="00A012AD" w:rsidRPr="003D283D">
        <w:rPr>
          <w:i/>
          <w:sz w:val="27"/>
          <w:szCs w:val="27"/>
          <w:bdr w:val="none" w:sz="0" w:space="0" w:color="auto" w:frame="1"/>
        </w:rPr>
        <w:t>In</w:t>
      </w:r>
      <w:r w:rsidR="00A012AD" w:rsidRPr="003D283D">
        <w:rPr>
          <w:sz w:val="27"/>
          <w:szCs w:val="27"/>
          <w:bdr w:val="none" w:sz="0" w:space="0" w:color="auto" w:frame="1"/>
        </w:rPr>
        <w:t xml:space="preserve"> </w:t>
      </w:r>
      <w:r w:rsidR="00A012AD" w:rsidRPr="003D283D">
        <w:rPr>
          <w:i/>
          <w:iCs/>
          <w:sz w:val="27"/>
          <w:szCs w:val="27"/>
          <w:bdr w:val="none" w:sz="0" w:space="0" w:color="auto" w:frame="1"/>
        </w:rPr>
        <w:t xml:space="preserve">re </w:t>
      </w:r>
      <w:proofErr w:type="spellStart"/>
      <w:r w:rsidR="00A012AD" w:rsidRPr="003D283D">
        <w:rPr>
          <w:i/>
          <w:iCs/>
          <w:sz w:val="27"/>
          <w:szCs w:val="27"/>
          <w:bdr w:val="none" w:sz="0" w:space="0" w:color="auto" w:frame="1"/>
        </w:rPr>
        <w:t>Teed’s</w:t>
      </w:r>
      <w:proofErr w:type="spellEnd"/>
      <w:r w:rsidR="00A012AD" w:rsidRPr="003D283D">
        <w:rPr>
          <w:i/>
          <w:iCs/>
          <w:sz w:val="27"/>
          <w:szCs w:val="27"/>
          <w:bdr w:val="none" w:sz="0" w:space="0" w:color="auto" w:frame="1"/>
        </w:rPr>
        <w:t xml:space="preserve"> Estate, </w:t>
      </w:r>
      <w:r w:rsidR="00A012AD" w:rsidRPr="003D283D">
        <w:rPr>
          <w:iCs/>
          <w:sz w:val="27"/>
          <w:szCs w:val="27"/>
          <w:bdr w:val="none" w:sz="0" w:space="0" w:color="auto" w:frame="1"/>
        </w:rPr>
        <w:t>at p. 644</w:t>
      </w:r>
      <w:r w:rsidR="00232F57" w:rsidRPr="003D283D">
        <w:rPr>
          <w:iCs/>
          <w:sz w:val="27"/>
          <w:szCs w:val="27"/>
          <w:bdr w:val="none" w:sz="0" w:space="0" w:color="auto" w:frame="1"/>
        </w:rPr>
        <w:t>.</w:t>
      </w:r>
      <w:r w:rsidR="00F747E0" w:rsidRPr="003D283D">
        <w:rPr>
          <w:sz w:val="27"/>
          <w:szCs w:val="27"/>
          <w:bdr w:val="none" w:sz="0" w:space="0" w:color="auto" w:frame="1"/>
        </w:rPr>
        <w:t xml:space="preserve">) </w:t>
      </w:r>
      <w:r w:rsidR="00232F57" w:rsidRPr="003D283D">
        <w:rPr>
          <w:sz w:val="27"/>
          <w:szCs w:val="27"/>
          <w:bdr w:val="none" w:sz="0" w:space="0" w:color="auto" w:frame="1"/>
        </w:rPr>
        <w:t xml:space="preserve"> </w:t>
      </w:r>
      <w:r w:rsidR="000F0A6B" w:rsidRPr="003D283D">
        <w:rPr>
          <w:sz w:val="27"/>
          <w:szCs w:val="27"/>
          <w:bdr w:val="none" w:sz="0" w:space="0" w:color="auto" w:frame="1"/>
        </w:rPr>
        <w:t>And w</w:t>
      </w:r>
      <w:r w:rsidR="00232F57" w:rsidRPr="003D283D">
        <w:rPr>
          <w:sz w:val="27"/>
          <w:szCs w:val="27"/>
          <w:bdr w:val="none" w:sz="0" w:space="0" w:color="auto" w:frame="1"/>
        </w:rPr>
        <w:t>hether</w:t>
      </w:r>
      <w:r w:rsidR="001F2035" w:rsidRPr="003D283D">
        <w:rPr>
          <w:sz w:val="27"/>
          <w:szCs w:val="27"/>
          <w:bdr w:val="none" w:sz="0" w:space="0" w:color="auto" w:frame="1"/>
        </w:rPr>
        <w:t xml:space="preserve"> </w:t>
      </w:r>
      <w:r w:rsidR="00232F57" w:rsidRPr="003D283D">
        <w:rPr>
          <w:sz w:val="27"/>
          <w:szCs w:val="27"/>
          <w:bdr w:val="none" w:sz="0" w:space="0" w:color="auto" w:frame="1"/>
        </w:rPr>
        <w:t>evidence is “of ponderable legal significance” (</w:t>
      </w:r>
      <w:r w:rsidR="00232F57" w:rsidRPr="003D283D">
        <w:rPr>
          <w:i/>
          <w:iCs/>
          <w:sz w:val="27"/>
          <w:szCs w:val="27"/>
          <w:bdr w:val="none" w:sz="0" w:space="0" w:color="auto" w:frame="1"/>
        </w:rPr>
        <w:t>ibid</w:t>
      </w:r>
      <w:r w:rsidR="00232F57" w:rsidRPr="003D283D">
        <w:rPr>
          <w:sz w:val="27"/>
          <w:szCs w:val="27"/>
          <w:bdr w:val="none" w:sz="0" w:space="0" w:color="auto" w:frame="1"/>
        </w:rPr>
        <w:t xml:space="preserve">.) </w:t>
      </w:r>
      <w:r w:rsidR="00F747E0" w:rsidRPr="003D283D">
        <w:rPr>
          <w:sz w:val="27"/>
          <w:szCs w:val="27"/>
          <w:bdr w:val="none" w:sz="0" w:space="0" w:color="auto" w:frame="1"/>
        </w:rPr>
        <w:t xml:space="preserve">cannot be </w:t>
      </w:r>
      <w:proofErr w:type="gramStart"/>
      <w:r w:rsidR="00232F57" w:rsidRPr="003D283D">
        <w:rPr>
          <w:sz w:val="27"/>
          <w:szCs w:val="27"/>
          <w:bdr w:val="none" w:sz="0" w:space="0" w:color="auto" w:frame="1"/>
        </w:rPr>
        <w:t xml:space="preserve">properly </w:t>
      </w:r>
      <w:r w:rsidR="00F747E0" w:rsidRPr="003D283D">
        <w:rPr>
          <w:sz w:val="27"/>
          <w:szCs w:val="27"/>
          <w:bdr w:val="none" w:sz="0" w:space="0" w:color="auto" w:frame="1"/>
        </w:rPr>
        <w:t>evaluated</w:t>
      </w:r>
      <w:proofErr w:type="gramEnd"/>
      <w:r w:rsidR="00F747E0" w:rsidRPr="003D283D">
        <w:rPr>
          <w:sz w:val="27"/>
          <w:szCs w:val="27"/>
          <w:bdr w:val="none" w:sz="0" w:space="0" w:color="auto" w:frame="1"/>
        </w:rPr>
        <w:t xml:space="preserve"> </w:t>
      </w:r>
      <w:r w:rsidR="00C575EF" w:rsidRPr="003D283D">
        <w:rPr>
          <w:sz w:val="27"/>
          <w:szCs w:val="27"/>
          <w:bdr w:val="none" w:sz="0" w:space="0" w:color="auto" w:frame="1"/>
        </w:rPr>
        <w:t>in situation</w:t>
      </w:r>
      <w:r w:rsidR="0005539B" w:rsidRPr="003D283D">
        <w:rPr>
          <w:sz w:val="27"/>
          <w:szCs w:val="27"/>
          <w:bdr w:val="none" w:sz="0" w:space="0" w:color="auto" w:frame="1"/>
        </w:rPr>
        <w:t>s such as the one</w:t>
      </w:r>
      <w:r w:rsidR="00C575EF" w:rsidRPr="003D283D">
        <w:rPr>
          <w:sz w:val="27"/>
          <w:szCs w:val="27"/>
          <w:bdr w:val="none" w:sz="0" w:space="0" w:color="auto" w:frame="1"/>
        </w:rPr>
        <w:t xml:space="preserve"> at </w:t>
      </w:r>
      <w:r w:rsidR="0005539B" w:rsidRPr="003D283D">
        <w:rPr>
          <w:sz w:val="27"/>
          <w:szCs w:val="27"/>
          <w:bdr w:val="none" w:sz="0" w:space="0" w:color="auto" w:frame="1"/>
        </w:rPr>
        <w:t>bar</w:t>
      </w:r>
      <w:r w:rsidR="00C575EF" w:rsidRPr="003D283D">
        <w:rPr>
          <w:sz w:val="27"/>
          <w:szCs w:val="27"/>
          <w:bdr w:val="none" w:sz="0" w:space="0" w:color="auto" w:frame="1"/>
        </w:rPr>
        <w:t xml:space="preserve"> </w:t>
      </w:r>
      <w:r w:rsidR="00232F57" w:rsidRPr="003D283D">
        <w:rPr>
          <w:sz w:val="27"/>
          <w:szCs w:val="27"/>
          <w:bdr w:val="none" w:sz="0" w:space="0" w:color="auto" w:frame="1"/>
        </w:rPr>
        <w:t xml:space="preserve">without accounting for </w:t>
      </w:r>
      <w:r w:rsidR="001A417C" w:rsidRPr="003D283D">
        <w:rPr>
          <w:sz w:val="27"/>
          <w:szCs w:val="27"/>
          <w:bdr w:val="none" w:sz="0" w:space="0" w:color="auto" w:frame="1"/>
        </w:rPr>
        <w:t>the</w:t>
      </w:r>
      <w:r w:rsidR="00F747E0" w:rsidRPr="003D283D">
        <w:rPr>
          <w:sz w:val="27"/>
          <w:szCs w:val="27"/>
          <w:bdr w:val="none" w:sz="0" w:space="0" w:color="auto" w:frame="1"/>
        </w:rPr>
        <w:t xml:space="preserve"> heightened standard of proof </w:t>
      </w:r>
      <w:r w:rsidR="00D86A8C" w:rsidRPr="003D283D">
        <w:rPr>
          <w:sz w:val="27"/>
          <w:szCs w:val="27"/>
          <w:bdr w:val="none" w:sz="0" w:space="0" w:color="auto" w:frame="1"/>
        </w:rPr>
        <w:t>that</w:t>
      </w:r>
      <w:r w:rsidR="00232F57" w:rsidRPr="003D283D">
        <w:rPr>
          <w:sz w:val="27"/>
          <w:szCs w:val="27"/>
          <w:bdr w:val="none" w:sz="0" w:space="0" w:color="auto" w:frame="1"/>
        </w:rPr>
        <w:t xml:space="preserve"> </w:t>
      </w:r>
      <w:r w:rsidR="00F747E0" w:rsidRPr="003D283D">
        <w:rPr>
          <w:sz w:val="27"/>
          <w:szCs w:val="27"/>
          <w:bdr w:val="none" w:sz="0" w:space="0" w:color="auto" w:frame="1"/>
        </w:rPr>
        <w:t xml:space="preserve">applied </w:t>
      </w:r>
      <w:r w:rsidR="00232F57" w:rsidRPr="003D283D">
        <w:rPr>
          <w:sz w:val="27"/>
          <w:szCs w:val="27"/>
          <w:bdr w:val="none" w:sz="0" w:space="0" w:color="auto" w:frame="1"/>
        </w:rPr>
        <w:t>before the trial court</w:t>
      </w:r>
      <w:r w:rsidR="00F747E0" w:rsidRPr="003D283D">
        <w:rPr>
          <w:sz w:val="27"/>
          <w:szCs w:val="27"/>
          <w:bdr w:val="none" w:sz="0" w:space="0" w:color="auto" w:frame="1"/>
        </w:rPr>
        <w:t>.</w:t>
      </w:r>
      <w:r w:rsidR="009F4102" w:rsidRPr="003D283D">
        <w:rPr>
          <w:sz w:val="27"/>
          <w:szCs w:val="27"/>
          <w:bdr w:val="none" w:sz="0" w:space="0" w:color="auto" w:frame="1"/>
        </w:rPr>
        <w:t xml:space="preserve">  </w:t>
      </w:r>
    </w:p>
    <w:p w14:paraId="496F7E2E" w14:textId="5C3BDAC1" w:rsidR="00117DD7" w:rsidRPr="003D283D" w:rsidRDefault="00117DD7" w:rsidP="00117DD7">
      <w:pPr>
        <w:pStyle w:val="NormalWeb"/>
        <w:spacing w:before="0" w:beforeAutospacing="0" w:afterAutospacing="0"/>
        <w:ind w:firstLine="720"/>
        <w:rPr>
          <w:sz w:val="27"/>
          <w:szCs w:val="26"/>
        </w:rPr>
      </w:pPr>
      <w:r w:rsidRPr="003D283D">
        <w:rPr>
          <w:sz w:val="27"/>
          <w:szCs w:val="26"/>
        </w:rPr>
        <w:t xml:space="preserve">Second, keeping the clear and convincing standard in mind when reviewing for sufficiency of the evidence helps ensure that an appropriate degree of appellate scrutiny attaches to findings to which this standard applies.  As </w:t>
      </w:r>
      <w:r w:rsidR="009C7C74" w:rsidRPr="003D283D">
        <w:rPr>
          <w:sz w:val="27"/>
          <w:szCs w:val="26"/>
        </w:rPr>
        <w:t>previously</w:t>
      </w:r>
      <w:r w:rsidRPr="003D283D">
        <w:rPr>
          <w:sz w:val="27"/>
          <w:szCs w:val="26"/>
        </w:rPr>
        <w:t xml:space="preserve"> </w:t>
      </w:r>
      <w:r w:rsidR="009C7C74" w:rsidRPr="003D283D">
        <w:rPr>
          <w:sz w:val="27"/>
          <w:szCs w:val="26"/>
        </w:rPr>
        <w:t>noted</w:t>
      </w:r>
      <w:r w:rsidRPr="003D283D">
        <w:rPr>
          <w:sz w:val="27"/>
          <w:szCs w:val="26"/>
        </w:rPr>
        <w:t xml:space="preserve">, the clear and convincing standard </w:t>
      </w:r>
      <w:r w:rsidR="001A417C" w:rsidRPr="003D283D">
        <w:rPr>
          <w:sz w:val="27"/>
          <w:szCs w:val="26"/>
        </w:rPr>
        <w:t>is used for</w:t>
      </w:r>
      <w:r w:rsidRPr="003D283D">
        <w:rPr>
          <w:sz w:val="27"/>
          <w:szCs w:val="26"/>
        </w:rPr>
        <w:t xml:space="preserve"> various </w:t>
      </w:r>
      <w:r w:rsidR="001A417C" w:rsidRPr="003D283D">
        <w:rPr>
          <w:sz w:val="27"/>
          <w:szCs w:val="26"/>
        </w:rPr>
        <w:t>determinations</w:t>
      </w:r>
      <w:r w:rsidRPr="003D283D">
        <w:rPr>
          <w:sz w:val="27"/>
          <w:szCs w:val="26"/>
        </w:rPr>
        <w:t xml:space="preserve"> where “ ‘particularly important individual interests or rights are at stake.’ ”  (</w:t>
      </w:r>
      <w:r w:rsidRPr="003D283D">
        <w:rPr>
          <w:i/>
          <w:iCs/>
          <w:sz w:val="27"/>
          <w:szCs w:val="26"/>
        </w:rPr>
        <w:t>Weiner v. Fleischman</w:t>
      </w:r>
      <w:r w:rsidRPr="003D283D">
        <w:rPr>
          <w:sz w:val="27"/>
          <w:szCs w:val="26"/>
        </w:rPr>
        <w:t xml:space="preserve">, </w:t>
      </w:r>
      <w:r w:rsidRPr="003D283D">
        <w:rPr>
          <w:i/>
          <w:iCs/>
          <w:sz w:val="27"/>
          <w:szCs w:val="26"/>
        </w:rPr>
        <w:t>supra</w:t>
      </w:r>
      <w:r w:rsidRPr="003D283D">
        <w:rPr>
          <w:sz w:val="27"/>
          <w:szCs w:val="26"/>
        </w:rPr>
        <w:t xml:space="preserve">, 54 Cal.3d at p. 487.)  The selection of the clear and convincing standard </w:t>
      </w:r>
      <w:r w:rsidR="0005539B" w:rsidRPr="003D283D">
        <w:rPr>
          <w:sz w:val="27"/>
          <w:szCs w:val="26"/>
        </w:rPr>
        <w:t xml:space="preserve">in these situations </w:t>
      </w:r>
      <w:r w:rsidRPr="003D283D">
        <w:rPr>
          <w:sz w:val="27"/>
          <w:szCs w:val="26"/>
        </w:rPr>
        <w:t>reflects “a very fundamental assessment of the comparative social costs of erroneous factual determinations.”  (</w:t>
      </w:r>
      <w:r w:rsidRPr="003D283D">
        <w:rPr>
          <w:i/>
          <w:iCs/>
          <w:sz w:val="27"/>
          <w:szCs w:val="26"/>
        </w:rPr>
        <w:t>In re Winship</w:t>
      </w:r>
      <w:r w:rsidRPr="003D283D">
        <w:rPr>
          <w:sz w:val="27"/>
          <w:szCs w:val="26"/>
        </w:rPr>
        <w:t xml:space="preserve">, </w:t>
      </w:r>
      <w:r w:rsidRPr="003D283D">
        <w:rPr>
          <w:i/>
          <w:iCs/>
          <w:sz w:val="27"/>
          <w:szCs w:val="26"/>
        </w:rPr>
        <w:t>supra</w:t>
      </w:r>
      <w:r w:rsidRPr="003D283D">
        <w:rPr>
          <w:sz w:val="27"/>
          <w:szCs w:val="26"/>
        </w:rPr>
        <w:t xml:space="preserve">, 397 U.S. at p. 370 (conc. opn. of Harlan, J.).) </w:t>
      </w:r>
      <w:r w:rsidR="0005539B" w:rsidRPr="003D283D">
        <w:rPr>
          <w:sz w:val="27"/>
          <w:szCs w:val="26"/>
        </w:rPr>
        <w:t xml:space="preserve"> T</w:t>
      </w:r>
      <w:r w:rsidRPr="003D283D">
        <w:rPr>
          <w:sz w:val="27"/>
          <w:szCs w:val="26"/>
        </w:rPr>
        <w:t>h</w:t>
      </w:r>
      <w:r w:rsidR="00B15A39" w:rsidRPr="003D283D">
        <w:rPr>
          <w:sz w:val="27"/>
          <w:szCs w:val="26"/>
        </w:rPr>
        <w:t>at is to say, th</w:t>
      </w:r>
      <w:r w:rsidRPr="003D283D">
        <w:rPr>
          <w:sz w:val="27"/>
          <w:szCs w:val="26"/>
        </w:rPr>
        <w:t>e significant consequences of an erroneous true finding</w:t>
      </w:r>
      <w:r w:rsidR="0005539B" w:rsidRPr="003D283D">
        <w:rPr>
          <w:sz w:val="27"/>
          <w:szCs w:val="26"/>
        </w:rPr>
        <w:t xml:space="preserve"> when these interests or rights are involved </w:t>
      </w:r>
      <w:r w:rsidRPr="003D283D">
        <w:rPr>
          <w:sz w:val="27"/>
          <w:szCs w:val="26"/>
        </w:rPr>
        <w:t>— such as an improper deportation, an unnecessary involuntary commitment, or a</w:t>
      </w:r>
      <w:r w:rsidR="0005539B" w:rsidRPr="003D283D">
        <w:rPr>
          <w:sz w:val="27"/>
          <w:szCs w:val="26"/>
        </w:rPr>
        <w:t xml:space="preserve">n </w:t>
      </w:r>
      <w:r w:rsidR="001A417C" w:rsidRPr="003D283D">
        <w:rPr>
          <w:sz w:val="27"/>
          <w:szCs w:val="26"/>
        </w:rPr>
        <w:t>unjustified</w:t>
      </w:r>
      <w:r w:rsidRPr="003D283D">
        <w:rPr>
          <w:sz w:val="27"/>
          <w:szCs w:val="26"/>
        </w:rPr>
        <w:t xml:space="preserve"> termination of parental rights — support the application of a heightened standard of proof, relative to the preponderance standard.  Yet the use of a clear and convincing standard of proof before the trial court may not by itself completely protect these interests, because “the trier of fact will sometimes, despite his best efforts, be wrong in his factual conclusions.”  (</w:t>
      </w:r>
      <w:r w:rsidRPr="003D283D">
        <w:rPr>
          <w:i/>
          <w:iCs/>
          <w:sz w:val="27"/>
          <w:szCs w:val="26"/>
        </w:rPr>
        <w:t>Ibid</w:t>
      </w:r>
      <w:r w:rsidRPr="003D283D">
        <w:rPr>
          <w:sz w:val="27"/>
          <w:szCs w:val="26"/>
        </w:rPr>
        <w:t xml:space="preserve">.)  Admittedly, an appellate court that gives appropriate deference to the trier of fact will not be </w:t>
      </w:r>
      <w:proofErr w:type="gramStart"/>
      <w:r w:rsidRPr="003D283D">
        <w:rPr>
          <w:sz w:val="27"/>
          <w:szCs w:val="26"/>
        </w:rPr>
        <w:t>in a position</w:t>
      </w:r>
      <w:proofErr w:type="gramEnd"/>
      <w:r w:rsidRPr="003D283D">
        <w:rPr>
          <w:sz w:val="27"/>
          <w:szCs w:val="26"/>
        </w:rPr>
        <w:t xml:space="preserve"> to detect or correct some of these </w:t>
      </w:r>
      <w:r w:rsidRPr="003D283D">
        <w:rPr>
          <w:sz w:val="27"/>
          <w:szCs w:val="26"/>
        </w:rPr>
        <w:lastRenderedPageBreak/>
        <w:t xml:space="preserve">errors.  But when a review of the record establishes that </w:t>
      </w:r>
      <w:r w:rsidRPr="003D283D">
        <w:rPr>
          <w:i/>
          <w:iCs/>
          <w:sz w:val="27"/>
          <w:szCs w:val="26"/>
        </w:rPr>
        <w:t>no</w:t>
      </w:r>
      <w:r w:rsidRPr="003D283D">
        <w:rPr>
          <w:sz w:val="27"/>
          <w:szCs w:val="26"/>
        </w:rPr>
        <w:t xml:space="preserve"> reasonable factfinder could have found a matter proved to a degree of high probability, appellate intervention reaffirms that the interests involved are of special importance, that their deprivation requires a greater burden to be surmounted, and that the judicial system operates in a coordinated fashion to ensure as much.  </w:t>
      </w:r>
    </w:p>
    <w:p w14:paraId="35A32F80" w14:textId="6B48E464" w:rsidR="00062DB8" w:rsidRPr="003D283D" w:rsidRDefault="00117DD7" w:rsidP="007F1BD8">
      <w:pPr>
        <w:pStyle w:val="NormalWeb"/>
        <w:spacing w:before="0" w:beforeAutospacing="0" w:afterAutospacing="0"/>
        <w:ind w:firstLine="720"/>
        <w:rPr>
          <w:sz w:val="27"/>
          <w:szCs w:val="26"/>
        </w:rPr>
      </w:pPr>
      <w:r w:rsidRPr="003D283D">
        <w:rPr>
          <w:sz w:val="27"/>
          <w:szCs w:val="26"/>
        </w:rPr>
        <w:t>Third</w:t>
      </w:r>
      <w:r w:rsidR="00062DB8" w:rsidRPr="003D283D">
        <w:rPr>
          <w:sz w:val="27"/>
          <w:szCs w:val="26"/>
        </w:rPr>
        <w:t xml:space="preserve">, </w:t>
      </w:r>
      <w:r w:rsidR="00F73DEC" w:rsidRPr="003D283D">
        <w:rPr>
          <w:sz w:val="27"/>
          <w:szCs w:val="26"/>
        </w:rPr>
        <w:t>our</w:t>
      </w:r>
      <w:r w:rsidR="00062DB8" w:rsidRPr="003D283D">
        <w:rPr>
          <w:sz w:val="27"/>
          <w:szCs w:val="26"/>
        </w:rPr>
        <w:t xml:space="preserve"> holding is more consistent with our recent precedent and </w:t>
      </w:r>
      <w:r w:rsidR="00824839" w:rsidRPr="003D283D">
        <w:rPr>
          <w:sz w:val="27"/>
          <w:szCs w:val="26"/>
        </w:rPr>
        <w:t xml:space="preserve">with </w:t>
      </w:r>
      <w:r w:rsidR="001A417C" w:rsidRPr="003D283D">
        <w:rPr>
          <w:sz w:val="27"/>
          <w:szCs w:val="26"/>
        </w:rPr>
        <w:t>the case law</w:t>
      </w:r>
      <w:r w:rsidR="00062DB8" w:rsidRPr="003D283D">
        <w:rPr>
          <w:sz w:val="27"/>
          <w:szCs w:val="26"/>
        </w:rPr>
        <w:t xml:space="preserve"> of other state high courts than</w:t>
      </w:r>
      <w:r w:rsidR="005269A8" w:rsidRPr="003D283D">
        <w:rPr>
          <w:sz w:val="27"/>
          <w:szCs w:val="26"/>
        </w:rPr>
        <w:t xml:space="preserve"> would be</w:t>
      </w:r>
      <w:r w:rsidR="00062DB8" w:rsidRPr="003D283D">
        <w:rPr>
          <w:sz w:val="27"/>
          <w:szCs w:val="26"/>
        </w:rPr>
        <w:t xml:space="preserve"> </w:t>
      </w:r>
      <w:r w:rsidR="002D47AA" w:rsidRPr="003D283D">
        <w:rPr>
          <w:sz w:val="27"/>
          <w:szCs w:val="26"/>
        </w:rPr>
        <w:t>a</w:t>
      </w:r>
      <w:r w:rsidR="00062DB8" w:rsidRPr="003D283D">
        <w:rPr>
          <w:sz w:val="27"/>
          <w:szCs w:val="26"/>
        </w:rPr>
        <w:t xml:space="preserve"> contrary </w:t>
      </w:r>
      <w:r w:rsidR="002D47AA" w:rsidRPr="003D283D">
        <w:rPr>
          <w:sz w:val="27"/>
          <w:szCs w:val="26"/>
        </w:rPr>
        <w:t xml:space="preserve">rule </w:t>
      </w:r>
      <w:r w:rsidR="00B1742C" w:rsidRPr="003D283D">
        <w:rPr>
          <w:sz w:val="27"/>
          <w:szCs w:val="26"/>
        </w:rPr>
        <w:t xml:space="preserve">that would </w:t>
      </w:r>
      <w:r w:rsidR="00E87606" w:rsidRPr="003D283D">
        <w:rPr>
          <w:sz w:val="27"/>
          <w:szCs w:val="26"/>
        </w:rPr>
        <w:t>have</w:t>
      </w:r>
      <w:r w:rsidR="002D47AA" w:rsidRPr="003D283D">
        <w:rPr>
          <w:sz w:val="27"/>
          <w:szCs w:val="26"/>
        </w:rPr>
        <w:t xml:space="preserve"> appellate courts </w:t>
      </w:r>
      <w:r w:rsidR="00B1742C" w:rsidRPr="003D283D">
        <w:rPr>
          <w:sz w:val="27"/>
          <w:szCs w:val="26"/>
        </w:rPr>
        <w:t>ignore</w:t>
      </w:r>
      <w:r w:rsidR="002D47AA" w:rsidRPr="003D283D">
        <w:rPr>
          <w:sz w:val="27"/>
          <w:szCs w:val="26"/>
        </w:rPr>
        <w:t xml:space="preserve"> the clear and convincing standard</w:t>
      </w:r>
      <w:r w:rsidR="00D86A8C" w:rsidRPr="003D283D">
        <w:rPr>
          <w:sz w:val="27"/>
          <w:szCs w:val="26"/>
        </w:rPr>
        <w:t xml:space="preserve"> when reviewing for substantial evidence</w:t>
      </w:r>
      <w:r w:rsidR="00062DB8" w:rsidRPr="003D283D">
        <w:rPr>
          <w:sz w:val="27"/>
          <w:szCs w:val="26"/>
        </w:rPr>
        <w:t xml:space="preserve">.  As discussed </w:t>
      </w:r>
      <w:r w:rsidR="00062DB8" w:rsidRPr="003D283D">
        <w:rPr>
          <w:i/>
          <w:iCs/>
          <w:sz w:val="27"/>
          <w:szCs w:val="26"/>
        </w:rPr>
        <w:t>ante</w:t>
      </w:r>
      <w:r w:rsidR="00062DB8" w:rsidRPr="003D283D">
        <w:rPr>
          <w:sz w:val="27"/>
          <w:szCs w:val="26"/>
        </w:rPr>
        <w:t xml:space="preserve">, in </w:t>
      </w:r>
      <w:r w:rsidR="00964A2C" w:rsidRPr="003D283D">
        <w:rPr>
          <w:i/>
          <w:iCs/>
          <w:sz w:val="27"/>
          <w:szCs w:val="26"/>
        </w:rPr>
        <w:t>In re</w:t>
      </w:r>
      <w:r w:rsidR="00964A2C" w:rsidRPr="003D283D">
        <w:rPr>
          <w:sz w:val="27"/>
          <w:szCs w:val="26"/>
        </w:rPr>
        <w:t xml:space="preserve"> </w:t>
      </w:r>
      <w:r w:rsidR="00062DB8" w:rsidRPr="003D283D">
        <w:rPr>
          <w:i/>
          <w:iCs/>
          <w:sz w:val="27"/>
          <w:szCs w:val="26"/>
        </w:rPr>
        <w:t>Angelia P.</w:t>
      </w:r>
      <w:r w:rsidR="00062DB8" w:rsidRPr="003D283D">
        <w:rPr>
          <w:sz w:val="27"/>
          <w:szCs w:val="26"/>
        </w:rPr>
        <w:t xml:space="preserve">, </w:t>
      </w:r>
      <w:r w:rsidR="00062DB8" w:rsidRPr="003D283D">
        <w:rPr>
          <w:i/>
          <w:iCs/>
          <w:sz w:val="27"/>
          <w:szCs w:val="26"/>
        </w:rPr>
        <w:t>supra</w:t>
      </w:r>
      <w:r w:rsidR="00062DB8" w:rsidRPr="003D283D">
        <w:rPr>
          <w:sz w:val="27"/>
          <w:szCs w:val="26"/>
        </w:rPr>
        <w:t xml:space="preserve">, 28 Cal.2d </w:t>
      </w:r>
      <w:r w:rsidR="00DD0D01" w:rsidRPr="003D283D">
        <w:rPr>
          <w:sz w:val="27"/>
          <w:szCs w:val="26"/>
        </w:rPr>
        <w:t>at page</w:t>
      </w:r>
      <w:r w:rsidR="00062DB8" w:rsidRPr="003D283D">
        <w:rPr>
          <w:sz w:val="27"/>
          <w:szCs w:val="26"/>
        </w:rPr>
        <w:t xml:space="preserve"> 924, </w:t>
      </w:r>
      <w:r w:rsidR="00062DB8" w:rsidRPr="003D283D">
        <w:rPr>
          <w:i/>
          <w:iCs/>
          <w:sz w:val="27"/>
          <w:szCs w:val="26"/>
        </w:rPr>
        <w:t xml:space="preserve">In re </w:t>
      </w:r>
      <w:proofErr w:type="spellStart"/>
      <w:r w:rsidR="00062DB8" w:rsidRPr="003D283D">
        <w:rPr>
          <w:i/>
          <w:iCs/>
          <w:sz w:val="27"/>
          <w:szCs w:val="26"/>
        </w:rPr>
        <w:t>Jasmon</w:t>
      </w:r>
      <w:proofErr w:type="spellEnd"/>
      <w:r w:rsidR="00062DB8" w:rsidRPr="003D283D">
        <w:rPr>
          <w:i/>
          <w:iCs/>
          <w:sz w:val="27"/>
          <w:szCs w:val="26"/>
        </w:rPr>
        <w:t xml:space="preserve"> O.</w:t>
      </w:r>
      <w:r w:rsidR="00062DB8" w:rsidRPr="003D283D">
        <w:rPr>
          <w:sz w:val="27"/>
          <w:szCs w:val="26"/>
        </w:rPr>
        <w:t xml:space="preserve">, </w:t>
      </w:r>
      <w:r w:rsidR="00062DB8" w:rsidRPr="003D283D">
        <w:rPr>
          <w:i/>
          <w:iCs/>
          <w:sz w:val="27"/>
          <w:szCs w:val="26"/>
        </w:rPr>
        <w:t>supra</w:t>
      </w:r>
      <w:r w:rsidR="00062DB8" w:rsidRPr="003D283D">
        <w:rPr>
          <w:sz w:val="27"/>
          <w:szCs w:val="26"/>
        </w:rPr>
        <w:t>, 8</w:t>
      </w:r>
      <w:r w:rsidR="00BC00B3" w:rsidRPr="003D283D">
        <w:rPr>
          <w:sz w:val="27"/>
          <w:szCs w:val="26"/>
        </w:rPr>
        <w:t> </w:t>
      </w:r>
      <w:r w:rsidR="00062DB8" w:rsidRPr="003D283D">
        <w:rPr>
          <w:sz w:val="27"/>
          <w:szCs w:val="26"/>
        </w:rPr>
        <w:t xml:space="preserve">Cal.4th </w:t>
      </w:r>
      <w:r w:rsidR="00DD0D01" w:rsidRPr="003D283D">
        <w:rPr>
          <w:sz w:val="27"/>
          <w:szCs w:val="26"/>
        </w:rPr>
        <w:t xml:space="preserve">at page </w:t>
      </w:r>
      <w:r w:rsidR="00062DB8" w:rsidRPr="003D283D">
        <w:rPr>
          <w:sz w:val="27"/>
          <w:szCs w:val="26"/>
        </w:rPr>
        <w:t xml:space="preserve">423, </w:t>
      </w:r>
      <w:r w:rsidR="00062DB8" w:rsidRPr="003D283D">
        <w:rPr>
          <w:i/>
          <w:iCs/>
          <w:sz w:val="27"/>
          <w:szCs w:val="26"/>
        </w:rPr>
        <w:t>Wendland</w:t>
      </w:r>
      <w:r w:rsidR="00062DB8" w:rsidRPr="003D283D">
        <w:rPr>
          <w:sz w:val="27"/>
          <w:szCs w:val="26"/>
        </w:rPr>
        <w:t xml:space="preserve">, </w:t>
      </w:r>
      <w:r w:rsidR="00062DB8" w:rsidRPr="003D283D">
        <w:rPr>
          <w:i/>
          <w:iCs/>
          <w:sz w:val="27"/>
          <w:szCs w:val="26"/>
        </w:rPr>
        <w:t>supra</w:t>
      </w:r>
      <w:r w:rsidR="00062DB8" w:rsidRPr="003D283D">
        <w:rPr>
          <w:sz w:val="27"/>
          <w:szCs w:val="26"/>
        </w:rPr>
        <w:t xml:space="preserve">, 26 Cal.4th </w:t>
      </w:r>
      <w:r w:rsidR="00DD0D01" w:rsidRPr="003D283D">
        <w:rPr>
          <w:sz w:val="27"/>
          <w:szCs w:val="26"/>
        </w:rPr>
        <w:t xml:space="preserve">at page </w:t>
      </w:r>
      <w:r w:rsidR="00062DB8" w:rsidRPr="003D283D">
        <w:rPr>
          <w:sz w:val="27"/>
          <w:szCs w:val="26"/>
        </w:rPr>
        <w:t>552</w:t>
      </w:r>
      <w:r w:rsidR="00062DB8" w:rsidRPr="003D283D">
        <w:rPr>
          <w:sz w:val="27"/>
          <w:szCs w:val="27"/>
        </w:rPr>
        <w:t>,</w:t>
      </w:r>
      <w:r w:rsidR="009B28F9" w:rsidRPr="003D283D">
        <w:rPr>
          <w:sz w:val="27"/>
          <w:szCs w:val="27"/>
        </w:rPr>
        <w:t xml:space="preserve"> and </w:t>
      </w:r>
      <w:r w:rsidR="009B28F9" w:rsidRPr="003D283D">
        <w:rPr>
          <w:i/>
          <w:iCs/>
          <w:sz w:val="27"/>
          <w:szCs w:val="27"/>
        </w:rPr>
        <w:t>White</w:t>
      </w:r>
      <w:r w:rsidR="009B28F9" w:rsidRPr="003D283D">
        <w:rPr>
          <w:sz w:val="27"/>
          <w:szCs w:val="27"/>
        </w:rPr>
        <w:t xml:space="preserve">, </w:t>
      </w:r>
      <w:r w:rsidR="009B28F9" w:rsidRPr="003D283D">
        <w:rPr>
          <w:i/>
          <w:iCs/>
          <w:sz w:val="27"/>
          <w:szCs w:val="27"/>
        </w:rPr>
        <w:t>supra</w:t>
      </w:r>
      <w:r w:rsidR="009B28F9" w:rsidRPr="003D283D">
        <w:rPr>
          <w:sz w:val="27"/>
          <w:szCs w:val="27"/>
        </w:rPr>
        <w:t xml:space="preserve">, </w:t>
      </w:r>
      <w:r w:rsidR="00622DE5" w:rsidRPr="003D283D">
        <w:rPr>
          <w:sz w:val="27"/>
          <w:szCs w:val="27"/>
        </w:rPr>
        <w:t xml:space="preserve">9 </w:t>
      </w:r>
      <w:r w:rsidR="009B28F9" w:rsidRPr="003D283D">
        <w:rPr>
          <w:sz w:val="27"/>
          <w:szCs w:val="27"/>
        </w:rPr>
        <w:t xml:space="preserve">Cal.5th </w:t>
      </w:r>
      <w:r w:rsidR="00DD0D01" w:rsidRPr="003D283D">
        <w:rPr>
          <w:sz w:val="27"/>
          <w:szCs w:val="26"/>
        </w:rPr>
        <w:t>at page</w:t>
      </w:r>
      <w:r w:rsidR="009B28F9" w:rsidRPr="003D283D">
        <w:rPr>
          <w:sz w:val="27"/>
          <w:szCs w:val="27"/>
        </w:rPr>
        <w:t xml:space="preserve"> </w:t>
      </w:r>
      <w:r w:rsidR="00622DE5" w:rsidRPr="003D283D">
        <w:rPr>
          <w:sz w:val="27"/>
          <w:szCs w:val="27"/>
        </w:rPr>
        <w:t>465</w:t>
      </w:r>
      <w:r w:rsidR="00DD0D01" w:rsidRPr="003D283D">
        <w:rPr>
          <w:sz w:val="27"/>
          <w:szCs w:val="27"/>
        </w:rPr>
        <w:t>,</w:t>
      </w:r>
      <w:r w:rsidR="00062DB8" w:rsidRPr="003D283D">
        <w:rPr>
          <w:sz w:val="27"/>
          <w:szCs w:val="26"/>
        </w:rPr>
        <w:t xml:space="preserve"> </w:t>
      </w:r>
      <w:r w:rsidR="00614405" w:rsidRPr="003D283D">
        <w:rPr>
          <w:sz w:val="27"/>
          <w:szCs w:val="26"/>
        </w:rPr>
        <w:t>we</w:t>
      </w:r>
      <w:r w:rsidR="00413841" w:rsidRPr="003D283D">
        <w:rPr>
          <w:sz w:val="27"/>
          <w:szCs w:val="26"/>
        </w:rPr>
        <w:t xml:space="preserve"> </w:t>
      </w:r>
      <w:r w:rsidR="00614405" w:rsidRPr="003D283D">
        <w:rPr>
          <w:sz w:val="27"/>
          <w:szCs w:val="26"/>
        </w:rPr>
        <w:t>recognized</w:t>
      </w:r>
      <w:r w:rsidR="00D86A8C" w:rsidRPr="003D283D">
        <w:rPr>
          <w:sz w:val="27"/>
          <w:szCs w:val="26"/>
        </w:rPr>
        <w:t xml:space="preserve"> that</w:t>
      </w:r>
      <w:r w:rsidR="00062DB8" w:rsidRPr="003D283D">
        <w:rPr>
          <w:sz w:val="27"/>
          <w:szCs w:val="26"/>
        </w:rPr>
        <w:t xml:space="preserve"> the</w:t>
      </w:r>
      <w:r w:rsidR="00614405" w:rsidRPr="003D283D">
        <w:rPr>
          <w:sz w:val="27"/>
          <w:szCs w:val="26"/>
        </w:rPr>
        <w:t xml:space="preserve"> applicability of the</w:t>
      </w:r>
      <w:r w:rsidR="00062DB8" w:rsidRPr="003D283D">
        <w:rPr>
          <w:sz w:val="27"/>
          <w:szCs w:val="26"/>
        </w:rPr>
        <w:t xml:space="preserve"> clear and convincing standard of </w:t>
      </w:r>
      <w:r w:rsidR="00062DB8" w:rsidRPr="003D283D">
        <w:rPr>
          <w:sz w:val="27"/>
          <w:szCs w:val="27"/>
        </w:rPr>
        <w:t xml:space="preserve">proof </w:t>
      </w:r>
      <w:r w:rsidR="00614405" w:rsidRPr="003D283D">
        <w:rPr>
          <w:sz w:val="27"/>
          <w:szCs w:val="27"/>
        </w:rPr>
        <w:t>before the trial court was relevant to appellate review of the evidentiary record</w:t>
      </w:r>
      <w:r w:rsidR="00062DB8" w:rsidRPr="003D283D">
        <w:rPr>
          <w:sz w:val="27"/>
          <w:szCs w:val="27"/>
        </w:rPr>
        <w:t>.</w:t>
      </w:r>
      <w:r w:rsidR="009B28F9" w:rsidRPr="003D283D">
        <w:rPr>
          <w:sz w:val="27"/>
          <w:szCs w:val="27"/>
          <w:vertAlign w:val="superscript"/>
        </w:rPr>
        <w:t xml:space="preserve"> </w:t>
      </w:r>
      <w:r w:rsidR="009B28F9" w:rsidRPr="003D283D">
        <w:rPr>
          <w:sz w:val="27"/>
          <w:szCs w:val="27"/>
        </w:rPr>
        <w:t xml:space="preserve"> (Cf. </w:t>
      </w:r>
      <w:r w:rsidR="009B28F9" w:rsidRPr="003D283D">
        <w:rPr>
          <w:i/>
          <w:iCs/>
          <w:sz w:val="27"/>
          <w:szCs w:val="27"/>
        </w:rPr>
        <w:t>Dart Industries, Inc. v. Commercial Union Ins. Co</w:t>
      </w:r>
      <w:r w:rsidR="009B28F9" w:rsidRPr="003D283D">
        <w:rPr>
          <w:sz w:val="27"/>
          <w:szCs w:val="27"/>
        </w:rPr>
        <w:t>. (2002) 28 Cal.4th 1059, 1082</w:t>
      </w:r>
      <w:r w:rsidR="00EC68FC" w:rsidRPr="003D283D">
        <w:rPr>
          <w:sz w:val="27"/>
          <w:szCs w:val="27"/>
        </w:rPr>
        <w:t xml:space="preserve"> (</w:t>
      </w:r>
      <w:r w:rsidR="009B28F9" w:rsidRPr="003D283D">
        <w:rPr>
          <w:sz w:val="27"/>
          <w:szCs w:val="27"/>
        </w:rPr>
        <w:t>conc. opn. of Brown. J.</w:t>
      </w:r>
      <w:r w:rsidR="00EC68FC" w:rsidRPr="003D283D">
        <w:rPr>
          <w:sz w:val="27"/>
          <w:szCs w:val="27"/>
        </w:rPr>
        <w:t>).</w:t>
      </w:r>
      <w:r w:rsidR="009B28F9" w:rsidRPr="003D283D">
        <w:rPr>
          <w:sz w:val="27"/>
          <w:szCs w:val="27"/>
        </w:rPr>
        <w:t>)</w:t>
      </w:r>
      <w:r w:rsidR="00062DB8" w:rsidRPr="003D283D">
        <w:rPr>
          <w:sz w:val="27"/>
          <w:szCs w:val="27"/>
        </w:rPr>
        <w:t xml:space="preserve"> </w:t>
      </w:r>
      <w:r w:rsidR="00B1742C" w:rsidRPr="003D283D">
        <w:rPr>
          <w:sz w:val="27"/>
          <w:szCs w:val="27"/>
        </w:rPr>
        <w:t xml:space="preserve"> </w:t>
      </w:r>
      <w:r w:rsidR="00C91DE9" w:rsidRPr="003D283D">
        <w:rPr>
          <w:sz w:val="27"/>
          <w:szCs w:val="27"/>
        </w:rPr>
        <w:t>Moreover</w:t>
      </w:r>
      <w:r w:rsidR="00413841" w:rsidRPr="003D283D">
        <w:rPr>
          <w:sz w:val="27"/>
          <w:szCs w:val="27"/>
        </w:rPr>
        <w:t xml:space="preserve">, </w:t>
      </w:r>
      <w:r w:rsidR="002D1157" w:rsidRPr="003D283D">
        <w:rPr>
          <w:sz w:val="27"/>
          <w:szCs w:val="27"/>
        </w:rPr>
        <w:t>a</w:t>
      </w:r>
      <w:r w:rsidR="002459B5" w:rsidRPr="003D283D">
        <w:rPr>
          <w:sz w:val="27"/>
          <w:szCs w:val="27"/>
        </w:rPr>
        <w:t xml:space="preserve"> survey of the case law of </w:t>
      </w:r>
      <w:r w:rsidR="00413841" w:rsidRPr="003D283D">
        <w:rPr>
          <w:sz w:val="27"/>
          <w:szCs w:val="27"/>
          <w:bdr w:val="none" w:sz="0" w:space="0" w:color="auto" w:frame="1"/>
        </w:rPr>
        <w:t>other state courts of last resort</w:t>
      </w:r>
      <w:r w:rsidR="002459B5" w:rsidRPr="003D283D">
        <w:rPr>
          <w:sz w:val="27"/>
          <w:szCs w:val="27"/>
          <w:bdr w:val="none" w:sz="0" w:space="0" w:color="auto" w:frame="1"/>
        </w:rPr>
        <w:t xml:space="preserve"> reveals</w:t>
      </w:r>
      <w:r w:rsidR="00B1742C" w:rsidRPr="003D283D">
        <w:rPr>
          <w:sz w:val="27"/>
          <w:szCs w:val="27"/>
          <w:bdr w:val="none" w:sz="0" w:space="0" w:color="auto" w:frame="1"/>
        </w:rPr>
        <w:t xml:space="preserve"> </w:t>
      </w:r>
      <w:r w:rsidR="007A25C5" w:rsidRPr="003D283D">
        <w:rPr>
          <w:sz w:val="27"/>
          <w:szCs w:val="27"/>
          <w:bdr w:val="none" w:sz="0" w:space="0" w:color="auto" w:frame="1"/>
        </w:rPr>
        <w:t>numerous</w:t>
      </w:r>
      <w:r w:rsidR="00824839" w:rsidRPr="003D283D">
        <w:rPr>
          <w:sz w:val="27"/>
          <w:szCs w:val="27"/>
          <w:bdr w:val="none" w:sz="0" w:space="0" w:color="auto" w:frame="1"/>
        </w:rPr>
        <w:t xml:space="preserve"> recent</w:t>
      </w:r>
      <w:r w:rsidR="007A25C5" w:rsidRPr="003D283D">
        <w:rPr>
          <w:sz w:val="27"/>
          <w:szCs w:val="27"/>
          <w:bdr w:val="none" w:sz="0" w:space="0" w:color="auto" w:frame="1"/>
        </w:rPr>
        <w:t xml:space="preserve"> </w:t>
      </w:r>
      <w:r w:rsidR="001A417C" w:rsidRPr="003D283D">
        <w:rPr>
          <w:sz w:val="27"/>
          <w:szCs w:val="27"/>
          <w:bdr w:val="none" w:sz="0" w:space="0" w:color="auto" w:frame="1"/>
        </w:rPr>
        <w:t>decisions</w:t>
      </w:r>
      <w:r w:rsidR="00614405" w:rsidRPr="003D283D">
        <w:rPr>
          <w:sz w:val="27"/>
          <w:szCs w:val="27"/>
          <w:bdr w:val="none" w:sz="0" w:space="0" w:color="auto" w:frame="1"/>
        </w:rPr>
        <w:t xml:space="preserve"> in which these courts have </w:t>
      </w:r>
      <w:r w:rsidR="00CF1EF3" w:rsidRPr="003D283D">
        <w:rPr>
          <w:sz w:val="27"/>
          <w:szCs w:val="27"/>
          <w:bdr w:val="none" w:sz="0" w:space="0" w:color="auto" w:frame="1"/>
        </w:rPr>
        <w:t>calibrated</w:t>
      </w:r>
      <w:r w:rsidR="00614405" w:rsidRPr="003D283D">
        <w:rPr>
          <w:sz w:val="27"/>
          <w:szCs w:val="27"/>
          <w:bdr w:val="none" w:sz="0" w:space="0" w:color="auto" w:frame="1"/>
        </w:rPr>
        <w:t xml:space="preserve"> their review for sufficient evidence</w:t>
      </w:r>
      <w:r w:rsidR="00CF1EF3" w:rsidRPr="003D283D">
        <w:rPr>
          <w:sz w:val="27"/>
          <w:szCs w:val="27"/>
          <w:bdr w:val="none" w:sz="0" w:space="0" w:color="auto" w:frame="1"/>
        </w:rPr>
        <w:t xml:space="preserve"> to reflect that the clear and convincing standard of proof applied to the finding at issue</w:t>
      </w:r>
      <w:r w:rsidR="00062DB8" w:rsidRPr="003D283D">
        <w:rPr>
          <w:sz w:val="27"/>
          <w:szCs w:val="26"/>
          <w:bdr w:val="none" w:sz="0" w:space="0" w:color="auto" w:frame="1"/>
        </w:rPr>
        <w:t>.  (</w:t>
      </w:r>
      <w:r w:rsidR="002D47AA" w:rsidRPr="003D283D">
        <w:rPr>
          <w:sz w:val="27"/>
          <w:szCs w:val="26"/>
          <w:bdr w:val="none" w:sz="0" w:space="0" w:color="auto" w:frame="1"/>
        </w:rPr>
        <w:t xml:space="preserve">E.g., </w:t>
      </w:r>
      <w:r w:rsidR="00E40111" w:rsidRPr="003D283D">
        <w:rPr>
          <w:i/>
          <w:iCs/>
          <w:sz w:val="27"/>
          <w:szCs w:val="26"/>
          <w:bdr w:val="none" w:sz="0" w:space="0" w:color="auto" w:frame="1"/>
        </w:rPr>
        <w:t>In re N.G.</w:t>
      </w:r>
      <w:r w:rsidR="00E40111" w:rsidRPr="003D283D">
        <w:rPr>
          <w:sz w:val="27"/>
          <w:szCs w:val="26"/>
          <w:bdr w:val="none" w:sz="0" w:space="0" w:color="auto" w:frame="1"/>
        </w:rPr>
        <w:t xml:space="preserve"> (Ind. 2016) 51 N.E.3d 1167, 1170; </w:t>
      </w:r>
      <w:r w:rsidR="00062DB8" w:rsidRPr="003D283D">
        <w:rPr>
          <w:i/>
          <w:iCs/>
          <w:sz w:val="27"/>
          <w:szCs w:val="26"/>
          <w:bdr w:val="none" w:sz="0" w:space="0" w:color="auto" w:frame="1"/>
        </w:rPr>
        <w:t>Moore v. Stills</w:t>
      </w:r>
      <w:r w:rsidR="00062DB8" w:rsidRPr="003D283D">
        <w:rPr>
          <w:sz w:val="27"/>
          <w:szCs w:val="26"/>
          <w:bdr w:val="none" w:sz="0" w:space="0" w:color="auto" w:frame="1"/>
        </w:rPr>
        <w:t xml:space="preserve"> (Ky. 2010) 307 S.W.3d 71, 82-83; </w:t>
      </w:r>
      <w:r w:rsidR="00E40111" w:rsidRPr="003D283D">
        <w:rPr>
          <w:i/>
          <w:iCs/>
          <w:sz w:val="27"/>
          <w:szCs w:val="26"/>
          <w:bdr w:val="none" w:sz="0" w:space="0" w:color="auto" w:frame="1"/>
        </w:rPr>
        <w:t xml:space="preserve">In re B.D.-Y. </w:t>
      </w:r>
      <w:r w:rsidR="00E40111" w:rsidRPr="003D283D">
        <w:rPr>
          <w:sz w:val="27"/>
          <w:szCs w:val="26"/>
          <w:bdr w:val="none" w:sz="0" w:space="0" w:color="auto" w:frame="1"/>
        </w:rPr>
        <w:t xml:space="preserve">(Kan. 2008) 187 P.3d 594, 606; </w:t>
      </w:r>
      <w:r w:rsidR="00062DB8" w:rsidRPr="003D283D">
        <w:rPr>
          <w:i/>
          <w:iCs/>
          <w:sz w:val="27"/>
          <w:szCs w:val="26"/>
          <w:bdr w:val="none" w:sz="0" w:space="0" w:color="auto" w:frame="1"/>
        </w:rPr>
        <w:t xml:space="preserve">Ex parte </w:t>
      </w:r>
      <w:proofErr w:type="spellStart"/>
      <w:r w:rsidR="00062DB8" w:rsidRPr="003D283D">
        <w:rPr>
          <w:i/>
          <w:iCs/>
          <w:sz w:val="27"/>
          <w:szCs w:val="26"/>
          <w:bdr w:val="none" w:sz="0" w:space="0" w:color="auto" w:frame="1"/>
        </w:rPr>
        <w:t>McInish</w:t>
      </w:r>
      <w:proofErr w:type="spellEnd"/>
      <w:r w:rsidR="00062DB8" w:rsidRPr="003D283D">
        <w:rPr>
          <w:sz w:val="27"/>
          <w:szCs w:val="26"/>
          <w:bdr w:val="none" w:sz="0" w:space="0" w:color="auto" w:frame="1"/>
        </w:rPr>
        <w:t xml:space="preserve"> (Ala. 2008) 47 So.3d 767, 778;</w:t>
      </w:r>
      <w:r w:rsidR="00293FCD" w:rsidRPr="003D283D">
        <w:rPr>
          <w:sz w:val="27"/>
          <w:szCs w:val="26"/>
          <w:bdr w:val="none" w:sz="0" w:space="0" w:color="auto" w:frame="1"/>
        </w:rPr>
        <w:t xml:space="preserve"> </w:t>
      </w:r>
      <w:r w:rsidR="00293FCD" w:rsidRPr="003D283D">
        <w:rPr>
          <w:i/>
          <w:iCs/>
          <w:sz w:val="27"/>
          <w:szCs w:val="26"/>
          <w:bdr w:val="none" w:sz="0" w:space="0" w:color="auto" w:frame="1"/>
        </w:rPr>
        <w:t>In re B.T.</w:t>
      </w:r>
      <w:r w:rsidR="00293FCD" w:rsidRPr="003D283D">
        <w:rPr>
          <w:sz w:val="27"/>
          <w:szCs w:val="26"/>
          <w:bdr w:val="none" w:sz="0" w:space="0" w:color="auto" w:frame="1"/>
        </w:rPr>
        <w:t xml:space="preserve"> (N.H. 2006) 891 A.2d 1193, 1198;</w:t>
      </w:r>
      <w:r w:rsidR="00062DB8" w:rsidRPr="003D283D">
        <w:rPr>
          <w:sz w:val="27"/>
          <w:szCs w:val="26"/>
          <w:bdr w:val="none" w:sz="0" w:space="0" w:color="auto" w:frame="1"/>
        </w:rPr>
        <w:t xml:space="preserve"> </w:t>
      </w:r>
      <w:r w:rsidR="0039022F" w:rsidRPr="003D283D">
        <w:rPr>
          <w:i/>
          <w:iCs/>
          <w:sz w:val="27"/>
          <w:szCs w:val="26"/>
          <w:bdr w:val="none" w:sz="0" w:space="0" w:color="auto" w:frame="1"/>
        </w:rPr>
        <w:t xml:space="preserve">In re S.B.C. </w:t>
      </w:r>
      <w:r w:rsidR="0039022F" w:rsidRPr="003D283D">
        <w:rPr>
          <w:sz w:val="27"/>
          <w:szCs w:val="26"/>
          <w:bdr w:val="none" w:sz="0" w:space="0" w:color="auto" w:frame="1"/>
        </w:rPr>
        <w:t>(Okla. 2002) 64</w:t>
      </w:r>
      <w:r w:rsidR="00BC00B3" w:rsidRPr="003D283D">
        <w:rPr>
          <w:sz w:val="27"/>
          <w:szCs w:val="26"/>
          <w:bdr w:val="none" w:sz="0" w:space="0" w:color="auto" w:frame="1"/>
        </w:rPr>
        <w:t> </w:t>
      </w:r>
      <w:r w:rsidR="0039022F" w:rsidRPr="003D283D">
        <w:rPr>
          <w:sz w:val="27"/>
          <w:szCs w:val="26"/>
          <w:bdr w:val="none" w:sz="0" w:space="0" w:color="auto" w:frame="1"/>
        </w:rPr>
        <w:t xml:space="preserve">P.3d 1080, 1083; </w:t>
      </w:r>
      <w:r w:rsidR="0039022F" w:rsidRPr="003D283D">
        <w:rPr>
          <w:i/>
          <w:iCs/>
          <w:sz w:val="27"/>
          <w:szCs w:val="26"/>
          <w:bdr w:val="none" w:sz="0" w:space="0" w:color="auto" w:frame="1"/>
        </w:rPr>
        <w:t>In re C.H.</w:t>
      </w:r>
      <w:r w:rsidR="0039022F" w:rsidRPr="003D283D">
        <w:rPr>
          <w:sz w:val="27"/>
          <w:szCs w:val="26"/>
          <w:bdr w:val="none" w:sz="0" w:space="0" w:color="auto" w:frame="1"/>
        </w:rPr>
        <w:t xml:space="preserve">, </w:t>
      </w:r>
      <w:r w:rsidR="0039022F" w:rsidRPr="003D283D">
        <w:rPr>
          <w:i/>
          <w:iCs/>
          <w:sz w:val="27"/>
          <w:szCs w:val="26"/>
          <w:bdr w:val="none" w:sz="0" w:space="0" w:color="auto" w:frame="1"/>
        </w:rPr>
        <w:t>supra</w:t>
      </w:r>
      <w:r w:rsidR="0039022F" w:rsidRPr="003D283D">
        <w:rPr>
          <w:sz w:val="27"/>
          <w:szCs w:val="26"/>
          <w:bdr w:val="none" w:sz="0" w:space="0" w:color="auto" w:frame="1"/>
        </w:rPr>
        <w:t xml:space="preserve">, 89 S.W.3d at p. 25; </w:t>
      </w:r>
      <w:r w:rsidR="00062DB8" w:rsidRPr="003D283D">
        <w:rPr>
          <w:i/>
          <w:iCs/>
          <w:sz w:val="27"/>
          <w:szCs w:val="26"/>
          <w:bdr w:val="none" w:sz="0" w:space="0" w:color="auto" w:frame="1"/>
        </w:rPr>
        <w:t xml:space="preserve">Hudak v. </w:t>
      </w:r>
      <w:proofErr w:type="spellStart"/>
      <w:r w:rsidR="00062DB8" w:rsidRPr="003D283D">
        <w:rPr>
          <w:i/>
          <w:iCs/>
          <w:sz w:val="27"/>
          <w:szCs w:val="26"/>
          <w:bdr w:val="none" w:sz="0" w:space="0" w:color="auto" w:frame="1"/>
        </w:rPr>
        <w:t>Procek</w:t>
      </w:r>
      <w:proofErr w:type="spellEnd"/>
      <w:r w:rsidR="00062DB8" w:rsidRPr="003D283D">
        <w:rPr>
          <w:sz w:val="27"/>
          <w:szCs w:val="26"/>
          <w:bdr w:val="none" w:sz="0" w:space="0" w:color="auto" w:frame="1"/>
        </w:rPr>
        <w:t xml:space="preserve"> (Del. 2002) 806 A.2d 140, 150; </w:t>
      </w:r>
      <w:r w:rsidR="00062DB8" w:rsidRPr="003D283D">
        <w:rPr>
          <w:i/>
          <w:iCs/>
          <w:sz w:val="27"/>
          <w:szCs w:val="26"/>
          <w:bdr w:val="none" w:sz="0" w:space="0" w:color="auto" w:frame="1"/>
        </w:rPr>
        <w:t>Rogers v. Moore</w:t>
      </w:r>
      <w:r w:rsidR="00062DB8" w:rsidRPr="003D283D">
        <w:rPr>
          <w:sz w:val="27"/>
          <w:szCs w:val="26"/>
          <w:bdr w:val="none" w:sz="0" w:space="0" w:color="auto" w:frame="1"/>
        </w:rPr>
        <w:t xml:space="preserve"> (Minn. 1999) 603 N.W.2d 650, 658; </w:t>
      </w:r>
      <w:r w:rsidR="00B1742C" w:rsidRPr="003D283D">
        <w:rPr>
          <w:i/>
          <w:iCs/>
          <w:sz w:val="27"/>
          <w:szCs w:val="26"/>
          <w:bdr w:val="none" w:sz="0" w:space="0" w:color="auto" w:frame="1"/>
        </w:rPr>
        <w:t>In re N.H.</w:t>
      </w:r>
      <w:r w:rsidR="00B1742C" w:rsidRPr="003D283D">
        <w:rPr>
          <w:sz w:val="27"/>
          <w:szCs w:val="26"/>
          <w:bdr w:val="none" w:sz="0" w:space="0" w:color="auto" w:frame="1"/>
        </w:rPr>
        <w:t xml:space="preserve"> (Vt. 1998) 724 A.2d 467, 470; </w:t>
      </w:r>
      <w:r w:rsidR="00062DB8" w:rsidRPr="003D283D">
        <w:rPr>
          <w:i/>
          <w:iCs/>
          <w:sz w:val="27"/>
          <w:szCs w:val="26"/>
          <w:bdr w:val="none" w:sz="0" w:space="0" w:color="auto" w:frame="1"/>
        </w:rPr>
        <w:t xml:space="preserve">Estate of Robinson v. </w:t>
      </w:r>
      <w:proofErr w:type="spellStart"/>
      <w:r w:rsidR="00062DB8" w:rsidRPr="003D283D">
        <w:rPr>
          <w:i/>
          <w:iCs/>
          <w:sz w:val="27"/>
          <w:szCs w:val="26"/>
          <w:bdr w:val="none" w:sz="0" w:space="0" w:color="auto" w:frame="1"/>
        </w:rPr>
        <w:t>Gu</w:t>
      </w:r>
      <w:r w:rsidR="00115AAB" w:rsidRPr="003D283D">
        <w:rPr>
          <w:i/>
          <w:iCs/>
          <w:sz w:val="27"/>
          <w:szCs w:val="26"/>
          <w:bdr w:val="none" w:sz="0" w:space="0" w:color="auto" w:frame="1"/>
        </w:rPr>
        <w:t>s</w:t>
      </w:r>
      <w:r w:rsidR="00062DB8" w:rsidRPr="003D283D">
        <w:rPr>
          <w:i/>
          <w:iCs/>
          <w:sz w:val="27"/>
          <w:szCs w:val="26"/>
          <w:bdr w:val="none" w:sz="0" w:space="0" w:color="auto" w:frame="1"/>
        </w:rPr>
        <w:t>ta</w:t>
      </w:r>
      <w:proofErr w:type="spellEnd"/>
      <w:r w:rsidR="00062DB8" w:rsidRPr="003D283D">
        <w:rPr>
          <w:i/>
          <w:iCs/>
          <w:sz w:val="27"/>
          <w:szCs w:val="26"/>
          <w:bdr w:val="none" w:sz="0" w:space="0" w:color="auto" w:frame="1"/>
        </w:rPr>
        <w:t xml:space="preserve"> </w:t>
      </w:r>
      <w:r w:rsidR="00062DB8" w:rsidRPr="003D283D">
        <w:rPr>
          <w:sz w:val="27"/>
          <w:szCs w:val="26"/>
          <w:bdr w:val="none" w:sz="0" w:space="0" w:color="auto" w:frame="1"/>
        </w:rPr>
        <w:lastRenderedPageBreak/>
        <w:t xml:space="preserve">(Miss. 1989) 540 So.2d 30, 33; </w:t>
      </w:r>
      <w:r w:rsidR="00062DB8" w:rsidRPr="003D283D">
        <w:rPr>
          <w:i/>
          <w:iCs/>
          <w:sz w:val="27"/>
          <w:szCs w:val="26"/>
          <w:bdr w:val="none" w:sz="0" w:space="0" w:color="auto" w:frame="1"/>
        </w:rPr>
        <w:t>In Interest of Bush</w:t>
      </w:r>
      <w:r w:rsidR="00062DB8" w:rsidRPr="003D283D">
        <w:rPr>
          <w:sz w:val="27"/>
          <w:szCs w:val="26"/>
          <w:bdr w:val="none" w:sz="0" w:space="0" w:color="auto" w:frame="1"/>
        </w:rPr>
        <w:t xml:space="preserve"> (Id</w:t>
      </w:r>
      <w:r w:rsidR="00622DE5" w:rsidRPr="003D283D">
        <w:rPr>
          <w:sz w:val="27"/>
          <w:szCs w:val="26"/>
          <w:bdr w:val="none" w:sz="0" w:space="0" w:color="auto" w:frame="1"/>
        </w:rPr>
        <w:t>aho</w:t>
      </w:r>
      <w:r w:rsidR="00062DB8" w:rsidRPr="003D283D">
        <w:rPr>
          <w:sz w:val="27"/>
          <w:szCs w:val="26"/>
          <w:bdr w:val="none" w:sz="0" w:space="0" w:color="auto" w:frame="1"/>
        </w:rPr>
        <w:t xml:space="preserve"> 1988) 749 P.2d 492, 495; </w:t>
      </w:r>
      <w:r w:rsidR="00062DB8" w:rsidRPr="003D283D">
        <w:rPr>
          <w:i/>
          <w:iCs/>
          <w:sz w:val="27"/>
          <w:szCs w:val="26"/>
          <w:bdr w:val="none" w:sz="0" w:space="0" w:color="auto" w:frame="1"/>
        </w:rPr>
        <w:t xml:space="preserve">Taylor v. Commissioner of Mental Health </w:t>
      </w:r>
      <w:r w:rsidR="00062DB8" w:rsidRPr="003D283D">
        <w:rPr>
          <w:sz w:val="27"/>
          <w:szCs w:val="26"/>
          <w:bdr w:val="none" w:sz="0" w:space="0" w:color="auto" w:frame="1"/>
        </w:rPr>
        <w:t>(Me. 1984) 481 A.2d 139, 153</w:t>
      </w:r>
      <w:r w:rsidR="00F4711F" w:rsidRPr="003D283D">
        <w:rPr>
          <w:sz w:val="27"/>
          <w:szCs w:val="26"/>
          <w:bdr w:val="none" w:sz="0" w:space="0" w:color="auto" w:frame="1"/>
        </w:rPr>
        <w:t xml:space="preserve">; </w:t>
      </w:r>
      <w:r w:rsidR="00F4711F" w:rsidRPr="003D283D">
        <w:rPr>
          <w:i/>
          <w:iCs/>
          <w:sz w:val="27"/>
          <w:szCs w:val="26"/>
          <w:bdr w:val="none" w:sz="0" w:space="0" w:color="auto" w:frame="1"/>
        </w:rPr>
        <w:t>Blackburn v. Blackburn</w:t>
      </w:r>
      <w:r w:rsidR="00F4711F" w:rsidRPr="003D283D">
        <w:rPr>
          <w:sz w:val="27"/>
          <w:szCs w:val="26"/>
          <w:bdr w:val="none" w:sz="0" w:space="0" w:color="auto" w:frame="1"/>
        </w:rPr>
        <w:t xml:space="preserve"> (Ga. 1982) 292 S.E.2d 821, 826</w:t>
      </w:r>
      <w:r w:rsidR="005269A8" w:rsidRPr="003D283D">
        <w:rPr>
          <w:sz w:val="27"/>
          <w:szCs w:val="26"/>
          <w:bdr w:val="none" w:sz="0" w:space="0" w:color="auto" w:frame="1"/>
        </w:rPr>
        <w:t>.</w:t>
      </w:r>
      <w:r w:rsidR="00062DB8" w:rsidRPr="003D283D">
        <w:rPr>
          <w:sz w:val="27"/>
          <w:szCs w:val="26"/>
          <w:bdr w:val="none" w:sz="0" w:space="0" w:color="auto" w:frame="1"/>
        </w:rPr>
        <w:t>)</w:t>
      </w:r>
    </w:p>
    <w:p w14:paraId="506203E3" w14:textId="20159026" w:rsidR="00062DB8" w:rsidRPr="003D283D" w:rsidRDefault="009B28F9" w:rsidP="007F1BD8">
      <w:pPr>
        <w:pStyle w:val="NormalWeb"/>
        <w:spacing w:before="0" w:beforeAutospacing="0" w:afterAutospacing="0"/>
        <w:ind w:firstLine="720"/>
        <w:rPr>
          <w:sz w:val="27"/>
          <w:szCs w:val="26"/>
        </w:rPr>
      </w:pPr>
      <w:r w:rsidRPr="003D283D">
        <w:rPr>
          <w:sz w:val="27"/>
          <w:szCs w:val="26"/>
        </w:rPr>
        <w:t>Our</w:t>
      </w:r>
      <w:r w:rsidR="002D47AA" w:rsidRPr="003D283D">
        <w:rPr>
          <w:sz w:val="27"/>
          <w:szCs w:val="26"/>
        </w:rPr>
        <w:t xml:space="preserve"> approach </w:t>
      </w:r>
      <w:r w:rsidR="0003017D" w:rsidRPr="003D283D">
        <w:rPr>
          <w:sz w:val="27"/>
          <w:szCs w:val="26"/>
        </w:rPr>
        <w:t>also</w:t>
      </w:r>
      <w:r w:rsidR="002D47AA" w:rsidRPr="003D283D">
        <w:rPr>
          <w:sz w:val="27"/>
          <w:szCs w:val="26"/>
        </w:rPr>
        <w:t xml:space="preserve"> </w:t>
      </w:r>
      <w:r w:rsidR="000204AD" w:rsidRPr="003D283D">
        <w:rPr>
          <w:sz w:val="27"/>
          <w:szCs w:val="26"/>
        </w:rPr>
        <w:t>harmonizes</w:t>
      </w:r>
      <w:r w:rsidR="002D47AA" w:rsidRPr="003D283D">
        <w:rPr>
          <w:sz w:val="27"/>
          <w:szCs w:val="26"/>
        </w:rPr>
        <w:t xml:space="preserve"> with the</w:t>
      </w:r>
      <w:r w:rsidR="00062DB8" w:rsidRPr="003D283D">
        <w:rPr>
          <w:sz w:val="27"/>
          <w:szCs w:val="26"/>
        </w:rPr>
        <w:t xml:space="preserve"> </w:t>
      </w:r>
      <w:r w:rsidR="00E87606" w:rsidRPr="003D283D">
        <w:rPr>
          <w:sz w:val="27"/>
          <w:szCs w:val="26"/>
        </w:rPr>
        <w:t xml:space="preserve">firmly </w:t>
      </w:r>
      <w:r w:rsidR="00062DB8" w:rsidRPr="003D283D">
        <w:rPr>
          <w:sz w:val="27"/>
          <w:szCs w:val="26"/>
        </w:rPr>
        <w:t xml:space="preserve">established </w:t>
      </w:r>
      <w:r w:rsidR="002D47AA" w:rsidRPr="003D283D">
        <w:rPr>
          <w:sz w:val="27"/>
          <w:szCs w:val="26"/>
        </w:rPr>
        <w:t xml:space="preserve">rule </w:t>
      </w:r>
      <w:r w:rsidR="00062DB8" w:rsidRPr="003D283D">
        <w:rPr>
          <w:sz w:val="27"/>
          <w:szCs w:val="26"/>
        </w:rPr>
        <w:t xml:space="preserve">in criminal cases that the prosecution’s burden of proving a defendant’s guilt beyond a reasonable doubt affects how an appellate court </w:t>
      </w:r>
      <w:r w:rsidR="002D47AA" w:rsidRPr="003D283D">
        <w:rPr>
          <w:sz w:val="27"/>
          <w:szCs w:val="26"/>
        </w:rPr>
        <w:t>reviews</w:t>
      </w:r>
      <w:r w:rsidR="00062DB8" w:rsidRPr="003D283D">
        <w:rPr>
          <w:sz w:val="27"/>
          <w:szCs w:val="26"/>
        </w:rPr>
        <w:t xml:space="preserve"> the record for substantial evidence.  In </w:t>
      </w:r>
      <w:r w:rsidR="00062DB8" w:rsidRPr="003D283D">
        <w:rPr>
          <w:i/>
          <w:iCs/>
          <w:sz w:val="27"/>
          <w:szCs w:val="26"/>
        </w:rPr>
        <w:t>Jackson v. Virginia</w:t>
      </w:r>
      <w:r w:rsidR="00062DB8" w:rsidRPr="003D283D">
        <w:rPr>
          <w:sz w:val="27"/>
          <w:szCs w:val="26"/>
        </w:rPr>
        <w:t xml:space="preserve"> (1979) 443 U.S. 307</w:t>
      </w:r>
      <w:r w:rsidR="00413841" w:rsidRPr="003D283D">
        <w:rPr>
          <w:sz w:val="27"/>
          <w:szCs w:val="26"/>
        </w:rPr>
        <w:t xml:space="preserve"> (</w:t>
      </w:r>
      <w:r w:rsidR="00413841" w:rsidRPr="003D283D">
        <w:rPr>
          <w:i/>
          <w:iCs/>
          <w:sz w:val="27"/>
          <w:szCs w:val="26"/>
        </w:rPr>
        <w:t>Jackson</w:t>
      </w:r>
      <w:r w:rsidR="00413841" w:rsidRPr="003D283D">
        <w:rPr>
          <w:sz w:val="27"/>
          <w:szCs w:val="26"/>
        </w:rPr>
        <w:t>)</w:t>
      </w:r>
      <w:r w:rsidR="00062DB8" w:rsidRPr="003D283D">
        <w:rPr>
          <w:sz w:val="27"/>
          <w:szCs w:val="26"/>
        </w:rPr>
        <w:t xml:space="preserve">, the </w:t>
      </w:r>
      <w:r w:rsidR="00413841" w:rsidRPr="003D283D">
        <w:rPr>
          <w:sz w:val="27"/>
          <w:szCs w:val="26"/>
        </w:rPr>
        <w:t>United States Supreme C</w:t>
      </w:r>
      <w:r w:rsidR="00062DB8" w:rsidRPr="003D283D">
        <w:rPr>
          <w:sz w:val="27"/>
          <w:szCs w:val="26"/>
        </w:rPr>
        <w:t>ourt considered “what standard is to be applied in a federal habeas corpus proceeding when the claim is made that a person has been convicted in a state court upon insufficient evidence.”  (</w:t>
      </w:r>
      <w:r w:rsidR="00062DB8" w:rsidRPr="003D283D">
        <w:rPr>
          <w:i/>
          <w:iCs/>
          <w:sz w:val="27"/>
          <w:szCs w:val="26"/>
        </w:rPr>
        <w:t>Id</w:t>
      </w:r>
      <w:r w:rsidR="00062DB8" w:rsidRPr="003D283D">
        <w:rPr>
          <w:sz w:val="27"/>
          <w:szCs w:val="26"/>
        </w:rPr>
        <w:t xml:space="preserve">., at p. 309.)  The </w:t>
      </w:r>
      <w:r w:rsidR="00062DB8" w:rsidRPr="003D283D">
        <w:rPr>
          <w:i/>
          <w:iCs/>
          <w:sz w:val="27"/>
          <w:szCs w:val="26"/>
        </w:rPr>
        <w:t>Jackson</w:t>
      </w:r>
      <w:r w:rsidR="00062DB8" w:rsidRPr="003D283D">
        <w:rPr>
          <w:sz w:val="27"/>
          <w:szCs w:val="26"/>
        </w:rPr>
        <w:t xml:space="preserve"> court decided that </w:t>
      </w:r>
      <w:r w:rsidR="008C0DB8" w:rsidRPr="003D283D">
        <w:rPr>
          <w:sz w:val="27"/>
          <w:szCs w:val="26"/>
        </w:rPr>
        <w:t>“</w:t>
      </w:r>
      <w:r w:rsidR="00062DB8" w:rsidRPr="003D283D">
        <w:rPr>
          <w:sz w:val="27"/>
          <w:szCs w:val="26"/>
        </w:rPr>
        <w:t>the critical inquiry on review of the sufficiency of the evidence to support a criminal conviction must be not simply to determine whether the jury was properly instructed, but to determine whether the record evidence could reasonably support a finding of guilt beyond a reasonable doubt.”  (</w:t>
      </w:r>
      <w:r w:rsidR="00062DB8" w:rsidRPr="003D283D">
        <w:rPr>
          <w:i/>
          <w:iCs/>
          <w:sz w:val="27"/>
          <w:szCs w:val="26"/>
        </w:rPr>
        <w:t>Id</w:t>
      </w:r>
      <w:r w:rsidR="00062DB8" w:rsidRPr="003D283D">
        <w:rPr>
          <w:sz w:val="27"/>
          <w:szCs w:val="26"/>
        </w:rPr>
        <w:t>., at p.</w:t>
      </w:r>
      <w:r w:rsidR="00BC00B3" w:rsidRPr="003D283D">
        <w:rPr>
          <w:sz w:val="27"/>
          <w:szCs w:val="26"/>
        </w:rPr>
        <w:t> </w:t>
      </w:r>
      <w:r w:rsidR="00062DB8" w:rsidRPr="003D283D">
        <w:rPr>
          <w:sz w:val="27"/>
          <w:szCs w:val="26"/>
        </w:rPr>
        <w:t xml:space="preserve">318.)  </w:t>
      </w:r>
      <w:r w:rsidR="002D47AA" w:rsidRPr="003D283D">
        <w:rPr>
          <w:sz w:val="27"/>
          <w:szCs w:val="26"/>
        </w:rPr>
        <w:t>The high</w:t>
      </w:r>
      <w:r w:rsidR="00062DB8" w:rsidRPr="003D283D">
        <w:rPr>
          <w:sz w:val="27"/>
          <w:szCs w:val="26"/>
        </w:rPr>
        <w:t xml:space="preserve"> court explained that “this inquiry does not require a court to ‘ask itself whether </w:t>
      </w:r>
      <w:r w:rsidR="00062DB8" w:rsidRPr="003D283D">
        <w:rPr>
          <w:i/>
          <w:iCs/>
          <w:sz w:val="27"/>
          <w:szCs w:val="26"/>
        </w:rPr>
        <w:t>it</w:t>
      </w:r>
      <w:r w:rsidR="00062DB8" w:rsidRPr="003D283D">
        <w:rPr>
          <w:sz w:val="27"/>
          <w:szCs w:val="26"/>
        </w:rPr>
        <w:t xml:space="preserve"> believes that the evidence at the trial established guilt beyond a reasonable doubt.’</w:t>
      </w:r>
      <w:r w:rsidR="0072602C" w:rsidRPr="003D283D">
        <w:rPr>
          <w:sz w:val="27"/>
          <w:szCs w:val="26"/>
        </w:rPr>
        <w:t> </w:t>
      </w:r>
      <w:r w:rsidR="001100EF" w:rsidRPr="003D283D">
        <w:rPr>
          <w:sz w:val="27"/>
          <w:szCs w:val="26"/>
        </w:rPr>
        <w:t xml:space="preserve"> [Citation.]</w:t>
      </w:r>
      <w:r w:rsidR="00062DB8" w:rsidRPr="003D283D">
        <w:rPr>
          <w:sz w:val="27"/>
          <w:szCs w:val="26"/>
        </w:rPr>
        <w:t xml:space="preserve">  Instead, the relevant question is whether, after viewing the evidence in the light most favorable to the prosecution, </w:t>
      </w:r>
      <w:r w:rsidR="00062DB8" w:rsidRPr="003D283D">
        <w:rPr>
          <w:i/>
          <w:iCs/>
          <w:sz w:val="27"/>
          <w:szCs w:val="26"/>
        </w:rPr>
        <w:t>any</w:t>
      </w:r>
      <w:r w:rsidR="00062DB8" w:rsidRPr="003D283D">
        <w:rPr>
          <w:sz w:val="27"/>
          <w:szCs w:val="26"/>
        </w:rPr>
        <w:t xml:space="preserve"> rational trier of fact could have found the essential elements of the crime beyond a reasonable doubt.  [Citation.]  This familiar standard gives full play to the responsibility of the trier of fact fairly to resolve conflicts in the testimony, to weigh the evidence, and to draw reasonable inferences from basic facts to ultimate facts.</w:t>
      </w:r>
      <w:r w:rsidR="001100EF" w:rsidRPr="003D283D">
        <w:rPr>
          <w:sz w:val="27"/>
          <w:szCs w:val="26"/>
        </w:rPr>
        <w:t xml:space="preserve">  Once a defendant has been found guilty of the crime charged, the factfinder</w:t>
      </w:r>
      <w:r w:rsidR="00D3052A" w:rsidRPr="003D283D">
        <w:rPr>
          <w:sz w:val="27"/>
          <w:szCs w:val="26"/>
        </w:rPr>
        <w:t>’</w:t>
      </w:r>
      <w:r w:rsidR="001100EF" w:rsidRPr="003D283D">
        <w:rPr>
          <w:sz w:val="27"/>
          <w:szCs w:val="26"/>
        </w:rPr>
        <w:t xml:space="preserve">s role as </w:t>
      </w:r>
      <w:proofErr w:type="spellStart"/>
      <w:r w:rsidR="001100EF" w:rsidRPr="003D283D">
        <w:rPr>
          <w:sz w:val="27"/>
          <w:szCs w:val="26"/>
        </w:rPr>
        <w:t>weigher</w:t>
      </w:r>
      <w:proofErr w:type="spellEnd"/>
      <w:r w:rsidR="001100EF" w:rsidRPr="003D283D">
        <w:rPr>
          <w:sz w:val="27"/>
          <w:szCs w:val="26"/>
        </w:rPr>
        <w:t xml:space="preserve"> of the evidence is preserved through a legal </w:t>
      </w:r>
      <w:r w:rsidR="001100EF" w:rsidRPr="003D283D">
        <w:rPr>
          <w:sz w:val="27"/>
          <w:szCs w:val="26"/>
        </w:rPr>
        <w:lastRenderedPageBreak/>
        <w:t xml:space="preserve">conclusion that upon judicial review </w:t>
      </w:r>
      <w:r w:rsidR="001100EF" w:rsidRPr="003D283D">
        <w:rPr>
          <w:i/>
          <w:iCs/>
          <w:sz w:val="27"/>
          <w:szCs w:val="26"/>
        </w:rPr>
        <w:t>all of the evidence</w:t>
      </w:r>
      <w:r w:rsidR="001100EF" w:rsidRPr="003D283D">
        <w:rPr>
          <w:sz w:val="27"/>
          <w:szCs w:val="26"/>
        </w:rPr>
        <w:t xml:space="preserve"> is to be considered in the light most favorable to the prosecution.</w:t>
      </w:r>
      <w:r w:rsidR="00062DB8" w:rsidRPr="003D283D">
        <w:rPr>
          <w:sz w:val="27"/>
          <w:szCs w:val="26"/>
        </w:rPr>
        <w:t>”  (</w:t>
      </w:r>
      <w:r w:rsidR="00062DB8" w:rsidRPr="003D283D">
        <w:rPr>
          <w:i/>
          <w:iCs/>
          <w:sz w:val="27"/>
          <w:szCs w:val="26"/>
        </w:rPr>
        <w:t>Id</w:t>
      </w:r>
      <w:r w:rsidR="00062DB8" w:rsidRPr="003D283D">
        <w:rPr>
          <w:sz w:val="27"/>
          <w:szCs w:val="26"/>
        </w:rPr>
        <w:t>., at pp.</w:t>
      </w:r>
      <w:r w:rsidR="00BC00B3" w:rsidRPr="003D283D">
        <w:rPr>
          <w:sz w:val="27"/>
          <w:szCs w:val="26"/>
        </w:rPr>
        <w:t> </w:t>
      </w:r>
      <w:r w:rsidR="00062DB8" w:rsidRPr="003D283D">
        <w:rPr>
          <w:sz w:val="27"/>
          <w:szCs w:val="26"/>
        </w:rPr>
        <w:t xml:space="preserve">318-319.)  </w:t>
      </w:r>
    </w:p>
    <w:p w14:paraId="5B3BF2C1" w14:textId="2B424F9D" w:rsidR="00062DB8" w:rsidRPr="003D283D" w:rsidRDefault="00062DB8" w:rsidP="007F1BD8">
      <w:pPr>
        <w:pStyle w:val="NormalWeb"/>
        <w:spacing w:before="0" w:beforeAutospacing="0" w:afterAutospacing="0"/>
        <w:ind w:firstLine="720"/>
        <w:rPr>
          <w:sz w:val="27"/>
          <w:szCs w:val="26"/>
        </w:rPr>
      </w:pPr>
      <w:r w:rsidRPr="003D283D">
        <w:rPr>
          <w:sz w:val="27"/>
          <w:szCs w:val="26"/>
        </w:rPr>
        <w:t xml:space="preserve">The decision in </w:t>
      </w:r>
      <w:r w:rsidRPr="003D283D">
        <w:rPr>
          <w:i/>
          <w:iCs/>
          <w:sz w:val="27"/>
          <w:szCs w:val="26"/>
        </w:rPr>
        <w:t>Jackson</w:t>
      </w:r>
      <w:r w:rsidRPr="003D283D">
        <w:rPr>
          <w:sz w:val="27"/>
          <w:szCs w:val="26"/>
        </w:rPr>
        <w:t xml:space="preserve"> prompted this court “to review and define the California standard </w:t>
      </w:r>
      <w:r w:rsidR="001100EF" w:rsidRPr="003D283D">
        <w:rPr>
          <w:sz w:val="27"/>
          <w:szCs w:val="26"/>
        </w:rPr>
        <w:t>for</w:t>
      </w:r>
      <w:r w:rsidRPr="003D283D">
        <w:rPr>
          <w:sz w:val="27"/>
          <w:szCs w:val="26"/>
        </w:rPr>
        <w:t xml:space="preserve"> review” </w:t>
      </w:r>
      <w:r w:rsidR="001100EF" w:rsidRPr="003D283D">
        <w:rPr>
          <w:sz w:val="27"/>
          <w:szCs w:val="26"/>
        </w:rPr>
        <w:t>of</w:t>
      </w:r>
      <w:r w:rsidRPr="003D283D">
        <w:rPr>
          <w:sz w:val="27"/>
          <w:szCs w:val="26"/>
        </w:rPr>
        <w:t xml:space="preserve"> </w:t>
      </w:r>
      <w:r w:rsidR="001100EF" w:rsidRPr="003D283D">
        <w:rPr>
          <w:sz w:val="27"/>
          <w:szCs w:val="26"/>
        </w:rPr>
        <w:t xml:space="preserve">a </w:t>
      </w:r>
      <w:r w:rsidRPr="003D283D">
        <w:rPr>
          <w:sz w:val="27"/>
          <w:szCs w:val="26"/>
        </w:rPr>
        <w:t xml:space="preserve">claim brought </w:t>
      </w:r>
      <w:r w:rsidR="0080369B" w:rsidRPr="003D283D">
        <w:rPr>
          <w:sz w:val="27"/>
          <w:szCs w:val="26"/>
        </w:rPr>
        <w:t xml:space="preserve">by a defendant </w:t>
      </w:r>
      <w:r w:rsidRPr="003D283D">
        <w:rPr>
          <w:sz w:val="27"/>
          <w:szCs w:val="26"/>
        </w:rPr>
        <w:t>on</w:t>
      </w:r>
      <w:r w:rsidR="0080369B" w:rsidRPr="003D283D">
        <w:rPr>
          <w:sz w:val="27"/>
          <w:szCs w:val="26"/>
        </w:rPr>
        <w:t xml:space="preserve"> direct</w:t>
      </w:r>
      <w:r w:rsidRPr="003D283D">
        <w:rPr>
          <w:sz w:val="27"/>
          <w:szCs w:val="26"/>
        </w:rPr>
        <w:t xml:space="preserve"> appeal alleging that a criminal conviction lacked </w:t>
      </w:r>
      <w:proofErr w:type="gramStart"/>
      <w:r w:rsidRPr="003D283D">
        <w:rPr>
          <w:sz w:val="27"/>
          <w:szCs w:val="26"/>
        </w:rPr>
        <w:t>sufficient</w:t>
      </w:r>
      <w:proofErr w:type="gramEnd"/>
      <w:r w:rsidRPr="003D283D">
        <w:rPr>
          <w:sz w:val="27"/>
          <w:szCs w:val="26"/>
        </w:rPr>
        <w:t xml:space="preserve"> support in the </w:t>
      </w:r>
      <w:r w:rsidR="00B0000A" w:rsidRPr="003D283D">
        <w:rPr>
          <w:sz w:val="27"/>
          <w:szCs w:val="26"/>
        </w:rPr>
        <w:t xml:space="preserve">evidentiary </w:t>
      </w:r>
      <w:r w:rsidRPr="003D283D">
        <w:rPr>
          <w:sz w:val="27"/>
          <w:szCs w:val="26"/>
        </w:rPr>
        <w:t>record.  (</w:t>
      </w:r>
      <w:r w:rsidRPr="003D283D">
        <w:rPr>
          <w:i/>
          <w:iCs/>
          <w:sz w:val="27"/>
          <w:szCs w:val="26"/>
        </w:rPr>
        <w:t>People v. Johnson</w:t>
      </w:r>
      <w:r w:rsidRPr="003D283D">
        <w:rPr>
          <w:sz w:val="27"/>
          <w:szCs w:val="26"/>
        </w:rPr>
        <w:t xml:space="preserve"> (1980) 26 Cal.3d 557, 562.)  We concluded </w:t>
      </w:r>
      <w:r w:rsidR="00D21C5C" w:rsidRPr="003D283D">
        <w:rPr>
          <w:sz w:val="27"/>
          <w:szCs w:val="26"/>
        </w:rPr>
        <w:t xml:space="preserve">in </w:t>
      </w:r>
      <w:r w:rsidR="00D21C5C" w:rsidRPr="003D283D">
        <w:rPr>
          <w:i/>
          <w:sz w:val="27"/>
          <w:szCs w:val="26"/>
        </w:rPr>
        <w:t>Johnson</w:t>
      </w:r>
      <w:r w:rsidR="00D21C5C" w:rsidRPr="003D283D">
        <w:rPr>
          <w:sz w:val="27"/>
          <w:szCs w:val="26"/>
        </w:rPr>
        <w:t xml:space="preserve"> </w:t>
      </w:r>
      <w:r w:rsidRPr="003D283D">
        <w:rPr>
          <w:sz w:val="27"/>
          <w:szCs w:val="26"/>
        </w:rPr>
        <w:t>that the standard of review</w:t>
      </w:r>
      <w:r w:rsidR="001F2035" w:rsidRPr="003D283D">
        <w:rPr>
          <w:sz w:val="27"/>
          <w:szCs w:val="26"/>
        </w:rPr>
        <w:t xml:space="preserve"> already</w:t>
      </w:r>
      <w:r w:rsidRPr="003D283D">
        <w:rPr>
          <w:sz w:val="27"/>
          <w:szCs w:val="26"/>
        </w:rPr>
        <w:t xml:space="preserve"> established by our case law was consistent with the rule announced in </w:t>
      </w:r>
      <w:r w:rsidR="00413841" w:rsidRPr="003D283D">
        <w:rPr>
          <w:i/>
          <w:iCs/>
          <w:sz w:val="27"/>
          <w:szCs w:val="26"/>
        </w:rPr>
        <w:t>Jackson</w:t>
      </w:r>
      <w:r w:rsidRPr="003D283D">
        <w:rPr>
          <w:sz w:val="27"/>
          <w:szCs w:val="26"/>
        </w:rPr>
        <w:t>.  (</w:t>
      </w:r>
      <w:r w:rsidR="00413841" w:rsidRPr="003D283D">
        <w:rPr>
          <w:i/>
          <w:iCs/>
          <w:sz w:val="27"/>
          <w:szCs w:val="26"/>
        </w:rPr>
        <w:t>Johnson</w:t>
      </w:r>
      <w:r w:rsidRPr="003D283D">
        <w:rPr>
          <w:sz w:val="27"/>
          <w:szCs w:val="26"/>
        </w:rPr>
        <w:t>, at p. 577.)  “[W]</w:t>
      </w:r>
      <w:proofErr w:type="spellStart"/>
      <w:r w:rsidRPr="003D283D">
        <w:rPr>
          <w:sz w:val="27"/>
          <w:szCs w:val="26"/>
        </w:rPr>
        <w:t>henever</w:t>
      </w:r>
      <w:proofErr w:type="spellEnd"/>
      <w:r w:rsidRPr="003D283D">
        <w:rPr>
          <w:sz w:val="27"/>
          <w:szCs w:val="26"/>
        </w:rPr>
        <w:t xml:space="preserve"> the evidentiary support for a conviction faces a challenge on appeal,” we </w:t>
      </w:r>
      <w:r w:rsidR="009C7C74" w:rsidRPr="003D283D">
        <w:rPr>
          <w:sz w:val="27"/>
          <w:szCs w:val="26"/>
        </w:rPr>
        <w:t>determined</w:t>
      </w:r>
      <w:r w:rsidRPr="003D283D">
        <w:rPr>
          <w:sz w:val="27"/>
          <w:szCs w:val="26"/>
        </w:rPr>
        <w:t>, “the court must review the whole record in the light most favorable to the judgment below to determine whether it discloses substantial evidence such that a reasonable trier of fact could find the defendant guilty beyond a reasonable doubt.”  (</w:t>
      </w:r>
      <w:r w:rsidRPr="003D283D">
        <w:rPr>
          <w:i/>
          <w:iCs/>
          <w:sz w:val="27"/>
          <w:szCs w:val="26"/>
        </w:rPr>
        <w:t>Id.</w:t>
      </w:r>
      <w:r w:rsidRPr="003D283D">
        <w:rPr>
          <w:sz w:val="27"/>
          <w:szCs w:val="26"/>
        </w:rPr>
        <w:t>, at p.</w:t>
      </w:r>
      <w:r w:rsidR="00A368C2" w:rsidRPr="003D283D">
        <w:rPr>
          <w:sz w:val="27"/>
          <w:szCs w:val="26"/>
        </w:rPr>
        <w:t> </w:t>
      </w:r>
      <w:r w:rsidRPr="003D283D">
        <w:rPr>
          <w:sz w:val="27"/>
          <w:szCs w:val="26"/>
        </w:rPr>
        <w:t xml:space="preserve">562.)  </w:t>
      </w:r>
      <w:r w:rsidR="001100EF" w:rsidRPr="003D283D">
        <w:rPr>
          <w:sz w:val="27"/>
          <w:szCs w:val="26"/>
        </w:rPr>
        <w:t xml:space="preserve">We </w:t>
      </w:r>
      <w:r w:rsidR="00611F7E" w:rsidRPr="003D283D">
        <w:rPr>
          <w:sz w:val="27"/>
          <w:szCs w:val="26"/>
        </w:rPr>
        <w:t>observed</w:t>
      </w:r>
      <w:r w:rsidR="001100EF" w:rsidRPr="003D283D">
        <w:rPr>
          <w:sz w:val="27"/>
          <w:szCs w:val="26"/>
        </w:rPr>
        <w:t xml:space="preserve"> that when engaging in</w:t>
      </w:r>
      <w:r w:rsidRPr="003D283D">
        <w:rPr>
          <w:sz w:val="27"/>
          <w:szCs w:val="26"/>
        </w:rPr>
        <w:t xml:space="preserve"> this review</w:t>
      </w:r>
      <w:r w:rsidR="001100EF" w:rsidRPr="003D283D">
        <w:rPr>
          <w:sz w:val="27"/>
          <w:szCs w:val="26"/>
        </w:rPr>
        <w:t xml:space="preserve">, </w:t>
      </w:r>
      <w:r w:rsidR="0080369B" w:rsidRPr="003D283D">
        <w:rPr>
          <w:sz w:val="27"/>
          <w:szCs w:val="26"/>
        </w:rPr>
        <w:t xml:space="preserve">an appellate court </w:t>
      </w:r>
      <w:r w:rsidRPr="003D283D">
        <w:rPr>
          <w:sz w:val="27"/>
          <w:szCs w:val="26"/>
        </w:rPr>
        <w:t>“</w:t>
      </w:r>
      <w:r w:rsidR="001100EF" w:rsidRPr="003D283D">
        <w:rPr>
          <w:sz w:val="27"/>
          <w:szCs w:val="26"/>
        </w:rPr>
        <w:t xml:space="preserve"> ‘must view the evidence in a light most favorable to respondent and </w:t>
      </w:r>
      <w:r w:rsidRPr="003D283D">
        <w:rPr>
          <w:sz w:val="27"/>
          <w:szCs w:val="26"/>
        </w:rPr>
        <w:t xml:space="preserve">presume in support of the judgment the existence of every fact the trier could </w:t>
      </w:r>
      <w:r w:rsidR="001100EF" w:rsidRPr="003D283D">
        <w:rPr>
          <w:sz w:val="27"/>
          <w:szCs w:val="26"/>
        </w:rPr>
        <w:t xml:space="preserve">reasonably </w:t>
      </w:r>
      <w:r w:rsidRPr="003D283D">
        <w:rPr>
          <w:sz w:val="27"/>
          <w:szCs w:val="26"/>
        </w:rPr>
        <w:t>deduce from the evidence.’ ”  (</w:t>
      </w:r>
      <w:r w:rsidRPr="003D283D">
        <w:rPr>
          <w:i/>
          <w:iCs/>
          <w:sz w:val="27"/>
          <w:szCs w:val="26"/>
        </w:rPr>
        <w:t>Id</w:t>
      </w:r>
      <w:r w:rsidRPr="003D283D">
        <w:rPr>
          <w:sz w:val="27"/>
          <w:szCs w:val="26"/>
        </w:rPr>
        <w:t xml:space="preserve">., at p. 576.)  </w:t>
      </w:r>
    </w:p>
    <w:p w14:paraId="1119BC45" w14:textId="5C7C2A8B" w:rsidR="00CB2231" w:rsidRPr="003D283D" w:rsidRDefault="00BF2D40" w:rsidP="00454300">
      <w:pPr>
        <w:pStyle w:val="NormalWeb"/>
        <w:spacing w:before="0" w:beforeAutospacing="0" w:afterAutospacing="0"/>
        <w:ind w:firstLine="720"/>
        <w:rPr>
          <w:sz w:val="27"/>
          <w:szCs w:val="26"/>
        </w:rPr>
      </w:pPr>
      <w:r w:rsidRPr="003D283D">
        <w:rPr>
          <w:sz w:val="27"/>
          <w:szCs w:val="26"/>
        </w:rPr>
        <w:t>Thus it has long been</w:t>
      </w:r>
      <w:r w:rsidR="00062DB8" w:rsidRPr="003D283D">
        <w:rPr>
          <w:sz w:val="27"/>
          <w:szCs w:val="26"/>
        </w:rPr>
        <w:t xml:space="preserve"> </w:t>
      </w:r>
      <w:r w:rsidR="007A25C5" w:rsidRPr="003D283D">
        <w:rPr>
          <w:sz w:val="27"/>
          <w:szCs w:val="26"/>
        </w:rPr>
        <w:t xml:space="preserve">the law </w:t>
      </w:r>
      <w:r w:rsidR="00062DB8" w:rsidRPr="003D283D">
        <w:rPr>
          <w:sz w:val="27"/>
          <w:szCs w:val="26"/>
        </w:rPr>
        <w:t xml:space="preserve">that </w:t>
      </w:r>
      <w:r w:rsidR="00145E33" w:rsidRPr="003D283D">
        <w:rPr>
          <w:sz w:val="27"/>
          <w:szCs w:val="26"/>
        </w:rPr>
        <w:t xml:space="preserve">appellate </w:t>
      </w:r>
      <w:r w:rsidR="008D5104" w:rsidRPr="003D283D">
        <w:rPr>
          <w:sz w:val="27"/>
          <w:szCs w:val="26"/>
        </w:rPr>
        <w:t>inquiry</w:t>
      </w:r>
      <w:r w:rsidR="00BD789E" w:rsidRPr="003D283D">
        <w:rPr>
          <w:sz w:val="27"/>
          <w:szCs w:val="26"/>
        </w:rPr>
        <w:t xml:space="preserve"> into the sufficiency of the evidence</w:t>
      </w:r>
      <w:r w:rsidR="008D5104" w:rsidRPr="003D283D">
        <w:rPr>
          <w:sz w:val="27"/>
          <w:szCs w:val="26"/>
        </w:rPr>
        <w:t xml:space="preserve"> </w:t>
      </w:r>
      <w:r w:rsidR="00145E33" w:rsidRPr="003D283D">
        <w:rPr>
          <w:sz w:val="27"/>
          <w:szCs w:val="26"/>
        </w:rPr>
        <w:t>associated with a criminal conviction</w:t>
      </w:r>
      <w:r w:rsidR="00B567AF" w:rsidRPr="003D283D">
        <w:rPr>
          <w:sz w:val="27"/>
          <w:szCs w:val="26"/>
        </w:rPr>
        <w:t xml:space="preserve"> both</w:t>
      </w:r>
      <w:r w:rsidR="00145E33" w:rsidRPr="003D283D">
        <w:rPr>
          <w:sz w:val="27"/>
          <w:szCs w:val="26"/>
        </w:rPr>
        <w:t xml:space="preserve"> </w:t>
      </w:r>
      <w:r w:rsidR="007A25C5" w:rsidRPr="003D283D">
        <w:rPr>
          <w:sz w:val="27"/>
          <w:szCs w:val="26"/>
        </w:rPr>
        <w:t>accounts for</w:t>
      </w:r>
      <w:r w:rsidR="008D5104" w:rsidRPr="003D283D">
        <w:rPr>
          <w:sz w:val="27"/>
          <w:szCs w:val="26"/>
        </w:rPr>
        <w:t xml:space="preserve"> the</w:t>
      </w:r>
      <w:r w:rsidR="00062DB8" w:rsidRPr="003D283D">
        <w:rPr>
          <w:sz w:val="27"/>
          <w:szCs w:val="26"/>
        </w:rPr>
        <w:t xml:space="preserve"> beyond a reasonable doubt standard </w:t>
      </w:r>
      <w:r w:rsidR="0080369B" w:rsidRPr="003D283D">
        <w:rPr>
          <w:sz w:val="27"/>
          <w:szCs w:val="26"/>
        </w:rPr>
        <w:t>of proof that applied before the trial court</w:t>
      </w:r>
      <w:r w:rsidR="00B567AF" w:rsidRPr="003D283D">
        <w:rPr>
          <w:sz w:val="27"/>
          <w:szCs w:val="26"/>
        </w:rPr>
        <w:t xml:space="preserve"> and </w:t>
      </w:r>
      <w:r w:rsidR="002A10BC" w:rsidRPr="003D283D">
        <w:rPr>
          <w:sz w:val="27"/>
          <w:szCs w:val="26"/>
        </w:rPr>
        <w:t>extends</w:t>
      </w:r>
      <w:r w:rsidR="00B567AF" w:rsidRPr="003D283D">
        <w:rPr>
          <w:sz w:val="27"/>
          <w:szCs w:val="26"/>
        </w:rPr>
        <w:t xml:space="preserve"> </w:t>
      </w:r>
      <w:r w:rsidR="003A66BC" w:rsidRPr="003D283D">
        <w:rPr>
          <w:sz w:val="27"/>
          <w:szCs w:val="26"/>
        </w:rPr>
        <w:t xml:space="preserve">an appropriate degree of deference to the </w:t>
      </w:r>
      <w:r w:rsidR="00B567AF" w:rsidRPr="003D283D">
        <w:rPr>
          <w:sz w:val="27"/>
          <w:szCs w:val="26"/>
        </w:rPr>
        <w:t>perspective of</w:t>
      </w:r>
      <w:r w:rsidR="003A66BC" w:rsidRPr="003D283D">
        <w:rPr>
          <w:sz w:val="27"/>
          <w:szCs w:val="26"/>
        </w:rPr>
        <w:t xml:space="preserve"> the trier of fact</w:t>
      </w:r>
      <w:r w:rsidR="00062DB8" w:rsidRPr="003D283D">
        <w:rPr>
          <w:sz w:val="27"/>
          <w:szCs w:val="26"/>
        </w:rPr>
        <w:t xml:space="preserve">. </w:t>
      </w:r>
      <w:r w:rsidR="00235212" w:rsidRPr="003D283D">
        <w:rPr>
          <w:sz w:val="27"/>
          <w:szCs w:val="26"/>
        </w:rPr>
        <w:t xml:space="preserve"> </w:t>
      </w:r>
      <w:r w:rsidR="00B567AF" w:rsidRPr="003D283D">
        <w:rPr>
          <w:sz w:val="27"/>
          <w:szCs w:val="26"/>
        </w:rPr>
        <w:t>And w</w:t>
      </w:r>
      <w:r w:rsidR="003A66BC" w:rsidRPr="003D283D">
        <w:rPr>
          <w:sz w:val="27"/>
          <w:szCs w:val="26"/>
        </w:rPr>
        <w:t xml:space="preserve">ith </w:t>
      </w:r>
      <w:r w:rsidR="00B567AF" w:rsidRPr="003D283D">
        <w:rPr>
          <w:sz w:val="27"/>
          <w:szCs w:val="26"/>
        </w:rPr>
        <w:t>infrequent</w:t>
      </w:r>
      <w:r w:rsidR="003A66BC" w:rsidRPr="003D283D">
        <w:rPr>
          <w:sz w:val="27"/>
          <w:szCs w:val="26"/>
        </w:rPr>
        <w:t xml:space="preserve"> exceptions, appellate courts have </w:t>
      </w:r>
      <w:r w:rsidR="002A10BC" w:rsidRPr="003D283D">
        <w:rPr>
          <w:sz w:val="27"/>
          <w:szCs w:val="26"/>
        </w:rPr>
        <w:t>grasped what</w:t>
      </w:r>
      <w:r w:rsidR="00E3244B" w:rsidRPr="003D283D">
        <w:rPr>
          <w:sz w:val="27"/>
          <w:szCs w:val="26"/>
        </w:rPr>
        <w:t xml:space="preserve"> this kind of review</w:t>
      </w:r>
      <w:r w:rsidR="002A10BC" w:rsidRPr="003D283D">
        <w:rPr>
          <w:sz w:val="27"/>
          <w:szCs w:val="26"/>
        </w:rPr>
        <w:t xml:space="preserve"> entails</w:t>
      </w:r>
      <w:r w:rsidR="003A66BC" w:rsidRPr="003D283D">
        <w:rPr>
          <w:sz w:val="27"/>
          <w:szCs w:val="26"/>
        </w:rPr>
        <w:t xml:space="preserve">. </w:t>
      </w:r>
      <w:r w:rsidR="002970A2" w:rsidRPr="003D283D">
        <w:rPr>
          <w:sz w:val="27"/>
          <w:szCs w:val="26"/>
        </w:rPr>
        <w:t xml:space="preserve"> </w:t>
      </w:r>
      <w:r w:rsidR="003A66BC" w:rsidRPr="003D283D">
        <w:rPr>
          <w:sz w:val="27"/>
          <w:szCs w:val="26"/>
        </w:rPr>
        <w:t>This experience</w:t>
      </w:r>
      <w:r w:rsidR="00744A7B" w:rsidRPr="003D283D">
        <w:rPr>
          <w:sz w:val="27"/>
          <w:szCs w:val="26"/>
        </w:rPr>
        <w:t xml:space="preserve"> </w:t>
      </w:r>
      <w:r w:rsidR="00576448" w:rsidRPr="003D283D">
        <w:rPr>
          <w:sz w:val="27"/>
          <w:szCs w:val="26"/>
        </w:rPr>
        <w:t>contradicts</w:t>
      </w:r>
      <w:r w:rsidR="00744A7B" w:rsidRPr="003D283D">
        <w:rPr>
          <w:sz w:val="27"/>
          <w:szCs w:val="26"/>
        </w:rPr>
        <w:t xml:space="preserve"> </w:t>
      </w:r>
      <w:r w:rsidR="009D3AFF" w:rsidRPr="003D283D">
        <w:rPr>
          <w:sz w:val="27"/>
          <w:szCs w:val="26"/>
        </w:rPr>
        <w:t xml:space="preserve">respondents’ argument </w:t>
      </w:r>
      <w:r w:rsidR="00744A7B" w:rsidRPr="003D283D">
        <w:rPr>
          <w:sz w:val="27"/>
          <w:szCs w:val="26"/>
        </w:rPr>
        <w:t>that a rule that requires</w:t>
      </w:r>
      <w:r w:rsidR="007A25C5" w:rsidRPr="003D283D">
        <w:rPr>
          <w:sz w:val="27"/>
          <w:szCs w:val="26"/>
        </w:rPr>
        <w:t xml:space="preserve"> </w:t>
      </w:r>
      <w:r w:rsidR="00E50203" w:rsidRPr="003D283D">
        <w:rPr>
          <w:sz w:val="27"/>
          <w:szCs w:val="26"/>
        </w:rPr>
        <w:t xml:space="preserve">the clear and convincing standard of proof </w:t>
      </w:r>
      <w:r w:rsidR="00454300" w:rsidRPr="003D283D">
        <w:rPr>
          <w:sz w:val="27"/>
          <w:szCs w:val="26"/>
        </w:rPr>
        <w:t xml:space="preserve">to be taken </w:t>
      </w:r>
      <w:r w:rsidR="00E50203" w:rsidRPr="003D283D">
        <w:rPr>
          <w:sz w:val="27"/>
          <w:szCs w:val="26"/>
        </w:rPr>
        <w:t xml:space="preserve">into account </w:t>
      </w:r>
      <w:r w:rsidR="003A66BC" w:rsidRPr="003D283D">
        <w:rPr>
          <w:sz w:val="27"/>
          <w:szCs w:val="26"/>
        </w:rPr>
        <w:t>whe</w:t>
      </w:r>
      <w:r w:rsidR="00744A7B" w:rsidRPr="003D283D">
        <w:rPr>
          <w:sz w:val="27"/>
          <w:szCs w:val="26"/>
        </w:rPr>
        <w:t xml:space="preserve">n </w:t>
      </w:r>
      <w:r w:rsidR="00E50203" w:rsidRPr="003D283D">
        <w:rPr>
          <w:sz w:val="27"/>
          <w:szCs w:val="26"/>
        </w:rPr>
        <w:t>review</w:t>
      </w:r>
      <w:r w:rsidR="00744A7B" w:rsidRPr="003D283D">
        <w:rPr>
          <w:sz w:val="27"/>
          <w:szCs w:val="26"/>
        </w:rPr>
        <w:t>ing</w:t>
      </w:r>
      <w:r w:rsidR="00E50203" w:rsidRPr="003D283D">
        <w:rPr>
          <w:sz w:val="27"/>
          <w:szCs w:val="26"/>
        </w:rPr>
        <w:t xml:space="preserve"> for substantial evidence</w:t>
      </w:r>
      <w:r w:rsidR="00543777" w:rsidRPr="003D283D">
        <w:rPr>
          <w:sz w:val="27"/>
          <w:szCs w:val="26"/>
        </w:rPr>
        <w:t xml:space="preserve"> </w:t>
      </w:r>
      <w:r w:rsidR="00744A7B" w:rsidRPr="003D283D">
        <w:rPr>
          <w:sz w:val="27"/>
          <w:szCs w:val="26"/>
        </w:rPr>
        <w:t xml:space="preserve">will </w:t>
      </w:r>
      <w:r w:rsidR="00576448" w:rsidRPr="003D283D">
        <w:rPr>
          <w:sz w:val="27"/>
          <w:szCs w:val="26"/>
        </w:rPr>
        <w:t>encourage</w:t>
      </w:r>
      <w:r w:rsidR="007A25C5" w:rsidRPr="003D283D">
        <w:rPr>
          <w:sz w:val="27"/>
          <w:szCs w:val="26"/>
        </w:rPr>
        <w:t xml:space="preserve"> </w:t>
      </w:r>
      <w:r w:rsidR="00744A7B" w:rsidRPr="003D283D">
        <w:rPr>
          <w:sz w:val="27"/>
          <w:szCs w:val="26"/>
        </w:rPr>
        <w:t xml:space="preserve">these </w:t>
      </w:r>
      <w:r w:rsidR="00744A7B" w:rsidRPr="003D283D">
        <w:rPr>
          <w:sz w:val="27"/>
          <w:szCs w:val="26"/>
        </w:rPr>
        <w:lastRenderedPageBreak/>
        <w:t>same</w:t>
      </w:r>
      <w:r w:rsidR="00454300" w:rsidRPr="003D283D">
        <w:rPr>
          <w:sz w:val="27"/>
          <w:szCs w:val="26"/>
        </w:rPr>
        <w:t xml:space="preserve"> courts</w:t>
      </w:r>
      <w:r w:rsidR="007A25C5" w:rsidRPr="003D283D">
        <w:rPr>
          <w:sz w:val="27"/>
          <w:szCs w:val="26"/>
        </w:rPr>
        <w:t xml:space="preserve"> to</w:t>
      </w:r>
      <w:r w:rsidR="00543777" w:rsidRPr="003D283D">
        <w:rPr>
          <w:sz w:val="27"/>
          <w:szCs w:val="26"/>
        </w:rPr>
        <w:t xml:space="preserve"> overstep their authority by reweighing the evidence themselves</w:t>
      </w:r>
      <w:r w:rsidR="00DD5DD4" w:rsidRPr="003D283D">
        <w:rPr>
          <w:sz w:val="27"/>
          <w:szCs w:val="26"/>
        </w:rPr>
        <w:t xml:space="preserve">. </w:t>
      </w:r>
      <w:r w:rsidR="00E50203" w:rsidRPr="003D283D">
        <w:rPr>
          <w:sz w:val="27"/>
          <w:szCs w:val="26"/>
        </w:rPr>
        <w:t xml:space="preserve"> </w:t>
      </w:r>
      <w:r w:rsidR="000F0A6B" w:rsidRPr="003D283D">
        <w:rPr>
          <w:sz w:val="27"/>
          <w:szCs w:val="26"/>
        </w:rPr>
        <w:t>Out of an abundance of caution, however, we use this opportunity to emphasize</w:t>
      </w:r>
      <w:r w:rsidR="00454300" w:rsidRPr="003D283D">
        <w:rPr>
          <w:sz w:val="27"/>
          <w:szCs w:val="26"/>
        </w:rPr>
        <w:t xml:space="preserve"> that </w:t>
      </w:r>
      <w:r w:rsidR="007A25C5" w:rsidRPr="003D283D">
        <w:rPr>
          <w:sz w:val="27"/>
          <w:szCs w:val="26"/>
        </w:rPr>
        <w:t>a</w:t>
      </w:r>
      <w:r w:rsidR="00ED76B0" w:rsidRPr="003D283D">
        <w:rPr>
          <w:sz w:val="27"/>
          <w:szCs w:val="26"/>
        </w:rPr>
        <w:t xml:space="preserve">s in criminal appeals involving a challenge to the sufficiency of the evidence, </w:t>
      </w:r>
      <w:r w:rsidR="00E50203" w:rsidRPr="003D283D">
        <w:rPr>
          <w:sz w:val="27"/>
          <w:szCs w:val="26"/>
        </w:rPr>
        <w:t xml:space="preserve">an </w:t>
      </w:r>
      <w:r w:rsidR="00ED76B0" w:rsidRPr="003D283D">
        <w:rPr>
          <w:sz w:val="27"/>
          <w:szCs w:val="26"/>
        </w:rPr>
        <w:t xml:space="preserve">appellate court reviewing a finding </w:t>
      </w:r>
      <w:r w:rsidR="007A25C5" w:rsidRPr="003D283D">
        <w:rPr>
          <w:sz w:val="27"/>
          <w:szCs w:val="26"/>
        </w:rPr>
        <w:t>made pursuant to the</w:t>
      </w:r>
      <w:r w:rsidR="00ED76B0" w:rsidRPr="003D283D">
        <w:rPr>
          <w:sz w:val="27"/>
          <w:szCs w:val="26"/>
        </w:rPr>
        <w:t xml:space="preserve"> clear and convincing </w:t>
      </w:r>
      <w:r w:rsidR="007A25C5" w:rsidRPr="003D283D">
        <w:rPr>
          <w:sz w:val="27"/>
          <w:szCs w:val="26"/>
        </w:rPr>
        <w:t>standard</w:t>
      </w:r>
      <w:r w:rsidR="00AA24C7" w:rsidRPr="003D283D">
        <w:rPr>
          <w:sz w:val="27"/>
          <w:szCs w:val="26"/>
        </w:rPr>
        <w:t xml:space="preserve"> </w:t>
      </w:r>
      <w:r w:rsidR="00E50203" w:rsidRPr="003D283D">
        <w:rPr>
          <w:sz w:val="27"/>
          <w:szCs w:val="26"/>
        </w:rPr>
        <w:t>does</w:t>
      </w:r>
      <w:r w:rsidR="00ED76B0" w:rsidRPr="003D283D">
        <w:rPr>
          <w:sz w:val="27"/>
          <w:szCs w:val="26"/>
        </w:rPr>
        <w:t xml:space="preserve"> </w:t>
      </w:r>
      <w:r w:rsidR="00DD5DD4" w:rsidRPr="003D283D">
        <w:rPr>
          <w:sz w:val="27"/>
          <w:szCs w:val="26"/>
        </w:rPr>
        <w:t>not reweigh the evidence</w:t>
      </w:r>
      <w:r w:rsidR="00543777" w:rsidRPr="003D283D">
        <w:rPr>
          <w:sz w:val="27"/>
          <w:szCs w:val="26"/>
        </w:rPr>
        <w:t xml:space="preserve"> itself</w:t>
      </w:r>
      <w:r w:rsidR="00DD5DD4" w:rsidRPr="003D283D">
        <w:rPr>
          <w:sz w:val="27"/>
          <w:szCs w:val="26"/>
        </w:rPr>
        <w:t xml:space="preserve">.  </w:t>
      </w:r>
      <w:r w:rsidR="003E3B60" w:rsidRPr="003D283D">
        <w:rPr>
          <w:sz w:val="27"/>
          <w:szCs w:val="26"/>
        </w:rPr>
        <w:t xml:space="preserve">In assessing </w:t>
      </w:r>
      <w:r w:rsidR="00EC68FC" w:rsidRPr="003D283D">
        <w:rPr>
          <w:sz w:val="27"/>
          <w:szCs w:val="26"/>
        </w:rPr>
        <w:t>how the evidence reasonably could have been evaluated by the trier of fact</w:t>
      </w:r>
      <w:r w:rsidR="003E3B60" w:rsidRPr="003D283D">
        <w:rPr>
          <w:sz w:val="27"/>
          <w:szCs w:val="26"/>
        </w:rPr>
        <w:t xml:space="preserve">, an </w:t>
      </w:r>
      <w:r w:rsidR="002970A2" w:rsidRPr="003D283D">
        <w:rPr>
          <w:sz w:val="27"/>
          <w:szCs w:val="26"/>
        </w:rPr>
        <w:t>appellate court</w:t>
      </w:r>
      <w:r w:rsidR="003E3B60" w:rsidRPr="003D283D">
        <w:rPr>
          <w:sz w:val="27"/>
          <w:szCs w:val="26"/>
        </w:rPr>
        <w:t xml:space="preserve"> reviewing such a finding is </w:t>
      </w:r>
      <w:r w:rsidR="002970A2" w:rsidRPr="003D283D">
        <w:rPr>
          <w:sz w:val="27"/>
          <w:szCs w:val="26"/>
        </w:rPr>
        <w:t>to view the record in the light most favorable to the judgment below</w:t>
      </w:r>
      <w:r w:rsidR="004436CD" w:rsidRPr="003D283D">
        <w:rPr>
          <w:sz w:val="27"/>
          <w:szCs w:val="26"/>
        </w:rPr>
        <w:t>;</w:t>
      </w:r>
      <w:r w:rsidR="002970A2" w:rsidRPr="003D283D">
        <w:rPr>
          <w:sz w:val="27"/>
          <w:szCs w:val="26"/>
        </w:rPr>
        <w:t xml:space="preserve"> </w:t>
      </w:r>
      <w:r w:rsidR="003E3B60" w:rsidRPr="003D283D">
        <w:rPr>
          <w:sz w:val="27"/>
          <w:szCs w:val="26"/>
        </w:rPr>
        <w:t xml:space="preserve">it </w:t>
      </w:r>
      <w:r w:rsidR="002970A2" w:rsidRPr="003D283D">
        <w:rPr>
          <w:sz w:val="27"/>
          <w:szCs w:val="26"/>
        </w:rPr>
        <w:t xml:space="preserve">must indulge reasonable inferences that </w:t>
      </w:r>
      <w:r w:rsidR="003E3B60" w:rsidRPr="003D283D">
        <w:rPr>
          <w:sz w:val="27"/>
          <w:szCs w:val="26"/>
        </w:rPr>
        <w:t xml:space="preserve">the trier of fact </w:t>
      </w:r>
      <w:r w:rsidR="002970A2" w:rsidRPr="003D283D">
        <w:rPr>
          <w:sz w:val="27"/>
          <w:szCs w:val="26"/>
        </w:rPr>
        <w:t>might have drawn</w:t>
      </w:r>
      <w:r w:rsidR="00B567AF" w:rsidRPr="003D283D">
        <w:rPr>
          <w:sz w:val="27"/>
          <w:szCs w:val="26"/>
        </w:rPr>
        <w:t xml:space="preserve"> from the evidence</w:t>
      </w:r>
      <w:r w:rsidR="00AC4964" w:rsidRPr="003D283D">
        <w:rPr>
          <w:sz w:val="27"/>
          <w:szCs w:val="26"/>
        </w:rPr>
        <w:t>;</w:t>
      </w:r>
      <w:r w:rsidR="002970A2" w:rsidRPr="003D283D">
        <w:rPr>
          <w:sz w:val="27"/>
          <w:szCs w:val="26"/>
        </w:rPr>
        <w:t xml:space="preserve"> </w:t>
      </w:r>
      <w:r w:rsidR="003E3B60" w:rsidRPr="003D283D">
        <w:rPr>
          <w:sz w:val="27"/>
          <w:szCs w:val="26"/>
        </w:rPr>
        <w:t xml:space="preserve">it </w:t>
      </w:r>
      <w:r w:rsidR="00E50203" w:rsidRPr="003D283D">
        <w:rPr>
          <w:sz w:val="27"/>
          <w:szCs w:val="26"/>
        </w:rPr>
        <w:t xml:space="preserve">must </w:t>
      </w:r>
      <w:r w:rsidR="00734640" w:rsidRPr="003D283D">
        <w:rPr>
          <w:sz w:val="27"/>
          <w:szCs w:val="26"/>
        </w:rPr>
        <w:t>accept</w:t>
      </w:r>
      <w:r w:rsidR="00AA24C7" w:rsidRPr="003D283D">
        <w:rPr>
          <w:sz w:val="27"/>
          <w:szCs w:val="26"/>
        </w:rPr>
        <w:t xml:space="preserve"> the factfinder’s</w:t>
      </w:r>
      <w:r w:rsidR="00E50203" w:rsidRPr="003D283D">
        <w:rPr>
          <w:sz w:val="27"/>
          <w:szCs w:val="26"/>
        </w:rPr>
        <w:t xml:space="preserve"> resolution of conflicting evidence</w:t>
      </w:r>
      <w:r w:rsidR="00AC4964" w:rsidRPr="003D283D">
        <w:rPr>
          <w:sz w:val="27"/>
          <w:szCs w:val="26"/>
        </w:rPr>
        <w:t>;</w:t>
      </w:r>
      <w:r w:rsidR="00E50203" w:rsidRPr="003D283D">
        <w:rPr>
          <w:sz w:val="27"/>
          <w:szCs w:val="26"/>
        </w:rPr>
        <w:t xml:space="preserve"> </w:t>
      </w:r>
      <w:r w:rsidR="002970A2" w:rsidRPr="003D283D">
        <w:rPr>
          <w:sz w:val="27"/>
          <w:szCs w:val="26"/>
        </w:rPr>
        <w:t xml:space="preserve">and </w:t>
      </w:r>
      <w:r w:rsidR="003E3B60" w:rsidRPr="003D283D">
        <w:rPr>
          <w:sz w:val="27"/>
          <w:szCs w:val="26"/>
        </w:rPr>
        <w:t xml:space="preserve">it </w:t>
      </w:r>
      <w:r w:rsidR="002970A2" w:rsidRPr="003D283D">
        <w:rPr>
          <w:sz w:val="27"/>
          <w:szCs w:val="26"/>
        </w:rPr>
        <w:t xml:space="preserve">may not </w:t>
      </w:r>
      <w:r w:rsidR="00B567AF" w:rsidRPr="003D283D">
        <w:rPr>
          <w:sz w:val="27"/>
          <w:szCs w:val="26"/>
        </w:rPr>
        <w:t>insert</w:t>
      </w:r>
      <w:r w:rsidR="002970A2" w:rsidRPr="003D283D">
        <w:rPr>
          <w:sz w:val="27"/>
          <w:szCs w:val="26"/>
        </w:rPr>
        <w:t xml:space="preserve"> </w:t>
      </w:r>
      <w:r w:rsidR="003E3B60" w:rsidRPr="003D283D">
        <w:rPr>
          <w:sz w:val="27"/>
          <w:szCs w:val="26"/>
        </w:rPr>
        <w:t>its</w:t>
      </w:r>
      <w:r w:rsidR="002970A2" w:rsidRPr="003D283D">
        <w:rPr>
          <w:sz w:val="27"/>
          <w:szCs w:val="26"/>
        </w:rPr>
        <w:t xml:space="preserve"> </w:t>
      </w:r>
      <w:r w:rsidR="00E50203" w:rsidRPr="003D283D">
        <w:rPr>
          <w:sz w:val="27"/>
          <w:szCs w:val="26"/>
        </w:rPr>
        <w:t xml:space="preserve">own </w:t>
      </w:r>
      <w:r w:rsidR="002970A2" w:rsidRPr="003D283D">
        <w:rPr>
          <w:sz w:val="27"/>
          <w:szCs w:val="26"/>
        </w:rPr>
        <w:t xml:space="preserve">views regarding the credibility of witnesses </w:t>
      </w:r>
      <w:r w:rsidR="001D3637" w:rsidRPr="003D283D">
        <w:rPr>
          <w:sz w:val="27"/>
          <w:szCs w:val="26"/>
        </w:rPr>
        <w:t xml:space="preserve">in </w:t>
      </w:r>
      <w:r w:rsidR="00B567AF" w:rsidRPr="003D283D">
        <w:rPr>
          <w:sz w:val="27"/>
          <w:szCs w:val="26"/>
        </w:rPr>
        <w:t>place of the assessments</w:t>
      </w:r>
      <w:r w:rsidR="002970A2" w:rsidRPr="003D283D">
        <w:rPr>
          <w:sz w:val="27"/>
          <w:szCs w:val="26"/>
        </w:rPr>
        <w:t xml:space="preserve"> conveyed by the judgment.  </w:t>
      </w:r>
      <w:r w:rsidR="00543777" w:rsidRPr="003D283D">
        <w:rPr>
          <w:sz w:val="27"/>
          <w:szCs w:val="26"/>
        </w:rPr>
        <w:t>(</w:t>
      </w:r>
      <w:r w:rsidR="005713D1" w:rsidRPr="003D283D">
        <w:rPr>
          <w:sz w:val="27"/>
          <w:szCs w:val="26"/>
        </w:rPr>
        <w:t xml:space="preserve">See, e.g., </w:t>
      </w:r>
      <w:r w:rsidR="00543777" w:rsidRPr="003D283D">
        <w:rPr>
          <w:i/>
          <w:iCs/>
          <w:sz w:val="27"/>
          <w:szCs w:val="26"/>
        </w:rPr>
        <w:t xml:space="preserve">People v. </w:t>
      </w:r>
      <w:proofErr w:type="spellStart"/>
      <w:r w:rsidR="00543777" w:rsidRPr="003D283D">
        <w:rPr>
          <w:i/>
          <w:iCs/>
          <w:sz w:val="27"/>
          <w:szCs w:val="26"/>
        </w:rPr>
        <w:t>Veamatahau</w:t>
      </w:r>
      <w:proofErr w:type="spellEnd"/>
      <w:r w:rsidR="00543777" w:rsidRPr="003D283D">
        <w:rPr>
          <w:sz w:val="27"/>
          <w:szCs w:val="26"/>
        </w:rPr>
        <w:t xml:space="preserve"> (2020) 9 Cal.5th 16, 35-36;</w:t>
      </w:r>
      <w:r w:rsidR="005713D1" w:rsidRPr="003D283D">
        <w:rPr>
          <w:sz w:val="27"/>
          <w:szCs w:val="26"/>
        </w:rPr>
        <w:t xml:space="preserve"> </w:t>
      </w:r>
      <w:r w:rsidR="005713D1" w:rsidRPr="003D283D">
        <w:rPr>
          <w:i/>
          <w:iCs/>
          <w:sz w:val="27"/>
          <w:szCs w:val="26"/>
        </w:rPr>
        <w:t>People v. Gomez</w:t>
      </w:r>
      <w:r w:rsidR="005713D1" w:rsidRPr="003D283D">
        <w:rPr>
          <w:sz w:val="27"/>
          <w:szCs w:val="26"/>
        </w:rPr>
        <w:t xml:space="preserve"> (2018) 6 Cal.5th 243, 278, 307.) </w:t>
      </w:r>
      <w:r w:rsidR="00543777" w:rsidRPr="003D283D">
        <w:rPr>
          <w:sz w:val="27"/>
          <w:szCs w:val="26"/>
        </w:rPr>
        <w:t xml:space="preserve"> </w:t>
      </w:r>
      <w:r w:rsidR="002970A2" w:rsidRPr="003D283D">
        <w:rPr>
          <w:sz w:val="27"/>
          <w:szCs w:val="26"/>
        </w:rPr>
        <w:t xml:space="preserve">To paraphrase the high court in </w:t>
      </w:r>
      <w:r w:rsidR="002970A2" w:rsidRPr="003D283D">
        <w:rPr>
          <w:i/>
          <w:iCs/>
          <w:sz w:val="27"/>
          <w:szCs w:val="26"/>
        </w:rPr>
        <w:t>Jackson</w:t>
      </w:r>
      <w:r w:rsidR="002970A2" w:rsidRPr="003D283D">
        <w:rPr>
          <w:sz w:val="27"/>
          <w:szCs w:val="26"/>
        </w:rPr>
        <w:t xml:space="preserve">, </w:t>
      </w:r>
      <w:r w:rsidR="002970A2" w:rsidRPr="003D283D">
        <w:rPr>
          <w:i/>
          <w:iCs/>
          <w:sz w:val="27"/>
          <w:szCs w:val="26"/>
        </w:rPr>
        <w:t>supra</w:t>
      </w:r>
      <w:r w:rsidR="002970A2" w:rsidRPr="003D283D">
        <w:rPr>
          <w:sz w:val="27"/>
          <w:szCs w:val="26"/>
        </w:rPr>
        <w:t>, 443 U.S. at page 318, the question</w:t>
      </w:r>
      <w:r w:rsidR="005C539D" w:rsidRPr="003D283D">
        <w:rPr>
          <w:sz w:val="27"/>
          <w:szCs w:val="26"/>
        </w:rPr>
        <w:t xml:space="preserve"> before a court reviewing a finding </w:t>
      </w:r>
      <w:r w:rsidR="002A10BC" w:rsidRPr="003D283D">
        <w:rPr>
          <w:sz w:val="27"/>
          <w:szCs w:val="26"/>
        </w:rPr>
        <w:t>that a fact has been proved by</w:t>
      </w:r>
      <w:r w:rsidR="005C539D" w:rsidRPr="003D283D">
        <w:rPr>
          <w:sz w:val="27"/>
          <w:szCs w:val="26"/>
        </w:rPr>
        <w:t xml:space="preserve"> clear and convincing evidence</w:t>
      </w:r>
      <w:r w:rsidR="002970A2" w:rsidRPr="003D283D">
        <w:rPr>
          <w:sz w:val="27"/>
          <w:szCs w:val="26"/>
        </w:rPr>
        <w:t xml:space="preserve"> is not whether the appellate court itself regards the evidence as clear and convincing; it is whether a reasonable trier of fact could have regarded the evidence as satisfying this standard of proof.</w:t>
      </w:r>
    </w:p>
    <w:p w14:paraId="792276BF" w14:textId="39A96E51" w:rsidR="008C0460" w:rsidRPr="003D283D" w:rsidRDefault="004968D5" w:rsidP="005634E7">
      <w:pPr>
        <w:pStyle w:val="NormalWeb"/>
        <w:spacing w:before="0" w:beforeAutospacing="0" w:afterAutospacing="0"/>
        <w:ind w:firstLine="720"/>
        <w:rPr>
          <w:spacing w:val="-1"/>
          <w:sz w:val="27"/>
          <w:szCs w:val="26"/>
        </w:rPr>
      </w:pPr>
      <w:r w:rsidRPr="003D283D">
        <w:rPr>
          <w:spacing w:val="-1"/>
          <w:sz w:val="27"/>
          <w:szCs w:val="26"/>
        </w:rPr>
        <w:t xml:space="preserve">This court’s </w:t>
      </w:r>
      <w:r w:rsidR="00C91DE9" w:rsidRPr="003D283D">
        <w:rPr>
          <w:spacing w:val="-1"/>
          <w:sz w:val="27"/>
          <w:szCs w:val="26"/>
        </w:rPr>
        <w:t>precedent</w:t>
      </w:r>
      <w:r w:rsidRPr="003D283D">
        <w:rPr>
          <w:spacing w:val="-1"/>
          <w:sz w:val="27"/>
          <w:szCs w:val="26"/>
        </w:rPr>
        <w:t xml:space="preserve"> offer</w:t>
      </w:r>
      <w:r w:rsidR="00C91DE9" w:rsidRPr="003D283D">
        <w:rPr>
          <w:spacing w:val="-1"/>
          <w:sz w:val="27"/>
          <w:szCs w:val="26"/>
        </w:rPr>
        <w:t>s</w:t>
      </w:r>
      <w:r w:rsidRPr="003D283D">
        <w:rPr>
          <w:spacing w:val="-1"/>
          <w:sz w:val="27"/>
          <w:szCs w:val="26"/>
        </w:rPr>
        <w:t xml:space="preserve"> less support for respondents’ position that appellate review</w:t>
      </w:r>
      <w:r w:rsidR="00836380" w:rsidRPr="003D283D">
        <w:rPr>
          <w:spacing w:val="-1"/>
          <w:sz w:val="27"/>
          <w:szCs w:val="26"/>
        </w:rPr>
        <w:t xml:space="preserve"> for sufficiency of the evidence</w:t>
      </w:r>
      <w:r w:rsidRPr="003D283D">
        <w:rPr>
          <w:spacing w:val="-1"/>
          <w:sz w:val="27"/>
          <w:szCs w:val="26"/>
        </w:rPr>
        <w:t xml:space="preserve"> should in no way </w:t>
      </w:r>
      <w:r w:rsidR="00836380" w:rsidRPr="003D283D">
        <w:rPr>
          <w:spacing w:val="-1"/>
          <w:sz w:val="27"/>
          <w:szCs w:val="26"/>
        </w:rPr>
        <w:t>account for</w:t>
      </w:r>
      <w:r w:rsidRPr="003D283D">
        <w:rPr>
          <w:spacing w:val="-1"/>
          <w:sz w:val="27"/>
          <w:szCs w:val="26"/>
        </w:rPr>
        <w:t xml:space="preserve"> the clear and convincing </w:t>
      </w:r>
      <w:r w:rsidR="009C25BD" w:rsidRPr="003D283D">
        <w:rPr>
          <w:spacing w:val="-1"/>
          <w:sz w:val="27"/>
          <w:szCs w:val="26"/>
        </w:rPr>
        <w:t>standard</w:t>
      </w:r>
      <w:r w:rsidRPr="003D283D">
        <w:rPr>
          <w:spacing w:val="-1"/>
          <w:sz w:val="27"/>
          <w:szCs w:val="26"/>
        </w:rPr>
        <w:t xml:space="preserve"> of proof </w:t>
      </w:r>
      <w:r w:rsidR="00C2291E" w:rsidRPr="003D283D">
        <w:rPr>
          <w:spacing w:val="-1"/>
          <w:sz w:val="27"/>
          <w:szCs w:val="26"/>
        </w:rPr>
        <w:t>that applied</w:t>
      </w:r>
      <w:r w:rsidRPr="003D283D">
        <w:rPr>
          <w:spacing w:val="-1"/>
          <w:sz w:val="27"/>
          <w:szCs w:val="26"/>
        </w:rPr>
        <w:t xml:space="preserve"> before the trial court</w:t>
      </w:r>
      <w:r w:rsidR="00062DB8" w:rsidRPr="003D283D">
        <w:rPr>
          <w:spacing w:val="-1"/>
          <w:sz w:val="27"/>
          <w:szCs w:val="26"/>
        </w:rPr>
        <w:t xml:space="preserve">.  </w:t>
      </w:r>
      <w:r w:rsidR="00CB64D1" w:rsidRPr="003D283D">
        <w:rPr>
          <w:spacing w:val="-1"/>
          <w:sz w:val="27"/>
          <w:szCs w:val="26"/>
        </w:rPr>
        <w:t>As observed</w:t>
      </w:r>
      <w:r w:rsidR="005C539D" w:rsidRPr="003D283D">
        <w:rPr>
          <w:spacing w:val="-1"/>
          <w:sz w:val="27"/>
          <w:szCs w:val="26"/>
        </w:rPr>
        <w:t xml:space="preserve"> </w:t>
      </w:r>
      <w:r w:rsidR="005C539D" w:rsidRPr="003D283D">
        <w:rPr>
          <w:i/>
          <w:iCs/>
          <w:spacing w:val="-1"/>
          <w:sz w:val="27"/>
          <w:szCs w:val="26"/>
        </w:rPr>
        <w:t>ante</w:t>
      </w:r>
      <w:r w:rsidR="00CB64D1" w:rsidRPr="003D283D">
        <w:rPr>
          <w:spacing w:val="-1"/>
          <w:sz w:val="27"/>
          <w:szCs w:val="26"/>
        </w:rPr>
        <w:t>, r</w:t>
      </w:r>
      <w:r w:rsidR="00062DB8" w:rsidRPr="003D283D">
        <w:rPr>
          <w:spacing w:val="-1"/>
          <w:sz w:val="27"/>
          <w:szCs w:val="26"/>
        </w:rPr>
        <w:t>espondent</w:t>
      </w:r>
      <w:r w:rsidR="00F73398" w:rsidRPr="003D283D">
        <w:rPr>
          <w:spacing w:val="-1"/>
          <w:sz w:val="27"/>
          <w:szCs w:val="26"/>
        </w:rPr>
        <w:t>s</w:t>
      </w:r>
      <w:r w:rsidR="00062DB8" w:rsidRPr="003D283D">
        <w:rPr>
          <w:spacing w:val="-1"/>
          <w:sz w:val="27"/>
          <w:szCs w:val="26"/>
        </w:rPr>
        <w:t xml:space="preserve"> </w:t>
      </w:r>
      <w:r w:rsidR="00F057AF" w:rsidRPr="003D283D">
        <w:rPr>
          <w:spacing w:val="-1"/>
          <w:sz w:val="27"/>
          <w:szCs w:val="26"/>
        </w:rPr>
        <w:t>emphasize</w:t>
      </w:r>
      <w:r w:rsidR="00AC4964" w:rsidRPr="003D283D">
        <w:rPr>
          <w:spacing w:val="-1"/>
          <w:sz w:val="27"/>
          <w:szCs w:val="26"/>
        </w:rPr>
        <w:t xml:space="preserve"> language appearing in</w:t>
      </w:r>
      <w:r w:rsidR="00857784" w:rsidRPr="003D283D">
        <w:rPr>
          <w:spacing w:val="-1"/>
          <w:sz w:val="27"/>
          <w:szCs w:val="26"/>
        </w:rPr>
        <w:t xml:space="preserve"> </w:t>
      </w:r>
      <w:r w:rsidR="00CB64D1" w:rsidRPr="003D283D">
        <w:rPr>
          <w:spacing w:val="-1"/>
          <w:sz w:val="27"/>
          <w:szCs w:val="26"/>
        </w:rPr>
        <w:t xml:space="preserve">a line of </w:t>
      </w:r>
      <w:r w:rsidR="00F45A8B" w:rsidRPr="003D283D">
        <w:rPr>
          <w:spacing w:val="-1"/>
          <w:sz w:val="27"/>
          <w:szCs w:val="26"/>
        </w:rPr>
        <w:t>decisions</w:t>
      </w:r>
      <w:r w:rsidR="00CB64D1" w:rsidRPr="003D283D">
        <w:rPr>
          <w:spacing w:val="-1"/>
          <w:sz w:val="27"/>
          <w:szCs w:val="26"/>
        </w:rPr>
        <w:t xml:space="preserve"> beginning with </w:t>
      </w:r>
      <w:r w:rsidR="00CB64D1" w:rsidRPr="003D283D">
        <w:rPr>
          <w:i/>
          <w:iCs/>
          <w:spacing w:val="-1"/>
          <w:sz w:val="27"/>
          <w:szCs w:val="26"/>
          <w:shd w:val="clear" w:color="auto" w:fill="FFFFFF"/>
        </w:rPr>
        <w:t>Steinberger</w:t>
      </w:r>
      <w:r w:rsidR="00CB64D1" w:rsidRPr="003D283D">
        <w:rPr>
          <w:spacing w:val="-1"/>
          <w:sz w:val="27"/>
          <w:szCs w:val="26"/>
          <w:shd w:val="clear" w:color="auto" w:fill="FFFFFF"/>
        </w:rPr>
        <w:t xml:space="preserve">, </w:t>
      </w:r>
      <w:r w:rsidR="00CB64D1" w:rsidRPr="003D283D">
        <w:rPr>
          <w:i/>
          <w:iCs/>
          <w:spacing w:val="-1"/>
          <w:sz w:val="27"/>
          <w:szCs w:val="26"/>
          <w:shd w:val="clear" w:color="auto" w:fill="FFFFFF"/>
        </w:rPr>
        <w:t>supra</w:t>
      </w:r>
      <w:r w:rsidR="00CB64D1" w:rsidRPr="003D283D">
        <w:rPr>
          <w:spacing w:val="-1"/>
          <w:sz w:val="27"/>
          <w:szCs w:val="26"/>
          <w:shd w:val="clear" w:color="auto" w:fill="FFFFFF"/>
        </w:rPr>
        <w:t>, 175 Cal. 81</w:t>
      </w:r>
      <w:r w:rsidR="00E3244B" w:rsidRPr="003D283D">
        <w:rPr>
          <w:spacing w:val="-1"/>
          <w:sz w:val="27"/>
          <w:szCs w:val="26"/>
          <w:shd w:val="clear" w:color="auto" w:fill="FFFFFF"/>
        </w:rPr>
        <w:t xml:space="preserve"> and</w:t>
      </w:r>
      <w:r w:rsidR="00AC4964" w:rsidRPr="003D283D">
        <w:rPr>
          <w:spacing w:val="-1"/>
          <w:sz w:val="27"/>
          <w:szCs w:val="26"/>
          <w:shd w:val="clear" w:color="auto" w:fill="FFFFFF"/>
        </w:rPr>
        <w:t xml:space="preserve"> including our statement in</w:t>
      </w:r>
      <w:r w:rsidR="00E02C8E" w:rsidRPr="003D283D">
        <w:rPr>
          <w:spacing w:val="-1"/>
          <w:sz w:val="27"/>
          <w:szCs w:val="26"/>
          <w:shd w:val="clear" w:color="auto" w:fill="FFFFFF"/>
        </w:rPr>
        <w:t xml:space="preserve"> </w:t>
      </w:r>
      <w:r w:rsidR="00E02C8E" w:rsidRPr="003D283D">
        <w:rPr>
          <w:i/>
          <w:iCs/>
          <w:spacing w:val="-1"/>
          <w:sz w:val="27"/>
          <w:szCs w:val="26"/>
          <w:shd w:val="clear" w:color="auto" w:fill="FFFFFF"/>
        </w:rPr>
        <w:t>Crail</w:t>
      </w:r>
      <w:r w:rsidR="00E02C8E" w:rsidRPr="003D283D">
        <w:rPr>
          <w:spacing w:val="-1"/>
          <w:sz w:val="27"/>
          <w:szCs w:val="26"/>
          <w:shd w:val="clear" w:color="auto" w:fill="FFFFFF"/>
        </w:rPr>
        <w:t xml:space="preserve">, </w:t>
      </w:r>
      <w:r w:rsidR="00E02C8E" w:rsidRPr="003D283D">
        <w:rPr>
          <w:i/>
          <w:iCs/>
          <w:spacing w:val="-1"/>
          <w:sz w:val="27"/>
          <w:szCs w:val="26"/>
          <w:shd w:val="clear" w:color="auto" w:fill="FFFFFF"/>
        </w:rPr>
        <w:t>supra</w:t>
      </w:r>
      <w:r w:rsidR="00E02C8E" w:rsidRPr="003D283D">
        <w:rPr>
          <w:spacing w:val="-1"/>
          <w:sz w:val="27"/>
          <w:szCs w:val="26"/>
          <w:shd w:val="clear" w:color="auto" w:fill="FFFFFF"/>
        </w:rPr>
        <w:t>, 8 Cal.3d 744</w:t>
      </w:r>
      <w:r w:rsidR="002649B9" w:rsidRPr="003D283D">
        <w:rPr>
          <w:spacing w:val="-1"/>
          <w:sz w:val="27"/>
          <w:szCs w:val="26"/>
          <w:shd w:val="clear" w:color="auto" w:fill="FFFFFF"/>
        </w:rPr>
        <w:t>,</w:t>
      </w:r>
      <w:r w:rsidR="00E02C8E" w:rsidRPr="003D283D">
        <w:rPr>
          <w:spacing w:val="-1"/>
          <w:sz w:val="27"/>
          <w:szCs w:val="26"/>
          <w:shd w:val="clear" w:color="auto" w:fill="FFFFFF"/>
        </w:rPr>
        <w:t xml:space="preserve"> that </w:t>
      </w:r>
      <w:r w:rsidR="003E05C0" w:rsidRPr="003D283D">
        <w:rPr>
          <w:spacing w:val="-1"/>
          <w:sz w:val="27"/>
          <w:szCs w:val="26"/>
          <w:shd w:val="clear" w:color="auto" w:fill="FFFFFF"/>
        </w:rPr>
        <w:t>the clear and convincing</w:t>
      </w:r>
      <w:r w:rsidR="003E05C0" w:rsidRPr="003D283D">
        <w:rPr>
          <w:spacing w:val="-1"/>
        </w:rPr>
        <w:t xml:space="preserve"> “</w:t>
      </w:r>
      <w:r w:rsidR="003E05C0" w:rsidRPr="003D283D">
        <w:rPr>
          <w:spacing w:val="-1"/>
          <w:sz w:val="27"/>
          <w:szCs w:val="26"/>
        </w:rPr>
        <w:t>standard was adopted . . .</w:t>
      </w:r>
      <w:r w:rsidR="00284B25" w:rsidRPr="003D283D">
        <w:rPr>
          <w:spacing w:val="-1"/>
          <w:sz w:val="27"/>
          <w:szCs w:val="26"/>
        </w:rPr>
        <w:t xml:space="preserve"> </w:t>
      </w:r>
      <w:r w:rsidR="003E05C0" w:rsidRPr="003D283D">
        <w:rPr>
          <w:spacing w:val="-1"/>
          <w:sz w:val="27"/>
          <w:szCs w:val="26"/>
        </w:rPr>
        <w:t xml:space="preserve">for the edification and guidance of the trial </w:t>
      </w:r>
      <w:proofErr w:type="gramStart"/>
      <w:r w:rsidR="003E05C0" w:rsidRPr="003D283D">
        <w:rPr>
          <w:spacing w:val="-1"/>
          <w:sz w:val="27"/>
          <w:szCs w:val="26"/>
        </w:rPr>
        <w:t>court, and</w:t>
      </w:r>
      <w:proofErr w:type="gramEnd"/>
      <w:r w:rsidR="003E05C0" w:rsidRPr="003D283D">
        <w:rPr>
          <w:spacing w:val="-1"/>
          <w:sz w:val="27"/>
          <w:szCs w:val="26"/>
        </w:rPr>
        <w:t xml:space="preserve"> was not intended as a standard </w:t>
      </w:r>
      <w:r w:rsidR="003E05C0" w:rsidRPr="003D283D">
        <w:rPr>
          <w:spacing w:val="-1"/>
          <w:sz w:val="27"/>
          <w:szCs w:val="26"/>
        </w:rPr>
        <w:lastRenderedPageBreak/>
        <w:t>for appellate review.  ‘The sufficiency of evidence to establish a given fact, where the law requires proof of the fact to be clear and convincing, is primarily a question for the trial court to determine, and if there is substantial evidence to support its conclusion, the determination is not open to review on appeal.’ ” (</w:t>
      </w:r>
      <w:r w:rsidR="00E3244B" w:rsidRPr="003D283D">
        <w:rPr>
          <w:i/>
          <w:iCs/>
          <w:spacing w:val="-1"/>
          <w:sz w:val="27"/>
          <w:szCs w:val="26"/>
        </w:rPr>
        <w:t>Crail</w:t>
      </w:r>
      <w:r w:rsidR="003E05C0" w:rsidRPr="003D283D">
        <w:rPr>
          <w:spacing w:val="-1"/>
          <w:sz w:val="27"/>
          <w:szCs w:val="26"/>
        </w:rPr>
        <w:t xml:space="preserve">, at </w:t>
      </w:r>
      <w:r w:rsidR="00062DB8" w:rsidRPr="003D283D">
        <w:rPr>
          <w:spacing w:val="-1"/>
          <w:sz w:val="27"/>
          <w:szCs w:val="26"/>
        </w:rPr>
        <w:t xml:space="preserve">p. 750; see also </w:t>
      </w:r>
      <w:proofErr w:type="gramStart"/>
      <w:r w:rsidR="003436DC" w:rsidRPr="003D283D">
        <w:rPr>
          <w:i/>
          <w:iCs/>
          <w:spacing w:val="-1"/>
          <w:sz w:val="27"/>
          <w:szCs w:val="26"/>
          <w:shd w:val="clear" w:color="auto" w:fill="FFFFFF"/>
        </w:rPr>
        <w:t>In</w:t>
      </w:r>
      <w:proofErr w:type="gramEnd"/>
      <w:r w:rsidR="003436DC" w:rsidRPr="003D283D">
        <w:rPr>
          <w:i/>
          <w:iCs/>
          <w:spacing w:val="-1"/>
          <w:sz w:val="27"/>
          <w:szCs w:val="26"/>
          <w:shd w:val="clear" w:color="auto" w:fill="FFFFFF"/>
        </w:rPr>
        <w:t xml:space="preserve"> re Marriage of </w:t>
      </w:r>
      <w:proofErr w:type="spellStart"/>
      <w:r w:rsidR="003436DC" w:rsidRPr="003D283D">
        <w:rPr>
          <w:i/>
          <w:iCs/>
          <w:spacing w:val="-1"/>
          <w:sz w:val="27"/>
          <w:szCs w:val="26"/>
          <w:shd w:val="clear" w:color="auto" w:fill="FFFFFF"/>
        </w:rPr>
        <w:t>Saslow</w:t>
      </w:r>
      <w:proofErr w:type="spellEnd"/>
      <w:r w:rsidR="003436DC" w:rsidRPr="003D283D">
        <w:rPr>
          <w:spacing w:val="-1"/>
          <w:sz w:val="27"/>
          <w:szCs w:val="26"/>
          <w:shd w:val="clear" w:color="auto" w:fill="FFFFFF"/>
        </w:rPr>
        <w:t xml:space="preserve">, </w:t>
      </w:r>
      <w:r w:rsidR="003436DC" w:rsidRPr="003D283D">
        <w:rPr>
          <w:i/>
          <w:iCs/>
          <w:spacing w:val="-1"/>
          <w:sz w:val="27"/>
          <w:szCs w:val="26"/>
          <w:shd w:val="clear" w:color="auto" w:fill="FFFFFF"/>
        </w:rPr>
        <w:t>supra</w:t>
      </w:r>
      <w:r w:rsidR="003436DC" w:rsidRPr="003D283D">
        <w:rPr>
          <w:spacing w:val="-1"/>
          <w:sz w:val="27"/>
          <w:szCs w:val="26"/>
          <w:shd w:val="clear" w:color="auto" w:fill="FFFFFF"/>
        </w:rPr>
        <w:t>, 40 Cal.3d at p. 8</w:t>
      </w:r>
      <w:r w:rsidR="00C26773" w:rsidRPr="003D283D">
        <w:rPr>
          <w:spacing w:val="-1"/>
          <w:sz w:val="27"/>
          <w:szCs w:val="26"/>
          <w:shd w:val="clear" w:color="auto" w:fill="FFFFFF"/>
        </w:rPr>
        <w:t>6</w:t>
      </w:r>
      <w:r w:rsidR="003436DC" w:rsidRPr="003D283D">
        <w:rPr>
          <w:spacing w:val="-1"/>
          <w:sz w:val="27"/>
          <w:szCs w:val="26"/>
          <w:shd w:val="clear" w:color="auto" w:fill="FFFFFF"/>
        </w:rPr>
        <w:t xml:space="preserve">3; </w:t>
      </w:r>
      <w:r w:rsidR="00AC4964" w:rsidRPr="003D283D">
        <w:rPr>
          <w:i/>
          <w:iCs/>
          <w:spacing w:val="-1"/>
          <w:sz w:val="27"/>
          <w:szCs w:val="27"/>
        </w:rPr>
        <w:t>Nat. Auto &amp; Cas. Co. v. Ind. Acc. Com.</w:t>
      </w:r>
      <w:r w:rsidR="00062DB8" w:rsidRPr="003D283D">
        <w:rPr>
          <w:spacing w:val="-1"/>
          <w:sz w:val="27"/>
          <w:szCs w:val="26"/>
        </w:rPr>
        <w:t xml:space="preserve">, </w:t>
      </w:r>
      <w:r w:rsidR="004128A8" w:rsidRPr="003D283D">
        <w:rPr>
          <w:i/>
          <w:iCs/>
          <w:spacing w:val="-1"/>
          <w:sz w:val="27"/>
          <w:szCs w:val="26"/>
        </w:rPr>
        <w:t>supra</w:t>
      </w:r>
      <w:r w:rsidR="004128A8" w:rsidRPr="003D283D">
        <w:rPr>
          <w:spacing w:val="-1"/>
          <w:sz w:val="27"/>
          <w:szCs w:val="26"/>
        </w:rPr>
        <w:t xml:space="preserve">, </w:t>
      </w:r>
      <w:r w:rsidR="00062DB8" w:rsidRPr="003D283D">
        <w:rPr>
          <w:spacing w:val="-1"/>
          <w:sz w:val="27"/>
          <w:szCs w:val="26"/>
        </w:rPr>
        <w:t xml:space="preserve">34 Cal.2d at p. 25; </w:t>
      </w:r>
      <w:r w:rsidR="00AC4964" w:rsidRPr="003D283D">
        <w:rPr>
          <w:i/>
          <w:iCs/>
          <w:spacing w:val="-1"/>
          <w:sz w:val="27"/>
          <w:szCs w:val="27"/>
        </w:rPr>
        <w:t xml:space="preserve">Viner v. </w:t>
      </w:r>
      <w:proofErr w:type="spellStart"/>
      <w:r w:rsidR="00AC4964" w:rsidRPr="003D283D">
        <w:rPr>
          <w:i/>
          <w:iCs/>
          <w:spacing w:val="-1"/>
          <w:sz w:val="27"/>
          <w:szCs w:val="27"/>
        </w:rPr>
        <w:t>Untrecht</w:t>
      </w:r>
      <w:proofErr w:type="spellEnd"/>
      <w:r w:rsidR="00062DB8" w:rsidRPr="003D283D">
        <w:rPr>
          <w:spacing w:val="-1"/>
          <w:sz w:val="27"/>
          <w:szCs w:val="26"/>
        </w:rPr>
        <w:t xml:space="preserve">, </w:t>
      </w:r>
      <w:r w:rsidR="004128A8" w:rsidRPr="003D283D">
        <w:rPr>
          <w:i/>
          <w:iCs/>
          <w:spacing w:val="-1"/>
          <w:sz w:val="27"/>
          <w:szCs w:val="26"/>
        </w:rPr>
        <w:t>supra</w:t>
      </w:r>
      <w:r w:rsidR="004128A8" w:rsidRPr="003D283D">
        <w:rPr>
          <w:spacing w:val="-1"/>
          <w:sz w:val="27"/>
          <w:szCs w:val="26"/>
        </w:rPr>
        <w:t xml:space="preserve">, </w:t>
      </w:r>
      <w:r w:rsidR="00062DB8" w:rsidRPr="003D283D">
        <w:rPr>
          <w:spacing w:val="-1"/>
          <w:sz w:val="27"/>
          <w:szCs w:val="26"/>
        </w:rPr>
        <w:t xml:space="preserve">26 Cal.2d at p. 267; </w:t>
      </w:r>
      <w:proofErr w:type="spellStart"/>
      <w:r w:rsidR="00062DB8" w:rsidRPr="003D283D">
        <w:rPr>
          <w:i/>
          <w:iCs/>
          <w:spacing w:val="-1"/>
          <w:sz w:val="27"/>
          <w:szCs w:val="26"/>
          <w:shd w:val="clear" w:color="auto" w:fill="FFFFFF"/>
        </w:rPr>
        <w:t>Stromerson</w:t>
      </w:r>
      <w:proofErr w:type="spellEnd"/>
      <w:r w:rsidR="00062DB8" w:rsidRPr="003D283D">
        <w:rPr>
          <w:spacing w:val="-1"/>
          <w:sz w:val="27"/>
          <w:szCs w:val="26"/>
          <w:shd w:val="clear" w:color="auto" w:fill="FFFFFF"/>
        </w:rPr>
        <w:t xml:space="preserve">, </w:t>
      </w:r>
      <w:r w:rsidR="004128A8" w:rsidRPr="003D283D">
        <w:rPr>
          <w:i/>
          <w:iCs/>
          <w:spacing w:val="-1"/>
          <w:sz w:val="27"/>
          <w:szCs w:val="26"/>
        </w:rPr>
        <w:t>supra</w:t>
      </w:r>
      <w:r w:rsidR="004128A8" w:rsidRPr="003D283D">
        <w:rPr>
          <w:spacing w:val="-1"/>
          <w:sz w:val="27"/>
          <w:szCs w:val="26"/>
        </w:rPr>
        <w:t xml:space="preserve">, </w:t>
      </w:r>
      <w:r w:rsidR="00062DB8" w:rsidRPr="003D283D">
        <w:rPr>
          <w:spacing w:val="-1"/>
          <w:sz w:val="27"/>
          <w:szCs w:val="26"/>
          <w:shd w:val="clear" w:color="auto" w:fill="FFFFFF"/>
        </w:rPr>
        <w:t>22</w:t>
      </w:r>
      <w:r w:rsidR="00BC00B3" w:rsidRPr="003D283D">
        <w:rPr>
          <w:spacing w:val="-1"/>
          <w:sz w:val="27"/>
          <w:szCs w:val="26"/>
          <w:shd w:val="clear" w:color="auto" w:fill="FFFFFF"/>
        </w:rPr>
        <w:t> </w:t>
      </w:r>
      <w:r w:rsidR="00062DB8" w:rsidRPr="003D283D">
        <w:rPr>
          <w:spacing w:val="-1"/>
          <w:sz w:val="27"/>
          <w:szCs w:val="26"/>
          <w:shd w:val="clear" w:color="auto" w:fill="FFFFFF"/>
        </w:rPr>
        <w:t xml:space="preserve">Cal.2d at p. 815; </w:t>
      </w:r>
      <w:r w:rsidR="00AC4964" w:rsidRPr="003D283D">
        <w:rPr>
          <w:i/>
          <w:iCs/>
          <w:spacing w:val="-1"/>
          <w:sz w:val="27"/>
          <w:szCs w:val="27"/>
        </w:rPr>
        <w:t>Simonton v. Los Angeles T. &amp; S. Bank</w:t>
      </w:r>
      <w:r w:rsidR="00062DB8" w:rsidRPr="003D283D">
        <w:rPr>
          <w:spacing w:val="-1"/>
          <w:sz w:val="27"/>
          <w:szCs w:val="26"/>
        </w:rPr>
        <w:t xml:space="preserve">, </w:t>
      </w:r>
      <w:r w:rsidR="004128A8" w:rsidRPr="003D283D">
        <w:rPr>
          <w:i/>
          <w:iCs/>
          <w:spacing w:val="-1"/>
          <w:sz w:val="27"/>
          <w:szCs w:val="26"/>
        </w:rPr>
        <w:t>supra</w:t>
      </w:r>
      <w:r w:rsidR="004128A8" w:rsidRPr="003D283D">
        <w:rPr>
          <w:spacing w:val="-1"/>
          <w:sz w:val="27"/>
          <w:szCs w:val="26"/>
        </w:rPr>
        <w:t xml:space="preserve">, </w:t>
      </w:r>
      <w:r w:rsidR="00062DB8" w:rsidRPr="003D283D">
        <w:rPr>
          <w:spacing w:val="-1"/>
          <w:sz w:val="27"/>
          <w:szCs w:val="26"/>
        </w:rPr>
        <w:t>205 Cal. at p. 259</w:t>
      </w:r>
      <w:r w:rsidR="00CB64D1" w:rsidRPr="003D283D">
        <w:rPr>
          <w:spacing w:val="-1"/>
          <w:sz w:val="27"/>
          <w:szCs w:val="26"/>
        </w:rPr>
        <w:t xml:space="preserve">; </w:t>
      </w:r>
      <w:r w:rsidR="00AC4964" w:rsidRPr="003D283D">
        <w:rPr>
          <w:i/>
          <w:iCs/>
          <w:spacing w:val="-1"/>
          <w:sz w:val="27"/>
          <w:szCs w:val="27"/>
        </w:rPr>
        <w:t>Treadwell v. Nickel</w:t>
      </w:r>
      <w:r w:rsidR="004128A8" w:rsidRPr="003D283D">
        <w:rPr>
          <w:spacing w:val="-1"/>
          <w:sz w:val="27"/>
          <w:szCs w:val="26"/>
        </w:rPr>
        <w:t xml:space="preserve">, </w:t>
      </w:r>
      <w:r w:rsidR="004128A8" w:rsidRPr="003D283D">
        <w:rPr>
          <w:i/>
          <w:iCs/>
          <w:spacing w:val="-1"/>
          <w:sz w:val="27"/>
          <w:szCs w:val="26"/>
        </w:rPr>
        <w:t>supra</w:t>
      </w:r>
      <w:r w:rsidR="004128A8" w:rsidRPr="003D283D">
        <w:rPr>
          <w:spacing w:val="-1"/>
          <w:sz w:val="27"/>
          <w:szCs w:val="26"/>
        </w:rPr>
        <w:t xml:space="preserve">, 194 Cal. at pp. 260-261; </w:t>
      </w:r>
      <w:r w:rsidR="00CB64D1" w:rsidRPr="003D283D">
        <w:rPr>
          <w:i/>
          <w:iCs/>
          <w:spacing w:val="-1"/>
          <w:sz w:val="27"/>
          <w:szCs w:val="26"/>
          <w:shd w:val="clear" w:color="auto" w:fill="FFFFFF"/>
        </w:rPr>
        <w:t>Steinberger</w:t>
      </w:r>
      <w:r w:rsidR="00CB64D1" w:rsidRPr="003D283D">
        <w:rPr>
          <w:spacing w:val="-1"/>
          <w:sz w:val="27"/>
          <w:szCs w:val="26"/>
          <w:shd w:val="clear" w:color="auto" w:fill="FFFFFF"/>
        </w:rPr>
        <w:t>, 175 Cal. at pp.</w:t>
      </w:r>
      <w:r w:rsidR="00A368C2" w:rsidRPr="003D283D">
        <w:rPr>
          <w:spacing w:val="-1"/>
          <w:sz w:val="27"/>
          <w:szCs w:val="26"/>
          <w:shd w:val="clear" w:color="auto" w:fill="FFFFFF"/>
        </w:rPr>
        <w:t> </w:t>
      </w:r>
      <w:r w:rsidR="00CB64D1" w:rsidRPr="003D283D">
        <w:rPr>
          <w:spacing w:val="-1"/>
          <w:sz w:val="27"/>
          <w:szCs w:val="26"/>
          <w:shd w:val="clear" w:color="auto" w:fill="FFFFFF"/>
        </w:rPr>
        <w:t>84-85</w:t>
      </w:r>
      <w:r w:rsidR="00062DB8" w:rsidRPr="003D283D">
        <w:rPr>
          <w:spacing w:val="-1"/>
          <w:sz w:val="27"/>
          <w:szCs w:val="26"/>
        </w:rPr>
        <w:t xml:space="preserve">.) </w:t>
      </w:r>
      <w:r w:rsidR="002649B9" w:rsidRPr="003D283D">
        <w:rPr>
          <w:spacing w:val="-1"/>
          <w:sz w:val="27"/>
          <w:szCs w:val="26"/>
        </w:rPr>
        <w:t xml:space="preserve"> Respondents assert that </w:t>
      </w:r>
      <w:r w:rsidR="005634E7" w:rsidRPr="003D283D">
        <w:rPr>
          <w:spacing w:val="-1"/>
          <w:sz w:val="27"/>
          <w:szCs w:val="26"/>
        </w:rPr>
        <w:t>representations</w:t>
      </w:r>
      <w:r w:rsidR="00F45A8B" w:rsidRPr="003D283D">
        <w:rPr>
          <w:spacing w:val="-1"/>
          <w:sz w:val="27"/>
          <w:szCs w:val="26"/>
        </w:rPr>
        <w:t xml:space="preserve"> such as this</w:t>
      </w:r>
      <w:r w:rsidR="002649B9" w:rsidRPr="003D283D">
        <w:rPr>
          <w:spacing w:val="-1"/>
          <w:sz w:val="27"/>
          <w:szCs w:val="26"/>
        </w:rPr>
        <w:t xml:space="preserve"> </w:t>
      </w:r>
      <w:r w:rsidR="008C0460" w:rsidRPr="003D283D">
        <w:rPr>
          <w:spacing w:val="-1"/>
          <w:sz w:val="27"/>
          <w:szCs w:val="26"/>
        </w:rPr>
        <w:t>commit this court to</w:t>
      </w:r>
      <w:r w:rsidR="002649B9" w:rsidRPr="003D283D">
        <w:rPr>
          <w:spacing w:val="-1"/>
          <w:sz w:val="27"/>
          <w:szCs w:val="26"/>
        </w:rPr>
        <w:t xml:space="preserve"> the position that the clear and convincing standard of proof has no bearing on appellate review for substantial evidence. </w:t>
      </w:r>
      <w:r w:rsidR="008C0460" w:rsidRPr="003D283D">
        <w:rPr>
          <w:spacing w:val="-1"/>
          <w:sz w:val="27"/>
          <w:szCs w:val="26"/>
        </w:rPr>
        <w:t xml:space="preserve"> </w:t>
      </w:r>
    </w:p>
    <w:p w14:paraId="57F4A3CA" w14:textId="48E8E63F" w:rsidR="002A24CB" w:rsidRPr="003D283D" w:rsidRDefault="008C0460" w:rsidP="002A24CB">
      <w:pPr>
        <w:pStyle w:val="NormalWeb"/>
        <w:spacing w:before="0" w:beforeAutospacing="0" w:afterAutospacing="0"/>
        <w:ind w:firstLine="720"/>
        <w:rPr>
          <w:sz w:val="27"/>
          <w:szCs w:val="27"/>
          <w:shd w:val="clear" w:color="auto" w:fill="FFFFFF"/>
        </w:rPr>
      </w:pPr>
      <w:r w:rsidRPr="003D283D">
        <w:rPr>
          <w:sz w:val="27"/>
          <w:szCs w:val="26"/>
        </w:rPr>
        <w:t xml:space="preserve">We disagree.  </w:t>
      </w:r>
      <w:r w:rsidR="00DE4450" w:rsidRPr="003D283D">
        <w:rPr>
          <w:sz w:val="27"/>
          <w:szCs w:val="26"/>
        </w:rPr>
        <w:t>For starters, it is</w:t>
      </w:r>
      <w:r w:rsidR="005634E7" w:rsidRPr="003D283D">
        <w:rPr>
          <w:sz w:val="27"/>
          <w:szCs w:val="26"/>
        </w:rPr>
        <w:t xml:space="preserve"> not </w:t>
      </w:r>
      <w:r w:rsidR="00CA7595" w:rsidRPr="003D283D">
        <w:rPr>
          <w:sz w:val="27"/>
          <w:szCs w:val="26"/>
        </w:rPr>
        <w:t xml:space="preserve">perfectly </w:t>
      </w:r>
      <w:r w:rsidR="005634E7" w:rsidRPr="003D283D">
        <w:rPr>
          <w:sz w:val="27"/>
          <w:szCs w:val="26"/>
        </w:rPr>
        <w:t>clear</w:t>
      </w:r>
      <w:r w:rsidR="00CA7595" w:rsidRPr="003D283D">
        <w:rPr>
          <w:sz w:val="27"/>
          <w:szCs w:val="26"/>
        </w:rPr>
        <w:t xml:space="preserve"> that</w:t>
      </w:r>
      <w:r w:rsidR="00F45A8B" w:rsidRPr="003D283D">
        <w:rPr>
          <w:sz w:val="27"/>
          <w:szCs w:val="26"/>
        </w:rPr>
        <w:t xml:space="preserve"> </w:t>
      </w:r>
      <w:r w:rsidR="00CA7595" w:rsidRPr="003D283D">
        <w:rPr>
          <w:i/>
          <w:iCs/>
          <w:sz w:val="27"/>
          <w:szCs w:val="26"/>
        </w:rPr>
        <w:t>Steinberger</w:t>
      </w:r>
      <w:r w:rsidR="00CA7595" w:rsidRPr="003D283D">
        <w:rPr>
          <w:sz w:val="27"/>
          <w:szCs w:val="26"/>
        </w:rPr>
        <w:t xml:space="preserve"> </w:t>
      </w:r>
      <w:r w:rsidR="00B23B41" w:rsidRPr="003D283D">
        <w:rPr>
          <w:sz w:val="27"/>
          <w:szCs w:val="26"/>
        </w:rPr>
        <w:t xml:space="preserve">and </w:t>
      </w:r>
      <w:r w:rsidR="00DE4450" w:rsidRPr="003D283D">
        <w:rPr>
          <w:sz w:val="27"/>
          <w:szCs w:val="26"/>
        </w:rPr>
        <w:t>its progeny</w:t>
      </w:r>
      <w:r w:rsidR="00CB40A5" w:rsidRPr="003D283D">
        <w:rPr>
          <w:sz w:val="27"/>
          <w:szCs w:val="26"/>
        </w:rPr>
        <w:t xml:space="preserve"> </w:t>
      </w:r>
      <w:r w:rsidR="00AC4964" w:rsidRPr="003D283D">
        <w:rPr>
          <w:sz w:val="27"/>
          <w:szCs w:val="26"/>
        </w:rPr>
        <w:t xml:space="preserve">all </w:t>
      </w:r>
      <w:r w:rsidR="00284B25" w:rsidRPr="003D283D">
        <w:rPr>
          <w:sz w:val="27"/>
          <w:szCs w:val="26"/>
        </w:rPr>
        <w:t xml:space="preserve">stand for the </w:t>
      </w:r>
      <w:r w:rsidR="00DE4450" w:rsidRPr="003D283D">
        <w:rPr>
          <w:sz w:val="27"/>
          <w:szCs w:val="26"/>
        </w:rPr>
        <w:t>pro</w:t>
      </w:r>
      <w:r w:rsidR="00284B25" w:rsidRPr="003D283D">
        <w:rPr>
          <w:sz w:val="27"/>
          <w:szCs w:val="26"/>
        </w:rPr>
        <w:t>position that</w:t>
      </w:r>
      <w:r w:rsidR="005634E7" w:rsidRPr="003D283D">
        <w:rPr>
          <w:sz w:val="27"/>
          <w:szCs w:val="26"/>
        </w:rPr>
        <w:t xml:space="preserve"> the clear and convincing standard of proof</w:t>
      </w:r>
      <w:r w:rsidR="00284B25" w:rsidRPr="003D283D">
        <w:rPr>
          <w:sz w:val="27"/>
          <w:szCs w:val="26"/>
        </w:rPr>
        <w:t xml:space="preserve">’s </w:t>
      </w:r>
      <w:r w:rsidR="00DE4450" w:rsidRPr="003D283D">
        <w:rPr>
          <w:sz w:val="27"/>
          <w:szCs w:val="26"/>
        </w:rPr>
        <w:t>application</w:t>
      </w:r>
      <w:r w:rsidR="00284B25" w:rsidRPr="003D283D">
        <w:rPr>
          <w:sz w:val="27"/>
          <w:szCs w:val="26"/>
        </w:rPr>
        <w:t xml:space="preserve"> before the trial court</w:t>
      </w:r>
      <w:r w:rsidR="005634E7" w:rsidRPr="003D283D">
        <w:rPr>
          <w:sz w:val="27"/>
          <w:szCs w:val="26"/>
        </w:rPr>
        <w:t xml:space="preserve"> </w:t>
      </w:r>
      <w:r w:rsidR="00284B25" w:rsidRPr="003D283D">
        <w:rPr>
          <w:sz w:val="27"/>
          <w:szCs w:val="26"/>
        </w:rPr>
        <w:t xml:space="preserve">has no </w:t>
      </w:r>
      <w:r w:rsidR="00CF1EF3" w:rsidRPr="003D283D">
        <w:rPr>
          <w:sz w:val="27"/>
          <w:szCs w:val="26"/>
        </w:rPr>
        <w:t>effect upon</w:t>
      </w:r>
      <w:r w:rsidR="005634E7" w:rsidRPr="003D283D">
        <w:rPr>
          <w:sz w:val="27"/>
          <w:szCs w:val="26"/>
        </w:rPr>
        <w:t xml:space="preserve"> </w:t>
      </w:r>
      <w:r w:rsidR="00284B25" w:rsidRPr="003D283D">
        <w:rPr>
          <w:sz w:val="27"/>
          <w:szCs w:val="26"/>
        </w:rPr>
        <w:t>appellate review for sufficiency of the evidence</w:t>
      </w:r>
      <w:r w:rsidR="005634E7" w:rsidRPr="003D283D">
        <w:rPr>
          <w:sz w:val="27"/>
          <w:szCs w:val="26"/>
        </w:rPr>
        <w:t xml:space="preserve">.  </w:t>
      </w:r>
      <w:r w:rsidR="00A25124" w:rsidRPr="003D283D">
        <w:rPr>
          <w:sz w:val="27"/>
          <w:szCs w:val="26"/>
        </w:rPr>
        <w:t>As it appeared in</w:t>
      </w:r>
      <w:r w:rsidRPr="003D283D">
        <w:rPr>
          <w:sz w:val="27"/>
          <w:szCs w:val="26"/>
        </w:rPr>
        <w:t xml:space="preserve"> </w:t>
      </w:r>
      <w:r w:rsidRPr="003D283D">
        <w:rPr>
          <w:i/>
          <w:iCs/>
          <w:sz w:val="27"/>
          <w:szCs w:val="27"/>
        </w:rPr>
        <w:t>Steinberger</w:t>
      </w:r>
      <w:r w:rsidRPr="003D283D">
        <w:rPr>
          <w:sz w:val="27"/>
          <w:szCs w:val="27"/>
        </w:rPr>
        <w:t xml:space="preserve">, </w:t>
      </w:r>
      <w:r w:rsidRPr="003D283D">
        <w:rPr>
          <w:i/>
          <w:iCs/>
          <w:sz w:val="27"/>
          <w:szCs w:val="27"/>
        </w:rPr>
        <w:t>supra</w:t>
      </w:r>
      <w:r w:rsidRPr="003D283D">
        <w:rPr>
          <w:sz w:val="27"/>
          <w:szCs w:val="27"/>
        </w:rPr>
        <w:t xml:space="preserve">, 175 Cal. 81, </w:t>
      </w:r>
      <w:r w:rsidR="00A25124" w:rsidRPr="003D283D">
        <w:rPr>
          <w:sz w:val="27"/>
          <w:szCs w:val="27"/>
        </w:rPr>
        <w:t>the assertion that “</w:t>
      </w:r>
      <w:r w:rsidR="00A25124" w:rsidRPr="003D283D">
        <w:rPr>
          <w:sz w:val="27"/>
          <w:szCs w:val="27"/>
          <w:shd w:val="clear" w:color="auto" w:fill="FFFFFF"/>
        </w:rPr>
        <w:t xml:space="preserve">if there be substantial evidence to support the conclusion reached below, the finding is not open to review on appeal” </w:t>
      </w:r>
      <w:r w:rsidRPr="003D283D">
        <w:rPr>
          <w:sz w:val="27"/>
          <w:szCs w:val="27"/>
        </w:rPr>
        <w:t>served</w:t>
      </w:r>
      <w:r w:rsidR="005634E7" w:rsidRPr="003D283D">
        <w:rPr>
          <w:sz w:val="27"/>
          <w:szCs w:val="27"/>
        </w:rPr>
        <w:t xml:space="preserve"> </w:t>
      </w:r>
      <w:r w:rsidRPr="003D283D">
        <w:rPr>
          <w:sz w:val="27"/>
          <w:szCs w:val="27"/>
        </w:rPr>
        <w:t>to clarify</w:t>
      </w:r>
      <w:r w:rsidR="00284B25" w:rsidRPr="003D283D">
        <w:rPr>
          <w:sz w:val="27"/>
          <w:szCs w:val="27"/>
        </w:rPr>
        <w:t xml:space="preserve"> a point</w:t>
      </w:r>
      <w:r w:rsidR="003B330F" w:rsidRPr="003D283D">
        <w:rPr>
          <w:sz w:val="27"/>
          <w:szCs w:val="27"/>
        </w:rPr>
        <w:t xml:space="preserve"> made earlier in </w:t>
      </w:r>
      <w:r w:rsidR="00A94C63" w:rsidRPr="003D283D">
        <w:rPr>
          <w:sz w:val="27"/>
          <w:szCs w:val="27"/>
        </w:rPr>
        <w:t>the opinion</w:t>
      </w:r>
      <w:r w:rsidR="00284B25" w:rsidRPr="003D283D">
        <w:rPr>
          <w:sz w:val="27"/>
          <w:szCs w:val="27"/>
        </w:rPr>
        <w:t>,</w:t>
      </w:r>
      <w:r w:rsidRPr="003D283D">
        <w:rPr>
          <w:sz w:val="27"/>
          <w:szCs w:val="27"/>
        </w:rPr>
        <w:t xml:space="preserve"> that it was the province of the fact-finder</w:t>
      </w:r>
      <w:r w:rsidRPr="003D283D">
        <w:rPr>
          <w:sz w:val="27"/>
          <w:szCs w:val="26"/>
        </w:rPr>
        <w:t xml:space="preserve"> to resolve conflicts in the evidence. </w:t>
      </w:r>
      <w:r w:rsidR="00F45A8B" w:rsidRPr="003D283D">
        <w:rPr>
          <w:sz w:val="27"/>
          <w:szCs w:val="26"/>
        </w:rPr>
        <w:t xml:space="preserve"> </w:t>
      </w:r>
      <w:r w:rsidRPr="003D283D">
        <w:rPr>
          <w:sz w:val="27"/>
          <w:szCs w:val="26"/>
        </w:rPr>
        <w:t>(</w:t>
      </w:r>
      <w:r w:rsidRPr="003D283D">
        <w:rPr>
          <w:i/>
          <w:iCs/>
          <w:sz w:val="27"/>
          <w:szCs w:val="26"/>
        </w:rPr>
        <w:t>Id</w:t>
      </w:r>
      <w:r w:rsidRPr="003D283D">
        <w:rPr>
          <w:sz w:val="27"/>
          <w:szCs w:val="26"/>
        </w:rPr>
        <w:t xml:space="preserve">., at p. 85.)  </w:t>
      </w:r>
      <w:r w:rsidR="007D6C01" w:rsidRPr="003D283D">
        <w:rPr>
          <w:sz w:val="27"/>
          <w:szCs w:val="26"/>
        </w:rPr>
        <w:t>S</w:t>
      </w:r>
      <w:r w:rsidR="00AC4964" w:rsidRPr="003D283D">
        <w:rPr>
          <w:sz w:val="27"/>
          <w:szCs w:val="26"/>
        </w:rPr>
        <w:t>tatements in our later decisions also could be read as stopping well short of the absolutist position respondents assign to them</w:t>
      </w:r>
      <w:r w:rsidR="00713AD7" w:rsidRPr="003D283D">
        <w:rPr>
          <w:sz w:val="27"/>
          <w:szCs w:val="26"/>
        </w:rPr>
        <w:t>.</w:t>
      </w:r>
      <w:r w:rsidR="00B23B41" w:rsidRPr="003D283D">
        <w:rPr>
          <w:sz w:val="27"/>
          <w:szCs w:val="26"/>
        </w:rPr>
        <w:t xml:space="preserve"> </w:t>
      </w:r>
      <w:r w:rsidR="002A24CB" w:rsidRPr="003D283D">
        <w:rPr>
          <w:sz w:val="27"/>
          <w:szCs w:val="26"/>
        </w:rPr>
        <w:t xml:space="preserve"> </w:t>
      </w:r>
      <w:r w:rsidR="00F334CB" w:rsidRPr="003D283D">
        <w:rPr>
          <w:sz w:val="27"/>
          <w:szCs w:val="26"/>
        </w:rPr>
        <w:t>To say that</w:t>
      </w:r>
      <w:r w:rsidR="00B23B41" w:rsidRPr="003D283D">
        <w:rPr>
          <w:sz w:val="27"/>
          <w:szCs w:val="26"/>
        </w:rPr>
        <w:t xml:space="preserve"> clear and convincing </w:t>
      </w:r>
      <w:r w:rsidR="00566989" w:rsidRPr="003D283D">
        <w:rPr>
          <w:sz w:val="27"/>
          <w:szCs w:val="26"/>
        </w:rPr>
        <w:t xml:space="preserve">evidence </w:t>
      </w:r>
      <w:r w:rsidR="00F334CB" w:rsidRPr="003D283D">
        <w:rPr>
          <w:sz w:val="27"/>
          <w:szCs w:val="26"/>
        </w:rPr>
        <w:t>is</w:t>
      </w:r>
      <w:r w:rsidR="00566989" w:rsidRPr="003D283D">
        <w:rPr>
          <w:sz w:val="27"/>
          <w:szCs w:val="26"/>
        </w:rPr>
        <w:t xml:space="preserve"> </w:t>
      </w:r>
      <w:r w:rsidR="00F334CB" w:rsidRPr="003D283D">
        <w:rPr>
          <w:sz w:val="27"/>
          <w:szCs w:val="26"/>
        </w:rPr>
        <w:t>not</w:t>
      </w:r>
      <w:r w:rsidR="00566989" w:rsidRPr="003D283D">
        <w:rPr>
          <w:sz w:val="27"/>
          <w:szCs w:val="26"/>
        </w:rPr>
        <w:t xml:space="preserve"> a standard for appellate review </w:t>
      </w:r>
      <w:r w:rsidR="00F334CB" w:rsidRPr="003D283D">
        <w:rPr>
          <w:sz w:val="27"/>
          <w:szCs w:val="26"/>
        </w:rPr>
        <w:t>is correct in the sense that</w:t>
      </w:r>
      <w:r w:rsidR="003E05C0" w:rsidRPr="003D283D">
        <w:rPr>
          <w:sz w:val="27"/>
          <w:szCs w:val="26"/>
        </w:rPr>
        <w:t xml:space="preserve"> </w:t>
      </w:r>
      <w:r w:rsidR="005E358B" w:rsidRPr="003D283D">
        <w:rPr>
          <w:sz w:val="27"/>
          <w:szCs w:val="26"/>
        </w:rPr>
        <w:t>an appellate</w:t>
      </w:r>
      <w:r w:rsidR="003E05C0" w:rsidRPr="003D283D">
        <w:rPr>
          <w:sz w:val="27"/>
          <w:szCs w:val="26"/>
        </w:rPr>
        <w:t xml:space="preserve"> court </w:t>
      </w:r>
      <w:r w:rsidR="00F334CB" w:rsidRPr="003D283D">
        <w:rPr>
          <w:sz w:val="27"/>
          <w:szCs w:val="26"/>
        </w:rPr>
        <w:t>normally does not</w:t>
      </w:r>
      <w:r w:rsidR="003E05C0" w:rsidRPr="003D283D">
        <w:rPr>
          <w:sz w:val="27"/>
          <w:szCs w:val="26"/>
        </w:rPr>
        <w:t xml:space="preserve"> </w:t>
      </w:r>
      <w:r w:rsidR="003E05C0" w:rsidRPr="003D283D">
        <w:rPr>
          <w:i/>
          <w:iCs/>
          <w:sz w:val="27"/>
          <w:szCs w:val="26"/>
        </w:rPr>
        <w:t>itself</w:t>
      </w:r>
      <w:r w:rsidR="003E05C0" w:rsidRPr="003D283D">
        <w:rPr>
          <w:sz w:val="27"/>
          <w:szCs w:val="26"/>
        </w:rPr>
        <w:t xml:space="preserve"> review the record for clear and convincing proof</w:t>
      </w:r>
      <w:r w:rsidR="00F334CB" w:rsidRPr="003D283D">
        <w:rPr>
          <w:sz w:val="27"/>
          <w:szCs w:val="26"/>
          <w:shd w:val="clear" w:color="auto" w:fill="FFFFFF"/>
        </w:rPr>
        <w:t xml:space="preserve">.  Likewise, </w:t>
      </w:r>
      <w:r w:rsidR="00371DD9" w:rsidRPr="003D283D">
        <w:rPr>
          <w:sz w:val="27"/>
          <w:szCs w:val="26"/>
          <w:shd w:val="clear" w:color="auto" w:fill="FFFFFF"/>
        </w:rPr>
        <w:t xml:space="preserve">representations </w:t>
      </w:r>
      <w:r w:rsidR="00F334CB" w:rsidRPr="003D283D">
        <w:rPr>
          <w:sz w:val="27"/>
          <w:szCs w:val="26"/>
          <w:shd w:val="clear" w:color="auto" w:fill="FFFFFF"/>
        </w:rPr>
        <w:t xml:space="preserve">that an appellate court reviews the record for </w:t>
      </w:r>
      <w:r w:rsidR="00F334CB" w:rsidRPr="003D283D">
        <w:rPr>
          <w:sz w:val="27"/>
          <w:szCs w:val="26"/>
          <w:shd w:val="clear" w:color="auto" w:fill="FFFFFF"/>
        </w:rPr>
        <w:lastRenderedPageBreak/>
        <w:t xml:space="preserve">substantial evidence, without further explanation of what that evidence must establish, could be </w:t>
      </w:r>
      <w:r w:rsidR="00AC4964" w:rsidRPr="003D283D">
        <w:rPr>
          <w:sz w:val="27"/>
          <w:szCs w:val="26"/>
          <w:shd w:val="clear" w:color="auto" w:fill="FFFFFF"/>
        </w:rPr>
        <w:t>understood</w:t>
      </w:r>
      <w:r w:rsidR="007D78F3" w:rsidRPr="003D283D">
        <w:rPr>
          <w:sz w:val="27"/>
          <w:szCs w:val="26"/>
          <w:shd w:val="clear" w:color="auto" w:fill="FFFFFF"/>
        </w:rPr>
        <w:t xml:space="preserve"> </w:t>
      </w:r>
      <w:r w:rsidR="00F334CB" w:rsidRPr="003D283D">
        <w:rPr>
          <w:sz w:val="27"/>
          <w:szCs w:val="26"/>
          <w:shd w:val="clear" w:color="auto" w:fill="FFFFFF"/>
        </w:rPr>
        <w:t xml:space="preserve">as </w:t>
      </w:r>
      <w:r w:rsidR="00371DD9" w:rsidRPr="003D283D">
        <w:rPr>
          <w:sz w:val="27"/>
          <w:szCs w:val="26"/>
          <w:shd w:val="clear" w:color="auto" w:fill="FFFFFF"/>
        </w:rPr>
        <w:t xml:space="preserve">more </w:t>
      </w:r>
      <w:r w:rsidR="00F334CB" w:rsidRPr="003D283D">
        <w:rPr>
          <w:sz w:val="27"/>
          <w:szCs w:val="26"/>
          <w:shd w:val="clear" w:color="auto" w:fill="FFFFFF"/>
        </w:rPr>
        <w:t>incomplete</w:t>
      </w:r>
      <w:r w:rsidR="00371DD9" w:rsidRPr="003D283D">
        <w:rPr>
          <w:sz w:val="27"/>
          <w:szCs w:val="26"/>
          <w:shd w:val="clear" w:color="auto" w:fill="FFFFFF"/>
        </w:rPr>
        <w:t xml:space="preserve"> </w:t>
      </w:r>
      <w:r w:rsidR="00F334CB" w:rsidRPr="003D283D">
        <w:rPr>
          <w:sz w:val="27"/>
          <w:szCs w:val="26"/>
          <w:shd w:val="clear" w:color="auto" w:fill="FFFFFF"/>
        </w:rPr>
        <w:t>than incorrect.</w:t>
      </w:r>
      <w:r w:rsidR="00713AD7" w:rsidRPr="003D283D">
        <w:rPr>
          <w:sz w:val="27"/>
          <w:szCs w:val="26"/>
          <w:shd w:val="clear" w:color="auto" w:fill="FFFFFF"/>
        </w:rPr>
        <w:t xml:space="preserve"> </w:t>
      </w:r>
      <w:r w:rsidR="00F334CB" w:rsidRPr="003D283D">
        <w:rPr>
          <w:sz w:val="27"/>
          <w:szCs w:val="26"/>
          <w:shd w:val="clear" w:color="auto" w:fill="FFFFFF"/>
        </w:rPr>
        <w:t xml:space="preserve"> </w:t>
      </w:r>
    </w:p>
    <w:p w14:paraId="74E09891" w14:textId="34DC0EE8" w:rsidR="00BF68E2" w:rsidRPr="003D283D" w:rsidRDefault="00BF68E2" w:rsidP="002A24CB">
      <w:pPr>
        <w:pStyle w:val="NormalWeb"/>
        <w:spacing w:before="0" w:beforeAutospacing="0" w:afterAutospacing="0"/>
        <w:ind w:firstLine="720"/>
        <w:rPr>
          <w:sz w:val="27"/>
          <w:szCs w:val="26"/>
          <w:shd w:val="clear" w:color="auto" w:fill="FFFFFF"/>
        </w:rPr>
      </w:pPr>
      <w:r w:rsidRPr="003D283D">
        <w:rPr>
          <w:sz w:val="27"/>
          <w:szCs w:val="27"/>
          <w:shd w:val="clear" w:color="auto" w:fill="FFFFFF"/>
        </w:rPr>
        <w:t xml:space="preserve">We </w:t>
      </w:r>
      <w:r w:rsidR="00DE4450" w:rsidRPr="003D283D">
        <w:rPr>
          <w:sz w:val="27"/>
          <w:szCs w:val="27"/>
          <w:shd w:val="clear" w:color="auto" w:fill="FFFFFF"/>
        </w:rPr>
        <w:t xml:space="preserve">nevertheless </w:t>
      </w:r>
      <w:r w:rsidR="00310546" w:rsidRPr="003D283D">
        <w:rPr>
          <w:sz w:val="27"/>
          <w:szCs w:val="27"/>
          <w:shd w:val="clear" w:color="auto" w:fill="FFFFFF"/>
        </w:rPr>
        <w:t>appreciate</w:t>
      </w:r>
      <w:r w:rsidRPr="003D283D">
        <w:rPr>
          <w:sz w:val="27"/>
          <w:szCs w:val="27"/>
          <w:shd w:val="clear" w:color="auto" w:fill="FFFFFF"/>
        </w:rPr>
        <w:t xml:space="preserve"> </w:t>
      </w:r>
      <w:r w:rsidR="003B330F" w:rsidRPr="003D283D">
        <w:rPr>
          <w:sz w:val="27"/>
          <w:szCs w:val="27"/>
          <w:shd w:val="clear" w:color="auto" w:fill="FFFFFF"/>
        </w:rPr>
        <w:t>that</w:t>
      </w:r>
      <w:r w:rsidR="00D4186E" w:rsidRPr="003D283D">
        <w:rPr>
          <w:sz w:val="27"/>
          <w:szCs w:val="27"/>
          <w:shd w:val="clear" w:color="auto" w:fill="FFFFFF"/>
        </w:rPr>
        <w:t xml:space="preserve"> </w:t>
      </w:r>
      <w:r w:rsidR="002A24CB" w:rsidRPr="003D283D">
        <w:rPr>
          <w:sz w:val="27"/>
          <w:szCs w:val="27"/>
          <w:shd w:val="clear" w:color="auto" w:fill="FFFFFF"/>
        </w:rPr>
        <w:t>the</w:t>
      </w:r>
      <w:r w:rsidRPr="003D283D">
        <w:rPr>
          <w:sz w:val="27"/>
          <w:szCs w:val="27"/>
          <w:shd w:val="clear" w:color="auto" w:fill="FFFFFF"/>
        </w:rPr>
        <w:t xml:space="preserve"> </w:t>
      </w:r>
      <w:r w:rsidR="00D4186E" w:rsidRPr="003D283D">
        <w:rPr>
          <w:sz w:val="27"/>
          <w:szCs w:val="27"/>
          <w:shd w:val="clear" w:color="auto" w:fill="FFFFFF"/>
        </w:rPr>
        <w:t>decisions</w:t>
      </w:r>
      <w:r w:rsidR="00CF1EF3" w:rsidRPr="003D283D">
        <w:rPr>
          <w:sz w:val="27"/>
          <w:szCs w:val="27"/>
          <w:shd w:val="clear" w:color="auto" w:fill="FFFFFF"/>
        </w:rPr>
        <w:t xml:space="preserve"> </w:t>
      </w:r>
      <w:r w:rsidR="007E3250" w:rsidRPr="003D283D">
        <w:rPr>
          <w:sz w:val="27"/>
          <w:szCs w:val="27"/>
          <w:shd w:val="clear" w:color="auto" w:fill="FFFFFF"/>
        </w:rPr>
        <w:t>respondents rely upon</w:t>
      </w:r>
      <w:r w:rsidR="002A24CB" w:rsidRPr="003D283D">
        <w:rPr>
          <w:sz w:val="27"/>
          <w:szCs w:val="27"/>
          <w:shd w:val="clear" w:color="auto" w:fill="FFFFFF"/>
        </w:rPr>
        <w:t xml:space="preserve"> have been</w:t>
      </w:r>
      <w:r w:rsidRPr="003D283D">
        <w:rPr>
          <w:sz w:val="27"/>
          <w:szCs w:val="27"/>
          <w:shd w:val="clear" w:color="auto" w:fill="FFFFFF"/>
        </w:rPr>
        <w:t xml:space="preserve"> </w:t>
      </w:r>
      <w:r w:rsidR="00A94C63" w:rsidRPr="003D283D">
        <w:rPr>
          <w:sz w:val="27"/>
          <w:szCs w:val="27"/>
          <w:shd w:val="clear" w:color="auto" w:fill="FFFFFF"/>
        </w:rPr>
        <w:t>interpreted</w:t>
      </w:r>
      <w:r w:rsidR="009A22DA" w:rsidRPr="003D283D">
        <w:rPr>
          <w:sz w:val="27"/>
          <w:szCs w:val="27"/>
          <w:shd w:val="clear" w:color="auto" w:fill="FFFFFF"/>
        </w:rPr>
        <w:t>, and not entirely without reason,</w:t>
      </w:r>
      <w:r w:rsidRPr="003D283D">
        <w:rPr>
          <w:sz w:val="27"/>
          <w:szCs w:val="27"/>
          <w:shd w:val="clear" w:color="auto" w:fill="FFFFFF"/>
        </w:rPr>
        <w:t xml:space="preserve"> </w:t>
      </w:r>
      <w:r w:rsidR="00A94C63" w:rsidRPr="003D283D">
        <w:rPr>
          <w:sz w:val="27"/>
          <w:szCs w:val="27"/>
          <w:shd w:val="clear" w:color="auto" w:fill="FFFFFF"/>
        </w:rPr>
        <w:t xml:space="preserve">as </w:t>
      </w:r>
      <w:r w:rsidR="00DE4450" w:rsidRPr="003D283D">
        <w:rPr>
          <w:sz w:val="27"/>
          <w:szCs w:val="27"/>
          <w:shd w:val="clear" w:color="auto" w:fill="FFFFFF"/>
        </w:rPr>
        <w:t>casting</w:t>
      </w:r>
      <w:r w:rsidR="00A94C63" w:rsidRPr="003D283D">
        <w:rPr>
          <w:sz w:val="27"/>
          <w:szCs w:val="27"/>
          <w:shd w:val="clear" w:color="auto" w:fill="FFFFFF"/>
        </w:rPr>
        <w:t xml:space="preserve"> the </w:t>
      </w:r>
      <w:r w:rsidR="00117DD7" w:rsidRPr="003D283D">
        <w:rPr>
          <w:sz w:val="27"/>
          <w:szCs w:val="27"/>
          <w:shd w:val="clear" w:color="auto" w:fill="FFFFFF"/>
        </w:rPr>
        <w:t>clear and convincing</w:t>
      </w:r>
      <w:r w:rsidRPr="003D283D">
        <w:rPr>
          <w:sz w:val="27"/>
          <w:szCs w:val="27"/>
          <w:shd w:val="clear" w:color="auto" w:fill="FFFFFF"/>
        </w:rPr>
        <w:t xml:space="preserve"> standard</w:t>
      </w:r>
      <w:r w:rsidR="00A94C63" w:rsidRPr="003D283D">
        <w:rPr>
          <w:sz w:val="27"/>
          <w:szCs w:val="27"/>
          <w:shd w:val="clear" w:color="auto" w:fill="FFFFFF"/>
        </w:rPr>
        <w:t xml:space="preserve"> of proof as irrelevant to</w:t>
      </w:r>
      <w:r w:rsidRPr="003D283D">
        <w:rPr>
          <w:sz w:val="27"/>
          <w:szCs w:val="27"/>
          <w:shd w:val="clear" w:color="auto" w:fill="FFFFFF"/>
        </w:rPr>
        <w:t xml:space="preserve"> appellate review for sufficiency of the evidence.  </w:t>
      </w:r>
      <w:r w:rsidR="009A22DA" w:rsidRPr="003D283D">
        <w:rPr>
          <w:sz w:val="27"/>
          <w:szCs w:val="27"/>
          <w:shd w:val="clear" w:color="auto" w:fill="FFFFFF"/>
        </w:rPr>
        <w:t xml:space="preserve">(See, e.g., </w:t>
      </w:r>
      <w:r w:rsidR="009A22DA" w:rsidRPr="003D283D">
        <w:rPr>
          <w:i/>
          <w:iCs/>
          <w:sz w:val="27"/>
          <w:szCs w:val="27"/>
        </w:rPr>
        <w:t>Morgan v. Davidson</w:t>
      </w:r>
      <w:r w:rsidR="009A22DA" w:rsidRPr="003D283D">
        <w:rPr>
          <w:sz w:val="27"/>
          <w:szCs w:val="27"/>
        </w:rPr>
        <w:t xml:space="preserve">, </w:t>
      </w:r>
      <w:r w:rsidR="009A22DA" w:rsidRPr="003D283D">
        <w:rPr>
          <w:i/>
          <w:iCs/>
          <w:sz w:val="27"/>
          <w:szCs w:val="27"/>
        </w:rPr>
        <w:t>supra</w:t>
      </w:r>
      <w:r w:rsidR="009A22DA" w:rsidRPr="003D283D">
        <w:rPr>
          <w:sz w:val="27"/>
          <w:szCs w:val="27"/>
        </w:rPr>
        <w:t xml:space="preserve">, 29 Cal.App.5th at p. 549.)  </w:t>
      </w:r>
      <w:r w:rsidR="00DE4450" w:rsidRPr="003D283D">
        <w:rPr>
          <w:sz w:val="27"/>
          <w:szCs w:val="27"/>
        </w:rPr>
        <w:t>E</w:t>
      </w:r>
      <w:r w:rsidR="00F508DA" w:rsidRPr="003D283D">
        <w:rPr>
          <w:sz w:val="27"/>
          <w:szCs w:val="27"/>
        </w:rPr>
        <w:t>ven so</w:t>
      </w:r>
      <w:r w:rsidR="00DA36F0" w:rsidRPr="003D283D">
        <w:rPr>
          <w:sz w:val="27"/>
          <w:szCs w:val="27"/>
        </w:rPr>
        <w:t xml:space="preserve"> understood</w:t>
      </w:r>
      <w:r w:rsidR="005206E0" w:rsidRPr="003D283D">
        <w:rPr>
          <w:sz w:val="27"/>
          <w:szCs w:val="27"/>
        </w:rPr>
        <w:t>,</w:t>
      </w:r>
      <w:r w:rsidR="00DA36F0" w:rsidRPr="003D283D">
        <w:rPr>
          <w:sz w:val="27"/>
          <w:szCs w:val="27"/>
        </w:rPr>
        <w:t xml:space="preserve"> however, these decisions </w:t>
      </w:r>
      <w:r w:rsidR="007E3250" w:rsidRPr="003D283D">
        <w:rPr>
          <w:sz w:val="27"/>
          <w:szCs w:val="27"/>
        </w:rPr>
        <w:t>mean only that our court has in the past sent mixed signals regarding the issue before us</w:t>
      </w:r>
      <w:r w:rsidR="00DA36F0" w:rsidRPr="003D283D">
        <w:rPr>
          <w:sz w:val="27"/>
          <w:szCs w:val="27"/>
        </w:rPr>
        <w:t xml:space="preserve">.  </w:t>
      </w:r>
      <w:r w:rsidR="007E3250" w:rsidRPr="003D283D">
        <w:rPr>
          <w:sz w:val="27"/>
          <w:szCs w:val="27"/>
        </w:rPr>
        <w:t>A</w:t>
      </w:r>
      <w:r w:rsidR="00DE4450" w:rsidRPr="003D283D">
        <w:rPr>
          <w:sz w:val="27"/>
          <w:szCs w:val="27"/>
        </w:rPr>
        <w:t>s we have explained</w:t>
      </w:r>
      <w:r w:rsidR="00DA36F0" w:rsidRPr="003D283D">
        <w:rPr>
          <w:sz w:val="27"/>
          <w:szCs w:val="27"/>
        </w:rPr>
        <w:t>,</w:t>
      </w:r>
      <w:r w:rsidR="00DE4450" w:rsidRPr="003D283D">
        <w:rPr>
          <w:sz w:val="27"/>
          <w:szCs w:val="27"/>
        </w:rPr>
        <w:t xml:space="preserve"> </w:t>
      </w:r>
      <w:r w:rsidR="00C8145D" w:rsidRPr="003D283D">
        <w:rPr>
          <w:sz w:val="27"/>
          <w:szCs w:val="27"/>
        </w:rPr>
        <w:t>the</w:t>
      </w:r>
      <w:r w:rsidR="00F508DA" w:rsidRPr="003D283D">
        <w:rPr>
          <w:sz w:val="27"/>
          <w:szCs w:val="27"/>
        </w:rPr>
        <w:t xml:space="preserve"> clear</w:t>
      </w:r>
      <w:r w:rsidR="00C8145D" w:rsidRPr="003D283D">
        <w:rPr>
          <w:sz w:val="27"/>
          <w:szCs w:val="27"/>
        </w:rPr>
        <w:t xml:space="preserve"> trend within our</w:t>
      </w:r>
      <w:r w:rsidR="00F508DA" w:rsidRPr="003D283D">
        <w:rPr>
          <w:sz w:val="27"/>
          <w:szCs w:val="27"/>
        </w:rPr>
        <w:t xml:space="preserve"> </w:t>
      </w:r>
      <w:r w:rsidR="00FA4430" w:rsidRPr="003D283D">
        <w:rPr>
          <w:sz w:val="27"/>
          <w:szCs w:val="27"/>
        </w:rPr>
        <w:t>recent</w:t>
      </w:r>
      <w:r w:rsidR="00C8145D" w:rsidRPr="003D283D">
        <w:rPr>
          <w:sz w:val="27"/>
          <w:szCs w:val="27"/>
        </w:rPr>
        <w:t xml:space="preserve"> case law</w:t>
      </w:r>
      <w:r w:rsidR="005206E0" w:rsidRPr="003D283D">
        <w:rPr>
          <w:sz w:val="27"/>
          <w:szCs w:val="27"/>
        </w:rPr>
        <w:t>, which finds support in</w:t>
      </w:r>
      <w:r w:rsidR="00DE4450" w:rsidRPr="003D283D">
        <w:rPr>
          <w:sz w:val="27"/>
          <w:szCs w:val="27"/>
        </w:rPr>
        <w:t xml:space="preserve"> </w:t>
      </w:r>
      <w:r w:rsidR="005206E0" w:rsidRPr="003D283D">
        <w:rPr>
          <w:sz w:val="27"/>
          <w:szCs w:val="27"/>
        </w:rPr>
        <w:t>older decisions of this court,</w:t>
      </w:r>
      <w:r w:rsidR="00C8145D" w:rsidRPr="003D283D">
        <w:rPr>
          <w:sz w:val="27"/>
          <w:szCs w:val="27"/>
        </w:rPr>
        <w:t xml:space="preserve"> </w:t>
      </w:r>
      <w:r w:rsidR="008E46CD" w:rsidRPr="003D283D">
        <w:rPr>
          <w:sz w:val="27"/>
          <w:szCs w:val="27"/>
        </w:rPr>
        <w:t xml:space="preserve">has been to </w:t>
      </w:r>
      <w:r w:rsidR="00E3244B" w:rsidRPr="003D283D">
        <w:rPr>
          <w:sz w:val="27"/>
          <w:szCs w:val="27"/>
        </w:rPr>
        <w:t xml:space="preserve">recognize that when a heightened standard of proof applied before the trial court, </w:t>
      </w:r>
      <w:r w:rsidR="00273FF9" w:rsidRPr="003D283D">
        <w:rPr>
          <w:sz w:val="27"/>
          <w:szCs w:val="27"/>
        </w:rPr>
        <w:t xml:space="preserve">an </w:t>
      </w:r>
      <w:r w:rsidR="008D630D" w:rsidRPr="003D283D">
        <w:rPr>
          <w:sz w:val="27"/>
          <w:szCs w:val="27"/>
        </w:rPr>
        <w:t xml:space="preserve">appropriate adjustment must be made to </w:t>
      </w:r>
      <w:r w:rsidR="00E3244B" w:rsidRPr="003D283D">
        <w:rPr>
          <w:sz w:val="27"/>
          <w:szCs w:val="27"/>
        </w:rPr>
        <w:t xml:space="preserve">appellate review for </w:t>
      </w:r>
      <w:r w:rsidR="00F679C4" w:rsidRPr="003D283D">
        <w:rPr>
          <w:sz w:val="27"/>
          <w:szCs w:val="27"/>
        </w:rPr>
        <w:t>sufficiency of the</w:t>
      </w:r>
      <w:r w:rsidR="00E3244B" w:rsidRPr="003D283D">
        <w:rPr>
          <w:sz w:val="27"/>
          <w:szCs w:val="27"/>
        </w:rPr>
        <w:t xml:space="preserve"> evidence</w:t>
      </w:r>
      <w:r w:rsidR="008E46CD" w:rsidRPr="003D283D">
        <w:rPr>
          <w:sz w:val="27"/>
          <w:szCs w:val="27"/>
        </w:rPr>
        <w:t xml:space="preserve">.  </w:t>
      </w:r>
      <w:r w:rsidR="00DE4450" w:rsidRPr="003D283D">
        <w:rPr>
          <w:sz w:val="27"/>
          <w:szCs w:val="27"/>
          <w:shd w:val="clear" w:color="auto" w:fill="FFFFFF"/>
        </w:rPr>
        <w:t>We confirm today that this modern trend is correct.</w:t>
      </w:r>
      <w:r w:rsidR="005206E0" w:rsidRPr="003D283D">
        <w:rPr>
          <w:sz w:val="27"/>
          <w:szCs w:val="27"/>
        </w:rPr>
        <w:t xml:space="preserve"> </w:t>
      </w:r>
      <w:r w:rsidR="00DE4450" w:rsidRPr="003D283D">
        <w:rPr>
          <w:sz w:val="27"/>
          <w:szCs w:val="27"/>
        </w:rPr>
        <w:t xml:space="preserve"> We</w:t>
      </w:r>
      <w:r w:rsidR="005206E0" w:rsidRPr="003D283D">
        <w:rPr>
          <w:sz w:val="27"/>
          <w:szCs w:val="27"/>
          <w:shd w:val="clear" w:color="auto" w:fill="FFFFFF"/>
        </w:rPr>
        <w:t xml:space="preserve"> therefore</w:t>
      </w:r>
      <w:r w:rsidR="008E46CD" w:rsidRPr="003D283D">
        <w:rPr>
          <w:sz w:val="27"/>
          <w:szCs w:val="27"/>
          <w:shd w:val="clear" w:color="auto" w:fill="FFFFFF"/>
        </w:rPr>
        <w:t xml:space="preserve"> </w:t>
      </w:r>
      <w:r w:rsidRPr="003D283D">
        <w:rPr>
          <w:sz w:val="27"/>
          <w:szCs w:val="27"/>
          <w:shd w:val="clear" w:color="auto" w:fill="FFFFFF"/>
        </w:rPr>
        <w:t xml:space="preserve">disapprove </w:t>
      </w:r>
      <w:proofErr w:type="gramStart"/>
      <w:r w:rsidRPr="003D283D">
        <w:rPr>
          <w:i/>
          <w:iCs/>
          <w:sz w:val="27"/>
          <w:szCs w:val="27"/>
        </w:rPr>
        <w:t>In</w:t>
      </w:r>
      <w:proofErr w:type="gramEnd"/>
      <w:r w:rsidRPr="003D283D">
        <w:rPr>
          <w:i/>
          <w:iCs/>
          <w:sz w:val="27"/>
          <w:szCs w:val="27"/>
        </w:rPr>
        <w:t xml:space="preserve"> re Marriage of </w:t>
      </w:r>
      <w:proofErr w:type="spellStart"/>
      <w:r w:rsidRPr="003D283D">
        <w:rPr>
          <w:i/>
          <w:iCs/>
          <w:sz w:val="27"/>
          <w:szCs w:val="27"/>
        </w:rPr>
        <w:t>Saslow</w:t>
      </w:r>
      <w:proofErr w:type="spellEnd"/>
      <w:r w:rsidRPr="003D283D">
        <w:rPr>
          <w:sz w:val="27"/>
          <w:szCs w:val="27"/>
        </w:rPr>
        <w:t xml:space="preserve">, </w:t>
      </w:r>
      <w:r w:rsidRPr="003D283D">
        <w:rPr>
          <w:i/>
          <w:iCs/>
          <w:sz w:val="27"/>
          <w:szCs w:val="27"/>
        </w:rPr>
        <w:t>supra</w:t>
      </w:r>
      <w:r w:rsidRPr="003D283D">
        <w:rPr>
          <w:sz w:val="27"/>
          <w:szCs w:val="27"/>
        </w:rPr>
        <w:t xml:space="preserve">, 40 Cal.3d 848; </w:t>
      </w:r>
      <w:r w:rsidRPr="003D283D">
        <w:rPr>
          <w:i/>
          <w:iCs/>
          <w:sz w:val="27"/>
          <w:szCs w:val="27"/>
        </w:rPr>
        <w:t>Crail v. Blakely</w:t>
      </w:r>
      <w:r w:rsidRPr="003D283D">
        <w:rPr>
          <w:sz w:val="27"/>
          <w:szCs w:val="27"/>
        </w:rPr>
        <w:t xml:space="preserve">, </w:t>
      </w:r>
      <w:r w:rsidRPr="003D283D">
        <w:rPr>
          <w:i/>
          <w:iCs/>
          <w:sz w:val="27"/>
          <w:szCs w:val="27"/>
        </w:rPr>
        <w:t>supra</w:t>
      </w:r>
      <w:r w:rsidRPr="003D283D">
        <w:rPr>
          <w:sz w:val="27"/>
          <w:szCs w:val="27"/>
        </w:rPr>
        <w:t>, 8 Cal.3d 744</w:t>
      </w:r>
      <w:r w:rsidR="008C0460" w:rsidRPr="003D283D">
        <w:rPr>
          <w:sz w:val="27"/>
          <w:szCs w:val="27"/>
        </w:rPr>
        <w:t xml:space="preserve">; </w:t>
      </w:r>
      <w:r w:rsidR="009D13F3" w:rsidRPr="003D283D">
        <w:rPr>
          <w:i/>
          <w:iCs/>
          <w:sz w:val="27"/>
          <w:szCs w:val="27"/>
        </w:rPr>
        <w:t>Nat. Auto &amp; Cas. Co. v. Ind. Acc. Com.</w:t>
      </w:r>
      <w:r w:rsidRPr="003D283D">
        <w:rPr>
          <w:sz w:val="27"/>
          <w:szCs w:val="27"/>
        </w:rPr>
        <w:t xml:space="preserve">, </w:t>
      </w:r>
      <w:r w:rsidRPr="003D283D">
        <w:rPr>
          <w:i/>
          <w:iCs/>
          <w:sz w:val="27"/>
          <w:szCs w:val="27"/>
        </w:rPr>
        <w:t>supra</w:t>
      </w:r>
      <w:r w:rsidRPr="003D283D">
        <w:rPr>
          <w:sz w:val="27"/>
          <w:szCs w:val="27"/>
        </w:rPr>
        <w:t xml:space="preserve">, 34 Cal.2d 20; </w:t>
      </w:r>
      <w:r w:rsidRPr="003D283D">
        <w:rPr>
          <w:i/>
          <w:iCs/>
          <w:sz w:val="27"/>
          <w:szCs w:val="27"/>
        </w:rPr>
        <w:t xml:space="preserve">Viner v. </w:t>
      </w:r>
      <w:proofErr w:type="spellStart"/>
      <w:r w:rsidRPr="003D283D">
        <w:rPr>
          <w:i/>
          <w:iCs/>
          <w:sz w:val="27"/>
          <w:szCs w:val="27"/>
        </w:rPr>
        <w:t>Untrecht</w:t>
      </w:r>
      <w:proofErr w:type="spellEnd"/>
      <w:r w:rsidRPr="003D283D">
        <w:rPr>
          <w:sz w:val="27"/>
          <w:szCs w:val="27"/>
        </w:rPr>
        <w:t xml:space="preserve">, </w:t>
      </w:r>
      <w:r w:rsidRPr="003D283D">
        <w:rPr>
          <w:i/>
          <w:iCs/>
          <w:sz w:val="27"/>
          <w:szCs w:val="27"/>
        </w:rPr>
        <w:t>supra</w:t>
      </w:r>
      <w:r w:rsidRPr="003D283D">
        <w:rPr>
          <w:sz w:val="27"/>
          <w:szCs w:val="27"/>
        </w:rPr>
        <w:t xml:space="preserve">, 26 Cal.2d 261; </w:t>
      </w:r>
      <w:proofErr w:type="spellStart"/>
      <w:r w:rsidRPr="003D283D">
        <w:rPr>
          <w:i/>
          <w:iCs/>
          <w:sz w:val="27"/>
          <w:szCs w:val="27"/>
        </w:rPr>
        <w:t>Stromerson</w:t>
      </w:r>
      <w:proofErr w:type="spellEnd"/>
      <w:r w:rsidRPr="003D283D">
        <w:rPr>
          <w:i/>
          <w:iCs/>
          <w:sz w:val="27"/>
          <w:szCs w:val="27"/>
        </w:rPr>
        <w:t xml:space="preserve"> v. Averill</w:t>
      </w:r>
      <w:r w:rsidRPr="003D283D">
        <w:rPr>
          <w:sz w:val="27"/>
          <w:szCs w:val="27"/>
        </w:rPr>
        <w:t xml:space="preserve">, </w:t>
      </w:r>
      <w:r w:rsidRPr="003D283D">
        <w:rPr>
          <w:i/>
          <w:iCs/>
          <w:sz w:val="27"/>
          <w:szCs w:val="27"/>
        </w:rPr>
        <w:t>supra</w:t>
      </w:r>
      <w:r w:rsidRPr="003D283D">
        <w:rPr>
          <w:sz w:val="27"/>
          <w:szCs w:val="27"/>
        </w:rPr>
        <w:t>, 22 Cal.2d 808</w:t>
      </w:r>
      <w:r w:rsidRPr="003D283D">
        <w:rPr>
          <w:sz w:val="27"/>
          <w:szCs w:val="27"/>
          <w:shd w:val="clear" w:color="auto" w:fill="FFFFFF"/>
        </w:rPr>
        <w:t xml:space="preserve">; </w:t>
      </w:r>
      <w:r w:rsidR="009D13F3" w:rsidRPr="003D283D">
        <w:rPr>
          <w:i/>
          <w:iCs/>
          <w:sz w:val="27"/>
          <w:szCs w:val="27"/>
        </w:rPr>
        <w:t>Simonton v. Los Angeles T. &amp; S. Bank</w:t>
      </w:r>
      <w:r w:rsidRPr="003D283D">
        <w:rPr>
          <w:sz w:val="27"/>
          <w:szCs w:val="27"/>
        </w:rPr>
        <w:t xml:space="preserve">, </w:t>
      </w:r>
      <w:r w:rsidRPr="003D283D">
        <w:rPr>
          <w:i/>
          <w:iCs/>
          <w:sz w:val="27"/>
          <w:szCs w:val="27"/>
        </w:rPr>
        <w:t>supra</w:t>
      </w:r>
      <w:r w:rsidRPr="003D283D">
        <w:rPr>
          <w:sz w:val="27"/>
          <w:szCs w:val="27"/>
        </w:rPr>
        <w:t xml:space="preserve">, 205 Cal. 252; </w:t>
      </w:r>
      <w:r w:rsidR="004128A8" w:rsidRPr="003D283D">
        <w:rPr>
          <w:i/>
          <w:iCs/>
          <w:sz w:val="27"/>
          <w:szCs w:val="27"/>
        </w:rPr>
        <w:t>Treadwell v. Nickel</w:t>
      </w:r>
      <w:r w:rsidR="004128A8" w:rsidRPr="003D283D">
        <w:rPr>
          <w:sz w:val="27"/>
          <w:szCs w:val="27"/>
        </w:rPr>
        <w:t xml:space="preserve">, </w:t>
      </w:r>
      <w:r w:rsidR="004128A8" w:rsidRPr="003D283D">
        <w:rPr>
          <w:i/>
          <w:iCs/>
          <w:sz w:val="27"/>
          <w:szCs w:val="27"/>
        </w:rPr>
        <w:t>supra</w:t>
      </w:r>
      <w:r w:rsidR="004128A8" w:rsidRPr="003D283D">
        <w:rPr>
          <w:sz w:val="27"/>
          <w:szCs w:val="27"/>
        </w:rPr>
        <w:t>, 194 Cal. 243</w:t>
      </w:r>
      <w:r w:rsidR="008D630D" w:rsidRPr="003D283D">
        <w:rPr>
          <w:sz w:val="27"/>
          <w:szCs w:val="27"/>
        </w:rPr>
        <w:t>;</w:t>
      </w:r>
      <w:r w:rsidR="004128A8" w:rsidRPr="003D283D">
        <w:rPr>
          <w:sz w:val="27"/>
          <w:szCs w:val="27"/>
        </w:rPr>
        <w:t xml:space="preserve"> </w:t>
      </w:r>
      <w:r w:rsidRPr="003D283D">
        <w:rPr>
          <w:sz w:val="27"/>
          <w:szCs w:val="27"/>
        </w:rPr>
        <w:t xml:space="preserve">and </w:t>
      </w:r>
      <w:r w:rsidRPr="003D283D">
        <w:rPr>
          <w:i/>
          <w:iCs/>
          <w:sz w:val="27"/>
          <w:szCs w:val="27"/>
          <w:shd w:val="clear" w:color="auto" w:fill="FFFFFF"/>
        </w:rPr>
        <w:t>Steinberger v. Young</w:t>
      </w:r>
      <w:r w:rsidRPr="003D283D">
        <w:rPr>
          <w:sz w:val="27"/>
          <w:szCs w:val="27"/>
        </w:rPr>
        <w:t xml:space="preserve">, </w:t>
      </w:r>
      <w:r w:rsidRPr="003D283D">
        <w:rPr>
          <w:i/>
          <w:iCs/>
          <w:sz w:val="27"/>
          <w:szCs w:val="27"/>
        </w:rPr>
        <w:t>supra</w:t>
      </w:r>
      <w:r w:rsidRPr="003D283D">
        <w:rPr>
          <w:sz w:val="27"/>
          <w:szCs w:val="27"/>
        </w:rPr>
        <w:t xml:space="preserve">, </w:t>
      </w:r>
      <w:r w:rsidRPr="003D283D">
        <w:rPr>
          <w:sz w:val="27"/>
          <w:szCs w:val="27"/>
          <w:shd w:val="clear" w:color="auto" w:fill="FFFFFF"/>
        </w:rPr>
        <w:t xml:space="preserve">175 Cal. 81, </w:t>
      </w:r>
      <w:r w:rsidR="00272999" w:rsidRPr="003D283D">
        <w:rPr>
          <w:sz w:val="27"/>
          <w:szCs w:val="27"/>
          <w:shd w:val="clear" w:color="auto" w:fill="FFFFFF"/>
        </w:rPr>
        <w:t>to the extent</w:t>
      </w:r>
      <w:r w:rsidRPr="003D283D">
        <w:rPr>
          <w:sz w:val="27"/>
          <w:szCs w:val="27"/>
          <w:shd w:val="clear" w:color="auto" w:fill="FFFFFF"/>
        </w:rPr>
        <w:t xml:space="preserve"> </w:t>
      </w:r>
      <w:r w:rsidR="00FE12B1" w:rsidRPr="003D283D">
        <w:rPr>
          <w:sz w:val="27"/>
          <w:szCs w:val="27"/>
          <w:shd w:val="clear" w:color="auto" w:fill="FFFFFF"/>
        </w:rPr>
        <w:t>each</w:t>
      </w:r>
      <w:r w:rsidRPr="003D283D">
        <w:rPr>
          <w:sz w:val="27"/>
          <w:szCs w:val="27"/>
          <w:shd w:val="clear" w:color="auto" w:fill="FFFFFF"/>
        </w:rPr>
        <w:t xml:space="preserve"> could be read as </w:t>
      </w:r>
      <w:r w:rsidR="009A22DA" w:rsidRPr="003D283D">
        <w:rPr>
          <w:sz w:val="27"/>
          <w:szCs w:val="27"/>
          <w:shd w:val="clear" w:color="auto" w:fill="FFFFFF"/>
        </w:rPr>
        <w:t>regarding</w:t>
      </w:r>
      <w:r w:rsidR="00D4186E" w:rsidRPr="003D283D">
        <w:rPr>
          <w:sz w:val="27"/>
          <w:szCs w:val="27"/>
          <w:shd w:val="clear" w:color="auto" w:fill="FFFFFF"/>
        </w:rPr>
        <w:t xml:space="preserve"> the </w:t>
      </w:r>
      <w:r w:rsidR="00AF2567" w:rsidRPr="003D283D">
        <w:rPr>
          <w:sz w:val="27"/>
          <w:szCs w:val="27"/>
          <w:shd w:val="clear" w:color="auto" w:fill="FFFFFF"/>
        </w:rPr>
        <w:t>use</w:t>
      </w:r>
      <w:r w:rsidR="00D4186E" w:rsidRPr="003D283D">
        <w:rPr>
          <w:sz w:val="27"/>
          <w:szCs w:val="27"/>
          <w:shd w:val="clear" w:color="auto" w:fill="FFFFFF"/>
        </w:rPr>
        <w:t xml:space="preserve"> of the clear and convincing standard of proof before the trial court </w:t>
      </w:r>
      <w:r w:rsidR="009A22DA" w:rsidRPr="003D283D">
        <w:rPr>
          <w:sz w:val="27"/>
          <w:szCs w:val="27"/>
          <w:shd w:val="clear" w:color="auto" w:fill="FFFFFF"/>
        </w:rPr>
        <w:t>as having</w:t>
      </w:r>
      <w:r w:rsidR="00D4186E" w:rsidRPr="003D283D">
        <w:rPr>
          <w:sz w:val="27"/>
          <w:szCs w:val="27"/>
          <w:shd w:val="clear" w:color="auto" w:fill="FFFFFF"/>
        </w:rPr>
        <w:t xml:space="preserve"> no effect on</w:t>
      </w:r>
      <w:r w:rsidRPr="003D283D">
        <w:rPr>
          <w:sz w:val="27"/>
          <w:szCs w:val="27"/>
          <w:shd w:val="clear" w:color="auto" w:fill="FFFFFF"/>
        </w:rPr>
        <w:t xml:space="preserve"> </w:t>
      </w:r>
      <w:r w:rsidR="00D4186E" w:rsidRPr="003D283D">
        <w:rPr>
          <w:sz w:val="27"/>
          <w:szCs w:val="27"/>
          <w:shd w:val="clear" w:color="auto" w:fill="FFFFFF"/>
        </w:rPr>
        <w:t>appellate review for sufficiency of the evidence</w:t>
      </w:r>
      <w:r w:rsidRPr="003D283D">
        <w:rPr>
          <w:sz w:val="27"/>
          <w:szCs w:val="27"/>
          <w:shd w:val="clear" w:color="auto" w:fill="FFFFFF"/>
        </w:rPr>
        <w:t xml:space="preserve">.  (See </w:t>
      </w:r>
      <w:r w:rsidRPr="003D283D">
        <w:rPr>
          <w:i/>
          <w:iCs/>
          <w:sz w:val="27"/>
          <w:szCs w:val="27"/>
        </w:rPr>
        <w:t>Moss v. Superior Court</w:t>
      </w:r>
      <w:r w:rsidRPr="003D283D">
        <w:rPr>
          <w:sz w:val="27"/>
          <w:szCs w:val="27"/>
          <w:shd w:val="clear" w:color="auto" w:fill="FFFFFF"/>
        </w:rPr>
        <w:t xml:space="preserve"> (1998) </w:t>
      </w:r>
      <w:r w:rsidRPr="003D283D">
        <w:rPr>
          <w:sz w:val="27"/>
          <w:szCs w:val="27"/>
          <w:shd w:val="clear" w:color="auto" w:fill="FFFFFF"/>
        </w:rPr>
        <w:lastRenderedPageBreak/>
        <w:t>17 Cal.4th 396, 401; </w:t>
      </w:r>
      <w:r w:rsidRPr="003D283D">
        <w:rPr>
          <w:i/>
          <w:iCs/>
          <w:sz w:val="27"/>
          <w:szCs w:val="27"/>
        </w:rPr>
        <w:t>People v. Carbajal</w:t>
      </w:r>
      <w:r w:rsidRPr="003D283D">
        <w:rPr>
          <w:sz w:val="27"/>
          <w:szCs w:val="27"/>
          <w:shd w:val="clear" w:color="auto" w:fill="FFFFFF"/>
        </w:rPr>
        <w:t> (1995) 10 Cal.4th 1114, 1126.)</w:t>
      </w:r>
      <w:r w:rsidR="0032641D" w:rsidRPr="003D283D">
        <w:rPr>
          <w:rStyle w:val="FootnoteReference"/>
          <w:szCs w:val="20"/>
          <w:shd w:val="clear" w:color="auto" w:fill="FFFFFF"/>
        </w:rPr>
        <w:footnoteReference w:id="8"/>
      </w:r>
    </w:p>
    <w:p w14:paraId="0F088ED6" w14:textId="2215A77D" w:rsidR="005D11F0" w:rsidRPr="003D283D" w:rsidRDefault="00105210" w:rsidP="007F1BD8">
      <w:pPr>
        <w:pStyle w:val="ListParagraph"/>
        <w:spacing w:after="100" w:line="400" w:lineRule="exact"/>
        <w:ind w:left="0" w:firstLine="720"/>
        <w:contextualSpacing w:val="0"/>
        <w:rPr>
          <w:rFonts w:ascii="Century Schoolbook" w:hAnsi="Century Schoolbook" w:cs="Times New Roman"/>
          <w:sz w:val="27"/>
          <w:szCs w:val="26"/>
        </w:rPr>
      </w:pPr>
      <w:r w:rsidRPr="003D283D">
        <w:rPr>
          <w:rFonts w:ascii="Century Schoolbook" w:hAnsi="Century Schoolbook" w:cs="Times New Roman"/>
          <w:sz w:val="27"/>
          <w:szCs w:val="26"/>
        </w:rPr>
        <w:lastRenderedPageBreak/>
        <w:t>Finally, r</w:t>
      </w:r>
      <w:r w:rsidR="00062DB8" w:rsidRPr="003D283D">
        <w:rPr>
          <w:rFonts w:ascii="Century Schoolbook" w:hAnsi="Century Schoolbook" w:cs="Times New Roman"/>
          <w:sz w:val="27"/>
          <w:szCs w:val="26"/>
        </w:rPr>
        <w:t>espondent</w:t>
      </w:r>
      <w:r w:rsidR="00F73398" w:rsidRPr="003D283D">
        <w:rPr>
          <w:rFonts w:ascii="Century Schoolbook" w:hAnsi="Century Schoolbook" w:cs="Times New Roman"/>
          <w:sz w:val="27"/>
          <w:szCs w:val="26"/>
        </w:rPr>
        <w:t>s</w:t>
      </w:r>
      <w:r w:rsidR="00062DB8" w:rsidRPr="003D283D">
        <w:rPr>
          <w:rFonts w:ascii="Century Schoolbook" w:hAnsi="Century Schoolbook" w:cs="Times New Roman"/>
          <w:sz w:val="27"/>
          <w:szCs w:val="26"/>
        </w:rPr>
        <w:t xml:space="preserve"> </w:t>
      </w:r>
      <w:r w:rsidR="00FE4E6E" w:rsidRPr="003D283D">
        <w:rPr>
          <w:rFonts w:ascii="Century Schoolbook" w:hAnsi="Century Schoolbook" w:cs="Times New Roman"/>
          <w:sz w:val="27"/>
          <w:szCs w:val="26"/>
        </w:rPr>
        <w:t>raise a</w:t>
      </w:r>
      <w:r w:rsidR="00AF2567" w:rsidRPr="003D283D">
        <w:rPr>
          <w:rFonts w:ascii="Century Schoolbook" w:hAnsi="Century Schoolbook" w:cs="Times New Roman"/>
          <w:sz w:val="27"/>
          <w:szCs w:val="26"/>
        </w:rPr>
        <w:t xml:space="preserve"> </w:t>
      </w:r>
      <w:r w:rsidR="00FE4E6E" w:rsidRPr="003D283D">
        <w:rPr>
          <w:rFonts w:ascii="Century Schoolbook" w:hAnsi="Century Schoolbook" w:cs="Times New Roman"/>
          <w:sz w:val="27"/>
          <w:szCs w:val="26"/>
        </w:rPr>
        <w:t>n</w:t>
      </w:r>
      <w:r w:rsidR="00AF2567" w:rsidRPr="003D283D">
        <w:rPr>
          <w:rFonts w:ascii="Century Schoolbook" w:hAnsi="Century Schoolbook" w:cs="Times New Roman"/>
          <w:sz w:val="27"/>
          <w:szCs w:val="26"/>
        </w:rPr>
        <w:t>arrower</w:t>
      </w:r>
      <w:r w:rsidR="00FE4E6E" w:rsidRPr="003D283D">
        <w:rPr>
          <w:rFonts w:ascii="Century Schoolbook" w:hAnsi="Century Schoolbook" w:cs="Times New Roman"/>
          <w:sz w:val="27"/>
          <w:szCs w:val="26"/>
        </w:rPr>
        <w:t xml:space="preserve"> argument sounding in legislative intent.  They </w:t>
      </w:r>
      <w:r w:rsidR="00280D28" w:rsidRPr="003D283D">
        <w:rPr>
          <w:rFonts w:ascii="Century Schoolbook" w:hAnsi="Century Schoolbook" w:cs="Times New Roman"/>
          <w:sz w:val="27"/>
          <w:szCs w:val="26"/>
        </w:rPr>
        <w:t>assert</w:t>
      </w:r>
      <w:r w:rsidR="00062DB8" w:rsidRPr="003D283D">
        <w:rPr>
          <w:rFonts w:ascii="Century Schoolbook" w:hAnsi="Century Schoolbook" w:cs="Times New Roman"/>
          <w:sz w:val="27"/>
          <w:szCs w:val="26"/>
        </w:rPr>
        <w:t xml:space="preserve"> that even if we were to conclude</w:t>
      </w:r>
      <w:r w:rsidRPr="003D283D">
        <w:rPr>
          <w:rFonts w:ascii="Century Schoolbook" w:hAnsi="Century Schoolbook" w:cs="Times New Roman"/>
          <w:sz w:val="27"/>
          <w:szCs w:val="26"/>
        </w:rPr>
        <w:t xml:space="preserve"> here</w:t>
      </w:r>
      <w:r w:rsidR="00062DB8" w:rsidRPr="003D283D">
        <w:rPr>
          <w:rFonts w:ascii="Century Schoolbook" w:hAnsi="Century Schoolbook" w:cs="Times New Roman"/>
          <w:sz w:val="27"/>
          <w:szCs w:val="26"/>
        </w:rPr>
        <w:t xml:space="preserve"> that the clear and convincing standard of proof does not </w:t>
      </w:r>
      <w:r w:rsidRPr="003D283D">
        <w:rPr>
          <w:rFonts w:ascii="Century Schoolbook" w:hAnsi="Century Schoolbook" w:cs="Times New Roman"/>
          <w:sz w:val="27"/>
          <w:szCs w:val="26"/>
        </w:rPr>
        <w:t>simply</w:t>
      </w:r>
      <w:r w:rsidR="00062DB8" w:rsidRPr="003D283D">
        <w:rPr>
          <w:rFonts w:ascii="Century Schoolbook" w:hAnsi="Century Schoolbook" w:cs="Times New Roman"/>
          <w:sz w:val="27"/>
          <w:szCs w:val="26"/>
        </w:rPr>
        <w:t xml:space="preserve"> disappear when an appellate court reviews for substantial evidence, the Legislature</w:t>
      </w:r>
      <w:r w:rsidR="003725DC" w:rsidRPr="003D283D">
        <w:rPr>
          <w:rFonts w:ascii="Century Schoolbook" w:hAnsi="Century Schoolbook" w:cs="Times New Roman"/>
          <w:sz w:val="27"/>
          <w:szCs w:val="26"/>
        </w:rPr>
        <w:t xml:space="preserve"> </w:t>
      </w:r>
      <w:r w:rsidR="003725DC" w:rsidRPr="003D283D">
        <w:rPr>
          <w:rFonts w:ascii="Century Schoolbook" w:hAnsi="Century Schoolbook" w:cs="Times New Roman"/>
          <w:i/>
          <w:iCs/>
          <w:sz w:val="27"/>
          <w:szCs w:val="26"/>
        </w:rPr>
        <w:t>thought</w:t>
      </w:r>
      <w:r w:rsidR="003725DC" w:rsidRPr="003D283D">
        <w:rPr>
          <w:rFonts w:ascii="Century Schoolbook" w:hAnsi="Century Schoolbook" w:cs="Times New Roman"/>
          <w:sz w:val="27"/>
          <w:szCs w:val="26"/>
        </w:rPr>
        <w:t xml:space="preserve"> this standard</w:t>
      </w:r>
      <w:r w:rsidR="00122AE7" w:rsidRPr="003D283D">
        <w:rPr>
          <w:rFonts w:ascii="Century Schoolbook" w:hAnsi="Century Schoolbook" w:cs="Times New Roman"/>
          <w:sz w:val="27"/>
          <w:szCs w:val="26"/>
        </w:rPr>
        <w:t xml:space="preserve"> </w:t>
      </w:r>
      <w:r w:rsidR="003725DC" w:rsidRPr="003D283D">
        <w:rPr>
          <w:rFonts w:ascii="Century Schoolbook" w:hAnsi="Century Schoolbook" w:cs="Times New Roman"/>
          <w:sz w:val="27"/>
          <w:szCs w:val="26"/>
        </w:rPr>
        <w:t>vanished on appeal</w:t>
      </w:r>
      <w:r w:rsidR="00CD0958" w:rsidRPr="003D283D">
        <w:rPr>
          <w:rFonts w:ascii="Century Schoolbook" w:hAnsi="Century Schoolbook" w:cs="Times New Roman"/>
          <w:sz w:val="27"/>
          <w:szCs w:val="26"/>
        </w:rPr>
        <w:t xml:space="preserve"> when it </w:t>
      </w:r>
      <w:r w:rsidR="00BF3E17" w:rsidRPr="003D283D">
        <w:rPr>
          <w:rFonts w:ascii="Century Schoolbook" w:hAnsi="Century Schoolbook" w:cs="Times New Roman"/>
          <w:sz w:val="27"/>
          <w:szCs w:val="26"/>
        </w:rPr>
        <w:t xml:space="preserve">enacted </w:t>
      </w:r>
      <w:r w:rsidR="00F0389A" w:rsidRPr="003D283D">
        <w:rPr>
          <w:rFonts w:ascii="Century Schoolbook" w:hAnsi="Century Schoolbook" w:cs="Times New Roman"/>
          <w:sz w:val="27"/>
          <w:szCs w:val="26"/>
        </w:rPr>
        <w:t>the</w:t>
      </w:r>
      <w:r w:rsidR="00BF3E17" w:rsidRPr="003D283D">
        <w:rPr>
          <w:rFonts w:ascii="Century Schoolbook" w:hAnsi="Century Schoolbook" w:cs="Times New Roman"/>
          <w:sz w:val="27"/>
          <w:szCs w:val="26"/>
        </w:rPr>
        <w:t xml:space="preserve"> limited conservatorship</w:t>
      </w:r>
      <w:r w:rsidR="00F0389A" w:rsidRPr="003D283D">
        <w:rPr>
          <w:rFonts w:ascii="Century Schoolbook" w:hAnsi="Century Schoolbook" w:cs="Times New Roman"/>
          <w:sz w:val="27"/>
          <w:szCs w:val="26"/>
        </w:rPr>
        <w:t xml:space="preserve"> </w:t>
      </w:r>
      <w:r w:rsidR="00BF3E17" w:rsidRPr="003D283D">
        <w:rPr>
          <w:rFonts w:ascii="Century Schoolbook" w:hAnsi="Century Schoolbook" w:cs="Times New Roman"/>
          <w:sz w:val="27"/>
          <w:szCs w:val="26"/>
        </w:rPr>
        <w:t>s</w:t>
      </w:r>
      <w:r w:rsidR="00F0389A" w:rsidRPr="003D283D">
        <w:rPr>
          <w:rFonts w:ascii="Century Schoolbook" w:hAnsi="Century Schoolbook" w:cs="Times New Roman"/>
          <w:sz w:val="27"/>
          <w:szCs w:val="26"/>
        </w:rPr>
        <w:t>tatute</w:t>
      </w:r>
      <w:r w:rsidR="00BF3E17" w:rsidRPr="003D283D">
        <w:rPr>
          <w:rFonts w:ascii="Century Schoolbook" w:hAnsi="Century Schoolbook" w:cs="Times New Roman"/>
          <w:sz w:val="27"/>
          <w:szCs w:val="26"/>
        </w:rPr>
        <w:t xml:space="preserve"> (</w:t>
      </w:r>
      <w:r w:rsidR="00E2737A" w:rsidRPr="003D283D">
        <w:rPr>
          <w:rFonts w:ascii="Century Schoolbook" w:hAnsi="Century Schoolbook" w:cs="Times New Roman"/>
          <w:sz w:val="27"/>
          <w:szCs w:val="26"/>
        </w:rPr>
        <w:t xml:space="preserve">Stats. 1990, </w:t>
      </w:r>
      <w:proofErr w:type="spellStart"/>
      <w:r w:rsidR="00E2737A" w:rsidRPr="003D283D">
        <w:rPr>
          <w:rFonts w:ascii="Century Schoolbook" w:hAnsi="Century Schoolbook" w:cs="Times New Roman"/>
          <w:sz w:val="27"/>
          <w:szCs w:val="26"/>
        </w:rPr>
        <w:t>ch.</w:t>
      </w:r>
      <w:proofErr w:type="spellEnd"/>
      <w:r w:rsidR="00E2737A" w:rsidRPr="003D283D">
        <w:rPr>
          <w:rFonts w:ascii="Century Schoolbook" w:hAnsi="Century Schoolbook" w:cs="Times New Roman"/>
          <w:sz w:val="27"/>
          <w:szCs w:val="26"/>
        </w:rPr>
        <w:t xml:space="preserve"> 79, § 14, p. 523; </w:t>
      </w:r>
      <w:r w:rsidR="00F0389A" w:rsidRPr="003D283D">
        <w:rPr>
          <w:rFonts w:ascii="Century Schoolbook" w:hAnsi="Century Schoolbook" w:cs="Times New Roman"/>
          <w:sz w:val="27"/>
          <w:szCs w:val="26"/>
        </w:rPr>
        <w:t xml:space="preserve">see also </w:t>
      </w:r>
      <w:r w:rsidR="00BF3E17" w:rsidRPr="003D283D">
        <w:rPr>
          <w:rFonts w:ascii="Century Schoolbook" w:hAnsi="Century Schoolbook" w:cs="Times New Roman"/>
          <w:sz w:val="27"/>
          <w:szCs w:val="26"/>
        </w:rPr>
        <w:t xml:space="preserve">Stats. 1980, </w:t>
      </w:r>
      <w:proofErr w:type="spellStart"/>
      <w:r w:rsidR="00BF3E17" w:rsidRPr="003D283D">
        <w:rPr>
          <w:rFonts w:ascii="Century Schoolbook" w:hAnsi="Century Schoolbook" w:cs="Times New Roman"/>
          <w:sz w:val="27"/>
          <w:szCs w:val="26"/>
        </w:rPr>
        <w:t>ch.</w:t>
      </w:r>
      <w:proofErr w:type="spellEnd"/>
      <w:r w:rsidR="003C41D8" w:rsidRPr="003D283D">
        <w:rPr>
          <w:rFonts w:ascii="Century Schoolbook" w:hAnsi="Century Schoolbook" w:cs="Times New Roman"/>
          <w:sz w:val="27"/>
          <w:szCs w:val="26"/>
        </w:rPr>
        <w:t> </w:t>
      </w:r>
      <w:r w:rsidR="00BF3E17" w:rsidRPr="003D283D">
        <w:rPr>
          <w:rFonts w:ascii="Century Schoolbook" w:hAnsi="Century Schoolbook" w:cs="Times New Roman"/>
          <w:sz w:val="27"/>
          <w:szCs w:val="26"/>
        </w:rPr>
        <w:t>1304, § 6, p. </w:t>
      </w:r>
      <w:r w:rsidR="00E2737A" w:rsidRPr="003D283D">
        <w:rPr>
          <w:rFonts w:ascii="Century Schoolbook" w:hAnsi="Century Schoolbook" w:cs="Times New Roman"/>
          <w:sz w:val="27"/>
          <w:szCs w:val="26"/>
        </w:rPr>
        <w:t>4400</w:t>
      </w:r>
      <w:r w:rsidR="00BF3E17" w:rsidRPr="003D283D">
        <w:rPr>
          <w:rFonts w:ascii="Century Schoolbook" w:hAnsi="Century Schoolbook" w:cs="Times New Roman"/>
          <w:sz w:val="27"/>
          <w:szCs w:val="26"/>
        </w:rPr>
        <w:t>)</w:t>
      </w:r>
      <w:r w:rsidR="00CD0958" w:rsidRPr="003D283D">
        <w:rPr>
          <w:rFonts w:ascii="Century Schoolbook" w:hAnsi="Century Schoolbook" w:cs="Times New Roman"/>
          <w:sz w:val="27"/>
          <w:szCs w:val="26"/>
        </w:rPr>
        <w:t xml:space="preserve"> and </w:t>
      </w:r>
      <w:r w:rsidR="00BF3E17" w:rsidRPr="003D283D">
        <w:rPr>
          <w:rFonts w:ascii="Century Schoolbook" w:hAnsi="Century Schoolbook" w:cs="Times New Roman"/>
          <w:sz w:val="27"/>
          <w:szCs w:val="26"/>
        </w:rPr>
        <w:t>specif</w:t>
      </w:r>
      <w:r w:rsidR="00F0389A" w:rsidRPr="003D283D">
        <w:rPr>
          <w:rFonts w:ascii="Century Schoolbook" w:hAnsi="Century Schoolbook" w:cs="Times New Roman"/>
          <w:sz w:val="27"/>
          <w:szCs w:val="26"/>
        </w:rPr>
        <w:t>ied</w:t>
      </w:r>
      <w:r w:rsidR="00BF3E17" w:rsidRPr="003D283D">
        <w:rPr>
          <w:rFonts w:ascii="Century Schoolbook" w:hAnsi="Century Schoolbook" w:cs="Times New Roman"/>
          <w:sz w:val="27"/>
          <w:szCs w:val="26"/>
        </w:rPr>
        <w:t xml:space="preserve"> that the standard of proof for the appointment of a conservator is clear and convincing evidence (Stats. 1995, </w:t>
      </w:r>
      <w:proofErr w:type="spellStart"/>
      <w:r w:rsidR="00BF3E17" w:rsidRPr="003D283D">
        <w:rPr>
          <w:rFonts w:ascii="Century Schoolbook" w:hAnsi="Century Schoolbook" w:cs="Times New Roman"/>
          <w:sz w:val="27"/>
          <w:szCs w:val="26"/>
        </w:rPr>
        <w:t>ch.</w:t>
      </w:r>
      <w:proofErr w:type="spellEnd"/>
      <w:r w:rsidR="00E2737A" w:rsidRPr="003D283D">
        <w:rPr>
          <w:rFonts w:ascii="Century Schoolbook" w:hAnsi="Century Schoolbook" w:cs="Times New Roman"/>
          <w:sz w:val="27"/>
          <w:szCs w:val="26"/>
        </w:rPr>
        <w:t xml:space="preserve"> </w:t>
      </w:r>
      <w:r w:rsidR="00BF3E17" w:rsidRPr="003D283D">
        <w:rPr>
          <w:rFonts w:ascii="Century Schoolbook" w:hAnsi="Century Schoolbook" w:cs="Times New Roman"/>
          <w:sz w:val="27"/>
          <w:szCs w:val="26"/>
        </w:rPr>
        <w:t>842, § 7, p. 6410)</w:t>
      </w:r>
      <w:r w:rsidR="003725DC" w:rsidRPr="003D283D">
        <w:rPr>
          <w:rFonts w:ascii="Century Schoolbook" w:hAnsi="Century Schoolbook" w:cs="Times New Roman"/>
          <w:sz w:val="27"/>
          <w:szCs w:val="26"/>
        </w:rPr>
        <w:t>.</w:t>
      </w:r>
      <w:r w:rsidR="00FE4E6E" w:rsidRPr="003D283D">
        <w:rPr>
          <w:rFonts w:ascii="Century Schoolbook" w:hAnsi="Century Schoolbook" w:cs="Times New Roman"/>
          <w:sz w:val="27"/>
          <w:szCs w:val="26"/>
        </w:rPr>
        <w:t xml:space="preserve">  </w:t>
      </w:r>
      <w:r w:rsidR="001F3403" w:rsidRPr="003D283D">
        <w:rPr>
          <w:rFonts w:ascii="Century Schoolbook" w:hAnsi="Century Schoolbook" w:cs="Times New Roman"/>
          <w:sz w:val="27"/>
          <w:szCs w:val="26"/>
        </w:rPr>
        <w:t>R</w:t>
      </w:r>
      <w:r w:rsidR="00FE4E6E" w:rsidRPr="003D283D">
        <w:rPr>
          <w:rFonts w:ascii="Century Schoolbook" w:hAnsi="Century Schoolbook" w:cs="Times New Roman"/>
          <w:sz w:val="27"/>
          <w:szCs w:val="26"/>
        </w:rPr>
        <w:t xml:space="preserve">espondents </w:t>
      </w:r>
      <w:r w:rsidR="00280D28" w:rsidRPr="003D283D">
        <w:rPr>
          <w:rFonts w:ascii="Century Schoolbook" w:hAnsi="Century Schoolbook" w:cs="Times New Roman"/>
          <w:sz w:val="27"/>
          <w:szCs w:val="26"/>
        </w:rPr>
        <w:t>argue</w:t>
      </w:r>
      <w:r w:rsidR="001F3403" w:rsidRPr="003D283D">
        <w:rPr>
          <w:rFonts w:ascii="Century Schoolbook" w:hAnsi="Century Schoolbook" w:cs="Times New Roman"/>
          <w:sz w:val="27"/>
          <w:szCs w:val="26"/>
        </w:rPr>
        <w:t xml:space="preserve"> that</w:t>
      </w:r>
      <w:r w:rsidR="00FE4E6E" w:rsidRPr="003D283D">
        <w:rPr>
          <w:rFonts w:ascii="Century Schoolbook" w:hAnsi="Century Schoolbook" w:cs="Times New Roman"/>
          <w:sz w:val="27"/>
          <w:szCs w:val="26"/>
        </w:rPr>
        <w:t xml:space="preserve"> </w:t>
      </w:r>
      <w:r w:rsidR="00062DB8" w:rsidRPr="003D283D">
        <w:rPr>
          <w:rFonts w:ascii="Century Schoolbook" w:hAnsi="Century Schoolbook" w:cs="Times New Roman"/>
          <w:sz w:val="27"/>
          <w:szCs w:val="26"/>
        </w:rPr>
        <w:t>we should defer to this expectation</w:t>
      </w:r>
      <w:r w:rsidR="00BF3E17" w:rsidRPr="003D283D">
        <w:rPr>
          <w:rFonts w:ascii="Century Schoolbook" w:hAnsi="Century Schoolbook" w:cs="Times New Roman"/>
          <w:sz w:val="27"/>
          <w:szCs w:val="26"/>
        </w:rPr>
        <w:t xml:space="preserve"> in interpreting the requirement of clear and convincing evidence found in Probate Code section 1801, subdivision (e)</w:t>
      </w:r>
      <w:r w:rsidR="00062DB8" w:rsidRPr="003D283D">
        <w:rPr>
          <w:rFonts w:ascii="Century Schoolbook" w:hAnsi="Century Schoolbook" w:cs="Times New Roman"/>
          <w:sz w:val="27"/>
          <w:szCs w:val="26"/>
        </w:rPr>
        <w:t xml:space="preserve">.  </w:t>
      </w:r>
    </w:p>
    <w:p w14:paraId="7B5D5AD4" w14:textId="666ECE6E" w:rsidR="00062DB8" w:rsidRPr="003D283D" w:rsidRDefault="001F3403" w:rsidP="00105210">
      <w:pPr>
        <w:pStyle w:val="ListParagraph"/>
        <w:spacing w:after="100" w:line="400" w:lineRule="exact"/>
        <w:ind w:left="0" w:firstLine="720"/>
        <w:contextualSpacing w:val="0"/>
        <w:rPr>
          <w:rFonts w:ascii="Century Schoolbook" w:hAnsi="Century Schoolbook" w:cs="Times New Roman"/>
          <w:sz w:val="27"/>
          <w:szCs w:val="26"/>
        </w:rPr>
      </w:pPr>
      <w:r w:rsidRPr="003D283D">
        <w:rPr>
          <w:rFonts w:ascii="Century Schoolbook" w:hAnsi="Century Schoolbook" w:cs="Times New Roman"/>
          <w:sz w:val="27"/>
          <w:szCs w:val="26"/>
        </w:rPr>
        <w:t xml:space="preserve">This argument </w:t>
      </w:r>
      <w:r w:rsidR="00603A08" w:rsidRPr="003D283D">
        <w:rPr>
          <w:rFonts w:ascii="Century Schoolbook" w:hAnsi="Century Schoolbook" w:cs="Times New Roman"/>
          <w:sz w:val="27"/>
          <w:szCs w:val="26"/>
        </w:rPr>
        <w:t>is not persuasive</w:t>
      </w:r>
      <w:r w:rsidRPr="003D283D">
        <w:rPr>
          <w:rFonts w:ascii="Century Schoolbook" w:hAnsi="Century Schoolbook" w:cs="Times New Roman"/>
          <w:sz w:val="27"/>
          <w:szCs w:val="26"/>
        </w:rPr>
        <w:t xml:space="preserve">.  </w:t>
      </w:r>
      <w:r w:rsidR="005F6C40" w:rsidRPr="003D283D">
        <w:rPr>
          <w:rFonts w:ascii="Century Schoolbook" w:hAnsi="Century Schoolbook" w:cs="Times New Roman"/>
          <w:sz w:val="27"/>
          <w:szCs w:val="26"/>
        </w:rPr>
        <w:t>Respondents fail to identify anything within the</w:t>
      </w:r>
      <w:r w:rsidR="008F7B1B" w:rsidRPr="003D283D">
        <w:rPr>
          <w:rFonts w:ascii="Century Schoolbook" w:hAnsi="Century Schoolbook" w:cs="Times New Roman"/>
          <w:sz w:val="27"/>
          <w:szCs w:val="26"/>
        </w:rPr>
        <w:t xml:space="preserve"> text or</w:t>
      </w:r>
      <w:r w:rsidR="005F6C40" w:rsidRPr="003D283D">
        <w:rPr>
          <w:rFonts w:ascii="Century Schoolbook" w:hAnsi="Century Schoolbook" w:cs="Times New Roman"/>
          <w:sz w:val="27"/>
          <w:szCs w:val="26"/>
        </w:rPr>
        <w:t xml:space="preserve"> legislative history of</w:t>
      </w:r>
      <w:r w:rsidR="007E3250" w:rsidRPr="003D283D">
        <w:rPr>
          <w:rFonts w:ascii="Century Schoolbook" w:hAnsi="Century Schoolbook" w:cs="Times New Roman"/>
          <w:sz w:val="27"/>
          <w:szCs w:val="26"/>
        </w:rPr>
        <w:t xml:space="preserve"> Probate Code</w:t>
      </w:r>
      <w:r w:rsidR="005F6C40" w:rsidRPr="003D283D">
        <w:rPr>
          <w:rFonts w:ascii="Century Schoolbook" w:hAnsi="Century Schoolbook" w:cs="Times New Roman"/>
          <w:sz w:val="27"/>
          <w:szCs w:val="26"/>
        </w:rPr>
        <w:t xml:space="preserve"> section 1801 </w:t>
      </w:r>
      <w:r w:rsidR="00FD62B4" w:rsidRPr="003D283D">
        <w:rPr>
          <w:rFonts w:ascii="Century Schoolbook" w:hAnsi="Century Schoolbook" w:cs="Times New Roman"/>
          <w:sz w:val="27"/>
          <w:szCs w:val="26"/>
        </w:rPr>
        <w:t xml:space="preserve">affirmatively </w:t>
      </w:r>
      <w:r w:rsidR="00A44EBF" w:rsidRPr="003D283D">
        <w:rPr>
          <w:rFonts w:ascii="Century Schoolbook" w:hAnsi="Century Schoolbook" w:cs="Times New Roman"/>
          <w:sz w:val="27"/>
          <w:szCs w:val="26"/>
        </w:rPr>
        <w:t>establishing</w:t>
      </w:r>
      <w:r w:rsidR="001C1994" w:rsidRPr="003D283D">
        <w:rPr>
          <w:rFonts w:ascii="Century Schoolbook" w:hAnsi="Century Schoolbook" w:cs="Times New Roman"/>
          <w:sz w:val="27"/>
          <w:szCs w:val="26"/>
        </w:rPr>
        <w:t xml:space="preserve"> that</w:t>
      </w:r>
      <w:r w:rsidRPr="003D283D">
        <w:rPr>
          <w:rFonts w:ascii="Century Schoolbook" w:hAnsi="Century Schoolbook" w:cs="Times New Roman"/>
          <w:sz w:val="27"/>
          <w:szCs w:val="26"/>
        </w:rPr>
        <w:t xml:space="preserve"> the Legislature </w:t>
      </w:r>
      <w:r w:rsidR="00EA4CDE" w:rsidRPr="003D283D">
        <w:rPr>
          <w:rFonts w:ascii="Century Schoolbook" w:hAnsi="Century Schoolbook" w:cs="Times New Roman"/>
          <w:sz w:val="27"/>
          <w:szCs w:val="26"/>
        </w:rPr>
        <w:t>believed</w:t>
      </w:r>
      <w:r w:rsidR="001C1994" w:rsidRPr="003D283D">
        <w:rPr>
          <w:rFonts w:ascii="Century Schoolbook" w:hAnsi="Century Schoolbook" w:cs="Times New Roman"/>
          <w:sz w:val="27"/>
          <w:szCs w:val="26"/>
        </w:rPr>
        <w:t xml:space="preserve"> the clear and convincing standard of proof </w:t>
      </w:r>
      <w:r w:rsidR="00471F05" w:rsidRPr="003D283D">
        <w:rPr>
          <w:rFonts w:ascii="Century Schoolbook" w:hAnsi="Century Schoolbook" w:cs="Times New Roman"/>
          <w:sz w:val="27"/>
          <w:szCs w:val="26"/>
        </w:rPr>
        <w:t>sh</w:t>
      </w:r>
      <w:r w:rsidR="00EA4CDE" w:rsidRPr="003D283D">
        <w:rPr>
          <w:rFonts w:ascii="Century Schoolbook" w:hAnsi="Century Schoolbook" w:cs="Times New Roman"/>
          <w:sz w:val="27"/>
          <w:szCs w:val="26"/>
        </w:rPr>
        <w:t xml:space="preserve">ould be ignored by an appellate court </w:t>
      </w:r>
      <w:r w:rsidR="001C1994" w:rsidRPr="003D283D">
        <w:rPr>
          <w:rFonts w:ascii="Century Schoolbook" w:hAnsi="Century Schoolbook" w:cs="Times New Roman"/>
          <w:sz w:val="27"/>
          <w:szCs w:val="26"/>
        </w:rPr>
        <w:t>reviewing a record for substantial evidence</w:t>
      </w:r>
      <w:r w:rsidRPr="003D283D">
        <w:rPr>
          <w:rFonts w:ascii="Century Schoolbook" w:hAnsi="Century Schoolbook" w:cs="Times New Roman"/>
          <w:sz w:val="27"/>
          <w:szCs w:val="26"/>
        </w:rPr>
        <w:t xml:space="preserve">.  </w:t>
      </w:r>
      <w:r w:rsidR="001C1994" w:rsidRPr="003D283D">
        <w:rPr>
          <w:rFonts w:ascii="Century Schoolbook" w:hAnsi="Century Schoolbook" w:cs="Times New Roman"/>
          <w:sz w:val="27"/>
          <w:szCs w:val="26"/>
        </w:rPr>
        <w:t xml:space="preserve">Instead, </w:t>
      </w:r>
      <w:r w:rsidR="008F7B1B" w:rsidRPr="003D283D">
        <w:rPr>
          <w:rFonts w:ascii="Century Schoolbook" w:hAnsi="Century Schoolbook" w:cs="Times New Roman"/>
          <w:sz w:val="27"/>
          <w:szCs w:val="26"/>
        </w:rPr>
        <w:t>respondents assert that</w:t>
      </w:r>
      <w:r w:rsidRPr="003D283D">
        <w:rPr>
          <w:rFonts w:ascii="Century Schoolbook" w:hAnsi="Century Schoolbook" w:cs="Times New Roman"/>
          <w:sz w:val="27"/>
          <w:szCs w:val="26"/>
        </w:rPr>
        <w:t xml:space="preserve"> </w:t>
      </w:r>
      <w:r w:rsidR="00062DB8" w:rsidRPr="003D283D">
        <w:rPr>
          <w:rFonts w:ascii="Century Schoolbook" w:hAnsi="Century Schoolbook" w:cs="Times New Roman"/>
          <w:sz w:val="27"/>
          <w:szCs w:val="26"/>
        </w:rPr>
        <w:t xml:space="preserve">when the Legislature </w:t>
      </w:r>
      <w:r w:rsidR="00280D28" w:rsidRPr="003D283D">
        <w:rPr>
          <w:rFonts w:ascii="Century Schoolbook" w:hAnsi="Century Schoolbook" w:cs="Times New Roman"/>
          <w:sz w:val="27"/>
          <w:szCs w:val="26"/>
        </w:rPr>
        <w:t xml:space="preserve">recognized limited conservatorships and directed that </w:t>
      </w:r>
      <w:r w:rsidRPr="003D283D">
        <w:rPr>
          <w:rFonts w:ascii="Century Schoolbook" w:hAnsi="Century Schoolbook" w:cs="Times New Roman"/>
          <w:sz w:val="27"/>
          <w:szCs w:val="26"/>
        </w:rPr>
        <w:t>the clear and convincing standard of proof applie</w:t>
      </w:r>
      <w:r w:rsidR="001C1994" w:rsidRPr="003D283D">
        <w:rPr>
          <w:rFonts w:ascii="Century Schoolbook" w:hAnsi="Century Schoolbook" w:cs="Times New Roman"/>
          <w:sz w:val="27"/>
          <w:szCs w:val="26"/>
        </w:rPr>
        <w:t>s</w:t>
      </w:r>
      <w:r w:rsidRPr="003D283D">
        <w:rPr>
          <w:rFonts w:ascii="Century Schoolbook" w:hAnsi="Century Schoolbook" w:cs="Times New Roman"/>
          <w:sz w:val="27"/>
          <w:szCs w:val="26"/>
        </w:rPr>
        <w:t xml:space="preserve"> to the </w:t>
      </w:r>
      <w:r w:rsidR="008C0DB8" w:rsidRPr="003D283D">
        <w:rPr>
          <w:rFonts w:ascii="Century Schoolbook" w:hAnsi="Century Schoolbook" w:cs="Times New Roman"/>
          <w:sz w:val="27"/>
          <w:szCs w:val="26"/>
        </w:rPr>
        <w:t>appointment</w:t>
      </w:r>
      <w:r w:rsidRPr="003D283D">
        <w:rPr>
          <w:rFonts w:ascii="Century Schoolbook" w:hAnsi="Century Schoolbook" w:cs="Times New Roman"/>
          <w:sz w:val="27"/>
          <w:szCs w:val="26"/>
        </w:rPr>
        <w:t xml:space="preserve"> of a conservator</w:t>
      </w:r>
      <w:r w:rsidR="00062DB8" w:rsidRPr="003D283D">
        <w:rPr>
          <w:rFonts w:ascii="Century Schoolbook" w:hAnsi="Century Schoolbook" w:cs="Times New Roman"/>
          <w:sz w:val="27"/>
          <w:szCs w:val="26"/>
        </w:rPr>
        <w:t xml:space="preserve">, </w:t>
      </w:r>
      <w:r w:rsidRPr="003D283D">
        <w:rPr>
          <w:rFonts w:ascii="Century Schoolbook" w:hAnsi="Century Schoolbook" w:cs="Times New Roman"/>
          <w:sz w:val="27"/>
          <w:szCs w:val="26"/>
        </w:rPr>
        <w:t>“</w:t>
      </w:r>
      <w:r w:rsidR="00062DB8" w:rsidRPr="003D283D">
        <w:rPr>
          <w:rFonts w:ascii="Century Schoolbook" w:hAnsi="Century Schoolbook" w:cs="Times New Roman"/>
          <w:sz w:val="27"/>
          <w:szCs w:val="26"/>
        </w:rPr>
        <w:t xml:space="preserve">it did so against the backdrop of 150 years of consistent precedent from this Court squarely holding that such standards </w:t>
      </w:r>
      <w:r w:rsidRPr="003D283D">
        <w:rPr>
          <w:rFonts w:ascii="Century Schoolbook" w:hAnsi="Century Schoolbook" w:cs="Times New Roman"/>
          <w:sz w:val="27"/>
          <w:szCs w:val="26"/>
        </w:rPr>
        <w:t xml:space="preserve">[of proof] </w:t>
      </w:r>
      <w:r w:rsidR="00062DB8" w:rsidRPr="003D283D">
        <w:rPr>
          <w:rFonts w:ascii="Century Schoolbook" w:hAnsi="Century Schoolbook" w:cs="Times New Roman"/>
          <w:sz w:val="27"/>
          <w:szCs w:val="26"/>
        </w:rPr>
        <w:t>direct only the trial court, and do not apply (‘disappear’) on appeal</w:t>
      </w:r>
      <w:r w:rsidR="00E07D87" w:rsidRPr="003D283D">
        <w:rPr>
          <w:rFonts w:ascii="Century Schoolbook" w:hAnsi="Century Schoolbook" w:cs="Times New Roman"/>
          <w:sz w:val="27"/>
          <w:szCs w:val="26"/>
        </w:rPr>
        <w:t>.</w:t>
      </w:r>
      <w:r w:rsidR="00062DB8" w:rsidRPr="003D283D">
        <w:rPr>
          <w:rFonts w:ascii="Century Schoolbook" w:hAnsi="Century Schoolbook" w:cs="Times New Roman"/>
          <w:sz w:val="27"/>
          <w:szCs w:val="26"/>
        </w:rPr>
        <w:t>”</w:t>
      </w:r>
      <w:r w:rsidR="008F7B1B" w:rsidRPr="003D283D">
        <w:rPr>
          <w:rFonts w:ascii="Century Schoolbook" w:hAnsi="Century Schoolbook" w:cs="Times New Roman"/>
          <w:sz w:val="27"/>
          <w:szCs w:val="26"/>
        </w:rPr>
        <w:t xml:space="preserve"> </w:t>
      </w:r>
      <w:r w:rsidR="00E07D87" w:rsidRPr="003D283D">
        <w:rPr>
          <w:rFonts w:ascii="Century Schoolbook" w:hAnsi="Century Schoolbook" w:cs="Times New Roman"/>
          <w:sz w:val="27"/>
          <w:szCs w:val="26"/>
        </w:rPr>
        <w:t xml:space="preserve"> Thus, respondents claim, the Legislature</w:t>
      </w:r>
      <w:r w:rsidR="008F7B1B" w:rsidRPr="003D283D">
        <w:rPr>
          <w:rFonts w:ascii="Century Schoolbook" w:hAnsi="Century Schoolbook" w:cs="Times New Roman"/>
          <w:sz w:val="27"/>
          <w:szCs w:val="26"/>
        </w:rPr>
        <w:t xml:space="preserve"> should be regarded as having implicitly incorporated this judicially created rule within the statute.</w:t>
      </w:r>
      <w:r w:rsidR="00062DB8" w:rsidRPr="003D283D">
        <w:rPr>
          <w:rFonts w:ascii="Century Schoolbook" w:hAnsi="Century Schoolbook" w:cs="Times New Roman"/>
          <w:sz w:val="27"/>
          <w:szCs w:val="26"/>
        </w:rPr>
        <w:t xml:space="preserve">  </w:t>
      </w:r>
      <w:r w:rsidRPr="003D283D">
        <w:rPr>
          <w:rFonts w:ascii="Century Schoolbook" w:hAnsi="Century Schoolbook" w:cs="Times New Roman"/>
          <w:sz w:val="27"/>
          <w:szCs w:val="26"/>
        </w:rPr>
        <w:t>A</w:t>
      </w:r>
      <w:r w:rsidR="00062DB8" w:rsidRPr="003D283D">
        <w:rPr>
          <w:rFonts w:ascii="Century Schoolbook" w:hAnsi="Century Schoolbook" w:cs="Times New Roman"/>
          <w:sz w:val="27"/>
          <w:szCs w:val="26"/>
        </w:rPr>
        <w:t xml:space="preserve">s </w:t>
      </w:r>
      <w:r w:rsidR="002E47C0" w:rsidRPr="003D283D">
        <w:rPr>
          <w:rFonts w:ascii="Century Schoolbook" w:hAnsi="Century Schoolbook" w:cs="Times New Roman"/>
          <w:sz w:val="27"/>
          <w:szCs w:val="26"/>
        </w:rPr>
        <w:t>we have</w:t>
      </w:r>
      <w:r w:rsidR="00062DB8" w:rsidRPr="003D283D">
        <w:rPr>
          <w:rFonts w:ascii="Century Schoolbook" w:hAnsi="Century Schoolbook" w:cs="Times New Roman"/>
          <w:sz w:val="27"/>
          <w:szCs w:val="26"/>
        </w:rPr>
        <w:t xml:space="preserve"> explained, </w:t>
      </w:r>
      <w:r w:rsidRPr="003D283D">
        <w:rPr>
          <w:rFonts w:ascii="Century Schoolbook" w:hAnsi="Century Schoolbook" w:cs="Times New Roman"/>
          <w:sz w:val="27"/>
          <w:szCs w:val="26"/>
        </w:rPr>
        <w:t xml:space="preserve">however, </w:t>
      </w:r>
      <w:r w:rsidR="00062DB8" w:rsidRPr="003D283D">
        <w:rPr>
          <w:rFonts w:ascii="Century Schoolbook" w:hAnsi="Century Schoolbook" w:cs="Times New Roman"/>
          <w:sz w:val="27"/>
          <w:szCs w:val="26"/>
        </w:rPr>
        <w:t xml:space="preserve">our precedent did </w:t>
      </w:r>
      <w:r w:rsidR="00062DB8" w:rsidRPr="003D283D">
        <w:rPr>
          <w:rFonts w:ascii="Century Schoolbook" w:hAnsi="Century Schoolbook" w:cs="Times New Roman"/>
          <w:i/>
          <w:sz w:val="27"/>
          <w:szCs w:val="26"/>
        </w:rPr>
        <w:t>not</w:t>
      </w:r>
      <w:r w:rsidR="00062DB8" w:rsidRPr="003D283D">
        <w:rPr>
          <w:rFonts w:ascii="Century Schoolbook" w:hAnsi="Century Schoolbook" w:cs="Times New Roman"/>
          <w:sz w:val="27"/>
          <w:szCs w:val="26"/>
        </w:rPr>
        <w:t xml:space="preserve"> consistently articulate </w:t>
      </w:r>
      <w:r w:rsidR="00F57F50" w:rsidRPr="003D283D">
        <w:rPr>
          <w:rFonts w:ascii="Century Schoolbook" w:hAnsi="Century Schoolbook" w:cs="Times New Roman"/>
          <w:sz w:val="27"/>
          <w:szCs w:val="26"/>
        </w:rPr>
        <w:t>the view respondents ascribe to it</w:t>
      </w:r>
      <w:r w:rsidR="00062DB8" w:rsidRPr="003D283D">
        <w:rPr>
          <w:rFonts w:ascii="Century Schoolbook" w:hAnsi="Century Schoolbook" w:cs="Times New Roman"/>
          <w:sz w:val="27"/>
          <w:szCs w:val="26"/>
        </w:rPr>
        <w:t xml:space="preserve">.  </w:t>
      </w:r>
      <w:r w:rsidR="00330331" w:rsidRPr="003D283D">
        <w:rPr>
          <w:rFonts w:ascii="Century Schoolbook" w:hAnsi="Century Schoolbook" w:cs="Times New Roman"/>
          <w:sz w:val="27"/>
          <w:szCs w:val="26"/>
        </w:rPr>
        <w:t>Therefore, even if</w:t>
      </w:r>
      <w:r w:rsidR="00B254D7" w:rsidRPr="003D283D">
        <w:rPr>
          <w:rFonts w:ascii="Century Schoolbook" w:hAnsi="Century Schoolbook" w:cs="Times New Roman"/>
          <w:sz w:val="27"/>
          <w:szCs w:val="26"/>
        </w:rPr>
        <w:t xml:space="preserve"> we were to regard</w:t>
      </w:r>
      <w:r w:rsidR="00330331" w:rsidRPr="003D283D">
        <w:rPr>
          <w:rFonts w:ascii="Century Schoolbook" w:hAnsi="Century Schoolbook" w:cs="Times New Roman"/>
          <w:sz w:val="27"/>
          <w:szCs w:val="26"/>
        </w:rPr>
        <w:t xml:space="preserve"> </w:t>
      </w:r>
      <w:r w:rsidR="00310546" w:rsidRPr="003D283D">
        <w:rPr>
          <w:rFonts w:ascii="Century Schoolbook" w:hAnsi="Century Schoolbook" w:cs="Times New Roman"/>
          <w:sz w:val="27"/>
          <w:szCs w:val="26"/>
        </w:rPr>
        <w:t xml:space="preserve">our case law as informing </w:t>
      </w:r>
      <w:r w:rsidR="00B254D7" w:rsidRPr="003D283D">
        <w:rPr>
          <w:rFonts w:ascii="Century Schoolbook" w:hAnsi="Century Schoolbook" w:cs="Times New Roman"/>
          <w:sz w:val="27"/>
          <w:szCs w:val="26"/>
        </w:rPr>
        <w:t>prevailing</w:t>
      </w:r>
      <w:r w:rsidR="00330331" w:rsidRPr="003D283D">
        <w:rPr>
          <w:rFonts w:ascii="Century Schoolbook" w:hAnsi="Century Schoolbook" w:cs="Times New Roman"/>
          <w:sz w:val="27"/>
          <w:szCs w:val="26"/>
        </w:rPr>
        <w:t xml:space="preserve"> expectation</w:t>
      </w:r>
      <w:r w:rsidR="00B254D7" w:rsidRPr="003D283D">
        <w:rPr>
          <w:rFonts w:ascii="Century Schoolbook" w:hAnsi="Century Schoolbook" w:cs="Times New Roman"/>
          <w:sz w:val="27"/>
          <w:szCs w:val="26"/>
        </w:rPr>
        <w:t>s</w:t>
      </w:r>
      <w:r w:rsidR="00105210" w:rsidRPr="003D283D">
        <w:rPr>
          <w:rFonts w:ascii="Century Schoolbook" w:hAnsi="Century Schoolbook" w:cs="Times New Roman"/>
          <w:sz w:val="27"/>
          <w:szCs w:val="26"/>
        </w:rPr>
        <w:t xml:space="preserve"> </w:t>
      </w:r>
      <w:r w:rsidR="002E47C0" w:rsidRPr="003D283D">
        <w:rPr>
          <w:rFonts w:ascii="Century Schoolbook" w:hAnsi="Century Schoolbook" w:cs="Times New Roman"/>
          <w:sz w:val="27"/>
          <w:szCs w:val="26"/>
        </w:rPr>
        <w:t>among</w:t>
      </w:r>
      <w:r w:rsidR="00105210" w:rsidRPr="003D283D">
        <w:rPr>
          <w:rFonts w:ascii="Century Schoolbook" w:hAnsi="Century Schoolbook" w:cs="Times New Roman"/>
          <w:sz w:val="27"/>
          <w:szCs w:val="26"/>
        </w:rPr>
        <w:t xml:space="preserve"> legislators</w:t>
      </w:r>
      <w:r w:rsidR="00310546" w:rsidRPr="003D283D">
        <w:rPr>
          <w:rFonts w:ascii="Century Schoolbook" w:hAnsi="Century Schoolbook" w:cs="Times New Roman"/>
          <w:sz w:val="27"/>
          <w:szCs w:val="26"/>
        </w:rPr>
        <w:t>, and these expectations</w:t>
      </w:r>
      <w:r w:rsidR="00105210" w:rsidRPr="003D283D">
        <w:rPr>
          <w:rFonts w:ascii="Century Schoolbook" w:hAnsi="Century Schoolbook" w:cs="Times New Roman"/>
          <w:sz w:val="27"/>
          <w:szCs w:val="26"/>
        </w:rPr>
        <w:t xml:space="preserve"> </w:t>
      </w:r>
      <w:r w:rsidR="00B254D7" w:rsidRPr="003D283D">
        <w:rPr>
          <w:rFonts w:ascii="Century Schoolbook" w:hAnsi="Century Schoolbook" w:cs="Times New Roman"/>
          <w:sz w:val="27"/>
          <w:szCs w:val="26"/>
        </w:rPr>
        <w:t xml:space="preserve">as </w:t>
      </w:r>
      <w:r w:rsidR="00310546" w:rsidRPr="003D283D">
        <w:rPr>
          <w:rFonts w:ascii="Century Schoolbook" w:hAnsi="Century Schoolbook" w:cs="Times New Roman"/>
          <w:sz w:val="27"/>
          <w:szCs w:val="26"/>
        </w:rPr>
        <w:lastRenderedPageBreak/>
        <w:t xml:space="preserve">reflective of legislative </w:t>
      </w:r>
      <w:r w:rsidR="00B254D7" w:rsidRPr="003D283D">
        <w:rPr>
          <w:rFonts w:ascii="Century Schoolbook" w:hAnsi="Century Schoolbook" w:cs="Times New Roman"/>
          <w:sz w:val="27"/>
          <w:szCs w:val="26"/>
        </w:rPr>
        <w:t>intent</w:t>
      </w:r>
      <w:r w:rsidR="00330331" w:rsidRPr="003D283D">
        <w:rPr>
          <w:rFonts w:ascii="Century Schoolbook" w:hAnsi="Century Schoolbook" w:cs="Times New Roman"/>
          <w:sz w:val="27"/>
          <w:szCs w:val="26"/>
        </w:rPr>
        <w:t xml:space="preserve">, </w:t>
      </w:r>
      <w:r w:rsidR="00310546" w:rsidRPr="003D283D">
        <w:rPr>
          <w:rFonts w:ascii="Century Schoolbook" w:hAnsi="Century Schoolbook" w:cs="Times New Roman"/>
          <w:sz w:val="27"/>
          <w:szCs w:val="26"/>
        </w:rPr>
        <w:t>respondents</w:t>
      </w:r>
      <w:r w:rsidR="00F57F50" w:rsidRPr="003D283D">
        <w:rPr>
          <w:rFonts w:ascii="Century Schoolbook" w:hAnsi="Century Schoolbook" w:cs="Times New Roman"/>
          <w:sz w:val="27"/>
          <w:szCs w:val="26"/>
        </w:rPr>
        <w:t>’</w:t>
      </w:r>
      <w:r w:rsidR="00310546" w:rsidRPr="003D283D">
        <w:rPr>
          <w:rFonts w:ascii="Century Schoolbook" w:hAnsi="Century Schoolbook" w:cs="Times New Roman"/>
          <w:sz w:val="27"/>
          <w:szCs w:val="26"/>
        </w:rPr>
        <w:t xml:space="preserve"> argument would still falter at the outset. </w:t>
      </w:r>
      <w:r w:rsidR="00F57F50" w:rsidRPr="003D283D">
        <w:rPr>
          <w:rFonts w:ascii="Century Schoolbook" w:hAnsi="Century Schoolbook" w:cs="Times New Roman"/>
          <w:sz w:val="27"/>
          <w:szCs w:val="26"/>
        </w:rPr>
        <w:t xml:space="preserve"> Given the mixed signals sent by our </w:t>
      </w:r>
      <w:r w:rsidR="00A7160E" w:rsidRPr="003D283D">
        <w:rPr>
          <w:rFonts w:ascii="Century Schoolbook" w:hAnsi="Century Schoolbook" w:cs="Times New Roman"/>
          <w:sz w:val="27"/>
          <w:szCs w:val="26"/>
        </w:rPr>
        <w:t>past decisions</w:t>
      </w:r>
      <w:r w:rsidR="00F57F50" w:rsidRPr="003D283D">
        <w:rPr>
          <w:rFonts w:ascii="Century Schoolbook" w:hAnsi="Century Schoolbook" w:cs="Times New Roman"/>
          <w:sz w:val="27"/>
          <w:szCs w:val="26"/>
        </w:rPr>
        <w:t>, w</w:t>
      </w:r>
      <w:r w:rsidR="00D016A1" w:rsidRPr="003D283D">
        <w:rPr>
          <w:rFonts w:ascii="Century Schoolbook" w:hAnsi="Century Schoolbook" w:cs="Times New Roman"/>
          <w:sz w:val="27"/>
          <w:szCs w:val="26"/>
        </w:rPr>
        <w:t>e</w:t>
      </w:r>
      <w:r w:rsidRPr="003D283D">
        <w:rPr>
          <w:rFonts w:ascii="Century Schoolbook" w:hAnsi="Century Schoolbook" w:cs="Times New Roman"/>
          <w:sz w:val="27"/>
          <w:szCs w:val="26"/>
        </w:rPr>
        <w:t xml:space="preserve"> </w:t>
      </w:r>
      <w:r w:rsidR="00D016A1" w:rsidRPr="003D283D">
        <w:rPr>
          <w:rFonts w:ascii="Century Schoolbook" w:hAnsi="Century Schoolbook" w:cs="Times New Roman"/>
          <w:sz w:val="27"/>
          <w:szCs w:val="26"/>
        </w:rPr>
        <w:t>still could not</w:t>
      </w:r>
      <w:r w:rsidR="00F73398" w:rsidRPr="003D283D">
        <w:rPr>
          <w:rFonts w:ascii="Century Schoolbook" w:hAnsi="Century Schoolbook" w:cs="Times New Roman"/>
          <w:sz w:val="27"/>
          <w:szCs w:val="26"/>
        </w:rPr>
        <w:t xml:space="preserve"> </w:t>
      </w:r>
      <w:r w:rsidR="00341E32" w:rsidRPr="003D283D">
        <w:rPr>
          <w:rFonts w:ascii="Century Schoolbook" w:hAnsi="Century Schoolbook" w:cs="Times New Roman"/>
          <w:sz w:val="27"/>
          <w:szCs w:val="26"/>
        </w:rPr>
        <w:t>reasonably</w:t>
      </w:r>
      <w:r w:rsidR="00F73398" w:rsidRPr="003D283D">
        <w:rPr>
          <w:rFonts w:ascii="Century Schoolbook" w:hAnsi="Century Schoolbook" w:cs="Times New Roman"/>
          <w:sz w:val="27"/>
          <w:szCs w:val="26"/>
        </w:rPr>
        <w:t xml:space="preserve"> conclude </w:t>
      </w:r>
      <w:r w:rsidR="00062DB8" w:rsidRPr="003D283D">
        <w:rPr>
          <w:rFonts w:ascii="Century Schoolbook" w:hAnsi="Century Schoolbook" w:cs="Times New Roman"/>
          <w:sz w:val="27"/>
          <w:szCs w:val="26"/>
        </w:rPr>
        <w:t xml:space="preserve">that </w:t>
      </w:r>
      <w:r w:rsidR="008767B3" w:rsidRPr="003D283D">
        <w:rPr>
          <w:rFonts w:ascii="Century Schoolbook" w:hAnsi="Century Schoolbook" w:cs="Times New Roman"/>
          <w:sz w:val="27"/>
          <w:szCs w:val="26"/>
        </w:rPr>
        <w:t>when the</w:t>
      </w:r>
      <w:r w:rsidR="00062DB8" w:rsidRPr="003D283D">
        <w:rPr>
          <w:rFonts w:ascii="Century Schoolbook" w:hAnsi="Century Schoolbook" w:cs="Times New Roman"/>
          <w:sz w:val="27"/>
          <w:szCs w:val="26"/>
        </w:rPr>
        <w:t xml:space="preserve"> Legislature </w:t>
      </w:r>
      <w:r w:rsidR="00F57F50" w:rsidRPr="003D283D">
        <w:rPr>
          <w:rFonts w:ascii="Century Schoolbook" w:hAnsi="Century Schoolbook" w:cs="Times New Roman"/>
          <w:sz w:val="27"/>
          <w:szCs w:val="26"/>
        </w:rPr>
        <w:t xml:space="preserve">provided for limited conservatorships and </w:t>
      </w:r>
      <w:r w:rsidR="00062DB8" w:rsidRPr="003D283D">
        <w:rPr>
          <w:rFonts w:ascii="Century Schoolbook" w:hAnsi="Century Schoolbook" w:cs="Times New Roman"/>
          <w:sz w:val="27"/>
          <w:szCs w:val="26"/>
        </w:rPr>
        <w:t xml:space="preserve">specified </w:t>
      </w:r>
      <w:r w:rsidR="008767B3" w:rsidRPr="003D283D">
        <w:rPr>
          <w:rFonts w:ascii="Century Schoolbook" w:hAnsi="Century Schoolbook" w:cs="Times New Roman"/>
          <w:sz w:val="27"/>
          <w:szCs w:val="26"/>
        </w:rPr>
        <w:t xml:space="preserve">in section 1801, subdivision (e) </w:t>
      </w:r>
      <w:r w:rsidR="00062DB8" w:rsidRPr="003D283D">
        <w:rPr>
          <w:rFonts w:ascii="Century Schoolbook" w:hAnsi="Century Schoolbook" w:cs="Times New Roman"/>
          <w:sz w:val="27"/>
          <w:szCs w:val="26"/>
        </w:rPr>
        <w:t xml:space="preserve">that </w:t>
      </w:r>
      <w:r w:rsidR="008C0DB8" w:rsidRPr="003D283D">
        <w:rPr>
          <w:rFonts w:ascii="Century Schoolbook" w:hAnsi="Century Schoolbook" w:cs="Times New Roman"/>
          <w:sz w:val="27"/>
          <w:szCs w:val="26"/>
        </w:rPr>
        <w:t xml:space="preserve">the appointment of </w:t>
      </w:r>
      <w:r w:rsidR="00062DB8" w:rsidRPr="003D283D">
        <w:rPr>
          <w:rFonts w:ascii="Century Schoolbook" w:hAnsi="Century Schoolbook" w:cs="Times New Roman"/>
          <w:sz w:val="27"/>
          <w:szCs w:val="26"/>
        </w:rPr>
        <w:t>a conservator require</w:t>
      </w:r>
      <w:r w:rsidR="008767B3" w:rsidRPr="003D283D">
        <w:rPr>
          <w:rFonts w:ascii="Century Schoolbook" w:hAnsi="Century Schoolbook" w:cs="Times New Roman"/>
          <w:sz w:val="27"/>
          <w:szCs w:val="26"/>
        </w:rPr>
        <w:t>s</w:t>
      </w:r>
      <w:r w:rsidR="00062DB8" w:rsidRPr="003D283D">
        <w:rPr>
          <w:rFonts w:ascii="Century Schoolbook" w:hAnsi="Century Schoolbook" w:cs="Times New Roman"/>
          <w:sz w:val="27"/>
          <w:szCs w:val="26"/>
        </w:rPr>
        <w:t xml:space="preserve"> clear and convincing evidence</w:t>
      </w:r>
      <w:r w:rsidR="008767B3" w:rsidRPr="003D283D">
        <w:rPr>
          <w:rFonts w:ascii="Century Schoolbook" w:hAnsi="Century Schoolbook" w:cs="Times New Roman"/>
          <w:sz w:val="27"/>
          <w:szCs w:val="26"/>
        </w:rPr>
        <w:t xml:space="preserve">, </w:t>
      </w:r>
      <w:r w:rsidR="00330331" w:rsidRPr="003D283D">
        <w:rPr>
          <w:rFonts w:ascii="Century Schoolbook" w:hAnsi="Century Schoolbook" w:cs="Times New Roman"/>
          <w:sz w:val="27"/>
          <w:szCs w:val="26"/>
        </w:rPr>
        <w:t>it intended for</w:t>
      </w:r>
      <w:r w:rsidR="00062DB8" w:rsidRPr="003D283D">
        <w:rPr>
          <w:rFonts w:ascii="Century Schoolbook" w:hAnsi="Century Schoolbook" w:cs="Times New Roman"/>
          <w:sz w:val="27"/>
          <w:szCs w:val="26"/>
        </w:rPr>
        <w:t xml:space="preserve"> appellate courts </w:t>
      </w:r>
      <w:r w:rsidR="00330331" w:rsidRPr="003D283D">
        <w:rPr>
          <w:rFonts w:ascii="Century Schoolbook" w:hAnsi="Century Schoolbook" w:cs="Times New Roman"/>
          <w:sz w:val="27"/>
          <w:szCs w:val="26"/>
        </w:rPr>
        <w:t>to</w:t>
      </w:r>
      <w:r w:rsidR="00062DB8" w:rsidRPr="003D283D">
        <w:rPr>
          <w:rFonts w:ascii="Century Schoolbook" w:hAnsi="Century Schoolbook" w:cs="Times New Roman"/>
          <w:sz w:val="27"/>
          <w:szCs w:val="26"/>
        </w:rPr>
        <w:t xml:space="preserve"> completely disregard this standard</w:t>
      </w:r>
      <w:r w:rsidR="00F57F50" w:rsidRPr="003D283D">
        <w:rPr>
          <w:rFonts w:ascii="Century Schoolbook" w:hAnsi="Century Schoolbook" w:cs="Times New Roman"/>
          <w:sz w:val="27"/>
          <w:szCs w:val="26"/>
        </w:rPr>
        <w:t xml:space="preserve"> of proof</w:t>
      </w:r>
      <w:r w:rsidR="00062DB8" w:rsidRPr="003D283D">
        <w:rPr>
          <w:rFonts w:ascii="Century Schoolbook" w:hAnsi="Century Schoolbook" w:cs="Times New Roman"/>
          <w:sz w:val="27"/>
          <w:szCs w:val="26"/>
        </w:rPr>
        <w:t xml:space="preserve"> when reviewing the record</w:t>
      </w:r>
      <w:r w:rsidR="00310546" w:rsidRPr="003D283D">
        <w:rPr>
          <w:rFonts w:ascii="Century Schoolbook" w:hAnsi="Century Schoolbook" w:cs="Times New Roman"/>
          <w:sz w:val="27"/>
          <w:szCs w:val="26"/>
        </w:rPr>
        <w:t xml:space="preserve"> developed before the probate court</w:t>
      </w:r>
      <w:r w:rsidR="00062DB8" w:rsidRPr="003D283D">
        <w:rPr>
          <w:rFonts w:ascii="Century Schoolbook" w:hAnsi="Century Schoolbook" w:cs="Times New Roman"/>
          <w:sz w:val="27"/>
          <w:szCs w:val="26"/>
        </w:rPr>
        <w:t xml:space="preserve"> for substantial evidence.</w:t>
      </w:r>
      <w:r w:rsidR="00466894" w:rsidRPr="003D283D">
        <w:rPr>
          <w:rFonts w:ascii="Century Schoolbook" w:hAnsi="Century Schoolbook" w:cs="Times New Roman"/>
          <w:bCs/>
          <w:sz w:val="27"/>
          <w:szCs w:val="20"/>
        </w:rPr>
        <w:t xml:space="preserve"> </w:t>
      </w:r>
    </w:p>
    <w:p w14:paraId="47727365" w14:textId="0A4327D3" w:rsidR="00062DB8" w:rsidRPr="003D283D" w:rsidRDefault="00FE4E6E" w:rsidP="007F1BD8">
      <w:pPr>
        <w:pStyle w:val="ListParagraph"/>
        <w:spacing w:after="100" w:line="400" w:lineRule="exact"/>
        <w:ind w:left="0" w:firstLine="720"/>
        <w:contextualSpacing w:val="0"/>
        <w:rPr>
          <w:rFonts w:ascii="Century Schoolbook" w:hAnsi="Century Schoolbook" w:cs="Times New Roman"/>
          <w:sz w:val="27"/>
          <w:szCs w:val="26"/>
        </w:rPr>
      </w:pPr>
      <w:r w:rsidRPr="003D283D">
        <w:rPr>
          <w:rFonts w:ascii="Century Schoolbook" w:hAnsi="Century Schoolbook" w:cs="Times New Roman"/>
          <w:sz w:val="27"/>
          <w:szCs w:val="26"/>
        </w:rPr>
        <w:t xml:space="preserve">To </w:t>
      </w:r>
      <w:r w:rsidRPr="003D283D">
        <w:rPr>
          <w:rFonts w:ascii="Century Schoolbook" w:hAnsi="Century Schoolbook" w:cs="Times New Roman"/>
          <w:sz w:val="27"/>
          <w:szCs w:val="27"/>
        </w:rPr>
        <w:t xml:space="preserve">summarize, </w:t>
      </w:r>
      <w:r w:rsidR="00100BB1" w:rsidRPr="003D283D">
        <w:rPr>
          <w:rFonts w:ascii="Century Schoolbook" w:hAnsi="Century Schoolbook" w:cs="Times New Roman"/>
          <w:sz w:val="27"/>
          <w:szCs w:val="27"/>
        </w:rPr>
        <w:t>we</w:t>
      </w:r>
      <w:r w:rsidR="00062DB8" w:rsidRPr="003D283D">
        <w:rPr>
          <w:rFonts w:ascii="Century Schoolbook" w:hAnsi="Century Schoolbook" w:cs="Times New Roman"/>
          <w:sz w:val="27"/>
          <w:szCs w:val="27"/>
        </w:rPr>
        <w:t xml:space="preserve"> hold that </w:t>
      </w:r>
      <w:r w:rsidR="00050317" w:rsidRPr="003D283D">
        <w:rPr>
          <w:rFonts w:ascii="Century Schoolbook" w:hAnsi="Century Schoolbook"/>
          <w:sz w:val="27"/>
          <w:szCs w:val="27"/>
        </w:rPr>
        <w:t xml:space="preserve">an appellate court must </w:t>
      </w:r>
      <w:r w:rsidR="00650CA0" w:rsidRPr="003D283D">
        <w:rPr>
          <w:rFonts w:ascii="Century Schoolbook" w:hAnsi="Century Schoolbook"/>
          <w:sz w:val="27"/>
          <w:szCs w:val="27"/>
        </w:rPr>
        <w:t>account for</w:t>
      </w:r>
      <w:r w:rsidR="00050317" w:rsidRPr="003D283D">
        <w:rPr>
          <w:rFonts w:ascii="Century Schoolbook" w:hAnsi="Century Schoolbook"/>
          <w:sz w:val="27"/>
          <w:szCs w:val="27"/>
        </w:rPr>
        <w:t xml:space="preserve"> the clear and convincing standard of proof when </w:t>
      </w:r>
      <w:r w:rsidR="0066340D" w:rsidRPr="003D283D">
        <w:rPr>
          <w:rFonts w:ascii="Century Schoolbook" w:hAnsi="Century Schoolbook"/>
          <w:sz w:val="27"/>
          <w:szCs w:val="27"/>
        </w:rPr>
        <w:t>addressing</w:t>
      </w:r>
      <w:r w:rsidR="00050317" w:rsidRPr="003D283D">
        <w:rPr>
          <w:rFonts w:ascii="Century Schoolbook" w:hAnsi="Century Schoolbook"/>
          <w:sz w:val="27"/>
          <w:szCs w:val="27"/>
        </w:rPr>
        <w:t xml:space="preserve"> </w:t>
      </w:r>
      <w:r w:rsidR="00D016A1" w:rsidRPr="003D283D">
        <w:rPr>
          <w:rFonts w:ascii="Century Schoolbook" w:hAnsi="Century Schoolbook"/>
          <w:sz w:val="27"/>
          <w:szCs w:val="27"/>
        </w:rPr>
        <w:t xml:space="preserve">a </w:t>
      </w:r>
      <w:r w:rsidR="00650CA0" w:rsidRPr="003D283D">
        <w:rPr>
          <w:rFonts w:ascii="Century Schoolbook" w:hAnsi="Century Schoolbook"/>
          <w:sz w:val="27"/>
          <w:szCs w:val="27"/>
        </w:rPr>
        <w:t>claim that the evidence does not</w:t>
      </w:r>
      <w:r w:rsidR="00A7160E" w:rsidRPr="003D283D">
        <w:rPr>
          <w:rFonts w:ascii="Century Schoolbook" w:hAnsi="Century Schoolbook"/>
          <w:sz w:val="27"/>
          <w:szCs w:val="27"/>
        </w:rPr>
        <w:t xml:space="preserve"> </w:t>
      </w:r>
      <w:r w:rsidR="00650CA0" w:rsidRPr="003D283D">
        <w:rPr>
          <w:rFonts w:ascii="Century Schoolbook" w:hAnsi="Century Schoolbook"/>
          <w:sz w:val="27"/>
          <w:szCs w:val="27"/>
        </w:rPr>
        <w:t>support a finding made under</w:t>
      </w:r>
      <w:r w:rsidR="00D016A1" w:rsidRPr="003D283D">
        <w:rPr>
          <w:rFonts w:ascii="Century Schoolbook" w:hAnsi="Century Schoolbook"/>
          <w:sz w:val="27"/>
          <w:szCs w:val="27"/>
        </w:rPr>
        <w:t xml:space="preserve"> this standard</w:t>
      </w:r>
      <w:r w:rsidR="00050317" w:rsidRPr="003D283D">
        <w:rPr>
          <w:rFonts w:ascii="Century Schoolbook" w:hAnsi="Century Schoolbook"/>
          <w:sz w:val="27"/>
          <w:szCs w:val="27"/>
        </w:rPr>
        <w:t xml:space="preserve">.  </w:t>
      </w:r>
      <w:r w:rsidR="00D016A1" w:rsidRPr="003D283D">
        <w:rPr>
          <w:rFonts w:ascii="Century Schoolbook" w:hAnsi="Century Schoolbook" w:cs="Times New Roman"/>
          <w:sz w:val="27"/>
          <w:szCs w:val="27"/>
        </w:rPr>
        <w:t>When reviewing a finding that a fact ha</w:t>
      </w:r>
      <w:r w:rsidR="000F30FF" w:rsidRPr="003D283D">
        <w:rPr>
          <w:rFonts w:ascii="Century Schoolbook" w:hAnsi="Century Schoolbook" w:cs="Times New Roman"/>
          <w:sz w:val="27"/>
          <w:szCs w:val="27"/>
        </w:rPr>
        <w:t>s</w:t>
      </w:r>
      <w:r w:rsidR="00D016A1" w:rsidRPr="003D283D">
        <w:rPr>
          <w:rFonts w:ascii="Century Schoolbook" w:hAnsi="Century Schoolbook" w:cs="Times New Roman"/>
          <w:sz w:val="27"/>
          <w:szCs w:val="27"/>
        </w:rPr>
        <w:t xml:space="preserve"> been proved by clear and convincing evidence, the question before the </w:t>
      </w:r>
      <w:r w:rsidR="00F679C4" w:rsidRPr="003D283D">
        <w:rPr>
          <w:rFonts w:ascii="Century Schoolbook" w:hAnsi="Century Schoolbook" w:cs="Times New Roman"/>
          <w:sz w:val="27"/>
          <w:szCs w:val="27"/>
        </w:rPr>
        <w:t xml:space="preserve">appellate </w:t>
      </w:r>
      <w:r w:rsidR="00D016A1" w:rsidRPr="003D283D">
        <w:rPr>
          <w:rFonts w:ascii="Century Schoolbook" w:hAnsi="Century Schoolbook" w:cs="Times New Roman"/>
          <w:sz w:val="27"/>
          <w:szCs w:val="27"/>
        </w:rPr>
        <w:t>court is whether the record as</w:t>
      </w:r>
      <w:r w:rsidR="003C41D8" w:rsidRPr="003D283D">
        <w:rPr>
          <w:rFonts w:ascii="Century Schoolbook" w:hAnsi="Century Schoolbook" w:cs="Times New Roman"/>
          <w:sz w:val="27"/>
          <w:szCs w:val="27"/>
        </w:rPr>
        <w:t xml:space="preserve"> </w:t>
      </w:r>
      <w:r w:rsidR="00D016A1" w:rsidRPr="003D283D">
        <w:rPr>
          <w:rFonts w:ascii="Century Schoolbook" w:hAnsi="Century Schoolbook" w:cs="Times New Roman"/>
          <w:sz w:val="27"/>
          <w:szCs w:val="27"/>
        </w:rPr>
        <w:t>a</w:t>
      </w:r>
      <w:r w:rsidR="003C41D8" w:rsidRPr="003D283D">
        <w:rPr>
          <w:rFonts w:ascii="Century Schoolbook" w:hAnsi="Century Schoolbook" w:cs="Times New Roman"/>
          <w:sz w:val="27"/>
          <w:szCs w:val="27"/>
        </w:rPr>
        <w:t xml:space="preserve"> </w:t>
      </w:r>
      <w:r w:rsidR="00D016A1" w:rsidRPr="003D283D">
        <w:rPr>
          <w:rFonts w:ascii="Century Schoolbook" w:hAnsi="Century Schoolbook" w:cs="Times New Roman"/>
          <w:sz w:val="27"/>
          <w:szCs w:val="27"/>
        </w:rPr>
        <w:t xml:space="preserve">whole contains substantial evidence from which a reasonable factfinder could </w:t>
      </w:r>
      <w:r w:rsidR="002A6FED" w:rsidRPr="003D283D">
        <w:rPr>
          <w:rFonts w:ascii="Century Schoolbook" w:hAnsi="Century Schoolbook" w:cs="Times New Roman"/>
          <w:sz w:val="27"/>
          <w:szCs w:val="27"/>
        </w:rPr>
        <w:t>have found</w:t>
      </w:r>
      <w:r w:rsidR="00D016A1" w:rsidRPr="003D283D">
        <w:rPr>
          <w:rFonts w:ascii="Century Schoolbook" w:hAnsi="Century Schoolbook" w:cs="Times New Roman"/>
          <w:sz w:val="27"/>
          <w:szCs w:val="27"/>
        </w:rPr>
        <w:t xml:space="preserve"> it highly probable that the fact </w:t>
      </w:r>
      <w:r w:rsidR="002A6FED" w:rsidRPr="003D283D">
        <w:rPr>
          <w:rFonts w:ascii="Century Schoolbook" w:hAnsi="Century Schoolbook" w:cs="Times New Roman"/>
          <w:sz w:val="27"/>
          <w:szCs w:val="27"/>
        </w:rPr>
        <w:t>wa</w:t>
      </w:r>
      <w:r w:rsidR="00D016A1" w:rsidRPr="003D283D">
        <w:rPr>
          <w:rFonts w:ascii="Century Schoolbook" w:hAnsi="Century Schoolbook" w:cs="Times New Roman"/>
          <w:sz w:val="27"/>
          <w:szCs w:val="27"/>
        </w:rPr>
        <w:t>s true</w:t>
      </w:r>
      <w:r w:rsidR="00062DB8" w:rsidRPr="003D283D">
        <w:rPr>
          <w:rFonts w:ascii="Century Schoolbook" w:hAnsi="Century Schoolbook" w:cs="Times New Roman"/>
          <w:sz w:val="27"/>
          <w:szCs w:val="27"/>
        </w:rPr>
        <w:t>.</w:t>
      </w:r>
      <w:r w:rsidR="009C25BD" w:rsidRPr="003D283D">
        <w:rPr>
          <w:rFonts w:ascii="Century Schoolbook" w:hAnsi="Century Schoolbook" w:cs="Times New Roman"/>
          <w:sz w:val="27"/>
          <w:szCs w:val="27"/>
          <w:shd w:val="clear" w:color="auto" w:fill="FFFFFF"/>
        </w:rPr>
        <w:t xml:space="preserve"> </w:t>
      </w:r>
      <w:r w:rsidR="00E1502E" w:rsidRPr="003D283D">
        <w:rPr>
          <w:rFonts w:ascii="Century Schoolbook" w:hAnsi="Century Schoolbook" w:cs="Times New Roman"/>
          <w:sz w:val="27"/>
          <w:szCs w:val="27"/>
          <w:shd w:val="clear" w:color="auto" w:fill="FFFFFF"/>
        </w:rPr>
        <w:t xml:space="preserve"> </w:t>
      </w:r>
      <w:r w:rsidR="009C7C74" w:rsidRPr="003D283D">
        <w:rPr>
          <w:rFonts w:ascii="Century Schoolbook" w:hAnsi="Century Schoolbook" w:cs="Times New Roman"/>
          <w:sz w:val="27"/>
          <w:szCs w:val="27"/>
          <w:shd w:val="clear" w:color="auto" w:fill="FFFFFF"/>
        </w:rPr>
        <w:t>I</w:t>
      </w:r>
      <w:r w:rsidR="00E1502E" w:rsidRPr="003D283D">
        <w:rPr>
          <w:rFonts w:ascii="Century Schoolbook" w:hAnsi="Century Schoolbook"/>
          <w:sz w:val="27"/>
          <w:szCs w:val="27"/>
        </w:rPr>
        <w:t xml:space="preserve">n </w:t>
      </w:r>
      <w:r w:rsidR="00A6498C" w:rsidRPr="003D283D">
        <w:rPr>
          <w:rFonts w:ascii="Century Schoolbook" w:hAnsi="Century Schoolbook"/>
          <w:sz w:val="27"/>
          <w:szCs w:val="27"/>
        </w:rPr>
        <w:t>conducting its review,</w:t>
      </w:r>
      <w:r w:rsidR="00E1502E" w:rsidRPr="003D283D">
        <w:rPr>
          <w:rFonts w:ascii="Century Schoolbook" w:hAnsi="Century Schoolbook"/>
          <w:sz w:val="27"/>
          <w:szCs w:val="27"/>
        </w:rPr>
        <w:t xml:space="preserve"> the court must view the record in the light most favorable to the prevailing party below and give appropriate deference to how the trier of fact may have evaluated the credibility of witnesses, resolved conflicts in the evidence, and drawn reasonable inferences from the evidence.  </w:t>
      </w:r>
      <w:r w:rsidR="00330331" w:rsidRPr="003D283D">
        <w:rPr>
          <w:rFonts w:ascii="Century Schoolbook" w:hAnsi="Century Schoolbook" w:cs="Times New Roman"/>
          <w:sz w:val="27"/>
          <w:szCs w:val="27"/>
          <w:shd w:val="clear" w:color="auto" w:fill="FFFFFF"/>
        </w:rPr>
        <w:t xml:space="preserve">Because the Court of Appeal below </w:t>
      </w:r>
      <w:r w:rsidR="007D78F3" w:rsidRPr="003D283D">
        <w:rPr>
          <w:rFonts w:ascii="Century Schoolbook" w:hAnsi="Century Schoolbook" w:cs="Times New Roman"/>
          <w:sz w:val="27"/>
          <w:szCs w:val="27"/>
          <w:shd w:val="clear" w:color="auto" w:fill="FFFFFF"/>
        </w:rPr>
        <w:t>believed that</w:t>
      </w:r>
      <w:r w:rsidR="00330331" w:rsidRPr="003D283D">
        <w:rPr>
          <w:rFonts w:ascii="Century Schoolbook" w:hAnsi="Century Schoolbook" w:cs="Times New Roman"/>
          <w:sz w:val="27"/>
          <w:szCs w:val="27"/>
          <w:shd w:val="clear" w:color="auto" w:fill="FFFFFF"/>
        </w:rPr>
        <w:t xml:space="preserve"> the clear and convincing standard of proof “ ‘ “disappears” </w:t>
      </w:r>
      <w:r w:rsidR="008D630D" w:rsidRPr="003D283D">
        <w:rPr>
          <w:rFonts w:ascii="Century Schoolbook" w:hAnsi="Century Schoolbook" w:cs="Times New Roman"/>
          <w:sz w:val="27"/>
          <w:szCs w:val="27"/>
          <w:shd w:val="clear" w:color="auto" w:fill="FFFFFF"/>
        </w:rPr>
        <w:t>’</w:t>
      </w:r>
      <w:r w:rsidR="00330331" w:rsidRPr="003D283D">
        <w:rPr>
          <w:rFonts w:ascii="Century Schoolbook" w:hAnsi="Century Schoolbook" w:cs="Times New Roman"/>
          <w:sz w:val="27"/>
          <w:szCs w:val="27"/>
          <w:shd w:val="clear" w:color="auto" w:fill="FFFFFF"/>
        </w:rPr>
        <w:t> ” on appeal</w:t>
      </w:r>
      <w:r w:rsidR="00354012" w:rsidRPr="003D283D">
        <w:rPr>
          <w:rFonts w:ascii="Century Schoolbook" w:hAnsi="Century Schoolbook" w:cs="Times New Roman"/>
          <w:sz w:val="27"/>
          <w:szCs w:val="27"/>
          <w:shd w:val="clear" w:color="auto" w:fill="FFFFFF"/>
        </w:rPr>
        <w:t xml:space="preserve"> (</w:t>
      </w:r>
      <w:r w:rsidR="00354012" w:rsidRPr="003D283D">
        <w:rPr>
          <w:rFonts w:ascii="Century Schoolbook" w:hAnsi="Century Schoolbook" w:cs="Times New Roman"/>
          <w:i/>
          <w:iCs/>
          <w:sz w:val="27"/>
          <w:szCs w:val="27"/>
          <w:shd w:val="clear" w:color="auto" w:fill="FFFFFF"/>
        </w:rPr>
        <w:t>Conservatorship of O.B.</w:t>
      </w:r>
      <w:r w:rsidR="00354012" w:rsidRPr="003D283D">
        <w:rPr>
          <w:rFonts w:ascii="Century Schoolbook" w:hAnsi="Century Schoolbook" w:cs="Times New Roman"/>
          <w:sz w:val="27"/>
          <w:szCs w:val="27"/>
          <w:shd w:val="clear" w:color="auto" w:fill="FFFFFF"/>
        </w:rPr>
        <w:t xml:space="preserve">, </w:t>
      </w:r>
      <w:r w:rsidR="00354012" w:rsidRPr="003D283D">
        <w:rPr>
          <w:rFonts w:ascii="Century Schoolbook" w:hAnsi="Century Schoolbook" w:cs="Times New Roman"/>
          <w:i/>
          <w:iCs/>
          <w:sz w:val="27"/>
          <w:szCs w:val="27"/>
          <w:shd w:val="clear" w:color="auto" w:fill="FFFFFF"/>
        </w:rPr>
        <w:t>supra</w:t>
      </w:r>
      <w:r w:rsidR="00354012" w:rsidRPr="003D283D">
        <w:rPr>
          <w:rFonts w:ascii="Century Schoolbook" w:hAnsi="Century Schoolbook" w:cs="Times New Roman"/>
          <w:sz w:val="27"/>
          <w:szCs w:val="27"/>
          <w:shd w:val="clear" w:color="auto" w:fill="FFFFFF"/>
        </w:rPr>
        <w:t>, 32 Cal.App.5th at p. 633)</w:t>
      </w:r>
      <w:r w:rsidR="00330331" w:rsidRPr="003D283D">
        <w:rPr>
          <w:rFonts w:ascii="Century Schoolbook" w:hAnsi="Century Schoolbook" w:cs="Times New Roman"/>
          <w:sz w:val="27"/>
          <w:szCs w:val="27"/>
          <w:shd w:val="clear" w:color="auto" w:fill="FFFFFF"/>
        </w:rPr>
        <w:t>, we remand</w:t>
      </w:r>
      <w:r w:rsidR="00330331" w:rsidRPr="003D283D">
        <w:rPr>
          <w:rFonts w:ascii="Century Schoolbook" w:hAnsi="Century Schoolbook" w:cs="Times New Roman"/>
          <w:sz w:val="27"/>
          <w:szCs w:val="26"/>
          <w:shd w:val="clear" w:color="auto" w:fill="FFFFFF"/>
        </w:rPr>
        <w:t xml:space="preserve"> the cause to that court for it to </w:t>
      </w:r>
      <w:r w:rsidR="00105210" w:rsidRPr="003D283D">
        <w:rPr>
          <w:rFonts w:ascii="Century Schoolbook" w:hAnsi="Century Schoolbook" w:cs="Times New Roman"/>
          <w:sz w:val="27"/>
          <w:szCs w:val="26"/>
          <w:shd w:val="clear" w:color="auto" w:fill="FFFFFF"/>
        </w:rPr>
        <w:t>reevaluate</w:t>
      </w:r>
      <w:r w:rsidR="00330331" w:rsidRPr="003D283D">
        <w:rPr>
          <w:rFonts w:ascii="Century Schoolbook" w:hAnsi="Century Schoolbook" w:cs="Times New Roman"/>
          <w:sz w:val="27"/>
          <w:szCs w:val="26"/>
          <w:shd w:val="clear" w:color="auto" w:fill="FFFFFF"/>
        </w:rPr>
        <w:t xml:space="preserve"> the sufficiency of the evidence in light of </w:t>
      </w:r>
      <w:r w:rsidR="00C0350A" w:rsidRPr="003D283D">
        <w:rPr>
          <w:rFonts w:ascii="Century Schoolbook" w:hAnsi="Century Schoolbook" w:cs="Times New Roman"/>
          <w:sz w:val="27"/>
          <w:szCs w:val="26"/>
          <w:shd w:val="clear" w:color="auto" w:fill="FFFFFF"/>
        </w:rPr>
        <w:t>the</w:t>
      </w:r>
      <w:r w:rsidR="00330331" w:rsidRPr="003D283D">
        <w:rPr>
          <w:rFonts w:ascii="Century Schoolbook" w:hAnsi="Century Schoolbook" w:cs="Times New Roman"/>
          <w:sz w:val="27"/>
          <w:szCs w:val="26"/>
          <w:shd w:val="clear" w:color="auto" w:fill="FFFFFF"/>
        </w:rPr>
        <w:t xml:space="preserve"> clarification </w:t>
      </w:r>
      <w:r w:rsidR="00C0350A" w:rsidRPr="003D283D">
        <w:rPr>
          <w:rFonts w:ascii="Century Schoolbook" w:hAnsi="Century Schoolbook" w:cs="Times New Roman"/>
          <w:sz w:val="27"/>
          <w:szCs w:val="26"/>
          <w:shd w:val="clear" w:color="auto" w:fill="FFFFFF"/>
        </w:rPr>
        <w:t>we have provided</w:t>
      </w:r>
      <w:r w:rsidR="00330331" w:rsidRPr="003D283D">
        <w:rPr>
          <w:rFonts w:ascii="Century Schoolbook" w:hAnsi="Century Schoolbook" w:cs="Times New Roman"/>
          <w:sz w:val="27"/>
          <w:szCs w:val="26"/>
          <w:shd w:val="clear" w:color="auto" w:fill="FFFFFF"/>
        </w:rPr>
        <w:t>.</w:t>
      </w:r>
    </w:p>
    <w:p w14:paraId="464489BF" w14:textId="77777777" w:rsidR="006E4C44" w:rsidRPr="003D283D" w:rsidRDefault="006E4C44" w:rsidP="0032641D">
      <w:pPr>
        <w:keepNext/>
        <w:keepLines/>
        <w:jc w:val="center"/>
        <w:rPr>
          <w:b/>
          <w:bCs/>
          <w:smallCaps/>
          <w:szCs w:val="26"/>
        </w:rPr>
      </w:pPr>
      <w:r w:rsidRPr="003D283D">
        <w:rPr>
          <w:b/>
          <w:bCs/>
          <w:smallCaps/>
          <w:szCs w:val="26"/>
        </w:rPr>
        <w:br w:type="page"/>
      </w:r>
    </w:p>
    <w:p w14:paraId="279E062C" w14:textId="0833CCCD" w:rsidR="00062DB8" w:rsidRPr="003D283D" w:rsidRDefault="00062DB8" w:rsidP="0032641D">
      <w:pPr>
        <w:keepNext/>
        <w:keepLines/>
        <w:jc w:val="center"/>
        <w:rPr>
          <w:b/>
          <w:bCs/>
          <w:smallCaps/>
          <w:szCs w:val="26"/>
        </w:rPr>
      </w:pPr>
      <w:r w:rsidRPr="003D283D">
        <w:rPr>
          <w:b/>
          <w:bCs/>
          <w:smallCaps/>
          <w:szCs w:val="26"/>
        </w:rPr>
        <w:lastRenderedPageBreak/>
        <w:t>III.  Disposition</w:t>
      </w:r>
    </w:p>
    <w:p w14:paraId="1105100A" w14:textId="692B4F44" w:rsidR="00062DB8" w:rsidRPr="003D283D" w:rsidRDefault="00330331" w:rsidP="0032641D">
      <w:pPr>
        <w:keepNext/>
        <w:keepLines/>
        <w:ind w:firstLine="720"/>
        <w:rPr>
          <w:szCs w:val="26"/>
        </w:rPr>
      </w:pPr>
      <w:r w:rsidRPr="003D283D">
        <w:rPr>
          <w:szCs w:val="26"/>
        </w:rPr>
        <w:t>W</w:t>
      </w:r>
      <w:r w:rsidR="00BF68E2" w:rsidRPr="003D283D">
        <w:rPr>
          <w:szCs w:val="26"/>
        </w:rPr>
        <w:t>e reverse</w:t>
      </w:r>
      <w:r w:rsidR="00062DB8" w:rsidRPr="003D283D">
        <w:rPr>
          <w:szCs w:val="26"/>
        </w:rPr>
        <w:t xml:space="preserve"> the judgment of the Court of Appeal</w:t>
      </w:r>
      <w:r w:rsidR="00BF68E2" w:rsidRPr="003D283D">
        <w:rPr>
          <w:szCs w:val="26"/>
        </w:rPr>
        <w:t xml:space="preserve"> and remand the cause to that court for further proceedings consistent with this opinion</w:t>
      </w:r>
      <w:r w:rsidR="00062DB8" w:rsidRPr="003D283D">
        <w:rPr>
          <w:szCs w:val="26"/>
        </w:rPr>
        <w:t xml:space="preserve">. </w:t>
      </w:r>
    </w:p>
    <w:p w14:paraId="0A44FCD1" w14:textId="77777777" w:rsidR="00062DB8" w:rsidRPr="003D283D" w:rsidRDefault="00062DB8" w:rsidP="00F776FE">
      <w:pPr>
        <w:keepNext/>
        <w:keepLines/>
        <w:ind w:left="4500"/>
        <w:rPr>
          <w:b/>
          <w:bCs/>
          <w:szCs w:val="26"/>
        </w:rPr>
      </w:pPr>
      <w:r w:rsidRPr="003D283D">
        <w:rPr>
          <w:b/>
          <w:bCs/>
          <w:szCs w:val="26"/>
        </w:rPr>
        <w:t>CANTIL-SAKAUYE, C. J.</w:t>
      </w:r>
    </w:p>
    <w:p w14:paraId="3ACCEEC3" w14:textId="62F080CF" w:rsidR="008F2018" w:rsidRPr="003D283D" w:rsidRDefault="008F2018" w:rsidP="008F2018">
      <w:pPr>
        <w:tabs>
          <w:tab w:val="left" w:pos="1440"/>
        </w:tabs>
      </w:pPr>
    </w:p>
    <w:p w14:paraId="3F8A7A76" w14:textId="2D012C4D" w:rsidR="008F2018" w:rsidRPr="003D283D" w:rsidRDefault="008F2018" w:rsidP="008F2018">
      <w:pPr>
        <w:tabs>
          <w:tab w:val="left" w:pos="1440"/>
        </w:tabs>
        <w:rPr>
          <w:b/>
          <w:bCs/>
        </w:rPr>
      </w:pPr>
      <w:r w:rsidRPr="003D283D">
        <w:rPr>
          <w:b/>
          <w:bCs/>
        </w:rPr>
        <w:t>We Concur:</w:t>
      </w:r>
    </w:p>
    <w:p w14:paraId="1C812665" w14:textId="7120317A" w:rsidR="008F2018" w:rsidRPr="003D283D" w:rsidRDefault="008F2018" w:rsidP="008F2018">
      <w:pPr>
        <w:tabs>
          <w:tab w:val="left" w:pos="1440"/>
        </w:tabs>
        <w:spacing w:after="0" w:line="240" w:lineRule="auto"/>
        <w:rPr>
          <w:b/>
          <w:bCs/>
        </w:rPr>
      </w:pPr>
      <w:r w:rsidRPr="003D283D">
        <w:rPr>
          <w:b/>
          <w:bCs/>
        </w:rPr>
        <w:t>CHIN, J.</w:t>
      </w:r>
    </w:p>
    <w:p w14:paraId="7B1711EC" w14:textId="0EF4119B" w:rsidR="008F2018" w:rsidRPr="003D283D" w:rsidRDefault="008F2018" w:rsidP="008F2018">
      <w:pPr>
        <w:tabs>
          <w:tab w:val="left" w:pos="1440"/>
        </w:tabs>
        <w:spacing w:after="0" w:line="240" w:lineRule="auto"/>
        <w:rPr>
          <w:b/>
          <w:bCs/>
        </w:rPr>
      </w:pPr>
      <w:r w:rsidRPr="003D283D">
        <w:rPr>
          <w:b/>
          <w:bCs/>
        </w:rPr>
        <w:t>CORRIGAN, J.</w:t>
      </w:r>
    </w:p>
    <w:p w14:paraId="445426D9" w14:textId="6FF4EEA5" w:rsidR="008F2018" w:rsidRPr="003D283D" w:rsidRDefault="008F2018" w:rsidP="008F2018">
      <w:pPr>
        <w:tabs>
          <w:tab w:val="left" w:pos="1440"/>
        </w:tabs>
        <w:spacing w:after="0" w:line="240" w:lineRule="auto"/>
        <w:rPr>
          <w:b/>
          <w:bCs/>
        </w:rPr>
      </w:pPr>
      <w:r w:rsidRPr="003D283D">
        <w:rPr>
          <w:b/>
          <w:bCs/>
        </w:rPr>
        <w:t>LIU, J.</w:t>
      </w:r>
    </w:p>
    <w:p w14:paraId="22741609" w14:textId="5AB9FBE1" w:rsidR="008F2018" w:rsidRPr="003D283D" w:rsidRDefault="008F2018" w:rsidP="008F2018">
      <w:pPr>
        <w:tabs>
          <w:tab w:val="left" w:pos="1440"/>
        </w:tabs>
        <w:spacing w:after="0" w:line="240" w:lineRule="auto"/>
        <w:rPr>
          <w:b/>
          <w:bCs/>
        </w:rPr>
      </w:pPr>
      <w:r w:rsidRPr="003D283D">
        <w:rPr>
          <w:b/>
          <w:bCs/>
        </w:rPr>
        <w:t>CU</w:t>
      </w:r>
      <w:r w:rsidR="001B2F39" w:rsidRPr="003D283D">
        <w:rPr>
          <w:b/>
          <w:bCs/>
        </w:rPr>
        <w:t>É</w:t>
      </w:r>
      <w:r w:rsidRPr="003D283D">
        <w:rPr>
          <w:b/>
          <w:bCs/>
        </w:rPr>
        <w:t>LLAR, J.</w:t>
      </w:r>
    </w:p>
    <w:p w14:paraId="298B8AA9" w14:textId="36CB89EE" w:rsidR="008F2018" w:rsidRPr="003D283D" w:rsidRDefault="008F2018" w:rsidP="008F2018">
      <w:pPr>
        <w:tabs>
          <w:tab w:val="left" w:pos="1440"/>
        </w:tabs>
        <w:spacing w:after="0" w:line="240" w:lineRule="auto"/>
        <w:rPr>
          <w:b/>
          <w:bCs/>
        </w:rPr>
      </w:pPr>
      <w:r w:rsidRPr="003D283D">
        <w:rPr>
          <w:b/>
          <w:bCs/>
        </w:rPr>
        <w:t>KRUGER, J.</w:t>
      </w:r>
    </w:p>
    <w:p w14:paraId="39774C73" w14:textId="79D18BF7" w:rsidR="008F2018" w:rsidRPr="003D283D" w:rsidRDefault="008F2018" w:rsidP="008F2018">
      <w:pPr>
        <w:tabs>
          <w:tab w:val="left" w:pos="1440"/>
        </w:tabs>
        <w:spacing w:after="0" w:line="240" w:lineRule="auto"/>
        <w:rPr>
          <w:b/>
          <w:bCs/>
        </w:rPr>
      </w:pPr>
      <w:r w:rsidRPr="003D283D">
        <w:rPr>
          <w:b/>
          <w:bCs/>
        </w:rPr>
        <w:t>GROBAN, J.</w:t>
      </w:r>
    </w:p>
    <w:p w14:paraId="4122069F" w14:textId="77777777" w:rsidR="001F4D91" w:rsidRPr="003D283D" w:rsidRDefault="001F4D91" w:rsidP="008F2018">
      <w:pPr>
        <w:tabs>
          <w:tab w:val="left" w:pos="1440"/>
        </w:tabs>
        <w:spacing w:after="0" w:line="240" w:lineRule="auto"/>
        <w:sectPr w:rsidR="001F4D91" w:rsidRPr="003D283D" w:rsidSect="007F1BD8">
          <w:footerReference w:type="first" r:id="rId10"/>
          <w:pgSz w:w="12240" w:h="15840"/>
          <w:pgMar w:top="1800" w:right="2160" w:bottom="1440" w:left="2160" w:header="720" w:footer="720" w:gutter="0"/>
          <w:pgNumType w:start="1"/>
          <w:cols w:space="720"/>
          <w:titlePg/>
          <w:docGrid w:linePitch="367"/>
        </w:sectPr>
      </w:pPr>
    </w:p>
    <w:p w14:paraId="6B27A4AF" w14:textId="77777777" w:rsidR="001F4D91" w:rsidRPr="001F4D91" w:rsidRDefault="001F4D91" w:rsidP="001F4D91">
      <w:pPr>
        <w:spacing w:after="0" w:line="240" w:lineRule="auto"/>
        <w:jc w:val="left"/>
        <w:rPr>
          <w:rFonts w:ascii="Times New Roman" w:hAnsi="Times New Roman"/>
          <w:i/>
          <w:sz w:val="20"/>
        </w:rPr>
      </w:pPr>
      <w:r w:rsidRPr="001F4D91">
        <w:rPr>
          <w:rFonts w:ascii="Times New Roman" w:hAnsi="Times New Roman"/>
          <w:i/>
          <w:sz w:val="20"/>
        </w:rPr>
        <w:lastRenderedPageBreak/>
        <w:t>See next page for addresses and telephone numbers for counsel who argued in Supreme Court.</w:t>
      </w:r>
    </w:p>
    <w:p w14:paraId="6AE5B68C" w14:textId="77777777" w:rsidR="001F4D91" w:rsidRPr="001F4D91" w:rsidRDefault="001F4D91" w:rsidP="001F4D91">
      <w:pPr>
        <w:spacing w:after="0" w:line="240" w:lineRule="auto"/>
        <w:jc w:val="left"/>
        <w:rPr>
          <w:rFonts w:ascii="Times New Roman" w:hAnsi="Times New Roman"/>
          <w:i/>
          <w:sz w:val="20"/>
        </w:rPr>
      </w:pPr>
    </w:p>
    <w:p w14:paraId="09990522" w14:textId="77777777" w:rsidR="001F4D91" w:rsidRPr="001F4D91" w:rsidRDefault="001F4D91" w:rsidP="001F4D91">
      <w:pPr>
        <w:spacing w:after="0" w:line="240" w:lineRule="auto"/>
        <w:jc w:val="left"/>
        <w:rPr>
          <w:rFonts w:ascii="Times New Roman" w:hAnsi="Times New Roman"/>
          <w:sz w:val="20"/>
        </w:rPr>
      </w:pPr>
      <w:r w:rsidRPr="001F4D91">
        <w:rPr>
          <w:rFonts w:ascii="Times New Roman" w:hAnsi="Times New Roman"/>
          <w:b/>
          <w:sz w:val="20"/>
        </w:rPr>
        <w:t xml:space="preserve">Name of Opinion </w:t>
      </w:r>
      <w:r w:rsidRPr="001F4D91">
        <w:rPr>
          <w:rFonts w:ascii="Times New Roman" w:hAnsi="Times New Roman"/>
          <w:bCs/>
          <w:sz w:val="20"/>
        </w:rPr>
        <w:t xml:space="preserve"> </w:t>
      </w:r>
      <w:r w:rsidRPr="001F4D91">
        <w:rPr>
          <w:rFonts w:ascii="Times New Roman" w:hAnsi="Times New Roman"/>
          <w:sz w:val="20"/>
        </w:rPr>
        <w:t xml:space="preserve"> Conservatorship of O.B.</w:t>
      </w:r>
    </w:p>
    <w:p w14:paraId="4E66AEF6" w14:textId="77777777" w:rsidR="001F4D91" w:rsidRPr="001F4D91" w:rsidRDefault="001F4D91" w:rsidP="001F4D91">
      <w:pPr>
        <w:spacing w:after="0" w:line="240" w:lineRule="auto"/>
        <w:jc w:val="left"/>
        <w:rPr>
          <w:rFonts w:ascii="Times New Roman" w:hAnsi="Times New Roman"/>
          <w:b/>
          <w:sz w:val="20"/>
        </w:rPr>
      </w:pPr>
      <w:r w:rsidRPr="001F4D91">
        <w:rPr>
          <w:rFonts w:ascii="Times New Roman" w:hAnsi="Times New Roman"/>
          <w:b/>
          <w:sz w:val="20"/>
        </w:rPr>
        <w:t>__________________________________________________________________________________</w:t>
      </w:r>
    </w:p>
    <w:p w14:paraId="5452E364" w14:textId="77777777" w:rsidR="001F4D91" w:rsidRPr="001F4D91" w:rsidRDefault="001F4D91" w:rsidP="001F4D91">
      <w:pPr>
        <w:spacing w:after="0" w:line="240" w:lineRule="auto"/>
        <w:jc w:val="left"/>
        <w:rPr>
          <w:rFonts w:ascii="Times New Roman" w:hAnsi="Times New Roman"/>
          <w:b/>
          <w:sz w:val="20"/>
        </w:rPr>
      </w:pPr>
    </w:p>
    <w:p w14:paraId="0AEA4CDF" w14:textId="77777777" w:rsidR="001F4D91" w:rsidRPr="001F4D91" w:rsidRDefault="001F4D91" w:rsidP="001F4D91">
      <w:pPr>
        <w:spacing w:after="0" w:line="240" w:lineRule="auto"/>
        <w:jc w:val="left"/>
        <w:rPr>
          <w:rFonts w:ascii="Times New Roman" w:hAnsi="Times New Roman"/>
          <w:bCs/>
          <w:sz w:val="20"/>
        </w:rPr>
      </w:pPr>
      <w:r w:rsidRPr="001F4D91">
        <w:rPr>
          <w:rFonts w:ascii="Times New Roman" w:hAnsi="Times New Roman"/>
          <w:b/>
          <w:sz w:val="20"/>
        </w:rPr>
        <w:t>Unpublished Opinion</w:t>
      </w:r>
    </w:p>
    <w:p w14:paraId="5993BCCF" w14:textId="77777777" w:rsidR="001F4D91" w:rsidRPr="001F4D91" w:rsidRDefault="001F4D91" w:rsidP="001F4D91">
      <w:pPr>
        <w:spacing w:after="0" w:line="240" w:lineRule="auto"/>
        <w:jc w:val="left"/>
        <w:rPr>
          <w:rFonts w:ascii="Times New Roman" w:hAnsi="Times New Roman"/>
          <w:sz w:val="20"/>
        </w:rPr>
      </w:pPr>
      <w:r w:rsidRPr="001F4D91">
        <w:rPr>
          <w:rFonts w:ascii="Times New Roman" w:hAnsi="Times New Roman"/>
          <w:b/>
          <w:sz w:val="20"/>
        </w:rPr>
        <w:t>Original Appeal</w:t>
      </w:r>
    </w:p>
    <w:p w14:paraId="13BF3B13" w14:textId="77777777" w:rsidR="001F4D91" w:rsidRPr="001F4D91" w:rsidRDefault="001F4D91" w:rsidP="001F4D91">
      <w:pPr>
        <w:spacing w:after="0" w:line="240" w:lineRule="auto"/>
        <w:jc w:val="left"/>
        <w:rPr>
          <w:rFonts w:ascii="Times New Roman" w:hAnsi="Times New Roman"/>
          <w:b/>
          <w:sz w:val="20"/>
        </w:rPr>
      </w:pPr>
      <w:r w:rsidRPr="001F4D91">
        <w:rPr>
          <w:rFonts w:ascii="Times New Roman" w:hAnsi="Times New Roman"/>
          <w:b/>
          <w:sz w:val="20"/>
        </w:rPr>
        <w:t xml:space="preserve">Original Proceeding </w:t>
      </w:r>
    </w:p>
    <w:p w14:paraId="2A4A14A1" w14:textId="77777777" w:rsidR="001F4D91" w:rsidRPr="001F4D91" w:rsidRDefault="001F4D91" w:rsidP="001F4D91">
      <w:pPr>
        <w:spacing w:after="0" w:line="240" w:lineRule="auto"/>
        <w:jc w:val="left"/>
        <w:rPr>
          <w:rFonts w:ascii="Times New Roman" w:hAnsi="Times New Roman"/>
          <w:bCs/>
          <w:sz w:val="20"/>
        </w:rPr>
      </w:pPr>
      <w:r w:rsidRPr="001F4D91">
        <w:rPr>
          <w:rFonts w:ascii="Times New Roman" w:hAnsi="Times New Roman"/>
          <w:b/>
          <w:sz w:val="20"/>
        </w:rPr>
        <w:t xml:space="preserve">Review Granted </w:t>
      </w:r>
      <w:r w:rsidRPr="001F4D91">
        <w:rPr>
          <w:rFonts w:ascii="Times New Roman" w:hAnsi="Times New Roman"/>
          <w:bCs/>
          <w:sz w:val="20"/>
        </w:rPr>
        <w:t xml:space="preserve">XX 32 Cal.App.5th 626  </w:t>
      </w:r>
    </w:p>
    <w:p w14:paraId="77063E53" w14:textId="77777777" w:rsidR="001F4D91" w:rsidRPr="001F4D91" w:rsidRDefault="001F4D91" w:rsidP="001F4D91">
      <w:pPr>
        <w:spacing w:after="0" w:line="240" w:lineRule="auto"/>
        <w:jc w:val="left"/>
        <w:rPr>
          <w:rFonts w:ascii="Times New Roman" w:hAnsi="Times New Roman"/>
          <w:b/>
          <w:sz w:val="20"/>
        </w:rPr>
      </w:pPr>
      <w:r w:rsidRPr="001F4D91">
        <w:rPr>
          <w:rFonts w:ascii="Times New Roman" w:hAnsi="Times New Roman"/>
          <w:b/>
          <w:sz w:val="20"/>
        </w:rPr>
        <w:t>Rehearing Granted</w:t>
      </w:r>
    </w:p>
    <w:p w14:paraId="4591EE30" w14:textId="77777777" w:rsidR="001F4D91" w:rsidRPr="001F4D91" w:rsidRDefault="001F4D91" w:rsidP="001F4D91">
      <w:pPr>
        <w:spacing w:after="0" w:line="240" w:lineRule="auto"/>
        <w:jc w:val="left"/>
        <w:rPr>
          <w:rFonts w:ascii="Times New Roman" w:hAnsi="Times New Roman"/>
          <w:b/>
          <w:sz w:val="20"/>
        </w:rPr>
      </w:pPr>
    </w:p>
    <w:p w14:paraId="0A6B80FB" w14:textId="77777777" w:rsidR="001F4D91" w:rsidRPr="001F4D91" w:rsidRDefault="001F4D91" w:rsidP="001F4D91">
      <w:pPr>
        <w:spacing w:after="0" w:line="240" w:lineRule="auto"/>
        <w:jc w:val="left"/>
        <w:rPr>
          <w:rFonts w:ascii="Times New Roman" w:hAnsi="Times New Roman"/>
          <w:b/>
          <w:sz w:val="20"/>
        </w:rPr>
      </w:pPr>
      <w:r w:rsidRPr="001F4D91">
        <w:rPr>
          <w:rFonts w:ascii="Times New Roman" w:hAnsi="Times New Roman"/>
          <w:b/>
          <w:sz w:val="20"/>
        </w:rPr>
        <w:t>__________________________________________________________________________________</w:t>
      </w:r>
    </w:p>
    <w:p w14:paraId="593FD2FB" w14:textId="77777777" w:rsidR="001F4D91" w:rsidRPr="001F4D91" w:rsidRDefault="001F4D91" w:rsidP="001F4D91">
      <w:pPr>
        <w:spacing w:after="0" w:line="240" w:lineRule="auto"/>
        <w:jc w:val="left"/>
        <w:rPr>
          <w:rFonts w:ascii="Times New Roman" w:hAnsi="Times New Roman"/>
          <w:b/>
          <w:sz w:val="20"/>
        </w:rPr>
      </w:pPr>
    </w:p>
    <w:p w14:paraId="008DD110" w14:textId="77777777" w:rsidR="001F4D91" w:rsidRPr="001F4D91" w:rsidRDefault="001F4D91" w:rsidP="001F4D91">
      <w:pPr>
        <w:spacing w:after="0" w:line="240" w:lineRule="auto"/>
        <w:jc w:val="left"/>
        <w:rPr>
          <w:rFonts w:ascii="Times New Roman" w:hAnsi="Times New Roman"/>
          <w:bCs/>
          <w:sz w:val="20"/>
        </w:rPr>
      </w:pPr>
      <w:r w:rsidRPr="001F4D91">
        <w:rPr>
          <w:rFonts w:ascii="Times New Roman" w:hAnsi="Times New Roman"/>
          <w:b/>
          <w:sz w:val="20"/>
        </w:rPr>
        <w:t>Opinion No.</w:t>
      </w:r>
      <w:r w:rsidRPr="001F4D91">
        <w:rPr>
          <w:rFonts w:ascii="Times New Roman" w:hAnsi="Times New Roman"/>
          <w:sz w:val="20"/>
        </w:rPr>
        <w:t xml:space="preserve"> S254938 </w:t>
      </w:r>
    </w:p>
    <w:p w14:paraId="5B99F92D" w14:textId="77777777" w:rsidR="001F4D91" w:rsidRPr="001F4D91" w:rsidRDefault="001F4D91" w:rsidP="001F4D91">
      <w:pPr>
        <w:spacing w:after="0" w:line="240" w:lineRule="auto"/>
        <w:jc w:val="left"/>
        <w:rPr>
          <w:rFonts w:ascii="Times New Roman" w:hAnsi="Times New Roman"/>
          <w:bCs/>
          <w:sz w:val="20"/>
        </w:rPr>
      </w:pPr>
      <w:r w:rsidRPr="001F4D91">
        <w:rPr>
          <w:rFonts w:ascii="Times New Roman" w:hAnsi="Times New Roman"/>
          <w:b/>
          <w:sz w:val="20"/>
        </w:rPr>
        <w:t xml:space="preserve">Date Filed: </w:t>
      </w:r>
      <w:r w:rsidRPr="001F4D91">
        <w:rPr>
          <w:rFonts w:ascii="Times New Roman" w:hAnsi="Times New Roman"/>
          <w:sz w:val="20"/>
        </w:rPr>
        <w:t>July 27, 2020</w:t>
      </w:r>
      <w:r w:rsidRPr="001F4D91">
        <w:rPr>
          <w:rFonts w:ascii="Times New Roman" w:hAnsi="Times New Roman"/>
          <w:b/>
          <w:sz w:val="20"/>
        </w:rPr>
        <w:t xml:space="preserve">  </w:t>
      </w:r>
      <w:r w:rsidRPr="001F4D91">
        <w:rPr>
          <w:rFonts w:ascii="Times New Roman" w:hAnsi="Times New Roman"/>
          <w:sz w:val="20"/>
        </w:rPr>
        <w:t xml:space="preserve"> </w:t>
      </w:r>
    </w:p>
    <w:p w14:paraId="3CF90D30" w14:textId="77777777" w:rsidR="001F4D91" w:rsidRPr="001F4D91" w:rsidRDefault="001F4D91" w:rsidP="001F4D91">
      <w:pPr>
        <w:spacing w:after="0" w:line="240" w:lineRule="auto"/>
        <w:jc w:val="left"/>
        <w:rPr>
          <w:rFonts w:ascii="Times New Roman" w:hAnsi="Times New Roman"/>
          <w:b/>
          <w:sz w:val="20"/>
        </w:rPr>
      </w:pPr>
      <w:r w:rsidRPr="001F4D91">
        <w:rPr>
          <w:rFonts w:ascii="Times New Roman" w:hAnsi="Times New Roman"/>
          <w:b/>
          <w:sz w:val="20"/>
        </w:rPr>
        <w:t>__________________________________________________________________________________</w:t>
      </w:r>
    </w:p>
    <w:p w14:paraId="397BC793" w14:textId="77777777" w:rsidR="001F4D91" w:rsidRPr="001F4D91" w:rsidRDefault="001F4D91" w:rsidP="001F4D91">
      <w:pPr>
        <w:spacing w:after="0" w:line="240" w:lineRule="auto"/>
        <w:jc w:val="left"/>
        <w:rPr>
          <w:rFonts w:ascii="Times New Roman" w:hAnsi="Times New Roman"/>
          <w:b/>
          <w:sz w:val="20"/>
        </w:rPr>
      </w:pPr>
    </w:p>
    <w:p w14:paraId="5CA423C6" w14:textId="77777777" w:rsidR="001F4D91" w:rsidRPr="001F4D91" w:rsidRDefault="001F4D91" w:rsidP="001F4D91">
      <w:pPr>
        <w:spacing w:after="0" w:line="240" w:lineRule="auto"/>
        <w:jc w:val="left"/>
        <w:rPr>
          <w:rFonts w:ascii="Times New Roman" w:hAnsi="Times New Roman"/>
          <w:bCs/>
          <w:sz w:val="20"/>
        </w:rPr>
      </w:pPr>
      <w:r w:rsidRPr="001F4D91">
        <w:rPr>
          <w:rFonts w:ascii="Times New Roman" w:hAnsi="Times New Roman"/>
          <w:b/>
          <w:sz w:val="20"/>
        </w:rPr>
        <w:t>Court:</w:t>
      </w:r>
      <w:r w:rsidRPr="001F4D91">
        <w:rPr>
          <w:rFonts w:ascii="Times New Roman" w:hAnsi="Times New Roman"/>
          <w:bCs/>
          <w:sz w:val="20"/>
        </w:rPr>
        <w:t xml:space="preserve"> Superior </w:t>
      </w:r>
      <w:r w:rsidRPr="001F4D91">
        <w:rPr>
          <w:rFonts w:ascii="Times New Roman" w:hAnsi="Times New Roman"/>
          <w:b/>
          <w:sz w:val="20"/>
        </w:rPr>
        <w:t xml:space="preserve">   </w:t>
      </w:r>
    </w:p>
    <w:p w14:paraId="1FFD46D0" w14:textId="77777777" w:rsidR="001F4D91" w:rsidRPr="001F4D91" w:rsidRDefault="001F4D91" w:rsidP="001F4D91">
      <w:pPr>
        <w:spacing w:after="0" w:line="240" w:lineRule="auto"/>
        <w:jc w:val="left"/>
        <w:rPr>
          <w:rFonts w:ascii="Times New Roman" w:hAnsi="Times New Roman"/>
          <w:bCs/>
          <w:sz w:val="20"/>
        </w:rPr>
      </w:pPr>
      <w:r w:rsidRPr="001F4D91">
        <w:rPr>
          <w:rFonts w:ascii="Times New Roman" w:hAnsi="Times New Roman"/>
          <w:b/>
          <w:sz w:val="20"/>
        </w:rPr>
        <w:t>County:</w:t>
      </w:r>
      <w:r w:rsidRPr="001F4D91">
        <w:rPr>
          <w:rFonts w:ascii="Times New Roman" w:hAnsi="Times New Roman"/>
          <w:bCs/>
          <w:sz w:val="20"/>
        </w:rPr>
        <w:t xml:space="preserve">  Santa Barbara</w:t>
      </w:r>
    </w:p>
    <w:p w14:paraId="529251E8" w14:textId="77777777" w:rsidR="001F4D91" w:rsidRPr="001F4D91" w:rsidRDefault="001F4D91" w:rsidP="001F4D91">
      <w:pPr>
        <w:spacing w:after="0" w:line="240" w:lineRule="auto"/>
        <w:ind w:left="720" w:hanging="720"/>
        <w:jc w:val="left"/>
        <w:rPr>
          <w:rFonts w:ascii="Times New Roman" w:hAnsi="Times New Roman"/>
          <w:bCs/>
          <w:sz w:val="20"/>
        </w:rPr>
      </w:pPr>
      <w:r w:rsidRPr="001F4D91">
        <w:rPr>
          <w:rFonts w:ascii="Times New Roman" w:hAnsi="Times New Roman"/>
          <w:b/>
          <w:sz w:val="20"/>
        </w:rPr>
        <w:t>Judge:</w:t>
      </w:r>
      <w:r w:rsidRPr="001F4D91">
        <w:rPr>
          <w:rFonts w:ascii="Times New Roman" w:hAnsi="Times New Roman"/>
          <w:bCs/>
          <w:sz w:val="20"/>
        </w:rPr>
        <w:t xml:space="preserve">  James Rigali</w:t>
      </w:r>
    </w:p>
    <w:p w14:paraId="525D21E6" w14:textId="77777777" w:rsidR="001F4D91" w:rsidRPr="001F4D91" w:rsidRDefault="001F4D91" w:rsidP="001F4D91">
      <w:pPr>
        <w:spacing w:after="0" w:line="240" w:lineRule="auto"/>
        <w:jc w:val="left"/>
        <w:rPr>
          <w:rFonts w:ascii="Times New Roman" w:hAnsi="Times New Roman"/>
          <w:b/>
          <w:sz w:val="20"/>
        </w:rPr>
      </w:pPr>
    </w:p>
    <w:p w14:paraId="59EA4E9E" w14:textId="77777777" w:rsidR="001F4D91" w:rsidRPr="001F4D91" w:rsidRDefault="001F4D91" w:rsidP="001F4D91">
      <w:pPr>
        <w:spacing w:after="0" w:line="240" w:lineRule="auto"/>
        <w:jc w:val="left"/>
        <w:rPr>
          <w:rFonts w:ascii="Times New Roman" w:hAnsi="Times New Roman"/>
          <w:b/>
          <w:sz w:val="20"/>
        </w:rPr>
      </w:pPr>
      <w:r w:rsidRPr="001F4D91">
        <w:rPr>
          <w:rFonts w:ascii="Times New Roman" w:hAnsi="Times New Roman"/>
          <w:b/>
          <w:sz w:val="20"/>
        </w:rPr>
        <w:t>__________________________________________________________________________________</w:t>
      </w:r>
    </w:p>
    <w:p w14:paraId="0CD6E9FB" w14:textId="77777777" w:rsidR="001F4D91" w:rsidRPr="001F4D91" w:rsidRDefault="001F4D91" w:rsidP="001F4D91">
      <w:pPr>
        <w:spacing w:after="0" w:line="240" w:lineRule="auto"/>
        <w:jc w:val="left"/>
        <w:rPr>
          <w:rFonts w:ascii="Times New Roman" w:hAnsi="Times New Roman"/>
          <w:b/>
          <w:sz w:val="20"/>
        </w:rPr>
      </w:pPr>
    </w:p>
    <w:p w14:paraId="2BDAE8D9" w14:textId="77777777" w:rsidR="001F4D91" w:rsidRPr="001F4D91" w:rsidRDefault="001F4D91" w:rsidP="001F4D91">
      <w:pPr>
        <w:spacing w:after="0" w:line="240" w:lineRule="auto"/>
        <w:jc w:val="left"/>
        <w:rPr>
          <w:rFonts w:ascii="Times New Roman" w:hAnsi="Times New Roman"/>
          <w:b/>
          <w:sz w:val="20"/>
        </w:rPr>
      </w:pPr>
      <w:r w:rsidRPr="001F4D91">
        <w:rPr>
          <w:rFonts w:ascii="Times New Roman" w:hAnsi="Times New Roman"/>
          <w:b/>
          <w:sz w:val="20"/>
        </w:rPr>
        <w:t>Counsel:</w:t>
      </w:r>
    </w:p>
    <w:p w14:paraId="08239C2F" w14:textId="77777777" w:rsidR="001F4D91" w:rsidRPr="001F4D91" w:rsidRDefault="001F4D91" w:rsidP="001F4D91">
      <w:pPr>
        <w:spacing w:after="0" w:line="240" w:lineRule="auto"/>
        <w:jc w:val="left"/>
        <w:rPr>
          <w:rFonts w:ascii="Times New Roman" w:hAnsi="Times New Roman"/>
          <w:b/>
          <w:sz w:val="20"/>
        </w:rPr>
      </w:pPr>
    </w:p>
    <w:p w14:paraId="592B7843" w14:textId="77777777" w:rsidR="001F4D91" w:rsidRPr="001F4D91" w:rsidRDefault="001F4D91" w:rsidP="001F4D91">
      <w:pPr>
        <w:spacing w:after="0" w:line="240" w:lineRule="auto"/>
        <w:jc w:val="left"/>
        <w:rPr>
          <w:rFonts w:ascii="Times New Roman" w:hAnsi="Times New Roman"/>
          <w:sz w:val="20"/>
          <w:shd w:val="clear" w:color="auto" w:fill="FFFFFF"/>
        </w:rPr>
      </w:pPr>
      <w:r w:rsidRPr="001F4D91">
        <w:rPr>
          <w:rFonts w:ascii="Times New Roman" w:hAnsi="Times New Roman"/>
          <w:sz w:val="20"/>
          <w:bdr w:val="none" w:sz="0" w:space="0" w:color="auto" w:frame="1"/>
        </w:rPr>
        <w:t>Gerald J. Miller</w:t>
      </w:r>
      <w:r w:rsidRPr="001F4D91">
        <w:rPr>
          <w:rFonts w:ascii="Times New Roman" w:hAnsi="Times New Roman"/>
          <w:sz w:val="20"/>
          <w:shd w:val="clear" w:color="auto" w:fill="FFFFFF"/>
        </w:rPr>
        <w:t>, under appointment by the Supreme Court, for Objector and Appellant.</w:t>
      </w:r>
    </w:p>
    <w:p w14:paraId="73B17D3A" w14:textId="77777777" w:rsidR="001F4D91" w:rsidRPr="001F4D91" w:rsidRDefault="001F4D91" w:rsidP="001F4D91">
      <w:pPr>
        <w:spacing w:after="0" w:line="240" w:lineRule="auto"/>
        <w:jc w:val="left"/>
        <w:rPr>
          <w:rFonts w:ascii="Times New Roman" w:hAnsi="Times New Roman"/>
          <w:sz w:val="20"/>
          <w:shd w:val="clear" w:color="auto" w:fill="FFFFFF"/>
        </w:rPr>
      </w:pPr>
    </w:p>
    <w:p w14:paraId="7B1E0092" w14:textId="77777777" w:rsidR="001F4D91" w:rsidRPr="001F4D91" w:rsidRDefault="001F4D91" w:rsidP="001F4D91">
      <w:pPr>
        <w:spacing w:after="0" w:line="240" w:lineRule="auto"/>
        <w:jc w:val="left"/>
        <w:rPr>
          <w:rFonts w:ascii="Times New Roman" w:hAnsi="Times New Roman"/>
          <w:b/>
          <w:sz w:val="20"/>
        </w:rPr>
      </w:pPr>
      <w:proofErr w:type="spellStart"/>
      <w:r w:rsidRPr="001F4D91">
        <w:rPr>
          <w:rFonts w:ascii="Times New Roman" w:hAnsi="Times New Roman"/>
          <w:sz w:val="20"/>
          <w:shd w:val="clear" w:color="auto" w:fill="FFFFFF"/>
        </w:rPr>
        <w:t>Greines</w:t>
      </w:r>
      <w:proofErr w:type="spellEnd"/>
      <w:r w:rsidRPr="001F4D91">
        <w:rPr>
          <w:rFonts w:ascii="Times New Roman" w:hAnsi="Times New Roman"/>
          <w:sz w:val="20"/>
          <w:shd w:val="clear" w:color="auto" w:fill="FFFFFF"/>
        </w:rPr>
        <w:t xml:space="preserve">, Martin, Stein &amp; Richland, Robert A. </w:t>
      </w:r>
      <w:proofErr w:type="gramStart"/>
      <w:r w:rsidRPr="001F4D91">
        <w:rPr>
          <w:rFonts w:ascii="Times New Roman" w:hAnsi="Times New Roman"/>
          <w:sz w:val="20"/>
          <w:shd w:val="clear" w:color="auto" w:fill="FFFFFF"/>
        </w:rPr>
        <w:t>Olson</w:t>
      </w:r>
      <w:proofErr w:type="gramEnd"/>
      <w:r w:rsidRPr="001F4D91">
        <w:rPr>
          <w:rFonts w:ascii="Times New Roman" w:hAnsi="Times New Roman"/>
          <w:sz w:val="20"/>
          <w:shd w:val="clear" w:color="auto" w:fill="FFFFFF"/>
        </w:rPr>
        <w:t xml:space="preserve"> and Edward L. </w:t>
      </w:r>
      <w:proofErr w:type="spellStart"/>
      <w:r w:rsidRPr="001F4D91">
        <w:rPr>
          <w:rFonts w:ascii="Times New Roman" w:hAnsi="Times New Roman"/>
          <w:sz w:val="20"/>
          <w:shd w:val="clear" w:color="auto" w:fill="FFFFFF"/>
        </w:rPr>
        <w:t>Xanders</w:t>
      </w:r>
      <w:proofErr w:type="spellEnd"/>
      <w:r w:rsidRPr="001F4D91">
        <w:rPr>
          <w:rFonts w:ascii="Times New Roman" w:hAnsi="Times New Roman"/>
          <w:sz w:val="20"/>
          <w:shd w:val="clear" w:color="auto" w:fill="FFFFFF"/>
        </w:rPr>
        <w:t xml:space="preserve"> for Association of Southern California Defense Counsel as Amicus Curiae on behalf of Objector and Appellant.</w:t>
      </w:r>
    </w:p>
    <w:p w14:paraId="4908CD76" w14:textId="77777777" w:rsidR="001F4D91" w:rsidRPr="001F4D91" w:rsidRDefault="001F4D91" w:rsidP="001F4D91">
      <w:pPr>
        <w:spacing w:after="0" w:line="240" w:lineRule="auto"/>
        <w:jc w:val="left"/>
        <w:rPr>
          <w:rFonts w:ascii="Times New Roman" w:hAnsi="Times New Roman"/>
          <w:sz w:val="20"/>
          <w:shd w:val="clear" w:color="auto" w:fill="FFFFFF"/>
        </w:rPr>
      </w:pPr>
    </w:p>
    <w:p w14:paraId="71BEFB69" w14:textId="77777777" w:rsidR="001F4D91" w:rsidRPr="001F4D91" w:rsidRDefault="001F4D91" w:rsidP="001F4D91">
      <w:pPr>
        <w:spacing w:after="0" w:line="240" w:lineRule="auto"/>
        <w:jc w:val="left"/>
        <w:rPr>
          <w:rFonts w:ascii="Times New Roman" w:hAnsi="Times New Roman"/>
          <w:sz w:val="20"/>
          <w:shd w:val="clear" w:color="auto" w:fill="FFFFFF"/>
        </w:rPr>
      </w:pPr>
      <w:proofErr w:type="spellStart"/>
      <w:r w:rsidRPr="001F4D91">
        <w:rPr>
          <w:rFonts w:ascii="Times New Roman" w:hAnsi="Times New Roman"/>
          <w:sz w:val="20"/>
          <w:shd w:val="clear" w:color="auto" w:fill="FFFFFF"/>
        </w:rPr>
        <w:t>Keiter</w:t>
      </w:r>
      <w:proofErr w:type="spellEnd"/>
      <w:r w:rsidRPr="001F4D91">
        <w:rPr>
          <w:rFonts w:ascii="Times New Roman" w:hAnsi="Times New Roman"/>
          <w:sz w:val="20"/>
          <w:shd w:val="clear" w:color="auto" w:fill="FFFFFF"/>
        </w:rPr>
        <w:t xml:space="preserve"> Appellate Law and Mitchell </w:t>
      </w:r>
      <w:proofErr w:type="spellStart"/>
      <w:r w:rsidRPr="001F4D91">
        <w:rPr>
          <w:rFonts w:ascii="Times New Roman" w:hAnsi="Times New Roman"/>
          <w:sz w:val="20"/>
          <w:shd w:val="clear" w:color="auto" w:fill="FFFFFF"/>
        </w:rPr>
        <w:t>Keiter</w:t>
      </w:r>
      <w:proofErr w:type="spellEnd"/>
      <w:r w:rsidRPr="001F4D91">
        <w:rPr>
          <w:rFonts w:ascii="Times New Roman" w:hAnsi="Times New Roman"/>
          <w:sz w:val="20"/>
          <w:shd w:val="clear" w:color="auto" w:fill="FFFFFF"/>
        </w:rPr>
        <w:t xml:space="preserve"> for Protecting Our Elders as Amicus Curiae on behalf of Objector and Appellant.</w:t>
      </w:r>
      <w:r w:rsidRPr="001F4D91">
        <w:rPr>
          <w:rFonts w:ascii="Times New Roman" w:hAnsi="Times New Roman"/>
          <w:sz w:val="20"/>
        </w:rPr>
        <w:br/>
      </w:r>
      <w:r w:rsidRPr="001F4D91">
        <w:rPr>
          <w:rFonts w:ascii="Times New Roman" w:hAnsi="Times New Roman"/>
          <w:sz w:val="20"/>
        </w:rPr>
        <w:br/>
      </w:r>
      <w:r w:rsidRPr="001F4D91">
        <w:rPr>
          <w:rFonts w:ascii="Times New Roman" w:hAnsi="Times New Roman"/>
          <w:sz w:val="20"/>
          <w:bdr w:val="none" w:sz="0" w:space="0" w:color="auto" w:frame="1"/>
        </w:rPr>
        <w:t>Law Offices of Laura Hoffman King</w:t>
      </w:r>
      <w:r w:rsidRPr="001F4D91">
        <w:rPr>
          <w:rFonts w:ascii="Times New Roman" w:hAnsi="Times New Roman"/>
          <w:sz w:val="20"/>
          <w:shd w:val="clear" w:color="auto" w:fill="FFFFFF"/>
        </w:rPr>
        <w:t xml:space="preserve">, </w:t>
      </w:r>
      <w:r w:rsidRPr="001F4D91">
        <w:rPr>
          <w:rFonts w:ascii="Times New Roman" w:hAnsi="Times New Roman"/>
          <w:sz w:val="20"/>
          <w:bdr w:val="none" w:sz="0" w:space="0" w:color="auto" w:frame="1"/>
        </w:rPr>
        <w:t>Laura Hoffman King</w:t>
      </w:r>
      <w:r w:rsidRPr="001F4D91">
        <w:rPr>
          <w:rFonts w:ascii="Times New Roman" w:hAnsi="Times New Roman"/>
          <w:sz w:val="20"/>
          <w:shd w:val="clear" w:color="auto" w:fill="FFFFFF"/>
        </w:rPr>
        <w:t xml:space="preserve">; </w:t>
      </w:r>
      <w:proofErr w:type="spellStart"/>
      <w:r w:rsidRPr="001F4D91">
        <w:rPr>
          <w:rFonts w:ascii="Times New Roman" w:hAnsi="Times New Roman"/>
          <w:sz w:val="20"/>
          <w:bdr w:val="none" w:sz="0" w:space="0" w:color="auto" w:frame="1"/>
        </w:rPr>
        <w:t>Tardiff</w:t>
      </w:r>
      <w:proofErr w:type="spellEnd"/>
      <w:r w:rsidRPr="001F4D91">
        <w:rPr>
          <w:rFonts w:ascii="Times New Roman" w:hAnsi="Times New Roman"/>
          <w:sz w:val="20"/>
          <w:bdr w:val="none" w:sz="0" w:space="0" w:color="auto" w:frame="1"/>
        </w:rPr>
        <w:t xml:space="preserve"> Law Offices</w:t>
      </w:r>
      <w:r w:rsidRPr="001F4D91">
        <w:rPr>
          <w:rFonts w:ascii="Times New Roman" w:hAnsi="Times New Roman"/>
          <w:sz w:val="20"/>
          <w:shd w:val="clear" w:color="auto" w:fill="FFFFFF"/>
        </w:rPr>
        <w:t xml:space="preserve">, </w:t>
      </w:r>
      <w:r w:rsidRPr="001F4D91">
        <w:rPr>
          <w:rFonts w:ascii="Times New Roman" w:hAnsi="Times New Roman"/>
          <w:sz w:val="20"/>
          <w:bdr w:val="none" w:sz="0" w:space="0" w:color="auto" w:frame="1"/>
        </w:rPr>
        <w:t xml:space="preserve">Neil S. </w:t>
      </w:r>
      <w:proofErr w:type="spellStart"/>
      <w:r w:rsidRPr="001F4D91">
        <w:rPr>
          <w:rFonts w:ascii="Times New Roman" w:hAnsi="Times New Roman"/>
          <w:sz w:val="20"/>
          <w:bdr w:val="none" w:sz="0" w:space="0" w:color="auto" w:frame="1"/>
        </w:rPr>
        <w:t>Tardiff</w:t>
      </w:r>
      <w:proofErr w:type="spellEnd"/>
      <w:r w:rsidRPr="001F4D91">
        <w:rPr>
          <w:rFonts w:ascii="Times New Roman" w:hAnsi="Times New Roman"/>
          <w:sz w:val="20"/>
          <w:bdr w:val="none" w:sz="0" w:space="0" w:color="auto" w:frame="1"/>
        </w:rPr>
        <w:t>; and Shaun P. Martin</w:t>
      </w:r>
      <w:r w:rsidRPr="001F4D91">
        <w:rPr>
          <w:rFonts w:ascii="Times New Roman" w:hAnsi="Times New Roman"/>
          <w:sz w:val="20"/>
          <w:shd w:val="clear" w:color="auto" w:fill="FFFFFF"/>
        </w:rPr>
        <w:t xml:space="preserve"> for Petitioners and Respondents.</w:t>
      </w:r>
    </w:p>
    <w:p w14:paraId="46BFD94A" w14:textId="77777777" w:rsidR="001F4D91" w:rsidRPr="001F4D91" w:rsidRDefault="001F4D91" w:rsidP="001F4D91">
      <w:pPr>
        <w:spacing w:after="0" w:line="240" w:lineRule="auto"/>
        <w:jc w:val="left"/>
        <w:rPr>
          <w:rFonts w:ascii="Times New Roman" w:hAnsi="Times New Roman"/>
          <w:sz w:val="20"/>
          <w:shd w:val="clear" w:color="auto" w:fill="FFFFFF"/>
        </w:rPr>
      </w:pPr>
    </w:p>
    <w:p w14:paraId="48FFC652" w14:textId="77777777" w:rsidR="001F4D91" w:rsidRPr="001F4D91" w:rsidRDefault="001F4D91" w:rsidP="001F4D91">
      <w:pPr>
        <w:spacing w:after="0" w:line="240" w:lineRule="auto"/>
        <w:jc w:val="left"/>
        <w:rPr>
          <w:rFonts w:ascii="Times New Roman" w:hAnsi="Times New Roman"/>
          <w:sz w:val="20"/>
          <w:shd w:val="clear" w:color="auto" w:fill="FFFFFF"/>
        </w:rPr>
      </w:pPr>
      <w:r w:rsidRPr="001F4D91">
        <w:rPr>
          <w:rFonts w:ascii="Times New Roman" w:hAnsi="Times New Roman"/>
          <w:sz w:val="20"/>
          <w:shd w:val="clear" w:color="auto" w:fill="FFFFFF"/>
        </w:rPr>
        <w:t>Nelson &amp; Fraenkel and Gretchen M. Nelson for Consumer Attorneys of California as Amicus Curiae on behalf of Petitioners and Respondents.</w:t>
      </w:r>
    </w:p>
    <w:p w14:paraId="17681AD9" w14:textId="77777777" w:rsidR="001F4D91" w:rsidRPr="001F4D91" w:rsidRDefault="001F4D91" w:rsidP="001F4D91">
      <w:pPr>
        <w:spacing w:after="0" w:line="240" w:lineRule="auto"/>
        <w:jc w:val="left"/>
        <w:rPr>
          <w:rFonts w:ascii="Times New Roman" w:hAnsi="Times New Roman"/>
          <w:b/>
          <w:sz w:val="20"/>
        </w:rPr>
      </w:pPr>
    </w:p>
    <w:p w14:paraId="0FDAAF42" w14:textId="77777777" w:rsidR="001F4D91" w:rsidRPr="001F4D91" w:rsidRDefault="001F4D91" w:rsidP="001F4D91">
      <w:pPr>
        <w:spacing w:after="0" w:line="240" w:lineRule="auto"/>
        <w:jc w:val="left"/>
        <w:rPr>
          <w:rFonts w:ascii="Times New Roman" w:hAnsi="Times New Roman"/>
          <w:bCs/>
          <w:sz w:val="20"/>
        </w:rPr>
      </w:pPr>
      <w:r w:rsidRPr="001F4D91">
        <w:rPr>
          <w:rFonts w:ascii="Times New Roman" w:hAnsi="Times New Roman"/>
          <w:bCs/>
          <w:sz w:val="20"/>
        </w:rPr>
        <w:t>Rita Himes for Legal Services for Prisoners with Children as Amicus Curiae.</w:t>
      </w:r>
    </w:p>
    <w:p w14:paraId="538221D6" w14:textId="77777777" w:rsidR="001F4D91" w:rsidRPr="001F4D91" w:rsidRDefault="001F4D91" w:rsidP="001F4D91">
      <w:pPr>
        <w:spacing w:after="0" w:line="240" w:lineRule="auto"/>
        <w:jc w:val="left"/>
        <w:rPr>
          <w:rFonts w:ascii="Times New Roman" w:hAnsi="Times New Roman"/>
          <w:bCs/>
          <w:sz w:val="20"/>
        </w:rPr>
      </w:pPr>
    </w:p>
    <w:p w14:paraId="4258E4AF" w14:textId="2D4182C6" w:rsidR="001F4D91" w:rsidRPr="001F4D91" w:rsidRDefault="001F4D91" w:rsidP="001F4D91">
      <w:pPr>
        <w:spacing w:after="0" w:line="240" w:lineRule="auto"/>
        <w:jc w:val="left"/>
        <w:rPr>
          <w:rFonts w:ascii="Times New Roman" w:hAnsi="Times New Roman"/>
          <w:bCs/>
          <w:sz w:val="20"/>
        </w:rPr>
      </w:pPr>
      <w:r w:rsidRPr="001F4D91">
        <w:rPr>
          <w:rFonts w:ascii="Times New Roman" w:hAnsi="Times New Roman"/>
          <w:bCs/>
          <w:sz w:val="20"/>
        </w:rPr>
        <w:t>Hor</w:t>
      </w:r>
      <w:bookmarkStart w:id="4" w:name="_GoBack"/>
      <w:bookmarkEnd w:id="4"/>
      <w:r w:rsidRPr="001F4D91">
        <w:rPr>
          <w:rFonts w:ascii="Times New Roman" w:hAnsi="Times New Roman"/>
          <w:bCs/>
          <w:sz w:val="20"/>
        </w:rPr>
        <w:t xml:space="preserve">vitz &amp; Levy, Curt Cutting, Jeremy B. Rosen; U.S. Chamber Litigation Center and Janet </w:t>
      </w:r>
      <w:proofErr w:type="spellStart"/>
      <w:r w:rsidRPr="001F4D91">
        <w:rPr>
          <w:rFonts w:ascii="Times New Roman" w:hAnsi="Times New Roman"/>
          <w:bCs/>
          <w:sz w:val="20"/>
        </w:rPr>
        <w:t>Galeria</w:t>
      </w:r>
      <w:proofErr w:type="spellEnd"/>
      <w:r w:rsidRPr="001F4D91">
        <w:rPr>
          <w:rFonts w:ascii="Times New Roman" w:hAnsi="Times New Roman"/>
          <w:bCs/>
          <w:sz w:val="20"/>
        </w:rPr>
        <w:t xml:space="preserve"> for Chamber of Commerce of the United States as Amicus Curiae.</w:t>
      </w:r>
    </w:p>
    <w:p w14:paraId="6749F486" w14:textId="77777777" w:rsidR="001F4D91" w:rsidRPr="001F4D91" w:rsidRDefault="001F4D91" w:rsidP="001F4D91">
      <w:pPr>
        <w:spacing w:after="0" w:line="240" w:lineRule="auto"/>
        <w:jc w:val="left"/>
        <w:rPr>
          <w:rFonts w:ascii="Times New Roman" w:hAnsi="Times New Roman"/>
          <w:bCs/>
          <w:sz w:val="20"/>
        </w:rPr>
      </w:pPr>
    </w:p>
    <w:p w14:paraId="1B36A88D" w14:textId="77777777" w:rsidR="001F4D91" w:rsidRPr="001F4D91" w:rsidRDefault="001F4D91" w:rsidP="001F4D91">
      <w:pPr>
        <w:spacing w:after="0" w:line="240" w:lineRule="auto"/>
        <w:jc w:val="left"/>
        <w:rPr>
          <w:rFonts w:ascii="Segoe UI" w:hAnsi="Segoe UI" w:cs="Segoe UI"/>
          <w:sz w:val="21"/>
          <w:szCs w:val="21"/>
        </w:rPr>
      </w:pPr>
      <w:r w:rsidRPr="001F4D91">
        <w:rPr>
          <w:rFonts w:ascii="Times New Roman" w:hAnsi="Times New Roman"/>
          <w:bCs/>
          <w:sz w:val="20"/>
        </w:rPr>
        <w:t xml:space="preserve">Thomas F. Coleman; Fitzgerald Yap </w:t>
      </w:r>
      <w:proofErr w:type="spellStart"/>
      <w:r w:rsidRPr="001F4D91">
        <w:rPr>
          <w:rFonts w:ascii="Times New Roman" w:hAnsi="Times New Roman"/>
          <w:bCs/>
          <w:sz w:val="20"/>
        </w:rPr>
        <w:t>Kredito</w:t>
      </w:r>
      <w:proofErr w:type="spellEnd"/>
      <w:r w:rsidRPr="001F4D91">
        <w:rPr>
          <w:rFonts w:ascii="Times New Roman" w:hAnsi="Times New Roman"/>
          <w:bCs/>
          <w:sz w:val="20"/>
        </w:rPr>
        <w:t xml:space="preserve"> and Brook J. </w:t>
      </w:r>
      <w:proofErr w:type="spellStart"/>
      <w:r w:rsidRPr="001F4D91">
        <w:rPr>
          <w:rFonts w:ascii="Times New Roman" w:hAnsi="Times New Roman"/>
          <w:bCs/>
          <w:sz w:val="20"/>
        </w:rPr>
        <w:t>Changala</w:t>
      </w:r>
      <w:proofErr w:type="spellEnd"/>
      <w:r w:rsidRPr="001F4D91">
        <w:rPr>
          <w:rFonts w:ascii="Times New Roman" w:hAnsi="Times New Roman"/>
          <w:bCs/>
          <w:sz w:val="20"/>
        </w:rPr>
        <w:t xml:space="preserve"> for Spectrum Institute, TASH, and Siblings Leadership Network as Amici Curiae.</w:t>
      </w:r>
    </w:p>
    <w:p w14:paraId="1AECE3F8" w14:textId="77777777" w:rsidR="001F4D91" w:rsidRPr="001F4D91" w:rsidRDefault="001F4D91" w:rsidP="001F4D91">
      <w:pPr>
        <w:spacing w:after="0" w:line="240" w:lineRule="auto"/>
        <w:jc w:val="left"/>
        <w:rPr>
          <w:rFonts w:ascii="Times New Roman" w:hAnsi="Times New Roman"/>
          <w:bCs/>
          <w:sz w:val="20"/>
        </w:rPr>
      </w:pPr>
    </w:p>
    <w:p w14:paraId="0CF26428" w14:textId="77777777" w:rsidR="001F4D91" w:rsidRPr="001F4D91" w:rsidRDefault="001F4D91" w:rsidP="001F4D91">
      <w:pPr>
        <w:spacing w:after="0" w:line="240" w:lineRule="auto"/>
        <w:jc w:val="left"/>
        <w:rPr>
          <w:rFonts w:ascii="Times New Roman" w:hAnsi="Times New Roman"/>
          <w:bCs/>
          <w:sz w:val="20"/>
        </w:rPr>
      </w:pPr>
    </w:p>
    <w:p w14:paraId="49F91BD0" w14:textId="77777777" w:rsidR="001F4D91" w:rsidRPr="001F4D91" w:rsidRDefault="001F4D91" w:rsidP="001F4D91">
      <w:pPr>
        <w:spacing w:after="0" w:line="240" w:lineRule="auto"/>
        <w:jc w:val="left"/>
        <w:rPr>
          <w:rFonts w:ascii="Times New Roman" w:hAnsi="Times New Roman"/>
          <w:b/>
          <w:sz w:val="20"/>
        </w:rPr>
      </w:pPr>
    </w:p>
    <w:p w14:paraId="74ACC6C3" w14:textId="77777777" w:rsidR="001F4D91" w:rsidRPr="001F4D91" w:rsidRDefault="001F4D91" w:rsidP="001F4D91">
      <w:pPr>
        <w:spacing w:after="0" w:line="240" w:lineRule="auto"/>
        <w:jc w:val="left"/>
        <w:rPr>
          <w:rFonts w:ascii="Times New Roman" w:hAnsi="Times New Roman"/>
          <w:b/>
          <w:sz w:val="20"/>
        </w:rPr>
      </w:pPr>
      <w:r w:rsidRPr="001F4D91">
        <w:rPr>
          <w:rFonts w:ascii="Times New Roman" w:hAnsi="Times New Roman"/>
          <w:b/>
          <w:sz w:val="20"/>
        </w:rPr>
        <w:br w:type="page"/>
      </w:r>
    </w:p>
    <w:p w14:paraId="23521CA1" w14:textId="77777777" w:rsidR="001F4D91" w:rsidRPr="001F4D91" w:rsidRDefault="001F4D91" w:rsidP="001F4D91">
      <w:pPr>
        <w:spacing w:after="0" w:line="240" w:lineRule="auto"/>
        <w:jc w:val="left"/>
        <w:rPr>
          <w:rFonts w:ascii="Times New Roman" w:hAnsi="Times New Roman"/>
          <w:b/>
          <w:sz w:val="20"/>
        </w:rPr>
      </w:pPr>
    </w:p>
    <w:p w14:paraId="202114A6" w14:textId="77777777" w:rsidR="001F4D91" w:rsidRPr="001F4D91" w:rsidRDefault="001F4D91" w:rsidP="001F4D91">
      <w:pPr>
        <w:spacing w:after="0" w:line="240" w:lineRule="auto"/>
        <w:jc w:val="left"/>
        <w:rPr>
          <w:rFonts w:ascii="Times New Roman" w:hAnsi="Times New Roman"/>
          <w:b/>
          <w:sz w:val="20"/>
        </w:rPr>
      </w:pPr>
    </w:p>
    <w:p w14:paraId="3021D4B6" w14:textId="77777777" w:rsidR="001F4D91" w:rsidRPr="001F4D91" w:rsidRDefault="001F4D91" w:rsidP="001F4D91">
      <w:pPr>
        <w:spacing w:after="0" w:line="240" w:lineRule="auto"/>
        <w:jc w:val="left"/>
        <w:rPr>
          <w:rFonts w:ascii="Times New Roman" w:hAnsi="Times New Roman"/>
          <w:b/>
          <w:sz w:val="20"/>
        </w:rPr>
      </w:pPr>
    </w:p>
    <w:p w14:paraId="1CEA0AA2" w14:textId="77777777" w:rsidR="001F4D91" w:rsidRPr="001F4D91" w:rsidRDefault="001F4D91" w:rsidP="001F4D91">
      <w:pPr>
        <w:spacing w:after="0" w:line="240" w:lineRule="auto"/>
        <w:jc w:val="left"/>
        <w:rPr>
          <w:rFonts w:ascii="Times New Roman" w:hAnsi="Times New Roman"/>
          <w:b/>
          <w:sz w:val="20"/>
        </w:rPr>
      </w:pPr>
      <w:r w:rsidRPr="001F4D91">
        <w:rPr>
          <w:rFonts w:ascii="Times New Roman" w:hAnsi="Times New Roman"/>
          <w:b/>
          <w:sz w:val="20"/>
        </w:rPr>
        <w:t>Counsel who argued in Supreme Court (not intended for publication with opinion):</w:t>
      </w:r>
    </w:p>
    <w:p w14:paraId="59A6AB63" w14:textId="77777777" w:rsidR="001F4D91" w:rsidRPr="001F4D91" w:rsidRDefault="001F4D91" w:rsidP="001F4D91">
      <w:pPr>
        <w:spacing w:after="0" w:line="240" w:lineRule="auto"/>
        <w:jc w:val="left"/>
        <w:rPr>
          <w:rFonts w:ascii="Times New Roman" w:hAnsi="Times New Roman"/>
          <w:b/>
          <w:sz w:val="20"/>
        </w:rPr>
      </w:pPr>
    </w:p>
    <w:p w14:paraId="6A09DA31" w14:textId="77777777" w:rsidR="001F4D91" w:rsidRPr="001F4D91" w:rsidRDefault="001F4D91" w:rsidP="001F4D91">
      <w:pPr>
        <w:spacing w:after="0" w:line="240" w:lineRule="auto"/>
        <w:jc w:val="left"/>
        <w:rPr>
          <w:rFonts w:ascii="Times New Roman" w:hAnsi="Times New Roman"/>
          <w:sz w:val="20"/>
          <w:bdr w:val="none" w:sz="0" w:space="0" w:color="auto" w:frame="1"/>
        </w:rPr>
      </w:pPr>
      <w:r w:rsidRPr="001F4D91">
        <w:rPr>
          <w:rFonts w:ascii="Times New Roman" w:hAnsi="Times New Roman"/>
          <w:sz w:val="20"/>
        </w:rPr>
        <w:t>G</w:t>
      </w:r>
      <w:r w:rsidRPr="001F4D91">
        <w:rPr>
          <w:rFonts w:ascii="Times New Roman" w:hAnsi="Times New Roman"/>
          <w:sz w:val="20"/>
          <w:bdr w:val="none" w:sz="0" w:space="0" w:color="auto" w:frame="1"/>
        </w:rPr>
        <w:t>erald J. Miller</w:t>
      </w:r>
    </w:p>
    <w:p w14:paraId="170472DA" w14:textId="77777777" w:rsidR="001F4D91" w:rsidRPr="001F4D91" w:rsidRDefault="001F4D91" w:rsidP="001F4D91">
      <w:pPr>
        <w:spacing w:after="0" w:line="240" w:lineRule="auto"/>
        <w:jc w:val="left"/>
        <w:rPr>
          <w:rFonts w:ascii="Times New Roman" w:hAnsi="Times New Roman"/>
          <w:sz w:val="20"/>
          <w:bdr w:val="none" w:sz="0" w:space="0" w:color="auto" w:frame="1"/>
        </w:rPr>
      </w:pPr>
      <w:r w:rsidRPr="001F4D91">
        <w:rPr>
          <w:rFonts w:ascii="Times New Roman" w:hAnsi="Times New Roman"/>
          <w:sz w:val="20"/>
          <w:bdr w:val="none" w:sz="0" w:space="0" w:color="auto" w:frame="1"/>
        </w:rPr>
        <w:t>P.O. Box 543</w:t>
      </w:r>
    </w:p>
    <w:p w14:paraId="20B6E200" w14:textId="77777777" w:rsidR="001F4D91" w:rsidRPr="001F4D91" w:rsidRDefault="001F4D91" w:rsidP="001F4D91">
      <w:pPr>
        <w:spacing w:after="0" w:line="240" w:lineRule="auto"/>
        <w:jc w:val="left"/>
        <w:rPr>
          <w:rFonts w:ascii="Times New Roman" w:hAnsi="Times New Roman"/>
          <w:sz w:val="20"/>
          <w:bdr w:val="none" w:sz="0" w:space="0" w:color="auto" w:frame="1"/>
        </w:rPr>
      </w:pPr>
      <w:r w:rsidRPr="001F4D91">
        <w:rPr>
          <w:rFonts w:ascii="Times New Roman" w:hAnsi="Times New Roman"/>
          <w:sz w:val="20"/>
          <w:bdr w:val="none" w:sz="0" w:space="0" w:color="auto" w:frame="1"/>
        </w:rPr>
        <w:t>Liberty Hill, TX 78642</w:t>
      </w:r>
    </w:p>
    <w:p w14:paraId="2308D472" w14:textId="77777777" w:rsidR="001F4D91" w:rsidRPr="001F4D91" w:rsidRDefault="001F4D91" w:rsidP="001F4D91">
      <w:pPr>
        <w:spacing w:after="0" w:line="240" w:lineRule="auto"/>
        <w:jc w:val="left"/>
        <w:rPr>
          <w:rFonts w:ascii="Times New Roman" w:hAnsi="Times New Roman"/>
          <w:sz w:val="20"/>
          <w:bdr w:val="none" w:sz="0" w:space="0" w:color="auto" w:frame="1"/>
        </w:rPr>
      </w:pPr>
      <w:r w:rsidRPr="001F4D91">
        <w:rPr>
          <w:rFonts w:ascii="Times New Roman" w:hAnsi="Times New Roman"/>
          <w:sz w:val="20"/>
          <w:bdr w:val="none" w:sz="0" w:space="0" w:color="auto" w:frame="1"/>
        </w:rPr>
        <w:t>(512) 778-4161</w:t>
      </w:r>
    </w:p>
    <w:p w14:paraId="24CAE6F8" w14:textId="77777777" w:rsidR="001F4D91" w:rsidRPr="001F4D91" w:rsidRDefault="001F4D91" w:rsidP="001F4D91">
      <w:pPr>
        <w:spacing w:after="0" w:line="240" w:lineRule="auto"/>
        <w:jc w:val="left"/>
        <w:rPr>
          <w:rFonts w:ascii="Times New Roman" w:hAnsi="Times New Roman"/>
          <w:sz w:val="20"/>
          <w:bdr w:val="none" w:sz="0" w:space="0" w:color="auto" w:frame="1"/>
        </w:rPr>
      </w:pPr>
    </w:p>
    <w:p w14:paraId="170B6B7F" w14:textId="77777777" w:rsidR="001F4D91" w:rsidRPr="001F4D91" w:rsidRDefault="001F4D91" w:rsidP="001F4D91">
      <w:pPr>
        <w:spacing w:after="0" w:line="240" w:lineRule="auto"/>
        <w:jc w:val="left"/>
        <w:rPr>
          <w:rFonts w:ascii="Times New Roman" w:hAnsi="Times New Roman"/>
          <w:sz w:val="20"/>
          <w:bdr w:val="none" w:sz="0" w:space="0" w:color="auto" w:frame="1"/>
        </w:rPr>
      </w:pPr>
      <w:r w:rsidRPr="001F4D91">
        <w:rPr>
          <w:rFonts w:ascii="Times New Roman" w:hAnsi="Times New Roman"/>
          <w:sz w:val="20"/>
          <w:bdr w:val="none" w:sz="0" w:space="0" w:color="auto" w:frame="1"/>
        </w:rPr>
        <w:t>Shaun P. Martin</w:t>
      </w:r>
    </w:p>
    <w:p w14:paraId="2C27B1D7" w14:textId="77777777" w:rsidR="001F4D91" w:rsidRPr="001F4D91" w:rsidRDefault="001F4D91" w:rsidP="001F4D91">
      <w:pPr>
        <w:spacing w:after="0" w:line="240" w:lineRule="auto"/>
        <w:jc w:val="left"/>
        <w:rPr>
          <w:rFonts w:ascii="Times New Roman" w:hAnsi="Times New Roman"/>
          <w:sz w:val="20"/>
          <w:bdr w:val="none" w:sz="0" w:space="0" w:color="auto" w:frame="1"/>
        </w:rPr>
      </w:pPr>
      <w:r w:rsidRPr="001F4D91">
        <w:rPr>
          <w:rFonts w:ascii="Times New Roman" w:hAnsi="Times New Roman"/>
          <w:sz w:val="20"/>
          <w:bdr w:val="none" w:sz="0" w:space="0" w:color="auto" w:frame="1"/>
        </w:rPr>
        <w:t>5998 Alcala Park, Warren Hall</w:t>
      </w:r>
    </w:p>
    <w:p w14:paraId="09DE629F" w14:textId="77777777" w:rsidR="001F4D91" w:rsidRPr="001F4D91" w:rsidRDefault="001F4D91" w:rsidP="001F4D91">
      <w:pPr>
        <w:spacing w:after="0" w:line="240" w:lineRule="auto"/>
        <w:jc w:val="left"/>
        <w:rPr>
          <w:rFonts w:ascii="Times New Roman" w:hAnsi="Times New Roman"/>
          <w:sz w:val="20"/>
          <w:bdr w:val="none" w:sz="0" w:space="0" w:color="auto" w:frame="1"/>
        </w:rPr>
      </w:pPr>
      <w:r w:rsidRPr="001F4D91">
        <w:rPr>
          <w:rFonts w:ascii="Times New Roman" w:hAnsi="Times New Roman"/>
          <w:sz w:val="20"/>
          <w:bdr w:val="none" w:sz="0" w:space="0" w:color="auto" w:frame="1"/>
        </w:rPr>
        <w:t>San Diego, CA 92210</w:t>
      </w:r>
    </w:p>
    <w:p w14:paraId="337A1540" w14:textId="77777777" w:rsidR="001F4D91" w:rsidRPr="001F4D91" w:rsidRDefault="001F4D91" w:rsidP="001F4D91">
      <w:pPr>
        <w:spacing w:after="0" w:line="240" w:lineRule="auto"/>
        <w:jc w:val="left"/>
        <w:rPr>
          <w:rFonts w:ascii="Times New Roman" w:hAnsi="Times New Roman"/>
          <w:sz w:val="20"/>
        </w:rPr>
      </w:pPr>
      <w:r w:rsidRPr="001F4D91">
        <w:rPr>
          <w:rFonts w:ascii="Times New Roman" w:hAnsi="Times New Roman"/>
          <w:sz w:val="20"/>
          <w:bdr w:val="none" w:sz="0" w:space="0" w:color="auto" w:frame="1"/>
        </w:rPr>
        <w:t>(619) 260-2347</w:t>
      </w:r>
    </w:p>
    <w:p w14:paraId="76F372D2" w14:textId="40DEDF1C" w:rsidR="001F4D91" w:rsidRPr="003D283D" w:rsidRDefault="001F4D91" w:rsidP="008F2018">
      <w:pPr>
        <w:tabs>
          <w:tab w:val="left" w:pos="1440"/>
        </w:tabs>
        <w:spacing w:after="0" w:line="240" w:lineRule="auto"/>
      </w:pPr>
    </w:p>
    <w:sectPr w:rsidR="001F4D91" w:rsidRPr="003D28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0D636" w14:textId="77777777" w:rsidR="00F73EDC" w:rsidRDefault="00F73EDC">
      <w:r>
        <w:separator/>
      </w:r>
    </w:p>
  </w:endnote>
  <w:endnote w:type="continuationSeparator" w:id="0">
    <w:p w14:paraId="4825F97A" w14:textId="77777777" w:rsidR="00F73EDC" w:rsidRDefault="00F73EDC">
      <w:r>
        <w:continuationSeparator/>
      </w:r>
    </w:p>
  </w:endnote>
  <w:endnote w:type="continuationNotice" w:id="1">
    <w:p w14:paraId="0C303942" w14:textId="77777777" w:rsidR="00F73EDC" w:rsidRDefault="00F73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5872" w14:textId="77777777" w:rsidR="00CA7595" w:rsidRDefault="00CA7595">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B298" w14:textId="77777777" w:rsidR="00CA7595" w:rsidRDefault="00CA7595">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FF48" w14:textId="77777777" w:rsidR="00092F81" w:rsidRDefault="00C33A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382D" w14:textId="77777777" w:rsidR="00092F81" w:rsidRDefault="00C33A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D848" w14:textId="77777777" w:rsidR="00092F81" w:rsidRDefault="00C3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F1705" w14:textId="77777777" w:rsidR="00F73EDC" w:rsidRDefault="00F73EDC">
      <w:r>
        <w:separator/>
      </w:r>
    </w:p>
  </w:footnote>
  <w:footnote w:type="continuationSeparator" w:id="0">
    <w:p w14:paraId="2AC2435A" w14:textId="77777777" w:rsidR="00F73EDC" w:rsidRDefault="00F73EDC" w:rsidP="008C0B18">
      <w:pPr>
        <w:rPr>
          <w:sz w:val="22"/>
        </w:rPr>
      </w:pPr>
      <w:r>
        <w:continuationSeparator/>
      </w:r>
    </w:p>
  </w:footnote>
  <w:footnote w:type="continuationNotice" w:id="1">
    <w:p w14:paraId="54BC91BD" w14:textId="77777777" w:rsidR="00F73EDC" w:rsidRDefault="00F73EDC" w:rsidP="008C0B18">
      <w:pPr>
        <w:spacing w:before="120"/>
        <w:jc w:val="right"/>
        <w:rPr>
          <w:i/>
          <w:sz w:val="20"/>
        </w:rPr>
      </w:pPr>
    </w:p>
  </w:footnote>
  <w:footnote w:id="2">
    <w:p w14:paraId="422A49D9" w14:textId="1691128D" w:rsidR="00CA7595" w:rsidRPr="00111331" w:rsidRDefault="00CA7595" w:rsidP="007F1BD8">
      <w:pPr>
        <w:pStyle w:val="FootnoteText"/>
        <w:rPr>
          <w:color w:val="000000" w:themeColor="text1"/>
          <w:spacing w:val="-1"/>
          <w:szCs w:val="26"/>
        </w:rPr>
      </w:pPr>
      <w:r w:rsidRPr="00111331">
        <w:rPr>
          <w:rStyle w:val="FootnoteReference"/>
          <w:color w:val="000000" w:themeColor="text1"/>
          <w:spacing w:val="-1"/>
        </w:rPr>
        <w:footnoteRef/>
      </w:r>
      <w:r w:rsidRPr="00111331">
        <w:rPr>
          <w:color w:val="000000" w:themeColor="text1"/>
          <w:spacing w:val="-1"/>
          <w:sz w:val="20"/>
        </w:rPr>
        <w:t xml:space="preserve"> </w:t>
      </w:r>
      <w:r w:rsidRPr="00111331">
        <w:rPr>
          <w:color w:val="000000" w:themeColor="text1"/>
          <w:spacing w:val="-1"/>
          <w:szCs w:val="26"/>
        </w:rPr>
        <w:tab/>
        <w:t>The Court of Appeal also rejected other claims of error raised by O.B. (</w:t>
      </w:r>
      <w:r w:rsidRPr="00111331">
        <w:rPr>
          <w:i/>
          <w:iCs/>
          <w:color w:val="000000" w:themeColor="text1"/>
          <w:spacing w:val="-1"/>
          <w:szCs w:val="26"/>
        </w:rPr>
        <w:t>Conservatorship of O.B.</w:t>
      </w:r>
      <w:r w:rsidRPr="00111331">
        <w:rPr>
          <w:color w:val="000000" w:themeColor="text1"/>
          <w:spacing w:val="-1"/>
          <w:szCs w:val="26"/>
        </w:rPr>
        <w:t xml:space="preserve">, </w:t>
      </w:r>
      <w:r w:rsidRPr="00111331">
        <w:rPr>
          <w:i/>
          <w:iCs/>
          <w:color w:val="000000" w:themeColor="text1"/>
          <w:spacing w:val="-1"/>
          <w:szCs w:val="26"/>
        </w:rPr>
        <w:t>supra</w:t>
      </w:r>
      <w:r w:rsidRPr="00111331">
        <w:rPr>
          <w:color w:val="000000" w:themeColor="text1"/>
          <w:spacing w:val="-1"/>
          <w:szCs w:val="26"/>
        </w:rPr>
        <w:t xml:space="preserve">, 32 Cal.App.5th at pp. 632-633, 635-636), none of which are presently before us.  </w:t>
      </w:r>
    </w:p>
  </w:footnote>
  <w:footnote w:id="3">
    <w:p w14:paraId="6B5FD595" w14:textId="0B701912" w:rsidR="00CA7595" w:rsidRPr="00111331" w:rsidRDefault="00CA7595" w:rsidP="007F1BD8">
      <w:pPr>
        <w:pStyle w:val="FootnoteText"/>
        <w:rPr>
          <w:color w:val="000000" w:themeColor="text1"/>
          <w:spacing w:val="-1"/>
          <w:szCs w:val="26"/>
        </w:rPr>
      </w:pPr>
      <w:r w:rsidRPr="00111331">
        <w:rPr>
          <w:rStyle w:val="FootnoteReference"/>
          <w:color w:val="000000" w:themeColor="text1"/>
          <w:spacing w:val="-1"/>
        </w:rPr>
        <w:footnoteRef/>
      </w:r>
      <w:r w:rsidRPr="00111331">
        <w:rPr>
          <w:color w:val="000000" w:themeColor="text1"/>
          <w:spacing w:val="-1"/>
          <w:sz w:val="20"/>
        </w:rPr>
        <w:t xml:space="preserve"> </w:t>
      </w:r>
      <w:r w:rsidRPr="00111331">
        <w:rPr>
          <w:color w:val="000000" w:themeColor="text1"/>
          <w:spacing w:val="-1"/>
          <w:szCs w:val="26"/>
        </w:rPr>
        <w:tab/>
        <w:t>The clear and convincing standard also has been described “as requiring that the evidence be ‘ “so clear as to leave no substantial doubt”; “sufficiently strong to command the unhesitating assent of every reasonable mind.” ’ ”  (</w:t>
      </w:r>
      <w:r w:rsidRPr="00111331">
        <w:rPr>
          <w:i/>
          <w:iCs/>
          <w:color w:val="000000" w:themeColor="text1"/>
          <w:spacing w:val="-1"/>
          <w:szCs w:val="26"/>
        </w:rPr>
        <w:t>In re Angelia P.</w:t>
      </w:r>
      <w:r w:rsidRPr="00111331">
        <w:rPr>
          <w:color w:val="000000" w:themeColor="text1"/>
          <w:spacing w:val="-1"/>
          <w:szCs w:val="26"/>
        </w:rPr>
        <w:t xml:space="preserve">, </w:t>
      </w:r>
      <w:r w:rsidRPr="00111331">
        <w:rPr>
          <w:i/>
          <w:iCs/>
          <w:color w:val="000000" w:themeColor="text1"/>
          <w:spacing w:val="-1"/>
          <w:szCs w:val="26"/>
        </w:rPr>
        <w:t>supra</w:t>
      </w:r>
      <w:r w:rsidRPr="00111331">
        <w:rPr>
          <w:color w:val="000000" w:themeColor="text1"/>
          <w:spacing w:val="-1"/>
          <w:szCs w:val="26"/>
        </w:rPr>
        <w:t xml:space="preserve">, 28 Cal.3d at p. 919.)  </w:t>
      </w:r>
    </w:p>
  </w:footnote>
  <w:footnote w:id="4">
    <w:p w14:paraId="2CD287A1" w14:textId="715EA9BB" w:rsidR="00CA7595" w:rsidRPr="00111331" w:rsidRDefault="00CA7595" w:rsidP="007F1BD8">
      <w:pPr>
        <w:spacing w:line="300" w:lineRule="exact"/>
        <w:rPr>
          <w:color w:val="000000" w:themeColor="text1"/>
          <w:spacing w:val="-1"/>
          <w:szCs w:val="26"/>
        </w:rPr>
      </w:pPr>
      <w:r w:rsidRPr="00111331">
        <w:rPr>
          <w:rStyle w:val="FootnoteReference"/>
          <w:bCs/>
          <w:color w:val="000000" w:themeColor="text1"/>
          <w:spacing w:val="-1"/>
        </w:rPr>
        <w:footnoteRef/>
      </w:r>
      <w:r w:rsidRPr="00111331">
        <w:rPr>
          <w:bCs/>
          <w:color w:val="000000" w:themeColor="text1"/>
          <w:spacing w:val="-1"/>
          <w:sz w:val="20"/>
        </w:rPr>
        <w:t xml:space="preserve"> </w:t>
      </w:r>
      <w:r w:rsidRPr="00111331">
        <w:rPr>
          <w:color w:val="000000" w:themeColor="text1"/>
          <w:spacing w:val="-1"/>
          <w:szCs w:val="26"/>
        </w:rPr>
        <w:tab/>
        <w:t xml:space="preserve">Dissenting in </w:t>
      </w:r>
      <w:r w:rsidRPr="00111331">
        <w:rPr>
          <w:i/>
          <w:iCs/>
          <w:color w:val="000000" w:themeColor="text1"/>
          <w:spacing w:val="-1"/>
          <w:szCs w:val="26"/>
        </w:rPr>
        <w:t>Stromerson</w:t>
      </w:r>
      <w:r w:rsidRPr="00111331">
        <w:rPr>
          <w:color w:val="000000" w:themeColor="text1"/>
          <w:spacing w:val="-1"/>
          <w:szCs w:val="26"/>
        </w:rPr>
        <w:t xml:space="preserve">, </w:t>
      </w:r>
      <w:r w:rsidRPr="00111331">
        <w:rPr>
          <w:i/>
          <w:iCs/>
          <w:color w:val="000000" w:themeColor="text1"/>
          <w:spacing w:val="-1"/>
          <w:szCs w:val="26"/>
        </w:rPr>
        <w:t>supra</w:t>
      </w:r>
      <w:r w:rsidRPr="00111331">
        <w:rPr>
          <w:color w:val="000000" w:themeColor="text1"/>
          <w:spacing w:val="-1"/>
          <w:szCs w:val="26"/>
        </w:rPr>
        <w:t xml:space="preserve">, 22 Cal.2d 808, Justice Traynor wrote, “While it rests primarily with the trial court to determine whether the evidence is clear and convincing, its finding is not necessarily conclusive, for in cases governed by the rule requiring such evidence ‘the sufficiency of the evidence to support the finding should be considered by the appellate court in the light of that rule.’  </w:t>
      </w:r>
      <w:r w:rsidR="00B632FA">
        <w:rPr>
          <w:color w:val="000000" w:themeColor="text1"/>
          <w:spacing w:val="-1"/>
          <w:szCs w:val="26"/>
        </w:rPr>
        <w:t>(</w:t>
      </w:r>
      <w:r w:rsidRPr="00111331">
        <w:rPr>
          <w:i/>
          <w:iCs/>
          <w:color w:val="000000" w:themeColor="text1"/>
          <w:spacing w:val="-1"/>
          <w:szCs w:val="26"/>
        </w:rPr>
        <w:t>Sheehan</w:t>
      </w:r>
      <w:r w:rsidR="00B632FA">
        <w:rPr>
          <w:color w:val="000000" w:themeColor="text1"/>
          <w:spacing w:val="-1"/>
          <w:sz w:val="25"/>
          <w:szCs w:val="24"/>
        </w:rPr>
        <w:t xml:space="preserve">[, </w:t>
      </w:r>
      <w:r w:rsidR="00B632FA" w:rsidRPr="00B632FA">
        <w:rPr>
          <w:i/>
          <w:iCs/>
          <w:color w:val="000000" w:themeColor="text1"/>
          <w:spacing w:val="-1"/>
          <w:sz w:val="25"/>
          <w:szCs w:val="24"/>
        </w:rPr>
        <w:t>supra</w:t>
      </w:r>
      <w:r w:rsidR="00B632FA">
        <w:rPr>
          <w:color w:val="000000" w:themeColor="text1"/>
          <w:spacing w:val="-1"/>
          <w:sz w:val="25"/>
          <w:szCs w:val="24"/>
        </w:rPr>
        <w:t>]</w:t>
      </w:r>
      <w:r w:rsidRPr="00111331">
        <w:rPr>
          <w:color w:val="000000" w:themeColor="text1"/>
          <w:spacing w:val="-1"/>
          <w:szCs w:val="26"/>
        </w:rPr>
        <w:t>, 126 Cal. 189, 193</w:t>
      </w:r>
      <w:r w:rsidR="00B632FA">
        <w:rPr>
          <w:color w:val="000000" w:themeColor="text1"/>
          <w:spacing w:val="-1"/>
          <w:szCs w:val="26"/>
        </w:rPr>
        <w:t>; [citation]</w:t>
      </w:r>
      <w:r w:rsidRPr="00111331">
        <w:rPr>
          <w:color w:val="000000" w:themeColor="text1"/>
          <w:spacing w:val="-1"/>
          <w:szCs w:val="26"/>
        </w:rPr>
        <w:t>.</w:t>
      </w:r>
      <w:r w:rsidR="00B632FA">
        <w:rPr>
          <w:color w:val="000000" w:themeColor="text1"/>
          <w:spacing w:val="-1"/>
          <w:szCs w:val="26"/>
        </w:rPr>
        <w:t>)</w:t>
      </w:r>
      <w:r w:rsidRPr="00111331">
        <w:rPr>
          <w:color w:val="000000" w:themeColor="text1"/>
          <w:spacing w:val="-1"/>
          <w:szCs w:val="26"/>
        </w:rPr>
        <w:t xml:space="preserve">  In such cases it is the duty of the appellate court in reviewing the evidence to determine, not simply whether the trier of facts could reasonably conclude that it is more probable that the fact to be proved exists than that it does not, as in the ordinary civil case where only a preponderance of the evidence is required . . . but to determine whether the trier of facts could </w:t>
      </w:r>
      <w:proofErr w:type="gramStart"/>
      <w:r w:rsidRPr="00111331">
        <w:rPr>
          <w:color w:val="000000" w:themeColor="text1"/>
          <w:spacing w:val="-1"/>
          <w:szCs w:val="26"/>
        </w:rPr>
        <w:t>reasonably conclude</w:t>
      </w:r>
      <w:proofErr w:type="gramEnd"/>
      <w:r w:rsidRPr="00111331">
        <w:rPr>
          <w:color w:val="000000" w:themeColor="text1"/>
          <w:spacing w:val="-1"/>
          <w:szCs w:val="26"/>
        </w:rPr>
        <w:t xml:space="preserve"> that it is highly probable that the fact exists.  When it [is held] that the trial court’s finding must be governed by the same test with relation to substantial evidence as ordinarily applies in other civil cases, the rule that the evidence must be clear and convincing becomes meaningless.”  (</w:t>
      </w:r>
      <w:r w:rsidRPr="00111331">
        <w:rPr>
          <w:i/>
          <w:iCs/>
          <w:color w:val="000000" w:themeColor="text1"/>
          <w:spacing w:val="-1"/>
          <w:szCs w:val="26"/>
        </w:rPr>
        <w:t>Id</w:t>
      </w:r>
      <w:r w:rsidRPr="00111331">
        <w:rPr>
          <w:color w:val="000000" w:themeColor="text1"/>
          <w:spacing w:val="-1"/>
          <w:szCs w:val="26"/>
        </w:rPr>
        <w:t>., at pp. 817-818 (dis. opn. of Traynor, J.); see also Traynor, The Riddle of Harmless Error (1970) p. 29 [“When it is the responsibility of the trier of fact to observe the requirement of clear and convincing evidence . . . it becomes the responsibility of the appellate court to test the finding accordingly”].)</w:t>
      </w:r>
    </w:p>
  </w:footnote>
  <w:footnote w:id="5">
    <w:p w14:paraId="3CE7678D" w14:textId="3CF396AC" w:rsidR="00CA7595" w:rsidRPr="00111331" w:rsidRDefault="00CA7595" w:rsidP="007F1BD8">
      <w:pPr>
        <w:pStyle w:val="FootnoteText"/>
        <w:rPr>
          <w:color w:val="000000" w:themeColor="text1"/>
          <w:spacing w:val="-1"/>
          <w:szCs w:val="26"/>
        </w:rPr>
      </w:pPr>
      <w:r w:rsidRPr="00111331">
        <w:rPr>
          <w:rStyle w:val="FootnoteReference"/>
          <w:bCs/>
          <w:color w:val="000000" w:themeColor="text1"/>
          <w:spacing w:val="-1"/>
        </w:rPr>
        <w:footnoteRef/>
      </w:r>
      <w:r w:rsidRPr="00111331">
        <w:rPr>
          <w:bCs/>
          <w:color w:val="000000" w:themeColor="text1"/>
          <w:spacing w:val="-1"/>
          <w:sz w:val="20"/>
        </w:rPr>
        <w:t xml:space="preserve"> </w:t>
      </w:r>
      <w:r w:rsidRPr="00111331">
        <w:rPr>
          <w:color w:val="000000" w:themeColor="text1"/>
          <w:spacing w:val="-1"/>
          <w:szCs w:val="26"/>
        </w:rPr>
        <w:tab/>
        <w:t xml:space="preserve">The following Court of Appeal decisions have echoed the Witkin treatise’s “disappears” phrasing:  </w:t>
      </w:r>
      <w:r w:rsidRPr="00111331">
        <w:rPr>
          <w:i/>
          <w:iCs/>
          <w:color w:val="000000" w:themeColor="text1"/>
          <w:spacing w:val="-1"/>
          <w:szCs w:val="26"/>
        </w:rPr>
        <w:t>Morgan v. Davidson</w:t>
      </w:r>
      <w:r w:rsidRPr="00111331">
        <w:rPr>
          <w:color w:val="000000" w:themeColor="text1"/>
          <w:spacing w:val="-1"/>
          <w:szCs w:val="26"/>
        </w:rPr>
        <w:t xml:space="preserve"> (2018) 29 Cal.App.5th 540, 549; </w:t>
      </w:r>
      <w:r w:rsidRPr="00111331">
        <w:rPr>
          <w:i/>
          <w:iCs/>
          <w:color w:val="000000" w:themeColor="text1"/>
          <w:spacing w:val="-1"/>
          <w:szCs w:val="26"/>
        </w:rPr>
        <w:t xml:space="preserve">In re Alexzander C. </w:t>
      </w:r>
      <w:r w:rsidRPr="00111331">
        <w:rPr>
          <w:color w:val="000000" w:themeColor="text1"/>
          <w:spacing w:val="-1"/>
          <w:szCs w:val="26"/>
        </w:rPr>
        <w:t>(2017) 18</w:t>
      </w:r>
      <w:r w:rsidR="00A368C2">
        <w:rPr>
          <w:color w:val="000000" w:themeColor="text1"/>
          <w:spacing w:val="-1"/>
          <w:szCs w:val="26"/>
        </w:rPr>
        <w:t> </w:t>
      </w:r>
      <w:r w:rsidRPr="00111331">
        <w:rPr>
          <w:color w:val="000000" w:themeColor="text1"/>
          <w:spacing w:val="-1"/>
          <w:szCs w:val="26"/>
        </w:rPr>
        <w:t xml:space="preserve">Cal.App.5th 438, 451; </w:t>
      </w:r>
      <w:r w:rsidRPr="00111331">
        <w:rPr>
          <w:i/>
          <w:color w:val="000000" w:themeColor="text1"/>
          <w:spacing w:val="-1"/>
          <w:szCs w:val="26"/>
        </w:rPr>
        <w:t>Parisi v. Mazzaferro</w:t>
      </w:r>
      <w:r w:rsidRPr="00111331">
        <w:rPr>
          <w:color w:val="000000" w:themeColor="text1"/>
          <w:spacing w:val="-1"/>
          <w:szCs w:val="26"/>
        </w:rPr>
        <w:t xml:space="preserve"> (2016) 5 Cal.App.5th 1219, 1227, f</w:t>
      </w:r>
      <w:r w:rsidR="00B632FA">
        <w:rPr>
          <w:color w:val="000000" w:themeColor="text1"/>
          <w:spacing w:val="-1"/>
          <w:szCs w:val="26"/>
        </w:rPr>
        <w:t>ootnote</w:t>
      </w:r>
      <w:r w:rsidRPr="00111331">
        <w:rPr>
          <w:color w:val="000000" w:themeColor="text1"/>
          <w:spacing w:val="-1"/>
          <w:szCs w:val="26"/>
        </w:rPr>
        <w:t xml:space="preserve"> 11; </w:t>
      </w:r>
      <w:r w:rsidRPr="00111331">
        <w:rPr>
          <w:i/>
          <w:iCs/>
          <w:color w:val="000000" w:themeColor="text1"/>
          <w:spacing w:val="-1"/>
          <w:szCs w:val="26"/>
        </w:rPr>
        <w:t>In re Z.G.</w:t>
      </w:r>
      <w:r w:rsidRPr="00111331">
        <w:rPr>
          <w:color w:val="000000" w:themeColor="text1"/>
          <w:spacing w:val="-1"/>
          <w:szCs w:val="26"/>
        </w:rPr>
        <w:t xml:space="preserve"> (2016) 5</w:t>
      </w:r>
      <w:r w:rsidR="00A368C2">
        <w:rPr>
          <w:color w:val="000000" w:themeColor="text1"/>
          <w:spacing w:val="-1"/>
          <w:szCs w:val="26"/>
        </w:rPr>
        <w:t> </w:t>
      </w:r>
      <w:r w:rsidRPr="00111331">
        <w:rPr>
          <w:color w:val="000000" w:themeColor="text1"/>
          <w:spacing w:val="-1"/>
          <w:szCs w:val="26"/>
        </w:rPr>
        <w:t xml:space="preserve">Cal.App.5th 705, 720;  </w:t>
      </w:r>
      <w:r w:rsidRPr="00111331">
        <w:rPr>
          <w:i/>
          <w:color w:val="000000" w:themeColor="text1"/>
          <w:spacing w:val="-1"/>
          <w:szCs w:val="26"/>
        </w:rPr>
        <w:t>In re F.S.</w:t>
      </w:r>
      <w:r w:rsidRPr="00111331">
        <w:rPr>
          <w:color w:val="000000" w:themeColor="text1"/>
          <w:spacing w:val="-1"/>
          <w:szCs w:val="26"/>
        </w:rPr>
        <w:t xml:space="preserve"> (2016) 243 Cal.App.4th 799, 812; </w:t>
      </w:r>
      <w:r w:rsidRPr="00111331">
        <w:rPr>
          <w:i/>
          <w:iCs/>
          <w:color w:val="000000" w:themeColor="text1"/>
          <w:spacing w:val="-1"/>
          <w:szCs w:val="26"/>
        </w:rPr>
        <w:t>In re J.S.</w:t>
      </w:r>
      <w:r w:rsidRPr="00111331">
        <w:rPr>
          <w:color w:val="000000" w:themeColor="text1"/>
          <w:spacing w:val="-1"/>
          <w:szCs w:val="26"/>
        </w:rPr>
        <w:t xml:space="preserve"> (2014) 228 Cal.App.4th 1483, 1493; </w:t>
      </w:r>
      <w:r w:rsidRPr="00111331">
        <w:rPr>
          <w:i/>
          <w:iCs/>
          <w:color w:val="000000" w:themeColor="text1"/>
          <w:spacing w:val="-1"/>
          <w:szCs w:val="26"/>
        </w:rPr>
        <w:t>In re Marriage of E. &amp; Stephen P</w:t>
      </w:r>
      <w:r w:rsidRPr="00111331">
        <w:rPr>
          <w:color w:val="000000" w:themeColor="text1"/>
          <w:spacing w:val="-1"/>
          <w:szCs w:val="26"/>
        </w:rPr>
        <w:t xml:space="preserve">. (2013) 213 Cal.App.4th 983, 989-990; </w:t>
      </w:r>
      <w:r w:rsidRPr="00111331">
        <w:rPr>
          <w:i/>
          <w:iCs/>
          <w:color w:val="000000" w:themeColor="text1"/>
          <w:spacing w:val="-1"/>
          <w:szCs w:val="26"/>
        </w:rPr>
        <w:t>Ian J. v. Peter M</w:t>
      </w:r>
      <w:r w:rsidRPr="00111331">
        <w:rPr>
          <w:color w:val="000000" w:themeColor="text1"/>
          <w:spacing w:val="-1"/>
          <w:szCs w:val="26"/>
        </w:rPr>
        <w:t xml:space="preserve">., </w:t>
      </w:r>
      <w:r w:rsidRPr="00111331">
        <w:rPr>
          <w:i/>
          <w:color w:val="000000" w:themeColor="text1"/>
          <w:spacing w:val="-1"/>
          <w:szCs w:val="26"/>
        </w:rPr>
        <w:t>supra</w:t>
      </w:r>
      <w:r w:rsidRPr="00111331">
        <w:rPr>
          <w:color w:val="000000" w:themeColor="text1"/>
          <w:spacing w:val="-1"/>
          <w:szCs w:val="26"/>
        </w:rPr>
        <w:t>, 213 Cal.App.4th at p</w:t>
      </w:r>
      <w:r w:rsidR="00B632FA">
        <w:rPr>
          <w:color w:val="000000" w:themeColor="text1"/>
          <w:spacing w:val="-1"/>
          <w:szCs w:val="26"/>
        </w:rPr>
        <w:t>age</w:t>
      </w:r>
      <w:r w:rsidRPr="00111331">
        <w:rPr>
          <w:color w:val="000000" w:themeColor="text1"/>
          <w:spacing w:val="-1"/>
          <w:szCs w:val="26"/>
        </w:rPr>
        <w:t xml:space="preserve"> 208; </w:t>
      </w:r>
      <w:r w:rsidRPr="00111331">
        <w:rPr>
          <w:i/>
          <w:iCs/>
          <w:color w:val="000000" w:themeColor="text1"/>
          <w:spacing w:val="-1"/>
          <w:szCs w:val="26"/>
        </w:rPr>
        <w:t>In re A.S.</w:t>
      </w:r>
      <w:r w:rsidRPr="00111331">
        <w:rPr>
          <w:color w:val="000000" w:themeColor="text1"/>
          <w:spacing w:val="-1"/>
          <w:szCs w:val="26"/>
        </w:rPr>
        <w:t xml:space="preserve"> (2011) 202 Cal.App.4th 237, 247;</w:t>
      </w:r>
      <w:r w:rsidRPr="00111331">
        <w:rPr>
          <w:i/>
          <w:iCs/>
          <w:color w:val="000000" w:themeColor="text1"/>
          <w:spacing w:val="-1"/>
          <w:szCs w:val="26"/>
        </w:rPr>
        <w:t xml:space="preserve"> In re K.A. </w:t>
      </w:r>
      <w:r w:rsidRPr="00111331">
        <w:rPr>
          <w:color w:val="000000" w:themeColor="text1"/>
          <w:spacing w:val="-1"/>
          <w:szCs w:val="26"/>
        </w:rPr>
        <w:t xml:space="preserve">(2011) 201 Cal.App.4th 905, 909; </w:t>
      </w:r>
      <w:r w:rsidRPr="00111331">
        <w:rPr>
          <w:i/>
          <w:iCs/>
          <w:color w:val="000000" w:themeColor="text1"/>
          <w:spacing w:val="-1"/>
          <w:szCs w:val="26"/>
        </w:rPr>
        <w:t>In re Levi H.</w:t>
      </w:r>
      <w:r w:rsidRPr="00111331">
        <w:rPr>
          <w:color w:val="000000" w:themeColor="text1"/>
          <w:spacing w:val="-1"/>
          <w:szCs w:val="26"/>
        </w:rPr>
        <w:t xml:space="preserve"> (2011) 197 Cal.App.4th 1279, 1291; </w:t>
      </w:r>
      <w:r w:rsidRPr="00111331">
        <w:rPr>
          <w:i/>
          <w:iCs/>
          <w:color w:val="000000" w:themeColor="text1"/>
          <w:spacing w:val="-1"/>
          <w:szCs w:val="26"/>
        </w:rPr>
        <w:t>In re E.B.</w:t>
      </w:r>
      <w:r w:rsidRPr="00111331">
        <w:rPr>
          <w:color w:val="000000" w:themeColor="text1"/>
          <w:spacing w:val="-1"/>
          <w:szCs w:val="26"/>
        </w:rPr>
        <w:t xml:space="preserve"> (2010) 184 Cal.App.4th 568, 578; </w:t>
      </w:r>
      <w:r w:rsidRPr="00111331">
        <w:rPr>
          <w:i/>
          <w:iCs/>
          <w:color w:val="000000" w:themeColor="text1"/>
          <w:spacing w:val="-1"/>
          <w:szCs w:val="26"/>
        </w:rPr>
        <w:t>In re I.W.</w:t>
      </w:r>
      <w:r w:rsidRPr="00111331">
        <w:rPr>
          <w:color w:val="000000" w:themeColor="text1"/>
          <w:spacing w:val="-1"/>
          <w:szCs w:val="26"/>
        </w:rPr>
        <w:t xml:space="preserve"> (2009) 180</w:t>
      </w:r>
      <w:r w:rsidR="00A368C2">
        <w:rPr>
          <w:color w:val="000000" w:themeColor="text1"/>
          <w:spacing w:val="-1"/>
          <w:szCs w:val="26"/>
        </w:rPr>
        <w:t> </w:t>
      </w:r>
      <w:r w:rsidRPr="00111331">
        <w:rPr>
          <w:color w:val="000000" w:themeColor="text1"/>
          <w:spacing w:val="-1"/>
          <w:szCs w:val="26"/>
        </w:rPr>
        <w:t xml:space="preserve">Cal.App.4th 1517, 1526; </w:t>
      </w:r>
      <w:r w:rsidRPr="00111331">
        <w:rPr>
          <w:i/>
          <w:iCs/>
          <w:color w:val="000000" w:themeColor="text1"/>
          <w:spacing w:val="-1"/>
          <w:szCs w:val="26"/>
        </w:rPr>
        <w:t>In re Angelique C.</w:t>
      </w:r>
      <w:r w:rsidRPr="00111331">
        <w:rPr>
          <w:color w:val="000000" w:themeColor="text1"/>
          <w:spacing w:val="-1"/>
          <w:szCs w:val="26"/>
        </w:rPr>
        <w:t xml:space="preserve"> (2003) 113 Cal.App.4th 509, 519; </w:t>
      </w:r>
      <w:r w:rsidRPr="00111331">
        <w:rPr>
          <w:i/>
          <w:iCs/>
          <w:color w:val="000000" w:themeColor="text1"/>
          <w:spacing w:val="-1"/>
          <w:szCs w:val="26"/>
        </w:rPr>
        <w:t>In re J.I.</w:t>
      </w:r>
      <w:r w:rsidRPr="00111331">
        <w:rPr>
          <w:color w:val="000000" w:themeColor="text1"/>
          <w:spacing w:val="-1"/>
          <w:szCs w:val="26"/>
        </w:rPr>
        <w:t xml:space="preserve"> (2003) 108 Cal.App.4th 903, 911; </w:t>
      </w:r>
      <w:r w:rsidRPr="00111331">
        <w:rPr>
          <w:i/>
          <w:iCs/>
          <w:color w:val="000000" w:themeColor="text1"/>
          <w:spacing w:val="-1"/>
          <w:szCs w:val="26"/>
        </w:rPr>
        <w:t>In re Mark L.</w:t>
      </w:r>
      <w:r w:rsidRPr="00111331">
        <w:rPr>
          <w:color w:val="000000" w:themeColor="text1"/>
          <w:spacing w:val="-1"/>
          <w:szCs w:val="26"/>
        </w:rPr>
        <w:t xml:space="preserve"> (2001) 94 Cal.App.4th 573, 580-581; </w:t>
      </w:r>
      <w:r w:rsidRPr="00111331">
        <w:rPr>
          <w:i/>
          <w:iCs/>
          <w:color w:val="000000" w:themeColor="text1"/>
          <w:spacing w:val="-1"/>
          <w:szCs w:val="26"/>
        </w:rPr>
        <w:t>Sheila S. v. Superior Court</w:t>
      </w:r>
      <w:r w:rsidRPr="00111331">
        <w:rPr>
          <w:color w:val="000000" w:themeColor="text1"/>
          <w:spacing w:val="-1"/>
          <w:szCs w:val="26"/>
        </w:rPr>
        <w:t xml:space="preserve"> (2000) 84 Cal.App.4th 872, 881; </w:t>
      </w:r>
      <w:r w:rsidRPr="00111331">
        <w:rPr>
          <w:i/>
          <w:iCs/>
          <w:color w:val="000000" w:themeColor="text1"/>
          <w:spacing w:val="-1"/>
          <w:szCs w:val="26"/>
        </w:rPr>
        <w:t>Ensworth v. Mullvain</w:t>
      </w:r>
      <w:r w:rsidRPr="00111331">
        <w:rPr>
          <w:color w:val="000000" w:themeColor="text1"/>
          <w:spacing w:val="-1"/>
          <w:szCs w:val="26"/>
        </w:rPr>
        <w:t xml:space="preserve"> (1990) 224 Cal.App.3d 1105, 1111, f</w:t>
      </w:r>
      <w:r w:rsidR="00B632FA">
        <w:rPr>
          <w:color w:val="000000" w:themeColor="text1"/>
          <w:spacing w:val="-1"/>
          <w:szCs w:val="26"/>
        </w:rPr>
        <w:t>ootnote</w:t>
      </w:r>
      <w:r w:rsidRPr="00111331">
        <w:rPr>
          <w:color w:val="000000" w:themeColor="text1"/>
          <w:spacing w:val="-1"/>
          <w:szCs w:val="26"/>
        </w:rPr>
        <w:t xml:space="preserve"> 2.</w:t>
      </w:r>
    </w:p>
  </w:footnote>
  <w:footnote w:id="6">
    <w:p w14:paraId="48260C88" w14:textId="620AB1AD" w:rsidR="00CA7595" w:rsidRPr="00111331" w:rsidRDefault="00CA7595" w:rsidP="007F1BD8">
      <w:pPr>
        <w:pStyle w:val="FootnoteText"/>
        <w:rPr>
          <w:color w:val="000000" w:themeColor="text1"/>
          <w:spacing w:val="-1"/>
          <w:szCs w:val="26"/>
        </w:rPr>
      </w:pPr>
      <w:r w:rsidRPr="00111331">
        <w:rPr>
          <w:rStyle w:val="FootnoteReference"/>
          <w:color w:val="000000" w:themeColor="text1"/>
          <w:spacing w:val="-1"/>
        </w:rPr>
        <w:footnoteRef/>
      </w:r>
      <w:r w:rsidRPr="00111331">
        <w:rPr>
          <w:color w:val="000000" w:themeColor="text1"/>
          <w:spacing w:val="-1"/>
          <w:sz w:val="20"/>
        </w:rPr>
        <w:t xml:space="preserve"> </w:t>
      </w:r>
      <w:r w:rsidRPr="00111331">
        <w:rPr>
          <w:color w:val="000000" w:themeColor="text1"/>
          <w:spacing w:val="-1"/>
          <w:szCs w:val="26"/>
        </w:rPr>
        <w:tab/>
        <w:t xml:space="preserve">E.g., </w:t>
      </w:r>
      <w:r w:rsidRPr="00111331">
        <w:rPr>
          <w:i/>
          <w:iCs/>
          <w:color w:val="000000" w:themeColor="text1"/>
          <w:spacing w:val="-1"/>
          <w:szCs w:val="26"/>
        </w:rPr>
        <w:t>Johnson &amp; Johnson Talcum Powder Cases</w:t>
      </w:r>
      <w:r w:rsidRPr="00111331">
        <w:rPr>
          <w:color w:val="000000" w:themeColor="text1"/>
          <w:spacing w:val="-1"/>
          <w:szCs w:val="26"/>
        </w:rPr>
        <w:t xml:space="preserve"> (2019) 37</w:t>
      </w:r>
      <w:r w:rsidR="00A368C2">
        <w:rPr>
          <w:color w:val="000000" w:themeColor="text1"/>
          <w:spacing w:val="-1"/>
          <w:szCs w:val="26"/>
        </w:rPr>
        <w:t> </w:t>
      </w:r>
      <w:r w:rsidRPr="00111331">
        <w:rPr>
          <w:color w:val="000000" w:themeColor="text1"/>
          <w:spacing w:val="-1"/>
          <w:szCs w:val="26"/>
        </w:rPr>
        <w:t xml:space="preserve">Cal.App.5th 292, 333; </w:t>
      </w:r>
      <w:r w:rsidRPr="00111331">
        <w:rPr>
          <w:i/>
          <w:iCs/>
          <w:color w:val="000000" w:themeColor="text1"/>
          <w:spacing w:val="-1"/>
          <w:szCs w:val="26"/>
        </w:rPr>
        <w:t>T.J.</w:t>
      </w:r>
      <w:r w:rsidRPr="00111331">
        <w:rPr>
          <w:color w:val="000000" w:themeColor="text1"/>
          <w:spacing w:val="-1"/>
          <w:szCs w:val="26"/>
        </w:rPr>
        <w:t xml:space="preserve">, </w:t>
      </w:r>
      <w:r w:rsidRPr="00111331">
        <w:rPr>
          <w:i/>
          <w:iCs/>
          <w:color w:val="000000" w:themeColor="text1"/>
          <w:spacing w:val="-1"/>
          <w:szCs w:val="26"/>
        </w:rPr>
        <w:t>supra</w:t>
      </w:r>
      <w:r w:rsidRPr="00111331">
        <w:rPr>
          <w:color w:val="000000" w:themeColor="text1"/>
          <w:spacing w:val="-1"/>
          <w:szCs w:val="26"/>
        </w:rPr>
        <w:t>, 21 Cal.App.5th at p</w:t>
      </w:r>
      <w:r w:rsidR="00692BEA">
        <w:rPr>
          <w:color w:val="000000" w:themeColor="text1"/>
          <w:spacing w:val="-1"/>
          <w:szCs w:val="26"/>
        </w:rPr>
        <w:t>ages</w:t>
      </w:r>
      <w:r w:rsidRPr="00111331">
        <w:rPr>
          <w:color w:val="000000" w:themeColor="text1"/>
          <w:spacing w:val="-1"/>
          <w:szCs w:val="26"/>
        </w:rPr>
        <w:t xml:space="preserve"> 1239-1240; </w:t>
      </w:r>
      <w:r w:rsidRPr="00111331">
        <w:rPr>
          <w:i/>
          <w:iCs/>
          <w:color w:val="000000" w:themeColor="text1"/>
          <w:spacing w:val="-1"/>
          <w:szCs w:val="26"/>
        </w:rPr>
        <w:t>Pulte Home Corp. v. American Safety Indemnity Co.</w:t>
      </w:r>
      <w:r w:rsidRPr="00111331">
        <w:rPr>
          <w:color w:val="000000" w:themeColor="text1"/>
          <w:spacing w:val="-1"/>
          <w:szCs w:val="26"/>
        </w:rPr>
        <w:t xml:space="preserve"> (2017) 14 Cal.App.5th 1086, 1125; </w:t>
      </w:r>
      <w:r w:rsidRPr="00111331">
        <w:rPr>
          <w:i/>
          <w:iCs/>
          <w:color w:val="000000" w:themeColor="text1"/>
          <w:spacing w:val="-1"/>
          <w:szCs w:val="26"/>
        </w:rPr>
        <w:t>Pfeifer v. John Crane, Inc.</w:t>
      </w:r>
      <w:r w:rsidRPr="00111331">
        <w:rPr>
          <w:color w:val="000000" w:themeColor="text1"/>
          <w:spacing w:val="-1"/>
          <w:szCs w:val="26"/>
        </w:rPr>
        <w:t xml:space="preserve"> (2013) 220 Cal.App.4th 1270, 1299; </w:t>
      </w:r>
      <w:r w:rsidRPr="00111331">
        <w:rPr>
          <w:i/>
          <w:iCs/>
          <w:color w:val="000000" w:themeColor="text1"/>
          <w:spacing w:val="-1"/>
          <w:szCs w:val="26"/>
        </w:rPr>
        <w:t>In re Hailey T.</w:t>
      </w:r>
      <w:r w:rsidRPr="00111331">
        <w:rPr>
          <w:color w:val="000000" w:themeColor="text1"/>
          <w:spacing w:val="-1"/>
          <w:szCs w:val="26"/>
        </w:rPr>
        <w:t xml:space="preserve"> (2012) 212 Cal.App.4th 139, 146; </w:t>
      </w:r>
      <w:r w:rsidRPr="00111331">
        <w:rPr>
          <w:i/>
          <w:iCs/>
          <w:color w:val="000000" w:themeColor="text1"/>
          <w:spacing w:val="-1"/>
          <w:szCs w:val="26"/>
        </w:rPr>
        <w:t>In re Alexis S.</w:t>
      </w:r>
      <w:r w:rsidRPr="00111331">
        <w:rPr>
          <w:color w:val="000000" w:themeColor="text1"/>
          <w:spacing w:val="-1"/>
          <w:szCs w:val="26"/>
        </w:rPr>
        <w:t xml:space="preserve"> (2012) 205 Cal.App.4th 48, 54; </w:t>
      </w:r>
      <w:r w:rsidRPr="00111331">
        <w:rPr>
          <w:i/>
          <w:iCs/>
          <w:color w:val="000000" w:themeColor="text1"/>
          <w:spacing w:val="-1"/>
          <w:szCs w:val="26"/>
        </w:rPr>
        <w:t xml:space="preserve">In re Andy G. </w:t>
      </w:r>
      <w:r w:rsidRPr="00111331">
        <w:rPr>
          <w:color w:val="000000" w:themeColor="text1"/>
          <w:spacing w:val="-1"/>
          <w:szCs w:val="26"/>
        </w:rPr>
        <w:t xml:space="preserve">(2010) 183 Cal.App.4th 1405, 1415; </w:t>
      </w:r>
      <w:r w:rsidRPr="00111331">
        <w:rPr>
          <w:i/>
          <w:iCs/>
          <w:color w:val="000000" w:themeColor="text1"/>
          <w:spacing w:val="-1"/>
          <w:szCs w:val="26"/>
        </w:rPr>
        <w:t>In re William B.</w:t>
      </w:r>
      <w:r w:rsidRPr="00111331">
        <w:rPr>
          <w:color w:val="000000" w:themeColor="text1"/>
          <w:spacing w:val="-1"/>
          <w:szCs w:val="26"/>
        </w:rPr>
        <w:t xml:space="preserve"> (2008) 163 Cal.App.4th 1220, 1229; </w:t>
      </w:r>
      <w:r w:rsidRPr="00111331">
        <w:rPr>
          <w:i/>
          <w:iCs/>
          <w:color w:val="000000" w:themeColor="text1"/>
          <w:spacing w:val="-1"/>
          <w:szCs w:val="26"/>
        </w:rPr>
        <w:t>In re Baby Girl M.</w:t>
      </w:r>
      <w:r w:rsidRPr="00111331">
        <w:rPr>
          <w:color w:val="000000" w:themeColor="text1"/>
          <w:spacing w:val="-1"/>
          <w:szCs w:val="26"/>
        </w:rPr>
        <w:t xml:space="preserve"> (2006) 135 Cal.App.4th 1528, 1536; </w:t>
      </w:r>
      <w:r w:rsidRPr="00111331">
        <w:rPr>
          <w:i/>
          <w:iCs/>
          <w:color w:val="000000" w:themeColor="text1"/>
          <w:spacing w:val="-1"/>
          <w:szCs w:val="26"/>
        </w:rPr>
        <w:t>In re Henry V.</w:t>
      </w:r>
      <w:r w:rsidRPr="00111331">
        <w:rPr>
          <w:color w:val="000000" w:themeColor="text1"/>
          <w:spacing w:val="-1"/>
          <w:szCs w:val="26"/>
        </w:rPr>
        <w:t xml:space="preserve"> (2004) 119</w:t>
      </w:r>
      <w:r w:rsidR="00A368C2">
        <w:rPr>
          <w:color w:val="000000" w:themeColor="text1"/>
          <w:spacing w:val="-1"/>
          <w:szCs w:val="26"/>
        </w:rPr>
        <w:t> </w:t>
      </w:r>
      <w:r w:rsidRPr="00111331">
        <w:rPr>
          <w:color w:val="000000" w:themeColor="text1"/>
          <w:spacing w:val="-1"/>
          <w:szCs w:val="26"/>
        </w:rPr>
        <w:t xml:space="preserve">Cal.App.4th 522, 530; </w:t>
      </w:r>
      <w:r w:rsidRPr="00111331">
        <w:rPr>
          <w:i/>
          <w:iCs/>
          <w:color w:val="000000" w:themeColor="text1"/>
          <w:spacing w:val="-1"/>
          <w:szCs w:val="26"/>
        </w:rPr>
        <w:t>In re Isayah C.</w:t>
      </w:r>
      <w:r w:rsidRPr="00111331">
        <w:rPr>
          <w:color w:val="000000" w:themeColor="text1"/>
          <w:spacing w:val="-1"/>
          <w:szCs w:val="26"/>
        </w:rPr>
        <w:t xml:space="preserve"> (2004) 118 Cal.App.4th 684, 694; </w:t>
      </w:r>
      <w:r w:rsidRPr="00111331">
        <w:rPr>
          <w:i/>
          <w:iCs/>
          <w:color w:val="000000" w:themeColor="text1"/>
          <w:spacing w:val="-1"/>
          <w:szCs w:val="26"/>
        </w:rPr>
        <w:t>In re Alvin R.</w:t>
      </w:r>
      <w:r w:rsidRPr="00111331">
        <w:rPr>
          <w:color w:val="000000" w:themeColor="text1"/>
          <w:spacing w:val="-1"/>
          <w:szCs w:val="26"/>
        </w:rPr>
        <w:t xml:space="preserve"> (2003) 108 Cal.App.4th 962, 971;</w:t>
      </w:r>
      <w:r w:rsidRPr="00111331">
        <w:rPr>
          <w:i/>
          <w:iCs/>
          <w:color w:val="000000" w:themeColor="text1"/>
          <w:spacing w:val="-1"/>
          <w:szCs w:val="26"/>
        </w:rPr>
        <w:t xml:space="preserve"> In re Luke M. </w:t>
      </w:r>
      <w:r w:rsidRPr="00111331">
        <w:rPr>
          <w:color w:val="000000" w:themeColor="text1"/>
          <w:spacing w:val="-1"/>
          <w:szCs w:val="26"/>
        </w:rPr>
        <w:t xml:space="preserve">(2003) 107 Cal.App.4th 1412, 1426; </w:t>
      </w:r>
      <w:r w:rsidRPr="00111331">
        <w:rPr>
          <w:i/>
          <w:iCs/>
          <w:color w:val="000000" w:themeColor="text1"/>
          <w:spacing w:val="-1"/>
          <w:szCs w:val="26"/>
        </w:rPr>
        <w:t>Shade Foods, Inc. v. Innovative Products Sales &amp; Marketing, Inc.</w:t>
      </w:r>
      <w:r w:rsidRPr="00111331">
        <w:rPr>
          <w:color w:val="000000" w:themeColor="text1"/>
          <w:spacing w:val="-1"/>
          <w:szCs w:val="26"/>
        </w:rPr>
        <w:t xml:space="preserve"> (2000) 78</w:t>
      </w:r>
      <w:r w:rsidR="00A368C2">
        <w:rPr>
          <w:color w:val="000000" w:themeColor="text1"/>
          <w:spacing w:val="-1"/>
          <w:szCs w:val="26"/>
        </w:rPr>
        <w:t> </w:t>
      </w:r>
      <w:r w:rsidRPr="00111331">
        <w:rPr>
          <w:color w:val="000000" w:themeColor="text1"/>
          <w:spacing w:val="-1"/>
          <w:szCs w:val="26"/>
        </w:rPr>
        <w:t xml:space="preserve">Cal.App.4th 847, 891; </w:t>
      </w:r>
      <w:r w:rsidRPr="00111331">
        <w:rPr>
          <w:i/>
          <w:iCs/>
          <w:color w:val="000000" w:themeColor="text1"/>
          <w:spacing w:val="-1"/>
          <w:szCs w:val="26"/>
        </w:rPr>
        <w:t>In re Kristin H.</w:t>
      </w:r>
      <w:r w:rsidRPr="00111331">
        <w:rPr>
          <w:color w:val="000000" w:themeColor="text1"/>
          <w:spacing w:val="-1"/>
          <w:szCs w:val="26"/>
        </w:rPr>
        <w:t xml:space="preserve"> (1996) 46 Cal.App.4th 1635, 1654; </w:t>
      </w:r>
      <w:r w:rsidRPr="00111331">
        <w:rPr>
          <w:i/>
          <w:iCs/>
          <w:color w:val="000000" w:themeColor="text1"/>
          <w:spacing w:val="-1"/>
          <w:szCs w:val="26"/>
        </w:rPr>
        <w:t xml:space="preserve">In re Basilio T. </w:t>
      </w:r>
      <w:r w:rsidRPr="00111331">
        <w:rPr>
          <w:color w:val="000000" w:themeColor="text1"/>
          <w:spacing w:val="-1"/>
          <w:szCs w:val="26"/>
        </w:rPr>
        <w:t xml:space="preserve">(1992) 4 Cal.App.4th 155, 170-171; </w:t>
      </w:r>
      <w:r w:rsidRPr="00111331">
        <w:rPr>
          <w:i/>
          <w:iCs/>
          <w:color w:val="000000" w:themeColor="text1"/>
          <w:spacing w:val="-1"/>
          <w:szCs w:val="26"/>
        </w:rPr>
        <w:t>Osal v. United Services Auto. Assn.</w:t>
      </w:r>
      <w:r w:rsidRPr="00111331">
        <w:rPr>
          <w:color w:val="000000" w:themeColor="text1"/>
          <w:spacing w:val="-1"/>
          <w:szCs w:val="26"/>
        </w:rPr>
        <w:t xml:space="preserve"> (1991) 2 Cal.App.4th 1197, 1200; </w:t>
      </w:r>
      <w:r w:rsidRPr="00111331">
        <w:rPr>
          <w:i/>
          <w:iCs/>
          <w:color w:val="000000" w:themeColor="text1"/>
          <w:spacing w:val="-1"/>
          <w:szCs w:val="26"/>
        </w:rPr>
        <w:t>In re Victoria M.</w:t>
      </w:r>
      <w:r w:rsidRPr="00111331">
        <w:rPr>
          <w:color w:val="000000" w:themeColor="text1"/>
          <w:spacing w:val="-1"/>
          <w:szCs w:val="26"/>
        </w:rPr>
        <w:t xml:space="preserve"> (1989) 207 Cal.App.3d 1317, 1326; </w:t>
      </w:r>
      <w:r w:rsidRPr="00111331">
        <w:rPr>
          <w:i/>
          <w:iCs/>
          <w:color w:val="000000" w:themeColor="text1"/>
          <w:spacing w:val="-1"/>
          <w:szCs w:val="26"/>
        </w:rPr>
        <w:t>In re Amos L.</w:t>
      </w:r>
      <w:r w:rsidRPr="00111331">
        <w:rPr>
          <w:color w:val="000000" w:themeColor="text1"/>
          <w:spacing w:val="-1"/>
          <w:szCs w:val="26"/>
        </w:rPr>
        <w:t xml:space="preserve"> (1981) 124 Cal.App.3d 1031, 1038.</w:t>
      </w:r>
    </w:p>
  </w:footnote>
  <w:footnote w:id="7">
    <w:p w14:paraId="5E66BB8E" w14:textId="0D59E744" w:rsidR="007435F2" w:rsidRPr="00111331" w:rsidRDefault="007435F2" w:rsidP="007435F2">
      <w:pPr>
        <w:pStyle w:val="FootnoteText"/>
        <w:rPr>
          <w:color w:val="000000" w:themeColor="text1"/>
          <w:spacing w:val="-1"/>
          <w:szCs w:val="26"/>
        </w:rPr>
      </w:pPr>
      <w:r w:rsidRPr="00111331">
        <w:rPr>
          <w:rStyle w:val="FootnoteReference"/>
          <w:color w:val="000000" w:themeColor="text1"/>
          <w:spacing w:val="-1"/>
        </w:rPr>
        <w:footnoteRef/>
      </w:r>
      <w:r w:rsidRPr="00111331">
        <w:rPr>
          <w:color w:val="000000" w:themeColor="text1"/>
          <w:spacing w:val="-1"/>
          <w:sz w:val="20"/>
        </w:rPr>
        <w:t xml:space="preserve"> </w:t>
      </w:r>
      <w:r w:rsidRPr="00111331">
        <w:rPr>
          <w:color w:val="000000" w:themeColor="text1"/>
          <w:spacing w:val="-1"/>
          <w:sz w:val="20"/>
        </w:rPr>
        <w:tab/>
      </w:r>
      <w:r w:rsidRPr="00111331">
        <w:rPr>
          <w:color w:val="000000" w:themeColor="text1"/>
          <w:spacing w:val="-1"/>
          <w:szCs w:val="26"/>
        </w:rPr>
        <w:t>In announcing only a general rule, we recognize that different forms of appellate review may apply in certain circumstances when a determination has been made by the trier of fact under the clear and convincing standard</w:t>
      </w:r>
      <w:r>
        <w:rPr>
          <w:color w:val="000000" w:themeColor="text1"/>
          <w:spacing w:val="-1"/>
          <w:szCs w:val="26"/>
        </w:rPr>
        <w:t xml:space="preserve"> of proof</w:t>
      </w:r>
      <w:r w:rsidRPr="00111331">
        <w:rPr>
          <w:color w:val="000000" w:themeColor="text1"/>
          <w:spacing w:val="-1"/>
          <w:szCs w:val="26"/>
        </w:rPr>
        <w:t xml:space="preserve">.  (See, e.g., </w:t>
      </w:r>
      <w:r w:rsidRPr="00111331">
        <w:rPr>
          <w:i/>
          <w:iCs/>
          <w:color w:val="000000" w:themeColor="text1"/>
          <w:spacing w:val="-1"/>
          <w:szCs w:val="26"/>
        </w:rPr>
        <w:t xml:space="preserve">McCoy v. Hearst Corp. </w:t>
      </w:r>
      <w:r w:rsidRPr="00111331">
        <w:rPr>
          <w:color w:val="000000" w:themeColor="text1"/>
          <w:spacing w:val="-1"/>
          <w:szCs w:val="26"/>
        </w:rPr>
        <w:t xml:space="preserve">(1986) 42 Cal.3d 835, 845-846 [discussing appellate review of findings of actual malice in defamation suits].) </w:t>
      </w:r>
    </w:p>
  </w:footnote>
  <w:footnote w:id="8">
    <w:p w14:paraId="3B505E2C" w14:textId="3CE93B78" w:rsidR="00CA7595" w:rsidRPr="00D42B2C" w:rsidRDefault="00CA7595" w:rsidP="0032641D">
      <w:pPr>
        <w:pStyle w:val="FootnoteText"/>
        <w:rPr>
          <w:color w:val="000000" w:themeColor="text1"/>
        </w:rPr>
      </w:pPr>
      <w:r w:rsidRPr="00D42B2C">
        <w:rPr>
          <w:rStyle w:val="FootnoteReference"/>
        </w:rPr>
        <w:footnoteRef/>
      </w:r>
      <w:r w:rsidRPr="00D42B2C">
        <w:rPr>
          <w:sz w:val="20"/>
        </w:rPr>
        <w:t xml:space="preserve"> </w:t>
      </w:r>
      <w:r w:rsidRPr="00D42B2C">
        <w:tab/>
        <w:t xml:space="preserve">Insofar as they are inconsistent with our holding, we also disapprove </w:t>
      </w:r>
      <w:r w:rsidRPr="00D42B2C">
        <w:rPr>
          <w:i/>
          <w:color w:val="000000" w:themeColor="text1"/>
        </w:rPr>
        <w:t>Ian J. v. Peter M</w:t>
      </w:r>
      <w:r w:rsidRPr="00D42B2C">
        <w:rPr>
          <w:color w:val="000000" w:themeColor="text1"/>
        </w:rPr>
        <w:t>.,</w:t>
      </w:r>
      <w:r w:rsidRPr="00D42B2C">
        <w:rPr>
          <w:i/>
          <w:color w:val="000000" w:themeColor="text1"/>
        </w:rPr>
        <w:t xml:space="preserve"> supra</w:t>
      </w:r>
      <w:r w:rsidRPr="00D42B2C">
        <w:rPr>
          <w:color w:val="000000" w:themeColor="text1"/>
        </w:rPr>
        <w:t>, 213 Cal.App.4th 189,</w:t>
      </w:r>
      <w:r w:rsidRPr="00D42B2C">
        <w:rPr>
          <w:shd w:val="clear" w:color="auto" w:fill="FFFFFF"/>
        </w:rPr>
        <w:t xml:space="preserve"> </w:t>
      </w:r>
      <w:r w:rsidRPr="00D42B2C">
        <w:rPr>
          <w:i/>
          <w:color w:val="000000" w:themeColor="text1"/>
        </w:rPr>
        <w:t>In re Marriage of Ruelas</w:t>
      </w:r>
      <w:r w:rsidRPr="00D42B2C">
        <w:rPr>
          <w:color w:val="000000" w:themeColor="text1"/>
        </w:rPr>
        <w:t>,</w:t>
      </w:r>
      <w:r w:rsidRPr="00D42B2C">
        <w:rPr>
          <w:i/>
          <w:color w:val="000000" w:themeColor="text1"/>
        </w:rPr>
        <w:t xml:space="preserve"> supra</w:t>
      </w:r>
      <w:r w:rsidRPr="00D42B2C">
        <w:rPr>
          <w:color w:val="000000" w:themeColor="text1"/>
        </w:rPr>
        <w:t xml:space="preserve">, 154 Cal.App.4th 339, </w:t>
      </w:r>
      <w:r w:rsidRPr="00D42B2C">
        <w:rPr>
          <w:i/>
          <w:shd w:val="clear" w:color="auto" w:fill="FFFFFF"/>
        </w:rPr>
        <w:t>In re Marriage of Murray</w:t>
      </w:r>
      <w:r w:rsidRPr="00D42B2C">
        <w:rPr>
          <w:shd w:val="clear" w:color="auto" w:fill="FFFFFF"/>
        </w:rPr>
        <w:t xml:space="preserve">, </w:t>
      </w:r>
      <w:r w:rsidRPr="00D42B2C">
        <w:rPr>
          <w:i/>
          <w:shd w:val="clear" w:color="auto" w:fill="FFFFFF"/>
        </w:rPr>
        <w:t>supra</w:t>
      </w:r>
      <w:r w:rsidRPr="00D42B2C">
        <w:rPr>
          <w:shd w:val="clear" w:color="auto" w:fill="FFFFFF"/>
        </w:rPr>
        <w:t xml:space="preserve">, 101 Cal.App.4th 581, </w:t>
      </w:r>
      <w:r w:rsidRPr="00D42B2C">
        <w:rPr>
          <w:color w:val="000000" w:themeColor="text1"/>
        </w:rPr>
        <w:t xml:space="preserve">and </w:t>
      </w:r>
      <w:r w:rsidRPr="00D42B2C">
        <w:rPr>
          <w:i/>
        </w:rPr>
        <w:t>Patrick v. Maryland Casualty Co.</w:t>
      </w:r>
      <w:r w:rsidRPr="00D42B2C">
        <w:t xml:space="preserve">, </w:t>
      </w:r>
      <w:r w:rsidRPr="00D42B2C">
        <w:rPr>
          <w:i/>
        </w:rPr>
        <w:t>supra</w:t>
      </w:r>
      <w:r w:rsidRPr="00D42B2C">
        <w:t xml:space="preserve">, 217 Cal.App.3d 1566, as well as the Court of Appeal decisions that have described the clear and convincing standard as disappearing on appeal: </w:t>
      </w:r>
      <w:r w:rsidRPr="00D42B2C">
        <w:rPr>
          <w:i/>
          <w:color w:val="000000" w:themeColor="text1"/>
        </w:rPr>
        <w:t>Morgan v. Davidson</w:t>
      </w:r>
      <w:r w:rsidRPr="00D42B2C">
        <w:rPr>
          <w:color w:val="000000" w:themeColor="text1"/>
        </w:rPr>
        <w:t xml:space="preserve">, </w:t>
      </w:r>
      <w:r w:rsidRPr="00D42B2C">
        <w:rPr>
          <w:i/>
          <w:color w:val="000000" w:themeColor="text1"/>
        </w:rPr>
        <w:t>supra</w:t>
      </w:r>
      <w:r w:rsidRPr="00D42B2C">
        <w:rPr>
          <w:color w:val="000000" w:themeColor="text1"/>
        </w:rPr>
        <w:t xml:space="preserve">, 29 Cal.App.5th 540; </w:t>
      </w:r>
      <w:r w:rsidRPr="00D42B2C">
        <w:rPr>
          <w:i/>
          <w:color w:val="000000" w:themeColor="text1"/>
        </w:rPr>
        <w:t>In re Alexzander C.</w:t>
      </w:r>
      <w:r w:rsidRPr="00D42B2C">
        <w:rPr>
          <w:color w:val="000000" w:themeColor="text1"/>
        </w:rPr>
        <w:t>,</w:t>
      </w:r>
      <w:r w:rsidRPr="00D42B2C">
        <w:rPr>
          <w:i/>
          <w:color w:val="000000" w:themeColor="text1"/>
        </w:rPr>
        <w:t xml:space="preserve"> supra</w:t>
      </w:r>
      <w:r w:rsidRPr="00D42B2C">
        <w:rPr>
          <w:color w:val="000000" w:themeColor="text1"/>
        </w:rPr>
        <w:t xml:space="preserve">, 18 Cal.App.5th 438; </w:t>
      </w:r>
      <w:r w:rsidRPr="00D42B2C">
        <w:rPr>
          <w:i/>
          <w:color w:val="000000" w:themeColor="text1"/>
        </w:rPr>
        <w:t>Parisi v. Mazzaferro</w:t>
      </w:r>
      <w:r w:rsidRPr="00D42B2C">
        <w:rPr>
          <w:color w:val="000000" w:themeColor="text1"/>
        </w:rPr>
        <w:t xml:space="preserve">, </w:t>
      </w:r>
      <w:r w:rsidRPr="00D42B2C">
        <w:rPr>
          <w:i/>
          <w:color w:val="000000" w:themeColor="text1"/>
        </w:rPr>
        <w:t>supra</w:t>
      </w:r>
      <w:r w:rsidRPr="00D42B2C">
        <w:rPr>
          <w:color w:val="000000" w:themeColor="text1"/>
        </w:rPr>
        <w:t xml:space="preserve">, 5 Cal.App.5th 1219; </w:t>
      </w:r>
      <w:r w:rsidRPr="00D42B2C">
        <w:rPr>
          <w:i/>
          <w:color w:val="000000" w:themeColor="text1"/>
        </w:rPr>
        <w:t>In re Z.G.</w:t>
      </w:r>
      <w:r w:rsidRPr="00D42B2C">
        <w:rPr>
          <w:color w:val="000000" w:themeColor="text1"/>
        </w:rPr>
        <w:t>,</w:t>
      </w:r>
      <w:r w:rsidRPr="00D42B2C">
        <w:rPr>
          <w:i/>
          <w:color w:val="000000" w:themeColor="text1"/>
        </w:rPr>
        <w:t xml:space="preserve"> supra</w:t>
      </w:r>
      <w:r w:rsidRPr="00D42B2C">
        <w:rPr>
          <w:color w:val="000000" w:themeColor="text1"/>
        </w:rPr>
        <w:t xml:space="preserve">, 5 Cal.App.5th 705; </w:t>
      </w:r>
      <w:r w:rsidRPr="00D42B2C">
        <w:rPr>
          <w:i/>
          <w:color w:val="000000" w:themeColor="text1"/>
        </w:rPr>
        <w:t>In re F.S.</w:t>
      </w:r>
      <w:r w:rsidRPr="00D42B2C">
        <w:rPr>
          <w:color w:val="000000" w:themeColor="text1"/>
        </w:rPr>
        <w:t xml:space="preserve">, </w:t>
      </w:r>
      <w:r w:rsidRPr="00D42B2C">
        <w:rPr>
          <w:i/>
          <w:color w:val="000000" w:themeColor="text1"/>
        </w:rPr>
        <w:t>supra</w:t>
      </w:r>
      <w:r w:rsidRPr="00D42B2C">
        <w:rPr>
          <w:color w:val="000000" w:themeColor="text1"/>
        </w:rPr>
        <w:t xml:space="preserve">, 243 Cal.App.4th 799; </w:t>
      </w:r>
      <w:r w:rsidRPr="00D42B2C">
        <w:rPr>
          <w:i/>
          <w:color w:val="000000" w:themeColor="text1"/>
        </w:rPr>
        <w:t>In re J.S.</w:t>
      </w:r>
      <w:r w:rsidRPr="00D42B2C">
        <w:rPr>
          <w:color w:val="000000" w:themeColor="text1"/>
        </w:rPr>
        <w:t>,</w:t>
      </w:r>
      <w:r w:rsidRPr="00D42B2C">
        <w:rPr>
          <w:i/>
          <w:color w:val="000000" w:themeColor="text1"/>
        </w:rPr>
        <w:t xml:space="preserve"> supra</w:t>
      </w:r>
      <w:r w:rsidRPr="00D42B2C">
        <w:rPr>
          <w:color w:val="000000" w:themeColor="text1"/>
        </w:rPr>
        <w:t xml:space="preserve">, 228 Cal.App.4th 1483; </w:t>
      </w:r>
      <w:r w:rsidRPr="00D42B2C">
        <w:rPr>
          <w:i/>
          <w:color w:val="000000" w:themeColor="text1"/>
        </w:rPr>
        <w:t>In re Marriage of E. &amp; Stephen P</w:t>
      </w:r>
      <w:r w:rsidRPr="00D42B2C">
        <w:rPr>
          <w:color w:val="000000" w:themeColor="text1"/>
        </w:rPr>
        <w:t>.,</w:t>
      </w:r>
      <w:r w:rsidRPr="00D42B2C">
        <w:rPr>
          <w:i/>
          <w:color w:val="000000" w:themeColor="text1"/>
        </w:rPr>
        <w:t xml:space="preserve"> supra</w:t>
      </w:r>
      <w:r w:rsidRPr="00D42B2C">
        <w:rPr>
          <w:color w:val="000000" w:themeColor="text1"/>
        </w:rPr>
        <w:t xml:space="preserve">, 213 Cal.App.4th 983; </w:t>
      </w:r>
      <w:r w:rsidRPr="00D42B2C">
        <w:rPr>
          <w:i/>
          <w:color w:val="000000" w:themeColor="text1"/>
        </w:rPr>
        <w:t>In re A.S.</w:t>
      </w:r>
      <w:r w:rsidRPr="00D42B2C">
        <w:rPr>
          <w:color w:val="000000" w:themeColor="text1"/>
        </w:rPr>
        <w:t>,</w:t>
      </w:r>
      <w:r w:rsidRPr="00D42B2C">
        <w:rPr>
          <w:i/>
          <w:color w:val="000000" w:themeColor="text1"/>
        </w:rPr>
        <w:t xml:space="preserve"> supra</w:t>
      </w:r>
      <w:r w:rsidRPr="00D42B2C">
        <w:rPr>
          <w:color w:val="000000" w:themeColor="text1"/>
        </w:rPr>
        <w:t>,  202 Cal.App.4th 237;</w:t>
      </w:r>
      <w:r w:rsidRPr="00D42B2C">
        <w:rPr>
          <w:i/>
          <w:color w:val="000000" w:themeColor="text1"/>
        </w:rPr>
        <w:t xml:space="preserve"> In re K.A.</w:t>
      </w:r>
      <w:r w:rsidRPr="00D42B2C">
        <w:rPr>
          <w:color w:val="000000" w:themeColor="text1"/>
        </w:rPr>
        <w:t>,</w:t>
      </w:r>
      <w:r w:rsidRPr="00D42B2C">
        <w:rPr>
          <w:i/>
          <w:color w:val="000000" w:themeColor="text1"/>
        </w:rPr>
        <w:t xml:space="preserve"> supra</w:t>
      </w:r>
      <w:r w:rsidRPr="00D42B2C">
        <w:rPr>
          <w:color w:val="000000" w:themeColor="text1"/>
        </w:rPr>
        <w:t xml:space="preserve">, 201 Cal.App.4th 905; </w:t>
      </w:r>
      <w:r w:rsidRPr="00D42B2C">
        <w:rPr>
          <w:i/>
          <w:color w:val="000000" w:themeColor="text1"/>
        </w:rPr>
        <w:t>In re Levi H.</w:t>
      </w:r>
      <w:r w:rsidRPr="00D42B2C">
        <w:rPr>
          <w:color w:val="000000" w:themeColor="text1"/>
        </w:rPr>
        <w:t>,</w:t>
      </w:r>
      <w:r w:rsidRPr="00D42B2C">
        <w:rPr>
          <w:i/>
          <w:color w:val="000000" w:themeColor="text1"/>
        </w:rPr>
        <w:t xml:space="preserve"> supra</w:t>
      </w:r>
      <w:r w:rsidRPr="00D42B2C">
        <w:rPr>
          <w:color w:val="000000" w:themeColor="text1"/>
        </w:rPr>
        <w:t xml:space="preserve">, 197 Cal.App.4th 1279; </w:t>
      </w:r>
      <w:r w:rsidRPr="00D42B2C">
        <w:rPr>
          <w:i/>
          <w:color w:val="000000" w:themeColor="text1"/>
        </w:rPr>
        <w:t>In re E.B.</w:t>
      </w:r>
      <w:r w:rsidRPr="00D42B2C">
        <w:rPr>
          <w:color w:val="000000" w:themeColor="text1"/>
        </w:rPr>
        <w:t>,</w:t>
      </w:r>
      <w:r w:rsidRPr="00D42B2C">
        <w:rPr>
          <w:i/>
          <w:color w:val="000000" w:themeColor="text1"/>
        </w:rPr>
        <w:t xml:space="preserve"> supra</w:t>
      </w:r>
      <w:r w:rsidRPr="00D42B2C">
        <w:rPr>
          <w:color w:val="000000" w:themeColor="text1"/>
        </w:rPr>
        <w:t>, 184</w:t>
      </w:r>
      <w:r w:rsidR="00A368C2">
        <w:rPr>
          <w:color w:val="000000" w:themeColor="text1"/>
        </w:rPr>
        <w:t> </w:t>
      </w:r>
      <w:r w:rsidRPr="00D42B2C">
        <w:rPr>
          <w:color w:val="000000" w:themeColor="text1"/>
        </w:rPr>
        <w:t xml:space="preserve">Cal.App.4th 568; </w:t>
      </w:r>
      <w:r w:rsidRPr="00D42B2C">
        <w:rPr>
          <w:i/>
          <w:color w:val="000000" w:themeColor="text1"/>
        </w:rPr>
        <w:t>In re I.W.</w:t>
      </w:r>
      <w:r w:rsidRPr="00D42B2C">
        <w:rPr>
          <w:color w:val="000000" w:themeColor="text1"/>
        </w:rPr>
        <w:t>,</w:t>
      </w:r>
      <w:r w:rsidRPr="00D42B2C">
        <w:rPr>
          <w:i/>
          <w:color w:val="000000" w:themeColor="text1"/>
        </w:rPr>
        <w:t xml:space="preserve"> supra</w:t>
      </w:r>
      <w:r w:rsidRPr="00D42B2C">
        <w:rPr>
          <w:color w:val="000000" w:themeColor="text1"/>
        </w:rPr>
        <w:t xml:space="preserve">, 180 Cal.App.4th 1517; </w:t>
      </w:r>
      <w:r w:rsidRPr="00D42B2C">
        <w:rPr>
          <w:i/>
          <w:color w:val="000000" w:themeColor="text1"/>
        </w:rPr>
        <w:t>In re Angelique C.</w:t>
      </w:r>
      <w:r w:rsidRPr="00D42B2C">
        <w:rPr>
          <w:color w:val="000000" w:themeColor="text1"/>
        </w:rPr>
        <w:t>,</w:t>
      </w:r>
      <w:r w:rsidRPr="00D42B2C">
        <w:rPr>
          <w:i/>
          <w:color w:val="000000" w:themeColor="text1"/>
        </w:rPr>
        <w:t xml:space="preserve"> supra</w:t>
      </w:r>
      <w:r w:rsidRPr="00D42B2C">
        <w:rPr>
          <w:color w:val="000000" w:themeColor="text1"/>
        </w:rPr>
        <w:t xml:space="preserve">, 113 Cal.App.4th 509; </w:t>
      </w:r>
      <w:r w:rsidRPr="00D42B2C">
        <w:rPr>
          <w:i/>
          <w:color w:val="000000" w:themeColor="text1"/>
        </w:rPr>
        <w:t>In re J.I.</w:t>
      </w:r>
      <w:r w:rsidRPr="00D42B2C">
        <w:rPr>
          <w:color w:val="000000" w:themeColor="text1"/>
        </w:rPr>
        <w:t>,</w:t>
      </w:r>
      <w:r w:rsidRPr="00D42B2C">
        <w:rPr>
          <w:i/>
          <w:color w:val="000000" w:themeColor="text1"/>
        </w:rPr>
        <w:t xml:space="preserve"> supra</w:t>
      </w:r>
      <w:r w:rsidRPr="00D42B2C">
        <w:rPr>
          <w:color w:val="000000" w:themeColor="text1"/>
        </w:rPr>
        <w:t>, 108</w:t>
      </w:r>
      <w:r w:rsidR="00A368C2">
        <w:rPr>
          <w:color w:val="000000" w:themeColor="text1"/>
        </w:rPr>
        <w:t> </w:t>
      </w:r>
      <w:r w:rsidRPr="00D42B2C">
        <w:rPr>
          <w:color w:val="000000" w:themeColor="text1"/>
        </w:rPr>
        <w:t xml:space="preserve">Cal.App.4th 903; </w:t>
      </w:r>
      <w:r w:rsidRPr="00D42B2C">
        <w:rPr>
          <w:i/>
          <w:color w:val="000000" w:themeColor="text1"/>
        </w:rPr>
        <w:t>In re Mark L.</w:t>
      </w:r>
      <w:r w:rsidRPr="00D42B2C">
        <w:rPr>
          <w:color w:val="000000" w:themeColor="text1"/>
        </w:rPr>
        <w:t>,</w:t>
      </w:r>
      <w:r w:rsidRPr="00D42B2C">
        <w:rPr>
          <w:i/>
          <w:color w:val="000000" w:themeColor="text1"/>
        </w:rPr>
        <w:t xml:space="preserve"> supra</w:t>
      </w:r>
      <w:r w:rsidRPr="00D42B2C">
        <w:rPr>
          <w:color w:val="000000" w:themeColor="text1"/>
        </w:rPr>
        <w:t xml:space="preserve">, 94 Cal.App.4th 573; </w:t>
      </w:r>
      <w:r w:rsidRPr="00D42B2C">
        <w:rPr>
          <w:i/>
          <w:color w:val="000000" w:themeColor="text1"/>
        </w:rPr>
        <w:t>Sheila S. v. Superior Court</w:t>
      </w:r>
      <w:r w:rsidRPr="00D42B2C">
        <w:rPr>
          <w:color w:val="000000" w:themeColor="text1"/>
        </w:rPr>
        <w:t>,</w:t>
      </w:r>
      <w:r w:rsidRPr="00D42B2C">
        <w:rPr>
          <w:i/>
          <w:color w:val="000000" w:themeColor="text1"/>
        </w:rPr>
        <w:t xml:space="preserve"> supra</w:t>
      </w:r>
      <w:r w:rsidRPr="00D42B2C">
        <w:rPr>
          <w:color w:val="000000" w:themeColor="text1"/>
        </w:rPr>
        <w:t xml:space="preserve">, 84 Cal.App.4th 872; and </w:t>
      </w:r>
      <w:r w:rsidRPr="00D42B2C">
        <w:rPr>
          <w:i/>
          <w:color w:val="000000" w:themeColor="text1"/>
        </w:rPr>
        <w:t>Ensworth v. Mullvain</w:t>
      </w:r>
      <w:r w:rsidRPr="00D42B2C">
        <w:rPr>
          <w:color w:val="000000" w:themeColor="text1"/>
        </w:rPr>
        <w:t>,</w:t>
      </w:r>
      <w:r w:rsidRPr="00D42B2C">
        <w:rPr>
          <w:i/>
          <w:color w:val="000000" w:themeColor="text1"/>
        </w:rPr>
        <w:t xml:space="preserve"> supra</w:t>
      </w:r>
      <w:r w:rsidRPr="00D42B2C">
        <w:rPr>
          <w:color w:val="000000" w:themeColor="text1"/>
        </w:rPr>
        <w:t xml:space="preserve">, 224 Cal.App.3d 1105.  </w:t>
      </w:r>
    </w:p>
    <w:p w14:paraId="15399820" w14:textId="0F27A452" w:rsidR="00CA7595" w:rsidRPr="00D42B2C" w:rsidRDefault="00CA7595" w:rsidP="0032641D">
      <w:pPr>
        <w:pStyle w:val="FootnoteText"/>
        <w:ind w:firstLine="720"/>
      </w:pPr>
      <w:r w:rsidRPr="00D42B2C">
        <w:rPr>
          <w:color w:val="000000" w:themeColor="text1"/>
        </w:rPr>
        <w:t>We also use this opportunity to comment upon another provision within the Witkin treatise’s discussion of appellate review of findings involving clear and convincing evidence.  After observing that “the clear and convincing test disappears” on appeal, the treatise adds that “</w:t>
      </w:r>
      <w:r w:rsidRPr="00D42B2C">
        <w:rPr>
          <w:shd w:val="clear" w:color="auto" w:fill="FFFFFF"/>
        </w:rPr>
        <w:t>[o]n appeal, the usual rule of conflicting evidence is applied, giving full effect to the respondent’s evidence, however slight, and disregarding the appellant’s evidence, however strong.”  (9 Witkin</w:t>
      </w:r>
      <w:r w:rsidR="008D630D" w:rsidRPr="00692BEA">
        <w:rPr>
          <w:szCs w:val="26"/>
          <w:shd w:val="clear" w:color="auto" w:fill="FFFFFF"/>
        </w:rPr>
        <w:t>, Cal.</w:t>
      </w:r>
      <w:r w:rsidRPr="00D42B2C">
        <w:rPr>
          <w:shd w:val="clear" w:color="auto" w:fill="FFFFFF"/>
        </w:rPr>
        <w:t xml:space="preserve"> Procedure, </w:t>
      </w:r>
      <w:r w:rsidRPr="00D42B2C">
        <w:rPr>
          <w:i/>
          <w:shd w:val="clear" w:color="auto" w:fill="FFFFFF"/>
        </w:rPr>
        <w:t>supra</w:t>
      </w:r>
      <w:r w:rsidRPr="00D42B2C">
        <w:rPr>
          <w:shd w:val="clear" w:color="auto" w:fill="FFFFFF"/>
        </w:rPr>
        <w:t>, Appeal, § 371, p. 428.)  It should be understood that even if conflicts in the evidence are viewed this way by a reviewing court, giving “full effect” to the respondent’s evidence, “however slight</w:t>
      </w:r>
      <w:r w:rsidRPr="00692BEA">
        <w:rPr>
          <w:szCs w:val="26"/>
          <w:shd w:val="clear" w:color="auto" w:fill="FFFFFF"/>
        </w:rPr>
        <w:t>”</w:t>
      </w:r>
      <w:r w:rsidR="008D630D" w:rsidRPr="00692BEA">
        <w:rPr>
          <w:szCs w:val="26"/>
          <w:shd w:val="clear" w:color="auto" w:fill="FFFFFF"/>
        </w:rPr>
        <w:t xml:space="preserve"> (</w:t>
      </w:r>
      <w:r w:rsidR="008D630D" w:rsidRPr="00692BEA">
        <w:rPr>
          <w:i/>
          <w:iCs/>
          <w:szCs w:val="26"/>
          <w:shd w:val="clear" w:color="auto" w:fill="FFFFFF"/>
        </w:rPr>
        <w:t>ibid</w:t>
      </w:r>
      <w:r w:rsidR="008D630D" w:rsidRPr="00692BEA">
        <w:rPr>
          <w:szCs w:val="26"/>
          <w:shd w:val="clear" w:color="auto" w:fill="FFFFFF"/>
        </w:rPr>
        <w:t>.),</w:t>
      </w:r>
      <w:r w:rsidRPr="00D42B2C">
        <w:rPr>
          <w:shd w:val="clear" w:color="auto" w:fill="FFFFFF"/>
        </w:rPr>
        <w:t xml:space="preserve"> does not necessarily mean that this evidence will amount to </w:t>
      </w:r>
      <w:r w:rsidRPr="00D42B2C">
        <w:rPr>
          <w:i/>
          <w:shd w:val="clear" w:color="auto" w:fill="FFFFFF"/>
        </w:rPr>
        <w:t>substantial</w:t>
      </w:r>
      <w:r w:rsidRPr="00D42B2C">
        <w:rPr>
          <w:shd w:val="clear" w:color="auto" w:fill="FFFFFF"/>
        </w:rPr>
        <w:t xml:space="preserve"> evidence of “ponderable legal significance” (</w:t>
      </w:r>
      <w:r w:rsidRPr="00D42B2C">
        <w:rPr>
          <w:i/>
        </w:rPr>
        <w:t>In re Teed’s Estate</w:t>
      </w:r>
      <w:r w:rsidRPr="00D42B2C">
        <w:t xml:space="preserve">, </w:t>
      </w:r>
      <w:r w:rsidRPr="00D42B2C">
        <w:rPr>
          <w:i/>
        </w:rPr>
        <w:t>supra</w:t>
      </w:r>
      <w:r w:rsidRPr="00D42B2C">
        <w:t>, 112</w:t>
      </w:r>
      <w:r w:rsidR="00A368C2">
        <w:t> </w:t>
      </w:r>
      <w:r w:rsidRPr="00D42B2C">
        <w:t xml:space="preserve">Cal.App.2d at p. 644) </w:t>
      </w:r>
      <w:r w:rsidR="00AF2567">
        <w:rPr>
          <w:shd w:val="clear" w:color="auto" w:fill="FFFFFF"/>
        </w:rPr>
        <w:t>which</w:t>
      </w:r>
      <w:r w:rsidRPr="00D42B2C">
        <w:rPr>
          <w:shd w:val="clear" w:color="auto" w:fill="FFFFFF"/>
        </w:rPr>
        <w:t xml:space="preserve"> reasonably could have been regarded as sufficient to establish a fact with the certainty required by the clear and convincing standard.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9335" w14:textId="0BF8F1F3" w:rsidR="00CA7595" w:rsidRDefault="00CD4BC0">
    <w:pPr>
      <w:pStyle w:val="Header"/>
    </w:pPr>
    <w:r>
      <w:t>CONSERVATORSHIP OF</w:t>
    </w:r>
    <w:r w:rsidR="00CA7595">
      <w:t xml:space="preserve"> O.B.</w:t>
    </w:r>
  </w:p>
  <w:p w14:paraId="6B06B360" w14:textId="074A4AA0" w:rsidR="00CA7595" w:rsidRDefault="00CA7595">
    <w:pPr>
      <w:pStyle w:val="Header"/>
    </w:pPr>
    <w:r>
      <w:t>Opinion of the Court by Cantil-Sakauye, C. J.</w:t>
    </w:r>
  </w:p>
  <w:p w14:paraId="481D9D8A" w14:textId="77777777" w:rsidR="00CA7595" w:rsidRDefault="00CA7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0786" w14:textId="77777777" w:rsidR="00092F81" w:rsidRDefault="00C33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696C" w14:textId="77777777" w:rsidR="00092F81" w:rsidRDefault="00C33A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D5D4" w14:textId="77777777" w:rsidR="00092F81" w:rsidRDefault="00C33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3B4"/>
    <w:multiLevelType w:val="hybridMultilevel"/>
    <w:tmpl w:val="E246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21E9B"/>
    <w:multiLevelType w:val="hybridMultilevel"/>
    <w:tmpl w:val="DE7A9196"/>
    <w:lvl w:ilvl="0" w:tplc="9EDC08A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5453AF"/>
    <w:multiLevelType w:val="hybridMultilevel"/>
    <w:tmpl w:val="6E1238B8"/>
    <w:lvl w:ilvl="0" w:tplc="E44CFE4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243597"/>
    <w:multiLevelType w:val="hybridMultilevel"/>
    <w:tmpl w:val="43F43694"/>
    <w:lvl w:ilvl="0" w:tplc="3028B6C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540BCC"/>
    <w:multiLevelType w:val="hybridMultilevel"/>
    <w:tmpl w:val="9AC26CE4"/>
    <w:lvl w:ilvl="0" w:tplc="B7A0F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E137F"/>
    <w:multiLevelType w:val="hybridMultilevel"/>
    <w:tmpl w:val="EF1A66A6"/>
    <w:lvl w:ilvl="0" w:tplc="0B200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85B3C"/>
    <w:multiLevelType w:val="hybridMultilevel"/>
    <w:tmpl w:val="8596524C"/>
    <w:lvl w:ilvl="0" w:tplc="F462E4AE">
      <w:start w:val="1"/>
      <w:numFmt w:val="decimal"/>
      <w:lvlText w:val="%1."/>
      <w:lvlJc w:val="left"/>
      <w:pPr>
        <w:ind w:left="720" w:hanging="360"/>
      </w:pPr>
      <w:rPr>
        <w:rFonts w:ascii="Times New Roman" w:hAnsi="Times New Roman"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9259F"/>
    <w:multiLevelType w:val="hybridMultilevel"/>
    <w:tmpl w:val="6C161CD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3"/>
  </w:num>
  <w:num w:numId="3">
    <w:abstractNumId w:val="0"/>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C1"/>
    <w:rsid w:val="000040A0"/>
    <w:rsid w:val="00004326"/>
    <w:rsid w:val="00007300"/>
    <w:rsid w:val="00014B66"/>
    <w:rsid w:val="000204AD"/>
    <w:rsid w:val="000248C4"/>
    <w:rsid w:val="00026A9C"/>
    <w:rsid w:val="0003017D"/>
    <w:rsid w:val="0003420E"/>
    <w:rsid w:val="000474FA"/>
    <w:rsid w:val="00050149"/>
    <w:rsid w:val="00050317"/>
    <w:rsid w:val="0005171E"/>
    <w:rsid w:val="0005539B"/>
    <w:rsid w:val="0005715F"/>
    <w:rsid w:val="00060A60"/>
    <w:rsid w:val="00062DB8"/>
    <w:rsid w:val="00067611"/>
    <w:rsid w:val="00072559"/>
    <w:rsid w:val="000831CB"/>
    <w:rsid w:val="00097573"/>
    <w:rsid w:val="000A59E4"/>
    <w:rsid w:val="000A6CCD"/>
    <w:rsid w:val="000B01B1"/>
    <w:rsid w:val="000B2AF6"/>
    <w:rsid w:val="000B6400"/>
    <w:rsid w:val="000C34B1"/>
    <w:rsid w:val="000C3915"/>
    <w:rsid w:val="000C3CCB"/>
    <w:rsid w:val="000C5F26"/>
    <w:rsid w:val="000C6E69"/>
    <w:rsid w:val="000C7147"/>
    <w:rsid w:val="000D6535"/>
    <w:rsid w:val="000E3528"/>
    <w:rsid w:val="000E56F7"/>
    <w:rsid w:val="000F06C0"/>
    <w:rsid w:val="000F0A6B"/>
    <w:rsid w:val="000F2145"/>
    <w:rsid w:val="000F29F5"/>
    <w:rsid w:val="000F30FF"/>
    <w:rsid w:val="000F5DFA"/>
    <w:rsid w:val="00100BB1"/>
    <w:rsid w:val="00105210"/>
    <w:rsid w:val="001078E2"/>
    <w:rsid w:val="001100EF"/>
    <w:rsid w:val="00110AFD"/>
    <w:rsid w:val="00111331"/>
    <w:rsid w:val="00114425"/>
    <w:rsid w:val="00115AAB"/>
    <w:rsid w:val="00117DD7"/>
    <w:rsid w:val="00122AE7"/>
    <w:rsid w:val="001253E1"/>
    <w:rsid w:val="0014137A"/>
    <w:rsid w:val="001441CF"/>
    <w:rsid w:val="00145E33"/>
    <w:rsid w:val="00160AC4"/>
    <w:rsid w:val="00173AEC"/>
    <w:rsid w:val="00180905"/>
    <w:rsid w:val="00184444"/>
    <w:rsid w:val="00184BCF"/>
    <w:rsid w:val="00193F09"/>
    <w:rsid w:val="00194810"/>
    <w:rsid w:val="00196847"/>
    <w:rsid w:val="00196E22"/>
    <w:rsid w:val="001A3317"/>
    <w:rsid w:val="001A417C"/>
    <w:rsid w:val="001A5706"/>
    <w:rsid w:val="001A5BC1"/>
    <w:rsid w:val="001A75DB"/>
    <w:rsid w:val="001B0E8C"/>
    <w:rsid w:val="001B1E9E"/>
    <w:rsid w:val="001B2F39"/>
    <w:rsid w:val="001B52BB"/>
    <w:rsid w:val="001C1994"/>
    <w:rsid w:val="001D3637"/>
    <w:rsid w:val="001D4FEC"/>
    <w:rsid w:val="001E4105"/>
    <w:rsid w:val="001E51B7"/>
    <w:rsid w:val="001F2035"/>
    <w:rsid w:val="001F3403"/>
    <w:rsid w:val="001F4D91"/>
    <w:rsid w:val="00202A8C"/>
    <w:rsid w:val="002036CD"/>
    <w:rsid w:val="00204812"/>
    <w:rsid w:val="0020518D"/>
    <w:rsid w:val="002056BC"/>
    <w:rsid w:val="0020672E"/>
    <w:rsid w:val="002170DA"/>
    <w:rsid w:val="00223930"/>
    <w:rsid w:val="00226DF8"/>
    <w:rsid w:val="00232F57"/>
    <w:rsid w:val="00235212"/>
    <w:rsid w:val="00236DAE"/>
    <w:rsid w:val="00237A64"/>
    <w:rsid w:val="0024218D"/>
    <w:rsid w:val="00244799"/>
    <w:rsid w:val="002459B5"/>
    <w:rsid w:val="002472C3"/>
    <w:rsid w:val="00247F06"/>
    <w:rsid w:val="00260618"/>
    <w:rsid w:val="00260D20"/>
    <w:rsid w:val="0026477A"/>
    <w:rsid w:val="002649B9"/>
    <w:rsid w:val="00264F43"/>
    <w:rsid w:val="00271700"/>
    <w:rsid w:val="00272999"/>
    <w:rsid w:val="002732DB"/>
    <w:rsid w:val="00273F36"/>
    <w:rsid w:val="00273FF9"/>
    <w:rsid w:val="00276D5D"/>
    <w:rsid w:val="00280D28"/>
    <w:rsid w:val="00282F66"/>
    <w:rsid w:val="00284B25"/>
    <w:rsid w:val="0029098E"/>
    <w:rsid w:val="00293FCD"/>
    <w:rsid w:val="002942E4"/>
    <w:rsid w:val="002970A2"/>
    <w:rsid w:val="002A10BC"/>
    <w:rsid w:val="002A24CB"/>
    <w:rsid w:val="002A42BF"/>
    <w:rsid w:val="002A473B"/>
    <w:rsid w:val="002A4BEA"/>
    <w:rsid w:val="002A5600"/>
    <w:rsid w:val="002A6FED"/>
    <w:rsid w:val="002B0A0E"/>
    <w:rsid w:val="002B7A25"/>
    <w:rsid w:val="002C10C6"/>
    <w:rsid w:val="002C5746"/>
    <w:rsid w:val="002C5F7E"/>
    <w:rsid w:val="002C60F5"/>
    <w:rsid w:val="002C6144"/>
    <w:rsid w:val="002D1157"/>
    <w:rsid w:val="002D47AA"/>
    <w:rsid w:val="002D515F"/>
    <w:rsid w:val="002D7AF3"/>
    <w:rsid w:val="002E006F"/>
    <w:rsid w:val="002E0310"/>
    <w:rsid w:val="002E112A"/>
    <w:rsid w:val="002E13AB"/>
    <w:rsid w:val="002E47C0"/>
    <w:rsid w:val="002E57B2"/>
    <w:rsid w:val="002E7395"/>
    <w:rsid w:val="002F31DA"/>
    <w:rsid w:val="002F6188"/>
    <w:rsid w:val="002F6B26"/>
    <w:rsid w:val="00300DAE"/>
    <w:rsid w:val="00303DC1"/>
    <w:rsid w:val="00307B1E"/>
    <w:rsid w:val="00310546"/>
    <w:rsid w:val="00320DC7"/>
    <w:rsid w:val="003220BC"/>
    <w:rsid w:val="0032641D"/>
    <w:rsid w:val="00330331"/>
    <w:rsid w:val="00330AAC"/>
    <w:rsid w:val="003401C6"/>
    <w:rsid w:val="00340916"/>
    <w:rsid w:val="00341E32"/>
    <w:rsid w:val="003436DC"/>
    <w:rsid w:val="0035104F"/>
    <w:rsid w:val="003522B9"/>
    <w:rsid w:val="00354012"/>
    <w:rsid w:val="003608EC"/>
    <w:rsid w:val="0036139C"/>
    <w:rsid w:val="0036357F"/>
    <w:rsid w:val="00365F68"/>
    <w:rsid w:val="003670B1"/>
    <w:rsid w:val="00371DD9"/>
    <w:rsid w:val="003725DC"/>
    <w:rsid w:val="003741F6"/>
    <w:rsid w:val="00375B89"/>
    <w:rsid w:val="0037600C"/>
    <w:rsid w:val="003859F3"/>
    <w:rsid w:val="0039022F"/>
    <w:rsid w:val="00394254"/>
    <w:rsid w:val="003A178E"/>
    <w:rsid w:val="003A1B8E"/>
    <w:rsid w:val="003A66BC"/>
    <w:rsid w:val="003A6DD3"/>
    <w:rsid w:val="003B1E69"/>
    <w:rsid w:val="003B330F"/>
    <w:rsid w:val="003B4F4E"/>
    <w:rsid w:val="003B5FAD"/>
    <w:rsid w:val="003C2FEB"/>
    <w:rsid w:val="003C41D8"/>
    <w:rsid w:val="003C4469"/>
    <w:rsid w:val="003C4855"/>
    <w:rsid w:val="003C5C51"/>
    <w:rsid w:val="003D283D"/>
    <w:rsid w:val="003D403E"/>
    <w:rsid w:val="003E05C0"/>
    <w:rsid w:val="003E0A3C"/>
    <w:rsid w:val="003E0B25"/>
    <w:rsid w:val="003E3B60"/>
    <w:rsid w:val="003E3E57"/>
    <w:rsid w:val="003E5F6A"/>
    <w:rsid w:val="003F4F05"/>
    <w:rsid w:val="003F6377"/>
    <w:rsid w:val="003F6E97"/>
    <w:rsid w:val="004001EE"/>
    <w:rsid w:val="00402693"/>
    <w:rsid w:val="004128A8"/>
    <w:rsid w:val="00413841"/>
    <w:rsid w:val="004174E2"/>
    <w:rsid w:val="00421354"/>
    <w:rsid w:val="00426835"/>
    <w:rsid w:val="004349A5"/>
    <w:rsid w:val="004363BC"/>
    <w:rsid w:val="004428E3"/>
    <w:rsid w:val="004436CD"/>
    <w:rsid w:val="00454300"/>
    <w:rsid w:val="00461D47"/>
    <w:rsid w:val="00462AC2"/>
    <w:rsid w:val="004649AA"/>
    <w:rsid w:val="00466894"/>
    <w:rsid w:val="00466E54"/>
    <w:rsid w:val="004675B9"/>
    <w:rsid w:val="00470131"/>
    <w:rsid w:val="00471F05"/>
    <w:rsid w:val="00472C38"/>
    <w:rsid w:val="00475E1C"/>
    <w:rsid w:val="00490A39"/>
    <w:rsid w:val="0049136A"/>
    <w:rsid w:val="00493269"/>
    <w:rsid w:val="00493B3C"/>
    <w:rsid w:val="004968D5"/>
    <w:rsid w:val="004968D8"/>
    <w:rsid w:val="004A6E53"/>
    <w:rsid w:val="004A7A79"/>
    <w:rsid w:val="004B1737"/>
    <w:rsid w:val="004B2664"/>
    <w:rsid w:val="004B3EA5"/>
    <w:rsid w:val="004B3F76"/>
    <w:rsid w:val="004C07A3"/>
    <w:rsid w:val="004C1563"/>
    <w:rsid w:val="004C1825"/>
    <w:rsid w:val="004C383D"/>
    <w:rsid w:val="004E3474"/>
    <w:rsid w:val="004E7B31"/>
    <w:rsid w:val="004F2574"/>
    <w:rsid w:val="004F465C"/>
    <w:rsid w:val="00501D7C"/>
    <w:rsid w:val="005033BF"/>
    <w:rsid w:val="00513C0F"/>
    <w:rsid w:val="005206E0"/>
    <w:rsid w:val="00525837"/>
    <w:rsid w:val="0052604E"/>
    <w:rsid w:val="005269A8"/>
    <w:rsid w:val="00530E84"/>
    <w:rsid w:val="00543777"/>
    <w:rsid w:val="0055060D"/>
    <w:rsid w:val="005550BD"/>
    <w:rsid w:val="00555EE5"/>
    <w:rsid w:val="005634E7"/>
    <w:rsid w:val="0056498C"/>
    <w:rsid w:val="00566989"/>
    <w:rsid w:val="005713D1"/>
    <w:rsid w:val="005760E1"/>
    <w:rsid w:val="00576448"/>
    <w:rsid w:val="00581897"/>
    <w:rsid w:val="00581AF1"/>
    <w:rsid w:val="00585ACE"/>
    <w:rsid w:val="00592498"/>
    <w:rsid w:val="005A110F"/>
    <w:rsid w:val="005A2B67"/>
    <w:rsid w:val="005B5BE8"/>
    <w:rsid w:val="005B6410"/>
    <w:rsid w:val="005B761C"/>
    <w:rsid w:val="005C1DF9"/>
    <w:rsid w:val="005C1F13"/>
    <w:rsid w:val="005C4B16"/>
    <w:rsid w:val="005C539D"/>
    <w:rsid w:val="005C605E"/>
    <w:rsid w:val="005D11F0"/>
    <w:rsid w:val="005D52C6"/>
    <w:rsid w:val="005D6066"/>
    <w:rsid w:val="005E22F7"/>
    <w:rsid w:val="005E26B0"/>
    <w:rsid w:val="005E358B"/>
    <w:rsid w:val="005E6183"/>
    <w:rsid w:val="005F6C40"/>
    <w:rsid w:val="00602052"/>
    <w:rsid w:val="00603A08"/>
    <w:rsid w:val="006041BF"/>
    <w:rsid w:val="00611F7E"/>
    <w:rsid w:val="00613D6C"/>
    <w:rsid w:val="00613E4C"/>
    <w:rsid w:val="00614405"/>
    <w:rsid w:val="00620598"/>
    <w:rsid w:val="00622DE5"/>
    <w:rsid w:val="00627361"/>
    <w:rsid w:val="00632755"/>
    <w:rsid w:val="00641486"/>
    <w:rsid w:val="00643E11"/>
    <w:rsid w:val="00646386"/>
    <w:rsid w:val="006506B9"/>
    <w:rsid w:val="00650737"/>
    <w:rsid w:val="00650CA0"/>
    <w:rsid w:val="006527D9"/>
    <w:rsid w:val="00653629"/>
    <w:rsid w:val="0065423D"/>
    <w:rsid w:val="006606FC"/>
    <w:rsid w:val="00663009"/>
    <w:rsid w:val="0066340D"/>
    <w:rsid w:val="00665B14"/>
    <w:rsid w:val="00681EE2"/>
    <w:rsid w:val="00682692"/>
    <w:rsid w:val="0068433C"/>
    <w:rsid w:val="00692BEA"/>
    <w:rsid w:val="006941C7"/>
    <w:rsid w:val="00694479"/>
    <w:rsid w:val="006A284F"/>
    <w:rsid w:val="006A32AD"/>
    <w:rsid w:val="006B33F3"/>
    <w:rsid w:val="006B3E78"/>
    <w:rsid w:val="006B4AD8"/>
    <w:rsid w:val="006B5B13"/>
    <w:rsid w:val="006B5E67"/>
    <w:rsid w:val="006B6E90"/>
    <w:rsid w:val="006C217F"/>
    <w:rsid w:val="006C6E4E"/>
    <w:rsid w:val="006D31E1"/>
    <w:rsid w:val="006E2507"/>
    <w:rsid w:val="006E4C44"/>
    <w:rsid w:val="006E6D97"/>
    <w:rsid w:val="006F075A"/>
    <w:rsid w:val="006F0D68"/>
    <w:rsid w:val="006F182C"/>
    <w:rsid w:val="006F46E0"/>
    <w:rsid w:val="006F6AD8"/>
    <w:rsid w:val="00705110"/>
    <w:rsid w:val="00705EA3"/>
    <w:rsid w:val="0071121F"/>
    <w:rsid w:val="00712E28"/>
    <w:rsid w:val="00713AD7"/>
    <w:rsid w:val="0072174D"/>
    <w:rsid w:val="0072602C"/>
    <w:rsid w:val="00730887"/>
    <w:rsid w:val="00733FCC"/>
    <w:rsid w:val="00734640"/>
    <w:rsid w:val="007371DF"/>
    <w:rsid w:val="00741433"/>
    <w:rsid w:val="00742D0A"/>
    <w:rsid w:val="007435F2"/>
    <w:rsid w:val="00744A7B"/>
    <w:rsid w:val="00750029"/>
    <w:rsid w:val="00752EFA"/>
    <w:rsid w:val="007630EA"/>
    <w:rsid w:val="00764028"/>
    <w:rsid w:val="00765DCD"/>
    <w:rsid w:val="00770D6E"/>
    <w:rsid w:val="0077678B"/>
    <w:rsid w:val="00792667"/>
    <w:rsid w:val="0079307E"/>
    <w:rsid w:val="007A0042"/>
    <w:rsid w:val="007A25C5"/>
    <w:rsid w:val="007B71C7"/>
    <w:rsid w:val="007C021D"/>
    <w:rsid w:val="007C06AC"/>
    <w:rsid w:val="007D533A"/>
    <w:rsid w:val="007D687E"/>
    <w:rsid w:val="007D6C01"/>
    <w:rsid w:val="007D78F3"/>
    <w:rsid w:val="007E046E"/>
    <w:rsid w:val="007E0A6B"/>
    <w:rsid w:val="007E3250"/>
    <w:rsid w:val="007E3BBC"/>
    <w:rsid w:val="007E4F3B"/>
    <w:rsid w:val="007F1BD8"/>
    <w:rsid w:val="0080369B"/>
    <w:rsid w:val="00803F74"/>
    <w:rsid w:val="0082033E"/>
    <w:rsid w:val="00824839"/>
    <w:rsid w:val="0082498B"/>
    <w:rsid w:val="00824BA8"/>
    <w:rsid w:val="00831A56"/>
    <w:rsid w:val="008334EF"/>
    <w:rsid w:val="00836380"/>
    <w:rsid w:val="00846611"/>
    <w:rsid w:val="00857784"/>
    <w:rsid w:val="0086091D"/>
    <w:rsid w:val="008662E3"/>
    <w:rsid w:val="0087302C"/>
    <w:rsid w:val="008767B3"/>
    <w:rsid w:val="00883E4B"/>
    <w:rsid w:val="00883FAF"/>
    <w:rsid w:val="008935D9"/>
    <w:rsid w:val="00895CA5"/>
    <w:rsid w:val="008A06C5"/>
    <w:rsid w:val="008A5F43"/>
    <w:rsid w:val="008B49F6"/>
    <w:rsid w:val="008C0460"/>
    <w:rsid w:val="008C0B18"/>
    <w:rsid w:val="008C0DB8"/>
    <w:rsid w:val="008C434A"/>
    <w:rsid w:val="008C6544"/>
    <w:rsid w:val="008D103A"/>
    <w:rsid w:val="008D1831"/>
    <w:rsid w:val="008D18C6"/>
    <w:rsid w:val="008D5104"/>
    <w:rsid w:val="008D630D"/>
    <w:rsid w:val="008E3DBE"/>
    <w:rsid w:val="008E40B0"/>
    <w:rsid w:val="008E46CD"/>
    <w:rsid w:val="008F2018"/>
    <w:rsid w:val="008F354A"/>
    <w:rsid w:val="008F36CC"/>
    <w:rsid w:val="008F3DD7"/>
    <w:rsid w:val="008F46DD"/>
    <w:rsid w:val="008F6A52"/>
    <w:rsid w:val="008F7B1B"/>
    <w:rsid w:val="00904636"/>
    <w:rsid w:val="00905F0D"/>
    <w:rsid w:val="00911A2E"/>
    <w:rsid w:val="00912514"/>
    <w:rsid w:val="00921338"/>
    <w:rsid w:val="00923B1F"/>
    <w:rsid w:val="009360C6"/>
    <w:rsid w:val="00937544"/>
    <w:rsid w:val="009422CC"/>
    <w:rsid w:val="0096235C"/>
    <w:rsid w:val="00963FC5"/>
    <w:rsid w:val="00964427"/>
    <w:rsid w:val="00964A2C"/>
    <w:rsid w:val="00965C52"/>
    <w:rsid w:val="00970787"/>
    <w:rsid w:val="00977E24"/>
    <w:rsid w:val="0099417D"/>
    <w:rsid w:val="00996286"/>
    <w:rsid w:val="009A0316"/>
    <w:rsid w:val="009A22DA"/>
    <w:rsid w:val="009A69E8"/>
    <w:rsid w:val="009B1B67"/>
    <w:rsid w:val="009B28F9"/>
    <w:rsid w:val="009C25BD"/>
    <w:rsid w:val="009C7C74"/>
    <w:rsid w:val="009D13F3"/>
    <w:rsid w:val="009D2D90"/>
    <w:rsid w:val="009D3AFF"/>
    <w:rsid w:val="009D42E2"/>
    <w:rsid w:val="009D6E0D"/>
    <w:rsid w:val="009E178A"/>
    <w:rsid w:val="009E3329"/>
    <w:rsid w:val="009E5BEA"/>
    <w:rsid w:val="009F02F0"/>
    <w:rsid w:val="009F4102"/>
    <w:rsid w:val="009F5F6F"/>
    <w:rsid w:val="00A012AD"/>
    <w:rsid w:val="00A05747"/>
    <w:rsid w:val="00A10340"/>
    <w:rsid w:val="00A20B1B"/>
    <w:rsid w:val="00A25124"/>
    <w:rsid w:val="00A25E76"/>
    <w:rsid w:val="00A263E1"/>
    <w:rsid w:val="00A336EB"/>
    <w:rsid w:val="00A368C2"/>
    <w:rsid w:val="00A41B43"/>
    <w:rsid w:val="00A42074"/>
    <w:rsid w:val="00A44923"/>
    <w:rsid w:val="00A44EBF"/>
    <w:rsid w:val="00A45457"/>
    <w:rsid w:val="00A5167C"/>
    <w:rsid w:val="00A5240A"/>
    <w:rsid w:val="00A60072"/>
    <w:rsid w:val="00A63823"/>
    <w:rsid w:val="00A6498C"/>
    <w:rsid w:val="00A67D4E"/>
    <w:rsid w:val="00A70692"/>
    <w:rsid w:val="00A7160E"/>
    <w:rsid w:val="00A7785F"/>
    <w:rsid w:val="00A8021F"/>
    <w:rsid w:val="00A80F65"/>
    <w:rsid w:val="00A85845"/>
    <w:rsid w:val="00A8620F"/>
    <w:rsid w:val="00A92B7B"/>
    <w:rsid w:val="00A92F16"/>
    <w:rsid w:val="00A94C63"/>
    <w:rsid w:val="00A95E38"/>
    <w:rsid w:val="00AA24C7"/>
    <w:rsid w:val="00AA2841"/>
    <w:rsid w:val="00AA6954"/>
    <w:rsid w:val="00AA79E7"/>
    <w:rsid w:val="00AB1D4F"/>
    <w:rsid w:val="00AB6C81"/>
    <w:rsid w:val="00AC4964"/>
    <w:rsid w:val="00AC4C3D"/>
    <w:rsid w:val="00AD73CE"/>
    <w:rsid w:val="00AF2567"/>
    <w:rsid w:val="00AF3055"/>
    <w:rsid w:val="00AF31C3"/>
    <w:rsid w:val="00AF4DFD"/>
    <w:rsid w:val="00AF7E38"/>
    <w:rsid w:val="00B0000A"/>
    <w:rsid w:val="00B03F31"/>
    <w:rsid w:val="00B05768"/>
    <w:rsid w:val="00B07892"/>
    <w:rsid w:val="00B14A5C"/>
    <w:rsid w:val="00B15A39"/>
    <w:rsid w:val="00B1742C"/>
    <w:rsid w:val="00B17932"/>
    <w:rsid w:val="00B22E42"/>
    <w:rsid w:val="00B23B41"/>
    <w:rsid w:val="00B254D7"/>
    <w:rsid w:val="00B27AB8"/>
    <w:rsid w:val="00B31315"/>
    <w:rsid w:val="00B37786"/>
    <w:rsid w:val="00B4121D"/>
    <w:rsid w:val="00B41704"/>
    <w:rsid w:val="00B4312E"/>
    <w:rsid w:val="00B46FCE"/>
    <w:rsid w:val="00B508CD"/>
    <w:rsid w:val="00B534EC"/>
    <w:rsid w:val="00B54FFA"/>
    <w:rsid w:val="00B560DD"/>
    <w:rsid w:val="00B567AF"/>
    <w:rsid w:val="00B632FA"/>
    <w:rsid w:val="00B722D8"/>
    <w:rsid w:val="00B728FF"/>
    <w:rsid w:val="00B824E6"/>
    <w:rsid w:val="00B824FE"/>
    <w:rsid w:val="00B83388"/>
    <w:rsid w:val="00B94C97"/>
    <w:rsid w:val="00BA032B"/>
    <w:rsid w:val="00BB18B6"/>
    <w:rsid w:val="00BB4F3C"/>
    <w:rsid w:val="00BB690C"/>
    <w:rsid w:val="00BC00B3"/>
    <w:rsid w:val="00BD22DF"/>
    <w:rsid w:val="00BD789E"/>
    <w:rsid w:val="00BE0C14"/>
    <w:rsid w:val="00BE3B8C"/>
    <w:rsid w:val="00BE696D"/>
    <w:rsid w:val="00BE71ED"/>
    <w:rsid w:val="00BF05C9"/>
    <w:rsid w:val="00BF26F2"/>
    <w:rsid w:val="00BF2C14"/>
    <w:rsid w:val="00BF2D40"/>
    <w:rsid w:val="00BF3E17"/>
    <w:rsid w:val="00BF463C"/>
    <w:rsid w:val="00BF4983"/>
    <w:rsid w:val="00BF5E39"/>
    <w:rsid w:val="00BF68E2"/>
    <w:rsid w:val="00C0350A"/>
    <w:rsid w:val="00C11B0B"/>
    <w:rsid w:val="00C1218E"/>
    <w:rsid w:val="00C1533C"/>
    <w:rsid w:val="00C172F2"/>
    <w:rsid w:val="00C200BC"/>
    <w:rsid w:val="00C2291E"/>
    <w:rsid w:val="00C24797"/>
    <w:rsid w:val="00C25BCC"/>
    <w:rsid w:val="00C26211"/>
    <w:rsid w:val="00C26773"/>
    <w:rsid w:val="00C33A2E"/>
    <w:rsid w:val="00C405DA"/>
    <w:rsid w:val="00C473F2"/>
    <w:rsid w:val="00C551DB"/>
    <w:rsid w:val="00C56FC1"/>
    <w:rsid w:val="00C575EF"/>
    <w:rsid w:val="00C61E62"/>
    <w:rsid w:val="00C75F18"/>
    <w:rsid w:val="00C8145D"/>
    <w:rsid w:val="00C8170B"/>
    <w:rsid w:val="00C81738"/>
    <w:rsid w:val="00C9087D"/>
    <w:rsid w:val="00C91DE9"/>
    <w:rsid w:val="00CA0547"/>
    <w:rsid w:val="00CA45A6"/>
    <w:rsid w:val="00CA7595"/>
    <w:rsid w:val="00CB14C2"/>
    <w:rsid w:val="00CB2231"/>
    <w:rsid w:val="00CB370F"/>
    <w:rsid w:val="00CB40A5"/>
    <w:rsid w:val="00CB42E5"/>
    <w:rsid w:val="00CB60D5"/>
    <w:rsid w:val="00CB64D1"/>
    <w:rsid w:val="00CC3CF5"/>
    <w:rsid w:val="00CD0958"/>
    <w:rsid w:val="00CD3C2F"/>
    <w:rsid w:val="00CD4BC0"/>
    <w:rsid w:val="00CD70F9"/>
    <w:rsid w:val="00CE25F7"/>
    <w:rsid w:val="00CF07B5"/>
    <w:rsid w:val="00CF1EF3"/>
    <w:rsid w:val="00CF7800"/>
    <w:rsid w:val="00D009DC"/>
    <w:rsid w:val="00D016A1"/>
    <w:rsid w:val="00D02933"/>
    <w:rsid w:val="00D03E8C"/>
    <w:rsid w:val="00D17FA9"/>
    <w:rsid w:val="00D21106"/>
    <w:rsid w:val="00D21B45"/>
    <w:rsid w:val="00D21C5C"/>
    <w:rsid w:val="00D25653"/>
    <w:rsid w:val="00D26836"/>
    <w:rsid w:val="00D3052A"/>
    <w:rsid w:val="00D37402"/>
    <w:rsid w:val="00D40ACA"/>
    <w:rsid w:val="00D4186E"/>
    <w:rsid w:val="00D42B2C"/>
    <w:rsid w:val="00D43F41"/>
    <w:rsid w:val="00D567B9"/>
    <w:rsid w:val="00D67E06"/>
    <w:rsid w:val="00D71E4C"/>
    <w:rsid w:val="00D72B36"/>
    <w:rsid w:val="00D7442F"/>
    <w:rsid w:val="00D7666B"/>
    <w:rsid w:val="00D76AE6"/>
    <w:rsid w:val="00D8214C"/>
    <w:rsid w:val="00D830FF"/>
    <w:rsid w:val="00D84C46"/>
    <w:rsid w:val="00D86A8C"/>
    <w:rsid w:val="00D933C9"/>
    <w:rsid w:val="00D95021"/>
    <w:rsid w:val="00DA178B"/>
    <w:rsid w:val="00DA36F0"/>
    <w:rsid w:val="00DB0364"/>
    <w:rsid w:val="00DB5D17"/>
    <w:rsid w:val="00DD0308"/>
    <w:rsid w:val="00DD0D01"/>
    <w:rsid w:val="00DD3B3C"/>
    <w:rsid w:val="00DD5DD4"/>
    <w:rsid w:val="00DE2275"/>
    <w:rsid w:val="00DE340A"/>
    <w:rsid w:val="00DE4089"/>
    <w:rsid w:val="00DE4450"/>
    <w:rsid w:val="00DE5916"/>
    <w:rsid w:val="00DE63DC"/>
    <w:rsid w:val="00E02C8E"/>
    <w:rsid w:val="00E05477"/>
    <w:rsid w:val="00E07D87"/>
    <w:rsid w:val="00E11DF4"/>
    <w:rsid w:val="00E1502E"/>
    <w:rsid w:val="00E2273E"/>
    <w:rsid w:val="00E2737A"/>
    <w:rsid w:val="00E3244B"/>
    <w:rsid w:val="00E34830"/>
    <w:rsid w:val="00E35C51"/>
    <w:rsid w:val="00E361AE"/>
    <w:rsid w:val="00E40111"/>
    <w:rsid w:val="00E45C1B"/>
    <w:rsid w:val="00E50203"/>
    <w:rsid w:val="00E51377"/>
    <w:rsid w:val="00E524C0"/>
    <w:rsid w:val="00E52AFA"/>
    <w:rsid w:val="00E606C5"/>
    <w:rsid w:val="00E626AE"/>
    <w:rsid w:val="00E6284A"/>
    <w:rsid w:val="00E63714"/>
    <w:rsid w:val="00E6773D"/>
    <w:rsid w:val="00E67CAB"/>
    <w:rsid w:val="00E70097"/>
    <w:rsid w:val="00E72F8E"/>
    <w:rsid w:val="00E83083"/>
    <w:rsid w:val="00E8738C"/>
    <w:rsid w:val="00E87606"/>
    <w:rsid w:val="00E92A17"/>
    <w:rsid w:val="00E95B23"/>
    <w:rsid w:val="00E9608D"/>
    <w:rsid w:val="00EA4CDE"/>
    <w:rsid w:val="00EA55D5"/>
    <w:rsid w:val="00EA598C"/>
    <w:rsid w:val="00EA60CF"/>
    <w:rsid w:val="00EB0427"/>
    <w:rsid w:val="00EB43D3"/>
    <w:rsid w:val="00EB5E5F"/>
    <w:rsid w:val="00EC68FC"/>
    <w:rsid w:val="00ED18A0"/>
    <w:rsid w:val="00ED2F19"/>
    <w:rsid w:val="00ED76B0"/>
    <w:rsid w:val="00EF0CC1"/>
    <w:rsid w:val="00EF2906"/>
    <w:rsid w:val="00EF6445"/>
    <w:rsid w:val="00EF68A1"/>
    <w:rsid w:val="00F01FCE"/>
    <w:rsid w:val="00F0389A"/>
    <w:rsid w:val="00F04E89"/>
    <w:rsid w:val="00F057AF"/>
    <w:rsid w:val="00F10E8D"/>
    <w:rsid w:val="00F20950"/>
    <w:rsid w:val="00F334CB"/>
    <w:rsid w:val="00F34411"/>
    <w:rsid w:val="00F35AB4"/>
    <w:rsid w:val="00F42202"/>
    <w:rsid w:val="00F459EB"/>
    <w:rsid w:val="00F45A8B"/>
    <w:rsid w:val="00F4711F"/>
    <w:rsid w:val="00F50609"/>
    <w:rsid w:val="00F508DA"/>
    <w:rsid w:val="00F511F1"/>
    <w:rsid w:val="00F54080"/>
    <w:rsid w:val="00F54B81"/>
    <w:rsid w:val="00F57F50"/>
    <w:rsid w:val="00F64A93"/>
    <w:rsid w:val="00F64B9B"/>
    <w:rsid w:val="00F64E19"/>
    <w:rsid w:val="00F679C4"/>
    <w:rsid w:val="00F71FDF"/>
    <w:rsid w:val="00F73398"/>
    <w:rsid w:val="00F73DEC"/>
    <w:rsid w:val="00F73EDC"/>
    <w:rsid w:val="00F747E0"/>
    <w:rsid w:val="00F75102"/>
    <w:rsid w:val="00F751CD"/>
    <w:rsid w:val="00F776FE"/>
    <w:rsid w:val="00F77A88"/>
    <w:rsid w:val="00F81255"/>
    <w:rsid w:val="00F824AE"/>
    <w:rsid w:val="00FA4430"/>
    <w:rsid w:val="00FA4B85"/>
    <w:rsid w:val="00FB00F0"/>
    <w:rsid w:val="00FB109D"/>
    <w:rsid w:val="00FB1E7B"/>
    <w:rsid w:val="00FB3D24"/>
    <w:rsid w:val="00FB6755"/>
    <w:rsid w:val="00FB7464"/>
    <w:rsid w:val="00FB7CF7"/>
    <w:rsid w:val="00FD28FC"/>
    <w:rsid w:val="00FD62B4"/>
    <w:rsid w:val="00FD6C07"/>
    <w:rsid w:val="00FE12B1"/>
    <w:rsid w:val="00FE4E6E"/>
    <w:rsid w:val="00FE7265"/>
    <w:rsid w:val="00FF026F"/>
    <w:rsid w:val="00FF260D"/>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05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D8"/>
    <w:pPr>
      <w:spacing w:after="100" w:line="400" w:lineRule="exact"/>
      <w:jc w:val="both"/>
    </w:pPr>
    <w:rPr>
      <w:rFonts w:ascii="Century Schoolbook" w:hAnsi="Century Schoolbook"/>
      <w:sz w:val="27"/>
    </w:rPr>
  </w:style>
  <w:style w:type="paragraph" w:styleId="Heading1">
    <w:name w:val="heading 1"/>
    <w:basedOn w:val="Normal"/>
    <w:next w:val="Normal"/>
    <w:qFormat/>
    <w:rsid w:val="007F1BD8"/>
    <w:pPr>
      <w:keepNext/>
      <w:spacing w:before="140" w:line="240" w:lineRule="atLeast"/>
      <w:jc w:val="center"/>
      <w:outlineLvl w:val="0"/>
    </w:pPr>
    <w:rPr>
      <w:b/>
      <w:smallCaps/>
    </w:rPr>
  </w:style>
  <w:style w:type="paragraph" w:styleId="Heading2">
    <w:name w:val="heading 2"/>
    <w:basedOn w:val="Normal"/>
    <w:next w:val="Normal"/>
    <w:qFormat/>
    <w:rsid w:val="007F1BD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F1BD8"/>
    <w:pPr>
      <w:keepNext/>
      <w:tabs>
        <w:tab w:val="left" w:pos="1584"/>
      </w:tabs>
      <w:spacing w:before="140" w:line="240" w:lineRule="atLeast"/>
      <w:ind w:left="1584" w:hanging="432"/>
      <w:jc w:val="left"/>
      <w:outlineLvl w:val="2"/>
    </w:pPr>
    <w:rPr>
      <w:i/>
    </w:rPr>
  </w:style>
  <w:style w:type="paragraph" w:styleId="Heading4">
    <w:name w:val="heading 4"/>
    <w:basedOn w:val="Normal"/>
    <w:rsid w:val="007F1BD8"/>
    <w:pPr>
      <w:keepNext/>
      <w:tabs>
        <w:tab w:val="left" w:pos="2016"/>
      </w:tabs>
      <w:spacing w:before="140" w:line="240" w:lineRule="atLeast"/>
      <w:ind w:left="2016" w:hanging="432"/>
      <w:jc w:val="left"/>
      <w:outlineLvl w:val="3"/>
    </w:pPr>
    <w:rPr>
      <w:i/>
    </w:rPr>
  </w:style>
  <w:style w:type="paragraph" w:styleId="Heading5">
    <w:name w:val="heading 5"/>
    <w:basedOn w:val="Normal"/>
    <w:rsid w:val="007F1BD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F1BD8"/>
    <w:pPr>
      <w:ind w:left="720"/>
    </w:pPr>
  </w:style>
  <w:style w:type="paragraph" w:styleId="Footer">
    <w:name w:val="footer"/>
    <w:basedOn w:val="Normal"/>
    <w:link w:val="FooterChar"/>
    <w:qFormat/>
    <w:rsid w:val="007F1BD8"/>
    <w:pPr>
      <w:tabs>
        <w:tab w:val="center" w:pos="3960"/>
        <w:tab w:val="right" w:pos="10080"/>
      </w:tabs>
      <w:spacing w:after="0" w:line="240" w:lineRule="auto"/>
      <w:jc w:val="center"/>
    </w:pPr>
    <w:rPr>
      <w:sz w:val="22"/>
    </w:rPr>
  </w:style>
  <w:style w:type="paragraph" w:styleId="Header">
    <w:name w:val="header"/>
    <w:basedOn w:val="Normal"/>
    <w:link w:val="HeaderChar"/>
    <w:qFormat/>
    <w:rsid w:val="007F1BD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F1BD8"/>
    <w:rPr>
      <w:rFonts w:ascii="Century Schoolbook" w:hAnsi="Century Schoolbook"/>
      <w:b/>
      <w:i w:val="0"/>
      <w:position w:val="4"/>
      <w:sz w:val="27"/>
      <w:vertAlign w:val="superscript"/>
    </w:rPr>
  </w:style>
  <w:style w:type="paragraph" w:styleId="FootnoteText">
    <w:name w:val="footnote text"/>
    <w:basedOn w:val="Normal"/>
    <w:link w:val="FootnoteTextChar"/>
    <w:rsid w:val="007F1BD8"/>
    <w:pPr>
      <w:spacing w:line="300" w:lineRule="exact"/>
    </w:pPr>
  </w:style>
  <w:style w:type="paragraph" w:customStyle="1" w:styleId="Title1">
    <w:name w:val="Title1"/>
    <w:basedOn w:val="Normal"/>
    <w:rsid w:val="007F1BD8"/>
    <w:pPr>
      <w:tabs>
        <w:tab w:val="left" w:pos="5760"/>
        <w:tab w:val="left" w:pos="6480"/>
      </w:tabs>
      <w:spacing w:line="240" w:lineRule="atLeast"/>
    </w:pPr>
  </w:style>
  <w:style w:type="paragraph" w:customStyle="1" w:styleId="Recommend">
    <w:name w:val="Recommend"/>
    <w:basedOn w:val="Normal"/>
    <w:rsid w:val="007F1BD8"/>
  </w:style>
  <w:style w:type="paragraph" w:customStyle="1" w:styleId="Summary">
    <w:name w:val="Summary"/>
    <w:basedOn w:val="Normal"/>
    <w:rsid w:val="007F1BD8"/>
    <w:pPr>
      <w:ind w:left="2160" w:hanging="2160"/>
    </w:pPr>
  </w:style>
  <w:style w:type="paragraph" w:customStyle="1" w:styleId="Text">
    <w:name w:val="Text"/>
    <w:basedOn w:val="Normal"/>
    <w:rsid w:val="007F1BD8"/>
    <w:pPr>
      <w:tabs>
        <w:tab w:val="left" w:pos="720"/>
        <w:tab w:val="left" w:pos="1440"/>
        <w:tab w:val="left" w:pos="2160"/>
        <w:tab w:val="center" w:pos="4320"/>
      </w:tabs>
      <w:spacing w:line="480" w:lineRule="atLeast"/>
      <w:ind w:firstLine="540"/>
    </w:pPr>
  </w:style>
  <w:style w:type="paragraph" w:styleId="Date">
    <w:name w:val="Date"/>
    <w:basedOn w:val="Normal"/>
    <w:semiHidden/>
    <w:rsid w:val="007F1BD8"/>
    <w:pPr>
      <w:jc w:val="right"/>
    </w:pPr>
  </w:style>
  <w:style w:type="character" w:styleId="PageNumber">
    <w:name w:val="page number"/>
    <w:basedOn w:val="DefaultParagraphFont"/>
    <w:semiHidden/>
    <w:rsid w:val="007F1BD8"/>
  </w:style>
  <w:style w:type="paragraph" w:customStyle="1" w:styleId="subject">
    <w:name w:val="subject"/>
    <w:basedOn w:val="Normal"/>
    <w:rsid w:val="007F1BD8"/>
    <w:pPr>
      <w:tabs>
        <w:tab w:val="left" w:pos="1008"/>
      </w:tabs>
      <w:ind w:left="990" w:hanging="990"/>
    </w:pPr>
    <w:rPr>
      <w:b/>
    </w:rPr>
  </w:style>
  <w:style w:type="paragraph" w:customStyle="1" w:styleId="Titles">
    <w:name w:val="Titles"/>
    <w:basedOn w:val="Normal"/>
    <w:rsid w:val="007F1BD8"/>
    <w:pPr>
      <w:tabs>
        <w:tab w:val="left" w:pos="2160"/>
      </w:tabs>
      <w:ind w:left="2160" w:hanging="2160"/>
    </w:pPr>
    <w:rPr>
      <w:b/>
    </w:rPr>
  </w:style>
  <w:style w:type="paragraph" w:styleId="TOAHeading">
    <w:name w:val="toa heading"/>
    <w:basedOn w:val="Normal"/>
    <w:next w:val="Normal"/>
    <w:semiHidden/>
    <w:rsid w:val="007F1BD8"/>
    <w:pPr>
      <w:spacing w:before="120"/>
    </w:pPr>
    <w:rPr>
      <w:b/>
    </w:rPr>
  </w:style>
  <w:style w:type="paragraph" w:styleId="TOC1">
    <w:name w:val="toc 1"/>
    <w:basedOn w:val="Normal"/>
    <w:next w:val="Normal"/>
    <w:autoRedefine/>
    <w:semiHidden/>
    <w:rsid w:val="007F1BD8"/>
  </w:style>
  <w:style w:type="paragraph" w:styleId="TOC2">
    <w:name w:val="toc 2"/>
    <w:basedOn w:val="Normal"/>
    <w:next w:val="Normal"/>
    <w:autoRedefine/>
    <w:semiHidden/>
    <w:rsid w:val="007F1BD8"/>
    <w:pPr>
      <w:ind w:left="259"/>
    </w:pPr>
  </w:style>
  <w:style w:type="paragraph" w:styleId="TOC3">
    <w:name w:val="toc 3"/>
    <w:basedOn w:val="Normal"/>
    <w:next w:val="Normal"/>
    <w:autoRedefine/>
    <w:semiHidden/>
    <w:rsid w:val="007F1BD8"/>
    <w:pPr>
      <w:ind w:left="520"/>
    </w:pPr>
  </w:style>
  <w:style w:type="paragraph" w:styleId="TOC4">
    <w:name w:val="toc 4"/>
    <w:basedOn w:val="Normal"/>
    <w:next w:val="Normal"/>
    <w:autoRedefine/>
    <w:semiHidden/>
    <w:rsid w:val="007F1BD8"/>
    <w:pPr>
      <w:ind w:left="780"/>
    </w:pPr>
  </w:style>
  <w:style w:type="paragraph" w:styleId="TOC5">
    <w:name w:val="toc 5"/>
    <w:basedOn w:val="Normal"/>
    <w:next w:val="Normal"/>
    <w:autoRedefine/>
    <w:semiHidden/>
    <w:rsid w:val="007F1BD8"/>
    <w:pPr>
      <w:ind w:left="1040"/>
    </w:pPr>
  </w:style>
  <w:style w:type="paragraph" w:styleId="TOC6">
    <w:name w:val="toc 6"/>
    <w:basedOn w:val="Normal"/>
    <w:next w:val="Normal"/>
    <w:autoRedefine/>
    <w:semiHidden/>
    <w:rsid w:val="007F1BD8"/>
    <w:pPr>
      <w:ind w:left="1300"/>
    </w:pPr>
  </w:style>
  <w:style w:type="paragraph" w:styleId="TOC7">
    <w:name w:val="toc 7"/>
    <w:basedOn w:val="Normal"/>
    <w:next w:val="Normal"/>
    <w:autoRedefine/>
    <w:semiHidden/>
    <w:rsid w:val="007F1BD8"/>
    <w:pPr>
      <w:ind w:left="1560"/>
    </w:pPr>
  </w:style>
  <w:style w:type="paragraph" w:styleId="TOC8">
    <w:name w:val="toc 8"/>
    <w:basedOn w:val="Normal"/>
    <w:next w:val="Normal"/>
    <w:autoRedefine/>
    <w:semiHidden/>
    <w:rsid w:val="007F1BD8"/>
    <w:pPr>
      <w:ind w:left="1820"/>
    </w:pPr>
  </w:style>
  <w:style w:type="paragraph" w:styleId="TOC9">
    <w:name w:val="toc 9"/>
    <w:basedOn w:val="Normal"/>
    <w:next w:val="Normal"/>
    <w:autoRedefine/>
    <w:semiHidden/>
    <w:rsid w:val="007F1BD8"/>
    <w:pPr>
      <w:ind w:left="2080"/>
    </w:pPr>
  </w:style>
  <w:style w:type="paragraph" w:customStyle="1" w:styleId="Contents">
    <w:name w:val="Contents"/>
    <w:basedOn w:val="Normal"/>
    <w:rsid w:val="007F1BD8"/>
    <w:pPr>
      <w:jc w:val="center"/>
    </w:pPr>
    <w:rPr>
      <w:b/>
      <w:spacing w:val="100"/>
    </w:rPr>
  </w:style>
  <w:style w:type="character" w:styleId="Emphasis">
    <w:name w:val="Emphasis"/>
    <w:basedOn w:val="DefaultParagraphFont"/>
    <w:uiPriority w:val="20"/>
    <w:qFormat/>
    <w:rsid w:val="00062DB8"/>
    <w:rPr>
      <w:i/>
      <w:iCs/>
    </w:rPr>
  </w:style>
  <w:style w:type="character" w:styleId="Hyperlink">
    <w:name w:val="Hyperlink"/>
    <w:basedOn w:val="DefaultParagraphFont"/>
    <w:uiPriority w:val="99"/>
    <w:semiHidden/>
    <w:unhideWhenUsed/>
    <w:rsid w:val="00062DB8"/>
    <w:rPr>
      <w:color w:val="0000FF"/>
      <w:u w:val="single"/>
    </w:rPr>
  </w:style>
  <w:style w:type="paragraph" w:styleId="NormalWeb">
    <w:name w:val="Normal (Web)"/>
    <w:basedOn w:val="Normal"/>
    <w:uiPriority w:val="99"/>
    <w:unhideWhenUsed/>
    <w:rsid w:val="00062DB8"/>
    <w:pPr>
      <w:spacing w:before="100" w:beforeAutospacing="1" w:afterAutospacing="1"/>
    </w:pPr>
    <w:rPr>
      <w:sz w:val="24"/>
      <w:szCs w:val="24"/>
    </w:rPr>
  </w:style>
  <w:style w:type="paragraph" w:styleId="ListParagraph">
    <w:name w:val="List Paragraph"/>
    <w:basedOn w:val="Normal"/>
    <w:uiPriority w:val="34"/>
    <w:qFormat/>
    <w:rsid w:val="00062DB8"/>
    <w:pPr>
      <w:spacing w:after="160" w:line="259" w:lineRule="auto"/>
      <w:ind w:left="720"/>
      <w:contextualSpacing/>
    </w:pPr>
    <w:rPr>
      <w:rFonts w:asciiTheme="minorHAnsi" w:eastAsiaTheme="minorHAnsi" w:hAnsiTheme="minorHAnsi" w:cstheme="minorBidi"/>
      <w:sz w:val="22"/>
      <w:szCs w:val="22"/>
    </w:rPr>
  </w:style>
  <w:style w:type="character" w:customStyle="1" w:styleId="cosearchterm">
    <w:name w:val="co_searchterm"/>
    <w:basedOn w:val="DefaultParagraphFont"/>
    <w:rsid w:val="00062DB8"/>
  </w:style>
  <w:style w:type="character" w:customStyle="1" w:styleId="coinlinekeyciteflag">
    <w:name w:val="co_inlinekeyciteflag"/>
    <w:basedOn w:val="DefaultParagraphFont"/>
    <w:rsid w:val="00062DB8"/>
  </w:style>
  <w:style w:type="character" w:customStyle="1" w:styleId="costarpage">
    <w:name w:val="co_starpage"/>
    <w:basedOn w:val="DefaultParagraphFont"/>
    <w:rsid w:val="00062DB8"/>
  </w:style>
  <w:style w:type="paragraph" w:styleId="BalloonText">
    <w:name w:val="Balloon Text"/>
    <w:basedOn w:val="Normal"/>
    <w:link w:val="BalloonTextChar"/>
    <w:uiPriority w:val="99"/>
    <w:semiHidden/>
    <w:unhideWhenUsed/>
    <w:rsid w:val="00062DB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62DB8"/>
    <w:rPr>
      <w:rFonts w:ascii="Segoe UI" w:eastAsiaTheme="minorHAnsi" w:hAnsi="Segoe UI" w:cs="Segoe UI"/>
      <w:sz w:val="18"/>
      <w:szCs w:val="18"/>
    </w:rPr>
  </w:style>
  <w:style w:type="character" w:customStyle="1" w:styleId="FootnoteTextChar">
    <w:name w:val="Footnote Text Char"/>
    <w:basedOn w:val="DefaultParagraphFont"/>
    <w:link w:val="FootnoteText"/>
    <w:rsid w:val="00062DB8"/>
    <w:rPr>
      <w:rFonts w:ascii="Century Schoolbook" w:hAnsi="Century Schoolbook"/>
      <w:sz w:val="27"/>
    </w:rPr>
  </w:style>
  <w:style w:type="character" w:customStyle="1" w:styleId="HeaderChar">
    <w:name w:val="Header Char"/>
    <w:basedOn w:val="DefaultParagraphFont"/>
    <w:link w:val="Header"/>
    <w:rsid w:val="00062DB8"/>
    <w:rPr>
      <w:rFonts w:ascii="Century Schoolbook" w:hAnsi="Century Schoolbook"/>
      <w:sz w:val="22"/>
    </w:rPr>
  </w:style>
  <w:style w:type="character" w:customStyle="1" w:styleId="FooterChar">
    <w:name w:val="Footer Char"/>
    <w:basedOn w:val="DefaultParagraphFont"/>
    <w:link w:val="Footer"/>
    <w:rsid w:val="00062DB8"/>
    <w:rPr>
      <w:rFonts w:ascii="Century Schoolbook" w:hAnsi="Century Schoolbook"/>
      <w:sz w:val="22"/>
    </w:rPr>
  </w:style>
  <w:style w:type="character" w:styleId="CommentReference">
    <w:name w:val="annotation reference"/>
    <w:basedOn w:val="DefaultParagraphFont"/>
    <w:uiPriority w:val="99"/>
    <w:semiHidden/>
    <w:unhideWhenUsed/>
    <w:rsid w:val="00062DB8"/>
    <w:rPr>
      <w:sz w:val="16"/>
      <w:szCs w:val="16"/>
    </w:rPr>
  </w:style>
  <w:style w:type="paragraph" w:styleId="CommentText">
    <w:name w:val="annotation text"/>
    <w:basedOn w:val="Normal"/>
    <w:link w:val="CommentTextChar"/>
    <w:uiPriority w:val="99"/>
    <w:semiHidden/>
    <w:unhideWhenUsed/>
    <w:rsid w:val="00062DB8"/>
    <w:rPr>
      <w:sz w:val="20"/>
    </w:rPr>
  </w:style>
  <w:style w:type="character" w:customStyle="1" w:styleId="CommentTextChar">
    <w:name w:val="Comment Text Char"/>
    <w:basedOn w:val="DefaultParagraphFont"/>
    <w:link w:val="CommentText"/>
    <w:uiPriority w:val="99"/>
    <w:semiHidden/>
    <w:rsid w:val="00062DB8"/>
  </w:style>
  <w:style w:type="paragraph" w:styleId="CommentSubject">
    <w:name w:val="annotation subject"/>
    <w:basedOn w:val="CommentText"/>
    <w:next w:val="CommentText"/>
    <w:link w:val="CommentSubjectChar"/>
    <w:uiPriority w:val="99"/>
    <w:semiHidden/>
    <w:unhideWhenUsed/>
    <w:rsid w:val="00062DB8"/>
    <w:rPr>
      <w:b/>
      <w:bCs/>
    </w:rPr>
  </w:style>
  <w:style w:type="character" w:customStyle="1" w:styleId="CommentSubjectChar">
    <w:name w:val="Comment Subject Char"/>
    <w:basedOn w:val="CommentTextChar"/>
    <w:link w:val="CommentSubject"/>
    <w:uiPriority w:val="99"/>
    <w:semiHidden/>
    <w:rsid w:val="00062DB8"/>
    <w:rPr>
      <w:b/>
      <w:bCs/>
    </w:rPr>
  </w:style>
  <w:style w:type="paragraph" w:styleId="BodyText">
    <w:name w:val="Body Text"/>
    <w:basedOn w:val="Normal"/>
    <w:link w:val="BodyTextChar"/>
    <w:qFormat/>
    <w:rsid w:val="007F1BD8"/>
  </w:style>
  <w:style w:type="character" w:customStyle="1" w:styleId="BodyTextChar">
    <w:name w:val="Body Text Char"/>
    <w:basedOn w:val="DefaultParagraphFont"/>
    <w:link w:val="BodyText"/>
    <w:rsid w:val="007F1BD8"/>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FF5E-A79D-46A5-9B05-069FEAB7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7767</Words>
  <Characters>40561</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2020-07-27T18:13:00Z</dcterms:created>
  <dcterms:modified xsi:type="dcterms:W3CDTF">2020-07-27T18:13:00Z</dcterms:modified>
</cp:coreProperties>
</file>