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A1AA1" w:rsidP="00CA1AA1">
      <w:pPr>
        <w:tabs>
          <w:tab w:val="left" w:pos="1440"/>
        </w:tabs>
        <w:spacing w:after="0"/>
        <w:jc w:val="center"/>
        <w:rPr>
          <w:caps/>
          <w:sz w:val="36"/>
        </w:rPr>
      </w:pPr>
      <w:r>
        <w:rPr>
          <w:b/>
          <w:caps/>
          <w:sz w:val="36"/>
        </w:rPr>
        <w:t>IN THE SUPREME COURT OF CALIFORNIA</w:t>
      </w:r>
    </w:p>
    <w:p w:rsidR="00CA1AA1" w:rsidP="00CA1AA1">
      <w:pPr>
        <w:tabs>
          <w:tab w:val="left" w:pos="1440"/>
        </w:tabs>
        <w:spacing w:after="0"/>
        <w:jc w:val="center"/>
        <w:rPr>
          <w:caps/>
        </w:rPr>
      </w:pPr>
    </w:p>
    <w:p w:rsidR="00971997" w:rsidP="00971997">
      <w:pPr>
        <w:tabs>
          <w:tab w:val="left" w:pos="1440"/>
          <w:tab w:val="left" w:pos="4680"/>
          <w:tab w:val="center" w:pos="7200"/>
        </w:tabs>
        <w:spacing w:after="0"/>
        <w:jc w:val="center"/>
      </w:pPr>
      <w:r>
        <w:t>DEBORAH SASS,</w:t>
      </w:r>
    </w:p>
    <w:p w:rsidR="00971997" w:rsidP="00971997">
      <w:pPr>
        <w:tabs>
          <w:tab w:val="left" w:pos="1440"/>
          <w:tab w:val="left" w:pos="4680"/>
          <w:tab w:val="center" w:pos="7200"/>
        </w:tabs>
        <w:spacing w:after="0"/>
        <w:jc w:val="center"/>
      </w:pPr>
      <w:r>
        <w:t>Plaintiff and Respondent,</w:t>
      </w:r>
    </w:p>
    <w:p w:rsidR="00971997" w:rsidP="00971997">
      <w:pPr>
        <w:tabs>
          <w:tab w:val="left" w:pos="1440"/>
          <w:tab w:val="left" w:pos="4680"/>
          <w:tab w:val="center" w:pos="7200"/>
        </w:tabs>
        <w:spacing w:after="0"/>
        <w:jc w:val="center"/>
      </w:pPr>
      <w:r>
        <w:t>v.</w:t>
      </w:r>
    </w:p>
    <w:p w:rsidR="00971997" w:rsidP="00971997">
      <w:pPr>
        <w:tabs>
          <w:tab w:val="left" w:pos="1440"/>
          <w:tab w:val="left" w:pos="4680"/>
          <w:tab w:val="center" w:pos="7200"/>
        </w:tabs>
        <w:spacing w:after="0"/>
        <w:jc w:val="center"/>
      </w:pPr>
      <w:r>
        <w:t>THEODORE COHEN,</w:t>
      </w:r>
    </w:p>
    <w:p w:rsidR="00971997" w:rsidP="00971997">
      <w:pPr>
        <w:tabs>
          <w:tab w:val="left" w:pos="1440"/>
          <w:tab w:val="left" w:pos="4680"/>
          <w:tab w:val="center" w:pos="7200"/>
        </w:tabs>
        <w:spacing w:after="0"/>
        <w:jc w:val="center"/>
      </w:pPr>
      <w:r>
        <w:t>Defendant and Appellant.</w:t>
      </w:r>
    </w:p>
    <w:p w:rsidR="00971997" w:rsidP="00971997">
      <w:pPr>
        <w:tabs>
          <w:tab w:val="left" w:pos="1440"/>
          <w:tab w:val="left" w:pos="4680"/>
          <w:tab w:val="center" w:pos="7200"/>
        </w:tabs>
        <w:spacing w:after="0"/>
        <w:jc w:val="center"/>
      </w:pPr>
    </w:p>
    <w:p w:rsidR="00971997" w:rsidP="00971997">
      <w:pPr>
        <w:tabs>
          <w:tab w:val="left" w:pos="1440"/>
          <w:tab w:val="left" w:pos="4680"/>
          <w:tab w:val="center" w:pos="7200"/>
        </w:tabs>
        <w:spacing w:after="0"/>
        <w:jc w:val="center"/>
      </w:pPr>
      <w:r w:rsidRPr="00971997">
        <w:t>S255262</w:t>
      </w:r>
    </w:p>
    <w:p w:rsidR="00971997" w:rsidP="00971997">
      <w:pPr>
        <w:tabs>
          <w:tab w:val="left" w:pos="1440"/>
          <w:tab w:val="left" w:pos="4680"/>
          <w:tab w:val="center" w:pos="7200"/>
        </w:tabs>
        <w:spacing w:after="0"/>
        <w:jc w:val="center"/>
      </w:pPr>
    </w:p>
    <w:p w:rsidR="00971997" w:rsidP="00971997">
      <w:pPr>
        <w:tabs>
          <w:tab w:val="left" w:pos="1440"/>
        </w:tabs>
        <w:spacing w:after="0"/>
        <w:jc w:val="center"/>
      </w:pPr>
      <w:r>
        <w:t>Second Appellate District, Division Two</w:t>
      </w:r>
    </w:p>
    <w:p w:rsidR="00971997" w:rsidP="006B2B6C">
      <w:pPr>
        <w:tabs>
          <w:tab w:val="left" w:pos="1440"/>
        </w:tabs>
        <w:spacing w:after="0"/>
        <w:jc w:val="center"/>
      </w:pPr>
      <w:r>
        <w:t>B283122</w:t>
      </w:r>
    </w:p>
    <w:p w:rsidR="00971997" w:rsidP="00971997">
      <w:pPr>
        <w:tabs>
          <w:tab w:val="left" w:pos="1440"/>
        </w:tabs>
        <w:spacing w:after="0"/>
        <w:jc w:val="center"/>
      </w:pPr>
    </w:p>
    <w:p w:rsidR="00971997" w:rsidP="00971997">
      <w:pPr>
        <w:tabs>
          <w:tab w:val="left" w:pos="1440"/>
        </w:tabs>
        <w:spacing w:after="0"/>
        <w:jc w:val="center"/>
      </w:pPr>
      <w:r>
        <w:t>Los Angeles County</w:t>
      </w:r>
      <w:r w:rsidR="00C915B5">
        <w:t xml:space="preserve"> Superior Court</w:t>
      </w:r>
    </w:p>
    <w:p w:rsidR="006B2B6C" w:rsidRPr="0077435F" w:rsidP="00971997">
      <w:pPr>
        <w:tabs>
          <w:tab w:val="left" w:pos="1440"/>
        </w:tabs>
        <w:spacing w:after="0"/>
        <w:jc w:val="center"/>
      </w:pPr>
      <w:r w:rsidRPr="006B2B6C">
        <w:t>BC554035</w:t>
      </w:r>
    </w:p>
    <w:p w:rsidR="00CA1AA1" w:rsidP="00CA1AA1">
      <w:pPr>
        <w:pBdr>
          <w:bottom w:val="single" w:sz="4" w:space="1" w:color="auto"/>
        </w:pBdr>
        <w:tabs>
          <w:tab w:val="left" w:pos="1440"/>
        </w:tabs>
        <w:spacing w:after="0"/>
        <w:jc w:val="center"/>
        <w:rPr>
          <w:caps/>
        </w:rPr>
      </w:pPr>
    </w:p>
    <w:p w:rsidR="00B63829" w:rsidP="00CA1AA1">
      <w:pPr>
        <w:tabs>
          <w:tab w:val="left" w:pos="1440"/>
          <w:tab w:val="left" w:pos="4680"/>
          <w:tab w:val="center" w:pos="7200"/>
        </w:tabs>
        <w:spacing w:after="0"/>
        <w:jc w:val="center"/>
      </w:pPr>
    </w:p>
    <w:p w:rsidR="00CA1AA1" w:rsidP="00CA1AA1">
      <w:pPr>
        <w:tabs>
          <w:tab w:val="left" w:pos="1440"/>
          <w:tab w:val="left" w:pos="4680"/>
          <w:tab w:val="center" w:pos="7200"/>
        </w:tabs>
        <w:spacing w:after="0"/>
        <w:jc w:val="center"/>
      </w:pPr>
      <w:r w:rsidRPr="00476D37">
        <w:t>D</w:t>
      </w:r>
      <w:r>
        <w:t>ecember 24</w:t>
      </w:r>
      <w:r>
        <w:t>, 2020</w:t>
      </w:r>
    </w:p>
    <w:p w:rsidR="00CA1AA1" w:rsidP="00CA1AA1">
      <w:pPr>
        <w:tabs>
          <w:tab w:val="left" w:pos="1440"/>
          <w:tab w:val="left" w:pos="4680"/>
          <w:tab w:val="center" w:pos="7200"/>
        </w:tabs>
        <w:spacing w:after="0"/>
        <w:jc w:val="left"/>
      </w:pPr>
    </w:p>
    <w:p w:rsidR="00CA1AA1" w:rsidP="00CA1AA1">
      <w:pPr>
        <w:tabs>
          <w:tab w:val="left" w:pos="1440"/>
          <w:tab w:val="left" w:pos="4680"/>
          <w:tab w:val="center" w:pos="7200"/>
        </w:tabs>
        <w:spacing w:after="0"/>
        <w:jc w:val="left"/>
      </w:pPr>
      <w:r>
        <w:t xml:space="preserve">Chief Justice Cantil-Sakauye authored the opinion of the Court, in which </w:t>
      </w:r>
      <w:r w:rsidR="00476D37">
        <w:t xml:space="preserve">Justices Corrigan, Liu, Cuéllar, Kruger, Groban, </w:t>
      </w:r>
      <w:r w:rsidR="00A760E4">
        <w:t xml:space="preserve">and </w:t>
      </w:r>
      <w:r w:rsidR="00476D37">
        <w:t>Guerrero</w:t>
      </w:r>
      <w:r w:rsidRPr="00495F64" w:rsidR="00495F64">
        <w:rPr>
          <w:sz w:val="20"/>
        </w:rPr>
        <w:t>*</w:t>
      </w:r>
      <w:r>
        <w:t xml:space="preserve"> concurred.</w:t>
      </w:r>
    </w:p>
    <w:p w:rsidR="00F11188" w:rsidP="00F11188">
      <w:pPr>
        <w:pBdr>
          <w:bottom w:val="single" w:sz="4" w:space="1" w:color="auto"/>
        </w:pBdr>
        <w:jc w:val="left"/>
        <w:rPr>
          <w:spacing w:val="100"/>
        </w:rPr>
      </w:pPr>
      <w:bookmarkStart w:id="0" w:name="Return"/>
      <w:bookmarkEnd w:id="0"/>
    </w:p>
    <w:p w:rsidR="00495F64" w:rsidP="00495F64">
      <w:pPr>
        <w:pStyle w:val="FootnoteText"/>
      </w:pPr>
      <w:bookmarkStart w:id="1" w:name="_Hlk2087167"/>
    </w:p>
    <w:p w:rsidR="00B36EFB" w:rsidP="00495F64">
      <w:pPr>
        <w:pStyle w:val="FootnoteText"/>
      </w:pPr>
    </w:p>
    <w:p w:rsidR="00495F64" w:rsidP="00495F64">
      <w:pPr>
        <w:pStyle w:val="FootnoteText"/>
      </w:pPr>
    </w:p>
    <w:p w:rsidR="00495F64" w:rsidP="00495F64">
      <w:pPr>
        <w:pStyle w:val="FootnoteText"/>
      </w:pPr>
      <w:r>
        <w:t>________________________</w:t>
      </w:r>
    </w:p>
    <w:p w:rsidR="00495F64" w:rsidP="00495F64">
      <w:pPr>
        <w:spacing w:after="0" w:line="240" w:lineRule="auto"/>
        <w:rPr>
          <w:spacing w:val="100"/>
        </w:rPr>
      </w:pPr>
      <w:r w:rsidRPr="00CE217C">
        <w:rPr>
          <w:rStyle w:val="FootnoteReference"/>
          <w:sz w:val="22"/>
          <w:szCs w:val="22"/>
        </w:rPr>
        <w:t>*</w:t>
      </w:r>
      <w:r w:rsidRPr="00CE217C">
        <w:rPr>
          <w:sz w:val="22"/>
          <w:szCs w:val="22"/>
        </w:rPr>
        <w:t xml:space="preserve"> </w:t>
      </w:r>
      <w:r w:rsidRPr="00CE217C">
        <w:rPr>
          <w:sz w:val="22"/>
          <w:szCs w:val="22"/>
        </w:rPr>
        <w:tab/>
      </w:r>
      <w:r w:rsidRPr="00CE217C">
        <w:rPr>
          <w:sz w:val="24"/>
          <w:szCs w:val="24"/>
        </w:rPr>
        <w:t>Associate Justice of the Court of Appeal, F</w:t>
      </w:r>
      <w:r w:rsidR="00CE61D4">
        <w:rPr>
          <w:sz w:val="24"/>
          <w:szCs w:val="24"/>
        </w:rPr>
        <w:t>ourth</w:t>
      </w:r>
      <w:r w:rsidRPr="00CE217C">
        <w:rPr>
          <w:sz w:val="24"/>
          <w:szCs w:val="24"/>
        </w:rPr>
        <w:t xml:space="preserve"> Appellate District, Division </w:t>
      </w:r>
      <w:r w:rsidR="00CE61D4">
        <w:rPr>
          <w:sz w:val="24"/>
          <w:szCs w:val="24"/>
        </w:rPr>
        <w:t>One</w:t>
      </w:r>
      <w:r w:rsidRPr="00CE217C">
        <w:rPr>
          <w:sz w:val="24"/>
          <w:szCs w:val="24"/>
        </w:rPr>
        <w:t>, assigned by the Chief Justice pursuant to article VI, section 6 of the California Constitution.</w:t>
      </w:r>
      <w:bookmarkEnd w:id="1"/>
    </w:p>
    <w:p w:rsidR="00495F64" w:rsidRPr="00495F64" w:rsidP="00495F64">
      <w:pPr>
        <w:sectPr w:rsidSect="00F11188">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915B5" w:rsidP="00C915B5">
      <w:pPr>
        <w:tabs>
          <w:tab w:val="left" w:pos="1440"/>
          <w:tab w:val="left" w:pos="4680"/>
          <w:tab w:val="center" w:pos="7200"/>
        </w:tabs>
        <w:jc w:val="center"/>
      </w:pPr>
      <w:r>
        <w:t>SASS v. COHEN</w:t>
      </w:r>
    </w:p>
    <w:p w:rsidR="00C915B5" w:rsidP="00C915B5">
      <w:pPr>
        <w:tabs>
          <w:tab w:val="left" w:pos="1440"/>
          <w:tab w:val="left" w:pos="4680"/>
          <w:tab w:val="center" w:pos="7200"/>
        </w:tabs>
        <w:spacing w:after="0"/>
        <w:jc w:val="center"/>
      </w:pPr>
      <w:r w:rsidRPr="00971997">
        <w:t>S255262</w:t>
      </w:r>
    </w:p>
    <w:p w:rsidR="00A20F29" w:rsidP="00F11188"/>
    <w:p w:rsidR="00C915B5" w:rsidRPr="0069741F" w:rsidP="00C915B5">
      <w:pPr>
        <w:pStyle w:val="Heading1"/>
        <w:rPr>
          <w:b w:val="0"/>
          <w:smallCaps w:val="0"/>
        </w:rPr>
      </w:pPr>
      <w:r w:rsidRPr="0069741F">
        <w:rPr>
          <w:b w:val="0"/>
          <w:smallCaps w:val="0"/>
        </w:rPr>
        <w:t>Opinion of the Court by Cantil-Sakauye, C. J.</w:t>
      </w:r>
    </w:p>
    <w:p w:rsidR="00C915B5" w:rsidRPr="00F11188" w:rsidP="00F11188"/>
    <w:p w:rsidR="00840A0E" w:rsidRPr="00F11188" w:rsidP="00F11188">
      <w:pPr>
        <w:ind w:firstLine="720"/>
      </w:pPr>
      <w:bookmarkStart w:id="2" w:name="Psych_Cite_4"/>
      <w:r w:rsidRPr="00F11188">
        <w:t>Section 580</w:t>
      </w:r>
      <w:r w:rsidR="00BB7A28">
        <w:t>, subdivision (a)</w:t>
      </w:r>
      <w:bookmarkEnd w:id="2"/>
      <w:r w:rsidRPr="00F11188">
        <w:t xml:space="preserve"> of the Code of Civil Procedure provides that</w:t>
      </w:r>
      <w:r w:rsidRPr="00F11188" w:rsidR="00C12A3C">
        <w:t xml:space="preserve"> </w:t>
      </w:r>
      <w:r w:rsidRPr="00F11188">
        <w:t xml:space="preserve">“[t]he relief granted to </w:t>
      </w:r>
      <w:r w:rsidRPr="00F11188" w:rsidR="0032175E">
        <w:t>the</w:t>
      </w:r>
      <w:r w:rsidRPr="00F11188">
        <w:t xml:space="preserve"> plaintiff, if there is no answer, cannot exceed that demanded in the complaint</w:t>
      </w:r>
      <w:r w:rsidR="006F7566">
        <w:t xml:space="preserve"> </w:t>
      </w:r>
      <w:r w:rsidRPr="00F11188" w:rsidR="00401220">
        <w:t>.</w:t>
      </w:r>
      <w:r w:rsidR="006F7566">
        <w:t xml:space="preserve"> . . .</w:t>
      </w:r>
      <w:r w:rsidRPr="00F11188" w:rsidR="0007147C">
        <w:t>”</w:t>
      </w:r>
      <w:r>
        <w:rPr>
          <w:rStyle w:val="FootnoteReference"/>
        </w:rPr>
        <w:footnoteReference w:id="3"/>
      </w:r>
      <w:r w:rsidR="00F22FA2">
        <w:t xml:space="preserve">  </w:t>
      </w:r>
      <w:r w:rsidRPr="00F11188" w:rsidR="001F19B6">
        <w:t xml:space="preserve">Thus, </w:t>
      </w:r>
      <w:r w:rsidRPr="00F11188" w:rsidR="00A16E6C">
        <w:t>“in all default judgments the demand sets a ceiling on recovery</w:t>
      </w:r>
      <w:r w:rsidRPr="00F11188" w:rsidR="000F1FCD">
        <w:t>,</w:t>
      </w:r>
      <w:r w:rsidRPr="00F11188" w:rsidR="000E0E65">
        <w:t>”</w:t>
      </w:r>
      <w:r w:rsidRPr="00F11188" w:rsidR="00F71E5E">
        <w:t xml:space="preserve"> </w:t>
      </w:r>
      <w:r w:rsidRPr="00F11188" w:rsidR="000F1FCD">
        <w:t>and a judgment purporting to grant relief</w:t>
      </w:r>
      <w:r w:rsidRPr="00F11188" w:rsidR="0016477A">
        <w:t xml:space="preserve"> beyond that ceiling is void for </w:t>
      </w:r>
      <w:r w:rsidRPr="00F11188" w:rsidR="00C40296">
        <w:t xml:space="preserve">being in </w:t>
      </w:r>
      <w:r w:rsidRPr="00F11188" w:rsidR="0016477A">
        <w:t>excess of jurisdiction</w:t>
      </w:r>
      <w:r w:rsidRPr="00F11188" w:rsidR="005F6D4F">
        <w:t xml:space="preserve">.  </w:t>
      </w:r>
      <w:r w:rsidRPr="00F11188" w:rsidR="000E0E65">
        <w:t>(</w:t>
      </w:r>
      <w:bookmarkStart w:id="3" w:name="Psych_Cite_2"/>
      <w:r w:rsidRPr="00F11188" w:rsidR="000E0E65">
        <w:rPr>
          <w:i/>
          <w:iCs/>
        </w:rPr>
        <w:t>Greenup v. Rodman</w:t>
      </w:r>
      <w:r w:rsidRPr="00F11188" w:rsidR="000E0E65">
        <w:t xml:space="preserve"> (1986) 42 Cal.3d 822, 824 (</w:t>
      </w:r>
      <w:r w:rsidRPr="00F11188" w:rsidR="000E0E65">
        <w:rPr>
          <w:i/>
        </w:rPr>
        <w:t>Greenup</w:t>
      </w:r>
      <w:bookmarkEnd w:id="3"/>
      <w:r w:rsidRPr="00F11188" w:rsidR="000E0E65">
        <w:t>).)</w:t>
      </w:r>
      <w:r w:rsidRPr="00F11188" w:rsidR="009837EC">
        <w:t xml:space="preserve">  </w:t>
      </w:r>
      <w:r w:rsidRPr="00F11188" w:rsidR="00C45B9E">
        <w:t xml:space="preserve">In an accounting action, </w:t>
      </w:r>
      <w:r w:rsidRPr="00F11188" w:rsidR="00966C2D">
        <w:t xml:space="preserve">however, </w:t>
      </w:r>
      <w:r w:rsidRPr="00F11188" w:rsidR="003A071A">
        <w:t>a plaintiff does not know the sum certain</w:t>
      </w:r>
      <w:r w:rsidRPr="00F11188" w:rsidR="0063144F">
        <w:t xml:space="preserve"> owed by </w:t>
      </w:r>
      <w:r w:rsidRPr="00F11188" w:rsidR="001F336C">
        <w:t xml:space="preserve">the </w:t>
      </w:r>
      <w:r w:rsidRPr="00F11188" w:rsidR="0063144F">
        <w:t>defendant</w:t>
      </w:r>
      <w:r w:rsidRPr="00F11188" w:rsidR="00C45B9E">
        <w:t xml:space="preserve">.  </w:t>
      </w:r>
      <w:r w:rsidRPr="00F11188" w:rsidR="00660149">
        <w:t>(</w:t>
      </w:r>
      <w:bookmarkStart w:id="4" w:name="Psych_Cite_3"/>
      <w:r w:rsidR="003F6597">
        <w:t>See, e</w:t>
      </w:r>
      <w:r w:rsidRPr="00F11188" w:rsidR="00C14AFB">
        <w:t xml:space="preserve">.g., </w:t>
      </w:r>
      <w:r w:rsidRPr="00F11188" w:rsidR="00660149">
        <w:rPr>
          <w:i/>
          <w:iCs/>
        </w:rPr>
        <w:t>Teselle v. McLoughlin</w:t>
      </w:r>
      <w:r w:rsidRPr="00F11188" w:rsidR="00660149">
        <w:t xml:space="preserve"> (2009) 173</w:t>
      </w:r>
      <w:r w:rsidR="005A1CFD">
        <w:t> </w:t>
      </w:r>
      <w:r w:rsidRPr="00F11188" w:rsidR="00660149">
        <w:t>Cal.App.4th 156, 179</w:t>
      </w:r>
      <w:r w:rsidRPr="00F11188" w:rsidR="002F0C5C">
        <w:t xml:space="preserve"> </w:t>
      </w:r>
      <w:r w:rsidRPr="00F11188" w:rsidR="009E1507">
        <w:t>(</w:t>
      </w:r>
      <w:r w:rsidRPr="00F11188" w:rsidR="009E1507">
        <w:rPr>
          <w:i/>
        </w:rPr>
        <w:t>Teselle</w:t>
      </w:r>
      <w:r w:rsidRPr="00F11188" w:rsidR="009E1507">
        <w:t xml:space="preserve">) </w:t>
      </w:r>
      <w:r w:rsidRPr="00F11188" w:rsidR="002F0C5C">
        <w:t>[“An action for accounting is not available where the plaintiff alleges the right to recover a sum certain or a sum that can be made certain by calculation”</w:t>
      </w:r>
      <w:bookmarkEnd w:id="4"/>
      <w:r w:rsidRPr="00F11188" w:rsidR="002F0C5C">
        <w:t>]</w:t>
      </w:r>
      <w:r w:rsidRPr="00F11188" w:rsidR="00660149">
        <w:t xml:space="preserve">.)  </w:t>
      </w:r>
      <w:r w:rsidRPr="00F11188" w:rsidR="00F700AA">
        <w:t xml:space="preserve">As </w:t>
      </w:r>
      <w:r w:rsidRPr="00F11188" w:rsidR="00803C0E">
        <w:t>such</w:t>
      </w:r>
      <w:r w:rsidRPr="00F11188" w:rsidR="003A071A">
        <w:t xml:space="preserve">, </w:t>
      </w:r>
      <w:r w:rsidRPr="00F11188" w:rsidR="000A4F57">
        <w:t>a complaint</w:t>
      </w:r>
      <w:r w:rsidRPr="00F11188" w:rsidR="003A071A">
        <w:t xml:space="preserve"> </w:t>
      </w:r>
      <w:r w:rsidRPr="00F11188" w:rsidR="001A1B3D">
        <w:t xml:space="preserve">seeking an accounting </w:t>
      </w:r>
      <w:r w:rsidRPr="00F11188" w:rsidR="003A071A">
        <w:t>cannot state the</w:t>
      </w:r>
      <w:r w:rsidRPr="00F11188" w:rsidR="00553D7D">
        <w:t xml:space="preserve"> </w:t>
      </w:r>
      <w:r w:rsidRPr="00F11188" w:rsidR="00BE6B31">
        <w:t>precise</w:t>
      </w:r>
      <w:r w:rsidRPr="00F11188" w:rsidR="003A071A">
        <w:t xml:space="preserve"> amount of damages </w:t>
      </w:r>
      <w:r w:rsidRPr="00F11188" w:rsidR="000A4F57">
        <w:t>sought</w:t>
      </w:r>
      <w:r w:rsidRPr="00F11188" w:rsidR="003A071A">
        <w:t>.</w:t>
      </w:r>
    </w:p>
    <w:p w:rsidR="00A219D7" w:rsidP="00F11188">
      <w:pPr>
        <w:ind w:firstLine="720"/>
      </w:pPr>
      <w:r w:rsidRPr="00F11188">
        <w:t xml:space="preserve">At issue in this case is how to reconcile the </w:t>
      </w:r>
      <w:r w:rsidR="00337F29">
        <w:t>restriction</w:t>
      </w:r>
      <w:r w:rsidRPr="00F11188" w:rsidR="00337F29">
        <w:t xml:space="preserve">s </w:t>
      </w:r>
      <w:r w:rsidRPr="00F11188">
        <w:t xml:space="preserve">of </w:t>
      </w:r>
      <w:bookmarkStart w:id="5" w:name="Psych_Cite_5"/>
      <w:r w:rsidRPr="00F11188">
        <w:t>section 580</w:t>
      </w:r>
      <w:bookmarkEnd w:id="5"/>
      <w:r w:rsidRPr="00F11188">
        <w:t xml:space="preserve"> with the</w:t>
      </w:r>
      <w:r w:rsidRPr="00F11188" w:rsidR="00520855">
        <w:t xml:space="preserve"> limitation</w:t>
      </w:r>
      <w:r w:rsidRPr="00F11188" w:rsidR="00D1430B">
        <w:t>s</w:t>
      </w:r>
      <w:r w:rsidRPr="00F11188" w:rsidR="00520855">
        <w:t xml:space="preserve"> inherent </w:t>
      </w:r>
      <w:r w:rsidRPr="00F11188" w:rsidR="007626D3">
        <w:t>in</w:t>
      </w:r>
      <w:r w:rsidRPr="00F11188" w:rsidR="00520855">
        <w:t xml:space="preserve"> an </w:t>
      </w:r>
      <w:r w:rsidRPr="00F11188" w:rsidR="00233729">
        <w:t>action for accounting</w:t>
      </w:r>
      <w:r w:rsidRPr="00F11188" w:rsidR="00B04DB1">
        <w:t xml:space="preserve">.  </w:t>
      </w:r>
      <w:r w:rsidRPr="00337F29" w:rsidR="00337F29">
        <w:t>Specifically, we must resolve whether a court may award monetary damages in a default judgment to a plaintiff who seeks an accounting when the complaint does not demand a specific amount of monetary damages but instead asserts a proportional interest in specified property.</w:t>
      </w:r>
    </w:p>
    <w:p w:rsidR="00616993" w:rsidP="009346BD">
      <w:pPr>
        <w:ind w:firstLine="720"/>
      </w:pPr>
      <w:r>
        <w:t>Applying our usual rubrics of statutory construction,</w:t>
      </w:r>
      <w:r w:rsidR="0042289E">
        <w:t xml:space="preserve"> </w:t>
      </w:r>
      <w:r w:rsidR="003D2694">
        <w:t>we conclude that</w:t>
      </w:r>
      <w:r w:rsidR="002D77F8">
        <w:t xml:space="preserve"> in cases where plaintiffs seek </w:t>
      </w:r>
      <w:r w:rsidR="00312C75">
        <w:t>monetary relief</w:t>
      </w:r>
      <w:r w:rsidR="002D77F8">
        <w:t>, the mere fact that they have pleaded an accounting action do</w:t>
      </w:r>
      <w:r w:rsidR="00411504">
        <w:t>es</w:t>
      </w:r>
      <w:r w:rsidR="002D77F8">
        <w:t xml:space="preserve"> not insulate them from the obligation to notify defendants of the dollar amounts sought</w:t>
      </w:r>
      <w:r w:rsidR="00312C75">
        <w:t xml:space="preserve"> before such relief </w:t>
      </w:r>
      <w:r w:rsidR="002E385D">
        <w:t>may be granted</w:t>
      </w:r>
      <w:r w:rsidR="00312C75">
        <w:t xml:space="preserve"> in default</w:t>
      </w:r>
      <w:r w:rsidR="002D77F8">
        <w:t xml:space="preserve">. </w:t>
      </w:r>
      <w:r w:rsidR="009B7BD0">
        <w:t xml:space="preserve"> </w:t>
      </w:r>
      <w:r w:rsidR="00486EFE">
        <w:t>True</w:t>
      </w:r>
      <w:bookmarkStart w:id="6" w:name="_Hlk54887346"/>
      <w:r w:rsidR="00411504">
        <w:t xml:space="preserve">, </w:t>
      </w:r>
      <w:r w:rsidR="002D77F8">
        <w:t xml:space="preserve">the text of </w:t>
      </w:r>
      <w:bookmarkStart w:id="7" w:name="Psych_Cite_7"/>
      <w:r w:rsidR="002D77F8">
        <w:t>section 580</w:t>
      </w:r>
      <w:bookmarkEnd w:id="7"/>
      <w:r w:rsidR="002D77F8">
        <w:t xml:space="preserve"> does not point unerringly to </w:t>
      </w:r>
      <w:r w:rsidR="009B7BD0">
        <w:t>this</w:t>
      </w:r>
      <w:r w:rsidR="002D77F8">
        <w:t xml:space="preserve"> result.  Nonetheless, when </w:t>
      </w:r>
      <w:bookmarkStart w:id="8" w:name="Psych_Cite_8"/>
      <w:r w:rsidR="002D77F8">
        <w:t>section 580</w:t>
      </w:r>
      <w:bookmarkEnd w:id="8"/>
      <w:r w:rsidR="002D77F8">
        <w:t xml:space="preserve"> is considered </w:t>
      </w:r>
      <w:r w:rsidR="00ED2817">
        <w:t xml:space="preserve">in light of its purpose </w:t>
      </w:r>
      <w:r w:rsidR="00C16E1F">
        <w:t>— “</w:t>
      </w:r>
      <w:r w:rsidRPr="00C16E1F" w:rsidR="00C16E1F">
        <w:t>to guarantee defaulting parties adequate notice of the maximum judgment that may be assessed against them</w:t>
      </w:r>
      <w:r w:rsidR="00C16E1F">
        <w:t>” (</w:t>
      </w:r>
      <w:bookmarkStart w:id="9" w:name="Psych_Cite_6"/>
      <w:r w:rsidRPr="00C16E1F" w:rsidR="00C16E1F">
        <w:rPr>
          <w:i/>
          <w:iCs/>
        </w:rPr>
        <w:t>Greenup</w:t>
      </w:r>
      <w:r w:rsidR="00C16E1F">
        <w:t xml:space="preserve">, </w:t>
      </w:r>
      <w:r w:rsidRPr="00C16E1F" w:rsidR="00C16E1F">
        <w:rPr>
          <w:i/>
          <w:iCs/>
        </w:rPr>
        <w:t>supra</w:t>
      </w:r>
      <w:r w:rsidR="00C16E1F">
        <w:t xml:space="preserve">, </w:t>
      </w:r>
      <w:r w:rsidRPr="00C16E1F" w:rsidR="00C16E1F">
        <w:t xml:space="preserve">42 Cal.3d </w:t>
      </w:r>
      <w:r w:rsidR="00C16E1F">
        <w:t>at p.</w:t>
      </w:r>
      <w:r w:rsidRPr="00C16E1F" w:rsidR="00C16E1F">
        <w:t xml:space="preserve"> 826</w:t>
      </w:r>
      <w:bookmarkEnd w:id="9"/>
      <w:r w:rsidR="00C16E1F">
        <w:t xml:space="preserve">) — </w:t>
      </w:r>
      <w:r w:rsidR="00ED2817">
        <w:t xml:space="preserve">and </w:t>
      </w:r>
      <w:r w:rsidR="002D77F8">
        <w:t>in conjunction with other statutes related to pleadings and default judgments</w:t>
      </w:r>
      <w:r w:rsidR="00C16E1F">
        <w:t xml:space="preserve">, </w:t>
      </w:r>
      <w:r w:rsidR="0042289E">
        <w:t>we find</w:t>
      </w:r>
      <w:r w:rsidR="00841713">
        <w:t xml:space="preserve"> the most reasonable interpretation of </w:t>
      </w:r>
      <w:bookmarkStart w:id="10" w:name="Psych_Cite_9"/>
      <w:r w:rsidR="00ED2817">
        <w:t>section</w:t>
      </w:r>
      <w:r w:rsidR="00B03909">
        <w:t xml:space="preserve"> 580</w:t>
      </w:r>
      <w:bookmarkEnd w:id="10"/>
      <w:r w:rsidR="00B03909">
        <w:t xml:space="preserve"> is that it requires plaintiffs to </w:t>
      </w:r>
      <w:r w:rsidR="00312C75">
        <w:t xml:space="preserve">have </w:t>
      </w:r>
      <w:r w:rsidR="00B03909">
        <w:t>allege</w:t>
      </w:r>
      <w:r w:rsidR="00312C75">
        <w:t>d</w:t>
      </w:r>
      <w:r w:rsidR="00B03909">
        <w:t xml:space="preserve"> their “relief” in terms of dollars </w:t>
      </w:r>
      <w:r w:rsidR="00312C75">
        <w:t>if they are to receive monetary recovery</w:t>
      </w:r>
      <w:r w:rsidR="009346BD">
        <w:t xml:space="preserve">.  </w:t>
      </w:r>
      <w:r w:rsidR="003D2694">
        <w:t>(</w:t>
      </w:r>
      <w:r w:rsidRPr="00F11188" w:rsidR="003D2694">
        <w:t>§ 580, subd. (a)</w:t>
      </w:r>
      <w:r w:rsidR="003D2694">
        <w:t>.)</w:t>
      </w:r>
    </w:p>
    <w:p w:rsidR="002D77F8" w:rsidRPr="00D92922" w:rsidP="009346BD">
      <w:pPr>
        <w:ind w:firstLine="720"/>
      </w:pPr>
      <w:bookmarkEnd w:id="6"/>
      <w:r>
        <w:t>Our conclusion is bolstered by other considerations</w:t>
      </w:r>
      <w:r w:rsidR="00616993">
        <w:t>.  Among these is the</w:t>
      </w:r>
      <w:r w:rsidR="00BB634C">
        <w:t xml:space="preserve"> </w:t>
      </w:r>
      <w:r w:rsidR="004D37DB">
        <w:t>recognition that despite their</w:t>
      </w:r>
      <w:r w:rsidR="00B431B6">
        <w:t xml:space="preserve"> relative lack of knowledge about the precise amounts owing</w:t>
      </w:r>
      <w:r w:rsidR="004D37DB">
        <w:t xml:space="preserve">, plaintiffs bringing accounting claims </w:t>
      </w:r>
      <w:r w:rsidR="00F34E5E">
        <w:t xml:space="preserve">(1) are </w:t>
      </w:r>
      <w:r w:rsidR="001A3E60">
        <w:t xml:space="preserve">generally </w:t>
      </w:r>
      <w:r w:rsidR="004D37DB">
        <w:t>able to estimate their damages,</w:t>
      </w:r>
      <w:r w:rsidR="00F34E5E">
        <w:t xml:space="preserve"> (2) </w:t>
      </w:r>
      <w:r w:rsidR="004D37DB">
        <w:t xml:space="preserve">must </w:t>
      </w:r>
      <w:r w:rsidR="001A3E60">
        <w:t xml:space="preserve">ultimately </w:t>
      </w:r>
      <w:r w:rsidR="004D37DB">
        <w:t xml:space="preserve">prove the sums to which they are entitled after default, and </w:t>
      </w:r>
      <w:r w:rsidR="00F34E5E">
        <w:t xml:space="preserve">(3) </w:t>
      </w:r>
      <w:r w:rsidRPr="001A3E60" w:rsidR="001A3E60">
        <w:t xml:space="preserve">may request that the trial court take </w:t>
      </w:r>
      <w:r w:rsidR="00431917">
        <w:t xml:space="preserve">an </w:t>
      </w:r>
      <w:r w:rsidRPr="001A3E60" w:rsidR="001A3E60">
        <w:t>accounting</w:t>
      </w:r>
      <w:r w:rsidR="00431917">
        <w:t xml:space="preserve"> in </w:t>
      </w:r>
      <w:r w:rsidRPr="001A3E60" w:rsidR="00431917">
        <w:t xml:space="preserve">circumstances where an accounting is necessary to discover the information </w:t>
      </w:r>
      <w:r w:rsidR="00431917">
        <w:t>needed to determine the amount owing</w:t>
      </w:r>
      <w:r w:rsidR="004D37DB">
        <w:t xml:space="preserve">.  </w:t>
      </w:r>
      <w:r w:rsidR="00B431B6">
        <w:t>In other words, plaintiffs’ inability to state a precise amount of damages does not justify</w:t>
      </w:r>
      <w:r w:rsidR="00F34E5E">
        <w:t xml:space="preserve"> </w:t>
      </w:r>
      <w:r w:rsidR="00A635FA">
        <w:t xml:space="preserve">allowing pleadings that, in the event of defaults, will not have apprised defendants of the </w:t>
      </w:r>
      <w:r w:rsidR="00C16E1F">
        <w:t xml:space="preserve">maximum </w:t>
      </w:r>
      <w:r w:rsidR="00F7254E">
        <w:t>dollar amount</w:t>
      </w:r>
      <w:r w:rsidR="00B95DBB">
        <w:t>s</w:t>
      </w:r>
      <w:r w:rsidR="00A635FA">
        <w:t xml:space="preserve"> to which they may be held liable.</w:t>
      </w:r>
    </w:p>
    <w:p w:rsidR="005A3247" w:rsidRPr="00F11188" w:rsidP="005A3247">
      <w:pPr>
        <w:ind w:firstLine="720"/>
      </w:pPr>
      <w:r w:rsidRPr="00F11188">
        <w:t>Accordingly, we hold</w:t>
      </w:r>
      <w:r w:rsidR="00FB13B7">
        <w:t xml:space="preserve">, </w:t>
      </w:r>
      <w:r w:rsidR="00A95FEA">
        <w:t>consistent</w:t>
      </w:r>
      <w:r w:rsidRPr="00A95FEA" w:rsidR="00A95FEA">
        <w:t xml:space="preserve"> with </w:t>
      </w:r>
      <w:r w:rsidRPr="00A95FEA" w:rsidR="00F53ADB">
        <w:t>th</w:t>
      </w:r>
      <w:r w:rsidR="00F53ADB">
        <w:t>e Court of Appeal below</w:t>
      </w:r>
      <w:r w:rsidR="00FB13B7">
        <w:t>,</w:t>
      </w:r>
      <w:r w:rsidRPr="00F11188">
        <w:t xml:space="preserve"> that </w:t>
      </w:r>
      <w:r w:rsidRPr="00F11188" w:rsidR="00827755">
        <w:t xml:space="preserve">a </w:t>
      </w:r>
      <w:r w:rsidR="002117CE">
        <w:t>plaintiff</w:t>
      </w:r>
      <w:r w:rsidRPr="00F11188" w:rsidR="002117CE">
        <w:t xml:space="preserve"> </w:t>
      </w:r>
      <w:r w:rsidRPr="00F11188" w:rsidR="00827755">
        <w:t xml:space="preserve">seeking an accounting is not excused from </w:t>
      </w:r>
      <w:bookmarkStart w:id="11" w:name="Psych_Cite_10"/>
      <w:r w:rsidRPr="00F11188" w:rsidR="00827755">
        <w:t>section 580</w:t>
      </w:r>
      <w:bookmarkEnd w:id="11"/>
      <w:r w:rsidRPr="00F11188" w:rsidR="00827755">
        <w:t xml:space="preserve">’s requirement to </w:t>
      </w:r>
      <w:r w:rsidRPr="00F11188" w:rsidR="00360B49">
        <w:t>state</w:t>
      </w:r>
      <w:r w:rsidRPr="00F11188" w:rsidR="00827755">
        <w:t xml:space="preserve"> a specific </w:t>
      </w:r>
      <w:r w:rsidR="002117CE">
        <w:t xml:space="preserve">dollar </w:t>
      </w:r>
      <w:r w:rsidRPr="00F11188" w:rsidR="00827755">
        <w:t xml:space="preserve">amount to </w:t>
      </w:r>
      <w:r w:rsidRPr="00F11188" w:rsidR="00827755">
        <w:t>support a default judgment</w:t>
      </w:r>
      <w:r w:rsidR="0006343B">
        <w:t xml:space="preserve"> granting </w:t>
      </w:r>
      <w:r w:rsidR="00616993">
        <w:t>monetary relief</w:t>
      </w:r>
      <w:r w:rsidRPr="00F11188" w:rsidR="00A84941">
        <w:t xml:space="preserve">.  </w:t>
      </w:r>
      <w:r w:rsidR="00945AAD">
        <w:t>In particular</w:t>
      </w:r>
      <w:r w:rsidR="00A56732">
        <w:t>, i</w:t>
      </w:r>
      <w:r w:rsidRPr="00F11188" w:rsidR="00827755">
        <w:t xml:space="preserve">t is not </w:t>
      </w:r>
      <w:r w:rsidR="00936597">
        <w:t>enough</w:t>
      </w:r>
      <w:r w:rsidR="00A56732">
        <w:t xml:space="preserve"> </w:t>
      </w:r>
      <w:r w:rsidRPr="00F11188" w:rsidR="00827755">
        <w:t>that the complaint identifies the assets in</w:t>
      </w:r>
      <w:r w:rsidRPr="00F11188" w:rsidR="002950BD">
        <w:t xml:space="preserve"> </w:t>
      </w:r>
      <w:r w:rsidR="004E35FD">
        <w:t xml:space="preserve">a </w:t>
      </w:r>
      <w:r w:rsidRPr="00F11188" w:rsidR="00827755">
        <w:t xml:space="preserve">defendant’s possession and requests </w:t>
      </w:r>
      <w:r w:rsidRPr="00F11188" w:rsidR="00B34046">
        <w:t>some fraction</w:t>
      </w:r>
      <w:r w:rsidRPr="00F11188" w:rsidR="00827755">
        <w:t xml:space="preserve"> of their value</w:t>
      </w:r>
      <w:r w:rsidRPr="00F11188" w:rsidR="00211D68">
        <w:t>.</w:t>
      </w:r>
    </w:p>
    <w:p w:rsidR="008156CB" w:rsidRPr="001F3D0E" w:rsidP="001F3D0E">
      <w:pPr>
        <w:ind w:firstLine="720"/>
      </w:pPr>
      <w:r>
        <w:t>T</w:t>
      </w:r>
      <w:r w:rsidR="008005D2">
        <w:t>he Court of Appeal reached a second, subsidiary issue</w:t>
      </w:r>
      <w:r w:rsidR="006C3F16">
        <w:t xml:space="preserve"> </w:t>
      </w:r>
      <w:r w:rsidR="00A708BD">
        <w:t xml:space="preserve">as to </w:t>
      </w:r>
      <w:r w:rsidR="006C3F16">
        <w:t xml:space="preserve">which we </w:t>
      </w:r>
      <w:r w:rsidR="00314826">
        <w:t xml:space="preserve">also </w:t>
      </w:r>
      <w:r w:rsidR="006C3F16">
        <w:t>granted review</w:t>
      </w:r>
      <w:r w:rsidR="00A708BD">
        <w:t xml:space="preserve">:  </w:t>
      </w:r>
      <w:r w:rsidR="006F7566">
        <w:t>t</w:t>
      </w:r>
      <w:r w:rsidRPr="00F11188" w:rsidR="008005D2">
        <w:t xml:space="preserve">he </w:t>
      </w:r>
      <w:r w:rsidR="006C3F16">
        <w:t xml:space="preserve">proper </w:t>
      </w:r>
      <w:r w:rsidRPr="00F11188" w:rsidR="008005D2">
        <w:t>method by which a court determines whether the amount awarded in a default judgment exceeds that demanded</w:t>
      </w:r>
      <w:r w:rsidR="008005D2">
        <w:t>.</w:t>
      </w:r>
      <w:r w:rsidR="003C3D4F">
        <w:t xml:space="preserve"> </w:t>
      </w:r>
      <w:r w:rsidR="008005D2">
        <w:t xml:space="preserve"> (</w:t>
      </w:r>
      <w:bookmarkStart w:id="12" w:name="Psych_Cite_11"/>
      <w:r w:rsidR="008005D2">
        <w:t xml:space="preserve">See </w:t>
      </w:r>
      <w:r w:rsidRPr="00F11188" w:rsidR="008005D2">
        <w:rPr>
          <w:i/>
          <w:iCs/>
        </w:rPr>
        <w:t>Sass v. Cohen</w:t>
      </w:r>
      <w:r w:rsidRPr="00F11188" w:rsidR="008005D2">
        <w:t xml:space="preserve"> (2019) 32</w:t>
      </w:r>
      <w:r w:rsidR="005A1CFD">
        <w:t> </w:t>
      </w:r>
      <w:r w:rsidRPr="00F11188" w:rsidR="008005D2">
        <w:t>Cal.App.5th 1032, 103</w:t>
      </w:r>
      <w:r w:rsidR="000D40A9">
        <w:t>5</w:t>
      </w:r>
      <w:r w:rsidRPr="00F11188" w:rsidR="008005D2">
        <w:t xml:space="preserve"> (</w:t>
      </w:r>
      <w:r w:rsidRPr="00F11188" w:rsidR="008005D2">
        <w:rPr>
          <w:i/>
        </w:rPr>
        <w:t>Sass</w:t>
      </w:r>
      <w:r w:rsidRPr="00F11188" w:rsidR="008005D2">
        <w:t>)</w:t>
      </w:r>
      <w:r w:rsidR="000D40A9">
        <w:t xml:space="preserve"> [holding that “</w:t>
      </w:r>
      <w:r w:rsidRPr="000D40A9" w:rsidR="000D40A9">
        <w:t>the amounts of damages awarded and demanded are to be compared on an aggregate basis</w:t>
      </w:r>
      <w:r w:rsidR="000D40A9">
        <w:t>”]</w:t>
      </w:r>
      <w:bookmarkEnd w:id="12"/>
      <w:r w:rsidR="008005D2">
        <w:t xml:space="preserve">.)  </w:t>
      </w:r>
      <w:r w:rsidR="006C3F16">
        <w:t xml:space="preserve">On closer examination, however, we </w:t>
      </w:r>
      <w:r w:rsidR="00BC38AF">
        <w:t xml:space="preserve">find we </w:t>
      </w:r>
      <w:r w:rsidR="005A3247">
        <w:t>need not</w:t>
      </w:r>
      <w:r w:rsidR="000D40A9">
        <w:t xml:space="preserve"> resolve </w:t>
      </w:r>
      <w:r w:rsidR="00B52C2D">
        <w:t>th</w:t>
      </w:r>
      <w:r w:rsidR="007F4704">
        <w:t>at</w:t>
      </w:r>
      <w:r w:rsidR="00B52C2D">
        <w:t xml:space="preserve"> </w:t>
      </w:r>
      <w:r w:rsidR="00BC38AF">
        <w:t>question</w:t>
      </w:r>
      <w:r w:rsidR="006C3F16">
        <w:t xml:space="preserve"> </w:t>
      </w:r>
      <w:r w:rsidR="002B4E55">
        <w:t xml:space="preserve">in order </w:t>
      </w:r>
      <w:r w:rsidR="006C3F16">
        <w:t>to dispose of the matter before us</w:t>
      </w:r>
      <w:r w:rsidR="000D40A9">
        <w:t xml:space="preserve">.  </w:t>
      </w:r>
      <w:r w:rsidR="001F3D0E">
        <w:t xml:space="preserve">As we shall explain, neither the trial court’s </w:t>
      </w:r>
      <w:r w:rsidR="005D1AA4">
        <w:t>n</w:t>
      </w:r>
      <w:r w:rsidR="001F3D0E">
        <w:t xml:space="preserve">or the Court of Appeal’s calculation of damages implicated </w:t>
      </w:r>
      <w:r w:rsidR="005D1AA4">
        <w:t xml:space="preserve">the </w:t>
      </w:r>
      <w:r w:rsidRPr="000D40A9" w:rsidR="001F3D0E">
        <w:t>aggregate</w:t>
      </w:r>
      <w:r w:rsidR="00316706">
        <w:t xml:space="preserve"> versus </w:t>
      </w:r>
      <w:r w:rsidR="001F3D0E">
        <w:t xml:space="preserve">claim-by-claim </w:t>
      </w:r>
      <w:r w:rsidR="00AD450C">
        <w:t>subsidiary issue</w:t>
      </w:r>
      <w:r w:rsidR="001F3D0E">
        <w:t xml:space="preserve">.  </w:t>
      </w:r>
      <w:r w:rsidR="005C14AF">
        <w:t>T</w:t>
      </w:r>
      <w:r w:rsidR="001F3D0E">
        <w:t>his case do</w:t>
      </w:r>
      <w:r w:rsidR="005C14AF">
        <w:t>es</w:t>
      </w:r>
      <w:r w:rsidR="001F3D0E">
        <w:t xml:space="preserve"> not raise that </w:t>
      </w:r>
      <w:r w:rsidR="00C52EF1">
        <w:t>question</w:t>
      </w:r>
      <w:r w:rsidR="001F3D0E">
        <w:t xml:space="preserve">, and although we offer some words of guidance </w:t>
      </w:r>
      <w:r w:rsidR="003C3D4F">
        <w:t>to the courts</w:t>
      </w:r>
      <w:r w:rsidR="001F3D0E">
        <w:t>, we reserve judgment on th</w:t>
      </w:r>
      <w:r w:rsidR="00E8494F">
        <w:t xml:space="preserve">at issue for </w:t>
      </w:r>
      <w:r w:rsidR="001F3D0E">
        <w:t>another day.</w:t>
      </w:r>
    </w:p>
    <w:p w:rsidR="00E57FB7" w:rsidRPr="00F11188" w:rsidP="00F11188">
      <w:pPr>
        <w:pStyle w:val="Heading1"/>
      </w:pPr>
      <w:r w:rsidRPr="00F11188">
        <w:rPr>
          <w:caps/>
        </w:rPr>
        <w:t xml:space="preserve">I.  </w:t>
      </w:r>
      <w:r w:rsidRPr="00F11188" w:rsidR="007459A5">
        <w:rPr>
          <w:caps/>
        </w:rPr>
        <w:t>B</w:t>
      </w:r>
      <w:r w:rsidRPr="00F11188" w:rsidR="007459A5">
        <w:t>ackground</w:t>
      </w:r>
    </w:p>
    <w:p w:rsidR="00AD3CC2" w:rsidRPr="00F11188" w:rsidP="00F11188">
      <w:r w:rsidRPr="00F11188">
        <w:rPr>
          <w:smallCaps/>
        </w:rPr>
        <w:tab/>
      </w:r>
      <w:r w:rsidRPr="00F11188" w:rsidR="00B52F27">
        <w:t xml:space="preserve">The facts of this case are taken from </w:t>
      </w:r>
      <w:r w:rsidRPr="00F11188" w:rsidR="00333740">
        <w:t xml:space="preserve">plaintiff Deborah Sass’s second amended complaint, the operative </w:t>
      </w:r>
      <w:r w:rsidR="00F42D56">
        <w:t>pleading</w:t>
      </w:r>
      <w:r w:rsidRPr="00F11188" w:rsidR="00F42D56">
        <w:t xml:space="preserve"> </w:t>
      </w:r>
      <w:r w:rsidR="005D1AA4">
        <w:t>upon which</w:t>
      </w:r>
      <w:r w:rsidRPr="00F11188" w:rsidR="005D1AA4">
        <w:t xml:space="preserve"> </w:t>
      </w:r>
      <w:r w:rsidRPr="00F11188" w:rsidR="00333740">
        <w:t>she obtained a default judgment</w:t>
      </w:r>
      <w:r w:rsidRPr="00F11188" w:rsidR="00137B31">
        <w:t>.  (</w:t>
      </w:r>
      <w:bookmarkStart w:id="13" w:name="Psych_Cite_12"/>
      <w:r w:rsidRPr="00F11188" w:rsidR="00137B31">
        <w:t>See</w:t>
      </w:r>
      <w:r w:rsidRPr="00F11188" w:rsidR="005E14B2">
        <w:t>, e.g.,</w:t>
      </w:r>
      <w:r w:rsidRPr="00F11188" w:rsidR="00137B31">
        <w:t xml:space="preserve"> </w:t>
      </w:r>
      <w:r w:rsidRPr="00F11188" w:rsidR="00A77AE4">
        <w:rPr>
          <w:i/>
        </w:rPr>
        <w:t>Title Ins. &amp; Trust Co. v. King Land &amp; Improv. Co.</w:t>
      </w:r>
      <w:r w:rsidRPr="00F11188" w:rsidR="00A77AE4">
        <w:t xml:space="preserve"> (1912) 162 Cal. 44, 46 </w:t>
      </w:r>
      <w:r w:rsidRPr="00F11188" w:rsidR="00A374E2">
        <w:t>(</w:t>
      </w:r>
      <w:r w:rsidRPr="00F11188" w:rsidR="00A374E2">
        <w:rPr>
          <w:i/>
        </w:rPr>
        <w:t>Title Insurance</w:t>
      </w:r>
      <w:r w:rsidRPr="00F11188" w:rsidR="00A374E2">
        <w:t xml:space="preserve">) </w:t>
      </w:r>
      <w:r w:rsidRPr="00F11188" w:rsidR="00A77AE4">
        <w:t>[</w:t>
      </w:r>
      <w:r w:rsidRPr="00F11188" w:rsidR="001B2B3A">
        <w:t>“ </w:t>
      </w:r>
      <w:r w:rsidRPr="00F11188" w:rsidR="0088191E">
        <w:t>‘</w:t>
      </w:r>
      <w:r w:rsidRPr="00F11188" w:rsidR="00ED3C80">
        <w:t>A default confesses all the material facts in the complaint</w:t>
      </w:r>
      <w:r w:rsidRPr="00F11188" w:rsidR="00A77AE4">
        <w:t>’</w:t>
      </w:r>
      <w:r w:rsidRPr="00F11188" w:rsidR="005E14B2">
        <w:t> </w:t>
      </w:r>
      <w:r w:rsidRPr="00F11188" w:rsidR="00A77AE4">
        <w:t>”]</w:t>
      </w:r>
      <w:bookmarkEnd w:id="13"/>
      <w:r w:rsidRPr="00F11188" w:rsidR="005E14B2">
        <w:t>;</w:t>
      </w:r>
      <w:r w:rsidRPr="00F11188">
        <w:t xml:space="preserve"> 7 Witkin</w:t>
      </w:r>
      <w:r w:rsidRPr="00F11188" w:rsidR="00C03B1C">
        <w:t>,</w:t>
      </w:r>
      <w:r w:rsidRPr="00F11188">
        <w:t xml:space="preserve"> Cal. Proc</w:t>
      </w:r>
      <w:r w:rsidR="006F7566">
        <w:t>edure</w:t>
      </w:r>
      <w:r w:rsidRPr="00F11188">
        <w:t xml:space="preserve"> </w:t>
      </w:r>
      <w:r w:rsidR="00985643">
        <w:t>(5th</w:t>
      </w:r>
      <w:r w:rsidR="001E010D">
        <w:t xml:space="preserve"> ed. 2019</w:t>
      </w:r>
      <w:r w:rsidR="00985643">
        <w:t xml:space="preserve">) </w:t>
      </w:r>
      <w:r w:rsidRPr="004B3FDB" w:rsidR="00985643">
        <w:t>Proceedings Without Trial</w:t>
      </w:r>
      <w:r w:rsidR="00985643">
        <w:t xml:space="preserve">, </w:t>
      </w:r>
      <w:r w:rsidRPr="00F11188" w:rsidR="00DD2448">
        <w:t>§ </w:t>
      </w:r>
      <w:r w:rsidRPr="00F11188">
        <w:t>176 [“the defendant’s failure to answer has the same effect as an express admission of the matters well pleaded in the complaint”]</w:t>
      </w:r>
      <w:r w:rsidRPr="00F11188" w:rsidR="00137B31">
        <w:t>.)</w:t>
      </w:r>
    </w:p>
    <w:p w:rsidR="00C23024" w:rsidRPr="00F11188" w:rsidP="00F11188">
      <w:r w:rsidRPr="00F11188">
        <w:tab/>
      </w:r>
      <w:r w:rsidRPr="00F11188" w:rsidR="006D6CB9">
        <w:t>In 2006, w</w:t>
      </w:r>
      <w:r w:rsidRPr="00F11188" w:rsidR="001A3AA9">
        <w:t xml:space="preserve">hile still married, defendant Theodore Cohen met </w:t>
      </w:r>
      <w:r w:rsidRPr="00F11188" w:rsidR="00D508FA">
        <w:t xml:space="preserve">and began a romantic relationship with </w:t>
      </w:r>
      <w:r w:rsidR="00A03041">
        <w:t>plaintiff</w:t>
      </w:r>
      <w:r w:rsidRPr="00F11188" w:rsidR="001A3AA9">
        <w:t xml:space="preserve">. </w:t>
      </w:r>
      <w:r w:rsidRPr="00F11188" w:rsidR="00BD4257">
        <w:t xml:space="preserve"> In an attempt to persuade </w:t>
      </w:r>
      <w:r w:rsidR="00A03041">
        <w:t>plaintiff</w:t>
      </w:r>
      <w:r w:rsidRPr="00F11188" w:rsidR="00BD4257">
        <w:t xml:space="preserve"> </w:t>
      </w:r>
      <w:r w:rsidRPr="00F11188" w:rsidR="00D76E23">
        <w:t xml:space="preserve">to move to Los Angeles with him, </w:t>
      </w:r>
      <w:r w:rsidRPr="00F11188" w:rsidR="008B2F29">
        <w:t>Cohen</w:t>
      </w:r>
      <w:r w:rsidRPr="00F11188" w:rsidR="00D76E23">
        <w:t xml:space="preserve"> </w:t>
      </w:r>
      <w:r w:rsidRPr="00F11188" w:rsidR="00A63535">
        <w:t>made a number of promises</w:t>
      </w:r>
      <w:r w:rsidRPr="00F11188" w:rsidR="00B85467">
        <w:t xml:space="preserve">.  </w:t>
      </w:r>
      <w:r w:rsidR="00A03041">
        <w:t>Plaintiff</w:t>
      </w:r>
      <w:r w:rsidRPr="00F11188" w:rsidR="009C0F59">
        <w:t xml:space="preserve"> </w:t>
      </w:r>
      <w:r w:rsidRPr="00F11188">
        <w:t>committed to</w:t>
      </w:r>
      <w:r w:rsidRPr="00F11188" w:rsidR="006B4AEC">
        <w:t xml:space="preserve"> moving after </w:t>
      </w:r>
      <w:r w:rsidRPr="00F11188" w:rsidR="004202F7">
        <w:t xml:space="preserve">reaching an “agreement” with </w:t>
      </w:r>
      <w:r w:rsidRPr="00F11188" w:rsidR="008B2F29">
        <w:t>Cohen</w:t>
      </w:r>
      <w:r w:rsidRPr="00F11188" w:rsidR="004202F7">
        <w:t xml:space="preserve"> that he </w:t>
      </w:r>
      <w:r w:rsidRPr="00F11188" w:rsidR="00B85467">
        <w:t xml:space="preserve">“would pay for all her living expenses for the rest of her life” and </w:t>
      </w:r>
      <w:r w:rsidRPr="00F11188" w:rsidR="00FA7A7F">
        <w:t xml:space="preserve">that </w:t>
      </w:r>
      <w:r w:rsidRPr="00F11188" w:rsidR="00B85467">
        <w:t>“all property and income acquired by them during their relationship would be joint property.”</w:t>
      </w:r>
      <w:r w:rsidR="008B1EB4">
        <w:t xml:space="preserve">  </w:t>
      </w:r>
      <w:r w:rsidRPr="00F11188" w:rsidR="003B76C9">
        <w:t>During t</w:t>
      </w:r>
      <w:r w:rsidRPr="00F11188" w:rsidR="00B95638">
        <w:t>his time,</w:t>
      </w:r>
      <w:r w:rsidRPr="00F11188">
        <w:t xml:space="preserve"> </w:t>
      </w:r>
      <w:r w:rsidRPr="00F11188" w:rsidR="008B2F29">
        <w:t>Cohen</w:t>
      </w:r>
      <w:r w:rsidRPr="00F11188">
        <w:t xml:space="preserve"> told </w:t>
      </w:r>
      <w:r w:rsidR="007973CB">
        <w:t xml:space="preserve">plaintiff </w:t>
      </w:r>
      <w:r w:rsidRPr="00F11188" w:rsidR="00B95638">
        <w:t>he was</w:t>
      </w:r>
      <w:r w:rsidRPr="00F11188">
        <w:t xml:space="preserve"> </w:t>
      </w:r>
      <w:r w:rsidRPr="00F11188" w:rsidR="001B2B3A">
        <w:t>“</w:t>
      </w:r>
      <w:r w:rsidRPr="00F11188">
        <w:t xml:space="preserve">buying us a house.”  </w:t>
      </w:r>
      <w:r w:rsidRPr="00F11188" w:rsidR="008B2F29">
        <w:t>Cohen</w:t>
      </w:r>
      <w:r w:rsidRPr="00F11188">
        <w:t xml:space="preserve"> then proceed</w:t>
      </w:r>
      <w:r w:rsidR="00614E9A">
        <w:t>ed</w:t>
      </w:r>
      <w:r w:rsidRPr="00F11188">
        <w:t xml:space="preserve"> to purchase a</w:t>
      </w:r>
      <w:r w:rsidRPr="00F11188" w:rsidR="00470ACC">
        <w:t xml:space="preserve"> </w:t>
      </w:r>
      <w:r w:rsidRPr="00F11188">
        <w:t>property on Hollywood Boulevard</w:t>
      </w:r>
      <w:r w:rsidRPr="00F11188" w:rsidR="00494D70">
        <w:t xml:space="preserve"> (the Hollywood </w:t>
      </w:r>
      <w:r w:rsidRPr="00F11188" w:rsidR="00290627">
        <w:t>property</w:t>
      </w:r>
      <w:r w:rsidRPr="00F11188" w:rsidR="00494D70">
        <w:t>).</w:t>
      </w:r>
    </w:p>
    <w:p w:rsidR="00C23024" w:rsidRPr="00F11188" w:rsidP="00F11188">
      <w:r w:rsidRPr="00F11188">
        <w:tab/>
      </w:r>
      <w:r w:rsidRPr="00F11188" w:rsidR="009E1263">
        <w:t xml:space="preserve">A short time </w:t>
      </w:r>
      <w:r w:rsidRPr="00F11188" w:rsidR="00D113EE">
        <w:t>thereafter</w:t>
      </w:r>
      <w:r w:rsidRPr="00F11188">
        <w:t xml:space="preserve">, </w:t>
      </w:r>
      <w:r w:rsidR="007973CB">
        <w:t>plaintiff</w:t>
      </w:r>
      <w:r w:rsidRPr="00F11188">
        <w:t xml:space="preserve"> moved to Los Angeles.  </w:t>
      </w:r>
      <w:r w:rsidRPr="00F11188" w:rsidR="008B2F29">
        <w:t>Cohen</w:t>
      </w:r>
      <w:r w:rsidRPr="00F11188">
        <w:t xml:space="preserve"> initially kept his promises</w:t>
      </w:r>
      <w:r w:rsidRPr="00F11188">
        <w:t xml:space="preserve">, including by </w:t>
      </w:r>
      <w:r w:rsidRPr="00F11188" w:rsidR="00B95638">
        <w:t xml:space="preserve">providing </w:t>
      </w:r>
      <w:r w:rsidR="00FD1760">
        <w:t>plaintiff</w:t>
      </w:r>
      <w:r w:rsidRPr="00F11188" w:rsidR="00B95638">
        <w:t xml:space="preserve"> with a credit card and </w:t>
      </w:r>
      <w:r w:rsidRPr="00F11188">
        <w:t xml:space="preserve">paying “all of the bills and all of </w:t>
      </w:r>
      <w:r w:rsidRPr="00F11188" w:rsidR="00B55F57">
        <w:t>P</w:t>
      </w:r>
      <w:r w:rsidRPr="00F11188">
        <w:t xml:space="preserve">laintiff’s expenses.”  </w:t>
      </w:r>
      <w:r w:rsidRPr="00F11188" w:rsidR="008B2F29">
        <w:t>Cohen</w:t>
      </w:r>
      <w:r w:rsidRPr="00F11188" w:rsidR="000211D5">
        <w:t xml:space="preserve"> also formed a company, Tag Strategic LLC (Tag).  </w:t>
      </w:r>
      <w:r w:rsidR="00FD1760">
        <w:t>Plaintiff</w:t>
      </w:r>
      <w:r w:rsidRPr="00F11188" w:rsidR="000211D5">
        <w:t xml:space="preserve"> “help[ed] out” at Tag</w:t>
      </w:r>
      <w:r w:rsidRPr="00F11188" w:rsidR="003F1B49">
        <w:t xml:space="preserve">, </w:t>
      </w:r>
      <w:r w:rsidRPr="00F11188" w:rsidR="00A80A3E">
        <w:t>generating</w:t>
      </w:r>
      <w:r w:rsidRPr="00F11188" w:rsidR="003F1B49">
        <w:t xml:space="preserve"> through her efforts “</w:t>
      </w:r>
      <w:r w:rsidRPr="00F11188" w:rsidR="00313037">
        <w:t>approximately $1.4 million revenue for Tag.”</w:t>
      </w:r>
      <w:r w:rsidRPr="00F11188" w:rsidR="000211D5">
        <w:t xml:space="preserve">  </w:t>
      </w:r>
      <w:r w:rsidRPr="00F11188" w:rsidR="00B37FE9">
        <w:t xml:space="preserve">Despite her work, </w:t>
      </w:r>
      <w:r w:rsidRPr="00F11188" w:rsidR="008B2F29">
        <w:t>Cohen</w:t>
      </w:r>
      <w:r w:rsidRPr="00F11188" w:rsidR="00B37FE9">
        <w:t xml:space="preserve"> did not share Tag’s profits with </w:t>
      </w:r>
      <w:r w:rsidR="00FD1760">
        <w:t>plaintiff</w:t>
      </w:r>
      <w:r w:rsidRPr="00F11188" w:rsidR="00B37FE9">
        <w:t>.  Instead, he told her he “was going to pay her $5,000 a month as a ‘token gesture.’</w:t>
      </w:r>
      <w:r w:rsidRPr="00F11188" w:rsidR="006B0D59">
        <w:t> </w:t>
      </w:r>
      <w:r w:rsidRPr="00F11188" w:rsidR="00B37FE9">
        <w:t xml:space="preserve">”  </w:t>
      </w:r>
      <w:r w:rsidRPr="00F11188" w:rsidR="008B2F29">
        <w:t>Cohen</w:t>
      </w:r>
      <w:r w:rsidRPr="00F11188" w:rsidR="00B37FE9">
        <w:t>, however, did not honor that promise</w:t>
      </w:r>
      <w:r w:rsidRPr="00F11188" w:rsidR="00A31F11">
        <w:t xml:space="preserve"> and </w:t>
      </w:r>
      <w:r w:rsidR="00876F1F">
        <w:t xml:space="preserve">instead </w:t>
      </w:r>
      <w:r w:rsidRPr="00F11188" w:rsidR="00A31F11">
        <w:t>paid</w:t>
      </w:r>
      <w:r w:rsidRPr="00F11188" w:rsidR="00B37FE9">
        <w:t xml:space="preserve"> </w:t>
      </w:r>
      <w:r w:rsidR="00FD1760">
        <w:t>plaintiff</w:t>
      </w:r>
      <w:r w:rsidRPr="00F11188" w:rsidR="00B37FE9">
        <w:t xml:space="preserve"> $2,000 a month for a span of ten months.</w:t>
      </w:r>
    </w:p>
    <w:p w:rsidR="00B37FE9" w:rsidRPr="00F11188" w:rsidP="00F11188">
      <w:r w:rsidRPr="00F11188">
        <w:tab/>
        <w:t xml:space="preserve">By April </w:t>
      </w:r>
      <w:bookmarkStart w:id="14" w:name="Psych_Cite_13"/>
      <w:r w:rsidRPr="00F11188">
        <w:t xml:space="preserve">2011, </w:t>
      </w:r>
      <w:r w:rsidR="00816284">
        <w:t>pl</w:t>
      </w:r>
      <w:bookmarkEnd w:id="14"/>
      <w:r w:rsidR="00816284">
        <w:t>aintiff</w:t>
      </w:r>
      <w:r w:rsidRPr="00F11188" w:rsidR="005D23C3">
        <w:t xml:space="preserve"> had become dissatisfied with the relationship</w:t>
      </w:r>
      <w:r w:rsidRPr="00F11188" w:rsidR="00B216A3">
        <w:t xml:space="preserve"> and left Los Angeles</w:t>
      </w:r>
      <w:r w:rsidRPr="00F11188" w:rsidR="005D23C3">
        <w:t xml:space="preserve">.  </w:t>
      </w:r>
      <w:r w:rsidRPr="00F11188" w:rsidR="00607C20">
        <w:t>In response</w:t>
      </w:r>
      <w:r w:rsidRPr="00F11188" w:rsidR="00B66DAB">
        <w:t xml:space="preserve"> to </w:t>
      </w:r>
      <w:r w:rsidRPr="00F11188" w:rsidR="00E147C8">
        <w:t xml:space="preserve">Cohen’s importuning </w:t>
      </w:r>
      <w:r w:rsidRPr="00F11188" w:rsidR="005B571D">
        <w:t xml:space="preserve">her to </w:t>
      </w:r>
      <w:r w:rsidRPr="00F11188" w:rsidR="006B5BF1">
        <w:t>return</w:t>
      </w:r>
      <w:r w:rsidRPr="00F11188" w:rsidR="00E147C8">
        <w:t>,</w:t>
      </w:r>
      <w:r w:rsidRPr="00F11188" w:rsidR="00607C20">
        <w:t xml:space="preserve"> </w:t>
      </w:r>
      <w:r w:rsidR="00816284">
        <w:t>plaintiff</w:t>
      </w:r>
      <w:r w:rsidRPr="00F11188" w:rsidR="00607C20">
        <w:t xml:space="preserve"> sent </w:t>
      </w:r>
      <w:r w:rsidRPr="00F11188" w:rsidR="008B2F29">
        <w:t>Cohen</w:t>
      </w:r>
      <w:r w:rsidRPr="00F11188" w:rsidR="00B66DAB">
        <w:t xml:space="preserve"> an e</w:t>
      </w:r>
      <w:r w:rsidR="006F7566">
        <w:t>-</w:t>
      </w:r>
      <w:r w:rsidRPr="00F11188" w:rsidR="00B66DAB">
        <w:t>mail with</w:t>
      </w:r>
      <w:r w:rsidRPr="00F11188" w:rsidR="00607C20">
        <w:t xml:space="preserve"> “a list of items that needed to be satisfied for her to consider returning to him.”  </w:t>
      </w:r>
      <w:r w:rsidRPr="00F11188" w:rsidR="008B2F29">
        <w:t>Cohen</w:t>
      </w:r>
      <w:r w:rsidRPr="00F11188" w:rsidR="00607C20">
        <w:t xml:space="preserve"> “agreed to Plaintiff’s list.”  </w:t>
      </w:r>
      <w:r w:rsidR="00274C6B">
        <w:t>Plaintiff</w:t>
      </w:r>
      <w:r w:rsidRPr="00F11188" w:rsidR="00607C20">
        <w:t xml:space="preserve"> understood </w:t>
      </w:r>
      <w:r w:rsidRPr="00F11188" w:rsidR="009A3B81">
        <w:t>from this that</w:t>
      </w:r>
      <w:r w:rsidRPr="00F11188" w:rsidR="00607C20">
        <w:t xml:space="preserve"> “Tag would be owned 50% by her and </w:t>
      </w:r>
      <w:r w:rsidRPr="00F11188" w:rsidR="008B2F29">
        <w:t>Cohen</w:t>
      </w:r>
      <w:r w:rsidRPr="00F11188" w:rsidR="00607C20">
        <w:t>, equally, as was all of the other income and property obtained during the relationship.”</w:t>
      </w:r>
    </w:p>
    <w:p w:rsidR="00AF77CA" w:rsidRPr="00F11188" w:rsidP="00F11188">
      <w:r w:rsidRPr="00F11188">
        <w:tab/>
      </w:r>
      <w:r w:rsidRPr="00F11188">
        <w:t xml:space="preserve">Mollified, </w:t>
      </w:r>
      <w:r w:rsidR="00893C9F">
        <w:t>plaintiff</w:t>
      </w:r>
      <w:r w:rsidRPr="00F11188">
        <w:t xml:space="preserve"> returned to Los Angeles</w:t>
      </w:r>
      <w:r w:rsidRPr="00F11188" w:rsidR="002C7E18">
        <w:t>, at which point</w:t>
      </w:r>
      <w:r w:rsidRPr="00F11188" w:rsidR="006A74CF">
        <w:t xml:space="preserve"> </w:t>
      </w:r>
      <w:r w:rsidRPr="00F11188" w:rsidR="00973E41">
        <w:t>Cohen</w:t>
      </w:r>
      <w:r w:rsidRPr="00F11188">
        <w:t xml:space="preserve"> told her, “I am buying you a house.”  </w:t>
      </w:r>
      <w:r w:rsidRPr="00F11188" w:rsidR="00973E41">
        <w:t>Cohen</w:t>
      </w:r>
      <w:r w:rsidRPr="00F11188">
        <w:t xml:space="preserve"> the</w:t>
      </w:r>
      <w:r w:rsidRPr="00F11188" w:rsidR="007C755E">
        <w:t>n</w:t>
      </w:r>
      <w:r w:rsidRPr="00F11188">
        <w:t xml:space="preserve"> purchased a house located on Oakley Drive (the Oakley property).</w:t>
      </w:r>
      <w:r w:rsidRPr="00F11188" w:rsidR="00B05B14">
        <w:t xml:space="preserve">  Sometime thereafter, </w:t>
      </w:r>
      <w:r w:rsidRPr="00F11188" w:rsidR="00973E41">
        <w:t>Cohen</w:t>
      </w:r>
      <w:r w:rsidRPr="00F11188" w:rsidR="00B05B14">
        <w:t xml:space="preserve"> sold the Hollywood </w:t>
      </w:r>
      <w:r w:rsidRPr="00F11188" w:rsidR="00AC459C">
        <w:t>property</w:t>
      </w:r>
      <w:r w:rsidRPr="00F11188" w:rsidR="00B05B14">
        <w:t xml:space="preserve">. </w:t>
      </w:r>
      <w:r w:rsidRPr="00F11188" w:rsidR="008263BD">
        <w:t xml:space="preserve"> “Upon information and belief,” </w:t>
      </w:r>
      <w:r w:rsidR="00893C9F">
        <w:t>plaintiff</w:t>
      </w:r>
      <w:r w:rsidRPr="00F11188" w:rsidR="008263BD">
        <w:t xml:space="preserve"> allege</w:t>
      </w:r>
      <w:r w:rsidRPr="00F11188" w:rsidR="00AE5BB7">
        <w:t>d</w:t>
      </w:r>
      <w:r w:rsidRPr="00F11188" w:rsidR="008263BD">
        <w:t xml:space="preserve"> that </w:t>
      </w:r>
      <w:r w:rsidRPr="00F11188" w:rsidR="00973E41">
        <w:t>Cohen</w:t>
      </w:r>
      <w:r w:rsidRPr="00F11188" w:rsidR="008263BD">
        <w:t xml:space="preserve"> “made a profit of more than $300,000” from th</w:t>
      </w:r>
      <w:r w:rsidRPr="00F11188" w:rsidR="00755AE3">
        <w:t>e</w:t>
      </w:r>
      <w:r w:rsidRPr="00F11188" w:rsidR="008263BD">
        <w:t xml:space="preserve"> sale.</w:t>
      </w:r>
    </w:p>
    <w:p w:rsidR="008263BD" w:rsidRPr="00F11188" w:rsidP="00F11188">
      <w:r w:rsidRPr="00F11188">
        <w:tab/>
        <w:t xml:space="preserve">At around the same time that </w:t>
      </w:r>
      <w:r w:rsidRPr="00F11188" w:rsidR="00973E41">
        <w:t>Cohen</w:t>
      </w:r>
      <w:r w:rsidRPr="00F11188">
        <w:t xml:space="preserve"> bought the Oakley property, </w:t>
      </w:r>
      <w:r w:rsidR="00F41EDD">
        <w:t>plaintiff</w:t>
      </w:r>
      <w:r w:rsidRPr="00F11188">
        <w:t xml:space="preserve"> “purchased $25,000 worth of Class B shares in Rock &amp; Reilly’s LLC</w:t>
      </w:r>
      <w:r w:rsidRPr="00F11188" w:rsidR="000C049D">
        <w:t>,</w:t>
      </w:r>
      <w:r w:rsidRPr="00F11188">
        <w:t>”</w:t>
      </w:r>
      <w:r w:rsidRPr="00F11188" w:rsidR="000C049D">
        <w:t xml:space="preserve"> a company located in Los Angeles.</w:t>
      </w:r>
      <w:r w:rsidRPr="00F11188">
        <w:t xml:space="preserve">  Although </w:t>
      </w:r>
      <w:r w:rsidR="00F41EDD">
        <w:t>plaintiff</w:t>
      </w:r>
      <w:r w:rsidRPr="00F11188">
        <w:t xml:space="preserve"> made the purchase, the shares</w:t>
      </w:r>
      <w:r w:rsidRPr="00F11188" w:rsidR="008C0732">
        <w:t xml:space="preserve"> were </w:t>
      </w:r>
      <w:r w:rsidRPr="00F11188" w:rsidR="001D0197">
        <w:t>held</w:t>
      </w:r>
      <w:r w:rsidRPr="00F11188" w:rsidR="008C0732">
        <w:t xml:space="preserve"> in</w:t>
      </w:r>
      <w:r w:rsidRPr="00F11188" w:rsidR="000B78EF">
        <w:t xml:space="preserve"> </w:t>
      </w:r>
      <w:r w:rsidRPr="00F11188" w:rsidR="00973E41">
        <w:t>Cohen</w:t>
      </w:r>
      <w:r w:rsidRPr="00F11188">
        <w:t>’s name.</w:t>
      </w:r>
    </w:p>
    <w:p w:rsidR="008263BD" w:rsidRPr="00F11188" w:rsidP="00F11188">
      <w:r w:rsidRPr="00F11188">
        <w:tab/>
      </w:r>
      <w:r w:rsidRPr="00F11188" w:rsidR="00CC7BDD">
        <w:t xml:space="preserve">Despite the couple’s various financial entanglements, </w:t>
      </w:r>
      <w:r w:rsidRPr="00F11188" w:rsidR="00973E41">
        <w:t>Cohen</w:t>
      </w:r>
      <w:r w:rsidRPr="00F11188" w:rsidR="005B5752">
        <w:t xml:space="preserve"> still had not </w:t>
      </w:r>
      <w:r w:rsidRPr="00F11188" w:rsidR="007D2A12">
        <w:t xml:space="preserve">divorced </w:t>
      </w:r>
      <w:r w:rsidRPr="00F11188" w:rsidR="005B5752">
        <w:t>his wife</w:t>
      </w:r>
      <w:r w:rsidRPr="00F11188" w:rsidR="00424B9E">
        <w:t>.  I</w:t>
      </w:r>
      <w:r w:rsidRPr="00F11188" w:rsidR="005B5752">
        <w:t xml:space="preserve">n December </w:t>
      </w:r>
      <w:bookmarkStart w:id="15" w:name="Psych_Cite_14"/>
      <w:r w:rsidRPr="00F11188" w:rsidR="005B5752">
        <w:t>2012</w:t>
      </w:r>
      <w:r w:rsidRPr="00F11188" w:rsidR="00424B9E">
        <w:t>,</w:t>
      </w:r>
      <w:r w:rsidR="00F41EDD">
        <w:t xml:space="preserve"> pl</w:t>
      </w:r>
      <w:bookmarkEnd w:id="15"/>
      <w:r w:rsidR="00F41EDD">
        <w:t xml:space="preserve">aintiff </w:t>
      </w:r>
      <w:r w:rsidRPr="00F11188" w:rsidR="00424B9E">
        <w:t xml:space="preserve">moved out of the Oakley </w:t>
      </w:r>
      <w:r w:rsidRPr="00F11188" w:rsidR="00D033E6">
        <w:t>property</w:t>
      </w:r>
      <w:r w:rsidRPr="00F11188" w:rsidR="00E3247A">
        <w:t xml:space="preserve">.  For a while thereafter, </w:t>
      </w:r>
      <w:r w:rsidRPr="00F11188" w:rsidR="00973E41">
        <w:t>Cohen</w:t>
      </w:r>
      <w:r w:rsidRPr="00F11188" w:rsidR="00E3247A">
        <w:t xml:space="preserve"> “continued to perform his agreement to provide Plaintiff with financial support and pay all of her expenses.”  </w:t>
      </w:r>
      <w:r w:rsidRPr="00F11188" w:rsidR="007A7096">
        <w:t>Eventually</w:t>
      </w:r>
      <w:r w:rsidRPr="00F11188" w:rsidR="008D3B9D">
        <w:t>,</w:t>
      </w:r>
      <w:r w:rsidRPr="00F11188" w:rsidR="00F71951">
        <w:t xml:space="preserve"> </w:t>
      </w:r>
      <w:r w:rsidRPr="00F11188" w:rsidR="00973E41">
        <w:t>Cohen</w:t>
      </w:r>
      <w:r w:rsidRPr="00F11188" w:rsidR="00F71951">
        <w:t xml:space="preserve"> stopped paying</w:t>
      </w:r>
      <w:r w:rsidRPr="00F11188" w:rsidR="007A7096">
        <w:t xml:space="preserve">. </w:t>
      </w:r>
      <w:r w:rsidRPr="00F11188" w:rsidR="005A39E5">
        <w:t xml:space="preserve"> </w:t>
      </w:r>
      <w:r w:rsidR="00F41EDD">
        <w:t>Plaintiff</w:t>
      </w:r>
      <w:r w:rsidRPr="00F11188" w:rsidR="005B5752">
        <w:t xml:space="preserve"> sued.</w:t>
      </w:r>
    </w:p>
    <w:p w:rsidR="005B5752" w:rsidRPr="00F11188" w:rsidP="00F11188">
      <w:r w:rsidRPr="00F11188">
        <w:tab/>
      </w:r>
      <w:r w:rsidR="00EA75B8">
        <w:t>Plaintiff</w:t>
      </w:r>
      <w:r w:rsidRPr="00F11188">
        <w:t>’s complaint</w:t>
      </w:r>
      <w:r w:rsidR="00887686">
        <w:t>, brought against Cohen, Tag, and multiple Doe,</w:t>
      </w:r>
      <w:r w:rsidRPr="00F11188">
        <w:t xml:space="preserve"> allege</w:t>
      </w:r>
      <w:r w:rsidRPr="00F11188" w:rsidR="003953C9">
        <w:t>d</w:t>
      </w:r>
      <w:r w:rsidRPr="00F11188">
        <w:t xml:space="preserve"> seven causes of action.</w:t>
      </w:r>
      <w:r w:rsidRPr="00F11188" w:rsidR="001117F0">
        <w:t xml:space="preserve">  The first</w:t>
      </w:r>
      <w:r w:rsidRPr="00F11188" w:rsidR="000B0271">
        <w:t xml:space="preserve"> assert</w:t>
      </w:r>
      <w:r w:rsidRPr="00F11188" w:rsidR="003953C9">
        <w:t>ed</w:t>
      </w:r>
      <w:r w:rsidRPr="00F11188" w:rsidR="000B0271">
        <w:t xml:space="preserve"> that </w:t>
      </w:r>
      <w:r w:rsidRPr="00F11188" w:rsidR="00973E41">
        <w:t>Cohen</w:t>
      </w:r>
      <w:r w:rsidRPr="00F11188" w:rsidR="00A106B8">
        <w:t xml:space="preserve"> breach</w:t>
      </w:r>
      <w:r w:rsidRPr="00F11188" w:rsidR="000B0271">
        <w:t>ed</w:t>
      </w:r>
      <w:r w:rsidRPr="00F11188" w:rsidR="00A106B8">
        <w:t xml:space="preserve"> the </w:t>
      </w:r>
      <w:r w:rsidRPr="00F11188" w:rsidR="007E2EC0">
        <w:t>couple’</w:t>
      </w:r>
      <w:r w:rsidRPr="00F11188" w:rsidR="00E57930">
        <w:t>s</w:t>
      </w:r>
      <w:r w:rsidRPr="00F11188" w:rsidR="007E2EC0">
        <w:t xml:space="preserve"> </w:t>
      </w:r>
      <w:r w:rsidRPr="00F11188" w:rsidR="00CB681A">
        <w:t xml:space="preserve">so-called </w:t>
      </w:r>
      <w:r w:rsidRPr="00F11188" w:rsidR="00A106B8">
        <w:rPr>
          <w:i/>
        </w:rPr>
        <w:t>Marvin</w:t>
      </w:r>
      <w:r w:rsidRPr="00F11188" w:rsidR="00A106B8">
        <w:t xml:space="preserve"> agreement</w:t>
      </w:r>
      <w:r w:rsidRPr="00F11188" w:rsidR="007E2EC0">
        <w:t>, or a contract between nonmarital partners</w:t>
      </w:r>
      <w:r w:rsidRPr="00F11188" w:rsidR="00A106B8">
        <w:t>.</w:t>
      </w:r>
      <w:r w:rsidRPr="00F11188" w:rsidR="007E2EC0">
        <w:t xml:space="preserve">  (</w:t>
      </w:r>
      <w:bookmarkStart w:id="16" w:name="Psych_Cite_15"/>
      <w:r w:rsidRPr="00F11188" w:rsidR="007E2EC0">
        <w:t xml:space="preserve">See </w:t>
      </w:r>
      <w:r w:rsidRPr="00F11188" w:rsidR="007E2EC0">
        <w:rPr>
          <w:i/>
        </w:rPr>
        <w:t>Marvin v. Marvin</w:t>
      </w:r>
      <w:r w:rsidRPr="00F11188" w:rsidR="007E2EC0">
        <w:t xml:space="preserve"> (1976) 18 Cal.3d 660, 665 (</w:t>
      </w:r>
      <w:r w:rsidRPr="00F11188" w:rsidR="007E2EC0">
        <w:rPr>
          <w:i/>
        </w:rPr>
        <w:t>Marvin</w:t>
      </w:r>
      <w:r w:rsidRPr="00F11188" w:rsidR="007E2EC0">
        <w:t xml:space="preserve">) [holding that </w:t>
      </w:r>
      <w:r w:rsidRPr="00F11188" w:rsidR="00867D0A">
        <w:t>“courts should enforce express contracts between nonmarital partners”</w:t>
      </w:r>
      <w:r w:rsidRPr="00F11188" w:rsidR="007E2EC0">
        <w:t>]</w:t>
      </w:r>
      <w:bookmarkEnd w:id="16"/>
      <w:r w:rsidRPr="00F11188" w:rsidR="00867D0A">
        <w:t>.)</w:t>
      </w:r>
      <w:r w:rsidRPr="00F11188" w:rsidR="00AE5609">
        <w:t xml:space="preserve">  </w:t>
      </w:r>
      <w:r w:rsidRPr="00F11188" w:rsidR="0031570B">
        <w:t xml:space="preserve">Although </w:t>
      </w:r>
      <w:r w:rsidR="008C0509">
        <w:t>demanding</w:t>
      </w:r>
      <w:r w:rsidRPr="00F11188" w:rsidR="008C0509">
        <w:t xml:space="preserve"> </w:t>
      </w:r>
      <w:r w:rsidRPr="00F11188" w:rsidR="0031570B">
        <w:t>consequential damages</w:t>
      </w:r>
      <w:r w:rsidR="008C0509">
        <w:t xml:space="preserve"> for that breach</w:t>
      </w:r>
      <w:r w:rsidRPr="00F11188" w:rsidR="0031570B">
        <w:t xml:space="preserve"> “in an amount to be determined at trial,” </w:t>
      </w:r>
      <w:r w:rsidR="004F3F88">
        <w:t>plaintiff</w:t>
      </w:r>
      <w:r w:rsidRPr="00F11188" w:rsidR="0031570B">
        <w:t xml:space="preserve"> also</w:t>
      </w:r>
      <w:r w:rsidRPr="00F11188" w:rsidR="0030629C">
        <w:t xml:space="preserve"> request</w:t>
      </w:r>
      <w:r w:rsidRPr="00F11188" w:rsidR="00161709">
        <w:t>ed</w:t>
      </w:r>
      <w:r w:rsidRPr="00F11188" w:rsidR="0031570B">
        <w:t xml:space="preserve"> “a constructive trust over (1) all of the property purchased during the term of the relationship, (2) all of the income earned by Tag since May 30, 2006, and (3) all income earned by </w:t>
      </w:r>
      <w:r w:rsidRPr="00F11188" w:rsidR="0000246B">
        <w:t xml:space="preserve">[Cohen] </w:t>
      </w:r>
      <w:r w:rsidRPr="00F11188" w:rsidR="0031570B">
        <w:t>since May 2006.”</w:t>
      </w:r>
    </w:p>
    <w:p w:rsidR="00B23FB5" w:rsidRPr="00F11188" w:rsidP="00F11188">
      <w:r w:rsidRPr="00F11188">
        <w:tab/>
      </w:r>
      <w:r w:rsidRPr="00F11188" w:rsidR="000B4CCF">
        <w:t xml:space="preserve">Plaintiff’s second cause of action </w:t>
      </w:r>
      <w:r w:rsidRPr="00F11188" w:rsidR="00F06607">
        <w:t>was</w:t>
      </w:r>
      <w:r w:rsidRPr="00F11188" w:rsidR="000B4CCF">
        <w:t xml:space="preserve"> brought against Tag for its “failure to pay wages.”  </w:t>
      </w:r>
      <w:r w:rsidRPr="00F11188" w:rsidR="001D0334">
        <w:t>P</w:t>
      </w:r>
      <w:r w:rsidRPr="00F11188" w:rsidR="00534836">
        <w:t>laintiff</w:t>
      </w:r>
      <w:r w:rsidRPr="00F11188" w:rsidR="0082713B">
        <w:t xml:space="preserve"> also br</w:t>
      </w:r>
      <w:r w:rsidRPr="00F11188" w:rsidR="000945E1">
        <w:t>ought</w:t>
      </w:r>
      <w:r w:rsidRPr="00F11188" w:rsidR="0082713B">
        <w:t xml:space="preserve"> a claim for the</w:t>
      </w:r>
      <w:r w:rsidRPr="00F11188" w:rsidR="00534836">
        <w:t xml:space="preserve"> “waiting time penalties” she </w:t>
      </w:r>
      <w:r w:rsidR="00F978FC">
        <w:t xml:space="preserve">alleged she </w:t>
      </w:r>
      <w:r w:rsidRPr="00F11188" w:rsidR="001064D3">
        <w:t>was</w:t>
      </w:r>
      <w:r w:rsidRPr="00F11188" w:rsidR="00534836">
        <w:t xml:space="preserve"> “entitled to [under] </w:t>
      </w:r>
      <w:bookmarkStart w:id="17" w:name="Psych_Cite_16"/>
      <w:r w:rsidRPr="00F11188" w:rsidR="00534836">
        <w:t xml:space="preserve">Labor Code </w:t>
      </w:r>
      <w:r w:rsidRPr="00F11188" w:rsidR="00DD2448">
        <w:t>§ </w:t>
      </w:r>
      <w:r w:rsidRPr="00F11188" w:rsidR="00534836">
        <w:t>203</w:t>
      </w:r>
      <w:bookmarkEnd w:id="17"/>
      <w:r w:rsidRPr="00F11188" w:rsidR="00534836">
        <w:t>, equal to thirty (3</w:t>
      </w:r>
      <w:r w:rsidRPr="00F11188" w:rsidR="001409FB">
        <w:t>0</w:t>
      </w:r>
      <w:r w:rsidRPr="00F11188" w:rsidR="00534836">
        <w:t xml:space="preserve">) days wages.”  </w:t>
      </w:r>
      <w:r w:rsidRPr="00F11188" w:rsidR="00351370">
        <w:t>Plaintiff</w:t>
      </w:r>
      <w:r w:rsidRPr="00F11188" w:rsidR="003C6319">
        <w:t xml:space="preserve"> </w:t>
      </w:r>
      <w:r w:rsidRPr="00F11188" w:rsidR="006A52D7">
        <w:t>next</w:t>
      </w:r>
      <w:r w:rsidRPr="00F11188" w:rsidR="0082713B">
        <w:t xml:space="preserve"> </w:t>
      </w:r>
      <w:r w:rsidRPr="00F11188" w:rsidR="00AA3F3D">
        <w:t>asserted</w:t>
      </w:r>
      <w:r w:rsidRPr="00F11188" w:rsidR="0082713B">
        <w:t xml:space="preserve"> a claim for quantum meruit against all defendants, seeking to </w:t>
      </w:r>
      <w:r w:rsidRPr="00F11188" w:rsidR="002933CF">
        <w:t>“recover the reasonable value of the services she provided to Tag</w:t>
      </w:r>
      <w:r w:rsidRPr="00F11188" w:rsidR="0082713B">
        <w:t>.</w:t>
      </w:r>
      <w:r w:rsidRPr="00F11188" w:rsidR="002933CF">
        <w:t>”</w:t>
      </w:r>
    </w:p>
    <w:p w:rsidR="00654765" w:rsidRPr="00F11188" w:rsidP="00F11188">
      <w:r w:rsidRPr="00F11188">
        <w:tab/>
      </w:r>
      <w:r w:rsidR="00114566">
        <w:t>Plaintiff</w:t>
      </w:r>
      <w:r w:rsidRPr="00F11188" w:rsidR="00305811">
        <w:t xml:space="preserve">’s </w:t>
      </w:r>
      <w:r w:rsidRPr="00F11188" w:rsidR="007E2179">
        <w:t xml:space="preserve">next </w:t>
      </w:r>
      <w:r w:rsidRPr="00F11188" w:rsidR="007A1DF9">
        <w:t>claim</w:t>
      </w:r>
      <w:r w:rsidRPr="00F11188" w:rsidR="00305811">
        <w:t xml:space="preserve"> is the focus of this case.  In this </w:t>
      </w:r>
      <w:r w:rsidRPr="00F11188" w:rsidR="007A1DF9">
        <w:t>cause of action</w:t>
      </w:r>
      <w:r w:rsidRPr="00F11188" w:rsidR="00305811">
        <w:t xml:space="preserve">, </w:t>
      </w:r>
      <w:r w:rsidR="00A66EFE">
        <w:t xml:space="preserve">she </w:t>
      </w:r>
      <w:r w:rsidRPr="00F11188" w:rsidR="00305811">
        <w:t>demand</w:t>
      </w:r>
      <w:r w:rsidRPr="00F11188" w:rsidR="00EE630F">
        <w:t>ed</w:t>
      </w:r>
      <w:r w:rsidRPr="00F11188" w:rsidR="00305811">
        <w:t xml:space="preserve"> “an accounting of all property </w:t>
      </w:r>
      <w:r w:rsidRPr="00F11188" w:rsidR="00330FD4">
        <w:t xml:space="preserve">purchased and income earned during the relationship, including but not limited to:  (1) the Hollywood House, (2) the Oakley House, (3) the Rock &amp; Reilly stock, (4) Tag, and (5) all income earned by </w:t>
      </w:r>
      <w:r w:rsidR="00DE1DB3">
        <w:t>[Cohen]</w:t>
      </w:r>
      <w:r w:rsidRPr="00F11188" w:rsidR="00330FD4">
        <w:t>.”</w:t>
      </w:r>
    </w:p>
    <w:p w:rsidR="00E4398C" w:rsidRPr="00F11188" w:rsidP="00F11188">
      <w:r w:rsidRPr="00F11188">
        <w:tab/>
      </w:r>
      <w:r w:rsidR="00532ED1">
        <w:t>Plaintiff’</w:t>
      </w:r>
      <w:r w:rsidRPr="00F11188">
        <w:t xml:space="preserve">s </w:t>
      </w:r>
      <w:r w:rsidRPr="00F11188" w:rsidR="00842746">
        <w:t xml:space="preserve">final </w:t>
      </w:r>
      <w:r w:rsidRPr="00F11188">
        <w:t xml:space="preserve">causes of action </w:t>
      </w:r>
      <w:r w:rsidRPr="00F11188" w:rsidR="00750A8E">
        <w:t>were</w:t>
      </w:r>
      <w:r w:rsidRPr="00F11188">
        <w:t xml:space="preserve"> for fraud and fraudulent transfer of assets from Tag to Cohen</w:t>
      </w:r>
      <w:r w:rsidRPr="00F11188" w:rsidR="0048014D">
        <w:t xml:space="preserve">.  </w:t>
      </w:r>
      <w:r w:rsidR="00E7283F">
        <w:t>S</w:t>
      </w:r>
      <w:r w:rsidR="00AF4439">
        <w:t>he</w:t>
      </w:r>
      <w:r w:rsidRPr="00F11188" w:rsidR="003F367B">
        <w:t xml:space="preserve"> allege</w:t>
      </w:r>
      <w:r w:rsidRPr="00F11188" w:rsidR="004378B7">
        <w:t>d</w:t>
      </w:r>
      <w:r w:rsidRPr="00F11188" w:rsidR="003F367B">
        <w:t xml:space="preserve"> within these causes of action that </w:t>
      </w:r>
      <w:r w:rsidRPr="00F11188" w:rsidR="00F53B27">
        <w:t>Cohen</w:t>
      </w:r>
      <w:r w:rsidRPr="00F11188" w:rsidR="0025553B">
        <w:t xml:space="preserve"> “repeatedly” made </w:t>
      </w:r>
      <w:r w:rsidRPr="00F11188" w:rsidR="00E83C48">
        <w:t xml:space="preserve">false </w:t>
      </w:r>
      <w:r w:rsidRPr="00F11188" w:rsidR="0025553B">
        <w:t>representations</w:t>
      </w:r>
      <w:r w:rsidRPr="00F11188" w:rsidR="00AF5559">
        <w:t xml:space="preserve"> to her</w:t>
      </w:r>
      <w:r w:rsidRPr="00F11188" w:rsidR="0025553B">
        <w:t xml:space="preserve">.  </w:t>
      </w:r>
      <w:r w:rsidRPr="00F11188" w:rsidR="009F4656">
        <w:t>A</w:t>
      </w:r>
      <w:r w:rsidRPr="00F11188" w:rsidR="0025553B">
        <w:t xml:space="preserve">s a result of </w:t>
      </w:r>
      <w:r w:rsidRPr="00F11188" w:rsidR="00F53B27">
        <w:t>Cohen</w:t>
      </w:r>
      <w:r w:rsidRPr="00F11188" w:rsidR="0025553B">
        <w:t>’s misrepresentations,</w:t>
      </w:r>
      <w:r w:rsidR="00532ED1">
        <w:t xml:space="preserve"> plaintiff </w:t>
      </w:r>
      <w:r w:rsidR="00FF2258">
        <w:t xml:space="preserve">asserted </w:t>
      </w:r>
      <w:r w:rsidRPr="00F11188" w:rsidR="00E34A1B">
        <w:t xml:space="preserve">she </w:t>
      </w:r>
      <w:r w:rsidRPr="00F11188" w:rsidR="0025553B">
        <w:t>“suffered actual damages in a sum to be determined at trial, which Plaintiff alleges is in excess of at least the sum of $700,000, which represents 50% of the revenue brought to Tag by Plaintiff, along with an unknown sum which represents 50% of all profits earned by Tag, and the additional sum of no less than $3,000,</w:t>
      </w:r>
      <w:r w:rsidRPr="00F11188" w:rsidR="00F050F7">
        <w:t>000, which represents 50% of the fair market value of (a)</w:t>
      </w:r>
      <w:r w:rsidR="005A1CFD">
        <w:t> </w:t>
      </w:r>
      <w:r w:rsidRPr="00F11188" w:rsidR="00F050F7">
        <w:t xml:space="preserve">the Hollywood House received by defendant Cohen when he sold that house without Plaintiff’s consent, and (b) the Oakley House.”  </w:t>
      </w:r>
      <w:r w:rsidRPr="00F11188" w:rsidR="00B1349D">
        <w:t xml:space="preserve">In addition to her actual damages, </w:t>
      </w:r>
      <w:r w:rsidR="00EB3022">
        <w:t>plaintiff</w:t>
      </w:r>
      <w:r w:rsidRPr="00F11188" w:rsidR="00B1349D">
        <w:t xml:space="preserve"> prayed for “special damages in a sum to be determined at trial.”</w:t>
      </w:r>
    </w:p>
    <w:p w:rsidR="004A003B" w:rsidRPr="00F11188" w:rsidP="00F11188">
      <w:r w:rsidRPr="00F11188">
        <w:tab/>
      </w:r>
      <w:r w:rsidR="00EB3022">
        <w:t>Plaintiff</w:t>
      </w:r>
      <w:r w:rsidRPr="00F11188" w:rsidR="00CB3D3B">
        <w:t xml:space="preserve"> include</w:t>
      </w:r>
      <w:r w:rsidRPr="00F11188" w:rsidR="008A3AAB">
        <w:t>d</w:t>
      </w:r>
      <w:r w:rsidRPr="00F11188" w:rsidR="00CB3D3B">
        <w:t xml:space="preserve"> a prayer for relief </w:t>
      </w:r>
      <w:r w:rsidRPr="00F11188" w:rsidR="004455FC">
        <w:t>in</w:t>
      </w:r>
      <w:r w:rsidRPr="00F11188" w:rsidR="00CB3D3B">
        <w:t xml:space="preserve"> her complaint</w:t>
      </w:r>
      <w:r w:rsidR="000C1FD3">
        <w:t>, but t</w:t>
      </w:r>
      <w:r w:rsidRPr="00F11188" w:rsidR="004455FC">
        <w:t>he prayer</w:t>
      </w:r>
      <w:r w:rsidRPr="00F11188" w:rsidR="008260CD">
        <w:t xml:space="preserve"> d</w:t>
      </w:r>
      <w:r w:rsidRPr="00F11188" w:rsidR="008A3AAB">
        <w:t>id</w:t>
      </w:r>
      <w:r w:rsidRPr="00F11188" w:rsidR="008260CD">
        <w:t xml:space="preserve"> not state any specific </w:t>
      </w:r>
      <w:r w:rsidR="00880914">
        <w:t xml:space="preserve">dollar </w:t>
      </w:r>
      <w:r w:rsidRPr="00F11188" w:rsidR="005F2D66">
        <w:t>figures</w:t>
      </w:r>
      <w:r w:rsidRPr="00F11188" w:rsidR="008260CD">
        <w:t xml:space="preserve">.  </w:t>
      </w:r>
      <w:r w:rsidRPr="00F11188" w:rsidR="00155CB0">
        <w:t>Instead</w:t>
      </w:r>
      <w:r w:rsidRPr="00F11188" w:rsidR="008260CD">
        <w:t xml:space="preserve">, </w:t>
      </w:r>
      <w:r w:rsidR="00EA3389">
        <w:t>the complaint</w:t>
      </w:r>
      <w:r w:rsidRPr="00F11188" w:rsidR="008260CD">
        <w:t xml:space="preserve"> ask</w:t>
      </w:r>
      <w:r w:rsidRPr="00F11188" w:rsidR="002946C0">
        <w:t>ed</w:t>
      </w:r>
      <w:r w:rsidRPr="00F11188" w:rsidR="008260CD">
        <w:t xml:space="preserve"> for </w:t>
      </w:r>
      <w:r w:rsidRPr="00F11188" w:rsidR="00D131F1">
        <w:t xml:space="preserve">damages </w:t>
      </w:r>
      <w:r w:rsidRPr="00F11188" w:rsidR="008260CD">
        <w:t>“in a sum to be proven at trial</w:t>
      </w:r>
      <w:r w:rsidRPr="00F11188" w:rsidR="0050451A">
        <w:t>.</w:t>
      </w:r>
      <w:r w:rsidRPr="00F11188" w:rsidR="008765B2">
        <w:t>”</w:t>
      </w:r>
      <w:r w:rsidRPr="00F11188" w:rsidR="008260CD">
        <w:t xml:space="preserve">  </w:t>
      </w:r>
      <w:r w:rsidR="00EB3022">
        <w:t>Plaintiff</w:t>
      </w:r>
      <w:r w:rsidRPr="00F11188" w:rsidR="00E41FAB">
        <w:t xml:space="preserve"> served </w:t>
      </w:r>
      <w:r w:rsidRPr="00F11188" w:rsidR="008A6F30">
        <w:t>the complaint</w:t>
      </w:r>
      <w:r w:rsidRPr="00F11188" w:rsidR="00091D62">
        <w:t xml:space="preserve"> on </w:t>
      </w:r>
      <w:r w:rsidRPr="00F11188" w:rsidR="005B07E5">
        <w:t>Tag and Cohen</w:t>
      </w:r>
      <w:r w:rsidRPr="00F11188" w:rsidR="00E41FAB">
        <w:t xml:space="preserve"> and subsequently </w:t>
      </w:r>
      <w:r w:rsidRPr="00F11188" w:rsidR="006E72D4">
        <w:t xml:space="preserve">served Cohen </w:t>
      </w:r>
      <w:r w:rsidRPr="00F11188" w:rsidR="00E41FAB">
        <w:t>“a notice of punitive damages in which she ‘reserve[d] the right to seek $4,000,000 in punitive damages.</w:t>
      </w:r>
      <w:r w:rsidRPr="00F11188" w:rsidR="001B2B3A">
        <w:t>’ </w:t>
      </w:r>
      <w:r w:rsidRPr="00F11188" w:rsidR="001559BC">
        <w:t>”</w:t>
      </w:r>
      <w:r w:rsidRPr="00F11188" w:rsidR="00E41FAB">
        <w:t xml:space="preserve">  (</w:t>
      </w:r>
      <w:bookmarkStart w:id="18" w:name="Psych_Cite_17"/>
      <w:r w:rsidRPr="00F11188" w:rsidR="00E41FAB">
        <w:rPr>
          <w:i/>
          <w:iCs/>
        </w:rPr>
        <w:t>Sass</w:t>
      </w:r>
      <w:r w:rsidR="007629F7">
        <w:t xml:space="preserve">, </w:t>
      </w:r>
      <w:r w:rsidR="007629F7">
        <w:rPr>
          <w:i/>
          <w:iCs/>
        </w:rPr>
        <w:t>supra</w:t>
      </w:r>
      <w:r w:rsidR="007629F7">
        <w:t xml:space="preserve">, </w:t>
      </w:r>
      <w:r w:rsidRPr="00F11188" w:rsidR="00E41FAB">
        <w:t xml:space="preserve">32 Cal.App.5th </w:t>
      </w:r>
      <w:r w:rsidR="007629F7">
        <w:t>at p.</w:t>
      </w:r>
      <w:r w:rsidRPr="00F11188" w:rsidR="00E41FAB">
        <w:t xml:space="preserve"> 1037</w:t>
      </w:r>
      <w:bookmarkEnd w:id="18"/>
      <w:r w:rsidRPr="00F11188" w:rsidR="00E41FAB">
        <w:t>.)</w:t>
      </w:r>
    </w:p>
    <w:p w:rsidR="00B92D9F" w:rsidRPr="00F11188" w:rsidP="00F11188">
      <w:r w:rsidRPr="00F11188">
        <w:tab/>
      </w:r>
      <w:r w:rsidRPr="00F11188" w:rsidR="004B7FB5">
        <w:t>Defendants</w:t>
      </w:r>
      <w:r w:rsidRPr="00F11188" w:rsidR="00040BF6">
        <w:t xml:space="preserve"> </w:t>
      </w:r>
      <w:r w:rsidRPr="00F11188" w:rsidR="00B34F84">
        <w:t xml:space="preserve">failed to </w:t>
      </w:r>
      <w:r w:rsidR="00C219E5">
        <w:t>respond to</w:t>
      </w:r>
      <w:r w:rsidRPr="00F11188" w:rsidR="00C219E5">
        <w:t xml:space="preserve"> </w:t>
      </w:r>
      <w:r w:rsidRPr="00F11188" w:rsidR="00B34F84">
        <w:t xml:space="preserve">the complaint.  After </w:t>
      </w:r>
      <w:r w:rsidRPr="00F11188" w:rsidR="00444F23">
        <w:t>the entry of default</w:t>
      </w:r>
      <w:r w:rsidRPr="00F11188" w:rsidR="00B34F84">
        <w:t>, the trial court held a prove</w:t>
      </w:r>
      <w:r w:rsidR="006211F4">
        <w:t>-</w:t>
      </w:r>
      <w:r w:rsidRPr="00F11188" w:rsidR="00B34F84">
        <w:t>up hearing</w:t>
      </w:r>
      <w:r w:rsidR="00D92D53">
        <w:t xml:space="preserve"> at</w:t>
      </w:r>
      <w:r w:rsidRPr="00F11188" w:rsidR="00B34F84">
        <w:t xml:space="preserve"> which </w:t>
      </w:r>
      <w:r w:rsidR="00D92D53">
        <w:t>plaintiff</w:t>
      </w:r>
      <w:r w:rsidRPr="00F11188" w:rsidR="00B34F84">
        <w:t xml:space="preserve"> introduced </w:t>
      </w:r>
      <w:r w:rsidRPr="00F11188" w:rsidR="00E6687E">
        <w:t xml:space="preserve">the testimony of a forensic accountant </w:t>
      </w:r>
      <w:r w:rsidRPr="00F11188" w:rsidR="00F51C66">
        <w:t xml:space="preserve">to prove </w:t>
      </w:r>
      <w:r w:rsidRPr="00F11188" w:rsidR="00B34F84">
        <w:t>her damages.  (</w:t>
      </w:r>
      <w:bookmarkStart w:id="19" w:name="Psych_Cite_18"/>
      <w:r w:rsidRPr="00F11188" w:rsidR="0073505B">
        <w:rPr>
          <w:i/>
        </w:rPr>
        <w:t>Sass</w:t>
      </w:r>
      <w:r w:rsidRPr="00F11188" w:rsidR="0073505B">
        <w:t xml:space="preserve">, </w:t>
      </w:r>
      <w:r w:rsidRPr="00F11188" w:rsidR="0073505B">
        <w:rPr>
          <w:i/>
        </w:rPr>
        <w:t>supra</w:t>
      </w:r>
      <w:r w:rsidRPr="00F11188" w:rsidR="0073505B">
        <w:t>, 32 Cal.App.5th at pp. 1037</w:t>
      </w:r>
      <w:r w:rsidR="007C1930">
        <w:t>–</w:t>
      </w:r>
      <w:r w:rsidRPr="00F11188" w:rsidR="0073505B">
        <w:t>1038</w:t>
      </w:r>
      <w:bookmarkEnd w:id="19"/>
      <w:r w:rsidRPr="00F11188" w:rsidR="0073505B">
        <w:t xml:space="preserve">.) </w:t>
      </w:r>
      <w:r w:rsidRPr="00F11188" w:rsidR="00C6086C">
        <w:t xml:space="preserve"> </w:t>
      </w:r>
      <w:r w:rsidRPr="00F11188" w:rsidR="00964C72">
        <w:t>T</w:t>
      </w:r>
      <w:r w:rsidRPr="00F11188" w:rsidR="00357446">
        <w:t xml:space="preserve">he court </w:t>
      </w:r>
      <w:r w:rsidRPr="00F11188" w:rsidR="00C91F88">
        <w:t>ul</w:t>
      </w:r>
      <w:r w:rsidRPr="00F11188" w:rsidR="008F4573">
        <w:t xml:space="preserve">timately </w:t>
      </w:r>
      <w:r w:rsidRPr="00F11188" w:rsidR="00357446">
        <w:t xml:space="preserve">awarded </w:t>
      </w:r>
      <w:r w:rsidR="00D92D53">
        <w:t>plaintiff</w:t>
      </w:r>
      <w:r w:rsidRPr="00F11188">
        <w:t xml:space="preserve"> the following:  </w:t>
      </w:r>
      <w:r w:rsidRPr="00F11188" w:rsidR="00A61FBD">
        <w:t>(1)</w:t>
      </w:r>
      <w:r w:rsidR="005A1CFD">
        <w:t> </w:t>
      </w:r>
      <w:r w:rsidRPr="00F11188" w:rsidR="00A61FBD">
        <w:t xml:space="preserve">$126,504 as </w:t>
      </w:r>
      <w:r w:rsidR="00D92D53">
        <w:t>plaintiff</w:t>
      </w:r>
      <w:r w:rsidRPr="00F11188" w:rsidR="00A61FBD">
        <w:t xml:space="preserve">’s 50 percent share in the profits from the sale of the Hollywood </w:t>
      </w:r>
      <w:r w:rsidRPr="00F11188" w:rsidR="00814108">
        <w:t>property</w:t>
      </w:r>
      <w:r w:rsidRPr="00F11188" w:rsidR="00A61FBD">
        <w:t xml:space="preserve">; (2) $2,099,610, </w:t>
      </w:r>
      <w:r w:rsidRPr="00F11188" w:rsidR="00F063D6">
        <w:t xml:space="preserve">or </w:t>
      </w:r>
      <w:r w:rsidRPr="00F11188" w:rsidR="00A61FBD">
        <w:t>half the value of Tag, calculated via a “discounted cash flow approach of valuation”; (3) $444,918</w:t>
      </w:r>
      <w:r w:rsidRPr="00F11188" w:rsidR="00E218E1">
        <w:t xml:space="preserve">, which is “one-half of the balance of the funds remaining in the accounts” of Tag, </w:t>
      </w:r>
      <w:r w:rsidRPr="00F11188" w:rsidR="00152F41">
        <w:t>an amount</w:t>
      </w:r>
      <w:r w:rsidRPr="00F11188" w:rsidR="00E218E1">
        <w:t xml:space="preserve"> the court awarded “for the breach of the agreement to share 50% of the income received by Tag”</w:t>
      </w:r>
      <w:r w:rsidRPr="00F11188" w:rsidR="00F306B9">
        <w:t>; (4) $120,000</w:t>
      </w:r>
      <w:r w:rsidRPr="00F11188" w:rsidR="004A7CE0">
        <w:t xml:space="preserve"> as</w:t>
      </w:r>
      <w:r w:rsidRPr="00F11188" w:rsidR="00F306B9">
        <w:t xml:space="preserve"> unpaid wages for the work </w:t>
      </w:r>
      <w:r w:rsidR="00D92D53">
        <w:t>plaintiff</w:t>
      </w:r>
      <w:r w:rsidRPr="00F11188" w:rsidR="00F306B9">
        <w:t xml:space="preserve"> performed</w:t>
      </w:r>
      <w:r w:rsidRPr="00F11188" w:rsidR="00D1132E">
        <w:t xml:space="preserve">; (5) </w:t>
      </w:r>
      <w:r w:rsidRPr="00F11188" w:rsidR="007726AC">
        <w:t xml:space="preserve">$5,000 in waiting time penalties; </w:t>
      </w:r>
      <w:r w:rsidRPr="00F11188" w:rsidR="00E21AE2">
        <w:t xml:space="preserve">and </w:t>
      </w:r>
      <w:r w:rsidRPr="00F11188" w:rsidR="003261A0">
        <w:t xml:space="preserve">(6) </w:t>
      </w:r>
      <w:r w:rsidRPr="00F11188" w:rsidR="007726AC">
        <w:t xml:space="preserve">$10,500 as compensation </w:t>
      </w:r>
      <w:r w:rsidRPr="00F11188" w:rsidR="00100C39">
        <w:t xml:space="preserve">for the </w:t>
      </w:r>
      <w:r w:rsidRPr="00F11188" w:rsidR="007726AC">
        <w:t>investment in Rock &amp; Reilly’s LLC</w:t>
      </w:r>
      <w:r w:rsidRPr="00F11188" w:rsidR="003C2993">
        <w:t>.</w:t>
      </w:r>
      <w:r w:rsidRPr="00F11188" w:rsidR="00E218E1">
        <w:t xml:space="preserve"> </w:t>
      </w:r>
      <w:r w:rsidRPr="00F11188" w:rsidR="003C2993">
        <w:t xml:space="preserve"> </w:t>
      </w:r>
      <w:r w:rsidRPr="00F11188" w:rsidR="00956D03">
        <w:t xml:space="preserve">In addition, the court declared a constructive trust over the Oakley property, ordering </w:t>
      </w:r>
      <w:r w:rsidRPr="00F11188" w:rsidR="000A4F1C">
        <w:t>Cohen</w:t>
      </w:r>
      <w:r w:rsidRPr="00F11188" w:rsidR="00956D03">
        <w:t xml:space="preserve"> </w:t>
      </w:r>
      <w:r w:rsidRPr="00F11188" w:rsidR="001B6758">
        <w:t xml:space="preserve">to </w:t>
      </w:r>
      <w:r w:rsidRPr="00F11188" w:rsidR="00956D03">
        <w:t xml:space="preserve">transfer to </w:t>
      </w:r>
      <w:r w:rsidR="00D92D53">
        <w:t>plaintiff</w:t>
      </w:r>
      <w:r w:rsidRPr="00F11188" w:rsidR="00956D03">
        <w:t xml:space="preserve"> </w:t>
      </w:r>
      <w:r w:rsidRPr="00F11188" w:rsidR="00A6542C">
        <w:t>a 50 percent interest in the property.</w:t>
      </w:r>
      <w:r w:rsidRPr="00F11188" w:rsidR="00956D03">
        <w:t xml:space="preserve">  </w:t>
      </w:r>
      <w:r w:rsidRPr="00F11188" w:rsidR="007726AC">
        <w:t xml:space="preserve">The court also awarded </w:t>
      </w:r>
      <w:r w:rsidR="00D92D53">
        <w:t>plaintiff</w:t>
      </w:r>
      <w:r w:rsidRPr="00F11188" w:rsidR="00956D03">
        <w:t xml:space="preserve"> $88,984 in punitive damages</w:t>
      </w:r>
      <w:r w:rsidRPr="00F11188" w:rsidR="000C596A">
        <w:t xml:space="preserve">, </w:t>
      </w:r>
      <w:r w:rsidRPr="00F11188" w:rsidR="00237428">
        <w:t xml:space="preserve">a sum amounting to </w:t>
      </w:r>
      <w:r w:rsidRPr="00F11188" w:rsidR="00380BBC">
        <w:t>ten</w:t>
      </w:r>
      <w:r w:rsidRPr="00F11188" w:rsidR="00237428">
        <w:t xml:space="preserve"> percent of </w:t>
      </w:r>
      <w:r w:rsidRPr="00F11188" w:rsidR="000A4F1C">
        <w:t>Cohen</w:t>
      </w:r>
      <w:r w:rsidRPr="00F11188" w:rsidR="00237428">
        <w:t xml:space="preserve">’s “balance in </w:t>
      </w:r>
      <w:r w:rsidRPr="00F11188" w:rsidR="001F2129">
        <w:t>[various]</w:t>
      </w:r>
      <w:r w:rsidRPr="00F11188" w:rsidR="00237428">
        <w:t xml:space="preserve"> bank accounts,</w:t>
      </w:r>
      <w:r w:rsidRPr="00F11188" w:rsidR="000C596A">
        <w:t>”</w:t>
      </w:r>
      <w:r w:rsidRPr="00F11188" w:rsidR="00237428">
        <w:t xml:space="preserve"> which </w:t>
      </w:r>
      <w:r w:rsidRPr="00F11188" w:rsidR="00F00F76">
        <w:t>the court took as a</w:t>
      </w:r>
      <w:r w:rsidRPr="00F11188" w:rsidR="00237428">
        <w:t xml:space="preserve"> </w:t>
      </w:r>
      <w:r w:rsidRPr="00F11188" w:rsidR="00F76D10">
        <w:t xml:space="preserve">proxy </w:t>
      </w:r>
      <w:r w:rsidRPr="00F11188" w:rsidR="00237428">
        <w:t xml:space="preserve">for </w:t>
      </w:r>
      <w:r w:rsidRPr="00F11188" w:rsidR="000A4F1C">
        <w:t>Cohen</w:t>
      </w:r>
      <w:r w:rsidRPr="00F11188" w:rsidR="00237428">
        <w:t>’s net worth.  Finally</w:t>
      </w:r>
      <w:r w:rsidRPr="00F11188" w:rsidR="000C596A">
        <w:t xml:space="preserve">, the court awarded </w:t>
      </w:r>
      <w:r w:rsidRPr="00F11188" w:rsidR="00956D03">
        <w:t>prejudgment interest and costs.</w:t>
      </w:r>
    </w:p>
    <w:p w:rsidR="00A06FA9" w:rsidRPr="00F11188" w:rsidP="00F11188">
      <w:r w:rsidRPr="00F11188">
        <w:tab/>
        <w:t>The court denied</w:t>
      </w:r>
      <w:r w:rsidR="00D92D53">
        <w:t xml:space="preserve"> plaintiff</w:t>
      </w:r>
      <w:r w:rsidRPr="00F11188">
        <w:t xml:space="preserve"> </w:t>
      </w:r>
      <w:r w:rsidRPr="00F11188" w:rsidR="00033FD3">
        <w:t xml:space="preserve">some </w:t>
      </w:r>
      <w:r w:rsidR="006F7566">
        <w:t>of the</w:t>
      </w:r>
      <w:r w:rsidRPr="00F11188" w:rsidR="00033FD3">
        <w:t xml:space="preserve"> relief</w:t>
      </w:r>
      <w:r w:rsidR="006F7566">
        <w:t xml:space="preserve"> sought</w:t>
      </w:r>
      <w:r w:rsidRPr="00F11188">
        <w:t xml:space="preserve">.  Most notably, the court held that because </w:t>
      </w:r>
      <w:r w:rsidR="00D92D53">
        <w:t>plaintiff</w:t>
      </w:r>
      <w:r w:rsidRPr="00F11188">
        <w:t xml:space="preserve"> had pleaded that she was a</w:t>
      </w:r>
      <w:r w:rsidRPr="00F11188" w:rsidR="00C22FD0">
        <w:t xml:space="preserve"> salaried</w:t>
      </w:r>
      <w:r w:rsidRPr="00F11188">
        <w:t xml:space="preserve"> employee of Tag, she was not entitled to the $700,000 she assert</w:t>
      </w:r>
      <w:r w:rsidRPr="00F11188" w:rsidR="0092018B">
        <w:t>ed</w:t>
      </w:r>
      <w:r w:rsidRPr="00F11188">
        <w:t xml:space="preserve"> </w:t>
      </w:r>
      <w:r w:rsidRPr="00F11188" w:rsidR="00662C28">
        <w:t>was</w:t>
      </w:r>
      <w:r w:rsidRPr="00F11188">
        <w:t xml:space="preserve"> </w:t>
      </w:r>
      <w:r w:rsidRPr="00F11188" w:rsidR="00D15F00">
        <w:t>the</w:t>
      </w:r>
      <w:r w:rsidRPr="00F11188">
        <w:t xml:space="preserve"> half of “the business she ‘brought in’ to Tag.”</w:t>
      </w:r>
    </w:p>
    <w:p w:rsidR="004E3DA1" w:rsidRPr="00F11188" w:rsidP="00F11188">
      <w:r w:rsidRPr="00F11188">
        <w:tab/>
      </w:r>
      <w:r w:rsidRPr="00F11188" w:rsidR="00F000EC">
        <w:t>T</w:t>
      </w:r>
      <w:r w:rsidRPr="00F11188" w:rsidR="00387B13">
        <w:t xml:space="preserve">hree months after the default judgment was entered, </w:t>
      </w:r>
      <w:r w:rsidRPr="00F11188" w:rsidR="000A4F1C">
        <w:t>Cohen</w:t>
      </w:r>
      <w:r w:rsidRPr="00F11188" w:rsidR="00387B13">
        <w:t xml:space="preserve"> filed a motion to vacate the entry of default and default judgment.  </w:t>
      </w:r>
      <w:r w:rsidRPr="00604422" w:rsidR="00035785">
        <w:t xml:space="preserve">Cohen argued that the judgment was void </w:t>
      </w:r>
      <w:r w:rsidR="00035785">
        <w:t>because the sum granted in default exceeded what was demanded in the complaint</w:t>
      </w:r>
      <w:r w:rsidRPr="00604422" w:rsidR="00035785">
        <w:t>.</w:t>
      </w:r>
      <w:r w:rsidR="00035785">
        <w:t xml:space="preserve">  </w:t>
      </w:r>
      <w:r w:rsidRPr="00F11188" w:rsidR="00035785">
        <w:t>The trial court denied the motion</w:t>
      </w:r>
      <w:r w:rsidR="00035785">
        <w:t xml:space="preserve"> on the ground that </w:t>
      </w:r>
      <w:r w:rsidRPr="00F11188" w:rsidR="007C7226">
        <w:t>“</w:t>
      </w:r>
      <w:r w:rsidRPr="00F11188" w:rsidR="008623F6">
        <w:t>it has been held [</w:t>
      </w:r>
      <w:r w:rsidRPr="00F11188" w:rsidR="00EA074A">
        <w:t xml:space="preserve">in </w:t>
      </w:r>
      <w:bookmarkStart w:id="20" w:name="Psych_Cite_19"/>
      <w:r w:rsidRPr="00F11188" w:rsidR="008623F6">
        <w:rPr>
          <w:i/>
        </w:rPr>
        <w:t>Cassel v. Sullivan, Roche &amp; Johnson</w:t>
      </w:r>
      <w:r w:rsidRPr="00F11188" w:rsidR="008623F6">
        <w:t xml:space="preserve"> (1999) 76 Cal.App.4th 1157</w:t>
      </w:r>
      <w:bookmarkEnd w:id="20"/>
      <w:r w:rsidRPr="00F11188" w:rsidR="008623F6">
        <w:t xml:space="preserve">] </w:t>
      </w:r>
      <w:r w:rsidRPr="00F11188" w:rsidR="00161B2A">
        <w:t>where a plaintiff alleges a cause of action for accounting and knowledge of the debt due is within the possession of the defendant, there is no notice requirement for damages sought before entry of default judgment.”</w:t>
      </w:r>
    </w:p>
    <w:p w:rsidR="00DE639A" w:rsidP="00F11188">
      <w:r w:rsidRPr="00F11188">
        <w:tab/>
      </w:r>
      <w:r w:rsidRPr="00F11188" w:rsidR="000A4F1C">
        <w:t>Cohen</w:t>
      </w:r>
      <w:r w:rsidRPr="00F11188" w:rsidR="003376D2">
        <w:t xml:space="preserve"> appealed, arguing that contrary to </w:t>
      </w:r>
      <w:r w:rsidRPr="00F11188" w:rsidR="003376D2">
        <w:rPr>
          <w:i/>
        </w:rPr>
        <w:t>Cassell</w:t>
      </w:r>
      <w:r w:rsidRPr="00F11188" w:rsidR="003376D2">
        <w:t xml:space="preserve">, he was entitled to such notice.  The Court of Appeal agreed, holding that “actions alleging an accounting claim </w:t>
      </w:r>
      <w:r w:rsidRPr="00F11188" w:rsidR="00CF7950">
        <w:t>. . .</w:t>
      </w:r>
      <w:r w:rsidRPr="00F11188" w:rsidR="003376D2">
        <w:t xml:space="preserve"> are not excused from limitations on default judgments</w:t>
      </w:r>
      <w:r w:rsidRPr="00F11188" w:rsidR="00053D7C">
        <w:t>,</w:t>
      </w:r>
      <w:r w:rsidRPr="00F11188" w:rsidR="003376D2">
        <w:t xml:space="preserve">” </w:t>
      </w:r>
      <w:r w:rsidRPr="00F11188" w:rsidR="00053D7C">
        <w:t xml:space="preserve">which means </w:t>
      </w:r>
      <w:r w:rsidRPr="00F11188" w:rsidR="003376D2">
        <w:t>such judgments may not “be entered for an amount in excess of the demand in the operative pleadings.”  (</w:t>
      </w:r>
      <w:bookmarkStart w:id="21" w:name="Psych_Cite_21"/>
      <w:r w:rsidRPr="00F11188" w:rsidR="003376D2">
        <w:rPr>
          <w:i/>
        </w:rPr>
        <w:t>Sass</w:t>
      </w:r>
      <w:r w:rsidRPr="00F11188" w:rsidR="003376D2">
        <w:t xml:space="preserve">, </w:t>
      </w:r>
      <w:r w:rsidRPr="00F11188" w:rsidR="003376D2">
        <w:rPr>
          <w:i/>
        </w:rPr>
        <w:t>supra</w:t>
      </w:r>
      <w:r w:rsidRPr="00F11188" w:rsidR="003376D2">
        <w:t xml:space="preserve">, </w:t>
      </w:r>
      <w:r w:rsidRPr="00F11188" w:rsidR="00832A12">
        <w:t>32 Cal.App.5th at p.</w:t>
      </w:r>
      <w:r w:rsidR="00334D7C">
        <w:t> </w:t>
      </w:r>
      <w:r w:rsidRPr="00F11188" w:rsidR="00832A12">
        <w:t>1035</w:t>
      </w:r>
      <w:bookmarkEnd w:id="21"/>
      <w:r w:rsidRPr="00F11188" w:rsidR="00832A12">
        <w:t xml:space="preserve">.)  </w:t>
      </w:r>
      <w:r w:rsidRPr="00F11188" w:rsidR="008D73D4">
        <w:t>The</w:t>
      </w:r>
      <w:r w:rsidRPr="00F11188" w:rsidR="00D47172">
        <w:t xml:space="preserve"> court </w:t>
      </w:r>
      <w:r w:rsidRPr="00F11188" w:rsidR="006E1058">
        <w:t xml:space="preserve">acknowledged that </w:t>
      </w:r>
      <w:r w:rsidRPr="00F11188" w:rsidR="006E1058">
        <w:rPr>
          <w:i/>
        </w:rPr>
        <w:t xml:space="preserve">Cassel </w:t>
      </w:r>
      <w:r w:rsidRPr="00F11188" w:rsidR="006E1058">
        <w:t>h</w:t>
      </w:r>
      <w:r w:rsidRPr="00F11188" w:rsidR="00B12EF9">
        <w:t>eld</w:t>
      </w:r>
      <w:r w:rsidRPr="00F11188" w:rsidR="00372F7A">
        <w:t xml:space="preserve"> otherwise, but after a careful examination of th</w:t>
      </w:r>
      <w:r w:rsidRPr="00F11188" w:rsidR="00465292">
        <w:t>e</w:t>
      </w:r>
      <w:r w:rsidRPr="00F11188" w:rsidR="00372F7A">
        <w:t xml:space="preserve"> case, </w:t>
      </w:r>
      <w:r w:rsidRPr="00F11188" w:rsidR="006115C3">
        <w:t xml:space="preserve">the court </w:t>
      </w:r>
      <w:r w:rsidRPr="00F11188" w:rsidR="00D47172">
        <w:t>“join</w:t>
      </w:r>
      <w:r w:rsidRPr="00F11188" w:rsidR="00E00036">
        <w:t>[ed]</w:t>
      </w:r>
      <w:r w:rsidRPr="00F11188" w:rsidR="00D47172">
        <w:t xml:space="preserve"> the growing majority of cases rejecting</w:t>
      </w:r>
      <w:r w:rsidRPr="00F11188" w:rsidR="008D73D4">
        <w:t xml:space="preserve"> </w:t>
      </w:r>
      <w:r w:rsidRPr="00F11188" w:rsidR="008D73D4">
        <w:rPr>
          <w:i/>
        </w:rPr>
        <w:t>Cassel</w:t>
      </w:r>
      <w:r w:rsidRPr="00F11188" w:rsidR="00D47172">
        <w:t>.</w:t>
      </w:r>
      <w:r w:rsidRPr="00F11188" w:rsidR="008D73D4">
        <w:t>”</w:t>
      </w:r>
      <w:r w:rsidRPr="00F11188" w:rsidR="00D47172">
        <w:t xml:space="preserve">  (</w:t>
      </w:r>
      <w:bookmarkStart w:id="22" w:name="Psych_Cite_20"/>
      <w:r w:rsidRPr="00F11188" w:rsidR="00D47172">
        <w:rPr>
          <w:i/>
        </w:rPr>
        <w:t>Id.</w:t>
      </w:r>
      <w:r w:rsidRPr="00F11188" w:rsidR="00D47172">
        <w:t xml:space="preserve"> at</w:t>
      </w:r>
      <w:r w:rsidRPr="00F11188" w:rsidR="00D02231">
        <w:t xml:space="preserve"> p.</w:t>
      </w:r>
      <w:r w:rsidRPr="00F11188" w:rsidR="007E677F">
        <w:t xml:space="preserve"> 1043</w:t>
      </w:r>
      <w:bookmarkEnd w:id="22"/>
      <w:r w:rsidRPr="00F11188" w:rsidR="007E677F">
        <w:t>.)</w:t>
      </w:r>
    </w:p>
    <w:p w:rsidR="007A1186" w:rsidRPr="00F11188" w:rsidP="00F11188">
      <w:r>
        <w:tab/>
      </w:r>
      <w:r w:rsidR="00803D74">
        <w:t>The Court of Appeal thus reversed the trial court and vacated its default judgment.  (</w:t>
      </w:r>
      <w:bookmarkStart w:id="23" w:name="Psych_Cite_24"/>
      <w:r w:rsidRPr="00402050" w:rsidR="00803D74">
        <w:rPr>
          <w:i/>
          <w:iCs/>
        </w:rPr>
        <w:t>Sass</w:t>
      </w:r>
      <w:r w:rsidR="00803D74">
        <w:t xml:space="preserve">, </w:t>
      </w:r>
      <w:r w:rsidR="00803D74">
        <w:rPr>
          <w:i/>
          <w:iCs/>
        </w:rPr>
        <w:t>supra</w:t>
      </w:r>
      <w:r w:rsidR="00803D74">
        <w:t xml:space="preserve">, </w:t>
      </w:r>
      <w:r w:rsidRPr="00402050" w:rsidR="00803D74">
        <w:t xml:space="preserve">32 Cal.App.5th </w:t>
      </w:r>
      <w:r w:rsidR="00803D74">
        <w:t>at p.</w:t>
      </w:r>
      <w:r w:rsidR="00217C75">
        <w:t> </w:t>
      </w:r>
      <w:r w:rsidRPr="00402050" w:rsidR="00803D74">
        <w:t>1047</w:t>
      </w:r>
      <w:bookmarkEnd w:id="23"/>
      <w:r w:rsidRPr="00402050" w:rsidR="00803D74">
        <w:t>.)</w:t>
      </w:r>
      <w:r w:rsidR="00803D74">
        <w:t xml:space="preserve">  The </w:t>
      </w:r>
      <w:r w:rsidR="00317207">
        <w:t>appellate court</w:t>
      </w:r>
      <w:r w:rsidR="00803D74">
        <w:t xml:space="preserve"> also recomputed the amount of damages </w:t>
      </w:r>
      <w:r w:rsidR="002D0C91">
        <w:t>plaintiff</w:t>
      </w:r>
      <w:r w:rsidR="0041168D">
        <w:t xml:space="preserve"> </w:t>
      </w:r>
      <w:r w:rsidR="00887351">
        <w:t>could</w:t>
      </w:r>
      <w:r w:rsidR="0041168D">
        <w:t xml:space="preserve"> recover.</w:t>
      </w:r>
      <w:r w:rsidR="00803D74">
        <w:t xml:space="preserve">  Of note, </w:t>
      </w:r>
      <w:r w:rsidR="000C2B24">
        <w:t xml:space="preserve">unlike the trial court, </w:t>
      </w:r>
      <w:r w:rsidR="00803D74">
        <w:t xml:space="preserve">the Court of Appeal concluded that </w:t>
      </w:r>
      <w:r w:rsidR="00887351">
        <w:t>plaintiff</w:t>
      </w:r>
      <w:r w:rsidR="00803D74">
        <w:t xml:space="preserve"> was entitled to collect the $700,000 referenced in the complaint, conceptualizing it as the demand she had made “for the value of Tag.”  (</w:t>
      </w:r>
      <w:bookmarkStart w:id="24" w:name="Psych_Cite_22"/>
      <w:r w:rsidR="00803D74">
        <w:rPr>
          <w:i/>
          <w:iCs/>
        </w:rPr>
        <w:t xml:space="preserve">Id. </w:t>
      </w:r>
      <w:r w:rsidR="00803D74">
        <w:t>at p. 1046</w:t>
      </w:r>
      <w:bookmarkEnd w:id="24"/>
      <w:r w:rsidR="00803D74">
        <w:t xml:space="preserve">.)  </w:t>
      </w:r>
      <w:r w:rsidR="000C2B24">
        <w:t>It</w:t>
      </w:r>
      <w:r w:rsidR="00803D74">
        <w:t xml:space="preserve"> remanded the case “</w:t>
      </w:r>
      <w:r w:rsidRPr="00BF41B3" w:rsidR="00803D74">
        <w:t>with instructions for the trial court to exercise its discretion whether to (1)</w:t>
      </w:r>
      <w:r w:rsidR="005A1CFD">
        <w:t> </w:t>
      </w:r>
      <w:r w:rsidRPr="00BF41B3" w:rsidR="00803D74">
        <w:t xml:space="preserve">reinstate the default judgment after reducing the amount of compensatory damages awarded </w:t>
      </w:r>
      <w:r w:rsidR="00803D74">
        <w:t>[in accordance with the Court of Appeal’s holding and calculations]</w:t>
      </w:r>
      <w:r w:rsidRPr="00BF41B3" w:rsidR="00803D74">
        <w:t>, or (2) vacate the underlying default and allow plaintiff to file and serve an amended complaint demanding the type and amount of relief she seeks</w:t>
      </w:r>
      <w:r w:rsidR="00803D74">
        <w:t>.”  (</w:t>
      </w:r>
      <w:bookmarkStart w:id="25" w:name="Psych_Cite_23"/>
      <w:r w:rsidR="00803D74">
        <w:rPr>
          <w:i/>
          <w:iCs/>
        </w:rPr>
        <w:t xml:space="preserve">Id. </w:t>
      </w:r>
      <w:r w:rsidR="00803D74">
        <w:t xml:space="preserve">at pp. </w:t>
      </w:r>
      <w:r w:rsidRPr="00BF41B3" w:rsidR="00803D74">
        <w:t>1047</w:t>
      </w:r>
      <w:r w:rsidR="00803D74">
        <w:t>–</w:t>
      </w:r>
      <w:r w:rsidRPr="00BF41B3" w:rsidR="00803D74">
        <w:t>1048</w:t>
      </w:r>
      <w:bookmarkEnd w:id="25"/>
      <w:r w:rsidR="00803D74">
        <w:t>.)</w:t>
      </w:r>
    </w:p>
    <w:p w:rsidR="002723DE" w:rsidRPr="00F11188" w:rsidP="00F11188">
      <w:r w:rsidRPr="00F11188">
        <w:tab/>
      </w:r>
      <w:r w:rsidRPr="00F11188" w:rsidR="00D77D9B">
        <w:t xml:space="preserve">In light of the conflict between </w:t>
      </w:r>
      <w:r w:rsidRPr="00F11188" w:rsidR="00D77D9B">
        <w:rPr>
          <w:i/>
        </w:rPr>
        <w:t xml:space="preserve">Cassel </w:t>
      </w:r>
      <w:r w:rsidRPr="00F11188" w:rsidR="00D77D9B">
        <w:t xml:space="preserve">and </w:t>
      </w:r>
      <w:r w:rsidRPr="00F11188" w:rsidR="00D21113">
        <w:t>the decision below</w:t>
      </w:r>
      <w:r w:rsidRPr="00F11188" w:rsidR="00D77D9B">
        <w:t>, w</w:t>
      </w:r>
      <w:r w:rsidRPr="00F11188">
        <w:t>e granted review.</w:t>
      </w:r>
    </w:p>
    <w:p w:rsidR="006566C6" w:rsidRPr="00F11188" w:rsidP="00F11188">
      <w:pPr>
        <w:pStyle w:val="Heading1"/>
      </w:pPr>
      <w:bookmarkStart w:id="26" w:name="_Ref31298121"/>
      <w:r w:rsidRPr="00F11188">
        <w:t xml:space="preserve">II.  </w:t>
      </w:r>
      <w:r w:rsidRPr="00F11188" w:rsidR="008368BB">
        <w:t>Discussion</w:t>
      </w:r>
      <w:bookmarkEnd w:id="26"/>
    </w:p>
    <w:p w:rsidR="009D73F8" w:rsidRPr="00F11188" w:rsidP="00F11188">
      <w:pPr>
        <w:pStyle w:val="Heading2"/>
        <w:tabs>
          <w:tab w:val="clear" w:pos="1152"/>
        </w:tabs>
        <w:ind w:left="1080" w:hanging="360"/>
      </w:pPr>
      <w:r w:rsidRPr="00F11188">
        <w:rPr>
          <w:smallCaps/>
        </w:rPr>
        <w:t>A.</w:t>
      </w:r>
      <w:r w:rsidRPr="00F11188" w:rsidR="0047423D">
        <w:rPr>
          <w:smallCaps/>
        </w:rPr>
        <w:t xml:space="preserve">  W</w:t>
      </w:r>
      <w:r w:rsidRPr="00F11188" w:rsidR="00AC2E02">
        <w:t xml:space="preserve">hether </w:t>
      </w:r>
      <w:bookmarkStart w:id="27" w:name="Psych_Cite_25"/>
      <w:r w:rsidRPr="00F11188" w:rsidR="00AC2E02">
        <w:t>Section 580</w:t>
      </w:r>
      <w:bookmarkEnd w:id="27"/>
      <w:r w:rsidRPr="00F11188" w:rsidR="00AC2E02">
        <w:t xml:space="preserve"> </w:t>
      </w:r>
      <w:r w:rsidR="00EF4A26">
        <w:t xml:space="preserve">Bars Monetary Recovery </w:t>
      </w:r>
      <w:r w:rsidR="005B686B">
        <w:t>W</w:t>
      </w:r>
      <w:r w:rsidR="00EF4A26">
        <w:t>hen</w:t>
      </w:r>
      <w:r w:rsidRPr="00F11188" w:rsidR="00AC2E02">
        <w:t xml:space="preserve"> a Plaintiff </w:t>
      </w:r>
      <w:r w:rsidRPr="00F11188" w:rsidR="004D29DE">
        <w:t xml:space="preserve">Bringing an Accounting Action </w:t>
      </w:r>
      <w:r w:rsidR="00EF4A26">
        <w:t xml:space="preserve">Fails </w:t>
      </w:r>
      <w:r w:rsidR="006F7566">
        <w:t>T</w:t>
      </w:r>
      <w:r w:rsidRPr="00F11188" w:rsidR="00AC2E02">
        <w:t>o Plead a Specific Amount of</w:t>
      </w:r>
      <w:r w:rsidRPr="00F11188" w:rsidR="00E440DE">
        <w:t xml:space="preserve"> </w:t>
      </w:r>
      <w:r w:rsidRPr="00F11188" w:rsidR="00AC2E02">
        <w:t>Damages</w:t>
      </w:r>
    </w:p>
    <w:p w:rsidR="004A7F1C" w:rsidRPr="00F11188" w:rsidP="00F11188">
      <w:r w:rsidRPr="00F11188">
        <w:tab/>
      </w:r>
      <w:r w:rsidRPr="00F11188" w:rsidR="007A13C9">
        <w:t xml:space="preserve">Determining </w:t>
      </w:r>
      <w:r w:rsidRPr="00F11188" w:rsidR="004730D4">
        <w:t xml:space="preserve">how </w:t>
      </w:r>
      <w:bookmarkStart w:id="28" w:name="Psych_Cite_26"/>
      <w:r w:rsidRPr="00F11188" w:rsidR="007A13C9">
        <w:t>section 580</w:t>
      </w:r>
      <w:bookmarkEnd w:id="28"/>
      <w:r w:rsidRPr="00F11188" w:rsidR="007A13C9">
        <w:t xml:space="preserve"> </w:t>
      </w:r>
      <w:r w:rsidRPr="00F11188" w:rsidR="004730D4">
        <w:t xml:space="preserve">applies to an accounting action requires </w:t>
      </w:r>
      <w:r w:rsidRPr="00F11188" w:rsidR="009C4F34">
        <w:t xml:space="preserve">us to </w:t>
      </w:r>
      <w:r w:rsidRPr="00F11188" w:rsidR="00381E7A">
        <w:t xml:space="preserve">grapple with </w:t>
      </w:r>
      <w:r w:rsidRPr="00F11188" w:rsidR="000C7AEF">
        <w:t>several strands of law</w:t>
      </w:r>
      <w:r w:rsidRPr="00F11188" w:rsidR="004C317E">
        <w:t xml:space="preserve">, </w:t>
      </w:r>
      <w:r w:rsidRPr="00F11188" w:rsidR="00DD4DC0">
        <w:t>including the nature of</w:t>
      </w:r>
      <w:r w:rsidRPr="00F11188" w:rsidR="009C4F34">
        <w:t xml:space="preserve"> accounting action</w:t>
      </w:r>
      <w:r w:rsidRPr="00F11188" w:rsidR="00DD4DC0">
        <w:t>s</w:t>
      </w:r>
      <w:r w:rsidRPr="00F11188" w:rsidR="009C4F34">
        <w:t xml:space="preserve">, </w:t>
      </w:r>
      <w:r w:rsidRPr="00F11188" w:rsidR="00DD4DC0">
        <w:t xml:space="preserve">the </w:t>
      </w:r>
      <w:r w:rsidR="00F6655E">
        <w:t>constraint</w:t>
      </w:r>
      <w:r w:rsidRPr="00F11188" w:rsidR="00F6655E">
        <w:t xml:space="preserve">s </w:t>
      </w:r>
      <w:r w:rsidRPr="00F11188" w:rsidR="00DD4DC0">
        <w:t xml:space="preserve">of </w:t>
      </w:r>
      <w:bookmarkStart w:id="29" w:name="Psych_Cite_27"/>
      <w:r w:rsidRPr="00F11188" w:rsidR="002A5201">
        <w:t>section 580</w:t>
      </w:r>
      <w:bookmarkEnd w:id="29"/>
      <w:r w:rsidRPr="00F11188" w:rsidR="003B7197">
        <w:t xml:space="preserve">, and our </w:t>
      </w:r>
      <w:r w:rsidRPr="00F11188" w:rsidR="00F36D6F">
        <w:t xml:space="preserve">own </w:t>
      </w:r>
      <w:r w:rsidRPr="00F11188" w:rsidR="00AF721F">
        <w:t>authorities</w:t>
      </w:r>
      <w:r w:rsidRPr="00F11188" w:rsidR="003B7197">
        <w:t>.</w:t>
      </w:r>
      <w:r w:rsidRPr="00F11188" w:rsidR="000F4FDB">
        <w:t xml:space="preserve">  We examine </w:t>
      </w:r>
      <w:r w:rsidRPr="00F11188" w:rsidR="00381E7A">
        <w:t xml:space="preserve">the </w:t>
      </w:r>
      <w:r w:rsidRPr="00F11188" w:rsidR="00871319">
        <w:t xml:space="preserve">threads individually </w:t>
      </w:r>
      <w:r w:rsidRPr="00F11188" w:rsidR="00381E7A">
        <w:t xml:space="preserve">before </w:t>
      </w:r>
      <w:r w:rsidRPr="00F11188" w:rsidR="008F3660">
        <w:t xml:space="preserve">proceeding to </w:t>
      </w:r>
      <w:r w:rsidRPr="00F11188" w:rsidR="00724848">
        <w:t>weave</w:t>
      </w:r>
      <w:r w:rsidRPr="00F11188" w:rsidR="008F3660">
        <w:t xml:space="preserve"> them</w:t>
      </w:r>
      <w:r w:rsidRPr="00F11188" w:rsidR="00724848">
        <w:t xml:space="preserve"> together.</w:t>
      </w:r>
    </w:p>
    <w:p w:rsidR="001F052F" w:rsidRPr="00F11188" w:rsidP="00F11188">
      <w:pPr>
        <w:pStyle w:val="Heading3"/>
        <w:tabs>
          <w:tab w:val="clear" w:pos="1584"/>
        </w:tabs>
      </w:pPr>
      <w:bookmarkStart w:id="30" w:name="_Toc527034818"/>
      <w:bookmarkStart w:id="31" w:name="_Toc2948184"/>
      <w:r w:rsidRPr="00F11188">
        <w:t xml:space="preserve">1.  </w:t>
      </w:r>
      <w:bookmarkEnd w:id="30"/>
      <w:bookmarkEnd w:id="31"/>
      <w:r w:rsidRPr="00F11188" w:rsidR="00EF57CE">
        <w:t xml:space="preserve">An </w:t>
      </w:r>
      <w:r w:rsidR="00B52E62">
        <w:t>a</w:t>
      </w:r>
      <w:r w:rsidRPr="00F11188" w:rsidR="00EF57CE">
        <w:t xml:space="preserve">ction for an </w:t>
      </w:r>
      <w:r w:rsidR="00B52E62">
        <w:t>a</w:t>
      </w:r>
      <w:r w:rsidRPr="00F11188" w:rsidR="00EF57CE">
        <w:t>ccounting</w:t>
      </w:r>
    </w:p>
    <w:p w:rsidR="00FF6351" w:rsidRPr="00F11188" w:rsidP="00F11188">
      <w:pPr>
        <w:pStyle w:val="NormalIndent"/>
        <w:ind w:left="0" w:firstLine="720"/>
        <w:rPr>
          <w:szCs w:val="26"/>
        </w:rPr>
      </w:pPr>
      <w:r w:rsidRPr="00F11188">
        <w:rPr>
          <w:szCs w:val="26"/>
        </w:rPr>
        <w:t>An</w:t>
      </w:r>
      <w:r w:rsidRPr="00F11188" w:rsidR="00B61D47">
        <w:rPr>
          <w:szCs w:val="26"/>
        </w:rPr>
        <w:t xml:space="preserve"> action for an accounting</w:t>
      </w:r>
      <w:r w:rsidRPr="00F11188" w:rsidR="007E7212">
        <w:rPr>
          <w:szCs w:val="26"/>
        </w:rPr>
        <w:t xml:space="preserve"> has two elements:  (1) “that a relationship exists between the plaintiff and defendant that requires an accounting” and (2) “that some balance is due the plaintiff that can only be ascertained by an accounting.”  (</w:t>
      </w:r>
      <w:bookmarkStart w:id="32" w:name="Psych_Cite_28"/>
      <w:r w:rsidRPr="00F11188" w:rsidR="007E7212">
        <w:rPr>
          <w:i/>
          <w:szCs w:val="26"/>
        </w:rPr>
        <w:t>Teselle</w:t>
      </w:r>
      <w:r w:rsidRPr="00F11188" w:rsidR="00096E56">
        <w:rPr>
          <w:szCs w:val="26"/>
        </w:rPr>
        <w:t xml:space="preserve">, </w:t>
      </w:r>
      <w:r w:rsidRPr="00F11188" w:rsidR="00096E56">
        <w:rPr>
          <w:i/>
          <w:szCs w:val="26"/>
        </w:rPr>
        <w:t>supra</w:t>
      </w:r>
      <w:r w:rsidRPr="00F11188" w:rsidR="00096E56">
        <w:rPr>
          <w:szCs w:val="26"/>
        </w:rPr>
        <w:t xml:space="preserve">, </w:t>
      </w:r>
      <w:r w:rsidRPr="00F11188" w:rsidR="007E7212">
        <w:rPr>
          <w:szCs w:val="26"/>
        </w:rPr>
        <w:t xml:space="preserve">173 Cal.App.4th </w:t>
      </w:r>
      <w:r w:rsidRPr="00F11188" w:rsidR="00B0462E">
        <w:rPr>
          <w:szCs w:val="26"/>
        </w:rPr>
        <w:t>at p.</w:t>
      </w:r>
      <w:r w:rsidRPr="00F11188" w:rsidR="007E7212">
        <w:rPr>
          <w:szCs w:val="26"/>
        </w:rPr>
        <w:t xml:space="preserve"> 179</w:t>
      </w:r>
      <w:bookmarkEnd w:id="32"/>
      <w:r w:rsidRPr="00F11188" w:rsidR="007E7212">
        <w:rPr>
          <w:szCs w:val="26"/>
        </w:rPr>
        <w:t xml:space="preserve">; see also 5 </w:t>
      </w:r>
      <w:bookmarkStart w:id="33" w:name="Psych_Cite_31"/>
      <w:r w:rsidRPr="00F11188" w:rsidR="007E7212">
        <w:rPr>
          <w:szCs w:val="26"/>
        </w:rPr>
        <w:t>Witkin</w:t>
      </w:r>
      <w:r w:rsidRPr="00F11188" w:rsidR="00C911E3">
        <w:rPr>
          <w:szCs w:val="26"/>
        </w:rPr>
        <w:t>,</w:t>
      </w:r>
      <w:r w:rsidRPr="00F11188" w:rsidR="007E7212">
        <w:rPr>
          <w:szCs w:val="26"/>
        </w:rPr>
        <w:t xml:space="preserve"> Cal. Proc</w:t>
      </w:r>
      <w:r w:rsidR="00713C97">
        <w:rPr>
          <w:szCs w:val="26"/>
        </w:rPr>
        <w:t>edure</w:t>
      </w:r>
      <w:r w:rsidR="00713C97">
        <w:rPr>
          <w:i/>
          <w:iCs/>
          <w:szCs w:val="26"/>
        </w:rPr>
        <w:t>, supra</w:t>
      </w:r>
      <w:bookmarkEnd w:id="33"/>
      <w:r w:rsidR="00713C97">
        <w:rPr>
          <w:szCs w:val="26"/>
        </w:rPr>
        <w:t>,</w:t>
      </w:r>
      <w:r w:rsidRPr="00F11188" w:rsidR="007E7212">
        <w:rPr>
          <w:szCs w:val="26"/>
        </w:rPr>
        <w:t xml:space="preserve"> Plead</w:t>
      </w:r>
      <w:r w:rsidRPr="00F11188" w:rsidR="0082734A">
        <w:rPr>
          <w:szCs w:val="26"/>
        </w:rPr>
        <w:t>ing</w:t>
      </w:r>
      <w:r w:rsidR="00713C97">
        <w:rPr>
          <w:szCs w:val="26"/>
        </w:rPr>
        <w:t>,</w:t>
      </w:r>
      <w:r w:rsidRPr="00F11188" w:rsidR="007E7212">
        <w:rPr>
          <w:szCs w:val="26"/>
        </w:rPr>
        <w:t xml:space="preserve"> </w:t>
      </w:r>
      <w:r w:rsidRPr="00F11188" w:rsidR="00DD2448">
        <w:rPr>
          <w:szCs w:val="26"/>
        </w:rPr>
        <w:t>§ </w:t>
      </w:r>
      <w:r w:rsidRPr="00F11188" w:rsidR="007E7212">
        <w:rPr>
          <w:szCs w:val="26"/>
        </w:rPr>
        <w:t>820.)</w:t>
      </w:r>
      <w:r w:rsidRPr="00F11188" w:rsidR="00D405AC">
        <w:rPr>
          <w:szCs w:val="26"/>
        </w:rPr>
        <w:t xml:space="preserve">  The action carries with it an inherent limitation</w:t>
      </w:r>
      <w:r w:rsidRPr="00F11188" w:rsidR="00B347B3">
        <w:rPr>
          <w:szCs w:val="26"/>
        </w:rPr>
        <w:t xml:space="preserve">; </w:t>
      </w:r>
      <w:r w:rsidRPr="00F11188" w:rsidR="005A5A62">
        <w:rPr>
          <w:szCs w:val="26"/>
        </w:rPr>
        <w:t>an accounting</w:t>
      </w:r>
      <w:r w:rsidRPr="00F11188" w:rsidR="00B347B3">
        <w:rPr>
          <w:szCs w:val="26"/>
        </w:rPr>
        <w:t xml:space="preserve"> action “is not available where the plaintiff alleges the right to recover a sum certain or a sum that can be made certain by calculation.”  (</w:t>
      </w:r>
      <w:bookmarkStart w:id="34" w:name="Psych_Cite_29"/>
      <w:r w:rsidRPr="00F11188" w:rsidR="00B347B3">
        <w:rPr>
          <w:i/>
          <w:szCs w:val="26"/>
        </w:rPr>
        <w:t>Teselle</w:t>
      </w:r>
      <w:r w:rsidRPr="00F11188" w:rsidR="00B347B3">
        <w:rPr>
          <w:szCs w:val="26"/>
        </w:rPr>
        <w:t>, at p.</w:t>
      </w:r>
      <w:r w:rsidR="00495F64">
        <w:rPr>
          <w:szCs w:val="26"/>
        </w:rPr>
        <w:t> </w:t>
      </w:r>
      <w:r w:rsidRPr="00F11188" w:rsidR="00B347B3">
        <w:rPr>
          <w:szCs w:val="26"/>
        </w:rPr>
        <w:t>179</w:t>
      </w:r>
      <w:bookmarkEnd w:id="34"/>
      <w:r w:rsidRPr="00F11188" w:rsidR="00B347B3">
        <w:rPr>
          <w:szCs w:val="26"/>
        </w:rPr>
        <w:t xml:space="preserve">; </w:t>
      </w:r>
      <w:bookmarkStart w:id="35" w:name="Psych_Cite_30"/>
      <w:r w:rsidRPr="00F11188" w:rsidR="00B347B3">
        <w:rPr>
          <w:szCs w:val="26"/>
        </w:rPr>
        <w:t xml:space="preserve">see also </w:t>
      </w:r>
      <w:r w:rsidRPr="00F11188" w:rsidR="002A2609">
        <w:rPr>
          <w:i/>
          <w:szCs w:val="26"/>
        </w:rPr>
        <w:t>St. James Church of Christ Holiness v. Superior Court of Los Angeles County</w:t>
      </w:r>
      <w:r w:rsidRPr="00F11188" w:rsidR="002A2609">
        <w:rPr>
          <w:szCs w:val="26"/>
        </w:rPr>
        <w:t xml:space="preserve"> (1955) 135 Cal.App.2d 352, 359</w:t>
      </w:r>
      <w:bookmarkEnd w:id="35"/>
      <w:r w:rsidRPr="00F11188" w:rsidR="00CE4E1D">
        <w:rPr>
          <w:szCs w:val="26"/>
        </w:rPr>
        <w:t>.)</w:t>
      </w:r>
    </w:p>
    <w:p w:rsidR="000C23E1" w:rsidRPr="00F11188" w:rsidP="00F11188">
      <w:pPr>
        <w:pStyle w:val="NormalIndent"/>
        <w:ind w:left="0" w:firstLine="720"/>
      </w:pPr>
      <w:r w:rsidRPr="00F11188">
        <w:t>An action for an accounting</w:t>
      </w:r>
      <w:r w:rsidRPr="00F11188" w:rsidR="00783F5E">
        <w:t xml:space="preserve"> has been characterized as “a means of discovery.”  (</w:t>
      </w:r>
      <w:bookmarkStart w:id="36" w:name="Psych_Cite_33"/>
      <w:r w:rsidRPr="00F11188" w:rsidR="00783F5E">
        <w:rPr>
          <w:i/>
        </w:rPr>
        <w:t>Teselle</w:t>
      </w:r>
      <w:r w:rsidRPr="00F11188" w:rsidR="00783F5E">
        <w:t xml:space="preserve">, </w:t>
      </w:r>
      <w:r w:rsidRPr="00F11188" w:rsidR="00783F5E">
        <w:rPr>
          <w:i/>
        </w:rPr>
        <w:t>supra</w:t>
      </w:r>
      <w:r w:rsidRPr="00F11188" w:rsidR="00783F5E">
        <w:t>, 173 Cal.App.4th at p.</w:t>
      </w:r>
      <w:r w:rsidR="00495F64">
        <w:t> </w:t>
      </w:r>
      <w:r w:rsidRPr="00F11188" w:rsidR="00783F5E">
        <w:t>180</w:t>
      </w:r>
      <w:r w:rsidRPr="00F11188" w:rsidR="00B23452">
        <w:t xml:space="preserve"> [“the purpose of the accounting is, in part, to discover what, if any, sums are owed to the plaintiff, and an accounting may be used as a discovery device”]</w:t>
      </w:r>
      <w:bookmarkEnd w:id="36"/>
      <w:r w:rsidRPr="00F11188" w:rsidR="00783F5E">
        <w:t>.)</w:t>
      </w:r>
      <w:r w:rsidRPr="00F11188" w:rsidR="00371268">
        <w:t xml:space="preserve">  This characterization </w:t>
      </w:r>
      <w:r w:rsidRPr="00F11188" w:rsidR="00C671A6">
        <w:t xml:space="preserve">is consistent with the idea that </w:t>
      </w:r>
      <w:r w:rsidRPr="00F11188" w:rsidR="00456BEA">
        <w:t xml:space="preserve">a plaintiff seeking an accounting cannot “allege[] the right to recover a sum certain” because he or she lacks the </w:t>
      </w:r>
      <w:r w:rsidRPr="00F11188" w:rsidR="00611CB5">
        <w:t>information</w:t>
      </w:r>
      <w:r w:rsidRPr="00F11188" w:rsidR="00456BEA">
        <w:t xml:space="preserve"> </w:t>
      </w:r>
      <w:r w:rsidRPr="00F11188" w:rsidR="00B671E5">
        <w:t xml:space="preserve">necessary to </w:t>
      </w:r>
      <w:r w:rsidRPr="00F11188" w:rsidR="004507C2">
        <w:t>determine</w:t>
      </w:r>
      <w:r w:rsidRPr="00F11188" w:rsidR="00AA4B03">
        <w:t xml:space="preserve"> the</w:t>
      </w:r>
      <w:r w:rsidRPr="00F11188" w:rsidR="009B4C1F">
        <w:t xml:space="preserve"> precise</w:t>
      </w:r>
      <w:r w:rsidRPr="00F11188" w:rsidR="00080D4F">
        <w:t xml:space="preserve"> </w:t>
      </w:r>
      <w:r w:rsidRPr="00F11188" w:rsidR="00D438E7">
        <w:t>amount</w:t>
      </w:r>
      <w:r w:rsidRPr="00F11188" w:rsidR="00AA4B03">
        <w:t xml:space="preserve"> that may be due.  (</w:t>
      </w:r>
      <w:bookmarkStart w:id="37" w:name="Psych_Cite_32"/>
      <w:r w:rsidRPr="00F11188" w:rsidR="00AA4B03">
        <w:rPr>
          <w:i/>
        </w:rPr>
        <w:t xml:space="preserve">Id. </w:t>
      </w:r>
      <w:r w:rsidRPr="00F11188" w:rsidR="00AA4B03">
        <w:t>at p. 179</w:t>
      </w:r>
      <w:bookmarkEnd w:id="37"/>
      <w:r w:rsidRPr="00F11188" w:rsidR="00AA4B03">
        <w:t xml:space="preserve">.)  </w:t>
      </w:r>
      <w:r w:rsidRPr="00F11188" w:rsidR="00E634FE">
        <w:t>The plaintiff’s</w:t>
      </w:r>
      <w:r w:rsidRPr="00F11188" w:rsidR="00B671E5">
        <w:t xml:space="preserve"> lack of knowledge drives the need for discovery;</w:t>
      </w:r>
      <w:r w:rsidRPr="00F11188" w:rsidR="00B57F1F">
        <w:t xml:space="preserve"> and the fact that</w:t>
      </w:r>
      <w:r w:rsidRPr="00F11188" w:rsidR="00B671E5">
        <w:t xml:space="preserve"> the gap can be filled </w:t>
      </w:r>
      <w:r w:rsidR="007A1186">
        <w:t>via</w:t>
      </w:r>
      <w:r w:rsidRPr="00F11188" w:rsidR="00B671E5">
        <w:t xml:space="preserve"> discovery </w:t>
      </w:r>
      <w:r w:rsidRPr="00F11188" w:rsidR="002218B9">
        <w:t xml:space="preserve">implies the information is within the </w:t>
      </w:r>
      <w:r w:rsidRPr="00F11188" w:rsidR="00453EA7">
        <w:t xml:space="preserve">control </w:t>
      </w:r>
      <w:r w:rsidRPr="00F11188" w:rsidR="002218B9">
        <w:t>of the defendant.</w:t>
      </w:r>
      <w:r w:rsidRPr="00F11188" w:rsidR="00F7106F">
        <w:t xml:space="preserve">  In other words, </w:t>
      </w:r>
      <w:r w:rsidRPr="00F11188" w:rsidR="00D5440A">
        <w:t>the</w:t>
      </w:r>
      <w:r w:rsidRPr="00F11188" w:rsidR="00282F6A">
        <w:t xml:space="preserve"> defendant in an accounting action possesses information </w:t>
      </w:r>
      <w:r w:rsidRPr="00F11188" w:rsidR="00B57F1F">
        <w:t xml:space="preserve">unknown to the plaintiff that is relevant for the computation of </w:t>
      </w:r>
      <w:r w:rsidR="002863B3">
        <w:t>money owed</w:t>
      </w:r>
      <w:r w:rsidRPr="00F11188" w:rsidR="00B57F1F">
        <w:t>.</w:t>
      </w:r>
    </w:p>
    <w:p w:rsidR="00670EBE" w:rsidRPr="00F11188" w:rsidP="00F11188">
      <w:pPr>
        <w:pStyle w:val="NormalIndent"/>
        <w:ind w:left="0" w:firstLine="720"/>
      </w:pPr>
      <w:r w:rsidRPr="00F11188">
        <w:t>Although</w:t>
      </w:r>
      <w:r w:rsidRPr="00F11188" w:rsidR="004E1D93">
        <w:t xml:space="preserve"> </w:t>
      </w:r>
      <w:r w:rsidRPr="00F11188" w:rsidR="00ED7DCD">
        <w:t>we infer that</w:t>
      </w:r>
      <w:r w:rsidRPr="00F11188">
        <w:t xml:space="preserve"> </w:t>
      </w:r>
      <w:r w:rsidRPr="00F11188" w:rsidR="003E6FF5">
        <w:t>a</w:t>
      </w:r>
      <w:r w:rsidRPr="00F11188">
        <w:t xml:space="preserve"> defendant</w:t>
      </w:r>
      <w:r w:rsidRPr="00F11188" w:rsidR="00AE5AF4">
        <w:t xml:space="preserve"> in an accounting </w:t>
      </w:r>
      <w:r w:rsidRPr="00F11188" w:rsidR="0071294E">
        <w:t>law</w:t>
      </w:r>
      <w:r w:rsidRPr="00F11188" w:rsidR="00AE5AF4">
        <w:t>suit</w:t>
      </w:r>
      <w:r w:rsidRPr="00F11188">
        <w:t xml:space="preserve"> ha</w:t>
      </w:r>
      <w:r w:rsidRPr="00F11188" w:rsidR="00D87C32">
        <w:t>s</w:t>
      </w:r>
      <w:r w:rsidRPr="00F11188">
        <w:t xml:space="preserve"> </w:t>
      </w:r>
      <w:r w:rsidRPr="00F11188" w:rsidR="00B13CDA">
        <w:t>pertinent</w:t>
      </w:r>
      <w:r w:rsidRPr="00F11188">
        <w:t xml:space="preserve"> private information, </w:t>
      </w:r>
      <w:r w:rsidR="002863B3">
        <w:t>there are limits to this inference.  W</w:t>
      </w:r>
      <w:r w:rsidRPr="00F11188" w:rsidR="00E45663">
        <w:t xml:space="preserve">e </w:t>
      </w:r>
      <w:r w:rsidRPr="00F11188" w:rsidR="004A0130">
        <w:t>do not know</w:t>
      </w:r>
      <w:r w:rsidRPr="00F11188" w:rsidR="00847046">
        <w:t xml:space="preserve"> </w:t>
      </w:r>
      <w:r w:rsidRPr="00F11188" w:rsidR="005558EF">
        <w:t xml:space="preserve">that </w:t>
      </w:r>
      <w:r w:rsidRPr="00F11188" w:rsidR="00637B7C">
        <w:t>a</w:t>
      </w:r>
      <w:r w:rsidRPr="00F11188" w:rsidR="007E6414">
        <w:t xml:space="preserve"> </w:t>
      </w:r>
      <w:r w:rsidRPr="00F11188" w:rsidR="0073600E">
        <w:t xml:space="preserve">defendant </w:t>
      </w:r>
      <w:r w:rsidRPr="00F11188" w:rsidR="003E669A">
        <w:t>will always have all</w:t>
      </w:r>
      <w:r w:rsidRPr="00F11188" w:rsidR="0073600E">
        <w:t xml:space="preserve"> the information necessary to compute the amount owing</w:t>
      </w:r>
      <w:r w:rsidR="00C33D32">
        <w:t xml:space="preserve"> to</w:t>
      </w:r>
      <w:r w:rsidRPr="00F11188" w:rsidR="0073600E">
        <w:t xml:space="preserve"> </w:t>
      </w:r>
      <w:r w:rsidRPr="00F11188" w:rsidR="00B23581">
        <w:t xml:space="preserve">the </w:t>
      </w:r>
      <w:r w:rsidRPr="00F11188" w:rsidR="0073600E">
        <w:t xml:space="preserve">plaintiff.  </w:t>
      </w:r>
      <w:r w:rsidRPr="00F11188" w:rsidR="005412AE">
        <w:rPr>
          <w:szCs w:val="26"/>
        </w:rPr>
        <w:t>(</w:t>
      </w:r>
      <w:bookmarkStart w:id="38" w:name="Psych_Cite_34"/>
      <w:r w:rsidRPr="00F11188" w:rsidR="005412AE">
        <w:rPr>
          <w:szCs w:val="26"/>
        </w:rPr>
        <w:t xml:space="preserve">See </w:t>
      </w:r>
      <w:r w:rsidRPr="00F11188" w:rsidR="005412AE">
        <w:rPr>
          <w:i/>
          <w:szCs w:val="26"/>
        </w:rPr>
        <w:t xml:space="preserve">Warren v. Warren </w:t>
      </w:r>
      <w:r w:rsidRPr="00F11188" w:rsidR="005412AE">
        <w:rPr>
          <w:szCs w:val="26"/>
        </w:rPr>
        <w:t xml:space="preserve">(2015) </w:t>
      </w:r>
      <w:bookmarkStart w:id="39" w:name="_Hlk55469755"/>
      <w:r w:rsidRPr="00F11188" w:rsidR="005412AE">
        <w:rPr>
          <w:szCs w:val="26"/>
        </w:rPr>
        <w:t>240</w:t>
      </w:r>
      <w:r w:rsidR="005A1CFD">
        <w:rPr>
          <w:szCs w:val="26"/>
        </w:rPr>
        <w:t> </w:t>
      </w:r>
      <w:r w:rsidRPr="00F11188" w:rsidR="005412AE">
        <w:rPr>
          <w:szCs w:val="26"/>
        </w:rPr>
        <w:t>Cal.App.4th 373</w:t>
      </w:r>
      <w:bookmarkEnd w:id="39"/>
      <w:r w:rsidRPr="00F11188" w:rsidR="005412AE">
        <w:rPr>
          <w:szCs w:val="26"/>
        </w:rPr>
        <w:t>, 378</w:t>
      </w:r>
      <w:r w:rsidR="007C1930">
        <w:rPr>
          <w:szCs w:val="26"/>
        </w:rPr>
        <w:t>–</w:t>
      </w:r>
      <w:r w:rsidRPr="00F11188" w:rsidR="005412AE">
        <w:rPr>
          <w:szCs w:val="26"/>
        </w:rPr>
        <w:t>379 (</w:t>
      </w:r>
      <w:r w:rsidRPr="00F11188" w:rsidR="005412AE">
        <w:rPr>
          <w:i/>
          <w:szCs w:val="26"/>
        </w:rPr>
        <w:t>Warren</w:t>
      </w:r>
      <w:r w:rsidRPr="00F11188" w:rsidR="005412AE">
        <w:rPr>
          <w:szCs w:val="26"/>
        </w:rPr>
        <w:t>) [noting that “[</w:t>
      </w:r>
      <w:r w:rsidRPr="00F11188" w:rsidR="005412AE">
        <w:rPr>
          <w:i/>
          <w:szCs w:val="26"/>
        </w:rPr>
        <w:t>g</w:t>
      </w:r>
      <w:r w:rsidRPr="00F11188" w:rsidR="005412AE">
        <w:rPr>
          <w:szCs w:val="26"/>
        </w:rPr>
        <w:t>]</w:t>
      </w:r>
      <w:r w:rsidRPr="00F11188" w:rsidR="005412AE">
        <w:rPr>
          <w:i/>
          <w:szCs w:val="26"/>
        </w:rPr>
        <w:t>enerally</w:t>
      </w:r>
      <w:r w:rsidRPr="00F11188" w:rsidR="005412AE">
        <w:rPr>
          <w:szCs w:val="26"/>
        </w:rPr>
        <w:t>, the defendant, not the plaintiff, in an accounting action has the information necessary to determine its liability for damages</w:t>
      </w:r>
      <w:r w:rsidRPr="00F11188" w:rsidR="0079694F">
        <w:rPr>
          <w:szCs w:val="26"/>
        </w:rPr>
        <w:t>,” and “</w:t>
      </w:r>
      <w:r w:rsidR="00F24681">
        <w:rPr>
          <w:szCs w:val="26"/>
        </w:rPr>
        <w:t>[</w:t>
      </w:r>
      <w:r w:rsidRPr="00935E2C" w:rsidR="0079694F">
        <w:rPr>
          <w:i/>
          <w:szCs w:val="26"/>
        </w:rPr>
        <w:t>g</w:t>
      </w:r>
      <w:r w:rsidR="00935E2C">
        <w:rPr>
          <w:iCs/>
          <w:szCs w:val="26"/>
        </w:rPr>
        <w:t>]</w:t>
      </w:r>
      <w:r w:rsidRPr="00935E2C" w:rsidR="005412AE">
        <w:rPr>
          <w:i/>
          <w:szCs w:val="26"/>
        </w:rPr>
        <w:t>enerally</w:t>
      </w:r>
      <w:r w:rsidRPr="00F11188" w:rsidR="005412AE">
        <w:rPr>
          <w:szCs w:val="26"/>
        </w:rPr>
        <w:t xml:space="preserve">, the plaintiff does not have equal access to that information” but finding that the case before the court “does not fall under that general rule” </w:t>
      </w:r>
      <w:r w:rsidRPr="00F11188" w:rsidR="00DA7F16">
        <w:rPr>
          <w:szCs w:val="26"/>
        </w:rPr>
        <w:t>(</w:t>
      </w:r>
      <w:r w:rsidRPr="00F11188" w:rsidR="005412AE">
        <w:rPr>
          <w:szCs w:val="26"/>
        </w:rPr>
        <w:t>italics added</w:t>
      </w:r>
      <w:r w:rsidRPr="00F11188" w:rsidR="00DA7F16">
        <w:rPr>
          <w:szCs w:val="26"/>
        </w:rPr>
        <w:t>)</w:t>
      </w:r>
      <w:r w:rsidRPr="00F11188" w:rsidR="006A1738">
        <w:rPr>
          <w:szCs w:val="26"/>
        </w:rPr>
        <w:t>]</w:t>
      </w:r>
      <w:bookmarkEnd w:id="38"/>
      <w:r w:rsidRPr="00F11188" w:rsidR="005412AE">
        <w:rPr>
          <w:szCs w:val="26"/>
        </w:rPr>
        <w:t>.)</w:t>
      </w:r>
      <w:r w:rsidRPr="00F11188" w:rsidR="008A45E0">
        <w:t xml:space="preserve">  </w:t>
      </w:r>
      <w:r w:rsidR="00ED79E4">
        <w:t>P</w:t>
      </w:r>
      <w:r w:rsidR="00A45767">
        <w:t>laintiff</w:t>
      </w:r>
      <w:r w:rsidRPr="00F11188" w:rsidR="0073600E">
        <w:t xml:space="preserve"> in this case, although </w:t>
      </w:r>
      <w:r w:rsidRPr="00F11188" w:rsidR="00E9415F">
        <w:t xml:space="preserve">pleading </w:t>
      </w:r>
      <w:r w:rsidRPr="00F11188" w:rsidR="00D1621B">
        <w:t xml:space="preserve">for </w:t>
      </w:r>
      <w:r w:rsidRPr="00F11188" w:rsidR="00E9415F">
        <w:t xml:space="preserve">an accounting and </w:t>
      </w:r>
      <w:r w:rsidRPr="00F11188" w:rsidR="00937F58">
        <w:t xml:space="preserve">alleging that </w:t>
      </w:r>
      <w:r w:rsidRPr="00F11188">
        <w:t xml:space="preserve">the assets are in </w:t>
      </w:r>
      <w:r w:rsidRPr="00F11188" w:rsidR="000A4F1C">
        <w:t>Cohen</w:t>
      </w:r>
      <w:r w:rsidRPr="00F11188">
        <w:t>’s possession</w:t>
      </w:r>
      <w:r w:rsidRPr="00F11188" w:rsidR="009B5182">
        <w:t xml:space="preserve">, </w:t>
      </w:r>
      <w:r w:rsidRPr="00F11188" w:rsidR="00624C6C">
        <w:t>acknowledge</w:t>
      </w:r>
      <w:r w:rsidRPr="00F11188" w:rsidR="00D62F60">
        <w:t>s</w:t>
      </w:r>
      <w:r w:rsidRPr="00F11188" w:rsidR="00624C6C">
        <w:t xml:space="preserve"> that </w:t>
      </w:r>
      <w:r w:rsidRPr="00F11188" w:rsidR="003B6AD9">
        <w:t>such allegations</w:t>
      </w:r>
      <w:r w:rsidRPr="00F11188" w:rsidR="000B5C91">
        <w:t xml:space="preserve"> give</w:t>
      </w:r>
      <w:r w:rsidRPr="00F11188" w:rsidR="00624C6C">
        <w:t xml:space="preserve"> rise </w:t>
      </w:r>
      <w:r w:rsidRPr="00F11188" w:rsidR="00DD3A40">
        <w:t xml:space="preserve">only </w:t>
      </w:r>
      <w:r w:rsidRPr="00F11188" w:rsidR="00624C6C">
        <w:t xml:space="preserve">to </w:t>
      </w:r>
      <w:r w:rsidRPr="00F11188" w:rsidR="00CD35F7">
        <w:t>the</w:t>
      </w:r>
      <w:r w:rsidRPr="00F11188" w:rsidR="00624C6C">
        <w:t xml:space="preserve"> assumption </w:t>
      </w:r>
      <w:r w:rsidRPr="00F11188" w:rsidR="00EA2213">
        <w:t xml:space="preserve">that </w:t>
      </w:r>
      <w:r w:rsidRPr="00F11188" w:rsidR="00847ED3">
        <w:t xml:space="preserve">Cohen </w:t>
      </w:r>
      <w:r w:rsidRPr="00F11188" w:rsidR="00624C6C">
        <w:t xml:space="preserve">“has knowledge of the property as great, or greater than, that of </w:t>
      </w:r>
      <w:r w:rsidRPr="00F11188" w:rsidR="00607AA2">
        <w:t>. . .</w:t>
      </w:r>
      <w:r w:rsidRPr="00F11188" w:rsidR="00624C6C">
        <w:t xml:space="preserve"> plaintiff</w:t>
      </w:r>
      <w:r w:rsidRPr="00F11188" w:rsidR="00EA2213">
        <w:t xml:space="preserve">.” </w:t>
      </w:r>
      <w:r w:rsidRPr="00F11188" w:rsidR="00A617FA">
        <w:t xml:space="preserve"> </w:t>
      </w:r>
      <w:r w:rsidRPr="00F11188" w:rsidR="00024F87">
        <w:t>E</w:t>
      </w:r>
      <w:r w:rsidRPr="00F11188" w:rsidR="00994A32">
        <w:t xml:space="preserve">ven by </w:t>
      </w:r>
      <w:r w:rsidR="00274C6B">
        <w:t>plaintiff</w:t>
      </w:r>
      <w:r w:rsidRPr="00F11188" w:rsidR="00994A32">
        <w:t>’s reckoning</w:t>
      </w:r>
      <w:r w:rsidRPr="00F11188" w:rsidR="00024F87">
        <w:t xml:space="preserve"> then</w:t>
      </w:r>
      <w:r w:rsidRPr="00F11188" w:rsidR="00994A32">
        <w:t xml:space="preserve">, </w:t>
      </w:r>
      <w:r w:rsidRPr="00F11188" w:rsidR="003F7D4A">
        <w:t xml:space="preserve">accounting actions subsume cases </w:t>
      </w:r>
      <w:r w:rsidRPr="00F11188" w:rsidR="008E1483">
        <w:t>in which</w:t>
      </w:r>
      <w:r w:rsidRPr="00F11188" w:rsidR="003F7D4A">
        <w:t xml:space="preserve"> </w:t>
      </w:r>
      <w:r w:rsidRPr="00F11188" w:rsidR="00AA7922">
        <w:t>the parties</w:t>
      </w:r>
      <w:r w:rsidRPr="00F11188" w:rsidR="003F7D4A">
        <w:t xml:space="preserve"> </w:t>
      </w:r>
      <w:r w:rsidRPr="00F11188" w:rsidR="007D2841">
        <w:t xml:space="preserve">possess </w:t>
      </w:r>
      <w:r w:rsidRPr="00F11188" w:rsidR="00690C78">
        <w:t>e</w:t>
      </w:r>
      <w:r w:rsidRPr="00F11188" w:rsidR="007D2841">
        <w:t xml:space="preserve">qual </w:t>
      </w:r>
      <w:r w:rsidR="0069074B">
        <w:t>amounts</w:t>
      </w:r>
      <w:r w:rsidRPr="00F11188" w:rsidR="0007482A">
        <w:t xml:space="preserve"> of </w:t>
      </w:r>
      <w:r w:rsidRPr="00F11188" w:rsidR="00690C78">
        <w:t>information</w:t>
      </w:r>
      <w:r w:rsidRPr="00F11188" w:rsidR="008E1483">
        <w:t>.</w:t>
      </w:r>
    </w:p>
    <w:p w:rsidR="008E1483" w:rsidRPr="00F11188" w:rsidP="00F11188">
      <w:pPr>
        <w:pStyle w:val="NormalIndent"/>
        <w:ind w:left="0" w:firstLine="720"/>
      </w:pPr>
      <w:r w:rsidRPr="00F11188">
        <w:t>In short, t</w:t>
      </w:r>
      <w:r w:rsidRPr="00F11188" w:rsidR="005D0716">
        <w:t xml:space="preserve">he underpinning of an </w:t>
      </w:r>
      <w:r w:rsidRPr="00F11188" w:rsidR="00F72B35">
        <w:t xml:space="preserve">accounting action </w:t>
      </w:r>
      <w:r w:rsidRPr="00F11188" w:rsidR="009F280E">
        <w:t>i</w:t>
      </w:r>
      <w:r w:rsidRPr="00F11188" w:rsidR="005D0716">
        <w:t>s</w:t>
      </w:r>
      <w:r w:rsidRPr="00F11188">
        <w:t xml:space="preserve"> an information asymmetry between the parties</w:t>
      </w:r>
      <w:r w:rsidR="00E20919">
        <w:t>,</w:t>
      </w:r>
      <w:r w:rsidRPr="00F11188" w:rsidR="0004602E">
        <w:t xml:space="preserve"> </w:t>
      </w:r>
      <w:r w:rsidRPr="00F11188" w:rsidR="002819B4">
        <w:t>an</w:t>
      </w:r>
      <w:r w:rsidRPr="00F11188" w:rsidR="0004602E">
        <w:t xml:space="preserve"> </w:t>
      </w:r>
      <w:r w:rsidRPr="00F11188" w:rsidR="0079073A">
        <w:t xml:space="preserve">asymmetry </w:t>
      </w:r>
      <w:r w:rsidRPr="00F11188" w:rsidR="008501DD">
        <w:t xml:space="preserve">that </w:t>
      </w:r>
      <w:r w:rsidR="00947752">
        <w:t>generally</w:t>
      </w:r>
      <w:r w:rsidRPr="00F11188" w:rsidR="00947752">
        <w:t xml:space="preserve"> </w:t>
      </w:r>
      <w:r w:rsidRPr="00F11188" w:rsidR="0079073A">
        <w:t>favor</w:t>
      </w:r>
      <w:r w:rsidRPr="00F11188" w:rsidR="008501DD">
        <w:t>s</w:t>
      </w:r>
      <w:r w:rsidRPr="00F11188" w:rsidR="0079073A">
        <w:t xml:space="preserve"> the defendant</w:t>
      </w:r>
      <w:r w:rsidRPr="00F11188" w:rsidR="00A54299">
        <w:t xml:space="preserve"> but never the plaintiff</w:t>
      </w:r>
      <w:r w:rsidRPr="00F11188" w:rsidR="00AA0DB5">
        <w:t xml:space="preserve">.  </w:t>
      </w:r>
      <w:r w:rsidRPr="00F11188" w:rsidR="0057598E">
        <w:t xml:space="preserve">Our goal </w:t>
      </w:r>
      <w:r w:rsidRPr="00F11188" w:rsidR="007F6C29">
        <w:t xml:space="preserve">is </w:t>
      </w:r>
      <w:r w:rsidRPr="00F11188" w:rsidR="0057598E">
        <w:t xml:space="preserve">to </w:t>
      </w:r>
      <w:r w:rsidRPr="00F11188" w:rsidR="00C0619E">
        <w:t>probe</w:t>
      </w:r>
      <w:r w:rsidRPr="00F11188" w:rsidR="00630BC7">
        <w:t xml:space="preserve"> the consequences of this asymmetry in the context of defaults.</w:t>
      </w:r>
    </w:p>
    <w:p w:rsidR="00A714EC" w:rsidRPr="00F11188" w:rsidP="00F11188">
      <w:pPr>
        <w:pStyle w:val="Heading3"/>
        <w:tabs>
          <w:tab w:val="clear" w:pos="1584"/>
        </w:tabs>
      </w:pPr>
      <w:r w:rsidRPr="00F11188">
        <w:t xml:space="preserve">2.  </w:t>
      </w:r>
      <w:bookmarkStart w:id="40" w:name="Psych_Cite_35"/>
      <w:r w:rsidRPr="00F11188" w:rsidR="007225E3">
        <w:t>Section 580</w:t>
      </w:r>
      <w:bookmarkEnd w:id="40"/>
      <w:r w:rsidRPr="00F11188" w:rsidR="002160BE">
        <w:t xml:space="preserve"> and</w:t>
      </w:r>
      <w:r w:rsidRPr="00F11188">
        <w:t xml:space="preserve"> </w:t>
      </w:r>
      <w:r w:rsidR="00B52E62">
        <w:t>r</w:t>
      </w:r>
      <w:r w:rsidRPr="00F11188" w:rsidR="007225E3">
        <w:t xml:space="preserve">elated </w:t>
      </w:r>
      <w:r w:rsidR="00B52E62">
        <w:t>s</w:t>
      </w:r>
      <w:r w:rsidRPr="00F11188" w:rsidR="007225E3">
        <w:t>tatutes</w:t>
      </w:r>
    </w:p>
    <w:p w:rsidR="005B47AF" w:rsidRPr="00F11188" w:rsidP="00F11188">
      <w:pPr>
        <w:pStyle w:val="NormalIndent"/>
        <w:ind w:left="0" w:firstLine="720"/>
      </w:pPr>
      <w:bookmarkStart w:id="41" w:name="Psych_Cite_36"/>
      <w:r w:rsidRPr="00F11188">
        <w:t>Section 580</w:t>
      </w:r>
      <w:bookmarkEnd w:id="41"/>
      <w:r w:rsidRPr="00F11188">
        <w:t xml:space="preserve"> is one of several statutory provisions governing default.  In relevant part, </w:t>
      </w:r>
      <w:r w:rsidR="00483F01">
        <w:t>it</w:t>
      </w:r>
      <w:r w:rsidRPr="00F11188" w:rsidR="0021118D">
        <w:t xml:space="preserve"> states</w:t>
      </w:r>
      <w:r w:rsidRPr="00F11188" w:rsidR="0050196A">
        <w:t>:</w:t>
      </w:r>
      <w:r w:rsidRPr="00F11188" w:rsidR="0021118D">
        <w:t xml:space="preserve"> </w:t>
      </w:r>
      <w:r w:rsidRPr="00F11188" w:rsidR="0050196A">
        <w:t xml:space="preserve"> </w:t>
      </w:r>
      <w:r w:rsidRPr="00F11188" w:rsidR="0021118D">
        <w:t xml:space="preserve">“The relief granted to the plaintiff, if there is no answer, cannot exceed that demanded in the complaint, in the statement required by </w:t>
      </w:r>
      <w:bookmarkStart w:id="42" w:name="Psych_Cite_37"/>
      <w:r w:rsidRPr="00F11188" w:rsidR="0021118D">
        <w:t>Section 425.11</w:t>
      </w:r>
      <w:bookmarkEnd w:id="42"/>
      <w:r w:rsidRPr="00F11188" w:rsidR="0021118D">
        <w:t xml:space="preserve">, or in the statement provided for by </w:t>
      </w:r>
      <w:bookmarkStart w:id="43" w:name="Psych_Cite_38"/>
      <w:r w:rsidRPr="00F11188" w:rsidR="0021118D">
        <w:t>Section 425.115</w:t>
      </w:r>
      <w:bookmarkEnd w:id="43"/>
      <w:r w:rsidRPr="00F11188" w:rsidR="0021118D">
        <w:t>; but in any other case, the court may grant the plaintiff any relief consistent with the case made by the complaint and embraced within the issue.”  (</w:t>
      </w:r>
      <w:r w:rsidRPr="00F11188" w:rsidR="00DD2448">
        <w:t>§ </w:t>
      </w:r>
      <w:r w:rsidRPr="00F11188" w:rsidR="0021118D">
        <w:t>580, subd. (a).)</w:t>
      </w:r>
    </w:p>
    <w:p w:rsidR="0021118D" w:rsidRPr="00F11188" w:rsidP="00F11188">
      <w:pPr>
        <w:pStyle w:val="NormalIndent"/>
        <w:ind w:left="0" w:firstLine="720"/>
      </w:pPr>
      <w:bookmarkStart w:id="44" w:name="Psych_Cite_41"/>
      <w:r w:rsidRPr="00F11188">
        <w:t>Section</w:t>
      </w:r>
      <w:r w:rsidRPr="00F11188" w:rsidR="00CC18BE">
        <w:t xml:space="preserve"> 580</w:t>
      </w:r>
      <w:r w:rsidR="00C33D32">
        <w:t>, subdivision (a)</w:t>
      </w:r>
      <w:bookmarkEnd w:id="44"/>
      <w:r w:rsidRPr="00F11188" w:rsidR="00CC18BE">
        <w:t xml:space="preserve"> thus specifies two instances in which </w:t>
      </w:r>
      <w:r w:rsidRPr="00F11188" w:rsidR="001D2745">
        <w:t xml:space="preserve">the </w:t>
      </w:r>
      <w:r w:rsidRPr="00F11188" w:rsidR="00CC18BE">
        <w:t xml:space="preserve">relief </w:t>
      </w:r>
      <w:r w:rsidRPr="00F11188" w:rsidR="001D2745">
        <w:t xml:space="preserve">awarded in </w:t>
      </w:r>
      <w:r w:rsidRPr="00F11188" w:rsidR="00992529">
        <w:t xml:space="preserve">a </w:t>
      </w:r>
      <w:r w:rsidRPr="00F11188" w:rsidR="001D2745">
        <w:t xml:space="preserve">default </w:t>
      </w:r>
      <w:r w:rsidRPr="00F11188" w:rsidR="00992529">
        <w:t xml:space="preserve">judgment </w:t>
      </w:r>
      <w:r w:rsidRPr="00F11188" w:rsidR="00CC18BE">
        <w:t>is not limited to “that demanded in the complaint</w:t>
      </w:r>
      <w:r w:rsidRPr="00F11188" w:rsidR="005B093F">
        <w:t>”</w:t>
      </w:r>
      <w:r w:rsidRPr="00F11188" w:rsidR="00BB28C5">
        <w:t>:</w:t>
      </w:r>
      <w:r w:rsidRPr="00F11188" w:rsidR="005B093F">
        <w:t xml:space="preserve"> </w:t>
      </w:r>
      <w:r w:rsidRPr="00F11188" w:rsidR="00BB28C5">
        <w:t xml:space="preserve"> </w:t>
      </w:r>
      <w:r w:rsidRPr="00F11188" w:rsidR="008F3E86">
        <w:t xml:space="preserve">those </w:t>
      </w:r>
      <w:r w:rsidRPr="00F11188" w:rsidR="00931795">
        <w:t>that fall</w:t>
      </w:r>
      <w:r w:rsidRPr="00F11188" w:rsidR="008F3E86">
        <w:t xml:space="preserve"> within the scope of</w:t>
      </w:r>
      <w:r w:rsidRPr="00F11188" w:rsidR="005B093F">
        <w:t xml:space="preserve"> </w:t>
      </w:r>
      <w:bookmarkStart w:id="45" w:name="Psych_Cite_42"/>
      <w:r w:rsidRPr="00F11188" w:rsidR="005B093F">
        <w:t>section 425.1</w:t>
      </w:r>
      <w:bookmarkEnd w:id="45"/>
      <w:r w:rsidRPr="00F11188" w:rsidR="005B093F">
        <w:t xml:space="preserve">1 </w:t>
      </w:r>
      <w:r w:rsidRPr="00F11188" w:rsidR="00CA1FF3">
        <w:t xml:space="preserve">or </w:t>
      </w:r>
      <w:r w:rsidRPr="00F11188" w:rsidR="005B093F">
        <w:t>425.115</w:t>
      </w:r>
      <w:r w:rsidRPr="00F11188" w:rsidR="00CC18BE">
        <w:t xml:space="preserve">.  </w:t>
      </w:r>
      <w:bookmarkStart w:id="46" w:name="Psych_Cite_43"/>
      <w:r w:rsidRPr="00F11188" w:rsidR="00CC18BE">
        <w:t>Section 425.1</w:t>
      </w:r>
      <w:bookmarkEnd w:id="46"/>
      <w:r w:rsidRPr="00F11188" w:rsidR="00CC18BE">
        <w:t>1 controls</w:t>
      </w:r>
      <w:r w:rsidRPr="00F11188" w:rsidR="008C5B29">
        <w:t xml:space="preserve"> actions “to recover damages for personal injury or wrongful death.”  (</w:t>
      </w:r>
      <w:bookmarkStart w:id="47" w:name="Psych_Cite_39"/>
      <w:r w:rsidR="00C33D32">
        <w:rPr>
          <w:i/>
          <w:iCs/>
        </w:rPr>
        <w:t>Id.</w:t>
      </w:r>
      <w:r w:rsidRPr="00F11188" w:rsidR="008C5B29">
        <w:t>, subd</w:t>
      </w:r>
      <w:bookmarkEnd w:id="47"/>
      <w:r w:rsidRPr="00F11188" w:rsidR="008C5B29">
        <w:t xml:space="preserve">. (b).)  In such actions, </w:t>
      </w:r>
      <w:r w:rsidRPr="00F11188" w:rsidR="00936F87">
        <w:t>“the amount demanded shall not be stated” in a complaint.</w:t>
      </w:r>
      <w:r>
        <w:rPr>
          <w:rStyle w:val="FootnoteReference"/>
        </w:rPr>
        <w:footnoteReference w:id="4"/>
      </w:r>
      <w:r w:rsidRPr="00F11188" w:rsidR="00936F87">
        <w:t xml:space="preserve">  (</w:t>
      </w:r>
      <w:r w:rsidRPr="00F11188" w:rsidR="00DD2448">
        <w:t>§ </w:t>
      </w:r>
      <w:r w:rsidRPr="00F11188" w:rsidR="00936F87">
        <w:t xml:space="preserve">425.10, subd. (b).)  Instead, the plaintiff must serve on the defendant “a statement setting </w:t>
      </w:r>
      <w:r w:rsidRPr="00F11188" w:rsidR="006A5322">
        <w:t>forth</w:t>
      </w:r>
      <w:r w:rsidRPr="00F11188" w:rsidR="00936F87">
        <w:t xml:space="preserve"> the nature and amount of damages being sought.”  (</w:t>
      </w:r>
      <w:r w:rsidRPr="00F11188" w:rsidR="00DD2448">
        <w:t>§ </w:t>
      </w:r>
      <w:r w:rsidRPr="00F11188" w:rsidR="00936F87">
        <w:t xml:space="preserve">425.11, subd. (b).)  </w:t>
      </w:r>
      <w:r w:rsidRPr="00F11188" w:rsidR="00396DAA">
        <w:t>As is relevant here, t</w:t>
      </w:r>
      <w:r w:rsidRPr="00F11188" w:rsidR="005B47AF">
        <w:t>he</w:t>
      </w:r>
      <w:r w:rsidRPr="00F11188" w:rsidR="00936F87">
        <w:t xml:space="preserve"> plaintiff must serve such a statement of damages “before a default may be taken.”  (</w:t>
      </w:r>
      <w:bookmarkStart w:id="49" w:name="Psych_Cite_40"/>
      <w:r w:rsidR="00C33D32">
        <w:rPr>
          <w:i/>
          <w:iCs/>
        </w:rPr>
        <w:t>Id.</w:t>
      </w:r>
      <w:r w:rsidRPr="00F11188" w:rsidR="00936F87">
        <w:t>, sub</w:t>
      </w:r>
      <w:bookmarkEnd w:id="49"/>
      <w:r w:rsidRPr="00F11188" w:rsidR="00936F87">
        <w:t>d. (c).)</w:t>
      </w:r>
      <w:r w:rsidRPr="00F11188" w:rsidR="00B82354">
        <w:t xml:space="preserve">  Similarly, </w:t>
      </w:r>
      <w:bookmarkStart w:id="50" w:name="Psych_Cite_44"/>
      <w:r w:rsidRPr="00F11188" w:rsidR="00B82354">
        <w:t>section 425.11</w:t>
      </w:r>
      <w:bookmarkEnd w:id="50"/>
      <w:r w:rsidRPr="00F11188" w:rsidR="008C3C61">
        <w:t>5</w:t>
      </w:r>
      <w:r w:rsidRPr="00F11188" w:rsidR="00B82354">
        <w:t xml:space="preserve"> requires a plaintiff seeking punitive damages to serve upon the defendant a form statement “or its substantial equivalent” that gives the defendant notice of the specific amount of punitive damages sought.</w:t>
      </w:r>
      <w:r>
        <w:rPr>
          <w:rStyle w:val="FootnoteReference"/>
        </w:rPr>
        <w:footnoteReference w:id="5"/>
      </w:r>
      <w:r w:rsidRPr="00F11188" w:rsidR="00B82354">
        <w:t xml:space="preserve">  (</w:t>
      </w:r>
      <w:r w:rsidRPr="00F11188" w:rsidR="00DD2448">
        <w:t>§ </w:t>
      </w:r>
      <w:r w:rsidRPr="00F11188" w:rsidR="00B82354">
        <w:t>425.11</w:t>
      </w:r>
      <w:r w:rsidR="000C2B24">
        <w:t>5</w:t>
      </w:r>
      <w:r w:rsidRPr="00F11188" w:rsidR="00B82354">
        <w:t>, subd. (b).)</w:t>
      </w:r>
      <w:r w:rsidRPr="00F11188" w:rsidR="00575E5B">
        <w:t xml:space="preserve">  </w:t>
      </w:r>
      <w:r w:rsidRPr="00F11188" w:rsidR="00765D36">
        <w:t>As with</w:t>
      </w:r>
      <w:r w:rsidRPr="00F11188" w:rsidR="00575E5B">
        <w:t xml:space="preserve"> </w:t>
      </w:r>
      <w:bookmarkStart w:id="53" w:name="Psych_Cite_45"/>
      <w:r w:rsidRPr="00F11188" w:rsidR="008C3C61">
        <w:t>section 425.1</w:t>
      </w:r>
      <w:bookmarkEnd w:id="53"/>
      <w:r w:rsidRPr="00F11188" w:rsidR="008C3C61">
        <w:t xml:space="preserve">1, the statement contemplated by </w:t>
      </w:r>
      <w:bookmarkStart w:id="54" w:name="Psych_Cite_46"/>
      <w:r w:rsidRPr="00F11188" w:rsidR="008C3C61">
        <w:t>section 425.11</w:t>
      </w:r>
      <w:bookmarkEnd w:id="54"/>
      <w:r w:rsidRPr="00F11188" w:rsidR="008C3C61">
        <w:t xml:space="preserve">5 must be served “upon the defendant </w:t>
      </w:r>
      <w:r w:rsidRPr="00F11188" w:rsidR="00CF7950">
        <w:t>. . .</w:t>
      </w:r>
      <w:r w:rsidRPr="00F11188" w:rsidR="008C3C61">
        <w:t xml:space="preserve"> before a default may be taken.”  (</w:t>
      </w:r>
      <w:r w:rsidRPr="00F11188" w:rsidR="00DD2448">
        <w:t>§ </w:t>
      </w:r>
      <w:r w:rsidRPr="00F11188" w:rsidR="008E5865">
        <w:t>425.115, subd. (</w:t>
      </w:r>
      <w:r w:rsidR="00C33D32">
        <w:t>f</w:t>
      </w:r>
      <w:r w:rsidRPr="00F11188" w:rsidR="008E5865">
        <w:t>).)</w:t>
      </w:r>
    </w:p>
    <w:p w:rsidR="00894441" w:rsidRPr="00F11188" w:rsidP="00F11188">
      <w:pPr>
        <w:pStyle w:val="NormalIndent"/>
        <w:ind w:left="0" w:firstLine="720"/>
      </w:pPr>
      <w:r w:rsidRPr="00F11188">
        <w:t>Se</w:t>
      </w:r>
      <w:bookmarkStart w:id="55" w:name="Psych_Cite_50"/>
      <w:r w:rsidRPr="00F11188">
        <w:t>ction 580</w:t>
      </w:r>
      <w:r w:rsidR="006940F1">
        <w:t>, subdivision (a)</w:t>
      </w:r>
      <w:bookmarkEnd w:id="55"/>
      <w:r w:rsidRPr="00F11188">
        <w:t xml:space="preserve">’s </w:t>
      </w:r>
      <w:r w:rsidRPr="00F11188" w:rsidR="002D00DF">
        <w:t xml:space="preserve">requirement that the relief granted “cannot exceed that demanded in the complaint” </w:t>
      </w:r>
      <w:r w:rsidRPr="00F11188" w:rsidR="00922620">
        <w:t xml:space="preserve">is echoed </w:t>
      </w:r>
      <w:r w:rsidRPr="00F11188" w:rsidR="003F30B9">
        <w:t xml:space="preserve">by other statutory provisions.  </w:t>
      </w:r>
      <w:bookmarkStart w:id="56" w:name="Psych_Cite_51"/>
      <w:r w:rsidRPr="00F11188" w:rsidR="00611C98">
        <w:t>Section 425.10</w:t>
      </w:r>
      <w:bookmarkEnd w:id="56"/>
      <w:r w:rsidRPr="00F11188" w:rsidR="00AB20C4">
        <w:t>, for instance,</w:t>
      </w:r>
      <w:r w:rsidRPr="00F11188" w:rsidR="00611C98">
        <w:t xml:space="preserve"> sets forth “the front-end statutory requirements</w:t>
      </w:r>
      <w:r w:rsidRPr="00F11188" w:rsidR="002167A2">
        <w:t xml:space="preserve"> for pleading” that </w:t>
      </w:r>
      <w:r w:rsidRPr="00F11188" w:rsidR="001A4C19">
        <w:t xml:space="preserve">are enforced by the “back-end limitations” imposed by </w:t>
      </w:r>
      <w:bookmarkStart w:id="57" w:name="Psych_Cite_52"/>
      <w:r w:rsidRPr="00F11188" w:rsidR="001A4C19">
        <w:t>section 580</w:t>
      </w:r>
      <w:bookmarkEnd w:id="57"/>
      <w:r w:rsidRPr="00F11188" w:rsidR="001A4C19">
        <w:t>.</w:t>
      </w:r>
      <w:r w:rsidRPr="00F11188" w:rsidR="00B96F37">
        <w:t xml:space="preserve">  (</w:t>
      </w:r>
      <w:bookmarkStart w:id="58" w:name="Psych_Cite_49"/>
      <w:r w:rsidRPr="00F11188" w:rsidR="00B96F37">
        <w:rPr>
          <w:i/>
        </w:rPr>
        <w:t>Sass</w:t>
      </w:r>
      <w:r w:rsidRPr="00F11188" w:rsidR="00B96F37">
        <w:t xml:space="preserve">, </w:t>
      </w:r>
      <w:r w:rsidRPr="00F11188" w:rsidR="00B96F37">
        <w:rPr>
          <w:i/>
        </w:rPr>
        <w:t>supra</w:t>
      </w:r>
      <w:r w:rsidRPr="00F11188" w:rsidR="00B96F37">
        <w:t xml:space="preserve">, </w:t>
      </w:r>
      <w:r w:rsidRPr="00F11188" w:rsidR="00AB20C4">
        <w:t>32 Cal.App.5th at p.</w:t>
      </w:r>
      <w:r w:rsidR="00A82119">
        <w:t> </w:t>
      </w:r>
      <w:r w:rsidRPr="00F11188" w:rsidR="00AB20C4">
        <w:t>1040</w:t>
      </w:r>
      <w:bookmarkEnd w:id="58"/>
      <w:r w:rsidRPr="00F11188" w:rsidR="00AB20C4">
        <w:t>.)</w:t>
      </w:r>
      <w:r w:rsidRPr="00F11188" w:rsidR="00FA2DD0">
        <w:t xml:space="preserve">  </w:t>
      </w:r>
      <w:bookmarkStart w:id="59" w:name="Psych_Cite_53"/>
      <w:r w:rsidRPr="00F11188" w:rsidR="0038501A">
        <w:t>Section 425.10</w:t>
      </w:r>
      <w:bookmarkEnd w:id="59"/>
      <w:r w:rsidRPr="00F11188" w:rsidR="0038501A">
        <w:t xml:space="preserve"> </w:t>
      </w:r>
      <w:r w:rsidRPr="00F11188" w:rsidR="009B4779">
        <w:t xml:space="preserve">stipulates that a complaint “shall contain </w:t>
      </w:r>
      <w:r w:rsidRPr="00F11188" w:rsidR="00CF7950">
        <w:t>. . .</w:t>
      </w:r>
      <w:r w:rsidRPr="00F11188" w:rsidR="001D0DCB">
        <w:t xml:space="preserve"> [a] demand for judgment for the relief to which the pleader claims to be entitled.”  (</w:t>
      </w:r>
      <w:bookmarkStart w:id="60" w:name="Psych_Cite_47"/>
      <w:r w:rsidR="006940F1">
        <w:rPr>
          <w:i/>
          <w:iCs/>
        </w:rPr>
        <w:t>Id.</w:t>
      </w:r>
      <w:r w:rsidRPr="00F11188" w:rsidR="001D0DCB">
        <w:t>, subd</w:t>
      </w:r>
      <w:bookmarkEnd w:id="60"/>
      <w:r w:rsidRPr="00F11188" w:rsidR="001D0DCB">
        <w:t>. (a)</w:t>
      </w:r>
      <w:r w:rsidR="006940F1">
        <w:t>(2)</w:t>
      </w:r>
      <w:r w:rsidRPr="00F11188" w:rsidR="001D0DCB">
        <w:t>.)  Moreover, “[i]f the recovery of money or damages is demanded, the amount demanded shall be stated</w:t>
      </w:r>
      <w:r w:rsidRPr="00F11188" w:rsidR="00F0366C">
        <w:t>.</w:t>
      </w:r>
      <w:r w:rsidRPr="00F11188" w:rsidR="00880478">
        <w:t>”</w:t>
      </w:r>
      <w:r>
        <w:rPr>
          <w:rStyle w:val="FootnoteReference"/>
        </w:rPr>
        <w:footnoteReference w:id="6"/>
      </w:r>
      <w:r w:rsidRPr="00F11188" w:rsidR="001D0DCB">
        <w:t xml:space="preserve">  (</w:t>
      </w:r>
      <w:bookmarkStart w:id="62" w:name="Psych_Cite_54"/>
      <w:r w:rsidR="00573577">
        <w:t>§ 425.10, subd</w:t>
      </w:r>
      <w:bookmarkEnd w:id="62"/>
      <w:r w:rsidR="00573577">
        <w:t>. (a)(2).</w:t>
      </w:r>
      <w:r w:rsidRPr="00F11188" w:rsidR="001D0DCB">
        <w:t>)</w:t>
      </w:r>
    </w:p>
    <w:p w:rsidR="00575E5B" w:rsidRPr="00F11188" w:rsidP="00F11188">
      <w:pPr>
        <w:pStyle w:val="NormalIndent"/>
        <w:ind w:left="0" w:firstLine="720"/>
      </w:pPr>
      <w:r w:rsidRPr="00F11188">
        <w:t>Se</w:t>
      </w:r>
      <w:bookmarkStart w:id="63" w:name="Psych_Cite_57"/>
      <w:r w:rsidRPr="00F11188">
        <w:t>ction 585</w:t>
      </w:r>
      <w:bookmarkEnd w:id="63"/>
      <w:r w:rsidR="000C2B24">
        <w:t>, which describes</w:t>
      </w:r>
      <w:r w:rsidRPr="00F11188" w:rsidR="000C2B24">
        <w:t xml:space="preserve"> </w:t>
      </w:r>
      <w:r w:rsidRPr="00F11188">
        <w:t>the procedure for obtaining a default judgment</w:t>
      </w:r>
      <w:r w:rsidR="000C2B24">
        <w:t xml:space="preserve">, </w:t>
      </w:r>
      <w:r w:rsidRPr="00F11188" w:rsidR="000C2B24">
        <w:t>contains similar language</w:t>
      </w:r>
      <w:r w:rsidRPr="00F11188">
        <w:t xml:space="preserve">.  </w:t>
      </w:r>
      <w:r w:rsidRPr="00F11188" w:rsidR="005107EB">
        <w:t xml:space="preserve">The </w:t>
      </w:r>
      <w:r w:rsidRPr="00F11188" w:rsidR="000B20A5">
        <w:t xml:space="preserve">section </w:t>
      </w:r>
      <w:r w:rsidRPr="00F11188" w:rsidR="004A5FB9">
        <w:t xml:space="preserve">divides cases </w:t>
      </w:r>
      <w:r w:rsidRPr="00F11188" w:rsidR="00D36CDC">
        <w:t>in which</w:t>
      </w:r>
      <w:r w:rsidRPr="00F11188" w:rsidR="004A5FB9">
        <w:t xml:space="preserve"> “the defendant fails to answer” into </w:t>
      </w:r>
      <w:r w:rsidRPr="00F11188" w:rsidR="00075769">
        <w:t>different</w:t>
      </w:r>
      <w:r w:rsidRPr="00F11188" w:rsidR="004A5FB9">
        <w:t xml:space="preserve"> categories.</w:t>
      </w:r>
      <w:r w:rsidR="008E5727">
        <w:t xml:space="preserve">  (</w:t>
      </w:r>
      <w:bookmarkStart w:id="64" w:name="Psych_Cite_58"/>
      <w:r w:rsidR="008E5727">
        <w:t>§ 585</w:t>
      </w:r>
      <w:bookmarkEnd w:id="64"/>
      <w:r w:rsidR="008E5727">
        <w:t>.)</w:t>
      </w:r>
      <w:r w:rsidRPr="00F11188" w:rsidR="004A5FB9">
        <w:t xml:space="preserve">  </w:t>
      </w:r>
      <w:r w:rsidRPr="00F11188" w:rsidR="00F618E5">
        <w:t>I</w:t>
      </w:r>
      <w:r w:rsidRPr="00F11188" w:rsidR="004A5FB9">
        <w:t xml:space="preserve">n “an action arising upon contract or judgment for the recovery of money or damages only,” </w:t>
      </w:r>
      <w:r w:rsidRPr="00F11188" w:rsidR="006B427E">
        <w:t>whe</w:t>
      </w:r>
      <w:r w:rsidR="00867DBD">
        <w:t>n</w:t>
      </w:r>
      <w:r w:rsidRPr="00F11188" w:rsidR="006B427E">
        <w:t xml:space="preserve"> the defendant has been served “other than by publication,” </w:t>
      </w:r>
      <w:r w:rsidRPr="00F11188" w:rsidR="003D5DD3">
        <w:t xml:space="preserve">“the clerk, upon written application of the plaintiff </w:t>
      </w:r>
      <w:r w:rsidRPr="00F11188" w:rsidR="00CF7950">
        <w:t>. . .</w:t>
      </w:r>
      <w:r w:rsidRPr="00F11188" w:rsidR="003D5DD3">
        <w:t xml:space="preserve"> shall enter the default of the defendant </w:t>
      </w:r>
      <w:r w:rsidRPr="00F11188" w:rsidR="00CF7950">
        <w:t>. . .</w:t>
      </w:r>
      <w:r w:rsidRPr="00F11188" w:rsidR="003D5DD3">
        <w:t xml:space="preserve"> </w:t>
      </w:r>
      <w:r w:rsidRPr="00F11188" w:rsidR="008333A5">
        <w:t xml:space="preserve">and </w:t>
      </w:r>
      <w:r w:rsidRPr="00F11188" w:rsidR="003D5DD3">
        <w:t xml:space="preserve">immediately thereafter enter judgment for the principal amount demanded in the complaint, in the statement required by </w:t>
      </w:r>
      <w:r w:rsidR="008E5727">
        <w:t>S</w:t>
      </w:r>
      <w:r w:rsidRPr="00F11188" w:rsidR="003D5DD3">
        <w:t xml:space="preserve">ection 425.11, or in the statement provided for in </w:t>
      </w:r>
      <w:r w:rsidR="008E5727">
        <w:t>S</w:t>
      </w:r>
      <w:r w:rsidRPr="00F11188" w:rsidR="003D5DD3">
        <w:t>ection 425.115</w:t>
      </w:r>
      <w:r w:rsidR="008E5727">
        <w:t xml:space="preserve"> </w:t>
      </w:r>
      <w:r w:rsidRPr="00F11188" w:rsidR="003D5DD3">
        <w:t>.</w:t>
      </w:r>
      <w:r w:rsidR="00E720D6">
        <w:t> </w:t>
      </w:r>
      <w:r w:rsidR="008E5727">
        <w:t>.</w:t>
      </w:r>
      <w:r w:rsidR="00E720D6">
        <w:t> </w:t>
      </w:r>
      <w:r w:rsidR="008E5727">
        <w:t>.</w:t>
      </w:r>
      <w:r w:rsidR="00E720D6">
        <w:t> </w:t>
      </w:r>
      <w:r w:rsidR="008E5727">
        <w:t>.</w:t>
      </w:r>
      <w:r w:rsidRPr="00F11188" w:rsidR="003D5DD3">
        <w:t>”  (</w:t>
      </w:r>
      <w:bookmarkStart w:id="65" w:name="Psych_Cite_55"/>
      <w:r w:rsidR="008E5727">
        <w:rPr>
          <w:i/>
          <w:iCs/>
        </w:rPr>
        <w:t>Id.</w:t>
      </w:r>
      <w:r w:rsidRPr="00F11188" w:rsidR="003D5DD3">
        <w:t>, sub</w:t>
      </w:r>
      <w:bookmarkEnd w:id="65"/>
      <w:r w:rsidRPr="00F11188" w:rsidR="003D5DD3">
        <w:t>d. (a).)</w:t>
      </w:r>
      <w:r w:rsidRPr="00F11188" w:rsidR="008333A5">
        <w:t xml:space="preserve">  Thus, in a case </w:t>
      </w:r>
      <w:r w:rsidRPr="00F11188" w:rsidR="00516175">
        <w:t>in which</w:t>
      </w:r>
      <w:r w:rsidRPr="00F11188" w:rsidR="008333A5">
        <w:t xml:space="preserve"> the amount of damages is immediately ascertainable, the default and default judgment are </w:t>
      </w:r>
      <w:r w:rsidRPr="00F11188" w:rsidR="009D6797">
        <w:t xml:space="preserve">entered by </w:t>
      </w:r>
      <w:r w:rsidR="000077EA">
        <w:t xml:space="preserve">the </w:t>
      </w:r>
      <w:r w:rsidRPr="00F11188" w:rsidR="009D6797">
        <w:t xml:space="preserve">clerk, </w:t>
      </w:r>
      <w:r w:rsidR="006A21FD">
        <w:t xml:space="preserve">almost </w:t>
      </w:r>
      <w:r w:rsidRPr="00F11188" w:rsidR="000077EA">
        <w:t>simultane</w:t>
      </w:r>
      <w:r w:rsidR="000077EA">
        <w:t>ously</w:t>
      </w:r>
      <w:r w:rsidRPr="00F11188" w:rsidR="0050777E">
        <w:t xml:space="preserve">, </w:t>
      </w:r>
      <w:r w:rsidRPr="00F11188" w:rsidR="009D6797">
        <w:t>“for the principal amount demanded in the complaint</w:t>
      </w:r>
      <w:r w:rsidRPr="00F11188" w:rsidR="00FA1E55">
        <w:t>” or in a statement of damages.  (</w:t>
      </w:r>
      <w:bookmarkStart w:id="66" w:name="Psych_Cite_56"/>
      <w:r w:rsidRPr="00F11188" w:rsidR="00FA1E55">
        <w:rPr>
          <w:i/>
        </w:rPr>
        <w:t>Ibid</w:t>
      </w:r>
      <w:bookmarkEnd w:id="66"/>
      <w:r w:rsidRPr="00F11188" w:rsidR="00FA1E55">
        <w:rPr>
          <w:i/>
        </w:rPr>
        <w:t>.</w:t>
      </w:r>
      <w:r w:rsidRPr="00F11188" w:rsidR="00FA1E55">
        <w:t>)</w:t>
      </w:r>
    </w:p>
    <w:p w:rsidR="00FA1E55" w:rsidRPr="00F11188" w:rsidP="00F11188">
      <w:pPr>
        <w:pStyle w:val="NormalIndent"/>
        <w:ind w:left="0" w:firstLine="720"/>
      </w:pPr>
      <w:r w:rsidRPr="00F11188">
        <w:t xml:space="preserve">In all other cases, </w:t>
      </w:r>
      <w:r w:rsidRPr="00F11188" w:rsidR="002905AA">
        <w:t>a</w:t>
      </w:r>
      <w:r w:rsidRPr="00F11188" w:rsidR="00554C4A">
        <w:t xml:space="preserve"> plaintiff must seek a default judgment from the court</w:t>
      </w:r>
      <w:r w:rsidRPr="00F11188" w:rsidR="00547492">
        <w:t xml:space="preserve">.  </w:t>
      </w:r>
      <w:r w:rsidRPr="00F11188" w:rsidR="00CD7FC7">
        <w:t xml:space="preserve">In such cases, </w:t>
      </w:r>
      <w:r w:rsidRPr="00F11188" w:rsidR="00C538BD">
        <w:t>“</w:t>
      </w:r>
      <w:r w:rsidRPr="00F11188" w:rsidR="00CD7FC7">
        <w:t>[t]</w:t>
      </w:r>
      <w:r w:rsidRPr="00F11188" w:rsidR="00B50824">
        <w:t xml:space="preserve">he court shall hear the evidence offered by the plaintiff, and shall render judgment in the plaintiff’s favor for that relief, not exceeding the amount stated in the complaint, in the statement required by </w:t>
      </w:r>
      <w:bookmarkStart w:id="67" w:name="Psych_Cite_61"/>
      <w:r w:rsidRPr="00F11188" w:rsidR="00B50824">
        <w:t>Section 425.11</w:t>
      </w:r>
      <w:bookmarkEnd w:id="67"/>
      <w:r w:rsidRPr="00F11188" w:rsidR="00B50824">
        <w:t xml:space="preserve">, or in the statement provided for by </w:t>
      </w:r>
      <w:bookmarkStart w:id="68" w:name="Psych_Cite_62"/>
      <w:r w:rsidRPr="00F11188" w:rsidR="00B50824">
        <w:t>Section 425.115</w:t>
      </w:r>
      <w:bookmarkEnd w:id="68"/>
      <w:r w:rsidRPr="00F11188" w:rsidR="00B50824">
        <w:t>, as appears by the evidence to be just.”</w:t>
      </w:r>
      <w:r>
        <w:rPr>
          <w:rStyle w:val="FootnoteReference"/>
        </w:rPr>
        <w:footnoteReference w:id="7"/>
      </w:r>
      <w:r w:rsidRPr="00F11188" w:rsidR="00B50824">
        <w:t xml:space="preserve">  </w:t>
      </w:r>
      <w:bookmarkStart w:id="71" w:name="_Hlk55470847"/>
      <w:r w:rsidRPr="00F11188" w:rsidR="00B50824">
        <w:t>(</w:t>
      </w:r>
      <w:r w:rsidRPr="00F11188" w:rsidR="00DD2448">
        <w:t>§ </w:t>
      </w:r>
      <w:r w:rsidRPr="00F11188" w:rsidR="0088035F">
        <w:t>585, subd</w:t>
      </w:r>
      <w:bookmarkEnd w:id="71"/>
      <w:r w:rsidRPr="00F11188" w:rsidR="0088035F">
        <w:t>. (b)</w:t>
      </w:r>
      <w:r w:rsidRPr="00F11188" w:rsidR="00B50824">
        <w:t xml:space="preserve">; </w:t>
      </w:r>
      <w:bookmarkStart w:id="72" w:name="Psych_Cite_59"/>
      <w:r w:rsidRPr="00F11188" w:rsidR="00B50824">
        <w:t xml:space="preserve">see also </w:t>
      </w:r>
      <w:r w:rsidRPr="00F11188" w:rsidR="00B50824">
        <w:rPr>
          <w:i/>
        </w:rPr>
        <w:t>id.</w:t>
      </w:r>
      <w:r w:rsidRPr="00F11188" w:rsidR="00B50824">
        <w:t>, subd</w:t>
      </w:r>
      <w:bookmarkEnd w:id="72"/>
      <w:r w:rsidRPr="00F11188" w:rsidR="00B50824">
        <w:t>. (c).)</w:t>
      </w:r>
      <w:r w:rsidRPr="00F11188" w:rsidR="00B32BFA">
        <w:t xml:space="preserve">  Here too, the judgment rendered in default cannot “exceed[] the amount stated in the complaint” or the statement of damages.  (</w:t>
      </w:r>
      <w:r w:rsidRPr="00F11188" w:rsidR="004B09EA">
        <w:t xml:space="preserve">§ 585, </w:t>
      </w:r>
      <w:r w:rsidRPr="004B09EA" w:rsidR="004B09EA">
        <w:rPr>
          <w:iCs/>
        </w:rPr>
        <w:t>subd</w:t>
      </w:r>
      <w:r w:rsidR="004B09EA">
        <w:rPr>
          <w:iCs/>
        </w:rPr>
        <w:t>. (b)</w:t>
      </w:r>
      <w:bookmarkStart w:id="73" w:name="Psych_Cite_60"/>
      <w:r w:rsidRPr="00F11188" w:rsidR="00B32BFA">
        <w:t>.</w:t>
      </w:r>
      <w:bookmarkEnd w:id="73"/>
      <w:r w:rsidRPr="00F11188" w:rsidR="00B32BFA">
        <w:t>)</w:t>
      </w:r>
    </w:p>
    <w:p w:rsidR="002160BE" w:rsidRPr="00F11188" w:rsidP="00F11188">
      <w:pPr>
        <w:pStyle w:val="Heading3"/>
        <w:tabs>
          <w:tab w:val="clear" w:pos="1584"/>
        </w:tabs>
      </w:pPr>
      <w:bookmarkStart w:id="74" w:name="_Ref31298081"/>
      <w:r w:rsidRPr="00F11188">
        <w:t xml:space="preserve">3.  Interpretative </w:t>
      </w:r>
      <w:r w:rsidR="00FB04DA">
        <w:t>c</w:t>
      </w:r>
      <w:r w:rsidRPr="00F11188" w:rsidR="00550E0F">
        <w:t xml:space="preserve">ase </w:t>
      </w:r>
      <w:r w:rsidR="00FB04DA">
        <w:t>l</w:t>
      </w:r>
      <w:r w:rsidRPr="00F11188" w:rsidR="00550E0F">
        <w:t>aw</w:t>
      </w:r>
      <w:bookmarkEnd w:id="74"/>
    </w:p>
    <w:p w:rsidR="00666B76" w:rsidP="00F11188">
      <w:pPr>
        <w:pStyle w:val="NormalIndent"/>
        <w:ind w:left="0" w:firstLine="720"/>
      </w:pPr>
      <w:r w:rsidRPr="00F11188">
        <w:t xml:space="preserve">Turning now to the </w:t>
      </w:r>
      <w:r w:rsidRPr="00F11188" w:rsidR="00550E0F">
        <w:t>case law</w:t>
      </w:r>
      <w:r w:rsidRPr="00F11188">
        <w:t xml:space="preserve">, we see that our </w:t>
      </w:r>
      <w:r w:rsidRPr="00F11188" w:rsidR="003B148A">
        <w:t>decisions</w:t>
      </w:r>
      <w:r w:rsidRPr="00F11188" w:rsidR="00DB2DCE">
        <w:t xml:space="preserve"> have</w:t>
      </w:r>
      <w:r w:rsidRPr="00F11188" w:rsidR="000B6887">
        <w:t xml:space="preserve"> </w:t>
      </w:r>
      <w:r w:rsidRPr="00F11188" w:rsidR="00FD324E">
        <w:t xml:space="preserve">consistently demanded a “strict </w:t>
      </w:r>
      <w:r w:rsidRPr="00F11188" w:rsidR="00A1361E">
        <w:t xml:space="preserve">construction” of </w:t>
      </w:r>
      <w:bookmarkStart w:id="75" w:name="Psych_Cite_64"/>
      <w:r w:rsidRPr="00F11188" w:rsidR="00A1361E">
        <w:t>section 580</w:t>
      </w:r>
      <w:bookmarkEnd w:id="75"/>
      <w:r w:rsidR="006636F0">
        <w:t xml:space="preserve"> — </w:t>
      </w:r>
      <w:r>
        <w:t xml:space="preserve">a construction that is informed by the text of </w:t>
      </w:r>
      <w:bookmarkStart w:id="76" w:name="Psych_Cite_65"/>
      <w:r>
        <w:t>section 580</w:t>
      </w:r>
      <w:bookmarkEnd w:id="76"/>
      <w:r>
        <w:t xml:space="preserve">, the language of surrounding pertinent provisions, and the animating purpose of </w:t>
      </w:r>
      <w:r w:rsidR="006636F0">
        <w:t xml:space="preserve">the </w:t>
      </w:r>
      <w:r w:rsidR="00F2781C">
        <w:t>statute</w:t>
      </w:r>
      <w:r w:rsidRPr="00F11188" w:rsidR="00A1361E">
        <w:t>.  (</w:t>
      </w:r>
      <w:bookmarkStart w:id="77" w:name="Psych_Cite_63"/>
      <w:r w:rsidRPr="00F11188" w:rsidR="00A1361E">
        <w:rPr>
          <w:i/>
        </w:rPr>
        <w:t>Greenup</w:t>
      </w:r>
      <w:r w:rsidRPr="00F11188" w:rsidR="00A1361E">
        <w:t xml:space="preserve">, </w:t>
      </w:r>
      <w:r w:rsidRPr="00F11188" w:rsidR="00C5132F">
        <w:rPr>
          <w:i/>
        </w:rPr>
        <w:t>supra</w:t>
      </w:r>
      <w:r w:rsidRPr="00F11188" w:rsidR="00C5132F">
        <w:t xml:space="preserve">, </w:t>
      </w:r>
      <w:r w:rsidRPr="00F11188" w:rsidR="00DE0022">
        <w:t xml:space="preserve">42 Cal.3d </w:t>
      </w:r>
      <w:r w:rsidRPr="00F11188" w:rsidR="00FF22C0">
        <w:t>at</w:t>
      </w:r>
      <w:r w:rsidRPr="00F11188" w:rsidR="00DE0022">
        <w:t xml:space="preserve"> p. 826</w:t>
      </w:r>
      <w:bookmarkEnd w:id="77"/>
      <w:r w:rsidRPr="00F11188" w:rsidR="00DE0022">
        <w:t>.)</w:t>
      </w:r>
    </w:p>
    <w:p w:rsidR="000B5C42" w:rsidRPr="00F11188" w:rsidP="00F11188">
      <w:pPr>
        <w:pStyle w:val="NormalIndent"/>
        <w:ind w:left="0" w:firstLine="720"/>
      </w:pPr>
      <w:r>
        <w:t xml:space="preserve">We begin our overview of the case law with </w:t>
      </w:r>
      <w:bookmarkStart w:id="78" w:name="Psych_Cite_71"/>
      <w:r w:rsidRPr="00F11188" w:rsidR="00827BF0">
        <w:rPr>
          <w:i/>
        </w:rPr>
        <w:t>Burtnett v. King</w:t>
      </w:r>
      <w:r w:rsidRPr="00F11188" w:rsidR="00827BF0">
        <w:t xml:space="preserve"> (1949) 33 Cal.2d 805</w:t>
      </w:r>
      <w:r w:rsidRPr="00F11188" w:rsidR="00630F84">
        <w:t xml:space="preserve"> (</w:t>
      </w:r>
      <w:r w:rsidRPr="00F11188" w:rsidR="00630F84">
        <w:rPr>
          <w:i/>
          <w:iCs/>
        </w:rPr>
        <w:t>Burtnett</w:t>
      </w:r>
      <w:r w:rsidRPr="00F11188" w:rsidR="00630F84">
        <w:t>)</w:t>
      </w:r>
      <w:bookmarkEnd w:id="78"/>
      <w:r>
        <w:t xml:space="preserve">.  There, </w:t>
      </w:r>
      <w:r w:rsidRPr="00F11188" w:rsidR="005B571F">
        <w:t>we</w:t>
      </w:r>
      <w:r w:rsidRPr="00F11188" w:rsidR="00407E4F">
        <w:t xml:space="preserve"> held that </w:t>
      </w:r>
      <w:r w:rsidRPr="00F11188" w:rsidR="000124AA">
        <w:t xml:space="preserve">a complaint </w:t>
      </w:r>
      <w:r w:rsidRPr="00F11188" w:rsidR="00C203D9">
        <w:t>in which</w:t>
      </w:r>
      <w:r w:rsidRPr="00F11188" w:rsidR="006B0911">
        <w:t xml:space="preserve"> the plaintiff identified </w:t>
      </w:r>
      <w:r w:rsidRPr="00F11188" w:rsidR="00E94509">
        <w:t>certain</w:t>
      </w:r>
      <w:r w:rsidRPr="00F11188" w:rsidR="006B0911">
        <w:t xml:space="preserve"> </w:t>
      </w:r>
      <w:r w:rsidRPr="00F11188" w:rsidR="00932561">
        <w:t>real estate</w:t>
      </w:r>
      <w:r w:rsidRPr="00F11188" w:rsidR="006B0911">
        <w:t xml:space="preserve"> as “</w:t>
      </w:r>
      <w:r w:rsidRPr="00F11188" w:rsidR="0065774A">
        <w:t> ‘</w:t>
      </w:r>
      <w:r w:rsidRPr="00F11188" w:rsidR="006B0911">
        <w:t>the community property of plaintiff</w:t>
      </w:r>
      <w:r w:rsidRPr="00F11188" w:rsidR="00D47E98">
        <w:t xml:space="preserve"> </w:t>
      </w:r>
      <w:r w:rsidRPr="00F11188" w:rsidR="006B0911">
        <w:t>and defendant</w:t>
      </w:r>
      <w:r w:rsidRPr="00F11188" w:rsidR="0065774A">
        <w:t>’ </w:t>
      </w:r>
      <w:r w:rsidRPr="00F11188" w:rsidR="006B0911">
        <w:t>”</w:t>
      </w:r>
      <w:r w:rsidR="003F74A6">
        <w:t xml:space="preserve"> (</w:t>
      </w:r>
      <w:bookmarkStart w:id="79" w:name="Psych_Cite_66"/>
      <w:r w:rsidR="003F74A6">
        <w:rPr>
          <w:i/>
          <w:iCs/>
        </w:rPr>
        <w:t xml:space="preserve">id. </w:t>
      </w:r>
      <w:r w:rsidR="003F74A6">
        <w:t>at p.</w:t>
      </w:r>
      <w:r w:rsidR="005A1CFD">
        <w:t> </w:t>
      </w:r>
      <w:r w:rsidR="003F74A6">
        <w:t>806</w:t>
      </w:r>
      <w:bookmarkEnd w:id="79"/>
      <w:r w:rsidR="003F74A6">
        <w:t>)</w:t>
      </w:r>
      <w:r w:rsidRPr="00F11188" w:rsidR="006B0911">
        <w:t xml:space="preserve"> </w:t>
      </w:r>
      <w:r w:rsidRPr="00F11188">
        <w:t xml:space="preserve">but </w:t>
      </w:r>
      <w:r w:rsidRPr="00F11188" w:rsidR="00F573AD">
        <w:t xml:space="preserve">failed to </w:t>
      </w:r>
      <w:r w:rsidRPr="00F11188">
        <w:t>request that the community property “be awarded to anyone”</w:t>
      </w:r>
      <w:r w:rsidR="003F74A6">
        <w:t xml:space="preserve"> (</w:t>
      </w:r>
      <w:bookmarkStart w:id="80" w:name="Psych_Cite_67"/>
      <w:r w:rsidR="003F74A6">
        <w:rPr>
          <w:i/>
          <w:iCs/>
        </w:rPr>
        <w:t>ibid.</w:t>
      </w:r>
      <w:bookmarkEnd w:id="80"/>
      <w:r w:rsidR="003F74A6">
        <w:t>)</w:t>
      </w:r>
      <w:r w:rsidRPr="00F11188">
        <w:t xml:space="preserve"> </w:t>
      </w:r>
      <w:r w:rsidRPr="00F11188" w:rsidR="006B0911">
        <w:t xml:space="preserve">did not give the defendant “notice or warning that the property would be affected by a default judgment” </w:t>
      </w:r>
      <w:r w:rsidRPr="00F11188" w:rsidR="00796600">
        <w:t>(</w:t>
      </w:r>
      <w:r w:rsidR="003F74A6">
        <w:rPr>
          <w:i/>
        </w:rPr>
        <w:t>i</w:t>
      </w:r>
      <w:r w:rsidRPr="00F11188" w:rsidR="003F74A6">
        <w:rPr>
          <w:i/>
        </w:rPr>
        <w:t>d</w:t>
      </w:r>
      <w:r w:rsidRPr="00F11188" w:rsidR="00796600">
        <w:rPr>
          <w:i/>
        </w:rPr>
        <w:t xml:space="preserve">. </w:t>
      </w:r>
      <w:r w:rsidRPr="00F11188" w:rsidR="00796600">
        <w:t>at p. 811)</w:t>
      </w:r>
      <w:r w:rsidR="003F74A6">
        <w:t>.</w:t>
      </w:r>
      <w:r w:rsidRPr="00F11188" w:rsidR="00796600">
        <w:t xml:space="preserve">  </w:t>
      </w:r>
      <w:r w:rsidRPr="00F11188" w:rsidR="00C203D9">
        <w:t>A</w:t>
      </w:r>
      <w:r w:rsidRPr="00F11188" w:rsidR="00A12CC7">
        <w:t>ccordingly</w:t>
      </w:r>
      <w:r w:rsidRPr="00F11188" w:rsidR="00C203D9">
        <w:t xml:space="preserve">, </w:t>
      </w:r>
      <w:r w:rsidRPr="00F11188" w:rsidR="0077588E">
        <w:t>the trial court</w:t>
      </w:r>
      <w:r w:rsidRPr="00F11188" w:rsidR="00D47E98">
        <w:t xml:space="preserve"> </w:t>
      </w:r>
      <w:r w:rsidRPr="00F11188" w:rsidR="00796600">
        <w:t xml:space="preserve">— which had </w:t>
      </w:r>
      <w:r w:rsidRPr="00F11188" w:rsidR="009F2A4A">
        <w:t>granted</w:t>
      </w:r>
      <w:r w:rsidRPr="00F11188" w:rsidR="00796600">
        <w:t xml:space="preserve"> the plaintiff the property — “wholly lacked jurisdiction to render </w:t>
      </w:r>
      <w:r w:rsidRPr="00F11188" w:rsidR="001A00B6">
        <w:t xml:space="preserve">[such] </w:t>
      </w:r>
      <w:r w:rsidRPr="00F11188" w:rsidR="00796600">
        <w:t>a judgment.”  (</w:t>
      </w:r>
      <w:bookmarkStart w:id="81" w:name="Psych_Cite_68"/>
      <w:r w:rsidRPr="00F11188" w:rsidR="00796600">
        <w:rPr>
          <w:i/>
        </w:rPr>
        <w:t xml:space="preserve">Id. </w:t>
      </w:r>
      <w:r w:rsidRPr="00F11188" w:rsidR="00796600">
        <w:t xml:space="preserve">at p. </w:t>
      </w:r>
      <w:r w:rsidRPr="00F11188" w:rsidR="003F74A6">
        <w:t>80</w:t>
      </w:r>
      <w:r w:rsidR="003F74A6">
        <w:t>7</w:t>
      </w:r>
      <w:bookmarkEnd w:id="81"/>
      <w:r w:rsidRPr="00F11188" w:rsidR="00796600">
        <w:t xml:space="preserve">.)  </w:t>
      </w:r>
      <w:r w:rsidRPr="00F11188" w:rsidR="00F1650F">
        <w:t>Our analysis</w:t>
      </w:r>
      <w:r w:rsidRPr="00F11188" w:rsidR="00796600">
        <w:t xml:space="preserve"> </w:t>
      </w:r>
      <w:r w:rsidRPr="00F11188" w:rsidR="0023742F">
        <w:t>quoted the text of</w:t>
      </w:r>
      <w:r w:rsidRPr="00F11188" w:rsidR="00004DF2">
        <w:t xml:space="preserve"> </w:t>
      </w:r>
      <w:bookmarkStart w:id="82" w:name="Psych_Cite_73"/>
      <w:r w:rsidRPr="00F11188" w:rsidR="00004DF2">
        <w:t>sections 580 and 585</w:t>
      </w:r>
      <w:bookmarkEnd w:id="82"/>
      <w:r w:rsidRPr="00F11188" w:rsidR="006F0504">
        <w:t xml:space="preserve">, emphasizing </w:t>
      </w:r>
      <w:r w:rsidRPr="00F11188" w:rsidR="00C479F0">
        <w:t xml:space="preserve">that </w:t>
      </w:r>
      <w:r w:rsidRPr="00F11188" w:rsidR="00796600">
        <w:t>“[t]he statutes are very specific in their requirements for a judgment following a default.”  (</w:t>
      </w:r>
      <w:r w:rsidR="003F74A6">
        <w:rPr>
          <w:i/>
        </w:rPr>
        <w:t>Burtnett,</w:t>
      </w:r>
      <w:r w:rsidR="003F74A6">
        <w:rPr>
          <w:iCs/>
        </w:rPr>
        <w:t xml:space="preserve"> at p. 806.</w:t>
      </w:r>
      <w:r w:rsidRPr="00F11188" w:rsidR="003E0D90">
        <w:t xml:space="preserve">)  </w:t>
      </w:r>
      <w:r w:rsidRPr="00F11188" w:rsidR="00A92302">
        <w:t>G</w:t>
      </w:r>
      <w:r w:rsidRPr="00F11188" w:rsidR="004067D5">
        <w:t xml:space="preserve">iven </w:t>
      </w:r>
      <w:r w:rsidRPr="00F11188" w:rsidR="0099012D">
        <w:t>“</w:t>
      </w:r>
      <w:r w:rsidRPr="00F11188" w:rsidR="004067D5">
        <w:t>the</w:t>
      </w:r>
      <w:r w:rsidRPr="00F11188" w:rsidR="00392018">
        <w:t xml:space="preserve"> mandatory language</w:t>
      </w:r>
      <w:r w:rsidRPr="00F11188" w:rsidR="0099012D">
        <w:t>”</w:t>
      </w:r>
      <w:r w:rsidRPr="00F11188" w:rsidR="00392018">
        <w:t xml:space="preserve"> of these </w:t>
      </w:r>
      <w:r w:rsidRPr="00F11188" w:rsidR="00C55159">
        <w:t>provisions</w:t>
      </w:r>
      <w:r w:rsidRPr="00F11188" w:rsidR="004067D5">
        <w:t>,</w:t>
      </w:r>
      <w:r w:rsidRPr="00F11188" w:rsidR="003E0D90">
        <w:t xml:space="preserve"> “the court’s jurisdiction to render default judgments can be exercised only </w:t>
      </w:r>
      <w:r w:rsidRPr="00F11188" w:rsidR="003E0D90">
        <w:rPr>
          <w:i/>
        </w:rPr>
        <w:t>in the way authorized by statute</w:t>
      </w:r>
      <w:r w:rsidRPr="00F11188" w:rsidR="00C61FE9">
        <w:t>,” and the court</w:t>
      </w:r>
      <w:r w:rsidRPr="00F11188" w:rsidR="003E0D90">
        <w:t xml:space="preserve"> </w:t>
      </w:r>
      <w:r w:rsidRPr="00F11188" w:rsidR="00C61FE9">
        <w:t>“</w:t>
      </w:r>
      <w:r w:rsidRPr="00F11188" w:rsidR="003E0D90">
        <w:t xml:space="preserve">cannot act except in a particular manner” </w:t>
      </w:r>
      <w:r w:rsidRPr="00F11188" w:rsidR="000A5E26">
        <w:t>so specified</w:t>
      </w:r>
      <w:r w:rsidRPr="00F11188" w:rsidR="003E0D90">
        <w:t>.  (</w:t>
      </w:r>
      <w:bookmarkStart w:id="83" w:name="Psych_Cite_70"/>
      <w:r w:rsidRPr="00F11188" w:rsidR="003E0D90">
        <w:rPr>
          <w:i/>
        </w:rPr>
        <w:t xml:space="preserve">Id. </w:t>
      </w:r>
      <w:r w:rsidRPr="00F11188" w:rsidR="003E0D90">
        <w:t>at p. 807</w:t>
      </w:r>
      <w:bookmarkEnd w:id="83"/>
      <w:r w:rsidRPr="00F11188" w:rsidR="003E0D90">
        <w:t>.)</w:t>
      </w:r>
      <w:r w:rsidRPr="00F11188" w:rsidR="006B26C1">
        <w:t xml:space="preserve">  In short, a court has no power to enter a default judgment other than in conformity </w:t>
      </w:r>
      <w:r w:rsidR="000B4F1C">
        <w:t xml:space="preserve">with </w:t>
      </w:r>
      <w:r w:rsidRPr="00F11188" w:rsidR="006B26C1">
        <w:t>the provisions governing default.</w:t>
      </w:r>
    </w:p>
    <w:p w:rsidR="007D77A0" w:rsidP="007D77A0">
      <w:pPr>
        <w:pStyle w:val="NormalIndent"/>
        <w:ind w:left="0" w:firstLine="720"/>
      </w:pPr>
      <w:r w:rsidRPr="00F11188">
        <w:t xml:space="preserve">We next had occasion to interpret </w:t>
      </w:r>
      <w:bookmarkStart w:id="84" w:name="Psych_Cite_79"/>
      <w:r w:rsidRPr="00F11188">
        <w:t xml:space="preserve">section </w:t>
      </w:r>
      <w:r w:rsidRPr="00F11188" w:rsidR="000C21A7">
        <w:t>580</w:t>
      </w:r>
      <w:bookmarkEnd w:id="84"/>
      <w:r w:rsidRPr="00F11188" w:rsidR="000C21A7">
        <w:t xml:space="preserve"> </w:t>
      </w:r>
      <w:r w:rsidRPr="00F11188">
        <w:t>in</w:t>
      </w:r>
      <w:r w:rsidRPr="00F11188" w:rsidR="00F92C8C">
        <w:t xml:space="preserve"> </w:t>
      </w:r>
      <w:bookmarkStart w:id="85" w:name="Psych_Cite_78"/>
      <w:r w:rsidRPr="00F11188" w:rsidR="006445DC">
        <w:rPr>
          <w:i/>
        </w:rPr>
        <w:t>Becker v. S.P.V. Construction Co.</w:t>
      </w:r>
      <w:r w:rsidRPr="00F11188" w:rsidR="006445DC">
        <w:t xml:space="preserve"> (1980) 27 Cal.3d 489 (</w:t>
      </w:r>
      <w:r w:rsidRPr="00F11188" w:rsidR="006445DC">
        <w:rPr>
          <w:i/>
        </w:rPr>
        <w:t>Becker</w:t>
      </w:r>
      <w:r w:rsidRPr="00F11188" w:rsidR="00E8417E">
        <w:t>)</w:t>
      </w:r>
      <w:bookmarkEnd w:id="85"/>
      <w:r w:rsidRPr="00F11188" w:rsidR="00256C82">
        <w:t>.  The complaint filed in th</w:t>
      </w:r>
      <w:r w:rsidRPr="00F11188" w:rsidR="006E3129">
        <w:t>e</w:t>
      </w:r>
      <w:r w:rsidRPr="00F11188" w:rsidR="00256C82">
        <w:t xml:space="preserve"> case “sought damages ‘in excess of $20,000 </w:t>
      </w:r>
      <w:r w:rsidRPr="00F11188" w:rsidR="00CF7950">
        <w:t>. . .</w:t>
      </w:r>
      <w:r w:rsidRPr="00F11188" w:rsidR="00256C82">
        <w:t xml:space="preserve"> or according to proof.</w:t>
      </w:r>
      <w:r w:rsidRPr="00F11188" w:rsidR="000E6F0D">
        <w:t>’ </w:t>
      </w:r>
      <w:r w:rsidRPr="00F11188" w:rsidR="00256C82">
        <w:t>”  (</w:t>
      </w:r>
      <w:bookmarkStart w:id="86" w:name="Psych_Cite_74"/>
      <w:r w:rsidRPr="00F11188" w:rsidR="00256C82">
        <w:rPr>
          <w:i/>
        </w:rPr>
        <w:t xml:space="preserve">Id. </w:t>
      </w:r>
      <w:r w:rsidRPr="00F11188" w:rsidR="00256C82">
        <w:t>at p. 491</w:t>
      </w:r>
      <w:bookmarkEnd w:id="86"/>
      <w:r w:rsidRPr="00F11188" w:rsidR="00256C82">
        <w:t>.)</w:t>
      </w:r>
      <w:r w:rsidRPr="00F11188" w:rsidR="00D5230C">
        <w:t xml:space="preserve">  The </w:t>
      </w:r>
      <w:r w:rsidRPr="00F11188" w:rsidR="004E2C13">
        <w:t>plaintiffs</w:t>
      </w:r>
      <w:r w:rsidRPr="00F11188" w:rsidR="00D5230C">
        <w:t xml:space="preserve"> argued that such </w:t>
      </w:r>
      <w:r w:rsidRPr="00F11188" w:rsidR="007F40B2">
        <w:t xml:space="preserve">a </w:t>
      </w:r>
      <w:r w:rsidRPr="00F11188" w:rsidR="00D5230C">
        <w:t xml:space="preserve">pleading “was sufficient under </w:t>
      </w:r>
      <w:bookmarkStart w:id="87" w:name="Psych_Cite_80"/>
      <w:r w:rsidRPr="00F11188" w:rsidR="00D5230C">
        <w:t>section 580</w:t>
      </w:r>
      <w:bookmarkEnd w:id="87"/>
      <w:r w:rsidRPr="00F11188" w:rsidR="00D5230C">
        <w:t xml:space="preserve"> to provide adequate notice of defendants’ </w:t>
      </w:r>
      <w:r w:rsidR="007C7BE6">
        <w:t xml:space="preserve">potential </w:t>
      </w:r>
      <w:r w:rsidRPr="00F11188" w:rsidR="00D5230C">
        <w:t xml:space="preserve">liability for $26,457.50,” which was the amount of compensatory damages the trial court awarded after </w:t>
      </w:r>
      <w:r w:rsidRPr="00F11188" w:rsidR="009054CA">
        <w:t>default</w:t>
      </w:r>
      <w:r w:rsidRPr="00F11188" w:rsidR="00D5230C">
        <w:t>.  (</w:t>
      </w:r>
      <w:bookmarkStart w:id="88" w:name="Psych_Cite_75"/>
      <w:r w:rsidRPr="00F11188" w:rsidR="00D5230C">
        <w:rPr>
          <w:i/>
        </w:rPr>
        <w:t xml:space="preserve">Id. </w:t>
      </w:r>
      <w:r w:rsidRPr="00F11188" w:rsidR="00D5230C">
        <w:t>at p</w:t>
      </w:r>
      <w:r w:rsidRPr="00F11188" w:rsidR="00A50218">
        <w:t>p</w:t>
      </w:r>
      <w:r w:rsidRPr="00F11188" w:rsidR="00D5230C">
        <w:t xml:space="preserve">. </w:t>
      </w:r>
      <w:r w:rsidRPr="00F11188" w:rsidR="00A50218">
        <w:t>492</w:t>
      </w:r>
      <w:r w:rsidR="007C1930">
        <w:t>–</w:t>
      </w:r>
      <w:r w:rsidRPr="00F11188" w:rsidR="009054CA">
        <w:t>493</w:t>
      </w:r>
      <w:bookmarkEnd w:id="88"/>
      <w:r w:rsidRPr="00F11188" w:rsidR="00D5230C">
        <w:t>.)</w:t>
      </w:r>
      <w:r w:rsidRPr="00F11188" w:rsidR="000C4FA1">
        <w:t xml:space="preserve">  </w:t>
      </w:r>
      <w:r w:rsidRPr="00F11188" w:rsidR="009054CA">
        <w:t>We rejected the argumen</w:t>
      </w:r>
      <w:r w:rsidRPr="00F11188" w:rsidR="00BE2EE5">
        <w:t>t</w:t>
      </w:r>
      <w:r w:rsidRPr="00F11188" w:rsidR="006C7F7C">
        <w:t>.</w:t>
      </w:r>
      <w:r w:rsidRPr="00F11188" w:rsidR="002D4CDC">
        <w:t xml:space="preserve"> </w:t>
      </w:r>
      <w:r w:rsidRPr="00F11188" w:rsidR="006C7F7C">
        <w:t xml:space="preserve"> </w:t>
      </w:r>
      <w:r w:rsidRPr="00F11188">
        <w:t xml:space="preserve">“In effect,” we said, “[the plaintiffs] argue that </w:t>
      </w:r>
      <w:bookmarkStart w:id="89" w:name="Psych_Cite_81"/>
      <w:r w:rsidRPr="00F11188">
        <w:t>section 580</w:t>
      </w:r>
      <w:bookmarkEnd w:id="89"/>
      <w:r w:rsidRPr="00F11188">
        <w:t xml:space="preserve"> requires notice of the </w:t>
      </w:r>
      <w:r w:rsidRPr="00F11188">
        <w:rPr>
          <w:i/>
        </w:rPr>
        <w:t>type</w:t>
      </w:r>
      <w:r w:rsidRPr="00F11188">
        <w:t xml:space="preserve"> of relief sought, but does not restrict the award of damages to the specific amount stated in the complaint.”  (</w:t>
      </w:r>
      <w:bookmarkStart w:id="90" w:name="Psych_Cite_76"/>
      <w:r w:rsidRPr="00F11188">
        <w:rPr>
          <w:i/>
        </w:rPr>
        <w:t xml:space="preserve">Id. </w:t>
      </w:r>
      <w:r w:rsidRPr="00F11188">
        <w:t>at p. 493</w:t>
      </w:r>
      <w:bookmarkEnd w:id="90"/>
      <w:r w:rsidRPr="00F11188">
        <w:t xml:space="preserve">.)  That argument cannot prevail because “the language of </w:t>
      </w:r>
      <w:bookmarkStart w:id="91" w:name="Psych_Cite_82"/>
      <w:r w:rsidRPr="00F11188">
        <w:t>section 580</w:t>
      </w:r>
      <w:bookmarkEnd w:id="91"/>
      <w:r w:rsidRPr="00F11188">
        <w:t xml:space="preserve"> does not distinguish between the type and the amount of relief sought.”  (</w:t>
      </w:r>
      <w:bookmarkStart w:id="92" w:name="Psych_Cite_77"/>
      <w:r w:rsidRPr="00F11188">
        <w:rPr>
          <w:i/>
        </w:rPr>
        <w:t>Ibid.</w:t>
      </w:r>
      <w:bookmarkEnd w:id="92"/>
      <w:r w:rsidRPr="00F11188">
        <w:t>)</w:t>
      </w:r>
    </w:p>
    <w:p w:rsidR="00EB644B" w:rsidRPr="009B0378" w:rsidP="007D77A0">
      <w:pPr>
        <w:pStyle w:val="NormalIndent"/>
        <w:ind w:left="0" w:firstLine="720"/>
        <w:rPr>
          <w:i/>
          <w:iCs/>
        </w:rPr>
      </w:pPr>
      <w:r>
        <w:t>O</w:t>
      </w:r>
      <w:r w:rsidR="0038223F">
        <w:t>ur ruling rested</w:t>
      </w:r>
      <w:r w:rsidR="007D77A0">
        <w:t xml:space="preserve"> </w:t>
      </w:r>
      <w:r w:rsidR="00D650D0">
        <w:t>not only</w:t>
      </w:r>
      <w:r w:rsidR="009B769E">
        <w:t xml:space="preserve"> on</w:t>
      </w:r>
      <w:r w:rsidR="00D650D0">
        <w:t xml:space="preserve"> the text of </w:t>
      </w:r>
      <w:bookmarkStart w:id="93" w:name="Psych_Cite_84"/>
      <w:r w:rsidR="00D650D0">
        <w:t>section 580</w:t>
      </w:r>
      <w:bookmarkEnd w:id="93"/>
      <w:r w:rsidR="009B0378">
        <w:t xml:space="preserve"> </w:t>
      </w:r>
      <w:r w:rsidR="00D650D0">
        <w:t>but also its</w:t>
      </w:r>
      <w:r w:rsidR="007D77A0">
        <w:t xml:space="preserve"> </w:t>
      </w:r>
      <w:r w:rsidR="00D650D0">
        <w:t xml:space="preserve">purpose </w:t>
      </w:r>
      <w:r w:rsidR="007D77A0">
        <w:t>and the</w:t>
      </w:r>
      <w:r w:rsidR="00D650D0">
        <w:t xml:space="preserve"> language</w:t>
      </w:r>
      <w:r w:rsidR="007D77A0">
        <w:t xml:space="preserve"> of </w:t>
      </w:r>
      <w:r w:rsidR="009B0378">
        <w:t>other pertinent</w:t>
      </w:r>
      <w:r w:rsidR="007D77A0">
        <w:t xml:space="preserve"> provisions, specifically, </w:t>
      </w:r>
      <w:bookmarkStart w:id="94" w:name="Psych_Cite_85"/>
      <w:r w:rsidR="007D77A0">
        <w:t>sections 425.10 and 585</w:t>
      </w:r>
      <w:bookmarkEnd w:id="94"/>
      <w:r w:rsidR="007D77A0">
        <w:t xml:space="preserve">.  </w:t>
      </w:r>
      <w:bookmarkStart w:id="95" w:name="Psych_Cite_86"/>
      <w:r w:rsidR="009B0378">
        <w:t>Sections 425.10 and 585</w:t>
      </w:r>
      <w:bookmarkEnd w:id="95"/>
      <w:r w:rsidR="009B0378">
        <w:t xml:space="preserve"> both refer to the </w:t>
      </w:r>
      <w:r w:rsidR="009B0378">
        <w:rPr>
          <w:i/>
          <w:iCs/>
        </w:rPr>
        <w:t xml:space="preserve">amount </w:t>
      </w:r>
      <w:r w:rsidR="009B0378">
        <w:t>pleaded in the complaint and therefore “</w:t>
      </w:r>
      <w:r w:rsidRPr="009B0378" w:rsidR="009B0378">
        <w:t>support the view that defaulting defendants should not be subject to damages in excess of an amount specifically set out in the complaint</w:t>
      </w:r>
      <w:r w:rsidR="009B0378">
        <w:t>.</w:t>
      </w:r>
      <w:r w:rsidR="00A4585A">
        <w:t>”</w:t>
      </w:r>
      <w:r w:rsidR="009B0378">
        <w:t xml:space="preserve">  </w:t>
      </w:r>
      <w:r w:rsidRPr="00F11188" w:rsidR="009B0378">
        <w:t>(</w:t>
      </w:r>
      <w:bookmarkStart w:id="96" w:name="Psych_Cite_83"/>
      <w:r w:rsidRPr="00F11188" w:rsidR="009B0378">
        <w:rPr>
          <w:i/>
        </w:rPr>
        <w:t>Becker</w:t>
      </w:r>
      <w:r w:rsidRPr="00F11188" w:rsidR="009B0378">
        <w:t xml:space="preserve">, </w:t>
      </w:r>
      <w:r w:rsidRPr="00F11188" w:rsidR="009B0378">
        <w:rPr>
          <w:i/>
        </w:rPr>
        <w:t>supra</w:t>
      </w:r>
      <w:r w:rsidRPr="00F11188" w:rsidR="009B0378">
        <w:t>, 27 Cal.3d at p. 494</w:t>
      </w:r>
      <w:r w:rsidR="00F15AAD">
        <w:t xml:space="preserve"> [“</w:t>
      </w:r>
      <w:r w:rsidRPr="00F15AAD" w:rsidR="00F15AAD">
        <w:t>Section 425.10 requires that the amount of damages be pleaded in causes of action</w:t>
      </w:r>
      <w:r w:rsidR="00F15AAD">
        <w:t xml:space="preserve"> .</w:t>
      </w:r>
      <w:r w:rsidR="00B2699A">
        <w:t> </w:t>
      </w:r>
      <w:r w:rsidR="00F15AAD">
        <w:t>.</w:t>
      </w:r>
      <w:r w:rsidR="00B2699A">
        <w:t> </w:t>
      </w:r>
      <w:r w:rsidR="00F15AAD">
        <w:t>.</w:t>
      </w:r>
      <w:r w:rsidR="00B2699A">
        <w:t> </w:t>
      </w:r>
      <w:r w:rsidR="00F15AAD">
        <w:t xml:space="preserve">.  </w:t>
      </w:r>
      <w:r w:rsidR="00A4585A">
        <w:t>I</w:t>
      </w:r>
      <w:r w:rsidRPr="00A4585A" w:rsidR="00A4585A">
        <w:t xml:space="preserve">n actions other than at contract, section 585, subdivision 2, provides that a default judgment may be awarded only </w:t>
      </w:r>
      <w:r w:rsidR="004C25F2">
        <w:t>‘</w:t>
      </w:r>
      <w:r w:rsidRPr="00A4585A" w:rsidR="00A4585A">
        <w:t xml:space="preserve">for such sum </w:t>
      </w:r>
      <w:r w:rsidRPr="004C25F2" w:rsidR="004C25F2">
        <w:t>(</w:t>
      </w:r>
      <w:r w:rsidRPr="004C25F2" w:rsidR="004C25F2">
        <w:rPr>
          <w:i/>
          <w:iCs/>
        </w:rPr>
        <w:t>not exceeding the amount stated in the complaint</w:t>
      </w:r>
      <w:r w:rsidRPr="004C25F2" w:rsidR="004C25F2">
        <w:t>)</w:t>
      </w:r>
      <w:r w:rsidR="00737E4B">
        <w:t>’ </w:t>
      </w:r>
      <w:r w:rsidR="00F15AAD">
        <w:t>”]</w:t>
      </w:r>
      <w:bookmarkEnd w:id="96"/>
      <w:r w:rsidRPr="00F11188" w:rsidR="009B0378">
        <w:t>.)</w:t>
      </w:r>
    </w:p>
    <w:p w:rsidR="0080233A" w:rsidRPr="00F11188" w:rsidP="00F11188">
      <w:pPr>
        <w:pStyle w:val="NormalIndent"/>
        <w:ind w:left="0" w:firstLine="720"/>
      </w:pPr>
      <w:r>
        <w:t>Regarding</w:t>
      </w:r>
      <w:r w:rsidR="00220227">
        <w:t xml:space="preserve"> </w:t>
      </w:r>
      <w:r w:rsidR="00F04378">
        <w:t xml:space="preserve">the purpose of </w:t>
      </w:r>
      <w:bookmarkStart w:id="97" w:name="Psych_Cite_94"/>
      <w:r w:rsidR="00F04378">
        <w:t>section 580</w:t>
      </w:r>
      <w:bookmarkEnd w:id="97"/>
      <w:r w:rsidR="00F04378">
        <w:t xml:space="preserve">, we </w:t>
      </w:r>
      <w:r w:rsidR="00957EA4">
        <w:t>stated</w:t>
      </w:r>
      <w:r w:rsidR="003476C1">
        <w:t xml:space="preserve"> that the primary intent o</w:t>
      </w:r>
      <w:r w:rsidR="008520F5">
        <w:t>f</w:t>
      </w:r>
      <w:r w:rsidR="003476C1">
        <w:t xml:space="preserve"> the provision “</w:t>
      </w:r>
      <w:r w:rsidRPr="003476C1" w:rsidR="003476C1">
        <w:t>is to insure that defendants in cases which involve a default judgment have adequate notice of the judgments that may be taken against them</w:t>
      </w:r>
      <w:r w:rsidR="003476C1">
        <w:t xml:space="preserve">.”  </w:t>
      </w:r>
      <w:r w:rsidRPr="00F11188" w:rsidR="00747794">
        <w:t>(</w:t>
      </w:r>
      <w:bookmarkStart w:id="98" w:name="Psych_Cite_93"/>
      <w:r w:rsidRPr="00F11188" w:rsidR="00747794">
        <w:rPr>
          <w:i/>
        </w:rPr>
        <w:t>Becker</w:t>
      </w:r>
      <w:r w:rsidRPr="00F11188" w:rsidR="00747794">
        <w:t xml:space="preserve">, </w:t>
      </w:r>
      <w:r w:rsidRPr="00F11188" w:rsidR="00747794">
        <w:rPr>
          <w:i/>
        </w:rPr>
        <w:t>supra</w:t>
      </w:r>
      <w:r w:rsidRPr="00F11188" w:rsidR="00747794">
        <w:t>, 27 Cal.3d at p. 49</w:t>
      </w:r>
      <w:r w:rsidR="00747794">
        <w:t>3</w:t>
      </w:r>
      <w:bookmarkEnd w:id="98"/>
      <w:r w:rsidRPr="00F11188" w:rsidR="00747794">
        <w:t xml:space="preserve">.)  </w:t>
      </w:r>
      <w:r w:rsidRPr="00F11188" w:rsidR="00F56A4B">
        <w:t xml:space="preserve">We explained that a prayer </w:t>
      </w:r>
      <w:r w:rsidRPr="00F11188" w:rsidR="00A60257">
        <w:t>like that found in</w:t>
      </w:r>
      <w:r w:rsidRPr="00F11188" w:rsidR="00630F28">
        <w:rPr>
          <w:i/>
        </w:rPr>
        <w:t xml:space="preserve"> Becker</w:t>
      </w:r>
      <w:r w:rsidRPr="00F11188" w:rsidR="00A60257">
        <w:t xml:space="preserve">, i.e., one that </w:t>
      </w:r>
      <w:r w:rsidRPr="00F11188" w:rsidR="00BD27AE">
        <w:t>sought</w:t>
      </w:r>
      <w:r w:rsidRPr="00F11188" w:rsidR="00A60257">
        <w:t xml:space="preserve"> damages </w:t>
      </w:r>
      <w:r w:rsidRPr="00F11188" w:rsidR="00F56A4B">
        <w:t>according to proof</w:t>
      </w:r>
      <w:r w:rsidRPr="00F11188" w:rsidR="00A60257">
        <w:t>,</w:t>
      </w:r>
      <w:r w:rsidRPr="00F11188" w:rsidR="00A34DB0">
        <w:t xml:space="preserve"> “cannot insure adequate notice of the demands made upon the defendant.”  (</w:t>
      </w:r>
      <w:bookmarkStart w:id="99" w:name="Psych_Cite_89"/>
      <w:r w:rsidR="00747794">
        <w:rPr>
          <w:i/>
        </w:rPr>
        <w:t>Id.</w:t>
      </w:r>
      <w:r w:rsidRPr="00F11188" w:rsidR="00A34DB0">
        <w:t xml:space="preserve"> </w:t>
      </w:r>
      <w:r w:rsidR="007C7BE6">
        <w:t xml:space="preserve">at </w:t>
      </w:r>
      <w:r w:rsidRPr="00F11188" w:rsidR="00A34DB0">
        <w:t>p. 494</w:t>
      </w:r>
      <w:bookmarkEnd w:id="99"/>
      <w:r w:rsidRPr="00F11188" w:rsidR="00A34DB0">
        <w:t>.)</w:t>
      </w:r>
      <w:r w:rsidRPr="00F11188" w:rsidR="00F56A4B">
        <w:t xml:space="preserve">  We acknowledged that it might sometimes appear “reasonable” to find that such a prayer “provided adequate notice of a defaulting defendant’s potential liability.”  (</w:t>
      </w:r>
      <w:bookmarkStart w:id="100" w:name="Psych_Cite_90"/>
      <w:r w:rsidRPr="00F11188" w:rsidR="00F56A4B">
        <w:rPr>
          <w:i/>
        </w:rPr>
        <w:t>Ibid.</w:t>
      </w:r>
      <w:bookmarkEnd w:id="100"/>
      <w:r w:rsidRPr="00F11188" w:rsidR="00F56A4B">
        <w:t>)  Yet, “no matter how reasonable it might appear in a particular case,” “fundamental fairness” would be “undermined if the door were opened to speculation</w:t>
      </w:r>
      <w:r w:rsidRPr="00F11188" w:rsidR="00886CF1">
        <w:t>” regarding how such a prayer afford</w:t>
      </w:r>
      <w:r w:rsidRPr="00F11188" w:rsidR="007C0FED">
        <w:t>ed</w:t>
      </w:r>
      <w:r w:rsidRPr="00F11188" w:rsidR="00886CF1">
        <w:t xml:space="preserve"> requisite notice</w:t>
      </w:r>
      <w:r w:rsidRPr="00F11188" w:rsidR="00F56A4B">
        <w:t>.  (</w:t>
      </w:r>
      <w:bookmarkStart w:id="101" w:name="Psych_Cite_91"/>
      <w:r w:rsidRPr="00F11188" w:rsidR="00F56A4B">
        <w:rPr>
          <w:i/>
        </w:rPr>
        <w:t>Ibid.</w:t>
      </w:r>
      <w:bookmarkEnd w:id="101"/>
      <w:r w:rsidRPr="00F11188" w:rsidR="00F56A4B">
        <w:t>)</w:t>
      </w:r>
      <w:r w:rsidRPr="00F11188" w:rsidR="008E4401">
        <w:t xml:space="preserve">  </w:t>
      </w:r>
      <w:r w:rsidRPr="00F11188" w:rsidR="00434C42">
        <w:t>W</w:t>
      </w:r>
      <w:r w:rsidRPr="00F11188" w:rsidR="006E7D42">
        <w:t xml:space="preserve">e </w:t>
      </w:r>
      <w:r w:rsidRPr="00F11188" w:rsidR="00434C42">
        <w:t xml:space="preserve">thus </w:t>
      </w:r>
      <w:r w:rsidRPr="00F11188" w:rsidR="006E7D42">
        <w:t>held</w:t>
      </w:r>
      <w:r w:rsidRPr="00F11188" w:rsidR="003E546D">
        <w:t xml:space="preserve"> </w:t>
      </w:r>
      <w:r w:rsidRPr="00F11188" w:rsidR="00343917">
        <w:t xml:space="preserve">that </w:t>
      </w:r>
      <w:r w:rsidRPr="00F11188" w:rsidR="006E7D42">
        <w:t>“</w:t>
      </w:r>
      <w:r w:rsidRPr="00F11188" w:rsidR="003E546D">
        <w:t xml:space="preserve">a prayer for damages according to proof passes muster under </w:t>
      </w:r>
      <w:bookmarkStart w:id="102" w:name="Psych_Cite_95"/>
      <w:r w:rsidRPr="00F11188" w:rsidR="003E546D">
        <w:t>section 580</w:t>
      </w:r>
      <w:bookmarkEnd w:id="102"/>
      <w:r w:rsidRPr="00F11188" w:rsidR="003E546D">
        <w:t xml:space="preserve"> only if a specific amount of damages is alleged in the body of the complaint.</w:t>
      </w:r>
      <w:r w:rsidRPr="00F11188" w:rsidR="003158D3">
        <w:t>”</w:t>
      </w:r>
      <w:r w:rsidRPr="00F11188" w:rsidR="003E546D">
        <w:t xml:space="preserve"> </w:t>
      </w:r>
      <w:r w:rsidRPr="00F11188" w:rsidR="0022401C">
        <w:t xml:space="preserve"> </w:t>
      </w:r>
      <w:r w:rsidRPr="00F11188" w:rsidR="00607890">
        <w:t>(</w:t>
      </w:r>
      <w:bookmarkStart w:id="103" w:name="Psych_Cite_92"/>
      <w:r w:rsidRPr="00F11188" w:rsidR="00607890">
        <w:rPr>
          <w:i/>
        </w:rPr>
        <w:t>Ibid.</w:t>
      </w:r>
      <w:bookmarkEnd w:id="103"/>
      <w:r w:rsidRPr="00F11188" w:rsidR="00607890">
        <w:t>)</w:t>
      </w:r>
    </w:p>
    <w:p w:rsidR="00997AEC" w:rsidRPr="00F11188" w:rsidP="00F11188">
      <w:pPr>
        <w:pStyle w:val="NormalIndent"/>
        <w:ind w:left="0" w:firstLine="720"/>
      </w:pPr>
      <w:r w:rsidRPr="00F11188">
        <w:t xml:space="preserve">We </w:t>
      </w:r>
      <w:r w:rsidRPr="00F11188" w:rsidR="00CB3285">
        <w:t xml:space="preserve">reiterated this principle in </w:t>
      </w:r>
      <w:bookmarkStart w:id="104" w:name="Psych_Cite_99"/>
      <w:r w:rsidRPr="00F11188" w:rsidR="00CB3285">
        <w:rPr>
          <w:i/>
        </w:rPr>
        <w:t>Greenup</w:t>
      </w:r>
      <w:r w:rsidRPr="00F11188" w:rsidR="00CB3285">
        <w:t xml:space="preserve">, </w:t>
      </w:r>
      <w:r w:rsidRPr="00F11188" w:rsidR="00CB3285">
        <w:rPr>
          <w:i/>
        </w:rPr>
        <w:t>supra</w:t>
      </w:r>
      <w:r w:rsidRPr="00F11188" w:rsidR="00CB3285">
        <w:t>, 42 Cal.3d 822</w:t>
      </w:r>
      <w:bookmarkEnd w:id="104"/>
      <w:r w:rsidRPr="00F11188" w:rsidR="008276A2">
        <w:t xml:space="preserve">. </w:t>
      </w:r>
      <w:r w:rsidRPr="00F11188" w:rsidR="00573606">
        <w:t xml:space="preserve"> </w:t>
      </w:r>
      <w:r w:rsidRPr="00F11188" w:rsidR="00521993">
        <w:t xml:space="preserve">As we there stated, </w:t>
      </w:r>
      <w:r w:rsidRPr="00F11188" w:rsidR="005D05D7">
        <w:t>“</w:t>
      </w:r>
      <w:r w:rsidRPr="00F11188" w:rsidR="00521993">
        <w:t>n</w:t>
      </w:r>
      <w:r w:rsidRPr="00F11188" w:rsidR="005D05D7">
        <w:t>o matter how reasonable an assessment of damages may appear in the specific case, we cannot open the door to speculation on this subject without undermining due process</w:t>
      </w:r>
      <w:r w:rsidR="007C7BE6">
        <w:t xml:space="preserve"> </w:t>
      </w:r>
      <w:r w:rsidRPr="00F11188" w:rsidR="00862417">
        <w:t>.</w:t>
      </w:r>
      <w:r w:rsidR="009716DE">
        <w:t> </w:t>
      </w:r>
      <w:r w:rsidR="007C7BE6">
        <w:t>.</w:t>
      </w:r>
      <w:r w:rsidR="009716DE">
        <w:t> </w:t>
      </w:r>
      <w:r w:rsidR="007C7BE6">
        <w:t>.</w:t>
      </w:r>
      <w:r w:rsidR="009716DE">
        <w:t> </w:t>
      </w:r>
      <w:r w:rsidR="007C7BE6">
        <w:t>.</w:t>
      </w:r>
      <w:r w:rsidRPr="00F11188" w:rsidR="00862417">
        <w:t>”  (</w:t>
      </w:r>
      <w:bookmarkStart w:id="105" w:name="Psych_Cite_96"/>
      <w:r w:rsidRPr="00F11188" w:rsidR="00862417">
        <w:rPr>
          <w:i/>
          <w:iCs/>
        </w:rPr>
        <w:t xml:space="preserve">Id. </w:t>
      </w:r>
      <w:r w:rsidRPr="00F11188" w:rsidR="00862417">
        <w:t>at p. 829</w:t>
      </w:r>
      <w:bookmarkEnd w:id="105"/>
      <w:r w:rsidRPr="00F11188" w:rsidR="00862417">
        <w:t xml:space="preserve">.)  </w:t>
      </w:r>
      <w:r w:rsidRPr="00F11188" w:rsidR="00E76F2D">
        <w:t>Moreover, a</w:t>
      </w:r>
      <w:r w:rsidRPr="00F11188" w:rsidR="00F60EA7">
        <w:t xml:space="preserve">dequate notice of </w:t>
      </w:r>
      <w:r w:rsidRPr="00F11188" w:rsidR="00F46AF0">
        <w:t xml:space="preserve">the </w:t>
      </w:r>
      <w:r w:rsidRPr="00F11188" w:rsidR="008B73DF">
        <w:t>judgment</w:t>
      </w:r>
      <w:r w:rsidRPr="00F11188" w:rsidR="00F46AF0">
        <w:t xml:space="preserve"> that may be assessed in default </w:t>
      </w:r>
      <w:r w:rsidRPr="00F11188" w:rsidR="00F60EA7">
        <w:t xml:space="preserve">is </w:t>
      </w:r>
      <w:r w:rsidRPr="00F11188" w:rsidR="004229A5">
        <w:t>“</w:t>
      </w:r>
      <w:r w:rsidRPr="00F11188" w:rsidR="0062193C">
        <w:t>a protection to which every defendant is entitled,</w:t>
      </w:r>
      <w:r w:rsidRPr="00F11188" w:rsidR="00203AE0">
        <w:t>” even those who “deliberately thwarted [</w:t>
      </w:r>
      <w:r w:rsidRPr="00F11188" w:rsidR="00E21E89">
        <w:t xml:space="preserve">the </w:t>
      </w:r>
      <w:r w:rsidRPr="00F11188" w:rsidR="001A0C66">
        <w:t>opposing part</w:t>
      </w:r>
      <w:r w:rsidRPr="00F11188" w:rsidR="00B40E47">
        <w:t>y’s</w:t>
      </w:r>
      <w:r w:rsidRPr="00F11188" w:rsidR="00203AE0">
        <w:t xml:space="preserve">] discovery efforts.”  </w:t>
      </w:r>
      <w:r w:rsidRPr="00F11188" w:rsidR="0062193C">
        <w:t>(</w:t>
      </w:r>
      <w:bookmarkStart w:id="106" w:name="Psych_Cite_97"/>
      <w:r w:rsidRPr="00F11188" w:rsidR="0062193C">
        <w:rPr>
          <w:i/>
        </w:rPr>
        <w:t>I</w:t>
      </w:r>
      <w:r w:rsidRPr="00F11188" w:rsidR="00A808B2">
        <w:rPr>
          <w:i/>
        </w:rPr>
        <w:t>bi</w:t>
      </w:r>
      <w:r w:rsidRPr="00F11188" w:rsidR="00390D03">
        <w:rPr>
          <w:i/>
        </w:rPr>
        <w:t>d.</w:t>
      </w:r>
      <w:bookmarkEnd w:id="106"/>
      <w:r w:rsidRPr="00F11188" w:rsidR="0062193C">
        <w:t>)</w:t>
      </w:r>
      <w:r w:rsidR="00204DAA">
        <w:t xml:space="preserve">  Referring again to the “aim” of </w:t>
      </w:r>
      <w:bookmarkStart w:id="107" w:name="Psych_Cite_101"/>
      <w:r w:rsidR="00204DAA">
        <w:t>section 580</w:t>
      </w:r>
      <w:bookmarkEnd w:id="107"/>
      <w:r w:rsidR="00204DAA">
        <w:t xml:space="preserve"> and “related sections,” including </w:t>
      </w:r>
      <w:bookmarkStart w:id="108" w:name="Psych_Cite_102"/>
      <w:r w:rsidR="00204DAA">
        <w:t>sections 425.10 and 585</w:t>
      </w:r>
      <w:bookmarkEnd w:id="108"/>
      <w:r w:rsidR="00204DAA">
        <w:t>, we said that these provisions are intended “</w:t>
      </w:r>
      <w:r w:rsidRPr="00204DAA" w:rsidR="00204DAA">
        <w:t>to ensure that a defendant who declines to contest an action does not thereby subject himself to open-ended liability</w:t>
      </w:r>
      <w:r w:rsidR="00204DAA">
        <w:t>.”  (</w:t>
      </w:r>
      <w:r w:rsidR="007C7BE6">
        <w:rPr>
          <w:i/>
          <w:iCs/>
        </w:rPr>
        <w:t>Greenup,</w:t>
      </w:r>
      <w:r w:rsidR="00204DAA">
        <w:rPr>
          <w:i/>
          <w:iCs/>
        </w:rPr>
        <w:t xml:space="preserve"> </w:t>
      </w:r>
      <w:r w:rsidR="00204DAA">
        <w:t>at p. 826.)</w:t>
      </w:r>
    </w:p>
    <w:p w:rsidR="00BF3BDC" w:rsidRPr="00F11188" w:rsidP="00F11188">
      <w:pPr>
        <w:pStyle w:val="NormalIndent"/>
        <w:ind w:left="0" w:firstLine="720"/>
      </w:pPr>
      <w:r w:rsidRPr="00F11188">
        <w:t>Along the same lines</w:t>
      </w:r>
      <w:r w:rsidRPr="00F11188" w:rsidR="003D20A6">
        <w:t>, we explained that a defendant has the right to choose to default</w:t>
      </w:r>
      <w:r w:rsidRPr="00F11188" w:rsidR="00BC44C0">
        <w:t xml:space="preserve">, but the plaintiff must provide the defendant with notice </w:t>
      </w:r>
      <w:r w:rsidRPr="00F11188" w:rsidR="00932B7A">
        <w:t xml:space="preserve">of potential damages </w:t>
      </w:r>
      <w:r w:rsidRPr="00F11188" w:rsidR="00BC44C0">
        <w:t xml:space="preserve">so that </w:t>
      </w:r>
      <w:r w:rsidRPr="00F11188" w:rsidR="003148FA">
        <w:t>the defendant</w:t>
      </w:r>
      <w:r w:rsidRPr="00F11188" w:rsidR="003137A2">
        <w:t>’s choice is an informed one</w:t>
      </w:r>
      <w:r w:rsidRPr="00F11188" w:rsidR="00BC44C0">
        <w:t>.  (</w:t>
      </w:r>
      <w:bookmarkStart w:id="109" w:name="Psych_Cite_104"/>
      <w:r w:rsidRPr="00F11188" w:rsidR="00BC44C0">
        <w:t xml:space="preserve">See </w:t>
      </w:r>
      <w:r w:rsidRPr="00F11188" w:rsidR="00872A40">
        <w:rPr>
          <w:i/>
        </w:rPr>
        <w:t>Greenup</w:t>
      </w:r>
      <w:r w:rsidRPr="00F11188" w:rsidR="00872A40">
        <w:t xml:space="preserve">, </w:t>
      </w:r>
      <w:r w:rsidRPr="00F11188" w:rsidR="00872A40">
        <w:rPr>
          <w:i/>
        </w:rPr>
        <w:t>supra</w:t>
      </w:r>
      <w:r w:rsidRPr="00F11188" w:rsidR="00872A40">
        <w:t>, 42</w:t>
      </w:r>
      <w:r w:rsidR="005A1CFD">
        <w:t> </w:t>
      </w:r>
      <w:r w:rsidRPr="00F11188" w:rsidR="00872A40">
        <w:t>Cal.3d at p. 829</w:t>
      </w:r>
      <w:bookmarkEnd w:id="109"/>
      <w:r w:rsidRPr="00F11188" w:rsidR="002A18A2">
        <w:rPr>
          <w:i/>
        </w:rPr>
        <w:t>.</w:t>
      </w:r>
      <w:r w:rsidRPr="00F11188" w:rsidR="00912473">
        <w:t>)</w:t>
      </w:r>
      <w:r w:rsidRPr="00F11188" w:rsidR="002D7484">
        <w:t xml:space="preserve">  We also made clear that the notice afforded to </w:t>
      </w:r>
      <w:r w:rsidRPr="00F11188" w:rsidR="007D53C1">
        <w:t xml:space="preserve">a </w:t>
      </w:r>
      <w:r w:rsidRPr="00F11188" w:rsidR="002D7484">
        <w:t xml:space="preserve">defendant must be </w:t>
      </w:r>
      <w:r w:rsidRPr="00F11188" w:rsidR="00092840">
        <w:t xml:space="preserve">“formal notice of potential liability,” which </w:t>
      </w:r>
      <w:r w:rsidRPr="00F11188" w:rsidR="00EA5758">
        <w:t>can</w:t>
      </w:r>
      <w:r w:rsidRPr="00F11188" w:rsidR="00092840">
        <w:t xml:space="preserve">not be </w:t>
      </w:r>
      <w:r w:rsidRPr="00F11188" w:rsidR="00A66E7C">
        <w:t>supplanted by</w:t>
      </w:r>
      <w:r w:rsidRPr="00F11188" w:rsidR="00092840">
        <w:t xml:space="preserve"> “actual notice.</w:t>
      </w:r>
      <w:r w:rsidRPr="00F11188" w:rsidR="00922F82">
        <w:t>”</w:t>
      </w:r>
      <w:r w:rsidRPr="00F11188" w:rsidR="004825CA">
        <w:t xml:space="preserve">  (</w:t>
      </w:r>
      <w:bookmarkStart w:id="110" w:name="Psych_Cite_103"/>
      <w:r w:rsidRPr="00F11188" w:rsidR="004825CA">
        <w:rPr>
          <w:i/>
        </w:rPr>
        <w:t xml:space="preserve">Id. </w:t>
      </w:r>
      <w:r w:rsidRPr="00F11188" w:rsidR="004825CA">
        <w:t>at p.</w:t>
      </w:r>
      <w:r w:rsidRPr="00F11188" w:rsidR="006D4113">
        <w:t xml:space="preserve"> 826</w:t>
      </w:r>
      <w:bookmarkEnd w:id="110"/>
      <w:r w:rsidRPr="00F11188" w:rsidR="004E772C">
        <w:t>.)</w:t>
      </w:r>
    </w:p>
    <w:p w:rsidR="00F42AD7" w:rsidP="003556FE">
      <w:pPr>
        <w:pStyle w:val="NormalIndent"/>
        <w:ind w:left="0" w:firstLine="720"/>
      </w:pPr>
      <w:r w:rsidRPr="00F11188">
        <w:t>Finally,</w:t>
      </w:r>
      <w:r w:rsidRPr="00F11188" w:rsidR="00F43A01">
        <w:t xml:space="preserve"> </w:t>
      </w:r>
      <w:r w:rsidRPr="00F11188" w:rsidR="00D257A8">
        <w:t>our</w:t>
      </w:r>
      <w:r w:rsidRPr="00F11188" w:rsidR="006E56BF">
        <w:t xml:space="preserve"> </w:t>
      </w:r>
      <w:r w:rsidRPr="00F11188" w:rsidR="003F068E">
        <w:t xml:space="preserve">most recent </w:t>
      </w:r>
      <w:r w:rsidRPr="00F11188" w:rsidR="006E56BF">
        <w:t xml:space="preserve">case </w:t>
      </w:r>
      <w:r w:rsidRPr="00F11188" w:rsidR="00AA1415">
        <w:t>concerning</w:t>
      </w:r>
      <w:r w:rsidRPr="00F11188" w:rsidR="0016250F">
        <w:t xml:space="preserve"> th</w:t>
      </w:r>
      <w:r w:rsidRPr="00F11188" w:rsidR="00611D1F">
        <w:t>e</w:t>
      </w:r>
      <w:r w:rsidRPr="00F11188" w:rsidR="0016250F">
        <w:t xml:space="preserve"> matter</w:t>
      </w:r>
      <w:r w:rsidRPr="00F11188" w:rsidR="006E56BF">
        <w:t xml:space="preserve">, </w:t>
      </w:r>
      <w:bookmarkStart w:id="111" w:name="Psych_Cite_109"/>
      <w:r w:rsidRPr="00F11188" w:rsidR="00B030B0">
        <w:rPr>
          <w:i/>
        </w:rPr>
        <w:t>In re Marriage of Lippel</w:t>
      </w:r>
      <w:r w:rsidRPr="00F11188" w:rsidR="00B030B0">
        <w:t xml:space="preserve"> (1990) 51 Cal.3d 1160</w:t>
      </w:r>
      <w:r w:rsidRPr="00F11188" w:rsidR="00B030B0">
        <w:rPr>
          <w:i/>
        </w:rPr>
        <w:t xml:space="preserve"> </w:t>
      </w:r>
      <w:r w:rsidRPr="00F11188" w:rsidR="006E56BF">
        <w:t>(</w:t>
      </w:r>
      <w:r w:rsidRPr="00F11188" w:rsidR="006E56BF">
        <w:rPr>
          <w:i/>
        </w:rPr>
        <w:t>Lippel</w:t>
      </w:r>
      <w:r w:rsidRPr="00F11188" w:rsidR="006E56BF">
        <w:t>)</w:t>
      </w:r>
      <w:bookmarkEnd w:id="111"/>
      <w:r w:rsidRPr="00F11188" w:rsidR="00383263">
        <w:t xml:space="preserve">, offers </w:t>
      </w:r>
      <w:r w:rsidRPr="00F11188" w:rsidR="001B426A">
        <w:t xml:space="preserve">a clear articulation of the significance of </w:t>
      </w:r>
      <w:bookmarkStart w:id="112" w:name="Psych_Cite_114"/>
      <w:r w:rsidRPr="00F11188" w:rsidR="00383263">
        <w:t>section 580</w:t>
      </w:r>
      <w:bookmarkEnd w:id="112"/>
      <w:r w:rsidRPr="00F11188" w:rsidR="006E56BF">
        <w:t xml:space="preserve">.  </w:t>
      </w:r>
      <w:r w:rsidRPr="00F11188" w:rsidR="006E56BF">
        <w:rPr>
          <w:i/>
        </w:rPr>
        <w:t>Lippel</w:t>
      </w:r>
      <w:r w:rsidRPr="00F11188" w:rsidR="0016250F">
        <w:t xml:space="preserve"> </w:t>
      </w:r>
      <w:r w:rsidRPr="00F11188" w:rsidR="00216540">
        <w:t>concerned a divorce obtained</w:t>
      </w:r>
      <w:r w:rsidRPr="00F11188" w:rsidR="0016250F">
        <w:t xml:space="preserve"> after the enactment of the Family Law Act.  </w:t>
      </w:r>
      <w:r w:rsidRPr="00F11188" w:rsidR="00F66759">
        <w:t>(</w:t>
      </w:r>
      <w:bookmarkStart w:id="113" w:name="Psych_Cite_105"/>
      <w:r w:rsidR="007C7BE6">
        <w:t>Civ</w:t>
      </w:r>
      <w:bookmarkEnd w:id="113"/>
      <w:r w:rsidR="007C7BE6">
        <w:t xml:space="preserve">. Code, former </w:t>
      </w:r>
      <w:bookmarkStart w:id="114" w:name="Psych_Cite_115"/>
      <w:r w:rsidR="007C7BE6">
        <w:t>§ 4000</w:t>
      </w:r>
      <w:r w:rsidRPr="00F11188" w:rsidR="00F66759">
        <w:t xml:space="preserve"> et seq</w:t>
      </w:r>
      <w:bookmarkEnd w:id="114"/>
      <w:r w:rsidRPr="00F11188" w:rsidR="00F66759">
        <w:t xml:space="preserve">.; </w:t>
      </w:r>
      <w:bookmarkStart w:id="115" w:name="Psych_Cite_110"/>
      <w:r w:rsidRPr="00F11188" w:rsidR="00A6144F">
        <w:t xml:space="preserve">see also </w:t>
      </w:r>
      <w:r w:rsidRPr="00F11188" w:rsidR="002F58FF">
        <w:rPr>
          <w:i/>
        </w:rPr>
        <w:t xml:space="preserve">Ceja v. Rudolph &amp; Sletten, Inc. </w:t>
      </w:r>
      <w:r w:rsidRPr="00F11188" w:rsidR="002F58FF">
        <w:t>(2013) 56 Cal.4th 1113, 1121</w:t>
      </w:r>
      <w:r w:rsidRPr="00F11188" w:rsidR="00F55C84">
        <w:t>, fn. 5</w:t>
      </w:r>
      <w:bookmarkEnd w:id="115"/>
      <w:r w:rsidRPr="00F11188" w:rsidR="002F58FF">
        <w:t xml:space="preserve">; </w:t>
      </w:r>
      <w:bookmarkStart w:id="116" w:name="Psych_Cite_111"/>
      <w:r w:rsidRPr="00F11188" w:rsidR="00A6144F">
        <w:rPr>
          <w:i/>
        </w:rPr>
        <w:t>In re Marriage of Cantarella</w:t>
      </w:r>
      <w:r w:rsidRPr="00F11188" w:rsidR="00A6144F">
        <w:t xml:space="preserve"> (2011) 191 Cal.App.4th 916, 919, fn. 1</w:t>
      </w:r>
      <w:bookmarkEnd w:id="116"/>
      <w:r w:rsidRPr="00F11188" w:rsidR="004D4E14">
        <w:t xml:space="preserve">.)  </w:t>
      </w:r>
      <w:r w:rsidR="001828D7">
        <w:t>W</w:t>
      </w:r>
      <w:r w:rsidRPr="00F11188" w:rsidR="008D3682">
        <w:t xml:space="preserve">hen </w:t>
      </w:r>
      <w:r w:rsidRPr="00F11188" w:rsidR="003C0810">
        <w:t>the plaintiff</w:t>
      </w:r>
      <w:r w:rsidRPr="00F11188" w:rsidR="008D3682">
        <w:t xml:space="preserve"> filed for </w:t>
      </w:r>
      <w:r w:rsidRPr="00F11188" w:rsidR="00124AA3">
        <w:t>dissolution</w:t>
      </w:r>
      <w:r w:rsidRPr="00F11188" w:rsidR="008D3682">
        <w:t xml:space="preserve">, </w:t>
      </w:r>
      <w:r w:rsidRPr="00F11188" w:rsidR="003C0810">
        <w:t xml:space="preserve">she </w:t>
      </w:r>
      <w:r w:rsidRPr="00F11188" w:rsidR="0016250F">
        <w:t xml:space="preserve">used “a standard printed </w:t>
      </w:r>
      <w:r w:rsidR="007C7BE6">
        <w:t xml:space="preserve">form </w:t>
      </w:r>
      <w:r w:rsidRPr="00F11188" w:rsidR="0016250F">
        <w:t>petition, which was statutorily authorized, that provided blank spaces for the entry of certain statistical information and contained boxes to be checked to indicate what relief was being requested.”</w:t>
      </w:r>
      <w:r>
        <w:rPr>
          <w:rStyle w:val="FootnoteReference"/>
        </w:rPr>
        <w:footnoteReference w:id="8"/>
      </w:r>
      <w:r w:rsidRPr="00F11188" w:rsidR="0016250F">
        <w:t xml:space="preserve">  (</w:t>
      </w:r>
      <w:r w:rsidR="007C7BE6">
        <w:rPr>
          <w:i/>
        </w:rPr>
        <w:t>Lippel,</w:t>
      </w:r>
      <w:r w:rsidRPr="00F11188" w:rsidR="0016250F">
        <w:rPr>
          <w:i/>
        </w:rPr>
        <w:t xml:space="preserve"> </w:t>
      </w:r>
      <w:r w:rsidRPr="00F11188" w:rsidR="0016250F">
        <w:t xml:space="preserve">at p. </w:t>
      </w:r>
      <w:r w:rsidRPr="00F11188" w:rsidR="00E752CC">
        <w:t>1163</w:t>
      </w:r>
      <w:r w:rsidRPr="00F11188" w:rsidR="0016250F">
        <w:t xml:space="preserve">.)  The plaintiff </w:t>
      </w:r>
      <w:r w:rsidRPr="00F11188" w:rsidR="00455D2D">
        <w:t xml:space="preserve">“checked the box that indicated she was requesting child custody” but left blank the box “relating to the issue of child support.”  </w:t>
      </w:r>
      <w:r w:rsidRPr="00F11188" w:rsidR="00576ACA">
        <w:t>(</w:t>
      </w:r>
      <w:bookmarkStart w:id="117" w:name="Psych_Cite_107"/>
      <w:r w:rsidRPr="00F11188" w:rsidR="00576ACA">
        <w:rPr>
          <w:i/>
        </w:rPr>
        <w:t>Ibi</w:t>
      </w:r>
      <w:bookmarkEnd w:id="117"/>
      <w:r w:rsidRPr="00F11188" w:rsidR="00576ACA">
        <w:rPr>
          <w:i/>
        </w:rPr>
        <w:t>d.</w:t>
      </w:r>
      <w:r w:rsidRPr="00F11188" w:rsidR="00576ACA">
        <w:t xml:space="preserve">)  Under </w:t>
      </w:r>
      <w:r w:rsidRPr="00F11188" w:rsidR="00BB25ED">
        <w:t xml:space="preserve">these </w:t>
      </w:r>
      <w:r w:rsidRPr="00F11188" w:rsidR="00576ACA">
        <w:t>circumstances, we</w:t>
      </w:r>
      <w:r w:rsidRPr="00F11188" w:rsidR="007D58ED">
        <w:t xml:space="preserve"> found that the trial court’s order requiring the defaulted defendant husband “to pay $100 per month in child support” </w:t>
      </w:r>
      <w:r w:rsidRPr="00F11188" w:rsidR="003B5DB6">
        <w:t xml:space="preserve">violated </w:t>
      </w:r>
      <w:bookmarkStart w:id="118" w:name="Psych_Cite_116"/>
      <w:r w:rsidRPr="00F11188" w:rsidR="003B5DB6">
        <w:t>section 5</w:t>
      </w:r>
      <w:bookmarkEnd w:id="118"/>
      <w:r w:rsidRPr="00F11188" w:rsidR="003B5DB6">
        <w:t xml:space="preserve">80.  </w:t>
      </w:r>
      <w:r w:rsidRPr="00F11188" w:rsidR="001E12F9">
        <w:t>(</w:t>
      </w:r>
      <w:r w:rsidR="007C7BE6">
        <w:rPr>
          <w:i/>
        </w:rPr>
        <w:t>Lippel,</w:t>
      </w:r>
      <w:r w:rsidRPr="00F11188" w:rsidR="001E12F9">
        <w:rPr>
          <w:i/>
        </w:rPr>
        <w:t xml:space="preserve"> </w:t>
      </w:r>
      <w:r w:rsidRPr="00F11188" w:rsidR="001E12F9">
        <w:t>at p.</w:t>
      </w:r>
      <w:r w:rsidR="005A1CFD">
        <w:t> </w:t>
      </w:r>
      <w:r w:rsidRPr="00F11188" w:rsidR="00362DA6">
        <w:t>1164</w:t>
      </w:r>
      <w:r w:rsidRPr="00F11188" w:rsidR="001E12F9">
        <w:t>.)</w:t>
      </w:r>
    </w:p>
    <w:p w:rsidR="003E662F" w:rsidP="00F11188">
      <w:pPr>
        <w:pStyle w:val="NormalIndent"/>
        <w:ind w:left="0" w:firstLine="720"/>
      </w:pPr>
      <w:r>
        <w:t xml:space="preserve">Our decision in </w:t>
      </w:r>
      <w:r>
        <w:rPr>
          <w:i/>
          <w:iCs/>
        </w:rPr>
        <w:t>Lippel</w:t>
      </w:r>
      <w:r w:rsidR="002B5906">
        <w:rPr>
          <w:i/>
          <w:iCs/>
        </w:rPr>
        <w:t xml:space="preserve"> </w:t>
      </w:r>
      <w:r w:rsidR="002B5906">
        <w:t>reinforced</w:t>
      </w:r>
      <w:r>
        <w:rPr>
          <w:i/>
          <w:iCs/>
        </w:rPr>
        <w:t xml:space="preserve"> </w:t>
      </w:r>
      <w:r w:rsidRPr="002E619F" w:rsidR="00A5362A">
        <w:t xml:space="preserve">the </w:t>
      </w:r>
      <w:r w:rsidR="008F26A4">
        <w:t xml:space="preserve">principle </w:t>
      </w:r>
      <w:r w:rsidR="00472663">
        <w:t xml:space="preserve">that there was no exception to </w:t>
      </w:r>
      <w:r w:rsidR="00BF2F98">
        <w:t xml:space="preserve">the </w:t>
      </w:r>
      <w:r w:rsidR="00472663">
        <w:t xml:space="preserve">requirements of </w:t>
      </w:r>
      <w:r w:rsidR="007C0C63">
        <w:t>section 580</w:t>
      </w:r>
      <w:r w:rsidR="007C7BE6">
        <w:t>,</w:t>
      </w:r>
      <w:r w:rsidR="0098577B">
        <w:t xml:space="preserve"> </w:t>
      </w:r>
      <w:r w:rsidR="00176264">
        <w:t xml:space="preserve">save </w:t>
      </w:r>
      <w:r w:rsidR="007C0C63">
        <w:t>for those</w:t>
      </w:r>
      <w:r w:rsidR="00E941BE">
        <w:t xml:space="preserve"> instances </w:t>
      </w:r>
      <w:r w:rsidR="00BF2F98">
        <w:t xml:space="preserve">as to which </w:t>
      </w:r>
      <w:r w:rsidR="00E941BE">
        <w:t xml:space="preserve">the Legislature has manifested a clear intent </w:t>
      </w:r>
      <w:r w:rsidR="00285D71">
        <w:t>to provide an exemption</w:t>
      </w:r>
      <w:r w:rsidR="00E941BE">
        <w:t xml:space="preserve">.  In particular, </w:t>
      </w:r>
      <w:r w:rsidR="00E941BE">
        <w:rPr>
          <w:i/>
          <w:iCs/>
        </w:rPr>
        <w:t>Lippel</w:t>
      </w:r>
      <w:r w:rsidR="00E941BE">
        <w:t xml:space="preserve"> refused to “</w:t>
      </w:r>
      <w:r w:rsidRPr="00E941BE" w:rsidR="00E941BE">
        <w:t xml:space="preserve">perpetuate an exception to section 580 in </w:t>
      </w:r>
      <w:r w:rsidR="00E941BE">
        <w:t xml:space="preserve">[marriage] </w:t>
      </w:r>
      <w:r w:rsidRPr="00E941BE" w:rsidR="00E941BE">
        <w:t>dissolution cases based on the idea that a prayer for general relief in such cases supports an award of support</w:t>
      </w:r>
      <w:r w:rsidR="00E941BE">
        <w:t>.</w:t>
      </w:r>
      <w:r w:rsidR="0098577B">
        <w:t>”</w:t>
      </w:r>
      <w:r w:rsidR="00E941BE">
        <w:t xml:space="preserve">  (</w:t>
      </w:r>
      <w:r w:rsidR="00E941BE">
        <w:rPr>
          <w:i/>
          <w:iCs/>
        </w:rPr>
        <w:t>Lippel</w:t>
      </w:r>
      <w:r w:rsidR="00E941BE">
        <w:t xml:space="preserve">, </w:t>
      </w:r>
      <w:r w:rsidR="00E941BE">
        <w:rPr>
          <w:i/>
          <w:iCs/>
        </w:rPr>
        <w:t>supra</w:t>
      </w:r>
      <w:r w:rsidR="00E941BE">
        <w:t xml:space="preserve">, </w:t>
      </w:r>
      <w:r w:rsidRPr="00E941BE" w:rsidR="00E941BE">
        <w:t xml:space="preserve">51 Cal.3d </w:t>
      </w:r>
      <w:r w:rsidR="00E941BE">
        <w:t xml:space="preserve">at p. </w:t>
      </w:r>
      <w:r w:rsidRPr="00E941BE" w:rsidR="00E941BE">
        <w:t>1171.)</w:t>
      </w:r>
      <w:r w:rsidR="0098577B">
        <w:t xml:space="preserve">  A</w:t>
      </w:r>
      <w:r w:rsidR="004D178E">
        <w:t xml:space="preserve"> </w:t>
      </w:r>
      <w:r w:rsidR="0098577B">
        <w:t xml:space="preserve">line of cases predating the Family Law Act had </w:t>
      </w:r>
      <w:r w:rsidR="0061268A">
        <w:t>done just that</w:t>
      </w:r>
      <w:r w:rsidR="00D21B0F">
        <w:t xml:space="preserve">, </w:t>
      </w:r>
      <w:r w:rsidR="0061268A">
        <w:t>uph</w:t>
      </w:r>
      <w:r w:rsidR="00D21B0F">
        <w:t>olding</w:t>
      </w:r>
      <w:r w:rsidR="004D178E">
        <w:t xml:space="preserve"> default judgments awarding monetary support to former spouses even when the complaints did not demand such support or stated no </w:t>
      </w:r>
      <w:r w:rsidR="0061268A">
        <w:t>amount that would be requested</w:t>
      </w:r>
      <w:r w:rsidR="00D21B0F">
        <w:t xml:space="preserve"> as support</w:t>
      </w:r>
      <w:r w:rsidR="00A85475">
        <w:t xml:space="preserve">.  (See, e.g., </w:t>
      </w:r>
      <w:r w:rsidRPr="00A85475" w:rsidR="00A85475">
        <w:rPr>
          <w:i/>
          <w:iCs/>
        </w:rPr>
        <w:t xml:space="preserve">Cohen v. Cohen </w:t>
      </w:r>
      <w:r w:rsidRPr="00A85475" w:rsidR="00A85475">
        <w:t xml:space="preserve">(1906) 150 Cal. 99, </w:t>
      </w:r>
      <w:r w:rsidR="006058F6">
        <w:t>101</w:t>
      </w:r>
      <w:r w:rsidR="0061268A">
        <w:t xml:space="preserve"> [</w:t>
      </w:r>
      <w:r w:rsidR="006058F6">
        <w:t>upholding a default judgment awarding wife $10 a month in alimony although the wife’s prayer only requested “</w:t>
      </w:r>
      <w:r w:rsidRPr="006058F6" w:rsidR="006058F6">
        <w:t>a divorce and</w:t>
      </w:r>
      <w:r w:rsidR="006058F6">
        <w:t xml:space="preserve"> . . .</w:t>
      </w:r>
      <w:r w:rsidRPr="006058F6" w:rsidR="006058F6">
        <w:t xml:space="preserve"> </w:t>
      </w:r>
      <w:r w:rsidR="006058F6">
        <w:t>‘</w:t>
      </w:r>
      <w:r w:rsidRPr="006058F6" w:rsidR="006058F6">
        <w:t>such other relief as may be just and meet in the premises and within</w:t>
      </w:r>
      <w:r w:rsidR="006058F6">
        <w:t xml:space="preserve"> </w:t>
      </w:r>
      <w:r w:rsidRPr="006058F6" w:rsidR="006058F6">
        <w:t>the jurisdiction of the court</w:t>
      </w:r>
      <w:r w:rsidR="006058F6">
        <w:t>’ ”</w:t>
      </w:r>
      <w:r w:rsidR="0061268A">
        <w:t>]</w:t>
      </w:r>
      <w:r w:rsidR="00A85475">
        <w:t xml:space="preserve">; </w:t>
      </w:r>
      <w:r w:rsidRPr="00A85475" w:rsidR="00A85475">
        <w:rPr>
          <w:i/>
          <w:iCs/>
        </w:rPr>
        <w:t>Horton v. Horton</w:t>
      </w:r>
      <w:r w:rsidRPr="00A85475" w:rsidR="00A85475">
        <w:t xml:space="preserve"> (1941) 18 Cal.2d 579, 583</w:t>
      </w:r>
      <w:r w:rsidR="0061268A">
        <w:t xml:space="preserve"> [“</w:t>
      </w:r>
      <w:r w:rsidRPr="0061268A" w:rsidR="0061268A">
        <w:t xml:space="preserve">it is our opinion that the judgment awarding to the wife $200 per month </w:t>
      </w:r>
      <w:r w:rsidR="000A4A16">
        <w:t xml:space="preserve">. . . </w:t>
      </w:r>
      <w:r w:rsidRPr="0061268A" w:rsidR="0061268A">
        <w:t>was directly responsive to the wife</w:t>
      </w:r>
      <w:r w:rsidR="0061268A">
        <w:t>’</w:t>
      </w:r>
      <w:r w:rsidRPr="0061268A" w:rsidR="0061268A">
        <w:t>s prayer for reasonable sums for support and maintenance</w:t>
      </w:r>
      <w:r w:rsidR="00A4459D">
        <w:t xml:space="preserve"> . . . </w:t>
      </w:r>
      <w:r w:rsidRPr="0061268A" w:rsidR="0061268A">
        <w:t>and as so framed this judgment cannot be said to transgress the limitation of section 580</w:t>
      </w:r>
      <w:r w:rsidR="0061268A">
        <w:t>”]</w:t>
      </w:r>
      <w:r w:rsidR="00A85475">
        <w:t>.)</w:t>
      </w:r>
      <w:r w:rsidR="004D178E">
        <w:t xml:space="preserve">  </w:t>
      </w:r>
      <w:r w:rsidR="00D21B0F">
        <w:rPr>
          <w:i/>
          <w:iCs/>
        </w:rPr>
        <w:t xml:space="preserve">Lippel </w:t>
      </w:r>
      <w:r w:rsidR="002E619F">
        <w:t xml:space="preserve">concluded </w:t>
      </w:r>
      <w:r w:rsidR="00D21B0F">
        <w:t>that the “</w:t>
      </w:r>
      <w:r w:rsidRPr="00D21B0F" w:rsidR="00D21B0F">
        <w:t xml:space="preserve">continued validity </w:t>
      </w:r>
      <w:r w:rsidR="00D21B0F">
        <w:t xml:space="preserve">[of such decisions] </w:t>
      </w:r>
      <w:r w:rsidRPr="00D21B0F" w:rsidR="00D21B0F">
        <w:t>can no longer be supported</w:t>
      </w:r>
      <w:r w:rsidR="00D21B0F">
        <w:t xml:space="preserve">.”  </w:t>
      </w:r>
      <w:r w:rsidR="004D178E">
        <w:t>(</w:t>
      </w:r>
      <w:r w:rsidR="004D178E">
        <w:rPr>
          <w:i/>
          <w:iCs/>
        </w:rPr>
        <w:t>Lippel</w:t>
      </w:r>
      <w:r w:rsidR="004D178E">
        <w:t xml:space="preserve">, </w:t>
      </w:r>
      <w:r w:rsidR="004D178E">
        <w:rPr>
          <w:i/>
          <w:iCs/>
        </w:rPr>
        <w:t>supra</w:t>
      </w:r>
      <w:r w:rsidR="004D178E">
        <w:t xml:space="preserve">, </w:t>
      </w:r>
      <w:r w:rsidRPr="00E941BE" w:rsidR="004D178E">
        <w:t xml:space="preserve">51 Cal.3d </w:t>
      </w:r>
      <w:r w:rsidR="004D178E">
        <w:t>at p. 1169.)</w:t>
      </w:r>
    </w:p>
    <w:p w:rsidR="00176737" w:rsidRPr="00A85475" w:rsidP="00176737">
      <w:pPr>
        <w:pStyle w:val="NormalIndent"/>
        <w:ind w:left="0" w:firstLine="720"/>
      </w:pPr>
      <w:r w:rsidRPr="00F11188">
        <w:t xml:space="preserve">The above survey reveals that section 580 </w:t>
      </w:r>
      <w:r w:rsidR="00F73D7F">
        <w:t xml:space="preserve">has been </w:t>
      </w:r>
      <w:r w:rsidRPr="00F11188">
        <w:t xml:space="preserve">interpreted </w:t>
      </w:r>
      <w:bookmarkStart w:id="119" w:name="_Hlk31119000"/>
      <w:r w:rsidRPr="00F11188">
        <w:t>strictly, “in accordance with its plain language</w:t>
      </w:r>
      <w:r>
        <w:t>,</w:t>
      </w:r>
      <w:r w:rsidRPr="00F11188">
        <w:t>”</w:t>
      </w:r>
      <w:r>
        <w:t xml:space="preserve"> in conformance with its purpose, and</w:t>
      </w:r>
      <w:r w:rsidR="00F73D7F">
        <w:t xml:space="preserve"> as informed by other statutory provisions governing default.</w:t>
      </w:r>
      <w:r w:rsidRPr="00F11188">
        <w:t xml:space="preserve">  (</w:t>
      </w:r>
      <w:r w:rsidRPr="00F11188">
        <w:rPr>
          <w:i/>
        </w:rPr>
        <w:t>Lippel</w:t>
      </w:r>
      <w:r w:rsidRPr="00F11188">
        <w:t xml:space="preserve">, </w:t>
      </w:r>
      <w:r w:rsidRPr="00F11188">
        <w:rPr>
          <w:i/>
        </w:rPr>
        <w:t>supra</w:t>
      </w:r>
      <w:r w:rsidRPr="00F11188">
        <w:t>, 51</w:t>
      </w:r>
      <w:r w:rsidR="005A1CFD">
        <w:t> </w:t>
      </w:r>
      <w:r w:rsidRPr="00F11188">
        <w:t xml:space="preserve">Cal.3d at p. 1166.)  </w:t>
      </w:r>
      <w:bookmarkEnd w:id="119"/>
      <w:r w:rsidRPr="00F11188">
        <w:t xml:space="preserve">Applying such a construction, we have </w:t>
      </w:r>
      <w:r w:rsidR="001101D6">
        <w:t>never</w:t>
      </w:r>
      <w:r w:rsidR="006C5CA4">
        <w:t xml:space="preserve"> (</w:t>
      </w:r>
      <w:r w:rsidR="001101D6">
        <w:t xml:space="preserve">outside </w:t>
      </w:r>
      <w:r w:rsidR="006636F0">
        <w:t xml:space="preserve">the </w:t>
      </w:r>
      <w:r w:rsidR="001101D6">
        <w:t>marriage dissolution</w:t>
      </w:r>
      <w:r w:rsidR="006C5CA4">
        <w:t xml:space="preserve"> context)</w:t>
      </w:r>
      <w:r w:rsidR="006636F0">
        <w:t xml:space="preserve"> </w:t>
      </w:r>
      <w:r w:rsidR="001101D6">
        <w:t xml:space="preserve">upheld a default judgment under section 580 </w:t>
      </w:r>
      <w:r w:rsidR="001E071F">
        <w:t xml:space="preserve">that </w:t>
      </w:r>
      <w:r w:rsidR="001101D6">
        <w:t xml:space="preserve">awarded compensatory damages in excess of the </w:t>
      </w:r>
      <w:r w:rsidR="008B53F6">
        <w:t xml:space="preserve">dollar </w:t>
      </w:r>
      <w:r w:rsidR="001101D6">
        <w:t xml:space="preserve">amount demanded in the </w:t>
      </w:r>
      <w:r w:rsidR="00455474">
        <w:t>operative pleading</w:t>
      </w:r>
      <w:r w:rsidRPr="00F11188">
        <w:t xml:space="preserve">.  The question before us is whether an accounting action is sufficiently </w:t>
      </w:r>
      <w:r w:rsidR="008B53F6">
        <w:t>unique to warrant different treatment.</w:t>
      </w:r>
    </w:p>
    <w:p w:rsidR="00AB2B12" w:rsidP="00204DAA">
      <w:pPr>
        <w:pStyle w:val="Heading3"/>
        <w:tabs>
          <w:tab w:val="clear" w:pos="1584"/>
        </w:tabs>
      </w:pPr>
      <w:r w:rsidRPr="00F11188">
        <w:t>4</w:t>
      </w:r>
      <w:r w:rsidRPr="00F11188" w:rsidR="008368BB">
        <w:t xml:space="preserve">.  </w:t>
      </w:r>
      <w:r w:rsidRPr="00F11188" w:rsidR="00087E21">
        <w:t>Synthesis</w:t>
      </w:r>
    </w:p>
    <w:p w:rsidR="00D10821" w:rsidP="00AB2B12">
      <w:pPr>
        <w:ind w:firstLine="720"/>
      </w:pPr>
      <w:r w:rsidRPr="00F11188">
        <w:t>In reconciling section 580</w:t>
      </w:r>
      <w:r w:rsidR="00653239">
        <w:t>’s constraints</w:t>
      </w:r>
      <w:r w:rsidRPr="00F11188">
        <w:t xml:space="preserve"> with the nature of an accounting action, w</w:t>
      </w:r>
      <w:r w:rsidRPr="00F11188" w:rsidR="00100301">
        <w:t xml:space="preserve">e </w:t>
      </w:r>
      <w:r w:rsidRPr="00F11188" w:rsidR="009E2AC8">
        <w:t xml:space="preserve">begin </w:t>
      </w:r>
      <w:r w:rsidR="00204DAA">
        <w:t>wi</w:t>
      </w:r>
      <w:r w:rsidR="00C94AAF">
        <w:t xml:space="preserve">th the text of the statute itself.  (See, e.g., </w:t>
      </w:r>
      <w:r w:rsidRPr="004B04E7" w:rsidR="004B04E7">
        <w:rPr>
          <w:i/>
          <w:iCs/>
        </w:rPr>
        <w:t xml:space="preserve">Meza v. Portfolio Recovery Associates, LLC </w:t>
      </w:r>
      <w:r w:rsidRPr="004B04E7" w:rsidR="004B04E7">
        <w:t xml:space="preserve">(2019) </w:t>
      </w:r>
      <w:bookmarkStart w:id="120" w:name="_Hlk55471564"/>
      <w:r w:rsidRPr="004B04E7" w:rsidR="004B04E7">
        <w:t>6</w:t>
      </w:r>
      <w:r w:rsidR="005A1CFD">
        <w:t> </w:t>
      </w:r>
      <w:r w:rsidRPr="004B04E7" w:rsidR="004B04E7">
        <w:t>Cal.5th 844</w:t>
      </w:r>
      <w:bookmarkEnd w:id="120"/>
      <w:r w:rsidRPr="004B04E7" w:rsidR="004B04E7">
        <w:t>, 856</w:t>
      </w:r>
      <w:r w:rsidRPr="004B04E7" w:rsidR="004B04E7">
        <w:rPr>
          <w:i/>
          <w:iCs/>
        </w:rPr>
        <w:t xml:space="preserve"> </w:t>
      </w:r>
      <w:r w:rsidRPr="004B04E7" w:rsidR="004B04E7">
        <w:t>[“ ‘ “When we interpret a statute, . . .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 . . If the statutory language permits more than one reasonable interpretation, courts may consider other aids, such as the statute’s purpose, legislative history, and public policy.’ ” ’ ”]</w:t>
      </w:r>
      <w:r w:rsidR="00AE4CA0">
        <w:t xml:space="preserve">.)  As noted, section 580 states in relevant part that “[t]he relief granted to the plaintiff, </w:t>
      </w:r>
      <w:r w:rsidRPr="00AE4CA0" w:rsidR="00AE4CA0">
        <w:t>if there is no answer, cannot exceed that demanded in the complaint, in the statement required by Section 425.11, or in the statement provided for by Section 425.115</w:t>
      </w:r>
      <w:r w:rsidR="007C7BE6">
        <w:t xml:space="preserve"> </w:t>
      </w:r>
      <w:r w:rsidR="00AE4CA0">
        <w:t>.</w:t>
      </w:r>
      <w:r w:rsidR="00C416E5">
        <w:t> </w:t>
      </w:r>
      <w:r w:rsidR="007C7BE6">
        <w:t>.</w:t>
      </w:r>
      <w:r w:rsidR="00C416E5">
        <w:t> </w:t>
      </w:r>
      <w:r w:rsidR="007C7BE6">
        <w:t>.</w:t>
      </w:r>
      <w:r w:rsidR="00C416E5">
        <w:t> </w:t>
      </w:r>
      <w:r w:rsidR="007C7BE6">
        <w:t>.</w:t>
      </w:r>
      <w:r w:rsidR="00AE4CA0">
        <w:t>”  (</w:t>
      </w:r>
      <w:r w:rsidR="007C7BE6">
        <w:rPr>
          <w:i/>
          <w:iCs/>
        </w:rPr>
        <w:t>Id.</w:t>
      </w:r>
      <w:r w:rsidR="006666D7">
        <w:t xml:space="preserve">, subd. (a).)  On its face, section 580 simply refers </w:t>
      </w:r>
      <w:r>
        <w:t xml:space="preserve">to </w:t>
      </w:r>
      <w:r w:rsidR="006666D7">
        <w:t>“[t]he relief</w:t>
      </w:r>
      <w:r w:rsidR="00002F15">
        <w:t xml:space="preserve"> . . . </w:t>
      </w:r>
      <w:r w:rsidR="006666D7">
        <w:t>demanded</w:t>
      </w:r>
      <w:r>
        <w:t xml:space="preserve"> in the complaint</w:t>
      </w:r>
      <w:r w:rsidR="006666D7">
        <w:t xml:space="preserve">” and does not directly resolve the question of whether a plaintiff alleging an accounting action must plead a dollar amount to recover monetary </w:t>
      </w:r>
      <w:r w:rsidR="007477F6">
        <w:t xml:space="preserve">relief </w:t>
      </w:r>
      <w:r w:rsidR="006666D7">
        <w:t>in case of default.</w:t>
      </w:r>
      <w:r w:rsidR="007C7BE6">
        <w:t xml:space="preserve">  (</w:t>
      </w:r>
      <w:r w:rsidR="007C7BE6">
        <w:rPr>
          <w:i/>
          <w:iCs/>
        </w:rPr>
        <w:t>Ibid.</w:t>
      </w:r>
      <w:r w:rsidR="007C7BE6">
        <w:t>)</w:t>
      </w:r>
    </w:p>
    <w:p w:rsidR="00204DAA" w:rsidRPr="00CE1E30" w:rsidP="00AB2B12">
      <w:pPr>
        <w:ind w:firstLine="720"/>
      </w:pPr>
      <w:r>
        <w:t xml:space="preserve">This does not mean, however, that section 580 </w:t>
      </w:r>
      <w:r w:rsidR="0033659F">
        <w:t xml:space="preserve">affirmatively </w:t>
      </w:r>
      <w:r>
        <w:t xml:space="preserve">sanctions default judgments </w:t>
      </w:r>
      <w:r w:rsidR="00DC6DEF">
        <w:t xml:space="preserve">awarding money damages </w:t>
      </w:r>
      <w:r w:rsidR="00036251">
        <w:t xml:space="preserve">when </w:t>
      </w:r>
      <w:r>
        <w:t>the operative pleading omit</w:t>
      </w:r>
      <w:r w:rsidR="00036251">
        <w:t>s</w:t>
      </w:r>
      <w:r>
        <w:t xml:space="preserve"> </w:t>
      </w:r>
      <w:r w:rsidR="00AF1F78">
        <w:t xml:space="preserve">the </w:t>
      </w:r>
      <w:r w:rsidR="00434A28">
        <w:t>amount</w:t>
      </w:r>
      <w:r w:rsidR="00AF1F78">
        <w:t xml:space="preserve"> demanded</w:t>
      </w:r>
      <w:r>
        <w:t xml:space="preserve">.  </w:t>
      </w:r>
      <w:r w:rsidR="00AF1F78">
        <w:t>B</w:t>
      </w:r>
      <w:r w:rsidR="006666D7">
        <w:t xml:space="preserve">ecause section 580 is not limited to </w:t>
      </w:r>
      <w:r w:rsidR="001069C3">
        <w:t>complaints in which</w:t>
      </w:r>
      <w:r w:rsidR="006666D7">
        <w:t xml:space="preserve"> </w:t>
      </w:r>
      <w:r w:rsidR="004A0716">
        <w:t xml:space="preserve">money </w:t>
      </w:r>
      <w:r w:rsidR="002A2876">
        <w:t>is</w:t>
      </w:r>
      <w:r w:rsidR="006666D7">
        <w:t xml:space="preserve"> </w:t>
      </w:r>
      <w:r w:rsidR="00014BB6">
        <w:t>requested</w:t>
      </w:r>
      <w:r>
        <w:t xml:space="preserve">, the </w:t>
      </w:r>
      <w:r w:rsidR="00602552">
        <w:t xml:space="preserve">Legislature’s </w:t>
      </w:r>
      <w:r>
        <w:t xml:space="preserve">use of the </w:t>
      </w:r>
      <w:r w:rsidR="00C01962">
        <w:t>broad</w:t>
      </w:r>
      <w:r w:rsidR="00C463BE">
        <w:t xml:space="preserve"> </w:t>
      </w:r>
      <w:r>
        <w:t>term “relief” is understandable</w:t>
      </w:r>
      <w:r w:rsidR="006666D7">
        <w:t xml:space="preserve">.  </w:t>
      </w:r>
      <w:r w:rsidR="003A7EED">
        <w:t>After all, in</w:t>
      </w:r>
      <w:r>
        <w:t xml:space="preserve"> cases in which </w:t>
      </w:r>
      <w:r w:rsidR="006666D7">
        <w:t xml:space="preserve">only equitable relief is prayed for, </w:t>
      </w:r>
      <w:r w:rsidR="00CE1E30">
        <w:t>“[t]he relief granted to plaintiff</w:t>
      </w:r>
      <w:r>
        <w:t>[s]</w:t>
      </w:r>
      <w:r w:rsidR="00CE1E30">
        <w:t>” would not encompass any money judgment</w:t>
      </w:r>
      <w:r w:rsidR="00AE544A">
        <w:t xml:space="preserve"> (</w:t>
      </w:r>
      <w:r w:rsidR="00AE544A">
        <w:rPr>
          <w:i/>
          <w:iCs/>
        </w:rPr>
        <w:t>ibid.</w:t>
      </w:r>
      <w:r w:rsidR="00AE544A">
        <w:t>)</w:t>
      </w:r>
      <w:r w:rsidR="003A7EED">
        <w:t xml:space="preserve">, and, as such, it would not make sense to say </w:t>
      </w:r>
      <w:r w:rsidR="00602552">
        <w:t xml:space="preserve">in those </w:t>
      </w:r>
      <w:r w:rsidR="00F15665">
        <w:t xml:space="preserve">circumstances </w:t>
      </w:r>
      <w:r w:rsidR="003A7EED">
        <w:t>that “[t]he amount granted to plaintiffs . . . cannot exceed that demanded in the complaint.</w:t>
      </w:r>
      <w:r w:rsidR="00602552">
        <w:t>”</w:t>
      </w:r>
      <w:r>
        <w:t xml:space="preserve">  </w:t>
      </w:r>
      <w:r w:rsidR="003A7EED">
        <w:t>In other words, because the Legislature did not separately address instances in which money damages are at stake</w:t>
      </w:r>
      <w:r w:rsidR="00AF1F78">
        <w:t xml:space="preserve"> in drafting section 580</w:t>
      </w:r>
      <w:r w:rsidR="003A7EED">
        <w:t xml:space="preserve">, </w:t>
      </w:r>
      <w:r>
        <w:t>it is sensible that the statute uses the more encompassing word “relief</w:t>
      </w:r>
      <w:r w:rsidR="00CE1E30">
        <w:t>.</w:t>
      </w:r>
      <w:r>
        <w:t>”</w:t>
      </w:r>
      <w:r w:rsidR="00CE1E30">
        <w:t xml:space="preserve">  </w:t>
      </w:r>
    </w:p>
    <w:p w:rsidR="006666D7" w:rsidP="00AB2B12">
      <w:pPr>
        <w:ind w:firstLine="720"/>
      </w:pPr>
      <w:r>
        <w:t xml:space="preserve">The language of section 580 itself is nonetheless </w:t>
      </w:r>
      <w:r w:rsidR="002D63DA">
        <w:t>revealing</w:t>
      </w:r>
      <w:r>
        <w:t xml:space="preserve">.  </w:t>
      </w:r>
      <w:r w:rsidR="000540D1">
        <w:t xml:space="preserve">It </w:t>
      </w:r>
      <w:r>
        <w:t xml:space="preserve">points us to two additional statutory provisions, sections 425.11 and 425.115.  When we examine these provisions, which deal specifically with </w:t>
      </w:r>
      <w:r w:rsidR="00F15665">
        <w:t>situations</w:t>
      </w:r>
      <w:r>
        <w:t xml:space="preserve"> in which </w:t>
      </w:r>
      <w:r w:rsidR="0070036C">
        <w:t>monetary relief is</w:t>
      </w:r>
      <w:r>
        <w:t xml:space="preserve"> </w:t>
      </w:r>
      <w:r w:rsidR="004F08A8">
        <w:t>requested</w:t>
      </w:r>
      <w:r>
        <w:t xml:space="preserve">, </w:t>
      </w:r>
      <w:r w:rsidR="00215ABA">
        <w:t xml:space="preserve">we see that </w:t>
      </w:r>
      <w:r>
        <w:t xml:space="preserve">the statutes </w:t>
      </w:r>
      <w:r w:rsidR="00A66983">
        <w:t>require plaintiffs to give notice to the defendants of the “amount” sought.</w:t>
      </w:r>
      <w:r w:rsidR="00F13CD1">
        <w:t xml:space="preserve">  (See </w:t>
      </w:r>
      <w:r w:rsidRPr="00F13CD1" w:rsidR="00F13CD1">
        <w:t>§</w:t>
      </w:r>
      <w:r w:rsidR="00F13CD1">
        <w:t> </w:t>
      </w:r>
      <w:r w:rsidRPr="00F13CD1" w:rsidR="00F13CD1">
        <w:t>425.11</w:t>
      </w:r>
      <w:r w:rsidR="00F13CD1">
        <w:t>, subd. (b) [“</w:t>
      </w:r>
      <w:r w:rsidRPr="00F13CD1" w:rsidR="00F13CD1">
        <w:t>When a complaint is filed in an action to recover damages for personal injury or wrongful death, the defendant may at any time request a statement setting forth the nature and amount of damages being sought</w:t>
      </w:r>
      <w:r w:rsidR="00F13CD1">
        <w:t xml:space="preserve">”]; </w:t>
      </w:r>
      <w:r w:rsidRPr="00F13CD1" w:rsidR="00F13CD1">
        <w:t>§</w:t>
      </w:r>
      <w:r w:rsidR="00F13CD1">
        <w:t> </w:t>
      </w:r>
      <w:r w:rsidRPr="00F13CD1" w:rsidR="00F13CD1">
        <w:t>425.115</w:t>
      </w:r>
      <w:r w:rsidR="00C605C0">
        <w:t xml:space="preserve">, subd. (b) [directing plaintiffs who seek punitive damages </w:t>
      </w:r>
      <w:r w:rsidR="00057F69">
        <w:t xml:space="preserve">to </w:t>
      </w:r>
      <w:r w:rsidR="00C605C0">
        <w:t>serve upon defendants a statement that require</w:t>
      </w:r>
      <w:r w:rsidR="00EC4371">
        <w:t>s</w:t>
      </w:r>
      <w:r w:rsidR="00C605C0">
        <w:t xml:space="preserve"> the insertion of a dollar </w:t>
      </w:r>
      <w:r w:rsidR="00057F69">
        <w:t>figure as the amount demanded</w:t>
      </w:r>
      <w:r w:rsidR="00C605C0">
        <w:t xml:space="preserve">, or the “substantial equivalent” of such a </w:t>
      </w:r>
      <w:r w:rsidR="00057F69">
        <w:t>statement</w:t>
      </w:r>
      <w:r w:rsidR="00C605C0">
        <w:t>]</w:t>
      </w:r>
      <w:r w:rsidR="00575F99">
        <w:t xml:space="preserve">; </w:t>
      </w:r>
      <w:r w:rsidRPr="00F13CD1" w:rsidR="00575F99">
        <w:t>§</w:t>
      </w:r>
      <w:r w:rsidR="00575F99">
        <w:t> </w:t>
      </w:r>
      <w:r w:rsidRPr="00F13CD1" w:rsidR="00575F99">
        <w:t>425.115</w:t>
      </w:r>
      <w:r w:rsidR="00575F99">
        <w:t>, subd. (c)</w:t>
      </w:r>
      <w:r w:rsidR="00E835B5">
        <w:t xml:space="preserve"> [referring to “the amount set forth” in the statement described in </w:t>
      </w:r>
      <w:r w:rsidR="00A16AAE">
        <w:t xml:space="preserve">subd. </w:t>
      </w:r>
      <w:r w:rsidR="00E835B5">
        <w:t>(b)]</w:t>
      </w:r>
      <w:r w:rsidR="00057F69">
        <w:t>.)</w:t>
      </w:r>
      <w:r w:rsidR="00913B7B">
        <w:t xml:space="preserve">  Section </w:t>
      </w:r>
      <w:r w:rsidRPr="00F13CD1" w:rsidR="00913B7B">
        <w:t>425.115</w:t>
      </w:r>
      <w:r w:rsidR="00913B7B">
        <w:t xml:space="preserve"> is especially </w:t>
      </w:r>
      <w:r w:rsidRPr="00AA726C" w:rsidR="00913B7B">
        <w:t>clear</w:t>
      </w:r>
      <w:r w:rsidR="00913B7B">
        <w:t xml:space="preserve"> that by the term “amount,” the Legislature means a dollar amount</w:t>
      </w:r>
      <w:r w:rsidR="00D426FA">
        <w:t xml:space="preserve">.  (See </w:t>
      </w:r>
      <w:r w:rsidRPr="00F13CD1" w:rsidR="00D426FA">
        <w:t>§</w:t>
      </w:r>
      <w:r w:rsidR="00D426FA">
        <w:t> </w:t>
      </w:r>
      <w:r w:rsidRPr="00F13CD1" w:rsidR="00D426FA">
        <w:t>425.115</w:t>
      </w:r>
      <w:r w:rsidR="00D426FA">
        <w:t>, subds. (b), (c).)</w:t>
      </w:r>
      <w:r w:rsidR="00FE2ABB">
        <w:t xml:space="preserve">  When </w:t>
      </w:r>
      <w:r w:rsidR="00812626">
        <w:t xml:space="preserve">section 580 is read in conjunction with </w:t>
      </w:r>
      <w:r w:rsidR="00FE2ABB">
        <w:t>sections 425.11</w:t>
      </w:r>
      <w:r w:rsidR="001D6785">
        <w:t xml:space="preserve"> and</w:t>
      </w:r>
      <w:r w:rsidR="00FE2ABB">
        <w:t xml:space="preserve"> 425.115, the prohibition imposed by section 580 is </w:t>
      </w:r>
      <w:r w:rsidR="008D0142">
        <w:t>apparent</w:t>
      </w:r>
      <w:r w:rsidR="00FE2ABB">
        <w:t xml:space="preserve">:  </w:t>
      </w:r>
      <w:r w:rsidR="00A16AAE">
        <w:t>T</w:t>
      </w:r>
      <w:r w:rsidR="00FE2ABB">
        <w:t xml:space="preserve">he amount of </w:t>
      </w:r>
      <w:r w:rsidR="004A34A7">
        <w:t xml:space="preserve">monetary relief </w:t>
      </w:r>
      <w:r w:rsidR="00FE2ABB">
        <w:t>awarded in default — whether as compensation in personal injury or wrongful death actions or as punitives — cannot exceed the amount demanded in the statement of damages.</w:t>
      </w:r>
    </w:p>
    <w:p w:rsidR="00BA55EC" w:rsidP="00A216FE">
      <w:pPr>
        <w:ind w:firstLine="720"/>
      </w:pPr>
      <w:r>
        <w:t xml:space="preserve">Although </w:t>
      </w:r>
      <w:r w:rsidR="00907353">
        <w:t>sections 425.11 and 425.115 address a narrow set of cases (those involving personal injury, wrongful death, or punitive damages), the requirement that plaintiffs put defendants on notice of “the amount demanded” is much broader.  (</w:t>
      </w:r>
      <w:r w:rsidRPr="00F13CD1" w:rsidR="00907353">
        <w:t>§</w:t>
      </w:r>
      <w:r w:rsidR="00907353">
        <w:t> 425.10</w:t>
      </w:r>
      <w:r w:rsidR="00D57C45">
        <w:t>, subd. (</w:t>
      </w:r>
      <w:r w:rsidR="00E94419">
        <w:t>a</w:t>
      </w:r>
      <w:r w:rsidR="00D57C45">
        <w:t>)</w:t>
      </w:r>
      <w:r w:rsidR="00E94419">
        <w:t>(2)</w:t>
      </w:r>
      <w:r w:rsidR="00907353">
        <w:t>.)  Section 425.10 addresses the content of complaints in general and require</w:t>
      </w:r>
      <w:r w:rsidR="00DC6DEF">
        <w:t>s</w:t>
      </w:r>
      <w:r w:rsidR="00907353">
        <w:t xml:space="preserve"> that “[i]</w:t>
      </w:r>
      <w:r w:rsidRPr="00907353" w:rsidR="00907353">
        <w:t>f the recovery of money or damages is demanded, the amount demanded shall be stated</w:t>
      </w:r>
      <w:r w:rsidR="00907353">
        <w:t>” in the complaint.  (</w:t>
      </w:r>
      <w:r w:rsidRPr="00F13CD1" w:rsidR="00907353">
        <w:t>§</w:t>
      </w:r>
      <w:r w:rsidR="00907353">
        <w:t> 425.10, subd. (a)</w:t>
      </w:r>
      <w:r w:rsidR="005A1018">
        <w:t>(2)</w:t>
      </w:r>
      <w:r w:rsidR="00907353">
        <w:t xml:space="preserve">; see also </w:t>
      </w:r>
      <w:r w:rsidRPr="00F13CD1" w:rsidR="00907353">
        <w:t>§</w:t>
      </w:r>
      <w:r w:rsidR="00907353">
        <w:t xml:space="preserve"> 425.10, subd. (b) [exempting cases </w:t>
      </w:r>
      <w:r w:rsidR="008E2491">
        <w:t>covered by</w:t>
      </w:r>
      <w:r w:rsidR="00907353">
        <w:t xml:space="preserve"> </w:t>
      </w:r>
      <w:r w:rsidR="005A1018">
        <w:t>§§</w:t>
      </w:r>
      <w:r w:rsidR="00907353">
        <w:t xml:space="preserve"> 425.11 </w:t>
      </w:r>
      <w:r w:rsidR="008E2491">
        <w:t>or</w:t>
      </w:r>
      <w:r w:rsidR="00907353">
        <w:t xml:space="preserve"> 425.115].)</w:t>
      </w:r>
      <w:r w:rsidR="008E2491">
        <w:t xml:space="preserve">  Again, when sections 425.10 and 580 are considered together, section 580 is </w:t>
      </w:r>
      <w:r w:rsidR="004E00B5">
        <w:t xml:space="preserve">reasonably </w:t>
      </w:r>
      <w:r w:rsidR="008E2491">
        <w:t>understood to require that the amount of damages granted in default shall not exceed “the amount demanded” in the complaint.  (</w:t>
      </w:r>
      <w:r w:rsidRPr="00F13CD1" w:rsidR="008E2491">
        <w:t>§</w:t>
      </w:r>
      <w:r w:rsidR="008E2491">
        <w:t> 425.10, subd. (a)</w:t>
      </w:r>
      <w:r w:rsidR="005A1018">
        <w:t>(2)</w:t>
      </w:r>
      <w:r w:rsidR="008E2491">
        <w:t xml:space="preserve">; see also </w:t>
      </w:r>
      <w:r w:rsidR="008E2491">
        <w:rPr>
          <w:i/>
          <w:iCs/>
        </w:rPr>
        <w:t>Greenup</w:t>
      </w:r>
      <w:r w:rsidR="008E2491">
        <w:t xml:space="preserve">, </w:t>
      </w:r>
      <w:r w:rsidR="008E2491">
        <w:rPr>
          <w:i/>
          <w:iCs/>
        </w:rPr>
        <w:t>supra</w:t>
      </w:r>
      <w:r w:rsidR="008E2491">
        <w:t xml:space="preserve">, </w:t>
      </w:r>
      <w:r w:rsidRPr="008E2491" w:rsidR="008E2491">
        <w:t xml:space="preserve">42 Cal.3d </w:t>
      </w:r>
      <w:r w:rsidR="008E2491">
        <w:t xml:space="preserve">at p. </w:t>
      </w:r>
      <w:r w:rsidRPr="008E2491" w:rsidR="008E2491">
        <w:t>827</w:t>
      </w:r>
      <w:r w:rsidR="008E2491">
        <w:t xml:space="preserve"> [“</w:t>
      </w:r>
      <w:r w:rsidRPr="008E2491" w:rsidR="008E2491">
        <w:t xml:space="preserve">It would undermine this concern for due process </w:t>
      </w:r>
      <w:r w:rsidR="00A216FE">
        <w:t xml:space="preserve">[inhering in the requirement that plaintiffs put defendants on formal notice of their demands] </w:t>
      </w:r>
      <w:r w:rsidRPr="008E2491" w:rsidR="008E2491">
        <w:t xml:space="preserve">to allow the </w:t>
      </w:r>
      <w:r w:rsidR="008E2491">
        <w:t xml:space="preserve">[default] </w:t>
      </w:r>
      <w:r w:rsidRPr="008E2491" w:rsidR="008E2491">
        <w:t>judgment herein to stand despite plaintiff</w:t>
      </w:r>
      <w:r w:rsidR="008E2491">
        <w:t>’</w:t>
      </w:r>
      <w:r w:rsidRPr="008E2491" w:rsidR="008E2491">
        <w:t>s failure to meet the requirements of sections 425.10 or 425.11</w:t>
      </w:r>
      <w:r w:rsidR="008E2491">
        <w:t>”].)</w:t>
      </w:r>
    </w:p>
    <w:p w:rsidR="00215ABA" w:rsidRPr="00215ABA" w:rsidP="00FC1C84">
      <w:pPr>
        <w:ind w:firstLine="720"/>
      </w:pPr>
      <w:r>
        <w:t>The meaning of section 580 is likewise illuminated when we consider section 585</w:t>
      </w:r>
      <w:r w:rsidR="006666D7">
        <w:t xml:space="preserve">.  (Accord </w:t>
      </w:r>
      <w:r w:rsidRPr="00F11188" w:rsidR="00626692">
        <w:rPr>
          <w:i/>
        </w:rPr>
        <w:t>Burtnett</w:t>
      </w:r>
      <w:r w:rsidR="00626692">
        <w:rPr>
          <w:iCs/>
        </w:rPr>
        <w:t xml:space="preserve">, </w:t>
      </w:r>
      <w:r w:rsidR="00626692">
        <w:rPr>
          <w:i/>
        </w:rPr>
        <w:t>supra</w:t>
      </w:r>
      <w:r w:rsidR="00626692">
        <w:rPr>
          <w:iCs/>
        </w:rPr>
        <w:t xml:space="preserve">, </w:t>
      </w:r>
      <w:r w:rsidRPr="00F11188" w:rsidR="00626692">
        <w:t xml:space="preserve">33 Cal.2d </w:t>
      </w:r>
      <w:r w:rsidR="00626692">
        <w:t xml:space="preserve">at p. </w:t>
      </w:r>
      <w:r w:rsidRPr="00F11188" w:rsidR="00626692">
        <w:t>80</w:t>
      </w:r>
      <w:r w:rsidR="00626692">
        <w:t xml:space="preserve">6 [interpreting </w:t>
      </w:r>
      <w:r w:rsidR="005A1018">
        <w:t>§</w:t>
      </w:r>
      <w:r w:rsidR="00150242">
        <w:t xml:space="preserve"> 580</w:t>
      </w:r>
      <w:r w:rsidR="00626692">
        <w:t xml:space="preserve"> in conjunction with </w:t>
      </w:r>
      <w:r w:rsidR="005A1018">
        <w:t>§</w:t>
      </w:r>
      <w:r w:rsidR="00150242">
        <w:t xml:space="preserve"> 585</w:t>
      </w:r>
      <w:r w:rsidR="00626692">
        <w:t xml:space="preserve">]; </w:t>
      </w:r>
      <w:r w:rsidRPr="00F11188" w:rsidR="00626692">
        <w:rPr>
          <w:i/>
        </w:rPr>
        <w:t>Becker</w:t>
      </w:r>
      <w:r w:rsidRPr="00F11188" w:rsidR="00626692">
        <w:t xml:space="preserve">, </w:t>
      </w:r>
      <w:r w:rsidRPr="00F11188" w:rsidR="00626692">
        <w:rPr>
          <w:i/>
        </w:rPr>
        <w:t>supra</w:t>
      </w:r>
      <w:r w:rsidRPr="00F11188" w:rsidR="00626692">
        <w:t>, 27 Cal.3d at p. 494</w:t>
      </w:r>
      <w:r w:rsidR="00626692">
        <w:t xml:space="preserve">; </w:t>
      </w:r>
      <w:r w:rsidRPr="00F11188" w:rsidR="00626692">
        <w:rPr>
          <w:i/>
        </w:rPr>
        <w:t>Greenup</w:t>
      </w:r>
      <w:r w:rsidRPr="00F11188" w:rsidR="00626692">
        <w:t xml:space="preserve">, </w:t>
      </w:r>
      <w:r w:rsidRPr="00F11188" w:rsidR="00626692">
        <w:rPr>
          <w:i/>
        </w:rPr>
        <w:t>supra</w:t>
      </w:r>
      <w:r w:rsidRPr="00F11188" w:rsidR="00626692">
        <w:t xml:space="preserve">, 42 Cal.3d </w:t>
      </w:r>
      <w:r w:rsidR="00626692">
        <w:t xml:space="preserve">at p. </w:t>
      </w:r>
      <w:r w:rsidRPr="00F11188" w:rsidR="00626692">
        <w:t>82</w:t>
      </w:r>
      <w:r w:rsidR="00626692">
        <w:t>6</w:t>
      </w:r>
      <w:r w:rsidR="00250B31">
        <w:t>.)</w:t>
      </w:r>
      <w:r w:rsidR="000E7BEA">
        <w:t xml:space="preserve"> </w:t>
      </w:r>
      <w:r w:rsidR="0072517B">
        <w:t xml:space="preserve"> </w:t>
      </w:r>
      <w:r>
        <w:t xml:space="preserve">As mentioned, </w:t>
      </w:r>
      <w:r w:rsidR="00AC66C0">
        <w:t>s</w:t>
      </w:r>
      <w:r w:rsidR="008D6125">
        <w:t>ection 585</w:t>
      </w:r>
      <w:r w:rsidR="0072517B">
        <w:t xml:space="preserve"> </w:t>
      </w:r>
      <w:r w:rsidR="00AC66C0">
        <w:t xml:space="preserve">articulates </w:t>
      </w:r>
      <w:r w:rsidR="000E7BEA">
        <w:t>the procedures by which a default judgment may be entered against a defendant.  Subdivision</w:t>
      </w:r>
      <w:r w:rsidR="00274781">
        <w:t xml:space="preserve"> </w:t>
      </w:r>
      <w:r w:rsidR="000E7BEA">
        <w:t>(a) of</w:t>
      </w:r>
      <w:r w:rsidR="008D6125">
        <w:t xml:space="preserve"> </w:t>
      </w:r>
      <w:r w:rsidR="005A1018">
        <w:t xml:space="preserve">section 585 </w:t>
      </w:r>
      <w:r w:rsidR="000E7BEA">
        <w:t>allows the clerk</w:t>
      </w:r>
      <w:r w:rsidR="00274781">
        <w:t>, in certain instances,</w:t>
      </w:r>
      <w:r w:rsidR="000E7BEA">
        <w:t xml:space="preserve"> to “</w:t>
      </w:r>
      <w:r w:rsidRPr="000E7BEA" w:rsidR="000E7BEA">
        <w:t>enter judgment for the principal amount demanded in the complaint</w:t>
      </w:r>
      <w:r w:rsidR="00274781">
        <w:t>.”</w:t>
      </w:r>
      <w:r w:rsidR="000E7BEA">
        <w:t xml:space="preserve">  The statute thus makes clear that should a plaintiff seek “</w:t>
      </w:r>
      <w:r w:rsidRPr="000E7BEA" w:rsidR="000E7BEA">
        <w:t>the recovery of money</w:t>
      </w:r>
      <w:r w:rsidR="000E7BEA">
        <w:t xml:space="preserve">,” </w:t>
      </w:r>
      <w:r w:rsidR="00274781">
        <w:t>he or she</w:t>
      </w:r>
      <w:r>
        <w:t xml:space="preserve"> </w:t>
      </w:r>
      <w:r w:rsidR="000E7BEA">
        <w:t xml:space="preserve">must have demanded a “principal amount” of damages in the operative pleading.  </w:t>
      </w:r>
      <w:r w:rsidR="002C045C">
        <w:t xml:space="preserve">(§ 585, subd. (a).)  </w:t>
      </w:r>
      <w:r w:rsidR="000E7BEA">
        <w:t xml:space="preserve">Moreover, because the clerk is able to </w:t>
      </w:r>
      <w:r w:rsidR="00DC6DEF">
        <w:t xml:space="preserve">simply </w:t>
      </w:r>
      <w:r w:rsidR="000E7BEA">
        <w:t xml:space="preserve">enter the judgment “for the principal amount demanded,” </w:t>
      </w:r>
      <w:r w:rsidR="00274781">
        <w:t xml:space="preserve">it </w:t>
      </w:r>
      <w:r w:rsidR="006315C4">
        <w:t>appears</w:t>
      </w:r>
      <w:r w:rsidR="00274781">
        <w:t xml:space="preserve"> inescapable </w:t>
      </w:r>
      <w:r>
        <w:t>that</w:t>
      </w:r>
      <w:r w:rsidR="000E7BEA">
        <w:t xml:space="preserve"> the “amount demanded” </w:t>
      </w:r>
      <w:r>
        <w:t>refers</w:t>
      </w:r>
      <w:r w:rsidR="00ED5947">
        <w:t xml:space="preserve"> to</w:t>
      </w:r>
      <w:r w:rsidRPr="00ED5947" w:rsidR="00ED5947">
        <w:t xml:space="preserve"> a dollar amount</w:t>
      </w:r>
      <w:r w:rsidR="00DA6E58">
        <w:t>.  (</w:t>
      </w:r>
      <w:r w:rsidR="00DA6E58">
        <w:rPr>
          <w:i/>
          <w:iCs/>
        </w:rPr>
        <w:t>Ibid.</w:t>
      </w:r>
      <w:r>
        <w:t>)</w:t>
      </w:r>
    </w:p>
    <w:p w:rsidR="00DE284C" w:rsidP="00DE284C">
      <w:pPr>
        <w:ind w:firstLine="720"/>
      </w:pPr>
      <w:r>
        <w:t xml:space="preserve">Because the </w:t>
      </w:r>
      <w:r w:rsidR="002C045C">
        <w:t xml:space="preserve">word </w:t>
      </w:r>
      <w:r>
        <w:t>“amount” carries this meaning in subdivision (a)</w:t>
      </w:r>
      <w:r w:rsidR="00DC6DEF">
        <w:t xml:space="preserve"> of section </w:t>
      </w:r>
      <w:r w:rsidR="00C5327A">
        <w:t>585</w:t>
      </w:r>
      <w:r>
        <w:t xml:space="preserve">, we infer that </w:t>
      </w:r>
      <w:r w:rsidR="002C045C">
        <w:t>it carries the same meaning when used in subdivision (b)</w:t>
      </w:r>
      <w:r>
        <w:t>.  (See, e.g.,</w:t>
      </w:r>
      <w:r w:rsidR="002C045C">
        <w:t xml:space="preserve"> </w:t>
      </w:r>
      <w:r w:rsidRPr="002C045C" w:rsidR="002C045C">
        <w:rPr>
          <w:i/>
          <w:iCs/>
        </w:rPr>
        <w:t>People v. Roberge</w:t>
      </w:r>
      <w:r w:rsidRPr="002C045C" w:rsidR="002C045C">
        <w:t xml:space="preserve"> (2003) 29 Cal.4th 979, 987</w:t>
      </w:r>
      <w:r w:rsidR="002C045C">
        <w:t xml:space="preserve"> [“ ‘ “ ‘ “</w:t>
      </w:r>
      <w:r w:rsidRPr="002C045C" w:rsidR="002C045C">
        <w:t>identical words used in different parts of the same act are intended to have the same meaning</w:t>
      </w:r>
      <w:r w:rsidR="002C045C">
        <w:t>”</w:t>
      </w:r>
      <w:r w:rsidR="007E0DC3">
        <w:t> </w:t>
      </w:r>
      <w:r w:rsidR="002C045C">
        <w:t xml:space="preserve">’ ” ’ ”].) </w:t>
      </w:r>
      <w:r w:rsidR="00215ABA">
        <w:t xml:space="preserve"> </w:t>
      </w:r>
      <w:r w:rsidR="002C045C">
        <w:t xml:space="preserve">Subdivision (b) addresses those </w:t>
      </w:r>
      <w:r w:rsidR="00215ABA">
        <w:t>instances</w:t>
      </w:r>
      <w:r w:rsidR="002C045C">
        <w:t xml:space="preserve"> </w:t>
      </w:r>
      <w:r w:rsidR="00215ABA">
        <w:t>where</w:t>
      </w:r>
      <w:r w:rsidR="002C045C">
        <w:t xml:space="preserve">, as here, the court enters </w:t>
      </w:r>
      <w:r w:rsidR="00215ABA">
        <w:t>the</w:t>
      </w:r>
      <w:r w:rsidR="002C045C">
        <w:t xml:space="preserve"> default judgment.  </w:t>
      </w:r>
      <w:r w:rsidR="00215ABA">
        <w:t>Subdivision (b) provides that in the case of a default, “[t]</w:t>
      </w:r>
      <w:r w:rsidRPr="00215ABA" w:rsidR="00215ABA">
        <w:t xml:space="preserve">he plaintiff thereafter may apply to the court for the relief demanded in the complaint. </w:t>
      </w:r>
      <w:r w:rsidR="00215ABA">
        <w:t xml:space="preserve"> </w:t>
      </w:r>
      <w:r w:rsidRPr="00215ABA" w:rsidR="00215ABA">
        <w:t>The court shall hear the evidence offered by the plaintiff, and shall render judgment in the plaintiff’s favor for that relief, not exceeding the amount stated in the complaint, in the statement required by Section 425.11, or in the statement provided for by Section 425.115, as appears by the evidence to be just</w:t>
      </w:r>
      <w:r w:rsidR="00215ABA">
        <w:t xml:space="preserve">.”  </w:t>
      </w:r>
      <w:r w:rsidR="005A1018">
        <w:t>Subdivision (b)</w:t>
      </w:r>
      <w:r>
        <w:t xml:space="preserve"> thus</w:t>
      </w:r>
      <w:r w:rsidR="00215ABA">
        <w:t xml:space="preserve"> equates the “relief demanded in the complaint” with “the amount stated in the complaint,” </w:t>
      </w:r>
      <w:r w:rsidR="00AF1F78">
        <w:t>indicating</w:t>
      </w:r>
      <w:r w:rsidR="00215ABA">
        <w:t xml:space="preserve"> that whe</w:t>
      </w:r>
      <w:r w:rsidR="004C64B1">
        <w:t>n</w:t>
      </w:r>
      <w:r w:rsidR="00215ABA">
        <w:t xml:space="preserve"> money damages are involved, the two terms mean the same thing.  And, as we have inferred from the textual evidence, the word “amount” in this context means “dollar amount.”</w:t>
      </w:r>
      <w:r w:rsidR="00AF1F78">
        <w:t xml:space="preserve">  In short, whe</w:t>
      </w:r>
      <w:r w:rsidR="00566AF6">
        <w:t>n</w:t>
      </w:r>
      <w:r w:rsidR="00AF1F78">
        <w:t xml:space="preserve"> money damages are involved, section </w:t>
      </w:r>
      <w:r w:rsidR="00AB31AB">
        <w:t>585, subdivision (b)</w:t>
      </w:r>
      <w:r w:rsidR="00AA726C">
        <w:t xml:space="preserve"> is </w:t>
      </w:r>
      <w:r w:rsidR="00A633D7">
        <w:t>best understood to mean</w:t>
      </w:r>
      <w:r w:rsidR="00AA726C">
        <w:t xml:space="preserve"> </w:t>
      </w:r>
      <w:r w:rsidR="00AF1F78">
        <w:t>that in the case of a default, t</w:t>
      </w:r>
      <w:r w:rsidRPr="00AF1F78" w:rsidR="00AF1F78">
        <w:t xml:space="preserve">he court shall render judgment for </w:t>
      </w:r>
      <w:r w:rsidR="00AB31AB">
        <w:t xml:space="preserve">an </w:t>
      </w:r>
      <w:r w:rsidR="00AF1F78">
        <w:t>amount proved by evidence</w:t>
      </w:r>
      <w:r w:rsidRPr="00AF1F78" w:rsidR="00AF1F78">
        <w:t xml:space="preserve">, </w:t>
      </w:r>
      <w:r w:rsidR="00AF1F78">
        <w:t xml:space="preserve">so long as </w:t>
      </w:r>
      <w:r w:rsidR="00AB31AB">
        <w:t xml:space="preserve">that </w:t>
      </w:r>
      <w:r w:rsidR="001D3CA1">
        <w:t xml:space="preserve">sum </w:t>
      </w:r>
      <w:r w:rsidR="00AF1F78">
        <w:t>does not exceed</w:t>
      </w:r>
      <w:r w:rsidRPr="00AF1F78" w:rsidR="00AF1F78">
        <w:t xml:space="preserve"> the </w:t>
      </w:r>
      <w:r w:rsidR="00AF1F78">
        <w:t xml:space="preserve">dollar </w:t>
      </w:r>
      <w:r w:rsidR="00AB31AB">
        <w:t>amount</w:t>
      </w:r>
      <w:r w:rsidRPr="00AF1F78" w:rsidR="00AF1F78">
        <w:t xml:space="preserve"> stated </w:t>
      </w:r>
      <w:r w:rsidR="00AF1F78">
        <w:t>in the complaint or statement of damages.</w:t>
      </w:r>
    </w:p>
    <w:p w:rsidR="0069311A" w:rsidP="0069311A">
      <w:pPr>
        <w:ind w:firstLine="720"/>
      </w:pPr>
      <w:r>
        <w:t xml:space="preserve">Ironically, </w:t>
      </w:r>
      <w:r w:rsidR="00265CF2">
        <w:t>plaintiff</w:t>
      </w:r>
      <w:r>
        <w:t xml:space="preserve"> points us to a</w:t>
      </w:r>
      <w:r w:rsidRPr="00F11188">
        <w:t xml:space="preserve"> 2007 amendment to section 585</w:t>
      </w:r>
      <w:r w:rsidR="0004568D">
        <w:t xml:space="preserve"> that</w:t>
      </w:r>
      <w:r w:rsidR="00655BB2">
        <w:t xml:space="preserve"> </w:t>
      </w:r>
      <w:r w:rsidR="00AF1F78">
        <w:t>only</w:t>
      </w:r>
      <w:r>
        <w:t xml:space="preserve"> bolsters this conclusion</w:t>
      </w:r>
      <w:r w:rsidRPr="00F11188">
        <w:t>.  (</w:t>
      </w:r>
      <w:r w:rsidRPr="00F11188">
        <w:rPr>
          <w:rStyle w:val="ssleftalign"/>
        </w:rPr>
        <w:t>Assem. Bill No.</w:t>
      </w:r>
      <w:r w:rsidR="005A1CFD">
        <w:rPr>
          <w:rStyle w:val="ssleftalign"/>
        </w:rPr>
        <w:t> </w:t>
      </w:r>
      <w:r w:rsidRPr="00F11188">
        <w:rPr>
          <w:rStyle w:val="ssleftalign"/>
        </w:rPr>
        <w:t>310 (2007</w:t>
      </w:r>
      <w:r w:rsidR="007C1930">
        <w:rPr>
          <w:rStyle w:val="ssleftalign"/>
        </w:rPr>
        <w:t>–</w:t>
      </w:r>
      <w:r w:rsidRPr="00F11188">
        <w:rPr>
          <w:rStyle w:val="ssleftalign"/>
        </w:rPr>
        <w:t>2008 Reg. Sess.)</w:t>
      </w:r>
      <w:r w:rsidRPr="00F11188">
        <w:t xml:space="preserve">.)  Prior to the 2007 amendment, section 585 stated, “The plaintiff [after an entry of default] may apply to the court for the relief demanded in the complaint; the court shall hear the evidence offered by the plaintiff, and shall render judgment in his or her favor for such sum (not exceeding the amount stated in the complaint, in the statement required by Section 425.11, or in the statement provided for by Section 425.115), as appears by such evidence to be just.”  (§ 585, former subd. (b).)  </w:t>
      </w:r>
      <w:r w:rsidR="00B27121">
        <w:t>Plaintiff</w:t>
      </w:r>
      <w:r w:rsidRPr="00F11188">
        <w:t xml:space="preserve"> concedes that the term “such sum” as employed by the statute “refer[s] . . . to a dollar figure.”  However, because that term was removed and replaced with “the relief,” </w:t>
      </w:r>
      <w:r w:rsidR="00B27121">
        <w:t>plaintiff</w:t>
      </w:r>
      <w:r w:rsidRPr="00F11188">
        <w:t xml:space="preserve"> contends that section 585 no longer requires her to plead “a dollar figure.”  (See § 585, subd. (b).)  The legislative history materials behind the 2007 amendment, however, make clear that the amendment effected only “</w:t>
      </w:r>
      <w:r w:rsidRPr="00F11188">
        <w:rPr>
          <w:rStyle w:val="ssleftalign"/>
        </w:rPr>
        <w:t>technical and minor changes.”  (Legis. Counsel’s Dig., Assem. Bill No. 310 (2007</w:t>
      </w:r>
      <w:r w:rsidR="007C1930">
        <w:rPr>
          <w:rStyle w:val="ssleftalign"/>
        </w:rPr>
        <w:t>–</w:t>
      </w:r>
      <w:r w:rsidRPr="00F11188">
        <w:rPr>
          <w:rStyle w:val="ssleftalign"/>
        </w:rPr>
        <w:t xml:space="preserve">2008 Reg. Sess.), </w:t>
      </w:r>
      <w:r w:rsidR="005A1018">
        <w:rPr>
          <w:rStyle w:val="ssleftalign"/>
        </w:rPr>
        <w:t xml:space="preserve">5 </w:t>
      </w:r>
      <w:r w:rsidRPr="00F11188">
        <w:t>Stats.</w:t>
      </w:r>
      <w:r w:rsidR="005A1018">
        <w:t xml:space="preserve"> 2007</w:t>
      </w:r>
      <w:r w:rsidRPr="00F11188">
        <w:t xml:space="preserve">, Summary Dig., p. 126.)  As such, insofar as the term “such sum” references a dollar amount, so does the term “the relief” as </w:t>
      </w:r>
      <w:r w:rsidR="006A18A3">
        <w:t xml:space="preserve">set out in </w:t>
      </w:r>
      <w:r w:rsidRPr="00F11188">
        <w:t>the current version of section 585.</w:t>
      </w:r>
    </w:p>
    <w:p w:rsidR="00F64436" w:rsidP="00F64436">
      <w:pPr>
        <w:ind w:firstLine="720"/>
      </w:pPr>
      <w:r>
        <w:t xml:space="preserve">The standard forms that litigants must file </w:t>
      </w:r>
      <w:r w:rsidR="00FC1C84">
        <w:t>for</w:t>
      </w:r>
      <w:r>
        <w:t xml:space="preserve"> entry or judgment of default or to state damages in accordance with section 425.11 </w:t>
      </w:r>
      <w:r w:rsidR="00F742A6">
        <w:t>reflect the same</w:t>
      </w:r>
      <w:r>
        <w:t xml:space="preserve"> reading of the statutes.  </w:t>
      </w:r>
      <w:r w:rsidRPr="00F64436">
        <w:t>(</w:t>
      </w:r>
      <w:r>
        <w:t xml:space="preserve">See </w:t>
      </w:r>
      <w:r w:rsidR="005A1018">
        <w:t>Judicial Council Forms, form CIV-100</w:t>
      </w:r>
      <w:r w:rsidRPr="00F64436">
        <w:t xml:space="preserve"> &lt;https://www.courts.ca.gov/documents/civ100.pdf&gt; [as of</w:t>
      </w:r>
      <w:r w:rsidR="00D971F5">
        <w:t xml:space="preserve"> </w:t>
      </w:r>
      <w:r w:rsidR="00EC2F21">
        <w:t>Dec.</w:t>
      </w:r>
      <w:r w:rsidR="00495F64">
        <w:t> </w:t>
      </w:r>
      <w:r w:rsidR="00EC2F21">
        <w:t>24</w:t>
      </w:r>
      <w:r w:rsidR="00E02750">
        <w:t>, 2020</w:t>
      </w:r>
      <w:r w:rsidRPr="00F64436">
        <w:t xml:space="preserve">]; </w:t>
      </w:r>
      <w:r w:rsidR="0030710E">
        <w:t>Judicial Council Forms</w:t>
      </w:r>
      <w:r w:rsidRPr="00F64436">
        <w:t>,</w:t>
      </w:r>
      <w:r w:rsidR="005A1018">
        <w:t xml:space="preserve"> form CIV-050</w:t>
      </w:r>
      <w:r w:rsidRPr="00F64436">
        <w:t xml:space="preserve"> &lt;https://www.courts.ca.gov/documents/civ050.pdf&gt; [as of</w:t>
      </w:r>
      <w:r w:rsidR="00D971F5">
        <w:t xml:space="preserve"> </w:t>
      </w:r>
      <w:r w:rsidR="00EC2F21">
        <w:t>Dec.</w:t>
      </w:r>
      <w:r w:rsidR="00495F64">
        <w:t> </w:t>
      </w:r>
      <w:r w:rsidR="00EC2F21">
        <w:t>24</w:t>
      </w:r>
      <w:r w:rsidR="00E02750">
        <w:t>, 2020</w:t>
      </w:r>
      <w:r w:rsidRPr="00F64436">
        <w:t xml:space="preserve">].)  These forms, which must be completed and filed before default may be taken, make clear that plaintiffs </w:t>
      </w:r>
      <w:r w:rsidR="00AB31AB">
        <w:t xml:space="preserve">are required to </w:t>
      </w:r>
      <w:r w:rsidRPr="00F64436">
        <w:t>state a specific dollar amount as the relief demanded.</w:t>
      </w:r>
    </w:p>
    <w:p w:rsidR="00864604" w:rsidP="00B80F5A">
      <w:pPr>
        <w:ind w:firstLine="720"/>
      </w:pPr>
      <w:r>
        <w:t>To summarize, section 580 speaks of the “</w:t>
      </w:r>
      <w:r w:rsidR="008352BE">
        <w:t>[</w:t>
      </w:r>
      <w:r>
        <w:t>t</w:t>
      </w:r>
      <w:r w:rsidR="008352BE">
        <w:t>]</w:t>
      </w:r>
      <w:r>
        <w:t>he relief . . . demanded in the complaint.”</w:t>
      </w:r>
      <w:r w:rsidR="008352BE">
        <w:t xml:space="preserve">  (</w:t>
      </w:r>
      <w:r w:rsidR="008352BE">
        <w:rPr>
          <w:i/>
          <w:iCs/>
        </w:rPr>
        <w:t>Id.,</w:t>
      </w:r>
      <w:r w:rsidR="008352BE">
        <w:t xml:space="preserve"> subd. (a).)</w:t>
      </w:r>
      <w:r>
        <w:t xml:space="preserve">  </w:t>
      </w:r>
      <w:r w:rsidR="00555104">
        <w:t>When</w:t>
      </w:r>
      <w:r>
        <w:t xml:space="preserve"> </w:t>
      </w:r>
      <w:r w:rsidR="00C755FB">
        <w:t>monetary relief is</w:t>
      </w:r>
      <w:r>
        <w:t xml:space="preserve"> involved, we have seen that the term “relief demanded” means the “amount demanded.”  </w:t>
      </w:r>
      <w:r w:rsidR="00274781">
        <w:t>Furthermore, the most natural interpretation of “amount” is</w:t>
      </w:r>
      <w:r>
        <w:t xml:space="preserve"> “dollar amount.”  As such, in cases in which a plaintiff seeks money damages, section 580 limits </w:t>
      </w:r>
      <w:r w:rsidR="007D7ADF">
        <w:t>a</w:t>
      </w:r>
      <w:r>
        <w:t xml:space="preserve"> plaintiff’s relief in default to the </w:t>
      </w:r>
      <w:r w:rsidR="00274781">
        <w:t xml:space="preserve">dollar </w:t>
      </w:r>
      <w:r>
        <w:t>amount that has</w:t>
      </w:r>
      <w:r w:rsidR="006B6181">
        <w:t xml:space="preserve"> been</w:t>
      </w:r>
      <w:r>
        <w:t xml:space="preserve"> demanded in the operative pleading.</w:t>
      </w:r>
    </w:p>
    <w:p w:rsidR="00625A48" w:rsidP="00AE6E03">
      <w:pPr>
        <w:ind w:firstLine="720"/>
      </w:pPr>
      <w:r>
        <w:t>Plaintiff</w:t>
      </w:r>
      <w:r w:rsidR="00772282">
        <w:t xml:space="preserve"> reads the statutes differently.  In her reply brief, </w:t>
      </w:r>
      <w:r w:rsidR="006B6181">
        <w:t xml:space="preserve">she </w:t>
      </w:r>
      <w:r w:rsidR="00772282">
        <w:t xml:space="preserve">argues that </w:t>
      </w:r>
      <w:r w:rsidRPr="00772282" w:rsidR="00772282">
        <w:t>because the various statutes refer to the “amount demanded” or “principal amount demanded” instead of “dollar amount,” they do not “preclude stating the amount in other terms [than dollars], such as those used here:  the value o</w:t>
      </w:r>
      <w:r w:rsidR="00D12905">
        <w:t>r</w:t>
      </w:r>
      <w:r w:rsidRPr="00772282" w:rsidR="00772282">
        <w:t xml:space="preserve"> a stated portion of the value of a specific piece of property.”  </w:t>
      </w:r>
      <w:r w:rsidR="00902B8E">
        <w:t>We are not persuaded.</w:t>
      </w:r>
      <w:r w:rsidR="00AE6E03">
        <w:t xml:space="preserve">  Not only does such a reading </w:t>
      </w:r>
      <w:r w:rsidR="00655BB2">
        <w:t xml:space="preserve">seem </w:t>
      </w:r>
      <w:r w:rsidR="00AE6E03">
        <w:t xml:space="preserve">less consistent with the language of the pertinent provisions, but it </w:t>
      </w:r>
      <w:r w:rsidR="004C74B4">
        <w:t>is also</w:t>
      </w:r>
      <w:r w:rsidR="0014553E">
        <w:t xml:space="preserve"> </w:t>
      </w:r>
      <w:r w:rsidR="00655BB2">
        <w:t>poorly</w:t>
      </w:r>
      <w:r w:rsidR="00AE6E03">
        <w:t xml:space="preserve"> suited </w:t>
      </w:r>
      <w:r w:rsidR="00655BB2">
        <w:t xml:space="preserve">for </w:t>
      </w:r>
      <w:r w:rsidR="00AE6E03">
        <w:t xml:space="preserve">advancing the purpose of section 580.  </w:t>
      </w:r>
      <w:r w:rsidR="00DF0980">
        <w:t>That purpose</w:t>
      </w:r>
      <w:r w:rsidR="00375E62">
        <w:t xml:space="preserve"> — as our cases have reiterated —</w:t>
      </w:r>
      <w:r w:rsidR="00DF0980">
        <w:t xml:space="preserve"> “i</w:t>
      </w:r>
      <w:r w:rsidRPr="00DF0980" w:rsidR="00DF0980">
        <w:t>s to insure that defendants in cases which involve a default judgment have adequate notice of the judgments that may be taken against them</w:t>
      </w:r>
      <w:r w:rsidR="00DF0980">
        <w:t>.”  (</w:t>
      </w:r>
      <w:r w:rsidR="00EB3795">
        <w:rPr>
          <w:i/>
          <w:iCs/>
        </w:rPr>
        <w:t>Becker</w:t>
      </w:r>
      <w:r w:rsidR="00EB3795">
        <w:t xml:space="preserve">, </w:t>
      </w:r>
      <w:r w:rsidR="00EB3795">
        <w:rPr>
          <w:i/>
          <w:iCs/>
        </w:rPr>
        <w:t>supra</w:t>
      </w:r>
      <w:r w:rsidR="00EB3795">
        <w:t xml:space="preserve">, </w:t>
      </w:r>
      <w:r w:rsidRPr="00EB3795" w:rsidR="00EB3795">
        <w:t xml:space="preserve">27 Cal.3d </w:t>
      </w:r>
      <w:r w:rsidR="00EB3795">
        <w:t>at p.</w:t>
      </w:r>
      <w:r w:rsidRPr="00EB3795" w:rsidR="00EB3795">
        <w:t xml:space="preserve"> 493</w:t>
      </w:r>
      <w:r w:rsidR="00EB3795">
        <w:t xml:space="preserve">; </w:t>
      </w:r>
      <w:r w:rsidR="00375E62">
        <w:t xml:space="preserve">see also </w:t>
      </w:r>
      <w:r w:rsidRPr="00375E62" w:rsidR="00375E62">
        <w:rPr>
          <w:i/>
          <w:iCs/>
        </w:rPr>
        <w:t>Greenup</w:t>
      </w:r>
      <w:r w:rsidR="00375E62">
        <w:t xml:space="preserve">, </w:t>
      </w:r>
      <w:r w:rsidR="00375E62">
        <w:rPr>
          <w:i/>
          <w:iCs/>
        </w:rPr>
        <w:t>supra</w:t>
      </w:r>
      <w:r w:rsidR="00375E62">
        <w:t xml:space="preserve">¸ </w:t>
      </w:r>
      <w:r w:rsidRPr="00375E62" w:rsidR="00375E62">
        <w:t xml:space="preserve">42 Cal.3d </w:t>
      </w:r>
      <w:r w:rsidR="00375E62">
        <w:t>at p.</w:t>
      </w:r>
      <w:r w:rsidRPr="00375E62" w:rsidR="00375E62">
        <w:t xml:space="preserve"> 826</w:t>
      </w:r>
      <w:r w:rsidRPr="00EB3795" w:rsidR="00EB3795">
        <w:t>.)</w:t>
      </w:r>
      <w:r w:rsidR="00375E62">
        <w:t xml:space="preserve">  </w:t>
      </w:r>
      <w:r w:rsidR="00D12905">
        <w:t xml:space="preserve">In many circumstances, a request for “a stated portion of the value of a specific piece of property” </w:t>
      </w:r>
      <w:r w:rsidR="0015309F">
        <w:t xml:space="preserve">will </w:t>
      </w:r>
      <w:r w:rsidR="00D12905">
        <w:t>not enable defendant</w:t>
      </w:r>
      <w:r>
        <w:t>s</w:t>
      </w:r>
      <w:r w:rsidR="00D12905">
        <w:t xml:space="preserve"> to </w:t>
      </w:r>
      <w:r w:rsidR="00DD0E04">
        <w:t>ascertain</w:t>
      </w:r>
      <w:r w:rsidR="00454013">
        <w:t xml:space="preserve"> </w:t>
      </w:r>
      <w:r>
        <w:t xml:space="preserve">their </w:t>
      </w:r>
      <w:r w:rsidR="00D12905">
        <w:t xml:space="preserve">potential liability without </w:t>
      </w:r>
      <w:r w:rsidR="00DD0E04">
        <w:t xml:space="preserve">the </w:t>
      </w:r>
      <w:r w:rsidR="00D12905">
        <w:t xml:space="preserve">plaintiff </w:t>
      </w:r>
      <w:r w:rsidR="00DD0E04">
        <w:t>providing</w:t>
      </w:r>
      <w:r w:rsidR="00D12905">
        <w:t xml:space="preserve"> a</w:t>
      </w:r>
      <w:r w:rsidR="0060725F">
        <w:t>n estimate of the</w:t>
      </w:r>
      <w:r w:rsidR="00D12905">
        <w:t xml:space="preserve"> value </w:t>
      </w:r>
      <w:r w:rsidR="003E2090">
        <w:t>of</w:t>
      </w:r>
      <w:r w:rsidR="00D12905">
        <w:t xml:space="preserve"> th</w:t>
      </w:r>
      <w:r w:rsidR="003E2090">
        <w:t>e</w:t>
      </w:r>
      <w:r w:rsidR="00D12905">
        <w:t xml:space="preserve"> property.</w:t>
      </w:r>
    </w:p>
    <w:p w:rsidR="00AE6E03" w:rsidRPr="00BD41F2" w:rsidP="00AE6E03">
      <w:pPr>
        <w:ind w:firstLine="720"/>
      </w:pPr>
      <w:r>
        <w:t>To illustrate</w:t>
      </w:r>
      <w:r w:rsidR="00B76133">
        <w:t>,</w:t>
      </w:r>
      <w:r>
        <w:t xml:space="preserve"> </w:t>
      </w:r>
      <w:r w:rsidR="00B76133">
        <w:t>s</w:t>
      </w:r>
      <w:r w:rsidR="00D12905">
        <w:t xml:space="preserve">uppose that a plaintiff alleges an accounting claim that seeks </w:t>
      </w:r>
      <w:r w:rsidR="008D4C46">
        <w:t>to recover</w:t>
      </w:r>
      <w:r w:rsidR="00D12905">
        <w:t xml:space="preserve"> 50 percent of a closely held company.</w:t>
      </w:r>
      <w:r>
        <w:t xml:space="preserve">  That allegation would do little to inform defendants </w:t>
      </w:r>
      <w:r w:rsidR="00C112C2">
        <w:t xml:space="preserve">of </w:t>
      </w:r>
      <w:r>
        <w:t>“the maximum judgment that may be assessed against them.”  (</w:t>
      </w:r>
      <w:r w:rsidRPr="00375E62">
        <w:rPr>
          <w:i/>
          <w:iCs/>
        </w:rPr>
        <w:t>Greenup</w:t>
      </w:r>
      <w:r>
        <w:t xml:space="preserve">, </w:t>
      </w:r>
      <w:r>
        <w:rPr>
          <w:i/>
          <w:iCs/>
        </w:rPr>
        <w:t>supra</w:t>
      </w:r>
      <w:r>
        <w:t xml:space="preserve">¸ </w:t>
      </w:r>
      <w:r w:rsidRPr="00375E62">
        <w:t xml:space="preserve">42 Cal.3d </w:t>
      </w:r>
      <w:r>
        <w:t>at p.</w:t>
      </w:r>
      <w:r w:rsidRPr="00375E62">
        <w:t xml:space="preserve"> 826</w:t>
      </w:r>
      <w:r w:rsidRPr="00EB3795">
        <w:t>.)</w:t>
      </w:r>
      <w:r>
        <w:t xml:space="preserve">  </w:t>
      </w:r>
      <w:r w:rsidRPr="00660E7D" w:rsidR="00660E7D">
        <w:t>Due to the lack of reliable market data, it can be difficult to value a closely held company.  (</w:t>
      </w:r>
      <w:r w:rsidR="00C27A23">
        <w:t>See</w:t>
      </w:r>
      <w:r w:rsidR="00026A4D">
        <w:t xml:space="preserve"> </w:t>
      </w:r>
      <w:r w:rsidRPr="00BE08C1" w:rsidR="00660E7D">
        <w:rPr>
          <w:i/>
          <w:iCs/>
        </w:rPr>
        <w:t>In re Marriage of Micalizio</w:t>
      </w:r>
      <w:r w:rsidRPr="00660E7D" w:rsidR="00660E7D">
        <w:t xml:space="preserve"> (1988) 199 Cal.App.3d 662, 673</w:t>
      </w:r>
      <w:r w:rsidR="00660E7D">
        <w:t>–</w:t>
      </w:r>
      <w:r w:rsidRPr="00660E7D" w:rsidR="00660E7D">
        <w:t xml:space="preserve">674.) </w:t>
      </w:r>
      <w:r w:rsidR="00902B8E">
        <w:t xml:space="preserve"> Defendants thus may be legitimately uncertain about the dollar value of their exposure. Moreover, in the absence of an agreed-upon market value, many factors could affect</w:t>
      </w:r>
      <w:r w:rsidR="009C15C1">
        <w:t xml:space="preserve"> a person’s</w:t>
      </w:r>
      <w:r w:rsidR="00902B8E">
        <w:t xml:space="preserve"> perceived monetary value of the company, including varying accounting methodologies.  </w:t>
      </w:r>
      <w:r w:rsidRPr="00C551CE" w:rsidR="009614A4">
        <w:t xml:space="preserve">(Barry M. Wertheimer, </w:t>
      </w:r>
      <w:r w:rsidRPr="00C551CE" w:rsidR="009614A4">
        <w:rPr>
          <w:i/>
          <w:iCs/>
        </w:rPr>
        <w:t>The Shareholders’ Appraisal Remedy and How Courts Determine Fair Value</w:t>
      </w:r>
      <w:r w:rsidRPr="00C551CE" w:rsidR="009614A4">
        <w:t xml:space="preserve"> (1998) 47 Duke L.J. 613, 629 [“Each appraisal technique is but a way of estimating the ‘fair value’ or ‘true value’ or ‘intrinsic value’ of a company, and undeniably, ‘</w:t>
      </w:r>
      <w:r w:rsidR="00783B5A">
        <w:t> </w:t>
      </w:r>
      <w:r w:rsidRPr="00C551CE" w:rsidR="009614A4">
        <w:t>“[v]aluation is an art rather than a science.”</w:t>
      </w:r>
      <w:r w:rsidR="00783B5A">
        <w:t> </w:t>
      </w:r>
      <w:r w:rsidRPr="00C551CE" w:rsidR="009614A4">
        <w:t>’  The valuation ‘answer’ given by each of these techniques is very dependent on the assumptions underlying the calculations employed</w:t>
      </w:r>
      <w:r w:rsidR="00183C25">
        <w:t>.</w:t>
      </w:r>
      <w:r w:rsidRPr="00C551CE" w:rsidR="009614A4">
        <w:t>”].)</w:t>
      </w:r>
      <w:r w:rsidR="008D526B">
        <w:t xml:space="preserve">  </w:t>
      </w:r>
      <w:r w:rsidR="00902B8E">
        <w:t xml:space="preserve">Because defendants cannot predict which methodology </w:t>
      </w:r>
      <w:r w:rsidR="00412D98">
        <w:t xml:space="preserve">the </w:t>
      </w:r>
      <w:r w:rsidR="00902B8E">
        <w:t xml:space="preserve">plaintiff will select, </w:t>
      </w:r>
      <w:r w:rsidR="001E6113">
        <w:t xml:space="preserve">such </w:t>
      </w:r>
      <w:r w:rsidR="00902B8E">
        <w:t xml:space="preserve">defendants </w:t>
      </w:r>
      <w:r w:rsidR="001E6113">
        <w:t xml:space="preserve">would </w:t>
      </w:r>
      <w:r w:rsidR="00902B8E">
        <w:t xml:space="preserve">not have notice of the damages </w:t>
      </w:r>
      <w:r w:rsidR="00D0013A">
        <w:t>“that may be assessed against them.”</w:t>
      </w:r>
      <w:r w:rsidR="00902B8E">
        <w:t xml:space="preserve"> </w:t>
      </w:r>
      <w:r w:rsidR="00D0013A">
        <w:t xml:space="preserve"> </w:t>
      </w:r>
      <w:r w:rsidRPr="00C551CE" w:rsidR="009614A4">
        <w:t>(</w:t>
      </w:r>
      <w:r w:rsidRPr="00C551CE" w:rsidR="009614A4">
        <w:rPr>
          <w:i/>
          <w:iCs/>
        </w:rPr>
        <w:t>Greenup</w:t>
      </w:r>
      <w:r w:rsidRPr="00C551CE" w:rsidR="009614A4">
        <w:t xml:space="preserve">, </w:t>
      </w:r>
      <w:r w:rsidR="00130154">
        <w:t xml:space="preserve">at </w:t>
      </w:r>
      <w:r w:rsidRPr="00C551CE" w:rsidR="009614A4">
        <w:t>p. 826.)</w:t>
      </w:r>
    </w:p>
    <w:p w:rsidR="00100301" w:rsidRPr="00F11188" w:rsidP="00AB2B12">
      <w:pPr>
        <w:ind w:firstLine="720"/>
      </w:pPr>
      <w:r>
        <w:t>Although our analysis thus far has not touched on the accounting action, o</w:t>
      </w:r>
      <w:r w:rsidR="00091FD3">
        <w:t>ur</w:t>
      </w:r>
      <w:r w:rsidR="00AE4CA0">
        <w:t xml:space="preserve"> conclusion </w:t>
      </w:r>
      <w:r w:rsidR="004B04E7">
        <w:t>remains the same</w:t>
      </w:r>
      <w:r w:rsidR="00AE4CA0">
        <w:t xml:space="preserve"> when we </w:t>
      </w:r>
      <w:r>
        <w:t>take the elements of an accounting claim into consideration</w:t>
      </w:r>
      <w:r w:rsidR="00AE4CA0">
        <w:t>.  As a preliminary matter, we observe</w:t>
      </w:r>
      <w:r w:rsidRPr="00F11188">
        <w:t xml:space="preserve"> that there is no </w:t>
      </w:r>
      <w:r w:rsidR="0034383E">
        <w:t>inherent</w:t>
      </w:r>
      <w:r w:rsidRPr="00F11188" w:rsidR="0034383E">
        <w:t xml:space="preserve"> </w:t>
      </w:r>
      <w:r w:rsidRPr="00F11188">
        <w:t xml:space="preserve">conflict between </w:t>
      </w:r>
      <w:r w:rsidRPr="00F11188" w:rsidR="00387BF8">
        <w:t>the</w:t>
      </w:r>
      <w:r w:rsidR="00C03517">
        <w:t xml:space="preserve"> requirements of section 580, as we have interpreted that provision, and the nature of an accounting action</w:t>
      </w:r>
      <w:r w:rsidRPr="00F11188">
        <w:t xml:space="preserve">.  </w:t>
      </w:r>
      <w:r w:rsidRPr="00F11188" w:rsidR="003D121F">
        <w:t xml:space="preserve">As </w:t>
      </w:r>
      <w:r w:rsidR="00274C6B">
        <w:t>plaintiff</w:t>
      </w:r>
      <w:r w:rsidRPr="00F11188" w:rsidR="003D121F">
        <w:t xml:space="preserve"> admits, even though </w:t>
      </w:r>
      <w:r w:rsidRPr="00F11188" w:rsidR="00A04917">
        <w:t>parties seeking an accounting</w:t>
      </w:r>
      <w:r w:rsidRPr="00F11188" w:rsidR="003D121F">
        <w:t xml:space="preserve"> cannot state a sum certain to which they are entitled, they “are not precluded from providing an estimate of the maximum value they may recover.”  In other words, although a plaintiff bringing an accounting action is not able to say</w:t>
      </w:r>
      <w:r w:rsidR="008D4C46">
        <w:t>,</w:t>
      </w:r>
      <w:r w:rsidRPr="00F11188" w:rsidR="003D121F">
        <w:t xml:space="preserve"> “I am owed $</w:t>
      </w:r>
      <w:r w:rsidRPr="00F11188" w:rsidR="00F90AED">
        <w:t>7</w:t>
      </w:r>
      <w:r w:rsidRPr="00F11188" w:rsidR="003D121F">
        <w:t xml:space="preserve">,248.61,” there is nothing about the action that prevents </w:t>
      </w:r>
      <w:r w:rsidR="00B76133">
        <w:t xml:space="preserve">him or </w:t>
      </w:r>
      <w:r w:rsidRPr="00F11188" w:rsidR="003D121F">
        <w:t xml:space="preserve">her from pleading, “I believe I am owed an amount in the neighborhood of $10,000” </w:t>
      </w:r>
      <w:r w:rsidR="0042529A">
        <w:t xml:space="preserve">— </w:t>
      </w:r>
      <w:r w:rsidRPr="00F11188" w:rsidR="003D121F">
        <w:t xml:space="preserve">an allegation </w:t>
      </w:r>
      <w:r w:rsidR="0042529A">
        <w:t>that</w:t>
      </w:r>
      <w:r w:rsidRPr="00F11188" w:rsidR="003D121F">
        <w:t xml:space="preserve"> </w:t>
      </w:r>
      <w:r w:rsidR="00AC05C2">
        <w:t xml:space="preserve">would </w:t>
      </w:r>
      <w:r w:rsidRPr="00F11188" w:rsidR="003D121F">
        <w:t xml:space="preserve">limit </w:t>
      </w:r>
      <w:r w:rsidR="00B76133">
        <w:t xml:space="preserve">his or </w:t>
      </w:r>
      <w:r w:rsidRPr="00F11188" w:rsidR="003D121F">
        <w:t>her recovery in case of default to $10,000.</w:t>
      </w:r>
      <w:r w:rsidRPr="00F11188" w:rsidR="004F1A12">
        <w:t xml:space="preserve">  </w:t>
      </w:r>
      <w:r w:rsidRPr="00F11188" w:rsidR="00A5148E">
        <w:t xml:space="preserve">(See </w:t>
      </w:r>
      <w:r w:rsidRPr="00F11188" w:rsidR="001A2175">
        <w:rPr>
          <w:i/>
        </w:rPr>
        <w:t>Sass</w:t>
      </w:r>
      <w:r w:rsidRPr="00F11188" w:rsidR="001A2175">
        <w:t xml:space="preserve">, </w:t>
      </w:r>
      <w:r w:rsidRPr="00F11188" w:rsidR="001A2175">
        <w:rPr>
          <w:i/>
        </w:rPr>
        <w:t>supra</w:t>
      </w:r>
      <w:r w:rsidRPr="00F11188" w:rsidR="001A2175">
        <w:t xml:space="preserve">, </w:t>
      </w:r>
      <w:r w:rsidRPr="00F11188" w:rsidR="001C56B7">
        <w:t>32 Cal.App.5th at p. 1043</w:t>
      </w:r>
      <w:r w:rsidRPr="00F11188" w:rsidR="00A51105">
        <w:t xml:space="preserve"> [“Because a plaintiff</w:t>
      </w:r>
      <w:r w:rsidRPr="00F11188" w:rsidR="00867F24">
        <w:t>’</w:t>
      </w:r>
      <w:r w:rsidRPr="00F11188" w:rsidR="00A51105">
        <w:t>s ability to estimate a maximum value does not preclude the necessity to fix the actual value, the nature of an accounting claim does not justify a departure from section 580</w:t>
      </w:r>
      <w:r w:rsidRPr="00F11188" w:rsidR="00867F24">
        <w:t>’</w:t>
      </w:r>
      <w:r w:rsidRPr="00F11188" w:rsidR="00A51105">
        <w:t>s plain language”]</w:t>
      </w:r>
      <w:r w:rsidRPr="00F11188" w:rsidR="00FD7F1F">
        <w:t xml:space="preserve">; </w:t>
      </w:r>
      <w:r w:rsidRPr="00F11188" w:rsidR="00FD7F1F">
        <w:rPr>
          <w:i/>
          <w:iCs/>
        </w:rPr>
        <w:t>Ely v. Gray</w:t>
      </w:r>
      <w:r w:rsidRPr="00F11188" w:rsidR="00FD7F1F">
        <w:t xml:space="preserve"> (1990) 224 Cal.App.3d 1257, 1262 (</w:t>
      </w:r>
      <w:r w:rsidRPr="00F11188" w:rsidR="00FD7F1F">
        <w:rPr>
          <w:i/>
        </w:rPr>
        <w:t>Ely</w:t>
      </w:r>
      <w:r w:rsidRPr="00F11188" w:rsidR="00FD7F1F">
        <w:t>) [</w:t>
      </w:r>
      <w:r w:rsidRPr="00F11188" w:rsidR="006D5E51">
        <w:t>observing</w:t>
      </w:r>
      <w:r w:rsidRPr="00F11188" w:rsidR="00FD7F1F">
        <w:t xml:space="preserve"> that accounting “actions often include an estimate of the amount of money due the complaining party although an absolute amount is not specified”]</w:t>
      </w:r>
      <w:r w:rsidR="0078643B">
        <w:t>;</w:t>
      </w:r>
      <w:r w:rsidRPr="008353BB" w:rsidR="008353BB">
        <w:t xml:space="preserve"> </w:t>
      </w:r>
      <w:r w:rsidR="008353BB">
        <w:t xml:space="preserve">accord </w:t>
      </w:r>
      <w:r w:rsidRPr="008353BB" w:rsidR="008353BB">
        <w:rPr>
          <w:i/>
          <w:iCs/>
        </w:rPr>
        <w:t>San Pedro Lumber Co. v. Reynolds</w:t>
      </w:r>
      <w:r w:rsidRPr="008353BB" w:rsidR="008353BB">
        <w:t xml:space="preserve"> (1896) 111 Cal. 588, </w:t>
      </w:r>
      <w:r w:rsidR="008353BB">
        <w:t>592 [averring in an action requesting an accounting “ ‘</w:t>
      </w:r>
      <w:r w:rsidRPr="008353BB" w:rsidR="008353BB">
        <w:t>that plaintiff is unable to state the precise amount of the several items, but, according to his information and belief, charges that the full amount thereof equals in the aggregate sixty-five thousand dollars, or thereabouts</w:t>
      </w:r>
      <w:r w:rsidR="008353BB">
        <w:t xml:space="preserve">’ ”]; </w:t>
      </w:r>
      <w:r w:rsidRPr="00615DFB" w:rsidR="00615DFB">
        <w:rPr>
          <w:i/>
          <w:iCs/>
        </w:rPr>
        <w:t>Brea v. McGlashan</w:t>
      </w:r>
      <w:r w:rsidRPr="00615DFB" w:rsidR="00615DFB">
        <w:t xml:space="preserve"> (1934) 3 Cal.App.2d 454, 458</w:t>
      </w:r>
      <w:r w:rsidR="00615DFB">
        <w:t>–</w:t>
      </w:r>
      <w:r w:rsidRPr="00615DFB" w:rsidR="00615DFB">
        <w:t>459</w:t>
      </w:r>
      <w:r w:rsidR="00E42BAC">
        <w:t xml:space="preserve"> [</w:t>
      </w:r>
      <w:r w:rsidR="002D05D8">
        <w:t>desc</w:t>
      </w:r>
      <w:r w:rsidR="00232E27">
        <w:t xml:space="preserve">ribing </w:t>
      </w:r>
      <w:r w:rsidR="00E42BAC">
        <w:t>similar pleading of a damages amount]</w:t>
      </w:r>
      <w:r w:rsidRPr="00F11188" w:rsidR="00A5148E">
        <w:t>.)</w:t>
      </w:r>
    </w:p>
    <w:p w:rsidR="009C1BA7" w:rsidRPr="00F11188" w:rsidP="00F11188">
      <w:r w:rsidRPr="00F11188">
        <w:tab/>
      </w:r>
      <w:r w:rsidRPr="00F11188" w:rsidR="00516F37">
        <w:t xml:space="preserve">Insofar </w:t>
      </w:r>
      <w:r w:rsidRPr="00F11188" w:rsidR="00046C2D">
        <w:t xml:space="preserve">as </w:t>
      </w:r>
      <w:r w:rsidR="00274C6B">
        <w:t>plaintiff</w:t>
      </w:r>
      <w:r w:rsidRPr="00F11188" w:rsidR="0059541E">
        <w:t>’s argument has bite</w:t>
      </w:r>
      <w:r w:rsidR="00181DCD">
        <w:t>,</w:t>
      </w:r>
      <w:r w:rsidRPr="00F11188" w:rsidR="0059541E">
        <w:t xml:space="preserve"> it </w:t>
      </w:r>
      <w:r w:rsidRPr="00F11188" w:rsidR="00AD0F7F">
        <w:t>rests largely on the fact that individual</w:t>
      </w:r>
      <w:r w:rsidRPr="00F11188" w:rsidR="00270689">
        <w:t>s</w:t>
      </w:r>
      <w:r w:rsidRPr="00F11188" w:rsidR="00AD0F7F">
        <w:t xml:space="preserve"> alleging an accounting action lack</w:t>
      </w:r>
      <w:r w:rsidRPr="00F11188" w:rsidR="003C6698">
        <w:t xml:space="preserve"> the necessary information to compute </w:t>
      </w:r>
      <w:r w:rsidRPr="00F11188" w:rsidR="00270689">
        <w:t>their</w:t>
      </w:r>
      <w:r w:rsidRPr="00F11188" w:rsidR="003C6698">
        <w:t xml:space="preserve"> damages</w:t>
      </w:r>
      <w:r w:rsidRPr="00F11188" w:rsidR="00CD5B10">
        <w:t xml:space="preserve"> whereas </w:t>
      </w:r>
      <w:r w:rsidRPr="00F11188" w:rsidR="00481803">
        <w:t>t</w:t>
      </w:r>
      <w:r w:rsidRPr="00F11188" w:rsidR="00C02097">
        <w:t xml:space="preserve">he defendants </w:t>
      </w:r>
      <w:r w:rsidR="00055F06">
        <w:t xml:space="preserve">in such actions </w:t>
      </w:r>
      <w:r w:rsidRPr="00F11188" w:rsidR="00C02097">
        <w:t xml:space="preserve">may have that information.  </w:t>
      </w:r>
      <w:r w:rsidR="00A52B60">
        <w:t>Under this view</w:t>
      </w:r>
      <w:r w:rsidR="000F1CA6">
        <w:t>,</w:t>
      </w:r>
      <w:r w:rsidR="00A52B60">
        <w:t xml:space="preserve"> it</w:t>
      </w:r>
      <w:r w:rsidRPr="00F11188" w:rsidR="00B20D12">
        <w:t xml:space="preserve"> appears</w:t>
      </w:r>
      <w:r w:rsidRPr="00F11188" w:rsidR="004D11C6">
        <w:t xml:space="preserve"> un</w:t>
      </w:r>
      <w:r w:rsidRPr="00F11188" w:rsidR="00CF3851">
        <w:t>just</w:t>
      </w:r>
      <w:r w:rsidRPr="00F11188" w:rsidR="004D11C6">
        <w:t xml:space="preserve"> to require plaintiffs to give defendants notice of their </w:t>
      </w:r>
      <w:r w:rsidRPr="00F11188" w:rsidR="00872566">
        <w:t>maximum exposure</w:t>
      </w:r>
      <w:r w:rsidRPr="00F11188" w:rsidR="00D249A5">
        <w:t xml:space="preserve"> by pleading a specific amount of damages</w:t>
      </w:r>
      <w:r w:rsidRPr="00F11188" w:rsidR="00FD691B">
        <w:t xml:space="preserve"> </w:t>
      </w:r>
      <w:r w:rsidRPr="00F11188" w:rsidR="00872566">
        <w:t xml:space="preserve">when plaintiffs do not know what that </w:t>
      </w:r>
      <w:r w:rsidRPr="00F11188" w:rsidR="00B835FE">
        <w:t xml:space="preserve">amount </w:t>
      </w:r>
      <w:r w:rsidRPr="00F11188" w:rsidR="00872566">
        <w:t>may be</w:t>
      </w:r>
      <w:r w:rsidR="008D4C46">
        <w:t>,</w:t>
      </w:r>
      <w:r w:rsidRPr="00F11188" w:rsidR="00872566">
        <w:t xml:space="preserve"> but the defendants </w:t>
      </w:r>
      <w:r w:rsidRPr="00F11188" w:rsidR="008C5084">
        <w:t xml:space="preserve">presumably </w:t>
      </w:r>
      <w:r w:rsidRPr="00F11188" w:rsidR="00872566">
        <w:t>do.</w:t>
      </w:r>
    </w:p>
    <w:p w:rsidR="0031654A" w:rsidRPr="00F11188" w:rsidP="00F11188">
      <w:r w:rsidRPr="00F11188">
        <w:tab/>
        <w:t xml:space="preserve">Although seemingly attractive, this argument </w:t>
      </w:r>
      <w:r w:rsidRPr="00F11188" w:rsidR="00AC2D86">
        <w:t xml:space="preserve">fails for </w:t>
      </w:r>
      <w:r w:rsidRPr="00F11188" w:rsidR="00415E92">
        <w:t>a number of</w:t>
      </w:r>
      <w:r w:rsidRPr="00F11188" w:rsidR="00AC2D86">
        <w:t xml:space="preserve"> reasons.</w:t>
      </w:r>
      <w:r w:rsidRPr="00F11188" w:rsidR="00755FF0">
        <w:t xml:space="preserve">  First, </w:t>
      </w:r>
      <w:r w:rsidRPr="00F11188" w:rsidR="009B64B6">
        <w:t xml:space="preserve">because </w:t>
      </w:r>
      <w:r w:rsidR="00487705">
        <w:t xml:space="preserve">individuals </w:t>
      </w:r>
      <w:r w:rsidRPr="00F11188" w:rsidR="00734D76">
        <w:t>need</w:t>
      </w:r>
      <w:r w:rsidRPr="00F11188" w:rsidR="00191E8A">
        <w:t xml:space="preserve"> to </w:t>
      </w:r>
      <w:r w:rsidRPr="00F11188" w:rsidR="00383D85">
        <w:t xml:space="preserve">include </w:t>
      </w:r>
      <w:r w:rsidRPr="00F11188" w:rsidR="00191E8A">
        <w:t xml:space="preserve">only </w:t>
      </w:r>
      <w:r w:rsidRPr="00F11188" w:rsidR="00734D76">
        <w:t xml:space="preserve">an estimate </w:t>
      </w:r>
      <w:r w:rsidRPr="00F11188" w:rsidR="00417027">
        <w:t xml:space="preserve">of </w:t>
      </w:r>
      <w:r w:rsidRPr="00F11188" w:rsidR="00734D76">
        <w:t>the</w:t>
      </w:r>
      <w:r w:rsidRPr="00F11188" w:rsidR="009F5539">
        <w:t>ir</w:t>
      </w:r>
      <w:r w:rsidRPr="00F11188" w:rsidR="00734D76">
        <w:t xml:space="preserve"> maximum damages</w:t>
      </w:r>
      <w:r w:rsidR="00487705">
        <w:t xml:space="preserve"> and plaintiffs alleging accounting claims have been able to include such an estimate in their complaints</w:t>
      </w:r>
      <w:r w:rsidR="00044889">
        <w:t xml:space="preserve">, </w:t>
      </w:r>
      <w:r w:rsidR="00487705">
        <w:t>this suggests that plaintiffs’ relative lack of knowledge does not pose an insurmountable obstacle to such pleadings</w:t>
      </w:r>
      <w:r w:rsidRPr="00F11188" w:rsidR="00191E8A">
        <w:t xml:space="preserve">.  (See, e.g., </w:t>
      </w:r>
      <w:r w:rsidRPr="00F11188" w:rsidR="00191E8A">
        <w:rPr>
          <w:i/>
        </w:rPr>
        <w:t>Ely</w:t>
      </w:r>
      <w:r w:rsidRPr="00F11188" w:rsidR="00191E8A">
        <w:t xml:space="preserve">, </w:t>
      </w:r>
      <w:r w:rsidRPr="00F11188" w:rsidR="00191E8A">
        <w:rPr>
          <w:i/>
        </w:rPr>
        <w:t>supra</w:t>
      </w:r>
      <w:r w:rsidRPr="00F11188" w:rsidR="00191E8A">
        <w:t>, 224 Cal.App.3d at pp.</w:t>
      </w:r>
      <w:r w:rsidR="00C251BD">
        <w:t> </w:t>
      </w:r>
      <w:r w:rsidRPr="00F11188" w:rsidR="00191E8A">
        <w:t>1262</w:t>
      </w:r>
      <w:r w:rsidR="007C1930">
        <w:t>–</w:t>
      </w:r>
      <w:r w:rsidRPr="00F11188" w:rsidR="00191E8A">
        <w:t>1263 [“A plaintiff may be able to include in the complaint or prayer for relief an estimate of the amount due him, be willing to be bound by that amount, and receive a default judgment limited to that amount.  Such a situation seems to satisfy the due process notice requirement as well as the accounting requirement that plaintiff not be able to figure a specific amount.”]</w:t>
      </w:r>
      <w:r w:rsidRPr="00F11188" w:rsidR="00377877">
        <w:t>.)</w:t>
      </w:r>
    </w:p>
    <w:p w:rsidR="0050554E" w:rsidRPr="00F11188" w:rsidP="00F11188">
      <w:r w:rsidRPr="00F11188">
        <w:tab/>
      </w:r>
      <w:r w:rsidRPr="00F11188" w:rsidR="00960864">
        <w:t>Furthermore</w:t>
      </w:r>
      <w:r w:rsidRPr="00F11188">
        <w:t xml:space="preserve">, </w:t>
      </w:r>
      <w:r w:rsidRPr="00F11188" w:rsidR="00CF6085">
        <w:t>plaintiffs in default cases must still prove their damages</w:t>
      </w:r>
      <w:r w:rsidR="0027399C">
        <w:t xml:space="preserve"> to obtain</w:t>
      </w:r>
      <w:r w:rsidR="00305947">
        <w:t xml:space="preserve"> </w:t>
      </w:r>
      <w:r w:rsidR="0027399C">
        <w:t>monetary recovery</w:t>
      </w:r>
      <w:r w:rsidRPr="00F11188" w:rsidR="00BB2F02">
        <w:t xml:space="preserve">.  </w:t>
      </w:r>
      <w:r w:rsidRPr="00F11188" w:rsidR="00C13DBF">
        <w:t>(</w:t>
      </w:r>
      <w:r w:rsidRPr="00F11188" w:rsidR="00DD2448">
        <w:t>§ </w:t>
      </w:r>
      <w:r w:rsidRPr="00F11188" w:rsidR="00191E8A">
        <w:t>585</w:t>
      </w:r>
      <w:r w:rsidRPr="00F11188" w:rsidR="001309FC">
        <w:t xml:space="preserve">, subd. (b) [specifying that when a plaintiff applies to the court </w:t>
      </w:r>
      <w:r w:rsidRPr="00F11188" w:rsidR="00337AF8">
        <w:t>for a default judgment</w:t>
      </w:r>
      <w:r w:rsidRPr="00F11188" w:rsidR="001309FC">
        <w:t xml:space="preserve">, “[t]he court shall hear the evidence offered by the plaintiff, and shall render judgment </w:t>
      </w:r>
      <w:r w:rsidRPr="00F11188" w:rsidR="00CF7950">
        <w:t>. . .</w:t>
      </w:r>
      <w:r w:rsidRPr="00F11188" w:rsidR="001309FC">
        <w:t xml:space="preserve"> as appears by the evidence to be just”]</w:t>
      </w:r>
      <w:r w:rsidRPr="00F11188" w:rsidR="00191E8A">
        <w:t xml:space="preserve">; </w:t>
      </w:r>
      <w:r w:rsidRPr="00F11188" w:rsidR="00C93008">
        <w:t xml:space="preserve">see also, e.g., </w:t>
      </w:r>
      <w:r w:rsidRPr="00F11188" w:rsidR="00C93008">
        <w:rPr>
          <w:i/>
        </w:rPr>
        <w:t>Kim v. Westmoore Partners, Inc.</w:t>
      </w:r>
      <w:r w:rsidRPr="00F11188" w:rsidR="00C93008">
        <w:t xml:space="preserve"> (2011) 201 Cal.App.4th 267, 288</w:t>
      </w:r>
      <w:r w:rsidRPr="00F11188" w:rsidR="00F0434E">
        <w:t xml:space="preserve"> [</w:t>
      </w:r>
      <w:r w:rsidRPr="00F11188" w:rsidR="001B2B3A">
        <w:t>“ </w:t>
      </w:r>
      <w:r w:rsidRPr="00F11188" w:rsidR="00794D17">
        <w:t>‘</w:t>
      </w:r>
      <w:r w:rsidRPr="00F11188" w:rsidR="00DC5FED">
        <w:t>damages must be proved in the trial court before the default judgment may be entered’</w:t>
      </w:r>
      <w:r w:rsidRPr="00F11188" w:rsidR="00FD0724">
        <w:t> </w:t>
      </w:r>
      <w:r w:rsidRPr="00F11188" w:rsidR="00F662AB">
        <w:t>”</w:t>
      </w:r>
      <w:r w:rsidRPr="00F11188" w:rsidR="00F0434E">
        <w:t>]</w:t>
      </w:r>
      <w:r w:rsidRPr="00F11188" w:rsidR="00C93008">
        <w:t xml:space="preserve">; </w:t>
      </w:r>
      <w:r w:rsidRPr="00F11188" w:rsidR="00600406">
        <w:rPr>
          <w:i/>
        </w:rPr>
        <w:t>Ostling v. Loring</w:t>
      </w:r>
      <w:r w:rsidRPr="00F11188" w:rsidR="00600406">
        <w:t xml:space="preserve"> (1994) 27 Cal.App.4th 1731, 1745</w:t>
      </w:r>
      <w:r w:rsidRPr="00F11188" w:rsidR="0080128A">
        <w:t xml:space="preserve"> </w:t>
      </w:r>
      <w:r w:rsidRPr="00F11188" w:rsidR="00F362AA">
        <w:t>(</w:t>
      </w:r>
      <w:r w:rsidRPr="00F11188" w:rsidR="00F362AA">
        <w:rPr>
          <w:i/>
        </w:rPr>
        <w:t>Ostling</w:t>
      </w:r>
      <w:r w:rsidRPr="00F11188" w:rsidR="00F362AA">
        <w:t xml:space="preserve">) </w:t>
      </w:r>
      <w:r w:rsidRPr="00F11188" w:rsidR="00600406">
        <w:t xml:space="preserve">[“damages </w:t>
      </w:r>
      <w:r w:rsidRPr="00F11188" w:rsidR="00CF7950">
        <w:t>. . .</w:t>
      </w:r>
      <w:r w:rsidRPr="00F11188" w:rsidR="00600406">
        <w:t xml:space="preserve"> despite default, require proof”]</w:t>
      </w:r>
      <w:r w:rsidRPr="00F11188" w:rsidR="00C70848">
        <w:t xml:space="preserve">; </w:t>
      </w:r>
      <w:r w:rsidRPr="00F11188" w:rsidR="00003091">
        <w:rPr>
          <w:i/>
          <w:iCs/>
        </w:rPr>
        <w:t xml:space="preserve">Barragan v. Banco </w:t>
      </w:r>
      <w:r w:rsidRPr="00F11188" w:rsidR="00B76133">
        <w:rPr>
          <w:i/>
          <w:iCs/>
        </w:rPr>
        <w:t>B</w:t>
      </w:r>
      <w:r w:rsidR="00B76133">
        <w:rPr>
          <w:i/>
          <w:iCs/>
        </w:rPr>
        <w:t>CH</w:t>
      </w:r>
      <w:r w:rsidRPr="00F11188" w:rsidR="00B76133">
        <w:t xml:space="preserve"> </w:t>
      </w:r>
      <w:r w:rsidRPr="00F11188" w:rsidR="00003091">
        <w:t>(1986) 188 Cal.App.3d 283, 302 (</w:t>
      </w:r>
      <w:r w:rsidRPr="00F11188" w:rsidR="00003091">
        <w:rPr>
          <w:i/>
          <w:iCs/>
        </w:rPr>
        <w:t>Barragan</w:t>
      </w:r>
      <w:r w:rsidRPr="00F11188" w:rsidR="00003091">
        <w:t>) [“Plaintiffs in a default judgment proceeding must prove they are entitled to the damages claimed”]</w:t>
      </w:r>
      <w:r w:rsidRPr="00F11188" w:rsidR="00191E8A">
        <w:t>.</w:t>
      </w:r>
      <w:r w:rsidRPr="00F11188" w:rsidR="00C13DBF">
        <w:t>)</w:t>
      </w:r>
      <w:r w:rsidRPr="00F11188" w:rsidR="00191E8A">
        <w:t xml:space="preserve">  </w:t>
      </w:r>
      <w:r w:rsidRPr="00F11188" w:rsidR="00304FA6">
        <w:t xml:space="preserve">Because </w:t>
      </w:r>
      <w:r w:rsidR="00BB0FB3">
        <w:t>relief</w:t>
      </w:r>
      <w:r w:rsidRPr="00F11188" w:rsidR="006A433A">
        <w:t xml:space="preserve"> awarded in default</w:t>
      </w:r>
      <w:r w:rsidRPr="00F11188" w:rsidR="005520F7">
        <w:t xml:space="preserve"> </w:t>
      </w:r>
      <w:r w:rsidRPr="00F11188" w:rsidR="00D87C3F">
        <w:t>must</w:t>
      </w:r>
      <w:r w:rsidRPr="00F11188" w:rsidR="00304FA6">
        <w:t xml:space="preserve"> be established by </w:t>
      </w:r>
      <w:r w:rsidRPr="00F11188" w:rsidR="00CE210C">
        <w:t>evidence</w:t>
      </w:r>
      <w:r w:rsidRPr="00F11188" w:rsidR="00304FA6">
        <w:t>,</w:t>
      </w:r>
      <w:r w:rsidRPr="00F11188" w:rsidR="00295C6E">
        <w:t xml:space="preserve"> </w:t>
      </w:r>
      <w:r w:rsidRPr="00F11188" w:rsidR="007B09DD">
        <w:t xml:space="preserve">this means </w:t>
      </w:r>
      <w:r w:rsidRPr="00F11188" w:rsidR="003914FA">
        <w:t xml:space="preserve">that </w:t>
      </w:r>
      <w:r w:rsidRPr="00F11188" w:rsidR="00440AB2">
        <w:t>all</w:t>
      </w:r>
      <w:r w:rsidRPr="00F11188" w:rsidR="00472015">
        <w:t xml:space="preserve"> </w:t>
      </w:r>
      <w:r w:rsidRPr="00F11188" w:rsidR="00B23045">
        <w:t>plaintiffs</w:t>
      </w:r>
      <w:r w:rsidRPr="00F11188" w:rsidR="00B30B6D">
        <w:t xml:space="preserve"> </w:t>
      </w:r>
      <w:r w:rsidRPr="00F11188" w:rsidR="00893C46">
        <w:t xml:space="preserve">— </w:t>
      </w:r>
      <w:r w:rsidRPr="00F11188" w:rsidR="00472015">
        <w:t xml:space="preserve">even those </w:t>
      </w:r>
      <w:r w:rsidRPr="00F11188" w:rsidR="00466C1F">
        <w:t xml:space="preserve">alleging an accounting action </w:t>
      </w:r>
      <w:r w:rsidRPr="00F11188" w:rsidR="00893C46">
        <w:t xml:space="preserve">— </w:t>
      </w:r>
      <w:r w:rsidRPr="00F11188" w:rsidR="0010363A">
        <w:t>must</w:t>
      </w:r>
      <w:r w:rsidRPr="00F11188" w:rsidR="00466C1F">
        <w:t xml:space="preserve"> at some point</w:t>
      </w:r>
      <w:r w:rsidRPr="00F11188" w:rsidR="00555501">
        <w:t xml:space="preserve"> </w:t>
      </w:r>
      <w:r w:rsidRPr="00F11188" w:rsidR="00E61AE3">
        <w:t>have a concrete idea</w:t>
      </w:r>
      <w:r w:rsidRPr="00F11188" w:rsidR="00882D99">
        <w:t xml:space="preserve"> </w:t>
      </w:r>
      <w:r w:rsidRPr="00F11188" w:rsidR="00B30B6D">
        <w:t xml:space="preserve">of </w:t>
      </w:r>
      <w:r w:rsidRPr="00F11188" w:rsidR="00521BDF">
        <w:t>how much the defendants owe them.</w:t>
      </w:r>
      <w:r w:rsidRPr="00F11188" w:rsidR="00354FB4">
        <w:t xml:space="preserve">  </w:t>
      </w:r>
      <w:r w:rsidRPr="00F11188" w:rsidR="00A4238B">
        <w:t xml:space="preserve">At this </w:t>
      </w:r>
      <w:r w:rsidRPr="00F11188" w:rsidR="0082060F">
        <w:t>juncture</w:t>
      </w:r>
      <w:r w:rsidRPr="00F11188" w:rsidR="00A4238B">
        <w:t>,</w:t>
      </w:r>
      <w:r w:rsidRPr="00F11188" w:rsidR="0082060F">
        <w:t xml:space="preserve"> </w:t>
      </w:r>
      <w:r w:rsidRPr="00F11188" w:rsidR="00A4238B">
        <w:t xml:space="preserve">the information asymmetry </w:t>
      </w:r>
      <w:r w:rsidRPr="00F11188" w:rsidR="00D35E1D">
        <w:t xml:space="preserve">inherent in an accounting action </w:t>
      </w:r>
      <w:r w:rsidR="007E0E67">
        <w:t>does not appear to pose an obstacle</w:t>
      </w:r>
      <w:r w:rsidRPr="00F11188" w:rsidR="0008135E">
        <w:t xml:space="preserve"> to</w:t>
      </w:r>
      <w:r w:rsidRPr="00F11188" w:rsidR="00A4238B">
        <w:t xml:space="preserve"> </w:t>
      </w:r>
      <w:r w:rsidRPr="00F11188" w:rsidR="007D04D3">
        <w:t>plaintiffs’ ability to state a sum.</w:t>
      </w:r>
    </w:p>
    <w:p w:rsidR="00677980" w:rsidRPr="00F11188" w:rsidP="00F11188">
      <w:r w:rsidRPr="00F11188">
        <w:tab/>
      </w:r>
      <w:r w:rsidRPr="00F11188" w:rsidR="00C12008">
        <w:t>A</w:t>
      </w:r>
      <w:r w:rsidRPr="00F11188" w:rsidR="00CE2103">
        <w:t>ccordingly</w:t>
      </w:r>
      <w:r w:rsidRPr="00F11188">
        <w:t xml:space="preserve">, requiring </w:t>
      </w:r>
      <w:r w:rsidRPr="00F11188" w:rsidR="005974B4">
        <w:t xml:space="preserve">accounting </w:t>
      </w:r>
      <w:r w:rsidRPr="00F11188">
        <w:t>plaintiffs</w:t>
      </w:r>
      <w:r w:rsidRPr="00F11188" w:rsidR="00495CCC">
        <w:t xml:space="preserve"> </w:t>
      </w:r>
      <w:r w:rsidRPr="00F11188" w:rsidR="005974B4">
        <w:t>t</w:t>
      </w:r>
      <w:r w:rsidRPr="00F11188" w:rsidR="00495CCC">
        <w:t>o</w:t>
      </w:r>
      <w:r w:rsidRPr="00F11188" w:rsidR="005974B4">
        <w:t xml:space="preserve"> plead a specific </w:t>
      </w:r>
      <w:r w:rsidR="00F60EB2">
        <w:t xml:space="preserve">dollar </w:t>
      </w:r>
      <w:r w:rsidRPr="00F11188" w:rsidR="005974B4">
        <w:t>amount to support a default</w:t>
      </w:r>
      <w:r w:rsidR="00F60EB2">
        <w:t xml:space="preserve"> money</w:t>
      </w:r>
      <w:r w:rsidRPr="00F11188" w:rsidR="005974B4">
        <w:t xml:space="preserve"> judgment</w:t>
      </w:r>
      <w:r w:rsidRPr="00F11188" w:rsidR="00742CB2">
        <w:t xml:space="preserve"> is </w:t>
      </w:r>
      <w:r w:rsidR="00864604">
        <w:t>not obviously</w:t>
      </w:r>
      <w:r w:rsidRPr="00F11188" w:rsidR="00B80A6A">
        <w:t xml:space="preserve"> onerous or unjust</w:t>
      </w:r>
      <w:r w:rsidRPr="00F11188" w:rsidR="00531A4A">
        <w:t>.</w:t>
      </w:r>
      <w:r w:rsidRPr="00F11188" w:rsidR="00887D4A">
        <w:t xml:space="preserve"> </w:t>
      </w:r>
      <w:r w:rsidRPr="00F11188" w:rsidR="00AA63D3">
        <w:t xml:space="preserve"> </w:t>
      </w:r>
      <w:r w:rsidRPr="00F11188" w:rsidR="00887D4A">
        <w:t xml:space="preserve">(See </w:t>
      </w:r>
      <w:r w:rsidRPr="00F11188" w:rsidR="00887D4A">
        <w:rPr>
          <w:i/>
        </w:rPr>
        <w:t>Ely</w:t>
      </w:r>
      <w:r w:rsidRPr="00F11188" w:rsidR="00887D4A">
        <w:t xml:space="preserve">, </w:t>
      </w:r>
      <w:r w:rsidRPr="00F11188" w:rsidR="00887D4A">
        <w:rPr>
          <w:i/>
        </w:rPr>
        <w:t>supra</w:t>
      </w:r>
      <w:r w:rsidRPr="00F11188" w:rsidR="00887D4A">
        <w:t xml:space="preserve">, </w:t>
      </w:r>
      <w:r w:rsidRPr="00F11188" w:rsidR="00CB31EC">
        <w:t>224 Cal.App.3d at pp. 1263</w:t>
      </w:r>
      <w:r w:rsidR="007C1930">
        <w:t>–</w:t>
      </w:r>
      <w:r w:rsidRPr="00F11188" w:rsidR="00CB31EC">
        <w:t>1264</w:t>
      </w:r>
      <w:r w:rsidRPr="00F11188" w:rsidR="00B33B24">
        <w:t xml:space="preserve"> [“We do not find such a requirement burdensome since a plaintiff must be able, as this plaintiff was, to prove some level of defendant’s financial liability to receive an award of damages upon default”];</w:t>
      </w:r>
      <w:r w:rsidRPr="00F11188" w:rsidR="000804AA">
        <w:t xml:space="preserve"> </w:t>
      </w:r>
      <w:r w:rsidRPr="00F11188" w:rsidR="006D69EC">
        <w:rPr>
          <w:i/>
          <w:iCs/>
        </w:rPr>
        <w:t>Van Sickle v. Gilbert</w:t>
      </w:r>
      <w:r w:rsidRPr="00F11188" w:rsidR="006D69EC">
        <w:t xml:space="preserve"> (2011) 196 Cal.App.4th 1495, 1527 (</w:t>
      </w:r>
      <w:r w:rsidRPr="00F11188" w:rsidR="006D69EC">
        <w:rPr>
          <w:i/>
        </w:rPr>
        <w:t>Van Sickle</w:t>
      </w:r>
      <w:r w:rsidRPr="00F11188" w:rsidR="006D69EC">
        <w:t xml:space="preserve">) [following </w:t>
      </w:r>
      <w:r w:rsidRPr="00F11188" w:rsidR="006D69EC">
        <w:rPr>
          <w:i/>
        </w:rPr>
        <w:t>Ely</w:t>
      </w:r>
      <w:r w:rsidRPr="00F11188" w:rsidR="006D69EC">
        <w:t xml:space="preserve">]; </w:t>
      </w:r>
      <w:r w:rsidRPr="00F11188" w:rsidR="009244F9">
        <w:rPr>
          <w:i/>
        </w:rPr>
        <w:t>Finney v. Gomez</w:t>
      </w:r>
      <w:r w:rsidRPr="00F11188" w:rsidR="009244F9">
        <w:t xml:space="preserve"> (2003) 111 Cal.App.4th 527, 544 (</w:t>
      </w:r>
      <w:r w:rsidRPr="00F11188" w:rsidR="009244F9">
        <w:rPr>
          <w:i/>
        </w:rPr>
        <w:t>Finney</w:t>
      </w:r>
      <w:r w:rsidRPr="00F11188" w:rsidR="009244F9">
        <w:t>)</w:t>
      </w:r>
      <w:r w:rsidRPr="00F11188" w:rsidR="006D69EC">
        <w:t xml:space="preserve"> [same]</w:t>
      </w:r>
      <w:r w:rsidRPr="00F11188" w:rsidR="00AA63D3">
        <w:t>.)</w:t>
      </w:r>
      <w:r w:rsidRPr="00F11188" w:rsidR="00C870C2">
        <w:t xml:space="preserve">  </w:t>
      </w:r>
      <w:r w:rsidRPr="00F11188" w:rsidR="008B6FF5">
        <w:t>P</w:t>
      </w:r>
      <w:r w:rsidRPr="00F11188" w:rsidR="003E0171">
        <w:t xml:space="preserve">laintiffs </w:t>
      </w:r>
      <w:r w:rsidRPr="00F11188" w:rsidR="00BD3B74">
        <w:t xml:space="preserve">can provide </w:t>
      </w:r>
      <w:r w:rsidRPr="00F11188" w:rsidR="00C95065">
        <w:t xml:space="preserve">the </w:t>
      </w:r>
      <w:r w:rsidRPr="00F11188" w:rsidR="005F38C6">
        <w:t>required information</w:t>
      </w:r>
      <w:r w:rsidRPr="00F11188" w:rsidR="001E1438">
        <w:t xml:space="preserve"> </w:t>
      </w:r>
      <w:r w:rsidRPr="00F11188" w:rsidR="003E0171">
        <w:t xml:space="preserve">in </w:t>
      </w:r>
      <w:r w:rsidRPr="00F11188" w:rsidR="0014019B">
        <w:t xml:space="preserve">at least </w:t>
      </w:r>
      <w:r w:rsidRPr="00F11188" w:rsidR="003E0171">
        <w:t xml:space="preserve">two ways:  (1) </w:t>
      </w:r>
      <w:r w:rsidRPr="00F11188" w:rsidR="00A94E9C">
        <w:t xml:space="preserve">by including </w:t>
      </w:r>
      <w:r w:rsidRPr="00F11188" w:rsidR="003E0171">
        <w:t>an estimate of the amount of damages in the original complain</w:t>
      </w:r>
      <w:r w:rsidRPr="00F11188" w:rsidR="00C22FDF">
        <w:t>t</w:t>
      </w:r>
      <w:r w:rsidRPr="00F11188" w:rsidR="003E0171">
        <w:t>, “be willing to be bound by that amount, and receive a default judgment limited to that amount” (</w:t>
      </w:r>
      <w:r w:rsidRPr="00F11188" w:rsidR="003E0171">
        <w:rPr>
          <w:i/>
        </w:rPr>
        <w:t>Ely</w:t>
      </w:r>
      <w:r w:rsidRPr="00F11188" w:rsidR="003E0171">
        <w:t xml:space="preserve">, </w:t>
      </w:r>
      <w:r w:rsidRPr="00F11188" w:rsidR="003E0171">
        <w:rPr>
          <w:i/>
        </w:rPr>
        <w:t>supra</w:t>
      </w:r>
      <w:r w:rsidRPr="00F11188" w:rsidR="003E0171">
        <w:t xml:space="preserve">, 224 Cal.App.3d at </w:t>
      </w:r>
      <w:r w:rsidRPr="00F11188" w:rsidR="001F3D2C">
        <w:t>p.</w:t>
      </w:r>
      <w:r w:rsidRPr="00F11188" w:rsidR="003E0171">
        <w:t xml:space="preserve"> 1262</w:t>
      </w:r>
      <w:r w:rsidRPr="00F11188" w:rsidR="00594082">
        <w:t xml:space="preserve">); </w:t>
      </w:r>
      <w:r w:rsidRPr="00F11188" w:rsidR="00F5648C">
        <w:t xml:space="preserve">or </w:t>
      </w:r>
      <w:r w:rsidRPr="00F11188" w:rsidR="00594082">
        <w:t xml:space="preserve">(2) </w:t>
      </w:r>
      <w:r w:rsidRPr="00F11188" w:rsidR="00A22D74">
        <w:t xml:space="preserve">by </w:t>
      </w:r>
      <w:r w:rsidRPr="00F11188" w:rsidR="00594082">
        <w:t>amend</w:t>
      </w:r>
      <w:r w:rsidRPr="00F11188" w:rsidR="00A22D74">
        <w:t>ing</w:t>
      </w:r>
      <w:r w:rsidRPr="00F11188" w:rsidR="00594082">
        <w:t xml:space="preserve"> the complaint to state </w:t>
      </w:r>
      <w:r w:rsidRPr="00F11188" w:rsidR="00473729">
        <w:t>the amount of damages</w:t>
      </w:r>
      <w:r w:rsidRPr="00F11188" w:rsidR="00594082">
        <w:t xml:space="preserve"> more accurate</w:t>
      </w:r>
      <w:r w:rsidRPr="00F11188" w:rsidR="00700667">
        <w:t>ly</w:t>
      </w:r>
      <w:r w:rsidRPr="00F11188" w:rsidR="00A22D74">
        <w:t xml:space="preserve"> once </w:t>
      </w:r>
      <w:r w:rsidRPr="00F11188" w:rsidR="00556760">
        <w:t xml:space="preserve">they </w:t>
      </w:r>
      <w:r w:rsidRPr="00F11188" w:rsidR="00A22D74">
        <w:t>have gathered the necessary information to prove damages</w:t>
      </w:r>
      <w:r w:rsidRPr="00F11188" w:rsidR="00594082">
        <w:t>.</w:t>
      </w:r>
      <w:r>
        <w:rPr>
          <w:rStyle w:val="FootnoteReference"/>
        </w:rPr>
        <w:footnoteReference w:id="9"/>
      </w:r>
    </w:p>
    <w:p w:rsidR="008D66AD" w:rsidP="00F11188">
      <w:r w:rsidRPr="00F11188">
        <w:tab/>
        <w:t xml:space="preserve">It is true that </w:t>
      </w:r>
      <w:r w:rsidRPr="00F11188" w:rsidR="00700667">
        <w:t>amending complaint</w:t>
      </w:r>
      <w:r w:rsidRPr="00F11188" w:rsidR="00A705CA">
        <w:t>s</w:t>
      </w:r>
      <w:r w:rsidRPr="00F11188" w:rsidR="00700667">
        <w:t xml:space="preserve"> </w:t>
      </w:r>
      <w:r w:rsidRPr="00F11188" w:rsidR="009B2C84">
        <w:t>in this fashion</w:t>
      </w:r>
      <w:r w:rsidRPr="00F11188" w:rsidR="00EE2785">
        <w:t xml:space="preserve"> </w:t>
      </w:r>
      <w:r w:rsidRPr="00F11188" w:rsidR="007418D7">
        <w:t xml:space="preserve">would </w:t>
      </w:r>
      <w:r w:rsidRPr="00F11188" w:rsidR="00EE2785">
        <w:t>open the default</w:t>
      </w:r>
      <w:r w:rsidRPr="00F11188" w:rsidR="00D07C25">
        <w:t xml:space="preserve"> and give</w:t>
      </w:r>
      <w:r w:rsidRPr="00F11188" w:rsidR="00EE2785">
        <w:t xml:space="preserve"> defendant</w:t>
      </w:r>
      <w:r w:rsidRPr="00F11188" w:rsidR="00A705CA">
        <w:t>s</w:t>
      </w:r>
      <w:r w:rsidRPr="00F11188" w:rsidR="009C08B4">
        <w:t xml:space="preserve"> </w:t>
      </w:r>
      <w:r w:rsidRPr="00F11188" w:rsidR="00EE2785">
        <w:t>another opportunity to respond.  (</w:t>
      </w:r>
      <w:r w:rsidRPr="00F11188" w:rsidR="007C6ACD">
        <w:t xml:space="preserve">See, e.g., </w:t>
      </w:r>
      <w:r w:rsidRPr="00F11188" w:rsidR="008A145E">
        <w:rPr>
          <w:i/>
        </w:rPr>
        <w:t>Cole v. Roebling Constr. Co.</w:t>
      </w:r>
      <w:r w:rsidRPr="00F11188" w:rsidR="008A145E">
        <w:t xml:space="preserve"> (1909) 156 Cal.</w:t>
      </w:r>
      <w:r w:rsidR="00C251BD">
        <w:t> </w:t>
      </w:r>
      <w:r w:rsidRPr="00F11188" w:rsidR="008A145E">
        <w:t>443, 446</w:t>
      </w:r>
      <w:r w:rsidRPr="00F11188" w:rsidR="00F20E45">
        <w:t xml:space="preserve"> [“where, after the default of a defendant has been entered, a complaint is amended in matter of substance as distinguished from mere matter of form, the amendment opens the default, and unless the amended pleading be served on the defaulting defendant, no judgment can properly be entered on the default”]</w:t>
      </w:r>
      <w:r w:rsidRPr="00F11188" w:rsidR="008A145E">
        <w:t xml:space="preserve">; </w:t>
      </w:r>
      <w:r w:rsidRPr="00F11188" w:rsidR="006435EA">
        <w:rPr>
          <w:i/>
        </w:rPr>
        <w:t>Engebretson &amp; Co. v. Harrison</w:t>
      </w:r>
      <w:r w:rsidRPr="00F11188" w:rsidR="006435EA">
        <w:t xml:space="preserve"> (1981) 125</w:t>
      </w:r>
      <w:r w:rsidR="005A1CFD">
        <w:t> </w:t>
      </w:r>
      <w:r w:rsidRPr="00F11188" w:rsidR="006435EA">
        <w:t xml:space="preserve">Cal.App.3d 436, 440 [“An amendment which significantly increases the amount of damages sought is an amendment of substance which must be served before a default can be entered”]; </w:t>
      </w:r>
      <w:r w:rsidRPr="00F11188" w:rsidR="00003843">
        <w:rPr>
          <w:i/>
        </w:rPr>
        <w:t>Ostling</w:t>
      </w:r>
      <w:r w:rsidRPr="00F11188" w:rsidR="00003843">
        <w:t xml:space="preserve">, </w:t>
      </w:r>
      <w:r w:rsidRPr="00F11188" w:rsidR="00003843">
        <w:rPr>
          <w:i/>
        </w:rPr>
        <w:t>supra</w:t>
      </w:r>
      <w:r w:rsidRPr="00F11188" w:rsidR="00003843">
        <w:t xml:space="preserve">, </w:t>
      </w:r>
      <w:r w:rsidRPr="00F11188" w:rsidR="008B62D9">
        <w:t>27 Cal.App.4th at p. 1744</w:t>
      </w:r>
      <w:r w:rsidRPr="00F11188" w:rsidR="00476D76">
        <w:t xml:space="preserve"> [similar]</w:t>
      </w:r>
      <w:r w:rsidRPr="00F11188" w:rsidR="000A2FB3">
        <w:t xml:space="preserve">; </w:t>
      </w:r>
      <w:r w:rsidRPr="00F11188" w:rsidR="00F20E45">
        <w:rPr>
          <w:i/>
          <w:iCs/>
        </w:rPr>
        <w:t>Leo v. Dunlap</w:t>
      </w:r>
      <w:r w:rsidRPr="00F11188" w:rsidR="00F20E45">
        <w:t xml:space="preserve"> (1968) 260 Cal.App.2d 24, 28 [</w:t>
      </w:r>
      <w:r w:rsidRPr="00F11188" w:rsidR="00476D76">
        <w:t>similar</w:t>
      </w:r>
      <w:r w:rsidRPr="00F11188" w:rsidR="00F20E45">
        <w:t>]</w:t>
      </w:r>
      <w:r w:rsidRPr="00F11188" w:rsidR="00EE2785">
        <w:t>.)</w:t>
      </w:r>
      <w:r w:rsidRPr="00F11188" w:rsidR="00C33E2C">
        <w:t xml:space="preserve">  </w:t>
      </w:r>
      <w:r w:rsidRPr="00F11188" w:rsidR="00FB773B">
        <w:t>However, w</w:t>
      </w:r>
      <w:r w:rsidRPr="00F11188" w:rsidR="000F164D">
        <w:t xml:space="preserve">e do not find such a result </w:t>
      </w:r>
      <w:r w:rsidRPr="00F11188" w:rsidR="003E4A61">
        <w:t>discouraging</w:t>
      </w:r>
      <w:r w:rsidRPr="00F11188" w:rsidR="000F164D">
        <w:t xml:space="preserve">, </w:t>
      </w:r>
      <w:r w:rsidRPr="00F11188" w:rsidR="00363959">
        <w:t>given</w:t>
      </w:r>
      <w:r w:rsidRPr="00F11188" w:rsidR="00022BA6">
        <w:t xml:space="preserve"> that</w:t>
      </w:r>
      <w:r w:rsidRPr="00F11188" w:rsidR="004B645D">
        <w:t xml:space="preserve"> </w:t>
      </w:r>
      <w:r w:rsidRPr="00F11188" w:rsidR="009A6F0B">
        <w:t>“</w:t>
      </w:r>
      <w:r w:rsidRPr="00F11188" w:rsidR="00B1337F">
        <w:t xml:space="preserve">the policy of the law </w:t>
      </w:r>
      <w:r w:rsidRPr="00F11188" w:rsidR="00CC71EE">
        <w:t xml:space="preserve">[is] </w:t>
      </w:r>
      <w:r w:rsidRPr="00F11188" w:rsidR="00B1337F">
        <w:t>to favor, wherever possible, a hearing on the merits</w:t>
      </w:r>
      <w:r w:rsidR="008E0009">
        <w:t xml:space="preserve"> </w:t>
      </w:r>
      <w:r w:rsidRPr="00F11188" w:rsidR="007227A9">
        <w:t>.</w:t>
      </w:r>
      <w:r w:rsidR="00E310FE">
        <w:t> </w:t>
      </w:r>
      <w:r w:rsidR="008E0009">
        <w:t>.</w:t>
      </w:r>
      <w:r w:rsidR="00E310FE">
        <w:t> </w:t>
      </w:r>
      <w:r w:rsidR="008E0009">
        <w:t>.</w:t>
      </w:r>
      <w:r w:rsidR="00E310FE">
        <w:t> </w:t>
      </w:r>
      <w:r w:rsidR="008E0009">
        <w:t>.</w:t>
      </w:r>
      <w:r w:rsidRPr="00F11188" w:rsidR="007227A9">
        <w:t>”</w:t>
      </w:r>
      <w:r w:rsidRPr="00F11188" w:rsidR="00917533">
        <w:t xml:space="preserve"> </w:t>
      </w:r>
      <w:r w:rsidRPr="00F11188" w:rsidR="00F73788">
        <w:t xml:space="preserve"> </w:t>
      </w:r>
      <w:r w:rsidRPr="00F11188" w:rsidR="00917533">
        <w:t>(</w:t>
      </w:r>
      <w:r w:rsidRPr="00F11188" w:rsidR="00917533">
        <w:rPr>
          <w:i/>
        </w:rPr>
        <w:t>Weitz v. Yankosky</w:t>
      </w:r>
      <w:r w:rsidRPr="00F11188" w:rsidR="00917533">
        <w:t xml:space="preserve"> (1966) 63 Cal.2d 849, 854</w:t>
      </w:r>
      <w:r w:rsidRPr="00F11188" w:rsidR="00406049">
        <w:t xml:space="preserve"> </w:t>
      </w:r>
      <w:r w:rsidR="0072517B">
        <w:t>(</w:t>
      </w:r>
      <w:r w:rsidR="0072517B">
        <w:rPr>
          <w:i/>
          <w:iCs/>
        </w:rPr>
        <w:t>Weitz</w:t>
      </w:r>
      <w:r w:rsidR="0072517B">
        <w:t xml:space="preserve">) </w:t>
      </w:r>
      <w:r w:rsidRPr="00F11188" w:rsidR="00406049">
        <w:t xml:space="preserve">[making this statement </w:t>
      </w:r>
      <w:r w:rsidRPr="00F11188" w:rsidR="00563808">
        <w:t>in the context of vacating a default</w:t>
      </w:r>
      <w:r w:rsidRPr="00F11188" w:rsidR="00406049">
        <w:t>]</w:t>
      </w:r>
      <w:r w:rsidRPr="00F11188" w:rsidR="00F4212B">
        <w:t>.</w:t>
      </w:r>
      <w:r w:rsidRPr="00F11188" w:rsidR="00917533">
        <w:t>)</w:t>
      </w:r>
      <w:r w:rsidR="00AF6755">
        <w:t xml:space="preserve">  </w:t>
      </w:r>
      <w:r w:rsidRPr="00F11188" w:rsidR="00AF6755">
        <w:t>When individuals amend their complaints to incorporate new information,</w:t>
      </w:r>
      <w:r w:rsidR="00AF6755">
        <w:t xml:space="preserve"> </w:t>
      </w:r>
      <w:r w:rsidRPr="00F11188" w:rsidR="00AF6755">
        <w:t xml:space="preserve">it </w:t>
      </w:r>
      <w:r w:rsidR="00AF6755">
        <w:t xml:space="preserve">is </w:t>
      </w:r>
      <w:r w:rsidRPr="00F11188" w:rsidR="00AF6755">
        <w:t>reasonable to permit the targets of those complaints to answer, and by so doing, allow the litigation to proceed to “a hearing on the merits.”  (</w:t>
      </w:r>
      <w:r w:rsidRPr="00F11188" w:rsidR="00AF6755">
        <w:rPr>
          <w:i/>
          <w:iCs/>
        </w:rPr>
        <w:t>Ibid.</w:t>
      </w:r>
      <w:r w:rsidRPr="00F11188" w:rsidR="00AF6755">
        <w:t xml:space="preserve">)  The alternative </w:t>
      </w:r>
      <w:r w:rsidR="00AF6755">
        <w:t xml:space="preserve">— </w:t>
      </w:r>
      <w:r w:rsidRPr="00F11188" w:rsidR="00AF6755">
        <w:t>permit</w:t>
      </w:r>
      <w:r w:rsidR="00AF6755">
        <w:t>ting</w:t>
      </w:r>
      <w:r w:rsidRPr="00F11188" w:rsidR="00AF6755">
        <w:t xml:space="preserve"> plaintiffs to proceed straight to default without putting defendants on notice of sums </w:t>
      </w:r>
      <w:r w:rsidR="00AF6755">
        <w:t xml:space="preserve">that </w:t>
      </w:r>
      <w:r w:rsidRPr="00F11188" w:rsidR="00AF6755">
        <w:t>plaintiffs will claim are owing</w:t>
      </w:r>
      <w:r w:rsidR="00AF6755">
        <w:t xml:space="preserve"> — would be contrary to the purpose of section 580.  (See, e.g., </w:t>
      </w:r>
      <w:r w:rsidR="00AF6755">
        <w:rPr>
          <w:i/>
          <w:iCs/>
        </w:rPr>
        <w:t>Becker</w:t>
      </w:r>
      <w:r w:rsidR="00AF6755">
        <w:t xml:space="preserve">, </w:t>
      </w:r>
      <w:r w:rsidR="00AF6755">
        <w:rPr>
          <w:i/>
          <w:iCs/>
        </w:rPr>
        <w:t>supra</w:t>
      </w:r>
      <w:r w:rsidR="00AF6755">
        <w:t xml:space="preserve">, </w:t>
      </w:r>
      <w:r w:rsidRPr="00EB3795" w:rsidR="00AF6755">
        <w:t xml:space="preserve">27 Cal.3d </w:t>
      </w:r>
      <w:r w:rsidR="00AF6755">
        <w:t>at p.</w:t>
      </w:r>
      <w:r w:rsidRPr="00EB3795" w:rsidR="00AF6755">
        <w:t xml:space="preserve"> 493</w:t>
      </w:r>
      <w:r w:rsidR="00AF6755">
        <w:t>.)</w:t>
      </w:r>
    </w:p>
    <w:p w:rsidR="00F35357" w:rsidRPr="00F11188" w:rsidP="00F11188">
      <w:pPr>
        <w:ind w:firstLine="720"/>
      </w:pPr>
      <w:r w:rsidRPr="00F11188">
        <w:t>Second</w:t>
      </w:r>
      <w:r w:rsidRPr="00F11188" w:rsidR="00BC7E82">
        <w:t>,</w:t>
      </w:r>
      <w:r w:rsidRPr="00F11188" w:rsidR="00A839DE">
        <w:t xml:space="preserve"> not only has</w:t>
      </w:r>
      <w:r w:rsidRPr="00F11188" w:rsidR="005E6E51">
        <w:t xml:space="preserve"> </w:t>
      </w:r>
      <w:r w:rsidRPr="00F11188" w:rsidR="006056F8">
        <w:t xml:space="preserve">the Legislature </w:t>
      </w:r>
      <w:r w:rsidRPr="00F11188" w:rsidR="000B09CD">
        <w:t>forgone exempting</w:t>
      </w:r>
      <w:r w:rsidRPr="00F11188" w:rsidR="00934F64">
        <w:t xml:space="preserve"> </w:t>
      </w:r>
      <w:r w:rsidRPr="00F11188" w:rsidR="00A839DE">
        <w:t xml:space="preserve">accounting actions from the scope of section 580, it has </w:t>
      </w:r>
      <w:r w:rsidRPr="00F11188" w:rsidR="00E04455">
        <w:t>made clear that</w:t>
      </w:r>
      <w:r w:rsidRPr="00F11188" w:rsidR="00C33E2C">
        <w:t xml:space="preserve"> </w:t>
      </w:r>
      <w:r w:rsidRPr="00F11188" w:rsidR="00F3091B">
        <w:t>plaintiffs pleading</w:t>
      </w:r>
      <w:r w:rsidRPr="00F11188" w:rsidR="00C33E2C">
        <w:t xml:space="preserve"> </w:t>
      </w:r>
      <w:r w:rsidRPr="00F11188" w:rsidR="00F3091B">
        <w:t xml:space="preserve">claims involving an information asymmetry </w:t>
      </w:r>
      <w:r w:rsidRPr="00F11188" w:rsidR="003B024B">
        <w:t>like</w:t>
      </w:r>
      <w:r w:rsidRPr="00F11188" w:rsidR="00F3091B">
        <w:t xml:space="preserve"> that found in accounting actions </w:t>
      </w:r>
      <w:r w:rsidRPr="00F11188" w:rsidR="00F3091B">
        <w:rPr>
          <w:i/>
          <w:iCs/>
        </w:rPr>
        <w:t xml:space="preserve">are </w:t>
      </w:r>
      <w:r w:rsidRPr="00F11188" w:rsidR="00F3091B">
        <w:t xml:space="preserve">required </w:t>
      </w:r>
      <w:r w:rsidRPr="00F11188" w:rsidR="00E04455">
        <w:t>to give defendants notice of a specific amount of damages</w:t>
      </w:r>
      <w:r w:rsidRPr="00F11188" w:rsidR="00F3091B">
        <w:t xml:space="preserve"> before </w:t>
      </w:r>
      <w:r w:rsidRPr="00F11188" w:rsidR="00E04455">
        <w:t>a default may be taken.</w:t>
      </w:r>
      <w:r w:rsidRPr="00F11188" w:rsidR="000A54CF">
        <w:t xml:space="preserve">  Recall that individuals who seek punitive damages must file a statement </w:t>
      </w:r>
      <w:r w:rsidRPr="00F11188" w:rsidR="001120EE">
        <w:t xml:space="preserve">of damages </w:t>
      </w:r>
      <w:r w:rsidRPr="00F11188" w:rsidR="000A54CF">
        <w:t xml:space="preserve">in accordance with section 425.115.  </w:t>
      </w:r>
      <w:r w:rsidRPr="00F11188" w:rsidR="00696072">
        <w:t xml:space="preserve">This statement, as can be seen from the </w:t>
      </w:r>
      <w:r w:rsidRPr="00F11188" w:rsidR="00BD7881">
        <w:t>template</w:t>
      </w:r>
      <w:r w:rsidRPr="00F11188" w:rsidR="00696072">
        <w:t xml:space="preserve"> set out in </w:t>
      </w:r>
      <w:r w:rsidRPr="00F11188" w:rsidR="00C51959">
        <w:t>the provision</w:t>
      </w:r>
      <w:r w:rsidRPr="00F11188" w:rsidR="00696072">
        <w:t xml:space="preserve">, </w:t>
      </w:r>
      <w:r w:rsidRPr="00F11188" w:rsidR="008F3CBA">
        <w:t>requires plaintiffs to state that they reserve</w:t>
      </w:r>
      <w:r w:rsidRPr="00F11188" w:rsidR="0063752B">
        <w:t xml:space="preserve"> </w:t>
      </w:r>
      <w:r w:rsidRPr="00F11188" w:rsidR="008F3CBA">
        <w:t>the right to seek</w:t>
      </w:r>
      <w:r w:rsidRPr="00F11188" w:rsidR="00F06F14">
        <w:t xml:space="preserve"> </w:t>
      </w:r>
      <w:r w:rsidRPr="00F11188" w:rsidR="00696072">
        <w:t xml:space="preserve">a </w:t>
      </w:r>
      <w:r w:rsidRPr="00F11188" w:rsidR="0047500C">
        <w:t>maximum</w:t>
      </w:r>
      <w:r w:rsidRPr="00F11188" w:rsidR="00696072">
        <w:t xml:space="preserve"> dollar amount</w:t>
      </w:r>
      <w:r w:rsidRPr="00F11188" w:rsidR="006B4551">
        <w:t xml:space="preserve"> </w:t>
      </w:r>
      <w:r w:rsidR="0069057D">
        <w:t xml:space="preserve">as </w:t>
      </w:r>
      <w:r w:rsidRPr="00F11188" w:rsidR="006B4551">
        <w:t>punitive</w:t>
      </w:r>
      <w:r w:rsidR="00C5796D">
        <w:t xml:space="preserve">s.  </w:t>
      </w:r>
      <w:r w:rsidRPr="00F11188" w:rsidR="000A54CF">
        <w:t>(</w:t>
      </w:r>
      <w:r w:rsidRPr="00F11188" w:rsidR="00DD2448">
        <w:t>§ </w:t>
      </w:r>
      <w:r w:rsidRPr="00F11188" w:rsidR="000A54CF">
        <w:t>425.115, subd. (b)</w:t>
      </w:r>
      <w:r w:rsidRPr="00F11188" w:rsidR="002A56A0">
        <w:t>.)</w:t>
      </w:r>
      <w:r w:rsidRPr="00F11188" w:rsidR="006B4551">
        <w:t xml:space="preserve">  </w:t>
      </w:r>
      <w:r w:rsidR="00433EE7">
        <w:t>C</w:t>
      </w:r>
      <w:r w:rsidRPr="00F11188" w:rsidR="001B27A4">
        <w:t>rucial</w:t>
      </w:r>
      <w:r w:rsidR="00433EE7">
        <w:t>ly</w:t>
      </w:r>
      <w:r w:rsidRPr="00F11188" w:rsidR="001B27A4">
        <w:t xml:space="preserve"> here, a</w:t>
      </w:r>
      <w:r w:rsidRPr="00F11188" w:rsidR="003B15EA">
        <w:t xml:space="preserve">n important </w:t>
      </w:r>
      <w:r w:rsidRPr="00F11188" w:rsidR="00DB59F1">
        <w:t xml:space="preserve">factor in </w:t>
      </w:r>
      <w:r w:rsidRPr="00F11188" w:rsidR="00EE038E">
        <w:t xml:space="preserve">determining the proper amount of punitive damages is </w:t>
      </w:r>
      <w:r w:rsidRPr="00F11188" w:rsidR="005161D5">
        <w:t>a</w:t>
      </w:r>
      <w:r w:rsidRPr="00F11188" w:rsidR="00617E44">
        <w:t xml:space="preserve"> defendant</w:t>
      </w:r>
      <w:r w:rsidRPr="00F11188" w:rsidR="00D63C56">
        <w:t>’</w:t>
      </w:r>
      <w:r w:rsidRPr="00F11188" w:rsidR="005161D5">
        <w:t>s</w:t>
      </w:r>
      <w:r w:rsidRPr="00F11188" w:rsidR="00617E44">
        <w:t xml:space="preserve"> financial condition.  </w:t>
      </w:r>
      <w:r w:rsidRPr="00F11188" w:rsidR="00E15D49">
        <w:t>(See</w:t>
      </w:r>
      <w:r w:rsidRPr="00F11188" w:rsidR="007B604A">
        <w:t xml:space="preserve">, e.g., </w:t>
      </w:r>
      <w:r w:rsidRPr="00F11188" w:rsidR="00E15D49">
        <w:rPr>
          <w:i/>
        </w:rPr>
        <w:t>Adams v. Murakami</w:t>
      </w:r>
      <w:r w:rsidRPr="00F11188" w:rsidR="00E15D49">
        <w:t xml:space="preserve"> (1991) 54 Cal.3d 105, 109 [holding that “an award of punitive damages cannot be sustained on appeal unless the trial record contains meaningful evidence of the defendant’s financial condition” and “the plaintiff rather than the defendant </w:t>
      </w:r>
      <w:r w:rsidRPr="00F11188" w:rsidR="00F26F9F">
        <w:t xml:space="preserve">[is required] </w:t>
      </w:r>
      <w:r w:rsidRPr="00F11188" w:rsidR="00E15D49">
        <w:t xml:space="preserve">to introduce this evidence”]; </w:t>
      </w:r>
      <w:r w:rsidRPr="00F11188" w:rsidR="00E15D49">
        <w:rPr>
          <w:i/>
        </w:rPr>
        <w:t>Simon v. San Paolo U.S. Holding Co., Inc.</w:t>
      </w:r>
      <w:r w:rsidRPr="00F11188" w:rsidR="00E15D49">
        <w:t xml:space="preserve"> (2005) 35 Cal.4th 1159, 1185</w:t>
      </w:r>
      <w:r w:rsidRPr="00F11188" w:rsidR="007B604A">
        <w:t xml:space="preserve">; </w:t>
      </w:r>
      <w:r w:rsidRPr="00F11188" w:rsidR="007B604A">
        <w:rPr>
          <w:i/>
        </w:rPr>
        <w:t>Neal v. Farmers Ins. Exchange</w:t>
      </w:r>
      <w:r w:rsidRPr="00F11188" w:rsidR="007B604A">
        <w:t xml:space="preserve"> (1978) 21 Cal.3d 910, 928</w:t>
      </w:r>
      <w:r w:rsidRPr="00F11188" w:rsidR="00E15D49">
        <w:t xml:space="preserve">.)  </w:t>
      </w:r>
      <w:r w:rsidR="005A0845">
        <w:t xml:space="preserve">A defendant’s financial wherewithal </w:t>
      </w:r>
      <w:r w:rsidRPr="00F11188" w:rsidR="00617E44">
        <w:t xml:space="preserve">is </w:t>
      </w:r>
      <w:r w:rsidR="005A0845">
        <w:t xml:space="preserve">information </w:t>
      </w:r>
      <w:r w:rsidRPr="00F11188" w:rsidR="00617E44">
        <w:t xml:space="preserve">uniquely within </w:t>
      </w:r>
      <w:r w:rsidRPr="00F11188" w:rsidR="00FC2C3F">
        <w:t>a</w:t>
      </w:r>
      <w:r w:rsidRPr="00F11188" w:rsidR="00617E44">
        <w:t xml:space="preserve"> defendant</w:t>
      </w:r>
      <w:r w:rsidRPr="00F11188" w:rsidR="006E09C5">
        <w:t>’</w:t>
      </w:r>
      <w:r w:rsidRPr="00F11188" w:rsidR="00FC2C3F">
        <w:t>s</w:t>
      </w:r>
      <w:r w:rsidRPr="00F11188" w:rsidR="00617E44">
        <w:t xml:space="preserve"> knowledge and </w:t>
      </w:r>
      <w:r w:rsidRPr="00F11188" w:rsidR="00DD09DB">
        <w:t xml:space="preserve">likely </w:t>
      </w:r>
      <w:r w:rsidRPr="00F11188" w:rsidR="00617E44">
        <w:t xml:space="preserve">unknown to </w:t>
      </w:r>
      <w:r w:rsidRPr="00F11188" w:rsidR="00C35DF3">
        <w:t xml:space="preserve">a </w:t>
      </w:r>
      <w:r w:rsidRPr="00F11188" w:rsidR="00617E44">
        <w:t>plaintiff.  Yet</w:t>
      </w:r>
      <w:r w:rsidRPr="00F11188" w:rsidR="00D63C56">
        <w:t xml:space="preserve"> despite </w:t>
      </w:r>
      <w:r w:rsidR="000B0591">
        <w:t xml:space="preserve">plaintiffs’ </w:t>
      </w:r>
      <w:r w:rsidRPr="00F11188" w:rsidR="00D63C56">
        <w:t>relative lack of knowledge</w:t>
      </w:r>
      <w:r w:rsidR="00E473E3">
        <w:t xml:space="preserve"> and the difficulty some plaintiffs may experience in estimating the</w:t>
      </w:r>
      <w:r w:rsidR="00010FD0">
        <w:t>ir</w:t>
      </w:r>
      <w:r w:rsidR="00E473E3">
        <w:t xml:space="preserve"> </w:t>
      </w:r>
      <w:r w:rsidR="006655A4">
        <w:t>opponents</w:t>
      </w:r>
      <w:r w:rsidR="00E473E3">
        <w:t>’ financial worth</w:t>
      </w:r>
      <w:r w:rsidRPr="00F11188" w:rsidR="00617E44">
        <w:t xml:space="preserve">, the Legislature still requires </w:t>
      </w:r>
      <w:r w:rsidR="004F333C">
        <w:t>all plaintiffs</w:t>
      </w:r>
      <w:r w:rsidR="000B0591">
        <w:t xml:space="preserve"> </w:t>
      </w:r>
      <w:r w:rsidRPr="00F11188" w:rsidR="00617E44">
        <w:t xml:space="preserve">to inform </w:t>
      </w:r>
      <w:r w:rsidR="004F333C">
        <w:t>the persons sued</w:t>
      </w:r>
      <w:r w:rsidRPr="00F11188" w:rsidR="00617E44">
        <w:t xml:space="preserve"> of the amount of punitive damages </w:t>
      </w:r>
      <w:r w:rsidRPr="00F11188" w:rsidR="004D2E10">
        <w:t>being sought</w:t>
      </w:r>
      <w:r w:rsidRPr="00F11188" w:rsidR="00617E44">
        <w:t>.</w:t>
      </w:r>
      <w:r w:rsidRPr="00F11188" w:rsidR="0050017F">
        <w:t xml:space="preserve">  </w:t>
      </w:r>
      <w:r w:rsidRPr="00F11188" w:rsidR="00E624B6">
        <w:t xml:space="preserve">In the face of such legislative </w:t>
      </w:r>
      <w:r w:rsidRPr="00F11188" w:rsidR="001F1BC9">
        <w:t>choices</w:t>
      </w:r>
      <w:r w:rsidRPr="00F11188" w:rsidR="00E624B6">
        <w:t>, w</w:t>
      </w:r>
      <w:r w:rsidRPr="00F11188" w:rsidR="007D1DF6">
        <w:t xml:space="preserve">e see no basis to infer that </w:t>
      </w:r>
      <w:r w:rsidRPr="00F11188" w:rsidR="00CD2BCC">
        <w:t xml:space="preserve">the </w:t>
      </w:r>
      <w:r w:rsidRPr="00F11188" w:rsidR="006664FA">
        <w:t>Legislature</w:t>
      </w:r>
      <w:r w:rsidRPr="00F11188" w:rsidR="00CD2BCC">
        <w:t xml:space="preserve"> </w:t>
      </w:r>
      <w:r w:rsidRPr="00F11188" w:rsidR="007D1DF6">
        <w:t>intend</w:t>
      </w:r>
      <w:r w:rsidRPr="00F11188" w:rsidR="00C142EE">
        <w:t xml:space="preserve">s </w:t>
      </w:r>
      <w:r w:rsidRPr="00F11188" w:rsidR="00E77336">
        <w:t xml:space="preserve">for </w:t>
      </w:r>
      <w:r w:rsidRPr="00F11188" w:rsidR="00393446">
        <w:t>accounting actions to be treated differently</w:t>
      </w:r>
      <w:r w:rsidR="00665C4E">
        <w:t xml:space="preserve"> merely </w:t>
      </w:r>
      <w:r w:rsidR="00E473E3">
        <w:t>because some accounting plaintiffs may likewise have difficulty approximating the amounts owing</w:t>
      </w:r>
      <w:r w:rsidRPr="00F11188" w:rsidR="006664FA">
        <w:t>.</w:t>
      </w:r>
    </w:p>
    <w:p w:rsidR="0083577F" w:rsidRPr="00F11188" w:rsidP="00F11188">
      <w:pPr>
        <w:ind w:firstLine="720"/>
      </w:pPr>
      <w:r w:rsidRPr="00F11188">
        <w:t>Third</w:t>
      </w:r>
      <w:r w:rsidRPr="00F11188">
        <w:t xml:space="preserve">, a feature of California law </w:t>
      </w:r>
      <w:r w:rsidRPr="00F11188" w:rsidR="00120F7F">
        <w:t xml:space="preserve">makes notice </w:t>
      </w:r>
      <w:r w:rsidRPr="00F11188" w:rsidR="009272D8">
        <w:t>of damages</w:t>
      </w:r>
      <w:r w:rsidRPr="00F11188" w:rsidR="00242085">
        <w:t xml:space="preserve"> </w:t>
      </w:r>
      <w:r w:rsidRPr="00F11188" w:rsidR="00C94B83">
        <w:t>especially important</w:t>
      </w:r>
      <w:r w:rsidRPr="00F11188" w:rsidR="00DF0BB7">
        <w:t xml:space="preserve"> for defendants contemplating default</w:t>
      </w:r>
      <w:r w:rsidRPr="00F11188">
        <w:t xml:space="preserve">.  </w:t>
      </w:r>
      <w:r w:rsidRPr="00F11188" w:rsidR="00CD324E">
        <w:t xml:space="preserve">Unlike </w:t>
      </w:r>
      <w:r w:rsidRPr="00F11188">
        <w:t>federal law,</w:t>
      </w:r>
      <w:r>
        <w:rPr>
          <w:rStyle w:val="FootnoteReference"/>
        </w:rPr>
        <w:footnoteReference w:id="10"/>
      </w:r>
      <w:r w:rsidRPr="00F11188">
        <w:t xml:space="preserve"> </w:t>
      </w:r>
      <w:r w:rsidRPr="00F11188" w:rsidR="00CD324E">
        <w:t xml:space="preserve">California law does not </w:t>
      </w:r>
      <w:r w:rsidRPr="00F11188" w:rsidR="00447E0E">
        <w:t xml:space="preserve">give </w:t>
      </w:r>
      <w:r w:rsidRPr="00F11188" w:rsidR="00E826D5">
        <w:t xml:space="preserve">defaulting defendants </w:t>
      </w:r>
      <w:r w:rsidRPr="00F11188" w:rsidR="00447E0E">
        <w:t xml:space="preserve">the right </w:t>
      </w:r>
      <w:r w:rsidRPr="00F11188" w:rsidR="00E826D5">
        <w:t>to</w:t>
      </w:r>
      <w:r w:rsidRPr="00F11188">
        <w:t xml:space="preserve"> contest </w:t>
      </w:r>
      <w:r w:rsidRPr="00F11188" w:rsidR="0023685D">
        <w:t xml:space="preserve">the amount of </w:t>
      </w:r>
      <w:r w:rsidRPr="00F11188">
        <w:t xml:space="preserve">damages.  </w:t>
      </w:r>
      <w:r w:rsidRPr="00F11188" w:rsidR="00324CCF">
        <w:t>O</w:t>
      </w:r>
      <w:r w:rsidRPr="00F11188" w:rsidR="00DE793C">
        <w:t xml:space="preserve">ur </w:t>
      </w:r>
      <w:r w:rsidRPr="00F11188" w:rsidR="00A157C8">
        <w:t>authorities</w:t>
      </w:r>
      <w:r w:rsidRPr="00F11188" w:rsidR="00DE793C">
        <w:t xml:space="preserve"> indicate</w:t>
      </w:r>
      <w:r w:rsidRPr="00F11188" w:rsidR="00324CCF">
        <w:t xml:space="preserve"> that</w:t>
      </w:r>
      <w:r w:rsidRPr="00F11188" w:rsidR="00DE793C">
        <w:t xml:space="preserve"> </w:t>
      </w:r>
      <w:r w:rsidRPr="00F11188">
        <w:t>a defendant who default</w:t>
      </w:r>
      <w:r w:rsidRPr="00F11188" w:rsidR="00A96E26">
        <w:t>s</w:t>
      </w:r>
      <w:r w:rsidRPr="00F11188" w:rsidR="0002584C">
        <w:t xml:space="preserve"> </w:t>
      </w:r>
      <w:r w:rsidRPr="00F11188" w:rsidR="008C4D89">
        <w:t xml:space="preserve">is “out of court” and </w:t>
      </w:r>
      <w:r w:rsidRPr="00F11188" w:rsidR="00CA61C9">
        <w:t xml:space="preserve">not entitled to </w:t>
      </w:r>
      <w:r w:rsidRPr="00F11188" w:rsidR="0002584C">
        <w:t>participate in the prove</w:t>
      </w:r>
      <w:r w:rsidR="006211F4">
        <w:t>-</w:t>
      </w:r>
      <w:r w:rsidRPr="00F11188" w:rsidR="0002584C">
        <w:t xml:space="preserve">up hearing.  </w:t>
      </w:r>
      <w:r w:rsidRPr="00F11188" w:rsidR="00363F56">
        <w:t>(</w:t>
      </w:r>
      <w:r w:rsidRPr="00F11188" w:rsidR="00DC429D">
        <w:rPr>
          <w:i/>
        </w:rPr>
        <w:t>Christerson v. French</w:t>
      </w:r>
      <w:r w:rsidRPr="00F11188" w:rsidR="00DC429D">
        <w:t xml:space="preserve"> (1919) 180 Cal. 523, 525 [“A defendant against whom a default is entered is out of court and is not entitled to take any further steps in the cause affecting plaintiff</w:t>
      </w:r>
      <w:r w:rsidRPr="00F11188" w:rsidR="00D9446C">
        <w:t>’</w:t>
      </w:r>
      <w:r w:rsidRPr="00F11188" w:rsidR="00DC429D">
        <w:t xml:space="preserve">s right of action”]; </w:t>
      </w:r>
      <w:r w:rsidRPr="00F11188" w:rsidR="008C4D89">
        <w:t xml:space="preserve">see also, e.g., </w:t>
      </w:r>
      <w:r w:rsidRPr="00F11188" w:rsidR="00200929">
        <w:rPr>
          <w:i/>
        </w:rPr>
        <w:t>Title Ins</w:t>
      </w:r>
      <w:r w:rsidRPr="00F11188" w:rsidR="00B804DF">
        <w:rPr>
          <w:i/>
        </w:rPr>
        <w:t>urance</w:t>
      </w:r>
      <w:r w:rsidRPr="00F11188" w:rsidR="00200929">
        <w:t xml:space="preserve">, </w:t>
      </w:r>
      <w:r w:rsidRPr="00F11188" w:rsidR="00200929">
        <w:rPr>
          <w:i/>
        </w:rPr>
        <w:t>supra</w:t>
      </w:r>
      <w:r w:rsidRPr="00F11188" w:rsidR="00200929">
        <w:t>, 162 Cal. at p. 46</w:t>
      </w:r>
      <w:r w:rsidRPr="00F11188" w:rsidR="00291E30">
        <w:t xml:space="preserve"> [same]</w:t>
      </w:r>
      <w:r w:rsidRPr="00F11188" w:rsidR="00363F56">
        <w:t>;</w:t>
      </w:r>
      <w:r w:rsidRPr="00F11188" w:rsidR="00DC429D">
        <w:t xml:space="preserve"> </w:t>
      </w:r>
      <w:r w:rsidRPr="00F11188" w:rsidR="00AB0E3B">
        <w:rPr>
          <w:i/>
          <w:iCs/>
        </w:rPr>
        <w:t>Harbour Vista, LLC v. HSBC Mortgage Services Inc.</w:t>
      </w:r>
      <w:r w:rsidRPr="00F11188" w:rsidR="00AB0E3B">
        <w:t xml:space="preserve"> (2011) 201 Cal.App.4th 1496, 1502 [explaining that in “the ordinary default prove-up, </w:t>
      </w:r>
      <w:r w:rsidRPr="00F11188" w:rsidR="00CF7950">
        <w:t>. . .</w:t>
      </w:r>
      <w:r w:rsidRPr="00F11188" w:rsidR="00AB0E3B">
        <w:t xml:space="preserve"> a defendant has no right to participate”]; </w:t>
      </w:r>
      <w:r w:rsidRPr="00F11188" w:rsidR="00FF4195">
        <w:rPr>
          <w:i/>
          <w:iCs/>
        </w:rPr>
        <w:t>Garcia v. Politis</w:t>
      </w:r>
      <w:r w:rsidRPr="00F11188" w:rsidR="00FF4195">
        <w:t xml:space="preserve"> (2011) 192 Cal.App.4th 1474, 1479</w:t>
      </w:r>
      <w:r w:rsidRPr="00F11188" w:rsidR="00FF4195">
        <w:rPr>
          <w:i/>
          <w:iCs/>
        </w:rPr>
        <w:t xml:space="preserve"> </w:t>
      </w:r>
      <w:r w:rsidRPr="00F11188" w:rsidR="00FF4195">
        <w:t>[“a case in which a defendant</w:t>
      </w:r>
      <w:r w:rsidRPr="00F11188" w:rsidR="00EF6020">
        <w:t>’</w:t>
      </w:r>
      <w:r w:rsidRPr="00F11188" w:rsidR="00FF4195">
        <w:t xml:space="preserve">s default has been taken necessarily has no adversarial quality and the defaulted defendant would have no right to participate in the motion”]; </w:t>
      </w:r>
      <w:r w:rsidRPr="00F11188" w:rsidR="0034418E">
        <w:rPr>
          <w:i/>
          <w:iCs/>
        </w:rPr>
        <w:t>Barragan</w:t>
      </w:r>
      <w:r w:rsidRPr="00F11188" w:rsidR="0034418E">
        <w:t xml:space="preserve">, </w:t>
      </w:r>
      <w:r w:rsidRPr="00F11188" w:rsidR="0034418E">
        <w:rPr>
          <w:i/>
          <w:iCs/>
        </w:rPr>
        <w:t>supra</w:t>
      </w:r>
      <w:r w:rsidRPr="00F11188" w:rsidR="0034418E">
        <w:t xml:space="preserve">, </w:t>
      </w:r>
      <w:r w:rsidRPr="00F11188" w:rsidR="005A507A">
        <w:t>188 Cal.App.3d at pp. 302</w:t>
      </w:r>
      <w:r w:rsidR="007C1930">
        <w:t>–</w:t>
      </w:r>
      <w:r w:rsidRPr="00F11188" w:rsidR="005A507A">
        <w:t>303</w:t>
      </w:r>
      <w:r w:rsidRPr="00F11188" w:rsidR="0000041E">
        <w:t xml:space="preserve"> [despite ordering a second judgment hearing to ascertain the defendant’s net worth, </w:t>
      </w:r>
      <w:r w:rsidRPr="00F11188" w:rsidR="000B7AA6">
        <w:t>stipulating</w:t>
      </w:r>
      <w:r w:rsidRPr="00F11188" w:rsidR="0000041E">
        <w:t xml:space="preserve"> that the defendant “is not entitled to participate in any manner in the second judgment hearing”]</w:t>
      </w:r>
      <w:r w:rsidRPr="00F11188" w:rsidR="0034418E">
        <w:t xml:space="preserve">; </w:t>
      </w:r>
      <w:r w:rsidRPr="00F11188" w:rsidR="0015297A">
        <w:rPr>
          <w:i/>
          <w:iCs/>
        </w:rPr>
        <w:t>Devlin</w:t>
      </w:r>
      <w:r w:rsidRPr="00F11188" w:rsidR="0015297A">
        <w:rPr>
          <w:i/>
        </w:rPr>
        <w:t xml:space="preserve"> v. Kearny Mesa </w:t>
      </w:r>
      <w:r w:rsidRPr="00F11188" w:rsidR="006211F4">
        <w:rPr>
          <w:i/>
        </w:rPr>
        <w:t>A</w:t>
      </w:r>
      <w:r w:rsidR="006211F4">
        <w:rPr>
          <w:i/>
        </w:rPr>
        <w:t>MC</w:t>
      </w:r>
      <w:r w:rsidRPr="00F11188" w:rsidR="0015297A">
        <w:rPr>
          <w:i/>
        </w:rPr>
        <w:t>/Jeep/Renault</w:t>
      </w:r>
      <w:r w:rsidR="006211F4">
        <w:rPr>
          <w:i/>
        </w:rPr>
        <w:t>, Inc.</w:t>
      </w:r>
      <w:r w:rsidRPr="00F11188" w:rsidR="0015297A">
        <w:t xml:space="preserve"> (1984) 155</w:t>
      </w:r>
      <w:r w:rsidR="005A1CFD">
        <w:t> </w:t>
      </w:r>
      <w:r w:rsidRPr="00F11188" w:rsidR="0015297A">
        <w:t>Cal.App.3d 381, 385</w:t>
      </w:r>
      <w:r w:rsidRPr="00F11188" w:rsidR="00E31D32">
        <w:t xml:space="preserve"> [</w:t>
      </w:r>
      <w:r w:rsidRPr="00F11188" w:rsidR="000F0D6B">
        <w:t xml:space="preserve">stating that the defendant </w:t>
      </w:r>
      <w:r w:rsidRPr="00F11188" w:rsidR="00E31D32">
        <w:t>“having defaulted, knew it could not participate in a judgment hearing”]</w:t>
      </w:r>
      <w:r w:rsidRPr="00F11188" w:rsidR="0015297A">
        <w:t xml:space="preserve">; </w:t>
      </w:r>
      <w:r w:rsidRPr="00F11188" w:rsidR="003C499E">
        <w:rPr>
          <w:i/>
        </w:rPr>
        <w:t>Don v. Cruz</w:t>
      </w:r>
      <w:r w:rsidRPr="00F11188" w:rsidR="003C499E">
        <w:t xml:space="preserve"> (1982) 131 Cal.App.3d 695, 702 [</w:t>
      </w:r>
      <w:r w:rsidRPr="00F11188" w:rsidR="005A100F">
        <w:t>observing</w:t>
      </w:r>
      <w:r w:rsidRPr="00F11188" w:rsidR="003C499E">
        <w:t xml:space="preserve"> that the </w:t>
      </w:r>
      <w:r w:rsidRPr="00F11188" w:rsidR="003973A9">
        <w:t>defaulting defendant</w:t>
      </w:r>
      <w:r w:rsidRPr="00F11188" w:rsidR="003C499E">
        <w:t xml:space="preserve"> “did not and could not participate in the judgment hearing”]</w:t>
      </w:r>
      <w:r w:rsidRPr="00F11188" w:rsidR="00DC429D">
        <w:t xml:space="preserve">; </w:t>
      </w:r>
      <w:r w:rsidRPr="00F11188" w:rsidR="00363F56">
        <w:t>but see</w:t>
      </w:r>
      <w:r w:rsidRPr="00F11188" w:rsidR="004B723D">
        <w:t xml:space="preserve"> </w:t>
      </w:r>
      <w:r w:rsidRPr="00F11188" w:rsidR="000E38D2">
        <w:rPr>
          <w:i/>
        </w:rPr>
        <w:t>Cassel</w:t>
      </w:r>
      <w:r w:rsidR="006F7566">
        <w:rPr>
          <w:i/>
        </w:rPr>
        <w:t xml:space="preserve"> v. Sullivan, Roche &amp; Johnson</w:t>
      </w:r>
      <w:r w:rsidRPr="00F11188" w:rsidR="000E38D2">
        <w:t xml:space="preserve">, </w:t>
      </w:r>
      <w:r w:rsidRPr="00F11188" w:rsidR="000E38D2">
        <w:rPr>
          <w:i/>
        </w:rPr>
        <w:t>supra</w:t>
      </w:r>
      <w:r w:rsidRPr="00F11188" w:rsidR="000E38D2">
        <w:t>, 76 Cal.App.4th at p.</w:t>
      </w:r>
      <w:r w:rsidR="00AF5DD4">
        <w:t> </w:t>
      </w:r>
      <w:r w:rsidRPr="00F11188" w:rsidR="000E38D2">
        <w:t>1159</w:t>
      </w:r>
      <w:r w:rsidR="00C41A6A">
        <w:t xml:space="preserve"> (</w:t>
      </w:r>
      <w:r w:rsidR="00C41A6A">
        <w:rPr>
          <w:i/>
          <w:iCs/>
        </w:rPr>
        <w:t>Cassel</w:t>
      </w:r>
      <w:r w:rsidR="00C41A6A">
        <w:t>)</w:t>
      </w:r>
      <w:r w:rsidRPr="00F11188" w:rsidR="00C90E78">
        <w:t xml:space="preserve"> </w:t>
      </w:r>
      <w:r w:rsidRPr="00F11188" w:rsidR="000B7D5F">
        <w:t>[</w:t>
      </w:r>
      <w:r w:rsidRPr="00F11188" w:rsidR="00DA361C">
        <w:t>noting,</w:t>
      </w:r>
      <w:r w:rsidRPr="00F11188" w:rsidR="005E1243">
        <w:t xml:space="preserve"> </w:t>
      </w:r>
      <w:r w:rsidRPr="00F11188" w:rsidR="00DA361C">
        <w:t>without comment</w:t>
      </w:r>
      <w:r w:rsidRPr="00F11188" w:rsidR="00FC3099">
        <w:t>,</w:t>
      </w:r>
      <w:r w:rsidRPr="00F11188" w:rsidR="00DA361C">
        <w:t xml:space="preserve"> that a </w:t>
      </w:r>
      <w:r w:rsidRPr="00F11188" w:rsidR="001B2B3A">
        <w:t>“ </w:t>
      </w:r>
      <w:r w:rsidRPr="00F11188" w:rsidR="00404FFD">
        <w:t>‘</w:t>
      </w:r>
      <w:r w:rsidRPr="00F11188" w:rsidR="00DA361C">
        <w:t xml:space="preserve">prove-up’ hearing was held, in which the [defendant] fully participated by presenting its own witnesses and evidence, and cross-examining </w:t>
      </w:r>
      <w:r w:rsidRPr="00F11188" w:rsidR="002E13DB">
        <w:t>[the plaintiff’s]</w:t>
      </w:r>
      <w:r w:rsidRPr="00F11188" w:rsidR="00DA361C">
        <w:t xml:space="preserve"> witnesses</w:t>
      </w:r>
      <w:r w:rsidRPr="00F11188" w:rsidR="000926BD">
        <w:t>”</w:t>
      </w:r>
      <w:r w:rsidRPr="00F11188" w:rsidR="000B7D5F">
        <w:t>]</w:t>
      </w:r>
      <w:r w:rsidRPr="00F11188" w:rsidR="00363F56">
        <w:t xml:space="preserve">.)  </w:t>
      </w:r>
      <w:r w:rsidRPr="00F11188" w:rsidR="00DD105E">
        <w:t>In light of the fact that defendant</w:t>
      </w:r>
      <w:r w:rsidRPr="00F11188" w:rsidR="00B154E5">
        <w:t>s</w:t>
      </w:r>
      <w:r w:rsidRPr="00F11188" w:rsidR="00DD105E">
        <w:t xml:space="preserve"> </w:t>
      </w:r>
      <w:r w:rsidR="006211F4">
        <w:t xml:space="preserve">who are </w:t>
      </w:r>
      <w:r w:rsidRPr="00F11188" w:rsidR="00DD105E">
        <w:t>sued in California court</w:t>
      </w:r>
      <w:r w:rsidRPr="00F11188" w:rsidR="00291AB8">
        <w:t>s</w:t>
      </w:r>
      <w:r w:rsidRPr="00F11188" w:rsidR="00DD105E">
        <w:t xml:space="preserve"> do not appear to have the right to contest damages after default, </w:t>
      </w:r>
      <w:r w:rsidR="005D3874">
        <w:t xml:space="preserve">we must </w:t>
      </w:r>
      <w:r w:rsidR="00FF734A">
        <w:t>take special care</w:t>
      </w:r>
      <w:r w:rsidR="005D3874">
        <w:t xml:space="preserve"> </w:t>
      </w:r>
      <w:r w:rsidR="00FF734A">
        <w:t xml:space="preserve">to preserve </w:t>
      </w:r>
      <w:r w:rsidRPr="00F11188" w:rsidR="00B154E5">
        <w:t>the notice given to</w:t>
      </w:r>
      <w:r w:rsidRPr="00F11188" w:rsidR="00527713">
        <w:t xml:space="preserve"> such defendants</w:t>
      </w:r>
      <w:r w:rsidR="00FF734A">
        <w:t>.</w:t>
      </w:r>
    </w:p>
    <w:p w:rsidR="00E36E5C" w:rsidRPr="00F11188" w:rsidP="00F11188">
      <w:r w:rsidRPr="00F11188">
        <w:tab/>
        <w:t xml:space="preserve">Finally, we are mindful that </w:t>
      </w:r>
      <w:r w:rsidRPr="00F11188" w:rsidR="00EE75B8">
        <w:t>ex</w:t>
      </w:r>
      <w:r w:rsidRPr="00F11188" w:rsidR="00EC35AC">
        <w:t xml:space="preserve">cusing </w:t>
      </w:r>
      <w:r w:rsidRPr="00F11188" w:rsidR="00002837">
        <w:t xml:space="preserve">accounting </w:t>
      </w:r>
      <w:r w:rsidRPr="00F11188" w:rsidR="00825318">
        <w:t>actions from the limitations on default judgment</w:t>
      </w:r>
      <w:r w:rsidRPr="00F11188" w:rsidR="00E853B6">
        <w:t>s</w:t>
      </w:r>
      <w:r w:rsidRPr="00F11188" w:rsidR="00825318">
        <w:t xml:space="preserve"> </w:t>
      </w:r>
      <w:r w:rsidRPr="00F11188" w:rsidR="00716800">
        <w:t>m</w:t>
      </w:r>
      <w:r w:rsidR="00870492">
        <w:t>ight</w:t>
      </w:r>
      <w:r w:rsidRPr="00F11188" w:rsidR="00716800">
        <w:t xml:space="preserve"> encourage strategic pleading of such actions.</w:t>
      </w:r>
      <w:r w:rsidRPr="00F11188" w:rsidR="003C625E">
        <w:t xml:space="preserve">  </w:t>
      </w:r>
      <w:r w:rsidRPr="00A5552F" w:rsidR="00A5552F">
        <w:t>In this case, for example, plaintiff prayed for an accounting of both the Hollywood and Oakley properties.  Yet, given that sales of real estate are publicly recorded</w:t>
      </w:r>
      <w:r w:rsidR="009F44DD">
        <w:t>,</w:t>
      </w:r>
      <w:r w:rsidRPr="00A5552F" w:rsidR="00A5552F">
        <w:t xml:space="preserve"> the estimates of their market value are readily available,</w:t>
      </w:r>
      <w:r w:rsidR="009F44DD">
        <w:t xml:space="preserve"> and plaintiff </w:t>
      </w:r>
      <w:r w:rsidR="00045389">
        <w:t xml:space="preserve">has pleaded she </w:t>
      </w:r>
      <w:r w:rsidR="009F44DD">
        <w:t>simply wants half the value of the properties</w:t>
      </w:r>
      <w:r w:rsidR="00DB17D1">
        <w:t xml:space="preserve"> (with no offsets for the fact that Cohen borne all the acquisition costs or any mention</w:t>
      </w:r>
      <w:r w:rsidR="00B31700">
        <w:t xml:space="preserve"> of</w:t>
      </w:r>
      <w:r w:rsidR="00DB17D1">
        <w:t xml:space="preserve"> differentiated maintenance costs)</w:t>
      </w:r>
      <w:r w:rsidR="009F44DD">
        <w:t>,</w:t>
      </w:r>
      <w:r w:rsidRPr="00A5552F" w:rsidR="00A5552F">
        <w:t xml:space="preserve"> it is unclear why plaintiff needed an accounting from Cohe</w:t>
      </w:r>
      <w:r w:rsidR="00FE3081">
        <w:t xml:space="preserve">n </w:t>
      </w:r>
      <w:r w:rsidRPr="00A5552F" w:rsidR="00A5552F">
        <w:t xml:space="preserve">to estimate the amount of damages she was entitled to with regard to these assets.  </w:t>
      </w:r>
      <w:r w:rsidRPr="00F11188" w:rsidR="00A96B5B">
        <w:t>Were we to rule</w:t>
      </w:r>
      <w:r w:rsidRPr="00F11188" w:rsidR="00C35CFC">
        <w:t xml:space="preserve"> for </w:t>
      </w:r>
      <w:r w:rsidR="003D2BD1">
        <w:t>plaintiff</w:t>
      </w:r>
      <w:r w:rsidRPr="00F11188" w:rsidR="00C35CFC">
        <w:t xml:space="preserve">, </w:t>
      </w:r>
      <w:r w:rsidRPr="00F11188" w:rsidR="00C9237C">
        <w:t xml:space="preserve">we would </w:t>
      </w:r>
      <w:r w:rsidRPr="00F11188" w:rsidR="0005374B">
        <w:t xml:space="preserve">be </w:t>
      </w:r>
      <w:r w:rsidRPr="00F11188" w:rsidR="00A96B5B">
        <w:t>giv</w:t>
      </w:r>
      <w:r w:rsidRPr="00F11188" w:rsidR="0005374B">
        <w:t>ing</w:t>
      </w:r>
      <w:r w:rsidRPr="00F11188" w:rsidR="00C9237C">
        <w:t xml:space="preserve"> </w:t>
      </w:r>
      <w:r w:rsidRPr="00F11188" w:rsidR="0005374B">
        <w:t>her</w:t>
      </w:r>
      <w:r w:rsidRPr="00F11188" w:rsidR="00F43F6E">
        <w:t xml:space="preserve"> — </w:t>
      </w:r>
      <w:r w:rsidRPr="00F11188" w:rsidR="0005374B">
        <w:t xml:space="preserve">and </w:t>
      </w:r>
      <w:r w:rsidRPr="00F11188" w:rsidR="00EC238D">
        <w:t>other</w:t>
      </w:r>
      <w:r w:rsidRPr="00F11188" w:rsidR="0005374B">
        <w:t xml:space="preserve"> litigants</w:t>
      </w:r>
      <w:r w:rsidRPr="00F11188" w:rsidR="00F43F6E">
        <w:t xml:space="preserve"> —</w:t>
      </w:r>
      <w:r w:rsidRPr="00F11188" w:rsidR="00F661CA">
        <w:t xml:space="preserve"> </w:t>
      </w:r>
      <w:r w:rsidRPr="00F11188" w:rsidR="00F87BFF">
        <w:t xml:space="preserve">an </w:t>
      </w:r>
      <w:r w:rsidRPr="00F11188" w:rsidR="00C9237C">
        <w:t>additional incentive to plead such an action</w:t>
      </w:r>
      <w:r w:rsidRPr="00F11188" w:rsidR="00F87BFF">
        <w:t>,</w:t>
      </w:r>
      <w:r w:rsidRPr="00F11188" w:rsidR="00D4602E">
        <w:t xml:space="preserve"> regardless of whether they are truly without mea</w:t>
      </w:r>
      <w:r w:rsidRPr="00F11188" w:rsidR="009B361C">
        <w:t>ns</w:t>
      </w:r>
      <w:r w:rsidRPr="00F11188" w:rsidR="00D4602E">
        <w:t xml:space="preserve"> to estimate the amount of </w:t>
      </w:r>
      <w:r w:rsidR="00377557">
        <w:t>dollars</w:t>
      </w:r>
      <w:r w:rsidRPr="00F11188" w:rsidR="00377557">
        <w:t xml:space="preserve"> </w:t>
      </w:r>
      <w:r w:rsidRPr="00F11188" w:rsidR="00D4602E">
        <w:t>owing</w:t>
      </w:r>
      <w:r w:rsidRPr="00F11188" w:rsidR="00C9237C">
        <w:t>.</w:t>
      </w:r>
    </w:p>
    <w:p w:rsidR="00513950" w:rsidRPr="009771AD" w:rsidP="00F11188">
      <w:r w:rsidRPr="00F11188">
        <w:tab/>
      </w:r>
      <w:r w:rsidRPr="00F11188" w:rsidR="009D1223">
        <w:t xml:space="preserve">For these reasons, we hold that </w:t>
      </w:r>
      <w:r w:rsidRPr="00F11188">
        <w:t xml:space="preserve">to support a default judgment awarding </w:t>
      </w:r>
      <w:r w:rsidR="00C74A05">
        <w:t>monetary relief</w:t>
      </w:r>
      <w:r w:rsidRPr="00F11188">
        <w:t xml:space="preserve">, </w:t>
      </w:r>
      <w:r w:rsidRPr="00F11188" w:rsidR="00FB7B05">
        <w:t xml:space="preserve">a </w:t>
      </w:r>
      <w:r w:rsidRPr="00F11188" w:rsidR="008A188B">
        <w:t>party</w:t>
      </w:r>
      <w:r w:rsidRPr="00F11188" w:rsidR="00FB7B05">
        <w:t xml:space="preserve"> alleging an accounting action must </w:t>
      </w:r>
      <w:r w:rsidRPr="00F11188" w:rsidR="00931109">
        <w:t xml:space="preserve">have </w:t>
      </w:r>
      <w:r w:rsidRPr="00F11188" w:rsidR="00AE37D7">
        <w:t>included in the operative pleading an</w:t>
      </w:r>
      <w:r w:rsidRPr="00F11188" w:rsidR="00FB7B05">
        <w:t xml:space="preserve"> </w:t>
      </w:r>
      <w:r w:rsidRPr="00F11188" w:rsidR="00AE37D7">
        <w:t xml:space="preserve">estimate of a specific </w:t>
      </w:r>
      <w:r w:rsidRPr="00F11188" w:rsidR="00FB7B05">
        <w:t xml:space="preserve">amount </w:t>
      </w:r>
      <w:r w:rsidRPr="00F11188" w:rsidR="00B65D0F">
        <w:t>of money</w:t>
      </w:r>
      <w:r w:rsidRPr="00F11188" w:rsidR="00FB7B05">
        <w:t>.</w:t>
      </w:r>
      <w:r w:rsidR="00CA10D8">
        <w:t xml:space="preserve">  We acknowledge that </w:t>
      </w:r>
      <w:r w:rsidR="000A7C5D">
        <w:t xml:space="preserve">in some cases plaintiffs may truly have no idea of the amount of damages they have suffered and can include no estimates of </w:t>
      </w:r>
      <w:r w:rsidR="00E61780">
        <w:t xml:space="preserve">damages </w:t>
      </w:r>
      <w:r w:rsidR="000A7C5D">
        <w:t xml:space="preserve">in their complaints.  </w:t>
      </w:r>
      <w:r w:rsidRPr="009771AD" w:rsidR="000A7C5D">
        <w:t>In such</w:t>
      </w:r>
      <w:r w:rsidRPr="009771AD" w:rsidR="00E61780">
        <w:t xml:space="preserve"> </w:t>
      </w:r>
      <w:r w:rsidRPr="009771AD" w:rsidR="000A7C5D">
        <w:t>instances,</w:t>
      </w:r>
      <w:r w:rsidRPr="009771AD" w:rsidR="00E61780">
        <w:t xml:space="preserve"> </w:t>
      </w:r>
      <w:r w:rsidR="006A39D1">
        <w:t>we recognize the</w:t>
      </w:r>
      <w:r w:rsidRPr="009771AD" w:rsidR="00E61780">
        <w:t xml:space="preserve"> inequity to </w:t>
      </w:r>
      <w:r w:rsidR="006A39D1">
        <w:t>litigants</w:t>
      </w:r>
      <w:r w:rsidRPr="009771AD" w:rsidR="00E61780">
        <w:t xml:space="preserve"> who </w:t>
      </w:r>
      <w:r w:rsidRPr="009771AD" w:rsidR="00912FC2">
        <w:t>may be barred from recovery in default proceedings because they lack the knowledge to assess their damages.</w:t>
      </w:r>
    </w:p>
    <w:p w:rsidR="00CA10D8" w:rsidRPr="00F11188" w:rsidP="00F11188">
      <w:r w:rsidRPr="009771AD">
        <w:tab/>
      </w:r>
      <w:r w:rsidRPr="009771AD" w:rsidR="00912FC2">
        <w:t xml:space="preserve">Still, </w:t>
      </w:r>
      <w:r w:rsidR="00410ABE">
        <w:t>the</w:t>
      </w:r>
      <w:r w:rsidRPr="009771AD" w:rsidR="00410ABE">
        <w:t xml:space="preserve"> </w:t>
      </w:r>
      <w:r w:rsidRPr="009771AD" w:rsidR="0032622B">
        <w:t xml:space="preserve">inequity </w:t>
      </w:r>
      <w:r w:rsidR="000475C4">
        <w:t xml:space="preserve">in </w:t>
      </w:r>
      <w:r w:rsidR="00050E36">
        <w:t xml:space="preserve">such </w:t>
      </w:r>
      <w:r w:rsidR="00566C8B">
        <w:t xml:space="preserve">presumably </w:t>
      </w:r>
      <w:r w:rsidR="002339A1">
        <w:t xml:space="preserve">unusual circumstances </w:t>
      </w:r>
      <w:r w:rsidRPr="009771AD" w:rsidR="0032622B">
        <w:t xml:space="preserve">does not justify allowing </w:t>
      </w:r>
      <w:r w:rsidRPr="009771AD" w:rsidR="0032622B">
        <w:rPr>
          <w:i/>
          <w:iCs/>
        </w:rPr>
        <w:t xml:space="preserve">all </w:t>
      </w:r>
      <w:r w:rsidRPr="009771AD" w:rsidR="0032622B">
        <w:t>plaintiffs alleging an accounting action to sidestep the requirements of section 580 —</w:t>
      </w:r>
      <w:r w:rsidR="008F50F7">
        <w:t xml:space="preserve"> </w:t>
      </w:r>
      <w:r w:rsidR="0092175F">
        <w:t>and this is especially so</w:t>
      </w:r>
      <w:r w:rsidRPr="009771AD" w:rsidR="0092175F">
        <w:t xml:space="preserve"> </w:t>
      </w:r>
      <w:r w:rsidRPr="009771AD" w:rsidR="0032622B">
        <w:t xml:space="preserve">when other mechanisms exist to ameliorate the unfairness that may inhere in </w:t>
      </w:r>
      <w:r w:rsidR="00703FB6">
        <w:t>some</w:t>
      </w:r>
      <w:r w:rsidRPr="009771AD" w:rsidR="00703FB6">
        <w:t xml:space="preserve"> </w:t>
      </w:r>
      <w:r w:rsidRPr="009771AD" w:rsidR="0032622B">
        <w:t>cases.</w:t>
      </w:r>
      <w:r w:rsidR="0032622B">
        <w:t xml:space="preserve">  </w:t>
      </w:r>
      <w:r w:rsidR="008A54F8">
        <w:t>W</w:t>
      </w:r>
      <w:r w:rsidR="001E6AD6">
        <w:t xml:space="preserve">hen a defendant fails to answer a complaint that seeks an accounting but does not provide an estimate of damages, </w:t>
      </w:r>
      <w:r w:rsidR="0032622B">
        <w:t xml:space="preserve">the trial court </w:t>
      </w:r>
      <w:r w:rsidR="000904E2">
        <w:t>need not proceed straight to</w:t>
      </w:r>
      <w:r w:rsidR="001E6AD6">
        <w:t xml:space="preserve"> a prove-up hearing</w:t>
      </w:r>
      <w:r w:rsidR="0032622B">
        <w:t xml:space="preserve">.  Assuming that the plaintiff has demonstrated </w:t>
      </w:r>
      <w:r w:rsidR="0033335F">
        <w:t>an</w:t>
      </w:r>
      <w:r w:rsidR="00F866A5">
        <w:t xml:space="preserve"> </w:t>
      </w:r>
      <w:r w:rsidR="0032622B">
        <w:t>entitle</w:t>
      </w:r>
      <w:r w:rsidR="00F866A5">
        <w:t xml:space="preserve">ment </w:t>
      </w:r>
      <w:r w:rsidR="0032622B">
        <w:t xml:space="preserve">to an accounting, the court can </w:t>
      </w:r>
      <w:r w:rsidR="003D2BD1">
        <w:t>order an accounting</w:t>
      </w:r>
      <w:r w:rsidR="0032622B">
        <w:t xml:space="preserve">.  (See </w:t>
      </w:r>
      <w:r w:rsidR="009771AD">
        <w:t>§ </w:t>
      </w:r>
      <w:r w:rsidR="00FE3980">
        <w:t>585, subd. (b)</w:t>
      </w:r>
      <w:r w:rsidR="009771AD">
        <w:t xml:space="preserve">; </w:t>
      </w:r>
      <w:r w:rsidRPr="009771AD" w:rsidR="009771AD">
        <w:rPr>
          <w:i/>
          <w:iCs/>
        </w:rPr>
        <w:t>Weiss v. Blumencranc</w:t>
      </w:r>
      <w:r w:rsidRPr="009771AD" w:rsidR="009771AD">
        <w:t xml:space="preserve"> (1976) 61 Cal.App.3d 536, 538</w:t>
      </w:r>
      <w:r w:rsidR="00FE3980">
        <w:t xml:space="preserve"> [in a case in which </w:t>
      </w:r>
      <w:r w:rsidR="008D4C46">
        <w:t xml:space="preserve">the </w:t>
      </w:r>
      <w:r w:rsidR="00FE3980">
        <w:t>plaintiff sought dissolution of a partnership, appointment of a receiver, and an accounting, the court rendered a default judgment finding there was a partnership, appointing a receiver, “</w:t>
      </w:r>
      <w:r w:rsidRPr="00FE3980" w:rsidR="00FE3980">
        <w:t>order</w:t>
      </w:r>
      <w:r w:rsidR="00FE3980">
        <w:t>[ing]</w:t>
      </w:r>
      <w:r w:rsidRPr="00FE3980" w:rsidR="00FE3980">
        <w:t xml:space="preserve"> a full accounting of all partnership assets</w:t>
      </w:r>
      <w:r w:rsidR="00FE3980">
        <w:t xml:space="preserve"> . . . [and holding]</w:t>
      </w:r>
      <w:r w:rsidRPr="00FE3980" w:rsidR="00FE3980">
        <w:t xml:space="preserve"> in abeyance the determination as to punitive damages until the accounting of the assets of the partnership was completed</w:t>
      </w:r>
      <w:r w:rsidR="00FE3980">
        <w:t xml:space="preserve">”].)  </w:t>
      </w:r>
      <w:r w:rsidR="0033335F">
        <w:t>The accounting</w:t>
      </w:r>
      <w:r w:rsidR="00FE3980">
        <w:t xml:space="preserve"> affords the plaintiff “</w:t>
      </w:r>
      <w:r w:rsidRPr="00FE3980" w:rsidR="00FE3980">
        <w:t>a means of discovery</w:t>
      </w:r>
      <w:r w:rsidR="00FE3980">
        <w:t xml:space="preserve">,” furnishing </w:t>
      </w:r>
      <w:r w:rsidR="006211F4">
        <w:t xml:space="preserve">him or </w:t>
      </w:r>
      <w:r w:rsidR="00FE3980">
        <w:t xml:space="preserve">her with information to </w:t>
      </w:r>
      <w:r w:rsidR="00CA1AA7">
        <w:t>determine</w:t>
      </w:r>
      <w:r w:rsidR="00FE3980">
        <w:t xml:space="preserve"> </w:t>
      </w:r>
      <w:r w:rsidR="006211F4">
        <w:t xml:space="preserve">his or </w:t>
      </w:r>
      <w:r w:rsidR="00FE3980">
        <w:t>her damages.</w:t>
      </w:r>
      <w:r w:rsidR="00137874">
        <w:t xml:space="preserve">  (</w:t>
      </w:r>
      <w:r w:rsidRPr="00F11188" w:rsidR="00137874">
        <w:rPr>
          <w:i/>
        </w:rPr>
        <w:t>Teselle</w:t>
      </w:r>
      <w:r w:rsidRPr="00F11188" w:rsidR="00137874">
        <w:t xml:space="preserve">, </w:t>
      </w:r>
      <w:r w:rsidRPr="00F11188" w:rsidR="00137874">
        <w:rPr>
          <w:i/>
        </w:rPr>
        <w:t>supra</w:t>
      </w:r>
      <w:r w:rsidRPr="00F11188" w:rsidR="00137874">
        <w:t>, 173 Cal.App.4th at p. 180</w:t>
      </w:r>
      <w:r w:rsidR="00137874">
        <w:t>.)</w:t>
      </w:r>
      <w:r w:rsidR="00CD686E">
        <w:t xml:space="preserve">  In this way, a plaintiff’s </w:t>
      </w:r>
      <w:r w:rsidR="00640895">
        <w:t xml:space="preserve">initial </w:t>
      </w:r>
      <w:r w:rsidR="00CD686E">
        <w:t xml:space="preserve">lack of knowledge need not </w:t>
      </w:r>
      <w:r w:rsidR="00640895">
        <w:t xml:space="preserve">mean </w:t>
      </w:r>
      <w:r w:rsidR="006211F4">
        <w:t xml:space="preserve">he or </w:t>
      </w:r>
      <w:r w:rsidR="00640895">
        <w:t xml:space="preserve">she </w:t>
      </w:r>
      <w:r w:rsidR="00275C0A">
        <w:t>is without remedy</w:t>
      </w:r>
      <w:r w:rsidR="00640895">
        <w:t xml:space="preserve"> </w:t>
      </w:r>
      <w:r w:rsidR="00CD686E">
        <w:t>because of the defendant’s default.</w:t>
      </w:r>
      <w:r>
        <w:rPr>
          <w:rStyle w:val="FootnoteReference"/>
        </w:rPr>
        <w:footnoteReference w:id="11"/>
      </w:r>
    </w:p>
    <w:p w:rsidR="00655814" w:rsidRPr="00F11188" w:rsidP="00F11188">
      <w:pPr>
        <w:ind w:firstLine="720"/>
      </w:pPr>
      <w:r>
        <w:t>Plaintiff</w:t>
      </w:r>
      <w:r w:rsidR="00640895">
        <w:t xml:space="preserve"> </w:t>
      </w:r>
      <w:r w:rsidRPr="00F11188" w:rsidR="009948C3">
        <w:t xml:space="preserve">urges us to a different conclusion.  </w:t>
      </w:r>
      <w:r w:rsidR="00640895">
        <w:t xml:space="preserve">Her </w:t>
      </w:r>
      <w:r w:rsidRPr="00F11188" w:rsidR="009948C3">
        <w:t xml:space="preserve">argument relies </w:t>
      </w:r>
      <w:r w:rsidRPr="00F11188" w:rsidR="00CA69BD">
        <w:t xml:space="preserve">on a line of cases that </w:t>
      </w:r>
      <w:r w:rsidRPr="00F11188" w:rsidR="00823FC9">
        <w:t xml:space="preserve">began with </w:t>
      </w:r>
      <w:r w:rsidRPr="00F11188" w:rsidR="00823FC9">
        <w:rPr>
          <w:i/>
        </w:rPr>
        <w:t>Lippel</w:t>
      </w:r>
      <w:r w:rsidRPr="00F11188" w:rsidR="00823FC9">
        <w:t xml:space="preserve"> and cumulat</w:t>
      </w:r>
      <w:r w:rsidRPr="00F11188" w:rsidR="002D7132">
        <w:t>ed</w:t>
      </w:r>
      <w:r w:rsidRPr="00F11188" w:rsidR="00823FC9">
        <w:t xml:space="preserve"> in </w:t>
      </w:r>
      <w:r w:rsidRPr="00F11188" w:rsidR="00953A95">
        <w:rPr>
          <w:i/>
        </w:rPr>
        <w:t>Cassel</w:t>
      </w:r>
      <w:r w:rsidRPr="00F11188" w:rsidR="009948C3">
        <w:t xml:space="preserve">.  As </w:t>
      </w:r>
      <w:r w:rsidRPr="00F11188" w:rsidR="009A3DED">
        <w:t>noted</w:t>
      </w:r>
      <w:r w:rsidRPr="00F11188" w:rsidR="000136AE">
        <w:t xml:space="preserve"> </w:t>
      </w:r>
      <w:r w:rsidRPr="00F11188" w:rsidR="009948C3">
        <w:t xml:space="preserve">previously, </w:t>
      </w:r>
      <w:r w:rsidRPr="00F11188" w:rsidR="009948C3">
        <w:rPr>
          <w:i/>
          <w:iCs/>
        </w:rPr>
        <w:t xml:space="preserve">Lippel </w:t>
      </w:r>
      <w:r w:rsidRPr="00F11188" w:rsidR="009948C3">
        <w:t xml:space="preserve">was a marriage dissolution case </w:t>
      </w:r>
      <w:r w:rsidRPr="00F11188" w:rsidR="00DE1665">
        <w:t xml:space="preserve">in which the plaintiff </w:t>
      </w:r>
      <w:r w:rsidRPr="00F11188" w:rsidR="00950582">
        <w:t>“initiated the action by filing a standard printed form petition</w:t>
      </w:r>
      <w:r w:rsidRPr="00F11188" w:rsidR="00EA3632">
        <w:t>.”</w:t>
      </w:r>
      <w:r w:rsidRPr="00F11188" w:rsidR="00DE1665">
        <w:t xml:space="preserve">  </w:t>
      </w:r>
      <w:r w:rsidRPr="00F11188" w:rsidR="002B5C56">
        <w:t>(</w:t>
      </w:r>
      <w:r w:rsidRPr="00F11188" w:rsidR="00963438">
        <w:rPr>
          <w:i/>
          <w:iCs/>
        </w:rPr>
        <w:t>Lippel</w:t>
      </w:r>
      <w:r w:rsidRPr="00F11188" w:rsidR="00963438">
        <w:t xml:space="preserve">, </w:t>
      </w:r>
      <w:r w:rsidRPr="00F11188" w:rsidR="00963438">
        <w:rPr>
          <w:i/>
          <w:iCs/>
        </w:rPr>
        <w:t>supra</w:t>
      </w:r>
      <w:r w:rsidRPr="00F11188" w:rsidR="00963438">
        <w:t xml:space="preserve">, </w:t>
      </w:r>
      <w:r w:rsidRPr="00F11188" w:rsidR="00360F3E">
        <w:t>51</w:t>
      </w:r>
      <w:r w:rsidR="005A1CFD">
        <w:t> </w:t>
      </w:r>
      <w:r w:rsidRPr="00F11188" w:rsidR="00360F3E">
        <w:t>Cal.3d at p. 1163</w:t>
      </w:r>
      <w:r w:rsidRPr="00F11188" w:rsidR="002B5C56">
        <w:t>.)</w:t>
      </w:r>
      <w:r w:rsidRPr="00F11188" w:rsidR="002C7B69">
        <w:t xml:space="preserve">  </w:t>
      </w:r>
      <w:r w:rsidRPr="00F11188" w:rsidR="004510FF">
        <w:t>T</w:t>
      </w:r>
      <w:r w:rsidRPr="00F11188" w:rsidR="002C7B69">
        <w:t xml:space="preserve">he issue in </w:t>
      </w:r>
      <w:r w:rsidRPr="00F11188" w:rsidR="002C7B69">
        <w:rPr>
          <w:i/>
          <w:iCs/>
        </w:rPr>
        <w:t>Lippel</w:t>
      </w:r>
      <w:r w:rsidRPr="00F11188" w:rsidR="002C7B69">
        <w:t xml:space="preserve"> was whether</w:t>
      </w:r>
      <w:r w:rsidRPr="00F11188" w:rsidR="0067340E">
        <w:t>, in checking</w:t>
      </w:r>
      <w:r w:rsidRPr="00F11188" w:rsidR="0079483C">
        <w:t xml:space="preserve"> and not checking certain </w:t>
      </w:r>
      <w:r w:rsidRPr="00F11188" w:rsidR="0067340E">
        <w:t>boxes contained in the standard form,</w:t>
      </w:r>
      <w:r w:rsidRPr="00F11188" w:rsidR="002C7B69">
        <w:t xml:space="preserve"> the plaintiff put the defendant on notice </w:t>
      </w:r>
      <w:r w:rsidRPr="00F11188" w:rsidR="00D442C1">
        <w:t xml:space="preserve">that she was seeking </w:t>
      </w:r>
      <w:r w:rsidRPr="00F11188" w:rsidR="004510FF">
        <w:t>a particular type of relief</w:t>
      </w:r>
      <w:r w:rsidRPr="00F11188" w:rsidR="0079483C">
        <w:t xml:space="preserve"> (</w:t>
      </w:r>
      <w:r w:rsidRPr="00F11188" w:rsidR="004510FF">
        <w:t>child support</w:t>
      </w:r>
      <w:r w:rsidRPr="00F11188" w:rsidR="0079483C">
        <w:t>)</w:t>
      </w:r>
      <w:r w:rsidRPr="00F11188" w:rsidR="004510FF">
        <w:t xml:space="preserve">.  </w:t>
      </w:r>
      <w:r w:rsidRPr="00F11188" w:rsidR="008F5735">
        <w:t>(</w:t>
      </w:r>
      <w:r w:rsidRPr="00F11188" w:rsidR="008F5735">
        <w:rPr>
          <w:i/>
        </w:rPr>
        <w:t>I</w:t>
      </w:r>
      <w:r w:rsidRPr="00F11188" w:rsidR="00F96FBB">
        <w:rPr>
          <w:i/>
        </w:rPr>
        <w:t>bid.</w:t>
      </w:r>
      <w:r w:rsidRPr="00F11188" w:rsidR="008F5735">
        <w:t xml:space="preserve">)  </w:t>
      </w:r>
      <w:r w:rsidRPr="00F11188" w:rsidR="00871B46">
        <w:t>We did not</w:t>
      </w:r>
      <w:r w:rsidRPr="00F11188" w:rsidR="009A7B7A">
        <w:t xml:space="preserve"> there</w:t>
      </w:r>
      <w:r w:rsidRPr="00F11188" w:rsidR="0067340E">
        <w:t xml:space="preserve"> </w:t>
      </w:r>
      <w:r w:rsidRPr="00F11188" w:rsidR="008F5735">
        <w:t>address whether</w:t>
      </w:r>
      <w:r w:rsidRPr="00F11188" w:rsidR="00C50987">
        <w:t xml:space="preserve"> </w:t>
      </w:r>
      <w:r w:rsidRPr="00F11188" w:rsidR="000022CD">
        <w:t>such a</w:t>
      </w:r>
      <w:r w:rsidRPr="00F11188" w:rsidR="00C50987">
        <w:t xml:space="preserve"> plaintiff must</w:t>
      </w:r>
      <w:r w:rsidR="00666E3F">
        <w:t xml:space="preserve">, in addition to checking the box for child support, </w:t>
      </w:r>
      <w:r w:rsidRPr="00F11188" w:rsidR="00C50987">
        <w:t xml:space="preserve">give notice of a specific amount </w:t>
      </w:r>
      <w:r w:rsidR="00666E3F">
        <w:t xml:space="preserve">of support sought </w:t>
      </w:r>
      <w:r w:rsidRPr="00F11188" w:rsidR="00C50987">
        <w:t>(e.g.</w:t>
      </w:r>
      <w:r w:rsidRPr="00F11188" w:rsidR="00547032">
        <w:t>,</w:t>
      </w:r>
      <w:r w:rsidRPr="00F11188" w:rsidR="00C50987">
        <w:t xml:space="preserve"> “$100 per month”)</w:t>
      </w:r>
      <w:r w:rsidRPr="00F11188" w:rsidR="008F5735">
        <w:t xml:space="preserve">. </w:t>
      </w:r>
      <w:r w:rsidRPr="00F11188" w:rsidR="00871B46">
        <w:t xml:space="preserve"> </w:t>
      </w:r>
      <w:r w:rsidRPr="00F11188" w:rsidR="00126B29">
        <w:t>(</w:t>
      </w:r>
      <w:r w:rsidRPr="00F11188" w:rsidR="00126B29">
        <w:rPr>
          <w:i/>
        </w:rPr>
        <w:t xml:space="preserve">Id. </w:t>
      </w:r>
      <w:r w:rsidRPr="00F11188" w:rsidR="00126B29">
        <w:t xml:space="preserve">at p. 1164.)  </w:t>
      </w:r>
      <w:r w:rsidRPr="00F11188" w:rsidR="00692F13">
        <w:t>However, in explaining our holding regarding the type</w:t>
      </w:r>
      <w:r w:rsidRPr="00F11188" w:rsidR="00692F13">
        <w:rPr>
          <w:i/>
        </w:rPr>
        <w:t xml:space="preserve"> </w:t>
      </w:r>
      <w:r w:rsidRPr="00F11188" w:rsidR="00692F13">
        <w:t>of relief</w:t>
      </w:r>
      <w:r w:rsidR="003056F9">
        <w:t xml:space="preserve"> requested</w:t>
      </w:r>
      <w:r w:rsidRPr="00F11188" w:rsidR="00692F13">
        <w:t xml:space="preserve">, we said, </w:t>
      </w:r>
      <w:r w:rsidRPr="00F11188" w:rsidR="00871B46">
        <w:t>“</w:t>
      </w:r>
      <w:r w:rsidRPr="00F11188" w:rsidR="006E7837">
        <w:t>Coupled with the requirement that the respondent be served with a copy of the petition</w:t>
      </w:r>
      <w:r w:rsidRPr="00F11188" w:rsidR="0067340E">
        <w:t xml:space="preserve"> [citation]</w:t>
      </w:r>
      <w:r w:rsidRPr="00F11188" w:rsidR="006E7837">
        <w:t>, the manner in which these boxes are checked, or not checked, informs and puts the respondent on notice of what specific relief the petitioner is, or is not, seeking.</w:t>
      </w:r>
      <w:r w:rsidRPr="00F11188" w:rsidR="00CD57CF">
        <w:t>”  (</w:t>
      </w:r>
      <w:r w:rsidRPr="00F11188" w:rsidR="00CD57CF">
        <w:rPr>
          <w:i/>
        </w:rPr>
        <w:t>Id.</w:t>
      </w:r>
      <w:r w:rsidRPr="00F11188" w:rsidR="00CD57CF">
        <w:t xml:space="preserve"> at pp.</w:t>
      </w:r>
      <w:r w:rsidR="005A1CFD">
        <w:t> </w:t>
      </w:r>
      <w:r w:rsidRPr="00F11188" w:rsidR="00CD57CF">
        <w:t>1169</w:t>
      </w:r>
      <w:r w:rsidR="007C1930">
        <w:t>–</w:t>
      </w:r>
      <w:r w:rsidRPr="00F11188" w:rsidR="00CD57CF">
        <w:t>1170.)</w:t>
      </w:r>
    </w:p>
    <w:p w:rsidR="00FC59AA" w:rsidRPr="00F11188" w:rsidP="00F11188">
      <w:r w:rsidRPr="00F11188">
        <w:tab/>
        <w:t xml:space="preserve">Seizing on this </w:t>
      </w:r>
      <w:r w:rsidRPr="00F11188" w:rsidR="00EB726E">
        <w:t>li</w:t>
      </w:r>
      <w:r w:rsidRPr="00F11188" w:rsidR="00E03FBF">
        <w:t>ne</w:t>
      </w:r>
      <w:r w:rsidRPr="00F11188" w:rsidR="00EB726E">
        <w:t xml:space="preserve">, </w:t>
      </w:r>
      <w:r w:rsidRPr="00F11188" w:rsidR="00272258">
        <w:t>the</w:t>
      </w:r>
      <w:r w:rsidRPr="00F11188" w:rsidR="00692F13">
        <w:t xml:space="preserve"> Court of Appeal in </w:t>
      </w:r>
      <w:r w:rsidRPr="00F11188" w:rsidR="00272258">
        <w:rPr>
          <w:i/>
        </w:rPr>
        <w:t xml:space="preserve">In re Marriage of Andresen </w:t>
      </w:r>
      <w:r w:rsidRPr="00F11188" w:rsidR="00272258">
        <w:t>(1994) 28 Cal.App.4th 873 (</w:t>
      </w:r>
      <w:r w:rsidRPr="00F11188" w:rsidR="00272258">
        <w:rPr>
          <w:i/>
        </w:rPr>
        <w:t>Andresen</w:t>
      </w:r>
      <w:r w:rsidRPr="00F11188" w:rsidR="00272258">
        <w:t xml:space="preserve">) held </w:t>
      </w:r>
      <w:r w:rsidRPr="00F11188" w:rsidR="002D25A7">
        <w:t xml:space="preserve">that </w:t>
      </w:r>
      <w:r w:rsidRPr="00F11188" w:rsidR="001C362F">
        <w:t xml:space="preserve">a plaintiff using a </w:t>
      </w:r>
      <w:r w:rsidRPr="00F11188" w:rsidR="002313E3">
        <w:t>standard form petition to dissolve her marriage need only put the defendant on notice that she was seeking a type of relief</w:t>
      </w:r>
      <w:r w:rsidRPr="00F11188" w:rsidR="00FD4CF4">
        <w:t>,</w:t>
      </w:r>
      <w:r w:rsidRPr="00F11188" w:rsidR="00EC54F6">
        <w:t xml:space="preserve"> and </w:t>
      </w:r>
      <w:r w:rsidRPr="00F11188" w:rsidR="002313E3">
        <w:t xml:space="preserve">not a specific amount.  </w:t>
      </w:r>
      <w:r w:rsidRPr="00F11188" w:rsidR="008960D1">
        <w:t>(</w:t>
      </w:r>
      <w:r w:rsidRPr="000C185E" w:rsidR="003101F3">
        <w:rPr>
          <w:i/>
          <w:iCs/>
        </w:rPr>
        <w:t xml:space="preserve">Id. </w:t>
      </w:r>
      <w:r w:rsidRPr="00F11188" w:rsidR="008960D1">
        <w:t>at p</w:t>
      </w:r>
      <w:r w:rsidRPr="00F11188" w:rsidR="005A39C2">
        <w:t xml:space="preserve">. </w:t>
      </w:r>
      <w:r w:rsidRPr="00F11188" w:rsidR="008960D1">
        <w:t xml:space="preserve">879 [“due process is satisfied and sufficient notice is given for section 580 purposes in marital dissolution actions by the petitioner’s act of checking the boxes and inserting the information called for on the standard form dissolution petition,” which does not </w:t>
      </w:r>
      <w:r w:rsidRPr="00F11188" w:rsidR="00BF6091">
        <w:t xml:space="preserve">solicit </w:t>
      </w:r>
      <w:r w:rsidRPr="00F11188" w:rsidR="00B66050">
        <w:t>specific dollar amounts</w:t>
      </w:r>
      <w:r w:rsidRPr="00F11188" w:rsidR="008960D1">
        <w:t>].)</w:t>
      </w:r>
    </w:p>
    <w:p w:rsidR="00E973D9" w:rsidRPr="00F11188" w:rsidP="00F11188">
      <w:r w:rsidRPr="00F11188">
        <w:tab/>
      </w:r>
      <w:r w:rsidR="000C185E">
        <w:t>Pla</w:t>
      </w:r>
      <w:r w:rsidR="00F45A26">
        <w:t>i</w:t>
      </w:r>
      <w:r w:rsidR="000C185E">
        <w:t>ntiff</w:t>
      </w:r>
      <w:r w:rsidRPr="00F11188">
        <w:t xml:space="preserve"> </w:t>
      </w:r>
      <w:r w:rsidRPr="00F11188" w:rsidR="008078ED">
        <w:t>invites</w:t>
      </w:r>
      <w:r w:rsidRPr="00F11188">
        <w:t xml:space="preserve"> us to </w:t>
      </w:r>
      <w:r w:rsidR="003025B2">
        <w:t>extend</w:t>
      </w:r>
      <w:r w:rsidRPr="00F11188" w:rsidR="003025B2">
        <w:t xml:space="preserve"> </w:t>
      </w:r>
      <w:r w:rsidRPr="00F11188" w:rsidR="005B5885">
        <w:rPr>
          <w:i/>
        </w:rPr>
        <w:t>Andresen</w:t>
      </w:r>
      <w:r w:rsidRPr="00F11188" w:rsidR="00491297">
        <w:rPr>
          <w:i/>
        </w:rPr>
        <w:t xml:space="preserve"> </w:t>
      </w:r>
      <w:r w:rsidR="008F61D3">
        <w:t>by applying it</w:t>
      </w:r>
      <w:r w:rsidRPr="00F11188" w:rsidR="008F61D3">
        <w:t xml:space="preserve"> </w:t>
      </w:r>
      <w:r w:rsidR="005A5785">
        <w:t xml:space="preserve">to </w:t>
      </w:r>
      <w:r w:rsidRPr="00F11188" w:rsidR="00491297">
        <w:t>her case</w:t>
      </w:r>
      <w:r w:rsidRPr="00F11188">
        <w:t xml:space="preserve">.  Just as the plaintiff wife in </w:t>
      </w:r>
      <w:r w:rsidRPr="00F11188">
        <w:rPr>
          <w:i/>
        </w:rPr>
        <w:t xml:space="preserve">Andresen </w:t>
      </w:r>
      <w:r w:rsidRPr="00F11188">
        <w:t xml:space="preserve">was not required to give the defendant husband notice of the amount of money damages sought, </w:t>
      </w:r>
      <w:r w:rsidR="00EC45B3">
        <w:t>plaintiff</w:t>
      </w:r>
      <w:r w:rsidRPr="00F11188" w:rsidR="000831A3">
        <w:t xml:space="preserve"> argues that she</w:t>
      </w:r>
      <w:r w:rsidRPr="00F11188" w:rsidR="005B5885">
        <w:t xml:space="preserve"> — </w:t>
      </w:r>
      <w:r w:rsidRPr="00F11188">
        <w:t xml:space="preserve">a </w:t>
      </w:r>
      <w:r w:rsidRPr="00F11188" w:rsidR="005B5885">
        <w:t>litigant</w:t>
      </w:r>
      <w:r w:rsidRPr="00F11188">
        <w:t xml:space="preserve"> in an “accounting case also seeking equal division of the value of the property in the defendant’s possession” </w:t>
      </w:r>
      <w:r w:rsidRPr="00F11188" w:rsidR="005B5885">
        <w:t xml:space="preserve">— </w:t>
      </w:r>
      <w:r w:rsidRPr="00F11188">
        <w:t>need not state a specific amount of damages in her complaint either.</w:t>
      </w:r>
    </w:p>
    <w:p w:rsidR="00FD2872" w:rsidRPr="00F11188" w:rsidP="009C452D">
      <w:r w:rsidRPr="00F11188">
        <w:tab/>
      </w:r>
      <w:r w:rsidRPr="00F11188" w:rsidR="00D2544F">
        <w:t>Even if we assume</w:t>
      </w:r>
      <w:r w:rsidRPr="00F11188" w:rsidR="001D67F8">
        <w:t xml:space="preserve"> that </w:t>
      </w:r>
      <w:r w:rsidRPr="00F11188" w:rsidR="001D67F8">
        <w:rPr>
          <w:i/>
        </w:rPr>
        <w:t xml:space="preserve">Andresen </w:t>
      </w:r>
      <w:r w:rsidRPr="00F11188" w:rsidR="00D2544F">
        <w:t>was</w:t>
      </w:r>
      <w:r w:rsidRPr="00F11188" w:rsidR="001D67F8">
        <w:t xml:space="preserve"> correct</w:t>
      </w:r>
      <w:r w:rsidRPr="00F11188" w:rsidR="00D2544F">
        <w:t>ly decided</w:t>
      </w:r>
      <w:r w:rsidRPr="00F11188" w:rsidR="000F56BE">
        <w:t>,</w:t>
      </w:r>
      <w:r w:rsidRPr="00F11188" w:rsidR="001D67F8">
        <w:t xml:space="preserve"> </w:t>
      </w:r>
      <w:r w:rsidRPr="00F11188" w:rsidR="00FE3E7C">
        <w:t>the case is inapposite</w:t>
      </w:r>
      <w:r w:rsidRPr="00F11188" w:rsidR="00066418">
        <w:t xml:space="preserve"> to the matter </w:t>
      </w:r>
      <w:r w:rsidRPr="00F11188" w:rsidR="00073D6E">
        <w:t>at hand</w:t>
      </w:r>
      <w:r w:rsidRPr="00F11188" w:rsidR="00FE3E7C">
        <w:t xml:space="preserve">. </w:t>
      </w:r>
      <w:r w:rsidR="009C452D">
        <w:t xml:space="preserve"> </w:t>
      </w:r>
      <w:r w:rsidRPr="00F11188" w:rsidR="00652B66">
        <w:rPr>
          <w:i/>
          <w:iCs/>
        </w:rPr>
        <w:t>Andresen</w:t>
      </w:r>
      <w:r w:rsidRPr="00F11188" w:rsidR="00652B66">
        <w:t xml:space="preserve"> was a marriage dissolution </w:t>
      </w:r>
      <w:r w:rsidRPr="00F11188" w:rsidR="003331D6">
        <w:t>action</w:t>
      </w:r>
      <w:r w:rsidRPr="00F11188" w:rsidR="00652B66">
        <w:t>;</w:t>
      </w:r>
      <w:r>
        <w:rPr>
          <w:rStyle w:val="FootnoteReference"/>
        </w:rPr>
        <w:footnoteReference w:id="12"/>
      </w:r>
      <w:r w:rsidRPr="00F11188" w:rsidR="00652B66">
        <w:t xml:space="preserve"> this litigation is no</w:t>
      </w:r>
      <w:r w:rsidRPr="00F11188" w:rsidR="00E673C8">
        <w:t>t</w:t>
      </w:r>
      <w:r w:rsidRPr="00F11188" w:rsidR="00652B66">
        <w:t xml:space="preserve">.  </w:t>
      </w:r>
      <w:r w:rsidR="00EE7ACB">
        <w:t>Plaintiff</w:t>
      </w:r>
      <w:r w:rsidRPr="00F11188" w:rsidR="00652B66">
        <w:t xml:space="preserve"> and Cohen were never married</w:t>
      </w:r>
      <w:r w:rsidR="00D82FF6">
        <w:t>,</w:t>
      </w:r>
      <w:r w:rsidRPr="00F11188" w:rsidR="00652B66">
        <w:t xml:space="preserve"> and when </w:t>
      </w:r>
      <w:r w:rsidR="0021393E">
        <w:t>plaintiff</w:t>
      </w:r>
      <w:r w:rsidRPr="00F11188" w:rsidR="00652B66">
        <w:t xml:space="preserve"> sued </w:t>
      </w:r>
      <w:r w:rsidRPr="00F11188" w:rsidR="005116C4">
        <w:t>Cohen</w:t>
      </w:r>
      <w:r w:rsidRPr="00F11188" w:rsidR="00652B66">
        <w:t>, she did so by drafting a complaint</w:t>
      </w:r>
      <w:r w:rsidRPr="00F11188" w:rsidR="00923459">
        <w:t>, not by using a</w:t>
      </w:r>
      <w:r w:rsidRPr="00F11188" w:rsidR="00A1275E">
        <w:t xml:space="preserve"> </w:t>
      </w:r>
      <w:r w:rsidRPr="00F11188" w:rsidR="00C24E52">
        <w:t>“standard printed form petition</w:t>
      </w:r>
      <w:r w:rsidRPr="00F11188" w:rsidR="00067CB8">
        <w:t>.”</w:t>
      </w:r>
      <w:r w:rsidRPr="00F11188" w:rsidR="00C24E52">
        <w:t xml:space="preserve"> </w:t>
      </w:r>
      <w:r w:rsidRPr="00F11188" w:rsidR="00067CB8">
        <w:t xml:space="preserve"> </w:t>
      </w:r>
      <w:r w:rsidRPr="00F11188" w:rsidR="00C24E52">
        <w:t>(</w:t>
      </w:r>
      <w:r w:rsidRPr="00F11188" w:rsidR="00C24E52">
        <w:rPr>
          <w:i/>
        </w:rPr>
        <w:t>Lippel</w:t>
      </w:r>
      <w:r w:rsidRPr="00F11188" w:rsidR="00C24E52">
        <w:t xml:space="preserve">, </w:t>
      </w:r>
      <w:r w:rsidRPr="00F11188" w:rsidR="00C24E52">
        <w:rPr>
          <w:i/>
        </w:rPr>
        <w:t>supra</w:t>
      </w:r>
      <w:r w:rsidRPr="00F11188" w:rsidR="00C24E52">
        <w:t>, 51 Cal.3d at p. 1163</w:t>
      </w:r>
      <w:r w:rsidRPr="00F11188" w:rsidR="00F80D91">
        <w:t xml:space="preserve">; see also </w:t>
      </w:r>
      <w:r w:rsidRPr="00F11188" w:rsidR="00F80D91">
        <w:rPr>
          <w:i/>
        </w:rPr>
        <w:t>Marvin</w:t>
      </w:r>
      <w:r w:rsidRPr="00F11188" w:rsidR="00F80D91">
        <w:t xml:space="preserve">, </w:t>
      </w:r>
      <w:r w:rsidRPr="00F11188" w:rsidR="00F80D91">
        <w:rPr>
          <w:i/>
        </w:rPr>
        <w:t>supra</w:t>
      </w:r>
      <w:r w:rsidRPr="00F11188" w:rsidR="00F80D91">
        <w:t>, 18 Cal.3d at p. 665 [“</w:t>
      </w:r>
      <w:r w:rsidR="006211F4">
        <w:t>[</w:t>
      </w:r>
      <w:r w:rsidRPr="00F11188" w:rsidR="00F80D91">
        <w:t>t</w:t>
      </w:r>
      <w:r w:rsidR="006211F4">
        <w:t>]</w:t>
      </w:r>
      <w:r w:rsidRPr="00F11188" w:rsidR="00F80D91">
        <w:t>he provisions of the Family Law Act do not govern the distribution of property acquired during a nonmarital relationship; such a relationship remains subject solely to judicial decision”]</w:t>
      </w:r>
      <w:r w:rsidRPr="00F11188" w:rsidR="00DD7E66">
        <w:t xml:space="preserve">.)  </w:t>
      </w:r>
      <w:r w:rsidRPr="00F11188" w:rsidR="00A67E31">
        <w:t xml:space="preserve">This </w:t>
      </w:r>
      <w:r w:rsidRPr="00F11188" w:rsidR="00605F42">
        <w:t>difference is significant.</w:t>
      </w:r>
    </w:p>
    <w:p w:rsidR="00CB0F60" w:rsidRPr="00F11188" w:rsidP="00F11188">
      <w:r w:rsidRPr="00F11188">
        <w:tab/>
      </w:r>
      <w:r w:rsidRPr="00922023" w:rsidR="00B77EFA">
        <w:rPr>
          <w:i/>
        </w:rPr>
        <w:t xml:space="preserve">Andresen </w:t>
      </w:r>
      <w:r w:rsidRPr="00922023" w:rsidR="00B77EFA">
        <w:t xml:space="preserve">takes for granted that the </w:t>
      </w:r>
      <w:r w:rsidRPr="00922023" w:rsidR="006054F6">
        <w:t xml:space="preserve">“statutorily mandated form </w:t>
      </w:r>
      <w:r w:rsidRPr="00922023" w:rsidR="001B6965">
        <w:t>. . .</w:t>
      </w:r>
      <w:r w:rsidRPr="00922023" w:rsidR="006054F6">
        <w:t xml:space="preserve"> does not provide the ability to indicate an exact amount”</w:t>
      </w:r>
      <w:r w:rsidRPr="00922023" w:rsidR="00EF0DC2">
        <w:t xml:space="preserve"> </w:t>
      </w:r>
      <w:r w:rsidRPr="00922023" w:rsidR="00347B9E">
        <w:t xml:space="preserve">of </w:t>
      </w:r>
      <w:r w:rsidRPr="00922023" w:rsidR="00E93131">
        <w:t>relief</w:t>
      </w:r>
      <w:r w:rsidRPr="00922023" w:rsidR="00347B9E">
        <w:t xml:space="preserve"> sought.  </w:t>
      </w:r>
      <w:r w:rsidRPr="00922023" w:rsidR="00EF0DC2">
        <w:t>(</w:t>
      </w:r>
      <w:r w:rsidRPr="00922023" w:rsidR="00EF0DC2">
        <w:rPr>
          <w:i/>
        </w:rPr>
        <w:t>Finney</w:t>
      </w:r>
      <w:r w:rsidRPr="00922023" w:rsidR="006B0E54">
        <w:rPr>
          <w:i/>
        </w:rPr>
        <w:t>,</w:t>
      </w:r>
      <w:r w:rsidRPr="00922023" w:rsidR="006B0E54">
        <w:t xml:space="preserve"> </w:t>
      </w:r>
      <w:r w:rsidRPr="00922023" w:rsidR="006B0E54">
        <w:rPr>
          <w:i/>
        </w:rPr>
        <w:t>supra</w:t>
      </w:r>
      <w:r w:rsidRPr="00922023" w:rsidR="006B0E54">
        <w:t xml:space="preserve">, </w:t>
      </w:r>
      <w:r w:rsidRPr="00922023" w:rsidR="00EF0DC2">
        <w:t xml:space="preserve">111 Cal.App.4th </w:t>
      </w:r>
      <w:r w:rsidRPr="00922023" w:rsidR="006B0E54">
        <w:t>at p.</w:t>
      </w:r>
      <w:r w:rsidR="00825537">
        <w:t> </w:t>
      </w:r>
      <w:r w:rsidRPr="00922023" w:rsidR="00EF0DC2">
        <w:t>537</w:t>
      </w:r>
      <w:r w:rsidRPr="00922023" w:rsidR="00050B89">
        <w:t xml:space="preserve">; </w:t>
      </w:r>
      <w:r w:rsidR="00922023">
        <w:t xml:space="preserve">see </w:t>
      </w:r>
      <w:r w:rsidRPr="00922023" w:rsidR="003010B1">
        <w:rPr>
          <w:i/>
        </w:rPr>
        <w:t>Andresen</w:t>
      </w:r>
      <w:r w:rsidRPr="00922023" w:rsidR="003010B1">
        <w:t xml:space="preserve">, </w:t>
      </w:r>
      <w:r w:rsidRPr="00922023" w:rsidR="003010B1">
        <w:rPr>
          <w:i/>
        </w:rPr>
        <w:t>supra</w:t>
      </w:r>
      <w:r w:rsidRPr="00922023" w:rsidR="003010B1">
        <w:t>, 28 Cal.App.4th at p. 879</w:t>
      </w:r>
      <w:r w:rsidRPr="00922023" w:rsidR="00EF0DC2">
        <w:t>.)</w:t>
      </w:r>
      <w:r w:rsidRPr="00922023" w:rsidR="00F03411">
        <w:t xml:space="preserve">  </w:t>
      </w:r>
      <w:r w:rsidRPr="00922023" w:rsidR="0021393E">
        <w:t xml:space="preserve">The implication is that </w:t>
      </w:r>
      <w:r w:rsidRPr="00922023" w:rsidR="00B77EFA">
        <w:t>a party using the</w:t>
      </w:r>
      <w:r w:rsidRPr="00922023" w:rsidR="00656A96">
        <w:t xml:space="preserve"> standard</w:t>
      </w:r>
      <w:r w:rsidRPr="00922023" w:rsidR="00B77EFA">
        <w:t xml:space="preserve"> form </w:t>
      </w:r>
      <w:r w:rsidRPr="00922023" w:rsidR="00656A96">
        <w:t>is not</w:t>
      </w:r>
      <w:r w:rsidRPr="00922023" w:rsidR="00B77EFA">
        <w:t xml:space="preserve"> able to disclose such information.  A plaintiff filing a complaint is not similarly constrained</w:t>
      </w:r>
      <w:r w:rsidRPr="00922023" w:rsidR="003350A6">
        <w:t xml:space="preserve">.  </w:t>
      </w:r>
      <w:r w:rsidRPr="00922023" w:rsidR="007F0EF0">
        <w:t>Because</w:t>
      </w:r>
      <w:r w:rsidRPr="00922023" w:rsidR="003350A6">
        <w:t xml:space="preserve"> </w:t>
      </w:r>
      <w:r w:rsidRPr="00922023" w:rsidR="00772D38">
        <w:t>a plaintiff using a complaint</w:t>
      </w:r>
      <w:r w:rsidRPr="00922023" w:rsidR="003350A6">
        <w:t xml:space="preserve"> faces no legal </w:t>
      </w:r>
      <w:r w:rsidRPr="00922023" w:rsidR="00A5160D">
        <w:t xml:space="preserve">and few </w:t>
      </w:r>
      <w:r w:rsidRPr="00922023" w:rsidR="003B442F">
        <w:t xml:space="preserve">practical </w:t>
      </w:r>
      <w:r w:rsidRPr="00922023" w:rsidR="006C7CC3">
        <w:t>impediments</w:t>
      </w:r>
      <w:r w:rsidRPr="00922023" w:rsidR="003350A6">
        <w:t xml:space="preserve"> to stating the amount of damages, t</w:t>
      </w:r>
      <w:r w:rsidRPr="00922023" w:rsidR="00396A64">
        <w:t xml:space="preserve">here is little reason to excuse </w:t>
      </w:r>
      <w:r w:rsidRPr="00922023" w:rsidR="0021135A">
        <w:t xml:space="preserve">the litigant </w:t>
      </w:r>
      <w:r w:rsidRPr="00922023" w:rsidR="00396A64">
        <w:t>from doing so.</w:t>
      </w:r>
    </w:p>
    <w:p w:rsidR="00B67718" w:rsidP="00A33258">
      <w:r w:rsidRPr="00F11188">
        <w:tab/>
      </w:r>
      <w:r w:rsidR="00511AC6">
        <w:t>Plaintiff</w:t>
      </w:r>
      <w:r w:rsidRPr="00F11188" w:rsidR="002C48C3">
        <w:t xml:space="preserve"> protests</w:t>
      </w:r>
      <w:r w:rsidRPr="00F11188" w:rsidR="0009536E">
        <w:t xml:space="preserve"> </w:t>
      </w:r>
      <w:r w:rsidRPr="00F11188" w:rsidR="00D42CD3">
        <w:t xml:space="preserve">that </w:t>
      </w:r>
      <w:r w:rsidRPr="00F11188" w:rsidR="00E860A5">
        <w:t xml:space="preserve">distinguishing </w:t>
      </w:r>
      <w:r w:rsidRPr="00F11188" w:rsidR="00D12D88">
        <w:t xml:space="preserve">marriage dissolution cases from accounting cases </w:t>
      </w:r>
      <w:r w:rsidR="00A90CAF">
        <w:t xml:space="preserve">in this way </w:t>
      </w:r>
      <w:r w:rsidRPr="00F11188" w:rsidR="000D0214">
        <w:t xml:space="preserve">“elevates </w:t>
      </w:r>
      <w:r w:rsidRPr="00F11188" w:rsidR="00D2544F">
        <w:t>form over substance</w:t>
      </w:r>
      <w:r w:rsidRPr="00F11188" w:rsidR="00605F37">
        <w:t>.</w:t>
      </w:r>
      <w:r w:rsidRPr="00F11188" w:rsidR="00D2544F">
        <w:t>”</w:t>
      </w:r>
      <w:r w:rsidRPr="00F11188" w:rsidR="00605F37">
        <w:t xml:space="preserve">  </w:t>
      </w:r>
      <w:r w:rsidRPr="00F11188" w:rsidR="000207AB">
        <w:t>We do not think so</w:t>
      </w:r>
      <w:r w:rsidR="00A33258">
        <w:t xml:space="preserve">.  We </w:t>
      </w:r>
      <w:r w:rsidRPr="00F11188" w:rsidR="00CF3873">
        <w:t xml:space="preserve">are here called upon to </w:t>
      </w:r>
      <w:r w:rsidRPr="00F11188" w:rsidR="00482621">
        <w:t xml:space="preserve">interpret </w:t>
      </w:r>
      <w:r w:rsidRPr="00F11188" w:rsidR="00CF3873">
        <w:t xml:space="preserve">a statute </w:t>
      </w:r>
      <w:r w:rsidRPr="00F11188" w:rsidR="00482621">
        <w:t xml:space="preserve">to determine whether </w:t>
      </w:r>
      <w:r w:rsidRPr="00F11188" w:rsidR="006F5A3C">
        <w:t xml:space="preserve">it applies </w:t>
      </w:r>
      <w:r w:rsidRPr="00F11188" w:rsidR="00210A28">
        <w:t>to require a plaintiff seeking an accounting to plead a specific amount of damages to support a default judgment</w:t>
      </w:r>
      <w:r w:rsidRPr="00F11188" w:rsidR="00206168">
        <w:t xml:space="preserve">.  </w:t>
      </w:r>
      <w:r w:rsidRPr="00F11188" w:rsidR="00AE1194">
        <w:t>The language of section 580</w:t>
      </w:r>
      <w:r w:rsidRPr="00F11188" w:rsidR="00210A28">
        <w:t xml:space="preserve"> carves out no exception for such a</w:t>
      </w:r>
      <w:r w:rsidRPr="00F11188" w:rsidR="007E2526">
        <w:t xml:space="preserve"> litigant</w:t>
      </w:r>
      <w:r w:rsidRPr="00F11188" w:rsidR="00F250EE">
        <w:t>.</w:t>
      </w:r>
      <w:r w:rsidRPr="00F11188" w:rsidR="00217192">
        <w:t xml:space="preserve">  </w:t>
      </w:r>
      <w:r w:rsidR="0011282C">
        <w:t>Accordingly</w:t>
      </w:r>
      <w:r w:rsidRPr="00F11188" w:rsidR="000462CF">
        <w:t xml:space="preserve">, </w:t>
      </w:r>
      <w:r w:rsidRPr="00F11188" w:rsidR="006C2EE4">
        <w:t xml:space="preserve">for </w:t>
      </w:r>
      <w:r w:rsidR="00C17CD3">
        <w:t>plaintiff’s</w:t>
      </w:r>
      <w:r w:rsidRPr="00F11188" w:rsidR="006C2EE4">
        <w:t xml:space="preserve"> argument to </w:t>
      </w:r>
      <w:r w:rsidR="00A7764B">
        <w:t>prevail</w:t>
      </w:r>
      <w:r w:rsidRPr="00F11188" w:rsidR="006C2EE4">
        <w:t xml:space="preserve">, she must point us to other indicia that </w:t>
      </w:r>
      <w:r w:rsidRPr="00F11188" w:rsidR="0056320A">
        <w:t>the Legislature intended to treat accounting actions differently</w:t>
      </w:r>
      <w:r w:rsidRPr="00F11188" w:rsidR="00243755">
        <w:t xml:space="preserve"> </w:t>
      </w:r>
      <w:r w:rsidRPr="00F11188" w:rsidR="00EF3F95">
        <w:t>from</w:t>
      </w:r>
      <w:r w:rsidRPr="00F11188" w:rsidR="00243755">
        <w:t xml:space="preserve"> other claims</w:t>
      </w:r>
      <w:r w:rsidRPr="00F11188" w:rsidR="0056320A">
        <w:t xml:space="preserve">.  </w:t>
      </w:r>
      <w:r w:rsidR="00A7764B">
        <w:t xml:space="preserve">(See </w:t>
      </w:r>
      <w:r w:rsidRPr="00A7764B" w:rsidR="00A7764B">
        <w:rPr>
          <w:i/>
          <w:iCs/>
        </w:rPr>
        <w:t>Lippel</w:t>
      </w:r>
      <w:r w:rsidR="00A7764B">
        <w:t xml:space="preserve">, </w:t>
      </w:r>
      <w:r w:rsidR="00A7764B">
        <w:rPr>
          <w:i/>
          <w:iCs/>
        </w:rPr>
        <w:t>supra</w:t>
      </w:r>
      <w:r w:rsidR="00A7764B">
        <w:t xml:space="preserve">, </w:t>
      </w:r>
      <w:r w:rsidRPr="00F11188" w:rsidR="00A7764B">
        <w:t>51 Cal.3d</w:t>
      </w:r>
      <w:r w:rsidRPr="00F11188" w:rsidR="00A7764B">
        <w:rPr>
          <w:i/>
          <w:iCs/>
        </w:rPr>
        <w:t xml:space="preserve"> </w:t>
      </w:r>
      <w:r w:rsidRPr="00F11188" w:rsidR="00A7764B">
        <w:t>at p</w:t>
      </w:r>
      <w:r w:rsidR="00A7764B">
        <w:t>p</w:t>
      </w:r>
      <w:r w:rsidRPr="00F11188" w:rsidR="00A7764B">
        <w:t xml:space="preserve">. </w:t>
      </w:r>
      <w:r w:rsidRPr="00A7764B" w:rsidR="00A7764B">
        <w:t>1168</w:t>
      </w:r>
      <w:r w:rsidR="00A7764B">
        <w:t>–</w:t>
      </w:r>
      <w:r w:rsidRPr="00A7764B" w:rsidR="00A7764B">
        <w:t>1171</w:t>
      </w:r>
      <w:r w:rsidR="00A7764B">
        <w:t xml:space="preserve">.)  </w:t>
      </w:r>
      <w:r w:rsidRPr="00A7764B" w:rsidR="0056320A">
        <w:t>In</w:t>
      </w:r>
      <w:r w:rsidRPr="00F11188" w:rsidR="0056320A">
        <w:t xml:space="preserve"> the case of marriage dissolution, the Legislature has arguably manifested such an intent by </w:t>
      </w:r>
      <w:r w:rsidRPr="00F11188" w:rsidR="002F7A3D">
        <w:t>“</w:t>
      </w:r>
      <w:r w:rsidRPr="00F11188" w:rsidR="009A192D">
        <w:t>empower[ing] and direct[ing] the Judicial Council to create, as a substitute for the traditional complaint, a mandatory printed standard form petition</w:t>
      </w:r>
      <w:r w:rsidRPr="00F11188" w:rsidR="00972B36">
        <w:t>.</w:t>
      </w:r>
      <w:r w:rsidRPr="00F11188" w:rsidR="002F7A3D">
        <w:t>”</w:t>
      </w:r>
      <w:r w:rsidRPr="00F11188" w:rsidR="00F32B57">
        <w:t xml:space="preserve"> </w:t>
      </w:r>
      <w:r w:rsidRPr="00F11188" w:rsidR="00972B36">
        <w:t xml:space="preserve"> (</w:t>
      </w:r>
      <w:r w:rsidR="00A7764B">
        <w:rPr>
          <w:i/>
          <w:iCs/>
        </w:rPr>
        <w:t>Id.</w:t>
      </w:r>
      <w:r w:rsidRPr="00F11188" w:rsidR="00972B36">
        <w:rPr>
          <w:i/>
          <w:iCs/>
        </w:rPr>
        <w:t xml:space="preserve"> </w:t>
      </w:r>
      <w:r w:rsidRPr="00F11188" w:rsidR="00972B36">
        <w:t xml:space="preserve">at p. 1169.)  The Legislature has also </w:t>
      </w:r>
      <w:r w:rsidRPr="00F11188" w:rsidR="00C74760">
        <w:t>specified</w:t>
      </w:r>
      <w:r w:rsidRPr="00F11188" w:rsidR="00972B36">
        <w:t xml:space="preserve"> that, unless otherwise agreed to by the parties, </w:t>
      </w:r>
      <w:r w:rsidRPr="00F11188" w:rsidR="000843A3">
        <w:t>“the trial court</w:t>
      </w:r>
      <w:r w:rsidRPr="00F11188" w:rsidR="00972B36">
        <w:t xml:space="preserve"> </w:t>
      </w:r>
      <w:r w:rsidRPr="00F11188" w:rsidR="000843A3">
        <w:t>.</w:t>
      </w:r>
      <w:r w:rsidR="000D6BAD">
        <w:t> </w:t>
      </w:r>
      <w:r w:rsidRPr="00F11188" w:rsidR="000843A3">
        <w:t>.</w:t>
      </w:r>
      <w:r w:rsidR="000D6BAD">
        <w:t> </w:t>
      </w:r>
      <w:r w:rsidRPr="00F11188" w:rsidR="000843A3">
        <w:t xml:space="preserve">. </w:t>
      </w:r>
      <w:r w:rsidRPr="00F11188" w:rsidR="00C22DF2">
        <w:rPr>
          <w:i/>
        </w:rPr>
        <w:t>must</w:t>
      </w:r>
      <w:r w:rsidRPr="00F11188" w:rsidR="000843A3">
        <w:t xml:space="preserve"> value and divide the community estate of the parties equally.”</w:t>
      </w:r>
      <w:r w:rsidRPr="00F11188" w:rsidR="0056320A">
        <w:t xml:space="preserve">  </w:t>
      </w:r>
      <w:r w:rsidRPr="00F11188" w:rsidR="00972B36">
        <w:t>(</w:t>
      </w:r>
      <w:r w:rsidRPr="00F11188" w:rsidR="00430FB6">
        <w:rPr>
          <w:i/>
          <w:iCs/>
        </w:rPr>
        <w:t>Andresen</w:t>
      </w:r>
      <w:r w:rsidRPr="00F11188" w:rsidR="00430FB6">
        <w:t xml:space="preserve">, </w:t>
      </w:r>
      <w:r w:rsidRPr="00F11188" w:rsidR="00430FB6">
        <w:rPr>
          <w:i/>
        </w:rPr>
        <w:t>supra</w:t>
      </w:r>
      <w:r w:rsidRPr="00F11188" w:rsidR="00430FB6">
        <w:t>, 28 Cal.App.4th at p.</w:t>
      </w:r>
      <w:r w:rsidR="005A1CFD">
        <w:t> </w:t>
      </w:r>
      <w:r w:rsidRPr="00F11188" w:rsidR="00430FB6">
        <w:t>880</w:t>
      </w:r>
      <w:r w:rsidRPr="00F11188" w:rsidR="00BC7395">
        <w:t xml:space="preserve">; </w:t>
      </w:r>
      <w:r w:rsidR="00922023">
        <w:t xml:space="preserve">see </w:t>
      </w:r>
      <w:r w:rsidRPr="00F11188" w:rsidR="00BC7395">
        <w:t>Fam. Code, §</w:t>
      </w:r>
      <w:r w:rsidRPr="00F11188" w:rsidR="006E5912">
        <w:t> </w:t>
      </w:r>
      <w:r w:rsidRPr="00F11188" w:rsidR="00BC7395">
        <w:t>2550</w:t>
      </w:r>
      <w:r w:rsidRPr="00F11188" w:rsidR="00B63F50">
        <w:t xml:space="preserve">.)  </w:t>
      </w:r>
      <w:r w:rsidRPr="00F11188" w:rsidR="00AB6773">
        <w:t>In</w:t>
      </w:r>
      <w:r w:rsidRPr="00F11188" w:rsidR="001D769F">
        <w:t xml:space="preserve"> so</w:t>
      </w:r>
      <w:r w:rsidRPr="00F11188" w:rsidR="00105E46">
        <w:t xml:space="preserve"> doing</w:t>
      </w:r>
      <w:r w:rsidRPr="00F11188" w:rsidR="001D769F">
        <w:t xml:space="preserve">, the Legislature </w:t>
      </w:r>
      <w:r w:rsidR="000A7C5D">
        <w:t xml:space="preserve">may have </w:t>
      </w:r>
      <w:r w:rsidRPr="00F11188" w:rsidR="001D769F">
        <w:t xml:space="preserve">placed marriage dissolution actions outside the ambit of section 580.  </w:t>
      </w:r>
      <w:r w:rsidRPr="00F11188" w:rsidR="00C30625">
        <w:t xml:space="preserve">But the </w:t>
      </w:r>
      <w:r w:rsidRPr="00F11188" w:rsidR="00476BB3">
        <w:t xml:space="preserve">Legislature has not taken </w:t>
      </w:r>
      <w:r w:rsidRPr="00F11188" w:rsidR="002A296D">
        <w:t>similar</w:t>
      </w:r>
      <w:r w:rsidRPr="00F11188" w:rsidR="00476BB3">
        <w:t xml:space="preserve"> step</w:t>
      </w:r>
      <w:r w:rsidRPr="00F11188" w:rsidR="002A296D">
        <w:t>s</w:t>
      </w:r>
      <w:r w:rsidRPr="00F11188" w:rsidR="00476BB3">
        <w:t xml:space="preserve"> with respect to accounting actions, and it is hardly an elevation of form over substance to find significance in such legislative choices.</w:t>
      </w:r>
    </w:p>
    <w:p w:rsidR="00CB0F60" w:rsidP="00A33258">
      <w:r>
        <w:tab/>
      </w:r>
      <w:r w:rsidR="009D7E9A">
        <w:t xml:space="preserve">Furthermore, the substance of accounting actions </w:t>
      </w:r>
      <w:r w:rsidRPr="009D7E9A" w:rsidR="009D7E9A">
        <w:t xml:space="preserve">seeking equal division of property </w:t>
      </w:r>
      <w:r w:rsidR="009D7E9A">
        <w:t>is</w:t>
      </w:r>
      <w:r w:rsidRPr="009D7E9A" w:rsidR="009D7E9A">
        <w:t xml:space="preserve"> not sufficiently analogous to a marriage dissolution</w:t>
      </w:r>
      <w:r w:rsidR="009D7E9A">
        <w:t xml:space="preserve"> </w:t>
      </w:r>
      <w:r w:rsidRPr="00A90D1E" w:rsidR="009D7E9A">
        <w:rPr>
          <w:szCs w:val="27"/>
        </w:rPr>
        <w:t>such that</w:t>
      </w:r>
      <w:r w:rsidRPr="00855110" w:rsidR="009D7E9A">
        <w:rPr>
          <w:sz w:val="26"/>
        </w:rPr>
        <w:t xml:space="preserve"> </w:t>
      </w:r>
      <w:r w:rsidRPr="00A90D1E" w:rsidR="000A7C5D">
        <w:rPr>
          <w:szCs w:val="27"/>
        </w:rPr>
        <w:t>those actions</w:t>
      </w:r>
      <w:r w:rsidRPr="00A90D1E" w:rsidR="009D7E9A">
        <w:rPr>
          <w:szCs w:val="27"/>
        </w:rPr>
        <w:t xml:space="preserve"> should be exempt from the strictures of section 580</w:t>
      </w:r>
      <w:r w:rsidR="009D7E9A">
        <w:t xml:space="preserve">.  To assert otherwise, </w:t>
      </w:r>
      <w:r w:rsidR="00986829">
        <w:t>plaintiff</w:t>
      </w:r>
      <w:r w:rsidR="009D7E9A">
        <w:t xml:space="preserve"> </w:t>
      </w:r>
      <w:r w:rsidR="000A7C5D">
        <w:t xml:space="preserve">appears to </w:t>
      </w:r>
      <w:r w:rsidR="009D7E9A">
        <w:t>make a two-step leap.  First, she argues that an accounting action like the one she brought is</w:t>
      </w:r>
      <w:r w:rsidR="00BB659B">
        <w:t xml:space="preserve">, at </w:t>
      </w:r>
      <w:r w:rsidR="00922023">
        <w:t xml:space="preserve">its </w:t>
      </w:r>
      <w:r w:rsidR="00BB659B">
        <w:t xml:space="preserve">core, </w:t>
      </w:r>
      <w:r w:rsidR="009D7E9A">
        <w:t xml:space="preserve">litigation over a breach of a </w:t>
      </w:r>
      <w:r w:rsidR="009D7E9A">
        <w:rPr>
          <w:i/>
          <w:iCs/>
        </w:rPr>
        <w:t xml:space="preserve">Marvin </w:t>
      </w:r>
      <w:r w:rsidR="009D7E9A">
        <w:t xml:space="preserve">agreement.  Second, she </w:t>
      </w:r>
      <w:r w:rsidR="006C7CC3">
        <w:t>asserts</w:t>
      </w:r>
      <w:r w:rsidR="009D7E9A">
        <w:t xml:space="preserve"> that litigation concerning </w:t>
      </w:r>
      <w:r w:rsidR="00172B94">
        <w:t xml:space="preserve">a </w:t>
      </w:r>
      <w:r w:rsidR="009D7E9A">
        <w:rPr>
          <w:i/>
          <w:iCs/>
        </w:rPr>
        <w:t xml:space="preserve">Marvin </w:t>
      </w:r>
      <w:r w:rsidR="009D7E9A">
        <w:t xml:space="preserve">agreement </w:t>
      </w:r>
      <w:r w:rsidR="00172B94">
        <w:t xml:space="preserve">is </w:t>
      </w:r>
      <w:r w:rsidR="005D21C4">
        <w:t xml:space="preserve">akin to </w:t>
      </w:r>
      <w:r w:rsidR="00413383">
        <w:t>a</w:t>
      </w:r>
      <w:r w:rsidR="005D21C4">
        <w:t xml:space="preserve"> </w:t>
      </w:r>
      <w:r w:rsidR="009D7E9A">
        <w:t xml:space="preserve">marital dissolution.  Thus, </w:t>
      </w:r>
      <w:r w:rsidR="002C2F39">
        <w:t xml:space="preserve">she </w:t>
      </w:r>
      <w:r w:rsidR="005018A5">
        <w:t>main</w:t>
      </w:r>
      <w:r w:rsidR="000B3771">
        <w:t>tains</w:t>
      </w:r>
      <w:r w:rsidR="002C2F39">
        <w:t xml:space="preserve">, </w:t>
      </w:r>
      <w:r w:rsidR="009D7E9A">
        <w:t xml:space="preserve">accounting actions </w:t>
      </w:r>
      <w:r w:rsidR="002C2F39">
        <w:t xml:space="preserve">under which </w:t>
      </w:r>
      <w:r w:rsidR="009D7E9A">
        <w:t xml:space="preserve">plaintiffs seek half of </w:t>
      </w:r>
      <w:r w:rsidR="0097672A">
        <w:t xml:space="preserve">specifically </w:t>
      </w:r>
      <w:r w:rsidR="002C2F39">
        <w:t xml:space="preserve">identified </w:t>
      </w:r>
      <w:r w:rsidR="009D7E9A">
        <w:t xml:space="preserve">assets should be treated </w:t>
      </w:r>
      <w:r w:rsidR="0065280F">
        <w:t xml:space="preserve">as if they are </w:t>
      </w:r>
      <w:r w:rsidR="009D7E9A">
        <w:t>mar</w:t>
      </w:r>
      <w:r w:rsidR="000A7C5D">
        <w:t xml:space="preserve">ital </w:t>
      </w:r>
      <w:r w:rsidR="009D7E9A">
        <w:t>dissolution</w:t>
      </w:r>
      <w:r w:rsidR="00FA6D0A">
        <w:t xml:space="preserve"> action</w:t>
      </w:r>
      <w:r w:rsidR="009D7E9A">
        <w:t>s.</w:t>
      </w:r>
    </w:p>
    <w:p w:rsidR="00A90CAF" w:rsidRPr="00A90CAF" w:rsidP="00A33258">
      <w:r>
        <w:tab/>
        <w:t xml:space="preserve">We reject </w:t>
      </w:r>
      <w:r w:rsidR="006E1B9A">
        <w:t>plaintiff</w:t>
      </w:r>
      <w:r>
        <w:t xml:space="preserve">’s argument.  Breaches of </w:t>
      </w:r>
      <w:r>
        <w:rPr>
          <w:i/>
          <w:iCs/>
        </w:rPr>
        <w:t xml:space="preserve">Marvin </w:t>
      </w:r>
      <w:r>
        <w:t>agreements are not substantively the same as</w:t>
      </w:r>
      <w:r w:rsidR="00D97519">
        <w:t xml:space="preserve"> </w:t>
      </w:r>
      <w:r w:rsidR="00BB659B">
        <w:t>dissolutions of marriages</w:t>
      </w:r>
      <w:r>
        <w:t xml:space="preserve">.  </w:t>
      </w:r>
      <w:r w:rsidR="00176903">
        <w:t xml:space="preserve">Litigation </w:t>
      </w:r>
      <w:r w:rsidR="00FA2D04">
        <w:t>re</w:t>
      </w:r>
      <w:r w:rsidR="00113232">
        <w:t xml:space="preserve">garding </w:t>
      </w:r>
      <w:r w:rsidR="00176903">
        <w:rPr>
          <w:i/>
          <w:iCs/>
        </w:rPr>
        <w:t xml:space="preserve">Marvin </w:t>
      </w:r>
      <w:r w:rsidR="00176903">
        <w:t>agreements</w:t>
      </w:r>
      <w:r w:rsidRPr="00A90CAF">
        <w:t xml:space="preserve"> proceed</w:t>
      </w:r>
      <w:r w:rsidR="00B7065A">
        <w:t>s</w:t>
      </w:r>
      <w:r w:rsidRPr="00A90CAF">
        <w:t xml:space="preserve"> as </w:t>
      </w:r>
      <w:r w:rsidR="00B7065A">
        <w:t xml:space="preserve">a </w:t>
      </w:r>
      <w:r w:rsidRPr="00A90CAF">
        <w:t xml:space="preserve">contract dispute.  (See </w:t>
      </w:r>
      <w:r w:rsidRPr="00A90CAF">
        <w:rPr>
          <w:i/>
          <w:iCs/>
        </w:rPr>
        <w:t>Marvin</w:t>
      </w:r>
      <w:r>
        <w:t xml:space="preserve">, </w:t>
      </w:r>
      <w:r w:rsidRPr="00A90CAF">
        <w:rPr>
          <w:i/>
          <w:iCs/>
        </w:rPr>
        <w:t>supra</w:t>
      </w:r>
      <w:r>
        <w:t xml:space="preserve">, </w:t>
      </w:r>
      <w:r w:rsidRPr="00A90CAF">
        <w:t xml:space="preserve">18 Cal.3d </w:t>
      </w:r>
      <w:r>
        <w:t xml:space="preserve">at p. </w:t>
      </w:r>
      <w:r w:rsidRPr="00A90CAF">
        <w:t xml:space="preserve">684.)  </w:t>
      </w:r>
      <w:r w:rsidR="00B7065A">
        <w:t xml:space="preserve">The terms of the </w:t>
      </w:r>
      <w:r w:rsidR="00FB59CF">
        <w:t>parties’ agreement</w:t>
      </w:r>
      <w:r w:rsidR="00176903">
        <w:t xml:space="preserve"> — and not t</w:t>
      </w:r>
      <w:r w:rsidRPr="00A90CAF">
        <w:t>he default rules and presumptions of property ownership legislated in the Family Law Act</w:t>
      </w:r>
      <w:r w:rsidR="00986829">
        <w:t xml:space="preserve"> — </w:t>
      </w:r>
      <w:r w:rsidR="00176903">
        <w:t>set the nonmarital couple’s obligations</w:t>
      </w:r>
      <w:r w:rsidRPr="00A90CAF">
        <w:t>.  (</w:t>
      </w:r>
      <w:r w:rsidR="00873322">
        <w:rPr>
          <w:i/>
          <w:iCs/>
        </w:rPr>
        <w:t>Marvin,</w:t>
      </w:r>
      <w:r w:rsidRPr="00A90CAF">
        <w:t xml:space="preserve"> at p. 681.)  </w:t>
      </w:r>
      <w:r w:rsidR="00780250">
        <w:t xml:space="preserve">In contrast to marital relationships, the Family Law Act imposes no presumption </w:t>
      </w:r>
      <w:r w:rsidR="00176903">
        <w:t xml:space="preserve">that property acquired during </w:t>
      </w:r>
      <w:r w:rsidR="00780250">
        <w:t>a nonmarital</w:t>
      </w:r>
      <w:r w:rsidR="00176903">
        <w:t xml:space="preserve"> relationship is jointly owned or that upon dissolution of the relationship, the property is to be divided equally among the former partners.  </w:t>
      </w:r>
      <w:r w:rsidRPr="00A90CAF">
        <w:rPr>
          <w:i/>
          <w:iCs/>
        </w:rPr>
        <w:t>Marvin</w:t>
      </w:r>
      <w:r w:rsidRPr="00A90CAF">
        <w:t xml:space="preserve"> agreements, then, are </w:t>
      </w:r>
      <w:r w:rsidR="00AA471A">
        <w:t>in</w:t>
      </w:r>
      <w:r w:rsidR="00780250">
        <w:t xml:space="preserve">sufficiently </w:t>
      </w:r>
      <w:r w:rsidRPr="00A90CAF">
        <w:t>analogous to marriages in terms of their posttermination resolution to</w:t>
      </w:r>
      <w:r w:rsidR="00C67D6D">
        <w:t xml:space="preserve"> support a conclusion that</w:t>
      </w:r>
      <w:r w:rsidRPr="00A90CAF">
        <w:t xml:space="preserve"> they are exempt from section 580’s requirement.</w:t>
      </w:r>
    </w:p>
    <w:p w:rsidR="00BB659B" w:rsidP="00A90CAF">
      <w:pPr>
        <w:ind w:firstLine="720"/>
      </w:pPr>
      <w:r>
        <w:t xml:space="preserve">Moreover, </w:t>
      </w:r>
      <w:r w:rsidR="00A90CAF">
        <w:t xml:space="preserve">even if we </w:t>
      </w:r>
      <w:r w:rsidR="00176903">
        <w:t xml:space="preserve">were to </w:t>
      </w:r>
      <w:r w:rsidR="00A90CAF">
        <w:t xml:space="preserve">assume, arguendo, that accounting actions seeking half of </w:t>
      </w:r>
      <w:r w:rsidR="00A6071D">
        <w:t xml:space="preserve">identified </w:t>
      </w:r>
      <w:r w:rsidR="00A90CAF">
        <w:t>assets are to be treated</w:t>
      </w:r>
      <w:r w:rsidR="0065280F">
        <w:t xml:space="preserve"> like</w:t>
      </w:r>
      <w:r w:rsidR="00A90CAF">
        <w:t xml:space="preserve"> marital dissolutions, plaintiff </w:t>
      </w:r>
      <w:r w:rsidR="00922023">
        <w:t xml:space="preserve">still </w:t>
      </w:r>
      <w:r w:rsidR="00A90CAF">
        <w:t xml:space="preserve">has not persuaded us that she should prevail.  </w:t>
      </w:r>
      <w:r w:rsidR="004053FD">
        <w:t>After all, i</w:t>
      </w:r>
      <w:r w:rsidR="006673F1">
        <w:t xml:space="preserve">t </w:t>
      </w:r>
      <w:bookmarkStart w:id="121" w:name="_Hlk54889677"/>
      <w:r w:rsidR="00A90CAF">
        <w:t xml:space="preserve">is far from clear that </w:t>
      </w:r>
      <w:r w:rsidRPr="009C452D" w:rsidR="00A90CAF">
        <w:t xml:space="preserve">a less onerous </w:t>
      </w:r>
      <w:r w:rsidRPr="009C452D" w:rsidR="006E1B9A">
        <w:t xml:space="preserve">standard </w:t>
      </w:r>
      <w:r w:rsidR="006E1B9A">
        <w:t>applies</w:t>
      </w:r>
      <w:r w:rsidRPr="009C452D" w:rsidR="00A90CAF">
        <w:t xml:space="preserve"> in marital dissolution cases, particularly </w:t>
      </w:r>
      <w:r w:rsidR="00100B69">
        <w:t xml:space="preserve">given </w:t>
      </w:r>
      <w:r w:rsidRPr="009C452D" w:rsidR="00A90CAF">
        <w:t>the current statutorily mandated forms and the statutory disclosure obligations governing marital dissolution actions</w:t>
      </w:r>
      <w:bookmarkEnd w:id="121"/>
      <w:r w:rsidRPr="009C452D" w:rsidR="00A90CAF">
        <w:t>.</w:t>
      </w:r>
    </w:p>
    <w:p w:rsidR="00A90CAF" w:rsidRPr="009D7E9A" w:rsidP="00A90CAF">
      <w:pPr>
        <w:ind w:firstLine="720"/>
      </w:pPr>
      <w:r>
        <w:t>True</w:t>
      </w:r>
      <w:r w:rsidR="0011282C">
        <w:t xml:space="preserve">, </w:t>
      </w:r>
      <w:r w:rsidR="00741691">
        <w:t xml:space="preserve">marital dissolutions are subject to pleading requirements </w:t>
      </w:r>
      <w:r w:rsidR="009617F1">
        <w:t xml:space="preserve">different from those imposed </w:t>
      </w:r>
      <w:r w:rsidR="00741691">
        <w:t>by section 425.10</w:t>
      </w:r>
      <w:r>
        <w:t xml:space="preserve">.  More precisely, </w:t>
      </w:r>
      <w:r w:rsidRPr="009C452D">
        <w:t xml:space="preserve">the current form </w:t>
      </w:r>
      <w:r>
        <w:t xml:space="preserve">governing marital dissolutions </w:t>
      </w:r>
      <w:r>
        <w:t xml:space="preserve">(Form FL-100) </w:t>
      </w:r>
      <w:r w:rsidRPr="009C452D">
        <w:t>instruct</w:t>
      </w:r>
      <w:r w:rsidR="00741691">
        <w:t>s</w:t>
      </w:r>
      <w:r w:rsidRPr="009C452D">
        <w:t xml:space="preserve"> the petitioner to identify assets without requiring </w:t>
      </w:r>
      <w:r w:rsidR="00A364C7">
        <w:t xml:space="preserve">information </w:t>
      </w:r>
      <w:r w:rsidR="00746726">
        <w:t xml:space="preserve">indicating the </w:t>
      </w:r>
      <w:r w:rsidRPr="009C452D">
        <w:t>monetary value</w:t>
      </w:r>
      <w:r>
        <w:t xml:space="preserve"> of those assets.</w:t>
      </w:r>
      <w:r w:rsidRPr="009C452D">
        <w:t xml:space="preserve">  </w:t>
      </w:r>
      <w:r>
        <w:t>Nonetheless</w:t>
      </w:r>
      <w:r w:rsidRPr="009C452D">
        <w:t xml:space="preserve">, the </w:t>
      </w:r>
      <w:r>
        <w:t>form</w:t>
      </w:r>
      <w:r w:rsidRPr="009C452D">
        <w:t xml:space="preserve"> provides an option to list assets and debts in a property declaration.</w:t>
      </w:r>
      <w:r>
        <w:rPr>
          <w:rStyle w:val="FootnoteReference"/>
        </w:rPr>
        <w:footnoteReference w:id="13"/>
      </w:r>
      <w:r w:rsidRPr="009C452D">
        <w:t xml:space="preserve">  The property declaration</w:t>
      </w:r>
      <w:r w:rsidR="00380536">
        <w:t xml:space="preserve">, </w:t>
      </w:r>
      <w:r w:rsidRPr="009C452D" w:rsidR="00B57A6D">
        <w:t>Form FL-160</w:t>
      </w:r>
      <w:r w:rsidR="00380536">
        <w:t>,</w:t>
      </w:r>
      <w:r w:rsidR="00816C0B">
        <w:t xml:space="preserve"> </w:t>
      </w:r>
      <w:r w:rsidRPr="009C452D">
        <w:t>instructs that when used as an</w:t>
      </w:r>
      <w:r w:rsidR="00711FC8">
        <w:t xml:space="preserve"> (optional) </w:t>
      </w:r>
      <w:r w:rsidRPr="009C452D">
        <w:t xml:space="preserve">attachment to a petition or response, the party </w:t>
      </w:r>
      <w:r w:rsidR="005E1C1D">
        <w:t>is to</w:t>
      </w:r>
      <w:r w:rsidRPr="009C452D">
        <w:t xml:space="preserve"> complete the portion</w:t>
      </w:r>
      <w:r w:rsidR="005E1C1D">
        <w:t>s</w:t>
      </w:r>
      <w:r w:rsidRPr="009C452D">
        <w:t xml:space="preserve"> of the form listing the assets and debts </w:t>
      </w:r>
      <w:r w:rsidR="004C0D23">
        <w:t xml:space="preserve">and proposal for division </w:t>
      </w:r>
      <w:r w:rsidR="00321F6D">
        <w:t xml:space="preserve">of those assets and debts </w:t>
      </w:r>
      <w:r w:rsidR="004C0D23">
        <w:t xml:space="preserve">in monetary terms </w:t>
      </w:r>
      <w:r w:rsidRPr="009C452D">
        <w:t>(column</w:t>
      </w:r>
      <w:r w:rsidR="004C0D23">
        <w:t>s</w:t>
      </w:r>
      <w:r w:rsidRPr="009C452D">
        <w:t xml:space="preserve"> A</w:t>
      </w:r>
      <w:r w:rsidR="004C0D23">
        <w:t xml:space="preserve"> and F</w:t>
      </w:r>
      <w:r w:rsidRPr="009C452D">
        <w:t>).</w:t>
      </w:r>
      <w:r w:rsidR="00D54D8F">
        <w:t xml:space="preserve">  </w:t>
      </w:r>
      <w:r w:rsidR="00891004">
        <w:t>By</w:t>
      </w:r>
      <w:r w:rsidR="00B90A85">
        <w:t xml:space="preserve"> contrast, </w:t>
      </w:r>
      <w:r w:rsidR="00D54D8F">
        <w:t>w</w:t>
      </w:r>
      <w:r w:rsidRPr="009C452D">
        <w:t>hen a party completes this form in connection with a request to enter default, all columns on the form must be completed, including the “date acquired,” “gross fair market value,” “amount of debt,” “net fair market value,” and</w:t>
      </w:r>
      <w:r w:rsidR="004C0D23">
        <w:t xml:space="preserve">, again, a </w:t>
      </w:r>
      <w:r w:rsidRPr="009C452D">
        <w:t xml:space="preserve">proposal for division </w:t>
      </w:r>
      <w:r w:rsidR="004C0D23">
        <w:t>stated in dollars</w:t>
      </w:r>
      <w:r w:rsidR="000A377C">
        <w:t xml:space="preserve"> (columns B through F)</w:t>
      </w:r>
      <w:r w:rsidR="004C0D23">
        <w:t xml:space="preserve">.  </w:t>
      </w:r>
      <w:r w:rsidRPr="009C452D">
        <w:t xml:space="preserve">(See </w:t>
      </w:r>
      <w:r>
        <w:t xml:space="preserve">Form </w:t>
      </w:r>
      <w:r w:rsidRPr="009C452D">
        <w:t>F</w:t>
      </w:r>
      <w:r w:rsidR="00816C0B">
        <w:t>L</w:t>
      </w:r>
      <w:r w:rsidRPr="009C452D">
        <w:t xml:space="preserve">-160.)  In addition, with limited exceptions, a petitioner in a marital dissolution action is obligated to make extensive disclosures regarding all assets and debts and serve the other party with this information “either concurrently with the petition for dissolution or legal </w:t>
      </w:r>
      <w:bookmarkStart w:id="122" w:name="_Hlk59094235"/>
      <w:r w:rsidRPr="009C452D">
        <w:t>separation, or within 60 days of filing the petition.”  (Fam. Code, §</w:t>
      </w:r>
      <w:r w:rsidR="009C4591">
        <w:t> </w:t>
      </w:r>
      <w:r w:rsidRPr="009C452D">
        <w:t>2104, subd. (f); see also Fam. Code, §§</w:t>
      </w:r>
      <w:r w:rsidR="001852CE">
        <w:t> </w:t>
      </w:r>
      <w:r w:rsidRPr="009C452D">
        <w:t>2103, 2110</w:t>
      </w:r>
      <w:r w:rsidR="0005168D">
        <w:t xml:space="preserve">; </w:t>
      </w:r>
      <w:r w:rsidR="00873322">
        <w:t>Judicial Council Forms, form FL-140</w:t>
      </w:r>
      <w:r w:rsidR="0005168D">
        <w:t xml:space="preserve"> &lt;</w:t>
      </w:r>
      <w:r w:rsidRPr="0005168D" w:rsidR="0005168D">
        <w:t>https://www.courts.ca.gov/</w:t>
      </w:r>
      <w:r w:rsidR="00C251BD">
        <w:br/>
      </w:r>
      <w:r w:rsidRPr="0005168D" w:rsidR="0005168D">
        <w:t>documents/fl140.pdf</w:t>
      </w:r>
      <w:r w:rsidR="0005168D">
        <w:t xml:space="preserve">&gt; [as of </w:t>
      </w:r>
      <w:r w:rsidR="00EC2F21">
        <w:t>Dec. 2</w:t>
      </w:r>
      <w:r w:rsidR="008A3F2A">
        <w:t>4</w:t>
      </w:r>
      <w:r w:rsidR="006D4B10">
        <w:t>, 2020</w:t>
      </w:r>
      <w:r w:rsidR="0005168D">
        <w:t>]</w:t>
      </w:r>
      <w:r w:rsidR="00CE05A5">
        <w:t>;</w:t>
      </w:r>
      <w:r w:rsidR="0005168D">
        <w:t xml:space="preserve"> </w:t>
      </w:r>
      <w:r w:rsidR="00873322">
        <w:t>Judicial Council Forms, form FL-142</w:t>
      </w:r>
      <w:r w:rsidR="0005168D">
        <w:t xml:space="preserve"> &lt;</w:t>
      </w:r>
      <w:r w:rsidRPr="0005168D" w:rsidR="0005168D">
        <w:t>https://www.courts.ca.gov/documents/</w:t>
      </w:r>
      <w:r w:rsidR="00C251BD">
        <w:br/>
      </w:r>
      <w:r w:rsidRPr="0005168D" w:rsidR="0005168D">
        <w:t>fl142.pdf</w:t>
      </w:r>
      <w:r w:rsidR="0005168D">
        <w:t xml:space="preserve">&gt; [as of </w:t>
      </w:r>
      <w:r w:rsidR="00EC2F21">
        <w:t>Dec. 2</w:t>
      </w:r>
      <w:r w:rsidR="008A3F2A">
        <w:t>4</w:t>
      </w:r>
      <w:r w:rsidR="006D4B10">
        <w:t>, 2020</w:t>
      </w:r>
      <w:r w:rsidR="0005168D">
        <w:t>]</w:t>
      </w:r>
      <w:r w:rsidRPr="009C452D">
        <w:t xml:space="preserve">.)  </w:t>
      </w:r>
      <w:r>
        <w:t>It is thus unclear that whe</w:t>
      </w:r>
      <w:r w:rsidR="00AD2F77">
        <w:t>n</w:t>
      </w:r>
      <w:r>
        <w:t xml:space="preserve"> marital dissolutions end in defaults, the disclosures required are anything less than what is required by section 580.</w:t>
      </w:r>
      <w:bookmarkEnd w:id="122"/>
    </w:p>
    <w:p w:rsidR="0055048F" w:rsidP="00F11188">
      <w:r w:rsidRPr="00F11188">
        <w:tab/>
      </w:r>
      <w:r w:rsidR="00707176">
        <w:t>Plaintiff</w:t>
      </w:r>
      <w:r w:rsidRPr="00F11188" w:rsidR="00F459AE">
        <w:t xml:space="preserve"> also seeks to rely on </w:t>
      </w:r>
      <w:r w:rsidRPr="00F11188" w:rsidR="00F459AE">
        <w:rPr>
          <w:i/>
        </w:rPr>
        <w:t>Cassel</w:t>
      </w:r>
      <w:r w:rsidRPr="00F11188" w:rsidR="00F459AE">
        <w:t xml:space="preserve">, </w:t>
      </w:r>
      <w:r w:rsidRPr="00F11188" w:rsidR="00F459AE">
        <w:rPr>
          <w:i/>
        </w:rPr>
        <w:t>supra</w:t>
      </w:r>
      <w:r w:rsidRPr="00F11188" w:rsidR="00F459AE">
        <w:t xml:space="preserve">, </w:t>
      </w:r>
      <w:r w:rsidR="00922023">
        <w:t>7</w:t>
      </w:r>
      <w:r w:rsidRPr="00F11188" w:rsidR="00F459AE">
        <w:t>6</w:t>
      </w:r>
      <w:r w:rsidR="005A1CFD">
        <w:t> </w:t>
      </w:r>
      <w:r w:rsidRPr="00F11188" w:rsidR="00F459AE">
        <w:t>Cal.App.4th 1157.</w:t>
      </w:r>
      <w:r w:rsidRPr="00F11188" w:rsidR="001C591E">
        <w:t xml:space="preserve">  </w:t>
      </w:r>
      <w:r w:rsidRPr="00F11188" w:rsidR="001C591E">
        <w:rPr>
          <w:i/>
        </w:rPr>
        <w:t>Cassel</w:t>
      </w:r>
      <w:r w:rsidRPr="00F11188" w:rsidR="00202A91">
        <w:t xml:space="preserve"> </w:t>
      </w:r>
      <w:r w:rsidRPr="00F11188" w:rsidR="00F53FAE">
        <w:t>extend</w:t>
      </w:r>
      <w:r w:rsidR="004371D4">
        <w:t>ed</w:t>
      </w:r>
      <w:r w:rsidRPr="00F11188" w:rsidR="00F53FAE">
        <w:t xml:space="preserve"> </w:t>
      </w:r>
      <w:r w:rsidRPr="00F11188" w:rsidR="00F53FAE">
        <w:rPr>
          <w:i/>
          <w:iCs/>
        </w:rPr>
        <w:t xml:space="preserve">Andresen </w:t>
      </w:r>
      <w:r w:rsidRPr="00F11188" w:rsidR="00F53FAE">
        <w:t xml:space="preserve">to </w:t>
      </w:r>
      <w:r w:rsidRPr="00F11188" w:rsidR="00A11F12">
        <w:t>the context of an accounting action</w:t>
      </w:r>
      <w:r w:rsidRPr="00F11188" w:rsidR="00E04A54">
        <w:t>,</w:t>
      </w:r>
      <w:r w:rsidRPr="00F11188" w:rsidR="00A11F12">
        <w:t xml:space="preserve"> holding that “</w:t>
      </w:r>
      <w:r w:rsidRPr="00F11188" w:rsidR="005A09E8">
        <w:t>in an action seeking to account for and value a former partner’s partnership interest and for payment of that interest, the complaint need only specify the type of relief requested, and not the specific dollar amount sought</w:t>
      </w:r>
      <w:r w:rsidRPr="00F11188" w:rsidR="00950343">
        <w:t>.”</w:t>
      </w:r>
      <w:r w:rsidRPr="00F11188" w:rsidR="00E04A54">
        <w:t xml:space="preserve"> </w:t>
      </w:r>
      <w:r w:rsidRPr="00F11188" w:rsidR="005A09E8">
        <w:t xml:space="preserve"> (</w:t>
      </w:r>
      <w:r w:rsidRPr="00F11188" w:rsidR="005A09E8">
        <w:rPr>
          <w:i/>
          <w:iCs/>
        </w:rPr>
        <w:t xml:space="preserve">Id. </w:t>
      </w:r>
      <w:r w:rsidRPr="00F11188" w:rsidR="005A09E8">
        <w:t>at p</w:t>
      </w:r>
      <w:r w:rsidRPr="00F11188" w:rsidR="003456F7">
        <w:t>p</w:t>
      </w:r>
      <w:r w:rsidRPr="00F11188" w:rsidR="005A09E8">
        <w:t xml:space="preserve">. </w:t>
      </w:r>
      <w:r w:rsidRPr="00F11188" w:rsidR="005743C5">
        <w:t>1163</w:t>
      </w:r>
      <w:r w:rsidR="00891004">
        <w:t>–</w:t>
      </w:r>
      <w:r w:rsidRPr="00F11188" w:rsidR="005743C5">
        <w:t>1164.)</w:t>
      </w:r>
      <w:r w:rsidRPr="00F11188" w:rsidR="0021182A">
        <w:t xml:space="preserve">  The court in </w:t>
      </w:r>
      <w:r w:rsidRPr="00F11188" w:rsidR="0021182A">
        <w:rPr>
          <w:i/>
          <w:iCs/>
        </w:rPr>
        <w:t>Cassel</w:t>
      </w:r>
      <w:r w:rsidRPr="00F11188" w:rsidR="0021182A">
        <w:t xml:space="preserve"> </w:t>
      </w:r>
      <w:r w:rsidRPr="00F11188" w:rsidR="002E672B">
        <w:t xml:space="preserve">may have been persuaded by </w:t>
      </w:r>
      <w:r w:rsidRPr="00F11188" w:rsidR="00D164D2">
        <w:t>the facts of the case, which, as alleged, led the court to conclude that the defendant was “armed with [such] information” that it</w:t>
      </w:r>
      <w:r w:rsidRPr="00F11188" w:rsidR="00267518">
        <w:t xml:space="preserve"> “could precisely calculate the amount for which it would be liable if it chose to default.”  (</w:t>
      </w:r>
      <w:r w:rsidRPr="00F11188" w:rsidR="00267518">
        <w:rPr>
          <w:i/>
          <w:iCs/>
        </w:rPr>
        <w:t xml:space="preserve">Id. </w:t>
      </w:r>
      <w:r w:rsidRPr="00F11188" w:rsidR="00267518">
        <w:t xml:space="preserve">at p. </w:t>
      </w:r>
      <w:r w:rsidRPr="00F11188" w:rsidR="00CE2DE7">
        <w:t>1163.)</w:t>
      </w:r>
      <w:r w:rsidRPr="00F11188" w:rsidR="00D164D2">
        <w:t xml:space="preserve">  Under such circumstances, the court reasoned that </w:t>
      </w:r>
      <w:r w:rsidRPr="00F11188" w:rsidR="00F47622">
        <w:t xml:space="preserve">complaints for accounting </w:t>
      </w:r>
      <w:r w:rsidRPr="00F11188" w:rsidR="00476E5F">
        <w:t xml:space="preserve">need not </w:t>
      </w:r>
      <w:r w:rsidRPr="00F11188" w:rsidR="00D164D2">
        <w:t xml:space="preserve">state “the specific dollar amount sought” </w:t>
      </w:r>
      <w:r w:rsidR="00D26DBE">
        <w:t xml:space="preserve">in order </w:t>
      </w:r>
      <w:r w:rsidRPr="00F11188" w:rsidR="00D164D2">
        <w:t>to satisfy section 580</w:t>
      </w:r>
      <w:r w:rsidRPr="00F11188" w:rsidR="0055227B">
        <w:t>,</w:t>
      </w:r>
      <w:r w:rsidRPr="00F11188" w:rsidR="00D164D2">
        <w:t xml:space="preserve"> because there </w:t>
      </w:r>
      <w:r w:rsidRPr="00F11188" w:rsidR="006B4487">
        <w:t>i</w:t>
      </w:r>
      <w:r w:rsidRPr="00F11188" w:rsidR="00D164D2">
        <w:t>s no foreseeable “danger that defaulting defendants will be taken by surprise by judgments entered against them, [since], like spouses facing property division, they will be in possession of the essential information necessary to calculate their potential exposure.”</w:t>
      </w:r>
      <w:r w:rsidRPr="00F11188" w:rsidR="0065023A">
        <w:t xml:space="preserve">  (</w:t>
      </w:r>
      <w:r w:rsidR="00922023">
        <w:rPr>
          <w:i/>
          <w:iCs/>
        </w:rPr>
        <w:t>Cassel,</w:t>
      </w:r>
      <w:r w:rsidRPr="00F11188" w:rsidR="0065023A">
        <w:rPr>
          <w:i/>
          <w:iCs/>
        </w:rPr>
        <w:t xml:space="preserve"> </w:t>
      </w:r>
      <w:r w:rsidRPr="00F11188" w:rsidR="0065023A">
        <w:t>at p. 1164.)</w:t>
      </w:r>
    </w:p>
    <w:p w:rsidR="009474D7" w:rsidRPr="00F11188" w:rsidP="00F11188"/>
    <w:p w:rsidR="00410682" w:rsidRPr="00F11188" w:rsidP="00F11188">
      <w:r w:rsidRPr="00F11188">
        <w:tab/>
        <w:t xml:space="preserve">Adherence to </w:t>
      </w:r>
      <w:r w:rsidR="0032319D">
        <w:t xml:space="preserve">this aspect of </w:t>
      </w:r>
      <w:r w:rsidRPr="00F11188">
        <w:rPr>
          <w:i/>
        </w:rPr>
        <w:t xml:space="preserve">Cassel </w:t>
      </w:r>
      <w:r w:rsidRPr="00F11188">
        <w:t>has been spotty in the decades since it was decided.</w:t>
      </w:r>
      <w:r w:rsidRPr="00F11188" w:rsidR="004A3DFB">
        <w:t xml:space="preserve">  Of</w:t>
      </w:r>
      <w:r w:rsidRPr="00F11188">
        <w:t xml:space="preserve"> </w:t>
      </w:r>
      <w:r w:rsidRPr="00F11188" w:rsidR="004A3DFB">
        <w:t>the</w:t>
      </w:r>
      <w:r w:rsidRPr="00F11188" w:rsidR="00E94138">
        <w:t xml:space="preserve"> two</w:t>
      </w:r>
      <w:r w:rsidRPr="00F11188">
        <w:t xml:space="preserve"> </w:t>
      </w:r>
      <w:r w:rsidRPr="00F11188" w:rsidR="00454AFF">
        <w:t>published opinions</w:t>
      </w:r>
      <w:r w:rsidRPr="00F11188">
        <w:t xml:space="preserve"> </w:t>
      </w:r>
      <w:r w:rsidRPr="00F11188" w:rsidR="0087222F">
        <w:t xml:space="preserve">that </w:t>
      </w:r>
      <w:r w:rsidRPr="00F11188" w:rsidR="0010577B">
        <w:t xml:space="preserve">have </w:t>
      </w:r>
      <w:r w:rsidRPr="00F11188" w:rsidR="000E5E3A">
        <w:t xml:space="preserve">seemingly </w:t>
      </w:r>
      <w:r w:rsidRPr="00F11188">
        <w:t xml:space="preserve">endorsed </w:t>
      </w:r>
      <w:r w:rsidRPr="00F11188">
        <w:rPr>
          <w:i/>
        </w:rPr>
        <w:t>Cassel</w:t>
      </w:r>
      <w:r w:rsidRPr="00F11188" w:rsidR="00CE40ED">
        <w:t>,</w:t>
      </w:r>
      <w:r w:rsidRPr="00F11188">
        <w:t xml:space="preserve"> </w:t>
      </w:r>
      <w:r w:rsidRPr="00F11188" w:rsidR="003B398A">
        <w:t xml:space="preserve">both </w:t>
      </w:r>
      <w:r w:rsidRPr="00F11188" w:rsidR="00EB4BF0">
        <w:t xml:space="preserve">narrowed </w:t>
      </w:r>
      <w:r w:rsidRPr="00F11188" w:rsidR="00465244">
        <w:rPr>
          <w:i/>
        </w:rPr>
        <w:t>Cassel</w:t>
      </w:r>
      <w:r w:rsidRPr="00F11188" w:rsidR="00465244">
        <w:t>’s</w:t>
      </w:r>
      <w:r w:rsidRPr="00F11188" w:rsidR="00EB4BF0">
        <w:t xml:space="preserve"> holding so it </w:t>
      </w:r>
      <w:r w:rsidRPr="00F11188" w:rsidR="00E36148">
        <w:t xml:space="preserve">did not apply </w:t>
      </w:r>
      <w:r w:rsidRPr="00F11188" w:rsidR="00544BFB">
        <w:t>to the facts of their case</w:t>
      </w:r>
      <w:r w:rsidRPr="00F11188">
        <w:t>.  (</w:t>
      </w:r>
      <w:r w:rsidRPr="00F11188">
        <w:rPr>
          <w:i/>
        </w:rPr>
        <w:t>Warren</w:t>
      </w:r>
      <w:r w:rsidRPr="00F11188" w:rsidR="001E78D3">
        <w:t xml:space="preserve">, </w:t>
      </w:r>
      <w:r w:rsidRPr="00F11188" w:rsidR="001E78D3">
        <w:rPr>
          <w:i/>
        </w:rPr>
        <w:t>supra</w:t>
      </w:r>
      <w:r w:rsidRPr="00F11188" w:rsidR="001E78D3">
        <w:t xml:space="preserve">, </w:t>
      </w:r>
      <w:r w:rsidRPr="00F11188">
        <w:t>240</w:t>
      </w:r>
      <w:r w:rsidR="005A1CFD">
        <w:t> </w:t>
      </w:r>
      <w:r w:rsidRPr="00F11188">
        <w:t xml:space="preserve">Cal.App.4th </w:t>
      </w:r>
      <w:r w:rsidRPr="00F11188" w:rsidR="001E78D3">
        <w:t>at p.</w:t>
      </w:r>
      <w:r w:rsidRPr="00F11188">
        <w:t xml:space="preserve"> 375 [“Although we agree with cases finding that a plaintiff in an action for accounting need not give notice of damages before a defendant’s default is entered, we also find that an exception to that rule applies:  where, as here, plaintiff knew what his damages were </w:t>
      </w:r>
      <w:r w:rsidRPr="003C453D">
        <w:t>and</w:t>
      </w:r>
      <w:r w:rsidRPr="00F11188">
        <w:t xml:space="preserve"> defendants did not have access to that information, notice must be given before default is entered”]; </w:t>
      </w:r>
      <w:r w:rsidRPr="00F11188" w:rsidR="004D748D">
        <w:rPr>
          <w:i/>
        </w:rPr>
        <w:t>Schwab v. Southern California Gas Co.</w:t>
      </w:r>
      <w:r w:rsidRPr="00F11188" w:rsidR="004D748D">
        <w:t xml:space="preserve"> (2004) 114 Cal.App.4th 1308, 1326</w:t>
      </w:r>
      <w:r w:rsidRPr="00F11188">
        <w:t xml:space="preserve"> [</w:t>
      </w:r>
      <w:r w:rsidRPr="00F11188">
        <w:rPr>
          <w:i/>
        </w:rPr>
        <w:t>Cassel</w:t>
      </w:r>
      <w:r w:rsidRPr="00F11188">
        <w:t xml:space="preserve"> </w:t>
      </w:r>
      <w:r w:rsidR="00922023">
        <w:t>“</w:t>
      </w:r>
      <w:r w:rsidRPr="00F11188">
        <w:t>is a limited exception to the statutory notice provisions, which does not apply in the present case”].)</w:t>
      </w:r>
    </w:p>
    <w:p w:rsidR="00421605" w:rsidRPr="00F11188" w:rsidP="00F11188">
      <w:r w:rsidRPr="00F11188">
        <w:tab/>
      </w:r>
      <w:r w:rsidRPr="00F11188">
        <w:t xml:space="preserve">Other </w:t>
      </w:r>
      <w:r w:rsidRPr="00F11188" w:rsidR="00D07CC0">
        <w:t>Courts of Appeal</w:t>
      </w:r>
      <w:r w:rsidRPr="00F11188">
        <w:t xml:space="preserve">, including the </w:t>
      </w:r>
      <w:r w:rsidRPr="00F11188" w:rsidR="00D07CC0">
        <w:t>court below</w:t>
      </w:r>
      <w:r w:rsidRPr="00F11188">
        <w:t xml:space="preserve">, have flatly refused to follow </w:t>
      </w:r>
      <w:r w:rsidRPr="00F11188">
        <w:rPr>
          <w:i/>
        </w:rPr>
        <w:t>Cassel</w:t>
      </w:r>
      <w:r w:rsidRPr="00F11188">
        <w:t>.  (</w:t>
      </w:r>
      <w:r w:rsidRPr="00F11188">
        <w:rPr>
          <w:i/>
        </w:rPr>
        <w:t>Sass</w:t>
      </w:r>
      <w:r w:rsidRPr="00F11188">
        <w:t xml:space="preserve">, </w:t>
      </w:r>
      <w:r w:rsidRPr="00F11188">
        <w:rPr>
          <w:i/>
        </w:rPr>
        <w:t>supra</w:t>
      </w:r>
      <w:r w:rsidRPr="00F11188">
        <w:t xml:space="preserve">, 32 Cal.App.5th at p. 1043 [joining “the growing majority of cases rejecting </w:t>
      </w:r>
      <w:r w:rsidRPr="00F11188">
        <w:rPr>
          <w:i/>
        </w:rPr>
        <w:t>Cassel</w:t>
      </w:r>
      <w:r w:rsidRPr="00F11188">
        <w:t xml:space="preserve">”]; </w:t>
      </w:r>
      <w:r w:rsidRPr="00F11188">
        <w:rPr>
          <w:i/>
        </w:rPr>
        <w:t>Van Sickle</w:t>
      </w:r>
      <w:r w:rsidRPr="00F11188" w:rsidR="00D07CC0">
        <w:t xml:space="preserve">, </w:t>
      </w:r>
      <w:r w:rsidRPr="00F11188" w:rsidR="00D07CC0">
        <w:rPr>
          <w:i/>
        </w:rPr>
        <w:t>supra</w:t>
      </w:r>
      <w:r w:rsidRPr="00F11188" w:rsidR="00D07CC0">
        <w:t xml:space="preserve">, </w:t>
      </w:r>
      <w:r w:rsidRPr="00F11188">
        <w:t xml:space="preserve">196 Cal.App.4th </w:t>
      </w:r>
      <w:r w:rsidRPr="00F11188" w:rsidR="00D07CC0">
        <w:t>at p.</w:t>
      </w:r>
      <w:r w:rsidR="009474D7">
        <w:t> </w:t>
      </w:r>
      <w:r w:rsidRPr="00F11188">
        <w:t xml:space="preserve">1527 [“we reject </w:t>
      </w:r>
      <w:r w:rsidRPr="00F11188">
        <w:rPr>
          <w:i/>
        </w:rPr>
        <w:t>Cassel</w:t>
      </w:r>
      <w:r w:rsidRPr="00F11188">
        <w:t xml:space="preserve">”]; </w:t>
      </w:r>
      <w:r w:rsidRPr="00F11188">
        <w:rPr>
          <w:i/>
        </w:rPr>
        <w:t>Finney</w:t>
      </w:r>
      <w:r w:rsidRPr="00F11188" w:rsidR="00D64826">
        <w:t xml:space="preserve">, </w:t>
      </w:r>
      <w:r w:rsidRPr="00F11188" w:rsidR="00D64826">
        <w:rPr>
          <w:i/>
        </w:rPr>
        <w:t>supra</w:t>
      </w:r>
      <w:r w:rsidRPr="00F11188" w:rsidR="00D64826">
        <w:t xml:space="preserve">, </w:t>
      </w:r>
      <w:r w:rsidRPr="00F11188">
        <w:t xml:space="preserve">111 Cal.App.4th </w:t>
      </w:r>
      <w:r w:rsidRPr="00F11188" w:rsidR="00D64826">
        <w:t>at pp.</w:t>
      </w:r>
      <w:r w:rsidRPr="00F11188">
        <w:t xml:space="preserve"> 541</w:t>
      </w:r>
      <w:r w:rsidR="007C1930">
        <w:t>–</w:t>
      </w:r>
      <w:r w:rsidRPr="00F11188">
        <w:t xml:space="preserve">542 [“the rationale of </w:t>
      </w:r>
      <w:r w:rsidRPr="00F11188">
        <w:rPr>
          <w:i/>
        </w:rPr>
        <w:t>Cassel</w:t>
      </w:r>
      <w:r w:rsidRPr="00F11188">
        <w:t xml:space="preserve"> runs counter to the primary purpose of section 580 of ensuring notice and fundamental fairness”]; see also </w:t>
      </w:r>
      <w:r w:rsidRPr="00F11188">
        <w:rPr>
          <w:i/>
        </w:rPr>
        <w:t>Ely</w:t>
      </w:r>
      <w:r w:rsidRPr="00F11188" w:rsidR="00925232">
        <w:t xml:space="preserve">, </w:t>
      </w:r>
      <w:r w:rsidRPr="00F11188" w:rsidR="00925232">
        <w:rPr>
          <w:i/>
        </w:rPr>
        <w:t>supra</w:t>
      </w:r>
      <w:r w:rsidRPr="00F11188" w:rsidR="00925232">
        <w:t xml:space="preserve">, </w:t>
      </w:r>
      <w:r w:rsidRPr="00F11188">
        <w:t xml:space="preserve">224 Cal.App.3d </w:t>
      </w:r>
      <w:r w:rsidRPr="00F11188" w:rsidR="00BA4828">
        <w:t>at pp.</w:t>
      </w:r>
      <w:r w:rsidRPr="00F11188">
        <w:t xml:space="preserve"> 1263</w:t>
      </w:r>
      <w:r w:rsidR="007C1930">
        <w:t>–</w:t>
      </w:r>
      <w:r w:rsidRPr="00F11188">
        <w:t xml:space="preserve">1264 [a </w:t>
      </w:r>
      <w:r w:rsidR="004406D0">
        <w:t xml:space="preserve">decision </w:t>
      </w:r>
      <w:r w:rsidRPr="00F11188">
        <w:t xml:space="preserve">preceding </w:t>
      </w:r>
      <w:r w:rsidRPr="00F11188">
        <w:rPr>
          <w:i/>
        </w:rPr>
        <w:t>Cassel</w:t>
      </w:r>
      <w:r w:rsidRPr="00707176">
        <w:rPr>
          <w:iCs/>
        </w:rPr>
        <w:t xml:space="preserve"> </w:t>
      </w:r>
      <w:r w:rsidRPr="00F11188">
        <w:t xml:space="preserve">with which </w:t>
      </w:r>
      <w:r w:rsidRPr="00F11188">
        <w:rPr>
          <w:i/>
        </w:rPr>
        <w:t xml:space="preserve">Cassel </w:t>
      </w:r>
      <w:r w:rsidRPr="00F11188">
        <w:t xml:space="preserve">disagrees but other </w:t>
      </w:r>
      <w:r w:rsidRPr="00F11188" w:rsidR="00B04AA6">
        <w:t>Courts of Appeal</w:t>
      </w:r>
      <w:r w:rsidRPr="00F11188">
        <w:t xml:space="preserve"> have continued to follow].)</w:t>
      </w:r>
    </w:p>
    <w:p w:rsidR="00816C0B" w:rsidP="00864604">
      <w:r w:rsidRPr="00F11188">
        <w:tab/>
      </w:r>
      <w:r w:rsidR="008E589C">
        <w:t>We</w:t>
      </w:r>
      <w:r w:rsidRPr="00F11188" w:rsidR="00CD3B83">
        <w:t xml:space="preserve"> do not </w:t>
      </w:r>
      <w:r w:rsidRPr="00F11188" w:rsidR="0044517A">
        <w:t xml:space="preserve">find </w:t>
      </w:r>
      <w:r w:rsidRPr="00F11188" w:rsidR="0044517A">
        <w:rPr>
          <w:i/>
        </w:rPr>
        <w:t>Cassel</w:t>
      </w:r>
      <w:r w:rsidRPr="00F11188" w:rsidR="0044517A">
        <w:t xml:space="preserve"> persuasive.</w:t>
      </w:r>
      <w:r>
        <w:rPr>
          <w:rStyle w:val="FootnoteReference"/>
        </w:rPr>
        <w:footnoteReference w:id="14"/>
      </w:r>
      <w:r w:rsidRPr="00F11188" w:rsidR="00D7517A">
        <w:t xml:space="preserve">  If </w:t>
      </w:r>
      <w:r w:rsidRPr="00F11188" w:rsidR="00181821">
        <w:t xml:space="preserve">all that </w:t>
      </w:r>
      <w:r w:rsidRPr="00F11188" w:rsidR="00E33804">
        <w:t xml:space="preserve">is </w:t>
      </w:r>
      <w:r w:rsidRPr="00F11188" w:rsidR="00181821">
        <w:t xml:space="preserve">needed to satisfy section 580 </w:t>
      </w:r>
      <w:r w:rsidRPr="00F11188" w:rsidR="00E33804">
        <w:t>is</w:t>
      </w:r>
      <w:r w:rsidRPr="00F11188" w:rsidR="00830AEF">
        <w:t xml:space="preserve"> </w:t>
      </w:r>
      <w:r w:rsidRPr="00F11188" w:rsidR="005E36A7">
        <w:t xml:space="preserve">a lack of surprise to the defendants, then </w:t>
      </w:r>
      <w:r w:rsidRPr="00F11188" w:rsidR="000A18C8">
        <w:t xml:space="preserve">there </w:t>
      </w:r>
      <w:r w:rsidRPr="00F11188" w:rsidR="003171FC">
        <w:t>would</w:t>
      </w:r>
      <w:r w:rsidRPr="00F11188" w:rsidR="004A43C9">
        <w:t xml:space="preserve"> </w:t>
      </w:r>
      <w:r w:rsidRPr="00F11188" w:rsidR="00285656">
        <w:t>be</w:t>
      </w:r>
      <w:r w:rsidRPr="00F11188" w:rsidR="003171FC">
        <w:t xml:space="preserve"> </w:t>
      </w:r>
      <w:r w:rsidRPr="00F11188" w:rsidR="000A18C8">
        <w:t xml:space="preserve">no reason to insist on formal notice of potential liability.  Actual </w:t>
      </w:r>
      <w:r w:rsidRPr="00F11188" w:rsidR="00B31122">
        <w:t xml:space="preserve">notice </w:t>
      </w:r>
      <w:r w:rsidRPr="00F11188" w:rsidR="000A18C8">
        <w:t>should suffice</w:t>
      </w:r>
      <w:r w:rsidRPr="00F11188" w:rsidR="009743E5">
        <w:t xml:space="preserve">.  </w:t>
      </w:r>
      <w:r w:rsidRPr="00F11188" w:rsidR="003171FC">
        <w:t xml:space="preserve">After all, </w:t>
      </w:r>
      <w:r w:rsidRPr="00F11188" w:rsidR="001B455C">
        <w:t>when</w:t>
      </w:r>
      <w:r w:rsidRPr="00F11188" w:rsidR="003171FC">
        <w:t xml:space="preserve"> </w:t>
      </w:r>
      <w:r w:rsidRPr="00F11188" w:rsidR="008F4E0C">
        <w:t xml:space="preserve">a </w:t>
      </w:r>
      <w:r w:rsidRPr="00F11188" w:rsidR="003171FC">
        <w:t xml:space="preserve">defendant actually </w:t>
      </w:r>
      <w:r w:rsidRPr="00F11188" w:rsidR="003171FC">
        <w:rPr>
          <w:i/>
          <w:iCs/>
        </w:rPr>
        <w:t>k</w:t>
      </w:r>
      <w:r w:rsidRPr="00F11188" w:rsidR="00413DE1">
        <w:rPr>
          <w:i/>
          <w:iCs/>
        </w:rPr>
        <w:t>now</w:t>
      </w:r>
      <w:r w:rsidRPr="00F11188" w:rsidR="008F4E0C">
        <w:rPr>
          <w:i/>
          <w:iCs/>
        </w:rPr>
        <w:t>s</w:t>
      </w:r>
      <w:r w:rsidRPr="00F11188" w:rsidR="003171FC">
        <w:rPr>
          <w:i/>
          <w:iCs/>
        </w:rPr>
        <w:t xml:space="preserve"> </w:t>
      </w:r>
      <w:r w:rsidRPr="00F11188" w:rsidR="003171FC">
        <w:t xml:space="preserve">what </w:t>
      </w:r>
      <w:r w:rsidRPr="00F11188" w:rsidR="008F4E0C">
        <w:t xml:space="preserve">is </w:t>
      </w:r>
      <w:r w:rsidRPr="00F11188" w:rsidR="003171FC">
        <w:t xml:space="preserve">owed, there </w:t>
      </w:r>
      <w:r w:rsidRPr="00F11188" w:rsidR="001B455C">
        <w:t>is</w:t>
      </w:r>
      <w:r w:rsidRPr="00F11188" w:rsidR="003171FC">
        <w:t xml:space="preserve"> no “danger” </w:t>
      </w:r>
      <w:r w:rsidRPr="00F11188" w:rsidR="008F4E0C">
        <w:t xml:space="preserve">of </w:t>
      </w:r>
      <w:r w:rsidRPr="00F11188" w:rsidR="003171FC">
        <w:t xml:space="preserve">surprise by </w:t>
      </w:r>
      <w:r w:rsidRPr="00F11188" w:rsidR="008F4E0C">
        <w:t xml:space="preserve">a </w:t>
      </w:r>
      <w:r w:rsidRPr="00F11188" w:rsidR="003171FC">
        <w:t>default judgment.  (</w:t>
      </w:r>
      <w:r w:rsidRPr="00F11188" w:rsidR="003171FC">
        <w:rPr>
          <w:i/>
          <w:iCs/>
        </w:rPr>
        <w:t>Cassel</w:t>
      </w:r>
      <w:r w:rsidRPr="00F11188" w:rsidR="003171FC">
        <w:t xml:space="preserve">, </w:t>
      </w:r>
      <w:r w:rsidRPr="00F11188" w:rsidR="003171FC">
        <w:rPr>
          <w:i/>
          <w:iCs/>
        </w:rPr>
        <w:t>supra</w:t>
      </w:r>
      <w:r w:rsidRPr="00F11188" w:rsidR="003171FC">
        <w:t xml:space="preserve">, </w:t>
      </w:r>
      <w:r w:rsidRPr="00F11188" w:rsidR="00DD7CE2">
        <w:t>6 Cal.App.4th at p. 1164</w:t>
      </w:r>
      <w:r w:rsidRPr="00F11188" w:rsidR="003171FC">
        <w:t xml:space="preserve">.)  </w:t>
      </w:r>
      <w:r w:rsidRPr="00F11188" w:rsidR="000A18C8">
        <w:t xml:space="preserve">Yet, this is not our law.  </w:t>
      </w:r>
      <w:r w:rsidRPr="00F11188" w:rsidR="00DF51B2">
        <w:t xml:space="preserve">(See, </w:t>
      </w:r>
      <w:r w:rsidRPr="00F11188" w:rsidR="000A18C8">
        <w:t xml:space="preserve">e.g., </w:t>
      </w:r>
      <w:r w:rsidRPr="00F11188" w:rsidR="002F071C">
        <w:rPr>
          <w:i/>
        </w:rPr>
        <w:t>Greenup</w:t>
      </w:r>
      <w:r w:rsidRPr="00F11188" w:rsidR="002F071C">
        <w:t xml:space="preserve">, </w:t>
      </w:r>
      <w:r w:rsidRPr="00F11188" w:rsidR="002F071C">
        <w:rPr>
          <w:i/>
        </w:rPr>
        <w:t>supra</w:t>
      </w:r>
      <w:r w:rsidRPr="00F11188" w:rsidR="002F071C">
        <w:t>, 42 Cal.3d at p. 82</w:t>
      </w:r>
      <w:r w:rsidRPr="00F11188" w:rsidR="00B31122">
        <w:t>6</w:t>
      </w:r>
      <w:r w:rsidRPr="00F11188" w:rsidR="009743E5">
        <w:t xml:space="preserve"> [“</w:t>
      </w:r>
      <w:r w:rsidRPr="00F11188" w:rsidR="00B31122">
        <w:t>due process requires formal notice of potential liability; actual notice may not substitute for service of an amended complaint</w:t>
      </w:r>
      <w:r w:rsidRPr="00F11188" w:rsidR="009743E5">
        <w:t>”]</w:t>
      </w:r>
      <w:r w:rsidRPr="00F11188" w:rsidR="002F071C">
        <w:t xml:space="preserve">; </w:t>
      </w:r>
      <w:r w:rsidRPr="00F11188" w:rsidR="000A18C8">
        <w:rPr>
          <w:i/>
        </w:rPr>
        <w:t>Airs Aromatics, LLC v. CBL Data Recovery Technologies, Inc.</w:t>
      </w:r>
      <w:r w:rsidRPr="00F11188" w:rsidR="000A18C8">
        <w:t xml:space="preserve"> (2018) 23 Cal.App.5th 1013, 1019 [“courts have set aside default judgments that award more damages than requested in the complaint even where a defendant had </w:t>
      </w:r>
      <w:r w:rsidRPr="00F11188" w:rsidR="000A18C8">
        <w:rPr>
          <w:i/>
          <w:iCs/>
        </w:rPr>
        <w:t>actual notice</w:t>
      </w:r>
      <w:r w:rsidRPr="00F11188" w:rsidR="000A18C8">
        <w:t xml:space="preserve"> of the damages the plaintiff sought”]; </w:t>
      </w:r>
      <w:r w:rsidRPr="00F11188" w:rsidR="000A18C8">
        <w:rPr>
          <w:i/>
        </w:rPr>
        <w:t>Stein v. York</w:t>
      </w:r>
      <w:r w:rsidRPr="00F11188" w:rsidR="000A18C8">
        <w:t xml:space="preserve"> (2010) 181 Cal.App.4th 320, 326 [“Plaintiff argues defendant received notice of the potential damages that could be entered against him by virtue of his </w:t>
      </w:r>
      <w:r w:rsidRPr="00F11188" w:rsidR="00056C5F">
        <w:t>[participation in this action]</w:t>
      </w:r>
      <w:r w:rsidRPr="00F11188" w:rsidR="000A18C8">
        <w:t>.  This argument does not persuade because constructive notice of potential liability does not satisfy section 580.”].)</w:t>
      </w:r>
    </w:p>
    <w:p w:rsidR="009636F4" w:rsidRPr="00F11188" w:rsidP="00816C0B">
      <w:pPr>
        <w:ind w:firstLine="720"/>
      </w:pPr>
      <w:r w:rsidRPr="00F11188">
        <w:t xml:space="preserve">At its core, </w:t>
      </w:r>
      <w:r w:rsidRPr="00F11188">
        <w:rPr>
          <w:i/>
          <w:iCs/>
        </w:rPr>
        <w:t xml:space="preserve">Cassel </w:t>
      </w:r>
      <w:r w:rsidRPr="00F11188">
        <w:t xml:space="preserve">pointed to nothing other than a relative informational imbalance between plaintiffs and defendants in accounting actions to justify its holding.  </w:t>
      </w:r>
      <w:r w:rsidRPr="00F11188" w:rsidR="00B33425">
        <w:t>(</w:t>
      </w:r>
      <w:r w:rsidRPr="00F11188" w:rsidR="00B33425">
        <w:rPr>
          <w:i/>
          <w:iCs/>
        </w:rPr>
        <w:t>Cassel</w:t>
      </w:r>
      <w:r w:rsidRPr="00F11188" w:rsidR="00B33425">
        <w:t xml:space="preserve">, </w:t>
      </w:r>
      <w:r w:rsidRPr="00F11188" w:rsidR="00B33425">
        <w:rPr>
          <w:i/>
          <w:iCs/>
        </w:rPr>
        <w:t>supra</w:t>
      </w:r>
      <w:r w:rsidRPr="00F11188" w:rsidR="00B33425">
        <w:t xml:space="preserve">, </w:t>
      </w:r>
      <w:r w:rsidRPr="00F11188" w:rsidR="00394404">
        <w:t>76</w:t>
      </w:r>
      <w:r w:rsidR="005A1CFD">
        <w:t> </w:t>
      </w:r>
      <w:r w:rsidRPr="00F11188" w:rsidR="00394404">
        <w:t>Cal.App.4th at p. 1163</w:t>
      </w:r>
      <w:r w:rsidRPr="00F11188" w:rsidR="00B33425">
        <w:t xml:space="preserve">.)  </w:t>
      </w:r>
      <w:r w:rsidR="0011282C">
        <w:t xml:space="preserve">As we previously </w:t>
      </w:r>
      <w:r w:rsidR="007D03EF">
        <w:t>explained</w:t>
      </w:r>
      <w:r w:rsidR="0011282C">
        <w:t>, however, t</w:t>
      </w:r>
      <w:r w:rsidRPr="00F11188" w:rsidR="0011282C">
        <w:t xml:space="preserve">his </w:t>
      </w:r>
      <w:r w:rsidRPr="00F11188">
        <w:t>is not enough.</w:t>
      </w:r>
    </w:p>
    <w:p w:rsidR="005B0DDE" w:rsidRPr="00F11188" w:rsidP="00F11188">
      <w:r w:rsidRPr="00F11188">
        <w:tab/>
      </w:r>
      <w:r w:rsidR="00707176">
        <w:t>Plaintiff</w:t>
      </w:r>
      <w:r w:rsidRPr="00F11188" w:rsidR="002B63F3">
        <w:t xml:space="preserve"> </w:t>
      </w:r>
      <w:r w:rsidR="00FB7255">
        <w:t xml:space="preserve">alternatively </w:t>
      </w:r>
      <w:r w:rsidRPr="00F11188" w:rsidR="002B63F3">
        <w:t>argues that “even if the relevant statutes are read to require notice of a sum certain, an exception is warranted”</w:t>
      </w:r>
      <w:r w:rsidRPr="00F11188" w:rsidR="00024614">
        <w:t xml:space="preserve"> for “accounting actions seeking equal division of specified assets in the defendant’s hands.”  </w:t>
      </w:r>
      <w:r w:rsidRPr="00F11188" w:rsidR="0063754A">
        <w:t xml:space="preserve">As a preliminary matter, we note that </w:t>
      </w:r>
      <w:r w:rsidRPr="00F11188" w:rsidR="001E31FC">
        <w:t xml:space="preserve">courts </w:t>
      </w:r>
      <w:r w:rsidR="009E6A77">
        <w:t xml:space="preserve">have no </w:t>
      </w:r>
      <w:r w:rsidRPr="00F11188" w:rsidR="00481897">
        <w:t xml:space="preserve">power to </w:t>
      </w:r>
      <w:r w:rsidRPr="00F11188" w:rsidR="008832B4">
        <w:t xml:space="preserve">act in contravention of </w:t>
      </w:r>
      <w:r w:rsidRPr="00F11188" w:rsidR="00B34C5E">
        <w:t xml:space="preserve">the </w:t>
      </w:r>
      <w:r w:rsidRPr="00F11188" w:rsidR="008832B4">
        <w:t>relevant statutes</w:t>
      </w:r>
      <w:r w:rsidRPr="00F11188" w:rsidR="000F5A1D">
        <w:t>, especially when th</w:t>
      </w:r>
      <w:r w:rsidRPr="00F11188" w:rsidR="008832B4">
        <w:t>ose</w:t>
      </w:r>
      <w:r w:rsidRPr="00F11188" w:rsidR="000F5A1D">
        <w:t xml:space="preserve"> statute</w:t>
      </w:r>
      <w:r w:rsidRPr="00F11188" w:rsidR="004E05C2">
        <w:t>s</w:t>
      </w:r>
      <w:r w:rsidRPr="00F11188" w:rsidR="000F5A1D">
        <w:t xml:space="preserve"> delimit their jurisdiction.  </w:t>
      </w:r>
      <w:r w:rsidRPr="00F11188" w:rsidR="00481897">
        <w:t xml:space="preserve">(See </w:t>
      </w:r>
      <w:r w:rsidRPr="00F11188" w:rsidR="00481897">
        <w:rPr>
          <w:i/>
          <w:iCs/>
        </w:rPr>
        <w:t>Bur</w:t>
      </w:r>
      <w:r w:rsidRPr="00F11188" w:rsidR="001E4097">
        <w:rPr>
          <w:i/>
          <w:iCs/>
        </w:rPr>
        <w:t>t</w:t>
      </w:r>
      <w:r w:rsidRPr="00F11188" w:rsidR="00481897">
        <w:rPr>
          <w:i/>
          <w:iCs/>
        </w:rPr>
        <w:t>nett</w:t>
      </w:r>
      <w:r w:rsidRPr="00F11188" w:rsidR="00481897">
        <w:t xml:space="preserve">, </w:t>
      </w:r>
      <w:r w:rsidRPr="00F11188" w:rsidR="00481897">
        <w:rPr>
          <w:i/>
          <w:iCs/>
        </w:rPr>
        <w:t>supra</w:t>
      </w:r>
      <w:r w:rsidRPr="00F11188" w:rsidR="00481897">
        <w:t xml:space="preserve">, </w:t>
      </w:r>
      <w:r w:rsidRPr="00F11188" w:rsidR="00282F94">
        <w:t>33</w:t>
      </w:r>
      <w:r w:rsidR="005A1CFD">
        <w:t> </w:t>
      </w:r>
      <w:r w:rsidRPr="00F11188" w:rsidR="00282F94">
        <w:t xml:space="preserve">Cal.2d </w:t>
      </w:r>
      <w:r w:rsidRPr="00F11188" w:rsidR="00481897">
        <w:t xml:space="preserve">at p. </w:t>
      </w:r>
      <w:r w:rsidRPr="00F11188" w:rsidR="00282F94">
        <w:t>807</w:t>
      </w:r>
      <w:r w:rsidRPr="00F11188" w:rsidR="001E4097">
        <w:t xml:space="preserve"> [“</w:t>
      </w:r>
      <w:r w:rsidR="001C5F61">
        <w:t>[T]</w:t>
      </w:r>
      <w:r w:rsidRPr="00F11188" w:rsidR="001C5F61">
        <w:t xml:space="preserve">he </w:t>
      </w:r>
      <w:r w:rsidRPr="00F11188" w:rsidR="001E4097">
        <w:t xml:space="preserve">court’s jurisdiction to render default judgments can be </w:t>
      </w:r>
      <w:r w:rsidRPr="00F11188" w:rsidR="001E4097">
        <w:rPr>
          <w:rStyle w:val="ssit"/>
          <w:i/>
          <w:iCs/>
        </w:rPr>
        <w:t>exercised only in the way authorized by statute</w:t>
      </w:r>
      <w:r w:rsidRPr="00F11188" w:rsidR="001E4097">
        <w:rPr>
          <w:rStyle w:val="ssit"/>
        </w:rPr>
        <w:t xml:space="preserve">.  </w:t>
      </w:r>
      <w:r w:rsidRPr="00F11188" w:rsidR="001E4097">
        <w:t>It cannot act except in a particular manner, that is, by keeping the judgment within the bounds of the relief demanded.”]</w:t>
      </w:r>
      <w:r w:rsidRPr="00F11188" w:rsidR="00481897">
        <w:t>.)</w:t>
      </w:r>
    </w:p>
    <w:p w:rsidR="00F97CB0" w:rsidRPr="00F11188" w:rsidP="00F11188">
      <w:pPr>
        <w:ind w:firstLine="720"/>
      </w:pPr>
      <w:r w:rsidRPr="00F11188">
        <w:t xml:space="preserve">At the heart of </w:t>
      </w:r>
      <w:r w:rsidR="00A36979">
        <w:t>plaintiff</w:t>
      </w:r>
      <w:r w:rsidRPr="00F11188">
        <w:t xml:space="preserve">’s argument, however, is a contention that we must </w:t>
      </w:r>
      <w:r w:rsidR="00321029">
        <w:t>address</w:t>
      </w:r>
      <w:r w:rsidRPr="00F11188" w:rsidR="0001176C">
        <w:t xml:space="preserve"> — if only to </w:t>
      </w:r>
      <w:r w:rsidRPr="00F11188">
        <w:t xml:space="preserve">ultimately </w:t>
      </w:r>
      <w:r w:rsidRPr="00F11188" w:rsidR="0001176C">
        <w:t>reject</w:t>
      </w:r>
      <w:r w:rsidRPr="00F11188">
        <w:t xml:space="preserve">.  </w:t>
      </w:r>
      <w:r w:rsidRPr="00F11188" w:rsidR="0001176C">
        <w:t xml:space="preserve">The </w:t>
      </w:r>
      <w:r w:rsidRPr="00F11188" w:rsidR="00A2408D">
        <w:t>contention</w:t>
      </w:r>
      <w:r w:rsidRPr="00F11188" w:rsidR="0001176C">
        <w:t xml:space="preserve"> is that</w:t>
      </w:r>
      <w:r w:rsidRPr="00F11188">
        <w:t xml:space="preserve">, regardless of </w:t>
      </w:r>
      <w:r w:rsidRPr="00F11188" w:rsidR="00883E10">
        <w:t xml:space="preserve">how close they hew </w:t>
      </w:r>
      <w:r w:rsidRPr="00F11188">
        <w:t xml:space="preserve">to the statutory text, </w:t>
      </w:r>
      <w:r w:rsidRPr="00F11188" w:rsidR="00877F26">
        <w:t>accounting complaints that identify the assets in defendant</w:t>
      </w:r>
      <w:r w:rsidR="00A36979">
        <w:t>s’</w:t>
      </w:r>
      <w:r w:rsidRPr="00F11188" w:rsidR="00877F26">
        <w:t xml:space="preserve"> possession and request half of their value </w:t>
      </w:r>
      <w:r w:rsidRPr="00F11188" w:rsidR="00C07871">
        <w:t xml:space="preserve">give </w:t>
      </w:r>
      <w:r w:rsidRPr="00F11188" w:rsidR="003D7247">
        <w:t xml:space="preserve">the defaulting parties </w:t>
      </w:r>
      <w:r w:rsidRPr="00F11188" w:rsidR="00C07871">
        <w:t xml:space="preserve">“adequate notice of the maximum judgment that may be assessed against </w:t>
      </w:r>
      <w:r w:rsidRPr="00F11188" w:rsidR="003D7247">
        <w:t>them</w:t>
      </w:r>
      <w:r w:rsidRPr="00F11188" w:rsidR="00290C77">
        <w:t>.</w:t>
      </w:r>
      <w:r w:rsidRPr="00F11188" w:rsidR="00C07871">
        <w:t>”</w:t>
      </w:r>
      <w:r w:rsidR="00687AF4">
        <w:t xml:space="preserve">  </w:t>
      </w:r>
      <w:r w:rsidRPr="00F11188" w:rsidR="00467427">
        <w:t>(</w:t>
      </w:r>
      <w:r w:rsidRPr="00F11188" w:rsidR="00467427">
        <w:rPr>
          <w:i/>
          <w:iCs/>
        </w:rPr>
        <w:t>Greenup</w:t>
      </w:r>
      <w:r w:rsidRPr="00F11188" w:rsidR="00467427">
        <w:t xml:space="preserve">, </w:t>
      </w:r>
      <w:r w:rsidRPr="00F11188" w:rsidR="00467427">
        <w:rPr>
          <w:i/>
          <w:iCs/>
        </w:rPr>
        <w:t>supra</w:t>
      </w:r>
      <w:r w:rsidRPr="00F11188" w:rsidR="00467427">
        <w:t>, 42 Cal.3d at p. 826.)  A</w:t>
      </w:r>
      <w:r w:rsidRPr="00F11188" w:rsidR="00251358">
        <w:t>nd</w:t>
      </w:r>
      <w:r w:rsidR="00866E8F">
        <w:t xml:space="preserve">, the </w:t>
      </w:r>
      <w:r w:rsidR="00B9032B">
        <w:t>argument goes,</w:t>
      </w:r>
      <w:r w:rsidRPr="00F11188" w:rsidR="00251358">
        <w:t xml:space="preserve"> that is all section 580 requires.</w:t>
      </w:r>
    </w:p>
    <w:p w:rsidR="006A379D" w:rsidRPr="00F11188" w:rsidP="00F11188">
      <w:pPr>
        <w:ind w:firstLine="720"/>
      </w:pPr>
      <w:r w:rsidRPr="00F11188">
        <w:t xml:space="preserve">Although we have said that </w:t>
      </w:r>
      <w:r w:rsidRPr="00F11188" w:rsidR="007A7399">
        <w:t xml:space="preserve">“[n]otice is at the heart of the provision[s]” governing default, we have never endorsed the </w:t>
      </w:r>
      <w:r w:rsidRPr="00F11188" w:rsidR="007E60A0">
        <w:t xml:space="preserve">idea </w:t>
      </w:r>
      <w:r w:rsidR="001611BB">
        <w:t xml:space="preserve">that </w:t>
      </w:r>
      <w:r w:rsidRPr="00F11188" w:rsidR="007E60A0">
        <w:t>t</w:t>
      </w:r>
      <w:r w:rsidRPr="00F11188" w:rsidR="0047662B">
        <w:t>he</w:t>
      </w:r>
      <w:r w:rsidRPr="00F11188" w:rsidR="007D4BC7">
        <w:t xml:space="preserve">se provisions </w:t>
      </w:r>
      <w:r w:rsidRPr="00F11188" w:rsidR="00FA11DC">
        <w:t>are necessarily satisfied whenever notice has been given</w:t>
      </w:r>
      <w:r w:rsidRPr="00F11188" w:rsidR="00EF6EDC">
        <w:t>.  (</w:t>
      </w:r>
      <w:r w:rsidRPr="00F11188" w:rsidR="00EF6EDC">
        <w:rPr>
          <w:i/>
          <w:iCs/>
        </w:rPr>
        <w:t>Greenup</w:t>
      </w:r>
      <w:r w:rsidRPr="00F11188" w:rsidR="00EF6EDC">
        <w:t xml:space="preserve">, </w:t>
      </w:r>
      <w:r w:rsidRPr="00F11188" w:rsidR="00EF6EDC">
        <w:rPr>
          <w:i/>
          <w:iCs/>
        </w:rPr>
        <w:t>supra</w:t>
      </w:r>
      <w:r w:rsidRPr="00F11188" w:rsidR="00EF6EDC">
        <w:t>, 42 Cal.3d at p. 827.)</w:t>
      </w:r>
      <w:r w:rsidRPr="00F11188" w:rsidR="003D7247">
        <w:t xml:space="preserve">  </w:t>
      </w:r>
      <w:r w:rsidRPr="00F11188" w:rsidR="00E32B7C">
        <w:t>“The statutes are very specific in</w:t>
      </w:r>
      <w:r w:rsidR="00AA29F8">
        <w:t xml:space="preserve"> </w:t>
      </w:r>
      <w:r w:rsidRPr="00F11188" w:rsidR="00E32B7C">
        <w:t xml:space="preserve">their requirements for a judgment following a default” </w:t>
      </w:r>
      <w:r w:rsidRPr="00F11188" w:rsidR="00693C5C">
        <w:t>(</w:t>
      </w:r>
      <w:r w:rsidRPr="00F11188" w:rsidR="00693C5C">
        <w:rPr>
          <w:i/>
          <w:iCs/>
        </w:rPr>
        <w:t>Burtnett</w:t>
      </w:r>
      <w:r w:rsidRPr="00F11188" w:rsidR="00693C5C">
        <w:t xml:space="preserve">, </w:t>
      </w:r>
      <w:r w:rsidRPr="00F11188" w:rsidR="00693C5C">
        <w:rPr>
          <w:i/>
          <w:iCs/>
        </w:rPr>
        <w:t>supra</w:t>
      </w:r>
      <w:r w:rsidRPr="00F11188" w:rsidR="00693C5C">
        <w:t xml:space="preserve">, 33 Cal.2d at p. 806), </w:t>
      </w:r>
      <w:r w:rsidRPr="00F11188" w:rsidR="00E32B7C">
        <w:t xml:space="preserve">and </w:t>
      </w:r>
      <w:r w:rsidRPr="00F11188" w:rsidR="00AF53ED">
        <w:t xml:space="preserve">by their terms, they </w:t>
      </w:r>
      <w:r w:rsidRPr="00F11188" w:rsidR="000445B0">
        <w:t xml:space="preserve">require that </w:t>
      </w:r>
      <w:r w:rsidRPr="00F11188" w:rsidR="00B4069E">
        <w:t xml:space="preserve">relief granted in default cannot exceed </w:t>
      </w:r>
      <w:r w:rsidRPr="00F11188" w:rsidR="00B15A81">
        <w:t>“that demanded in the complaint”</w:t>
      </w:r>
      <w:r w:rsidR="001C5F61">
        <w:t xml:space="preserve"> (</w:t>
      </w:r>
      <w:r w:rsidRPr="00F11188" w:rsidR="001C5F61">
        <w:t>§ 580, subd. (a)</w:t>
      </w:r>
      <w:r w:rsidR="001C5F61">
        <w:t>)</w:t>
      </w:r>
      <w:r w:rsidRPr="00F11188" w:rsidR="001C5F61">
        <w:t xml:space="preserve"> </w:t>
      </w:r>
      <w:r w:rsidRPr="00F11188" w:rsidR="00B15A81">
        <w:t xml:space="preserve">or </w:t>
      </w:r>
      <w:r w:rsidRPr="00F11188" w:rsidR="00F646A8">
        <w:t>“</w:t>
      </w:r>
      <w:r w:rsidRPr="00F11188" w:rsidR="00A71291">
        <w:t xml:space="preserve">the amount </w:t>
      </w:r>
      <w:r w:rsidRPr="00F11188" w:rsidR="00F646A8">
        <w:t>stated</w:t>
      </w:r>
      <w:r w:rsidRPr="00F11188" w:rsidR="00A71291">
        <w:t xml:space="preserve"> in the complaint</w:t>
      </w:r>
      <w:r w:rsidRPr="00F11188" w:rsidR="00F646A8">
        <w:t>”</w:t>
      </w:r>
      <w:r w:rsidRPr="00F11188" w:rsidR="00A71291">
        <w:t xml:space="preserve"> (</w:t>
      </w:r>
      <w:r w:rsidRPr="00F11188" w:rsidR="00B15A81">
        <w:t>§ 585, subd. (b)</w:t>
      </w:r>
      <w:r w:rsidRPr="00F11188" w:rsidR="00E81EFD">
        <w:t>)</w:t>
      </w:r>
      <w:r w:rsidR="001C5F61">
        <w:t>.</w:t>
      </w:r>
      <w:r w:rsidRPr="00F11188" w:rsidR="0072709D">
        <w:t xml:space="preserve">  A</w:t>
      </w:r>
      <w:r w:rsidRPr="00F11188" w:rsidR="00EE3C84">
        <w:t>t the very least then</w:t>
      </w:r>
      <w:r w:rsidRPr="00F11188" w:rsidR="0072709D">
        <w:t>, the provisions require</w:t>
      </w:r>
      <w:r w:rsidRPr="00F11188" w:rsidR="00AB60BD">
        <w:t xml:space="preserve"> </w:t>
      </w:r>
      <w:r w:rsidRPr="00F11188" w:rsidR="0072709D">
        <w:t xml:space="preserve">not </w:t>
      </w:r>
      <w:r w:rsidRPr="00F11188" w:rsidR="00D43298">
        <w:t xml:space="preserve">mere </w:t>
      </w:r>
      <w:r w:rsidRPr="00F11188" w:rsidR="0072709D">
        <w:t>notice</w:t>
      </w:r>
      <w:r w:rsidR="0011282C">
        <w:t>,</w:t>
      </w:r>
      <w:r w:rsidRPr="00F11188" w:rsidR="00C75AD0">
        <w:t xml:space="preserve"> </w:t>
      </w:r>
      <w:r w:rsidRPr="00F11188" w:rsidR="0072709D">
        <w:t>but notice</w:t>
      </w:r>
      <w:r w:rsidRPr="00F11188" w:rsidR="00D43298">
        <w:t xml:space="preserve"> of a specific type</w:t>
      </w:r>
      <w:r w:rsidRPr="00F11188" w:rsidR="0059690B">
        <w:t>:  that of</w:t>
      </w:r>
      <w:r w:rsidRPr="00F11188" w:rsidR="00C75AD0">
        <w:t xml:space="preserve"> </w:t>
      </w:r>
      <w:r w:rsidRPr="00F11188" w:rsidR="0072709D">
        <w:t>the amount</w:t>
      </w:r>
      <w:r w:rsidRPr="00F11188" w:rsidR="004B1F8C">
        <w:t xml:space="preserve"> requested</w:t>
      </w:r>
      <w:r w:rsidRPr="00F11188" w:rsidR="002D2DC0">
        <w:t>.</w:t>
      </w:r>
      <w:r w:rsidRPr="00F11188" w:rsidR="004B1F8C">
        <w:t xml:space="preserve">  </w:t>
      </w:r>
      <w:r w:rsidRPr="00F11188" w:rsidR="000A4D6D">
        <w:t>Put differently</w:t>
      </w:r>
      <w:r w:rsidRPr="00F11188" w:rsidR="004B1F8C">
        <w:t xml:space="preserve">, </w:t>
      </w:r>
      <w:r w:rsidR="00AE7ADC">
        <w:t>plaintiff</w:t>
      </w:r>
      <w:r w:rsidR="007730CE">
        <w:t xml:space="preserve"> has not persuaded us that</w:t>
      </w:r>
      <w:r w:rsidRPr="00F11188" w:rsidR="002A592B">
        <w:t xml:space="preserve"> the </w:t>
      </w:r>
      <w:r w:rsidRPr="00F11188" w:rsidR="00AB5651">
        <w:t xml:space="preserve">requirements of the </w:t>
      </w:r>
      <w:r w:rsidRPr="00F11188" w:rsidR="001F0869">
        <w:t xml:space="preserve">default </w:t>
      </w:r>
      <w:r w:rsidRPr="00F11188" w:rsidR="00AB5651">
        <w:t xml:space="preserve">statutes and the demands of due process </w:t>
      </w:r>
      <w:r w:rsidR="00565AA9">
        <w:t xml:space="preserve">for notice </w:t>
      </w:r>
      <w:r w:rsidR="001A532C">
        <w:t xml:space="preserve">are </w:t>
      </w:r>
      <w:r w:rsidR="007730CE">
        <w:t>coterminous.</w:t>
      </w:r>
    </w:p>
    <w:p w:rsidR="003A677A" w:rsidRPr="00F11188" w:rsidP="00F11188">
      <w:pPr>
        <w:ind w:firstLine="720"/>
      </w:pPr>
      <w:r w:rsidRPr="00F11188">
        <w:t xml:space="preserve">Furthermore, we </w:t>
      </w:r>
      <w:r w:rsidRPr="00F11188" w:rsidR="00640C8F">
        <w:t>can draw no principled line</w:t>
      </w:r>
      <w:r w:rsidRPr="00F11188" w:rsidR="00276C31">
        <w:t xml:space="preserve"> that would allow us to </w:t>
      </w:r>
      <w:r w:rsidRPr="00F11188" w:rsidR="00821579">
        <w:t>say</w:t>
      </w:r>
      <w:r w:rsidRPr="00F11188" w:rsidR="00276C31">
        <w:t xml:space="preserve"> that </w:t>
      </w:r>
      <w:r w:rsidR="00AE7ADC">
        <w:t>plaintiff</w:t>
      </w:r>
      <w:r w:rsidRPr="00F11188" w:rsidR="00276C31">
        <w:t>’s pleading gives</w:t>
      </w:r>
      <w:r w:rsidR="00696CEE">
        <w:t xml:space="preserve"> </w:t>
      </w:r>
      <w:r w:rsidR="00C14DC8">
        <w:t xml:space="preserve">Cohen </w:t>
      </w:r>
      <w:r w:rsidRPr="00F11188" w:rsidR="00276C31">
        <w:t xml:space="preserve">adequate notice without opening the door to “speculation” regarding whether functionally equivalent pleadings would </w:t>
      </w:r>
      <w:r w:rsidRPr="00F11188" w:rsidR="005C5318">
        <w:t xml:space="preserve">also </w:t>
      </w:r>
      <w:r w:rsidRPr="00F11188" w:rsidR="00276C31">
        <w:t xml:space="preserve">satisfy </w:t>
      </w:r>
      <w:r w:rsidR="00CF0769">
        <w:t xml:space="preserve">the </w:t>
      </w:r>
      <w:r w:rsidR="009059F1">
        <w:t xml:space="preserve">due process </w:t>
      </w:r>
      <w:r w:rsidR="00CF0769">
        <w:t>notice requirement embedded in section 580</w:t>
      </w:r>
      <w:r w:rsidRPr="00F11188" w:rsidR="00276C31">
        <w:t>.</w:t>
      </w:r>
      <w:r w:rsidRPr="00F11188" w:rsidR="008D0696">
        <w:t xml:space="preserve">  (</w:t>
      </w:r>
      <w:r w:rsidRPr="00F11188" w:rsidR="004B1D4B">
        <w:rPr>
          <w:i/>
        </w:rPr>
        <w:t>Becker</w:t>
      </w:r>
      <w:r w:rsidRPr="00F11188" w:rsidR="004B1D4B">
        <w:t xml:space="preserve">, </w:t>
      </w:r>
      <w:r w:rsidRPr="00F11188" w:rsidR="004B1D4B">
        <w:rPr>
          <w:i/>
        </w:rPr>
        <w:t>supra</w:t>
      </w:r>
      <w:r w:rsidRPr="00F11188" w:rsidR="004B1D4B">
        <w:t>, 27 Cal.3d at p. 494.)</w:t>
      </w:r>
      <w:r w:rsidRPr="00F11188" w:rsidR="009F68BD">
        <w:t xml:space="preserve">  In this case, </w:t>
      </w:r>
      <w:r w:rsidR="00AE7ADC">
        <w:t>plaintiff</w:t>
      </w:r>
      <w:r w:rsidRPr="00F11188" w:rsidR="009F68BD">
        <w:t xml:space="preserve"> asks for hal</w:t>
      </w:r>
      <w:r w:rsidRPr="00F11188" w:rsidR="0026746B">
        <w:t>f the value</w:t>
      </w:r>
      <w:r w:rsidRPr="00F11188" w:rsidR="009F68BD">
        <w:t xml:space="preserve"> of </w:t>
      </w:r>
      <w:r w:rsidRPr="00F11188" w:rsidR="00450F1C">
        <w:t xml:space="preserve">the </w:t>
      </w:r>
      <w:r w:rsidRPr="00F11188" w:rsidR="009F68BD">
        <w:t xml:space="preserve">assets in </w:t>
      </w:r>
      <w:r w:rsidR="00D32C19">
        <w:t>Cohen</w:t>
      </w:r>
      <w:r w:rsidRPr="00F11188" w:rsidR="009F68BD">
        <w:t xml:space="preserve">’s possession.  If a request for </w:t>
      </w:r>
      <w:r w:rsidRPr="00F11188" w:rsidR="003F7C06">
        <w:t xml:space="preserve">a </w:t>
      </w:r>
      <w:r w:rsidRPr="00F11188" w:rsidR="00042603">
        <w:t>one-half</w:t>
      </w:r>
      <w:r w:rsidRPr="00F11188" w:rsidR="00676AA7">
        <w:t xml:space="preserve"> share</w:t>
      </w:r>
      <w:r w:rsidRPr="00F11188" w:rsidR="008F1234">
        <w:t xml:space="preserve"> </w:t>
      </w:r>
      <w:r w:rsidRPr="00F11188" w:rsidR="004E4E61">
        <w:t xml:space="preserve">gives </w:t>
      </w:r>
      <w:r w:rsidRPr="00F11188" w:rsidR="007D23C5">
        <w:t xml:space="preserve">a </w:t>
      </w:r>
      <w:r w:rsidRPr="00F11188" w:rsidR="00921DF0">
        <w:t>defendant</w:t>
      </w:r>
      <w:r w:rsidRPr="00F11188" w:rsidR="004E4E61">
        <w:t xml:space="preserve"> adequate notice of the </w:t>
      </w:r>
      <w:r w:rsidRPr="00F11188" w:rsidR="00921DF0">
        <w:t xml:space="preserve">maximum judgment that may be taken, </w:t>
      </w:r>
      <w:r w:rsidRPr="00F11188" w:rsidR="009E49DC">
        <w:t xml:space="preserve">then </w:t>
      </w:r>
      <w:r w:rsidRPr="00F11188" w:rsidR="00602157">
        <w:t xml:space="preserve">perhaps a demand </w:t>
      </w:r>
      <w:r w:rsidR="00776BB9">
        <w:t xml:space="preserve">for a rightful share </w:t>
      </w:r>
      <w:r w:rsidRPr="00F11188" w:rsidR="00746F2A">
        <w:t>should be adequate as well</w:t>
      </w:r>
      <w:r w:rsidR="00576456">
        <w:t xml:space="preserve"> </w:t>
      </w:r>
      <w:r w:rsidR="00354EBE">
        <w:t xml:space="preserve">— at least </w:t>
      </w:r>
      <w:r w:rsidR="00576456">
        <w:t>when the rightful share in the circumstances presented may be exactly one half</w:t>
      </w:r>
      <w:r w:rsidRPr="00F11188" w:rsidR="00746F2A">
        <w:t xml:space="preserve">.  </w:t>
      </w:r>
      <w:r w:rsidRPr="00F11188" w:rsidR="00006EB0">
        <w:t xml:space="preserve">Yet, whether we may </w:t>
      </w:r>
      <w:r w:rsidR="00776BB9">
        <w:t>presume that individuals sued will know that the law as applied to the facts of their case will translate “rightful share” to “one</w:t>
      </w:r>
      <w:r w:rsidR="006657F4">
        <w:t>-</w:t>
      </w:r>
      <w:r w:rsidR="00776BB9">
        <w:t xml:space="preserve">half share” </w:t>
      </w:r>
      <w:r w:rsidRPr="00F11188" w:rsidR="00006EB0">
        <w:t>is not at all clear.</w:t>
      </w:r>
      <w:r w:rsidRPr="00F11188" w:rsidR="004170C8">
        <w:t xml:space="preserve">  Similarly, </w:t>
      </w:r>
      <w:r w:rsidRPr="00F11188" w:rsidR="00D46CFF">
        <w:t xml:space="preserve">the question of </w:t>
      </w:r>
      <w:r w:rsidRPr="00F11188" w:rsidR="00C50316">
        <w:t xml:space="preserve">whether we may assume that defendants </w:t>
      </w:r>
      <w:r w:rsidRPr="00F11188" w:rsidR="009521CF">
        <w:t xml:space="preserve">know </w:t>
      </w:r>
      <w:r w:rsidRPr="00F11188" w:rsidR="006A4AC9">
        <w:t>(</w:t>
      </w:r>
      <w:r w:rsidRPr="00F11188" w:rsidR="009521CF">
        <w:t>or can readily determine</w:t>
      </w:r>
      <w:r w:rsidRPr="00F11188" w:rsidR="006A4AC9">
        <w:t>)</w:t>
      </w:r>
      <w:r w:rsidRPr="00F11188" w:rsidR="00C50316">
        <w:t xml:space="preserve"> the value of any asset in their possession —</w:t>
      </w:r>
      <w:r w:rsidRPr="00F11188" w:rsidR="0034005C">
        <w:t xml:space="preserve"> </w:t>
      </w:r>
      <w:r w:rsidRPr="00F11188" w:rsidR="00C50316">
        <w:t xml:space="preserve">no matter </w:t>
      </w:r>
      <w:r w:rsidRPr="00F11188" w:rsidR="005C60AA">
        <w:t>how</w:t>
      </w:r>
      <w:r w:rsidRPr="00F11188" w:rsidR="00C50316">
        <w:t xml:space="preserve"> </w:t>
      </w:r>
      <w:r w:rsidRPr="00F11188" w:rsidR="00EF4ACE">
        <w:t>esoteric</w:t>
      </w:r>
      <w:r w:rsidRPr="00F11188" w:rsidR="00C50316">
        <w:t>, little transacted, or</w:t>
      </w:r>
      <w:r w:rsidRPr="00F11188" w:rsidR="009521CF">
        <w:t xml:space="preserve"> subject to differ</w:t>
      </w:r>
      <w:r w:rsidRPr="00F11188" w:rsidR="00042603">
        <w:t>ing</w:t>
      </w:r>
      <w:r w:rsidRPr="00F11188" w:rsidR="00757F51">
        <w:t xml:space="preserve">, and perhaps subjective, </w:t>
      </w:r>
      <w:r w:rsidRPr="00F11188" w:rsidR="009521CF">
        <w:t>valuation</w:t>
      </w:r>
      <w:r w:rsidRPr="00F11188" w:rsidR="00BB002E">
        <w:t>s</w:t>
      </w:r>
      <w:r w:rsidRPr="00F11188" w:rsidR="00C50316">
        <w:t xml:space="preserve"> — is fraught as well.</w:t>
      </w:r>
      <w:r w:rsidRPr="00F11188" w:rsidR="003F1AE1">
        <w:t xml:space="preserve">  In short, this is an area where due process may be best protected by a bright-line rule, </w:t>
      </w:r>
      <w:r w:rsidRPr="00F11188" w:rsidR="00F16366">
        <w:t xml:space="preserve">one </w:t>
      </w:r>
      <w:r w:rsidRPr="00F11188" w:rsidR="003F1AE1">
        <w:t>that</w:t>
      </w:r>
      <w:r w:rsidRPr="00F11188" w:rsidR="00172052">
        <w:t xml:space="preserve"> </w:t>
      </w:r>
      <w:r w:rsidRPr="00F11188" w:rsidR="003F1AE1">
        <w:t xml:space="preserve">states that if an individual </w:t>
      </w:r>
      <w:r w:rsidRPr="00F11188" w:rsidR="00C564A9">
        <w:t>requests</w:t>
      </w:r>
      <w:r w:rsidRPr="00F11188" w:rsidR="003F1AE1">
        <w:t xml:space="preserve"> money damages in a default judgment, the individual must have demanded a</w:t>
      </w:r>
      <w:r w:rsidRPr="00F11188" w:rsidR="00CA5668">
        <w:t xml:space="preserve">n </w:t>
      </w:r>
      <w:r w:rsidRPr="00F11188" w:rsidR="001072A6">
        <w:t>amount of said money</w:t>
      </w:r>
      <w:r w:rsidRPr="00F11188" w:rsidR="003F1AE1">
        <w:t xml:space="preserve"> in the </w:t>
      </w:r>
      <w:r w:rsidRPr="00F11188" w:rsidR="00F2461A">
        <w:t>operative pleadings.</w:t>
      </w:r>
    </w:p>
    <w:p w:rsidR="008D0A7E" w:rsidP="00F11188">
      <w:r w:rsidRPr="00F11188">
        <w:tab/>
        <w:t xml:space="preserve">Finally, </w:t>
      </w:r>
      <w:r w:rsidR="00AE7ADC">
        <w:t>plaintiff</w:t>
      </w:r>
      <w:r w:rsidRPr="00F11188">
        <w:t xml:space="preserve"> </w:t>
      </w:r>
      <w:r w:rsidRPr="00F11188" w:rsidR="00E630DE">
        <w:t xml:space="preserve">argues that </w:t>
      </w:r>
      <w:r w:rsidRPr="00F11188" w:rsidR="000C090A">
        <w:t xml:space="preserve">requiring </w:t>
      </w:r>
      <w:r w:rsidRPr="00F11188" w:rsidR="00E90D13">
        <w:t>litigants</w:t>
      </w:r>
      <w:r w:rsidRPr="00F11188" w:rsidR="000C090A">
        <w:t xml:space="preserve"> to</w:t>
      </w:r>
      <w:r w:rsidRPr="00F11188" w:rsidR="00E630DE">
        <w:t xml:space="preserve"> plead a specific amount of damages</w:t>
      </w:r>
      <w:r w:rsidRPr="00F11188" w:rsidR="002B5038">
        <w:t xml:space="preserve"> </w:t>
      </w:r>
      <w:r w:rsidRPr="00F11188" w:rsidR="00E630DE">
        <w:t xml:space="preserve">will </w:t>
      </w:r>
      <w:r w:rsidRPr="00F11188" w:rsidR="009F68BD">
        <w:t>simply temp</w:t>
      </w:r>
      <w:r w:rsidRPr="00F11188" w:rsidR="002B5038">
        <w:t>t them into</w:t>
      </w:r>
      <w:r w:rsidRPr="00F11188" w:rsidR="009F68BD">
        <w:t xml:space="preserve"> nam</w:t>
      </w:r>
      <w:r w:rsidRPr="00F11188" w:rsidR="002B5038">
        <w:t>ing</w:t>
      </w:r>
      <w:r w:rsidRPr="00F11188" w:rsidR="009F68BD">
        <w:t xml:space="preserve"> “exorbitant figures”</w:t>
      </w:r>
      <w:r w:rsidRPr="00F11188" w:rsidR="00372D51">
        <w:t xml:space="preserve"> in their complaints.</w:t>
      </w:r>
      <w:r w:rsidRPr="00F11188" w:rsidR="009F68BD">
        <w:t xml:space="preserve">  </w:t>
      </w:r>
      <w:r w:rsidRPr="00F11188" w:rsidR="008B13A1">
        <w:t xml:space="preserve">Although we cannot </w:t>
      </w:r>
      <w:r w:rsidRPr="00F11188" w:rsidR="00BC6D0D">
        <w:t>guarantee</w:t>
      </w:r>
      <w:r w:rsidRPr="00F11188" w:rsidR="008B13A1">
        <w:t xml:space="preserve"> that </w:t>
      </w:r>
      <w:r w:rsidRPr="00F11188" w:rsidR="0073794B">
        <w:t>no plaintiff will fall pr</w:t>
      </w:r>
      <w:r w:rsidR="00FA57DF">
        <w:t>e</w:t>
      </w:r>
      <w:r w:rsidRPr="00F11188" w:rsidR="0073794B">
        <w:t xml:space="preserve">y to such reckless pleading, we </w:t>
      </w:r>
      <w:r w:rsidRPr="00F11188" w:rsidR="006A57D0">
        <w:t xml:space="preserve">believe </w:t>
      </w:r>
      <w:r w:rsidRPr="00F11188" w:rsidR="00176379">
        <w:t xml:space="preserve">a </w:t>
      </w:r>
      <w:r w:rsidRPr="00F11188" w:rsidR="006A57D0">
        <w:t>countervailing consideration is at play</w:t>
      </w:r>
      <w:r w:rsidRPr="00F11188" w:rsidR="00DD3374">
        <w:t>.</w:t>
      </w:r>
      <w:r w:rsidRPr="00F11188" w:rsidR="009D4D81">
        <w:t xml:space="preserve">  A</w:t>
      </w:r>
      <w:r w:rsidR="009474D7">
        <w:t> </w:t>
      </w:r>
      <w:r w:rsidRPr="00F11188" w:rsidR="009D4D81">
        <w:t xml:space="preserve">pleading of potential damages affords </w:t>
      </w:r>
      <w:r w:rsidRPr="00F11188" w:rsidR="00C047DD">
        <w:t>a defendant</w:t>
      </w:r>
      <w:r w:rsidRPr="00F11188" w:rsidR="009D4D81">
        <w:t xml:space="preserve"> notice, </w:t>
      </w:r>
      <w:r w:rsidR="00B63829">
        <w:t>which</w:t>
      </w:r>
      <w:r w:rsidRPr="00F11188" w:rsidR="009D4D81">
        <w:t xml:space="preserve"> “enables </w:t>
      </w:r>
      <w:r w:rsidRPr="00F11188" w:rsidR="00C93389">
        <w:t>[the]</w:t>
      </w:r>
      <w:r w:rsidRPr="00F11188" w:rsidR="009D4D81">
        <w:t xml:space="preserve"> defendant to exercise his right to choose</w:t>
      </w:r>
      <w:r w:rsidRPr="00F11188" w:rsidR="003B68CB">
        <w:t>” whether to default.</w:t>
      </w:r>
      <w:r w:rsidRPr="00F11188" w:rsidR="009D4D81">
        <w:t xml:space="preserve"> </w:t>
      </w:r>
      <w:r w:rsidRPr="00F11188" w:rsidR="003B68CB">
        <w:t xml:space="preserve"> </w:t>
      </w:r>
      <w:r w:rsidRPr="00F11188" w:rsidR="009D4D81">
        <w:t>(</w:t>
      </w:r>
      <w:r w:rsidRPr="00F11188" w:rsidR="009D4D81">
        <w:rPr>
          <w:i/>
        </w:rPr>
        <w:t>Greenup</w:t>
      </w:r>
      <w:r w:rsidRPr="00F11188" w:rsidR="009D4D81">
        <w:t xml:space="preserve">, </w:t>
      </w:r>
      <w:r w:rsidRPr="00F11188" w:rsidR="009D4D81">
        <w:rPr>
          <w:i/>
        </w:rPr>
        <w:t>supra</w:t>
      </w:r>
      <w:r w:rsidRPr="00F11188" w:rsidR="009D4D81">
        <w:t>, 42 Cal.3d at p. 829.)</w:t>
      </w:r>
      <w:r w:rsidRPr="00F11188" w:rsidR="003B68CB">
        <w:t xml:space="preserve">  The higher the figure</w:t>
      </w:r>
      <w:r w:rsidRPr="00F11188" w:rsidR="00F4635A">
        <w:t>s</w:t>
      </w:r>
      <w:r w:rsidRPr="00F11188" w:rsidR="003B68CB">
        <w:t xml:space="preserve"> </w:t>
      </w:r>
      <w:r w:rsidRPr="00F11188" w:rsidR="008F6749">
        <w:t xml:space="preserve">an individual </w:t>
      </w:r>
      <w:r w:rsidRPr="00F11188" w:rsidR="003B68CB">
        <w:t xml:space="preserve">names in </w:t>
      </w:r>
      <w:r w:rsidRPr="00F11188" w:rsidR="007377B4">
        <w:t>a</w:t>
      </w:r>
      <w:r w:rsidRPr="00F11188" w:rsidR="003B68CB">
        <w:t xml:space="preserve"> complaint, the less likely it is that the defendant will “giv[e] up his right to defend.”  (</w:t>
      </w:r>
      <w:r w:rsidRPr="00F11188" w:rsidR="003B68CB">
        <w:rPr>
          <w:i/>
        </w:rPr>
        <w:t>Ibid.</w:t>
      </w:r>
      <w:r w:rsidRPr="00F11188" w:rsidR="003B68CB">
        <w:t>)</w:t>
      </w:r>
      <w:r w:rsidRPr="00F11188" w:rsidR="00C047DD">
        <w:t xml:space="preserve">  Thus, </w:t>
      </w:r>
      <w:r w:rsidRPr="00F11188" w:rsidR="0093716E">
        <w:t>insofar</w:t>
      </w:r>
      <w:r w:rsidRPr="00F11188" w:rsidR="002B1A21">
        <w:t xml:space="preserve"> as </w:t>
      </w:r>
      <w:r w:rsidRPr="00F11188" w:rsidR="005600AA">
        <w:t>litigants</w:t>
      </w:r>
      <w:r w:rsidRPr="00F11188" w:rsidR="00FA1B4A">
        <w:t xml:space="preserve"> </w:t>
      </w:r>
      <w:r w:rsidRPr="00F11188" w:rsidR="002B1A21">
        <w:t xml:space="preserve">think of defaults as </w:t>
      </w:r>
      <w:r w:rsidRPr="00F11188" w:rsidR="00FA1B4A">
        <w:t xml:space="preserve">an </w:t>
      </w:r>
      <w:r w:rsidRPr="00F11188" w:rsidR="002B1A21">
        <w:t>easy win,</w:t>
      </w:r>
      <w:r>
        <w:rPr>
          <w:rStyle w:val="FootnoteReference"/>
        </w:rPr>
        <w:footnoteReference w:id="15"/>
      </w:r>
      <w:r w:rsidRPr="00F11188" w:rsidR="00767EBB">
        <w:t xml:space="preserve"> </w:t>
      </w:r>
      <w:r w:rsidRPr="00F11188" w:rsidR="00FA1B4A">
        <w:t>the</w:t>
      </w:r>
      <w:r w:rsidRPr="00F11188" w:rsidR="005600AA">
        <w:t xml:space="preserve">y </w:t>
      </w:r>
      <w:r w:rsidRPr="00F11188" w:rsidR="0093716E">
        <w:t xml:space="preserve">make the possibility of such </w:t>
      </w:r>
      <w:r w:rsidRPr="00F11188" w:rsidR="00FA7089">
        <w:t xml:space="preserve">a </w:t>
      </w:r>
      <w:r w:rsidRPr="00F11188" w:rsidR="0093716E">
        <w:t>win more remote by pleading “exorbitant figures.”</w:t>
      </w:r>
    </w:p>
    <w:p w:rsidR="0072517B" w:rsidP="008D0A7E">
      <w:pPr>
        <w:ind w:firstLine="720"/>
      </w:pPr>
      <w:r>
        <w:t>Furthermore</w:t>
      </w:r>
      <w:r>
        <w:t>, s</w:t>
      </w:r>
      <w:r w:rsidRPr="0072517B">
        <w:t xml:space="preserve">hould a plaintiff provide an </w:t>
      </w:r>
      <w:r w:rsidR="00912138">
        <w:t>amount of damages at the high end of estimates</w:t>
      </w:r>
      <w:r w:rsidRPr="0072517B">
        <w:t xml:space="preserve">, </w:t>
      </w:r>
      <w:r w:rsidR="008D0A7E">
        <w:t>this may have the benefit of incentivizing</w:t>
      </w:r>
      <w:r w:rsidRPr="0072517B">
        <w:t xml:space="preserve"> </w:t>
      </w:r>
      <w:r w:rsidR="001C5F61">
        <w:t xml:space="preserve">a </w:t>
      </w:r>
      <w:r w:rsidRPr="0072517B">
        <w:t>defendant to participate in the litigation</w:t>
      </w:r>
      <w:r w:rsidR="00E73599">
        <w:t xml:space="preserve">, </w:t>
      </w:r>
      <w:r>
        <w:t xml:space="preserve">and thus </w:t>
      </w:r>
      <w:r w:rsidRPr="0072517B">
        <w:t>serv</w:t>
      </w:r>
      <w:r w:rsidR="0004295B">
        <w:t>ing</w:t>
      </w:r>
      <w:r w:rsidRPr="0072517B">
        <w:t xml:space="preserve"> </w:t>
      </w:r>
      <w:r w:rsidR="0084005C">
        <w:t xml:space="preserve">the law’s </w:t>
      </w:r>
      <w:r w:rsidRPr="0072517B">
        <w:t xml:space="preserve">preference to resolve litigation on the merits.  (See, e.g., </w:t>
      </w:r>
      <w:r w:rsidRPr="0072517B">
        <w:rPr>
          <w:i/>
          <w:iCs/>
        </w:rPr>
        <w:t>Weitz</w:t>
      </w:r>
      <w:r w:rsidR="008D0A7E">
        <w:t xml:space="preserve">, </w:t>
      </w:r>
      <w:r w:rsidRPr="008D0A7E" w:rsidR="008D0A7E">
        <w:rPr>
          <w:i/>
          <w:iCs/>
        </w:rPr>
        <w:t>supra</w:t>
      </w:r>
      <w:r w:rsidR="008D0A7E">
        <w:t xml:space="preserve">, </w:t>
      </w:r>
      <w:r w:rsidRPr="008D0A7E">
        <w:t>63</w:t>
      </w:r>
      <w:r w:rsidRPr="0072517B">
        <w:t xml:space="preserve"> Cal.2d </w:t>
      </w:r>
      <w:r w:rsidR="008D0A7E">
        <w:t xml:space="preserve">at p. </w:t>
      </w:r>
      <w:r w:rsidRPr="0072517B">
        <w:t xml:space="preserve">854; </w:t>
      </w:r>
      <w:r w:rsidRPr="0072517B">
        <w:rPr>
          <w:i/>
          <w:iCs/>
        </w:rPr>
        <w:t>Waybright v. Anderson</w:t>
      </w:r>
      <w:r w:rsidRPr="0072517B">
        <w:t xml:space="preserve"> (1927) 200 Cal. 374, 377; </w:t>
      </w:r>
      <w:r w:rsidRPr="0072517B">
        <w:rPr>
          <w:i/>
          <w:iCs/>
        </w:rPr>
        <w:t>Berri v. Rogero</w:t>
      </w:r>
      <w:r w:rsidRPr="0072517B">
        <w:t xml:space="preserve"> (1914) 168</w:t>
      </w:r>
      <w:r w:rsidR="005A1CFD">
        <w:t> </w:t>
      </w:r>
      <w:r w:rsidRPr="0072517B">
        <w:t>Cal. 736, 740.)</w:t>
      </w:r>
      <w:r w:rsidR="008D0A7E">
        <w:t xml:space="preserve">  As we have discussed, a</w:t>
      </w:r>
      <w:r w:rsidRPr="0072517B">
        <w:t xml:space="preserve"> plaintiff may </w:t>
      </w:r>
      <w:r w:rsidR="008D0A7E">
        <w:t xml:space="preserve">also </w:t>
      </w:r>
      <w:r w:rsidRPr="0072517B">
        <w:t>amend a complaint in advance of a prove</w:t>
      </w:r>
      <w:r w:rsidR="00B11C6A">
        <w:t>-</w:t>
      </w:r>
      <w:r w:rsidRPr="0072517B">
        <w:t xml:space="preserve">up hearing </w:t>
      </w:r>
      <w:r w:rsidR="00201278">
        <w:t xml:space="preserve">in order </w:t>
      </w:r>
      <w:r w:rsidRPr="0072517B">
        <w:t>to increase potential relief available through a default award.  A</w:t>
      </w:r>
      <w:r w:rsidR="00476D37">
        <w:t> </w:t>
      </w:r>
      <w:r w:rsidRPr="0072517B">
        <w:t xml:space="preserve">defendant may choose to participate if the increased relief proves steep enough, </w:t>
      </w:r>
      <w:r w:rsidR="008D0A7E">
        <w:t xml:space="preserve">and this, too, </w:t>
      </w:r>
      <w:r w:rsidRPr="0072517B">
        <w:t>vindicat</w:t>
      </w:r>
      <w:r w:rsidR="008D0A7E">
        <w:t>es</w:t>
      </w:r>
      <w:r w:rsidRPr="0072517B">
        <w:t xml:space="preserve"> </w:t>
      </w:r>
      <w:r w:rsidR="0084005C">
        <w:t xml:space="preserve">the judicial </w:t>
      </w:r>
      <w:r w:rsidRPr="0072517B">
        <w:t xml:space="preserve">preference to resolve litigation on the merits.  </w:t>
      </w:r>
    </w:p>
    <w:p w:rsidR="008D0A7E" w:rsidRPr="00F11188" w:rsidP="008D0A7E">
      <w:pPr>
        <w:ind w:firstLine="720"/>
      </w:pPr>
      <w:r w:rsidRPr="00F11188">
        <w:t xml:space="preserve">In short, </w:t>
      </w:r>
      <w:r w:rsidRPr="00F11188" w:rsidR="0000447F">
        <w:t>individuals</w:t>
      </w:r>
      <w:r w:rsidRPr="00F11188" w:rsidR="00FF7B19">
        <w:t xml:space="preserve"> </w:t>
      </w:r>
      <w:r w:rsidRPr="00F11188" w:rsidR="002F124C">
        <w:t>face various incentives in drafting complaint</w:t>
      </w:r>
      <w:r w:rsidRPr="00F11188" w:rsidR="00FF7B19">
        <w:t>s</w:t>
      </w:r>
      <w:r w:rsidRPr="00F11188">
        <w:t xml:space="preserve">, and </w:t>
      </w:r>
      <w:r w:rsidRPr="00F11188" w:rsidR="00497557">
        <w:t xml:space="preserve">we </w:t>
      </w:r>
      <w:r w:rsidRPr="00F11188" w:rsidR="00D258EA">
        <w:t>do not</w:t>
      </w:r>
      <w:r w:rsidRPr="00F11188" w:rsidR="00497557">
        <w:t xml:space="preserve"> think that our </w:t>
      </w:r>
      <w:r w:rsidRPr="00F11188" w:rsidR="002F124C">
        <w:t>holding here</w:t>
      </w:r>
      <w:r w:rsidRPr="00F11188" w:rsidR="00497557">
        <w:t xml:space="preserve"> </w:t>
      </w:r>
      <w:r w:rsidRPr="00F11188" w:rsidR="009D40F8">
        <w:t xml:space="preserve">is </w:t>
      </w:r>
      <w:r w:rsidR="00E6507F">
        <w:t xml:space="preserve">likely </w:t>
      </w:r>
      <w:r w:rsidRPr="00F11188" w:rsidR="009D40F8">
        <w:t xml:space="preserve">to </w:t>
      </w:r>
      <w:r w:rsidRPr="00F11188" w:rsidR="00497557">
        <w:t>wa</w:t>
      </w:r>
      <w:r w:rsidRPr="00F11188" w:rsidR="00777BA6">
        <w:t xml:space="preserve">rp </w:t>
      </w:r>
      <w:r w:rsidRPr="00F11188" w:rsidR="00FF7B19">
        <w:t xml:space="preserve">their </w:t>
      </w:r>
      <w:r w:rsidRPr="00F11188" w:rsidR="000462CF">
        <w:t>decisionmaking</w:t>
      </w:r>
      <w:r w:rsidRPr="00F11188" w:rsidR="00371905">
        <w:t>.</w:t>
      </w:r>
      <w:r>
        <w:t xml:space="preserve">  To the extent </w:t>
      </w:r>
      <w:r w:rsidR="00346D84">
        <w:t xml:space="preserve">our </w:t>
      </w:r>
      <w:r w:rsidR="004833BA">
        <w:t xml:space="preserve">ruling </w:t>
      </w:r>
      <w:r>
        <w:t xml:space="preserve">might </w:t>
      </w:r>
      <w:r w:rsidR="003C7CB9">
        <w:t xml:space="preserve">in practice </w:t>
      </w:r>
      <w:r>
        <w:t xml:space="preserve">push </w:t>
      </w:r>
      <w:r w:rsidR="00346D84">
        <w:t>some plaintiffs to increase estimate</w:t>
      </w:r>
      <w:r w:rsidR="00B42F07">
        <w:t>s</w:t>
      </w:r>
      <w:r w:rsidR="00346D84">
        <w:t xml:space="preserve"> of their damages, such a change in behavior is not without benefit —</w:t>
      </w:r>
      <w:r w:rsidR="00A7764B">
        <w:t xml:space="preserve"> </w:t>
      </w:r>
      <w:r w:rsidR="009F0264">
        <w:t xml:space="preserve">as </w:t>
      </w:r>
      <w:r w:rsidR="00346D84">
        <w:t xml:space="preserve">it may well encourage </w:t>
      </w:r>
      <w:r w:rsidR="00A7764B">
        <w:t xml:space="preserve">defendants to answer the complaints </w:t>
      </w:r>
      <w:r w:rsidR="00346D84">
        <w:t xml:space="preserve">and </w:t>
      </w:r>
      <w:r w:rsidR="00A7764B">
        <w:t>thus put the litigation on track to be resolved on the merits.</w:t>
      </w:r>
    </w:p>
    <w:p w:rsidR="003954C9" w:rsidRPr="00F11188" w:rsidP="00F11188">
      <w:pPr>
        <w:pStyle w:val="Heading2"/>
        <w:tabs>
          <w:tab w:val="clear" w:pos="1152"/>
        </w:tabs>
        <w:ind w:left="1080" w:hanging="360"/>
      </w:pPr>
      <w:r w:rsidRPr="00F11188">
        <w:t>B</w:t>
      </w:r>
      <w:r w:rsidRPr="00F11188">
        <w:t xml:space="preserve">.  </w:t>
      </w:r>
      <w:r w:rsidR="00CA1AA7">
        <w:t xml:space="preserve">Remaining </w:t>
      </w:r>
      <w:r w:rsidR="000A43C1">
        <w:t>Contentions</w:t>
      </w:r>
    </w:p>
    <w:p w:rsidR="00DC7AD6" w:rsidRPr="00223CD9" w:rsidP="00731204">
      <w:r w:rsidRPr="00F11188">
        <w:tab/>
      </w:r>
      <w:r w:rsidR="00472F85">
        <w:t xml:space="preserve">After </w:t>
      </w:r>
      <w:r w:rsidR="00416C0E">
        <w:t>concluding</w:t>
      </w:r>
      <w:r w:rsidR="00472F85">
        <w:t xml:space="preserve"> </w:t>
      </w:r>
      <w:r w:rsidR="00181A49">
        <w:t>— as we do — that the default judgment in this case violated section 580</w:t>
      </w:r>
      <w:r w:rsidR="00472F85">
        <w:t xml:space="preserve">, the Court of Appeal proceeded to </w:t>
      </w:r>
      <w:r w:rsidR="0010157C">
        <w:t xml:space="preserve">address and </w:t>
      </w:r>
      <w:r w:rsidR="00472F85">
        <w:t xml:space="preserve">resolve an additional issue.  </w:t>
      </w:r>
      <w:r w:rsidR="00095250">
        <w:t xml:space="preserve">The Court of Appeal considered </w:t>
      </w:r>
      <w:r w:rsidR="001F3608">
        <w:t>a situation in which “</w:t>
      </w:r>
      <w:r w:rsidRPr="001F3608" w:rsidR="001F3608">
        <w:t>a plaintiff has specifically enumerated separate items of compensatory damages in her complaint</w:t>
      </w:r>
      <w:r w:rsidR="001F3608">
        <w:t>” and</w:t>
      </w:r>
      <w:r w:rsidR="00E11D25">
        <w:t xml:space="preserve"> </w:t>
      </w:r>
      <w:r w:rsidR="001F3608">
        <w:t>asked</w:t>
      </w:r>
      <w:r w:rsidR="001C5F61">
        <w:t>,</w:t>
      </w:r>
      <w:r w:rsidR="001F3608">
        <w:t xml:space="preserve"> “</w:t>
      </w:r>
      <w:r w:rsidR="001C5F61">
        <w:t>[H]</w:t>
      </w:r>
      <w:r w:rsidRPr="001F3608" w:rsidR="001F3608">
        <w:t xml:space="preserve">ow </w:t>
      </w:r>
      <w:r w:rsidR="001F3608">
        <w:t xml:space="preserve">[under such circumstances] </w:t>
      </w:r>
      <w:r w:rsidRPr="001F3608" w:rsidR="001F3608">
        <w:t xml:space="preserve">is a court to assess whether the amount of such damages obtained in a default judgment exceeds the amount demanded in the complaint? </w:t>
      </w:r>
      <w:r w:rsidR="00B63829">
        <w:t xml:space="preserve"> </w:t>
      </w:r>
      <w:r w:rsidRPr="001F3608" w:rsidR="001F3608">
        <w:t xml:space="preserve">Is the court to undertake this inquiry on an item-by-item basis (comparing the amount awarded in the default judgment for each item against the amount demanded </w:t>
      </w:r>
      <w:r w:rsidRPr="0032769A" w:rsidR="001F3608">
        <w:rPr>
          <w:i/>
          <w:iCs/>
        </w:rPr>
        <w:t>for that item</w:t>
      </w:r>
      <w:r w:rsidRPr="001F3608" w:rsidR="001F3608">
        <w:t xml:space="preserve"> in the complaint)? </w:t>
      </w:r>
      <w:r w:rsidR="001F3608">
        <w:t xml:space="preserve"> </w:t>
      </w:r>
      <w:r w:rsidRPr="001F3608" w:rsidR="001F3608">
        <w:t xml:space="preserve">Or is the court instead to conduct a more aggregated inquiry (comparing the </w:t>
      </w:r>
      <w:r w:rsidRPr="0032769A" w:rsidR="001F3608">
        <w:rPr>
          <w:i/>
          <w:iCs/>
        </w:rPr>
        <w:t>total</w:t>
      </w:r>
      <w:r w:rsidRPr="001F3608" w:rsidR="001F3608">
        <w:t xml:space="preserve"> default judgment to the </w:t>
      </w:r>
      <w:r w:rsidRPr="0032769A" w:rsidR="001F3608">
        <w:rPr>
          <w:i/>
          <w:iCs/>
        </w:rPr>
        <w:t>total</w:t>
      </w:r>
      <w:r w:rsidRPr="001F3608" w:rsidR="001F3608">
        <w:t xml:space="preserve"> amount demanded in the complaint)</w:t>
      </w:r>
      <w:r w:rsidR="00BE1BF9">
        <w:t>?</w:t>
      </w:r>
      <w:r w:rsidR="001F3608">
        <w:t xml:space="preserve">”  </w:t>
      </w:r>
      <w:r w:rsidR="00223CD9">
        <w:t>(</w:t>
      </w:r>
      <w:r w:rsidR="00223CD9">
        <w:rPr>
          <w:i/>
          <w:iCs/>
        </w:rPr>
        <w:t>Sass</w:t>
      </w:r>
      <w:r w:rsidR="00223CD9">
        <w:t xml:space="preserve">, </w:t>
      </w:r>
      <w:r w:rsidR="00223CD9">
        <w:rPr>
          <w:i/>
          <w:iCs/>
        </w:rPr>
        <w:t>supra</w:t>
      </w:r>
      <w:r w:rsidR="00223CD9">
        <w:t xml:space="preserve">, </w:t>
      </w:r>
      <w:r w:rsidRPr="00990EAD" w:rsidR="00990EAD">
        <w:t>32</w:t>
      </w:r>
      <w:r w:rsidR="005A1CFD">
        <w:t> </w:t>
      </w:r>
      <w:r w:rsidRPr="00990EAD" w:rsidR="00990EAD">
        <w:t xml:space="preserve">Cal.App.5th </w:t>
      </w:r>
      <w:r w:rsidR="00990EAD">
        <w:t>at p.</w:t>
      </w:r>
      <w:r w:rsidRPr="00990EAD" w:rsidR="00990EAD">
        <w:t xml:space="preserve"> 10</w:t>
      </w:r>
      <w:r w:rsidR="001F3608">
        <w:t>44</w:t>
      </w:r>
      <w:r w:rsidRPr="00990EAD" w:rsidR="00990EAD">
        <w:t>.)</w:t>
      </w:r>
    </w:p>
    <w:p w:rsidR="006165EF" w:rsidP="0061394C">
      <w:r>
        <w:tab/>
        <w:t xml:space="preserve">We observe that </w:t>
      </w:r>
      <w:r w:rsidR="00864C8C">
        <w:t>the issue the Court of Appeal identified arises</w:t>
      </w:r>
      <w:r>
        <w:t xml:space="preserve"> in </w:t>
      </w:r>
      <w:r w:rsidR="008478D5">
        <w:t xml:space="preserve">only </w:t>
      </w:r>
      <w:r>
        <w:t xml:space="preserve">a limited set of circumstances.  </w:t>
      </w:r>
      <w:r w:rsidR="00CA3AEE">
        <w:t>Cohen</w:t>
      </w:r>
      <w:r w:rsidR="00EF71FF">
        <w:t xml:space="preserve"> </w:t>
      </w:r>
      <w:r w:rsidR="00166349">
        <w:t>concedes that</w:t>
      </w:r>
      <w:r w:rsidR="00EF71FF">
        <w:t xml:space="preserve"> </w:t>
      </w:r>
      <w:r w:rsidR="00DE036F">
        <w:t xml:space="preserve">had </w:t>
      </w:r>
      <w:bookmarkStart w:id="123" w:name="_Hlk57912011"/>
      <w:r w:rsidR="004969FD">
        <w:t>plaintiff</w:t>
      </w:r>
      <w:r w:rsidR="00DE036F">
        <w:t xml:space="preserve"> “simply asserted the total amount she sought in the complaint’s prayer</w:t>
      </w:r>
      <w:r w:rsidR="00B63829">
        <w:t>,</w:t>
      </w:r>
      <w:r w:rsidR="00DE036F">
        <w:t xml:space="preserve">” that </w:t>
      </w:r>
      <w:r w:rsidR="0061394C">
        <w:t>total amount</w:t>
      </w:r>
      <w:r w:rsidR="00DE036F">
        <w:t xml:space="preserve"> would </w:t>
      </w:r>
      <w:r w:rsidR="005248EE">
        <w:t>set the</w:t>
      </w:r>
      <w:r w:rsidR="00DE036F">
        <w:t xml:space="preserve"> </w:t>
      </w:r>
      <w:r w:rsidR="0061394C">
        <w:t xml:space="preserve">ceiling on the sum </w:t>
      </w:r>
      <w:r w:rsidR="00DE036F">
        <w:t>recoverable in default</w:t>
      </w:r>
      <w:bookmarkEnd w:id="123"/>
      <w:r w:rsidR="00DE036F">
        <w:t xml:space="preserve">.  </w:t>
      </w:r>
      <w:r w:rsidR="00166349">
        <w:t xml:space="preserve">If that is true, then </w:t>
      </w:r>
      <w:r w:rsidR="00DE036F">
        <w:t xml:space="preserve">when the prayer for relief includes a total amount demanded, </w:t>
      </w:r>
      <w:r w:rsidR="008924B4">
        <w:t xml:space="preserve">there would be no question </w:t>
      </w:r>
      <w:r w:rsidR="0061394C">
        <w:t>concerning the maximum sum t</w:t>
      </w:r>
      <w:r w:rsidR="008924B4">
        <w:t xml:space="preserve">he trial </w:t>
      </w:r>
      <w:r w:rsidR="009316BC">
        <w:t>judge</w:t>
      </w:r>
      <w:r w:rsidR="008924B4">
        <w:t xml:space="preserve"> may grant in default</w:t>
      </w:r>
      <w:r w:rsidR="0061394C">
        <w:t xml:space="preserve"> and, as such, no question as to how a court should compare the default judgment against </w:t>
      </w:r>
      <w:r w:rsidR="00A57367">
        <w:t>the demand</w:t>
      </w:r>
      <w:r w:rsidR="00840764">
        <w:t>.</w:t>
      </w:r>
      <w:r w:rsidR="0061394C">
        <w:t xml:space="preserve">  </w:t>
      </w:r>
      <w:r w:rsidR="00E1035C">
        <w:t>Furthermore, e</w:t>
      </w:r>
      <w:r w:rsidR="00840764">
        <w:t xml:space="preserve">ven when a plaintiff fails to “assert[] the total amount she sought in the complaint’s prayer,” the proper method of comparison </w:t>
      </w:r>
      <w:r w:rsidR="005248EE">
        <w:t xml:space="preserve">is an issue only when some of the plaintiff’s claims (or items within a claim) </w:t>
      </w:r>
      <w:r w:rsidR="008924B4">
        <w:t>are ultimately unrecoverable</w:t>
      </w:r>
      <w:r w:rsidR="005248EE">
        <w:t>.</w:t>
      </w:r>
    </w:p>
    <w:p w:rsidR="0000412C" w:rsidP="00731204">
      <w:r>
        <w:tab/>
      </w:r>
      <w:r w:rsidR="001778D9">
        <w:t>Such</w:t>
      </w:r>
      <w:r>
        <w:t xml:space="preserve"> circumstances were not presented </w:t>
      </w:r>
      <w:r w:rsidR="001778D9">
        <w:t>here</w:t>
      </w:r>
      <w:r>
        <w:t xml:space="preserve">.  </w:t>
      </w:r>
      <w:r w:rsidR="00223CD9">
        <w:t>The trial court</w:t>
      </w:r>
      <w:r w:rsidR="0061394C">
        <w:t xml:space="preserve"> </w:t>
      </w:r>
      <w:r w:rsidR="001778D9">
        <w:t>in this case</w:t>
      </w:r>
      <w:r w:rsidR="001C3199">
        <w:t xml:space="preserve"> </w:t>
      </w:r>
      <w:r w:rsidRPr="00EF2EAE" w:rsidR="00EF2EAE">
        <w:t xml:space="preserve">calculated its damage awards </w:t>
      </w:r>
      <w:r w:rsidRPr="00EF2EAE" w:rsidR="00EF2EAE">
        <w:rPr>
          <w:i/>
          <w:iCs/>
        </w:rPr>
        <w:t>without regard</w:t>
      </w:r>
      <w:r w:rsidRPr="00EF2EAE" w:rsidR="00EF2EAE">
        <w:t xml:space="preserve"> to the amounts demanded in </w:t>
      </w:r>
      <w:r w:rsidR="00EF2EAE">
        <w:t>the operative</w:t>
      </w:r>
      <w:r w:rsidRPr="00EF2EAE" w:rsidR="00EF2EAE">
        <w:t xml:space="preserve"> complaint.  When Cohen later challenged the amount of monetary damages awarded in the default judgment, the court cited </w:t>
      </w:r>
      <w:r w:rsidRPr="00EF2EAE" w:rsidR="00EF2EAE">
        <w:rPr>
          <w:i/>
          <w:iCs/>
        </w:rPr>
        <w:t>Cassel</w:t>
      </w:r>
      <w:r w:rsidRPr="00EF2EAE" w:rsidR="00EF2EAE">
        <w:t xml:space="preserve"> and explained that when a plaintiff alleges a cause of action for accounting</w:t>
      </w:r>
      <w:r w:rsidR="00B63829">
        <w:t>,</w:t>
      </w:r>
      <w:r w:rsidRPr="00EF2EAE" w:rsidR="00EF2EAE">
        <w:t xml:space="preserve"> “there is no notice requirement for damages sought before entry of default judgment.”</w:t>
      </w:r>
      <w:r w:rsidR="00EF2EAE">
        <w:t xml:space="preserve"> </w:t>
      </w:r>
      <w:r w:rsidR="003B490D">
        <w:t xml:space="preserve"> This</w:t>
      </w:r>
      <w:r w:rsidR="00186D1A">
        <w:t xml:space="preserve"> was incorrect, but t</w:t>
      </w:r>
      <w:r w:rsidR="00EF2EAE">
        <w:t>he trial court’s calculation did not implicate the issue of how the default judgment should be compared against the complaint</w:t>
      </w:r>
      <w:r w:rsidR="00186D1A">
        <w:t xml:space="preserve">.  </w:t>
      </w:r>
      <w:r w:rsidR="00210CFB">
        <w:t>I</w:t>
      </w:r>
      <w:r w:rsidR="00DA70EA">
        <w:t xml:space="preserve">n the court’s view, no comparison was necessary </w:t>
      </w:r>
      <w:r w:rsidR="008626CF">
        <w:t xml:space="preserve">because </w:t>
      </w:r>
      <w:r w:rsidR="004969FD">
        <w:t>plaintiff</w:t>
      </w:r>
      <w:r w:rsidR="003E0372">
        <w:t xml:space="preserve"> </w:t>
      </w:r>
      <w:r w:rsidR="00DA70EA">
        <w:t>did not need to put Cohen on notice of the “damages sought before entry of default judgment” by including such a figure in the complaint.</w:t>
      </w:r>
    </w:p>
    <w:p w:rsidR="003B490D" w:rsidP="003B490D">
      <w:r>
        <w:tab/>
        <w:t xml:space="preserve">The Court of Appeal’s calculation of damages likewise </w:t>
      </w:r>
      <w:r w:rsidR="005A0EB5">
        <w:t xml:space="preserve">does not tread on the issue — but for a different reason.  </w:t>
      </w:r>
      <w:r w:rsidR="00633A71">
        <w:t>Based on th</w:t>
      </w:r>
      <w:r w:rsidR="00F4277A">
        <w:t xml:space="preserve">e </w:t>
      </w:r>
      <w:r w:rsidR="00633A71">
        <w:t>allegation</w:t>
      </w:r>
      <w:r w:rsidR="00F4277A">
        <w:t xml:space="preserve"> that </w:t>
      </w:r>
      <w:r w:rsidR="00B83F90">
        <w:t>she</w:t>
      </w:r>
      <w:r w:rsidR="00F4277A">
        <w:t xml:space="preserve"> “brought to” Tag $1.4 mi</w:t>
      </w:r>
      <w:r w:rsidR="001C600D">
        <w:t>l</w:t>
      </w:r>
      <w:r w:rsidR="00F4277A">
        <w:t>lion,</w:t>
      </w:r>
      <w:r w:rsidR="00633A71">
        <w:t xml:space="preserve"> the </w:t>
      </w:r>
      <w:r w:rsidR="00B63829">
        <w:t xml:space="preserve">appellate </w:t>
      </w:r>
      <w:r w:rsidR="00633A71">
        <w:t xml:space="preserve">court awarded </w:t>
      </w:r>
      <w:r w:rsidR="004969FD">
        <w:t>plaintiff</w:t>
      </w:r>
      <w:r w:rsidR="00633A71">
        <w:t xml:space="preserve"> $700,000</w:t>
      </w:r>
      <w:r w:rsidR="00F4277A">
        <w:t xml:space="preserve"> </w:t>
      </w:r>
      <w:r w:rsidR="00633A71">
        <w:t xml:space="preserve">as her </w:t>
      </w:r>
      <w:r w:rsidR="00F4277A">
        <w:t xml:space="preserve">half </w:t>
      </w:r>
      <w:r w:rsidR="00633A71">
        <w:t xml:space="preserve">share of </w:t>
      </w:r>
      <w:r w:rsidR="001C600D">
        <w:t>Tag’s value</w:t>
      </w:r>
      <w:r w:rsidR="00633A71">
        <w:t>.</w:t>
      </w:r>
      <w:r w:rsidR="001F43D6">
        <w:t xml:space="preserve">  </w:t>
      </w:r>
      <w:r w:rsidR="001C600D">
        <w:t>According to the Court of Appeal</w:t>
      </w:r>
      <w:r w:rsidR="001F43D6">
        <w:t xml:space="preserve">, </w:t>
      </w:r>
      <w:r w:rsidR="004969FD">
        <w:t xml:space="preserve">plaintiff </w:t>
      </w:r>
      <w:r w:rsidR="001F43D6">
        <w:t>“</w:t>
      </w:r>
      <w:r w:rsidRPr="001F43D6" w:rsidR="001F43D6">
        <w:t>demanded $700,000 for the value of Tag</w:t>
      </w:r>
      <w:r w:rsidR="001C600D">
        <w:t xml:space="preserve">” and thus </w:t>
      </w:r>
      <w:r w:rsidR="00B63829">
        <w:t xml:space="preserve">could </w:t>
      </w:r>
      <w:r w:rsidR="001C600D">
        <w:t>be granted this amount in default</w:t>
      </w:r>
      <w:r w:rsidR="00F4277A">
        <w:t>.</w:t>
      </w:r>
      <w:r w:rsidR="001F43D6">
        <w:t xml:space="preserve">  (</w:t>
      </w:r>
      <w:r w:rsidR="001F43D6">
        <w:rPr>
          <w:i/>
          <w:iCs/>
        </w:rPr>
        <w:t>Sass</w:t>
      </w:r>
      <w:r w:rsidR="001F43D6">
        <w:t xml:space="preserve">, </w:t>
      </w:r>
      <w:r w:rsidR="001F43D6">
        <w:rPr>
          <w:i/>
          <w:iCs/>
        </w:rPr>
        <w:t>supra</w:t>
      </w:r>
      <w:r w:rsidR="001F43D6">
        <w:t xml:space="preserve">, </w:t>
      </w:r>
      <w:r w:rsidRPr="001F43D6" w:rsidR="001F43D6">
        <w:t xml:space="preserve">32 Cal.App.5th </w:t>
      </w:r>
      <w:r w:rsidR="001F43D6">
        <w:t>at p.</w:t>
      </w:r>
      <w:r w:rsidRPr="001F43D6" w:rsidR="001F43D6">
        <w:t xml:space="preserve"> 1046</w:t>
      </w:r>
      <w:r w:rsidR="001F43D6">
        <w:t xml:space="preserve">.)  </w:t>
      </w:r>
      <w:r w:rsidR="003350BE">
        <w:t xml:space="preserve">An examination of </w:t>
      </w:r>
      <w:r w:rsidR="004969FD">
        <w:t>the</w:t>
      </w:r>
      <w:r w:rsidR="003350BE">
        <w:t xml:space="preserve"> complaint, however, reveals that </w:t>
      </w:r>
      <w:r w:rsidR="004969FD">
        <w:t>plaintiff</w:t>
      </w:r>
      <w:r w:rsidR="001D4F82">
        <w:t xml:space="preserve"> did not demand $700,000 as her entitlement to the value of Tag.  Instead, she demanded $700,000 as part of her fraud claim, alleging that </w:t>
      </w:r>
      <w:r w:rsidRPr="001D4F82" w:rsidR="001D4F82">
        <w:t xml:space="preserve">Cohen had falsely promised he would give </w:t>
      </w:r>
      <w:r>
        <w:t>her</w:t>
      </w:r>
      <w:r w:rsidRPr="001D4F82" w:rsidR="001D4F82">
        <w:t xml:space="preserve"> “equity in Tag” (</w:t>
      </w:r>
      <w:r w:rsidR="0032769A">
        <w:rPr>
          <w:i/>
          <w:iCs/>
        </w:rPr>
        <w:t>i</w:t>
      </w:r>
      <w:r w:rsidR="00063E0D">
        <w:rPr>
          <w:i/>
          <w:iCs/>
        </w:rPr>
        <w:t xml:space="preserve">d. </w:t>
      </w:r>
      <w:r w:rsidRPr="001D4F82" w:rsidR="001D4F82">
        <w:t>at p. 1036) and that this misrepresentation caused her to “suffer[] actual damages,” including “at least the sum of $700,000, which represents 50% of the revenue brought to Tag by Plaintiff</w:t>
      </w:r>
      <w:r w:rsidR="001D4F82">
        <w:t>.</w:t>
      </w:r>
      <w:r w:rsidRPr="001D4F82" w:rsidR="001D4F82">
        <w:t xml:space="preserve">” </w:t>
      </w:r>
      <w:r w:rsidR="001D4F82">
        <w:t xml:space="preserve"> </w:t>
      </w:r>
      <w:r w:rsidR="00F4277A">
        <w:t xml:space="preserve">The revenue that </w:t>
      </w:r>
      <w:r w:rsidR="004969FD">
        <w:t>plaintiff</w:t>
      </w:r>
      <w:r w:rsidR="00F4277A">
        <w:t xml:space="preserve">, a single employee, generated for Tag — with no mention regarding the cost of generating that revenue — has no clear and defensible relation to the actual value of the company.  In short, </w:t>
      </w:r>
      <w:r w:rsidR="004969FD">
        <w:t>plaintiff</w:t>
      </w:r>
      <w:r w:rsidR="00F4277A">
        <w:t xml:space="preserve"> never alleged a </w:t>
      </w:r>
      <w:r w:rsidR="001C600D">
        <w:t xml:space="preserve">figure </w:t>
      </w:r>
      <w:r w:rsidR="00F4277A">
        <w:t>for “the value of Tag.”  (</w:t>
      </w:r>
      <w:r w:rsidR="00063E0D">
        <w:rPr>
          <w:i/>
          <w:iCs/>
        </w:rPr>
        <w:t xml:space="preserve">Id. </w:t>
      </w:r>
      <w:r w:rsidR="00F4277A">
        <w:t>at p.</w:t>
      </w:r>
      <w:r w:rsidRPr="001F43D6" w:rsidR="00F4277A">
        <w:t xml:space="preserve"> 1046</w:t>
      </w:r>
      <w:r w:rsidR="00F4277A">
        <w:t>.)</w:t>
      </w:r>
      <w:r>
        <w:t xml:space="preserve">  </w:t>
      </w:r>
      <w:r w:rsidR="00B60A58">
        <w:t>The question</w:t>
      </w:r>
      <w:r>
        <w:t xml:space="preserve"> </w:t>
      </w:r>
      <w:r w:rsidR="000F43D7">
        <w:t xml:space="preserve">thus </w:t>
      </w:r>
      <w:r w:rsidR="001C600D">
        <w:t>is</w:t>
      </w:r>
      <w:r>
        <w:t xml:space="preserve"> </w:t>
      </w:r>
      <w:r w:rsidR="001C600D">
        <w:t xml:space="preserve">whether she may recover her half share of Tag’s value despite never alleging what that </w:t>
      </w:r>
      <w:r w:rsidR="00493B1D">
        <w:t xml:space="preserve">value </w:t>
      </w:r>
      <w:r w:rsidR="001C600D">
        <w:t>may be.</w:t>
      </w:r>
    </w:p>
    <w:p w:rsidR="009474D7" w:rsidP="0032769A">
      <w:pPr>
        <w:ind w:firstLine="720"/>
      </w:pPr>
      <w:r>
        <w:t>Th</w:t>
      </w:r>
      <w:r w:rsidR="00B60A58">
        <w:t>is</w:t>
      </w:r>
      <w:r>
        <w:t xml:space="preserve"> question may be taken up by the trial court when, in accordance with the Court of Appeal’s order, the case is remanded to it.  We thus affirm the Court of Appeal’s decision without passing judgment on whether an aggregate approach or a claim-by-claim </w:t>
      </w:r>
      <w:r w:rsidR="009862D2">
        <w:t>(</w:t>
      </w:r>
      <w:r>
        <w:t>or item-by-item</w:t>
      </w:r>
      <w:r w:rsidR="009862D2">
        <w:t>)</w:t>
      </w:r>
      <w:r>
        <w:t xml:space="preserve"> basis is the proper method </w:t>
      </w:r>
      <w:r w:rsidR="0026087B">
        <w:t>for</w:t>
      </w:r>
      <w:r>
        <w:t xml:space="preserve"> comparing an amount demanded in a complaint to an amount awarded in default.</w:t>
      </w:r>
    </w:p>
    <w:p w:rsidR="00A77A6D" w:rsidP="0032769A">
      <w:pPr>
        <w:ind w:firstLine="720"/>
        <w:rPr>
          <w:b/>
          <w:smallCaps/>
        </w:rPr>
      </w:pPr>
      <w:r>
        <w:br w:type="column"/>
      </w:r>
    </w:p>
    <w:p w:rsidR="007459A5" w:rsidRPr="00F11188" w:rsidP="00F11188">
      <w:pPr>
        <w:pStyle w:val="Heading1"/>
      </w:pPr>
      <w:r w:rsidRPr="00F11188">
        <w:t xml:space="preserve">III.  </w:t>
      </w:r>
      <w:r w:rsidRPr="00F11188" w:rsidR="00C61AEF">
        <w:t>Conclusion</w:t>
      </w:r>
    </w:p>
    <w:p w:rsidR="00625CDE" w:rsidP="00F11188">
      <w:r w:rsidRPr="00F11188">
        <w:rPr>
          <w:smallCaps/>
        </w:rPr>
        <w:tab/>
      </w:r>
      <w:r w:rsidR="00731204">
        <w:t>W</w:t>
      </w:r>
      <w:r w:rsidRPr="00F11188" w:rsidR="003576D8">
        <w:t xml:space="preserve">e hold </w:t>
      </w:r>
      <w:r w:rsidRPr="00F11188" w:rsidR="00A9707E">
        <w:t xml:space="preserve">that a plaintiff alleging an accounting action must plead a specific </w:t>
      </w:r>
      <w:r w:rsidR="00DC55D0">
        <w:t>dollar amount</w:t>
      </w:r>
      <w:r w:rsidRPr="00F11188" w:rsidR="00DC55D0">
        <w:t xml:space="preserve"> </w:t>
      </w:r>
      <w:r w:rsidRPr="00F11188" w:rsidR="00A9707E">
        <w:t>to support a default judgment</w:t>
      </w:r>
      <w:r w:rsidR="00DC55D0">
        <w:t xml:space="preserve"> awarding monetary relief</w:t>
      </w:r>
      <w:r w:rsidRPr="00F11188" w:rsidR="003576D8">
        <w:t xml:space="preserve">.  </w:t>
      </w:r>
      <w:r w:rsidR="007E0E67">
        <w:t xml:space="preserve">We express no view on </w:t>
      </w:r>
      <w:r w:rsidR="00AE6867">
        <w:t xml:space="preserve">the proper method — whether that be </w:t>
      </w:r>
      <w:r w:rsidR="00063E0D">
        <w:t xml:space="preserve">on a </w:t>
      </w:r>
      <w:r w:rsidR="00AE6867">
        <w:t>claim-by-claim</w:t>
      </w:r>
      <w:r w:rsidR="001C3199">
        <w:t xml:space="preserve"> </w:t>
      </w:r>
      <w:r w:rsidR="006746EA">
        <w:t>(</w:t>
      </w:r>
      <w:r w:rsidR="001C3199">
        <w:t>or item-by-item</w:t>
      </w:r>
      <w:r w:rsidR="006746EA">
        <w:t>)</w:t>
      </w:r>
      <w:r w:rsidR="001C3199">
        <w:t xml:space="preserve"> </w:t>
      </w:r>
      <w:r w:rsidR="00AE6867">
        <w:t>or an aggregate basis — for comparing the amount granted in default with the amount demand</w:t>
      </w:r>
      <w:r w:rsidR="00F76669">
        <w:t>ed</w:t>
      </w:r>
      <w:r w:rsidR="00AE6867">
        <w:t xml:space="preserve"> in the complaint</w:t>
      </w:r>
      <w:r w:rsidR="007E0E67">
        <w:t>.  Because the Court of Appeal’s opinion accords with our own holding here, we affirm its judgment.</w:t>
      </w:r>
    </w:p>
    <w:p w:rsidR="00976EBE" w:rsidRPr="00F11188" w:rsidP="00F11188"/>
    <w:p w:rsidR="00A20F29" w:rsidP="00CE09CF">
      <w:pPr>
        <w:tabs>
          <w:tab w:val="left" w:pos="1440"/>
        </w:tabs>
        <w:ind w:firstLine="720"/>
        <w:jc w:val="right"/>
        <w:rPr>
          <w:b/>
          <w:szCs w:val="26"/>
        </w:rPr>
      </w:pPr>
      <w:r w:rsidRPr="00F11188">
        <w:rPr>
          <w:b/>
          <w:szCs w:val="26"/>
        </w:rPr>
        <w:t>CANTIL-SAKAUYE, C. J.</w:t>
      </w:r>
      <w:bookmarkStart w:id="124" w:name="mainstory"/>
      <w:bookmarkEnd w:id="124"/>
    </w:p>
    <w:p w:rsidR="00976EBE" w:rsidP="00CE09CF">
      <w:pPr>
        <w:tabs>
          <w:tab w:val="left" w:pos="1440"/>
        </w:tabs>
        <w:ind w:firstLine="720"/>
        <w:jc w:val="right"/>
        <w:rPr>
          <w:b/>
          <w:szCs w:val="26"/>
        </w:rPr>
      </w:pPr>
    </w:p>
    <w:p w:rsidR="00594067" w:rsidP="00976EBE">
      <w:pPr>
        <w:pStyle w:val="Text"/>
        <w:spacing w:line="400" w:lineRule="exact"/>
        <w:ind w:firstLine="0"/>
        <w:rPr>
          <w:b/>
          <w:bCs/>
        </w:rPr>
      </w:pPr>
      <w:r w:rsidRPr="000C3155">
        <w:rPr>
          <w:b/>
          <w:bCs/>
        </w:rPr>
        <w:t>We Concur:</w:t>
      </w:r>
    </w:p>
    <w:p w:rsidR="00594067">
      <w:pPr>
        <w:spacing w:after="0" w:line="240" w:lineRule="auto"/>
        <w:jc w:val="left"/>
        <w:rPr>
          <w:b/>
          <w:bCs/>
        </w:rPr>
      </w:pPr>
    </w:p>
    <w:p w:rsidR="009474D7">
      <w:pPr>
        <w:spacing w:after="0" w:line="240" w:lineRule="auto"/>
        <w:jc w:val="left"/>
        <w:rPr>
          <w:b/>
          <w:bCs/>
        </w:rPr>
      </w:pPr>
      <w:r>
        <w:rPr>
          <w:b/>
          <w:bCs/>
        </w:rPr>
        <w:t>CORRIGAN, J.</w:t>
      </w:r>
      <w:r>
        <w:rPr>
          <w:b/>
          <w:bCs/>
        </w:rPr>
        <w:br/>
        <w:t>LIU, J.</w:t>
      </w:r>
    </w:p>
    <w:p w:rsidR="009474D7">
      <w:pPr>
        <w:spacing w:after="0" w:line="240" w:lineRule="auto"/>
        <w:jc w:val="left"/>
        <w:rPr>
          <w:b/>
          <w:bCs/>
        </w:rPr>
      </w:pPr>
      <w:r>
        <w:rPr>
          <w:b/>
          <w:bCs/>
        </w:rPr>
        <w:t>CU</w:t>
      </w:r>
      <w:r w:rsidR="00EA6593">
        <w:rPr>
          <w:b/>
          <w:bCs/>
        </w:rPr>
        <w:t>É</w:t>
      </w:r>
      <w:r>
        <w:rPr>
          <w:b/>
          <w:bCs/>
        </w:rPr>
        <w:t>LLAR, J.</w:t>
      </w:r>
    </w:p>
    <w:p w:rsidR="009474D7">
      <w:pPr>
        <w:spacing w:after="0" w:line="240" w:lineRule="auto"/>
        <w:jc w:val="left"/>
        <w:rPr>
          <w:b/>
          <w:bCs/>
        </w:rPr>
      </w:pPr>
      <w:r>
        <w:rPr>
          <w:b/>
          <w:bCs/>
        </w:rPr>
        <w:t>KRUGER, J.</w:t>
      </w:r>
    </w:p>
    <w:p w:rsidR="009474D7">
      <w:pPr>
        <w:spacing w:after="0" w:line="240" w:lineRule="auto"/>
        <w:jc w:val="left"/>
        <w:rPr>
          <w:b/>
          <w:bCs/>
        </w:rPr>
      </w:pPr>
      <w:r>
        <w:rPr>
          <w:b/>
          <w:bCs/>
        </w:rPr>
        <w:t>GROBAN, J.</w:t>
      </w:r>
    </w:p>
    <w:p w:rsidR="009474D7">
      <w:pPr>
        <w:spacing w:after="0" w:line="240" w:lineRule="auto"/>
        <w:jc w:val="left"/>
        <w:rPr>
          <w:b/>
          <w:bCs/>
        </w:rPr>
      </w:pPr>
      <w:r>
        <w:rPr>
          <w:b/>
          <w:bCs/>
        </w:rPr>
        <w:t>GUERRERO, J.</w:t>
      </w:r>
      <w:r w:rsidRPr="00115B34" w:rsidR="00CE61D4">
        <w:rPr>
          <w:b/>
          <w:bCs/>
          <w:sz w:val="24"/>
          <w:szCs w:val="24"/>
        </w:rPr>
        <w:t>*</w:t>
      </w:r>
    </w:p>
    <w:p w:rsidR="00CE61D4">
      <w:pPr>
        <w:spacing w:after="0" w:line="240" w:lineRule="auto"/>
        <w:jc w:val="left"/>
        <w:rPr>
          <w:b/>
          <w:bCs/>
        </w:rPr>
      </w:pPr>
    </w:p>
    <w:p w:rsidR="00CE61D4">
      <w:pPr>
        <w:spacing w:after="0" w:line="240" w:lineRule="auto"/>
        <w:jc w:val="left"/>
        <w:rPr>
          <w:b/>
          <w:bCs/>
        </w:rPr>
      </w:pPr>
    </w:p>
    <w:p w:rsidR="00CE61D4">
      <w:pPr>
        <w:spacing w:after="0" w:line="240" w:lineRule="auto"/>
        <w:jc w:val="left"/>
        <w:rPr>
          <w:b/>
          <w:bCs/>
        </w:rPr>
      </w:pPr>
    </w:p>
    <w:p w:rsidR="00CE61D4">
      <w:pPr>
        <w:spacing w:after="0" w:line="240" w:lineRule="auto"/>
        <w:jc w:val="left"/>
        <w:rPr>
          <w:b/>
          <w:bCs/>
        </w:rPr>
      </w:pPr>
    </w:p>
    <w:p w:rsidR="00CE61D4">
      <w:pPr>
        <w:spacing w:after="0" w:line="240" w:lineRule="auto"/>
        <w:jc w:val="left"/>
        <w:rPr>
          <w:b/>
          <w:bCs/>
        </w:rPr>
      </w:pPr>
    </w:p>
    <w:p w:rsidR="009474D7">
      <w:pPr>
        <w:spacing w:after="0" w:line="240" w:lineRule="auto"/>
        <w:jc w:val="left"/>
        <w:rPr>
          <w:b/>
          <w:bCs/>
        </w:rPr>
      </w:pPr>
    </w:p>
    <w:p w:rsidR="00CE61D4">
      <w:pPr>
        <w:spacing w:after="0" w:line="240" w:lineRule="auto"/>
        <w:jc w:val="left"/>
        <w:rPr>
          <w:b/>
          <w:bCs/>
        </w:rPr>
      </w:pPr>
    </w:p>
    <w:p w:rsidR="009474D7">
      <w:pPr>
        <w:spacing w:after="0" w:line="240" w:lineRule="auto"/>
        <w:jc w:val="left"/>
        <w:rPr>
          <w:b/>
          <w:bCs/>
        </w:rPr>
      </w:pPr>
    </w:p>
    <w:p w:rsidR="00CE61D4" w:rsidP="00CE61D4">
      <w:pPr>
        <w:pStyle w:val="FootnoteText"/>
      </w:pPr>
      <w:r>
        <w:t>________________________</w:t>
      </w:r>
    </w:p>
    <w:p w:rsidR="007E6DFA" w:rsidP="00CE61D4">
      <w:pPr>
        <w:spacing w:after="0" w:line="240" w:lineRule="auto"/>
        <w:rPr>
          <w:sz w:val="24"/>
          <w:szCs w:val="24"/>
        </w:rPr>
        <w:sectPr w:rsidSect="00F11188">
          <w:footerReference w:type="first" r:id="rId11"/>
          <w:pgSz w:w="12240" w:h="15840"/>
          <w:pgMar w:top="1800" w:right="2160" w:bottom="1440" w:left="2160" w:header="720" w:footer="720" w:gutter="0"/>
          <w:pgNumType w:start="1"/>
          <w:cols w:space="720"/>
          <w:titlePg/>
          <w:docGrid w:linePitch="367"/>
        </w:sectPr>
      </w:pPr>
      <w:r w:rsidRPr="00CE217C">
        <w:rPr>
          <w:rStyle w:val="FootnoteReference"/>
          <w:sz w:val="22"/>
          <w:szCs w:val="22"/>
        </w:rPr>
        <w:t>*</w:t>
      </w:r>
      <w:r w:rsidRPr="00CE217C">
        <w:rPr>
          <w:sz w:val="22"/>
          <w:szCs w:val="22"/>
        </w:rPr>
        <w:t xml:space="preserve"> </w:t>
      </w:r>
      <w:r w:rsidRPr="00CE217C">
        <w:rPr>
          <w:sz w:val="22"/>
          <w:szCs w:val="22"/>
        </w:rPr>
        <w:tab/>
      </w:r>
      <w:r w:rsidRPr="00CE217C">
        <w:rPr>
          <w:sz w:val="24"/>
          <w:szCs w:val="24"/>
        </w:rPr>
        <w:t>Associate Justice of the Court of Appeal, F</w:t>
      </w:r>
      <w:r>
        <w:rPr>
          <w:sz w:val="24"/>
          <w:szCs w:val="24"/>
        </w:rPr>
        <w:t>ourth</w:t>
      </w:r>
      <w:r w:rsidRPr="00CE217C">
        <w:rPr>
          <w:sz w:val="24"/>
          <w:szCs w:val="24"/>
        </w:rPr>
        <w:t xml:space="preserve"> Appellate District, Division </w:t>
      </w:r>
      <w:r>
        <w:rPr>
          <w:sz w:val="24"/>
          <w:szCs w:val="24"/>
        </w:rPr>
        <w:t>One</w:t>
      </w:r>
      <w:r w:rsidRPr="00CE217C">
        <w:rPr>
          <w:sz w:val="24"/>
          <w:szCs w:val="24"/>
        </w:rPr>
        <w:t>, assigned by the Chief Justice pursuant to article VI, section 6 of the California Constitution.</w:t>
      </w:r>
    </w:p>
    <w:p w:rsidR="007E6DFA" w:rsidRPr="007E6DFA" w:rsidP="007E6DFA">
      <w:pPr>
        <w:spacing w:after="0" w:line="240" w:lineRule="auto"/>
        <w:jc w:val="left"/>
        <w:rPr>
          <w:rFonts w:ascii="Times New Roman" w:hAnsi="Times New Roman"/>
          <w:i/>
          <w:sz w:val="20"/>
        </w:rPr>
      </w:pPr>
      <w:r w:rsidRPr="007E6DFA">
        <w:rPr>
          <w:rFonts w:ascii="Times New Roman" w:hAnsi="Times New Roman"/>
          <w:i/>
          <w:sz w:val="20"/>
        </w:rPr>
        <w:t>See next page for addresses and telephone numbers for counsel who argued in Supreme Court.</w:t>
      </w:r>
    </w:p>
    <w:p w:rsidR="007E6DFA" w:rsidRPr="007E6DFA" w:rsidP="007E6DFA">
      <w:pPr>
        <w:spacing w:after="0" w:line="240" w:lineRule="auto"/>
        <w:jc w:val="left"/>
        <w:rPr>
          <w:rFonts w:ascii="Times New Roman" w:hAnsi="Times New Roman"/>
          <w:i/>
          <w:sz w:val="20"/>
        </w:rPr>
      </w:pP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 xml:space="preserve">Name of Opinion </w:t>
      </w:r>
      <w:r w:rsidRPr="007E6DFA">
        <w:rPr>
          <w:rFonts w:ascii="Times New Roman" w:hAnsi="Times New Roman"/>
          <w:bCs/>
          <w:sz w:val="20"/>
        </w:rPr>
        <w:t xml:space="preserve"> Sass v. Cohen</w:t>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__________________________________________________________________________________</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Cs/>
          <w:sz w:val="20"/>
        </w:rPr>
      </w:pPr>
      <w:r w:rsidRPr="007E6DFA">
        <w:rPr>
          <w:rFonts w:ascii="Times New Roman" w:hAnsi="Times New Roman"/>
          <w:b/>
          <w:sz w:val="20"/>
        </w:rPr>
        <w:t xml:space="preserve">Unpublished Opinion </w:t>
      </w:r>
    </w:p>
    <w:p w:rsidR="007E6DFA" w:rsidRPr="007E6DFA" w:rsidP="007E6DFA">
      <w:pPr>
        <w:spacing w:after="0" w:line="240" w:lineRule="auto"/>
        <w:jc w:val="left"/>
        <w:rPr>
          <w:rFonts w:ascii="Times New Roman" w:hAnsi="Times New Roman"/>
          <w:sz w:val="20"/>
        </w:rPr>
      </w:pPr>
      <w:r w:rsidRPr="007E6DFA">
        <w:rPr>
          <w:rFonts w:ascii="Times New Roman" w:hAnsi="Times New Roman"/>
          <w:b/>
          <w:sz w:val="20"/>
        </w:rPr>
        <w:t xml:space="preserve">Original Appeal  </w:t>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 xml:space="preserve">Original Proceeding </w:t>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 xml:space="preserve">Review Granted </w:t>
      </w:r>
      <w:r w:rsidRPr="007E6DFA">
        <w:rPr>
          <w:rFonts w:ascii="Times New Roman" w:hAnsi="Times New Roman"/>
          <w:bCs/>
          <w:sz w:val="20"/>
        </w:rPr>
        <w:t xml:space="preserve"> XXX 32 Cal.App.5th 1032</w:t>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Rehearing Granted</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__________________________________________________________________________________</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Cs/>
          <w:sz w:val="20"/>
        </w:rPr>
      </w:pPr>
      <w:r w:rsidRPr="007E6DFA">
        <w:rPr>
          <w:rFonts w:ascii="Times New Roman" w:hAnsi="Times New Roman"/>
          <w:b/>
          <w:sz w:val="20"/>
        </w:rPr>
        <w:t>Opinion No.</w:t>
      </w:r>
      <w:r w:rsidRPr="007E6DFA">
        <w:rPr>
          <w:rFonts w:ascii="Times New Roman" w:hAnsi="Times New Roman"/>
          <w:sz w:val="20"/>
        </w:rPr>
        <w:t xml:space="preserve"> S255262</w:t>
      </w:r>
    </w:p>
    <w:p w:rsidR="007E6DFA" w:rsidRPr="007E6DFA" w:rsidP="007E6DFA">
      <w:pPr>
        <w:spacing w:after="0" w:line="240" w:lineRule="auto"/>
        <w:jc w:val="left"/>
        <w:rPr>
          <w:rFonts w:ascii="Times New Roman" w:hAnsi="Times New Roman"/>
          <w:bCs/>
          <w:sz w:val="20"/>
        </w:rPr>
      </w:pPr>
      <w:r w:rsidRPr="007E6DFA">
        <w:rPr>
          <w:rFonts w:ascii="Times New Roman" w:hAnsi="Times New Roman"/>
          <w:b/>
          <w:sz w:val="20"/>
        </w:rPr>
        <w:t>Date Filed:</w:t>
      </w:r>
      <w:r w:rsidRPr="007E6DFA">
        <w:rPr>
          <w:rFonts w:ascii="Times New Roman" w:hAnsi="Times New Roman"/>
          <w:sz w:val="20"/>
        </w:rPr>
        <w:t xml:space="preserve"> December 24, 2020</w:t>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__________________________________________________________________________________</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Cs/>
          <w:sz w:val="20"/>
        </w:rPr>
      </w:pPr>
      <w:r w:rsidRPr="007E6DFA">
        <w:rPr>
          <w:rFonts w:ascii="Times New Roman" w:hAnsi="Times New Roman"/>
          <w:b/>
          <w:sz w:val="20"/>
        </w:rPr>
        <w:t xml:space="preserve">Court:  </w:t>
      </w:r>
      <w:r w:rsidRPr="007E6DFA">
        <w:rPr>
          <w:rFonts w:ascii="Times New Roman" w:hAnsi="Times New Roman"/>
          <w:bCs/>
          <w:sz w:val="20"/>
        </w:rPr>
        <w:t>Superior</w:t>
      </w:r>
    </w:p>
    <w:p w:rsidR="007E6DFA" w:rsidRPr="007E6DFA" w:rsidP="007E6DFA">
      <w:pPr>
        <w:spacing w:after="0" w:line="240" w:lineRule="auto"/>
        <w:jc w:val="left"/>
        <w:rPr>
          <w:rFonts w:ascii="Times New Roman" w:hAnsi="Times New Roman"/>
          <w:bCs/>
          <w:sz w:val="20"/>
        </w:rPr>
      </w:pPr>
      <w:r w:rsidRPr="007E6DFA">
        <w:rPr>
          <w:rFonts w:ascii="Times New Roman" w:hAnsi="Times New Roman"/>
          <w:b/>
          <w:sz w:val="20"/>
        </w:rPr>
        <w:t xml:space="preserve">County:  </w:t>
      </w:r>
      <w:r w:rsidRPr="007E6DFA">
        <w:rPr>
          <w:rFonts w:ascii="Times New Roman" w:hAnsi="Times New Roman"/>
          <w:bCs/>
          <w:sz w:val="20"/>
        </w:rPr>
        <w:t>Los Angeles</w:t>
      </w:r>
    </w:p>
    <w:p w:rsidR="007E6DFA" w:rsidRPr="007E6DFA" w:rsidP="007E6DFA">
      <w:pPr>
        <w:spacing w:after="0" w:line="240" w:lineRule="auto"/>
        <w:ind w:left="720" w:hanging="720"/>
        <w:jc w:val="left"/>
        <w:rPr>
          <w:rFonts w:ascii="Times New Roman" w:hAnsi="Times New Roman"/>
          <w:bCs/>
          <w:sz w:val="20"/>
        </w:rPr>
      </w:pPr>
      <w:r w:rsidRPr="007E6DFA">
        <w:rPr>
          <w:rFonts w:ascii="Times New Roman" w:hAnsi="Times New Roman"/>
          <w:b/>
          <w:sz w:val="20"/>
        </w:rPr>
        <w:t xml:space="preserve">Judge: </w:t>
      </w:r>
      <w:r w:rsidRPr="007E6DFA">
        <w:rPr>
          <w:rFonts w:ascii="Times New Roman" w:hAnsi="Times New Roman"/>
          <w:bCs/>
          <w:sz w:val="20"/>
        </w:rPr>
        <w:t xml:space="preserve"> Frederick </w:t>
      </w:r>
      <w:r w:rsidR="00045776">
        <w:rPr>
          <w:rFonts w:ascii="Times New Roman" w:hAnsi="Times New Roman"/>
          <w:bCs/>
          <w:sz w:val="20"/>
        </w:rPr>
        <w:t xml:space="preserve">C. </w:t>
      </w:r>
      <w:r w:rsidRPr="007E6DFA">
        <w:rPr>
          <w:rFonts w:ascii="Times New Roman" w:hAnsi="Times New Roman"/>
          <w:bCs/>
          <w:sz w:val="20"/>
        </w:rPr>
        <w:t>Shaller</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__________________________________________________________________________________</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Counsel:</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color w:val="373739"/>
          <w:sz w:val="20"/>
          <w:specVanish/>
        </w:rPr>
      </w:pPr>
      <w:r w:rsidRPr="007E6DFA">
        <w:rPr>
          <w:rFonts w:ascii="Times New Roman" w:hAnsi="Times New Roman"/>
          <w:color w:val="373739"/>
          <w:sz w:val="20"/>
        </w:rPr>
        <w:t>Snell &amp; Wilmer, Keith M. Gregory, Daniel G. Seabolt and Todd E. Lundell for Defendant and Appellant.</w:t>
      </w:r>
      <w:r w:rsidRPr="007E6DFA">
        <w:rPr>
          <w:rFonts w:ascii="Times New Roman" w:hAnsi="Times New Roman"/>
          <w:color w:val="373739"/>
          <w:sz w:val="20"/>
        </w:rPr>
        <w:br/>
      </w:r>
      <w:r w:rsidRPr="007E6DFA">
        <w:rPr>
          <w:rFonts w:ascii="Times New Roman" w:hAnsi="Times New Roman"/>
          <w:color w:val="373739"/>
          <w:sz w:val="20"/>
        </w:rPr>
        <w:br/>
        <w:t>Law Offices of Robert S. Gerstein, Robert S. Gerstein; Law Offices of James P. Wohl, James P. Wohl and Eileen P. Darroll for Plaintiff and Respondent.</w:t>
      </w:r>
    </w:p>
    <w:p w:rsidR="007E6DFA" w:rsidRPr="007E6DFA" w:rsidP="007E6DFA">
      <w:pPr>
        <w:spacing w:after="0" w:line="240" w:lineRule="auto"/>
        <w:jc w:val="left"/>
        <w:rPr>
          <w:rFonts w:ascii="Times New Roman" w:hAnsi="Times New Roman"/>
          <w:color w:val="373739"/>
          <w:sz w:val="20"/>
          <w:specVanish/>
        </w:rPr>
      </w:pP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br w:type="page"/>
      </w:r>
    </w:p>
    <w:p w:rsidR="007E6DFA" w:rsidRPr="007E6DFA" w:rsidP="007E6DFA">
      <w:pPr>
        <w:spacing w:after="0" w:line="240" w:lineRule="auto"/>
        <w:jc w:val="left"/>
        <w:rPr>
          <w:rFonts w:ascii="Times New Roman" w:hAnsi="Times New Roman"/>
          <w:b/>
          <w:sz w:val="20"/>
        </w:rPr>
      </w:pPr>
      <w:r w:rsidRPr="007E6DFA">
        <w:rPr>
          <w:rFonts w:ascii="Times New Roman" w:hAnsi="Times New Roman"/>
          <w:b/>
          <w:sz w:val="20"/>
        </w:rPr>
        <w:t>Counsel who argued in Supreme Court (not intended for publication with opinion):</w:t>
      </w:r>
    </w:p>
    <w:p w:rsidR="007E6DFA" w:rsidRPr="007E6DFA" w:rsidP="007E6DFA">
      <w:pPr>
        <w:spacing w:after="0" w:line="240" w:lineRule="auto"/>
        <w:jc w:val="left"/>
        <w:rPr>
          <w:rFonts w:ascii="Times New Roman" w:hAnsi="Times New Roman"/>
          <w:b/>
          <w:sz w:val="20"/>
        </w:rPr>
      </w:pP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Todd E. Lundell</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Snell &amp; Wilmer L.L.P.</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600 Anton Blvd., Suite 1400</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Costa Mesa, CA 92626</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(714) 427-7000</w:t>
      </w:r>
    </w:p>
    <w:p w:rsidR="007E6DFA" w:rsidRPr="007E6DFA" w:rsidP="007E6DFA">
      <w:pPr>
        <w:spacing w:after="0" w:line="240" w:lineRule="auto"/>
        <w:jc w:val="left"/>
        <w:rPr>
          <w:rFonts w:ascii="Times New Roman" w:hAnsi="Times New Roman"/>
          <w:sz w:val="20"/>
        </w:rPr>
      </w:pP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Robert S. Gerstein</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Law Offices of Robert S. Gerstein</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171 Pier Avenue, #322</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Santa Monica, CA 90405</w:t>
      </w:r>
    </w:p>
    <w:p w:rsidR="007E6DFA" w:rsidRPr="007E6DFA" w:rsidP="007E6DFA">
      <w:pPr>
        <w:spacing w:after="0" w:line="240" w:lineRule="auto"/>
        <w:jc w:val="left"/>
        <w:rPr>
          <w:rFonts w:ascii="Times New Roman" w:hAnsi="Times New Roman"/>
          <w:sz w:val="20"/>
        </w:rPr>
      </w:pPr>
      <w:r w:rsidRPr="007E6DFA">
        <w:rPr>
          <w:rFonts w:ascii="Times New Roman" w:hAnsi="Times New Roman"/>
          <w:sz w:val="20"/>
        </w:rPr>
        <w:t>(310) 820-1939</w:t>
      </w:r>
    </w:p>
    <w:p w:rsidR="007E6DFA" w:rsidRPr="007E6DFA" w:rsidP="007E6DFA">
      <w:pPr>
        <w:spacing w:after="0" w:line="240" w:lineRule="auto"/>
        <w:jc w:val="left"/>
        <w:rPr>
          <w:rFonts w:ascii="Times New Roman" w:hAnsi="Times New Roman"/>
          <w:sz w:val="20"/>
        </w:rPr>
      </w:pPr>
    </w:p>
    <w:p w:rsidR="007E6DFA" w:rsidRPr="007E6DFA" w:rsidP="007E6DFA">
      <w:pPr>
        <w:spacing w:after="0" w:line="240" w:lineRule="auto"/>
        <w:jc w:val="left"/>
        <w:rPr>
          <w:rFonts w:ascii="Times New Roman" w:hAnsi="Times New Roman"/>
          <w:sz w:val="20"/>
        </w:rPr>
      </w:pPr>
    </w:p>
    <w:p w:rsidR="009474D7" w:rsidRPr="00CE61D4" w:rsidP="00CE61D4">
      <w:pPr>
        <w:spacing w:after="0" w:line="240" w:lineRule="auto"/>
        <w:rPr>
          <w:spacing w:val="100"/>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50A">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50A">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AEB">
      <w:r>
        <w:separator/>
      </w:r>
    </w:p>
  </w:footnote>
  <w:footnote w:type="continuationSeparator" w:id="1">
    <w:p w:rsidR="00683AEB">
      <w:pPr>
        <w:rPr>
          <w:sz w:val="22"/>
        </w:rPr>
      </w:pPr>
      <w:r>
        <w:continuationSeparator/>
      </w:r>
    </w:p>
  </w:footnote>
  <w:footnote w:type="continuationNotice" w:id="2">
    <w:p w:rsidR="00683AEB">
      <w:pPr>
        <w:jc w:val="right"/>
        <w:rPr>
          <w:i/>
          <w:sz w:val="20"/>
        </w:rPr>
      </w:pPr>
    </w:p>
  </w:footnote>
  <w:footnote w:id="3">
    <w:p w:rsidR="00F22FA2">
      <w:pPr>
        <w:pStyle w:val="FootnoteText"/>
      </w:pPr>
      <w:r>
        <w:rPr>
          <w:rStyle w:val="FootnoteReference"/>
        </w:rPr>
        <w:footnoteRef/>
      </w:r>
      <w:r>
        <w:t xml:space="preserve"> </w:t>
      </w:r>
      <w:r>
        <w:tab/>
        <w:t>A</w:t>
      </w:r>
      <w:r w:rsidRPr="00F11188">
        <w:t>ll further unspecified statutory references are to the Code of Civil Procedure.</w:t>
      </w:r>
    </w:p>
  </w:footnote>
  <w:footnote w:id="4">
    <w:p w:rsidR="00B3150A" w:rsidP="00F11188">
      <w:pPr>
        <w:pStyle w:val="FootnoteText"/>
      </w:pPr>
      <w:r>
        <w:rPr>
          <w:rStyle w:val="FootnoteReference"/>
        </w:rPr>
        <w:footnoteRef/>
      </w:r>
      <w:r>
        <w:t xml:space="preserve"> </w:t>
      </w:r>
      <w:r>
        <w:tab/>
        <w:t>The purpose behind this rule is to “ ‘</w:t>
      </w:r>
      <w:r w:rsidRPr="00DD5404">
        <w:t>protect the defendants from adverse publicity resulting from inflated demands, particularly in medical malpractice cases</w:t>
      </w:r>
      <w:r>
        <w:t xml:space="preserve">.’ ”  </w:t>
      </w:r>
      <w:r w:rsidRPr="00DD5404">
        <w:t>(</w:t>
      </w:r>
      <w:r w:rsidRPr="00DD5404">
        <w:rPr>
          <w:i/>
        </w:rPr>
        <w:t>Sc</w:t>
      </w:r>
      <w:bookmarkStart w:id="48" w:name="Psych_Cite_296"/>
      <w:r w:rsidRPr="00DD5404">
        <w:rPr>
          <w:i/>
        </w:rPr>
        <w:t>hwab v. Rondel Homes</w:t>
      </w:r>
      <w:r w:rsidR="00C33D32">
        <w:rPr>
          <w:i/>
        </w:rPr>
        <w:t>, Inc.</w:t>
      </w:r>
      <w:r w:rsidRPr="00DD5404">
        <w:t xml:space="preserve"> (1991) 53 Cal.3d 428, 431</w:t>
      </w:r>
      <w:bookmarkEnd w:id="48"/>
      <w:r w:rsidRPr="00DD5404">
        <w:t>.)</w:t>
      </w:r>
    </w:p>
  </w:footnote>
  <w:footnote w:id="5">
    <w:p w:rsidR="00B3150A" w:rsidRPr="008B38A2" w:rsidP="00F11188">
      <w:pPr>
        <w:pStyle w:val="FootnoteText"/>
        <w:spacing w:before="120"/>
        <w:rPr>
          <w:szCs w:val="26"/>
        </w:rPr>
      </w:pPr>
      <w:r>
        <w:rPr>
          <w:rStyle w:val="FootnoteReference"/>
        </w:rPr>
        <w:footnoteRef/>
      </w:r>
      <w:r>
        <w:t xml:space="preserve"> </w:t>
      </w:r>
      <w:r>
        <w:tab/>
      </w:r>
      <w:r w:rsidRPr="008B38A2">
        <w:rPr>
          <w:szCs w:val="26"/>
        </w:rPr>
        <w:t xml:space="preserve">The form statement laid out in </w:t>
      </w:r>
      <w:bookmarkStart w:id="51" w:name="Psych_Cite_298"/>
      <w:r w:rsidRPr="008B38A2">
        <w:rPr>
          <w:szCs w:val="26"/>
        </w:rPr>
        <w:t>section 425.11</w:t>
      </w:r>
      <w:r w:rsidR="00C33D32">
        <w:rPr>
          <w:szCs w:val="26"/>
        </w:rPr>
        <w:t>5</w:t>
      </w:r>
      <w:bookmarkEnd w:id="51"/>
      <w:r w:rsidRPr="008B38A2">
        <w:rPr>
          <w:szCs w:val="26"/>
        </w:rPr>
        <w:t xml:space="preserve"> looks like this:</w:t>
      </w:r>
    </w:p>
    <w:p w:rsidR="00B3150A" w:rsidP="00F11188">
      <w:pPr>
        <w:spacing w:line="300" w:lineRule="exact"/>
        <w:ind w:left="720" w:right="720"/>
        <w:rPr>
          <w:szCs w:val="26"/>
        </w:rPr>
      </w:pPr>
      <w:r w:rsidRPr="008B38A2">
        <w:rPr>
          <w:szCs w:val="26"/>
        </w:rPr>
        <w:t>NOTICE TO _________</w:t>
      </w:r>
      <w:r>
        <w:rPr>
          <w:szCs w:val="26"/>
        </w:rPr>
        <w:t xml:space="preserve">  </w:t>
      </w:r>
      <w:r w:rsidRPr="008B38A2">
        <w:rPr>
          <w:szCs w:val="26"/>
        </w:rPr>
        <w:t>(Insert name of defendant or cross-defendant):  _________</w:t>
      </w:r>
      <w:r>
        <w:rPr>
          <w:szCs w:val="26"/>
        </w:rPr>
        <w:t xml:space="preserve">  </w:t>
      </w:r>
      <w:r w:rsidRPr="008B38A2">
        <w:rPr>
          <w:szCs w:val="26"/>
        </w:rPr>
        <w:t xml:space="preserve">(Insert name of plaintiff or cross-complainant) reserves the right to seek </w:t>
      </w:r>
      <w:r>
        <w:rPr>
          <w:szCs w:val="26"/>
        </w:rPr>
        <w:t>$</w:t>
      </w:r>
      <w:r w:rsidRPr="008B38A2">
        <w:rPr>
          <w:szCs w:val="26"/>
        </w:rPr>
        <w:t>_________</w:t>
      </w:r>
      <w:r>
        <w:rPr>
          <w:szCs w:val="26"/>
        </w:rPr>
        <w:t xml:space="preserve">  </w:t>
      </w:r>
      <w:r w:rsidRPr="008B38A2">
        <w:rPr>
          <w:szCs w:val="26"/>
        </w:rPr>
        <w:t>(Insert dollar amount) in punitive damages when _________</w:t>
      </w:r>
      <w:r>
        <w:rPr>
          <w:szCs w:val="26"/>
        </w:rPr>
        <w:t xml:space="preserve">  </w:t>
      </w:r>
      <w:r w:rsidRPr="008B38A2">
        <w:rPr>
          <w:szCs w:val="26"/>
        </w:rPr>
        <w:t>(Insert name of plaintiff or cross-complainant) seeks a judgment in the suit filed against you.</w:t>
      </w:r>
    </w:p>
    <w:p w:rsidR="00B3150A" w:rsidP="00EC1D72">
      <w:pPr>
        <w:spacing w:line="300" w:lineRule="exact"/>
        <w:ind w:left="720" w:right="720"/>
        <w:rPr>
          <w:szCs w:val="26"/>
        </w:rPr>
      </w:pPr>
      <w:r w:rsidRPr="008B38A2">
        <w:rPr>
          <w:szCs w:val="26"/>
        </w:rPr>
        <w:t>(Insert name of attorney or party</w:t>
      </w:r>
      <w:r>
        <w:rPr>
          <w:szCs w:val="26"/>
        </w:rPr>
        <w:t xml:space="preserve"> </w:t>
      </w:r>
      <w:r w:rsidRPr="008B38A2">
        <w:rPr>
          <w:szCs w:val="26"/>
        </w:rPr>
        <w:t>appearing in propria persona)</w:t>
      </w:r>
    </w:p>
    <w:p w:rsidR="00B3150A" w:rsidRPr="008B38A2" w:rsidP="00EC1D72">
      <w:pPr>
        <w:spacing w:line="300" w:lineRule="exact"/>
        <w:ind w:left="720" w:right="720"/>
        <w:rPr>
          <w:szCs w:val="26"/>
        </w:rPr>
      </w:pPr>
      <w:r w:rsidRPr="008B38A2">
        <w:rPr>
          <w:szCs w:val="26"/>
        </w:rPr>
        <w:t>(Date)</w:t>
      </w:r>
    </w:p>
    <w:p w:rsidR="00B3150A" w:rsidP="00F11188">
      <w:pPr>
        <w:pStyle w:val="FootnoteText"/>
      </w:pPr>
      <w:r w:rsidRPr="008B38A2">
        <w:rPr>
          <w:szCs w:val="26"/>
        </w:rPr>
        <w:t>(</w:t>
      </w:r>
      <w:bookmarkStart w:id="52" w:name="Psych_Cite_297"/>
      <w:r w:rsidR="00C33D32">
        <w:rPr>
          <w:i/>
          <w:iCs/>
          <w:szCs w:val="26"/>
        </w:rPr>
        <w:t>Id.</w:t>
      </w:r>
      <w:r w:rsidRPr="008B38A2">
        <w:rPr>
          <w:szCs w:val="26"/>
        </w:rPr>
        <w:t>, subd</w:t>
      </w:r>
      <w:bookmarkEnd w:id="52"/>
      <w:r w:rsidRPr="008B38A2">
        <w:rPr>
          <w:szCs w:val="26"/>
        </w:rPr>
        <w:t>. (b).)</w:t>
      </w:r>
    </w:p>
  </w:footnote>
  <w:footnote w:id="6">
    <w:p w:rsidR="00B3150A" w:rsidP="00F11188">
      <w:pPr>
        <w:pStyle w:val="FootnoteText"/>
      </w:pPr>
      <w:r>
        <w:rPr>
          <w:rStyle w:val="FootnoteReference"/>
        </w:rPr>
        <w:footnoteRef/>
      </w:r>
      <w:r>
        <w:t xml:space="preserve"> </w:t>
      </w:r>
      <w:r>
        <w:tab/>
        <w:t xml:space="preserve">An exception to this requirement applies when an action “is brought to recover actual or punitive damages for personal injury or wrongful death.”  (§ 425.10, subd. (b).)  In such a case, the amount of damages must be set out, not in a complaint, but in a statement of damages in accordance with </w:t>
      </w:r>
      <w:bookmarkStart w:id="61" w:name="Psych_Cite_299"/>
      <w:r>
        <w:t>sections 425.11 and 425.115</w:t>
      </w:r>
      <w:bookmarkEnd w:id="61"/>
      <w:r>
        <w:t>.  (See §§ 425.11, 425.115.)</w:t>
      </w:r>
    </w:p>
  </w:footnote>
  <w:footnote w:id="7">
    <w:p w:rsidR="00B3150A" w:rsidRPr="00887165" w:rsidP="00F11188">
      <w:pPr>
        <w:pStyle w:val="FootnoteText"/>
      </w:pPr>
      <w:r>
        <w:rPr>
          <w:rStyle w:val="FootnoteReference"/>
        </w:rPr>
        <w:footnoteRef/>
      </w:r>
      <w:r>
        <w:t xml:space="preserve"> </w:t>
      </w:r>
      <w:r>
        <w:tab/>
        <w:t xml:space="preserve">Subdivision (b) of </w:t>
      </w:r>
      <w:bookmarkStart w:id="69" w:name="Psych_Cite_301"/>
      <w:r>
        <w:t>section 585</w:t>
      </w:r>
      <w:bookmarkEnd w:id="69"/>
      <w:r>
        <w:t xml:space="preserve"> also mentions “the taking of an account.”  (</w:t>
      </w:r>
      <w:bookmarkStart w:id="70" w:name="Psych_Cite_300"/>
      <w:r w:rsidR="00607837">
        <w:rPr>
          <w:i/>
          <w:iCs/>
        </w:rPr>
        <w:t>Ibid.</w:t>
      </w:r>
      <w:bookmarkEnd w:id="70"/>
      <w:r>
        <w:t xml:space="preserve"> [“</w:t>
      </w:r>
      <w:r w:rsidRPr="00B636AA">
        <w:t xml:space="preserve">If the taking of an account, or the proof of any fact, is necessary to enable the court to give judgment or to carry the judgment into effect, the court may take the account or hear the proof, or may, in its discretion, order a reference for that purpose. </w:t>
      </w:r>
      <w:r>
        <w:t xml:space="preserve"> </w:t>
      </w:r>
      <w:r w:rsidRPr="00B636AA">
        <w:t>If the action is for the recovery of damages, in whole or in part, the court may order the damages to be assessed by a jury; or if, to determine the amount of damages, the examination of a long account is involved, by a reference as above provided.</w:t>
      </w:r>
      <w:r>
        <w:t xml:space="preserve">”].)  </w:t>
      </w:r>
      <w:r w:rsidRPr="0062571D" w:rsidR="0062571D">
        <w:t>Neither of the parties relies on this language or suggests that this case implicates a reference for the “taking of an account” under this provision.</w:t>
      </w:r>
      <w:r w:rsidR="00887165">
        <w:t xml:space="preserve">  (</w:t>
      </w:r>
      <w:r w:rsidR="00887165">
        <w:rPr>
          <w:i/>
          <w:iCs/>
        </w:rPr>
        <w:t>Ibid.</w:t>
      </w:r>
      <w:r w:rsidR="00887165">
        <w:t>)</w:t>
      </w:r>
    </w:p>
  </w:footnote>
  <w:footnote w:id="8">
    <w:p w:rsidR="00B3150A" w:rsidP="00F11188">
      <w:pPr>
        <w:pStyle w:val="FootnoteText"/>
      </w:pPr>
      <w:r>
        <w:rPr>
          <w:rStyle w:val="FootnoteReference"/>
        </w:rPr>
        <w:footnoteRef/>
      </w:r>
      <w:r>
        <w:t xml:space="preserve"> </w:t>
      </w:r>
      <w:r>
        <w:tab/>
        <w:t xml:space="preserve">The current version of the standard form petition may be found on </w:t>
      </w:r>
      <w:r w:rsidR="007C0C7A">
        <w:t xml:space="preserve">the judicial branch </w:t>
      </w:r>
      <w:r>
        <w:t>website.  (</w:t>
      </w:r>
      <w:r w:rsidR="007C7BE6">
        <w:t>Judicial Council Forms</w:t>
      </w:r>
      <w:r>
        <w:t>,</w:t>
      </w:r>
      <w:r w:rsidR="007C7BE6">
        <w:t xml:space="preserve"> form FL-100</w:t>
      </w:r>
      <w:r>
        <w:t xml:space="preserve"> &lt;</w:t>
      </w:r>
      <w:r w:rsidRPr="00893E06">
        <w:t>https://www.courts.ca.gov/documents/fl100.pdf</w:t>
      </w:r>
      <w:r>
        <w:t xml:space="preserve">&gt; [as of </w:t>
      </w:r>
      <w:r w:rsidR="00EC2F21">
        <w:t>Dec. 2</w:t>
      </w:r>
      <w:r w:rsidR="005A5785">
        <w:t>4</w:t>
      </w:r>
      <w:r>
        <w:t>, 2020] (hereafter Form FL-100).)</w:t>
      </w:r>
      <w:r w:rsidR="007C0C7A">
        <w:t xml:space="preserve"> </w:t>
      </w:r>
      <w:r w:rsidR="00C56FB5">
        <w:t xml:space="preserve"> </w:t>
      </w:r>
      <w:r w:rsidRPr="00893E06">
        <w:t xml:space="preserve">All Internet citations in this opinion </w:t>
      </w:r>
      <w:r>
        <w:t xml:space="preserve">are </w:t>
      </w:r>
      <w:r w:rsidRPr="00893E06">
        <w:t>archived by year, docket number and case name at &lt;http://www.courts.ca.gov/38324.htm&gt;.</w:t>
      </w:r>
    </w:p>
  </w:footnote>
  <w:footnote w:id="9">
    <w:p w:rsidR="00B3150A" w:rsidRPr="00A817DF" w:rsidP="000A78AE">
      <w:pPr>
        <w:pStyle w:val="FootnoteText"/>
      </w:pPr>
      <w:r>
        <w:rPr>
          <w:rStyle w:val="FootnoteReference"/>
        </w:rPr>
        <w:footnoteRef/>
      </w:r>
      <w:r>
        <w:t xml:space="preserve"> </w:t>
      </w:r>
      <w:r>
        <w:tab/>
      </w:r>
      <w:r>
        <w:rPr>
          <w:i/>
        </w:rPr>
        <w:t xml:space="preserve">Ely </w:t>
      </w:r>
      <w:r>
        <w:t>approved of a third option:  the use of a statement of damages akin to those served in personal injury or wrongful death cases.  (</w:t>
      </w:r>
      <w:r w:rsidRPr="00E2321A">
        <w:rPr>
          <w:i/>
        </w:rPr>
        <w:t>Ely</w:t>
      </w:r>
      <w:r>
        <w:t xml:space="preserve">, </w:t>
      </w:r>
      <w:r>
        <w:rPr>
          <w:i/>
        </w:rPr>
        <w:t>supra</w:t>
      </w:r>
      <w:r>
        <w:t xml:space="preserve">, </w:t>
      </w:r>
      <w:r w:rsidRPr="00E2321A">
        <w:t xml:space="preserve">224 Cal.App.3d </w:t>
      </w:r>
      <w:r>
        <w:t xml:space="preserve">at p. </w:t>
      </w:r>
      <w:r w:rsidRPr="00E2321A">
        <w:t>1263</w:t>
      </w:r>
      <w:r>
        <w:t xml:space="preserve">.)  As the court below recognized, whether a statement of damages may be used when the plaintiff does not plead a personal injury or wrongful death action is an issue that has split the </w:t>
      </w:r>
      <w:r w:rsidR="00B76133">
        <w:t xml:space="preserve">Courts </w:t>
      </w:r>
      <w:r>
        <w:t xml:space="preserve">of </w:t>
      </w:r>
      <w:r w:rsidR="00B76133">
        <w:t>Appeal</w:t>
      </w:r>
      <w:r>
        <w:t xml:space="preserve">.  (See </w:t>
      </w:r>
      <w:r w:rsidRPr="003B40B2">
        <w:rPr>
          <w:i/>
          <w:iCs/>
        </w:rPr>
        <w:t>Sass</w:t>
      </w:r>
      <w:r>
        <w:t xml:space="preserve">, </w:t>
      </w:r>
      <w:r w:rsidRPr="003B40B2">
        <w:rPr>
          <w:i/>
          <w:iCs/>
        </w:rPr>
        <w:t>supra</w:t>
      </w:r>
      <w:r>
        <w:t xml:space="preserve">, </w:t>
      </w:r>
      <w:r w:rsidRPr="00A6151A">
        <w:t>32</w:t>
      </w:r>
      <w:r>
        <w:t xml:space="preserve"> Cal.App.5th at p. 1040, fn. 10.)  Cohen has not pressed for this third option</w:t>
      </w:r>
      <w:r w:rsidR="00722FFB">
        <w:t xml:space="preserve">, and </w:t>
      </w:r>
      <w:r w:rsidR="005B4004">
        <w:t xml:space="preserve">we </w:t>
      </w:r>
      <w:r w:rsidR="00722FFB">
        <w:t>do not address that issue here</w:t>
      </w:r>
      <w:r>
        <w:t>.</w:t>
      </w:r>
    </w:p>
  </w:footnote>
  <w:footnote w:id="10">
    <w:p w:rsidR="00B3150A" w:rsidP="00F11188">
      <w:pPr>
        <w:pStyle w:val="FootnoteText"/>
      </w:pPr>
      <w:r>
        <w:rPr>
          <w:rStyle w:val="FootnoteReference"/>
        </w:rPr>
        <w:footnoteRef/>
      </w:r>
      <w:r>
        <w:t xml:space="preserve"> </w:t>
      </w:r>
      <w:r>
        <w:tab/>
      </w:r>
      <w:r w:rsidRPr="00E826D5">
        <w:t>See, e.g., Fed</w:t>
      </w:r>
      <w:r>
        <w:t>eral</w:t>
      </w:r>
      <w:r w:rsidRPr="00E826D5">
        <w:t xml:space="preserve"> Rules</w:t>
      </w:r>
      <w:r w:rsidR="00C41A6A">
        <w:t xml:space="preserve"> of</w:t>
      </w:r>
      <w:r w:rsidRPr="00E826D5">
        <w:t xml:space="preserve"> Civ</w:t>
      </w:r>
      <w:r>
        <w:t>il</w:t>
      </w:r>
      <w:r w:rsidRPr="00E826D5">
        <w:t xml:space="preserve"> Proc</w:t>
      </w:r>
      <w:r>
        <w:t>edure</w:t>
      </w:r>
      <w:r w:rsidRPr="00E826D5">
        <w:t xml:space="preserve">, rule 8(b)(6) </w:t>
      </w:r>
      <w:r w:rsidR="006211F4">
        <w:t>(</w:t>
      </w:r>
      <w:r w:rsidRPr="00E826D5">
        <w:t>28</w:t>
      </w:r>
      <w:r w:rsidR="005A1CFD">
        <w:t> </w:t>
      </w:r>
      <w:r w:rsidRPr="00E826D5">
        <w:t>U.S.C.</w:t>
      </w:r>
      <w:r w:rsidR="006211F4">
        <w:t>)</w:t>
      </w:r>
      <w:r w:rsidRPr="00E826D5">
        <w:t xml:space="preserve"> [“An allegation — other than one relating to the amount of damages — is admitted if a responsive pleading is required and the allegation is not denied”]; </w:t>
      </w:r>
      <w:r w:rsidRPr="00E826D5">
        <w:rPr>
          <w:i/>
        </w:rPr>
        <w:t>Bonilla v. Trebol Motors Corp.</w:t>
      </w:r>
      <w:r w:rsidRPr="00E826D5">
        <w:t xml:space="preserve"> (1st Cir. 1998) 150 F.3d 77, 82 [“The ordinary rule is that a defaulting defendant is entitled to contest damages and to participate in a hearing on damages, should one be held”]; </w:t>
      </w:r>
      <w:r w:rsidRPr="00E826D5">
        <w:rPr>
          <w:i/>
        </w:rPr>
        <w:t>Cement &amp; Concrete Workers Dist. Council Welfare Fund v. Metro Found. Contrs. Inc.</w:t>
      </w:r>
      <w:r w:rsidRPr="00E826D5">
        <w:t xml:space="preserve"> (2d Cir. 2012) 699 F.3d 230, 234 [similar]; </w:t>
      </w:r>
      <w:r w:rsidRPr="00E826D5">
        <w:rPr>
          <w:i/>
        </w:rPr>
        <w:t>Geddes v. United Fin. Group</w:t>
      </w:r>
      <w:r w:rsidRPr="00E826D5">
        <w:t xml:space="preserve"> (9th Cir. 1977) 559 F.2d 557, 560 [similar]; 10 Moore’s Federal Practice</w:t>
      </w:r>
      <w:r>
        <w:t xml:space="preserve"> — </w:t>
      </w:r>
      <w:r w:rsidRPr="00E826D5">
        <w:t xml:space="preserve">Civil </w:t>
      </w:r>
      <w:r w:rsidRPr="00E826D5" w:rsidR="006211F4">
        <w:t>(2019)</w:t>
      </w:r>
      <w:r w:rsidR="006211F4">
        <w:t xml:space="preserve"> </w:t>
      </w:r>
      <w:r w:rsidRPr="00E826D5">
        <w:t>§ 55.32  [“A party who defaults by failing to plead or defend does not admit the allegations in the claim as to the amount of damages.  The claimant must establish the amount of damages, and the defaulting party is entitled to be heard on the matter.”].</w:t>
      </w:r>
    </w:p>
  </w:footnote>
  <w:footnote w:id="11">
    <w:p w:rsidR="00EE6611">
      <w:pPr>
        <w:pStyle w:val="FootnoteText"/>
      </w:pPr>
      <w:r>
        <w:rPr>
          <w:rStyle w:val="FootnoteReference"/>
        </w:rPr>
        <w:footnoteRef/>
      </w:r>
      <w:r>
        <w:t xml:space="preserve"> </w:t>
      </w:r>
      <w:r>
        <w:tab/>
      </w:r>
      <w:r w:rsidR="00D24245">
        <w:t>Because the parties ma</w:t>
      </w:r>
      <w:r w:rsidR="008D2766">
        <w:t>ke</w:t>
      </w:r>
      <w:r w:rsidR="00D24245">
        <w:t xml:space="preserve"> no argument regarding the availability of such an accounting procedure, we do not further elaborate on </w:t>
      </w:r>
      <w:r w:rsidR="00976337">
        <w:t>its contours</w:t>
      </w:r>
      <w:r w:rsidR="00D24245">
        <w:t xml:space="preserve">, including </w:t>
      </w:r>
      <w:r w:rsidRPr="00EE6611">
        <w:t>whether, following an accounting, a plaintiff would need to amend the complaint and thus reopen the default.</w:t>
      </w:r>
    </w:p>
  </w:footnote>
  <w:footnote w:id="12">
    <w:p w:rsidR="00B3150A" w:rsidRPr="003055C4" w:rsidP="00F11188">
      <w:pPr>
        <w:pStyle w:val="FootnoteText"/>
      </w:pPr>
      <w:r>
        <w:rPr>
          <w:rStyle w:val="FootnoteReference"/>
        </w:rPr>
        <w:footnoteRef/>
      </w:r>
      <w:r>
        <w:t xml:space="preserve"> </w:t>
      </w:r>
      <w:r>
        <w:tab/>
        <w:t>Even within the context of “a form complaint in a mar</w:t>
      </w:r>
      <w:r w:rsidR="006211F4">
        <w:t>ital</w:t>
      </w:r>
      <w:r>
        <w:t xml:space="preserve"> dissolution action,” </w:t>
      </w:r>
      <w:r>
        <w:rPr>
          <w:i/>
        </w:rPr>
        <w:t xml:space="preserve">Andresen </w:t>
      </w:r>
      <w:r>
        <w:t xml:space="preserve">has not been uniformly applied.  </w:t>
      </w:r>
      <w:r w:rsidRPr="004510FF">
        <w:t>(</w:t>
      </w:r>
      <w:r w:rsidRPr="004510FF">
        <w:rPr>
          <w:i/>
        </w:rPr>
        <w:t>In re Marriage of Kahn</w:t>
      </w:r>
      <w:r w:rsidRPr="004510FF">
        <w:t xml:space="preserve"> (2013) 215 Cal.App.4th 1113, 1119</w:t>
      </w:r>
      <w:r>
        <w:t xml:space="preserve"> [reasoning that “[i]</w:t>
      </w:r>
      <w:r w:rsidRPr="003055C4">
        <w:t xml:space="preserve">t would be stretching </w:t>
      </w:r>
      <w:r w:rsidRPr="003055C4">
        <w:rPr>
          <w:i/>
        </w:rPr>
        <w:t>Andresen</w:t>
      </w:r>
      <w:r w:rsidRPr="003055C4">
        <w:t xml:space="preserve"> too far to apply it in this case</w:t>
      </w:r>
      <w:r>
        <w:t>”]</w:t>
      </w:r>
      <w:r w:rsidRPr="004510FF">
        <w:t>.)</w:t>
      </w:r>
    </w:p>
  </w:footnote>
  <w:footnote w:id="13">
    <w:p w:rsidR="00B3150A" w:rsidP="00A90CAF">
      <w:pPr>
        <w:pStyle w:val="FootnoteText"/>
      </w:pPr>
      <w:r w:rsidRPr="00D971F5">
        <w:rPr>
          <w:rStyle w:val="FootnoteReference"/>
        </w:rPr>
        <w:footnoteRef/>
      </w:r>
      <w:r w:rsidRPr="00D971F5">
        <w:t xml:space="preserve"> </w:t>
      </w:r>
      <w:r w:rsidRPr="00D971F5">
        <w:tab/>
      </w:r>
      <w:r w:rsidR="00873322">
        <w:t>Judicial Council Forms, form FL-160</w:t>
      </w:r>
      <w:r>
        <w:t xml:space="preserve"> &lt;</w:t>
      </w:r>
      <w:r w:rsidRPr="00D971F5">
        <w:t>https://www.courts.ca.gov/documents/fl160.pdf</w:t>
      </w:r>
      <w:r>
        <w:t xml:space="preserve">&gt; [as of </w:t>
      </w:r>
      <w:r w:rsidR="00EC2F21">
        <w:t>Dec. 2</w:t>
      </w:r>
      <w:r w:rsidR="005A5785">
        <w:t>4</w:t>
      </w:r>
      <w:r w:rsidR="000A1D21">
        <w:t>, 2020</w:t>
      </w:r>
      <w:r>
        <w:t>] (hereafter Form FL</w:t>
      </w:r>
      <w:r w:rsidR="000B75AD">
        <w:t>-</w:t>
      </w:r>
      <w:r>
        <w:t>160).</w:t>
      </w:r>
    </w:p>
  </w:footnote>
  <w:footnote w:id="14">
    <w:p w:rsidR="00B3150A" w:rsidP="00F11188">
      <w:pPr>
        <w:pStyle w:val="FootnoteText"/>
      </w:pPr>
      <w:r>
        <w:rPr>
          <w:rStyle w:val="FootnoteReference"/>
        </w:rPr>
        <w:footnoteRef/>
      </w:r>
      <w:r>
        <w:t xml:space="preserve"> </w:t>
      </w:r>
      <w:r>
        <w:tab/>
        <w:t xml:space="preserve">We disapprove of </w:t>
      </w:r>
      <w:r w:rsidRPr="00ED0F6C">
        <w:rPr>
          <w:i/>
        </w:rPr>
        <w:t>Cassel</w:t>
      </w:r>
      <w:r w:rsidR="00B76133">
        <w:rPr>
          <w:i/>
        </w:rPr>
        <w:t xml:space="preserve"> </w:t>
      </w:r>
      <w:r w:rsidRPr="00F11188" w:rsidR="00B76133">
        <w:rPr>
          <w:i/>
        </w:rPr>
        <w:t>v. Sullivan, Roche &amp; Johnson</w:t>
      </w:r>
      <w:r w:rsidR="008059F3">
        <w:rPr>
          <w:i/>
        </w:rPr>
        <w:t xml:space="preserve">, </w:t>
      </w:r>
      <w:r>
        <w:rPr>
          <w:i/>
        </w:rPr>
        <w:t>supra</w:t>
      </w:r>
      <w:r>
        <w:t xml:space="preserve">, </w:t>
      </w:r>
      <w:r w:rsidRPr="00ED0F6C">
        <w:t>76 Cal.App.4th 1157</w:t>
      </w:r>
      <w:r>
        <w:t xml:space="preserve"> — and the two cases following it, </w:t>
      </w:r>
      <w:r w:rsidRPr="00F11188">
        <w:rPr>
          <w:i/>
        </w:rPr>
        <w:t>Warren</w:t>
      </w:r>
      <w:r w:rsidR="00B76133">
        <w:rPr>
          <w:i/>
        </w:rPr>
        <w:t xml:space="preserve"> v. Warren</w:t>
      </w:r>
      <w:r w:rsidRPr="00F11188">
        <w:t xml:space="preserve">, </w:t>
      </w:r>
      <w:r w:rsidRPr="00F11188">
        <w:rPr>
          <w:i/>
        </w:rPr>
        <w:t>supra</w:t>
      </w:r>
      <w:r w:rsidRPr="00F11188">
        <w:t xml:space="preserve">, 240 Cal.App.4th </w:t>
      </w:r>
      <w:r>
        <w:t xml:space="preserve">373 and </w:t>
      </w:r>
      <w:r w:rsidRPr="00F11188">
        <w:rPr>
          <w:i/>
        </w:rPr>
        <w:t>Schwab</w:t>
      </w:r>
      <w:r w:rsidR="00B76133">
        <w:rPr>
          <w:i/>
        </w:rPr>
        <w:t xml:space="preserve"> v. Southern California Gas Co.</w:t>
      </w:r>
      <w:r w:rsidRPr="00F11188">
        <w:t xml:space="preserve">, </w:t>
      </w:r>
      <w:r w:rsidRPr="00F11188">
        <w:rPr>
          <w:i/>
        </w:rPr>
        <w:t>supra</w:t>
      </w:r>
      <w:r w:rsidRPr="00F11188">
        <w:t>, 114 Cal.App.4th</w:t>
      </w:r>
      <w:r>
        <w:t xml:space="preserve"> 1308 — to the extent they are inconsistent with our opinion.</w:t>
      </w:r>
    </w:p>
  </w:footnote>
  <w:footnote w:id="15">
    <w:p w:rsidR="00B3150A" w:rsidRPr="00FF6723" w:rsidP="00F11188">
      <w:pPr>
        <w:pStyle w:val="FootnoteText"/>
      </w:pPr>
      <w:r>
        <w:rPr>
          <w:rStyle w:val="FootnoteReference"/>
        </w:rPr>
        <w:footnoteRef/>
      </w:r>
      <w:r>
        <w:t xml:space="preserve"> </w:t>
      </w:r>
      <w:r>
        <w:tab/>
        <w:t xml:space="preserve">But see, e.g., </w:t>
      </w:r>
      <w:r w:rsidRPr="00FF6723">
        <w:rPr>
          <w:i/>
        </w:rPr>
        <w:t>Heidary v. Yadollahi</w:t>
      </w:r>
      <w:r w:rsidRPr="00FF6723">
        <w:t xml:space="preserve"> (2002) 99 Cal.App.4th 857, 868</w:t>
      </w:r>
      <w:r>
        <w:t xml:space="preserve"> [emphasizing that trial courts must “act as gatekeeper</w:t>
      </w:r>
      <w:r w:rsidR="0084005C">
        <w:t>[s]</w:t>
      </w:r>
      <w:r>
        <w:t xml:space="preserve">” in default situations, “ensuring that only the appropriate claims get through”]; </w:t>
      </w:r>
      <w:r w:rsidRPr="004B7936">
        <w:rPr>
          <w:i/>
        </w:rPr>
        <w:t>Grappo v. McMills</w:t>
      </w:r>
      <w:r w:rsidRPr="004B7936">
        <w:t xml:space="preserve"> (2017) 11</w:t>
      </w:r>
      <w:r w:rsidR="005A1CFD">
        <w:t> </w:t>
      </w:r>
      <w:r w:rsidRPr="004B7936">
        <w:t>Cal.App.5th 996</w:t>
      </w:r>
      <w:r>
        <w:t>,</w:t>
      </w:r>
      <w:r w:rsidR="00E97B51">
        <w:t xml:space="preserve"> </w:t>
      </w:r>
      <w:r w:rsidRPr="003B0C24">
        <w:t>1013</w:t>
      </w:r>
      <w:r w:rsidR="007C1930">
        <w:t>–</w:t>
      </w:r>
      <w:r w:rsidRPr="003B0C24">
        <w:t>1014</w:t>
      </w:r>
      <w:r>
        <w:t xml:space="preserve"> [similar]</w:t>
      </w:r>
      <w:r w:rsidR="008400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50A">
    <w:pPr>
      <w:pStyle w:val="Header"/>
    </w:pPr>
    <w:r>
      <w:t>SASS v. COHEN</w:t>
    </w:r>
  </w:p>
  <w:p w:rsidR="00B3150A">
    <w:pPr>
      <w:pStyle w:val="Header"/>
    </w:pPr>
    <w:r>
      <w:t>Opinion of the Court by Cantil-Sakauye</w:t>
    </w:r>
    <w:r w:rsidR="00B63829">
      <w:t>, C. J.</w:t>
    </w:r>
  </w:p>
  <w:p w:rsidR="00B31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2CAC"/>
    <w:multiLevelType w:val="hybridMultilevel"/>
    <w:tmpl w:val="F79A6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ED62404"/>
    <w:multiLevelType w:val="hybridMultilevel"/>
    <w:tmpl w:val="E0AA9E3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8EE23C4"/>
    <w:multiLevelType w:val="hybridMultilevel"/>
    <w:tmpl w:val="A1BAD8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188"/>
    <w:pPr>
      <w:spacing w:after="100" w:line="400" w:lineRule="exact"/>
      <w:jc w:val="both"/>
    </w:pPr>
    <w:rPr>
      <w:rFonts w:ascii="Century Schoolbook" w:hAnsi="Century Schoolbook"/>
      <w:sz w:val="27"/>
    </w:rPr>
  </w:style>
  <w:style w:type="paragraph" w:styleId="Heading1">
    <w:name w:val="heading 1"/>
    <w:basedOn w:val="Normal"/>
    <w:next w:val="Normal"/>
    <w:qFormat/>
    <w:rsid w:val="00F11188"/>
    <w:pPr>
      <w:keepNext/>
      <w:spacing w:before="140" w:line="240" w:lineRule="atLeast"/>
      <w:jc w:val="center"/>
      <w:outlineLvl w:val="0"/>
    </w:pPr>
    <w:rPr>
      <w:b/>
      <w:smallCaps/>
    </w:rPr>
  </w:style>
  <w:style w:type="paragraph" w:styleId="Heading2">
    <w:name w:val="heading 2"/>
    <w:basedOn w:val="Normal"/>
    <w:next w:val="Normal"/>
    <w:qFormat/>
    <w:rsid w:val="00F1118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11188"/>
    <w:pPr>
      <w:keepNext/>
      <w:tabs>
        <w:tab w:val="left" w:pos="1584"/>
      </w:tabs>
      <w:spacing w:before="140" w:line="240" w:lineRule="atLeast"/>
      <w:ind w:left="1584" w:hanging="432"/>
      <w:jc w:val="left"/>
      <w:outlineLvl w:val="2"/>
    </w:pPr>
    <w:rPr>
      <w:i/>
    </w:rPr>
  </w:style>
  <w:style w:type="paragraph" w:styleId="Heading4">
    <w:name w:val="heading 4"/>
    <w:basedOn w:val="Normal"/>
    <w:rsid w:val="00F11188"/>
    <w:pPr>
      <w:keepNext/>
      <w:tabs>
        <w:tab w:val="left" w:pos="2016"/>
      </w:tabs>
      <w:spacing w:before="140" w:line="240" w:lineRule="atLeast"/>
      <w:ind w:left="2016" w:hanging="432"/>
      <w:jc w:val="left"/>
      <w:outlineLvl w:val="3"/>
    </w:pPr>
    <w:rPr>
      <w:i/>
    </w:rPr>
  </w:style>
  <w:style w:type="paragraph" w:styleId="Heading5">
    <w:name w:val="heading 5"/>
    <w:basedOn w:val="Normal"/>
    <w:rsid w:val="00F1118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11188"/>
    <w:pPr>
      <w:ind w:left="720"/>
    </w:pPr>
  </w:style>
  <w:style w:type="paragraph" w:styleId="Footer">
    <w:name w:val="footer"/>
    <w:basedOn w:val="Normal"/>
    <w:qFormat/>
    <w:rsid w:val="00F11188"/>
    <w:pPr>
      <w:tabs>
        <w:tab w:val="center" w:pos="3960"/>
        <w:tab w:val="right" w:pos="10080"/>
      </w:tabs>
      <w:spacing w:after="0" w:line="240" w:lineRule="auto"/>
      <w:jc w:val="center"/>
    </w:pPr>
    <w:rPr>
      <w:sz w:val="22"/>
    </w:rPr>
  </w:style>
  <w:style w:type="paragraph" w:styleId="Header">
    <w:name w:val="header"/>
    <w:basedOn w:val="Normal"/>
    <w:qFormat/>
    <w:rsid w:val="00F1118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11188"/>
    <w:rPr>
      <w:rFonts w:ascii="Century Schoolbook" w:hAnsi="Century Schoolbook"/>
      <w:b/>
      <w:i w:val="0"/>
      <w:position w:val="4"/>
      <w:sz w:val="27"/>
      <w:vertAlign w:val="superscript"/>
    </w:rPr>
  </w:style>
  <w:style w:type="paragraph" w:styleId="FootnoteText">
    <w:name w:val="footnote text"/>
    <w:basedOn w:val="Normal"/>
    <w:link w:val="FootnoteTextChar"/>
    <w:rsid w:val="00F11188"/>
    <w:pPr>
      <w:spacing w:line="300" w:lineRule="exact"/>
    </w:pPr>
  </w:style>
  <w:style w:type="paragraph" w:customStyle="1" w:styleId="Title1">
    <w:name w:val="Title1"/>
    <w:basedOn w:val="Normal"/>
    <w:rsid w:val="00F11188"/>
    <w:pPr>
      <w:tabs>
        <w:tab w:val="left" w:pos="5760"/>
        <w:tab w:val="left" w:pos="6480"/>
      </w:tabs>
      <w:spacing w:line="240" w:lineRule="atLeast"/>
    </w:pPr>
  </w:style>
  <w:style w:type="paragraph" w:customStyle="1" w:styleId="Recommend">
    <w:name w:val="Recommend"/>
    <w:basedOn w:val="Normal"/>
    <w:rsid w:val="00F11188"/>
  </w:style>
  <w:style w:type="paragraph" w:customStyle="1" w:styleId="Summary">
    <w:name w:val="Summary"/>
    <w:basedOn w:val="Normal"/>
    <w:rsid w:val="00F11188"/>
    <w:pPr>
      <w:ind w:left="2160" w:hanging="2160"/>
    </w:pPr>
  </w:style>
  <w:style w:type="paragraph" w:customStyle="1" w:styleId="Text">
    <w:name w:val="Text"/>
    <w:basedOn w:val="Normal"/>
    <w:rsid w:val="00F11188"/>
    <w:pPr>
      <w:tabs>
        <w:tab w:val="left" w:pos="720"/>
        <w:tab w:val="left" w:pos="1440"/>
        <w:tab w:val="left" w:pos="2160"/>
        <w:tab w:val="center" w:pos="4320"/>
      </w:tabs>
      <w:spacing w:line="480" w:lineRule="atLeast"/>
      <w:ind w:firstLine="540"/>
    </w:pPr>
  </w:style>
  <w:style w:type="paragraph" w:styleId="Date">
    <w:name w:val="Date"/>
    <w:basedOn w:val="Normal"/>
    <w:semiHidden/>
    <w:rsid w:val="00F11188"/>
    <w:pPr>
      <w:jc w:val="right"/>
    </w:pPr>
  </w:style>
  <w:style w:type="character" w:styleId="PageNumber">
    <w:name w:val="page number"/>
    <w:basedOn w:val="DefaultParagraphFont"/>
    <w:semiHidden/>
    <w:rsid w:val="00F11188"/>
  </w:style>
  <w:style w:type="paragraph" w:customStyle="1" w:styleId="subject">
    <w:name w:val="subject"/>
    <w:basedOn w:val="Normal"/>
    <w:rsid w:val="00F11188"/>
    <w:pPr>
      <w:tabs>
        <w:tab w:val="left" w:pos="1008"/>
      </w:tabs>
      <w:ind w:left="990" w:hanging="990"/>
    </w:pPr>
    <w:rPr>
      <w:b/>
    </w:rPr>
  </w:style>
  <w:style w:type="paragraph" w:customStyle="1" w:styleId="Titles">
    <w:name w:val="Titles"/>
    <w:basedOn w:val="Normal"/>
    <w:rsid w:val="00F11188"/>
    <w:pPr>
      <w:tabs>
        <w:tab w:val="left" w:pos="2160"/>
      </w:tabs>
      <w:ind w:left="2160" w:hanging="2160"/>
    </w:pPr>
    <w:rPr>
      <w:b/>
    </w:rPr>
  </w:style>
  <w:style w:type="paragraph" w:styleId="TOAHeading">
    <w:name w:val="toa heading"/>
    <w:basedOn w:val="Normal"/>
    <w:next w:val="Normal"/>
    <w:semiHidden/>
    <w:rsid w:val="00F11188"/>
    <w:pPr>
      <w:spacing w:before="120"/>
    </w:pPr>
    <w:rPr>
      <w:b/>
    </w:rPr>
  </w:style>
  <w:style w:type="paragraph" w:styleId="TOC1">
    <w:name w:val="toc 1"/>
    <w:basedOn w:val="Normal"/>
    <w:next w:val="Normal"/>
    <w:autoRedefine/>
    <w:semiHidden/>
    <w:rsid w:val="00F11188"/>
  </w:style>
  <w:style w:type="paragraph" w:styleId="TOC2">
    <w:name w:val="toc 2"/>
    <w:basedOn w:val="Normal"/>
    <w:next w:val="Normal"/>
    <w:autoRedefine/>
    <w:semiHidden/>
    <w:rsid w:val="00F11188"/>
    <w:pPr>
      <w:ind w:left="259"/>
    </w:pPr>
  </w:style>
  <w:style w:type="paragraph" w:styleId="TOC3">
    <w:name w:val="toc 3"/>
    <w:basedOn w:val="Normal"/>
    <w:next w:val="Normal"/>
    <w:autoRedefine/>
    <w:semiHidden/>
    <w:rsid w:val="00F11188"/>
    <w:pPr>
      <w:ind w:left="520"/>
    </w:pPr>
  </w:style>
  <w:style w:type="paragraph" w:styleId="TOC4">
    <w:name w:val="toc 4"/>
    <w:basedOn w:val="Normal"/>
    <w:next w:val="Normal"/>
    <w:autoRedefine/>
    <w:semiHidden/>
    <w:rsid w:val="00F11188"/>
    <w:pPr>
      <w:ind w:left="780"/>
    </w:pPr>
  </w:style>
  <w:style w:type="paragraph" w:styleId="TOC5">
    <w:name w:val="toc 5"/>
    <w:basedOn w:val="Normal"/>
    <w:next w:val="Normal"/>
    <w:autoRedefine/>
    <w:semiHidden/>
    <w:rsid w:val="00F11188"/>
    <w:pPr>
      <w:ind w:left="1040"/>
    </w:pPr>
  </w:style>
  <w:style w:type="paragraph" w:styleId="TOC6">
    <w:name w:val="toc 6"/>
    <w:basedOn w:val="Normal"/>
    <w:next w:val="Normal"/>
    <w:autoRedefine/>
    <w:semiHidden/>
    <w:rsid w:val="00F11188"/>
    <w:pPr>
      <w:ind w:left="1300"/>
    </w:pPr>
  </w:style>
  <w:style w:type="paragraph" w:styleId="TOC7">
    <w:name w:val="toc 7"/>
    <w:basedOn w:val="Normal"/>
    <w:next w:val="Normal"/>
    <w:autoRedefine/>
    <w:semiHidden/>
    <w:rsid w:val="00F11188"/>
    <w:pPr>
      <w:ind w:left="1560"/>
    </w:pPr>
  </w:style>
  <w:style w:type="paragraph" w:styleId="TOC8">
    <w:name w:val="toc 8"/>
    <w:basedOn w:val="Normal"/>
    <w:next w:val="Normal"/>
    <w:autoRedefine/>
    <w:semiHidden/>
    <w:rsid w:val="00F11188"/>
    <w:pPr>
      <w:ind w:left="1820"/>
    </w:pPr>
  </w:style>
  <w:style w:type="paragraph" w:styleId="TOC9">
    <w:name w:val="toc 9"/>
    <w:basedOn w:val="Normal"/>
    <w:next w:val="Normal"/>
    <w:autoRedefine/>
    <w:semiHidden/>
    <w:rsid w:val="00F11188"/>
    <w:pPr>
      <w:ind w:left="2080"/>
    </w:pPr>
  </w:style>
  <w:style w:type="paragraph" w:customStyle="1" w:styleId="Contents">
    <w:name w:val="Contents"/>
    <w:basedOn w:val="Normal"/>
    <w:rsid w:val="00F11188"/>
    <w:pPr>
      <w:jc w:val="center"/>
    </w:pPr>
    <w:rPr>
      <w:b/>
      <w:spacing w:val="100"/>
    </w:rPr>
  </w:style>
  <w:style w:type="character" w:customStyle="1" w:styleId="Heading3Char">
    <w:name w:val="Heading 3 Char"/>
    <w:basedOn w:val="DefaultParagraphFont"/>
    <w:link w:val="Heading3"/>
    <w:rsid w:val="003334BC"/>
    <w:rPr>
      <w:rFonts w:ascii="Century Schoolbook" w:hAnsi="Century Schoolbook"/>
      <w:i/>
      <w:sz w:val="27"/>
    </w:rPr>
  </w:style>
  <w:style w:type="character" w:customStyle="1" w:styleId="ssparacontent">
    <w:name w:val="ss_paracontent"/>
    <w:basedOn w:val="DefaultParagraphFont"/>
    <w:rsid w:val="00575E5B"/>
  </w:style>
  <w:style w:type="character" w:customStyle="1" w:styleId="ssit">
    <w:name w:val="ss_it"/>
    <w:basedOn w:val="DefaultParagraphFont"/>
    <w:rsid w:val="005646AC"/>
  </w:style>
  <w:style w:type="character" w:customStyle="1" w:styleId="ssleftalign">
    <w:name w:val="ss_leftalign"/>
    <w:basedOn w:val="DefaultParagraphFont"/>
    <w:rsid w:val="004A72C8"/>
  </w:style>
  <w:style w:type="paragraph" w:styleId="BalloonText">
    <w:name w:val="Balloon Text"/>
    <w:basedOn w:val="Normal"/>
    <w:link w:val="BalloonTextChar"/>
    <w:uiPriority w:val="99"/>
    <w:semiHidden/>
    <w:unhideWhenUsed/>
    <w:rsid w:val="0037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BC"/>
    <w:rPr>
      <w:rFonts w:ascii="Segoe UI" w:hAnsi="Segoe UI" w:cs="Segoe UI"/>
      <w:sz w:val="18"/>
      <w:szCs w:val="18"/>
    </w:rPr>
  </w:style>
  <w:style w:type="character" w:styleId="CommentReference">
    <w:name w:val="annotation reference"/>
    <w:basedOn w:val="DefaultParagraphFont"/>
    <w:uiPriority w:val="99"/>
    <w:semiHidden/>
    <w:unhideWhenUsed/>
    <w:rsid w:val="00756CE0"/>
    <w:rPr>
      <w:sz w:val="16"/>
      <w:szCs w:val="16"/>
    </w:rPr>
  </w:style>
  <w:style w:type="paragraph" w:styleId="CommentText">
    <w:name w:val="annotation text"/>
    <w:basedOn w:val="Normal"/>
    <w:link w:val="CommentTextChar"/>
    <w:uiPriority w:val="99"/>
    <w:unhideWhenUsed/>
    <w:rsid w:val="00756CE0"/>
    <w:rPr>
      <w:sz w:val="20"/>
    </w:rPr>
  </w:style>
  <w:style w:type="character" w:customStyle="1" w:styleId="CommentTextChar">
    <w:name w:val="Comment Text Char"/>
    <w:basedOn w:val="DefaultParagraphFont"/>
    <w:link w:val="CommentText"/>
    <w:uiPriority w:val="99"/>
    <w:rsid w:val="00756CE0"/>
  </w:style>
  <w:style w:type="paragraph" w:styleId="CommentSubject">
    <w:name w:val="annotation subject"/>
    <w:basedOn w:val="CommentText"/>
    <w:next w:val="CommentText"/>
    <w:link w:val="CommentSubjectChar"/>
    <w:uiPriority w:val="99"/>
    <w:semiHidden/>
    <w:unhideWhenUsed/>
    <w:rsid w:val="00756CE0"/>
    <w:rPr>
      <w:b/>
      <w:bCs/>
    </w:rPr>
  </w:style>
  <w:style w:type="character" w:customStyle="1" w:styleId="CommentSubjectChar">
    <w:name w:val="Comment Subject Char"/>
    <w:basedOn w:val="CommentTextChar"/>
    <w:link w:val="CommentSubject"/>
    <w:uiPriority w:val="99"/>
    <w:semiHidden/>
    <w:rsid w:val="00756CE0"/>
    <w:rPr>
      <w:b/>
      <w:bCs/>
    </w:rPr>
  </w:style>
  <w:style w:type="paragraph" w:styleId="Revision">
    <w:name w:val="Revision"/>
    <w:hidden/>
    <w:uiPriority w:val="99"/>
    <w:semiHidden/>
    <w:rsid w:val="00E911E8"/>
    <w:rPr>
      <w:sz w:val="26"/>
    </w:rPr>
  </w:style>
  <w:style w:type="paragraph" w:styleId="BodyText">
    <w:name w:val="Body Text"/>
    <w:basedOn w:val="Normal"/>
    <w:link w:val="BodyTextChar"/>
    <w:qFormat/>
    <w:rsid w:val="00F11188"/>
  </w:style>
  <w:style w:type="character" w:customStyle="1" w:styleId="BodyTextChar">
    <w:name w:val="Body Text Char"/>
    <w:basedOn w:val="DefaultParagraphFont"/>
    <w:link w:val="BodyText"/>
    <w:rsid w:val="00F11188"/>
    <w:rPr>
      <w:rFonts w:ascii="Century Schoolbook" w:hAnsi="Century Schoolbook"/>
      <w:sz w:val="27"/>
    </w:rPr>
  </w:style>
  <w:style w:type="character" w:styleId="Hyperlink">
    <w:name w:val="Hyperlink"/>
    <w:basedOn w:val="DefaultParagraphFont"/>
    <w:uiPriority w:val="99"/>
    <w:unhideWhenUsed/>
    <w:rsid w:val="004C0D23"/>
    <w:rPr>
      <w:color w:val="0000FF" w:themeColor="hyperlink"/>
      <w:u w:val="single"/>
    </w:rPr>
  </w:style>
  <w:style w:type="character" w:customStyle="1" w:styleId="UnresolvedMention">
    <w:name w:val="Unresolved Mention"/>
    <w:basedOn w:val="DefaultParagraphFont"/>
    <w:uiPriority w:val="99"/>
    <w:semiHidden/>
    <w:unhideWhenUsed/>
    <w:rsid w:val="004C0D23"/>
    <w:rPr>
      <w:color w:val="605E5C"/>
      <w:shd w:val="clear" w:color="auto" w:fill="E1DFDD"/>
    </w:rPr>
  </w:style>
  <w:style w:type="paragraph" w:styleId="ListParagraph">
    <w:name w:val="List Paragraph"/>
    <w:basedOn w:val="Normal"/>
    <w:uiPriority w:val="34"/>
    <w:qFormat/>
    <w:rsid w:val="00943711"/>
    <w:pPr>
      <w:ind w:left="720"/>
      <w:contextualSpacing/>
    </w:pPr>
  </w:style>
  <w:style w:type="character" w:customStyle="1" w:styleId="FootnoteTextChar">
    <w:name w:val="Footnote Text Char"/>
    <w:basedOn w:val="DefaultParagraphFont"/>
    <w:link w:val="FootnoteText"/>
    <w:rsid w:val="00495F6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11984</Words>
  <Characters>68314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2020-12-24T16:22:03Z</dcterms:created>
  <dcterms:modified xsi:type="dcterms:W3CDTF">2020-12-24T16:22:03Z</dcterms:modified>
</cp:coreProperties>
</file>