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2B0C38" w:rsidP="001C049E">
      <w:pPr>
        <w:tabs>
          <w:tab w:val="left" w:pos="1440"/>
          <w:tab w:val="left" w:pos="4680"/>
          <w:tab w:val="center" w:pos="7200"/>
        </w:tabs>
        <w:spacing w:after="0"/>
        <w:jc w:val="center"/>
        <w:rPr>
          <w:sz w:val="36"/>
        </w:rPr>
      </w:pPr>
      <w:bookmarkStart w:id="0" w:name="_GoBack"/>
      <w:bookmarkEnd w:id="0"/>
      <w:r>
        <w:rPr>
          <w:b/>
          <w:sz w:val="36"/>
        </w:rPr>
        <w:t>IN THE SUPREME COURT OF CALIFORNIA</w:t>
      </w:r>
    </w:p>
    <w:p w:rsidR="001C049E" w:rsidP="001C049E">
      <w:pPr>
        <w:tabs>
          <w:tab w:val="left" w:pos="1440"/>
          <w:tab w:val="left" w:pos="4680"/>
          <w:tab w:val="center" w:pos="7200"/>
        </w:tabs>
        <w:spacing w:after="0"/>
        <w:jc w:val="center"/>
      </w:pPr>
    </w:p>
    <w:p w:rsidR="001C049E" w:rsidP="001C049E">
      <w:pPr>
        <w:tabs>
          <w:tab w:val="left" w:pos="1440"/>
          <w:tab w:val="left" w:pos="4680"/>
          <w:tab w:val="center" w:pos="7200"/>
        </w:tabs>
        <w:spacing w:after="0"/>
        <w:jc w:val="center"/>
      </w:pPr>
      <w:r>
        <w:t>THE PEOPLE</w:t>
      </w:r>
      <w:r w:rsidR="00A033CE">
        <w:t>,</w:t>
      </w:r>
    </w:p>
    <w:p w:rsidR="001C049E" w:rsidP="001C049E">
      <w:pPr>
        <w:tabs>
          <w:tab w:val="left" w:pos="1440"/>
          <w:tab w:val="left" w:pos="4680"/>
          <w:tab w:val="center" w:pos="7200"/>
        </w:tabs>
        <w:spacing w:after="0"/>
        <w:jc w:val="center"/>
      </w:pPr>
      <w:r>
        <w:t>Plaintiff and Respondent,</w:t>
      </w:r>
    </w:p>
    <w:p w:rsidR="001C049E" w:rsidP="001C049E">
      <w:pPr>
        <w:tabs>
          <w:tab w:val="left" w:pos="1440"/>
          <w:tab w:val="left" w:pos="4680"/>
          <w:tab w:val="center" w:pos="7200"/>
        </w:tabs>
        <w:spacing w:after="0"/>
        <w:jc w:val="center"/>
      </w:pPr>
      <w:r>
        <w:t>v.</w:t>
      </w:r>
    </w:p>
    <w:p w:rsidR="001C049E" w:rsidP="001C049E">
      <w:pPr>
        <w:tabs>
          <w:tab w:val="left" w:pos="1440"/>
          <w:tab w:val="left" w:pos="4680"/>
          <w:tab w:val="center" w:pos="7200"/>
        </w:tabs>
        <w:spacing w:after="0"/>
        <w:jc w:val="center"/>
      </w:pPr>
      <w:r>
        <w:t>MISAEL VENCES MAYA</w:t>
      </w:r>
      <w:r w:rsidR="00A033CE">
        <w:t>,</w:t>
      </w:r>
    </w:p>
    <w:p w:rsidR="001C049E" w:rsidP="001C049E">
      <w:pPr>
        <w:tabs>
          <w:tab w:val="left" w:pos="1440"/>
          <w:tab w:val="left" w:pos="4680"/>
          <w:tab w:val="center" w:pos="7200"/>
        </w:tabs>
        <w:spacing w:after="0"/>
        <w:jc w:val="center"/>
      </w:pPr>
      <w:r>
        <w:t>Defendant and Appellant.</w:t>
      </w:r>
    </w:p>
    <w:p w:rsidR="001C049E" w:rsidP="001C049E">
      <w:pPr>
        <w:tabs>
          <w:tab w:val="left" w:pos="1440"/>
          <w:tab w:val="left" w:pos="4680"/>
          <w:tab w:val="center" w:pos="7200"/>
        </w:tabs>
        <w:spacing w:after="0"/>
        <w:jc w:val="center"/>
      </w:pPr>
    </w:p>
    <w:p w:rsidR="001C049E" w:rsidP="001C049E">
      <w:pPr>
        <w:tabs>
          <w:tab w:val="left" w:pos="1440"/>
          <w:tab w:val="left" w:pos="4680"/>
          <w:tab w:val="center" w:pos="7200"/>
        </w:tabs>
        <w:spacing w:after="0"/>
        <w:jc w:val="center"/>
      </w:pPr>
      <w:r>
        <w:t>S255371</w:t>
      </w:r>
    </w:p>
    <w:p w:rsidR="001C049E" w:rsidP="001C049E">
      <w:pPr>
        <w:tabs>
          <w:tab w:val="left" w:pos="1440"/>
          <w:tab w:val="left" w:pos="4680"/>
          <w:tab w:val="center" w:pos="7200"/>
        </w:tabs>
        <w:spacing w:after="0"/>
        <w:jc w:val="center"/>
      </w:pPr>
    </w:p>
    <w:p w:rsidR="001C049E" w:rsidP="001C049E">
      <w:pPr>
        <w:tabs>
          <w:tab w:val="left" w:pos="1440"/>
          <w:tab w:val="left" w:pos="4680"/>
          <w:tab w:val="center" w:pos="7200"/>
        </w:tabs>
        <w:spacing w:after="0"/>
        <w:jc w:val="center"/>
      </w:pPr>
      <w:r>
        <w:t>Second Appellate District, Division Six</w:t>
      </w:r>
    </w:p>
    <w:p w:rsidR="001C049E" w:rsidP="001C049E">
      <w:pPr>
        <w:tabs>
          <w:tab w:val="left" w:pos="1440"/>
          <w:tab w:val="left" w:pos="4680"/>
          <w:tab w:val="center" w:pos="7200"/>
        </w:tabs>
        <w:spacing w:after="0"/>
        <w:jc w:val="center"/>
      </w:pPr>
      <w:r>
        <w:t>B290589</w:t>
      </w:r>
    </w:p>
    <w:p w:rsidR="001C049E" w:rsidP="001C049E">
      <w:pPr>
        <w:tabs>
          <w:tab w:val="left" w:pos="1440"/>
          <w:tab w:val="left" w:pos="4680"/>
          <w:tab w:val="center" w:pos="7200"/>
        </w:tabs>
        <w:spacing w:after="0"/>
        <w:jc w:val="center"/>
      </w:pPr>
    </w:p>
    <w:p w:rsidR="001C049E" w:rsidP="001C049E">
      <w:pPr>
        <w:tabs>
          <w:tab w:val="left" w:pos="1440"/>
          <w:tab w:val="left" w:pos="4680"/>
          <w:tab w:val="center" w:pos="7200"/>
        </w:tabs>
        <w:spacing w:after="0"/>
        <w:jc w:val="center"/>
      </w:pPr>
      <w:r>
        <w:t xml:space="preserve">Ventura County Superior Court </w:t>
      </w:r>
    </w:p>
    <w:p w:rsidR="001C049E" w:rsidP="001C049E">
      <w:pPr>
        <w:tabs>
          <w:tab w:val="left" w:pos="1440"/>
          <w:tab w:val="left" w:pos="4680"/>
          <w:tab w:val="center" w:pos="7200"/>
        </w:tabs>
        <w:spacing w:after="0"/>
        <w:jc w:val="center"/>
      </w:pPr>
      <w:r>
        <w:t>2010031209</w:t>
      </w:r>
    </w:p>
    <w:p w:rsidR="001C049E" w:rsidP="001C049E">
      <w:pPr>
        <w:pBdr>
          <w:bottom w:val="single" w:sz="4" w:space="1" w:color="auto"/>
        </w:pBdr>
        <w:tabs>
          <w:tab w:val="left" w:pos="1440"/>
          <w:tab w:val="left" w:pos="4680"/>
          <w:tab w:val="center" w:pos="7200"/>
        </w:tabs>
        <w:spacing w:after="0"/>
        <w:jc w:val="center"/>
      </w:pPr>
    </w:p>
    <w:p w:rsidR="001C049E" w:rsidP="001C049E">
      <w:pPr>
        <w:tabs>
          <w:tab w:val="left" w:pos="1440"/>
          <w:tab w:val="left" w:pos="4680"/>
          <w:tab w:val="center" w:pos="7200"/>
        </w:tabs>
        <w:spacing w:after="0"/>
        <w:jc w:val="center"/>
      </w:pPr>
    </w:p>
    <w:p w:rsidR="001C049E" w:rsidP="001C049E">
      <w:pPr>
        <w:tabs>
          <w:tab w:val="left" w:pos="1440"/>
          <w:tab w:val="left" w:pos="4680"/>
          <w:tab w:val="center" w:pos="7200"/>
        </w:tabs>
        <w:spacing w:after="0"/>
        <w:jc w:val="center"/>
      </w:pPr>
      <w:r>
        <w:t>April</w:t>
      </w:r>
      <w:r>
        <w:t xml:space="preserve"> </w:t>
      </w:r>
      <w:r w:rsidR="00786334">
        <w:t>9</w:t>
      </w:r>
      <w:r>
        <w:t>, 2020</w:t>
      </w:r>
    </w:p>
    <w:p w:rsidR="001C049E" w:rsidP="001C049E">
      <w:pPr>
        <w:tabs>
          <w:tab w:val="left" w:pos="1440"/>
          <w:tab w:val="left" w:pos="4680"/>
          <w:tab w:val="center" w:pos="7200"/>
        </w:tabs>
        <w:spacing w:after="0"/>
        <w:jc w:val="center"/>
      </w:pPr>
    </w:p>
    <w:p w:rsidR="001C049E" w:rsidP="001C049E">
      <w:pPr>
        <w:tabs>
          <w:tab w:val="left" w:pos="1440"/>
          <w:tab w:val="left" w:pos="4680"/>
          <w:tab w:val="center" w:pos="7200"/>
        </w:tabs>
        <w:spacing w:after="0"/>
        <w:jc w:val="left"/>
      </w:pPr>
      <w:r>
        <w:t xml:space="preserve">Chief Justice Cantil-Sakauye authored the opinion of the </w:t>
      </w:r>
      <w:r w:rsidR="0024155F">
        <w:t>C</w:t>
      </w:r>
      <w:r>
        <w:t xml:space="preserve">ourt, in which Justices </w:t>
      </w:r>
      <w:r w:rsidR="00094FEA">
        <w:t xml:space="preserve">Chin, Corrigan, Liu, Cuéllar, </w:t>
      </w:r>
      <w:r w:rsidR="00786334">
        <w:t>Kruger</w:t>
      </w:r>
      <w:r w:rsidR="00094FEA">
        <w:t>, and Groban</w:t>
      </w:r>
      <w:r>
        <w:t xml:space="preserve"> concurred.</w:t>
      </w:r>
    </w:p>
    <w:p w:rsidR="001C049E" w:rsidRPr="001C049E" w:rsidP="001C049E">
      <w:pPr>
        <w:pBdr>
          <w:bottom w:val="single" w:sz="4" w:space="1" w:color="auto"/>
        </w:pBdr>
        <w:tabs>
          <w:tab w:val="left" w:pos="1440"/>
          <w:tab w:val="left" w:pos="4680"/>
          <w:tab w:val="center" w:pos="7200"/>
        </w:tabs>
        <w:spacing w:line="480" w:lineRule="atLeast"/>
        <w:jc w:val="left"/>
      </w:pPr>
      <w:bookmarkStart w:id="1" w:name="Return"/>
      <w:bookmarkEnd w:id="1"/>
    </w:p>
    <w:p w:rsidR="001C049E">
      <w:pPr>
        <w:tabs>
          <w:tab w:val="left" w:pos="1440"/>
          <w:tab w:val="left" w:pos="4680"/>
          <w:tab w:val="center" w:pos="7200"/>
        </w:tabs>
        <w:spacing w:line="480" w:lineRule="atLeast"/>
        <w:sectPr w:rsidSect="001C049E">
          <w:headerReference w:type="even" r:id="rId4"/>
          <w:headerReference w:type="default" r:id="rId5"/>
          <w:footerReference w:type="even" r:id="rId6"/>
          <w:footerReference w:type="default" r:id="rId7"/>
          <w:headerReference w:type="first" r:id="rId8"/>
          <w:footerReference w:type="first" r:id="rId9"/>
          <w:pgSz w:w="12240" w:h="15840"/>
          <w:pgMar w:top="1800" w:right="2160" w:bottom="1440" w:left="2160" w:header="720" w:footer="720" w:gutter="0"/>
          <w:cols w:space="720"/>
          <w:titlePg/>
          <w:docGrid w:linePitch="367"/>
        </w:sectPr>
      </w:pPr>
    </w:p>
    <w:p w:rsidR="001C049E" w:rsidP="001C049E">
      <w:pPr>
        <w:tabs>
          <w:tab w:val="left" w:pos="1440"/>
          <w:tab w:val="left" w:pos="4680"/>
          <w:tab w:val="center" w:pos="7200"/>
        </w:tabs>
        <w:jc w:val="center"/>
      </w:pPr>
      <w:r>
        <w:t>PEOPLE v. MAYA</w:t>
      </w:r>
    </w:p>
    <w:p w:rsidR="001C049E" w:rsidP="001C049E">
      <w:pPr>
        <w:tabs>
          <w:tab w:val="left" w:pos="1440"/>
          <w:tab w:val="left" w:pos="4680"/>
          <w:tab w:val="center" w:pos="7200"/>
        </w:tabs>
        <w:jc w:val="center"/>
      </w:pPr>
      <w:r>
        <w:t>S255371</w:t>
      </w:r>
    </w:p>
    <w:p w:rsidR="001C049E" w:rsidP="001C049E">
      <w:pPr>
        <w:tabs>
          <w:tab w:val="left" w:pos="1440"/>
          <w:tab w:val="left" w:pos="4680"/>
          <w:tab w:val="center" w:pos="7200"/>
        </w:tabs>
        <w:jc w:val="center"/>
      </w:pPr>
    </w:p>
    <w:p w:rsidR="001C049E" w:rsidP="001C049E">
      <w:pPr>
        <w:tabs>
          <w:tab w:val="left" w:pos="1440"/>
          <w:tab w:val="left" w:pos="4680"/>
          <w:tab w:val="center" w:pos="7200"/>
        </w:tabs>
        <w:jc w:val="center"/>
      </w:pPr>
      <w:r>
        <w:t>Opinion of the Court by Cantil-Sakauye, C. J.</w:t>
      </w:r>
    </w:p>
    <w:p w:rsidR="001C049E" w:rsidRPr="001C049E" w:rsidP="001C049E">
      <w:pPr>
        <w:tabs>
          <w:tab w:val="left" w:pos="1440"/>
          <w:tab w:val="left" w:pos="4680"/>
          <w:tab w:val="center" w:pos="7200"/>
        </w:tabs>
        <w:jc w:val="center"/>
      </w:pPr>
    </w:p>
    <w:p w:rsidR="00EC5C1E" w:rsidRPr="001C049E" w:rsidP="001C049E">
      <w:pPr>
        <w:pStyle w:val="ListParagraph"/>
        <w:tabs>
          <w:tab w:val="left" w:pos="1440"/>
        </w:tabs>
        <w:ind w:left="0" w:firstLine="720"/>
      </w:pPr>
      <w:bookmarkStart w:id="2" w:name="mainstory"/>
      <w:bookmarkEnd w:id="2"/>
      <w:r w:rsidRPr="001C049E">
        <w:t xml:space="preserve">A </w:t>
      </w:r>
      <w:r w:rsidRPr="001C049E" w:rsidR="003A0FAA">
        <w:t xml:space="preserve">person </w:t>
      </w:r>
      <w:r w:rsidRPr="001C049E" w:rsidR="00FE3FE3">
        <w:t>convicted</w:t>
      </w:r>
      <w:r w:rsidRPr="001C049E" w:rsidR="00F35D01">
        <w:t xml:space="preserve"> </w:t>
      </w:r>
      <w:r w:rsidRPr="001C049E" w:rsidR="00FE3FE3">
        <w:t xml:space="preserve">of </w:t>
      </w:r>
      <w:r w:rsidRPr="001C049E" w:rsidR="00F35D01">
        <w:t xml:space="preserve">a misdemeanor </w:t>
      </w:r>
      <w:r w:rsidR="003516D7">
        <w:t>is</w:t>
      </w:r>
      <w:r w:rsidRPr="001C049E" w:rsidR="0093615B">
        <w:t xml:space="preserve"> entitled to </w:t>
      </w:r>
      <w:r w:rsidRPr="001C049E" w:rsidR="00874586">
        <w:t>expungement of that conviction if</w:t>
      </w:r>
      <w:r w:rsidRPr="001C049E" w:rsidR="0093615B">
        <w:t xml:space="preserve">, among other things, the </w:t>
      </w:r>
      <w:r w:rsidRPr="001C049E" w:rsidR="003A0FAA">
        <w:t xml:space="preserve">person </w:t>
      </w:r>
      <w:r w:rsidRPr="001C049E" w:rsidR="00FF7219">
        <w:t xml:space="preserve">lives </w:t>
      </w:r>
      <w:r w:rsidRPr="001C049E" w:rsidR="0093615B">
        <w:t xml:space="preserve">“an honest and upright life” during a specified period </w:t>
      </w:r>
      <w:r w:rsidRPr="001C049E" w:rsidR="008C3389">
        <w:t>after judgment</w:t>
      </w:r>
      <w:r w:rsidRPr="001C049E" w:rsidR="0093615B">
        <w:t xml:space="preserve">.  </w:t>
      </w:r>
      <w:r w:rsidRPr="001C049E" w:rsidR="00376BF7">
        <w:t>(Pen. Code,</w:t>
      </w:r>
      <w:r w:rsidRPr="001C049E" w:rsidR="00521A4C">
        <w:t xml:space="preserve"> § </w:t>
      </w:r>
      <w:r w:rsidRPr="001C049E" w:rsidR="00E76831">
        <w:t>1203.4a</w:t>
      </w:r>
      <w:r w:rsidRPr="001C049E" w:rsidR="00FD7138">
        <w:t>, subd. (a)</w:t>
      </w:r>
      <w:r w:rsidRPr="001C049E" w:rsidR="00625928">
        <w:t xml:space="preserve"> (section 1203.4a(a)</w:t>
      </w:r>
      <w:r w:rsidRPr="001C049E" w:rsidR="00597A7B">
        <w:t>)</w:t>
      </w:r>
      <w:r w:rsidRPr="001C049E" w:rsidR="008F5CEC">
        <w:t>.</w:t>
      </w:r>
      <w:r w:rsidRPr="001C049E" w:rsidR="00E76831">
        <w:t>)</w:t>
      </w:r>
      <w:r w:rsidRPr="001C049E" w:rsidR="000934BE">
        <w:t xml:space="preserve">  </w:t>
      </w:r>
      <w:r w:rsidR="00505E1A">
        <w:t>W</w:t>
      </w:r>
      <w:r w:rsidRPr="001C049E" w:rsidR="00E52130">
        <w:t xml:space="preserve">e </w:t>
      </w:r>
      <w:r w:rsidRPr="001C049E" w:rsidR="000934BE">
        <w:t xml:space="preserve">hold that a </w:t>
      </w:r>
      <w:r w:rsidRPr="001C049E" w:rsidR="00FC43B0">
        <w:t xml:space="preserve">person may live such a life even if </w:t>
      </w:r>
      <w:r w:rsidRPr="001C049E" w:rsidR="00133068">
        <w:t>th</w:t>
      </w:r>
      <w:r w:rsidRPr="001C049E" w:rsidR="00B27E90">
        <w:t>at person</w:t>
      </w:r>
      <w:r w:rsidRPr="001C049E" w:rsidR="00343590">
        <w:t xml:space="preserve"> </w:t>
      </w:r>
      <w:r w:rsidRPr="001C049E" w:rsidR="00B27E90">
        <w:t xml:space="preserve">has </w:t>
      </w:r>
      <w:r w:rsidRPr="001C049E" w:rsidR="00154E05">
        <w:t xml:space="preserve">been in custody since completing </w:t>
      </w:r>
      <w:r w:rsidRPr="001C049E" w:rsidR="00343590">
        <w:t xml:space="preserve">the </w:t>
      </w:r>
      <w:r w:rsidRPr="001C049E" w:rsidR="00154E05">
        <w:t>sentence</w:t>
      </w:r>
      <w:r w:rsidRPr="001C049E" w:rsidR="00121418">
        <w:t xml:space="preserve"> imposed for the misdemeanor.</w:t>
      </w:r>
      <w:r w:rsidRPr="001C049E" w:rsidR="00A77B61">
        <w:t xml:space="preserve">  </w:t>
      </w:r>
    </w:p>
    <w:p w:rsidR="002243C0" w:rsidRPr="001C049E" w:rsidP="001C049E">
      <w:pPr>
        <w:pStyle w:val="Heading1"/>
      </w:pPr>
      <w:bookmarkStart w:id="3" w:name="_Toc405367379"/>
      <w:bookmarkStart w:id="4" w:name="_Toc430379677"/>
      <w:bookmarkStart w:id="5" w:name="_Toc491684312"/>
      <w:bookmarkStart w:id="6" w:name="_Toc487629674"/>
      <w:r w:rsidRPr="001C049E">
        <w:t>I.  Background</w:t>
      </w:r>
      <w:bookmarkStart w:id="7" w:name="_Toc405367380"/>
      <w:bookmarkStart w:id="8" w:name="_Toc430379678"/>
      <w:bookmarkEnd w:id="3"/>
      <w:bookmarkEnd w:id="4"/>
      <w:bookmarkEnd w:id="5"/>
      <w:bookmarkEnd w:id="6"/>
    </w:p>
    <w:p w:rsidR="009511A9" w:rsidRPr="001C049E" w:rsidP="001C049E">
      <w:pPr>
        <w:pStyle w:val="Heading2"/>
      </w:pPr>
      <w:r w:rsidRPr="001C049E">
        <w:t xml:space="preserve">A.  </w:t>
      </w:r>
      <w:r w:rsidRPr="001C049E" w:rsidR="003A7601">
        <w:t>Trial Court</w:t>
      </w:r>
    </w:p>
    <w:p w:rsidR="006515D9" w:rsidRPr="001C049E" w:rsidP="001C049E">
      <w:pPr>
        <w:tabs>
          <w:tab w:val="left" w:pos="1440"/>
        </w:tabs>
        <w:ind w:firstLine="720"/>
      </w:pPr>
      <w:r w:rsidRPr="001C049E">
        <w:t>M</w:t>
      </w:r>
      <w:r w:rsidRPr="001C049E" w:rsidR="00341CB8">
        <w:t xml:space="preserve">isael Vences Maya </w:t>
      </w:r>
      <w:r w:rsidRPr="001C049E" w:rsidR="006E6B8F">
        <w:t xml:space="preserve">pleaded guilty </w:t>
      </w:r>
      <w:r w:rsidRPr="001C049E" w:rsidR="007A2747">
        <w:t xml:space="preserve">to </w:t>
      </w:r>
      <w:r w:rsidRPr="001C049E" w:rsidR="000218C1">
        <w:t xml:space="preserve">driving under the influence (with </w:t>
      </w:r>
      <w:r w:rsidRPr="001C049E" w:rsidR="0058623D">
        <w:t>several</w:t>
      </w:r>
      <w:r w:rsidRPr="001C049E" w:rsidR="000218C1">
        <w:t xml:space="preserve"> </w:t>
      </w:r>
      <w:r w:rsidRPr="001C049E" w:rsidR="004D0D1C">
        <w:t xml:space="preserve">such </w:t>
      </w:r>
      <w:r w:rsidRPr="001C049E" w:rsidR="000218C1">
        <w:t>convictions</w:t>
      </w:r>
      <w:r w:rsidRPr="001C049E" w:rsidR="00EF4187">
        <w:t xml:space="preserve"> prior</w:t>
      </w:r>
      <w:r w:rsidRPr="001C049E" w:rsidR="000218C1">
        <w:t xml:space="preserve">) and </w:t>
      </w:r>
      <w:r w:rsidRPr="001C049E" w:rsidR="00775809">
        <w:t xml:space="preserve">felony </w:t>
      </w:r>
      <w:r w:rsidRPr="001C049E" w:rsidR="00D12821">
        <w:t xml:space="preserve">possession of </w:t>
      </w:r>
      <w:r w:rsidRPr="001C049E" w:rsidR="00775809">
        <w:t>a controlled substance</w:t>
      </w:r>
      <w:r w:rsidRPr="001C049E" w:rsidR="00D12821">
        <w:t xml:space="preserve">.  </w:t>
      </w:r>
      <w:r w:rsidRPr="001C049E" w:rsidR="00795942">
        <w:t xml:space="preserve">The </w:t>
      </w:r>
      <w:r w:rsidRPr="001C049E" w:rsidR="000C6BB8">
        <w:t xml:space="preserve">trial </w:t>
      </w:r>
      <w:r w:rsidRPr="001C049E" w:rsidR="00795942">
        <w:t xml:space="preserve">court sentenced him to prison without probation.  </w:t>
      </w:r>
      <w:r w:rsidRPr="001C049E" w:rsidR="00BC60A2">
        <w:t xml:space="preserve">Maya completed his term of imprisonment in 2012 and </w:t>
      </w:r>
      <w:r w:rsidRPr="001C049E" w:rsidR="001D5697">
        <w:t>has been in federal immigration custody ever since.</w:t>
      </w:r>
      <w:r w:rsidRPr="001C049E" w:rsidR="00EB76C6">
        <w:t xml:space="preserve">  </w:t>
      </w:r>
      <w:r w:rsidRPr="001C049E" w:rsidR="005A25CD">
        <w:t>While</w:t>
      </w:r>
      <w:r w:rsidRPr="001C049E" w:rsidR="00F60FA5">
        <w:t xml:space="preserve"> in </w:t>
      </w:r>
      <w:r w:rsidRPr="001C049E" w:rsidR="00894F81">
        <w:t xml:space="preserve">immigration </w:t>
      </w:r>
      <w:r w:rsidRPr="001C049E" w:rsidR="00F60FA5">
        <w:t xml:space="preserve">custody, </w:t>
      </w:r>
      <w:r w:rsidRPr="001C049E" w:rsidR="00AC5F31">
        <w:t>Maya</w:t>
      </w:r>
      <w:r w:rsidRPr="001C049E" w:rsidR="006D0B6C">
        <w:t xml:space="preserve"> successfully applied to have </w:t>
      </w:r>
      <w:r w:rsidRPr="001C049E" w:rsidR="009047A0">
        <w:t xml:space="preserve">the felony </w:t>
      </w:r>
      <w:r w:rsidRPr="001C049E" w:rsidR="006D0B6C">
        <w:t xml:space="preserve">possession conviction reduced to a misdemeanor.  </w:t>
      </w:r>
      <w:r w:rsidRPr="001C049E" w:rsidR="00DE6CDF">
        <w:t xml:space="preserve">(See </w:t>
      </w:r>
      <w:r w:rsidRPr="001C049E" w:rsidR="00AE32EE">
        <w:t>Pen</w:t>
      </w:r>
      <w:r w:rsidRPr="001C049E" w:rsidR="008F5CEC">
        <w:t>. Code, § 1170.18, subd</w:t>
      </w:r>
      <w:r w:rsidRPr="001C049E" w:rsidR="00FF7219">
        <w:t>s</w:t>
      </w:r>
      <w:r w:rsidRPr="001C049E" w:rsidR="008F5CEC">
        <w:t>.</w:t>
      </w:r>
      <w:r w:rsidRPr="001C049E" w:rsidR="00FF7219">
        <w:t xml:space="preserve"> (f), (g)</w:t>
      </w:r>
      <w:r w:rsidRPr="001C049E" w:rsidR="00905690">
        <w:t xml:space="preserve">; all undesignated citations refer to this </w:t>
      </w:r>
      <w:r w:rsidR="00C131A5">
        <w:t>c</w:t>
      </w:r>
      <w:r w:rsidRPr="001C049E" w:rsidR="00905690">
        <w:t>ode.)</w:t>
      </w:r>
    </w:p>
    <w:p w:rsidR="00BD3A83" w:rsidRPr="001C049E" w:rsidP="001C049E">
      <w:pPr>
        <w:tabs>
          <w:tab w:val="left" w:pos="1440"/>
        </w:tabs>
        <w:ind w:firstLine="720"/>
      </w:pPr>
      <w:r w:rsidRPr="001C049E">
        <w:t xml:space="preserve">Maya then sought </w:t>
      </w:r>
      <w:r w:rsidRPr="001C049E" w:rsidR="00841868">
        <w:t>expungement of</w:t>
      </w:r>
      <w:r w:rsidRPr="001C049E">
        <w:t xml:space="preserve"> </w:t>
      </w:r>
      <w:r w:rsidRPr="001C049E" w:rsidR="003A7BC7">
        <w:t>th</w:t>
      </w:r>
      <w:r w:rsidRPr="001C049E" w:rsidR="00AD390D">
        <w:t>e</w:t>
      </w:r>
      <w:r w:rsidRPr="001C049E">
        <w:t xml:space="preserve"> misdemeanor conviction under section 1203.4a</w:t>
      </w:r>
      <w:r w:rsidRPr="001C049E" w:rsidR="006F26F2">
        <w:t>(a)</w:t>
      </w:r>
      <w:r w:rsidRPr="001C049E" w:rsidR="00625928">
        <w:t xml:space="preserve">, </w:t>
      </w:r>
      <w:r w:rsidRPr="001C049E" w:rsidR="00CC3EDB">
        <w:t xml:space="preserve">which </w:t>
      </w:r>
      <w:r w:rsidRPr="001C049E" w:rsidR="00625928">
        <w:t>contains the “honest and upright life” requirement</w:t>
      </w:r>
      <w:r w:rsidRPr="001C049E" w:rsidR="00A507D1">
        <w:t xml:space="preserve"> mentioned above</w:t>
      </w:r>
      <w:r w:rsidRPr="001C049E">
        <w:t>.</w:t>
      </w:r>
      <w:r w:rsidR="00D20689">
        <w:t xml:space="preserve">  </w:t>
      </w:r>
      <w:r w:rsidRPr="001C049E" w:rsidR="00895DB2">
        <w:t xml:space="preserve">Among other things, he </w:t>
      </w:r>
      <w:r w:rsidRPr="001C049E" w:rsidR="00120A47">
        <w:t>contended</w:t>
      </w:r>
      <w:r w:rsidRPr="001C049E" w:rsidR="00895DB2">
        <w:t xml:space="preserve"> that he</w:t>
      </w:r>
      <w:r w:rsidRPr="001C049E" w:rsidR="006173B8">
        <w:t xml:space="preserve"> had obeyed all laws since being convicted </w:t>
      </w:r>
      <w:r w:rsidRPr="001C049E" w:rsidR="0074159C">
        <w:t>and had</w:t>
      </w:r>
      <w:r w:rsidRPr="001C049E" w:rsidR="00FF2405">
        <w:t xml:space="preserve"> </w:t>
      </w:r>
      <w:r w:rsidRPr="001C049E" w:rsidR="00BA546D">
        <w:t xml:space="preserve">participated in </w:t>
      </w:r>
      <w:r w:rsidRPr="001C049E" w:rsidR="00D44C59">
        <w:t>f</w:t>
      </w:r>
      <w:r w:rsidRPr="001C049E" w:rsidR="00BA546D">
        <w:t xml:space="preserve">ire </w:t>
      </w:r>
      <w:r w:rsidRPr="001C049E" w:rsidR="00D44C59">
        <w:t>c</w:t>
      </w:r>
      <w:r w:rsidRPr="001C049E" w:rsidR="00BA546D">
        <w:t>amp</w:t>
      </w:r>
      <w:r w:rsidRPr="001C049E" w:rsidR="00FF2405">
        <w:t xml:space="preserve"> </w:t>
      </w:r>
      <w:r w:rsidRPr="001C049E" w:rsidR="006C6878">
        <w:t>and Alcoholics Anonymous</w:t>
      </w:r>
      <w:r w:rsidR="00D20689">
        <w:t xml:space="preserve">.  </w:t>
      </w:r>
      <w:r w:rsidRPr="001C049E" w:rsidR="00D24B90">
        <w:t xml:space="preserve">The </w:t>
      </w:r>
      <w:r w:rsidR="00C131A5">
        <w:t>d</w:t>
      </w:r>
      <w:r w:rsidRPr="001C049E" w:rsidR="00D24B90">
        <w:t xml:space="preserve">istrict </w:t>
      </w:r>
      <w:r w:rsidR="00C131A5">
        <w:t>a</w:t>
      </w:r>
      <w:r w:rsidRPr="001C049E" w:rsidR="00D24B90">
        <w:t xml:space="preserve">ttorney </w:t>
      </w:r>
      <w:r w:rsidRPr="001C049E" w:rsidR="00E46CB3">
        <w:t xml:space="preserve">opposed the request, </w:t>
      </w:r>
      <w:r w:rsidRPr="001C049E" w:rsidR="0074159C">
        <w:t xml:space="preserve">arguing </w:t>
      </w:r>
      <w:r w:rsidRPr="001C049E" w:rsidR="000F5961">
        <w:t xml:space="preserve">in part </w:t>
      </w:r>
      <w:r w:rsidRPr="001C049E" w:rsidR="004A5A27">
        <w:t xml:space="preserve">that “[o]f course he’s had an upstanding life </w:t>
      </w:r>
      <w:r w:rsidRPr="001C049E" w:rsidR="003E4F12">
        <w:t xml:space="preserve">because he’s been a prisoner in state prison”; </w:t>
      </w:r>
      <w:r w:rsidRPr="001C049E" w:rsidR="00E46CB3">
        <w:t>“there has been no period where he successfully or satisfactorily completed probation or even the post</w:t>
      </w:r>
      <w:r w:rsidRPr="001C049E" w:rsidR="0045795D">
        <w:t>[-]</w:t>
      </w:r>
      <w:r w:rsidRPr="001C049E" w:rsidR="00E46CB3">
        <w:t>custody release because he was directly into federal custody.  So there’s been no period even to evaluate</w:t>
      </w:r>
      <w:r w:rsidRPr="001C049E" w:rsidR="000D07E2">
        <w:t>.</w:t>
      </w:r>
      <w:r w:rsidRPr="001C049E" w:rsidR="00E46CB3">
        <w:t>”</w:t>
      </w:r>
      <w:r w:rsidR="00D20689">
        <w:t xml:space="preserve">  </w:t>
      </w:r>
      <w:r w:rsidRPr="001C049E" w:rsidR="00B268AC">
        <w:t>The trial court denied the request</w:t>
      </w:r>
      <w:r w:rsidRPr="001C049E" w:rsidR="00D8048C">
        <w:t xml:space="preserve">, </w:t>
      </w:r>
      <w:r w:rsidRPr="001C049E" w:rsidR="00ED4D1F">
        <w:t xml:space="preserve">stating </w:t>
      </w:r>
      <w:r w:rsidRPr="001C049E" w:rsidR="00DE359A">
        <w:t xml:space="preserve">that </w:t>
      </w:r>
      <w:r w:rsidRPr="001C049E" w:rsidR="00BC14AB">
        <w:t xml:space="preserve">“[b]eing in custody for substantial periods of time” is not </w:t>
      </w:r>
      <w:r w:rsidRPr="001C049E" w:rsidR="00DE359A">
        <w:t xml:space="preserve">equivalent to </w:t>
      </w:r>
      <w:r w:rsidRPr="001C049E" w:rsidR="00D8048C">
        <w:t xml:space="preserve">living “an honest and upright life.” </w:t>
      </w:r>
    </w:p>
    <w:p w:rsidR="00E06395" w:rsidRPr="001C049E" w:rsidP="00993EB8">
      <w:pPr>
        <w:tabs>
          <w:tab w:val="left" w:pos="1440"/>
        </w:tabs>
        <w:ind w:firstLine="720"/>
        <w:rPr>
          <w:color w:val="BFBFBF" w:themeColor="background1" w:themeShade="BF"/>
        </w:rPr>
      </w:pPr>
      <w:r w:rsidRPr="001C049E">
        <w:t xml:space="preserve">Maya </w:t>
      </w:r>
      <w:r w:rsidRPr="001C049E" w:rsidR="003C10E8">
        <w:t xml:space="preserve">moved for </w:t>
      </w:r>
      <w:r w:rsidRPr="001C049E">
        <w:t xml:space="preserve">reconsideration.  </w:t>
      </w:r>
      <w:r w:rsidRPr="001C049E" w:rsidR="003C10E8">
        <w:t>The trial court</w:t>
      </w:r>
      <w:r w:rsidR="003F31DB">
        <w:t xml:space="preserve"> denied the motion.  </w:t>
      </w:r>
      <w:r w:rsidR="00993EB8">
        <w:t xml:space="preserve">Among other things, the court observed </w:t>
      </w:r>
      <w:r w:rsidRPr="001C049E" w:rsidR="00FB2925">
        <w:t>that “[t]h</w:t>
      </w:r>
      <w:r w:rsidRPr="001C049E" w:rsidR="009F51F3">
        <w:t xml:space="preserve">ere’s been no opportunity by the Court or probation or by parole officials to determine whether </w:t>
      </w:r>
      <w:r w:rsidR="00CE5039">
        <w:t>[Maya]</w:t>
      </w:r>
      <w:r w:rsidRPr="001C049E" w:rsidR="009F51F3">
        <w:t xml:space="preserve"> leads a law-abiding life when out of custod</w:t>
      </w:r>
      <w:r w:rsidRPr="001C049E" w:rsidR="00FB2925">
        <w:t xml:space="preserve">y.”  </w:t>
      </w:r>
      <w:r w:rsidRPr="001C049E" w:rsidR="00845992">
        <w:t>The court did not</w:t>
      </w:r>
      <w:r w:rsidR="006A5FB7">
        <w:t xml:space="preserve"> </w:t>
      </w:r>
      <w:r w:rsidRPr="001C049E" w:rsidR="00845992">
        <w:t>discuss Maya’s p</w:t>
      </w:r>
      <w:r w:rsidRPr="001C049E" w:rsidR="00E7252D">
        <w:t xml:space="preserve">articipation in </w:t>
      </w:r>
      <w:r w:rsidRPr="001C049E" w:rsidR="00D44C59">
        <w:t>f</w:t>
      </w:r>
      <w:r w:rsidRPr="001C049E" w:rsidR="00E7252D">
        <w:t xml:space="preserve">ire </w:t>
      </w:r>
      <w:r w:rsidRPr="001C049E" w:rsidR="00D44C59">
        <w:t>c</w:t>
      </w:r>
      <w:r w:rsidRPr="001C049E" w:rsidR="00E7252D">
        <w:t>amp or Alcoholics Anonymous.</w:t>
      </w:r>
    </w:p>
    <w:p w:rsidR="00A25B4A" w:rsidRPr="001C049E" w:rsidP="001C049E">
      <w:pPr>
        <w:pStyle w:val="Heading2"/>
        <w:rPr>
          <w:b w:val="0"/>
        </w:rPr>
      </w:pPr>
      <w:bookmarkStart w:id="9" w:name="_Toc491684313"/>
      <w:bookmarkStart w:id="10" w:name="_Toc487629675"/>
      <w:r w:rsidRPr="001C049E">
        <w:t xml:space="preserve">B.  </w:t>
      </w:r>
      <w:bookmarkEnd w:id="9"/>
      <w:bookmarkEnd w:id="10"/>
      <w:r w:rsidRPr="001C049E">
        <w:t>Court of Appeal</w:t>
      </w:r>
    </w:p>
    <w:p w:rsidR="00560772" w:rsidP="001C049E">
      <w:pPr>
        <w:tabs>
          <w:tab w:val="left" w:pos="1440"/>
        </w:tabs>
        <w:ind w:firstLine="720"/>
      </w:pPr>
      <w:r>
        <w:t>Maya complained on appeal that the trial court “did not believe custodial time could qualify as honest and upright living for expungement purposes.”  A</w:t>
      </w:r>
      <w:r w:rsidRPr="001C049E" w:rsidR="004744DA">
        <w:t xml:space="preserve"> divided panel of the Court of Appeal affirmed</w:t>
      </w:r>
      <w:r w:rsidR="00EE2FD9">
        <w:t xml:space="preserve">, rejecting </w:t>
      </w:r>
      <w:r w:rsidR="00A71E3F">
        <w:t>the</w:t>
      </w:r>
      <w:r w:rsidR="00EE2FD9">
        <w:t xml:space="preserve"> </w:t>
      </w:r>
      <w:r w:rsidR="00A71E3F">
        <w:t xml:space="preserve">premise </w:t>
      </w:r>
      <w:r w:rsidRPr="001C049E" w:rsidR="00EE2FD9">
        <w:t>“that a trial court considering an expungement motion may consider custodial behavior in assessing ‘an honest and upright life.’ ”</w:t>
      </w:r>
      <w:r w:rsidR="00B666E4">
        <w:t xml:space="preserve">  </w:t>
      </w:r>
      <w:r w:rsidRPr="001C049E" w:rsidR="004744DA">
        <w:t>(</w:t>
      </w:r>
      <w:r w:rsidRPr="001C049E" w:rsidR="004744DA">
        <w:rPr>
          <w:i/>
        </w:rPr>
        <w:t>People v. Maya</w:t>
      </w:r>
      <w:r w:rsidRPr="001C049E" w:rsidR="004744DA">
        <w:t xml:space="preserve"> (2019) 33 Cal.App.5th </w:t>
      </w:r>
      <w:r w:rsidRPr="001C049E" w:rsidR="0042173E">
        <w:t xml:space="preserve">266, </w:t>
      </w:r>
      <w:r w:rsidRPr="001C049E" w:rsidR="004744DA">
        <w:t>2</w:t>
      </w:r>
      <w:r w:rsidR="00B666E4">
        <w:t>70</w:t>
      </w:r>
      <w:r w:rsidRPr="001C049E" w:rsidR="004744DA">
        <w:t xml:space="preserve"> (</w:t>
      </w:r>
      <w:r w:rsidRPr="001C049E" w:rsidR="004744DA">
        <w:rPr>
          <w:i/>
        </w:rPr>
        <w:t>Maya</w:t>
      </w:r>
      <w:r w:rsidRPr="001C049E" w:rsidR="004744DA">
        <w:t>).)</w:t>
      </w:r>
      <w:r w:rsidR="006A5FB7">
        <w:t xml:space="preserve">  </w:t>
      </w:r>
    </w:p>
    <w:p w:rsidR="00E9666D" w:rsidRPr="001C049E" w:rsidP="001C049E">
      <w:pPr>
        <w:tabs>
          <w:tab w:val="left" w:pos="1440"/>
        </w:tabs>
        <w:ind w:firstLine="720"/>
      </w:pPr>
      <w:r w:rsidRPr="001C049E">
        <w:t xml:space="preserve">Justice Tangeman dissented.  He </w:t>
      </w:r>
      <w:r w:rsidRPr="001C049E" w:rsidR="00E6705E">
        <w:t>interpreted</w:t>
      </w:r>
      <w:r w:rsidRPr="001C049E">
        <w:t xml:space="preserve"> the relevant statutory text to permit consideration of time spent in custody.  (</w:t>
      </w:r>
      <w:r w:rsidRPr="001C049E">
        <w:rPr>
          <w:i/>
        </w:rPr>
        <w:t>Maya</w:t>
      </w:r>
      <w:r w:rsidRPr="001C049E">
        <w:t xml:space="preserve">, </w:t>
      </w:r>
      <w:r w:rsidRPr="001C049E">
        <w:rPr>
          <w:i/>
        </w:rPr>
        <w:t>supra</w:t>
      </w:r>
      <w:r w:rsidRPr="001C049E">
        <w:t>, 33 Cal.App.5th at p.</w:t>
      </w:r>
      <w:r w:rsidRPr="001C049E" w:rsidR="00A36C42">
        <w:t> </w:t>
      </w:r>
      <w:r w:rsidRPr="001C049E">
        <w:t xml:space="preserve">272 </w:t>
      </w:r>
      <w:r w:rsidR="00397AB0">
        <w:t>(</w:t>
      </w:r>
      <w:r w:rsidRPr="001C049E">
        <w:t>dis. opn. of Tangeman, J.)</w:t>
      </w:r>
      <w:r w:rsidR="00397AB0">
        <w:t>.</w:t>
      </w:r>
      <w:r w:rsidR="006148EF">
        <w:t>)</w:t>
      </w:r>
      <w:r w:rsidRPr="001C049E">
        <w:t xml:space="preserve">  We granted review</w:t>
      </w:r>
      <w:r w:rsidR="00166328">
        <w:t xml:space="preserve"> to </w:t>
      </w:r>
      <w:r w:rsidR="003C779E">
        <w:t>resolve</w:t>
      </w:r>
      <w:r w:rsidR="00DF41CB">
        <w:t xml:space="preserve"> the narrow question </w:t>
      </w:r>
      <w:r w:rsidR="003C779E">
        <w:t xml:space="preserve">whether conduct </w:t>
      </w:r>
      <w:r w:rsidR="003C26C6">
        <w:t>while in custody can satisfy the honest and upright life requirement</w:t>
      </w:r>
      <w:r w:rsidR="00166328">
        <w:t xml:space="preserve">.  </w:t>
      </w:r>
      <w:r w:rsidRPr="001C049E">
        <w:t xml:space="preserve">  </w:t>
      </w:r>
    </w:p>
    <w:p w:rsidR="00917CAE" w:rsidRPr="001C049E" w:rsidP="001C049E">
      <w:pPr>
        <w:pStyle w:val="Heading1"/>
      </w:pPr>
      <w:r w:rsidRPr="001C049E">
        <w:t xml:space="preserve">II.  </w:t>
      </w:r>
      <w:r w:rsidRPr="001C049E" w:rsidR="006A647D">
        <w:t>Analysis</w:t>
      </w:r>
    </w:p>
    <w:p w:rsidR="00EE262A" w:rsidRPr="001C049E" w:rsidP="00C33D99">
      <w:pPr>
        <w:pStyle w:val="Heading2"/>
        <w:keepLines/>
        <w:numPr>
          <w:ilvl w:val="0"/>
          <w:numId w:val="1"/>
        </w:numPr>
        <w:ind w:left="1094" w:hanging="374"/>
      </w:pPr>
      <w:r w:rsidRPr="001C049E">
        <w:t>S</w:t>
      </w:r>
      <w:r w:rsidRPr="001C049E" w:rsidR="00C331B2">
        <w:t>ection 1203.4a(a)</w:t>
      </w:r>
      <w:r w:rsidRPr="001C049E" w:rsidR="00F0382C">
        <w:t xml:space="preserve">’s “Honest and Upright Life” </w:t>
      </w:r>
      <w:r w:rsidRPr="001C049E" w:rsidR="00AC2DD2">
        <w:t xml:space="preserve">Provision </w:t>
      </w:r>
      <w:r w:rsidRPr="001C049E">
        <w:t xml:space="preserve">Does Not Categorically Require That a </w:t>
      </w:r>
      <w:r w:rsidRPr="001C049E" w:rsidR="00AC2DD2">
        <w:t xml:space="preserve">Defendant Spend Time Outside of Custody </w:t>
      </w:r>
      <w:r w:rsidRPr="001C049E" w:rsidR="00C3341D">
        <w:t xml:space="preserve">Before </w:t>
      </w:r>
      <w:r w:rsidRPr="001C049E" w:rsidR="00AC2DD2">
        <w:t xml:space="preserve">Obtaining </w:t>
      </w:r>
      <w:r w:rsidRPr="001C049E" w:rsidR="00C3341D">
        <w:t>Expungement</w:t>
      </w:r>
    </w:p>
    <w:p w:rsidR="009D69B5" w:rsidRPr="001C049E" w:rsidP="001C049E">
      <w:pPr>
        <w:tabs>
          <w:tab w:val="left" w:pos="1440"/>
        </w:tabs>
        <w:ind w:firstLine="720"/>
      </w:pPr>
      <w:r w:rsidRPr="001C049E">
        <w:t xml:space="preserve">Abandoning </w:t>
      </w:r>
      <w:r w:rsidRPr="001C049E" w:rsidR="00796421">
        <w:t>a</w:t>
      </w:r>
      <w:r w:rsidRPr="001C049E">
        <w:t xml:space="preserve"> position they took in the Court of Appeal, the People now </w:t>
      </w:r>
      <w:r w:rsidRPr="001C049E">
        <w:t>concede</w:t>
      </w:r>
      <w:r w:rsidRPr="001C049E" w:rsidR="00976141">
        <w:t xml:space="preserve"> </w:t>
      </w:r>
      <w:r w:rsidRPr="001C049E">
        <w:t xml:space="preserve">that </w:t>
      </w:r>
      <w:r w:rsidRPr="001C049E" w:rsidR="00316DAE">
        <w:t>“[n]othing in the text, structure, or purpose of [section 1203.4a(a)] categorically forbids a trial court from considering actions</w:t>
      </w:r>
      <w:r w:rsidRPr="001C049E" w:rsidR="000B0AA2">
        <w:t xml:space="preserve"> . . . </w:t>
      </w:r>
      <w:r w:rsidRPr="001C049E" w:rsidR="00316DAE">
        <w:t>while in custody</w:t>
      </w:r>
      <w:r w:rsidRPr="001C049E" w:rsidR="001D5C0C">
        <w:t xml:space="preserve"> </w:t>
      </w:r>
      <w:r w:rsidRPr="001C049E" w:rsidR="00316DAE">
        <w:t>—</w:t>
      </w:r>
      <w:r w:rsidRPr="001C049E" w:rsidR="001D5C0C">
        <w:t xml:space="preserve"> </w:t>
      </w:r>
      <w:r w:rsidRPr="001C049E" w:rsidR="00316DAE">
        <w:t>including immigration custody</w:t>
      </w:r>
      <w:r w:rsidRPr="001C049E" w:rsidR="001D5C0C">
        <w:t xml:space="preserve"> </w:t>
      </w:r>
      <w:r w:rsidRPr="001C049E" w:rsidR="00316DAE">
        <w:t>—</w:t>
      </w:r>
      <w:r w:rsidRPr="001C049E" w:rsidR="001D5C0C">
        <w:t xml:space="preserve"> </w:t>
      </w:r>
      <w:r w:rsidRPr="001C049E" w:rsidR="00316DAE">
        <w:t>in evaluating whether an individual seeking the expungement of a misdemeanor conviction has led an ‘honest and upright life</w:t>
      </w:r>
      <w:r w:rsidR="00D20689">
        <w:t>.</w:t>
      </w:r>
      <w:r w:rsidRPr="001C049E" w:rsidR="00316DAE">
        <w:t>’ ”</w:t>
      </w:r>
      <w:r w:rsidRPr="001C049E" w:rsidR="003B4F09">
        <w:t xml:space="preserve">  </w:t>
      </w:r>
      <w:r w:rsidR="00F075AE">
        <w:t>We</w:t>
      </w:r>
      <w:r w:rsidRPr="001C049E" w:rsidR="00976141">
        <w:t xml:space="preserve"> agree.</w:t>
      </w:r>
    </w:p>
    <w:p w:rsidR="00334E82" w:rsidRPr="001C049E" w:rsidP="001C049E">
      <w:pPr>
        <w:tabs>
          <w:tab w:val="left" w:pos="1440"/>
        </w:tabs>
        <w:ind w:firstLine="720"/>
      </w:pPr>
      <w:r w:rsidRPr="001C049E">
        <w:t>Section 1203.4a</w:t>
      </w:r>
      <w:r w:rsidRPr="001C049E" w:rsidR="00570905">
        <w:t xml:space="preserve">(a) </w:t>
      </w:r>
      <w:r w:rsidRPr="001C049E" w:rsidR="002D5D4C">
        <w:t xml:space="preserve">instructs that “[e]very defendant convicted of a misdemeanor and not granted probation . . . shall, at any time after the lapse of one year </w:t>
      </w:r>
      <w:r w:rsidRPr="001C049E" w:rsidR="002D5D4C">
        <w:rPr>
          <w:i/>
        </w:rPr>
        <w:t>from the date of pronouncement of judgment</w:t>
      </w:r>
      <w:r w:rsidRPr="001C049E" w:rsidR="002D5D4C">
        <w:t xml:space="preserve">, if he or she has fully complied with and performed the sentence of the court, is not then serving a sentence for any offense and is not under charge of commission of any crime, and has, </w:t>
      </w:r>
      <w:r w:rsidRPr="001C049E" w:rsidR="002D5D4C">
        <w:rPr>
          <w:i/>
        </w:rPr>
        <w:t>since the pronouncement of judgment, lived an honest and upright life</w:t>
      </w:r>
      <w:r w:rsidRPr="001C049E" w:rsidR="002D5D4C">
        <w:t xml:space="preserve"> and has conformed to and obeyed the laws of the land, be permitted by the court to withdraw his or her plea of guilty . . . and enter a plea of not guilty; . . . and . . . the court shall thereupon dismiss the accusatory pleading against the defendant, who shall thereafter be released from all penalties and disabilities resulting from the offense of which he or she has been convicted,</w:t>
      </w:r>
      <w:r w:rsidRPr="001C049E" w:rsidR="00570905">
        <w:t>” with exceptions not relevant here.</w:t>
      </w:r>
      <w:r w:rsidRPr="001C049E" w:rsidR="008661B3">
        <w:t xml:space="preserve">  (Italics added.)</w:t>
      </w:r>
      <w:r w:rsidRPr="001C049E" w:rsidR="00734630">
        <w:t xml:space="preserve">  </w:t>
      </w:r>
      <w:r w:rsidRPr="001C049E" w:rsidR="00954E8F">
        <w:t xml:space="preserve"> </w:t>
      </w:r>
    </w:p>
    <w:p w:rsidR="00130BEE" w:rsidRPr="001C049E" w:rsidP="001C049E">
      <w:pPr>
        <w:tabs>
          <w:tab w:val="left" w:pos="1440"/>
        </w:tabs>
        <w:ind w:firstLine="720"/>
      </w:pPr>
      <w:r w:rsidRPr="001C049E">
        <w:t>The text of this provision strongly suggests that a court may consider a defendant’s behavior in custody</w:t>
      </w:r>
      <w:r w:rsidRPr="001C049E" w:rsidR="003A39E9">
        <w:t xml:space="preserve">, including </w:t>
      </w:r>
      <w:r w:rsidRPr="001C049E" w:rsidR="00124223">
        <w:t>immigration custody,</w:t>
      </w:r>
      <w:r w:rsidRPr="001C049E">
        <w:t xml:space="preserve"> when evaluating whether that defendant has lived an honest and upright life.  The statute directs a court </w:t>
      </w:r>
      <w:r w:rsidRPr="001C049E">
        <w:t xml:space="preserve">considering a request for relief to evaluate whether the defendant has “lived an honest and upright life” “since the pronouncement of judgment” (§ 1203.4a(a)), not since “the date of release from custody,” or </w:t>
      </w:r>
      <w:r w:rsidRPr="001C049E" w:rsidR="0042173E">
        <w:t>anything</w:t>
      </w:r>
      <w:r w:rsidRPr="001C049E">
        <w:t xml:space="preserve"> to that effect (</w:t>
      </w:r>
      <w:r w:rsidRPr="001C049E">
        <w:rPr>
          <w:i/>
        </w:rPr>
        <w:t>Maya</w:t>
      </w:r>
      <w:r w:rsidRPr="001C049E">
        <w:t xml:space="preserve">, </w:t>
      </w:r>
      <w:r w:rsidRPr="001C049E">
        <w:rPr>
          <w:i/>
        </w:rPr>
        <w:t>supra</w:t>
      </w:r>
      <w:r w:rsidRPr="001C049E">
        <w:t xml:space="preserve">, 33 Cal.App.5th at p. 272 </w:t>
      </w:r>
      <w:r w:rsidR="004875B6">
        <w:t>(</w:t>
      </w:r>
      <w:r w:rsidRPr="001C049E">
        <w:t>dis. opn. of Tangeman, J</w:t>
      </w:r>
      <w:r w:rsidR="00923BDC">
        <w:t>.</w:t>
      </w:r>
      <w:r w:rsidRPr="001C049E">
        <w:t>)</w:t>
      </w:r>
      <w:r w:rsidR="00923BDC">
        <w:t>)</w:t>
      </w:r>
      <w:r w:rsidRPr="001C049E">
        <w:t>.</w:t>
      </w:r>
      <w:r w:rsidRPr="001C049E" w:rsidR="00B66451">
        <w:t xml:space="preserve"> </w:t>
      </w:r>
    </w:p>
    <w:p w:rsidR="006F7377" w:rsidRPr="001C049E" w:rsidP="001C049E">
      <w:pPr>
        <w:tabs>
          <w:tab w:val="left" w:pos="1440"/>
        </w:tabs>
        <w:ind w:firstLine="720"/>
      </w:pPr>
      <w:r w:rsidRPr="001C049E">
        <w:t>Moreover</w:t>
      </w:r>
      <w:r w:rsidRPr="001C049E" w:rsidR="001A0C29">
        <w:t xml:space="preserve">, a defendant </w:t>
      </w:r>
      <w:r w:rsidRPr="001C049E" w:rsidR="00F90613">
        <w:t xml:space="preserve">may </w:t>
      </w:r>
      <w:r w:rsidRPr="001C049E" w:rsidR="001A0C29">
        <w:t>become eligible for relief</w:t>
      </w:r>
      <w:r w:rsidRPr="001C049E" w:rsidR="00157DEE">
        <w:t xml:space="preserve"> as soon as </w:t>
      </w:r>
      <w:r w:rsidRPr="001C049E" w:rsidR="001A0C29">
        <w:t>“</w:t>
      </w:r>
      <w:r w:rsidRPr="001C049E" w:rsidR="00157DEE">
        <w:t xml:space="preserve">any time </w:t>
      </w:r>
      <w:r w:rsidRPr="001C049E" w:rsidR="001A0C29">
        <w:t>after the lapse of one year from the date of pronouncement of judgment.”  (§ 1203.4a(a).)  Because a defendant convicted of a misdemeanor may be required to spend time in custody (see, e.g., § 19.2</w:t>
      </w:r>
      <w:r w:rsidRPr="001C049E" w:rsidR="0032122D">
        <w:t xml:space="preserve"> [up to one year]</w:t>
      </w:r>
      <w:r w:rsidRPr="001C049E" w:rsidR="001A0C29">
        <w:t xml:space="preserve">), the statute’s focus </w:t>
      </w:r>
      <w:r w:rsidRPr="001C049E" w:rsidR="006A5329">
        <w:t>on “time after” the pronouncement of judgment suggests</w:t>
      </w:r>
      <w:r w:rsidRPr="001C049E" w:rsidR="001A0C29">
        <w:t xml:space="preserve"> that </w:t>
      </w:r>
      <w:r w:rsidRPr="001C049E" w:rsidR="005033BE">
        <w:t xml:space="preserve">a defendant’s </w:t>
      </w:r>
      <w:r w:rsidRPr="001C049E" w:rsidR="001A0C29">
        <w:t>conduct while in custody is relevant to the court’s inqu</w:t>
      </w:r>
      <w:r w:rsidRPr="001C049E" w:rsidR="00470A1A">
        <w:t>iry</w:t>
      </w:r>
      <w:r w:rsidRPr="001C049E" w:rsidR="009C1F7C">
        <w:t>.</w:t>
      </w:r>
      <w:r w:rsidRPr="001C049E" w:rsidR="002917BE">
        <w:t xml:space="preserve">  </w:t>
      </w:r>
      <w:r w:rsidRPr="001C049E" w:rsidR="00AE6369">
        <w:t xml:space="preserve">If time in custody were </w:t>
      </w:r>
      <w:r w:rsidRPr="001C049E" w:rsidR="00766F88">
        <w:t xml:space="preserve">ignored as </w:t>
      </w:r>
      <w:r w:rsidRPr="001C049E" w:rsidR="00AE6369">
        <w:t xml:space="preserve">irrelevant, then </w:t>
      </w:r>
      <w:r w:rsidRPr="001C049E" w:rsidR="00635A08">
        <w:t>misdemeanants</w:t>
      </w:r>
      <w:r w:rsidRPr="001C049E" w:rsidR="00AE6369">
        <w:t xml:space="preserve"> sentenced to longer terms of confinement </w:t>
      </w:r>
      <w:r w:rsidRPr="001C049E" w:rsidR="009E4CE1">
        <w:t>would be eligible for expungement after shorter period</w:t>
      </w:r>
      <w:r w:rsidRPr="001C049E" w:rsidR="00083A9F">
        <w:t>s</w:t>
      </w:r>
      <w:r w:rsidRPr="001C049E" w:rsidR="009E4CE1">
        <w:t xml:space="preserve"> </w:t>
      </w:r>
      <w:r w:rsidRPr="001C049E" w:rsidR="00635A08">
        <w:t xml:space="preserve">of honest and upright living.  </w:t>
      </w:r>
      <w:r w:rsidRPr="001C049E" w:rsidR="00E72BD5">
        <w:t xml:space="preserve">We have no </w:t>
      </w:r>
      <w:r w:rsidRPr="001C049E" w:rsidR="00766F88">
        <w:t xml:space="preserve">reason to think the Legislature </w:t>
      </w:r>
      <w:r w:rsidRPr="001C049E" w:rsidR="00E72BD5">
        <w:t xml:space="preserve">might have </w:t>
      </w:r>
      <w:r w:rsidRPr="001C049E" w:rsidR="00766F88">
        <w:t>intended th</w:t>
      </w:r>
      <w:r w:rsidRPr="001C049E" w:rsidR="0032122D">
        <w:t>at</w:t>
      </w:r>
      <w:r w:rsidRPr="001C049E" w:rsidR="00766F88">
        <w:t xml:space="preserve"> result.</w:t>
      </w:r>
      <w:r w:rsidRPr="001C049E" w:rsidR="00DD4D8F">
        <w:t xml:space="preserve">  </w:t>
      </w:r>
    </w:p>
    <w:p w:rsidR="00EA7BBC" w:rsidP="001C049E">
      <w:pPr>
        <w:tabs>
          <w:tab w:val="left" w:pos="1440"/>
        </w:tabs>
        <w:ind w:firstLine="720"/>
      </w:pPr>
      <w:r w:rsidRPr="001C049E">
        <w:t>By contrast, c</w:t>
      </w:r>
      <w:r w:rsidRPr="001C049E" w:rsidR="00E50FAC">
        <w:t>oncluding that time in custody is relevant to the honest</w:t>
      </w:r>
      <w:r w:rsidRPr="001C049E" w:rsidR="00A10E5F">
        <w:t xml:space="preserve"> </w:t>
      </w:r>
      <w:r w:rsidRPr="001C049E" w:rsidR="00E50FAC">
        <w:t>and</w:t>
      </w:r>
      <w:r w:rsidRPr="001C049E" w:rsidR="00A10E5F">
        <w:t xml:space="preserve"> </w:t>
      </w:r>
      <w:r w:rsidRPr="001C049E" w:rsidR="00E50FAC">
        <w:t>upright</w:t>
      </w:r>
      <w:r w:rsidRPr="001C049E" w:rsidR="00A10E5F">
        <w:t xml:space="preserve"> </w:t>
      </w:r>
      <w:r w:rsidRPr="001C049E" w:rsidR="00E50FAC">
        <w:t xml:space="preserve">life </w:t>
      </w:r>
      <w:r w:rsidRPr="001C049E" w:rsidR="009F67C6">
        <w:t xml:space="preserve">inquiry </w:t>
      </w:r>
      <w:r w:rsidRPr="001C049E" w:rsidR="00EF2E16">
        <w:t xml:space="preserve">is not only supported by the statutory text, it </w:t>
      </w:r>
      <w:r w:rsidRPr="001C049E" w:rsidR="00215EE1">
        <w:t>makes practical sense as well</w:t>
      </w:r>
      <w:r w:rsidR="00985DBB">
        <w:t xml:space="preserve">.  Various provisions of the Penal Code reflect concern that those in custody for breaking the law may break the law again </w:t>
      </w:r>
      <w:r w:rsidR="009B74D1">
        <w:t>when</w:t>
      </w:r>
      <w:r w:rsidR="00985DBB">
        <w:t xml:space="preserve"> incarcerated</w:t>
      </w:r>
      <w:r w:rsidR="00F61E8D">
        <w:t xml:space="preserve">.  (See, e.g., §§ 243.1 [battery against custodial officer], 4573.6 [possession of controlled substance].)  In short, </w:t>
      </w:r>
      <w:r w:rsidRPr="001C049E" w:rsidR="00985DBB">
        <w:t>“</w:t>
      </w:r>
      <w:r w:rsidR="00F61E8D">
        <w:t>p</w:t>
      </w:r>
      <w:r w:rsidRPr="001C049E" w:rsidR="00985DBB">
        <w:t>ersons in custody can, and often do, commit crimes</w:t>
      </w:r>
      <w:r w:rsidR="00FB05DE">
        <w:t> </w:t>
      </w:r>
      <w:r w:rsidR="00923BDC">
        <w:t xml:space="preserve">. . . </w:t>
      </w:r>
      <w:r w:rsidRPr="001C049E" w:rsidR="00985DBB">
        <w:t xml:space="preserve">.”  </w:t>
      </w:r>
      <w:r w:rsidRPr="001C049E" w:rsidR="00FC260F">
        <w:t>(</w:t>
      </w:r>
      <w:r w:rsidRPr="001C049E" w:rsidR="00FC260F">
        <w:rPr>
          <w:i/>
        </w:rPr>
        <w:t>Maya</w:t>
      </w:r>
      <w:r w:rsidRPr="001C049E" w:rsidR="00FC260F">
        <w:t xml:space="preserve">, </w:t>
      </w:r>
      <w:r w:rsidRPr="001C049E" w:rsidR="00FC260F">
        <w:rPr>
          <w:i/>
        </w:rPr>
        <w:t>supra</w:t>
      </w:r>
      <w:r w:rsidRPr="001C049E" w:rsidR="00FC260F">
        <w:t xml:space="preserve">, 33 Cal.App.5th at p. 272 </w:t>
      </w:r>
      <w:r w:rsidR="00FB05DE">
        <w:t>(</w:t>
      </w:r>
      <w:r w:rsidRPr="001C049E" w:rsidR="00FC260F">
        <w:t>dis. opn. of Tangeman</w:t>
      </w:r>
      <w:r w:rsidR="00A31DE0">
        <w:t>, J.)</w:t>
      </w:r>
      <w:r w:rsidR="00FB05DE">
        <w:t>.)</w:t>
      </w:r>
      <w:r w:rsidR="001466F3">
        <w:t xml:space="preserve">  The </w:t>
      </w:r>
      <w:r w:rsidR="00D4358E">
        <w:t xml:space="preserve">possibility </w:t>
      </w:r>
      <w:r w:rsidR="001466F3">
        <w:t>of expungement relief,</w:t>
      </w:r>
      <w:r w:rsidR="00911364">
        <w:t xml:space="preserve"> </w:t>
      </w:r>
      <w:r w:rsidR="00D4358E">
        <w:t xml:space="preserve">and </w:t>
      </w:r>
      <w:r w:rsidR="00437402">
        <w:t xml:space="preserve">the </w:t>
      </w:r>
      <w:r w:rsidR="00D4358E">
        <w:t>benefits that come with it</w:t>
      </w:r>
      <w:r w:rsidR="00626EC4">
        <w:t>, may provide a powerful incentive for good behavior</w:t>
      </w:r>
      <w:r w:rsidR="0082192A">
        <w:t>.</w:t>
      </w:r>
      <w:r w:rsidR="0049440E">
        <w:t xml:space="preserve">  (See, e.g., Lab. Code, § 432.7, subd. (a)(1) [limiting employer</w:t>
      </w:r>
      <w:r w:rsidR="00A91F62">
        <w:t>s’</w:t>
      </w:r>
      <w:r w:rsidR="0049440E">
        <w:t xml:space="preserve"> </w:t>
      </w:r>
      <w:r w:rsidR="00DF7C98">
        <w:t>u</w:t>
      </w:r>
      <w:r w:rsidR="00A91F62">
        <w:t>se</w:t>
      </w:r>
      <w:r w:rsidR="0049440E">
        <w:t xml:space="preserve"> of expunged convictions].)  C</w:t>
      </w:r>
      <w:r w:rsidR="00D43D7D">
        <w:t xml:space="preserve">onsidering individuals’ conduct while in custody when deciding whether to </w:t>
      </w:r>
      <w:r w:rsidR="00D43D7D">
        <w:t xml:space="preserve">grant that relief </w:t>
      </w:r>
      <w:r w:rsidRPr="001C049E" w:rsidR="00D43D7D">
        <w:t>“encourage[s] their compliance with the law . . . pending their release.”  (</w:t>
      </w:r>
      <w:r w:rsidR="00A91F62">
        <w:rPr>
          <w:i/>
        </w:rPr>
        <w:t>Maya</w:t>
      </w:r>
      <w:r w:rsidR="00A91F62">
        <w:t xml:space="preserve">, at p. 273 </w:t>
      </w:r>
      <w:r w:rsidR="00FB05DE">
        <w:t>(</w:t>
      </w:r>
      <w:r w:rsidR="00A91F62">
        <w:t>dis. opn. of Tangeman, J.)</w:t>
      </w:r>
      <w:r w:rsidR="00FB05DE">
        <w:t>.)</w:t>
      </w:r>
      <w:r w:rsidR="00A91F62">
        <w:t xml:space="preserve">  </w:t>
      </w:r>
      <w:r w:rsidR="0016650C">
        <w:t>And c</w:t>
      </w:r>
      <w:r w:rsidR="002228CF">
        <w:t xml:space="preserve">ourts are well-equipped to </w:t>
      </w:r>
      <w:r w:rsidR="00BD0F09">
        <w:t>evaluate</w:t>
      </w:r>
      <w:r w:rsidR="002228CF">
        <w:t xml:space="preserve"> the </w:t>
      </w:r>
      <w:r w:rsidR="00466CE8">
        <w:t xml:space="preserve">significance of </w:t>
      </w:r>
      <w:r w:rsidR="0016650C">
        <w:t>in-custody behavior</w:t>
      </w:r>
      <w:r w:rsidR="007C3AE7">
        <w:t xml:space="preserve">, as they routinely do </w:t>
      </w:r>
      <w:r w:rsidR="00D51FA7">
        <w:t xml:space="preserve">so </w:t>
      </w:r>
      <w:r w:rsidR="00C65AE6">
        <w:t>in other legal contexts</w:t>
      </w:r>
      <w:r w:rsidR="00D51FA7">
        <w:t>.  (See, e.g., §</w:t>
      </w:r>
      <w:r w:rsidR="00A84981">
        <w:t>§ 1170.18, subd. (b)(2), 1170.126, subd. (g)(2).)</w:t>
      </w:r>
      <w:r w:rsidRPr="001C049E" w:rsidR="003529E3">
        <w:t xml:space="preserve"> </w:t>
      </w:r>
    </w:p>
    <w:p w:rsidR="005B0101" w:rsidRPr="001C049E" w:rsidP="001C049E">
      <w:pPr>
        <w:tabs>
          <w:tab w:val="left" w:pos="1440"/>
        </w:tabs>
        <w:ind w:firstLine="720"/>
      </w:pPr>
      <w:r>
        <w:t>We thus conclude</w:t>
      </w:r>
      <w:r w:rsidR="004B35C7">
        <w:t xml:space="preserve">, contrary to the Court of Appeal, that </w:t>
      </w:r>
      <w:r w:rsidR="002E30EA">
        <w:t xml:space="preserve">conduct while in custody is relevant to </w:t>
      </w:r>
      <w:r w:rsidR="007617B7">
        <w:t xml:space="preserve">determining whether a </w:t>
      </w:r>
      <w:r w:rsidR="00E62832">
        <w:t>defendant</w:t>
      </w:r>
      <w:r w:rsidR="005F54EA">
        <w:t xml:space="preserve"> has satisfied </w:t>
      </w:r>
      <w:r w:rsidR="007617B7">
        <w:t>the honest and upright life requirement.</w:t>
      </w:r>
      <w:r w:rsidR="002E30EA">
        <w:t xml:space="preserve"> (See </w:t>
      </w:r>
      <w:r w:rsidRPr="001C049E" w:rsidR="00B16DCC">
        <w:rPr>
          <w:i/>
        </w:rPr>
        <w:t>Maya</w:t>
      </w:r>
      <w:r w:rsidR="001B68DC">
        <w:t xml:space="preserve">, </w:t>
      </w:r>
      <w:r w:rsidR="001B68DC">
        <w:rPr>
          <w:i/>
        </w:rPr>
        <w:t>supra</w:t>
      </w:r>
      <w:r w:rsidR="001B68DC">
        <w:t>,</w:t>
      </w:r>
      <w:r w:rsidRPr="001C049E" w:rsidR="00B16DCC">
        <w:t xml:space="preserve"> 33 Cal.App.5th </w:t>
      </w:r>
      <w:r w:rsidR="001B68DC">
        <w:t>at p.</w:t>
      </w:r>
      <w:r w:rsidR="004B35C7">
        <w:t> </w:t>
      </w:r>
      <w:r w:rsidRPr="001C049E" w:rsidR="00B16DCC">
        <w:t>2</w:t>
      </w:r>
      <w:r w:rsidR="00B16DCC">
        <w:t>70</w:t>
      </w:r>
      <w:r w:rsidRPr="001C049E" w:rsidR="00B16DCC">
        <w:t>.)</w:t>
      </w:r>
      <w:r w:rsidR="00D7010A">
        <w:t xml:space="preserve">  </w:t>
      </w:r>
      <w:r w:rsidR="00377A65">
        <w:t>Based on</w:t>
      </w:r>
      <w:r w:rsidR="001B57BA">
        <w:t xml:space="preserve"> the same </w:t>
      </w:r>
      <w:r w:rsidR="00377A65">
        <w:t>considerations</w:t>
      </w:r>
      <w:r w:rsidR="001B57BA">
        <w:t xml:space="preserve">, </w:t>
      </w:r>
      <w:r w:rsidR="00377A65">
        <w:t>w</w:t>
      </w:r>
      <w:r w:rsidR="00D7010A">
        <w:t xml:space="preserve">e further hold </w:t>
      </w:r>
      <w:r w:rsidR="002E30EA">
        <w:t xml:space="preserve">that </w:t>
      </w:r>
      <w:r w:rsidR="006148EF">
        <w:t xml:space="preserve">such </w:t>
      </w:r>
      <w:r w:rsidR="002E30EA">
        <w:t xml:space="preserve">conduct </w:t>
      </w:r>
      <w:r w:rsidR="00CF0307">
        <w:t xml:space="preserve">is not merely relevant; it </w:t>
      </w:r>
      <w:r w:rsidR="00E652DD">
        <w:t>can</w:t>
      </w:r>
      <w:r w:rsidR="002C5F22">
        <w:t xml:space="preserve">, in appropriate cases, </w:t>
      </w:r>
      <w:r w:rsidR="00E652DD">
        <w:t xml:space="preserve">satisfy </w:t>
      </w:r>
      <w:r w:rsidR="009C7566">
        <w:t xml:space="preserve">that </w:t>
      </w:r>
      <w:r w:rsidR="00E652DD">
        <w:t>requirement</w:t>
      </w:r>
      <w:r w:rsidR="000D0368">
        <w:t>.</w:t>
      </w:r>
      <w:r w:rsidR="00616E0A">
        <w:t xml:space="preserve">  </w:t>
      </w:r>
      <w:bookmarkStart w:id="11" w:name="_Hlk33607532"/>
      <w:r w:rsidR="00616E0A">
        <w:t xml:space="preserve">True, </w:t>
      </w:r>
      <w:r w:rsidR="0024155F">
        <w:t xml:space="preserve">the fact that </w:t>
      </w:r>
      <w:r w:rsidR="006148EF">
        <w:t xml:space="preserve">the conduct occurred while </w:t>
      </w:r>
      <w:r w:rsidR="0024155F">
        <w:t>a defendant was in custody</w:t>
      </w:r>
      <w:r w:rsidR="00C233E0">
        <w:t xml:space="preserve"> </w:t>
      </w:r>
      <w:r w:rsidR="00C24A3F">
        <w:t xml:space="preserve">can </w:t>
      </w:r>
      <w:r w:rsidR="00511779">
        <w:t xml:space="preserve">be a </w:t>
      </w:r>
      <w:r w:rsidR="00E3219F">
        <w:t>pertinent</w:t>
      </w:r>
      <w:r w:rsidR="00511779">
        <w:t xml:space="preserve"> </w:t>
      </w:r>
      <w:r w:rsidR="00B323AF">
        <w:t xml:space="preserve">factor </w:t>
      </w:r>
      <w:r w:rsidR="00511779">
        <w:t xml:space="preserve">in </w:t>
      </w:r>
      <w:r w:rsidR="00A974E4">
        <w:t xml:space="preserve">a </w:t>
      </w:r>
      <w:r w:rsidR="00511779">
        <w:t>court’s inquir</w:t>
      </w:r>
      <w:r w:rsidR="00616E0A">
        <w:t>y</w:t>
      </w:r>
      <w:bookmarkEnd w:id="11"/>
      <w:r w:rsidR="00616E0A">
        <w:t xml:space="preserve">.  </w:t>
      </w:r>
      <w:r w:rsidR="00C24A3F">
        <w:t>B</w:t>
      </w:r>
      <w:r w:rsidR="00B323AF">
        <w:t xml:space="preserve">ut nothing </w:t>
      </w:r>
      <w:r w:rsidR="006D52D3">
        <w:t xml:space="preserve">in the statutory text </w:t>
      </w:r>
      <w:r w:rsidR="00C24A3F">
        <w:t xml:space="preserve">or legislative history </w:t>
      </w:r>
      <w:r w:rsidR="006D52D3">
        <w:t xml:space="preserve">permits us to hold that </w:t>
      </w:r>
      <w:r w:rsidR="006148EF">
        <w:t xml:space="preserve">such </w:t>
      </w:r>
      <w:r w:rsidR="002C0BC2">
        <w:t>conduct is categorically insufficient to satisfy the honest and upright life requirement.</w:t>
      </w:r>
      <w:r w:rsidRPr="001C049E" w:rsidR="002C0BC2">
        <w:t xml:space="preserve"> </w:t>
      </w:r>
      <w:r w:rsidR="002C0BC2">
        <w:t xml:space="preserve">  </w:t>
      </w:r>
      <w:r w:rsidR="00A974E4">
        <w:t xml:space="preserve"> </w:t>
      </w:r>
      <w:r w:rsidR="00511779">
        <w:t xml:space="preserve"> </w:t>
      </w:r>
    </w:p>
    <w:p w:rsidR="006F1B8E" w:rsidRPr="001C049E" w:rsidP="001C049E">
      <w:pPr>
        <w:pStyle w:val="Heading2"/>
        <w:numPr>
          <w:ilvl w:val="0"/>
          <w:numId w:val="1"/>
        </w:numPr>
      </w:pPr>
      <w:r w:rsidRPr="001C049E">
        <w:t xml:space="preserve">The </w:t>
      </w:r>
      <w:r w:rsidRPr="001C049E">
        <w:t xml:space="preserve">Court of Appeal </w:t>
      </w:r>
      <w:r w:rsidRPr="001C049E" w:rsidR="00686A0B">
        <w:t>May</w:t>
      </w:r>
      <w:r w:rsidRPr="001C049E">
        <w:t xml:space="preserve"> Determine on Remand Whether the Trial Court </w:t>
      </w:r>
      <w:r w:rsidRPr="001C049E" w:rsidR="00955481">
        <w:t>Erred in Denying</w:t>
      </w:r>
      <w:r w:rsidRPr="001C049E">
        <w:t xml:space="preserve"> Maya</w:t>
      </w:r>
      <w:r w:rsidRPr="001C049E" w:rsidR="00447A2D">
        <w:t xml:space="preserve"> Relief</w:t>
      </w:r>
    </w:p>
    <w:p w:rsidR="00D00AEF" w:rsidRPr="001C049E" w:rsidP="001C049E">
      <w:pPr>
        <w:tabs>
          <w:tab w:val="left" w:pos="1440"/>
        </w:tabs>
        <w:ind w:firstLine="720"/>
      </w:pPr>
      <w:r w:rsidRPr="001C049E">
        <w:t xml:space="preserve">Rather than </w:t>
      </w:r>
      <w:r w:rsidRPr="001C049E" w:rsidR="001A2A89">
        <w:t xml:space="preserve">contesting </w:t>
      </w:r>
      <w:r w:rsidRPr="001C049E">
        <w:t xml:space="preserve">the issue </w:t>
      </w:r>
      <w:r w:rsidRPr="001C049E" w:rsidR="001A2A89">
        <w:t xml:space="preserve">we granted review to resolve, the People ask us to affirm </w:t>
      </w:r>
      <w:r w:rsidRPr="001C049E" w:rsidR="002C365A">
        <w:t xml:space="preserve">the judgment </w:t>
      </w:r>
      <w:r w:rsidRPr="001C049E" w:rsidR="001A2A89">
        <w:t xml:space="preserve">on the </w:t>
      </w:r>
      <w:r w:rsidRPr="001C049E" w:rsidR="00D4426D">
        <w:t>alternative ground that, even if time in custody is relevant</w:t>
      </w:r>
      <w:r w:rsidRPr="001C049E" w:rsidR="00974441">
        <w:t xml:space="preserve"> to the honest and upright life inquiry</w:t>
      </w:r>
      <w:r w:rsidRPr="001C049E" w:rsidR="00D4426D">
        <w:t xml:space="preserve">, the trial court </w:t>
      </w:r>
      <w:r w:rsidRPr="001C049E" w:rsidR="00B022B7">
        <w:t>did not err in</w:t>
      </w:r>
      <w:r w:rsidRPr="001C049E" w:rsidR="003A39F5">
        <w:t xml:space="preserve"> </w:t>
      </w:r>
      <w:r w:rsidRPr="001C049E" w:rsidR="00B022B7">
        <w:t xml:space="preserve">denying </w:t>
      </w:r>
      <w:r w:rsidRPr="001C049E" w:rsidR="003A39F5">
        <w:t>Maya</w:t>
      </w:r>
      <w:r w:rsidRPr="001C049E" w:rsidR="00B84E8E">
        <w:t xml:space="preserve"> expungement</w:t>
      </w:r>
      <w:r w:rsidRPr="001C049E" w:rsidR="003A39F5">
        <w:t xml:space="preserve">.  </w:t>
      </w:r>
      <w:r w:rsidRPr="001C049E" w:rsidR="00866AB3">
        <w:t xml:space="preserve">We decline to </w:t>
      </w:r>
      <w:r w:rsidRPr="001C049E" w:rsidR="00415169">
        <w:t>reach that issue</w:t>
      </w:r>
      <w:r w:rsidRPr="001C049E" w:rsidR="00CC0CC8">
        <w:t>.</w:t>
      </w:r>
      <w:r w:rsidR="00D20689">
        <w:t xml:space="preserve">  </w:t>
      </w:r>
      <w:r w:rsidRPr="001C049E" w:rsidR="00CC0CC8">
        <w:t xml:space="preserve">On remand, the Court of Appeal may consider </w:t>
      </w:r>
      <w:r w:rsidRPr="001C049E" w:rsidR="00415169">
        <w:t>it</w:t>
      </w:r>
      <w:r w:rsidRPr="001C049E" w:rsidR="00A23E7C">
        <w:t xml:space="preserve"> </w:t>
      </w:r>
      <w:r w:rsidRPr="001C049E" w:rsidR="00CC0CC8">
        <w:t xml:space="preserve">in the first instance. </w:t>
      </w:r>
    </w:p>
    <w:p w:rsidR="00747222" w:rsidRPr="001C049E" w:rsidP="001C049E">
      <w:pPr>
        <w:pStyle w:val="Heading1"/>
      </w:pPr>
      <w:r w:rsidRPr="001C049E">
        <w:t>III.  Disposition</w:t>
      </w:r>
    </w:p>
    <w:p w:rsidR="00AC5EC0" w:rsidP="001C049E">
      <w:pPr>
        <w:tabs>
          <w:tab w:val="left" w:pos="1440"/>
        </w:tabs>
        <w:ind w:firstLine="720"/>
      </w:pPr>
      <w:r>
        <w:t>W</w:t>
      </w:r>
      <w:r w:rsidRPr="001C049E" w:rsidR="008D2829">
        <w:t xml:space="preserve">e </w:t>
      </w:r>
      <w:r w:rsidR="006148EF">
        <w:t>reverse</w:t>
      </w:r>
      <w:r w:rsidRPr="001C049E" w:rsidR="006148EF">
        <w:t xml:space="preserve"> </w:t>
      </w:r>
      <w:r w:rsidRPr="001C049E" w:rsidR="008D2829">
        <w:t xml:space="preserve">the judgment of the Court of Appeal and remand the matter for further proceedings consistent with </w:t>
      </w:r>
      <w:r w:rsidR="001120C7">
        <w:t>this</w:t>
      </w:r>
      <w:r w:rsidRPr="001C049E" w:rsidR="008D2829">
        <w:t xml:space="preserve"> opinion.</w:t>
      </w:r>
      <w:bookmarkEnd w:id="7"/>
      <w:bookmarkEnd w:id="8"/>
      <w:r w:rsidRPr="001C049E">
        <w:t xml:space="preserve">  </w:t>
      </w:r>
    </w:p>
    <w:p w:rsidR="003F7DB7" w:rsidP="001C049E">
      <w:pPr>
        <w:tabs>
          <w:tab w:val="right" w:pos="7740"/>
        </w:tabs>
        <w:jc w:val="left"/>
        <w:rPr>
          <w:b/>
        </w:rPr>
      </w:pPr>
      <w:r>
        <w:tab/>
      </w:r>
      <w:r w:rsidRPr="001C049E">
        <w:rPr>
          <w:b/>
        </w:rPr>
        <w:t>CANTIL-SAKAUYE, C. J.</w:t>
      </w:r>
      <w:r>
        <w:rPr>
          <w:b/>
        </w:rPr>
        <w:br/>
      </w:r>
      <w:r>
        <w:rPr>
          <w:b/>
        </w:rPr>
        <w:br/>
        <w:t>We Concur:</w:t>
      </w:r>
    </w:p>
    <w:p w:rsidR="003802C0" w:rsidRPr="004D04C7" w:rsidP="00D57DBA">
      <w:pPr>
        <w:spacing w:after="0" w:line="240" w:lineRule="auto"/>
        <w:jc w:val="left"/>
        <w:rPr>
          <w:rFonts w:ascii="Times New Roman" w:hAnsi="Times New Roman"/>
          <w:b/>
          <w:sz w:val="26"/>
          <w:szCs w:val="26"/>
        </w:rPr>
      </w:pPr>
      <w:r w:rsidRPr="004D04C7">
        <w:rPr>
          <w:rFonts w:ascii="Times New Roman" w:hAnsi="Times New Roman"/>
          <w:b/>
          <w:sz w:val="26"/>
          <w:szCs w:val="26"/>
        </w:rPr>
        <w:t>CHIN, J.</w:t>
      </w:r>
    </w:p>
    <w:p w:rsidR="004D04C7" w:rsidRPr="004D04C7" w:rsidP="00D57DBA">
      <w:pPr>
        <w:spacing w:after="0" w:line="240" w:lineRule="auto"/>
        <w:jc w:val="left"/>
        <w:rPr>
          <w:rFonts w:ascii="Times New Roman" w:hAnsi="Times New Roman"/>
          <w:b/>
          <w:sz w:val="26"/>
          <w:szCs w:val="26"/>
        </w:rPr>
      </w:pPr>
      <w:r w:rsidRPr="004D04C7">
        <w:rPr>
          <w:rFonts w:ascii="Times New Roman" w:hAnsi="Times New Roman"/>
          <w:b/>
          <w:sz w:val="26"/>
          <w:szCs w:val="26"/>
        </w:rPr>
        <w:t>CORRIGAN, J.</w:t>
      </w:r>
    </w:p>
    <w:p w:rsidR="004D04C7" w:rsidRPr="004D04C7" w:rsidP="00D57DBA">
      <w:pPr>
        <w:spacing w:after="0" w:line="240" w:lineRule="auto"/>
        <w:jc w:val="left"/>
        <w:rPr>
          <w:rFonts w:ascii="Times New Roman" w:hAnsi="Times New Roman"/>
          <w:b/>
          <w:sz w:val="26"/>
          <w:szCs w:val="26"/>
        </w:rPr>
      </w:pPr>
      <w:r w:rsidRPr="004D04C7">
        <w:rPr>
          <w:rFonts w:ascii="Times New Roman" w:hAnsi="Times New Roman"/>
          <w:b/>
          <w:sz w:val="26"/>
          <w:szCs w:val="26"/>
        </w:rPr>
        <w:t>LIU, J.</w:t>
      </w:r>
    </w:p>
    <w:p w:rsidR="004D04C7" w:rsidRPr="004D04C7" w:rsidP="00D57DBA">
      <w:pPr>
        <w:spacing w:after="0" w:line="240" w:lineRule="auto"/>
        <w:jc w:val="left"/>
        <w:rPr>
          <w:rFonts w:ascii="Times New Roman" w:hAnsi="Times New Roman"/>
          <w:b/>
          <w:sz w:val="26"/>
          <w:szCs w:val="26"/>
        </w:rPr>
      </w:pPr>
      <w:r w:rsidRPr="004D04C7">
        <w:rPr>
          <w:rFonts w:ascii="Times New Roman" w:hAnsi="Times New Roman"/>
          <w:b/>
          <w:sz w:val="26"/>
          <w:szCs w:val="26"/>
        </w:rPr>
        <w:t>CUÉLLAR, J.</w:t>
      </w:r>
    </w:p>
    <w:p w:rsidR="004D04C7" w:rsidRPr="004D04C7" w:rsidP="00D57DBA">
      <w:pPr>
        <w:spacing w:after="0" w:line="240" w:lineRule="auto"/>
        <w:jc w:val="left"/>
        <w:rPr>
          <w:rFonts w:ascii="Times New Roman" w:hAnsi="Times New Roman"/>
          <w:b/>
          <w:sz w:val="26"/>
          <w:szCs w:val="26"/>
        </w:rPr>
      </w:pPr>
      <w:r w:rsidRPr="004D04C7">
        <w:rPr>
          <w:rFonts w:ascii="Times New Roman" w:hAnsi="Times New Roman"/>
          <w:b/>
          <w:sz w:val="26"/>
          <w:szCs w:val="26"/>
        </w:rPr>
        <w:t>KRUGER, J.</w:t>
      </w:r>
    </w:p>
    <w:p w:rsidR="006357A7" w:rsidP="00D57DBA">
      <w:pPr>
        <w:spacing w:after="0" w:line="240" w:lineRule="auto"/>
        <w:jc w:val="left"/>
        <w:rPr>
          <w:rFonts w:ascii="Times New Roman" w:hAnsi="Times New Roman"/>
          <w:b/>
          <w:sz w:val="26"/>
          <w:szCs w:val="26"/>
        </w:rPr>
        <w:sectPr w:rsidSect="003802C0">
          <w:footerReference w:type="default" r:id="rId10"/>
          <w:pgSz w:w="12240" w:h="15840"/>
          <w:pgMar w:top="1800" w:right="2160" w:bottom="1440" w:left="2160" w:header="720" w:footer="720" w:gutter="0"/>
          <w:pgNumType w:start="1"/>
          <w:cols w:space="720"/>
          <w:titlePg/>
          <w:docGrid w:linePitch="367"/>
        </w:sectPr>
      </w:pPr>
      <w:r w:rsidRPr="004D04C7">
        <w:rPr>
          <w:rFonts w:ascii="Times New Roman" w:hAnsi="Times New Roman"/>
          <w:b/>
          <w:sz w:val="26"/>
          <w:szCs w:val="26"/>
        </w:rPr>
        <w:t>GROBAN, J.</w:t>
      </w:r>
    </w:p>
    <w:p w:rsidR="00DB1940" w:rsidRPr="00DB1940" w:rsidP="00DB1940">
      <w:pPr>
        <w:spacing w:after="0" w:line="240" w:lineRule="auto"/>
        <w:jc w:val="left"/>
        <w:rPr>
          <w:rFonts w:ascii="Times New Roman" w:hAnsi="Times New Roman"/>
          <w:i/>
          <w:sz w:val="20"/>
        </w:rPr>
      </w:pPr>
      <w:r w:rsidRPr="00DB1940">
        <w:rPr>
          <w:rFonts w:ascii="Times New Roman" w:hAnsi="Times New Roman"/>
          <w:i/>
          <w:sz w:val="20"/>
        </w:rPr>
        <w:t>See next page for addresses and telephone numbers for counsel who argued in Supreme Court.</w:t>
      </w:r>
    </w:p>
    <w:p w:rsidR="00DB1940" w:rsidRPr="00DB1940" w:rsidP="00DB1940">
      <w:pPr>
        <w:spacing w:after="0" w:line="240" w:lineRule="auto"/>
        <w:jc w:val="left"/>
        <w:rPr>
          <w:rFonts w:ascii="Times New Roman" w:hAnsi="Times New Roman"/>
          <w:i/>
          <w:sz w:val="20"/>
        </w:rPr>
      </w:pPr>
    </w:p>
    <w:p w:rsidR="00DB1940" w:rsidRPr="00DB1940" w:rsidP="00DB1940">
      <w:pPr>
        <w:spacing w:after="0" w:line="240" w:lineRule="auto"/>
        <w:jc w:val="left"/>
        <w:rPr>
          <w:rFonts w:ascii="Times New Roman" w:hAnsi="Times New Roman"/>
          <w:b/>
          <w:sz w:val="20"/>
        </w:rPr>
      </w:pPr>
      <w:r w:rsidRPr="00DB1940">
        <w:rPr>
          <w:rFonts w:ascii="Times New Roman" w:hAnsi="Times New Roman"/>
          <w:b/>
          <w:sz w:val="20"/>
        </w:rPr>
        <w:t xml:space="preserve">Name of Opinion </w:t>
      </w:r>
      <w:r w:rsidRPr="00DB1940">
        <w:rPr>
          <w:rFonts w:ascii="Times New Roman" w:hAnsi="Times New Roman"/>
          <w:bCs/>
          <w:sz w:val="20"/>
        </w:rPr>
        <w:t>People v. Maya</w:t>
      </w:r>
      <w:r w:rsidRPr="00DB1940">
        <w:rPr>
          <w:rFonts w:ascii="Times New Roman" w:hAnsi="Times New Roman"/>
          <w:sz w:val="20"/>
        </w:rPr>
        <w:t xml:space="preserve"> </w:t>
      </w:r>
      <w:r w:rsidRPr="00DB1940">
        <w:rPr>
          <w:rFonts w:ascii="Times New Roman" w:hAnsi="Times New Roman"/>
          <w:b/>
          <w:sz w:val="20"/>
        </w:rPr>
        <w:t>__________________________________________________________________________________</w:t>
      </w:r>
    </w:p>
    <w:p w:rsidR="00DB1940" w:rsidRPr="00DB1940" w:rsidP="00DB1940">
      <w:pPr>
        <w:spacing w:after="0" w:line="240" w:lineRule="auto"/>
        <w:jc w:val="left"/>
        <w:rPr>
          <w:rFonts w:ascii="Times New Roman" w:hAnsi="Times New Roman"/>
          <w:b/>
          <w:sz w:val="20"/>
        </w:rPr>
      </w:pPr>
    </w:p>
    <w:p w:rsidR="00DB1940" w:rsidRPr="00DB1940" w:rsidP="00DB1940">
      <w:pPr>
        <w:spacing w:after="0" w:line="240" w:lineRule="auto"/>
        <w:jc w:val="left"/>
        <w:rPr>
          <w:rFonts w:ascii="Times New Roman" w:hAnsi="Times New Roman"/>
          <w:bCs/>
          <w:sz w:val="20"/>
        </w:rPr>
      </w:pPr>
      <w:r w:rsidRPr="00DB1940">
        <w:rPr>
          <w:rFonts w:ascii="Times New Roman" w:hAnsi="Times New Roman"/>
          <w:b/>
          <w:sz w:val="20"/>
        </w:rPr>
        <w:t>Unpublished Opinion</w:t>
      </w:r>
    </w:p>
    <w:p w:rsidR="00DB1940" w:rsidRPr="00DB1940" w:rsidP="00DB1940">
      <w:pPr>
        <w:spacing w:after="0" w:line="240" w:lineRule="auto"/>
        <w:jc w:val="left"/>
        <w:rPr>
          <w:rFonts w:ascii="Times New Roman" w:hAnsi="Times New Roman"/>
          <w:sz w:val="20"/>
        </w:rPr>
      </w:pPr>
      <w:r w:rsidRPr="00DB1940">
        <w:rPr>
          <w:rFonts w:ascii="Times New Roman" w:hAnsi="Times New Roman"/>
          <w:b/>
          <w:sz w:val="20"/>
        </w:rPr>
        <w:t>Original Appeal</w:t>
      </w:r>
    </w:p>
    <w:p w:rsidR="00DB1940" w:rsidRPr="00DB1940" w:rsidP="00DB1940">
      <w:pPr>
        <w:spacing w:after="0" w:line="240" w:lineRule="auto"/>
        <w:jc w:val="left"/>
        <w:rPr>
          <w:rFonts w:ascii="Times New Roman" w:hAnsi="Times New Roman"/>
          <w:b/>
          <w:sz w:val="20"/>
        </w:rPr>
      </w:pPr>
      <w:r w:rsidRPr="00DB1940">
        <w:rPr>
          <w:rFonts w:ascii="Times New Roman" w:hAnsi="Times New Roman"/>
          <w:b/>
          <w:sz w:val="20"/>
        </w:rPr>
        <w:t xml:space="preserve">Original Proceeding </w:t>
      </w:r>
    </w:p>
    <w:p w:rsidR="00DB1940" w:rsidRPr="00DB1940" w:rsidP="00DB1940">
      <w:pPr>
        <w:spacing w:after="0" w:line="240" w:lineRule="auto"/>
        <w:jc w:val="left"/>
        <w:rPr>
          <w:rFonts w:ascii="Times New Roman" w:hAnsi="Times New Roman"/>
          <w:bCs/>
          <w:sz w:val="20"/>
        </w:rPr>
      </w:pPr>
      <w:r w:rsidRPr="00DB1940">
        <w:rPr>
          <w:rFonts w:ascii="Times New Roman" w:hAnsi="Times New Roman"/>
          <w:b/>
          <w:sz w:val="20"/>
        </w:rPr>
        <w:t xml:space="preserve">Review Granted </w:t>
      </w:r>
      <w:r w:rsidRPr="00DB1940">
        <w:rPr>
          <w:rFonts w:ascii="Times New Roman" w:hAnsi="Times New Roman"/>
          <w:bCs/>
          <w:sz w:val="20"/>
        </w:rPr>
        <w:t>XXX 33 Cal.App.5th 266</w:t>
      </w:r>
    </w:p>
    <w:p w:rsidR="00DB1940" w:rsidRPr="00DB1940" w:rsidP="00DB1940">
      <w:pPr>
        <w:spacing w:after="0" w:line="240" w:lineRule="auto"/>
        <w:jc w:val="left"/>
        <w:rPr>
          <w:rFonts w:ascii="Times New Roman" w:hAnsi="Times New Roman"/>
          <w:b/>
          <w:sz w:val="20"/>
        </w:rPr>
      </w:pPr>
      <w:r w:rsidRPr="00DB1940">
        <w:rPr>
          <w:rFonts w:ascii="Times New Roman" w:hAnsi="Times New Roman"/>
          <w:b/>
          <w:sz w:val="20"/>
        </w:rPr>
        <w:t>Rehearing Granted</w:t>
      </w:r>
    </w:p>
    <w:p w:rsidR="00DB1940" w:rsidRPr="00DB1940" w:rsidP="00DB1940">
      <w:pPr>
        <w:spacing w:after="0" w:line="240" w:lineRule="auto"/>
        <w:jc w:val="left"/>
        <w:rPr>
          <w:rFonts w:ascii="Times New Roman" w:hAnsi="Times New Roman"/>
          <w:b/>
          <w:sz w:val="20"/>
        </w:rPr>
      </w:pPr>
    </w:p>
    <w:p w:rsidR="00DB1940" w:rsidRPr="00DB1940" w:rsidP="00DB1940">
      <w:pPr>
        <w:spacing w:after="0" w:line="240" w:lineRule="auto"/>
        <w:jc w:val="left"/>
        <w:rPr>
          <w:rFonts w:ascii="Times New Roman" w:hAnsi="Times New Roman"/>
          <w:b/>
          <w:sz w:val="20"/>
        </w:rPr>
      </w:pPr>
      <w:r w:rsidRPr="00DB1940">
        <w:rPr>
          <w:rFonts w:ascii="Times New Roman" w:hAnsi="Times New Roman"/>
          <w:b/>
          <w:sz w:val="20"/>
        </w:rPr>
        <w:t>__________________________________________________________________________________</w:t>
      </w:r>
    </w:p>
    <w:p w:rsidR="00DB1940" w:rsidRPr="00DB1940" w:rsidP="00DB1940">
      <w:pPr>
        <w:spacing w:after="0" w:line="240" w:lineRule="auto"/>
        <w:jc w:val="left"/>
        <w:rPr>
          <w:rFonts w:ascii="Times New Roman" w:hAnsi="Times New Roman"/>
          <w:b/>
          <w:sz w:val="20"/>
        </w:rPr>
      </w:pPr>
    </w:p>
    <w:p w:rsidR="00DB1940" w:rsidRPr="00DB1940" w:rsidP="00DB1940">
      <w:pPr>
        <w:spacing w:after="0" w:line="240" w:lineRule="auto"/>
        <w:jc w:val="left"/>
        <w:rPr>
          <w:rFonts w:ascii="Times New Roman" w:hAnsi="Times New Roman"/>
          <w:bCs/>
          <w:sz w:val="20"/>
        </w:rPr>
      </w:pPr>
      <w:r w:rsidRPr="00DB1940">
        <w:rPr>
          <w:rFonts w:ascii="Times New Roman" w:hAnsi="Times New Roman"/>
          <w:b/>
          <w:sz w:val="20"/>
        </w:rPr>
        <w:t>Opinion No.</w:t>
      </w:r>
      <w:r w:rsidRPr="00DB1940">
        <w:rPr>
          <w:rFonts w:ascii="Times New Roman" w:hAnsi="Times New Roman"/>
          <w:sz w:val="20"/>
        </w:rPr>
        <w:t xml:space="preserve"> S255371</w:t>
      </w:r>
    </w:p>
    <w:p w:rsidR="00DB1940" w:rsidRPr="00DB1940" w:rsidP="00DB1940">
      <w:pPr>
        <w:spacing w:after="0" w:line="240" w:lineRule="auto"/>
        <w:jc w:val="left"/>
        <w:rPr>
          <w:rFonts w:ascii="Times New Roman" w:hAnsi="Times New Roman"/>
          <w:bCs/>
          <w:sz w:val="20"/>
        </w:rPr>
      </w:pPr>
      <w:r w:rsidRPr="00DB1940">
        <w:rPr>
          <w:rFonts w:ascii="Times New Roman" w:hAnsi="Times New Roman"/>
          <w:b/>
          <w:sz w:val="20"/>
        </w:rPr>
        <w:t>Date Filed:</w:t>
      </w:r>
      <w:r w:rsidRPr="00DB1940">
        <w:rPr>
          <w:rFonts w:ascii="Times New Roman" w:hAnsi="Times New Roman"/>
          <w:sz w:val="20"/>
        </w:rPr>
        <w:t xml:space="preserve">  April 9, 2020</w:t>
      </w:r>
    </w:p>
    <w:p w:rsidR="00DB1940" w:rsidRPr="00DB1940" w:rsidP="00DB1940">
      <w:pPr>
        <w:spacing w:after="0" w:line="240" w:lineRule="auto"/>
        <w:jc w:val="left"/>
        <w:rPr>
          <w:rFonts w:ascii="Times New Roman" w:hAnsi="Times New Roman"/>
          <w:b/>
          <w:sz w:val="20"/>
        </w:rPr>
      </w:pPr>
      <w:r w:rsidRPr="00DB1940">
        <w:rPr>
          <w:rFonts w:ascii="Times New Roman" w:hAnsi="Times New Roman"/>
          <w:b/>
          <w:sz w:val="20"/>
        </w:rPr>
        <w:t>__________________________________________________________________________________</w:t>
      </w:r>
    </w:p>
    <w:p w:rsidR="00DB1940" w:rsidRPr="00DB1940" w:rsidP="00DB1940">
      <w:pPr>
        <w:spacing w:after="0" w:line="240" w:lineRule="auto"/>
        <w:jc w:val="left"/>
        <w:rPr>
          <w:rFonts w:ascii="Times New Roman" w:hAnsi="Times New Roman"/>
          <w:b/>
          <w:sz w:val="20"/>
        </w:rPr>
      </w:pPr>
    </w:p>
    <w:p w:rsidR="00DB1940" w:rsidRPr="00DB1940" w:rsidP="00DB1940">
      <w:pPr>
        <w:spacing w:after="0" w:line="240" w:lineRule="auto"/>
        <w:jc w:val="left"/>
        <w:rPr>
          <w:rFonts w:ascii="Times New Roman" w:hAnsi="Times New Roman"/>
          <w:bCs/>
          <w:sz w:val="20"/>
        </w:rPr>
      </w:pPr>
      <w:r w:rsidRPr="00DB1940">
        <w:rPr>
          <w:rFonts w:ascii="Times New Roman" w:hAnsi="Times New Roman"/>
          <w:b/>
          <w:sz w:val="20"/>
        </w:rPr>
        <w:t xml:space="preserve">Court:  </w:t>
      </w:r>
      <w:r w:rsidRPr="00DB1940">
        <w:rPr>
          <w:rFonts w:ascii="Times New Roman" w:hAnsi="Times New Roman"/>
          <w:bCs/>
          <w:sz w:val="20"/>
        </w:rPr>
        <w:t>Superior</w:t>
      </w:r>
    </w:p>
    <w:p w:rsidR="00DB1940" w:rsidRPr="00DB1940" w:rsidP="00DB1940">
      <w:pPr>
        <w:spacing w:after="0" w:line="240" w:lineRule="auto"/>
        <w:jc w:val="left"/>
        <w:rPr>
          <w:rFonts w:ascii="Times New Roman" w:hAnsi="Times New Roman"/>
          <w:bCs/>
          <w:sz w:val="20"/>
        </w:rPr>
      </w:pPr>
      <w:r w:rsidRPr="00DB1940">
        <w:rPr>
          <w:rFonts w:ascii="Times New Roman" w:hAnsi="Times New Roman"/>
          <w:b/>
          <w:sz w:val="20"/>
        </w:rPr>
        <w:t xml:space="preserve">County:  </w:t>
      </w:r>
      <w:r w:rsidRPr="00DB1940">
        <w:rPr>
          <w:rFonts w:ascii="Times New Roman" w:hAnsi="Times New Roman"/>
          <w:bCs/>
          <w:sz w:val="20"/>
        </w:rPr>
        <w:t>Ventura</w:t>
      </w:r>
    </w:p>
    <w:p w:rsidR="00DB1940" w:rsidRPr="00DB1940" w:rsidP="00DB1940">
      <w:pPr>
        <w:spacing w:after="0" w:line="240" w:lineRule="auto"/>
        <w:ind w:left="720" w:hanging="720"/>
        <w:jc w:val="left"/>
        <w:rPr>
          <w:rFonts w:ascii="Times New Roman" w:hAnsi="Times New Roman"/>
          <w:bCs/>
          <w:sz w:val="20"/>
        </w:rPr>
      </w:pPr>
      <w:r w:rsidRPr="00DB1940">
        <w:rPr>
          <w:rFonts w:ascii="Times New Roman" w:hAnsi="Times New Roman"/>
          <w:b/>
          <w:sz w:val="20"/>
        </w:rPr>
        <w:t xml:space="preserve">Judge:  </w:t>
      </w:r>
      <w:r w:rsidRPr="00DB1940">
        <w:rPr>
          <w:rFonts w:ascii="Times New Roman" w:hAnsi="Times New Roman"/>
          <w:bCs/>
          <w:sz w:val="20"/>
        </w:rPr>
        <w:t>Bruce A. Young</w:t>
      </w:r>
    </w:p>
    <w:p w:rsidR="00DB1940" w:rsidRPr="00DB1940" w:rsidP="00DB1940">
      <w:pPr>
        <w:spacing w:after="0" w:line="240" w:lineRule="auto"/>
        <w:jc w:val="left"/>
        <w:rPr>
          <w:rFonts w:ascii="Times New Roman" w:hAnsi="Times New Roman"/>
          <w:b/>
          <w:sz w:val="20"/>
        </w:rPr>
      </w:pPr>
    </w:p>
    <w:p w:rsidR="00DB1940" w:rsidRPr="00DB1940" w:rsidP="00DB1940">
      <w:pPr>
        <w:spacing w:after="0" w:line="240" w:lineRule="auto"/>
        <w:jc w:val="left"/>
        <w:rPr>
          <w:rFonts w:ascii="Times New Roman" w:hAnsi="Times New Roman"/>
          <w:b/>
          <w:sz w:val="20"/>
        </w:rPr>
      </w:pPr>
      <w:r w:rsidRPr="00DB1940">
        <w:rPr>
          <w:rFonts w:ascii="Times New Roman" w:hAnsi="Times New Roman"/>
          <w:b/>
          <w:sz w:val="20"/>
        </w:rPr>
        <w:t>__________________________________________________________________________________</w:t>
      </w:r>
    </w:p>
    <w:p w:rsidR="00DB1940" w:rsidRPr="00DB1940" w:rsidP="00DB1940">
      <w:pPr>
        <w:spacing w:after="0" w:line="240" w:lineRule="auto"/>
        <w:jc w:val="left"/>
        <w:rPr>
          <w:rFonts w:ascii="Times New Roman" w:hAnsi="Times New Roman"/>
          <w:b/>
          <w:sz w:val="20"/>
        </w:rPr>
      </w:pPr>
    </w:p>
    <w:p w:rsidR="00DB1940" w:rsidRPr="00DB1940" w:rsidP="00DB1940">
      <w:pPr>
        <w:spacing w:after="0" w:line="240" w:lineRule="auto"/>
        <w:jc w:val="left"/>
        <w:rPr>
          <w:rFonts w:ascii="Times New Roman" w:hAnsi="Times New Roman"/>
          <w:b/>
          <w:sz w:val="20"/>
        </w:rPr>
      </w:pPr>
      <w:r w:rsidRPr="00DB1940">
        <w:rPr>
          <w:rFonts w:ascii="Times New Roman" w:hAnsi="Times New Roman"/>
          <w:b/>
          <w:sz w:val="20"/>
        </w:rPr>
        <w:t>Counsel:</w:t>
      </w:r>
    </w:p>
    <w:p w:rsidR="00DB1940" w:rsidRPr="00DB1940" w:rsidP="00DB1940">
      <w:pPr>
        <w:spacing w:after="0" w:line="240" w:lineRule="auto"/>
        <w:jc w:val="left"/>
        <w:rPr>
          <w:rFonts w:ascii="Times New Roman" w:hAnsi="Times New Roman"/>
          <w:b/>
          <w:sz w:val="20"/>
        </w:rPr>
      </w:pPr>
    </w:p>
    <w:p w:rsidR="00DB1940" w:rsidRPr="00DB1940" w:rsidP="00DB1940">
      <w:pPr>
        <w:spacing w:after="0" w:line="240" w:lineRule="auto"/>
        <w:jc w:val="left"/>
        <w:rPr>
          <w:rFonts w:ascii="Times New Roman" w:hAnsi="Times New Roman"/>
          <w:color w:val="FF0000"/>
          <w:sz w:val="20"/>
        </w:rPr>
      </w:pPr>
      <w:r w:rsidRPr="00DB1940">
        <w:rPr>
          <w:rFonts w:ascii="Times New Roman" w:hAnsi="Times New Roman"/>
          <w:sz w:val="20"/>
          <w:bdr w:val="none" w:sz="0" w:space="0" w:color="auto" w:frame="1"/>
          <w:shd w:val="clear" w:color="auto" w:fill="FFFFFF"/>
        </w:rPr>
        <w:t>Wayne C. Tobin</w:t>
      </w:r>
      <w:r w:rsidRPr="00DB1940">
        <w:rPr>
          <w:rFonts w:ascii="Times New Roman" w:hAnsi="Times New Roman"/>
          <w:color w:val="373739"/>
          <w:sz w:val="20"/>
          <w:shd w:val="clear" w:color="auto" w:fill="FFFFFF"/>
        </w:rPr>
        <w:t>, under appointment by the Supreme Court, for Defendant and Appellant.</w:t>
      </w:r>
      <w:r w:rsidRPr="00DB1940">
        <w:rPr>
          <w:rFonts w:ascii="Times New Roman" w:hAnsi="Times New Roman"/>
          <w:color w:val="373739"/>
          <w:sz w:val="20"/>
        </w:rPr>
        <w:br/>
      </w:r>
      <w:r w:rsidRPr="00DB1940">
        <w:rPr>
          <w:rFonts w:ascii="Times New Roman" w:hAnsi="Times New Roman"/>
          <w:color w:val="373739"/>
          <w:sz w:val="20"/>
        </w:rPr>
        <w:br/>
      </w:r>
      <w:r w:rsidRPr="00DB1940">
        <w:rPr>
          <w:rFonts w:ascii="Times New Roman" w:hAnsi="Times New Roman"/>
          <w:sz w:val="20"/>
          <w:bdr w:val="none" w:sz="0" w:space="0" w:color="auto" w:frame="1"/>
          <w:shd w:val="clear" w:color="auto" w:fill="FFFFFF"/>
        </w:rPr>
        <w:t>Xavier Becerra</w:t>
      </w:r>
      <w:r w:rsidRPr="00DB1940">
        <w:rPr>
          <w:rFonts w:ascii="Times New Roman" w:hAnsi="Times New Roman"/>
          <w:color w:val="373739"/>
          <w:sz w:val="20"/>
          <w:shd w:val="clear" w:color="auto" w:fill="FFFFFF"/>
        </w:rPr>
        <w:t>, Attorney General, Michael J. Mongan, State Solicitor General, </w:t>
      </w:r>
      <w:r w:rsidRPr="00DB1940">
        <w:rPr>
          <w:rFonts w:ascii="Times New Roman" w:hAnsi="Times New Roman"/>
          <w:sz w:val="20"/>
          <w:bdr w:val="none" w:sz="0" w:space="0" w:color="auto" w:frame="1"/>
          <w:shd w:val="clear" w:color="auto" w:fill="FFFFFF"/>
        </w:rPr>
        <w:t>Gerald A. Engler</w:t>
      </w:r>
      <w:r w:rsidRPr="00DB1940">
        <w:rPr>
          <w:rFonts w:ascii="Times New Roman" w:hAnsi="Times New Roman"/>
          <w:color w:val="373739"/>
          <w:sz w:val="20"/>
          <w:shd w:val="clear" w:color="auto" w:fill="FFFFFF"/>
        </w:rPr>
        <w:t>, Chief Assistant Attorney General, </w:t>
      </w:r>
      <w:r w:rsidRPr="00DB1940">
        <w:rPr>
          <w:rFonts w:ascii="Times New Roman" w:hAnsi="Times New Roman"/>
          <w:sz w:val="20"/>
          <w:bdr w:val="none" w:sz="0" w:space="0" w:color="auto" w:frame="1"/>
          <w:shd w:val="clear" w:color="auto" w:fill="FFFFFF"/>
        </w:rPr>
        <w:t>Lance E. Winters</w:t>
      </w:r>
      <w:r w:rsidRPr="00DB1940">
        <w:rPr>
          <w:rFonts w:ascii="Times New Roman" w:hAnsi="Times New Roman"/>
          <w:color w:val="373739"/>
          <w:sz w:val="20"/>
          <w:shd w:val="clear" w:color="auto" w:fill="FFFFFF"/>
        </w:rPr>
        <w:t xml:space="preserve">, Assistant Attorney General, Janill L. Richards, Principal Deputy State Solicitor General, Helen H. Hong, Deputy State Solicitor General, </w:t>
      </w:r>
      <w:r w:rsidRPr="00DB1940">
        <w:rPr>
          <w:rFonts w:ascii="Times New Roman" w:hAnsi="Times New Roman"/>
          <w:sz w:val="20"/>
          <w:bdr w:val="none" w:sz="0" w:space="0" w:color="auto" w:frame="1"/>
          <w:shd w:val="clear" w:color="auto" w:fill="FFFFFF"/>
        </w:rPr>
        <w:t>Shawn McGahey Webb</w:t>
      </w:r>
      <w:r w:rsidRPr="00DB1940">
        <w:rPr>
          <w:rFonts w:ascii="Times New Roman" w:hAnsi="Times New Roman"/>
          <w:color w:val="373739"/>
          <w:sz w:val="20"/>
          <w:shd w:val="clear" w:color="auto" w:fill="FFFFFF"/>
        </w:rPr>
        <w:t>, </w:t>
      </w:r>
      <w:r w:rsidRPr="00DB1940">
        <w:rPr>
          <w:rFonts w:ascii="Times New Roman" w:hAnsi="Times New Roman"/>
          <w:sz w:val="20"/>
          <w:bdr w:val="none" w:sz="0" w:space="0" w:color="auto" w:frame="1"/>
          <w:shd w:val="clear" w:color="auto" w:fill="FFFFFF"/>
        </w:rPr>
        <w:t>Noah P. Hill</w:t>
      </w:r>
      <w:r w:rsidRPr="00DB1940">
        <w:rPr>
          <w:rFonts w:ascii="Times New Roman" w:hAnsi="Times New Roman"/>
          <w:color w:val="373739"/>
          <w:sz w:val="20"/>
          <w:shd w:val="clear" w:color="auto" w:fill="FFFFFF"/>
        </w:rPr>
        <w:t xml:space="preserve"> and Shezad H. Thakor, Deputy Attorneys General, for Plaintiff and Respondent. </w:t>
      </w:r>
    </w:p>
    <w:p w:rsidR="00DB1940" w:rsidRPr="00DB1940" w:rsidP="00DB1940">
      <w:pPr>
        <w:spacing w:after="0" w:line="240" w:lineRule="auto"/>
        <w:jc w:val="left"/>
        <w:rPr>
          <w:rFonts w:ascii="Times New Roman" w:hAnsi="Times New Roman"/>
          <w:sz w:val="20"/>
        </w:rPr>
      </w:pPr>
    </w:p>
    <w:p w:rsidR="00DB1940" w:rsidRPr="00DB1940" w:rsidP="00DB1940">
      <w:pPr>
        <w:spacing w:after="0" w:line="240" w:lineRule="auto"/>
        <w:jc w:val="left"/>
        <w:rPr>
          <w:rFonts w:ascii="Times New Roman" w:hAnsi="Times New Roman"/>
          <w:sz w:val="20"/>
        </w:rPr>
      </w:pPr>
    </w:p>
    <w:p w:rsidR="00DB1940" w:rsidRPr="00DB1940" w:rsidP="00DB1940">
      <w:pPr>
        <w:spacing w:after="0" w:line="240" w:lineRule="auto"/>
        <w:jc w:val="left"/>
        <w:rPr>
          <w:rFonts w:ascii="Times New Roman" w:hAnsi="Times New Roman"/>
          <w:sz w:val="20"/>
        </w:rPr>
      </w:pPr>
    </w:p>
    <w:p w:rsidR="00DB1940" w:rsidRPr="00DB1940" w:rsidP="00DB1940">
      <w:pPr>
        <w:spacing w:after="0" w:line="240" w:lineRule="auto"/>
        <w:jc w:val="left"/>
        <w:rPr>
          <w:rFonts w:ascii="Times New Roman" w:hAnsi="Times New Roman"/>
          <w:b/>
          <w:sz w:val="20"/>
        </w:rPr>
      </w:pPr>
    </w:p>
    <w:p w:rsidR="00DB1940" w:rsidRPr="00DB1940" w:rsidP="00DB1940">
      <w:pPr>
        <w:spacing w:after="0" w:line="240" w:lineRule="auto"/>
        <w:jc w:val="left"/>
        <w:rPr>
          <w:rFonts w:ascii="Times New Roman" w:hAnsi="Times New Roman"/>
          <w:b/>
          <w:sz w:val="20"/>
        </w:rPr>
      </w:pPr>
    </w:p>
    <w:p w:rsidR="00DB1940" w:rsidRPr="00DB1940" w:rsidP="00DB1940">
      <w:pPr>
        <w:spacing w:after="0" w:line="240" w:lineRule="auto"/>
        <w:jc w:val="left"/>
        <w:rPr>
          <w:rFonts w:ascii="Times New Roman" w:hAnsi="Times New Roman"/>
          <w:b/>
          <w:sz w:val="20"/>
        </w:rPr>
      </w:pPr>
    </w:p>
    <w:p w:rsidR="00DB1940" w:rsidRPr="00DB1940" w:rsidP="00DB1940">
      <w:pPr>
        <w:spacing w:after="0" w:line="240" w:lineRule="auto"/>
        <w:jc w:val="left"/>
        <w:rPr>
          <w:rFonts w:ascii="Times New Roman" w:hAnsi="Times New Roman"/>
          <w:b/>
          <w:sz w:val="20"/>
        </w:rPr>
      </w:pPr>
      <w:r w:rsidRPr="00DB1940">
        <w:rPr>
          <w:rFonts w:ascii="Times New Roman" w:hAnsi="Times New Roman"/>
          <w:b/>
          <w:sz w:val="20"/>
        </w:rPr>
        <w:br w:type="page"/>
      </w:r>
    </w:p>
    <w:p w:rsidR="00DB1940" w:rsidRPr="00DB1940" w:rsidP="00DB1940">
      <w:pPr>
        <w:spacing w:after="0" w:line="240" w:lineRule="auto"/>
        <w:jc w:val="left"/>
        <w:rPr>
          <w:rFonts w:ascii="Times New Roman" w:hAnsi="Times New Roman"/>
          <w:b/>
          <w:sz w:val="20"/>
        </w:rPr>
      </w:pPr>
    </w:p>
    <w:p w:rsidR="00DB1940" w:rsidRPr="00DB1940" w:rsidP="00DB1940">
      <w:pPr>
        <w:spacing w:after="0" w:line="240" w:lineRule="auto"/>
        <w:jc w:val="left"/>
        <w:rPr>
          <w:rFonts w:ascii="Times New Roman" w:hAnsi="Times New Roman"/>
          <w:b/>
          <w:sz w:val="20"/>
        </w:rPr>
      </w:pPr>
    </w:p>
    <w:p w:rsidR="00DB1940" w:rsidRPr="00DB1940" w:rsidP="00DB1940">
      <w:pPr>
        <w:spacing w:after="0" w:line="240" w:lineRule="auto"/>
        <w:jc w:val="left"/>
        <w:rPr>
          <w:rFonts w:ascii="Times New Roman" w:hAnsi="Times New Roman"/>
          <w:b/>
          <w:sz w:val="20"/>
        </w:rPr>
      </w:pPr>
    </w:p>
    <w:p w:rsidR="00DB1940" w:rsidRPr="00DB1940" w:rsidP="00DB1940">
      <w:pPr>
        <w:spacing w:after="0" w:line="240" w:lineRule="auto"/>
        <w:jc w:val="left"/>
        <w:rPr>
          <w:rFonts w:ascii="Times New Roman" w:hAnsi="Times New Roman"/>
          <w:b/>
          <w:sz w:val="20"/>
        </w:rPr>
      </w:pPr>
      <w:r w:rsidRPr="00DB1940">
        <w:rPr>
          <w:rFonts w:ascii="Times New Roman" w:hAnsi="Times New Roman"/>
          <w:b/>
          <w:sz w:val="20"/>
        </w:rPr>
        <w:t>Counsel who argued in Supreme Court (not intended for publication with opinion):</w:t>
      </w:r>
    </w:p>
    <w:p w:rsidR="00DB1940" w:rsidRPr="00DB1940" w:rsidP="00DB1940">
      <w:pPr>
        <w:spacing w:after="0" w:line="240" w:lineRule="auto"/>
        <w:jc w:val="left"/>
        <w:rPr>
          <w:rFonts w:ascii="Times New Roman" w:hAnsi="Times New Roman"/>
          <w:b/>
          <w:sz w:val="20"/>
        </w:rPr>
      </w:pPr>
    </w:p>
    <w:p w:rsidR="00DB1940" w:rsidRPr="00DB1940" w:rsidP="00DB1940">
      <w:pPr>
        <w:spacing w:after="0" w:line="240" w:lineRule="auto"/>
        <w:jc w:val="left"/>
        <w:rPr>
          <w:rFonts w:ascii="Times New Roman" w:hAnsi="Times New Roman"/>
          <w:sz w:val="20"/>
        </w:rPr>
      </w:pPr>
      <w:r w:rsidRPr="00DB1940">
        <w:rPr>
          <w:rFonts w:ascii="Times New Roman" w:hAnsi="Times New Roman"/>
          <w:sz w:val="20"/>
        </w:rPr>
        <w:t>Wayne C. Tobin</w:t>
      </w:r>
    </w:p>
    <w:p w:rsidR="00DB1940" w:rsidRPr="00DB1940" w:rsidP="00DB1940">
      <w:pPr>
        <w:spacing w:after="0" w:line="240" w:lineRule="auto"/>
        <w:jc w:val="left"/>
        <w:rPr>
          <w:rFonts w:ascii="Times New Roman" w:hAnsi="Times New Roman"/>
          <w:sz w:val="20"/>
        </w:rPr>
      </w:pPr>
      <w:r w:rsidRPr="00DB1940">
        <w:rPr>
          <w:rFonts w:ascii="Times New Roman" w:hAnsi="Times New Roman"/>
          <w:sz w:val="20"/>
        </w:rPr>
        <w:t>Attorney at Law</w:t>
      </w:r>
    </w:p>
    <w:p w:rsidR="00DB1940" w:rsidRPr="00DB1940" w:rsidP="00DB1940">
      <w:pPr>
        <w:spacing w:after="0" w:line="240" w:lineRule="auto"/>
        <w:jc w:val="left"/>
        <w:rPr>
          <w:rFonts w:ascii="Times New Roman" w:hAnsi="Times New Roman"/>
          <w:sz w:val="20"/>
        </w:rPr>
      </w:pPr>
      <w:r w:rsidRPr="00DB1940">
        <w:rPr>
          <w:rFonts w:ascii="Times New Roman" w:hAnsi="Times New Roman"/>
          <w:sz w:val="20"/>
        </w:rPr>
        <w:t>1560-1 Newbury Road, #346</w:t>
      </w:r>
    </w:p>
    <w:p w:rsidR="00DB1940" w:rsidRPr="00DB1940" w:rsidP="00DB1940">
      <w:pPr>
        <w:spacing w:after="0" w:line="240" w:lineRule="auto"/>
        <w:jc w:val="left"/>
        <w:rPr>
          <w:rFonts w:ascii="Times New Roman" w:hAnsi="Times New Roman"/>
          <w:sz w:val="20"/>
        </w:rPr>
      </w:pPr>
      <w:r w:rsidRPr="00DB1940">
        <w:rPr>
          <w:rFonts w:ascii="Times New Roman" w:hAnsi="Times New Roman"/>
          <w:sz w:val="20"/>
        </w:rPr>
        <w:t>Newbury Park, CA 91320-3448</w:t>
      </w:r>
    </w:p>
    <w:p w:rsidR="00DB1940" w:rsidRPr="00DB1940" w:rsidP="00DB1940">
      <w:pPr>
        <w:spacing w:after="0" w:line="240" w:lineRule="auto"/>
        <w:jc w:val="left"/>
        <w:rPr>
          <w:rFonts w:ascii="Times New Roman" w:hAnsi="Times New Roman"/>
          <w:sz w:val="20"/>
        </w:rPr>
      </w:pPr>
      <w:r w:rsidRPr="00DB1940">
        <w:rPr>
          <w:rFonts w:ascii="Times New Roman" w:hAnsi="Times New Roman"/>
          <w:sz w:val="20"/>
        </w:rPr>
        <w:t>(805) 499-7656</w:t>
      </w:r>
    </w:p>
    <w:p w:rsidR="00DB1940" w:rsidRPr="00DB1940" w:rsidP="00DB1940">
      <w:pPr>
        <w:spacing w:after="0" w:line="240" w:lineRule="auto"/>
        <w:jc w:val="left"/>
        <w:rPr>
          <w:rFonts w:ascii="Times New Roman" w:hAnsi="Times New Roman"/>
          <w:sz w:val="20"/>
        </w:rPr>
      </w:pPr>
    </w:p>
    <w:p w:rsidR="00DB1940" w:rsidRPr="00DB1940" w:rsidP="00DB1940">
      <w:pPr>
        <w:spacing w:after="0" w:line="240" w:lineRule="auto"/>
        <w:jc w:val="left"/>
        <w:rPr>
          <w:rFonts w:ascii="Times New Roman" w:hAnsi="Times New Roman"/>
          <w:sz w:val="20"/>
        </w:rPr>
      </w:pPr>
      <w:r w:rsidRPr="00DB1940">
        <w:rPr>
          <w:rFonts w:ascii="Times New Roman" w:hAnsi="Times New Roman"/>
          <w:sz w:val="20"/>
        </w:rPr>
        <w:t>Helen H. Hong</w:t>
      </w:r>
    </w:p>
    <w:p w:rsidR="00DB1940" w:rsidRPr="00DB1940" w:rsidP="00DB1940">
      <w:pPr>
        <w:spacing w:after="0" w:line="240" w:lineRule="auto"/>
        <w:jc w:val="left"/>
        <w:rPr>
          <w:rFonts w:ascii="Times New Roman" w:hAnsi="Times New Roman"/>
          <w:color w:val="FF0000"/>
          <w:sz w:val="20"/>
        </w:rPr>
      </w:pPr>
      <w:r w:rsidRPr="00DB1940">
        <w:rPr>
          <w:rFonts w:ascii="Times New Roman" w:hAnsi="Times New Roman"/>
          <w:sz w:val="20"/>
        </w:rPr>
        <w:t xml:space="preserve">Deputy State Solicitor General </w:t>
      </w:r>
    </w:p>
    <w:p w:rsidR="00DB1940" w:rsidRPr="00DB1940" w:rsidP="00DB1940">
      <w:pPr>
        <w:spacing w:after="0" w:line="240" w:lineRule="auto"/>
        <w:jc w:val="left"/>
        <w:rPr>
          <w:rFonts w:ascii="Times New Roman" w:hAnsi="Times New Roman"/>
          <w:sz w:val="20"/>
        </w:rPr>
      </w:pPr>
      <w:r w:rsidRPr="00DB1940">
        <w:rPr>
          <w:rFonts w:ascii="Times New Roman" w:hAnsi="Times New Roman"/>
          <w:sz w:val="20"/>
        </w:rPr>
        <w:t>600 West Broadway, Suite 1800</w:t>
      </w:r>
    </w:p>
    <w:p w:rsidR="00DB1940" w:rsidRPr="00DB1940" w:rsidP="00DB1940">
      <w:pPr>
        <w:spacing w:after="0" w:line="240" w:lineRule="auto"/>
        <w:jc w:val="left"/>
        <w:rPr>
          <w:rFonts w:ascii="Times New Roman" w:hAnsi="Times New Roman"/>
          <w:sz w:val="20"/>
        </w:rPr>
      </w:pPr>
      <w:r w:rsidRPr="00DB1940">
        <w:rPr>
          <w:rFonts w:ascii="Times New Roman" w:hAnsi="Times New Roman"/>
          <w:sz w:val="20"/>
        </w:rPr>
        <w:t>San Diego, CA 92101</w:t>
      </w:r>
    </w:p>
    <w:p w:rsidR="00DB1940" w:rsidRPr="00DB1940" w:rsidP="00DB1940">
      <w:pPr>
        <w:spacing w:after="0" w:line="240" w:lineRule="auto"/>
        <w:jc w:val="left"/>
        <w:rPr>
          <w:rFonts w:ascii="Times New Roman" w:hAnsi="Times New Roman"/>
          <w:sz w:val="20"/>
        </w:rPr>
      </w:pPr>
      <w:r w:rsidRPr="00DB1940">
        <w:rPr>
          <w:rFonts w:ascii="Times New Roman" w:hAnsi="Times New Roman"/>
          <w:sz w:val="20"/>
        </w:rPr>
        <w:t>(619) 738-9693</w:t>
      </w:r>
    </w:p>
    <w:p w:rsidR="004D04C7" w:rsidRPr="00D57DBA" w:rsidP="00D57DBA">
      <w:pPr>
        <w:spacing w:after="0" w:line="240" w:lineRule="auto"/>
        <w:jc w:val="left"/>
        <w:rPr>
          <w:rFonts w:ascii="Times New Roman" w:hAnsi="Times New Roman"/>
          <w:sz w:val="26"/>
          <w:szCs w:val="26"/>
        </w:rPr>
      </w:pPr>
    </w:p>
    <w:sectPr w:rsidSect="00CE7668">
      <w:headerReference w:type="default" r:id="rId11"/>
      <w:footerReference w:type="default" r:id="rId12"/>
      <w:headerReference w:type="first" r:id="rId13"/>
      <w:footerReference w:type="first" r:id="rId14"/>
      <w:pgSz w:w="12240" w:h="15840"/>
      <w:pgMar w:top="1440" w:right="1800" w:bottom="1440" w:left="180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0C38" w:rsidP="001C049E">
    <w:pPr>
      <w:pStyle w:val="Footer"/>
    </w:pPr>
    <w:r>
      <w:rPr>
        <w:noProof/>
      </w:rPr>
      <w:tab/>
    </w:r>
    <w:r w:rsidR="00D7749C">
      <w:rPr>
        <w:noProof/>
      </w:rPr>
      <w:fldChar w:fldCharType="begin"/>
    </w:r>
    <w:r w:rsidR="00D7749C">
      <w:rPr>
        <w:noProof/>
      </w:rPr>
      <w:instrText>PAGE</w:instrText>
    </w:r>
    <w:r w:rsidR="00D7749C">
      <w:rPr>
        <w:noProof/>
      </w:rPr>
      <w:fldChar w:fldCharType="separate"/>
    </w:r>
    <w:r w:rsidR="00D7749C">
      <w:rPr>
        <w:noProof/>
      </w:rPr>
      <w:t>1</w:t>
    </w:r>
    <w:r w:rsidR="00D7749C">
      <w:rPr>
        <w:noProof/>
      </w:rPr>
      <w:fldChar w:fldCharType="end"/>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8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4187" w:rsidP="003802C0">
    <w:pPr>
      <w:pStyle w:val="Footer"/>
      <w:tabs>
        <w:tab w:val="left" w:pos="4440"/>
      </w:tabs>
    </w:pPr>
    <w:r>
      <w:rPr>
        <w:noProof/>
      </w:rPr>
      <w:tab/>
    </w:r>
    <w:r>
      <w:rPr>
        <w:noProof/>
      </w:rPr>
      <w:fldChar w:fldCharType="begin"/>
    </w:r>
    <w:r>
      <w:rPr>
        <w:noProof/>
      </w:rPr>
      <w:instrText>PAGE</w:instrText>
    </w:r>
    <w:r>
      <w:rPr>
        <w:noProof/>
      </w:rPr>
      <w:fldChar w:fldCharType="separate"/>
    </w:r>
    <w:r>
      <w:rPr>
        <w:noProof/>
      </w:rPr>
      <w:t>1</w:t>
    </w:r>
    <w:r>
      <w:rPr>
        <w:noProof/>
      </w:rPr>
      <w:fldChar w:fldCharType="end"/>
    </w:r>
    <w:r>
      <w:rPr>
        <w:noProof/>
      </w:rPr>
      <w:tab/>
    </w:r>
    <w:r w:rsidR="003802C0">
      <w:rPr>
        <w:noProof/>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1940" w:rsidP="003802C0">
    <w:pPr>
      <w:pStyle w:val="Footer"/>
      <w:tabs>
        <w:tab w:val="left" w:pos="4440"/>
      </w:tabs>
    </w:pPr>
    <w:r>
      <w:rPr>
        <w:noProof/>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766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049E">
    <w:pPr>
      <w:pStyle w:val="Header"/>
    </w:pPr>
    <w:r>
      <w:t>PEOPLE v. MAYA</w:t>
    </w:r>
  </w:p>
  <w:p w:rsidR="001C049E">
    <w:pPr>
      <w:pStyle w:val="Header"/>
    </w:pPr>
    <w:r>
      <w:t>Opinion of the Court by Cantil-Sakauye, C. J.</w:t>
    </w:r>
  </w:p>
  <w:p w:rsidR="001C04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8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1940" w:rsidRPr="001E2049" w:rsidP="001E20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7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F82FAA"/>
    <w:multiLevelType w:val="hybridMultilevel"/>
    <w:tmpl w:val="D038B3A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7364DB"/>
    <w:multiLevelType w:val="hybridMultilevel"/>
    <w:tmpl w:val="2A489352"/>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8666130"/>
    <w:multiLevelType w:val="hybridMultilevel"/>
    <w:tmpl w:val="431ACD58"/>
    <w:lvl w:ilvl="0">
      <w:start w:val="1"/>
      <w:numFmt w:val="bullet"/>
      <w:lvlText w:val="-"/>
      <w:lvlJc w:val="left"/>
      <w:pPr>
        <w:ind w:left="1800" w:hanging="360"/>
      </w:pPr>
      <w:rPr>
        <w:rFonts w:ascii="Times New Roman" w:eastAsia="Times New Roman" w:hAnsi="Times New Roman" w:cs="Times New Roman"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0E271EDA"/>
    <w:multiLevelType w:val="hybridMultilevel"/>
    <w:tmpl w:val="A48CFDBE"/>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0A4280E"/>
    <w:multiLevelType w:val="hybridMultilevel"/>
    <w:tmpl w:val="305CB89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91A3705"/>
    <w:multiLevelType w:val="hybridMultilevel"/>
    <w:tmpl w:val="FA5432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21B146D"/>
    <w:multiLevelType w:val="hybridMultilevel"/>
    <w:tmpl w:val="063A2B44"/>
    <w:lvl w:ilvl="0">
      <w:start w:val="2"/>
      <w:numFmt w:val="bullet"/>
      <w:lvlText w:val="-"/>
      <w:lvlJc w:val="left"/>
      <w:pPr>
        <w:ind w:left="1140" w:hanging="360"/>
      </w:pPr>
      <w:rPr>
        <w:rFonts w:ascii="Times New Roman" w:eastAsia="Times New Roman" w:hAnsi="Times New Roman" w:cs="Times New Roman"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7">
    <w:nsid w:val="236625ED"/>
    <w:multiLevelType w:val="hybridMultilevel"/>
    <w:tmpl w:val="C0DC6CA4"/>
    <w:lvl w:ilvl="0">
      <w:start w:val="1"/>
      <w:numFmt w:val="upperLetter"/>
      <w:lvlText w:val="%1."/>
      <w:lvlJc w:val="left"/>
      <w:pPr>
        <w:ind w:left="1100" w:hanging="38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B4D2FBA"/>
    <w:multiLevelType w:val="hybridMultilevel"/>
    <w:tmpl w:val="C0DC6CA4"/>
    <w:lvl w:ilvl="0">
      <w:start w:val="1"/>
      <w:numFmt w:val="upperLetter"/>
      <w:lvlText w:val="%1."/>
      <w:lvlJc w:val="left"/>
      <w:pPr>
        <w:ind w:left="1100" w:hanging="38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7350185"/>
    <w:multiLevelType w:val="hybridMultilevel"/>
    <w:tmpl w:val="7AF0E9C2"/>
    <w:lvl w:ilvl="0">
      <w:start w:val="2"/>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484B1D69"/>
    <w:multiLevelType w:val="hybridMultilevel"/>
    <w:tmpl w:val="384041F6"/>
    <w:lvl w:ilvl="0">
      <w:start w:val="2"/>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48C337D5"/>
    <w:multiLevelType w:val="hybridMultilevel"/>
    <w:tmpl w:val="CC5CA24E"/>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E247ECE"/>
    <w:multiLevelType w:val="hybridMultilevel"/>
    <w:tmpl w:val="F6EC797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52C4710E"/>
    <w:multiLevelType w:val="hybridMultilevel"/>
    <w:tmpl w:val="72628756"/>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2D4658D"/>
    <w:multiLevelType w:val="hybridMultilevel"/>
    <w:tmpl w:val="6260896A"/>
    <w:lvl w:ilvl="0">
      <w:start w:val="27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570C2FC8"/>
    <w:multiLevelType w:val="hybridMultilevel"/>
    <w:tmpl w:val="742AF4A4"/>
    <w:lvl w:ilvl="0">
      <w:start w:val="3"/>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625367E7"/>
    <w:multiLevelType w:val="hybridMultilevel"/>
    <w:tmpl w:val="BCC42CF8"/>
    <w:lvl w:ilvl="0">
      <w:start w:val="2"/>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6FFF4EC4"/>
    <w:multiLevelType w:val="hybridMultilevel"/>
    <w:tmpl w:val="8F3EA33A"/>
    <w:lvl w:ilvl="0">
      <w:start w:val="2"/>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725C0EDB"/>
    <w:multiLevelType w:val="hybridMultilevel"/>
    <w:tmpl w:val="C0DC6CA4"/>
    <w:lvl w:ilvl="0">
      <w:start w:val="1"/>
      <w:numFmt w:val="upperLetter"/>
      <w:lvlText w:val="%1."/>
      <w:lvlJc w:val="left"/>
      <w:pPr>
        <w:ind w:left="1100" w:hanging="38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11"/>
  </w:num>
  <w:num w:numId="5">
    <w:abstractNumId w:val="1"/>
  </w:num>
  <w:num w:numId="6">
    <w:abstractNumId w:val="4"/>
  </w:num>
  <w:num w:numId="7">
    <w:abstractNumId w:val="17"/>
  </w:num>
  <w:num w:numId="8">
    <w:abstractNumId w:val="0"/>
  </w:num>
  <w:num w:numId="9">
    <w:abstractNumId w:val="10"/>
  </w:num>
  <w:num w:numId="10">
    <w:abstractNumId w:val="6"/>
  </w:num>
  <w:num w:numId="11">
    <w:abstractNumId w:val="16"/>
  </w:num>
  <w:num w:numId="12">
    <w:abstractNumId w:val="8"/>
  </w:num>
  <w:num w:numId="13">
    <w:abstractNumId w:val="14"/>
  </w:num>
  <w:num w:numId="14">
    <w:abstractNumId w:val="18"/>
  </w:num>
  <w:num w:numId="15">
    <w:abstractNumId w:val="15"/>
  </w:num>
  <w:num w:numId="16">
    <w:abstractNumId w:val="13"/>
  </w:num>
  <w:num w:numId="17">
    <w:abstractNumId w:val="5"/>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49E"/>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1C049E"/>
    <w:pPr>
      <w:keepNext/>
      <w:spacing w:before="140" w:line="240" w:lineRule="atLeast"/>
      <w:jc w:val="center"/>
      <w:outlineLvl w:val="0"/>
    </w:pPr>
    <w:rPr>
      <w:b/>
      <w:smallCaps/>
    </w:rPr>
  </w:style>
  <w:style w:type="paragraph" w:styleId="Heading2">
    <w:name w:val="heading 2"/>
    <w:basedOn w:val="Normal"/>
    <w:next w:val="Normal"/>
    <w:link w:val="Heading2Char"/>
    <w:qFormat/>
    <w:rsid w:val="001C049E"/>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1C049E"/>
    <w:pPr>
      <w:keepNext/>
      <w:tabs>
        <w:tab w:val="left" w:pos="1584"/>
      </w:tabs>
      <w:spacing w:before="140" w:line="240" w:lineRule="atLeast"/>
      <w:ind w:left="1584" w:hanging="432"/>
      <w:jc w:val="left"/>
      <w:outlineLvl w:val="2"/>
    </w:pPr>
    <w:rPr>
      <w:i/>
    </w:rPr>
  </w:style>
  <w:style w:type="paragraph" w:styleId="Heading4">
    <w:name w:val="heading 4"/>
    <w:basedOn w:val="Normal"/>
    <w:rsid w:val="001C049E"/>
    <w:pPr>
      <w:keepNext/>
      <w:tabs>
        <w:tab w:val="left" w:pos="2016"/>
      </w:tabs>
      <w:spacing w:before="140" w:line="240" w:lineRule="atLeast"/>
      <w:ind w:left="2016" w:hanging="432"/>
      <w:jc w:val="left"/>
      <w:outlineLvl w:val="3"/>
    </w:pPr>
    <w:rPr>
      <w:i/>
    </w:rPr>
  </w:style>
  <w:style w:type="paragraph" w:styleId="Heading5">
    <w:name w:val="heading 5"/>
    <w:basedOn w:val="Normal"/>
    <w:rsid w:val="001C049E"/>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1C049E"/>
    <w:pPr>
      <w:ind w:left="720"/>
    </w:pPr>
  </w:style>
  <w:style w:type="paragraph" w:styleId="Footer">
    <w:name w:val="footer"/>
    <w:basedOn w:val="Normal"/>
    <w:qFormat/>
    <w:rsid w:val="001C049E"/>
    <w:pPr>
      <w:tabs>
        <w:tab w:val="center" w:pos="3960"/>
        <w:tab w:val="right" w:pos="10080"/>
      </w:tabs>
      <w:spacing w:after="0" w:line="240" w:lineRule="auto"/>
      <w:jc w:val="center"/>
    </w:pPr>
    <w:rPr>
      <w:sz w:val="22"/>
    </w:rPr>
  </w:style>
  <w:style w:type="paragraph" w:styleId="Header">
    <w:name w:val="header"/>
    <w:basedOn w:val="Normal"/>
    <w:qFormat/>
    <w:rsid w:val="001C049E"/>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1C049E"/>
    <w:rPr>
      <w:rFonts w:ascii="Century Schoolbook" w:hAnsi="Century Schoolbook"/>
      <w:b/>
      <w:i w:val="0"/>
      <w:position w:val="4"/>
      <w:sz w:val="27"/>
      <w:vertAlign w:val="superscript"/>
    </w:rPr>
  </w:style>
  <w:style w:type="paragraph" w:styleId="FootnoteText">
    <w:name w:val="footnote text"/>
    <w:basedOn w:val="Normal"/>
    <w:link w:val="FootnoteTextChar"/>
    <w:rsid w:val="001C049E"/>
    <w:pPr>
      <w:spacing w:line="300" w:lineRule="exact"/>
    </w:pPr>
  </w:style>
  <w:style w:type="paragraph" w:customStyle="1" w:styleId="Title1">
    <w:name w:val="Title1"/>
    <w:basedOn w:val="Normal"/>
    <w:rsid w:val="001C049E"/>
    <w:pPr>
      <w:tabs>
        <w:tab w:val="left" w:pos="5760"/>
        <w:tab w:val="left" w:pos="6480"/>
      </w:tabs>
      <w:spacing w:line="240" w:lineRule="atLeast"/>
    </w:pPr>
  </w:style>
  <w:style w:type="paragraph" w:customStyle="1" w:styleId="Recommend">
    <w:name w:val="Recommend"/>
    <w:basedOn w:val="Normal"/>
    <w:rsid w:val="001C049E"/>
  </w:style>
  <w:style w:type="paragraph" w:customStyle="1" w:styleId="Summary">
    <w:name w:val="Summary"/>
    <w:basedOn w:val="Normal"/>
    <w:rsid w:val="001C049E"/>
    <w:pPr>
      <w:ind w:left="2160" w:hanging="2160"/>
    </w:pPr>
  </w:style>
  <w:style w:type="paragraph" w:customStyle="1" w:styleId="Text">
    <w:name w:val="Text"/>
    <w:basedOn w:val="Normal"/>
    <w:rsid w:val="001C049E"/>
    <w:pPr>
      <w:tabs>
        <w:tab w:val="left" w:pos="720"/>
        <w:tab w:val="left" w:pos="1440"/>
        <w:tab w:val="left" w:pos="2160"/>
        <w:tab w:val="center" w:pos="4320"/>
      </w:tabs>
      <w:spacing w:line="480" w:lineRule="atLeast"/>
      <w:ind w:firstLine="540"/>
    </w:pPr>
  </w:style>
  <w:style w:type="paragraph" w:styleId="Date">
    <w:name w:val="Date"/>
    <w:basedOn w:val="Normal"/>
    <w:semiHidden/>
    <w:rsid w:val="001C049E"/>
    <w:pPr>
      <w:jc w:val="right"/>
    </w:pPr>
  </w:style>
  <w:style w:type="character" w:styleId="PageNumber">
    <w:name w:val="page number"/>
    <w:basedOn w:val="DefaultParagraphFont"/>
    <w:rsid w:val="001C049E"/>
  </w:style>
  <w:style w:type="paragraph" w:customStyle="1" w:styleId="subject">
    <w:name w:val="subject"/>
    <w:basedOn w:val="Normal"/>
    <w:rsid w:val="001C049E"/>
    <w:pPr>
      <w:tabs>
        <w:tab w:val="left" w:pos="1008"/>
      </w:tabs>
      <w:ind w:left="990" w:hanging="990"/>
    </w:pPr>
    <w:rPr>
      <w:b/>
    </w:rPr>
  </w:style>
  <w:style w:type="paragraph" w:customStyle="1" w:styleId="Titles">
    <w:name w:val="Titles"/>
    <w:basedOn w:val="Normal"/>
    <w:rsid w:val="001C049E"/>
    <w:pPr>
      <w:tabs>
        <w:tab w:val="left" w:pos="2160"/>
      </w:tabs>
      <w:ind w:left="2160" w:hanging="2160"/>
    </w:pPr>
    <w:rPr>
      <w:b/>
    </w:rPr>
  </w:style>
  <w:style w:type="paragraph" w:styleId="TOAHeading">
    <w:name w:val="toa heading"/>
    <w:basedOn w:val="Normal"/>
    <w:next w:val="Normal"/>
    <w:semiHidden/>
    <w:rsid w:val="001C049E"/>
    <w:pPr>
      <w:spacing w:before="120"/>
    </w:pPr>
    <w:rPr>
      <w:b/>
    </w:rPr>
  </w:style>
  <w:style w:type="paragraph" w:styleId="TOC1">
    <w:name w:val="toc 1"/>
    <w:basedOn w:val="Normal"/>
    <w:next w:val="Normal"/>
    <w:autoRedefine/>
    <w:semiHidden/>
    <w:rsid w:val="001C049E"/>
  </w:style>
  <w:style w:type="paragraph" w:styleId="TOC2">
    <w:name w:val="toc 2"/>
    <w:basedOn w:val="Normal"/>
    <w:next w:val="Normal"/>
    <w:autoRedefine/>
    <w:semiHidden/>
    <w:rsid w:val="001C049E"/>
    <w:pPr>
      <w:ind w:left="259"/>
    </w:pPr>
  </w:style>
  <w:style w:type="paragraph" w:styleId="TOC3">
    <w:name w:val="toc 3"/>
    <w:basedOn w:val="Normal"/>
    <w:next w:val="Normal"/>
    <w:autoRedefine/>
    <w:semiHidden/>
    <w:rsid w:val="001C049E"/>
    <w:pPr>
      <w:ind w:left="520"/>
    </w:pPr>
  </w:style>
  <w:style w:type="paragraph" w:styleId="TOC4">
    <w:name w:val="toc 4"/>
    <w:basedOn w:val="Normal"/>
    <w:next w:val="Normal"/>
    <w:autoRedefine/>
    <w:semiHidden/>
    <w:rsid w:val="001C049E"/>
    <w:pPr>
      <w:ind w:left="780"/>
    </w:pPr>
  </w:style>
  <w:style w:type="paragraph" w:styleId="TOC5">
    <w:name w:val="toc 5"/>
    <w:basedOn w:val="Normal"/>
    <w:next w:val="Normal"/>
    <w:autoRedefine/>
    <w:semiHidden/>
    <w:rsid w:val="001C049E"/>
    <w:pPr>
      <w:ind w:left="1040"/>
    </w:pPr>
  </w:style>
  <w:style w:type="paragraph" w:styleId="TOC6">
    <w:name w:val="toc 6"/>
    <w:basedOn w:val="Normal"/>
    <w:next w:val="Normal"/>
    <w:autoRedefine/>
    <w:semiHidden/>
    <w:rsid w:val="001C049E"/>
    <w:pPr>
      <w:ind w:left="1300"/>
    </w:pPr>
  </w:style>
  <w:style w:type="paragraph" w:styleId="TOC7">
    <w:name w:val="toc 7"/>
    <w:basedOn w:val="Normal"/>
    <w:next w:val="Normal"/>
    <w:autoRedefine/>
    <w:semiHidden/>
    <w:rsid w:val="001C049E"/>
    <w:pPr>
      <w:ind w:left="1560"/>
    </w:pPr>
  </w:style>
  <w:style w:type="paragraph" w:styleId="TOC8">
    <w:name w:val="toc 8"/>
    <w:basedOn w:val="Normal"/>
    <w:next w:val="Normal"/>
    <w:autoRedefine/>
    <w:semiHidden/>
    <w:rsid w:val="001C049E"/>
    <w:pPr>
      <w:ind w:left="1820"/>
    </w:pPr>
  </w:style>
  <w:style w:type="paragraph" w:styleId="TOC9">
    <w:name w:val="toc 9"/>
    <w:basedOn w:val="Normal"/>
    <w:next w:val="Normal"/>
    <w:autoRedefine/>
    <w:semiHidden/>
    <w:rsid w:val="001C049E"/>
    <w:pPr>
      <w:ind w:left="2080"/>
    </w:pPr>
  </w:style>
  <w:style w:type="paragraph" w:customStyle="1" w:styleId="Contents">
    <w:name w:val="Contents"/>
    <w:basedOn w:val="Normal"/>
    <w:rsid w:val="001C049E"/>
    <w:pPr>
      <w:jc w:val="center"/>
    </w:pPr>
    <w:rPr>
      <w:b/>
      <w:spacing w:val="100"/>
    </w:rPr>
  </w:style>
  <w:style w:type="character" w:customStyle="1" w:styleId="Heading1Char">
    <w:name w:val="Heading 1 Char"/>
    <w:basedOn w:val="DefaultParagraphFont"/>
    <w:link w:val="Heading1"/>
    <w:rsid w:val="009511A9"/>
    <w:rPr>
      <w:rFonts w:ascii="Century Schoolbook" w:hAnsi="Century Schoolbook"/>
      <w:b/>
      <w:smallCaps/>
      <w:sz w:val="27"/>
    </w:rPr>
  </w:style>
  <w:style w:type="character" w:customStyle="1" w:styleId="Heading2Char">
    <w:name w:val="Heading 2 Char"/>
    <w:basedOn w:val="DefaultParagraphFont"/>
    <w:link w:val="Heading2"/>
    <w:rsid w:val="009511A9"/>
    <w:rPr>
      <w:rFonts w:ascii="Century Schoolbook" w:hAnsi="Century Schoolbook"/>
      <w:b/>
      <w:sz w:val="27"/>
    </w:rPr>
  </w:style>
  <w:style w:type="character" w:customStyle="1" w:styleId="Heading3Char">
    <w:name w:val="Heading 3 Char"/>
    <w:basedOn w:val="DefaultParagraphFont"/>
    <w:link w:val="Heading3"/>
    <w:rsid w:val="009511A9"/>
    <w:rPr>
      <w:rFonts w:ascii="Century Schoolbook" w:hAnsi="Century Schoolbook"/>
      <w:i/>
      <w:sz w:val="27"/>
    </w:rPr>
  </w:style>
  <w:style w:type="paragraph" w:styleId="ListParagraph">
    <w:name w:val="List Paragraph"/>
    <w:basedOn w:val="Normal"/>
    <w:uiPriority w:val="34"/>
    <w:qFormat/>
    <w:rsid w:val="009511A9"/>
    <w:pPr>
      <w:ind w:left="720"/>
      <w:contextualSpacing/>
    </w:pPr>
  </w:style>
  <w:style w:type="character" w:styleId="Emphasis">
    <w:name w:val="Emphasis"/>
    <w:basedOn w:val="DefaultParagraphFont"/>
    <w:uiPriority w:val="20"/>
    <w:qFormat/>
    <w:rsid w:val="00623551"/>
    <w:rPr>
      <w:i/>
      <w:iCs/>
    </w:rPr>
  </w:style>
  <w:style w:type="character" w:customStyle="1" w:styleId="coconcept16">
    <w:name w:val="co_concept_1_6"/>
    <w:basedOn w:val="DefaultParagraphFont"/>
    <w:rsid w:val="00623551"/>
  </w:style>
  <w:style w:type="character" w:customStyle="1" w:styleId="coconcept2335">
    <w:name w:val="co_concept_23_35"/>
    <w:basedOn w:val="DefaultParagraphFont"/>
    <w:rsid w:val="00623551"/>
  </w:style>
  <w:style w:type="character" w:customStyle="1" w:styleId="coconcept1218">
    <w:name w:val="co_concept_12_18"/>
    <w:basedOn w:val="DefaultParagraphFont"/>
    <w:rsid w:val="00FE039D"/>
  </w:style>
  <w:style w:type="character" w:customStyle="1" w:styleId="costarpage">
    <w:name w:val="co_starpage"/>
    <w:basedOn w:val="DefaultParagraphFont"/>
    <w:rsid w:val="00FE039D"/>
  </w:style>
  <w:style w:type="character" w:customStyle="1" w:styleId="cohl">
    <w:name w:val="co_hl"/>
    <w:basedOn w:val="DefaultParagraphFont"/>
    <w:rsid w:val="00E33188"/>
  </w:style>
  <w:style w:type="character" w:styleId="Hyperlink">
    <w:name w:val="Hyperlink"/>
    <w:basedOn w:val="DefaultParagraphFont"/>
    <w:uiPriority w:val="99"/>
    <w:unhideWhenUsed/>
    <w:rsid w:val="002D5D4C"/>
    <w:rPr>
      <w:color w:val="0000FF" w:themeColor="hyperlink"/>
      <w:u w:val="single"/>
    </w:rPr>
  </w:style>
  <w:style w:type="character" w:customStyle="1" w:styleId="UnresolvedMention">
    <w:name w:val="Unresolved Mention"/>
    <w:basedOn w:val="DefaultParagraphFont"/>
    <w:uiPriority w:val="99"/>
    <w:semiHidden/>
    <w:unhideWhenUsed/>
    <w:rsid w:val="002D5D4C"/>
    <w:rPr>
      <w:color w:val="605E5C"/>
      <w:shd w:val="clear" w:color="auto" w:fill="E1DFDD"/>
    </w:rPr>
  </w:style>
  <w:style w:type="character" w:styleId="CommentReference">
    <w:name w:val="annotation reference"/>
    <w:basedOn w:val="DefaultParagraphFont"/>
    <w:uiPriority w:val="99"/>
    <w:semiHidden/>
    <w:unhideWhenUsed/>
    <w:rsid w:val="00DC37D1"/>
    <w:rPr>
      <w:sz w:val="16"/>
      <w:szCs w:val="16"/>
    </w:rPr>
  </w:style>
  <w:style w:type="paragraph" w:styleId="CommentText">
    <w:name w:val="annotation text"/>
    <w:basedOn w:val="Normal"/>
    <w:link w:val="CommentTextChar"/>
    <w:uiPriority w:val="99"/>
    <w:unhideWhenUsed/>
    <w:rsid w:val="00DC37D1"/>
    <w:rPr>
      <w:sz w:val="20"/>
    </w:rPr>
  </w:style>
  <w:style w:type="character" w:customStyle="1" w:styleId="CommentTextChar">
    <w:name w:val="Comment Text Char"/>
    <w:basedOn w:val="DefaultParagraphFont"/>
    <w:link w:val="CommentText"/>
    <w:uiPriority w:val="99"/>
    <w:rsid w:val="00DC37D1"/>
  </w:style>
  <w:style w:type="paragraph" w:styleId="CommentSubject">
    <w:name w:val="annotation subject"/>
    <w:basedOn w:val="CommentText"/>
    <w:next w:val="CommentText"/>
    <w:link w:val="CommentSubjectChar"/>
    <w:uiPriority w:val="99"/>
    <w:semiHidden/>
    <w:unhideWhenUsed/>
    <w:rsid w:val="00DC37D1"/>
    <w:rPr>
      <w:b/>
      <w:bCs/>
    </w:rPr>
  </w:style>
  <w:style w:type="character" w:customStyle="1" w:styleId="CommentSubjectChar">
    <w:name w:val="Comment Subject Char"/>
    <w:basedOn w:val="CommentTextChar"/>
    <w:link w:val="CommentSubject"/>
    <w:uiPriority w:val="99"/>
    <w:semiHidden/>
    <w:rsid w:val="00DC37D1"/>
    <w:rPr>
      <w:b/>
      <w:bCs/>
    </w:rPr>
  </w:style>
  <w:style w:type="paragraph" w:styleId="BalloonText">
    <w:name w:val="Balloon Text"/>
    <w:basedOn w:val="Normal"/>
    <w:link w:val="BalloonTextChar"/>
    <w:uiPriority w:val="99"/>
    <w:semiHidden/>
    <w:unhideWhenUsed/>
    <w:rsid w:val="00DC3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7D1"/>
    <w:rPr>
      <w:rFonts w:ascii="Segoe UI" w:hAnsi="Segoe UI" w:cs="Segoe UI"/>
      <w:sz w:val="18"/>
      <w:szCs w:val="18"/>
    </w:rPr>
  </w:style>
  <w:style w:type="paragraph" w:styleId="Revision">
    <w:name w:val="Revision"/>
    <w:hidden/>
    <w:uiPriority w:val="99"/>
    <w:semiHidden/>
    <w:rsid w:val="00DC37D1"/>
    <w:rPr>
      <w:sz w:val="26"/>
    </w:rPr>
  </w:style>
  <w:style w:type="character" w:customStyle="1" w:styleId="coconcept29">
    <w:name w:val="co_concept_2_9"/>
    <w:basedOn w:val="DefaultParagraphFont"/>
    <w:rsid w:val="009A11F6"/>
  </w:style>
  <w:style w:type="character" w:customStyle="1" w:styleId="coconcept4354">
    <w:name w:val="co_concept_43_54"/>
    <w:basedOn w:val="DefaultParagraphFont"/>
    <w:rsid w:val="009A11F6"/>
  </w:style>
  <w:style w:type="character" w:customStyle="1" w:styleId="FootnoteTextChar">
    <w:name w:val="Footnote Text Char"/>
    <w:basedOn w:val="DefaultParagraphFont"/>
    <w:link w:val="FootnoteText"/>
    <w:rsid w:val="00382D92"/>
    <w:rPr>
      <w:rFonts w:ascii="Century Schoolbook" w:hAnsi="Century Schoolbook"/>
      <w:sz w:val="27"/>
    </w:rPr>
  </w:style>
  <w:style w:type="paragraph" w:styleId="BodyText">
    <w:name w:val="Body Text"/>
    <w:basedOn w:val="Normal"/>
    <w:link w:val="BodyTextChar"/>
    <w:qFormat/>
    <w:rsid w:val="001C049E"/>
  </w:style>
  <w:style w:type="character" w:customStyle="1" w:styleId="BodyTextChar">
    <w:name w:val="Body Text Char"/>
    <w:basedOn w:val="DefaultParagraphFont"/>
    <w:link w:val="BodyText"/>
    <w:rsid w:val="001C049E"/>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header" Target="header4.xml" /><Relationship Id="rId12" Type="http://schemas.openxmlformats.org/officeDocument/2006/relationships/footer" Target="footer5.xml" /><Relationship Id="rId13" Type="http://schemas.openxmlformats.org/officeDocument/2006/relationships/header" Target="header5.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2020-04-09T16:18:47Z</dcterms:created>
  <dcterms:modified xsi:type="dcterms:W3CDTF">2020-04-09T16:18:47Z</dcterms:modified>
</cp:coreProperties>
</file>