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A5C96" w:rsidP="00D1376F">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D1376F" w:rsidP="00D1376F">
      <w:pPr>
        <w:tabs>
          <w:tab w:val="left" w:pos="1440"/>
          <w:tab w:val="left" w:pos="4680"/>
          <w:tab w:val="center" w:pos="7200"/>
        </w:tabs>
        <w:spacing w:after="0"/>
        <w:jc w:val="center"/>
      </w:pPr>
    </w:p>
    <w:p w:rsidR="00D1376F" w:rsidP="00D1376F">
      <w:pPr>
        <w:tabs>
          <w:tab w:val="left" w:pos="1440"/>
          <w:tab w:val="left" w:pos="4680"/>
          <w:tab w:val="center" w:pos="7200"/>
        </w:tabs>
        <w:spacing w:after="0"/>
        <w:jc w:val="center"/>
      </w:pPr>
      <w:r>
        <w:t xml:space="preserve">THE PEOPLE, </w:t>
      </w:r>
    </w:p>
    <w:p w:rsidR="00D1376F" w:rsidP="00D1376F">
      <w:pPr>
        <w:tabs>
          <w:tab w:val="left" w:pos="1440"/>
          <w:tab w:val="left" w:pos="4680"/>
          <w:tab w:val="center" w:pos="7200"/>
        </w:tabs>
        <w:spacing w:after="0"/>
        <w:jc w:val="center"/>
      </w:pPr>
      <w:r>
        <w:t>Petitioner</w:t>
      </w:r>
      <w:r w:rsidR="00B43F05">
        <w:t>,</w:t>
      </w:r>
    </w:p>
    <w:p w:rsidR="00D1376F" w:rsidP="00D1376F">
      <w:pPr>
        <w:tabs>
          <w:tab w:val="left" w:pos="1440"/>
          <w:tab w:val="left" w:pos="4680"/>
          <w:tab w:val="center" w:pos="7200"/>
        </w:tabs>
        <w:spacing w:after="0"/>
        <w:jc w:val="center"/>
      </w:pPr>
      <w:r>
        <w:t>v.</w:t>
      </w:r>
    </w:p>
    <w:p w:rsidR="00D1376F" w:rsidP="00D1376F">
      <w:pPr>
        <w:tabs>
          <w:tab w:val="left" w:pos="1440"/>
          <w:tab w:val="left" w:pos="4680"/>
          <w:tab w:val="center" w:pos="7200"/>
        </w:tabs>
        <w:spacing w:after="0"/>
        <w:jc w:val="center"/>
      </w:pPr>
      <w:r>
        <w:t>THE SUPERIOR COURT OF SAN DIEGO COUNTY,</w:t>
      </w:r>
    </w:p>
    <w:p w:rsidR="00D1376F" w:rsidP="001475D3">
      <w:pPr>
        <w:tabs>
          <w:tab w:val="left" w:pos="1440"/>
          <w:tab w:val="left" w:pos="4680"/>
          <w:tab w:val="center" w:pos="7200"/>
        </w:tabs>
        <w:spacing w:after="0"/>
        <w:jc w:val="center"/>
      </w:pPr>
      <w:r>
        <w:t>Respondent;</w:t>
      </w:r>
    </w:p>
    <w:p w:rsidR="00D1376F" w:rsidP="00D1376F">
      <w:pPr>
        <w:tabs>
          <w:tab w:val="left" w:pos="1440"/>
          <w:tab w:val="left" w:pos="4680"/>
          <w:tab w:val="center" w:pos="7200"/>
        </w:tabs>
        <w:spacing w:after="0"/>
        <w:jc w:val="center"/>
      </w:pPr>
      <w:r>
        <w:t>BRYAN MAURICE JONES,</w:t>
      </w:r>
    </w:p>
    <w:p w:rsidR="00D1376F" w:rsidP="00D1376F">
      <w:pPr>
        <w:tabs>
          <w:tab w:val="left" w:pos="1440"/>
          <w:tab w:val="left" w:pos="4680"/>
          <w:tab w:val="center" w:pos="7200"/>
        </w:tabs>
        <w:spacing w:after="0"/>
        <w:jc w:val="center"/>
      </w:pPr>
      <w:r>
        <w:t>Real Party in Interest.</w:t>
      </w:r>
    </w:p>
    <w:p w:rsidR="00D1376F" w:rsidP="00D1376F">
      <w:pPr>
        <w:tabs>
          <w:tab w:val="left" w:pos="1440"/>
          <w:tab w:val="left" w:pos="4680"/>
          <w:tab w:val="center" w:pos="7200"/>
        </w:tabs>
        <w:spacing w:after="0"/>
        <w:jc w:val="center"/>
      </w:pPr>
    </w:p>
    <w:p w:rsidR="00D1376F" w:rsidP="00D1376F">
      <w:pPr>
        <w:tabs>
          <w:tab w:val="left" w:pos="1440"/>
          <w:tab w:val="left" w:pos="4680"/>
          <w:tab w:val="center" w:pos="7200"/>
        </w:tabs>
        <w:spacing w:after="0"/>
        <w:jc w:val="center"/>
      </w:pPr>
      <w:r>
        <w:t>S255826</w:t>
      </w:r>
    </w:p>
    <w:p w:rsidR="00D1376F" w:rsidP="00D1376F">
      <w:pPr>
        <w:tabs>
          <w:tab w:val="left" w:pos="1440"/>
          <w:tab w:val="left" w:pos="4680"/>
          <w:tab w:val="center" w:pos="7200"/>
        </w:tabs>
        <w:spacing w:after="0"/>
        <w:jc w:val="center"/>
      </w:pPr>
    </w:p>
    <w:p w:rsidR="00D1376F" w:rsidP="00D1376F">
      <w:pPr>
        <w:tabs>
          <w:tab w:val="left" w:pos="1440"/>
          <w:tab w:val="left" w:pos="4680"/>
          <w:tab w:val="center" w:pos="7200"/>
        </w:tabs>
        <w:spacing w:after="0"/>
        <w:jc w:val="center"/>
      </w:pPr>
      <w:r>
        <w:t>Fourth Appellate District, Division One</w:t>
      </w:r>
    </w:p>
    <w:p w:rsidR="00D1376F" w:rsidP="00D1376F">
      <w:pPr>
        <w:tabs>
          <w:tab w:val="left" w:pos="1440"/>
          <w:tab w:val="left" w:pos="4680"/>
          <w:tab w:val="center" w:pos="7200"/>
        </w:tabs>
        <w:spacing w:after="0"/>
        <w:jc w:val="center"/>
      </w:pPr>
      <w:r>
        <w:t>D074028</w:t>
      </w:r>
    </w:p>
    <w:p w:rsidR="00D1376F" w:rsidP="00D1376F">
      <w:pPr>
        <w:tabs>
          <w:tab w:val="left" w:pos="1440"/>
          <w:tab w:val="left" w:pos="4680"/>
          <w:tab w:val="center" w:pos="7200"/>
        </w:tabs>
        <w:spacing w:after="0"/>
        <w:jc w:val="center"/>
      </w:pPr>
    </w:p>
    <w:p w:rsidR="00D1376F" w:rsidP="00D1376F">
      <w:pPr>
        <w:tabs>
          <w:tab w:val="left" w:pos="1440"/>
          <w:tab w:val="left" w:pos="4680"/>
          <w:tab w:val="center" w:pos="7200"/>
        </w:tabs>
        <w:spacing w:after="0"/>
        <w:jc w:val="center"/>
      </w:pPr>
      <w:r>
        <w:t>San Diego County Superior Court</w:t>
      </w:r>
    </w:p>
    <w:p w:rsidR="00D1376F" w:rsidP="00D1376F">
      <w:pPr>
        <w:tabs>
          <w:tab w:val="left" w:pos="1440"/>
          <w:tab w:val="left" w:pos="4680"/>
          <w:tab w:val="center" w:pos="7200"/>
        </w:tabs>
        <w:spacing w:after="0"/>
        <w:jc w:val="center"/>
      </w:pPr>
      <w:r>
        <w:t>CR136371</w:t>
      </w:r>
    </w:p>
    <w:p w:rsidR="00D1376F" w:rsidP="00D1376F">
      <w:pPr>
        <w:pBdr>
          <w:bottom w:val="single" w:sz="4" w:space="1" w:color="auto"/>
        </w:pBdr>
        <w:tabs>
          <w:tab w:val="left" w:pos="1440"/>
          <w:tab w:val="left" w:pos="4680"/>
          <w:tab w:val="center" w:pos="7200"/>
        </w:tabs>
        <w:spacing w:after="0"/>
        <w:jc w:val="center"/>
      </w:pPr>
    </w:p>
    <w:p w:rsidR="00D1376F" w:rsidP="00D1376F">
      <w:pPr>
        <w:tabs>
          <w:tab w:val="left" w:pos="1440"/>
          <w:tab w:val="left" w:pos="4680"/>
          <w:tab w:val="center" w:pos="7200"/>
        </w:tabs>
        <w:spacing w:after="0"/>
        <w:jc w:val="center"/>
      </w:pPr>
    </w:p>
    <w:p w:rsidR="00D1376F" w:rsidP="006875C0">
      <w:pPr>
        <w:tabs>
          <w:tab w:val="left" w:pos="1440"/>
          <w:tab w:val="left" w:pos="4680"/>
          <w:tab w:val="center" w:pos="7200"/>
        </w:tabs>
        <w:spacing w:after="0"/>
        <w:jc w:val="center"/>
      </w:pPr>
      <w:r>
        <w:t>December 2,</w:t>
      </w:r>
      <w:r>
        <w:t xml:space="preserve"> 2021</w:t>
      </w:r>
    </w:p>
    <w:p w:rsidR="00D1376F" w:rsidP="00D1376F">
      <w:pPr>
        <w:tabs>
          <w:tab w:val="left" w:pos="1440"/>
          <w:tab w:val="left" w:pos="4680"/>
          <w:tab w:val="center" w:pos="7200"/>
        </w:tabs>
        <w:spacing w:after="0"/>
        <w:jc w:val="center"/>
      </w:pPr>
    </w:p>
    <w:p w:rsidR="00D1376F" w:rsidP="00D1376F">
      <w:pPr>
        <w:tabs>
          <w:tab w:val="left" w:pos="1440"/>
          <w:tab w:val="left" w:pos="4680"/>
          <w:tab w:val="center" w:pos="7200"/>
        </w:tabs>
        <w:spacing w:after="0"/>
        <w:jc w:val="left"/>
      </w:pPr>
      <w:r>
        <w:t xml:space="preserve">Justice Kruger authored the opinion of the Court, in which </w:t>
      </w:r>
      <w:r w:rsidR="00B44342">
        <w:t>Chief Justice Cantil-Sakauye and Justices Corrigan, Liu, Groban, and Jenkins</w:t>
      </w:r>
      <w:r>
        <w:t xml:space="preserve"> concurred.</w:t>
      </w:r>
    </w:p>
    <w:p w:rsidR="00D1376F" w:rsidP="00D1376F">
      <w:pPr>
        <w:pBdr>
          <w:bottom w:val="single" w:sz="4" w:space="1" w:color="auto"/>
        </w:pBdr>
        <w:tabs>
          <w:tab w:val="left" w:pos="1440"/>
          <w:tab w:val="left" w:pos="4680"/>
          <w:tab w:val="center" w:pos="7200"/>
        </w:tabs>
        <w:spacing w:after="0"/>
        <w:jc w:val="left"/>
      </w:pPr>
    </w:p>
    <w:p w:rsidR="006B68AB" w:rsidP="00D1376F">
      <w:pPr>
        <w:tabs>
          <w:tab w:val="left" w:pos="1440"/>
          <w:tab w:val="left" w:pos="4680"/>
          <w:tab w:val="center" w:pos="7200"/>
        </w:tabs>
        <w:jc w:val="center"/>
        <w:sectPr w:rsidSect="001612EE">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bookmarkStart w:id="1" w:name="Return"/>
      <w:bookmarkEnd w:id="1"/>
    </w:p>
    <w:p w:rsidR="00D1376F" w:rsidP="00D1376F">
      <w:pPr>
        <w:tabs>
          <w:tab w:val="left" w:pos="1440"/>
          <w:tab w:val="left" w:pos="4680"/>
          <w:tab w:val="center" w:pos="7200"/>
        </w:tabs>
        <w:jc w:val="center"/>
      </w:pPr>
      <w:r>
        <w:t>PEOPLE v. S</w:t>
      </w:r>
      <w:r w:rsidR="006B68AB">
        <w:t>UPERIOR COURT</w:t>
      </w:r>
      <w:r>
        <w:t xml:space="preserve"> (JONES)</w:t>
      </w:r>
    </w:p>
    <w:p w:rsidR="00D1376F" w:rsidP="00D1376F">
      <w:pPr>
        <w:tabs>
          <w:tab w:val="left" w:pos="1440"/>
          <w:tab w:val="left" w:pos="4680"/>
          <w:tab w:val="center" w:pos="7200"/>
        </w:tabs>
        <w:jc w:val="center"/>
      </w:pPr>
      <w:r>
        <w:t>S255826</w:t>
      </w:r>
    </w:p>
    <w:p w:rsidR="00D1376F" w:rsidP="00D1376F">
      <w:pPr>
        <w:tabs>
          <w:tab w:val="left" w:pos="1440"/>
          <w:tab w:val="left" w:pos="4680"/>
          <w:tab w:val="center" w:pos="7200"/>
        </w:tabs>
        <w:jc w:val="center"/>
      </w:pPr>
    </w:p>
    <w:p w:rsidR="00D1376F" w:rsidP="00D1376F">
      <w:pPr>
        <w:tabs>
          <w:tab w:val="left" w:pos="1440"/>
          <w:tab w:val="left" w:pos="4680"/>
          <w:tab w:val="center" w:pos="7200"/>
        </w:tabs>
        <w:jc w:val="center"/>
      </w:pPr>
      <w:r>
        <w:t>Opinion of the Court by Kruger, J.</w:t>
      </w:r>
    </w:p>
    <w:p w:rsidR="00D1376F" w:rsidRPr="00D1376F" w:rsidP="00D1376F">
      <w:pPr>
        <w:tabs>
          <w:tab w:val="left" w:pos="1440"/>
          <w:tab w:val="left" w:pos="4680"/>
          <w:tab w:val="center" w:pos="7200"/>
        </w:tabs>
        <w:jc w:val="center"/>
      </w:pPr>
    </w:p>
    <w:p w:rsidR="00081CAB" w:rsidP="00D1376F">
      <w:pPr>
        <w:tabs>
          <w:tab w:val="left" w:pos="0"/>
        </w:tabs>
        <w:rPr>
          <w:szCs w:val="26"/>
        </w:rPr>
      </w:pPr>
      <w:r w:rsidRPr="00D1376F">
        <w:rPr>
          <w:szCs w:val="26"/>
        </w:rPr>
        <w:tab/>
      </w:r>
      <w:r>
        <w:rPr>
          <w:szCs w:val="26"/>
        </w:rPr>
        <w:t>A</w:t>
      </w:r>
      <w:r w:rsidR="00D1376F">
        <w:rPr>
          <w:szCs w:val="26"/>
        </w:rPr>
        <w:t xml:space="preserve"> jury convicted </w:t>
      </w:r>
      <w:r w:rsidRPr="00D1376F" w:rsidR="00F55080">
        <w:rPr>
          <w:szCs w:val="26"/>
        </w:rPr>
        <w:t xml:space="preserve">Bryan Maurice Jones </w:t>
      </w:r>
      <w:r w:rsidR="006429E5">
        <w:rPr>
          <w:szCs w:val="26"/>
        </w:rPr>
        <w:t xml:space="preserve">of </w:t>
      </w:r>
      <w:r w:rsidRPr="00D1376F" w:rsidR="004D4E16">
        <w:rPr>
          <w:szCs w:val="26"/>
        </w:rPr>
        <w:t>capital murder</w:t>
      </w:r>
      <w:r w:rsidRPr="00D1376F" w:rsidR="00AA7BE5">
        <w:rPr>
          <w:szCs w:val="26"/>
        </w:rPr>
        <w:t xml:space="preserve"> </w:t>
      </w:r>
      <w:r w:rsidRPr="00D1376F" w:rsidR="004D4E16">
        <w:rPr>
          <w:szCs w:val="26"/>
        </w:rPr>
        <w:t xml:space="preserve">and </w:t>
      </w:r>
      <w:r w:rsidR="006E5E9D">
        <w:rPr>
          <w:szCs w:val="26"/>
        </w:rPr>
        <w:t>returned a verdict of death</w:t>
      </w:r>
      <w:r>
        <w:rPr>
          <w:szCs w:val="26"/>
        </w:rPr>
        <w:t xml:space="preserve"> in 1994</w:t>
      </w:r>
      <w:r w:rsidRPr="00D1376F" w:rsidR="00F96289">
        <w:rPr>
          <w:szCs w:val="26"/>
        </w:rPr>
        <w:t xml:space="preserve">.  </w:t>
      </w:r>
      <w:r w:rsidR="007A6E18">
        <w:rPr>
          <w:szCs w:val="26"/>
        </w:rPr>
        <w:t>Decades later, a</w:t>
      </w:r>
      <w:r w:rsidRPr="00D1376F" w:rsidR="00036157">
        <w:rPr>
          <w:szCs w:val="26"/>
        </w:rPr>
        <w:t xml:space="preserve">fter </w:t>
      </w:r>
      <w:r w:rsidR="008565E4">
        <w:rPr>
          <w:szCs w:val="26"/>
        </w:rPr>
        <w:t xml:space="preserve">this court </w:t>
      </w:r>
      <w:r w:rsidR="00D1376F">
        <w:rPr>
          <w:szCs w:val="26"/>
        </w:rPr>
        <w:t xml:space="preserve">affirmed </w:t>
      </w:r>
      <w:r w:rsidRPr="00D1376F" w:rsidR="00036157">
        <w:rPr>
          <w:szCs w:val="26"/>
        </w:rPr>
        <w:t>h</w:t>
      </w:r>
      <w:r w:rsidRPr="00D1376F" w:rsidR="00D84E8F">
        <w:rPr>
          <w:szCs w:val="26"/>
        </w:rPr>
        <w:t>is</w:t>
      </w:r>
      <w:r w:rsidRPr="00D1376F" w:rsidR="00F96289">
        <w:rPr>
          <w:szCs w:val="26"/>
        </w:rPr>
        <w:t xml:space="preserve"> conviction and </w:t>
      </w:r>
      <w:r w:rsidR="006E5E9D">
        <w:rPr>
          <w:szCs w:val="26"/>
        </w:rPr>
        <w:t xml:space="preserve">death </w:t>
      </w:r>
      <w:r w:rsidRPr="00D1376F" w:rsidR="00F96289">
        <w:rPr>
          <w:szCs w:val="26"/>
        </w:rPr>
        <w:t>sentence on appeal</w:t>
      </w:r>
      <w:r w:rsidRPr="00D1376F" w:rsidR="00036157">
        <w:rPr>
          <w:szCs w:val="26"/>
        </w:rPr>
        <w:t xml:space="preserve">, </w:t>
      </w:r>
      <w:r w:rsidR="006B6A8A">
        <w:rPr>
          <w:szCs w:val="26"/>
        </w:rPr>
        <w:t>Jones</w:t>
      </w:r>
      <w:r w:rsidRPr="00D1376F" w:rsidR="006C3CAA">
        <w:rPr>
          <w:szCs w:val="26"/>
        </w:rPr>
        <w:t xml:space="preserve"> filed a habeas </w:t>
      </w:r>
      <w:r w:rsidR="00D1376F">
        <w:rPr>
          <w:szCs w:val="26"/>
        </w:rPr>
        <w:t xml:space="preserve">corpus </w:t>
      </w:r>
      <w:r w:rsidRPr="00D1376F" w:rsidR="006C3CAA">
        <w:rPr>
          <w:szCs w:val="26"/>
        </w:rPr>
        <w:t>petition</w:t>
      </w:r>
      <w:r w:rsidR="0006675C">
        <w:rPr>
          <w:szCs w:val="26"/>
        </w:rPr>
        <w:t xml:space="preserve"> </w:t>
      </w:r>
      <w:r w:rsidR="00834868">
        <w:rPr>
          <w:szCs w:val="26"/>
        </w:rPr>
        <w:t xml:space="preserve">claiming </w:t>
      </w:r>
      <w:r w:rsidRPr="00D1376F" w:rsidR="00A97B88">
        <w:rPr>
          <w:szCs w:val="26"/>
        </w:rPr>
        <w:t>the</w:t>
      </w:r>
      <w:r w:rsidRPr="00D1376F" w:rsidR="001D296E">
        <w:rPr>
          <w:szCs w:val="26"/>
        </w:rPr>
        <w:t xml:space="preserve"> </w:t>
      </w:r>
      <w:r w:rsidRPr="00D1376F" w:rsidR="00EC3288">
        <w:rPr>
          <w:szCs w:val="26"/>
        </w:rPr>
        <w:t xml:space="preserve">prosecution </w:t>
      </w:r>
      <w:r w:rsidR="00C46F56">
        <w:rPr>
          <w:szCs w:val="26"/>
        </w:rPr>
        <w:t xml:space="preserve">had </w:t>
      </w:r>
      <w:r w:rsidR="00BA7FA9">
        <w:rPr>
          <w:szCs w:val="26"/>
        </w:rPr>
        <w:t xml:space="preserve">used peremptory strikes to discriminate against </w:t>
      </w:r>
      <w:r w:rsidRPr="00D1376F" w:rsidR="00EC3288">
        <w:rPr>
          <w:szCs w:val="26"/>
        </w:rPr>
        <w:t>prospective jurors</w:t>
      </w:r>
      <w:r w:rsidR="00834868">
        <w:rPr>
          <w:szCs w:val="26"/>
        </w:rPr>
        <w:t xml:space="preserve"> </w:t>
      </w:r>
      <w:r w:rsidRPr="00D1376F" w:rsidR="0004779F">
        <w:rPr>
          <w:szCs w:val="26"/>
        </w:rPr>
        <w:t xml:space="preserve">in violation of </w:t>
      </w:r>
      <w:r w:rsidRPr="00D1376F" w:rsidR="0004779F">
        <w:rPr>
          <w:i/>
          <w:iCs/>
          <w:szCs w:val="26"/>
        </w:rPr>
        <w:t>Batson v. Kentucky</w:t>
      </w:r>
      <w:r w:rsidRPr="00D1376F" w:rsidR="0004779F">
        <w:rPr>
          <w:szCs w:val="26"/>
        </w:rPr>
        <w:t xml:space="preserve"> (1986) 476 U.S. 79</w:t>
      </w:r>
      <w:r w:rsidR="006B6A8A">
        <w:rPr>
          <w:szCs w:val="26"/>
        </w:rPr>
        <w:t xml:space="preserve"> (</w:t>
      </w:r>
      <w:r w:rsidR="006B6A8A">
        <w:rPr>
          <w:i/>
          <w:iCs/>
          <w:szCs w:val="26"/>
        </w:rPr>
        <w:t>Batson</w:t>
      </w:r>
      <w:r w:rsidR="006B6A8A">
        <w:rPr>
          <w:szCs w:val="26"/>
        </w:rPr>
        <w:t>)</w:t>
      </w:r>
      <w:r w:rsidRPr="00D1376F" w:rsidR="0004779F">
        <w:rPr>
          <w:szCs w:val="26"/>
        </w:rPr>
        <w:t xml:space="preserve"> and </w:t>
      </w:r>
      <w:r w:rsidRPr="00D1376F" w:rsidR="0004779F">
        <w:rPr>
          <w:i/>
          <w:iCs/>
          <w:szCs w:val="26"/>
        </w:rPr>
        <w:t xml:space="preserve">People v. Wheeler </w:t>
      </w:r>
      <w:r w:rsidRPr="00D1376F" w:rsidR="0004779F">
        <w:rPr>
          <w:szCs w:val="26"/>
        </w:rPr>
        <w:t>(1978) 22 Cal.3d 258</w:t>
      </w:r>
      <w:r w:rsidR="006B6A8A">
        <w:rPr>
          <w:szCs w:val="26"/>
        </w:rPr>
        <w:t xml:space="preserve"> (</w:t>
      </w:r>
      <w:r w:rsidR="006B6A8A">
        <w:rPr>
          <w:i/>
          <w:iCs/>
          <w:szCs w:val="26"/>
        </w:rPr>
        <w:t>Wheeler</w:t>
      </w:r>
      <w:r w:rsidR="006B6A8A">
        <w:rPr>
          <w:szCs w:val="26"/>
        </w:rPr>
        <w:t>)</w:t>
      </w:r>
      <w:r w:rsidRPr="00D1376F" w:rsidR="004D4E16">
        <w:rPr>
          <w:szCs w:val="26"/>
        </w:rPr>
        <w:t xml:space="preserve">.  </w:t>
      </w:r>
      <w:r w:rsidRPr="00D1376F" w:rsidR="00ED4C6F">
        <w:rPr>
          <w:szCs w:val="26"/>
        </w:rPr>
        <w:t xml:space="preserve">In connection with </w:t>
      </w:r>
      <w:r w:rsidR="004A5D06">
        <w:rPr>
          <w:szCs w:val="26"/>
        </w:rPr>
        <w:t>this</w:t>
      </w:r>
      <w:r w:rsidRPr="00D1376F" w:rsidR="001D296E">
        <w:rPr>
          <w:szCs w:val="26"/>
        </w:rPr>
        <w:t xml:space="preserve"> </w:t>
      </w:r>
      <w:r w:rsidRPr="00D1376F" w:rsidR="00ED4C6F">
        <w:rPr>
          <w:szCs w:val="26"/>
        </w:rPr>
        <w:t xml:space="preserve">petition, </w:t>
      </w:r>
      <w:r w:rsidRPr="00D1376F" w:rsidR="004D4E16">
        <w:rPr>
          <w:szCs w:val="26"/>
        </w:rPr>
        <w:t xml:space="preserve">Jones </w:t>
      </w:r>
      <w:r w:rsidRPr="00D1376F" w:rsidR="00B55EF3">
        <w:rPr>
          <w:szCs w:val="26"/>
        </w:rPr>
        <w:t>filed a motion for postconviction discovery under Penal Code section 1054.9</w:t>
      </w:r>
      <w:r w:rsidRPr="00D1376F" w:rsidR="00ED2FF9">
        <w:rPr>
          <w:szCs w:val="26"/>
        </w:rPr>
        <w:t xml:space="preserve"> seeking</w:t>
      </w:r>
      <w:r w:rsidRPr="00D1376F" w:rsidR="004F536C">
        <w:rPr>
          <w:szCs w:val="26"/>
        </w:rPr>
        <w:t xml:space="preserve"> </w:t>
      </w:r>
      <w:r w:rsidRPr="00D1376F" w:rsidR="00B55EF3">
        <w:rPr>
          <w:szCs w:val="26"/>
        </w:rPr>
        <w:t>access to the prosecutor’s jury selection notes</w:t>
      </w:r>
      <w:r w:rsidRPr="00D1376F" w:rsidR="00464F4B">
        <w:rPr>
          <w:szCs w:val="26"/>
        </w:rPr>
        <w:t xml:space="preserve">.  </w:t>
      </w:r>
      <w:r w:rsidR="00762709">
        <w:rPr>
          <w:szCs w:val="26"/>
        </w:rPr>
        <w:t xml:space="preserve">The trial court granted the motion, rejecting the </w:t>
      </w:r>
      <w:r w:rsidRPr="00D1376F" w:rsidR="00464F4B">
        <w:rPr>
          <w:szCs w:val="26"/>
        </w:rPr>
        <w:t xml:space="preserve">District Attorney’s </w:t>
      </w:r>
      <w:r w:rsidR="006B6A8A">
        <w:rPr>
          <w:szCs w:val="26"/>
        </w:rPr>
        <w:t xml:space="preserve">argument that </w:t>
      </w:r>
      <w:r w:rsidR="00344F49">
        <w:rPr>
          <w:szCs w:val="26"/>
        </w:rPr>
        <w:t xml:space="preserve">the notes are shielded from disclosure </w:t>
      </w:r>
      <w:r>
        <w:rPr>
          <w:szCs w:val="26"/>
        </w:rPr>
        <w:t xml:space="preserve">as </w:t>
      </w:r>
      <w:r w:rsidR="00762709">
        <w:rPr>
          <w:szCs w:val="26"/>
        </w:rPr>
        <w:t xml:space="preserve">attorney </w:t>
      </w:r>
      <w:r w:rsidR="006B6A8A">
        <w:rPr>
          <w:szCs w:val="26"/>
        </w:rPr>
        <w:t>work product</w:t>
      </w:r>
      <w:r w:rsidRPr="00D1376F" w:rsidR="00D4603C">
        <w:rPr>
          <w:szCs w:val="26"/>
        </w:rPr>
        <w:t>.  T</w:t>
      </w:r>
      <w:r w:rsidRPr="00D1376F" w:rsidR="00464F4B">
        <w:rPr>
          <w:szCs w:val="26"/>
        </w:rPr>
        <w:t>he Court of Appeal affirmed</w:t>
      </w:r>
      <w:r w:rsidRPr="00D1376F" w:rsidR="00454682">
        <w:rPr>
          <w:szCs w:val="26"/>
        </w:rPr>
        <w:t>.</w:t>
      </w:r>
    </w:p>
    <w:p w:rsidR="006B68AB">
      <w:pPr>
        <w:tabs>
          <w:tab w:val="left" w:pos="0"/>
        </w:tabs>
        <w:rPr>
          <w:szCs w:val="26"/>
        </w:rPr>
        <w:sectPr w:rsidSect="00432CB8">
          <w:headerReference w:type="first" r:id="rId11"/>
          <w:footerReference w:type="first" r:id="rId12"/>
          <w:pgSz w:w="12240" w:h="15840"/>
          <w:pgMar w:top="1800" w:right="2160" w:bottom="1440" w:left="2160" w:header="720" w:footer="720" w:gutter="0"/>
          <w:cols w:space="720"/>
          <w:titlePg/>
          <w:docGrid w:linePitch="367"/>
        </w:sectPr>
      </w:pPr>
      <w:r>
        <w:rPr>
          <w:szCs w:val="26"/>
        </w:rPr>
        <w:tab/>
        <w:t>We affirm as well</w:t>
      </w:r>
      <w:r w:rsidR="004A5D06">
        <w:rPr>
          <w:szCs w:val="26"/>
        </w:rPr>
        <w:t xml:space="preserve">.  </w:t>
      </w:r>
      <w:r>
        <w:rPr>
          <w:szCs w:val="26"/>
        </w:rPr>
        <w:t xml:space="preserve">At the </w:t>
      </w:r>
      <w:r>
        <w:rPr>
          <w:i/>
          <w:iCs/>
          <w:szCs w:val="26"/>
        </w:rPr>
        <w:t>Batson/Wheeler</w:t>
      </w:r>
      <w:r>
        <w:rPr>
          <w:szCs w:val="26"/>
        </w:rPr>
        <w:t xml:space="preserve"> hearing, the prosecut</w:t>
      </w:r>
      <w:r w:rsidR="00432CBD">
        <w:rPr>
          <w:szCs w:val="26"/>
        </w:rPr>
        <w:t>or</w:t>
      </w:r>
      <w:r>
        <w:rPr>
          <w:szCs w:val="26"/>
        </w:rPr>
        <w:t xml:space="preserve"> had relied on an undisclosed juror rating system to explain his reasons for the challenged peremptory strikes.  </w:t>
      </w:r>
      <w:r w:rsidR="00171408">
        <w:rPr>
          <w:szCs w:val="26"/>
        </w:rPr>
        <w:t xml:space="preserve">By putting the rating system at issue, </w:t>
      </w:r>
      <w:r w:rsidR="00491FC1">
        <w:rPr>
          <w:szCs w:val="26"/>
        </w:rPr>
        <w:t>the prosecut</w:t>
      </w:r>
      <w:r w:rsidR="00432CBD">
        <w:rPr>
          <w:szCs w:val="26"/>
        </w:rPr>
        <w:t>or</w:t>
      </w:r>
      <w:r w:rsidR="00491FC1">
        <w:rPr>
          <w:szCs w:val="26"/>
        </w:rPr>
        <w:t xml:space="preserve"> </w:t>
      </w:r>
      <w:r>
        <w:rPr>
          <w:szCs w:val="26"/>
        </w:rPr>
        <w:t>impliedly waived any claim of work product protection</w:t>
      </w:r>
      <w:r w:rsidR="009D0C89">
        <w:rPr>
          <w:szCs w:val="26"/>
        </w:rPr>
        <w:t xml:space="preserve"> over notes containing information about the system.</w:t>
      </w:r>
      <w:r w:rsidR="004C000C">
        <w:rPr>
          <w:szCs w:val="26"/>
        </w:rPr>
        <w:t xml:space="preserve"> </w:t>
      </w:r>
      <w:r>
        <w:rPr>
          <w:szCs w:val="26"/>
        </w:rPr>
        <w:t xml:space="preserve"> </w:t>
      </w:r>
      <w:r w:rsidR="00171408">
        <w:rPr>
          <w:szCs w:val="26"/>
        </w:rPr>
        <w:t>T</w:t>
      </w:r>
      <w:r>
        <w:rPr>
          <w:szCs w:val="26"/>
        </w:rPr>
        <w:t xml:space="preserve">he </w:t>
      </w:r>
      <w:r w:rsidR="006429E5">
        <w:rPr>
          <w:szCs w:val="26"/>
        </w:rPr>
        <w:t xml:space="preserve">District Attorney </w:t>
      </w:r>
      <w:r w:rsidR="00EF4FAD">
        <w:rPr>
          <w:szCs w:val="26"/>
        </w:rPr>
        <w:t xml:space="preserve">may not </w:t>
      </w:r>
      <w:r w:rsidR="00AD6294">
        <w:rPr>
          <w:szCs w:val="26"/>
        </w:rPr>
        <w:t>now invoke attorney work product protection to withhold</w:t>
      </w:r>
      <w:r w:rsidR="004A5D06">
        <w:rPr>
          <w:szCs w:val="26"/>
        </w:rPr>
        <w:t xml:space="preserve"> </w:t>
      </w:r>
      <w:r w:rsidR="00580F43">
        <w:rPr>
          <w:szCs w:val="26"/>
        </w:rPr>
        <w:t>information</w:t>
      </w:r>
      <w:r w:rsidR="00240977">
        <w:rPr>
          <w:szCs w:val="26"/>
        </w:rPr>
        <w:t xml:space="preserve"> necessary </w:t>
      </w:r>
      <w:r w:rsidR="00287ADB">
        <w:rPr>
          <w:szCs w:val="26"/>
        </w:rPr>
        <w:t xml:space="preserve">to </w:t>
      </w:r>
      <w:r w:rsidR="00BD4A58">
        <w:rPr>
          <w:szCs w:val="26"/>
        </w:rPr>
        <w:t>the</w:t>
      </w:r>
      <w:r w:rsidR="00EF4FAD">
        <w:rPr>
          <w:szCs w:val="26"/>
        </w:rPr>
        <w:t xml:space="preserve"> fair adjudication </w:t>
      </w:r>
      <w:r w:rsidR="00AD6294">
        <w:rPr>
          <w:szCs w:val="26"/>
        </w:rPr>
        <w:t xml:space="preserve">of Jones’s </w:t>
      </w:r>
      <w:r w:rsidR="00AD6294">
        <w:rPr>
          <w:i/>
          <w:iCs/>
          <w:szCs w:val="26"/>
        </w:rPr>
        <w:t>Batson</w:t>
      </w:r>
      <w:r w:rsidR="00AD6294">
        <w:rPr>
          <w:szCs w:val="26"/>
        </w:rPr>
        <w:t>/</w:t>
      </w:r>
      <w:r w:rsidR="00AD6294">
        <w:rPr>
          <w:i/>
          <w:iCs/>
          <w:szCs w:val="26"/>
        </w:rPr>
        <w:t>Wheeler</w:t>
      </w:r>
      <w:r w:rsidR="00AD6294">
        <w:rPr>
          <w:szCs w:val="26"/>
        </w:rPr>
        <w:t xml:space="preserve"> claim.</w:t>
      </w:r>
      <w:r w:rsidR="004A5D06">
        <w:rPr>
          <w:szCs w:val="26"/>
        </w:rPr>
        <w:t xml:space="preserve">  </w:t>
      </w:r>
      <w:r w:rsidR="00AD6294">
        <w:rPr>
          <w:szCs w:val="26"/>
        </w:rPr>
        <w:t xml:space="preserve"> </w:t>
      </w:r>
    </w:p>
    <w:p w:rsidR="0012015B" w:rsidRPr="00D1376F" w:rsidP="00715A63">
      <w:pPr>
        <w:pStyle w:val="Heading1"/>
      </w:pPr>
      <w:r w:rsidRPr="00D1376F">
        <w:t>I.</w:t>
      </w:r>
    </w:p>
    <w:p w:rsidR="007E1C49" w:rsidRPr="00D1376F" w:rsidP="00D1376F">
      <w:pPr>
        <w:tabs>
          <w:tab w:val="left" w:pos="0"/>
        </w:tabs>
        <w:rPr>
          <w:szCs w:val="26"/>
        </w:rPr>
      </w:pPr>
      <w:r w:rsidRPr="00D1376F">
        <w:rPr>
          <w:szCs w:val="26"/>
        </w:rPr>
        <w:tab/>
      </w:r>
      <w:r w:rsidRPr="00D1376F" w:rsidR="00F55080">
        <w:rPr>
          <w:szCs w:val="26"/>
        </w:rPr>
        <w:t>During jury selection</w:t>
      </w:r>
      <w:r w:rsidRPr="00D1376F" w:rsidR="008F4E96">
        <w:rPr>
          <w:szCs w:val="26"/>
        </w:rPr>
        <w:t xml:space="preserve"> </w:t>
      </w:r>
      <w:r w:rsidR="00D20A40">
        <w:rPr>
          <w:szCs w:val="26"/>
        </w:rPr>
        <w:t>at</w:t>
      </w:r>
      <w:r w:rsidRPr="00D1376F" w:rsidR="008F4E96">
        <w:rPr>
          <w:szCs w:val="26"/>
        </w:rPr>
        <w:t xml:space="preserve"> Jones’s 1994 trial</w:t>
      </w:r>
      <w:r w:rsidRPr="00D1376F" w:rsidR="00F55080">
        <w:rPr>
          <w:szCs w:val="26"/>
        </w:rPr>
        <w:t xml:space="preserve">, </w:t>
      </w:r>
      <w:r w:rsidRPr="00D1376F" w:rsidR="004F536C">
        <w:rPr>
          <w:szCs w:val="26"/>
        </w:rPr>
        <w:t>defense counsel</w:t>
      </w:r>
      <w:r w:rsidRPr="00D1376F" w:rsidR="00F55080">
        <w:rPr>
          <w:szCs w:val="26"/>
        </w:rPr>
        <w:t xml:space="preserve"> </w:t>
      </w:r>
      <w:r w:rsidR="00130FC6">
        <w:rPr>
          <w:szCs w:val="26"/>
        </w:rPr>
        <w:t xml:space="preserve">raised multiple </w:t>
      </w:r>
      <w:r w:rsidRPr="00D1376F" w:rsidR="00F55080">
        <w:rPr>
          <w:szCs w:val="26"/>
        </w:rPr>
        <w:t>object</w:t>
      </w:r>
      <w:r w:rsidR="00130FC6">
        <w:rPr>
          <w:szCs w:val="26"/>
        </w:rPr>
        <w:t>ions</w:t>
      </w:r>
      <w:r w:rsidRPr="00D1376F" w:rsidR="00F55080">
        <w:rPr>
          <w:szCs w:val="26"/>
        </w:rPr>
        <w:t xml:space="preserve"> </w:t>
      </w:r>
      <w:r w:rsidRPr="00D1376F">
        <w:rPr>
          <w:szCs w:val="26"/>
        </w:rPr>
        <w:t>to the prosecution’s use of peremptory strikes to eliminate Black jurors from the jury pool</w:t>
      </w:r>
      <w:r w:rsidR="00486EA1">
        <w:rPr>
          <w:szCs w:val="26"/>
        </w:rPr>
        <w:t xml:space="preserve">.  </w:t>
      </w:r>
      <w:r w:rsidR="00130FC6">
        <w:rPr>
          <w:szCs w:val="26"/>
        </w:rPr>
        <w:t>On each occasion, c</w:t>
      </w:r>
      <w:r w:rsidR="00486EA1">
        <w:rPr>
          <w:szCs w:val="26"/>
        </w:rPr>
        <w:t>ounsel argued</w:t>
      </w:r>
      <w:r w:rsidRPr="00D1376F">
        <w:rPr>
          <w:szCs w:val="26"/>
        </w:rPr>
        <w:t xml:space="preserve"> </w:t>
      </w:r>
      <w:r w:rsidRPr="00D1376F" w:rsidR="00DE5FD9">
        <w:rPr>
          <w:szCs w:val="26"/>
        </w:rPr>
        <w:t xml:space="preserve">the </w:t>
      </w:r>
      <w:r w:rsidRPr="00D1376F">
        <w:rPr>
          <w:szCs w:val="26"/>
        </w:rPr>
        <w:t xml:space="preserve">strikes were motivated </w:t>
      </w:r>
      <w:r w:rsidRPr="00D1376F" w:rsidR="00B641F1">
        <w:rPr>
          <w:szCs w:val="26"/>
        </w:rPr>
        <w:t xml:space="preserve">by race </w:t>
      </w:r>
      <w:r w:rsidRPr="00D1376F">
        <w:rPr>
          <w:szCs w:val="26"/>
        </w:rPr>
        <w:t xml:space="preserve">and therefore invalid under </w:t>
      </w:r>
      <w:r w:rsidR="00AA7F25">
        <w:rPr>
          <w:i/>
          <w:iCs/>
          <w:szCs w:val="26"/>
        </w:rPr>
        <w:t xml:space="preserve">Batson </w:t>
      </w:r>
      <w:r w:rsidR="00AA7F25">
        <w:rPr>
          <w:szCs w:val="26"/>
        </w:rPr>
        <w:t xml:space="preserve">and </w:t>
      </w:r>
      <w:r w:rsidRPr="00AA7F25" w:rsidR="00AA7F25">
        <w:rPr>
          <w:i/>
          <w:iCs/>
          <w:szCs w:val="26"/>
        </w:rPr>
        <w:t>Wheeler</w:t>
      </w:r>
      <w:r w:rsidRPr="00D1376F" w:rsidR="00831B0C">
        <w:rPr>
          <w:szCs w:val="26"/>
        </w:rPr>
        <w:t>.</w:t>
      </w:r>
      <w:r w:rsidR="00AA7F25">
        <w:rPr>
          <w:szCs w:val="26"/>
        </w:rPr>
        <w:t xml:space="preserve">  </w:t>
      </w:r>
    </w:p>
    <w:p w:rsidR="00C07A4C">
      <w:pPr>
        <w:tabs>
          <w:tab w:val="left" w:pos="0"/>
        </w:tabs>
        <w:rPr>
          <w:szCs w:val="26"/>
        </w:rPr>
      </w:pPr>
      <w:r>
        <w:rPr>
          <w:szCs w:val="26"/>
        </w:rPr>
        <w:tab/>
      </w:r>
      <w:bookmarkStart w:id="2" w:name="_Hlk88473449"/>
      <w:r w:rsidR="00130FC6">
        <w:rPr>
          <w:szCs w:val="26"/>
        </w:rPr>
        <w:t xml:space="preserve">Jones initially challenged the prosecutor’s </w:t>
      </w:r>
      <w:r w:rsidR="00B55267">
        <w:rPr>
          <w:szCs w:val="26"/>
        </w:rPr>
        <w:t xml:space="preserve">strikes of </w:t>
      </w:r>
      <w:r w:rsidR="004E3315">
        <w:rPr>
          <w:szCs w:val="26"/>
        </w:rPr>
        <w:t>p</w:t>
      </w:r>
      <w:r w:rsidR="00B55267">
        <w:rPr>
          <w:szCs w:val="26"/>
        </w:rPr>
        <w:t xml:space="preserve">rospective </w:t>
      </w:r>
      <w:r w:rsidR="004E3315">
        <w:rPr>
          <w:szCs w:val="26"/>
        </w:rPr>
        <w:t>j</w:t>
      </w:r>
      <w:r w:rsidR="00B55267">
        <w:rPr>
          <w:szCs w:val="26"/>
        </w:rPr>
        <w:t xml:space="preserve">urors Y.J. and C.G.  </w:t>
      </w:r>
      <w:r w:rsidR="00CB27AB">
        <w:rPr>
          <w:szCs w:val="26"/>
        </w:rPr>
        <w:t xml:space="preserve">To evaluate </w:t>
      </w:r>
      <w:r w:rsidR="00D7431F">
        <w:rPr>
          <w:szCs w:val="26"/>
        </w:rPr>
        <w:t xml:space="preserve">Jones’s </w:t>
      </w:r>
      <w:r w:rsidR="00CB27AB">
        <w:rPr>
          <w:szCs w:val="26"/>
        </w:rPr>
        <w:t xml:space="preserve">claim, the trial court employed </w:t>
      </w:r>
      <w:r>
        <w:rPr>
          <w:szCs w:val="26"/>
        </w:rPr>
        <w:t xml:space="preserve">the </w:t>
      </w:r>
      <w:r w:rsidR="00F53A99">
        <w:rPr>
          <w:szCs w:val="26"/>
        </w:rPr>
        <w:t xml:space="preserve">familiar </w:t>
      </w:r>
      <w:r>
        <w:rPr>
          <w:szCs w:val="26"/>
        </w:rPr>
        <w:t>three-</w:t>
      </w:r>
      <w:r w:rsidR="00BC20A4">
        <w:rPr>
          <w:szCs w:val="26"/>
        </w:rPr>
        <w:t xml:space="preserve">step </w:t>
      </w:r>
      <w:r>
        <w:rPr>
          <w:szCs w:val="26"/>
        </w:rPr>
        <w:t xml:space="preserve">framework </w:t>
      </w:r>
      <w:r w:rsidR="00F53A99">
        <w:rPr>
          <w:szCs w:val="26"/>
        </w:rPr>
        <w:t xml:space="preserve">set out in </w:t>
      </w:r>
      <w:r w:rsidR="00D7431F">
        <w:rPr>
          <w:i/>
          <w:iCs/>
          <w:szCs w:val="26"/>
        </w:rPr>
        <w:t>Batson</w:t>
      </w:r>
      <w:r w:rsidR="00D7431F">
        <w:rPr>
          <w:szCs w:val="26"/>
        </w:rPr>
        <w:t xml:space="preserve">.  </w:t>
      </w:r>
      <w:bookmarkEnd w:id="2"/>
      <w:r w:rsidR="00E34AB4">
        <w:rPr>
          <w:szCs w:val="26"/>
        </w:rPr>
        <w:t>(</w:t>
      </w:r>
      <w:r w:rsidR="00D7431F">
        <w:rPr>
          <w:szCs w:val="26"/>
        </w:rPr>
        <w:t>S</w:t>
      </w:r>
      <w:r w:rsidR="00E34AB4">
        <w:rPr>
          <w:szCs w:val="26"/>
        </w:rPr>
        <w:t xml:space="preserve">ee, e.g., </w:t>
      </w:r>
      <w:r w:rsidRPr="00AA7F25" w:rsidR="00E34AB4">
        <w:rPr>
          <w:i/>
          <w:iCs/>
          <w:szCs w:val="26"/>
        </w:rPr>
        <w:t>People v. Williams</w:t>
      </w:r>
      <w:r w:rsidRPr="00AA7F25" w:rsidR="00E34AB4">
        <w:rPr>
          <w:szCs w:val="26"/>
        </w:rPr>
        <w:t xml:space="preserve"> (2013) 58 Cal.4th 197, 280</w:t>
      </w:r>
      <w:r w:rsidR="003A2EBB">
        <w:rPr>
          <w:szCs w:val="26"/>
        </w:rPr>
        <w:t>.</w:t>
      </w:r>
      <w:r w:rsidR="00E34AB4">
        <w:rPr>
          <w:szCs w:val="26"/>
        </w:rPr>
        <w:t>)</w:t>
      </w:r>
      <w:r w:rsidR="003A2EBB">
        <w:rPr>
          <w:szCs w:val="26"/>
        </w:rPr>
        <w:t xml:space="preserve">  At the first step of the inquiry, t</w:t>
      </w:r>
      <w:r>
        <w:rPr>
          <w:szCs w:val="26"/>
        </w:rPr>
        <w:t>he trial court</w:t>
      </w:r>
      <w:r w:rsidR="00503B31">
        <w:rPr>
          <w:szCs w:val="26"/>
        </w:rPr>
        <w:t xml:space="preserve"> </w:t>
      </w:r>
      <w:r>
        <w:rPr>
          <w:szCs w:val="26"/>
        </w:rPr>
        <w:t xml:space="preserve">determined </w:t>
      </w:r>
      <w:r w:rsidRPr="00D1376F" w:rsidR="00AA20A3">
        <w:rPr>
          <w:szCs w:val="26"/>
        </w:rPr>
        <w:t xml:space="preserve">that </w:t>
      </w:r>
      <w:r w:rsidRPr="00D1376F" w:rsidR="00B641F1">
        <w:rPr>
          <w:szCs w:val="26"/>
        </w:rPr>
        <w:t xml:space="preserve">Jones </w:t>
      </w:r>
      <w:r w:rsidRPr="00D1376F" w:rsidR="00AA20A3">
        <w:rPr>
          <w:szCs w:val="26"/>
        </w:rPr>
        <w:t xml:space="preserve">made a prima facie showing </w:t>
      </w:r>
      <w:r w:rsidRPr="00D1376F" w:rsidR="000A4722">
        <w:rPr>
          <w:szCs w:val="26"/>
        </w:rPr>
        <w:t xml:space="preserve">of </w:t>
      </w:r>
      <w:r w:rsidRPr="00D1376F" w:rsidR="008F4E96">
        <w:rPr>
          <w:szCs w:val="26"/>
        </w:rPr>
        <w:t xml:space="preserve">racial </w:t>
      </w:r>
      <w:r w:rsidRPr="00D1376F" w:rsidR="000A4722">
        <w:rPr>
          <w:szCs w:val="26"/>
        </w:rPr>
        <w:t>discrimination</w:t>
      </w:r>
      <w:r w:rsidR="00B55267">
        <w:rPr>
          <w:szCs w:val="26"/>
        </w:rPr>
        <w:t xml:space="preserve"> and </w:t>
      </w:r>
      <w:r w:rsidR="003A2EBB">
        <w:rPr>
          <w:szCs w:val="26"/>
        </w:rPr>
        <w:t xml:space="preserve">proceeded to the second step of the inquiry by </w:t>
      </w:r>
      <w:r w:rsidRPr="00D1376F" w:rsidR="00D02752">
        <w:rPr>
          <w:szCs w:val="26"/>
        </w:rPr>
        <w:t>ask</w:t>
      </w:r>
      <w:r w:rsidR="003A2EBB">
        <w:rPr>
          <w:szCs w:val="26"/>
        </w:rPr>
        <w:t>ing</w:t>
      </w:r>
      <w:r w:rsidRPr="00D1376F" w:rsidR="00D02752">
        <w:rPr>
          <w:szCs w:val="26"/>
        </w:rPr>
        <w:t xml:space="preserve"> </w:t>
      </w:r>
      <w:r w:rsidRPr="00D1376F" w:rsidR="00AA20A3">
        <w:rPr>
          <w:szCs w:val="26"/>
        </w:rPr>
        <w:t>the prosecut</w:t>
      </w:r>
      <w:r w:rsidRPr="00D1376F" w:rsidR="008F4E96">
        <w:rPr>
          <w:szCs w:val="26"/>
        </w:rPr>
        <w:t>or</w:t>
      </w:r>
      <w:r w:rsidRPr="00D1376F" w:rsidR="00AA20A3">
        <w:rPr>
          <w:szCs w:val="26"/>
        </w:rPr>
        <w:t xml:space="preserve"> to </w:t>
      </w:r>
      <w:r w:rsidR="00AA7F25">
        <w:rPr>
          <w:szCs w:val="26"/>
        </w:rPr>
        <w:t>provide</w:t>
      </w:r>
      <w:r w:rsidRPr="00D1376F" w:rsidR="00AA20A3">
        <w:rPr>
          <w:szCs w:val="26"/>
        </w:rPr>
        <w:t xml:space="preserve"> </w:t>
      </w:r>
      <w:r w:rsidRPr="00D1376F" w:rsidR="008F4E96">
        <w:rPr>
          <w:szCs w:val="26"/>
        </w:rPr>
        <w:t>his</w:t>
      </w:r>
      <w:r w:rsidRPr="00D1376F" w:rsidR="00AA20A3">
        <w:rPr>
          <w:szCs w:val="26"/>
        </w:rPr>
        <w:t xml:space="preserve"> reasoning</w:t>
      </w:r>
      <w:r w:rsidRPr="00D1376F" w:rsidR="00D02752">
        <w:rPr>
          <w:szCs w:val="26"/>
        </w:rPr>
        <w:t xml:space="preserve"> for the strikes</w:t>
      </w:r>
      <w:r w:rsidR="00E90F98">
        <w:rPr>
          <w:szCs w:val="26"/>
        </w:rPr>
        <w:t>.</w:t>
      </w:r>
      <w:r w:rsidR="00E012EF">
        <w:rPr>
          <w:szCs w:val="26"/>
        </w:rPr>
        <w:t xml:space="preserve"> </w:t>
      </w:r>
      <w:r w:rsidR="00B43F05">
        <w:rPr>
          <w:szCs w:val="26"/>
        </w:rPr>
        <w:t xml:space="preserve"> </w:t>
      </w:r>
      <w:r w:rsidRPr="00D1376F" w:rsidR="00AA20A3">
        <w:rPr>
          <w:szCs w:val="26"/>
        </w:rPr>
        <w:t xml:space="preserve">The </w:t>
      </w:r>
      <w:r w:rsidRPr="00D1376F" w:rsidR="00FC693B">
        <w:rPr>
          <w:szCs w:val="26"/>
        </w:rPr>
        <w:t>prosecutor</w:t>
      </w:r>
      <w:r w:rsidRPr="00D1376F" w:rsidR="00AA20A3">
        <w:rPr>
          <w:szCs w:val="26"/>
        </w:rPr>
        <w:t xml:space="preserve"> </w:t>
      </w:r>
      <w:r w:rsidR="00AA7F25">
        <w:rPr>
          <w:szCs w:val="26"/>
        </w:rPr>
        <w:t xml:space="preserve">explained </w:t>
      </w:r>
      <w:r w:rsidRPr="00D1376F" w:rsidR="0066185B">
        <w:rPr>
          <w:szCs w:val="26"/>
        </w:rPr>
        <w:t xml:space="preserve">that </w:t>
      </w:r>
      <w:r w:rsidRPr="00D1376F" w:rsidR="00B641F1">
        <w:rPr>
          <w:szCs w:val="26"/>
        </w:rPr>
        <w:t>h</w:t>
      </w:r>
      <w:r w:rsidR="0064091D">
        <w:rPr>
          <w:szCs w:val="26"/>
        </w:rPr>
        <w:t xml:space="preserve">e used a numerical rating system to </w:t>
      </w:r>
      <w:r w:rsidRPr="00D1376F" w:rsidR="00797024">
        <w:rPr>
          <w:szCs w:val="26"/>
        </w:rPr>
        <w:t xml:space="preserve">evaluate prospective jurors </w:t>
      </w:r>
      <w:r w:rsidR="00F81505">
        <w:rPr>
          <w:szCs w:val="26"/>
        </w:rPr>
        <w:t xml:space="preserve">sight unseen </w:t>
      </w:r>
      <w:r w:rsidRPr="00D1376F" w:rsidR="00B641F1">
        <w:rPr>
          <w:szCs w:val="26"/>
        </w:rPr>
        <w:t>based on</w:t>
      </w:r>
      <w:r w:rsidRPr="00D1376F" w:rsidR="004E1327">
        <w:rPr>
          <w:szCs w:val="26"/>
        </w:rPr>
        <w:t xml:space="preserve"> answers </w:t>
      </w:r>
      <w:r w:rsidR="00F81505">
        <w:rPr>
          <w:szCs w:val="26"/>
        </w:rPr>
        <w:t>i</w:t>
      </w:r>
      <w:r w:rsidRPr="00D1376F" w:rsidR="00797024">
        <w:rPr>
          <w:szCs w:val="26"/>
        </w:rPr>
        <w:t>n the</w:t>
      </w:r>
      <w:r w:rsidR="002A436E">
        <w:rPr>
          <w:szCs w:val="26"/>
        </w:rPr>
        <w:t xml:space="preserve">ir </w:t>
      </w:r>
      <w:r w:rsidRPr="00D1376F" w:rsidR="00797024">
        <w:rPr>
          <w:szCs w:val="26"/>
        </w:rPr>
        <w:t>written</w:t>
      </w:r>
      <w:r w:rsidRPr="00D1376F" w:rsidR="004E1327">
        <w:rPr>
          <w:szCs w:val="26"/>
        </w:rPr>
        <w:t xml:space="preserve"> juror questionnaires</w:t>
      </w:r>
      <w:r w:rsidR="00F81505">
        <w:rPr>
          <w:szCs w:val="26"/>
        </w:rPr>
        <w:t>; he told the court</w:t>
      </w:r>
      <w:r w:rsidRPr="00D1376F" w:rsidR="00A238F8">
        <w:rPr>
          <w:szCs w:val="26"/>
        </w:rPr>
        <w:t xml:space="preserve"> that </w:t>
      </w:r>
      <w:r>
        <w:rPr>
          <w:szCs w:val="26"/>
        </w:rPr>
        <w:t xml:space="preserve">both </w:t>
      </w:r>
      <w:r w:rsidR="00F81505">
        <w:rPr>
          <w:szCs w:val="26"/>
        </w:rPr>
        <w:t xml:space="preserve">he and </w:t>
      </w:r>
      <w:r w:rsidR="009031B1">
        <w:rPr>
          <w:szCs w:val="26"/>
        </w:rPr>
        <w:t>an</w:t>
      </w:r>
      <w:r w:rsidR="00F81505">
        <w:rPr>
          <w:szCs w:val="26"/>
        </w:rPr>
        <w:t xml:space="preserve">other member of </w:t>
      </w:r>
      <w:r w:rsidRPr="00D1376F" w:rsidR="00A926F4">
        <w:rPr>
          <w:szCs w:val="26"/>
        </w:rPr>
        <w:t xml:space="preserve">the </w:t>
      </w:r>
      <w:r w:rsidRPr="00D1376F" w:rsidR="0035454F">
        <w:rPr>
          <w:szCs w:val="26"/>
        </w:rPr>
        <w:t>prosecution</w:t>
      </w:r>
      <w:r w:rsidRPr="00D1376F" w:rsidR="00753117">
        <w:rPr>
          <w:szCs w:val="26"/>
        </w:rPr>
        <w:t xml:space="preserve"> </w:t>
      </w:r>
      <w:r w:rsidR="00AA7F25">
        <w:rPr>
          <w:szCs w:val="26"/>
        </w:rPr>
        <w:t xml:space="preserve">team </w:t>
      </w:r>
      <w:r w:rsidRPr="00D1376F" w:rsidR="00753117">
        <w:rPr>
          <w:szCs w:val="26"/>
        </w:rPr>
        <w:t xml:space="preserve">had assigned </w:t>
      </w:r>
      <w:r w:rsidR="003E4D55">
        <w:rPr>
          <w:szCs w:val="26"/>
        </w:rPr>
        <w:t xml:space="preserve">Y.J. and C.G. </w:t>
      </w:r>
      <w:r w:rsidRPr="00D1376F" w:rsidR="00A238F8">
        <w:rPr>
          <w:szCs w:val="26"/>
        </w:rPr>
        <w:t xml:space="preserve">low </w:t>
      </w:r>
      <w:r w:rsidRPr="00D1376F" w:rsidR="00D201D4">
        <w:rPr>
          <w:szCs w:val="26"/>
        </w:rPr>
        <w:t>scores</w:t>
      </w:r>
      <w:r w:rsidR="00350C98">
        <w:rPr>
          <w:szCs w:val="26"/>
        </w:rPr>
        <w:t xml:space="preserve"> using this system</w:t>
      </w:r>
      <w:r w:rsidRPr="00D1376F" w:rsidR="0057358A">
        <w:rPr>
          <w:szCs w:val="26"/>
        </w:rPr>
        <w:t>.</w:t>
      </w:r>
      <w:r w:rsidRPr="00D1376F" w:rsidR="00FC693B">
        <w:rPr>
          <w:szCs w:val="26"/>
        </w:rPr>
        <w:t xml:space="preserve"> </w:t>
      </w:r>
      <w:r w:rsidRPr="00D1376F" w:rsidR="0057358A">
        <w:rPr>
          <w:szCs w:val="26"/>
        </w:rPr>
        <w:t xml:space="preserve"> </w:t>
      </w:r>
      <w:r>
        <w:rPr>
          <w:szCs w:val="26"/>
        </w:rPr>
        <w:t>T</w:t>
      </w:r>
      <w:r w:rsidRPr="00D1376F" w:rsidR="00E41B1B">
        <w:rPr>
          <w:szCs w:val="26"/>
        </w:rPr>
        <w:t xml:space="preserve">he prosecutor offered that </w:t>
      </w:r>
      <w:r w:rsidR="00D35383">
        <w:rPr>
          <w:szCs w:val="26"/>
        </w:rPr>
        <w:t>P</w:t>
      </w:r>
      <w:r w:rsidRPr="00D1376F" w:rsidR="00E41B1B">
        <w:rPr>
          <w:szCs w:val="26"/>
        </w:rPr>
        <w:t xml:space="preserve">rospective </w:t>
      </w:r>
      <w:r w:rsidR="00D35383">
        <w:rPr>
          <w:szCs w:val="26"/>
        </w:rPr>
        <w:t>J</w:t>
      </w:r>
      <w:r w:rsidRPr="00D1376F" w:rsidR="00E41B1B">
        <w:rPr>
          <w:szCs w:val="26"/>
        </w:rPr>
        <w:t>uror Y.J.</w:t>
      </w:r>
      <w:r>
        <w:rPr>
          <w:szCs w:val="26"/>
        </w:rPr>
        <w:t>, for instance,</w:t>
      </w:r>
      <w:r w:rsidRPr="00D1376F" w:rsidR="00E41B1B">
        <w:rPr>
          <w:szCs w:val="26"/>
        </w:rPr>
        <w:t xml:space="preserve"> was rated “13th lowest of the whole group,” and “[t]here were too many people that are [rated] better than her.”  </w:t>
      </w:r>
      <w:r w:rsidR="00715A63">
        <w:rPr>
          <w:iCs/>
          <w:szCs w:val="26"/>
        </w:rPr>
        <w:t>The prosecutor</w:t>
      </w:r>
      <w:r w:rsidRPr="00D1376F" w:rsidR="008C1B67">
        <w:rPr>
          <w:iCs/>
          <w:szCs w:val="26"/>
        </w:rPr>
        <w:t xml:space="preserve"> </w:t>
      </w:r>
      <w:r>
        <w:rPr>
          <w:szCs w:val="26"/>
        </w:rPr>
        <w:t xml:space="preserve">went on to </w:t>
      </w:r>
      <w:r w:rsidRPr="00D1376F" w:rsidR="00D817FD">
        <w:rPr>
          <w:szCs w:val="26"/>
        </w:rPr>
        <w:t xml:space="preserve">elaborate on </w:t>
      </w:r>
      <w:r w:rsidRPr="00D1376F" w:rsidR="0057358A">
        <w:rPr>
          <w:szCs w:val="26"/>
        </w:rPr>
        <w:t xml:space="preserve">the </w:t>
      </w:r>
      <w:r w:rsidRPr="00D1376F" w:rsidR="00D817FD">
        <w:rPr>
          <w:szCs w:val="26"/>
        </w:rPr>
        <w:t xml:space="preserve">ratings </w:t>
      </w:r>
      <w:r w:rsidRPr="00D1376F" w:rsidR="0057358A">
        <w:rPr>
          <w:szCs w:val="26"/>
        </w:rPr>
        <w:t>of</w:t>
      </w:r>
      <w:r w:rsidRPr="00D1376F" w:rsidR="0066185B">
        <w:rPr>
          <w:szCs w:val="26"/>
        </w:rPr>
        <w:t xml:space="preserve"> </w:t>
      </w:r>
      <w:r w:rsidRPr="00D1376F" w:rsidR="00A238F8">
        <w:rPr>
          <w:szCs w:val="26"/>
        </w:rPr>
        <w:t>Y.J. and C.G.</w:t>
      </w:r>
      <w:r w:rsidRPr="00D1376F" w:rsidR="00D817FD">
        <w:rPr>
          <w:szCs w:val="26"/>
        </w:rPr>
        <w:t xml:space="preserve"> </w:t>
      </w:r>
      <w:r w:rsidRPr="00D1376F" w:rsidR="00C86376">
        <w:rPr>
          <w:szCs w:val="26"/>
        </w:rPr>
        <w:t xml:space="preserve">by </w:t>
      </w:r>
      <w:r w:rsidR="00350C98">
        <w:rPr>
          <w:szCs w:val="26"/>
        </w:rPr>
        <w:t>describing</w:t>
      </w:r>
      <w:r w:rsidRPr="00D1376F" w:rsidR="00350C98">
        <w:rPr>
          <w:szCs w:val="26"/>
        </w:rPr>
        <w:t xml:space="preserve"> </w:t>
      </w:r>
      <w:r w:rsidRPr="00D1376F" w:rsidR="00A238F8">
        <w:rPr>
          <w:szCs w:val="26"/>
        </w:rPr>
        <w:t xml:space="preserve">their </w:t>
      </w:r>
      <w:r w:rsidRPr="00D1376F" w:rsidR="004F536C">
        <w:rPr>
          <w:szCs w:val="26"/>
        </w:rPr>
        <w:t xml:space="preserve">written </w:t>
      </w:r>
      <w:r w:rsidRPr="00D1376F" w:rsidR="00D817FD">
        <w:rPr>
          <w:szCs w:val="26"/>
        </w:rPr>
        <w:t>answers to specific questions</w:t>
      </w:r>
      <w:r w:rsidRPr="00D1376F" w:rsidR="0059669A">
        <w:rPr>
          <w:szCs w:val="26"/>
        </w:rPr>
        <w:t xml:space="preserve"> on the questionnaire</w:t>
      </w:r>
      <w:r w:rsidRPr="00D1376F" w:rsidR="00677C23">
        <w:rPr>
          <w:szCs w:val="26"/>
        </w:rPr>
        <w:t>s</w:t>
      </w:r>
      <w:r w:rsidRPr="00D1376F" w:rsidR="00AA20A3">
        <w:rPr>
          <w:szCs w:val="26"/>
        </w:rPr>
        <w:t>.</w:t>
      </w:r>
      <w:r w:rsidR="00B55267">
        <w:rPr>
          <w:szCs w:val="26"/>
        </w:rPr>
        <w:t xml:space="preserve">  At the third and final step of the inquiry, t</w:t>
      </w:r>
      <w:r w:rsidRPr="00D1376F" w:rsidR="00B55267">
        <w:rPr>
          <w:szCs w:val="26"/>
        </w:rPr>
        <w:t xml:space="preserve">he trial court accepted the prosecutor’s explanations for the </w:t>
      </w:r>
      <w:r w:rsidR="00B55267">
        <w:rPr>
          <w:szCs w:val="26"/>
        </w:rPr>
        <w:t xml:space="preserve">two </w:t>
      </w:r>
      <w:r w:rsidRPr="00D1376F" w:rsidR="00B55267">
        <w:rPr>
          <w:szCs w:val="26"/>
        </w:rPr>
        <w:t xml:space="preserve">strikes as race neutral and denied Jones’s </w:t>
      </w:r>
      <w:r w:rsidRPr="00715A63" w:rsidR="00B55267">
        <w:rPr>
          <w:i/>
          <w:iCs/>
          <w:szCs w:val="26"/>
        </w:rPr>
        <w:t>Batson</w:t>
      </w:r>
      <w:r w:rsidR="00B55267">
        <w:rPr>
          <w:szCs w:val="26"/>
        </w:rPr>
        <w:t>/</w:t>
      </w:r>
      <w:r w:rsidRPr="00715A63" w:rsidR="00B55267">
        <w:rPr>
          <w:i/>
          <w:iCs/>
          <w:szCs w:val="26"/>
        </w:rPr>
        <w:t xml:space="preserve">Wheeler </w:t>
      </w:r>
      <w:r w:rsidRPr="00D1376F" w:rsidR="00B55267">
        <w:rPr>
          <w:szCs w:val="26"/>
        </w:rPr>
        <w:t>challenge</w:t>
      </w:r>
      <w:r w:rsidR="00B55267">
        <w:rPr>
          <w:szCs w:val="26"/>
        </w:rPr>
        <w:t>.</w:t>
      </w:r>
      <w:r w:rsidRPr="00D1376F" w:rsidR="00AA20A3">
        <w:rPr>
          <w:szCs w:val="26"/>
        </w:rPr>
        <w:t xml:space="preserve">  </w:t>
      </w:r>
    </w:p>
    <w:p w:rsidR="00F26620" w:rsidRPr="00D1376F">
      <w:pPr>
        <w:tabs>
          <w:tab w:val="left" w:pos="0"/>
        </w:tabs>
        <w:rPr>
          <w:szCs w:val="26"/>
        </w:rPr>
      </w:pPr>
      <w:r>
        <w:rPr>
          <w:szCs w:val="26"/>
        </w:rPr>
        <w:tab/>
        <w:t>Jones</w:t>
      </w:r>
      <w:r w:rsidR="00142D1F">
        <w:rPr>
          <w:szCs w:val="26"/>
        </w:rPr>
        <w:t xml:space="preserve"> </w:t>
      </w:r>
      <w:r w:rsidR="00B55267">
        <w:rPr>
          <w:szCs w:val="26"/>
        </w:rPr>
        <w:t xml:space="preserve">renewed the challenge </w:t>
      </w:r>
      <w:r w:rsidR="00657E13">
        <w:rPr>
          <w:szCs w:val="26"/>
        </w:rPr>
        <w:t>when</w:t>
      </w:r>
      <w:r w:rsidR="00B55267">
        <w:rPr>
          <w:szCs w:val="26"/>
        </w:rPr>
        <w:t xml:space="preserve"> the prosecutor struck another Black </w:t>
      </w:r>
      <w:r w:rsidR="00773BA6">
        <w:rPr>
          <w:szCs w:val="26"/>
        </w:rPr>
        <w:t>p</w:t>
      </w:r>
      <w:r w:rsidR="00142D1F">
        <w:rPr>
          <w:szCs w:val="26"/>
        </w:rPr>
        <w:t xml:space="preserve">rospective </w:t>
      </w:r>
      <w:r w:rsidR="00773BA6">
        <w:rPr>
          <w:szCs w:val="26"/>
        </w:rPr>
        <w:t>j</w:t>
      </w:r>
      <w:r w:rsidR="00142D1F">
        <w:rPr>
          <w:szCs w:val="26"/>
        </w:rPr>
        <w:t>uror,</w:t>
      </w:r>
      <w:r w:rsidR="00B55267">
        <w:rPr>
          <w:szCs w:val="26"/>
        </w:rPr>
        <w:t xml:space="preserve"> </w:t>
      </w:r>
      <w:r w:rsidR="00350C98">
        <w:rPr>
          <w:szCs w:val="26"/>
        </w:rPr>
        <w:t>J.Y.</w:t>
      </w:r>
      <w:r w:rsidR="00B55267">
        <w:rPr>
          <w:szCs w:val="26"/>
        </w:rPr>
        <w:t xml:space="preserve">  After the trial court found a prima facie showing of discrimination</w:t>
      </w:r>
      <w:r w:rsidR="00350C98">
        <w:rPr>
          <w:szCs w:val="26"/>
        </w:rPr>
        <w:t xml:space="preserve">, the prosecutor </w:t>
      </w:r>
      <w:r w:rsidR="00715A63">
        <w:rPr>
          <w:szCs w:val="26"/>
        </w:rPr>
        <w:t xml:space="preserve">similarly </w:t>
      </w:r>
      <w:r w:rsidR="00350C98">
        <w:rPr>
          <w:szCs w:val="26"/>
        </w:rPr>
        <w:t>cit</w:t>
      </w:r>
      <w:r w:rsidR="00715A63">
        <w:rPr>
          <w:szCs w:val="26"/>
        </w:rPr>
        <w:t>ed</w:t>
      </w:r>
      <w:r w:rsidR="00350C98">
        <w:rPr>
          <w:szCs w:val="26"/>
        </w:rPr>
        <w:t xml:space="preserve"> </w:t>
      </w:r>
      <w:r w:rsidR="00E41B1B">
        <w:rPr>
          <w:szCs w:val="26"/>
        </w:rPr>
        <w:t xml:space="preserve">the </w:t>
      </w:r>
      <w:r w:rsidR="00350C98">
        <w:rPr>
          <w:szCs w:val="26"/>
        </w:rPr>
        <w:t>prospective juror</w:t>
      </w:r>
      <w:r w:rsidR="009031B1">
        <w:rPr>
          <w:szCs w:val="26"/>
        </w:rPr>
        <w:t>’s low score, explaining that it was “based upon our numerical analysis by three people who independently read the questionnaire.”</w:t>
      </w:r>
      <w:r w:rsidR="00E41B1B">
        <w:rPr>
          <w:szCs w:val="26"/>
        </w:rPr>
        <w:t xml:space="preserve"> </w:t>
      </w:r>
      <w:r w:rsidR="009031B1">
        <w:rPr>
          <w:szCs w:val="26"/>
        </w:rPr>
        <w:t xml:space="preserve"> </w:t>
      </w:r>
      <w:r w:rsidR="00B55267">
        <w:rPr>
          <w:szCs w:val="26"/>
        </w:rPr>
        <w:t xml:space="preserve">The trial court again </w:t>
      </w:r>
      <w:r w:rsidRPr="00D1376F" w:rsidR="00AA20A3">
        <w:rPr>
          <w:szCs w:val="26"/>
        </w:rPr>
        <w:t xml:space="preserve">accepted the prosecutor’s explanations </w:t>
      </w:r>
      <w:r w:rsidRPr="00D1376F" w:rsidR="00D817FD">
        <w:rPr>
          <w:szCs w:val="26"/>
        </w:rPr>
        <w:t xml:space="preserve">and denied </w:t>
      </w:r>
      <w:r w:rsidR="00B55267">
        <w:rPr>
          <w:szCs w:val="26"/>
        </w:rPr>
        <w:t xml:space="preserve">the </w:t>
      </w:r>
      <w:r w:rsidRPr="00D1376F" w:rsidR="009F685A">
        <w:rPr>
          <w:szCs w:val="26"/>
        </w:rPr>
        <w:t>challenge</w:t>
      </w:r>
      <w:r w:rsidRPr="00D1376F" w:rsidR="00AA20A3">
        <w:rPr>
          <w:szCs w:val="26"/>
        </w:rPr>
        <w:t>.</w:t>
      </w:r>
    </w:p>
    <w:p w:rsidR="0012015B" w:rsidRPr="00D1376F" w:rsidP="00D1376F">
      <w:pPr>
        <w:tabs>
          <w:tab w:val="left" w:pos="0"/>
        </w:tabs>
        <w:rPr>
          <w:szCs w:val="26"/>
        </w:rPr>
      </w:pPr>
      <w:r w:rsidRPr="00D1376F">
        <w:rPr>
          <w:szCs w:val="26"/>
        </w:rPr>
        <w:tab/>
      </w:r>
      <w:r w:rsidR="00D82592">
        <w:rPr>
          <w:szCs w:val="26"/>
        </w:rPr>
        <w:t xml:space="preserve">The </w:t>
      </w:r>
      <w:r w:rsidR="004B61E0">
        <w:rPr>
          <w:szCs w:val="26"/>
        </w:rPr>
        <w:t xml:space="preserve">seated </w:t>
      </w:r>
      <w:r w:rsidR="00D82592">
        <w:rPr>
          <w:szCs w:val="26"/>
        </w:rPr>
        <w:t xml:space="preserve">jury ultimately found Jones guilty and returned a verdict of death.  </w:t>
      </w:r>
      <w:r w:rsidRPr="00D1376F" w:rsidR="00AA20A3">
        <w:rPr>
          <w:szCs w:val="26"/>
        </w:rPr>
        <w:t>On</w:t>
      </w:r>
      <w:r w:rsidRPr="00D1376F" w:rsidR="00357E80">
        <w:rPr>
          <w:szCs w:val="26"/>
        </w:rPr>
        <w:t xml:space="preserve"> </w:t>
      </w:r>
      <w:r w:rsidRPr="00D1376F" w:rsidR="00AA20A3">
        <w:rPr>
          <w:szCs w:val="26"/>
        </w:rPr>
        <w:t xml:space="preserve">direct </w:t>
      </w:r>
      <w:r w:rsidRPr="00D1376F" w:rsidR="00357E80">
        <w:rPr>
          <w:szCs w:val="26"/>
        </w:rPr>
        <w:t>appea</w:t>
      </w:r>
      <w:r w:rsidR="00D82592">
        <w:rPr>
          <w:szCs w:val="26"/>
        </w:rPr>
        <w:t>l</w:t>
      </w:r>
      <w:r w:rsidR="006410D9">
        <w:rPr>
          <w:szCs w:val="26"/>
        </w:rPr>
        <w:t xml:space="preserve"> of the judgment</w:t>
      </w:r>
      <w:r w:rsidRPr="00D1376F" w:rsidR="00357E80">
        <w:rPr>
          <w:szCs w:val="26"/>
        </w:rPr>
        <w:t xml:space="preserve">, </w:t>
      </w:r>
      <w:r w:rsidRPr="00D1376F" w:rsidR="00AA20A3">
        <w:rPr>
          <w:szCs w:val="26"/>
        </w:rPr>
        <w:t xml:space="preserve">Jones </w:t>
      </w:r>
      <w:r w:rsidRPr="00D1376F" w:rsidR="00DB7825">
        <w:rPr>
          <w:szCs w:val="26"/>
        </w:rPr>
        <w:t>claim</w:t>
      </w:r>
      <w:r w:rsidR="00A90D63">
        <w:rPr>
          <w:szCs w:val="26"/>
        </w:rPr>
        <w:t>ed</w:t>
      </w:r>
      <w:r w:rsidRPr="00D1376F" w:rsidR="00DB7825">
        <w:rPr>
          <w:szCs w:val="26"/>
        </w:rPr>
        <w:t xml:space="preserve"> </w:t>
      </w:r>
      <w:r w:rsidRPr="00D1376F" w:rsidR="00763808">
        <w:rPr>
          <w:szCs w:val="26"/>
        </w:rPr>
        <w:t>that the prosecution’s peremptory strike</w:t>
      </w:r>
      <w:r w:rsidRPr="00D1376F" w:rsidR="00821DAB">
        <w:rPr>
          <w:szCs w:val="26"/>
        </w:rPr>
        <w:t>s</w:t>
      </w:r>
      <w:r w:rsidRPr="00D1376F" w:rsidR="00763808">
        <w:rPr>
          <w:szCs w:val="26"/>
        </w:rPr>
        <w:t xml:space="preserve"> of </w:t>
      </w:r>
      <w:r w:rsidR="00A90D63">
        <w:rPr>
          <w:szCs w:val="26"/>
        </w:rPr>
        <w:t xml:space="preserve">Y.J. and C.G. </w:t>
      </w:r>
      <w:r w:rsidRPr="00D1376F" w:rsidR="005C2530">
        <w:rPr>
          <w:szCs w:val="26"/>
        </w:rPr>
        <w:t>were</w:t>
      </w:r>
      <w:r w:rsidRPr="00D1376F" w:rsidR="00763808">
        <w:rPr>
          <w:szCs w:val="26"/>
        </w:rPr>
        <w:t xml:space="preserve"> improper</w:t>
      </w:r>
      <w:r w:rsidRPr="00D1376F" w:rsidR="00D02752">
        <w:rPr>
          <w:szCs w:val="26"/>
        </w:rPr>
        <w:t xml:space="preserve"> and that the prosecutor’s proffered </w:t>
      </w:r>
      <w:r w:rsidRPr="00D1376F" w:rsidR="00F05D24">
        <w:rPr>
          <w:szCs w:val="26"/>
        </w:rPr>
        <w:t xml:space="preserve">race neutral </w:t>
      </w:r>
      <w:r w:rsidRPr="00D1376F" w:rsidR="00D02752">
        <w:rPr>
          <w:szCs w:val="26"/>
        </w:rPr>
        <w:t>justifications were pretext</w:t>
      </w:r>
      <w:r w:rsidRPr="00D1376F" w:rsidR="00F05D24">
        <w:rPr>
          <w:szCs w:val="26"/>
        </w:rPr>
        <w:t>s for discrimination</w:t>
      </w:r>
      <w:r w:rsidRPr="00D1376F" w:rsidR="00763808">
        <w:rPr>
          <w:szCs w:val="26"/>
        </w:rPr>
        <w:t xml:space="preserve">.  </w:t>
      </w:r>
      <w:r w:rsidRPr="00D1376F" w:rsidR="00AA20A3">
        <w:rPr>
          <w:szCs w:val="26"/>
        </w:rPr>
        <w:t>(</w:t>
      </w:r>
      <w:r w:rsidRPr="00D1376F" w:rsidR="00A238F8">
        <w:rPr>
          <w:szCs w:val="26"/>
        </w:rPr>
        <w:t xml:space="preserve">See </w:t>
      </w:r>
      <w:r w:rsidRPr="00D1376F" w:rsidR="00AA20A3">
        <w:rPr>
          <w:i/>
          <w:iCs/>
          <w:szCs w:val="26"/>
        </w:rPr>
        <w:t>People v. Jones</w:t>
      </w:r>
      <w:r w:rsidRPr="00D1376F" w:rsidR="00AA20A3">
        <w:rPr>
          <w:szCs w:val="26"/>
        </w:rPr>
        <w:t xml:space="preserve"> (2013) 57 Cal.4th 899, 916.)  </w:t>
      </w:r>
      <w:r w:rsidR="001E5482">
        <w:rPr>
          <w:szCs w:val="26"/>
        </w:rPr>
        <w:t xml:space="preserve">We rejected the argument, concluding </w:t>
      </w:r>
      <w:r w:rsidRPr="00D1376F" w:rsidR="00763808">
        <w:rPr>
          <w:szCs w:val="26"/>
        </w:rPr>
        <w:t>“our usual deference to the trial court’s assessment of the prosecutor’s sincerity [was] appropriate” on the facts presented</w:t>
      </w:r>
      <w:r w:rsidRPr="00D1376F" w:rsidR="00DB7825">
        <w:rPr>
          <w:szCs w:val="26"/>
        </w:rPr>
        <w:t>.</w:t>
      </w:r>
      <w:r>
        <w:rPr>
          <w:rStyle w:val="FootnoteReference"/>
        </w:rPr>
        <w:footnoteReference w:id="3"/>
      </w:r>
      <w:r w:rsidRPr="00D1376F" w:rsidR="00DB7825">
        <w:rPr>
          <w:szCs w:val="26"/>
        </w:rPr>
        <w:t xml:space="preserve">  </w:t>
      </w:r>
      <w:r w:rsidRPr="00D1376F" w:rsidR="00AA20A3">
        <w:rPr>
          <w:szCs w:val="26"/>
        </w:rPr>
        <w:t>(</w:t>
      </w:r>
      <w:r w:rsidRPr="00D1376F" w:rsidR="00AA20A3">
        <w:rPr>
          <w:i/>
          <w:iCs/>
          <w:szCs w:val="26"/>
        </w:rPr>
        <w:t xml:space="preserve">Id. </w:t>
      </w:r>
      <w:r w:rsidRPr="00D1376F" w:rsidR="00AA20A3">
        <w:rPr>
          <w:szCs w:val="26"/>
        </w:rPr>
        <w:t>at p.</w:t>
      </w:r>
      <w:r w:rsidRPr="00D1376F" w:rsidR="007A210E">
        <w:rPr>
          <w:szCs w:val="26"/>
        </w:rPr>
        <w:t> </w:t>
      </w:r>
      <w:r w:rsidRPr="00D1376F" w:rsidR="00AA20A3">
        <w:rPr>
          <w:szCs w:val="26"/>
        </w:rPr>
        <w:t>918.)</w:t>
      </w:r>
      <w:r w:rsidRPr="00D1376F" w:rsidR="005A6FF6">
        <w:rPr>
          <w:szCs w:val="26"/>
        </w:rPr>
        <w:t xml:space="preserve">  Finding no other revers</w:t>
      </w:r>
      <w:r w:rsidRPr="00D1376F" w:rsidR="00D201D4">
        <w:rPr>
          <w:szCs w:val="26"/>
        </w:rPr>
        <w:t>ible error</w:t>
      </w:r>
      <w:r w:rsidRPr="00D1376F" w:rsidR="005A6FF6">
        <w:rPr>
          <w:szCs w:val="26"/>
        </w:rPr>
        <w:t>, we affirmed Jones’s conviction and sentence.  (</w:t>
      </w:r>
      <w:r w:rsidRPr="00D1376F" w:rsidR="00A238F8">
        <w:rPr>
          <w:i/>
          <w:iCs/>
          <w:szCs w:val="26"/>
        </w:rPr>
        <w:t xml:space="preserve">Id. </w:t>
      </w:r>
      <w:r w:rsidRPr="00D1376F" w:rsidR="00A238F8">
        <w:rPr>
          <w:szCs w:val="26"/>
        </w:rPr>
        <w:t>at p.</w:t>
      </w:r>
      <w:r w:rsidRPr="00D1376F" w:rsidR="007A210E">
        <w:rPr>
          <w:szCs w:val="26"/>
        </w:rPr>
        <w:t> </w:t>
      </w:r>
      <w:r w:rsidRPr="00D1376F" w:rsidR="00A238F8">
        <w:rPr>
          <w:szCs w:val="26"/>
        </w:rPr>
        <w:t>981</w:t>
      </w:r>
      <w:r w:rsidRPr="00D1376F" w:rsidR="005A6FF6">
        <w:rPr>
          <w:szCs w:val="26"/>
        </w:rPr>
        <w:t>.)</w:t>
      </w:r>
    </w:p>
    <w:p w:rsidR="00D564BB" w:rsidRPr="00D1376F" w:rsidP="00D1376F">
      <w:pPr>
        <w:rPr>
          <w:szCs w:val="26"/>
        </w:rPr>
      </w:pPr>
      <w:r w:rsidRPr="00D1376F">
        <w:rPr>
          <w:szCs w:val="26"/>
        </w:rPr>
        <w:tab/>
      </w:r>
      <w:r w:rsidR="000622D6">
        <w:rPr>
          <w:szCs w:val="26"/>
        </w:rPr>
        <w:t xml:space="preserve">In 2014, the year after </w:t>
      </w:r>
      <w:r w:rsidR="00D225F1">
        <w:rPr>
          <w:szCs w:val="26"/>
        </w:rPr>
        <w:t xml:space="preserve">we </w:t>
      </w:r>
      <w:r w:rsidR="000622D6">
        <w:rPr>
          <w:szCs w:val="26"/>
        </w:rPr>
        <w:t xml:space="preserve">decided Jones’s direct appeal, </w:t>
      </w:r>
      <w:r w:rsidR="00D225F1">
        <w:rPr>
          <w:szCs w:val="26"/>
        </w:rPr>
        <w:t xml:space="preserve">and 20 years after the trial, </w:t>
      </w:r>
      <w:r w:rsidRPr="00D1376F" w:rsidR="00732379">
        <w:rPr>
          <w:szCs w:val="26"/>
        </w:rPr>
        <w:t>Jones filed a petition for writ of habeas corpus in this court</w:t>
      </w:r>
      <w:r w:rsidR="00D225F1">
        <w:rPr>
          <w:szCs w:val="26"/>
        </w:rPr>
        <w:t>.  H</w:t>
      </w:r>
      <w:r w:rsidR="000622D6">
        <w:rPr>
          <w:szCs w:val="26"/>
        </w:rPr>
        <w:t xml:space="preserve">e </w:t>
      </w:r>
      <w:r w:rsidRPr="00D1376F" w:rsidR="00732379">
        <w:rPr>
          <w:szCs w:val="26"/>
        </w:rPr>
        <w:t xml:space="preserve">substantively amended </w:t>
      </w:r>
      <w:r w:rsidR="000622D6">
        <w:rPr>
          <w:szCs w:val="26"/>
        </w:rPr>
        <w:t>th</w:t>
      </w:r>
      <w:r w:rsidR="00D225F1">
        <w:rPr>
          <w:szCs w:val="26"/>
        </w:rPr>
        <w:t xml:space="preserve">e </w:t>
      </w:r>
      <w:r w:rsidR="000622D6">
        <w:rPr>
          <w:szCs w:val="26"/>
        </w:rPr>
        <w:t xml:space="preserve">petition </w:t>
      </w:r>
      <w:r w:rsidRPr="00D1376F" w:rsidR="00732379">
        <w:rPr>
          <w:szCs w:val="26"/>
        </w:rPr>
        <w:t xml:space="preserve">in 2018.  </w:t>
      </w:r>
      <w:r w:rsidRPr="00D1376F" w:rsidR="00D1391D">
        <w:rPr>
          <w:szCs w:val="26"/>
        </w:rPr>
        <w:t xml:space="preserve">Among other claims, </w:t>
      </w:r>
      <w:r w:rsidRPr="00D1376F" w:rsidR="00DA5A1E">
        <w:rPr>
          <w:szCs w:val="26"/>
        </w:rPr>
        <w:t xml:space="preserve">the amended petition </w:t>
      </w:r>
      <w:r w:rsidRPr="00D1376F" w:rsidR="00D1391D">
        <w:rPr>
          <w:szCs w:val="26"/>
        </w:rPr>
        <w:t xml:space="preserve">alleged that </w:t>
      </w:r>
      <w:r w:rsidR="00965D15">
        <w:rPr>
          <w:szCs w:val="26"/>
        </w:rPr>
        <w:t>Jones’s</w:t>
      </w:r>
      <w:r w:rsidRPr="00D1376F" w:rsidR="00965D15">
        <w:rPr>
          <w:szCs w:val="26"/>
        </w:rPr>
        <w:t xml:space="preserve"> </w:t>
      </w:r>
      <w:r w:rsidRPr="00D1376F" w:rsidR="00D1391D">
        <w:rPr>
          <w:szCs w:val="26"/>
        </w:rPr>
        <w:t xml:space="preserve">trial counsel was ineffective for failing to </w:t>
      </w:r>
      <w:r w:rsidRPr="00D1376F" w:rsidR="009E7015">
        <w:rPr>
          <w:szCs w:val="26"/>
        </w:rPr>
        <w:t>r</w:t>
      </w:r>
      <w:r w:rsidRPr="00D1376F" w:rsidR="00D1391D">
        <w:rPr>
          <w:szCs w:val="26"/>
        </w:rPr>
        <w:t xml:space="preserve">aise and properly litigate </w:t>
      </w:r>
      <w:r w:rsidRPr="00D1376F" w:rsidR="00D1391D">
        <w:rPr>
          <w:i/>
          <w:iCs/>
          <w:szCs w:val="26"/>
        </w:rPr>
        <w:t>Batson</w:t>
      </w:r>
      <w:r w:rsidRPr="00D1376F" w:rsidR="00D1391D">
        <w:rPr>
          <w:szCs w:val="26"/>
        </w:rPr>
        <w:t>/</w:t>
      </w:r>
      <w:r w:rsidRPr="00D1376F" w:rsidR="00D1391D">
        <w:rPr>
          <w:i/>
          <w:iCs/>
          <w:szCs w:val="26"/>
        </w:rPr>
        <w:t>Wheeler</w:t>
      </w:r>
      <w:r w:rsidRPr="00D1376F" w:rsidR="00D1391D">
        <w:rPr>
          <w:szCs w:val="26"/>
        </w:rPr>
        <w:t xml:space="preserve"> challenges.  </w:t>
      </w:r>
      <w:r w:rsidRPr="00D1376F" w:rsidR="00D1391D">
        <w:rPr>
          <w:szCs w:val="26"/>
        </w:rPr>
        <w:t xml:space="preserve">Specifically, </w:t>
      </w:r>
      <w:r w:rsidRPr="00D1376F" w:rsidR="00DA5A1E">
        <w:rPr>
          <w:szCs w:val="26"/>
        </w:rPr>
        <w:t xml:space="preserve">the petition </w:t>
      </w:r>
      <w:r w:rsidR="00FF7D51">
        <w:rPr>
          <w:szCs w:val="26"/>
        </w:rPr>
        <w:t>asserted</w:t>
      </w:r>
      <w:r w:rsidRPr="00D1376F" w:rsidR="00FF7D51">
        <w:rPr>
          <w:szCs w:val="26"/>
        </w:rPr>
        <w:t xml:space="preserve"> </w:t>
      </w:r>
      <w:r w:rsidRPr="00D1376F" w:rsidR="00D1391D">
        <w:rPr>
          <w:szCs w:val="26"/>
        </w:rPr>
        <w:t xml:space="preserve">that trial counsel </w:t>
      </w:r>
      <w:r w:rsidR="00FF7D51">
        <w:rPr>
          <w:szCs w:val="26"/>
        </w:rPr>
        <w:t xml:space="preserve">was deficient for </w:t>
      </w:r>
      <w:r w:rsidRPr="00D1376F" w:rsidR="00D1391D">
        <w:rPr>
          <w:szCs w:val="26"/>
        </w:rPr>
        <w:t>fail</w:t>
      </w:r>
      <w:r w:rsidR="00FF7D51">
        <w:rPr>
          <w:szCs w:val="26"/>
        </w:rPr>
        <w:t>ing</w:t>
      </w:r>
      <w:r w:rsidRPr="00D1376F" w:rsidR="00D1391D">
        <w:rPr>
          <w:szCs w:val="26"/>
        </w:rPr>
        <w:t xml:space="preserve"> to raise a </w:t>
      </w:r>
      <w:r w:rsidRPr="00D1376F" w:rsidR="00D1391D">
        <w:rPr>
          <w:i/>
          <w:iCs/>
          <w:szCs w:val="26"/>
        </w:rPr>
        <w:t>Batson</w:t>
      </w:r>
      <w:r w:rsidRPr="00D1376F" w:rsidR="00D1391D">
        <w:rPr>
          <w:szCs w:val="26"/>
        </w:rPr>
        <w:t>/</w:t>
      </w:r>
      <w:r w:rsidRPr="00D1376F" w:rsidR="00D1391D">
        <w:rPr>
          <w:i/>
          <w:iCs/>
          <w:szCs w:val="26"/>
        </w:rPr>
        <w:t xml:space="preserve">Wheeler </w:t>
      </w:r>
      <w:r w:rsidRPr="00D1376F" w:rsidR="00D1391D">
        <w:rPr>
          <w:szCs w:val="26"/>
        </w:rPr>
        <w:t xml:space="preserve">objection </w:t>
      </w:r>
      <w:r w:rsidR="00FF7D51">
        <w:rPr>
          <w:szCs w:val="26"/>
        </w:rPr>
        <w:t xml:space="preserve">when </w:t>
      </w:r>
      <w:r w:rsidRPr="00D1376F" w:rsidR="00D1391D">
        <w:rPr>
          <w:szCs w:val="26"/>
        </w:rPr>
        <w:t xml:space="preserve">the </w:t>
      </w:r>
      <w:r w:rsidRPr="00D1376F" w:rsidR="00F53E9A">
        <w:rPr>
          <w:szCs w:val="26"/>
        </w:rPr>
        <w:t xml:space="preserve">prosecutor </w:t>
      </w:r>
      <w:r w:rsidRPr="00D1376F" w:rsidR="00D1391D">
        <w:rPr>
          <w:szCs w:val="26"/>
        </w:rPr>
        <w:t xml:space="preserve">used </w:t>
      </w:r>
      <w:r w:rsidRPr="00D1376F" w:rsidR="00AF6AC6">
        <w:rPr>
          <w:szCs w:val="26"/>
        </w:rPr>
        <w:t>13</w:t>
      </w:r>
      <w:r w:rsidRPr="00D1376F" w:rsidR="00D1391D">
        <w:rPr>
          <w:szCs w:val="26"/>
        </w:rPr>
        <w:t xml:space="preserve"> of </w:t>
      </w:r>
      <w:r w:rsidRPr="00D1376F" w:rsidR="00AF6AC6">
        <w:rPr>
          <w:szCs w:val="26"/>
        </w:rPr>
        <w:t>17</w:t>
      </w:r>
      <w:r w:rsidRPr="00D1376F" w:rsidR="00D1391D">
        <w:rPr>
          <w:szCs w:val="26"/>
        </w:rPr>
        <w:t xml:space="preserve"> peremptory challenges to </w:t>
      </w:r>
      <w:r w:rsidRPr="00D1376F" w:rsidR="00322899">
        <w:rPr>
          <w:szCs w:val="26"/>
        </w:rPr>
        <w:t xml:space="preserve">strike </w:t>
      </w:r>
      <w:r w:rsidRPr="00D1376F" w:rsidR="00D1391D">
        <w:rPr>
          <w:szCs w:val="26"/>
        </w:rPr>
        <w:t xml:space="preserve">women </w:t>
      </w:r>
      <w:r w:rsidRPr="00D1376F" w:rsidR="001B77FC">
        <w:rPr>
          <w:szCs w:val="26"/>
        </w:rPr>
        <w:t>(</w:t>
      </w:r>
      <w:r w:rsidR="00965D15">
        <w:rPr>
          <w:szCs w:val="26"/>
        </w:rPr>
        <w:t>s</w:t>
      </w:r>
      <w:r w:rsidRPr="00D1376F" w:rsidR="001B77FC">
        <w:rPr>
          <w:szCs w:val="26"/>
        </w:rPr>
        <w:t>ee</w:t>
      </w:r>
      <w:r w:rsidRPr="00D1376F" w:rsidR="00462825">
        <w:rPr>
          <w:szCs w:val="26"/>
        </w:rPr>
        <w:t>, e.g.,</w:t>
      </w:r>
      <w:r w:rsidRPr="00D1376F" w:rsidR="001B77FC">
        <w:rPr>
          <w:szCs w:val="26"/>
        </w:rPr>
        <w:t xml:space="preserve"> </w:t>
      </w:r>
      <w:r w:rsidRPr="00D1376F" w:rsidR="001B77FC">
        <w:rPr>
          <w:i/>
          <w:iCs/>
          <w:szCs w:val="26"/>
        </w:rPr>
        <w:t xml:space="preserve">J.E.B. v. Alabama ex rel. T.B. </w:t>
      </w:r>
      <w:r w:rsidRPr="00D1376F" w:rsidR="001B77FC">
        <w:rPr>
          <w:szCs w:val="26"/>
        </w:rPr>
        <w:t>(1994) 511 U.S. 127</w:t>
      </w:r>
      <w:r w:rsidR="002A436E">
        <w:rPr>
          <w:szCs w:val="26"/>
        </w:rPr>
        <w:t>, 146</w:t>
      </w:r>
      <w:r w:rsidRPr="00D1376F" w:rsidR="001B77FC">
        <w:rPr>
          <w:szCs w:val="26"/>
        </w:rPr>
        <w:t xml:space="preserve"> [holding that gender is an impermissible basis for the exercise of peremptory strikes]; </w:t>
      </w:r>
      <w:r w:rsidRPr="00D1376F" w:rsidR="00462825">
        <w:rPr>
          <w:i/>
          <w:iCs/>
          <w:szCs w:val="26"/>
        </w:rPr>
        <w:t>People v. Howard</w:t>
      </w:r>
      <w:r w:rsidRPr="00D1376F" w:rsidR="00462825">
        <w:rPr>
          <w:szCs w:val="26"/>
        </w:rPr>
        <w:t xml:space="preserve"> (1992) 1 Cal.4th 1132, 1158</w:t>
      </w:r>
      <w:r w:rsidRPr="00D1376F" w:rsidR="00C65851">
        <w:rPr>
          <w:szCs w:val="26"/>
        </w:rPr>
        <w:t xml:space="preserve"> [same]</w:t>
      </w:r>
      <w:r w:rsidRPr="00D1376F" w:rsidR="001B77FC">
        <w:rPr>
          <w:szCs w:val="26"/>
        </w:rPr>
        <w:t>)</w:t>
      </w:r>
      <w:r w:rsidR="00965D15">
        <w:rPr>
          <w:szCs w:val="26"/>
        </w:rPr>
        <w:t xml:space="preserve">, and </w:t>
      </w:r>
      <w:r w:rsidR="00FF7D51">
        <w:rPr>
          <w:szCs w:val="26"/>
        </w:rPr>
        <w:t>for in</w:t>
      </w:r>
      <w:r w:rsidR="00715A63">
        <w:rPr>
          <w:szCs w:val="26"/>
        </w:rPr>
        <w:t xml:space="preserve">adequately </w:t>
      </w:r>
      <w:r w:rsidR="00965D15">
        <w:rPr>
          <w:szCs w:val="26"/>
        </w:rPr>
        <w:t>litigat</w:t>
      </w:r>
      <w:r w:rsidR="00FF7D51">
        <w:rPr>
          <w:szCs w:val="26"/>
        </w:rPr>
        <w:t>ing</w:t>
      </w:r>
      <w:r w:rsidR="00965D15">
        <w:rPr>
          <w:szCs w:val="26"/>
        </w:rPr>
        <w:t xml:space="preserve"> </w:t>
      </w:r>
      <w:r w:rsidR="00965D15">
        <w:rPr>
          <w:i/>
          <w:iCs/>
          <w:szCs w:val="26"/>
        </w:rPr>
        <w:t>Batson/Wheeler</w:t>
      </w:r>
      <w:r w:rsidR="00965D15">
        <w:rPr>
          <w:szCs w:val="26"/>
        </w:rPr>
        <w:t xml:space="preserve"> challenges to the removal of Black prospective jurors.  The amended petition also renewed the </w:t>
      </w:r>
      <w:r w:rsidR="00965D15">
        <w:rPr>
          <w:i/>
          <w:iCs/>
          <w:szCs w:val="26"/>
        </w:rPr>
        <w:t xml:space="preserve">Batson/Wheeler </w:t>
      </w:r>
      <w:r w:rsidR="00965D15">
        <w:rPr>
          <w:szCs w:val="26"/>
        </w:rPr>
        <w:t>claims raised on appeal</w:t>
      </w:r>
      <w:r w:rsidR="00CF47C2">
        <w:rPr>
          <w:szCs w:val="26"/>
        </w:rPr>
        <w:t>, citing addition</w:t>
      </w:r>
      <w:r w:rsidR="002F37D4">
        <w:rPr>
          <w:szCs w:val="26"/>
        </w:rPr>
        <w:t>al</w:t>
      </w:r>
      <w:r w:rsidR="00CF47C2">
        <w:rPr>
          <w:szCs w:val="26"/>
        </w:rPr>
        <w:t xml:space="preserve"> </w:t>
      </w:r>
      <w:r w:rsidR="002F37D4">
        <w:rPr>
          <w:szCs w:val="26"/>
        </w:rPr>
        <w:t xml:space="preserve">evidence not in the trial </w:t>
      </w:r>
      <w:r w:rsidR="00965D15">
        <w:rPr>
          <w:szCs w:val="26"/>
        </w:rPr>
        <w:t>record.</w:t>
      </w:r>
      <w:r w:rsidRPr="00D1376F" w:rsidR="001B77FC">
        <w:rPr>
          <w:szCs w:val="26"/>
        </w:rPr>
        <w:t xml:space="preserve"> </w:t>
      </w:r>
      <w:r w:rsidRPr="00D1376F" w:rsidR="007A210E">
        <w:rPr>
          <w:szCs w:val="26"/>
        </w:rPr>
        <w:t xml:space="preserve"> </w:t>
      </w:r>
    </w:p>
    <w:p w:rsidR="00C17F54" w:rsidP="00D1376F">
      <w:pPr>
        <w:rPr>
          <w:szCs w:val="26"/>
        </w:rPr>
      </w:pPr>
      <w:r w:rsidRPr="00D1376F">
        <w:rPr>
          <w:szCs w:val="26"/>
        </w:rPr>
        <w:tab/>
      </w:r>
      <w:r w:rsidRPr="00D1376F" w:rsidR="00821DAB">
        <w:rPr>
          <w:szCs w:val="26"/>
        </w:rPr>
        <w:t xml:space="preserve">In </w:t>
      </w:r>
      <w:r w:rsidRPr="00D1376F" w:rsidR="00E91275">
        <w:rPr>
          <w:szCs w:val="26"/>
        </w:rPr>
        <w:t xml:space="preserve">connection with </w:t>
      </w:r>
      <w:r w:rsidRPr="00D1376F">
        <w:rPr>
          <w:szCs w:val="26"/>
        </w:rPr>
        <w:t>his habeas</w:t>
      </w:r>
      <w:r w:rsidRPr="00D1376F" w:rsidR="00E91275">
        <w:rPr>
          <w:szCs w:val="26"/>
        </w:rPr>
        <w:t xml:space="preserve"> petition</w:t>
      </w:r>
      <w:r w:rsidRPr="00D1376F" w:rsidR="003C6BCA">
        <w:rPr>
          <w:szCs w:val="26"/>
        </w:rPr>
        <w:t xml:space="preserve">, </w:t>
      </w:r>
      <w:r w:rsidRPr="00D1376F" w:rsidR="00763808">
        <w:rPr>
          <w:szCs w:val="26"/>
        </w:rPr>
        <w:t xml:space="preserve">Jones filed a </w:t>
      </w:r>
      <w:r w:rsidRPr="00D1376F" w:rsidR="00EE7BCB">
        <w:rPr>
          <w:szCs w:val="26"/>
        </w:rPr>
        <w:t>motion</w:t>
      </w:r>
      <w:r w:rsidRPr="00D1376F" w:rsidR="00E9335C">
        <w:rPr>
          <w:szCs w:val="26"/>
        </w:rPr>
        <w:t xml:space="preserve"> for </w:t>
      </w:r>
      <w:r>
        <w:rPr>
          <w:szCs w:val="26"/>
        </w:rPr>
        <w:t xml:space="preserve">postconviction </w:t>
      </w:r>
      <w:r w:rsidRPr="00D1376F" w:rsidR="00E9335C">
        <w:rPr>
          <w:szCs w:val="26"/>
        </w:rPr>
        <w:t>discovery</w:t>
      </w:r>
      <w:r w:rsidRPr="00D1376F" w:rsidR="00763808">
        <w:rPr>
          <w:szCs w:val="26"/>
        </w:rPr>
        <w:t xml:space="preserve"> </w:t>
      </w:r>
      <w:r>
        <w:rPr>
          <w:szCs w:val="26"/>
        </w:rPr>
        <w:t>in superior court</w:t>
      </w:r>
      <w:r w:rsidR="000416E0">
        <w:rPr>
          <w:szCs w:val="26"/>
        </w:rPr>
        <w:t xml:space="preserve"> under Penal Code section 1054.9 (section 1054.9)</w:t>
      </w:r>
      <w:r>
        <w:rPr>
          <w:szCs w:val="26"/>
        </w:rPr>
        <w:t>.</w:t>
      </w:r>
      <w:r w:rsidR="000416E0">
        <w:rPr>
          <w:szCs w:val="26"/>
        </w:rPr>
        <w:t xml:space="preserve">  </w:t>
      </w:r>
      <w:r w:rsidR="007444B8">
        <w:rPr>
          <w:szCs w:val="26"/>
        </w:rPr>
        <w:t>T</w:t>
      </w:r>
      <w:r w:rsidR="000971E0">
        <w:rPr>
          <w:szCs w:val="26"/>
        </w:rPr>
        <w:t>he motion</w:t>
      </w:r>
      <w:bookmarkStart w:id="3" w:name="_Hlk51927749"/>
      <w:r w:rsidRPr="00D1376F" w:rsidR="005A6FF6">
        <w:rPr>
          <w:szCs w:val="26"/>
        </w:rPr>
        <w:t xml:space="preserve"> </w:t>
      </w:r>
      <w:r w:rsidRPr="00D1376F" w:rsidR="00763808">
        <w:rPr>
          <w:szCs w:val="26"/>
        </w:rPr>
        <w:t xml:space="preserve">requested </w:t>
      </w:r>
      <w:r w:rsidRPr="00D1376F" w:rsidR="009E7015">
        <w:rPr>
          <w:szCs w:val="26"/>
        </w:rPr>
        <w:t>production of</w:t>
      </w:r>
      <w:r w:rsidRPr="00D1376F" w:rsidR="00763808">
        <w:rPr>
          <w:szCs w:val="26"/>
        </w:rPr>
        <w:t xml:space="preserve"> </w:t>
      </w:r>
      <w:r w:rsidR="0017236A">
        <w:rPr>
          <w:szCs w:val="26"/>
        </w:rPr>
        <w:t xml:space="preserve">contemporaneous jury selection notes created by </w:t>
      </w:r>
      <w:r w:rsidRPr="00D1376F" w:rsidR="00763808">
        <w:rPr>
          <w:szCs w:val="26"/>
        </w:rPr>
        <w:t xml:space="preserve">the </w:t>
      </w:r>
      <w:r w:rsidRPr="00D1376F" w:rsidR="00AC1BD8">
        <w:rPr>
          <w:szCs w:val="26"/>
        </w:rPr>
        <w:t>prosecutor</w:t>
      </w:r>
      <w:r w:rsidR="0017236A">
        <w:rPr>
          <w:szCs w:val="26"/>
        </w:rPr>
        <w:t xml:space="preserve"> and other members of the prosecution team as they prepared for and conducted jury selection in Jones’s trial</w:t>
      </w:r>
      <w:r w:rsidRPr="00D1376F" w:rsidR="005A6FF6">
        <w:rPr>
          <w:szCs w:val="26"/>
        </w:rPr>
        <w:t>.</w:t>
      </w:r>
      <w:r>
        <w:rPr>
          <w:rStyle w:val="FootnoteReference"/>
        </w:rPr>
        <w:footnoteReference w:id="4"/>
      </w:r>
      <w:r w:rsidRPr="00D1376F" w:rsidR="00462825">
        <w:t xml:space="preserve"> </w:t>
      </w:r>
      <w:r w:rsidRPr="00D1376F" w:rsidR="005A6FF6">
        <w:rPr>
          <w:szCs w:val="26"/>
        </w:rPr>
        <w:t xml:space="preserve"> </w:t>
      </w:r>
      <w:bookmarkEnd w:id="3"/>
      <w:r>
        <w:rPr>
          <w:szCs w:val="26"/>
        </w:rPr>
        <w:t>T</w:t>
      </w:r>
      <w:r w:rsidRPr="00D1376F" w:rsidR="00563987">
        <w:rPr>
          <w:szCs w:val="26"/>
        </w:rPr>
        <w:t xml:space="preserve">he </w:t>
      </w:r>
      <w:r w:rsidRPr="00D1376F" w:rsidR="009E7015">
        <w:rPr>
          <w:szCs w:val="26"/>
        </w:rPr>
        <w:t>District Attorney</w:t>
      </w:r>
      <w:r w:rsidRPr="00D1376F" w:rsidR="00563987">
        <w:rPr>
          <w:szCs w:val="26"/>
        </w:rPr>
        <w:t xml:space="preserve"> </w:t>
      </w:r>
      <w:r>
        <w:rPr>
          <w:szCs w:val="26"/>
        </w:rPr>
        <w:t xml:space="preserve">opposed the motion, </w:t>
      </w:r>
      <w:r w:rsidRPr="00D1376F" w:rsidR="00E44085">
        <w:rPr>
          <w:szCs w:val="26"/>
        </w:rPr>
        <w:t>assert</w:t>
      </w:r>
      <w:r>
        <w:rPr>
          <w:szCs w:val="26"/>
        </w:rPr>
        <w:t>ing</w:t>
      </w:r>
      <w:r w:rsidRPr="00D1376F" w:rsidR="00563987">
        <w:rPr>
          <w:szCs w:val="26"/>
        </w:rPr>
        <w:t xml:space="preserve"> </w:t>
      </w:r>
      <w:r w:rsidR="00DB4EC0">
        <w:rPr>
          <w:szCs w:val="26"/>
        </w:rPr>
        <w:t>the</w:t>
      </w:r>
      <w:r w:rsidRPr="00D1376F" w:rsidR="00DB4EC0">
        <w:rPr>
          <w:szCs w:val="26"/>
        </w:rPr>
        <w:t xml:space="preserve"> </w:t>
      </w:r>
      <w:r w:rsidRPr="00D1376F" w:rsidR="00E44085">
        <w:rPr>
          <w:szCs w:val="26"/>
        </w:rPr>
        <w:t xml:space="preserve">jury selection </w:t>
      </w:r>
      <w:r w:rsidRPr="00D1376F" w:rsidR="00563987">
        <w:rPr>
          <w:szCs w:val="26"/>
        </w:rPr>
        <w:t xml:space="preserve">notes were core work product </w:t>
      </w:r>
      <w:r w:rsidR="0019322A">
        <w:rPr>
          <w:szCs w:val="26"/>
        </w:rPr>
        <w:t xml:space="preserve">absolutely protected </w:t>
      </w:r>
      <w:r w:rsidRPr="00D1376F" w:rsidR="00662FBB">
        <w:rPr>
          <w:szCs w:val="26"/>
        </w:rPr>
        <w:t xml:space="preserve">by </w:t>
      </w:r>
      <w:r w:rsidRPr="00D1376F" w:rsidR="00563987">
        <w:rPr>
          <w:szCs w:val="26"/>
        </w:rPr>
        <w:t xml:space="preserve">Code </w:t>
      </w:r>
      <w:r w:rsidRPr="00D1376F" w:rsidR="00F8099A">
        <w:rPr>
          <w:szCs w:val="26"/>
        </w:rPr>
        <w:t xml:space="preserve">of Civil Procedure </w:t>
      </w:r>
      <w:r w:rsidRPr="00D1376F" w:rsidR="00466106">
        <w:rPr>
          <w:szCs w:val="26"/>
        </w:rPr>
        <w:t>section</w:t>
      </w:r>
      <w:r w:rsidRPr="00D1376F" w:rsidR="00563987">
        <w:rPr>
          <w:szCs w:val="26"/>
        </w:rPr>
        <w:t xml:space="preserve"> 2018.030</w:t>
      </w:r>
      <w:r w:rsidRPr="00D1376F" w:rsidR="00FB6171">
        <w:rPr>
          <w:szCs w:val="26"/>
        </w:rPr>
        <w:t>, subdivision (a)</w:t>
      </w:r>
      <w:r w:rsidRPr="00D1376F">
        <w:rPr>
          <w:szCs w:val="26"/>
        </w:rPr>
        <w:t xml:space="preserve">, and consequently </w:t>
      </w:r>
      <w:r w:rsidR="00DB4EC0">
        <w:rPr>
          <w:szCs w:val="26"/>
        </w:rPr>
        <w:t xml:space="preserve">were </w:t>
      </w:r>
      <w:r w:rsidRPr="00D1376F">
        <w:rPr>
          <w:szCs w:val="26"/>
        </w:rPr>
        <w:t>not discoverable</w:t>
      </w:r>
      <w:r w:rsidR="00DB4EC0">
        <w:rPr>
          <w:szCs w:val="26"/>
        </w:rPr>
        <w:t xml:space="preserve">.  </w:t>
      </w:r>
      <w:r w:rsidRPr="00D1376F" w:rsidR="00AC1BD8">
        <w:rPr>
          <w:szCs w:val="26"/>
        </w:rPr>
        <w:t>(See Pen</w:t>
      </w:r>
      <w:r w:rsidRPr="00D1376F" w:rsidR="00B81F98">
        <w:rPr>
          <w:szCs w:val="26"/>
        </w:rPr>
        <w:t>.</w:t>
      </w:r>
      <w:r w:rsidRPr="00D1376F" w:rsidR="00AC1BD8">
        <w:rPr>
          <w:szCs w:val="26"/>
        </w:rPr>
        <w:t xml:space="preserve"> Code</w:t>
      </w:r>
      <w:r w:rsidR="00D35383">
        <w:rPr>
          <w:szCs w:val="26"/>
        </w:rPr>
        <w:t>,</w:t>
      </w:r>
      <w:r w:rsidRPr="00D1376F" w:rsidR="00AC1BD8">
        <w:rPr>
          <w:szCs w:val="26"/>
        </w:rPr>
        <w:t xml:space="preserve"> §</w:t>
      </w:r>
      <w:r w:rsidRPr="00D1376F" w:rsidR="007A210E">
        <w:rPr>
          <w:szCs w:val="26"/>
        </w:rPr>
        <w:t> </w:t>
      </w:r>
      <w:r w:rsidRPr="00D1376F" w:rsidR="00AC1BD8">
        <w:rPr>
          <w:szCs w:val="26"/>
        </w:rPr>
        <w:t>1054.6</w:t>
      </w:r>
      <w:r w:rsidRPr="00D1376F" w:rsidR="008F40B4">
        <w:rPr>
          <w:szCs w:val="26"/>
        </w:rPr>
        <w:t xml:space="preserve"> [“</w:t>
      </w:r>
      <w:r w:rsidRPr="00D1376F" w:rsidR="000E6BC4">
        <w:rPr>
          <w:szCs w:val="26"/>
        </w:rPr>
        <w:t xml:space="preserve">Neither the defendant nor the prosecuting attorney is required </w:t>
      </w:r>
      <w:r w:rsidRPr="00D1376F" w:rsidR="008F40B4">
        <w:rPr>
          <w:szCs w:val="26"/>
        </w:rPr>
        <w:t>to disclose any materials or information which are work product as defined in subdivision (a) of Section 2018.030 of the Code of Civil Procedure</w:t>
      </w:r>
      <w:r w:rsidR="003908BE">
        <w:rPr>
          <w:szCs w:val="26"/>
        </w:rPr>
        <w:t xml:space="preserve"> .</w:t>
      </w:r>
      <w:r w:rsidR="002343A1">
        <w:rPr>
          <w:szCs w:val="26"/>
        </w:rPr>
        <w:t> </w:t>
      </w:r>
      <w:r w:rsidR="003908BE">
        <w:rPr>
          <w:szCs w:val="26"/>
        </w:rPr>
        <w:t>.</w:t>
      </w:r>
      <w:r w:rsidR="002343A1">
        <w:rPr>
          <w:szCs w:val="26"/>
        </w:rPr>
        <w:t> </w:t>
      </w:r>
      <w:r w:rsidR="003908BE">
        <w:rPr>
          <w:szCs w:val="26"/>
        </w:rPr>
        <w:t>.</w:t>
      </w:r>
      <w:r w:rsidR="002343A1">
        <w:rPr>
          <w:szCs w:val="26"/>
        </w:rPr>
        <w:t> </w:t>
      </w:r>
      <w:r w:rsidRPr="00D1376F" w:rsidR="008F40B4">
        <w:rPr>
          <w:szCs w:val="26"/>
        </w:rPr>
        <w:t>.”]</w:t>
      </w:r>
      <w:r w:rsidRPr="00D1376F" w:rsidR="00AC1BD8">
        <w:rPr>
          <w:szCs w:val="26"/>
        </w:rPr>
        <w:t>.)</w:t>
      </w:r>
      <w:r w:rsidR="002E5883">
        <w:rPr>
          <w:szCs w:val="26"/>
        </w:rPr>
        <w:t xml:space="preserve">  In </w:t>
      </w:r>
      <w:r w:rsidR="00E5312C">
        <w:rPr>
          <w:szCs w:val="26"/>
        </w:rPr>
        <w:t>reply</w:t>
      </w:r>
      <w:r w:rsidR="002E5883">
        <w:rPr>
          <w:szCs w:val="26"/>
        </w:rPr>
        <w:t xml:space="preserve">, Jones argued that </w:t>
      </w:r>
      <w:r w:rsidR="00C361F7">
        <w:rPr>
          <w:szCs w:val="26"/>
        </w:rPr>
        <w:t xml:space="preserve">the prosecutor “effectively </w:t>
      </w:r>
      <w:r w:rsidR="00C361F7">
        <w:rPr>
          <w:szCs w:val="26"/>
        </w:rPr>
        <w:t>waived” any work product privilege over the notes when he offered reasons for the challenged strikes that were based on notes of a juror rating syste</w:t>
      </w:r>
      <w:r w:rsidR="00626DAA">
        <w:rPr>
          <w:szCs w:val="26"/>
        </w:rPr>
        <w:t>m.</w:t>
      </w:r>
      <w:r w:rsidR="009B72A2">
        <w:rPr>
          <w:szCs w:val="26"/>
        </w:rPr>
        <w:t xml:space="preserve">  Jones </w:t>
      </w:r>
      <w:r w:rsidR="00BE1A5A">
        <w:rPr>
          <w:szCs w:val="26"/>
        </w:rPr>
        <w:t>further</w:t>
      </w:r>
      <w:r w:rsidR="00F743EE">
        <w:rPr>
          <w:szCs w:val="26"/>
        </w:rPr>
        <w:t xml:space="preserve"> argued the notes were subject to disclosure under Evidence Code </w:t>
      </w:r>
      <w:r w:rsidR="004A5277">
        <w:rPr>
          <w:szCs w:val="26"/>
        </w:rPr>
        <w:t xml:space="preserve">section </w:t>
      </w:r>
      <w:r w:rsidR="00F743EE">
        <w:rPr>
          <w:szCs w:val="26"/>
        </w:rPr>
        <w:t>771, which requires the production of any writing used to refresh the memory of a testifying witness</w:t>
      </w:r>
      <w:r w:rsidR="004A5277">
        <w:rPr>
          <w:szCs w:val="26"/>
        </w:rPr>
        <w:t xml:space="preserve">, and that trial counsel would have been entitled to the jury selection notes if counsel </w:t>
      </w:r>
      <w:r w:rsidR="002A6650">
        <w:rPr>
          <w:szCs w:val="26"/>
        </w:rPr>
        <w:t xml:space="preserve">had </w:t>
      </w:r>
      <w:r w:rsidR="004A5277">
        <w:rPr>
          <w:szCs w:val="26"/>
        </w:rPr>
        <w:t xml:space="preserve">requested them during the </w:t>
      </w:r>
      <w:r w:rsidRPr="004A5277" w:rsidR="004A5277">
        <w:rPr>
          <w:i/>
          <w:iCs/>
          <w:szCs w:val="26"/>
        </w:rPr>
        <w:t>Batson</w:t>
      </w:r>
      <w:r w:rsidR="004A5277">
        <w:rPr>
          <w:szCs w:val="26"/>
        </w:rPr>
        <w:t>/</w:t>
      </w:r>
      <w:r w:rsidRPr="004A5277" w:rsidR="004A5277">
        <w:rPr>
          <w:i/>
          <w:iCs/>
          <w:szCs w:val="26"/>
        </w:rPr>
        <w:t>Wheeler</w:t>
      </w:r>
      <w:r w:rsidR="004A5277">
        <w:rPr>
          <w:szCs w:val="26"/>
        </w:rPr>
        <w:t xml:space="preserve"> hearing</w:t>
      </w:r>
      <w:r w:rsidR="00F743EE">
        <w:rPr>
          <w:szCs w:val="26"/>
        </w:rPr>
        <w:t>.</w:t>
      </w:r>
    </w:p>
    <w:p w:rsidR="00E91275" w:rsidRPr="00D1376F">
      <w:pPr>
        <w:rPr>
          <w:rStyle w:val="apple-converted-space"/>
          <w:rFonts w:eastAsiaTheme="majorEastAsia"/>
          <w:szCs w:val="26"/>
          <w:shd w:val="clear" w:color="auto" w:fill="FFFFFF"/>
        </w:rPr>
      </w:pPr>
      <w:r>
        <w:rPr>
          <w:szCs w:val="26"/>
        </w:rPr>
        <w:tab/>
      </w:r>
      <w:r w:rsidR="00234D78">
        <w:rPr>
          <w:szCs w:val="26"/>
        </w:rPr>
        <w:t>T</w:t>
      </w:r>
      <w:r w:rsidR="00F743EE">
        <w:rPr>
          <w:szCs w:val="26"/>
        </w:rPr>
        <w:t xml:space="preserve">he </w:t>
      </w:r>
      <w:r w:rsidRPr="00D1376F" w:rsidR="00DA00F6">
        <w:rPr>
          <w:szCs w:val="26"/>
        </w:rPr>
        <w:t xml:space="preserve">trial court rejected the District Attorney’s </w:t>
      </w:r>
      <w:r w:rsidR="00C463B0">
        <w:rPr>
          <w:szCs w:val="26"/>
        </w:rPr>
        <w:t xml:space="preserve">work product </w:t>
      </w:r>
      <w:r w:rsidR="0091172B">
        <w:rPr>
          <w:szCs w:val="26"/>
        </w:rPr>
        <w:t>argument</w:t>
      </w:r>
      <w:r w:rsidR="00C84FFC">
        <w:rPr>
          <w:szCs w:val="26"/>
        </w:rPr>
        <w:t xml:space="preserve"> and granted Jones’s motion</w:t>
      </w:r>
      <w:r w:rsidRPr="00D1376F" w:rsidR="00DA00F6">
        <w:rPr>
          <w:szCs w:val="26"/>
        </w:rPr>
        <w:t>.</w:t>
      </w:r>
      <w:r w:rsidR="00E5312C">
        <w:rPr>
          <w:szCs w:val="26"/>
        </w:rPr>
        <w:t xml:space="preserve">  </w:t>
      </w:r>
      <w:r w:rsidR="00234D78">
        <w:rPr>
          <w:szCs w:val="26"/>
        </w:rPr>
        <w:t>Voicing general agreement with Jones’s arguments, t</w:t>
      </w:r>
      <w:r w:rsidR="00CB2826">
        <w:rPr>
          <w:szCs w:val="26"/>
        </w:rPr>
        <w:t xml:space="preserve">he court </w:t>
      </w:r>
      <w:r w:rsidR="00F06B5F">
        <w:rPr>
          <w:szCs w:val="26"/>
        </w:rPr>
        <w:t xml:space="preserve">determined </w:t>
      </w:r>
      <w:r w:rsidR="00CB2826">
        <w:rPr>
          <w:szCs w:val="26"/>
        </w:rPr>
        <w:t xml:space="preserve">that </w:t>
      </w:r>
      <w:r w:rsidR="00B46D71">
        <w:rPr>
          <w:szCs w:val="26"/>
        </w:rPr>
        <w:t xml:space="preserve">Jones was entitled to any notes “that could possibly impeach” the prosecutor’s comments during the </w:t>
      </w:r>
      <w:r w:rsidR="00B46D71">
        <w:rPr>
          <w:i/>
          <w:iCs/>
          <w:szCs w:val="26"/>
        </w:rPr>
        <w:t xml:space="preserve">Batson/Wheeler </w:t>
      </w:r>
      <w:r w:rsidR="00B46D71">
        <w:rPr>
          <w:szCs w:val="26"/>
        </w:rPr>
        <w:t>hearings</w:t>
      </w:r>
      <w:r w:rsidR="00593727">
        <w:rPr>
          <w:szCs w:val="26"/>
        </w:rPr>
        <w:t xml:space="preserve">.  The court </w:t>
      </w:r>
      <w:r w:rsidR="00F06B5F">
        <w:rPr>
          <w:szCs w:val="26"/>
        </w:rPr>
        <w:t xml:space="preserve">observed </w:t>
      </w:r>
      <w:r w:rsidR="00B46D71">
        <w:rPr>
          <w:szCs w:val="26"/>
        </w:rPr>
        <w:t>that without such material, Jones would be unable to address the legitimacy of</w:t>
      </w:r>
      <w:r w:rsidR="00A040C7">
        <w:rPr>
          <w:szCs w:val="26"/>
        </w:rPr>
        <w:t xml:space="preserve"> the prosecutor’s </w:t>
      </w:r>
      <w:r w:rsidR="00C62901">
        <w:rPr>
          <w:szCs w:val="26"/>
        </w:rPr>
        <w:t xml:space="preserve">reasons </w:t>
      </w:r>
      <w:r w:rsidR="00A040C7">
        <w:rPr>
          <w:szCs w:val="26"/>
        </w:rPr>
        <w:t xml:space="preserve">for striking prospective jurors.  </w:t>
      </w:r>
      <w:r w:rsidRPr="00D1376F" w:rsidR="0004488C">
        <w:rPr>
          <w:szCs w:val="26"/>
        </w:rPr>
        <w:t xml:space="preserve"> </w:t>
      </w:r>
      <w:r w:rsidRPr="00D1376F" w:rsidR="007A210E">
        <w:rPr>
          <w:szCs w:val="26"/>
        </w:rPr>
        <w:t xml:space="preserve"> </w:t>
      </w:r>
    </w:p>
    <w:p w:rsidR="00A1656F" w:rsidRPr="00D1376F" w:rsidP="00D1376F">
      <w:pPr>
        <w:tabs>
          <w:tab w:val="left" w:pos="0"/>
        </w:tabs>
        <w:rPr>
          <w:szCs w:val="26"/>
        </w:rPr>
      </w:pPr>
      <w:r w:rsidRPr="00D1376F">
        <w:rPr>
          <w:szCs w:val="26"/>
        </w:rPr>
        <w:tab/>
      </w:r>
      <w:r w:rsidRPr="00D1376F" w:rsidR="00AA20A3">
        <w:rPr>
          <w:szCs w:val="26"/>
        </w:rPr>
        <w:t xml:space="preserve">The </w:t>
      </w:r>
      <w:r w:rsidRPr="00D1376F" w:rsidR="0004488C">
        <w:rPr>
          <w:szCs w:val="26"/>
        </w:rPr>
        <w:t>District Attorney</w:t>
      </w:r>
      <w:r w:rsidRPr="00D1376F" w:rsidR="00AA20A3">
        <w:rPr>
          <w:szCs w:val="26"/>
        </w:rPr>
        <w:t xml:space="preserve"> petitioned for a writ of mandate and/or prohibition</w:t>
      </w:r>
      <w:r w:rsidRPr="00D1376F" w:rsidR="00151EE8">
        <w:rPr>
          <w:szCs w:val="26"/>
        </w:rPr>
        <w:t xml:space="preserve"> seeking to vacate the trial court’s order</w:t>
      </w:r>
      <w:r w:rsidRPr="00D1376F" w:rsidR="0070400A">
        <w:rPr>
          <w:szCs w:val="26"/>
        </w:rPr>
        <w:t>.  T</w:t>
      </w:r>
      <w:r w:rsidRPr="00D1376F" w:rsidR="00AA20A3">
        <w:rPr>
          <w:szCs w:val="26"/>
        </w:rPr>
        <w:t xml:space="preserve">he Court of Appeal </w:t>
      </w:r>
      <w:r w:rsidRPr="00D1376F" w:rsidR="003C6BCA">
        <w:rPr>
          <w:szCs w:val="26"/>
        </w:rPr>
        <w:t xml:space="preserve">summarily </w:t>
      </w:r>
      <w:r w:rsidRPr="00D1376F" w:rsidR="00AA20A3">
        <w:rPr>
          <w:szCs w:val="26"/>
        </w:rPr>
        <w:t>denied</w:t>
      </w:r>
      <w:r w:rsidRPr="00D1376F" w:rsidR="0070400A">
        <w:rPr>
          <w:szCs w:val="26"/>
        </w:rPr>
        <w:t xml:space="preserve"> the petition</w:t>
      </w:r>
      <w:r w:rsidRPr="00D1376F" w:rsidR="00AA20A3">
        <w:rPr>
          <w:szCs w:val="26"/>
        </w:rPr>
        <w:t xml:space="preserve">.  </w:t>
      </w:r>
      <w:r w:rsidRPr="00D1376F" w:rsidR="003C6BCA">
        <w:rPr>
          <w:szCs w:val="26"/>
        </w:rPr>
        <w:t xml:space="preserve">We granted the </w:t>
      </w:r>
      <w:r w:rsidRPr="00D1376F" w:rsidR="00CB774F">
        <w:rPr>
          <w:szCs w:val="26"/>
        </w:rPr>
        <w:t xml:space="preserve">District Attorney’s </w:t>
      </w:r>
      <w:r w:rsidRPr="00D1376F" w:rsidR="003C6BCA">
        <w:rPr>
          <w:szCs w:val="26"/>
        </w:rPr>
        <w:t xml:space="preserve">petition for review and transferred the matter to the Court of Appeal </w:t>
      </w:r>
      <w:r w:rsidRPr="00D1376F" w:rsidR="00E0460D">
        <w:rPr>
          <w:szCs w:val="26"/>
        </w:rPr>
        <w:t>with instructions to</w:t>
      </w:r>
      <w:r w:rsidRPr="00D1376F" w:rsidR="00960715">
        <w:rPr>
          <w:szCs w:val="26"/>
        </w:rPr>
        <w:t xml:space="preserve"> issue an order to</w:t>
      </w:r>
      <w:r w:rsidRPr="00D1376F" w:rsidR="00E0460D">
        <w:rPr>
          <w:szCs w:val="26"/>
        </w:rPr>
        <w:t xml:space="preserve"> </w:t>
      </w:r>
      <w:r w:rsidRPr="00D1376F" w:rsidR="003C6BCA">
        <w:rPr>
          <w:szCs w:val="26"/>
        </w:rPr>
        <w:t>show cause.</w:t>
      </w:r>
    </w:p>
    <w:p w:rsidR="008D77D5" w:rsidP="00D1376F">
      <w:pPr>
        <w:tabs>
          <w:tab w:val="left" w:pos="0"/>
        </w:tabs>
        <w:rPr>
          <w:szCs w:val="26"/>
        </w:rPr>
      </w:pPr>
      <w:r w:rsidRPr="00D1376F">
        <w:rPr>
          <w:szCs w:val="26"/>
        </w:rPr>
        <w:tab/>
      </w:r>
      <w:r w:rsidR="00DF1C31">
        <w:rPr>
          <w:szCs w:val="26"/>
        </w:rPr>
        <w:t>In a published opinion, t</w:t>
      </w:r>
      <w:r w:rsidRPr="00D1376F" w:rsidR="002530F5">
        <w:rPr>
          <w:szCs w:val="26"/>
        </w:rPr>
        <w:t xml:space="preserve">he Court of Appeal </w:t>
      </w:r>
      <w:r w:rsidR="002F10A1">
        <w:rPr>
          <w:szCs w:val="26"/>
        </w:rPr>
        <w:t xml:space="preserve">upheld the trial court’s order.  </w:t>
      </w:r>
      <w:r w:rsidRPr="00D1376F" w:rsidR="0070400A">
        <w:rPr>
          <w:szCs w:val="26"/>
        </w:rPr>
        <w:t>(</w:t>
      </w:r>
      <w:r w:rsidRPr="00D1376F" w:rsidR="0070400A">
        <w:rPr>
          <w:i/>
          <w:iCs/>
          <w:szCs w:val="26"/>
        </w:rPr>
        <w:t xml:space="preserve">People v. Superior Court </w:t>
      </w:r>
      <w:r w:rsidRPr="00D1376F" w:rsidR="00231958">
        <w:rPr>
          <w:szCs w:val="26"/>
        </w:rPr>
        <w:t>(</w:t>
      </w:r>
      <w:r w:rsidRPr="00D1376F" w:rsidR="00231958">
        <w:rPr>
          <w:i/>
          <w:iCs/>
          <w:szCs w:val="26"/>
        </w:rPr>
        <w:t>Jones</w:t>
      </w:r>
      <w:r w:rsidRPr="00D1376F" w:rsidR="00231958">
        <w:rPr>
          <w:szCs w:val="26"/>
        </w:rPr>
        <w:t>)</w:t>
      </w:r>
      <w:r w:rsidRPr="00D1376F" w:rsidR="0070400A">
        <w:rPr>
          <w:i/>
          <w:iCs/>
          <w:szCs w:val="26"/>
        </w:rPr>
        <w:t xml:space="preserve"> </w:t>
      </w:r>
      <w:r w:rsidRPr="00D1376F" w:rsidR="0070400A">
        <w:rPr>
          <w:szCs w:val="26"/>
        </w:rPr>
        <w:t>(2019) 34 Cal.App.5th 75</w:t>
      </w:r>
      <w:r w:rsidRPr="00D1376F" w:rsidR="00B65F96">
        <w:rPr>
          <w:szCs w:val="26"/>
        </w:rPr>
        <w:t xml:space="preserve"> (</w:t>
      </w:r>
      <w:r w:rsidRPr="00D1376F" w:rsidR="00B65F96">
        <w:rPr>
          <w:i/>
          <w:iCs/>
          <w:szCs w:val="26"/>
        </w:rPr>
        <w:t>Jones</w:t>
      </w:r>
      <w:r w:rsidRPr="00D1376F" w:rsidR="00B65F96">
        <w:rPr>
          <w:szCs w:val="26"/>
        </w:rPr>
        <w:t>)</w:t>
      </w:r>
      <w:r w:rsidRPr="00D1376F" w:rsidR="0070400A">
        <w:rPr>
          <w:szCs w:val="26"/>
        </w:rPr>
        <w:t>.)</w:t>
      </w:r>
      <w:r w:rsidR="0019322A">
        <w:rPr>
          <w:szCs w:val="26"/>
        </w:rPr>
        <w:t xml:space="preserve">  </w:t>
      </w:r>
      <w:r w:rsidRPr="00D1376F" w:rsidR="0070400A">
        <w:rPr>
          <w:szCs w:val="26"/>
        </w:rPr>
        <w:t>The Co</w:t>
      </w:r>
      <w:r w:rsidRPr="00D1376F" w:rsidR="00642712">
        <w:rPr>
          <w:szCs w:val="26"/>
        </w:rPr>
        <w:t xml:space="preserve">urt of Appeal </w:t>
      </w:r>
      <w:r w:rsidRPr="00D1376F" w:rsidR="0019038F">
        <w:rPr>
          <w:szCs w:val="26"/>
        </w:rPr>
        <w:t xml:space="preserve">began </w:t>
      </w:r>
      <w:r w:rsidRPr="00D1376F" w:rsidR="00061262">
        <w:rPr>
          <w:szCs w:val="26"/>
        </w:rPr>
        <w:t xml:space="preserve">by </w:t>
      </w:r>
      <w:r w:rsidR="0019322A">
        <w:rPr>
          <w:szCs w:val="26"/>
        </w:rPr>
        <w:t xml:space="preserve">questioning </w:t>
      </w:r>
      <w:r w:rsidR="004E596C">
        <w:rPr>
          <w:szCs w:val="26"/>
        </w:rPr>
        <w:t>“whether the work product privilege remains absolute when a court has an obligation to evaluate the intent of the prosecution, and the written mental impressions themselves may reveal an effort to unlawfully exclude prospective jurors based on race or gender.”  (</w:t>
      </w:r>
      <w:r w:rsidR="004E596C">
        <w:rPr>
          <w:i/>
          <w:iCs/>
          <w:szCs w:val="26"/>
        </w:rPr>
        <w:t>Id.</w:t>
      </w:r>
      <w:r w:rsidR="004E596C">
        <w:rPr>
          <w:szCs w:val="26"/>
        </w:rPr>
        <w:t xml:space="preserve"> at p.</w:t>
      </w:r>
      <w:r w:rsidR="00E75419">
        <w:rPr>
          <w:szCs w:val="26"/>
        </w:rPr>
        <w:t> </w:t>
      </w:r>
      <w:r w:rsidR="004E596C">
        <w:rPr>
          <w:szCs w:val="26"/>
        </w:rPr>
        <w:t>81.)  The court opined that to extend absolute work product protection to such writings, as opposed to writings reflecting the attorney’s thoughts and opinions about the legal case or trial strategy, would be inconsistent with the nature of an inquiry that requires trial courts to evaluate the prosecutor’s reasons for exercising challenged strikes.  (</w:t>
      </w:r>
      <w:r w:rsidR="004E596C">
        <w:rPr>
          <w:i/>
          <w:iCs/>
          <w:szCs w:val="26"/>
        </w:rPr>
        <w:t>Id.</w:t>
      </w:r>
      <w:r w:rsidR="004E596C">
        <w:rPr>
          <w:szCs w:val="26"/>
        </w:rPr>
        <w:t xml:space="preserve"> at p.</w:t>
      </w:r>
      <w:r w:rsidR="00E75419">
        <w:rPr>
          <w:szCs w:val="26"/>
        </w:rPr>
        <w:t> </w:t>
      </w:r>
      <w:r w:rsidR="004E596C">
        <w:rPr>
          <w:szCs w:val="26"/>
        </w:rPr>
        <w:t xml:space="preserve">82.)  But even assuming </w:t>
      </w:r>
      <w:r w:rsidR="005D62C6">
        <w:rPr>
          <w:szCs w:val="26"/>
        </w:rPr>
        <w:t xml:space="preserve">jury selection notes are otherwise </w:t>
      </w:r>
      <w:r w:rsidR="002166EC">
        <w:rPr>
          <w:szCs w:val="26"/>
        </w:rPr>
        <w:t>non</w:t>
      </w:r>
      <w:r w:rsidR="005D62C6">
        <w:rPr>
          <w:szCs w:val="26"/>
        </w:rPr>
        <w:t xml:space="preserve">discoverable work product, the court </w:t>
      </w:r>
      <w:r w:rsidR="00480DBE">
        <w:rPr>
          <w:szCs w:val="26"/>
        </w:rPr>
        <w:t xml:space="preserve">went on to </w:t>
      </w:r>
      <w:r w:rsidR="005D62C6">
        <w:rPr>
          <w:szCs w:val="26"/>
        </w:rPr>
        <w:t>h</w:t>
      </w:r>
      <w:r w:rsidR="00480DBE">
        <w:rPr>
          <w:szCs w:val="26"/>
        </w:rPr>
        <w:t>o</w:t>
      </w:r>
      <w:r w:rsidR="005D62C6">
        <w:rPr>
          <w:szCs w:val="26"/>
        </w:rPr>
        <w:t xml:space="preserve">ld that the prosecution had waived </w:t>
      </w:r>
      <w:r w:rsidR="002166EC">
        <w:rPr>
          <w:szCs w:val="26"/>
        </w:rPr>
        <w:t>work product protection</w:t>
      </w:r>
      <w:r w:rsidR="005D62C6">
        <w:rPr>
          <w:szCs w:val="26"/>
        </w:rPr>
        <w:t>.  (</w:t>
      </w:r>
      <w:r w:rsidR="005D62C6">
        <w:rPr>
          <w:i/>
          <w:iCs/>
          <w:szCs w:val="26"/>
        </w:rPr>
        <w:t>Id.</w:t>
      </w:r>
      <w:r w:rsidR="005D62C6">
        <w:rPr>
          <w:szCs w:val="26"/>
        </w:rPr>
        <w:t xml:space="preserve"> at p.</w:t>
      </w:r>
      <w:r w:rsidR="00E75419">
        <w:rPr>
          <w:szCs w:val="26"/>
        </w:rPr>
        <w:t> </w:t>
      </w:r>
      <w:r w:rsidR="005D62C6">
        <w:rPr>
          <w:szCs w:val="26"/>
        </w:rPr>
        <w:t xml:space="preserve">83.)  </w:t>
      </w:r>
      <w:r w:rsidR="00DF5875">
        <w:rPr>
          <w:szCs w:val="26"/>
        </w:rPr>
        <w:t>C</w:t>
      </w:r>
      <w:r w:rsidRPr="00D1376F" w:rsidR="008C01D3">
        <w:rPr>
          <w:szCs w:val="26"/>
        </w:rPr>
        <w:t xml:space="preserve">iting </w:t>
      </w:r>
      <w:r w:rsidR="002F10A1">
        <w:rPr>
          <w:szCs w:val="26"/>
        </w:rPr>
        <w:t xml:space="preserve">both </w:t>
      </w:r>
      <w:r w:rsidRPr="00D1376F" w:rsidR="00DA00F6">
        <w:rPr>
          <w:szCs w:val="26"/>
        </w:rPr>
        <w:t xml:space="preserve">Evidence Code </w:t>
      </w:r>
      <w:r w:rsidRPr="00D1376F" w:rsidR="008C79FF">
        <w:rPr>
          <w:szCs w:val="26"/>
        </w:rPr>
        <w:t>s</w:t>
      </w:r>
      <w:r w:rsidRPr="00D1376F" w:rsidR="00DA00F6">
        <w:rPr>
          <w:szCs w:val="26"/>
        </w:rPr>
        <w:t>ection 771</w:t>
      </w:r>
      <w:r w:rsidR="00682096">
        <w:rPr>
          <w:szCs w:val="26"/>
        </w:rPr>
        <w:t xml:space="preserve"> and </w:t>
      </w:r>
      <w:r w:rsidRPr="00CD5045" w:rsidR="00682096">
        <w:rPr>
          <w:i/>
          <w:iCs/>
          <w:szCs w:val="26"/>
        </w:rPr>
        <w:t>United States v. Nobles</w:t>
      </w:r>
      <w:r w:rsidRPr="00682096" w:rsidR="00682096">
        <w:rPr>
          <w:szCs w:val="26"/>
        </w:rPr>
        <w:t xml:space="preserve"> (1975) 422 U.S. 225, 2</w:t>
      </w:r>
      <w:r w:rsidR="00682096">
        <w:rPr>
          <w:szCs w:val="26"/>
        </w:rPr>
        <w:t>39</w:t>
      </w:r>
      <w:r w:rsidR="00D35383">
        <w:rPr>
          <w:szCs w:val="26"/>
        </w:rPr>
        <w:t xml:space="preserve"> (</w:t>
      </w:r>
      <w:r w:rsidRPr="00D35383" w:rsidR="00D35383">
        <w:rPr>
          <w:i/>
          <w:iCs/>
          <w:szCs w:val="26"/>
        </w:rPr>
        <w:t>Nobles</w:t>
      </w:r>
      <w:r w:rsidR="00D35383">
        <w:rPr>
          <w:szCs w:val="26"/>
        </w:rPr>
        <w:t>)</w:t>
      </w:r>
      <w:r w:rsidRPr="00D1376F" w:rsidR="008C01D3">
        <w:rPr>
          <w:szCs w:val="26"/>
        </w:rPr>
        <w:t xml:space="preserve">, the court </w:t>
      </w:r>
      <w:r w:rsidR="005D12B1">
        <w:rPr>
          <w:szCs w:val="26"/>
        </w:rPr>
        <w:t xml:space="preserve">reasoned </w:t>
      </w:r>
      <w:r w:rsidRPr="00D1376F" w:rsidR="008C01D3">
        <w:rPr>
          <w:szCs w:val="26"/>
        </w:rPr>
        <w:t xml:space="preserve">that </w:t>
      </w:r>
      <w:r w:rsidRPr="00D1376F" w:rsidR="00E232E6">
        <w:rPr>
          <w:szCs w:val="26"/>
        </w:rPr>
        <w:t xml:space="preserve">because </w:t>
      </w:r>
      <w:r w:rsidR="00DF41D0">
        <w:rPr>
          <w:szCs w:val="26"/>
        </w:rPr>
        <w:t xml:space="preserve">the prosecutor </w:t>
      </w:r>
      <w:r w:rsidRPr="00D1376F" w:rsidR="00DF0DA3">
        <w:rPr>
          <w:szCs w:val="26"/>
        </w:rPr>
        <w:t xml:space="preserve">had </w:t>
      </w:r>
      <w:r w:rsidRPr="00D1376F" w:rsidR="008C01D3">
        <w:rPr>
          <w:szCs w:val="26"/>
        </w:rPr>
        <w:t xml:space="preserve">used his notes to refresh his recollection about </w:t>
      </w:r>
      <w:r w:rsidR="00FF7D51">
        <w:rPr>
          <w:szCs w:val="26"/>
        </w:rPr>
        <w:t>the</w:t>
      </w:r>
      <w:r w:rsidRPr="00D1376F" w:rsidR="00FF7D51">
        <w:rPr>
          <w:szCs w:val="26"/>
        </w:rPr>
        <w:t xml:space="preserve"> </w:t>
      </w:r>
      <w:r w:rsidRPr="00D1376F" w:rsidR="008C01D3">
        <w:rPr>
          <w:szCs w:val="26"/>
        </w:rPr>
        <w:t>reasons for striking the challenged jurors</w:t>
      </w:r>
      <w:r w:rsidR="00682096">
        <w:rPr>
          <w:szCs w:val="26"/>
        </w:rPr>
        <w:t xml:space="preserve"> and </w:t>
      </w:r>
      <w:r w:rsidR="00DF41D0">
        <w:rPr>
          <w:szCs w:val="26"/>
        </w:rPr>
        <w:t xml:space="preserve">because he </w:t>
      </w:r>
      <w:r w:rsidR="00682096">
        <w:rPr>
          <w:szCs w:val="26"/>
        </w:rPr>
        <w:t>described the numerical evaluations detailed in those notes</w:t>
      </w:r>
      <w:r w:rsidRPr="00D1376F" w:rsidR="008C01D3">
        <w:rPr>
          <w:szCs w:val="26"/>
        </w:rPr>
        <w:t xml:space="preserve">, </w:t>
      </w:r>
      <w:r w:rsidRPr="00D1376F" w:rsidR="00E232E6">
        <w:rPr>
          <w:szCs w:val="26"/>
        </w:rPr>
        <w:t>the opposing party was entitled to see the</w:t>
      </w:r>
      <w:r w:rsidR="006D56BD">
        <w:rPr>
          <w:szCs w:val="26"/>
        </w:rPr>
        <w:t xml:space="preserve"> notes</w:t>
      </w:r>
      <w:r w:rsidRPr="00D1376F" w:rsidR="00CB30D9">
        <w:rPr>
          <w:szCs w:val="26"/>
        </w:rPr>
        <w:t xml:space="preserve"> upon request</w:t>
      </w:r>
      <w:r w:rsidRPr="00D1376F" w:rsidR="00DA00F6">
        <w:rPr>
          <w:szCs w:val="26"/>
        </w:rPr>
        <w:t>.</w:t>
      </w:r>
      <w:r w:rsidRPr="00D1376F" w:rsidR="00897706">
        <w:rPr>
          <w:szCs w:val="26"/>
        </w:rPr>
        <w:t xml:space="preserve"> </w:t>
      </w:r>
      <w:r w:rsidRPr="00D1376F" w:rsidR="00122EB0">
        <w:rPr>
          <w:szCs w:val="26"/>
        </w:rPr>
        <w:t xml:space="preserve"> (</w:t>
      </w:r>
      <w:r w:rsidRPr="00D1376F" w:rsidR="00F16CCB">
        <w:rPr>
          <w:i/>
          <w:iCs/>
          <w:szCs w:val="26"/>
        </w:rPr>
        <w:t>Jones</w:t>
      </w:r>
      <w:r w:rsidRPr="00D1376F" w:rsidR="00F16CCB">
        <w:rPr>
          <w:szCs w:val="26"/>
        </w:rPr>
        <w:t>,</w:t>
      </w:r>
      <w:r w:rsidRPr="00D1376F" w:rsidR="00122EB0">
        <w:rPr>
          <w:i/>
          <w:iCs/>
          <w:szCs w:val="26"/>
        </w:rPr>
        <w:t xml:space="preserve"> </w:t>
      </w:r>
      <w:r w:rsidRPr="00D1376F" w:rsidR="00122EB0">
        <w:rPr>
          <w:szCs w:val="26"/>
        </w:rPr>
        <w:t>at pp.</w:t>
      </w:r>
      <w:r w:rsidRPr="00D1376F" w:rsidR="007A210E">
        <w:rPr>
          <w:szCs w:val="26"/>
        </w:rPr>
        <w:t> </w:t>
      </w:r>
      <w:r w:rsidRPr="00D1376F" w:rsidR="00122EB0">
        <w:rPr>
          <w:szCs w:val="26"/>
        </w:rPr>
        <w:t>83–85</w:t>
      </w:r>
      <w:r w:rsidRPr="00D1376F" w:rsidR="00DA00F6">
        <w:rPr>
          <w:szCs w:val="26"/>
        </w:rPr>
        <w:t>.</w:t>
      </w:r>
      <w:r w:rsidRPr="00D1376F" w:rsidR="00122EB0">
        <w:rPr>
          <w:szCs w:val="26"/>
        </w:rPr>
        <w:t>)</w:t>
      </w:r>
      <w:r w:rsidRPr="00D1376F" w:rsidR="002D6EC0">
        <w:rPr>
          <w:szCs w:val="26"/>
        </w:rPr>
        <w:t xml:space="preserve"> </w:t>
      </w:r>
    </w:p>
    <w:p w:rsidR="00FF7E1C" w:rsidP="00C55264">
      <w:pPr>
        <w:tabs>
          <w:tab w:val="left" w:pos="0"/>
        </w:tabs>
        <w:rPr>
          <w:szCs w:val="26"/>
        </w:rPr>
      </w:pPr>
      <w:r>
        <w:rPr>
          <w:szCs w:val="26"/>
        </w:rPr>
        <w:tab/>
        <w:t>We granted the District Attorney’s petition for review</w:t>
      </w:r>
      <w:r>
        <w:rPr>
          <w:szCs w:val="26"/>
        </w:rPr>
        <w:t xml:space="preserve"> to </w:t>
      </w:r>
      <w:r w:rsidR="006F7F9F">
        <w:rPr>
          <w:szCs w:val="26"/>
        </w:rPr>
        <w:t xml:space="preserve">consider whether </w:t>
      </w:r>
      <w:r>
        <w:rPr>
          <w:szCs w:val="26"/>
        </w:rPr>
        <w:t xml:space="preserve">the </w:t>
      </w:r>
      <w:r w:rsidR="006F7F9F">
        <w:rPr>
          <w:szCs w:val="26"/>
        </w:rPr>
        <w:t>trial</w:t>
      </w:r>
      <w:r>
        <w:rPr>
          <w:szCs w:val="26"/>
        </w:rPr>
        <w:t xml:space="preserve"> court’s disclosure order</w:t>
      </w:r>
      <w:r w:rsidR="006F7F9F">
        <w:rPr>
          <w:szCs w:val="26"/>
        </w:rPr>
        <w:t xml:space="preserve"> was permissible</w:t>
      </w:r>
      <w:r>
        <w:rPr>
          <w:szCs w:val="26"/>
        </w:rPr>
        <w:t>.</w:t>
      </w:r>
      <w:r w:rsidR="00E12005">
        <w:rPr>
          <w:szCs w:val="26"/>
        </w:rPr>
        <w:t xml:space="preserve">  </w:t>
      </w:r>
      <w:r w:rsidR="006D56BD">
        <w:rPr>
          <w:szCs w:val="26"/>
        </w:rPr>
        <w:t>In addressing th</w:t>
      </w:r>
      <w:r w:rsidR="00480DBE">
        <w:rPr>
          <w:szCs w:val="26"/>
        </w:rPr>
        <w:t>is</w:t>
      </w:r>
      <w:r w:rsidR="006D56BD">
        <w:rPr>
          <w:szCs w:val="26"/>
        </w:rPr>
        <w:t xml:space="preserve"> issue, the Court of Appeal applied an abuse of discretion standard, which is the usual standard for reviewing discovery rulings.  </w:t>
      </w:r>
      <w:r w:rsidRPr="00B61D29">
        <w:rPr>
          <w:szCs w:val="26"/>
        </w:rPr>
        <w:t>(</w:t>
      </w:r>
      <w:r w:rsidRPr="0096362D">
        <w:rPr>
          <w:i/>
          <w:iCs/>
          <w:szCs w:val="26"/>
        </w:rPr>
        <w:t>Jones</w:t>
      </w:r>
      <w:r>
        <w:rPr>
          <w:szCs w:val="26"/>
        </w:rPr>
        <w:t xml:space="preserve">, </w:t>
      </w:r>
      <w:r>
        <w:rPr>
          <w:i/>
          <w:iCs/>
          <w:szCs w:val="26"/>
        </w:rPr>
        <w:t>supra</w:t>
      </w:r>
      <w:r>
        <w:rPr>
          <w:szCs w:val="26"/>
        </w:rPr>
        <w:t>,</w:t>
      </w:r>
      <w:r w:rsidRPr="00B61D29">
        <w:rPr>
          <w:szCs w:val="26"/>
        </w:rPr>
        <w:t xml:space="preserve"> 34 Cal.App.5th </w:t>
      </w:r>
      <w:r>
        <w:rPr>
          <w:szCs w:val="26"/>
        </w:rPr>
        <w:t>at p. </w:t>
      </w:r>
      <w:r w:rsidRPr="00B61D29">
        <w:rPr>
          <w:szCs w:val="26"/>
        </w:rPr>
        <w:t>79.)</w:t>
      </w:r>
      <w:r>
        <w:rPr>
          <w:szCs w:val="26"/>
        </w:rPr>
        <w:t xml:space="preserve">  But the particular discovery ruling at issue in this case encompasses various determinations</w:t>
      </w:r>
      <w:r w:rsidR="002343A1">
        <w:rPr>
          <w:szCs w:val="26"/>
        </w:rPr>
        <w:t> </w:t>
      </w:r>
      <w:r w:rsidR="007E07BD">
        <w:rPr>
          <w:szCs w:val="26"/>
        </w:rPr>
        <w:t xml:space="preserve">— </w:t>
      </w:r>
      <w:r>
        <w:rPr>
          <w:szCs w:val="26"/>
        </w:rPr>
        <w:t>including whether, as Jones has argued, the prosecution waived any applicable work product through its litigation conduct</w:t>
      </w:r>
      <w:r w:rsidR="002343A1">
        <w:rPr>
          <w:szCs w:val="26"/>
        </w:rPr>
        <w:t> </w:t>
      </w:r>
      <w:r w:rsidR="007E07BD">
        <w:rPr>
          <w:szCs w:val="26"/>
        </w:rPr>
        <w:t>— that arguably call for a more demanding standard</w:t>
      </w:r>
      <w:r w:rsidR="00C55264">
        <w:rPr>
          <w:szCs w:val="26"/>
        </w:rPr>
        <w:t xml:space="preserve"> of review</w:t>
      </w:r>
      <w:r>
        <w:rPr>
          <w:szCs w:val="26"/>
        </w:rPr>
        <w:t xml:space="preserve">.  Several courts have treated claims regarding </w:t>
      </w:r>
      <w:r w:rsidRPr="0096362D">
        <w:rPr>
          <w:szCs w:val="26"/>
        </w:rPr>
        <w:t xml:space="preserve">the </w:t>
      </w:r>
      <w:r>
        <w:rPr>
          <w:szCs w:val="26"/>
        </w:rPr>
        <w:t xml:space="preserve">waiver </w:t>
      </w:r>
      <w:r w:rsidRPr="0096362D">
        <w:rPr>
          <w:szCs w:val="26"/>
        </w:rPr>
        <w:t xml:space="preserve">of work product </w:t>
      </w:r>
      <w:r>
        <w:rPr>
          <w:szCs w:val="26"/>
        </w:rPr>
        <w:t xml:space="preserve">protections and other </w:t>
      </w:r>
      <w:r w:rsidRPr="0096362D">
        <w:rPr>
          <w:szCs w:val="26"/>
        </w:rPr>
        <w:t xml:space="preserve">privileges </w:t>
      </w:r>
      <w:r>
        <w:rPr>
          <w:szCs w:val="26"/>
        </w:rPr>
        <w:t xml:space="preserve">as mixed questions of law and fact subject to independent review on appeal.  </w:t>
      </w:r>
      <w:r w:rsidRPr="00CD5045">
        <w:rPr>
          <w:szCs w:val="26"/>
        </w:rPr>
        <w:t>(</w:t>
      </w:r>
      <w:r>
        <w:rPr>
          <w:szCs w:val="26"/>
        </w:rPr>
        <w:t>See, e</w:t>
      </w:r>
      <w:r w:rsidRPr="00CD5045">
        <w:rPr>
          <w:szCs w:val="26"/>
        </w:rPr>
        <w:t xml:space="preserve">.g., </w:t>
      </w:r>
      <w:r w:rsidRPr="0096362D">
        <w:rPr>
          <w:i/>
          <w:iCs/>
          <w:szCs w:val="26"/>
        </w:rPr>
        <w:t>Behunin v. Superior Court</w:t>
      </w:r>
      <w:r w:rsidRPr="00CD5045">
        <w:rPr>
          <w:szCs w:val="26"/>
        </w:rPr>
        <w:t xml:space="preserve"> (2017) 9 Cal.App.5th 833, 842</w:t>
      </w:r>
      <w:r>
        <w:rPr>
          <w:szCs w:val="26"/>
        </w:rPr>
        <w:t>–</w:t>
      </w:r>
      <w:r w:rsidRPr="00CD5045">
        <w:rPr>
          <w:szCs w:val="26"/>
        </w:rPr>
        <w:t xml:space="preserve">843; </w:t>
      </w:r>
      <w:r w:rsidRPr="0096362D">
        <w:rPr>
          <w:i/>
          <w:iCs/>
          <w:szCs w:val="26"/>
        </w:rPr>
        <w:t>McKesson HBOC, Inc. v. Superior Court</w:t>
      </w:r>
      <w:r>
        <w:rPr>
          <w:szCs w:val="26"/>
        </w:rPr>
        <w:t xml:space="preserve"> (2004) </w:t>
      </w:r>
      <w:r w:rsidRPr="00CD5045">
        <w:rPr>
          <w:szCs w:val="26"/>
        </w:rPr>
        <w:t xml:space="preserve">115 Cal.App.4th </w:t>
      </w:r>
      <w:r>
        <w:rPr>
          <w:szCs w:val="26"/>
        </w:rPr>
        <w:t xml:space="preserve">1229, </w:t>
      </w:r>
      <w:r w:rsidRPr="00CD5045">
        <w:rPr>
          <w:szCs w:val="26"/>
        </w:rPr>
        <w:t xml:space="preserve">1235–1236; </w:t>
      </w:r>
      <w:r w:rsidRPr="0096362D">
        <w:rPr>
          <w:i/>
          <w:iCs/>
          <w:szCs w:val="26"/>
        </w:rPr>
        <w:t>U</w:t>
      </w:r>
      <w:r w:rsidR="00D35383">
        <w:rPr>
          <w:i/>
          <w:iCs/>
          <w:szCs w:val="26"/>
        </w:rPr>
        <w:t>.S.</w:t>
      </w:r>
      <w:r w:rsidRPr="0096362D">
        <w:rPr>
          <w:i/>
          <w:iCs/>
          <w:szCs w:val="26"/>
        </w:rPr>
        <w:t xml:space="preserve"> v. Sanmina Corp</w:t>
      </w:r>
      <w:r w:rsidRPr="00CD5045">
        <w:rPr>
          <w:szCs w:val="26"/>
        </w:rPr>
        <w:t>. (9th Cir. 2020) 968 F.3d 1107, 1116</w:t>
      </w:r>
      <w:r>
        <w:rPr>
          <w:szCs w:val="26"/>
        </w:rPr>
        <w:t xml:space="preserve">; </w:t>
      </w:r>
      <w:r w:rsidRPr="0096362D">
        <w:rPr>
          <w:i/>
          <w:iCs/>
          <w:szCs w:val="26"/>
        </w:rPr>
        <w:t>U</w:t>
      </w:r>
      <w:r w:rsidR="00D35383">
        <w:rPr>
          <w:i/>
          <w:iCs/>
          <w:szCs w:val="26"/>
        </w:rPr>
        <w:t>.S.</w:t>
      </w:r>
      <w:r w:rsidRPr="0096362D">
        <w:rPr>
          <w:i/>
          <w:iCs/>
          <w:szCs w:val="26"/>
        </w:rPr>
        <w:t xml:space="preserve"> v. Lara</w:t>
      </w:r>
      <w:r w:rsidRPr="00CD5045">
        <w:rPr>
          <w:szCs w:val="26"/>
        </w:rPr>
        <w:t xml:space="preserve"> (4th Cir. 2017) 850 F.3d 686, 690</w:t>
      </w:r>
      <w:r>
        <w:rPr>
          <w:szCs w:val="26"/>
        </w:rPr>
        <w:t xml:space="preserve">.)  But not all courts are in accord.  (See, e.g., </w:t>
      </w:r>
      <w:r w:rsidRPr="00FE1A40">
        <w:rPr>
          <w:i/>
          <w:iCs/>
          <w:szCs w:val="26"/>
        </w:rPr>
        <w:t>In re Chevron Corp</w:t>
      </w:r>
      <w:r w:rsidRPr="004D00FF">
        <w:rPr>
          <w:szCs w:val="26"/>
        </w:rPr>
        <w:t>. (3d Cir. 2011) 633 F.3d 153, 161</w:t>
      </w:r>
      <w:r>
        <w:rPr>
          <w:szCs w:val="26"/>
        </w:rPr>
        <w:t xml:space="preserve"> [applying an abuse of discretion standard]; </w:t>
      </w:r>
      <w:r w:rsidRPr="0096362D">
        <w:rPr>
          <w:i/>
          <w:iCs/>
          <w:szCs w:val="26"/>
        </w:rPr>
        <w:t>In re Grand Jury Proceedings</w:t>
      </w:r>
      <w:r w:rsidRPr="00CD5045">
        <w:rPr>
          <w:szCs w:val="26"/>
        </w:rPr>
        <w:t xml:space="preserve"> (2d Cir. 2000) 219 F.3d 175, 182</w:t>
      </w:r>
      <w:r>
        <w:rPr>
          <w:szCs w:val="26"/>
        </w:rPr>
        <w:t xml:space="preserve"> [same]</w:t>
      </w:r>
      <w:r w:rsidRPr="00CD5045">
        <w:rPr>
          <w:szCs w:val="26"/>
        </w:rPr>
        <w:t xml:space="preserve">.) </w:t>
      </w:r>
      <w:r>
        <w:rPr>
          <w:szCs w:val="26"/>
        </w:rPr>
        <w:t xml:space="preserve"> </w:t>
      </w:r>
      <w:r w:rsidR="00C55264">
        <w:rPr>
          <w:szCs w:val="26"/>
        </w:rPr>
        <w:t xml:space="preserve">We do not resolve the issue here, since neither party has briefed it and </w:t>
      </w:r>
      <w:r w:rsidR="00480DBE">
        <w:rPr>
          <w:szCs w:val="26"/>
        </w:rPr>
        <w:t>the answer</w:t>
      </w:r>
      <w:r w:rsidR="00C55264">
        <w:rPr>
          <w:szCs w:val="26"/>
        </w:rPr>
        <w:t xml:space="preserve"> is immaterial in any event</w:t>
      </w:r>
      <w:r w:rsidR="00CD5864">
        <w:rPr>
          <w:szCs w:val="26"/>
        </w:rPr>
        <w:t xml:space="preserve">.  </w:t>
      </w:r>
      <w:r w:rsidR="005366B6">
        <w:rPr>
          <w:szCs w:val="26"/>
        </w:rPr>
        <w:t xml:space="preserve">Whether we </w:t>
      </w:r>
      <w:r w:rsidR="00F51623">
        <w:rPr>
          <w:szCs w:val="26"/>
        </w:rPr>
        <w:t xml:space="preserve">were to </w:t>
      </w:r>
      <w:r w:rsidR="005366B6">
        <w:rPr>
          <w:szCs w:val="26"/>
        </w:rPr>
        <w:t xml:space="preserve">apply </w:t>
      </w:r>
      <w:r w:rsidR="00CD5864">
        <w:rPr>
          <w:szCs w:val="26"/>
        </w:rPr>
        <w:t>independent review</w:t>
      </w:r>
      <w:r w:rsidR="009274AC">
        <w:rPr>
          <w:szCs w:val="26"/>
        </w:rPr>
        <w:t xml:space="preserve"> </w:t>
      </w:r>
      <w:r w:rsidR="005366B6">
        <w:rPr>
          <w:szCs w:val="26"/>
        </w:rPr>
        <w:t xml:space="preserve">or a </w:t>
      </w:r>
      <w:r w:rsidR="009274AC">
        <w:rPr>
          <w:szCs w:val="26"/>
        </w:rPr>
        <w:t>more deferential standard</w:t>
      </w:r>
      <w:r w:rsidR="00CD5864">
        <w:rPr>
          <w:szCs w:val="26"/>
        </w:rPr>
        <w:t xml:space="preserve">, we </w:t>
      </w:r>
      <w:r w:rsidR="009274AC">
        <w:rPr>
          <w:szCs w:val="26"/>
        </w:rPr>
        <w:t xml:space="preserve">would </w:t>
      </w:r>
      <w:r w:rsidR="00CD5864">
        <w:rPr>
          <w:szCs w:val="26"/>
        </w:rPr>
        <w:t xml:space="preserve">conclude </w:t>
      </w:r>
      <w:r w:rsidR="005F3DE3">
        <w:rPr>
          <w:szCs w:val="26"/>
        </w:rPr>
        <w:t>the</w:t>
      </w:r>
      <w:r w:rsidR="00C27C0D">
        <w:rPr>
          <w:szCs w:val="26"/>
        </w:rPr>
        <w:t xml:space="preserve"> trial court </w:t>
      </w:r>
      <w:r w:rsidR="00C75D23">
        <w:rPr>
          <w:szCs w:val="26"/>
        </w:rPr>
        <w:t xml:space="preserve">properly </w:t>
      </w:r>
      <w:r w:rsidR="00C27C0D">
        <w:rPr>
          <w:szCs w:val="26"/>
        </w:rPr>
        <w:t>order</w:t>
      </w:r>
      <w:r w:rsidR="00964A0B">
        <w:rPr>
          <w:szCs w:val="26"/>
        </w:rPr>
        <w:t>ed</w:t>
      </w:r>
      <w:r w:rsidR="00C27C0D">
        <w:rPr>
          <w:szCs w:val="26"/>
        </w:rPr>
        <w:t xml:space="preserve"> disclosure of the requested materials in order to ensure fair adjudication of Jones’s </w:t>
      </w:r>
      <w:r w:rsidR="00C27C0D">
        <w:rPr>
          <w:i/>
          <w:iCs/>
          <w:szCs w:val="26"/>
        </w:rPr>
        <w:t>Batson/Wheeler</w:t>
      </w:r>
      <w:r w:rsidR="00C27C0D">
        <w:rPr>
          <w:szCs w:val="26"/>
        </w:rPr>
        <w:t xml:space="preserve"> claims.</w:t>
      </w:r>
    </w:p>
    <w:p w:rsidR="007801AA" w:rsidP="0096362D">
      <w:pPr>
        <w:pStyle w:val="Heading1"/>
      </w:pPr>
      <w:r w:rsidRPr="00D1376F">
        <w:t>II.</w:t>
      </w:r>
    </w:p>
    <w:p w:rsidR="00DA30F6" w:rsidRPr="00D1376F" w:rsidP="009B5AA4">
      <w:pPr>
        <w:tabs>
          <w:tab w:val="left" w:pos="0"/>
        </w:tabs>
        <w:rPr>
          <w:szCs w:val="26"/>
        </w:rPr>
      </w:pPr>
      <w:r>
        <w:rPr>
          <w:szCs w:val="26"/>
        </w:rPr>
        <w:tab/>
      </w:r>
      <w:r w:rsidR="008C7F86">
        <w:rPr>
          <w:szCs w:val="26"/>
        </w:rPr>
        <w:t xml:space="preserve">More than four decades ago, this court </w:t>
      </w:r>
      <w:r w:rsidR="005F3DE3">
        <w:rPr>
          <w:szCs w:val="26"/>
        </w:rPr>
        <w:t xml:space="preserve">in </w:t>
      </w:r>
      <w:r w:rsidR="005F3DE3">
        <w:rPr>
          <w:i/>
          <w:iCs/>
          <w:szCs w:val="26"/>
        </w:rPr>
        <w:t>Wheeler</w:t>
      </w:r>
      <w:r w:rsidR="005F3DE3">
        <w:rPr>
          <w:szCs w:val="26"/>
        </w:rPr>
        <w:t xml:space="preserve"> </w:t>
      </w:r>
      <w:r w:rsidR="008C7F86">
        <w:rPr>
          <w:szCs w:val="26"/>
        </w:rPr>
        <w:t xml:space="preserve">held that the use of peremptory challenges to remove prospective jurors </w:t>
      </w:r>
      <w:r w:rsidR="00C87078">
        <w:rPr>
          <w:szCs w:val="26"/>
        </w:rPr>
        <w:t xml:space="preserve">on the basis of race </w:t>
      </w:r>
      <w:r w:rsidR="008C7F86">
        <w:rPr>
          <w:szCs w:val="26"/>
        </w:rPr>
        <w:t>or other forms of group bias violates</w:t>
      </w:r>
      <w:r w:rsidR="00A832B5">
        <w:rPr>
          <w:szCs w:val="26"/>
        </w:rPr>
        <w:t xml:space="preserve"> article I, section 16 of the California Constitution.  (</w:t>
      </w:r>
      <w:r w:rsidR="00A832B5">
        <w:rPr>
          <w:i/>
          <w:iCs/>
          <w:szCs w:val="26"/>
        </w:rPr>
        <w:t>Wheeler</w:t>
      </w:r>
      <w:r w:rsidR="00A832B5">
        <w:rPr>
          <w:szCs w:val="26"/>
        </w:rPr>
        <w:t xml:space="preserve">, </w:t>
      </w:r>
      <w:r w:rsidR="00A832B5">
        <w:rPr>
          <w:i/>
          <w:iCs/>
          <w:szCs w:val="26"/>
        </w:rPr>
        <w:t>supra</w:t>
      </w:r>
      <w:r w:rsidR="00A832B5">
        <w:rPr>
          <w:szCs w:val="26"/>
        </w:rPr>
        <w:t>, 22 Cal.3d at p</w:t>
      </w:r>
      <w:r w:rsidR="00E75419">
        <w:rPr>
          <w:szCs w:val="26"/>
        </w:rPr>
        <w:t>p</w:t>
      </w:r>
      <w:r w:rsidR="00A832B5">
        <w:rPr>
          <w:szCs w:val="26"/>
        </w:rPr>
        <w:t>.</w:t>
      </w:r>
      <w:r w:rsidR="00E75419">
        <w:rPr>
          <w:szCs w:val="26"/>
        </w:rPr>
        <w:t> </w:t>
      </w:r>
      <w:r w:rsidR="00A832B5">
        <w:rPr>
          <w:szCs w:val="26"/>
        </w:rPr>
        <w:t xml:space="preserve">276–277.)  </w:t>
      </w:r>
      <w:r w:rsidR="00C87078">
        <w:rPr>
          <w:szCs w:val="26"/>
        </w:rPr>
        <w:t xml:space="preserve">Several </w:t>
      </w:r>
      <w:r w:rsidR="00A832B5">
        <w:rPr>
          <w:szCs w:val="26"/>
        </w:rPr>
        <w:t xml:space="preserve">years later, the United States Supreme Court </w:t>
      </w:r>
      <w:r w:rsidR="00016E22">
        <w:rPr>
          <w:szCs w:val="26"/>
        </w:rPr>
        <w:t xml:space="preserve">in </w:t>
      </w:r>
      <w:r w:rsidR="00016E22">
        <w:rPr>
          <w:i/>
          <w:iCs/>
          <w:szCs w:val="26"/>
        </w:rPr>
        <w:t>Batson</w:t>
      </w:r>
      <w:r w:rsidR="00016E22">
        <w:rPr>
          <w:szCs w:val="26"/>
        </w:rPr>
        <w:t xml:space="preserve"> </w:t>
      </w:r>
      <w:r w:rsidR="00A832B5">
        <w:rPr>
          <w:szCs w:val="26"/>
        </w:rPr>
        <w:t xml:space="preserve">reached the same conclusion under the </w:t>
      </w:r>
      <w:r w:rsidR="00C87078">
        <w:rPr>
          <w:szCs w:val="26"/>
        </w:rPr>
        <w:t>equal protection clause of the Fourteenth Amendment to the United States Constitution.  (</w:t>
      </w:r>
      <w:r w:rsidR="00C87078">
        <w:rPr>
          <w:i/>
          <w:iCs/>
          <w:szCs w:val="26"/>
        </w:rPr>
        <w:t>Batson</w:t>
      </w:r>
      <w:r w:rsidR="00C87078">
        <w:rPr>
          <w:szCs w:val="26"/>
        </w:rPr>
        <w:t xml:space="preserve">, </w:t>
      </w:r>
      <w:r w:rsidR="00C87078">
        <w:rPr>
          <w:i/>
          <w:iCs/>
          <w:szCs w:val="26"/>
        </w:rPr>
        <w:t>supra</w:t>
      </w:r>
      <w:r w:rsidR="00C87078">
        <w:rPr>
          <w:szCs w:val="26"/>
        </w:rPr>
        <w:t xml:space="preserve">, 476 U.S. </w:t>
      </w:r>
      <w:r w:rsidR="00D35383">
        <w:rPr>
          <w:szCs w:val="26"/>
        </w:rPr>
        <w:t>at p. </w:t>
      </w:r>
      <w:r w:rsidR="00C87078">
        <w:rPr>
          <w:szCs w:val="26"/>
        </w:rPr>
        <w:t>86.)</w:t>
      </w:r>
      <w:r w:rsidR="00080B90">
        <w:rPr>
          <w:szCs w:val="26"/>
        </w:rPr>
        <w:t xml:space="preserve">  </w:t>
      </w:r>
      <w:r w:rsidR="00004CA0">
        <w:rPr>
          <w:szCs w:val="26"/>
        </w:rPr>
        <w:t xml:space="preserve">As a result of these </w:t>
      </w:r>
      <w:r w:rsidR="00080B90">
        <w:rPr>
          <w:szCs w:val="26"/>
        </w:rPr>
        <w:t xml:space="preserve">decisions, </w:t>
      </w:r>
      <w:r w:rsidR="00512151">
        <w:rPr>
          <w:szCs w:val="26"/>
        </w:rPr>
        <w:t xml:space="preserve">a litigant </w:t>
      </w:r>
      <w:r w:rsidR="00080B90">
        <w:rPr>
          <w:szCs w:val="26"/>
        </w:rPr>
        <w:t xml:space="preserve">has the right to challenge </w:t>
      </w:r>
      <w:r w:rsidR="00494A8B">
        <w:rPr>
          <w:szCs w:val="26"/>
        </w:rPr>
        <w:t xml:space="preserve">an opponent’s </w:t>
      </w:r>
      <w:r w:rsidR="00080B90">
        <w:rPr>
          <w:szCs w:val="26"/>
        </w:rPr>
        <w:t>discriminatory use of peremptory</w:t>
      </w:r>
      <w:r w:rsidR="000333C1">
        <w:rPr>
          <w:szCs w:val="26"/>
        </w:rPr>
        <w:t xml:space="preserve"> challenges.  But </w:t>
      </w:r>
      <w:r w:rsidR="00512151">
        <w:rPr>
          <w:szCs w:val="26"/>
        </w:rPr>
        <w:t>a</w:t>
      </w:r>
      <w:r w:rsidRPr="00D1376F" w:rsidR="009B6FB9">
        <w:rPr>
          <w:szCs w:val="26"/>
        </w:rPr>
        <w:t>s both the U</w:t>
      </w:r>
      <w:r w:rsidRPr="00D1376F" w:rsidR="003800DA">
        <w:rPr>
          <w:szCs w:val="26"/>
        </w:rPr>
        <w:t>nited States</w:t>
      </w:r>
      <w:r w:rsidRPr="00D1376F" w:rsidR="009B6FB9">
        <w:rPr>
          <w:szCs w:val="26"/>
        </w:rPr>
        <w:t xml:space="preserve"> Supreme Court and this court have </w:t>
      </w:r>
      <w:r w:rsidRPr="00D1376F" w:rsidR="003A5438">
        <w:rPr>
          <w:szCs w:val="26"/>
        </w:rPr>
        <w:t>repeatedl</w:t>
      </w:r>
      <w:r w:rsidRPr="00D1376F" w:rsidR="003800DA">
        <w:rPr>
          <w:szCs w:val="26"/>
        </w:rPr>
        <w:t>y</w:t>
      </w:r>
      <w:r w:rsidRPr="00D1376F" w:rsidR="003E6CBA">
        <w:rPr>
          <w:szCs w:val="26"/>
        </w:rPr>
        <w:t xml:space="preserve"> made clear</w:t>
      </w:r>
      <w:r w:rsidRPr="00D1376F" w:rsidR="009B6FB9">
        <w:rPr>
          <w:szCs w:val="26"/>
        </w:rPr>
        <w:t xml:space="preserve">, </w:t>
      </w:r>
      <w:r w:rsidR="00494A8B">
        <w:rPr>
          <w:szCs w:val="26"/>
        </w:rPr>
        <w:t xml:space="preserve">the harm </w:t>
      </w:r>
      <w:r w:rsidR="007231D9">
        <w:rPr>
          <w:szCs w:val="26"/>
        </w:rPr>
        <w:t xml:space="preserve">of the practice </w:t>
      </w:r>
      <w:r w:rsidR="00494A8B">
        <w:rPr>
          <w:szCs w:val="26"/>
        </w:rPr>
        <w:t xml:space="preserve">is </w:t>
      </w:r>
      <w:r w:rsidR="00DB415E">
        <w:rPr>
          <w:szCs w:val="26"/>
        </w:rPr>
        <w:t>not</w:t>
      </w:r>
      <w:r w:rsidR="007231D9">
        <w:rPr>
          <w:szCs w:val="26"/>
        </w:rPr>
        <w:t xml:space="preserve"> limited</w:t>
      </w:r>
      <w:r w:rsidR="00DB415E">
        <w:rPr>
          <w:szCs w:val="26"/>
        </w:rPr>
        <w:t xml:space="preserve"> to individual litigants</w:t>
      </w:r>
      <w:r w:rsidR="007231D9">
        <w:rPr>
          <w:szCs w:val="26"/>
        </w:rPr>
        <w:t xml:space="preserve">.  Discrimination in jury selection </w:t>
      </w:r>
      <w:r w:rsidR="00DB415E">
        <w:rPr>
          <w:szCs w:val="26"/>
        </w:rPr>
        <w:t xml:space="preserve">also </w:t>
      </w:r>
      <w:r w:rsidRPr="00D1376F" w:rsidR="00B005D1">
        <w:rPr>
          <w:szCs w:val="26"/>
        </w:rPr>
        <w:t xml:space="preserve">does grievous </w:t>
      </w:r>
      <w:r w:rsidR="007231D9">
        <w:rPr>
          <w:szCs w:val="26"/>
        </w:rPr>
        <w:t xml:space="preserve">injury </w:t>
      </w:r>
      <w:r w:rsidRPr="00D1376F" w:rsidR="00B005D1">
        <w:rPr>
          <w:szCs w:val="26"/>
        </w:rPr>
        <w:t xml:space="preserve">to the jurors and to </w:t>
      </w:r>
      <w:r w:rsidRPr="00D1376F" w:rsidR="009B6FB9">
        <w:rPr>
          <w:szCs w:val="26"/>
        </w:rPr>
        <w:t>“the very integrity of the courts”</w:t>
      </w:r>
      <w:r w:rsidRPr="00D1376F" w:rsidR="00E52D1F">
        <w:rPr>
          <w:szCs w:val="26"/>
        </w:rPr>
        <w:t xml:space="preserve"> charged with ensuring equal justice for all comers in a diver</w:t>
      </w:r>
      <w:r w:rsidRPr="00D1376F" w:rsidR="00D14E67">
        <w:rPr>
          <w:szCs w:val="26"/>
        </w:rPr>
        <w:t>se</w:t>
      </w:r>
      <w:r w:rsidR="007B15CB">
        <w:rPr>
          <w:szCs w:val="26"/>
        </w:rPr>
        <w:t xml:space="preserve"> </w:t>
      </w:r>
      <w:r w:rsidRPr="00D1376F" w:rsidR="00E52D1F">
        <w:rPr>
          <w:szCs w:val="26"/>
        </w:rPr>
        <w:t xml:space="preserve">society.  </w:t>
      </w:r>
      <w:r w:rsidRPr="00D1376F" w:rsidR="009B6FB9">
        <w:rPr>
          <w:szCs w:val="26"/>
        </w:rPr>
        <w:t>(</w:t>
      </w:r>
      <w:r w:rsidRPr="00D1376F" w:rsidR="009B6FB9">
        <w:rPr>
          <w:i/>
          <w:iCs/>
          <w:szCs w:val="26"/>
        </w:rPr>
        <w:t>Miller-El v. Dretke</w:t>
      </w:r>
      <w:r w:rsidRPr="00D1376F" w:rsidR="009B6FB9">
        <w:rPr>
          <w:szCs w:val="26"/>
        </w:rPr>
        <w:t xml:space="preserve"> (2005) 545 U.S. 231, 238</w:t>
      </w:r>
      <w:r w:rsidRPr="00D1376F" w:rsidR="00624855">
        <w:rPr>
          <w:szCs w:val="26"/>
        </w:rPr>
        <w:t xml:space="preserve"> (</w:t>
      </w:r>
      <w:r w:rsidRPr="00D1376F" w:rsidR="00624855">
        <w:rPr>
          <w:i/>
          <w:iCs/>
          <w:szCs w:val="26"/>
        </w:rPr>
        <w:t>Miller-El</w:t>
      </w:r>
      <w:r w:rsidRPr="00D1376F" w:rsidR="00624855">
        <w:rPr>
          <w:szCs w:val="26"/>
        </w:rPr>
        <w:t>)</w:t>
      </w:r>
      <w:r w:rsidRPr="00D1376F" w:rsidR="00D567A6">
        <w:rPr>
          <w:szCs w:val="26"/>
        </w:rPr>
        <w:t xml:space="preserve">; </w:t>
      </w:r>
      <w:r w:rsidRPr="00D1376F" w:rsidR="000F6657">
        <w:rPr>
          <w:szCs w:val="26"/>
        </w:rPr>
        <w:t>accord</w:t>
      </w:r>
      <w:r w:rsidRPr="00D1376F" w:rsidR="007A58DA">
        <w:rPr>
          <w:szCs w:val="26"/>
        </w:rPr>
        <w:t>,</w:t>
      </w:r>
      <w:r w:rsidRPr="00D1376F" w:rsidR="000F6657">
        <w:rPr>
          <w:szCs w:val="26"/>
        </w:rPr>
        <w:t xml:space="preserve"> </w:t>
      </w:r>
      <w:r w:rsidRPr="009B5AA4" w:rsidR="009B5AA4">
        <w:rPr>
          <w:i/>
          <w:iCs/>
          <w:szCs w:val="26"/>
        </w:rPr>
        <w:t>People v. Gutierrez</w:t>
      </w:r>
      <w:r w:rsidRPr="009B5AA4" w:rsidR="009B5AA4">
        <w:rPr>
          <w:szCs w:val="26"/>
        </w:rPr>
        <w:t xml:space="preserve"> (2017) 2 Cal.5th 1150, 1154</w:t>
      </w:r>
      <w:r w:rsidRPr="00D1376F" w:rsidR="00AC51E6">
        <w:rPr>
          <w:szCs w:val="26"/>
        </w:rPr>
        <w:t xml:space="preserve">.)  </w:t>
      </w:r>
    </w:p>
    <w:p w:rsidR="00DF7E65" w:rsidP="00D1376F">
      <w:pPr>
        <w:rPr>
          <w:szCs w:val="26"/>
        </w:rPr>
      </w:pPr>
      <w:r w:rsidRPr="00D1376F">
        <w:rPr>
          <w:szCs w:val="26"/>
        </w:rPr>
        <w:tab/>
      </w:r>
      <w:r w:rsidR="004745FC">
        <w:rPr>
          <w:szCs w:val="26"/>
        </w:rPr>
        <w:t>C</w:t>
      </w:r>
      <w:r w:rsidR="009B2123">
        <w:rPr>
          <w:szCs w:val="26"/>
        </w:rPr>
        <w:t xml:space="preserve">ourts </w:t>
      </w:r>
      <w:r w:rsidR="000C7AB5">
        <w:rPr>
          <w:szCs w:val="26"/>
        </w:rPr>
        <w:t xml:space="preserve">employ a three-step inquiry </w:t>
      </w:r>
      <w:r w:rsidRPr="00D1376F" w:rsidR="006B09FC">
        <w:rPr>
          <w:szCs w:val="26"/>
        </w:rPr>
        <w:t xml:space="preserve">to </w:t>
      </w:r>
      <w:r w:rsidRPr="00D1376F" w:rsidR="00AE1CB9">
        <w:rPr>
          <w:szCs w:val="26"/>
        </w:rPr>
        <w:t xml:space="preserve">uncover </w:t>
      </w:r>
      <w:r w:rsidRPr="00D1376F" w:rsidR="0020100E">
        <w:rPr>
          <w:szCs w:val="26"/>
        </w:rPr>
        <w:t xml:space="preserve">unconstitutional </w:t>
      </w:r>
      <w:r w:rsidRPr="00D1376F" w:rsidR="006F14DC">
        <w:rPr>
          <w:szCs w:val="26"/>
        </w:rPr>
        <w:t>discrimination</w:t>
      </w:r>
      <w:r w:rsidRPr="00D1376F" w:rsidR="00AE1CB9">
        <w:rPr>
          <w:szCs w:val="26"/>
        </w:rPr>
        <w:t xml:space="preserve"> in the exercise of peremptory strikes</w:t>
      </w:r>
      <w:r w:rsidRPr="00D1376F" w:rsidR="008307BE">
        <w:rPr>
          <w:szCs w:val="26"/>
        </w:rPr>
        <w:t>.</w:t>
      </w:r>
      <w:r w:rsidRPr="00D1376F">
        <w:rPr>
          <w:szCs w:val="26"/>
        </w:rPr>
        <w:t xml:space="preserve">  </w:t>
      </w:r>
      <w:r w:rsidR="000C7AB5">
        <w:rPr>
          <w:szCs w:val="26"/>
        </w:rPr>
        <w:t>Once a defendant has made out a prima fac</w:t>
      </w:r>
      <w:r w:rsidR="00D35383">
        <w:rPr>
          <w:szCs w:val="26"/>
        </w:rPr>
        <w:t>i</w:t>
      </w:r>
      <w:r w:rsidR="000C7AB5">
        <w:rPr>
          <w:szCs w:val="26"/>
        </w:rPr>
        <w:t>e case of discrimination, the burden shifts to the prosecution to provide a neutral justification for the strike</w:t>
      </w:r>
      <w:r w:rsidR="00042AB3">
        <w:rPr>
          <w:szCs w:val="26"/>
        </w:rPr>
        <w:t>; t</w:t>
      </w:r>
      <w:r w:rsidR="00497A0A">
        <w:rPr>
          <w:szCs w:val="26"/>
        </w:rPr>
        <w:t>he trial court must then decide whether purposeful discrimination has occurred</w:t>
      </w:r>
      <w:r w:rsidR="000C7AB5">
        <w:rPr>
          <w:szCs w:val="26"/>
        </w:rPr>
        <w:t xml:space="preserve">.  </w:t>
      </w:r>
      <w:r w:rsidRPr="00AA7F25" w:rsidR="000C7AB5">
        <w:rPr>
          <w:szCs w:val="26"/>
        </w:rPr>
        <w:t>(</w:t>
      </w:r>
      <w:r w:rsidRPr="00CD5045" w:rsidR="000C7AB5">
        <w:rPr>
          <w:i/>
          <w:iCs/>
          <w:szCs w:val="26"/>
        </w:rPr>
        <w:t>Johnson v. California</w:t>
      </w:r>
      <w:r w:rsidR="00D35383">
        <w:rPr>
          <w:szCs w:val="26"/>
        </w:rPr>
        <w:t xml:space="preserve"> (2005)</w:t>
      </w:r>
      <w:r w:rsidRPr="000C7AB5" w:rsidR="000C7AB5">
        <w:rPr>
          <w:szCs w:val="26"/>
        </w:rPr>
        <w:t xml:space="preserve"> 545 U.S. </w:t>
      </w:r>
      <w:r w:rsidR="00D35383">
        <w:rPr>
          <w:szCs w:val="26"/>
        </w:rPr>
        <w:t xml:space="preserve">162, </w:t>
      </w:r>
      <w:r w:rsidRPr="000C7AB5" w:rsidR="000C7AB5">
        <w:rPr>
          <w:szCs w:val="26"/>
        </w:rPr>
        <w:t>168</w:t>
      </w:r>
      <w:r w:rsidR="000C7AB5">
        <w:rPr>
          <w:szCs w:val="26"/>
        </w:rPr>
        <w:t xml:space="preserve">; </w:t>
      </w:r>
      <w:r w:rsidRPr="00AA7F25" w:rsidR="000C7AB5">
        <w:rPr>
          <w:i/>
          <w:iCs/>
          <w:szCs w:val="26"/>
        </w:rPr>
        <w:t>People v. Williams</w:t>
      </w:r>
      <w:r w:rsidR="00497A0A">
        <w:rPr>
          <w:szCs w:val="26"/>
        </w:rPr>
        <w:t xml:space="preserve">, </w:t>
      </w:r>
      <w:r w:rsidR="00497A0A">
        <w:rPr>
          <w:i/>
          <w:iCs/>
          <w:szCs w:val="26"/>
        </w:rPr>
        <w:t>supra</w:t>
      </w:r>
      <w:r w:rsidR="00497A0A">
        <w:rPr>
          <w:szCs w:val="26"/>
        </w:rPr>
        <w:t>,</w:t>
      </w:r>
      <w:r w:rsidRPr="00AA7F25" w:rsidR="000C7AB5">
        <w:rPr>
          <w:szCs w:val="26"/>
        </w:rPr>
        <w:t xml:space="preserve"> 58 Cal.4th </w:t>
      </w:r>
      <w:r w:rsidR="00497A0A">
        <w:rPr>
          <w:szCs w:val="26"/>
        </w:rPr>
        <w:t>at p. </w:t>
      </w:r>
      <w:r w:rsidRPr="00AA7F25" w:rsidR="000C7AB5">
        <w:rPr>
          <w:szCs w:val="26"/>
        </w:rPr>
        <w:t>280.)</w:t>
      </w:r>
    </w:p>
    <w:p w:rsidR="00B851B8" w:rsidRPr="00D1376F">
      <w:pPr>
        <w:rPr>
          <w:bCs/>
          <w:szCs w:val="26"/>
        </w:rPr>
      </w:pPr>
      <w:r>
        <w:rPr>
          <w:szCs w:val="26"/>
        </w:rPr>
        <w:tab/>
      </w:r>
      <w:r w:rsidRPr="00D1376F" w:rsidR="00E019EB">
        <w:rPr>
          <w:szCs w:val="26"/>
        </w:rPr>
        <w:t>Although th</w:t>
      </w:r>
      <w:r w:rsidRPr="00D1376F" w:rsidR="008104C8">
        <w:rPr>
          <w:szCs w:val="26"/>
        </w:rPr>
        <w:t>is</w:t>
      </w:r>
      <w:r w:rsidRPr="00D1376F" w:rsidR="00C801A2">
        <w:rPr>
          <w:szCs w:val="26"/>
        </w:rPr>
        <w:t xml:space="preserve"> burden-shifting framework</w:t>
      </w:r>
      <w:r w:rsidRPr="00D1376F" w:rsidR="008F6A6E">
        <w:rPr>
          <w:szCs w:val="26"/>
        </w:rPr>
        <w:t xml:space="preserve"> </w:t>
      </w:r>
      <w:r w:rsidRPr="00D1376F" w:rsidR="0085114D">
        <w:rPr>
          <w:szCs w:val="26"/>
        </w:rPr>
        <w:t xml:space="preserve">is well established, </w:t>
      </w:r>
      <w:r w:rsidRPr="00D1376F" w:rsidR="00CF6444">
        <w:rPr>
          <w:szCs w:val="26"/>
        </w:rPr>
        <w:t xml:space="preserve">experience </w:t>
      </w:r>
      <w:r w:rsidRPr="00D1376F" w:rsidR="002E23C4">
        <w:rPr>
          <w:szCs w:val="26"/>
        </w:rPr>
        <w:t xml:space="preserve">has </w:t>
      </w:r>
      <w:r w:rsidR="00CB23E1">
        <w:rPr>
          <w:szCs w:val="26"/>
        </w:rPr>
        <w:t>demonstrated</w:t>
      </w:r>
      <w:r w:rsidRPr="00D1376F" w:rsidR="00CB23E1">
        <w:rPr>
          <w:szCs w:val="26"/>
        </w:rPr>
        <w:t xml:space="preserve"> </w:t>
      </w:r>
      <w:r w:rsidRPr="00D1376F" w:rsidR="002E23C4">
        <w:rPr>
          <w:szCs w:val="26"/>
        </w:rPr>
        <w:t>“</w:t>
      </w:r>
      <w:r w:rsidRPr="00D1376F" w:rsidR="00047CA9">
        <w:rPr>
          <w:szCs w:val="26"/>
        </w:rPr>
        <w:t>the practical difficulty of ferreting out discrimination in selections discretionary by nature, and choices subject to myriad legitimate influences</w:t>
      </w:r>
      <w:r w:rsidRPr="00D1376F" w:rsidR="005C5702">
        <w:rPr>
          <w:szCs w:val="26"/>
        </w:rPr>
        <w:t>.</w:t>
      </w:r>
      <w:r w:rsidRPr="00D1376F" w:rsidR="00047CA9">
        <w:rPr>
          <w:szCs w:val="26"/>
        </w:rPr>
        <w:t>”  (</w:t>
      </w:r>
      <w:r w:rsidRPr="00D1376F" w:rsidR="00047CA9">
        <w:rPr>
          <w:i/>
          <w:iCs/>
          <w:szCs w:val="26"/>
        </w:rPr>
        <w:t>Miller-El</w:t>
      </w:r>
      <w:r w:rsidRPr="00D1376F" w:rsidR="00047CA9">
        <w:rPr>
          <w:szCs w:val="26"/>
        </w:rPr>
        <w:t xml:space="preserve">, </w:t>
      </w:r>
      <w:r w:rsidRPr="00D1376F" w:rsidR="00047CA9">
        <w:rPr>
          <w:i/>
          <w:iCs/>
          <w:szCs w:val="26"/>
        </w:rPr>
        <w:t>supra</w:t>
      </w:r>
      <w:r w:rsidRPr="00D1376F" w:rsidR="00047CA9">
        <w:rPr>
          <w:szCs w:val="26"/>
        </w:rPr>
        <w:t>, 545 U.S. at p.</w:t>
      </w:r>
      <w:r w:rsidRPr="00D1376F" w:rsidR="007A210E">
        <w:rPr>
          <w:szCs w:val="26"/>
        </w:rPr>
        <w:t> </w:t>
      </w:r>
      <w:r w:rsidRPr="00D1376F" w:rsidR="00047CA9">
        <w:rPr>
          <w:szCs w:val="26"/>
        </w:rPr>
        <w:t>238.)</w:t>
      </w:r>
      <w:r>
        <w:rPr>
          <w:szCs w:val="26"/>
        </w:rPr>
        <w:t xml:space="preserve">  </w:t>
      </w:r>
      <w:r w:rsidRPr="00D1376F" w:rsidR="00052B78">
        <w:rPr>
          <w:szCs w:val="26"/>
        </w:rPr>
        <w:t xml:space="preserve">Assessing </w:t>
      </w:r>
      <w:r w:rsidR="003C3676">
        <w:rPr>
          <w:szCs w:val="26"/>
        </w:rPr>
        <w:t xml:space="preserve">an attorney’s </w:t>
      </w:r>
      <w:r w:rsidRPr="00D1376F" w:rsidR="00052B78">
        <w:rPr>
          <w:szCs w:val="26"/>
        </w:rPr>
        <w:t>motiv</w:t>
      </w:r>
      <w:r w:rsidRPr="00D1376F" w:rsidR="00AC27AE">
        <w:rPr>
          <w:szCs w:val="26"/>
        </w:rPr>
        <w:t>ation</w:t>
      </w:r>
      <w:r w:rsidRPr="00D1376F" w:rsidR="00052B78">
        <w:rPr>
          <w:szCs w:val="26"/>
        </w:rPr>
        <w:t xml:space="preserve"> </w:t>
      </w:r>
      <w:r w:rsidRPr="00D1376F" w:rsidR="00AC27AE">
        <w:rPr>
          <w:szCs w:val="26"/>
        </w:rPr>
        <w:t xml:space="preserve">for striking </w:t>
      </w:r>
      <w:r w:rsidRPr="00D1376F" w:rsidR="00D02ABE">
        <w:rPr>
          <w:szCs w:val="26"/>
        </w:rPr>
        <w:t xml:space="preserve">a juror, as required at </w:t>
      </w:r>
      <w:r w:rsidRPr="00D1376F" w:rsidR="00D02ABE">
        <w:rPr>
          <w:i/>
          <w:iCs/>
          <w:szCs w:val="26"/>
        </w:rPr>
        <w:t>Batson</w:t>
      </w:r>
      <w:r w:rsidRPr="00D1376F" w:rsidR="00D02ABE">
        <w:rPr>
          <w:szCs w:val="26"/>
        </w:rPr>
        <w:t xml:space="preserve">’s third step, </w:t>
      </w:r>
      <w:r w:rsidRPr="00D1376F" w:rsidR="00CA1782">
        <w:rPr>
          <w:szCs w:val="26"/>
        </w:rPr>
        <w:t>is often a sensitive and challenging inquiry.</w:t>
      </w:r>
      <w:r>
        <w:rPr>
          <w:rStyle w:val="FootnoteReference"/>
          <w:szCs w:val="26"/>
        </w:rPr>
        <w:footnoteReference w:id="5"/>
      </w:r>
      <w:r w:rsidRPr="00D1376F" w:rsidR="000275ED">
        <w:rPr>
          <w:szCs w:val="26"/>
        </w:rPr>
        <w:t xml:space="preserve">  </w:t>
      </w:r>
      <w:r w:rsidRPr="00D1376F" w:rsidR="00622758">
        <w:rPr>
          <w:szCs w:val="26"/>
        </w:rPr>
        <w:t>T</w:t>
      </w:r>
      <w:r w:rsidRPr="00D1376F" w:rsidR="001671FE">
        <w:rPr>
          <w:szCs w:val="26"/>
        </w:rPr>
        <w:t xml:space="preserve">he </w:t>
      </w:r>
      <w:r w:rsidRPr="00D1376F" w:rsidR="00F62228">
        <w:rPr>
          <w:szCs w:val="26"/>
        </w:rPr>
        <w:t xml:space="preserve">trial </w:t>
      </w:r>
      <w:r w:rsidRPr="00D1376F" w:rsidR="001671FE">
        <w:rPr>
          <w:szCs w:val="26"/>
        </w:rPr>
        <w:t xml:space="preserve">court </w:t>
      </w:r>
      <w:r w:rsidRPr="00D1376F" w:rsidR="00622758">
        <w:rPr>
          <w:szCs w:val="26"/>
        </w:rPr>
        <w:t xml:space="preserve">must </w:t>
      </w:r>
      <w:r w:rsidRPr="00D1376F" w:rsidR="001671FE">
        <w:rPr>
          <w:szCs w:val="26"/>
        </w:rPr>
        <w:t xml:space="preserve">discern the </w:t>
      </w:r>
      <w:r w:rsidRPr="00D1376F" w:rsidR="008B3CE9">
        <w:rPr>
          <w:szCs w:val="26"/>
        </w:rPr>
        <w:t>motiv</w:t>
      </w:r>
      <w:r w:rsidR="00CB23E1">
        <w:rPr>
          <w:szCs w:val="26"/>
        </w:rPr>
        <w:t>e</w:t>
      </w:r>
      <w:r w:rsidRPr="00D1376F" w:rsidR="008B3CE9">
        <w:rPr>
          <w:szCs w:val="26"/>
        </w:rPr>
        <w:t xml:space="preserve">s </w:t>
      </w:r>
      <w:r w:rsidRPr="00D1376F" w:rsidR="001671FE">
        <w:rPr>
          <w:szCs w:val="26"/>
        </w:rPr>
        <w:t xml:space="preserve">of the </w:t>
      </w:r>
      <w:r w:rsidRPr="00D1376F" w:rsidR="00CA1782">
        <w:rPr>
          <w:szCs w:val="26"/>
        </w:rPr>
        <w:t xml:space="preserve">striking </w:t>
      </w:r>
      <w:r w:rsidRPr="00D1376F" w:rsidR="001671FE">
        <w:rPr>
          <w:szCs w:val="26"/>
        </w:rPr>
        <w:t>attorney</w:t>
      </w:r>
      <w:r w:rsidRPr="00D1376F" w:rsidR="004D27BC">
        <w:rPr>
          <w:szCs w:val="26"/>
        </w:rPr>
        <w:t xml:space="preserve"> by “assess[ing] the plausibility of [the attorney’s proffered] reason in light of all evidence with a bearing on it.”  (</w:t>
      </w:r>
      <w:r w:rsidR="003C1270">
        <w:rPr>
          <w:i/>
          <w:iCs/>
          <w:szCs w:val="26"/>
        </w:rPr>
        <w:t>Id</w:t>
      </w:r>
      <w:r w:rsidR="003C1270">
        <w:rPr>
          <w:szCs w:val="26"/>
        </w:rPr>
        <w:t>.</w:t>
      </w:r>
      <w:r w:rsidR="00FE0F67">
        <w:rPr>
          <w:szCs w:val="26"/>
        </w:rPr>
        <w:t xml:space="preserve"> at</w:t>
      </w:r>
      <w:r w:rsidRPr="00D1376F" w:rsidR="004D27BC">
        <w:rPr>
          <w:szCs w:val="26"/>
        </w:rPr>
        <w:t xml:space="preserve"> p.</w:t>
      </w:r>
      <w:r w:rsidRPr="00D1376F" w:rsidR="007A210E">
        <w:rPr>
          <w:szCs w:val="26"/>
        </w:rPr>
        <w:t> </w:t>
      </w:r>
      <w:r w:rsidRPr="00D1376F" w:rsidR="004D27BC">
        <w:rPr>
          <w:szCs w:val="26"/>
        </w:rPr>
        <w:t xml:space="preserve">252.)  </w:t>
      </w:r>
      <w:r w:rsidRPr="00D1376F" w:rsidR="005637D2">
        <w:rPr>
          <w:szCs w:val="26"/>
        </w:rPr>
        <w:t>Considering “a</w:t>
      </w:r>
      <w:r w:rsidRPr="00D1376F" w:rsidR="008A0275">
        <w:rPr>
          <w:szCs w:val="26"/>
        </w:rPr>
        <w:t xml:space="preserve">ll evidence with a bearing” on the attorney’s motives typically </w:t>
      </w:r>
      <w:r w:rsidRPr="00D1376F" w:rsidR="005637D2">
        <w:rPr>
          <w:szCs w:val="26"/>
        </w:rPr>
        <w:t xml:space="preserve">requires </w:t>
      </w:r>
      <w:r w:rsidRPr="00D1376F" w:rsidR="008A0275">
        <w:rPr>
          <w:szCs w:val="26"/>
        </w:rPr>
        <w:t>the</w:t>
      </w:r>
      <w:r w:rsidRPr="00D1376F" w:rsidR="003D472B">
        <w:rPr>
          <w:szCs w:val="26"/>
        </w:rPr>
        <w:t xml:space="preserve"> </w:t>
      </w:r>
      <w:r w:rsidRPr="00D1376F" w:rsidR="003B2656">
        <w:rPr>
          <w:szCs w:val="26"/>
        </w:rPr>
        <w:t xml:space="preserve">trial </w:t>
      </w:r>
      <w:r w:rsidRPr="00D1376F" w:rsidR="003D472B">
        <w:rPr>
          <w:szCs w:val="26"/>
        </w:rPr>
        <w:t xml:space="preserve">court </w:t>
      </w:r>
      <w:r w:rsidRPr="00D1376F" w:rsidR="008A0275">
        <w:rPr>
          <w:szCs w:val="26"/>
        </w:rPr>
        <w:t xml:space="preserve">to </w:t>
      </w:r>
      <w:r w:rsidRPr="00D1376F" w:rsidR="00F34230">
        <w:rPr>
          <w:szCs w:val="26"/>
        </w:rPr>
        <w:t xml:space="preserve">evaluate </w:t>
      </w:r>
      <w:r w:rsidRPr="00D1376F" w:rsidR="003D472B">
        <w:rPr>
          <w:szCs w:val="26"/>
        </w:rPr>
        <w:t xml:space="preserve">factors such as the attorney’s demeanor, the plausibility </w:t>
      </w:r>
      <w:r w:rsidRPr="00D1376F" w:rsidR="001671FE">
        <w:rPr>
          <w:bCs/>
          <w:szCs w:val="26"/>
        </w:rPr>
        <w:t>of his or her explanations</w:t>
      </w:r>
      <w:r w:rsidRPr="00D1376F" w:rsidR="00247E0F">
        <w:rPr>
          <w:bCs/>
          <w:szCs w:val="26"/>
        </w:rPr>
        <w:t xml:space="preserve">, as well as the court’s own observations, if any, about the struck juror </w:t>
      </w:r>
      <w:r w:rsidRPr="00D1376F" w:rsidR="00247E0F">
        <w:rPr>
          <w:szCs w:val="26"/>
        </w:rPr>
        <w:t>as compared with the other jurors in the venire</w:t>
      </w:r>
      <w:r w:rsidRPr="00D1376F" w:rsidR="001671FE">
        <w:rPr>
          <w:bCs/>
          <w:szCs w:val="26"/>
        </w:rPr>
        <w:t>.  (</w:t>
      </w:r>
      <w:r w:rsidRPr="00D1376F" w:rsidR="00114BD3">
        <w:rPr>
          <w:bCs/>
          <w:i/>
          <w:iCs/>
          <w:szCs w:val="26"/>
        </w:rPr>
        <w:t>Ibid.</w:t>
      </w:r>
      <w:r w:rsidRPr="00D1376F" w:rsidR="00114BD3">
        <w:rPr>
          <w:bCs/>
          <w:szCs w:val="26"/>
        </w:rPr>
        <w:t xml:space="preserve">; see </w:t>
      </w:r>
      <w:r w:rsidR="003C3676">
        <w:rPr>
          <w:bCs/>
          <w:szCs w:val="26"/>
        </w:rPr>
        <w:t xml:space="preserve">also </w:t>
      </w:r>
      <w:r w:rsidRPr="00D1376F" w:rsidR="001671FE">
        <w:rPr>
          <w:bCs/>
          <w:i/>
          <w:iCs/>
          <w:szCs w:val="26"/>
        </w:rPr>
        <w:t>People v. Lenix</w:t>
      </w:r>
      <w:r w:rsidR="003C3676">
        <w:rPr>
          <w:bCs/>
          <w:i/>
          <w:iCs/>
          <w:szCs w:val="26"/>
        </w:rPr>
        <w:t xml:space="preserve"> </w:t>
      </w:r>
      <w:r w:rsidR="003C3676">
        <w:rPr>
          <w:bCs/>
          <w:szCs w:val="26"/>
        </w:rPr>
        <w:t>(2008)</w:t>
      </w:r>
      <w:r w:rsidRPr="00D1376F" w:rsidR="001671FE">
        <w:rPr>
          <w:bCs/>
          <w:szCs w:val="26"/>
        </w:rPr>
        <w:t xml:space="preserve"> 44 Cal.4th </w:t>
      </w:r>
      <w:r w:rsidR="003C3676">
        <w:rPr>
          <w:bCs/>
          <w:szCs w:val="26"/>
        </w:rPr>
        <w:t xml:space="preserve">602, </w:t>
      </w:r>
      <w:r w:rsidRPr="00D1376F" w:rsidR="001671FE">
        <w:rPr>
          <w:bCs/>
          <w:szCs w:val="26"/>
        </w:rPr>
        <w:t>613.)</w:t>
      </w:r>
      <w:r w:rsidRPr="00D1376F">
        <w:rPr>
          <w:szCs w:val="26"/>
        </w:rPr>
        <w:t xml:space="preserve"> </w:t>
      </w:r>
      <w:r w:rsidRPr="00D1376F" w:rsidR="00CA7DED">
        <w:rPr>
          <w:szCs w:val="26"/>
        </w:rPr>
        <w:t xml:space="preserve"> A </w:t>
      </w:r>
      <w:r w:rsidRPr="00D1376F">
        <w:rPr>
          <w:szCs w:val="26"/>
        </w:rPr>
        <w:t xml:space="preserve">trial </w:t>
      </w:r>
      <w:r w:rsidR="00440215">
        <w:rPr>
          <w:szCs w:val="26"/>
        </w:rPr>
        <w:t xml:space="preserve">judge </w:t>
      </w:r>
      <w:r w:rsidRPr="00D1376F" w:rsidR="00AF1D28">
        <w:rPr>
          <w:szCs w:val="26"/>
        </w:rPr>
        <w:t xml:space="preserve">may </w:t>
      </w:r>
      <w:r w:rsidRPr="00D1376F">
        <w:rPr>
          <w:szCs w:val="26"/>
        </w:rPr>
        <w:t xml:space="preserve">also </w:t>
      </w:r>
      <w:r w:rsidRPr="00D1376F" w:rsidR="00AF1D28">
        <w:rPr>
          <w:szCs w:val="26"/>
        </w:rPr>
        <w:t xml:space="preserve">further question the </w:t>
      </w:r>
      <w:r w:rsidRPr="00D1376F">
        <w:rPr>
          <w:szCs w:val="26"/>
        </w:rPr>
        <w:t>attorney</w:t>
      </w:r>
      <w:r w:rsidRPr="00D1376F" w:rsidR="00AF1D28">
        <w:rPr>
          <w:szCs w:val="26"/>
        </w:rPr>
        <w:t xml:space="preserve"> on any particular </w:t>
      </w:r>
      <w:r w:rsidRPr="00D1376F" w:rsidR="000B66FA">
        <w:rPr>
          <w:szCs w:val="26"/>
        </w:rPr>
        <w:t xml:space="preserve">proffered </w:t>
      </w:r>
      <w:r w:rsidRPr="00D1376F" w:rsidR="00AF1D28">
        <w:rPr>
          <w:szCs w:val="26"/>
        </w:rPr>
        <w:t>rationale</w:t>
      </w:r>
      <w:r w:rsidRPr="00D1376F" w:rsidR="000B66FA">
        <w:rPr>
          <w:szCs w:val="26"/>
        </w:rPr>
        <w:t xml:space="preserve"> for a challenged strike</w:t>
      </w:r>
      <w:r w:rsidRPr="00D1376F" w:rsidR="008A0275">
        <w:rPr>
          <w:szCs w:val="26"/>
        </w:rPr>
        <w:t xml:space="preserve"> and may rely on </w:t>
      </w:r>
      <w:r w:rsidR="00B440DE">
        <w:rPr>
          <w:szCs w:val="26"/>
        </w:rPr>
        <w:t>the judge’s</w:t>
      </w:r>
      <w:r w:rsidRPr="00D1376F" w:rsidR="008A0275">
        <w:rPr>
          <w:szCs w:val="26"/>
        </w:rPr>
        <w:t xml:space="preserve"> own experiences both as an attorney and on the bench</w:t>
      </w:r>
      <w:r w:rsidRPr="00D1376F">
        <w:rPr>
          <w:szCs w:val="26"/>
        </w:rPr>
        <w:t xml:space="preserve">. </w:t>
      </w:r>
      <w:r w:rsidRPr="00D1376F" w:rsidR="002A7797">
        <w:rPr>
          <w:szCs w:val="26"/>
        </w:rPr>
        <w:t xml:space="preserve"> </w:t>
      </w:r>
      <w:r w:rsidRPr="00D1376F" w:rsidR="00606D38">
        <w:rPr>
          <w:szCs w:val="26"/>
        </w:rPr>
        <w:t>“</w:t>
      </w:r>
      <w:r w:rsidRPr="00D1376F" w:rsidR="007A58DA">
        <w:rPr>
          <w:szCs w:val="26"/>
        </w:rPr>
        <w:t> ‘</w:t>
      </w:r>
      <w:r w:rsidRPr="00D1376F" w:rsidR="000B66FA">
        <w:rPr>
          <w:szCs w:val="26"/>
        </w:rPr>
        <w:t>U</w:t>
      </w:r>
      <w:r w:rsidRPr="00D1376F">
        <w:rPr>
          <w:szCs w:val="26"/>
          <w:shd w:val="clear" w:color="auto" w:fill="FFFFFF"/>
        </w:rPr>
        <w:t xml:space="preserve">sually, </w:t>
      </w:r>
      <w:r w:rsidRPr="00D1376F" w:rsidR="007A58DA">
        <w:rPr>
          <w:szCs w:val="26"/>
          <w:shd w:val="clear" w:color="auto" w:fill="FFFFFF"/>
        </w:rPr>
        <w:t>“</w:t>
      </w:r>
      <w:r w:rsidRPr="00D1376F">
        <w:rPr>
          <w:szCs w:val="26"/>
          <w:shd w:val="clear" w:color="auto" w:fill="FFFFFF"/>
        </w:rPr>
        <w:t>the issue comes down to whether the trial court finds the prosecutor</w:t>
      </w:r>
      <w:r w:rsidRPr="00D1376F" w:rsidR="003E7DDD">
        <w:rPr>
          <w:szCs w:val="26"/>
          <w:shd w:val="clear" w:color="auto" w:fill="FFFFFF"/>
        </w:rPr>
        <w:t>’</w:t>
      </w:r>
      <w:r w:rsidRPr="00D1376F">
        <w:rPr>
          <w:szCs w:val="26"/>
          <w:shd w:val="clear" w:color="auto" w:fill="FFFFFF"/>
        </w:rPr>
        <w:t>s race-neutral explanations to be credible.</w:t>
      </w:r>
      <w:r w:rsidRPr="00D1376F" w:rsidR="007A58DA">
        <w:rPr>
          <w:szCs w:val="26"/>
          <w:shd w:val="clear" w:color="auto" w:fill="FFFFFF"/>
        </w:rPr>
        <w:t>” </w:t>
      </w:r>
      <w:r w:rsidRPr="00D1376F" w:rsidR="00175286">
        <w:rPr>
          <w:szCs w:val="26"/>
          <w:shd w:val="clear" w:color="auto" w:fill="FFFFFF"/>
        </w:rPr>
        <w:t>’</w:t>
      </w:r>
      <w:r w:rsidRPr="00D1376F" w:rsidR="00845EA3">
        <w:rPr>
          <w:szCs w:val="26"/>
          <w:shd w:val="clear" w:color="auto" w:fill="FFFFFF"/>
        </w:rPr>
        <w:t> </w:t>
      </w:r>
      <w:r w:rsidRPr="00D1376F" w:rsidR="00F8045A">
        <w:rPr>
          <w:szCs w:val="26"/>
          <w:shd w:val="clear" w:color="auto" w:fill="FFFFFF"/>
        </w:rPr>
        <w:t>”</w:t>
      </w:r>
      <w:r w:rsidR="00B43F05">
        <w:rPr>
          <w:szCs w:val="26"/>
          <w:shd w:val="clear" w:color="auto" w:fill="FFFFFF"/>
        </w:rPr>
        <w:t xml:space="preserve"> </w:t>
      </w:r>
      <w:r w:rsidRPr="00D1376F" w:rsidR="00F8045A">
        <w:rPr>
          <w:szCs w:val="26"/>
          <w:shd w:val="clear" w:color="auto" w:fill="FFFFFF"/>
        </w:rPr>
        <w:t xml:space="preserve"> </w:t>
      </w:r>
      <w:r w:rsidRPr="00D1376F">
        <w:rPr>
          <w:szCs w:val="26"/>
          <w:shd w:val="clear" w:color="auto" w:fill="FFFFFF"/>
        </w:rPr>
        <w:t>(</w:t>
      </w:r>
      <w:r w:rsidRPr="00D1376F" w:rsidR="00175286">
        <w:rPr>
          <w:i/>
          <w:iCs/>
          <w:szCs w:val="26"/>
          <w:shd w:val="clear" w:color="auto" w:fill="FFFFFF"/>
        </w:rPr>
        <w:t>People v. Smith</w:t>
      </w:r>
      <w:r w:rsidRPr="00D1376F" w:rsidR="00175286">
        <w:rPr>
          <w:szCs w:val="26"/>
          <w:shd w:val="clear" w:color="auto" w:fill="FFFFFF"/>
        </w:rPr>
        <w:t xml:space="preserve"> (2018) 4 Cal.5th 1134, 1147</w:t>
      </w:r>
      <w:r w:rsidR="00FE0F67">
        <w:rPr>
          <w:szCs w:val="26"/>
          <w:shd w:val="clear" w:color="auto" w:fill="FFFFFF"/>
        </w:rPr>
        <w:t xml:space="preserve">, </w:t>
      </w:r>
      <w:r w:rsidRPr="00D1376F" w:rsidR="00175286">
        <w:rPr>
          <w:szCs w:val="26"/>
          <w:shd w:val="clear" w:color="auto" w:fill="FFFFFF"/>
        </w:rPr>
        <w:t xml:space="preserve">quoting </w:t>
      </w:r>
      <w:r w:rsidRPr="00D1376F" w:rsidR="000976A1">
        <w:rPr>
          <w:i/>
          <w:iCs/>
          <w:szCs w:val="26"/>
          <w:shd w:val="clear" w:color="auto" w:fill="FFFFFF"/>
        </w:rPr>
        <w:t>Miller</w:t>
      </w:r>
      <w:r w:rsidRPr="00D1376F" w:rsidR="000976A1">
        <w:rPr>
          <w:szCs w:val="26"/>
          <w:shd w:val="clear" w:color="auto" w:fill="FFFFFF"/>
        </w:rPr>
        <w:t>-</w:t>
      </w:r>
      <w:r w:rsidRPr="00D1376F" w:rsidR="000976A1">
        <w:rPr>
          <w:i/>
          <w:iCs/>
          <w:szCs w:val="26"/>
          <w:shd w:val="clear" w:color="auto" w:fill="FFFFFF"/>
        </w:rPr>
        <w:t>El</w:t>
      </w:r>
      <w:r w:rsidRPr="00D1376F" w:rsidR="007A58DA">
        <w:rPr>
          <w:i/>
          <w:iCs/>
          <w:szCs w:val="26"/>
          <w:shd w:val="clear" w:color="auto" w:fill="FFFFFF"/>
        </w:rPr>
        <w:t xml:space="preserve"> v. Cockrell</w:t>
      </w:r>
      <w:r w:rsidRPr="00D1376F" w:rsidR="007A58DA">
        <w:rPr>
          <w:szCs w:val="26"/>
          <w:shd w:val="clear" w:color="auto" w:fill="FFFFFF"/>
        </w:rPr>
        <w:t xml:space="preserve"> (2003) 537 U.S. 322, 339</w:t>
      </w:r>
      <w:r w:rsidRPr="00D1376F" w:rsidR="000976A1">
        <w:rPr>
          <w:szCs w:val="26"/>
          <w:shd w:val="clear" w:color="auto" w:fill="FFFFFF"/>
        </w:rPr>
        <w:t>.</w:t>
      </w:r>
      <w:r w:rsidRPr="00D1376F">
        <w:rPr>
          <w:szCs w:val="26"/>
        </w:rPr>
        <w:t xml:space="preserve">)  </w:t>
      </w:r>
    </w:p>
    <w:p w:rsidR="00C368F8" w:rsidRPr="00D1376F" w:rsidP="00D1376F">
      <w:pPr>
        <w:rPr>
          <w:szCs w:val="26"/>
        </w:rPr>
      </w:pPr>
      <w:r w:rsidRPr="00D1376F">
        <w:rPr>
          <w:szCs w:val="26"/>
        </w:rPr>
        <w:tab/>
      </w:r>
      <w:r w:rsidRPr="00D1376F" w:rsidR="003B2656">
        <w:rPr>
          <w:szCs w:val="26"/>
        </w:rPr>
        <w:t xml:space="preserve">While </w:t>
      </w:r>
      <w:r w:rsidRPr="00D1376F" w:rsidR="00644623">
        <w:rPr>
          <w:szCs w:val="26"/>
        </w:rPr>
        <w:t xml:space="preserve">a trial court’s </w:t>
      </w:r>
      <w:r w:rsidRPr="00D1376F" w:rsidR="00DC6666">
        <w:rPr>
          <w:szCs w:val="26"/>
        </w:rPr>
        <w:t>determination</w:t>
      </w:r>
      <w:r w:rsidRPr="00D1376F" w:rsidR="00EA6C31">
        <w:rPr>
          <w:szCs w:val="26"/>
        </w:rPr>
        <w:t xml:space="preserve"> at </w:t>
      </w:r>
      <w:r w:rsidRPr="00D1376F" w:rsidR="00EA6C31">
        <w:rPr>
          <w:i/>
          <w:iCs/>
          <w:szCs w:val="26"/>
        </w:rPr>
        <w:t>Batson</w:t>
      </w:r>
      <w:r w:rsidRPr="00D1376F" w:rsidR="00EA6C31">
        <w:rPr>
          <w:szCs w:val="26"/>
        </w:rPr>
        <w:t>/</w:t>
      </w:r>
      <w:r w:rsidRPr="00D1376F" w:rsidR="00EA6C31">
        <w:rPr>
          <w:i/>
          <w:iCs/>
          <w:szCs w:val="26"/>
        </w:rPr>
        <w:t>Wheeler</w:t>
      </w:r>
      <w:r w:rsidRPr="00D1376F" w:rsidR="00EA6C31">
        <w:rPr>
          <w:szCs w:val="26"/>
        </w:rPr>
        <w:t>’s third step is</w:t>
      </w:r>
      <w:r w:rsidRPr="00D1376F" w:rsidR="00DC6666">
        <w:rPr>
          <w:szCs w:val="26"/>
        </w:rPr>
        <w:t xml:space="preserve"> ordinarily made on the basis of oral representations</w:t>
      </w:r>
      <w:r w:rsidRPr="00D1376F" w:rsidR="006A0E8A">
        <w:rPr>
          <w:szCs w:val="26"/>
        </w:rPr>
        <w:t xml:space="preserve"> and</w:t>
      </w:r>
      <w:r w:rsidRPr="00D1376F" w:rsidR="00A375CA">
        <w:rPr>
          <w:szCs w:val="26"/>
        </w:rPr>
        <w:t xml:space="preserve"> personal observation</w:t>
      </w:r>
      <w:r w:rsidRPr="00D1376F" w:rsidR="003B2656">
        <w:rPr>
          <w:szCs w:val="26"/>
        </w:rPr>
        <w:t xml:space="preserve">, appellate </w:t>
      </w:r>
      <w:r w:rsidRPr="00D1376F" w:rsidR="00E3718D">
        <w:rPr>
          <w:szCs w:val="26"/>
        </w:rPr>
        <w:t xml:space="preserve">and postconviction </w:t>
      </w:r>
      <w:r w:rsidRPr="00D1376F" w:rsidR="003B2656">
        <w:rPr>
          <w:szCs w:val="26"/>
        </w:rPr>
        <w:t xml:space="preserve">review is </w:t>
      </w:r>
      <w:r w:rsidR="00BF3DCC">
        <w:rPr>
          <w:szCs w:val="26"/>
        </w:rPr>
        <w:t>often</w:t>
      </w:r>
      <w:r w:rsidR="00B271B4">
        <w:rPr>
          <w:szCs w:val="26"/>
        </w:rPr>
        <w:t xml:space="preserve"> </w:t>
      </w:r>
      <w:r w:rsidRPr="00D1376F" w:rsidR="000D6F99">
        <w:rPr>
          <w:szCs w:val="26"/>
        </w:rPr>
        <w:t xml:space="preserve">confined to the </w:t>
      </w:r>
      <w:r w:rsidRPr="00D1376F" w:rsidR="00C52AA9">
        <w:rPr>
          <w:szCs w:val="26"/>
        </w:rPr>
        <w:t xml:space="preserve">written </w:t>
      </w:r>
      <w:r w:rsidRPr="00D1376F" w:rsidR="000D6F99">
        <w:rPr>
          <w:szCs w:val="26"/>
        </w:rPr>
        <w:t>record</w:t>
      </w:r>
      <w:r w:rsidRPr="00D1376F" w:rsidR="002B0776">
        <w:rPr>
          <w:szCs w:val="26"/>
        </w:rPr>
        <w:t xml:space="preserve">.  </w:t>
      </w:r>
      <w:r w:rsidRPr="00D1376F" w:rsidR="005E6120">
        <w:rPr>
          <w:szCs w:val="26"/>
        </w:rPr>
        <w:t xml:space="preserve">Although not </w:t>
      </w:r>
      <w:r w:rsidRPr="00D1376F" w:rsidR="00C14819">
        <w:rPr>
          <w:szCs w:val="26"/>
        </w:rPr>
        <w:t xml:space="preserve">limited </w:t>
      </w:r>
      <w:r w:rsidRPr="00D1376F" w:rsidR="005E6120">
        <w:rPr>
          <w:szCs w:val="26"/>
        </w:rPr>
        <w:t xml:space="preserve">to the precise arguments or evidence presented to the trial court </w:t>
      </w:r>
      <w:r w:rsidR="00BC003B">
        <w:rPr>
          <w:szCs w:val="26"/>
        </w:rPr>
        <w:t xml:space="preserve">on the </w:t>
      </w:r>
      <w:r w:rsidR="00BA7FA9">
        <w:rPr>
          <w:szCs w:val="26"/>
        </w:rPr>
        <w:t xml:space="preserve">challenged peremptory strikes </w:t>
      </w:r>
      <w:r w:rsidRPr="00D1376F" w:rsidR="005E6120">
        <w:rPr>
          <w:szCs w:val="26"/>
        </w:rPr>
        <w:t xml:space="preserve">(see, e.g., </w:t>
      </w:r>
      <w:r w:rsidRPr="00D1376F" w:rsidR="005E6120">
        <w:rPr>
          <w:i/>
          <w:iCs/>
          <w:szCs w:val="26"/>
        </w:rPr>
        <w:t>People v. Lenix</w:t>
      </w:r>
      <w:r w:rsidRPr="00D1376F" w:rsidR="005E6120">
        <w:rPr>
          <w:szCs w:val="26"/>
        </w:rPr>
        <w:t>,</w:t>
      </w:r>
      <w:r w:rsidRPr="00D1376F" w:rsidR="005E6120">
        <w:rPr>
          <w:i/>
          <w:iCs/>
          <w:szCs w:val="26"/>
        </w:rPr>
        <w:t xml:space="preserve"> supra</w:t>
      </w:r>
      <w:r w:rsidRPr="00D1376F" w:rsidR="005E6120">
        <w:rPr>
          <w:szCs w:val="26"/>
        </w:rPr>
        <w:t>, 44 Cal.4th at p.</w:t>
      </w:r>
      <w:r w:rsidRPr="00D1376F" w:rsidR="00845EA3">
        <w:rPr>
          <w:szCs w:val="26"/>
        </w:rPr>
        <w:t> </w:t>
      </w:r>
      <w:r w:rsidRPr="00D1376F" w:rsidR="005E6120">
        <w:rPr>
          <w:szCs w:val="26"/>
        </w:rPr>
        <w:t>622), r</w:t>
      </w:r>
      <w:r w:rsidRPr="00D1376F" w:rsidR="00644623">
        <w:rPr>
          <w:szCs w:val="26"/>
        </w:rPr>
        <w:t xml:space="preserve">eviewing courts </w:t>
      </w:r>
      <w:r w:rsidRPr="00D1376F" w:rsidR="000C3EAE">
        <w:rPr>
          <w:szCs w:val="26"/>
        </w:rPr>
        <w:t>are generally constrained to</w:t>
      </w:r>
      <w:r w:rsidRPr="00D1376F" w:rsidR="00457FE3">
        <w:rPr>
          <w:szCs w:val="26"/>
        </w:rPr>
        <w:t xml:space="preserve"> </w:t>
      </w:r>
      <w:r w:rsidRPr="00D1376F">
        <w:rPr>
          <w:szCs w:val="26"/>
        </w:rPr>
        <w:t>“rely on the good judgment of the trial courts to distinguish bona fide reasons for such peremptories from sham excuses belatedly contrived to avoid admitting acts of group discrimination” (</w:t>
      </w:r>
      <w:r w:rsidRPr="00D1376F">
        <w:rPr>
          <w:i/>
          <w:iCs/>
          <w:szCs w:val="26"/>
        </w:rPr>
        <w:t>Wheeler</w:t>
      </w:r>
      <w:r w:rsidRPr="00D1376F">
        <w:rPr>
          <w:szCs w:val="26"/>
        </w:rPr>
        <w:t xml:space="preserve">, </w:t>
      </w:r>
      <w:r w:rsidRPr="00D1376F">
        <w:rPr>
          <w:i/>
          <w:iCs/>
          <w:szCs w:val="26"/>
        </w:rPr>
        <w:t>supra</w:t>
      </w:r>
      <w:r w:rsidRPr="00D1376F">
        <w:rPr>
          <w:szCs w:val="26"/>
        </w:rPr>
        <w:t xml:space="preserve">, 22 Cal.3d at </w:t>
      </w:r>
      <w:r w:rsidRPr="00D1376F" w:rsidR="00845EA3">
        <w:rPr>
          <w:szCs w:val="26"/>
        </w:rPr>
        <w:t>p. </w:t>
      </w:r>
      <w:r w:rsidRPr="00D1376F">
        <w:rPr>
          <w:szCs w:val="26"/>
        </w:rPr>
        <w:t>282</w:t>
      </w:r>
      <w:r w:rsidRPr="00D1376F" w:rsidR="00AF1D28">
        <w:rPr>
          <w:szCs w:val="26"/>
        </w:rPr>
        <w:t>)</w:t>
      </w:r>
      <w:r w:rsidRPr="00D1376F" w:rsidR="005E6120">
        <w:rPr>
          <w:szCs w:val="26"/>
        </w:rPr>
        <w:t>.</w:t>
      </w:r>
      <w:r w:rsidRPr="00D1376F" w:rsidR="00EB26A6">
        <w:rPr>
          <w:i/>
          <w:iCs/>
          <w:szCs w:val="26"/>
        </w:rPr>
        <w:t xml:space="preserve">  </w:t>
      </w:r>
      <w:r w:rsidR="00AF2E92">
        <w:rPr>
          <w:szCs w:val="26"/>
        </w:rPr>
        <w:t>I</w:t>
      </w:r>
      <w:r w:rsidRPr="00D1376F" w:rsidR="005D471E">
        <w:rPr>
          <w:szCs w:val="26"/>
        </w:rPr>
        <w:t xml:space="preserve">n </w:t>
      </w:r>
      <w:r w:rsidRPr="00D1376F" w:rsidR="008860AA">
        <w:rPr>
          <w:szCs w:val="26"/>
        </w:rPr>
        <w:t>some cases</w:t>
      </w:r>
      <w:r w:rsidRPr="00D1376F" w:rsidR="00EB26A6">
        <w:rPr>
          <w:szCs w:val="26"/>
        </w:rPr>
        <w:t>,</w:t>
      </w:r>
      <w:r w:rsidRPr="00D1376F" w:rsidR="00CB66E3">
        <w:rPr>
          <w:szCs w:val="26"/>
        </w:rPr>
        <w:t xml:space="preserve"> </w:t>
      </w:r>
      <w:r w:rsidR="00AF2E92">
        <w:rPr>
          <w:szCs w:val="26"/>
        </w:rPr>
        <w:t xml:space="preserve">limitations in the trial record may make it </w:t>
      </w:r>
      <w:r w:rsidRPr="00D1376F" w:rsidR="005D471E">
        <w:rPr>
          <w:szCs w:val="26"/>
        </w:rPr>
        <w:t xml:space="preserve">difficult </w:t>
      </w:r>
      <w:r w:rsidR="00283A9C">
        <w:rPr>
          <w:szCs w:val="26"/>
        </w:rPr>
        <w:t xml:space="preserve">for a reviewing court </w:t>
      </w:r>
      <w:r w:rsidRPr="00D1376F" w:rsidR="005D471E">
        <w:rPr>
          <w:szCs w:val="26"/>
        </w:rPr>
        <w:t xml:space="preserve">to </w:t>
      </w:r>
      <w:r w:rsidRPr="00D1376F" w:rsidR="00834626">
        <w:rPr>
          <w:szCs w:val="26"/>
        </w:rPr>
        <w:t xml:space="preserve">fully evaluate a claim of </w:t>
      </w:r>
      <w:r w:rsidRPr="00D1376F" w:rsidR="00834626">
        <w:rPr>
          <w:i/>
          <w:iCs/>
          <w:szCs w:val="26"/>
        </w:rPr>
        <w:t>Batson</w:t>
      </w:r>
      <w:r w:rsidRPr="00D1376F" w:rsidR="00834626">
        <w:rPr>
          <w:szCs w:val="26"/>
        </w:rPr>
        <w:t>/</w:t>
      </w:r>
      <w:r w:rsidRPr="00D1376F" w:rsidR="00834626">
        <w:rPr>
          <w:i/>
          <w:iCs/>
          <w:szCs w:val="26"/>
        </w:rPr>
        <w:t>Wheeler</w:t>
      </w:r>
      <w:r w:rsidRPr="00D1376F" w:rsidR="00834626">
        <w:rPr>
          <w:szCs w:val="26"/>
        </w:rPr>
        <w:t xml:space="preserve"> error</w:t>
      </w:r>
      <w:r w:rsidRPr="00D1376F" w:rsidR="000D6F99">
        <w:rPr>
          <w:szCs w:val="26"/>
        </w:rPr>
        <w:t>.</w:t>
      </w:r>
      <w:r w:rsidRPr="00D1376F">
        <w:rPr>
          <w:b/>
          <w:bCs/>
          <w:szCs w:val="26"/>
        </w:rPr>
        <w:t xml:space="preserve">  </w:t>
      </w:r>
    </w:p>
    <w:p w:rsidR="00B36385" w:rsidRPr="00D1376F" w:rsidP="00D1376F">
      <w:pPr>
        <w:rPr>
          <w:szCs w:val="26"/>
        </w:rPr>
      </w:pPr>
      <w:r w:rsidRPr="00D1376F">
        <w:rPr>
          <w:b/>
          <w:bCs/>
          <w:szCs w:val="26"/>
        </w:rPr>
        <w:tab/>
      </w:r>
      <w:r w:rsidR="00B271B4">
        <w:rPr>
          <w:szCs w:val="26"/>
        </w:rPr>
        <w:t>A</w:t>
      </w:r>
      <w:r w:rsidRPr="00D1376F" w:rsidR="00AC3697">
        <w:rPr>
          <w:szCs w:val="26"/>
        </w:rPr>
        <w:t>ttorneys and courts hav</w:t>
      </w:r>
      <w:r w:rsidRPr="00D1376F" w:rsidR="000B0C0A">
        <w:rPr>
          <w:szCs w:val="26"/>
        </w:rPr>
        <w:t>e</w:t>
      </w:r>
      <w:r w:rsidRPr="00D1376F" w:rsidR="000364C4">
        <w:rPr>
          <w:szCs w:val="26"/>
        </w:rPr>
        <w:t xml:space="preserve">, on various occasions, </w:t>
      </w:r>
      <w:r w:rsidR="00CB23E1">
        <w:rPr>
          <w:szCs w:val="26"/>
        </w:rPr>
        <w:t xml:space="preserve">relied on </w:t>
      </w:r>
      <w:r w:rsidRPr="00D1376F" w:rsidR="000B0C0A">
        <w:rPr>
          <w:szCs w:val="26"/>
        </w:rPr>
        <w:t>jury selection notes</w:t>
      </w:r>
      <w:r w:rsidRPr="00D1376F" w:rsidR="00824BBE">
        <w:rPr>
          <w:szCs w:val="26"/>
        </w:rPr>
        <w:t xml:space="preserve"> to </w:t>
      </w:r>
      <w:r w:rsidRPr="00D1376F" w:rsidR="00E820A0">
        <w:rPr>
          <w:szCs w:val="26"/>
        </w:rPr>
        <w:t xml:space="preserve">provide </w:t>
      </w:r>
      <w:r w:rsidR="00A03721">
        <w:rPr>
          <w:szCs w:val="26"/>
        </w:rPr>
        <w:t xml:space="preserve">additional </w:t>
      </w:r>
      <w:r w:rsidRPr="00D1376F" w:rsidR="00E820A0">
        <w:rPr>
          <w:szCs w:val="26"/>
        </w:rPr>
        <w:t>evidentiary support for</w:t>
      </w:r>
      <w:r w:rsidRPr="00D1376F" w:rsidR="0003557C">
        <w:rPr>
          <w:szCs w:val="26"/>
        </w:rPr>
        <w:t xml:space="preserve"> </w:t>
      </w:r>
      <w:r w:rsidRPr="00D1376F" w:rsidR="0003557C">
        <w:rPr>
          <w:i/>
          <w:iCs/>
          <w:szCs w:val="26"/>
        </w:rPr>
        <w:t>Batson</w:t>
      </w:r>
      <w:r w:rsidRPr="00D1376F" w:rsidR="00920B2A">
        <w:rPr>
          <w:szCs w:val="26"/>
        </w:rPr>
        <w:t>/</w:t>
      </w:r>
      <w:r w:rsidRPr="00D1376F" w:rsidR="00920B2A">
        <w:rPr>
          <w:i/>
          <w:iCs/>
          <w:szCs w:val="26"/>
        </w:rPr>
        <w:t>Wheeler</w:t>
      </w:r>
      <w:r w:rsidRPr="00D1376F" w:rsidR="0003557C">
        <w:rPr>
          <w:szCs w:val="26"/>
        </w:rPr>
        <w:t xml:space="preserve"> claims raised on appeal or </w:t>
      </w:r>
      <w:r w:rsidRPr="00D1376F" w:rsidR="00354B6D">
        <w:rPr>
          <w:szCs w:val="26"/>
        </w:rPr>
        <w:t xml:space="preserve">in </w:t>
      </w:r>
      <w:r w:rsidRPr="00D1376F" w:rsidR="0003557C">
        <w:rPr>
          <w:szCs w:val="26"/>
        </w:rPr>
        <w:t>postconviction proceedings</w:t>
      </w:r>
      <w:r w:rsidRPr="00D1376F" w:rsidR="00DB2C0F">
        <w:rPr>
          <w:szCs w:val="26"/>
        </w:rPr>
        <w:t>.</w:t>
      </w:r>
      <w:r w:rsidRPr="00D1376F" w:rsidR="00A801C0">
        <w:rPr>
          <w:szCs w:val="26"/>
        </w:rPr>
        <w:t xml:space="preserve"> </w:t>
      </w:r>
      <w:r w:rsidRPr="00D1376F" w:rsidR="000B0C0A">
        <w:rPr>
          <w:szCs w:val="26"/>
        </w:rPr>
        <w:t xml:space="preserve"> </w:t>
      </w:r>
      <w:r w:rsidRPr="00D1376F" w:rsidR="00616C3C">
        <w:rPr>
          <w:szCs w:val="26"/>
        </w:rPr>
        <w:t xml:space="preserve">Recent decisions of the United States Supreme Court </w:t>
      </w:r>
      <w:r w:rsidRPr="00D1376F" w:rsidR="004279AA">
        <w:rPr>
          <w:szCs w:val="26"/>
        </w:rPr>
        <w:t xml:space="preserve">offer </w:t>
      </w:r>
      <w:r w:rsidR="00251453">
        <w:rPr>
          <w:szCs w:val="26"/>
        </w:rPr>
        <w:t xml:space="preserve">important </w:t>
      </w:r>
      <w:r w:rsidRPr="00D1376F" w:rsidR="001B59EB">
        <w:rPr>
          <w:szCs w:val="26"/>
        </w:rPr>
        <w:t>examples</w:t>
      </w:r>
      <w:r w:rsidRPr="00D1376F" w:rsidR="00616C3C">
        <w:rPr>
          <w:szCs w:val="26"/>
        </w:rPr>
        <w:t>.</w:t>
      </w:r>
      <w:r w:rsidRPr="00D1376F" w:rsidR="00BB6ACC">
        <w:rPr>
          <w:szCs w:val="26"/>
        </w:rPr>
        <w:t xml:space="preserve">  </w:t>
      </w:r>
      <w:r w:rsidRPr="00D1376F" w:rsidR="00931AF5">
        <w:rPr>
          <w:szCs w:val="26"/>
        </w:rPr>
        <w:t>I</w:t>
      </w:r>
      <w:r w:rsidRPr="00D1376F" w:rsidR="00092C42">
        <w:rPr>
          <w:szCs w:val="26"/>
        </w:rPr>
        <w:t xml:space="preserve">n </w:t>
      </w:r>
      <w:r w:rsidRPr="00D1376F" w:rsidR="00092C42">
        <w:rPr>
          <w:i/>
          <w:iCs/>
          <w:szCs w:val="26"/>
        </w:rPr>
        <w:t>Miller-El</w:t>
      </w:r>
      <w:r w:rsidRPr="00D1376F" w:rsidR="005C0D4E">
        <w:rPr>
          <w:szCs w:val="26"/>
        </w:rPr>
        <w:t xml:space="preserve">, </w:t>
      </w:r>
      <w:r w:rsidRPr="00D1376F" w:rsidR="005C0D4E">
        <w:rPr>
          <w:i/>
          <w:iCs/>
          <w:szCs w:val="26"/>
        </w:rPr>
        <w:t>supra</w:t>
      </w:r>
      <w:r w:rsidRPr="00D1376F" w:rsidR="005C0D4E">
        <w:rPr>
          <w:szCs w:val="26"/>
        </w:rPr>
        <w:t xml:space="preserve">, </w:t>
      </w:r>
      <w:r w:rsidRPr="00D1376F" w:rsidR="00092C42">
        <w:rPr>
          <w:szCs w:val="26"/>
        </w:rPr>
        <w:t>545 U.S. 231</w:t>
      </w:r>
      <w:r w:rsidRPr="00D1376F" w:rsidR="00810558">
        <w:rPr>
          <w:szCs w:val="26"/>
        </w:rPr>
        <w:t xml:space="preserve">, </w:t>
      </w:r>
      <w:r w:rsidR="00CA0043">
        <w:rPr>
          <w:szCs w:val="26"/>
        </w:rPr>
        <w:t xml:space="preserve">for instance, </w:t>
      </w:r>
      <w:r w:rsidR="00A56B97">
        <w:rPr>
          <w:szCs w:val="26"/>
        </w:rPr>
        <w:t xml:space="preserve">the court granted federal habeas relief to a prisoner who </w:t>
      </w:r>
      <w:r w:rsidRPr="00D1376F" w:rsidR="00810558">
        <w:rPr>
          <w:szCs w:val="26"/>
        </w:rPr>
        <w:t>alleged that</w:t>
      </w:r>
      <w:r w:rsidRPr="00D1376F" w:rsidR="00AD74D3">
        <w:rPr>
          <w:szCs w:val="26"/>
        </w:rPr>
        <w:t xml:space="preserve"> prosecutors </w:t>
      </w:r>
      <w:r w:rsidRPr="00D1376F" w:rsidR="00646AEC">
        <w:rPr>
          <w:szCs w:val="26"/>
        </w:rPr>
        <w:t xml:space="preserve">impermissibly </w:t>
      </w:r>
      <w:r w:rsidRPr="00D1376F" w:rsidR="00AD74D3">
        <w:rPr>
          <w:szCs w:val="26"/>
        </w:rPr>
        <w:t>struck Black veniremembers on the basis of race</w:t>
      </w:r>
      <w:r w:rsidR="00756CC2">
        <w:rPr>
          <w:szCs w:val="26"/>
        </w:rPr>
        <w:t xml:space="preserve"> at his trial many years earlier</w:t>
      </w:r>
      <w:r w:rsidRPr="00D1376F" w:rsidR="00810558">
        <w:rPr>
          <w:szCs w:val="26"/>
        </w:rPr>
        <w:t>.</w:t>
      </w:r>
      <w:r w:rsidR="0074307D">
        <w:rPr>
          <w:szCs w:val="26"/>
        </w:rPr>
        <w:t xml:space="preserve">  </w:t>
      </w:r>
      <w:r w:rsidR="00060362">
        <w:rPr>
          <w:szCs w:val="26"/>
        </w:rPr>
        <w:t>In reaching that conclusion, t</w:t>
      </w:r>
      <w:r w:rsidR="00756CC2">
        <w:rPr>
          <w:szCs w:val="26"/>
        </w:rPr>
        <w:t xml:space="preserve">he high court </w:t>
      </w:r>
      <w:r w:rsidR="00060362">
        <w:rPr>
          <w:szCs w:val="26"/>
        </w:rPr>
        <w:t xml:space="preserve">cited considerable evidence bearing on the issue of discrimination, including </w:t>
      </w:r>
      <w:r w:rsidR="002E3709">
        <w:rPr>
          <w:szCs w:val="26"/>
        </w:rPr>
        <w:t>t</w:t>
      </w:r>
      <w:r w:rsidRPr="00D1376F" w:rsidR="00082EC0">
        <w:rPr>
          <w:szCs w:val="26"/>
        </w:rPr>
        <w:t>he prosecutor’s not</w:t>
      </w:r>
      <w:r w:rsidR="00E03F5B">
        <w:rPr>
          <w:szCs w:val="26"/>
        </w:rPr>
        <w:t>ation</w:t>
      </w:r>
      <w:r w:rsidRPr="00D1376F" w:rsidR="00082EC0">
        <w:rPr>
          <w:szCs w:val="26"/>
        </w:rPr>
        <w:t xml:space="preserve">s </w:t>
      </w:r>
      <w:r w:rsidR="0074307D">
        <w:rPr>
          <w:szCs w:val="26"/>
        </w:rPr>
        <w:t>on jury cards indicating the race of each veniremember</w:t>
      </w:r>
      <w:r w:rsidR="002E3709">
        <w:rPr>
          <w:szCs w:val="26"/>
        </w:rPr>
        <w:t>.  The high court observed</w:t>
      </w:r>
      <w:r w:rsidR="00E03F5B">
        <w:rPr>
          <w:szCs w:val="26"/>
        </w:rPr>
        <w:t xml:space="preserve"> that</w:t>
      </w:r>
      <w:r w:rsidR="002E3709">
        <w:rPr>
          <w:szCs w:val="26"/>
        </w:rPr>
        <w:t xml:space="preserve"> “the prosecutors</w:t>
      </w:r>
      <w:r w:rsidR="00D35383">
        <w:rPr>
          <w:szCs w:val="26"/>
        </w:rPr>
        <w:t>’</w:t>
      </w:r>
      <w:r w:rsidR="002E3709">
        <w:rPr>
          <w:szCs w:val="26"/>
        </w:rPr>
        <w:t xml:space="preserve"> own notes proclaim that [a</w:t>
      </w:r>
      <w:r w:rsidR="00E03F5B">
        <w:rPr>
          <w:szCs w:val="26"/>
        </w:rPr>
        <w:t>n</w:t>
      </w:r>
      <w:r w:rsidR="002E3709">
        <w:rPr>
          <w:szCs w:val="26"/>
        </w:rPr>
        <w:t>] emphasis on race was on their minds when they considered every potential juror.”</w:t>
      </w:r>
      <w:r w:rsidR="00E03F5B">
        <w:rPr>
          <w:szCs w:val="26"/>
        </w:rPr>
        <w:t xml:space="preserve">  </w:t>
      </w:r>
      <w:r w:rsidRPr="00D1376F">
        <w:rPr>
          <w:szCs w:val="26"/>
        </w:rPr>
        <w:t>(</w:t>
      </w:r>
      <w:r w:rsidRPr="00D1376F">
        <w:rPr>
          <w:i/>
          <w:iCs/>
          <w:szCs w:val="26"/>
        </w:rPr>
        <w:t xml:space="preserve">Id. </w:t>
      </w:r>
      <w:r w:rsidRPr="00D1376F">
        <w:rPr>
          <w:szCs w:val="26"/>
        </w:rPr>
        <w:t>at p.</w:t>
      </w:r>
      <w:r w:rsidRPr="00D1376F" w:rsidR="00845EA3">
        <w:rPr>
          <w:szCs w:val="26"/>
        </w:rPr>
        <w:t> </w:t>
      </w:r>
      <w:r w:rsidRPr="00D1376F">
        <w:rPr>
          <w:szCs w:val="26"/>
        </w:rPr>
        <w:t>266.)</w:t>
      </w:r>
    </w:p>
    <w:p w:rsidR="00CD4C1C" w:rsidRPr="00D1376F" w:rsidP="00D1376F">
      <w:pPr>
        <w:rPr>
          <w:szCs w:val="26"/>
        </w:rPr>
      </w:pPr>
      <w:r w:rsidRPr="00D1376F">
        <w:rPr>
          <w:szCs w:val="26"/>
        </w:rPr>
        <w:tab/>
      </w:r>
      <w:r w:rsidR="0025654D">
        <w:rPr>
          <w:szCs w:val="26"/>
        </w:rPr>
        <w:t xml:space="preserve">In granting the discovery order in this case, the trial court pointed specifically to </w:t>
      </w:r>
      <w:r w:rsidRPr="00D1376F" w:rsidR="00AF1D28">
        <w:rPr>
          <w:i/>
          <w:iCs/>
          <w:szCs w:val="26"/>
        </w:rPr>
        <w:t>Foster v. Chatman</w:t>
      </w:r>
      <w:r w:rsidRPr="00D1376F" w:rsidR="00BD7A0C">
        <w:rPr>
          <w:i/>
          <w:iCs/>
          <w:szCs w:val="26"/>
        </w:rPr>
        <w:t xml:space="preserve"> </w:t>
      </w:r>
      <w:r w:rsidRPr="00D1376F" w:rsidR="00BD7A0C">
        <w:rPr>
          <w:szCs w:val="26"/>
        </w:rPr>
        <w:t xml:space="preserve">(2016) 578 U.S. </w:t>
      </w:r>
      <w:r w:rsidR="00157FF6">
        <w:rPr>
          <w:szCs w:val="26"/>
        </w:rPr>
        <w:t>488</w:t>
      </w:r>
      <w:r w:rsidRPr="00D1376F" w:rsidR="00BD7A0C">
        <w:rPr>
          <w:szCs w:val="26"/>
        </w:rPr>
        <w:t xml:space="preserve"> [136 S.Ct. 1737]</w:t>
      </w:r>
      <w:r w:rsidR="00BD7A0C">
        <w:rPr>
          <w:szCs w:val="26"/>
        </w:rPr>
        <w:t xml:space="preserve"> (</w:t>
      </w:r>
      <w:r w:rsidR="00BD7A0C">
        <w:rPr>
          <w:i/>
          <w:iCs/>
          <w:szCs w:val="26"/>
        </w:rPr>
        <w:t>Foster</w:t>
      </w:r>
      <w:r w:rsidR="00BD7A0C">
        <w:rPr>
          <w:szCs w:val="26"/>
        </w:rPr>
        <w:t>)</w:t>
      </w:r>
      <w:r w:rsidRPr="00D1376F" w:rsidR="00DF3EE9">
        <w:rPr>
          <w:szCs w:val="26"/>
        </w:rPr>
        <w:t xml:space="preserve">, </w:t>
      </w:r>
      <w:r w:rsidR="0025654D">
        <w:rPr>
          <w:szCs w:val="26"/>
        </w:rPr>
        <w:t xml:space="preserve">in which </w:t>
      </w:r>
      <w:r w:rsidRPr="00D1376F" w:rsidR="00032EA1">
        <w:rPr>
          <w:szCs w:val="26"/>
        </w:rPr>
        <w:t>the prosecution’s jury selection notes</w:t>
      </w:r>
      <w:r w:rsidRPr="00D1376F" w:rsidR="00DF3EE9">
        <w:rPr>
          <w:szCs w:val="26"/>
        </w:rPr>
        <w:t xml:space="preserve"> </w:t>
      </w:r>
      <w:r w:rsidR="00AB523E">
        <w:rPr>
          <w:szCs w:val="26"/>
        </w:rPr>
        <w:t xml:space="preserve">formed the centerpiece </w:t>
      </w:r>
      <w:r w:rsidR="00307DF4">
        <w:rPr>
          <w:szCs w:val="26"/>
        </w:rPr>
        <w:t xml:space="preserve">of </w:t>
      </w:r>
      <w:r w:rsidRPr="00D1376F" w:rsidR="00DF3EE9">
        <w:rPr>
          <w:szCs w:val="26"/>
        </w:rPr>
        <w:t xml:space="preserve">the petitioner’s claim on habeas. </w:t>
      </w:r>
      <w:r w:rsidRPr="00D1376F" w:rsidR="00AF1D28">
        <w:rPr>
          <w:szCs w:val="26"/>
        </w:rPr>
        <w:t xml:space="preserve"> </w:t>
      </w:r>
      <w:r w:rsidRPr="00D1376F" w:rsidR="00646AEC">
        <w:rPr>
          <w:szCs w:val="26"/>
        </w:rPr>
        <w:t>T</w:t>
      </w:r>
      <w:r w:rsidRPr="00D1376F" w:rsidR="00AF1D28">
        <w:rPr>
          <w:szCs w:val="26"/>
        </w:rPr>
        <w:t>h</w:t>
      </w:r>
      <w:r w:rsidRPr="00D1376F" w:rsidR="003E5236">
        <w:rPr>
          <w:szCs w:val="26"/>
        </w:rPr>
        <w:t>e prosecut</w:t>
      </w:r>
      <w:r w:rsidRPr="00D1376F" w:rsidR="00B01A64">
        <w:rPr>
          <w:szCs w:val="26"/>
        </w:rPr>
        <w:t>i</w:t>
      </w:r>
      <w:r w:rsidRPr="00D1376F" w:rsidR="003E5236">
        <w:rPr>
          <w:szCs w:val="26"/>
        </w:rPr>
        <w:t>o</w:t>
      </w:r>
      <w:r w:rsidRPr="00D1376F" w:rsidR="00B01A64">
        <w:rPr>
          <w:szCs w:val="26"/>
        </w:rPr>
        <w:t>n</w:t>
      </w:r>
      <w:r w:rsidRPr="00D1376F" w:rsidR="003E5236">
        <w:rPr>
          <w:szCs w:val="26"/>
        </w:rPr>
        <w:t>’s</w:t>
      </w:r>
      <w:r w:rsidRPr="00D1376F" w:rsidR="00AF1D28">
        <w:rPr>
          <w:szCs w:val="26"/>
        </w:rPr>
        <w:t xml:space="preserve"> </w:t>
      </w:r>
      <w:r w:rsidRPr="00D1376F">
        <w:rPr>
          <w:szCs w:val="26"/>
        </w:rPr>
        <w:t>jury selection file</w:t>
      </w:r>
      <w:r w:rsidRPr="00D1376F" w:rsidR="003E5236">
        <w:rPr>
          <w:szCs w:val="26"/>
        </w:rPr>
        <w:t xml:space="preserve">, which petitioner </w:t>
      </w:r>
      <w:r w:rsidR="000E4B19">
        <w:rPr>
          <w:szCs w:val="26"/>
        </w:rPr>
        <w:t xml:space="preserve">had </w:t>
      </w:r>
      <w:r w:rsidRPr="00D1376F" w:rsidR="003E5236">
        <w:rPr>
          <w:szCs w:val="26"/>
        </w:rPr>
        <w:t xml:space="preserve">obtained through </w:t>
      </w:r>
      <w:r w:rsidR="00367E00">
        <w:rPr>
          <w:szCs w:val="26"/>
        </w:rPr>
        <w:t>a public records request</w:t>
      </w:r>
      <w:r w:rsidRPr="00D1376F" w:rsidR="003E5236">
        <w:rPr>
          <w:szCs w:val="26"/>
        </w:rPr>
        <w:t>,</w:t>
      </w:r>
      <w:r w:rsidRPr="00D1376F">
        <w:rPr>
          <w:szCs w:val="26"/>
        </w:rPr>
        <w:t xml:space="preserve"> </w:t>
      </w:r>
      <w:r w:rsidRPr="00D1376F" w:rsidR="00646AEC">
        <w:rPr>
          <w:szCs w:val="26"/>
        </w:rPr>
        <w:t>unambiguously</w:t>
      </w:r>
      <w:r w:rsidRPr="00D1376F">
        <w:rPr>
          <w:szCs w:val="26"/>
        </w:rPr>
        <w:t xml:space="preserve"> </w:t>
      </w:r>
      <w:r w:rsidR="001D0FFB">
        <w:rPr>
          <w:szCs w:val="26"/>
        </w:rPr>
        <w:t xml:space="preserve">revealed the role </w:t>
      </w:r>
      <w:r w:rsidRPr="00D1376F">
        <w:rPr>
          <w:szCs w:val="26"/>
        </w:rPr>
        <w:t xml:space="preserve">race </w:t>
      </w:r>
      <w:r w:rsidR="001D0FFB">
        <w:rPr>
          <w:szCs w:val="26"/>
        </w:rPr>
        <w:t xml:space="preserve">played in </w:t>
      </w:r>
      <w:r w:rsidRPr="00D1376F" w:rsidR="00DF3EE9">
        <w:rPr>
          <w:szCs w:val="26"/>
        </w:rPr>
        <w:t>the prosecution’s</w:t>
      </w:r>
      <w:r w:rsidRPr="00D1376F" w:rsidR="00646AEC">
        <w:rPr>
          <w:szCs w:val="26"/>
        </w:rPr>
        <w:t xml:space="preserve"> decisionmaking process.  T</w:t>
      </w:r>
      <w:r w:rsidRPr="00D1376F">
        <w:rPr>
          <w:szCs w:val="26"/>
        </w:rPr>
        <w:t xml:space="preserve">he prosecutor had </w:t>
      </w:r>
      <w:r w:rsidRPr="00D1376F" w:rsidR="00DF3EE9">
        <w:rPr>
          <w:szCs w:val="26"/>
        </w:rPr>
        <w:t xml:space="preserve">used a </w:t>
      </w:r>
      <w:r w:rsidRPr="00D1376F">
        <w:rPr>
          <w:szCs w:val="26"/>
        </w:rPr>
        <w:t>highlighte</w:t>
      </w:r>
      <w:r w:rsidRPr="00D1376F" w:rsidR="00DF3EE9">
        <w:rPr>
          <w:szCs w:val="26"/>
        </w:rPr>
        <w:t>r</w:t>
      </w:r>
      <w:r w:rsidRPr="00D1376F">
        <w:rPr>
          <w:szCs w:val="26"/>
        </w:rPr>
        <w:t xml:space="preserve"> </w:t>
      </w:r>
      <w:r w:rsidRPr="00D1376F" w:rsidR="0093619C">
        <w:rPr>
          <w:szCs w:val="26"/>
        </w:rPr>
        <w:t xml:space="preserve">to identify </w:t>
      </w:r>
      <w:r w:rsidRPr="00D1376F">
        <w:rPr>
          <w:szCs w:val="26"/>
        </w:rPr>
        <w:t xml:space="preserve">all </w:t>
      </w:r>
      <w:r w:rsidRPr="00D1376F" w:rsidR="0093619C">
        <w:rPr>
          <w:szCs w:val="26"/>
        </w:rPr>
        <w:t xml:space="preserve">of </w:t>
      </w:r>
      <w:r w:rsidRPr="00D1376F">
        <w:rPr>
          <w:szCs w:val="26"/>
        </w:rPr>
        <w:t xml:space="preserve">the </w:t>
      </w:r>
      <w:r w:rsidRPr="00D1376F" w:rsidR="0093619C">
        <w:rPr>
          <w:szCs w:val="26"/>
        </w:rPr>
        <w:t>B</w:t>
      </w:r>
      <w:r w:rsidRPr="00D1376F">
        <w:rPr>
          <w:szCs w:val="26"/>
        </w:rPr>
        <w:t xml:space="preserve">lack prospective jurors, </w:t>
      </w:r>
      <w:r w:rsidRPr="00D1376F" w:rsidR="0012139C">
        <w:rPr>
          <w:szCs w:val="26"/>
        </w:rPr>
        <w:t>with</w:t>
      </w:r>
      <w:r w:rsidRPr="00D1376F">
        <w:rPr>
          <w:szCs w:val="26"/>
        </w:rPr>
        <w:t xml:space="preserve"> the legend </w:t>
      </w:r>
      <w:r w:rsidRPr="00D1376F" w:rsidR="00C527EC">
        <w:rPr>
          <w:szCs w:val="26"/>
        </w:rPr>
        <w:t>stating</w:t>
      </w:r>
      <w:r w:rsidRPr="00D1376F" w:rsidR="0012139C">
        <w:rPr>
          <w:szCs w:val="26"/>
        </w:rPr>
        <w:t xml:space="preserve"> </w:t>
      </w:r>
      <w:r w:rsidRPr="00D1376F">
        <w:rPr>
          <w:szCs w:val="26"/>
        </w:rPr>
        <w:t xml:space="preserve">that </w:t>
      </w:r>
      <w:r w:rsidR="00480DBE">
        <w:rPr>
          <w:szCs w:val="26"/>
        </w:rPr>
        <w:t xml:space="preserve">the </w:t>
      </w:r>
      <w:r w:rsidRPr="00D1376F">
        <w:rPr>
          <w:szCs w:val="26"/>
        </w:rPr>
        <w:t>highlighting “</w:t>
      </w:r>
      <w:r w:rsidRPr="00D1376F" w:rsidR="00845EA3">
        <w:rPr>
          <w:szCs w:val="26"/>
        </w:rPr>
        <w:t> </w:t>
      </w:r>
      <w:r w:rsidRPr="00D1376F" w:rsidR="00B966D7">
        <w:rPr>
          <w:szCs w:val="26"/>
        </w:rPr>
        <w:t>‘</w:t>
      </w:r>
      <w:r w:rsidRPr="00D1376F">
        <w:rPr>
          <w:szCs w:val="26"/>
        </w:rPr>
        <w:t>represents Blacks.</w:t>
      </w:r>
      <w:r w:rsidRPr="00D1376F" w:rsidR="00B966D7">
        <w:rPr>
          <w:szCs w:val="26"/>
        </w:rPr>
        <w:t>’</w:t>
      </w:r>
      <w:r w:rsidRPr="00D1376F" w:rsidR="00845EA3">
        <w:rPr>
          <w:szCs w:val="26"/>
        </w:rPr>
        <w:t> </w:t>
      </w:r>
      <w:r w:rsidRPr="00D1376F">
        <w:rPr>
          <w:szCs w:val="26"/>
        </w:rPr>
        <w:t>”  (</w:t>
      </w:r>
      <w:r w:rsidRPr="00D1376F" w:rsidR="00646AEC">
        <w:rPr>
          <w:i/>
          <w:iCs/>
          <w:szCs w:val="26"/>
        </w:rPr>
        <w:t xml:space="preserve">Id. </w:t>
      </w:r>
      <w:r w:rsidRPr="00D1376F" w:rsidR="00646AEC">
        <w:rPr>
          <w:szCs w:val="26"/>
        </w:rPr>
        <w:t>at p.</w:t>
      </w:r>
      <w:r w:rsidRPr="00D1376F" w:rsidR="00845EA3">
        <w:rPr>
          <w:szCs w:val="26"/>
        </w:rPr>
        <w:t> </w:t>
      </w:r>
      <w:r w:rsidRPr="00D1376F">
        <w:rPr>
          <w:szCs w:val="26"/>
        </w:rPr>
        <w:t>1744.)  Additionally, the letter B appeared next to each Black prospective juror’s name.  On the questionnaires of Black jurors, the “juror’s response indicating his or her race had been circled.”  (</w:t>
      </w:r>
      <w:r w:rsidRPr="00D1376F">
        <w:rPr>
          <w:i/>
          <w:iCs/>
          <w:szCs w:val="26"/>
        </w:rPr>
        <w:t>Ibid</w:t>
      </w:r>
      <w:r w:rsidRPr="00D1376F">
        <w:rPr>
          <w:szCs w:val="26"/>
        </w:rPr>
        <w:t xml:space="preserve">.)  There were also handwritten notes indicating the prosecution’s aversion to seating Black jurors, </w:t>
      </w:r>
      <w:r w:rsidRPr="00D1376F" w:rsidR="003E5236">
        <w:rPr>
          <w:szCs w:val="26"/>
        </w:rPr>
        <w:t xml:space="preserve">an investigator’s draft affidavit explaining </w:t>
      </w:r>
      <w:r w:rsidRPr="00D1376F">
        <w:rPr>
          <w:szCs w:val="26"/>
        </w:rPr>
        <w:t>who to select “</w:t>
      </w:r>
      <w:r w:rsidRPr="00D1376F" w:rsidR="00845EA3">
        <w:rPr>
          <w:szCs w:val="26"/>
        </w:rPr>
        <w:t> </w:t>
      </w:r>
      <w:r w:rsidRPr="00D1376F" w:rsidR="00C923D2">
        <w:rPr>
          <w:szCs w:val="26"/>
        </w:rPr>
        <w:t>‘</w:t>
      </w:r>
      <w:r w:rsidRPr="00D1376F">
        <w:rPr>
          <w:szCs w:val="26"/>
        </w:rPr>
        <w:t xml:space="preserve">[i]f it comes down to having to pick one of the </w:t>
      </w:r>
      <w:r w:rsidR="00A526A5">
        <w:rPr>
          <w:szCs w:val="26"/>
        </w:rPr>
        <w:t>b</w:t>
      </w:r>
      <w:r w:rsidRPr="00D1376F">
        <w:rPr>
          <w:szCs w:val="26"/>
        </w:rPr>
        <w:t>lack jurors,</w:t>
      </w:r>
      <w:r w:rsidRPr="00D1376F" w:rsidR="00C923D2">
        <w:rPr>
          <w:szCs w:val="26"/>
        </w:rPr>
        <w:t>’</w:t>
      </w:r>
      <w:r w:rsidRPr="00D1376F" w:rsidR="00845EA3">
        <w:rPr>
          <w:szCs w:val="26"/>
        </w:rPr>
        <w:t> </w:t>
      </w:r>
      <w:r w:rsidRPr="00D1376F">
        <w:rPr>
          <w:szCs w:val="26"/>
        </w:rPr>
        <w:t>” and notes that put an N (</w:t>
      </w:r>
      <w:r w:rsidRPr="00D1376F" w:rsidR="00646AEC">
        <w:rPr>
          <w:szCs w:val="26"/>
        </w:rPr>
        <w:t xml:space="preserve">allegedly </w:t>
      </w:r>
      <w:r w:rsidRPr="00D1376F">
        <w:rPr>
          <w:szCs w:val="26"/>
        </w:rPr>
        <w:t>for no) next to every prospective Black juror’s name.  (</w:t>
      </w:r>
      <w:r w:rsidRPr="00D1376F">
        <w:rPr>
          <w:i/>
          <w:iCs/>
          <w:szCs w:val="26"/>
        </w:rPr>
        <w:t>Ibid.</w:t>
      </w:r>
      <w:r w:rsidRPr="00D1376F">
        <w:rPr>
          <w:szCs w:val="26"/>
        </w:rPr>
        <w:t xml:space="preserve">)  </w:t>
      </w:r>
    </w:p>
    <w:p w:rsidR="00AF1D28" w:rsidRPr="00D1376F" w:rsidP="00D1376F">
      <w:pPr>
        <w:rPr>
          <w:b/>
          <w:bCs/>
          <w:szCs w:val="26"/>
        </w:rPr>
      </w:pPr>
      <w:r w:rsidRPr="00D1376F">
        <w:rPr>
          <w:szCs w:val="26"/>
        </w:rPr>
        <w:tab/>
      </w:r>
      <w:r w:rsidRPr="00D1376F" w:rsidR="009C36C6">
        <w:rPr>
          <w:szCs w:val="26"/>
        </w:rPr>
        <w:t>Rejecting</w:t>
      </w:r>
      <w:r w:rsidRPr="00D1376F" w:rsidR="001221BE">
        <w:rPr>
          <w:szCs w:val="26"/>
        </w:rPr>
        <w:t xml:space="preserve"> the </w:t>
      </w:r>
      <w:r w:rsidRPr="00D1376F" w:rsidR="00923CD9">
        <w:rPr>
          <w:szCs w:val="26"/>
        </w:rPr>
        <w:t xml:space="preserve">state’s </w:t>
      </w:r>
      <w:r w:rsidRPr="00D1376F" w:rsidR="001221BE">
        <w:rPr>
          <w:szCs w:val="26"/>
        </w:rPr>
        <w:t xml:space="preserve">entreaties to </w:t>
      </w:r>
      <w:r w:rsidRPr="00D1376F" w:rsidR="002856F6">
        <w:rPr>
          <w:szCs w:val="26"/>
        </w:rPr>
        <w:t>ignore the jury selection file</w:t>
      </w:r>
      <w:r w:rsidRPr="00D1376F" w:rsidR="001221BE">
        <w:rPr>
          <w:szCs w:val="26"/>
        </w:rPr>
        <w:t xml:space="preserve">, the </w:t>
      </w:r>
      <w:r w:rsidRPr="00D1376F" w:rsidR="00C46B83">
        <w:rPr>
          <w:szCs w:val="26"/>
        </w:rPr>
        <w:t>high c</w:t>
      </w:r>
      <w:r w:rsidRPr="00D1376F" w:rsidR="001221BE">
        <w:rPr>
          <w:szCs w:val="26"/>
        </w:rPr>
        <w:t xml:space="preserve">ourt </w:t>
      </w:r>
      <w:r w:rsidRPr="00D1376F" w:rsidR="00923CD9">
        <w:rPr>
          <w:szCs w:val="26"/>
        </w:rPr>
        <w:t xml:space="preserve">concluded </w:t>
      </w:r>
      <w:r w:rsidR="00BA7FA9">
        <w:rPr>
          <w:szCs w:val="26"/>
        </w:rPr>
        <w:t xml:space="preserve">that </w:t>
      </w:r>
      <w:r w:rsidRPr="00D1376F" w:rsidR="00646AEC">
        <w:rPr>
          <w:szCs w:val="26"/>
        </w:rPr>
        <w:t>the file</w:t>
      </w:r>
      <w:r w:rsidRPr="00D1376F">
        <w:rPr>
          <w:szCs w:val="26"/>
        </w:rPr>
        <w:t xml:space="preserve"> was not </w:t>
      </w:r>
      <w:r w:rsidRPr="00D1376F" w:rsidR="00C46B83">
        <w:rPr>
          <w:szCs w:val="26"/>
        </w:rPr>
        <w:t xml:space="preserve">only </w:t>
      </w:r>
      <w:r w:rsidRPr="00D1376F">
        <w:rPr>
          <w:szCs w:val="26"/>
        </w:rPr>
        <w:t xml:space="preserve">relevant, but </w:t>
      </w:r>
      <w:r w:rsidRPr="00D1376F" w:rsidR="00673368">
        <w:rPr>
          <w:szCs w:val="26"/>
        </w:rPr>
        <w:t xml:space="preserve">dispositive; the </w:t>
      </w:r>
      <w:r w:rsidRPr="00D1376F" w:rsidR="004A67DB">
        <w:rPr>
          <w:szCs w:val="26"/>
        </w:rPr>
        <w:t xml:space="preserve">prosecutor’s </w:t>
      </w:r>
      <w:r w:rsidRPr="00D1376F" w:rsidR="00673368">
        <w:rPr>
          <w:szCs w:val="26"/>
        </w:rPr>
        <w:t xml:space="preserve">notes revealed a singular focus on the jurors’ race that “plainly demonstrate[d] a concerted effort to keep </w:t>
      </w:r>
      <w:r w:rsidR="00A526A5">
        <w:rPr>
          <w:szCs w:val="26"/>
        </w:rPr>
        <w:t>b</w:t>
      </w:r>
      <w:r w:rsidRPr="00D1376F" w:rsidR="00673368">
        <w:rPr>
          <w:szCs w:val="26"/>
        </w:rPr>
        <w:t xml:space="preserve">lack prospective jurors off the jury.”  </w:t>
      </w:r>
      <w:r w:rsidRPr="00D1376F">
        <w:rPr>
          <w:szCs w:val="26"/>
        </w:rPr>
        <w:t>(</w:t>
      </w:r>
      <w:r w:rsidRPr="00D1376F" w:rsidR="007A58DA">
        <w:rPr>
          <w:i/>
          <w:iCs/>
          <w:szCs w:val="26"/>
        </w:rPr>
        <w:t>Foster</w:t>
      </w:r>
      <w:r w:rsidRPr="00D1376F" w:rsidR="007A58DA">
        <w:rPr>
          <w:szCs w:val="26"/>
        </w:rPr>
        <w:t xml:space="preserve">, </w:t>
      </w:r>
      <w:r w:rsidRPr="00D1376F" w:rsidR="007A58DA">
        <w:rPr>
          <w:i/>
          <w:iCs/>
          <w:szCs w:val="26"/>
        </w:rPr>
        <w:t>supra</w:t>
      </w:r>
      <w:r w:rsidRPr="00D1376F" w:rsidR="007A58DA">
        <w:rPr>
          <w:szCs w:val="26"/>
        </w:rPr>
        <w:t xml:space="preserve">, 136 S.Ct. </w:t>
      </w:r>
      <w:r w:rsidRPr="00D1376F">
        <w:rPr>
          <w:szCs w:val="26"/>
        </w:rPr>
        <w:t>at p.</w:t>
      </w:r>
      <w:r w:rsidRPr="00D1376F" w:rsidR="00845EA3">
        <w:rPr>
          <w:szCs w:val="26"/>
        </w:rPr>
        <w:t> </w:t>
      </w:r>
      <w:r w:rsidRPr="00D1376F">
        <w:rPr>
          <w:szCs w:val="26"/>
        </w:rPr>
        <w:t>1755</w:t>
      </w:r>
      <w:r w:rsidRPr="00D1376F" w:rsidR="00087926">
        <w:rPr>
          <w:szCs w:val="26"/>
        </w:rPr>
        <w:t xml:space="preserve">; see </w:t>
      </w:r>
      <w:r w:rsidRPr="004A5277" w:rsidR="004A5277">
        <w:rPr>
          <w:i/>
          <w:iCs/>
          <w:szCs w:val="26"/>
        </w:rPr>
        <w:t>i</w:t>
      </w:r>
      <w:r w:rsidRPr="00D1376F" w:rsidR="00087926">
        <w:rPr>
          <w:i/>
          <w:iCs/>
          <w:szCs w:val="26"/>
        </w:rPr>
        <w:t>bid.</w:t>
      </w:r>
      <w:r w:rsidRPr="00D1376F">
        <w:rPr>
          <w:szCs w:val="26"/>
        </w:rPr>
        <w:t xml:space="preserve"> [“The contents of the prosecution’s file .</w:t>
      </w:r>
      <w:r w:rsidRPr="00D1376F" w:rsidR="00845EA3">
        <w:rPr>
          <w:szCs w:val="26"/>
        </w:rPr>
        <w:t> </w:t>
      </w:r>
      <w:r w:rsidRPr="00D1376F">
        <w:rPr>
          <w:szCs w:val="26"/>
        </w:rPr>
        <w:t>.</w:t>
      </w:r>
      <w:r w:rsidRPr="00D1376F" w:rsidR="00845EA3">
        <w:rPr>
          <w:szCs w:val="26"/>
        </w:rPr>
        <w:t> </w:t>
      </w:r>
      <w:r w:rsidRPr="00D1376F">
        <w:rPr>
          <w:szCs w:val="26"/>
        </w:rPr>
        <w:t>. plainly belie the State’s claim that it exercised its strikes in a ‘color-blind’ manner.”].)</w:t>
      </w:r>
    </w:p>
    <w:p w:rsidR="006A7823" w:rsidRPr="00D1376F">
      <w:pPr>
        <w:rPr>
          <w:szCs w:val="26"/>
        </w:rPr>
      </w:pPr>
      <w:r w:rsidRPr="00D1376F">
        <w:rPr>
          <w:szCs w:val="26"/>
        </w:rPr>
        <w:tab/>
      </w:r>
      <w:r w:rsidR="00005A26">
        <w:rPr>
          <w:szCs w:val="26"/>
        </w:rPr>
        <w:t>These cases</w:t>
      </w:r>
      <w:r w:rsidRPr="00D1376F">
        <w:rPr>
          <w:i/>
          <w:iCs/>
          <w:szCs w:val="26"/>
        </w:rPr>
        <w:t xml:space="preserve"> </w:t>
      </w:r>
      <w:r w:rsidR="00CA0043">
        <w:rPr>
          <w:szCs w:val="26"/>
        </w:rPr>
        <w:t xml:space="preserve">offer particularly prominent </w:t>
      </w:r>
      <w:r w:rsidR="00CB278B">
        <w:rPr>
          <w:szCs w:val="26"/>
        </w:rPr>
        <w:t>example</w:t>
      </w:r>
      <w:r w:rsidR="00CA0043">
        <w:rPr>
          <w:szCs w:val="26"/>
        </w:rPr>
        <w:t>s</w:t>
      </w:r>
      <w:r w:rsidR="00CB278B">
        <w:rPr>
          <w:szCs w:val="26"/>
        </w:rPr>
        <w:t xml:space="preserve"> </w:t>
      </w:r>
      <w:r w:rsidRPr="00D1376F">
        <w:rPr>
          <w:szCs w:val="26"/>
        </w:rPr>
        <w:t xml:space="preserve">of how jury notes can shed light on an attorney’s contemporaneous motives in striking a prospective juror, but </w:t>
      </w:r>
      <w:r w:rsidR="00CA0043">
        <w:rPr>
          <w:szCs w:val="26"/>
        </w:rPr>
        <w:t xml:space="preserve">they are not </w:t>
      </w:r>
      <w:r w:rsidRPr="00D1376F">
        <w:rPr>
          <w:szCs w:val="26"/>
        </w:rPr>
        <w:t xml:space="preserve">isolated </w:t>
      </w:r>
      <w:r w:rsidR="00CB278B">
        <w:rPr>
          <w:szCs w:val="26"/>
        </w:rPr>
        <w:t>one</w:t>
      </w:r>
      <w:r w:rsidR="00CA0043">
        <w:rPr>
          <w:szCs w:val="26"/>
        </w:rPr>
        <w:t>s</w:t>
      </w:r>
      <w:r w:rsidRPr="00D1376F">
        <w:rPr>
          <w:szCs w:val="26"/>
        </w:rPr>
        <w:t xml:space="preserve">.  </w:t>
      </w:r>
      <w:r w:rsidRPr="00D1376F" w:rsidR="00EE4FFF">
        <w:rPr>
          <w:szCs w:val="26"/>
        </w:rPr>
        <w:t>In</w:t>
      </w:r>
      <w:r w:rsidRPr="00D1376F" w:rsidR="002D3026">
        <w:rPr>
          <w:szCs w:val="26"/>
        </w:rPr>
        <w:t xml:space="preserve"> </w:t>
      </w:r>
      <w:r w:rsidRPr="00D1376F" w:rsidR="002D3026">
        <w:rPr>
          <w:i/>
          <w:iCs/>
          <w:szCs w:val="26"/>
        </w:rPr>
        <w:t>Mitcham v. Davis</w:t>
      </w:r>
      <w:r w:rsidRPr="00D1376F" w:rsidR="00F17833">
        <w:rPr>
          <w:szCs w:val="26"/>
        </w:rPr>
        <w:t xml:space="preserve"> (N.D.Cal. 2015) 103 F.Supp.3d 1091</w:t>
      </w:r>
      <w:r w:rsidRPr="00D1376F" w:rsidR="00EE4FFF">
        <w:rPr>
          <w:szCs w:val="26"/>
        </w:rPr>
        <w:t xml:space="preserve">, for instance, </w:t>
      </w:r>
      <w:r w:rsidR="002E2FDC">
        <w:rPr>
          <w:szCs w:val="26"/>
        </w:rPr>
        <w:t xml:space="preserve">the federal court </w:t>
      </w:r>
      <w:r w:rsidR="0036305E">
        <w:rPr>
          <w:szCs w:val="26"/>
        </w:rPr>
        <w:t xml:space="preserve">reviewed the prosecutor’s jury selection notes </w:t>
      </w:r>
      <w:r w:rsidR="003E2067">
        <w:rPr>
          <w:szCs w:val="26"/>
        </w:rPr>
        <w:t>before</w:t>
      </w:r>
      <w:r w:rsidR="0036305E">
        <w:rPr>
          <w:szCs w:val="26"/>
        </w:rPr>
        <w:t xml:space="preserve"> granting </w:t>
      </w:r>
      <w:r w:rsidR="003E2067">
        <w:rPr>
          <w:szCs w:val="26"/>
        </w:rPr>
        <w:t xml:space="preserve">habeas </w:t>
      </w:r>
      <w:r w:rsidR="0036305E">
        <w:rPr>
          <w:szCs w:val="26"/>
        </w:rPr>
        <w:t xml:space="preserve">relief </w:t>
      </w:r>
      <w:r w:rsidR="003E2067">
        <w:rPr>
          <w:szCs w:val="26"/>
        </w:rPr>
        <w:t xml:space="preserve">to a California prisoner </w:t>
      </w:r>
      <w:r w:rsidR="0036305E">
        <w:rPr>
          <w:szCs w:val="26"/>
        </w:rPr>
        <w:t xml:space="preserve">on </w:t>
      </w:r>
      <w:r w:rsidR="0036305E">
        <w:rPr>
          <w:i/>
          <w:iCs/>
          <w:szCs w:val="26"/>
        </w:rPr>
        <w:t>Batson</w:t>
      </w:r>
      <w:r w:rsidR="00CB278B">
        <w:rPr>
          <w:szCs w:val="26"/>
        </w:rPr>
        <w:t>-related</w:t>
      </w:r>
      <w:r w:rsidR="0036305E">
        <w:rPr>
          <w:szCs w:val="26"/>
        </w:rPr>
        <w:t xml:space="preserve"> grounds.  The notes revealed that the prosecutor </w:t>
      </w:r>
      <w:r w:rsidR="002E2FDC">
        <w:rPr>
          <w:szCs w:val="26"/>
        </w:rPr>
        <w:t xml:space="preserve">had kept track of the race of the </w:t>
      </w:r>
      <w:r w:rsidR="00A526A5">
        <w:rPr>
          <w:szCs w:val="26"/>
        </w:rPr>
        <w:t>Black</w:t>
      </w:r>
      <w:r w:rsidR="002E2FDC">
        <w:rPr>
          <w:szCs w:val="26"/>
        </w:rPr>
        <w:t xml:space="preserve"> jurors but not of other jurors</w:t>
      </w:r>
      <w:r w:rsidR="0036305E">
        <w:rPr>
          <w:szCs w:val="26"/>
        </w:rPr>
        <w:t xml:space="preserve"> and had rated every </w:t>
      </w:r>
      <w:r w:rsidR="00A526A5">
        <w:rPr>
          <w:szCs w:val="26"/>
        </w:rPr>
        <w:t>Black</w:t>
      </w:r>
      <w:r w:rsidR="0036305E">
        <w:rPr>
          <w:szCs w:val="26"/>
        </w:rPr>
        <w:t xml:space="preserve"> juror </w:t>
      </w:r>
      <w:r w:rsidRPr="00D1376F" w:rsidR="00E8224E">
        <w:rPr>
          <w:szCs w:val="26"/>
        </w:rPr>
        <w:t>as unacceptable</w:t>
      </w:r>
      <w:r w:rsidR="0036305E">
        <w:rPr>
          <w:szCs w:val="26"/>
        </w:rPr>
        <w:t xml:space="preserve">.  The prosecutor’s notes during the voir dire of one </w:t>
      </w:r>
      <w:r w:rsidR="00A526A5">
        <w:rPr>
          <w:szCs w:val="26"/>
        </w:rPr>
        <w:t>Black</w:t>
      </w:r>
      <w:r w:rsidR="0036305E">
        <w:rPr>
          <w:szCs w:val="26"/>
        </w:rPr>
        <w:t xml:space="preserve"> juror stated:  </w:t>
      </w:r>
      <w:r w:rsidRPr="00D1376F" w:rsidR="00E8224E">
        <w:rPr>
          <w:szCs w:val="26"/>
        </w:rPr>
        <w:t>“</w:t>
      </w:r>
      <w:r w:rsidRPr="00D1376F" w:rsidR="00845EA3">
        <w:rPr>
          <w:szCs w:val="26"/>
        </w:rPr>
        <w:t> </w:t>
      </w:r>
      <w:r w:rsidRPr="00D1376F" w:rsidR="00E8224E">
        <w:rPr>
          <w:szCs w:val="26"/>
        </w:rPr>
        <w:t xml:space="preserve">‘Keep if necessary to avoid </w:t>
      </w:r>
      <w:r w:rsidRPr="00D1376F" w:rsidR="00E8224E">
        <w:rPr>
          <w:i/>
          <w:iCs/>
          <w:szCs w:val="26"/>
        </w:rPr>
        <w:t>Wheeler</w:t>
      </w:r>
      <w:r w:rsidR="002A70AB">
        <w:rPr>
          <w:szCs w:val="26"/>
        </w:rPr>
        <w:t> </w:t>
      </w:r>
      <w:r w:rsidRPr="00D1376F" w:rsidR="00F525B1">
        <w:rPr>
          <w:szCs w:val="26"/>
        </w:rPr>
        <w:t>—</w:t>
      </w:r>
      <w:r w:rsidR="00BA7FA9">
        <w:rPr>
          <w:szCs w:val="26"/>
        </w:rPr>
        <w:t xml:space="preserve"> </w:t>
      </w:r>
      <w:r w:rsidR="00D35383">
        <w:rPr>
          <w:szCs w:val="26"/>
        </w:rPr>
        <w:t>S</w:t>
      </w:r>
      <w:r w:rsidRPr="00D1376F" w:rsidR="00F525B1">
        <w:rPr>
          <w:szCs w:val="26"/>
        </w:rPr>
        <w:t>he would try to be fair</w:t>
      </w:r>
      <w:r w:rsidRPr="00D1376F" w:rsidR="00E8224E">
        <w:rPr>
          <w:szCs w:val="26"/>
        </w:rPr>
        <w:t>.’</w:t>
      </w:r>
      <w:r w:rsidRPr="00D1376F" w:rsidR="00845EA3">
        <w:rPr>
          <w:szCs w:val="26"/>
        </w:rPr>
        <w:t> </w:t>
      </w:r>
      <w:r w:rsidRPr="00D1376F" w:rsidR="00F525B1">
        <w:rPr>
          <w:szCs w:val="26"/>
        </w:rPr>
        <w:t>”</w:t>
      </w:r>
      <w:r w:rsidRPr="00D1376F">
        <w:rPr>
          <w:szCs w:val="26"/>
        </w:rPr>
        <w:t xml:space="preserve">  (</w:t>
      </w:r>
      <w:r w:rsidRPr="00D1376F">
        <w:rPr>
          <w:i/>
          <w:iCs/>
          <w:szCs w:val="26"/>
        </w:rPr>
        <w:t xml:space="preserve">Id. </w:t>
      </w:r>
      <w:r w:rsidRPr="00D1376F">
        <w:rPr>
          <w:szCs w:val="26"/>
        </w:rPr>
        <w:t>at p.</w:t>
      </w:r>
      <w:r w:rsidRPr="00D1376F" w:rsidR="00845EA3">
        <w:rPr>
          <w:szCs w:val="26"/>
        </w:rPr>
        <w:t> </w:t>
      </w:r>
      <w:r w:rsidRPr="00D1376F">
        <w:rPr>
          <w:szCs w:val="26"/>
        </w:rPr>
        <w:t>1097.)</w:t>
      </w:r>
      <w:r w:rsidRPr="00D1376F" w:rsidR="00763A4D">
        <w:rPr>
          <w:szCs w:val="26"/>
        </w:rPr>
        <w:t xml:space="preserve">  </w:t>
      </w:r>
      <w:r w:rsidRPr="00D1376F" w:rsidR="00AE5258">
        <w:rPr>
          <w:szCs w:val="26"/>
        </w:rPr>
        <w:t xml:space="preserve">The notes also revealed </w:t>
      </w:r>
      <w:r w:rsidR="008D41FF">
        <w:rPr>
          <w:szCs w:val="26"/>
        </w:rPr>
        <w:t xml:space="preserve">evidence of racial bias in the striking </w:t>
      </w:r>
      <w:r w:rsidRPr="00D1376F" w:rsidR="00AE5258">
        <w:rPr>
          <w:szCs w:val="26"/>
        </w:rPr>
        <w:t>of certain White jurors</w:t>
      </w:r>
      <w:r w:rsidR="00832CEB">
        <w:rPr>
          <w:szCs w:val="26"/>
        </w:rPr>
        <w:t xml:space="preserve"> with </w:t>
      </w:r>
      <w:r w:rsidR="00A526A5">
        <w:rPr>
          <w:szCs w:val="26"/>
        </w:rPr>
        <w:t>Black relatives</w:t>
      </w:r>
      <w:r w:rsidRPr="00D1376F" w:rsidR="00AE5258">
        <w:rPr>
          <w:szCs w:val="26"/>
        </w:rPr>
        <w:t xml:space="preserve">; next to </w:t>
      </w:r>
      <w:r w:rsidRPr="00D1376F" w:rsidR="00A7676E">
        <w:rPr>
          <w:szCs w:val="26"/>
        </w:rPr>
        <w:t>one White juror, he wrote</w:t>
      </w:r>
      <w:r w:rsidR="003E2067">
        <w:rPr>
          <w:szCs w:val="26"/>
        </w:rPr>
        <w:t>:</w:t>
      </w:r>
      <w:r w:rsidR="00C42BA5">
        <w:rPr>
          <w:szCs w:val="26"/>
        </w:rPr>
        <w:t xml:space="preserve"> </w:t>
      </w:r>
      <w:r w:rsidRPr="00D1376F" w:rsidR="00A7676E">
        <w:rPr>
          <w:szCs w:val="26"/>
        </w:rPr>
        <w:t>“</w:t>
      </w:r>
      <w:r w:rsidRPr="00D1376F" w:rsidR="00845EA3">
        <w:rPr>
          <w:szCs w:val="26"/>
        </w:rPr>
        <w:t> </w:t>
      </w:r>
      <w:r w:rsidRPr="00D1376F" w:rsidR="00A7676E">
        <w:rPr>
          <w:szCs w:val="26"/>
        </w:rPr>
        <w:t xml:space="preserve">‘Think her husband is </w:t>
      </w:r>
      <w:r w:rsidR="003E2067">
        <w:rPr>
          <w:szCs w:val="26"/>
        </w:rPr>
        <w:t>b</w:t>
      </w:r>
      <w:r w:rsidRPr="00D1376F" w:rsidR="00A7676E">
        <w:rPr>
          <w:szCs w:val="26"/>
        </w:rPr>
        <w:t>lack.’</w:t>
      </w:r>
      <w:r w:rsidRPr="00D1376F" w:rsidR="00845EA3">
        <w:rPr>
          <w:szCs w:val="26"/>
        </w:rPr>
        <w:t> </w:t>
      </w:r>
      <w:r w:rsidRPr="00D1376F" w:rsidR="00A7676E">
        <w:rPr>
          <w:szCs w:val="26"/>
        </w:rPr>
        <w:t>”  (</w:t>
      </w:r>
      <w:r w:rsidRPr="00D1376F" w:rsidR="00A7676E">
        <w:rPr>
          <w:i/>
          <w:iCs/>
          <w:szCs w:val="26"/>
        </w:rPr>
        <w:t>Ibid.</w:t>
      </w:r>
      <w:r w:rsidRPr="00D1376F" w:rsidR="00A7676E">
        <w:rPr>
          <w:szCs w:val="26"/>
        </w:rPr>
        <w:t>)</w:t>
      </w:r>
    </w:p>
    <w:p w:rsidR="0071710A" w:rsidRPr="00D1376F">
      <w:pPr>
        <w:rPr>
          <w:szCs w:val="26"/>
        </w:rPr>
      </w:pPr>
      <w:r w:rsidRPr="00D1376F">
        <w:rPr>
          <w:szCs w:val="26"/>
        </w:rPr>
        <w:tab/>
      </w:r>
      <w:r w:rsidRPr="00D1376F" w:rsidR="00BB0D70">
        <w:rPr>
          <w:szCs w:val="26"/>
        </w:rPr>
        <w:t xml:space="preserve">Jones </w:t>
      </w:r>
      <w:r w:rsidRPr="00D1376F" w:rsidR="007D6CA1">
        <w:rPr>
          <w:szCs w:val="26"/>
        </w:rPr>
        <w:t>directs us</w:t>
      </w:r>
      <w:r w:rsidRPr="00D1376F" w:rsidR="00BB0D70">
        <w:rPr>
          <w:szCs w:val="26"/>
        </w:rPr>
        <w:t xml:space="preserve"> </w:t>
      </w:r>
      <w:r w:rsidRPr="00D1376F" w:rsidR="004B5E5B">
        <w:rPr>
          <w:szCs w:val="26"/>
        </w:rPr>
        <w:t xml:space="preserve">to </w:t>
      </w:r>
      <w:r w:rsidRPr="00D1376F" w:rsidR="00381F1F">
        <w:rPr>
          <w:szCs w:val="26"/>
        </w:rPr>
        <w:t xml:space="preserve">other </w:t>
      </w:r>
      <w:r w:rsidRPr="00D1376F" w:rsidR="004B5E5B">
        <w:rPr>
          <w:szCs w:val="26"/>
        </w:rPr>
        <w:t xml:space="preserve">cases in which </w:t>
      </w:r>
      <w:r w:rsidRPr="00D1376F" w:rsidR="00AF1D28">
        <w:rPr>
          <w:szCs w:val="26"/>
        </w:rPr>
        <w:t xml:space="preserve">courts in this state and elsewhere have </w:t>
      </w:r>
      <w:r w:rsidRPr="00D1376F" w:rsidR="001B19E5">
        <w:rPr>
          <w:szCs w:val="26"/>
        </w:rPr>
        <w:t xml:space="preserve">found </w:t>
      </w:r>
      <w:r w:rsidRPr="00D1376F" w:rsidR="00AF1D28">
        <w:rPr>
          <w:szCs w:val="26"/>
        </w:rPr>
        <w:t>probative</w:t>
      </w:r>
      <w:r w:rsidRPr="00D1376F" w:rsidR="001B19E5">
        <w:rPr>
          <w:szCs w:val="26"/>
        </w:rPr>
        <w:t xml:space="preserve"> evidence in jury selection notes</w:t>
      </w:r>
      <w:r w:rsidRPr="00D1376F" w:rsidR="00AF1D28">
        <w:rPr>
          <w:szCs w:val="26"/>
        </w:rPr>
        <w:t>.</w:t>
      </w:r>
      <w:r>
        <w:rPr>
          <w:rStyle w:val="FootnoteReference"/>
        </w:rPr>
        <w:footnoteReference w:id="6"/>
      </w:r>
      <w:r w:rsidRPr="00D1376F" w:rsidR="00AF1D28">
        <w:rPr>
          <w:szCs w:val="26"/>
        </w:rPr>
        <w:t xml:space="preserve"> </w:t>
      </w:r>
      <w:r w:rsidRPr="00D1376F" w:rsidR="00845EA3">
        <w:rPr>
          <w:szCs w:val="26"/>
        </w:rPr>
        <w:t xml:space="preserve"> </w:t>
      </w:r>
      <w:r w:rsidRPr="00D1376F" w:rsidR="00B704E1">
        <w:rPr>
          <w:szCs w:val="26"/>
        </w:rPr>
        <w:t>Many</w:t>
      </w:r>
      <w:r w:rsidR="00B43F05">
        <w:t> </w:t>
      </w:r>
      <w:r w:rsidR="00595B49">
        <w:rPr>
          <w:szCs w:val="26"/>
        </w:rPr>
        <w:t>— though not all</w:t>
      </w:r>
      <w:r w:rsidR="00B43F05">
        <w:rPr>
          <w:szCs w:val="26"/>
        </w:rPr>
        <w:t> </w:t>
      </w:r>
      <w:r w:rsidR="00595B49">
        <w:rPr>
          <w:szCs w:val="26"/>
        </w:rPr>
        <w:t xml:space="preserve">— </w:t>
      </w:r>
      <w:r w:rsidRPr="00D1376F" w:rsidR="00B704E1">
        <w:rPr>
          <w:szCs w:val="26"/>
        </w:rPr>
        <w:t xml:space="preserve">of these cases </w:t>
      </w:r>
      <w:r w:rsidRPr="00D1376F" w:rsidR="005F1D9B">
        <w:rPr>
          <w:szCs w:val="26"/>
        </w:rPr>
        <w:t xml:space="preserve">involve </w:t>
      </w:r>
      <w:r w:rsidR="0011425F">
        <w:rPr>
          <w:szCs w:val="26"/>
        </w:rPr>
        <w:t xml:space="preserve">similar </w:t>
      </w:r>
      <w:r w:rsidRPr="00D1376F" w:rsidR="005F1D9B">
        <w:rPr>
          <w:szCs w:val="26"/>
        </w:rPr>
        <w:t xml:space="preserve">claims </w:t>
      </w:r>
      <w:r w:rsidR="009908AB">
        <w:rPr>
          <w:szCs w:val="26"/>
        </w:rPr>
        <w:t xml:space="preserve">of racial bias </w:t>
      </w:r>
      <w:r w:rsidRPr="00D1376F" w:rsidR="005F1D9B">
        <w:rPr>
          <w:szCs w:val="26"/>
        </w:rPr>
        <w:t>bolster</w:t>
      </w:r>
      <w:r w:rsidR="0011425F">
        <w:rPr>
          <w:szCs w:val="26"/>
        </w:rPr>
        <w:t>ed</w:t>
      </w:r>
      <w:r w:rsidRPr="00D1376F" w:rsidR="005F1D9B">
        <w:rPr>
          <w:szCs w:val="26"/>
        </w:rPr>
        <w:t xml:space="preserve"> </w:t>
      </w:r>
      <w:r w:rsidR="0011425F">
        <w:rPr>
          <w:szCs w:val="26"/>
        </w:rPr>
        <w:t>by jury selection notes</w:t>
      </w:r>
      <w:r w:rsidRPr="00D1376F" w:rsidR="00692EBD">
        <w:rPr>
          <w:szCs w:val="26"/>
        </w:rPr>
        <w:t xml:space="preserve">.  </w:t>
      </w:r>
      <w:r w:rsidRPr="00D1376F" w:rsidR="004A67DB">
        <w:rPr>
          <w:szCs w:val="26"/>
        </w:rPr>
        <w:t>In one case, initially tried in 2002 in North Carolina</w:t>
      </w:r>
      <w:r w:rsidRPr="00D1376F" w:rsidR="008C0304">
        <w:rPr>
          <w:szCs w:val="26"/>
        </w:rPr>
        <w:t xml:space="preserve"> and overturned on collateral review in 2020</w:t>
      </w:r>
      <w:r w:rsidRPr="00D1376F" w:rsidR="004A67DB">
        <w:rPr>
          <w:szCs w:val="26"/>
        </w:rPr>
        <w:t xml:space="preserve">, newly disclosed jury selection notes </w:t>
      </w:r>
      <w:r w:rsidRPr="00D1376F" w:rsidR="00DD1E42">
        <w:rPr>
          <w:szCs w:val="26"/>
        </w:rPr>
        <w:t xml:space="preserve">revealed that </w:t>
      </w:r>
      <w:r w:rsidRPr="00D1376F" w:rsidR="00646AEC">
        <w:rPr>
          <w:szCs w:val="26"/>
        </w:rPr>
        <w:t>p</w:t>
      </w:r>
      <w:r w:rsidRPr="00D1376F" w:rsidR="00AF1D28">
        <w:rPr>
          <w:szCs w:val="26"/>
        </w:rPr>
        <w:t xml:space="preserve">rosecutors </w:t>
      </w:r>
      <w:r w:rsidRPr="00D1376F" w:rsidR="00BA76A1">
        <w:rPr>
          <w:szCs w:val="26"/>
        </w:rPr>
        <w:t xml:space="preserve">had </w:t>
      </w:r>
      <w:r w:rsidRPr="00D1376F" w:rsidR="00AF1D28">
        <w:rPr>
          <w:szCs w:val="26"/>
        </w:rPr>
        <w:t xml:space="preserve">described </w:t>
      </w:r>
      <w:r w:rsidRPr="00D1376F" w:rsidR="00185C9B">
        <w:rPr>
          <w:szCs w:val="26"/>
        </w:rPr>
        <w:t xml:space="preserve">Black veniremembers in </w:t>
      </w:r>
      <w:r w:rsidRPr="00D1376F" w:rsidR="00BA76A1">
        <w:rPr>
          <w:szCs w:val="26"/>
        </w:rPr>
        <w:t xml:space="preserve">starkly derogatory terms compared with </w:t>
      </w:r>
      <w:r w:rsidRPr="00D1376F" w:rsidR="00185C9B">
        <w:rPr>
          <w:szCs w:val="26"/>
        </w:rPr>
        <w:t>similar</w:t>
      </w:r>
      <w:r w:rsidRPr="00D1376F" w:rsidR="00646AEC">
        <w:rPr>
          <w:szCs w:val="26"/>
        </w:rPr>
        <w:t>ly situated</w:t>
      </w:r>
      <w:r w:rsidRPr="00D1376F" w:rsidR="00185C9B">
        <w:rPr>
          <w:szCs w:val="26"/>
        </w:rPr>
        <w:t xml:space="preserve"> White veniremembers.  </w:t>
      </w:r>
      <w:r w:rsidRPr="00D1376F" w:rsidR="008C0304">
        <w:rPr>
          <w:szCs w:val="26"/>
        </w:rPr>
        <w:t>For example</w:t>
      </w:r>
      <w:r w:rsidRPr="00D1376F" w:rsidR="00185C9B">
        <w:rPr>
          <w:szCs w:val="26"/>
        </w:rPr>
        <w:t xml:space="preserve">, a prospective Black juror </w:t>
      </w:r>
      <w:r w:rsidRPr="00D1376F" w:rsidR="00EC18B6">
        <w:rPr>
          <w:szCs w:val="26"/>
        </w:rPr>
        <w:t xml:space="preserve">with a criminal record </w:t>
      </w:r>
      <w:r w:rsidRPr="00D1376F" w:rsidR="00185C9B">
        <w:rPr>
          <w:szCs w:val="26"/>
        </w:rPr>
        <w:t>was labeled a “thug</w:t>
      </w:r>
      <w:r w:rsidRPr="00D1376F" w:rsidR="006162E8">
        <w:rPr>
          <w:szCs w:val="26"/>
        </w:rPr>
        <w:t>[]</w:t>
      </w:r>
      <w:r w:rsidRPr="00D1376F" w:rsidR="00185C9B">
        <w:rPr>
          <w:szCs w:val="26"/>
        </w:rPr>
        <w:t xml:space="preserve">” while a </w:t>
      </w:r>
      <w:r w:rsidRPr="00D1376F" w:rsidR="006D5EFB">
        <w:rPr>
          <w:szCs w:val="26"/>
        </w:rPr>
        <w:t>W</w:t>
      </w:r>
      <w:r w:rsidRPr="00D1376F" w:rsidR="00185C9B">
        <w:rPr>
          <w:szCs w:val="26"/>
        </w:rPr>
        <w:t>hite venireman who prosecutors noted had an “ext[ensive] [criminal] record” was described as a “n</w:t>
      </w:r>
      <w:r w:rsidRPr="00D1376F" w:rsidR="00EC18B6">
        <w:rPr>
          <w:szCs w:val="26"/>
        </w:rPr>
        <w:t>[</w:t>
      </w:r>
      <w:r w:rsidRPr="00D1376F" w:rsidR="00185C9B">
        <w:rPr>
          <w:szCs w:val="26"/>
        </w:rPr>
        <w:t>e’e</w:t>
      </w:r>
      <w:r w:rsidRPr="00D1376F" w:rsidR="00342365">
        <w:rPr>
          <w:szCs w:val="26"/>
        </w:rPr>
        <w:t>r</w:t>
      </w:r>
      <w:r w:rsidRPr="00D1376F" w:rsidR="00EC18B6">
        <w:rPr>
          <w:szCs w:val="26"/>
        </w:rPr>
        <w:t>]</w:t>
      </w:r>
      <w:r w:rsidRPr="00D1376F" w:rsidR="00185C9B">
        <w:rPr>
          <w:szCs w:val="26"/>
        </w:rPr>
        <w:t xml:space="preserve"> do well.”  Similarly, </w:t>
      </w:r>
      <w:r w:rsidR="004375DF">
        <w:rPr>
          <w:szCs w:val="26"/>
        </w:rPr>
        <w:t>prosecution notes described a</w:t>
      </w:r>
      <w:r w:rsidRPr="00D1376F" w:rsidR="00AF1D28">
        <w:rPr>
          <w:szCs w:val="26"/>
        </w:rPr>
        <w:t xml:space="preserve"> prospective Black juror </w:t>
      </w:r>
      <w:r w:rsidRPr="00D1376F" w:rsidR="00646AEC">
        <w:rPr>
          <w:szCs w:val="26"/>
        </w:rPr>
        <w:t>as</w:t>
      </w:r>
      <w:r w:rsidRPr="00D1376F" w:rsidR="00AF1D28">
        <w:rPr>
          <w:szCs w:val="26"/>
        </w:rPr>
        <w:t xml:space="preserve"> a </w:t>
      </w:r>
      <w:r w:rsidRPr="00D1376F" w:rsidR="00185C9B">
        <w:rPr>
          <w:szCs w:val="26"/>
        </w:rPr>
        <w:t xml:space="preserve">“blk. </w:t>
      </w:r>
      <w:r w:rsidRPr="00D1376F" w:rsidR="005763B6">
        <w:rPr>
          <w:szCs w:val="26"/>
        </w:rPr>
        <w:t>W</w:t>
      </w:r>
      <w:r w:rsidRPr="00D1376F" w:rsidR="00185C9B">
        <w:rPr>
          <w:szCs w:val="26"/>
        </w:rPr>
        <w:t>ino</w:t>
      </w:r>
      <w:r w:rsidR="005763B6">
        <w:rPr>
          <w:szCs w:val="26"/>
        </w:rPr>
        <w:t> </w:t>
      </w:r>
      <w:r w:rsidR="0096407F">
        <w:rPr>
          <w:szCs w:val="26"/>
        </w:rPr>
        <w:t>—</w:t>
      </w:r>
      <w:r w:rsidRPr="00D1376F" w:rsidR="00185C9B">
        <w:rPr>
          <w:szCs w:val="26"/>
        </w:rPr>
        <w:t xml:space="preserve"> drugs</w:t>
      </w:r>
      <w:r w:rsidRPr="00D1376F" w:rsidR="00AF1D28">
        <w:rPr>
          <w:szCs w:val="26"/>
        </w:rPr>
        <w:t>,</w:t>
      </w:r>
      <w:r w:rsidRPr="00D1376F" w:rsidR="00845EA3">
        <w:rPr>
          <w:szCs w:val="26"/>
        </w:rPr>
        <w:t>”</w:t>
      </w:r>
      <w:r w:rsidRPr="00D1376F" w:rsidR="00AF1D28">
        <w:rPr>
          <w:szCs w:val="26"/>
        </w:rPr>
        <w:t xml:space="preserve"> </w:t>
      </w:r>
      <w:r w:rsidR="004375DF">
        <w:rPr>
          <w:szCs w:val="26"/>
        </w:rPr>
        <w:t xml:space="preserve">but </w:t>
      </w:r>
      <w:r w:rsidRPr="00D1376F" w:rsidR="00185C9B">
        <w:rPr>
          <w:szCs w:val="26"/>
        </w:rPr>
        <w:t xml:space="preserve">a </w:t>
      </w:r>
      <w:r w:rsidRPr="00D1376F" w:rsidR="00021890">
        <w:rPr>
          <w:szCs w:val="26"/>
        </w:rPr>
        <w:t>W</w:t>
      </w:r>
      <w:r w:rsidRPr="00D1376F" w:rsidR="00185C9B">
        <w:rPr>
          <w:szCs w:val="26"/>
        </w:rPr>
        <w:t>hite venirem</w:t>
      </w:r>
      <w:r w:rsidRPr="00D1376F" w:rsidR="00021890">
        <w:rPr>
          <w:szCs w:val="26"/>
        </w:rPr>
        <w:t>ember</w:t>
      </w:r>
      <w:r w:rsidRPr="00D1376F" w:rsidR="00185C9B">
        <w:rPr>
          <w:szCs w:val="26"/>
        </w:rPr>
        <w:t xml:space="preserve"> with a drinking problem as “drinks</w:t>
      </w:r>
      <w:r w:rsidR="00B43F05">
        <w:rPr>
          <w:szCs w:val="26"/>
        </w:rPr>
        <w:t> —</w:t>
      </w:r>
      <w:r w:rsidRPr="00D1376F" w:rsidR="00185C9B">
        <w:rPr>
          <w:szCs w:val="26"/>
        </w:rPr>
        <w:t xml:space="preserve"> country boy</w:t>
      </w:r>
      <w:r w:rsidR="00B43F05">
        <w:rPr>
          <w:szCs w:val="26"/>
        </w:rPr>
        <w:t> —</w:t>
      </w:r>
      <w:r w:rsidRPr="00D1376F" w:rsidR="00185C9B">
        <w:rPr>
          <w:szCs w:val="26"/>
        </w:rPr>
        <w:t xml:space="preserve"> OK.”</w:t>
      </w:r>
    </w:p>
    <w:p w:rsidR="00A3248D" w:rsidRPr="00D1376F" w:rsidP="00D1376F">
      <w:pPr>
        <w:rPr>
          <w:szCs w:val="26"/>
        </w:rPr>
      </w:pPr>
      <w:r w:rsidRPr="00D1376F">
        <w:rPr>
          <w:szCs w:val="26"/>
        </w:rPr>
        <w:tab/>
      </w:r>
      <w:r w:rsidRPr="00D1376F" w:rsidR="007A33B9">
        <w:rPr>
          <w:szCs w:val="26"/>
        </w:rPr>
        <w:t>In</w:t>
      </w:r>
      <w:r w:rsidRPr="00D1376F" w:rsidR="00CA46E4">
        <w:rPr>
          <w:szCs w:val="26"/>
        </w:rPr>
        <w:t xml:space="preserve"> another case, a Georgia court </w:t>
      </w:r>
      <w:r w:rsidRPr="00D1376F" w:rsidR="003A010E">
        <w:rPr>
          <w:szCs w:val="26"/>
        </w:rPr>
        <w:t xml:space="preserve">concluded that </w:t>
      </w:r>
      <w:r w:rsidRPr="00D1376F" w:rsidR="007A33B9">
        <w:rPr>
          <w:szCs w:val="26"/>
        </w:rPr>
        <w:t xml:space="preserve">jury selection notes </w:t>
      </w:r>
      <w:r w:rsidR="0098602A">
        <w:rPr>
          <w:szCs w:val="26"/>
        </w:rPr>
        <w:t xml:space="preserve">contributed to the </w:t>
      </w:r>
      <w:r w:rsidRPr="00D1376F" w:rsidR="00B34955">
        <w:rPr>
          <w:szCs w:val="26"/>
        </w:rPr>
        <w:t>“undeniable” evidence of discrimination.</w:t>
      </w:r>
      <w:r w:rsidR="004A5277">
        <w:rPr>
          <w:szCs w:val="26"/>
        </w:rPr>
        <w:t xml:space="preserve">  (</w:t>
      </w:r>
      <w:r w:rsidRPr="002A6650" w:rsidR="004A5277">
        <w:rPr>
          <w:i/>
          <w:iCs/>
          <w:szCs w:val="26"/>
        </w:rPr>
        <w:t>State v. Gates</w:t>
      </w:r>
      <w:r w:rsidR="004A5277">
        <w:rPr>
          <w:szCs w:val="26"/>
        </w:rPr>
        <w:t xml:space="preserve"> (Ga.Sup</w:t>
      </w:r>
      <w:r w:rsidR="00501596">
        <w:rPr>
          <w:szCs w:val="26"/>
        </w:rPr>
        <w:t>er</w:t>
      </w:r>
      <w:r w:rsidR="004A5277">
        <w:rPr>
          <w:szCs w:val="26"/>
        </w:rPr>
        <w:t xml:space="preserve">.Ct., Jan. 10, 2019, No. SU-75-CR38335) 2019 Ga.Super. LEXIS 420, </w:t>
      </w:r>
      <w:r w:rsidR="00F90FF9">
        <w:rPr>
          <w:szCs w:val="26"/>
        </w:rPr>
        <w:t>p.</w:t>
      </w:r>
      <w:r w:rsidR="00B40DB3">
        <w:rPr>
          <w:szCs w:val="26"/>
        </w:rPr>
        <w:t> </w:t>
      </w:r>
      <w:r w:rsidR="004A5277">
        <w:rPr>
          <w:szCs w:val="26"/>
        </w:rPr>
        <w:t>*4 [Order on Defendant’s Extraordinary Motion for New Trial].)</w:t>
      </w:r>
      <w:r>
        <w:rPr>
          <w:rStyle w:val="FootnoteReference"/>
        </w:rPr>
        <w:footnoteReference w:id="7"/>
      </w:r>
      <w:r w:rsidRPr="00D1376F" w:rsidR="00B34955">
        <w:rPr>
          <w:szCs w:val="26"/>
        </w:rPr>
        <w:t xml:space="preserve"> </w:t>
      </w:r>
      <w:r w:rsidRPr="00D1376F">
        <w:rPr>
          <w:szCs w:val="26"/>
        </w:rPr>
        <w:t xml:space="preserve"> </w:t>
      </w:r>
      <w:r w:rsidRPr="00D1376F" w:rsidR="00385670">
        <w:rPr>
          <w:szCs w:val="26"/>
        </w:rPr>
        <w:t xml:space="preserve">In 1977, </w:t>
      </w:r>
      <w:r w:rsidRPr="00D1376F" w:rsidR="00B34955">
        <w:rPr>
          <w:szCs w:val="26"/>
        </w:rPr>
        <w:t>Johnny Lee Gates</w:t>
      </w:r>
      <w:r w:rsidRPr="00D1376F" w:rsidR="00385670">
        <w:rPr>
          <w:szCs w:val="26"/>
        </w:rPr>
        <w:t xml:space="preserve">, a Black man, </w:t>
      </w:r>
      <w:r w:rsidRPr="00D1376F">
        <w:rPr>
          <w:szCs w:val="26"/>
        </w:rPr>
        <w:t>was convicted of murder by</w:t>
      </w:r>
      <w:r w:rsidRPr="00D1376F" w:rsidR="00514C9E">
        <w:rPr>
          <w:szCs w:val="26"/>
        </w:rPr>
        <w:t xml:space="preserve"> </w:t>
      </w:r>
      <w:r w:rsidRPr="00D1376F" w:rsidR="005925EB">
        <w:rPr>
          <w:szCs w:val="26"/>
        </w:rPr>
        <w:t>an all-White jury following a three-day</w:t>
      </w:r>
      <w:r w:rsidRPr="00D1376F" w:rsidR="002D06E8">
        <w:rPr>
          <w:szCs w:val="26"/>
        </w:rPr>
        <w:t xml:space="preserve"> trial</w:t>
      </w:r>
      <w:r w:rsidRPr="00D1376F">
        <w:rPr>
          <w:szCs w:val="26"/>
        </w:rPr>
        <w:t xml:space="preserve"> and sentenced to death</w:t>
      </w:r>
      <w:r w:rsidRPr="00D1376F" w:rsidR="00385670">
        <w:rPr>
          <w:szCs w:val="26"/>
        </w:rPr>
        <w:t>.</w:t>
      </w:r>
      <w:r w:rsidRPr="00D1376F" w:rsidR="00564749">
        <w:rPr>
          <w:szCs w:val="26"/>
        </w:rPr>
        <w:t xml:space="preserve"> </w:t>
      </w:r>
      <w:r w:rsidRPr="00D1376F" w:rsidR="00CC4105">
        <w:rPr>
          <w:szCs w:val="26"/>
        </w:rPr>
        <w:t xml:space="preserve"> </w:t>
      </w:r>
      <w:r w:rsidRPr="00D1376F" w:rsidR="00604B3D">
        <w:rPr>
          <w:szCs w:val="26"/>
        </w:rPr>
        <w:t xml:space="preserve">Jury selection notes revealed </w:t>
      </w:r>
      <w:r w:rsidRPr="00D1376F" w:rsidR="002D06E8">
        <w:rPr>
          <w:szCs w:val="26"/>
        </w:rPr>
        <w:t xml:space="preserve">that the </w:t>
      </w:r>
      <w:r w:rsidRPr="00D1376F" w:rsidR="00AF1D28">
        <w:rPr>
          <w:szCs w:val="26"/>
        </w:rPr>
        <w:t xml:space="preserve">prosecutor indicated the race and sex of each prospective juror </w:t>
      </w:r>
      <w:r w:rsidR="009B1662">
        <w:rPr>
          <w:szCs w:val="26"/>
        </w:rPr>
        <w:t>i</w:t>
      </w:r>
      <w:r w:rsidRPr="00D1376F" w:rsidR="00AF1D28">
        <w:rPr>
          <w:szCs w:val="26"/>
        </w:rPr>
        <w:t>n his notes, using the letter W for White</w:t>
      </w:r>
      <w:r w:rsidR="00F90FF9">
        <w:rPr>
          <w:szCs w:val="26"/>
        </w:rPr>
        <w:t xml:space="preserve"> prospective jurors</w:t>
      </w:r>
      <w:r w:rsidRPr="00D1376F" w:rsidR="00AF1D28">
        <w:rPr>
          <w:szCs w:val="26"/>
        </w:rPr>
        <w:t xml:space="preserve"> </w:t>
      </w:r>
      <w:r w:rsidR="004375DF">
        <w:rPr>
          <w:szCs w:val="26"/>
        </w:rPr>
        <w:t>and</w:t>
      </w:r>
      <w:r w:rsidRPr="00D1376F" w:rsidR="004375DF">
        <w:rPr>
          <w:szCs w:val="26"/>
        </w:rPr>
        <w:t xml:space="preserve"> </w:t>
      </w:r>
      <w:r w:rsidRPr="00D1376F" w:rsidR="00AF1D28">
        <w:rPr>
          <w:szCs w:val="26"/>
        </w:rPr>
        <w:t xml:space="preserve">the letter N to indicate that prospective jurors were Black.  </w:t>
      </w:r>
      <w:r w:rsidRPr="00D1376F" w:rsidR="005C2E97">
        <w:rPr>
          <w:szCs w:val="26"/>
        </w:rPr>
        <w:t xml:space="preserve">The </w:t>
      </w:r>
      <w:r w:rsidR="003E2067">
        <w:rPr>
          <w:szCs w:val="26"/>
        </w:rPr>
        <w:t xml:space="preserve">prosecutor described the Black jurors </w:t>
      </w:r>
      <w:r w:rsidR="005538DA">
        <w:rPr>
          <w:szCs w:val="26"/>
        </w:rPr>
        <w:t xml:space="preserve">in derogatory terms </w:t>
      </w:r>
      <w:r w:rsidR="00907C2A">
        <w:rPr>
          <w:szCs w:val="26"/>
        </w:rPr>
        <w:t xml:space="preserve">and </w:t>
      </w:r>
      <w:r w:rsidR="005538DA">
        <w:rPr>
          <w:szCs w:val="26"/>
        </w:rPr>
        <w:t xml:space="preserve">gave </w:t>
      </w:r>
      <w:r w:rsidRPr="00D1376F" w:rsidR="00AF1D28">
        <w:rPr>
          <w:szCs w:val="26"/>
        </w:rPr>
        <w:t xml:space="preserve">every Black juror the </w:t>
      </w:r>
      <w:r w:rsidR="009765A3">
        <w:rPr>
          <w:szCs w:val="26"/>
        </w:rPr>
        <w:t xml:space="preserve">prosecution’s </w:t>
      </w:r>
      <w:r w:rsidRPr="00D1376F" w:rsidR="00AF1D28">
        <w:rPr>
          <w:szCs w:val="26"/>
        </w:rPr>
        <w:t xml:space="preserve">lowest </w:t>
      </w:r>
      <w:r w:rsidR="009765A3">
        <w:rPr>
          <w:szCs w:val="26"/>
        </w:rPr>
        <w:t xml:space="preserve">juror </w:t>
      </w:r>
      <w:r w:rsidRPr="00D1376F" w:rsidR="00AF1D28">
        <w:rPr>
          <w:szCs w:val="26"/>
        </w:rPr>
        <w:t>rating, while giving the lowest rating to only one of the 43 prospective White jurors.</w:t>
      </w:r>
      <w:r w:rsidRPr="00D1376F" w:rsidR="00AF1D28">
        <w:rPr>
          <w:i/>
          <w:iCs/>
          <w:szCs w:val="26"/>
        </w:rPr>
        <w:t xml:space="preserve"> </w:t>
      </w:r>
      <w:r w:rsidR="00981667">
        <w:rPr>
          <w:i/>
          <w:iCs/>
          <w:szCs w:val="26"/>
        </w:rPr>
        <w:t xml:space="preserve"> </w:t>
      </w:r>
    </w:p>
    <w:p w:rsidR="00AF1D28" w:rsidRPr="00D1376F">
      <w:pPr>
        <w:rPr>
          <w:szCs w:val="26"/>
        </w:rPr>
      </w:pPr>
      <w:r w:rsidRPr="00D1376F">
        <w:rPr>
          <w:szCs w:val="26"/>
        </w:rPr>
        <w:tab/>
      </w:r>
      <w:r w:rsidR="004F18BB">
        <w:rPr>
          <w:szCs w:val="26"/>
        </w:rPr>
        <w:t xml:space="preserve">In each of these cases, the jury </w:t>
      </w:r>
      <w:r w:rsidRPr="00D1376F" w:rsidR="00826105">
        <w:rPr>
          <w:szCs w:val="26"/>
        </w:rPr>
        <w:t>selection notes proved</w:t>
      </w:r>
      <w:r w:rsidR="00761DFC">
        <w:rPr>
          <w:szCs w:val="26"/>
        </w:rPr>
        <w:t xml:space="preserve"> </w:t>
      </w:r>
      <w:r w:rsidR="0011425F">
        <w:rPr>
          <w:szCs w:val="26"/>
        </w:rPr>
        <w:t xml:space="preserve">important </w:t>
      </w:r>
      <w:r w:rsidR="00761DFC">
        <w:rPr>
          <w:szCs w:val="26"/>
        </w:rPr>
        <w:t xml:space="preserve">in </w:t>
      </w:r>
      <w:r w:rsidR="0011425F">
        <w:rPr>
          <w:szCs w:val="26"/>
        </w:rPr>
        <w:t xml:space="preserve">litigating </w:t>
      </w:r>
      <w:r w:rsidR="000A1EE2">
        <w:rPr>
          <w:szCs w:val="26"/>
        </w:rPr>
        <w:t xml:space="preserve">a </w:t>
      </w:r>
      <w:r w:rsidRPr="00D1376F" w:rsidR="00BB21BD">
        <w:rPr>
          <w:szCs w:val="26"/>
        </w:rPr>
        <w:t>claim</w:t>
      </w:r>
      <w:r w:rsidRPr="00D1376F" w:rsidR="00826105">
        <w:rPr>
          <w:szCs w:val="26"/>
        </w:rPr>
        <w:t xml:space="preserve"> of discrimination</w:t>
      </w:r>
      <w:r w:rsidR="000A1EE2">
        <w:rPr>
          <w:szCs w:val="26"/>
        </w:rPr>
        <w:t xml:space="preserve"> many years after the fact</w:t>
      </w:r>
      <w:r w:rsidR="00887E71">
        <w:rPr>
          <w:szCs w:val="26"/>
        </w:rPr>
        <w:t>.</w:t>
      </w:r>
      <w:r w:rsidR="000A1EE2">
        <w:rPr>
          <w:szCs w:val="26"/>
        </w:rPr>
        <w:t xml:space="preserve">  </w:t>
      </w:r>
      <w:bookmarkStart w:id="4" w:name="_Hlk88142251"/>
      <w:r w:rsidR="000A1EE2">
        <w:rPr>
          <w:szCs w:val="26"/>
        </w:rPr>
        <w:t xml:space="preserve">But </w:t>
      </w:r>
      <w:r w:rsidRPr="00A3248D" w:rsidR="009549C9">
        <w:rPr>
          <w:szCs w:val="26"/>
        </w:rPr>
        <w:t xml:space="preserve">as is true of any other type of evidence, jury </w:t>
      </w:r>
      <w:r w:rsidR="009549C9">
        <w:rPr>
          <w:szCs w:val="26"/>
        </w:rPr>
        <w:t xml:space="preserve">selection </w:t>
      </w:r>
      <w:r w:rsidRPr="00A3248D" w:rsidR="009549C9">
        <w:rPr>
          <w:szCs w:val="26"/>
        </w:rPr>
        <w:t xml:space="preserve">notes may </w:t>
      </w:r>
      <w:r w:rsidR="00883649">
        <w:rPr>
          <w:szCs w:val="26"/>
        </w:rPr>
        <w:t xml:space="preserve">be relevant to the inquiry </w:t>
      </w:r>
      <w:r w:rsidRPr="00A3248D" w:rsidR="009549C9">
        <w:rPr>
          <w:szCs w:val="26"/>
        </w:rPr>
        <w:t>even when they do not contain a smoking gun.</w:t>
      </w:r>
      <w:r w:rsidR="00C9524E">
        <w:rPr>
          <w:szCs w:val="26"/>
        </w:rPr>
        <w:t xml:space="preserve">  </w:t>
      </w:r>
      <w:r w:rsidR="0000758A">
        <w:rPr>
          <w:szCs w:val="26"/>
        </w:rPr>
        <w:t xml:space="preserve">Nor are jury selection notes necessarily relevant only to prove </w:t>
      </w:r>
      <w:r w:rsidR="0011425F">
        <w:rPr>
          <w:szCs w:val="26"/>
        </w:rPr>
        <w:t xml:space="preserve">improper motivation; they may also </w:t>
      </w:r>
      <w:r w:rsidR="00883722">
        <w:rPr>
          <w:szCs w:val="26"/>
        </w:rPr>
        <w:t xml:space="preserve">counter </w:t>
      </w:r>
      <w:r w:rsidR="0011425F">
        <w:rPr>
          <w:szCs w:val="26"/>
        </w:rPr>
        <w:t xml:space="preserve">claims </w:t>
      </w:r>
      <w:r w:rsidR="00883722">
        <w:rPr>
          <w:szCs w:val="26"/>
        </w:rPr>
        <w:t>of racial bias</w:t>
      </w:r>
      <w:r w:rsidRPr="00D1376F" w:rsidR="00402000">
        <w:rPr>
          <w:szCs w:val="26"/>
        </w:rPr>
        <w:t xml:space="preserve">.  </w:t>
      </w:r>
      <w:r w:rsidR="00B70AEE">
        <w:rPr>
          <w:szCs w:val="26"/>
        </w:rPr>
        <w:t xml:space="preserve">For example, in </w:t>
      </w:r>
      <w:r w:rsidRPr="00D1376F">
        <w:rPr>
          <w:i/>
          <w:iCs/>
          <w:szCs w:val="26"/>
        </w:rPr>
        <w:t>In re Freeman</w:t>
      </w:r>
      <w:r w:rsidRPr="00D1376F">
        <w:rPr>
          <w:szCs w:val="26"/>
        </w:rPr>
        <w:t xml:space="preserve"> (2006) 38 Cal.4th 630</w:t>
      </w:r>
      <w:r w:rsidRPr="00D1376F" w:rsidR="0074007E">
        <w:rPr>
          <w:szCs w:val="26"/>
        </w:rPr>
        <w:t xml:space="preserve">, </w:t>
      </w:r>
      <w:r w:rsidR="00480DBE">
        <w:rPr>
          <w:szCs w:val="26"/>
        </w:rPr>
        <w:t xml:space="preserve">the petitioner </w:t>
      </w:r>
      <w:r w:rsidR="00263BFC">
        <w:rPr>
          <w:szCs w:val="26"/>
        </w:rPr>
        <w:t xml:space="preserve">claimed </w:t>
      </w:r>
      <w:r w:rsidR="007C3863">
        <w:rPr>
          <w:szCs w:val="26"/>
        </w:rPr>
        <w:t xml:space="preserve">the prosecutor </w:t>
      </w:r>
      <w:r w:rsidR="00700000">
        <w:rPr>
          <w:szCs w:val="26"/>
        </w:rPr>
        <w:t xml:space="preserve">had </w:t>
      </w:r>
      <w:r w:rsidRPr="00D1376F">
        <w:rPr>
          <w:szCs w:val="26"/>
        </w:rPr>
        <w:t xml:space="preserve">struck </w:t>
      </w:r>
      <w:r w:rsidR="007C3863">
        <w:rPr>
          <w:szCs w:val="26"/>
        </w:rPr>
        <w:t xml:space="preserve">prospective </w:t>
      </w:r>
      <w:r w:rsidRPr="00D1376F">
        <w:rPr>
          <w:szCs w:val="26"/>
        </w:rPr>
        <w:t>jurors</w:t>
      </w:r>
      <w:r w:rsidRPr="00D1376F" w:rsidR="0004008C">
        <w:rPr>
          <w:szCs w:val="26"/>
        </w:rPr>
        <w:t xml:space="preserve"> </w:t>
      </w:r>
      <w:r w:rsidR="007C3863">
        <w:rPr>
          <w:szCs w:val="26"/>
        </w:rPr>
        <w:t>he believed were Jewish</w:t>
      </w:r>
      <w:r w:rsidR="00480DBE">
        <w:rPr>
          <w:szCs w:val="26"/>
        </w:rPr>
        <w:t>.</w:t>
      </w:r>
      <w:r w:rsidR="00700000">
        <w:rPr>
          <w:szCs w:val="26"/>
        </w:rPr>
        <w:t xml:space="preserve"> </w:t>
      </w:r>
      <w:r w:rsidR="00480DBE">
        <w:rPr>
          <w:szCs w:val="26"/>
        </w:rPr>
        <w:t xml:space="preserve"> W</w:t>
      </w:r>
      <w:r w:rsidR="00700000">
        <w:rPr>
          <w:szCs w:val="26"/>
        </w:rPr>
        <w:t xml:space="preserve">e </w:t>
      </w:r>
      <w:r w:rsidR="006549F4">
        <w:rPr>
          <w:szCs w:val="26"/>
        </w:rPr>
        <w:t xml:space="preserve">concluded that </w:t>
      </w:r>
      <w:r w:rsidR="002C32BE">
        <w:rPr>
          <w:szCs w:val="26"/>
        </w:rPr>
        <w:t>the petitioner</w:t>
      </w:r>
      <w:r w:rsidR="006549F4">
        <w:rPr>
          <w:szCs w:val="26"/>
        </w:rPr>
        <w:t xml:space="preserve"> did not meet his burden to show improperly motivated strikes in part because </w:t>
      </w:r>
      <w:r w:rsidR="00700000">
        <w:rPr>
          <w:szCs w:val="26"/>
        </w:rPr>
        <w:t>the prosecutor</w:t>
      </w:r>
      <w:r w:rsidR="006549F4">
        <w:rPr>
          <w:szCs w:val="26"/>
        </w:rPr>
        <w:t>’s</w:t>
      </w:r>
      <w:r w:rsidR="00700000">
        <w:rPr>
          <w:szCs w:val="26"/>
        </w:rPr>
        <w:t xml:space="preserve"> </w:t>
      </w:r>
      <w:r w:rsidR="006549F4">
        <w:rPr>
          <w:szCs w:val="26"/>
        </w:rPr>
        <w:t xml:space="preserve">notes revealed </w:t>
      </w:r>
      <w:r w:rsidR="00932D1D">
        <w:rPr>
          <w:szCs w:val="26"/>
        </w:rPr>
        <w:t xml:space="preserve">detailed </w:t>
      </w:r>
      <w:r w:rsidR="001460D1">
        <w:rPr>
          <w:szCs w:val="26"/>
        </w:rPr>
        <w:t xml:space="preserve">observations about </w:t>
      </w:r>
      <w:r w:rsidR="00943BEA">
        <w:rPr>
          <w:szCs w:val="26"/>
        </w:rPr>
        <w:t xml:space="preserve">individual </w:t>
      </w:r>
      <w:r w:rsidR="00932D1D">
        <w:rPr>
          <w:szCs w:val="26"/>
        </w:rPr>
        <w:t>veniremember</w:t>
      </w:r>
      <w:r w:rsidR="001460D1">
        <w:rPr>
          <w:szCs w:val="26"/>
        </w:rPr>
        <w:t>s’</w:t>
      </w:r>
      <w:r w:rsidR="00932D1D">
        <w:rPr>
          <w:szCs w:val="26"/>
        </w:rPr>
        <w:t xml:space="preserve"> </w:t>
      </w:r>
      <w:r w:rsidR="007C3863">
        <w:rPr>
          <w:szCs w:val="26"/>
        </w:rPr>
        <w:t>characteristics</w:t>
      </w:r>
      <w:r w:rsidR="006549F4">
        <w:rPr>
          <w:szCs w:val="26"/>
        </w:rPr>
        <w:t xml:space="preserve"> but </w:t>
      </w:r>
      <w:r w:rsidR="0025654D">
        <w:rPr>
          <w:szCs w:val="26"/>
        </w:rPr>
        <w:t xml:space="preserve">made </w:t>
      </w:r>
      <w:r w:rsidRPr="00D1376F">
        <w:rPr>
          <w:szCs w:val="26"/>
        </w:rPr>
        <w:t xml:space="preserve">neither explicit nor implicit reference to </w:t>
      </w:r>
      <w:r w:rsidR="00697731">
        <w:rPr>
          <w:szCs w:val="26"/>
        </w:rPr>
        <w:t xml:space="preserve">the religion of </w:t>
      </w:r>
      <w:r w:rsidR="00943BEA">
        <w:rPr>
          <w:szCs w:val="26"/>
        </w:rPr>
        <w:t xml:space="preserve">prospective </w:t>
      </w:r>
      <w:r w:rsidR="007C3863">
        <w:rPr>
          <w:szCs w:val="26"/>
        </w:rPr>
        <w:t xml:space="preserve">jurors he </w:t>
      </w:r>
      <w:r w:rsidR="00786123">
        <w:rPr>
          <w:szCs w:val="26"/>
        </w:rPr>
        <w:t xml:space="preserve">ultimately </w:t>
      </w:r>
      <w:r w:rsidR="00943BEA">
        <w:rPr>
          <w:szCs w:val="26"/>
        </w:rPr>
        <w:t>excused</w:t>
      </w:r>
      <w:r w:rsidRPr="00D1376F">
        <w:rPr>
          <w:szCs w:val="26"/>
        </w:rPr>
        <w:t>.</w:t>
      </w:r>
      <w:bookmarkEnd w:id="4"/>
      <w:r w:rsidRPr="00D1376F">
        <w:rPr>
          <w:szCs w:val="26"/>
        </w:rPr>
        <w:t xml:space="preserve">  (</w:t>
      </w:r>
      <w:r w:rsidRPr="00D1376F">
        <w:rPr>
          <w:i/>
          <w:iCs/>
          <w:szCs w:val="26"/>
        </w:rPr>
        <w:t xml:space="preserve">Id. </w:t>
      </w:r>
      <w:r w:rsidRPr="00D1376F">
        <w:rPr>
          <w:szCs w:val="26"/>
        </w:rPr>
        <w:t>at pp.</w:t>
      </w:r>
      <w:r w:rsidRPr="00D1376F" w:rsidR="00C21F00">
        <w:rPr>
          <w:szCs w:val="26"/>
        </w:rPr>
        <w:t> </w:t>
      </w:r>
      <w:r w:rsidRPr="00D1376F">
        <w:rPr>
          <w:szCs w:val="26"/>
        </w:rPr>
        <w:t>642</w:t>
      </w:r>
      <w:r w:rsidRPr="00D1376F" w:rsidR="005E2131">
        <w:rPr>
          <w:szCs w:val="26"/>
        </w:rPr>
        <w:t>–</w:t>
      </w:r>
      <w:r w:rsidRPr="00D1376F">
        <w:rPr>
          <w:szCs w:val="26"/>
        </w:rPr>
        <w:t>64</w:t>
      </w:r>
      <w:r w:rsidR="00697731">
        <w:rPr>
          <w:szCs w:val="26"/>
        </w:rPr>
        <w:t>4</w:t>
      </w:r>
      <w:r w:rsidRPr="00D1376F" w:rsidR="00F90F11">
        <w:rPr>
          <w:szCs w:val="26"/>
        </w:rPr>
        <w:t>.</w:t>
      </w:r>
      <w:r w:rsidRPr="00D1376F">
        <w:rPr>
          <w:szCs w:val="26"/>
        </w:rPr>
        <w:t>)</w:t>
      </w:r>
      <w:r>
        <w:rPr>
          <w:rStyle w:val="FootnoteReference"/>
          <w:szCs w:val="26"/>
        </w:rPr>
        <w:footnoteReference w:id="8"/>
      </w:r>
      <w:r w:rsidRPr="00D1376F">
        <w:rPr>
          <w:szCs w:val="26"/>
        </w:rPr>
        <w:t xml:space="preserve">  </w:t>
      </w:r>
    </w:p>
    <w:p w:rsidR="0026031F" w:rsidRPr="00D1376F" w:rsidP="00D1376F">
      <w:pPr>
        <w:rPr>
          <w:szCs w:val="26"/>
        </w:rPr>
      </w:pPr>
      <w:r w:rsidRPr="00D1376F">
        <w:rPr>
          <w:szCs w:val="26"/>
        </w:rPr>
        <w:tab/>
      </w:r>
      <w:r w:rsidR="00763323">
        <w:rPr>
          <w:szCs w:val="26"/>
        </w:rPr>
        <w:t xml:space="preserve">The </w:t>
      </w:r>
      <w:r w:rsidRPr="00D1376F" w:rsidR="003A6D45">
        <w:rPr>
          <w:szCs w:val="26"/>
        </w:rPr>
        <w:t xml:space="preserve">District Attorney </w:t>
      </w:r>
      <w:r w:rsidR="00763323">
        <w:rPr>
          <w:szCs w:val="26"/>
        </w:rPr>
        <w:t>in this case agrees</w:t>
      </w:r>
      <w:r w:rsidRPr="00D1376F" w:rsidR="00397DF7">
        <w:rPr>
          <w:szCs w:val="26"/>
        </w:rPr>
        <w:t xml:space="preserve"> </w:t>
      </w:r>
      <w:r w:rsidRPr="00D1376F" w:rsidR="003A6D45">
        <w:rPr>
          <w:szCs w:val="26"/>
        </w:rPr>
        <w:t xml:space="preserve">that </w:t>
      </w:r>
      <w:r w:rsidRPr="00D1376F" w:rsidR="00F90F11">
        <w:rPr>
          <w:szCs w:val="26"/>
        </w:rPr>
        <w:t xml:space="preserve">when </w:t>
      </w:r>
      <w:r w:rsidRPr="00D1376F" w:rsidR="00B55EA1">
        <w:rPr>
          <w:szCs w:val="26"/>
        </w:rPr>
        <w:t xml:space="preserve">jury selection notes are available, they </w:t>
      </w:r>
      <w:r w:rsidRPr="00D1376F" w:rsidR="003F27DF">
        <w:rPr>
          <w:szCs w:val="26"/>
        </w:rPr>
        <w:t xml:space="preserve">often prove </w:t>
      </w:r>
      <w:r w:rsidRPr="00D1376F" w:rsidR="00B55EA1">
        <w:rPr>
          <w:szCs w:val="26"/>
        </w:rPr>
        <w:t>relevant</w:t>
      </w:r>
      <w:r w:rsidR="00993ACE">
        <w:rPr>
          <w:szCs w:val="26"/>
        </w:rPr>
        <w:t xml:space="preserve">, </w:t>
      </w:r>
      <w:r w:rsidRPr="00D1376F" w:rsidR="00F6292A">
        <w:rPr>
          <w:szCs w:val="26"/>
        </w:rPr>
        <w:t>and</w:t>
      </w:r>
      <w:r w:rsidRPr="00D1376F" w:rsidR="00B55EA1">
        <w:rPr>
          <w:szCs w:val="26"/>
        </w:rPr>
        <w:t xml:space="preserve"> sometimes dispositive</w:t>
      </w:r>
      <w:r w:rsidR="00993ACE">
        <w:rPr>
          <w:szCs w:val="26"/>
        </w:rPr>
        <w:t xml:space="preserve">, </w:t>
      </w:r>
      <w:r w:rsidR="00F81134">
        <w:rPr>
          <w:szCs w:val="26"/>
        </w:rPr>
        <w:t xml:space="preserve">particularly in </w:t>
      </w:r>
      <w:r w:rsidR="00FC53B7">
        <w:rPr>
          <w:szCs w:val="26"/>
        </w:rPr>
        <w:t xml:space="preserve">adjudicating </w:t>
      </w:r>
      <w:r w:rsidR="00FC53B7">
        <w:rPr>
          <w:i/>
          <w:iCs/>
          <w:szCs w:val="26"/>
        </w:rPr>
        <w:t>Batson/Wheeler</w:t>
      </w:r>
      <w:r w:rsidR="00FC53B7">
        <w:rPr>
          <w:szCs w:val="26"/>
        </w:rPr>
        <w:t xml:space="preserve"> claims </w:t>
      </w:r>
      <w:r w:rsidR="00F81134">
        <w:rPr>
          <w:szCs w:val="26"/>
        </w:rPr>
        <w:t xml:space="preserve">on postconviction review.  </w:t>
      </w:r>
      <w:r w:rsidRPr="00D1376F" w:rsidR="00397DF7">
        <w:rPr>
          <w:szCs w:val="26"/>
        </w:rPr>
        <w:t xml:space="preserve">But as the District Attorney </w:t>
      </w:r>
      <w:r w:rsidR="00B4379E">
        <w:rPr>
          <w:szCs w:val="26"/>
        </w:rPr>
        <w:t>correctly notes</w:t>
      </w:r>
      <w:r w:rsidRPr="00D1376F" w:rsidR="00626D86">
        <w:rPr>
          <w:szCs w:val="26"/>
        </w:rPr>
        <w:t xml:space="preserve">, </w:t>
      </w:r>
      <w:r w:rsidRPr="00D1376F" w:rsidR="006B21E5">
        <w:rPr>
          <w:szCs w:val="26"/>
        </w:rPr>
        <w:t xml:space="preserve">neither </w:t>
      </w:r>
      <w:r w:rsidR="00FF0BDE">
        <w:rPr>
          <w:i/>
          <w:iCs/>
          <w:szCs w:val="26"/>
        </w:rPr>
        <w:t>Foster</w:t>
      </w:r>
      <w:r w:rsidR="00FF0BDE">
        <w:rPr>
          <w:szCs w:val="26"/>
        </w:rPr>
        <w:t xml:space="preserve"> nor any other case binding on this court </w:t>
      </w:r>
      <w:r w:rsidRPr="00D1376F" w:rsidR="006B21E5">
        <w:rPr>
          <w:szCs w:val="26"/>
        </w:rPr>
        <w:t xml:space="preserve">answers the question </w:t>
      </w:r>
      <w:r w:rsidRPr="00D1376F" w:rsidR="00A70CB0">
        <w:rPr>
          <w:szCs w:val="26"/>
        </w:rPr>
        <w:t>when</w:t>
      </w:r>
      <w:r w:rsidRPr="00D1376F" w:rsidR="006B21E5">
        <w:rPr>
          <w:szCs w:val="26"/>
        </w:rPr>
        <w:t xml:space="preserve">, precisely, </w:t>
      </w:r>
      <w:r w:rsidRPr="00D1376F" w:rsidR="00A70CB0">
        <w:rPr>
          <w:szCs w:val="26"/>
        </w:rPr>
        <w:t xml:space="preserve">jury selection notes </w:t>
      </w:r>
      <w:r w:rsidRPr="00D1376F" w:rsidR="00752661">
        <w:rPr>
          <w:szCs w:val="26"/>
        </w:rPr>
        <w:t xml:space="preserve">must </w:t>
      </w:r>
      <w:r w:rsidRPr="00D1376F" w:rsidR="00A70CB0">
        <w:rPr>
          <w:szCs w:val="26"/>
        </w:rPr>
        <w:t xml:space="preserve">be made available </w:t>
      </w:r>
      <w:r w:rsidRPr="00D1376F" w:rsidR="00690B81">
        <w:rPr>
          <w:szCs w:val="26"/>
        </w:rPr>
        <w:t xml:space="preserve">for purposes of the </w:t>
      </w:r>
      <w:r w:rsidRPr="00D1376F" w:rsidR="00227878">
        <w:rPr>
          <w:i/>
          <w:iCs/>
          <w:szCs w:val="26"/>
        </w:rPr>
        <w:t xml:space="preserve">Batson/Wheeler </w:t>
      </w:r>
      <w:r w:rsidRPr="00D1376F" w:rsidR="00690B81">
        <w:rPr>
          <w:szCs w:val="26"/>
        </w:rPr>
        <w:t>inquiry</w:t>
      </w:r>
      <w:r w:rsidRPr="00D1376F" w:rsidR="00A70CB0">
        <w:rPr>
          <w:szCs w:val="26"/>
        </w:rPr>
        <w:t>.</w:t>
      </w:r>
      <w:r>
        <w:rPr>
          <w:rStyle w:val="FootnoteReference"/>
          <w:bCs/>
        </w:rPr>
        <w:footnoteReference w:id="9"/>
      </w:r>
      <w:r w:rsidRPr="00D1376F" w:rsidR="00A70CB0">
        <w:rPr>
          <w:szCs w:val="26"/>
        </w:rPr>
        <w:t xml:space="preserve">  </w:t>
      </w:r>
      <w:r w:rsidRPr="00D1376F" w:rsidR="000E2B62">
        <w:rPr>
          <w:szCs w:val="26"/>
        </w:rPr>
        <w:t xml:space="preserve">We now turn to that </w:t>
      </w:r>
      <w:r w:rsidRPr="00D1376F" w:rsidR="00A70CB0">
        <w:rPr>
          <w:szCs w:val="26"/>
        </w:rPr>
        <w:t>question</w:t>
      </w:r>
      <w:r w:rsidR="001951AE">
        <w:rPr>
          <w:szCs w:val="26"/>
        </w:rPr>
        <w:t xml:space="preserve"> as it is presented in this case</w:t>
      </w:r>
      <w:r w:rsidRPr="00D1376F" w:rsidR="00A70CB0">
        <w:rPr>
          <w:szCs w:val="26"/>
        </w:rPr>
        <w:t>.</w:t>
      </w:r>
    </w:p>
    <w:p w:rsidR="00F531EA" w:rsidRPr="00D1376F" w:rsidP="00854F3E">
      <w:pPr>
        <w:pStyle w:val="Heading1"/>
      </w:pPr>
      <w:r w:rsidRPr="00D1376F">
        <w:t>I</w:t>
      </w:r>
      <w:r w:rsidR="00D35383">
        <w:t>II</w:t>
      </w:r>
      <w:r w:rsidRPr="00D1376F" w:rsidR="00AF1D28">
        <w:t>.</w:t>
      </w:r>
    </w:p>
    <w:p w:rsidR="005F5EBF" w:rsidRPr="00D1376F" w:rsidP="00D1376F">
      <w:pPr>
        <w:tabs>
          <w:tab w:val="left" w:pos="0"/>
        </w:tabs>
        <w:rPr>
          <w:szCs w:val="26"/>
        </w:rPr>
      </w:pPr>
      <w:r w:rsidRPr="00D1376F">
        <w:rPr>
          <w:szCs w:val="26"/>
        </w:rPr>
        <w:tab/>
      </w:r>
      <w:r w:rsidRPr="00D1376F" w:rsidR="000E2B62">
        <w:rPr>
          <w:szCs w:val="26"/>
        </w:rPr>
        <w:t xml:space="preserve">The </w:t>
      </w:r>
      <w:r w:rsidR="00611D5E">
        <w:rPr>
          <w:szCs w:val="26"/>
        </w:rPr>
        <w:t xml:space="preserve">question </w:t>
      </w:r>
      <w:r w:rsidR="00707E84">
        <w:rPr>
          <w:szCs w:val="26"/>
        </w:rPr>
        <w:t xml:space="preserve">here </w:t>
      </w:r>
      <w:r w:rsidR="00EF729B">
        <w:rPr>
          <w:szCs w:val="26"/>
        </w:rPr>
        <w:t xml:space="preserve">arises from </w:t>
      </w:r>
      <w:r w:rsidRPr="00D1376F" w:rsidR="000E2B62">
        <w:rPr>
          <w:szCs w:val="26"/>
        </w:rPr>
        <w:t>a request for postconviction discovery</w:t>
      </w:r>
      <w:r w:rsidR="00B2131C">
        <w:rPr>
          <w:szCs w:val="26"/>
        </w:rPr>
        <w:t xml:space="preserve"> under section 1054.9</w:t>
      </w:r>
      <w:r w:rsidRPr="00D1376F" w:rsidR="000E2B62">
        <w:rPr>
          <w:szCs w:val="26"/>
        </w:rPr>
        <w:t>.</w:t>
      </w:r>
      <w:r>
        <w:rPr>
          <w:rStyle w:val="FootnoteReference"/>
        </w:rPr>
        <w:footnoteReference w:id="10"/>
      </w:r>
      <w:r w:rsidR="00711E2E">
        <w:rPr>
          <w:szCs w:val="26"/>
        </w:rPr>
        <w:t xml:space="preserve">  </w:t>
      </w:r>
      <w:r w:rsidR="00EC1511">
        <w:rPr>
          <w:szCs w:val="26"/>
        </w:rPr>
        <w:t>S</w:t>
      </w:r>
      <w:r w:rsidRPr="00D1376F" w:rsidR="00654009">
        <w:rPr>
          <w:szCs w:val="26"/>
        </w:rPr>
        <w:t>ection 1054</w:t>
      </w:r>
      <w:r w:rsidRPr="00D1376F" w:rsidR="00D272DA">
        <w:rPr>
          <w:szCs w:val="26"/>
        </w:rPr>
        <w:t>.9</w:t>
      </w:r>
      <w:r w:rsidRPr="00D1376F" w:rsidR="008021A3">
        <w:rPr>
          <w:szCs w:val="26"/>
        </w:rPr>
        <w:t xml:space="preserve"> authorizes </w:t>
      </w:r>
      <w:r w:rsidRPr="00D1376F" w:rsidR="00BC1A84">
        <w:rPr>
          <w:szCs w:val="26"/>
        </w:rPr>
        <w:t xml:space="preserve">postconviction </w:t>
      </w:r>
      <w:r w:rsidRPr="00D1376F" w:rsidR="008021A3">
        <w:rPr>
          <w:szCs w:val="26"/>
        </w:rPr>
        <w:t xml:space="preserve">discovery in certain felony cases but </w:t>
      </w:r>
      <w:r w:rsidR="000E1DCA">
        <w:rPr>
          <w:szCs w:val="26"/>
        </w:rPr>
        <w:t xml:space="preserve">identifies the scope of discoverable materials as those </w:t>
      </w:r>
      <w:r w:rsidRPr="00D1376F" w:rsidR="00E55AC3">
        <w:rPr>
          <w:szCs w:val="26"/>
        </w:rPr>
        <w:t xml:space="preserve">“materials in </w:t>
      </w:r>
      <w:r w:rsidRPr="00D1376F" w:rsidR="00E508EE">
        <w:rPr>
          <w:szCs w:val="26"/>
        </w:rPr>
        <w:t xml:space="preserve">the </w:t>
      </w:r>
      <w:r w:rsidRPr="00D1376F" w:rsidR="00E55AC3">
        <w:rPr>
          <w:szCs w:val="26"/>
        </w:rPr>
        <w:t xml:space="preserve">possession of the prosecution and law enforcement authorities to which the same defendant would have been entitled at </w:t>
      </w:r>
      <w:r w:rsidRPr="00D1376F" w:rsidR="00E508EE">
        <w:rPr>
          <w:szCs w:val="26"/>
        </w:rPr>
        <w:t xml:space="preserve">time of </w:t>
      </w:r>
      <w:r w:rsidRPr="00D1376F" w:rsidR="00E55AC3">
        <w:rPr>
          <w:szCs w:val="26"/>
        </w:rPr>
        <w:t>trial.”  (</w:t>
      </w:r>
      <w:r w:rsidRPr="00D1376F" w:rsidR="00B1200E">
        <w:rPr>
          <w:i/>
          <w:iCs/>
          <w:szCs w:val="26"/>
        </w:rPr>
        <w:t>Id.</w:t>
      </w:r>
      <w:r w:rsidRPr="00D1376F" w:rsidR="00A53A3C">
        <w:rPr>
          <w:szCs w:val="26"/>
        </w:rPr>
        <w:t>,</w:t>
      </w:r>
      <w:r w:rsidRPr="00D1376F" w:rsidR="00E55AC3">
        <w:rPr>
          <w:szCs w:val="26"/>
        </w:rPr>
        <w:t xml:space="preserve"> subd.</w:t>
      </w:r>
      <w:r w:rsidR="003E238F">
        <w:rPr>
          <w:szCs w:val="26"/>
        </w:rPr>
        <w:t> </w:t>
      </w:r>
      <w:r w:rsidRPr="00D1376F" w:rsidR="00E55AC3">
        <w:rPr>
          <w:szCs w:val="26"/>
        </w:rPr>
        <w:t>(c)</w:t>
      </w:r>
      <w:r w:rsidR="00BE0732">
        <w:rPr>
          <w:szCs w:val="26"/>
        </w:rPr>
        <w:t xml:space="preserve">; see </w:t>
      </w:r>
      <w:r w:rsidR="00BE0732">
        <w:rPr>
          <w:i/>
          <w:iCs/>
          <w:szCs w:val="26"/>
        </w:rPr>
        <w:t>id.</w:t>
      </w:r>
      <w:r w:rsidR="00BE0732">
        <w:rPr>
          <w:szCs w:val="26"/>
        </w:rPr>
        <w:t>, subd.</w:t>
      </w:r>
      <w:r w:rsidR="003E238F">
        <w:rPr>
          <w:szCs w:val="26"/>
        </w:rPr>
        <w:t> </w:t>
      </w:r>
      <w:r w:rsidR="00BE0732">
        <w:rPr>
          <w:szCs w:val="26"/>
        </w:rPr>
        <w:t xml:space="preserve">(a); </w:t>
      </w:r>
      <w:r w:rsidRPr="00D1376F" w:rsidR="00EC1511">
        <w:rPr>
          <w:i/>
          <w:iCs/>
          <w:szCs w:val="26"/>
        </w:rPr>
        <w:t>In re Steele</w:t>
      </w:r>
      <w:r w:rsidRPr="00D1376F" w:rsidR="00EC1511">
        <w:rPr>
          <w:szCs w:val="26"/>
        </w:rPr>
        <w:t xml:space="preserve"> (2004) 32 Cal.4th 682, 690 (</w:t>
      </w:r>
      <w:r w:rsidRPr="00D1376F" w:rsidR="00EC1511">
        <w:rPr>
          <w:i/>
          <w:iCs/>
          <w:szCs w:val="26"/>
        </w:rPr>
        <w:t>Steele</w:t>
      </w:r>
      <w:r w:rsidRPr="00D1376F" w:rsidR="00EC1511">
        <w:rPr>
          <w:szCs w:val="26"/>
        </w:rPr>
        <w:t>)</w:t>
      </w:r>
      <w:r w:rsidR="00BE0732">
        <w:rPr>
          <w:szCs w:val="26"/>
        </w:rPr>
        <w:t>.)</w:t>
      </w:r>
      <w:r w:rsidR="009C6284">
        <w:rPr>
          <w:szCs w:val="26"/>
        </w:rPr>
        <w:t xml:space="preserve">  </w:t>
      </w:r>
      <w:r w:rsidRPr="00D1376F" w:rsidR="007925A7">
        <w:rPr>
          <w:szCs w:val="26"/>
        </w:rPr>
        <w:t>The District Attorney</w:t>
      </w:r>
      <w:r w:rsidR="002B402B">
        <w:rPr>
          <w:szCs w:val="26"/>
        </w:rPr>
        <w:t xml:space="preserve"> contends</w:t>
      </w:r>
      <w:r w:rsidRPr="00D1376F" w:rsidR="005B1F45">
        <w:rPr>
          <w:szCs w:val="26"/>
        </w:rPr>
        <w:t xml:space="preserve"> that </w:t>
      </w:r>
      <w:r w:rsidRPr="00D1376F" w:rsidR="00E56734">
        <w:rPr>
          <w:szCs w:val="26"/>
        </w:rPr>
        <w:t xml:space="preserve">Jones </w:t>
      </w:r>
      <w:r w:rsidRPr="00D1376F" w:rsidR="002C4AE5">
        <w:rPr>
          <w:szCs w:val="26"/>
        </w:rPr>
        <w:t>is</w:t>
      </w:r>
      <w:r w:rsidRPr="00D1376F" w:rsidR="00E56734">
        <w:rPr>
          <w:szCs w:val="26"/>
        </w:rPr>
        <w:t xml:space="preserve"> </w:t>
      </w:r>
      <w:r w:rsidRPr="00D1376F" w:rsidR="002C4AE5">
        <w:rPr>
          <w:szCs w:val="26"/>
        </w:rPr>
        <w:t xml:space="preserve">not </w:t>
      </w:r>
      <w:r w:rsidRPr="00D1376F" w:rsidR="00E56734">
        <w:rPr>
          <w:szCs w:val="26"/>
        </w:rPr>
        <w:t xml:space="preserve">entitled to </w:t>
      </w:r>
      <w:r w:rsidR="00D808DC">
        <w:rPr>
          <w:szCs w:val="26"/>
        </w:rPr>
        <w:t>jury selection</w:t>
      </w:r>
      <w:r w:rsidRPr="00D1376F" w:rsidR="00D808DC">
        <w:rPr>
          <w:szCs w:val="26"/>
        </w:rPr>
        <w:t xml:space="preserve"> </w:t>
      </w:r>
      <w:r w:rsidRPr="00D1376F" w:rsidR="00E56734">
        <w:rPr>
          <w:szCs w:val="26"/>
        </w:rPr>
        <w:t xml:space="preserve">notes </w:t>
      </w:r>
      <w:r w:rsidRPr="00D1376F" w:rsidR="00F15559">
        <w:rPr>
          <w:szCs w:val="26"/>
        </w:rPr>
        <w:t xml:space="preserve">because </w:t>
      </w:r>
      <w:r w:rsidRPr="00D1376F" w:rsidR="00D70121">
        <w:rPr>
          <w:szCs w:val="26"/>
        </w:rPr>
        <w:t xml:space="preserve">Penal Code </w:t>
      </w:r>
      <w:r w:rsidRPr="00D1376F" w:rsidR="008474F9">
        <w:rPr>
          <w:szCs w:val="26"/>
        </w:rPr>
        <w:t>s</w:t>
      </w:r>
      <w:r w:rsidRPr="00D1376F" w:rsidR="00D70121">
        <w:rPr>
          <w:szCs w:val="26"/>
        </w:rPr>
        <w:t>ection 1054.6 specifies that</w:t>
      </w:r>
      <w:r w:rsidR="008F2982">
        <w:rPr>
          <w:szCs w:val="26"/>
        </w:rPr>
        <w:t xml:space="preserve">, under the statutory discovery rules, “[n]either the defendant nor the prosecuting attorney is required </w:t>
      </w:r>
      <w:r w:rsidRPr="00D1376F" w:rsidR="00E56734">
        <w:rPr>
          <w:szCs w:val="26"/>
        </w:rPr>
        <w:t>to disclose any materials or information which are work product as defined in subdivision (a) of Section 2018.030 of the Code of Civil Procedure</w:t>
      </w:r>
      <w:r w:rsidRPr="00D1376F" w:rsidR="007A526E">
        <w:rPr>
          <w:szCs w:val="26"/>
        </w:rPr>
        <w:t>.</w:t>
      </w:r>
      <w:r w:rsidRPr="00D1376F" w:rsidR="00E56734">
        <w:rPr>
          <w:szCs w:val="26"/>
        </w:rPr>
        <w:t xml:space="preserve">” </w:t>
      </w:r>
      <w:r w:rsidRPr="00D1376F" w:rsidR="007A526E">
        <w:rPr>
          <w:szCs w:val="26"/>
        </w:rPr>
        <w:t xml:space="preserve"> The District Attorney </w:t>
      </w:r>
      <w:r w:rsidRPr="00D1376F" w:rsidR="00C630B8">
        <w:rPr>
          <w:szCs w:val="26"/>
        </w:rPr>
        <w:t xml:space="preserve">argues </w:t>
      </w:r>
      <w:r w:rsidRPr="00D1376F" w:rsidR="00E56734">
        <w:rPr>
          <w:szCs w:val="26"/>
        </w:rPr>
        <w:t xml:space="preserve">the </w:t>
      </w:r>
      <w:r w:rsidRPr="00D1376F" w:rsidR="00D82896">
        <w:rPr>
          <w:szCs w:val="26"/>
        </w:rPr>
        <w:t xml:space="preserve">notes </w:t>
      </w:r>
      <w:r w:rsidRPr="00D1376F" w:rsidR="001B14C7">
        <w:rPr>
          <w:szCs w:val="26"/>
        </w:rPr>
        <w:t>constitute</w:t>
      </w:r>
      <w:r w:rsidRPr="00D1376F" w:rsidR="00D82896">
        <w:rPr>
          <w:szCs w:val="26"/>
        </w:rPr>
        <w:t xml:space="preserve"> </w:t>
      </w:r>
      <w:r w:rsidRPr="00D1376F" w:rsidR="001B14C7">
        <w:rPr>
          <w:szCs w:val="26"/>
        </w:rPr>
        <w:t>protected</w:t>
      </w:r>
      <w:r w:rsidRPr="00D1376F" w:rsidR="00D82896">
        <w:rPr>
          <w:szCs w:val="26"/>
        </w:rPr>
        <w:t xml:space="preserve"> work product</w:t>
      </w:r>
      <w:r w:rsidRPr="00D1376F" w:rsidR="00E56734">
        <w:rPr>
          <w:szCs w:val="26"/>
        </w:rPr>
        <w:t xml:space="preserve"> as defined in </w:t>
      </w:r>
      <w:r w:rsidR="00E90576">
        <w:rPr>
          <w:szCs w:val="26"/>
        </w:rPr>
        <w:t xml:space="preserve">Code of Civil Procedure section </w:t>
      </w:r>
      <w:r w:rsidRPr="00D1376F" w:rsidR="00E56734">
        <w:rPr>
          <w:szCs w:val="26"/>
        </w:rPr>
        <w:t>2018.030</w:t>
      </w:r>
      <w:r w:rsidRPr="00D1376F" w:rsidR="008474F9">
        <w:rPr>
          <w:szCs w:val="26"/>
        </w:rPr>
        <w:t>,</w:t>
      </w:r>
      <w:r w:rsidRPr="00D1376F" w:rsidR="00E56734">
        <w:rPr>
          <w:szCs w:val="26"/>
        </w:rPr>
        <w:t xml:space="preserve"> subdivision (a)</w:t>
      </w:r>
      <w:r w:rsidRPr="00D1376F" w:rsidR="007A526E">
        <w:rPr>
          <w:szCs w:val="26"/>
        </w:rPr>
        <w:t xml:space="preserve"> and</w:t>
      </w:r>
      <w:r w:rsidR="00E77269">
        <w:rPr>
          <w:szCs w:val="26"/>
        </w:rPr>
        <w:t xml:space="preserve"> </w:t>
      </w:r>
      <w:r w:rsidRPr="00D1376F" w:rsidR="00667586">
        <w:rPr>
          <w:szCs w:val="26"/>
        </w:rPr>
        <w:t xml:space="preserve">the court </w:t>
      </w:r>
      <w:r w:rsidR="00E77269">
        <w:rPr>
          <w:szCs w:val="26"/>
        </w:rPr>
        <w:t xml:space="preserve">therefore </w:t>
      </w:r>
      <w:r w:rsidRPr="00D1376F" w:rsidR="00667586">
        <w:rPr>
          <w:szCs w:val="26"/>
        </w:rPr>
        <w:t>may not order their disclosure</w:t>
      </w:r>
      <w:r w:rsidRPr="00D1376F" w:rsidR="00E56734">
        <w:rPr>
          <w:szCs w:val="26"/>
        </w:rPr>
        <w:t>.</w:t>
      </w:r>
      <w:r>
        <w:rPr>
          <w:rStyle w:val="FootnoteReference"/>
        </w:rPr>
        <w:footnoteReference w:id="11"/>
      </w:r>
    </w:p>
    <w:p w:rsidR="000F38F1" w:rsidRPr="00D1376F" w:rsidP="00D1376F">
      <w:pPr>
        <w:tabs>
          <w:tab w:val="left" w:pos="0"/>
        </w:tabs>
        <w:rPr>
          <w:szCs w:val="26"/>
        </w:rPr>
      </w:pPr>
      <w:r w:rsidRPr="00D1376F">
        <w:rPr>
          <w:szCs w:val="26"/>
        </w:rPr>
        <w:tab/>
      </w:r>
      <w:r w:rsidRPr="00D1376F" w:rsidR="00BC4580">
        <w:rPr>
          <w:szCs w:val="26"/>
        </w:rPr>
        <w:t>T</w:t>
      </w:r>
      <w:r w:rsidRPr="00D1376F" w:rsidR="00202BCB">
        <w:rPr>
          <w:szCs w:val="26"/>
        </w:rPr>
        <w:t>he work product doctrine</w:t>
      </w:r>
      <w:r w:rsidR="008477D8">
        <w:rPr>
          <w:szCs w:val="26"/>
        </w:rPr>
        <w:t xml:space="preserve"> now codified in Code of Civil Procedure section 2018.030 </w:t>
      </w:r>
      <w:r w:rsidRPr="00D1376F" w:rsidR="00BC4580">
        <w:rPr>
          <w:szCs w:val="26"/>
        </w:rPr>
        <w:t>was initially developed by courts</w:t>
      </w:r>
      <w:r w:rsidR="00AE0AFA">
        <w:rPr>
          <w:szCs w:val="26"/>
        </w:rPr>
        <w:t xml:space="preserve">.  </w:t>
      </w:r>
      <w:r w:rsidR="00F550B7">
        <w:rPr>
          <w:szCs w:val="26"/>
        </w:rPr>
        <w:t xml:space="preserve">In an influential statement of the doctrine, the United </w:t>
      </w:r>
      <w:r w:rsidR="00E81062">
        <w:rPr>
          <w:szCs w:val="26"/>
        </w:rPr>
        <w:t xml:space="preserve">States </w:t>
      </w:r>
      <w:r w:rsidR="00AE0AFA">
        <w:rPr>
          <w:szCs w:val="26"/>
        </w:rPr>
        <w:t xml:space="preserve">Supreme Court described the rationale as follows:  </w:t>
      </w:r>
      <w:r w:rsidRPr="00D1376F" w:rsidR="001B5A2E">
        <w:rPr>
          <w:szCs w:val="26"/>
        </w:rPr>
        <w:t>“[I]t is essential that a lawyer work with a certain degree of privacy, free from unnecessary intrusion by opposing parties and their counsel.  Proper preparation of a client’s case demands that he assemble information, sift what he considers to be the relevant from the irrelevant facts, prepare his legal theories and plan his strategy without undue and needless interference.”</w:t>
      </w:r>
      <w:r w:rsidR="00587F50">
        <w:rPr>
          <w:szCs w:val="26"/>
        </w:rPr>
        <w:t xml:space="preserve">  (</w:t>
      </w:r>
      <w:r w:rsidRPr="00D1376F" w:rsidR="003B5C8F">
        <w:rPr>
          <w:i/>
          <w:iCs/>
          <w:szCs w:val="26"/>
        </w:rPr>
        <w:t xml:space="preserve">Hickman v. Taylor </w:t>
      </w:r>
      <w:r w:rsidRPr="00D1376F" w:rsidR="003B5C8F">
        <w:rPr>
          <w:szCs w:val="26"/>
        </w:rPr>
        <w:t>(1947) 329 U.S. 495, 510–511</w:t>
      </w:r>
      <w:r w:rsidR="003B5C8F">
        <w:rPr>
          <w:szCs w:val="26"/>
        </w:rPr>
        <w:t>; s</w:t>
      </w:r>
      <w:r w:rsidRPr="00D1376F" w:rsidR="00134F9B">
        <w:rPr>
          <w:szCs w:val="26"/>
        </w:rPr>
        <w:t xml:space="preserve">ee </w:t>
      </w:r>
      <w:r w:rsidRPr="00D1376F" w:rsidR="00AA6FD8">
        <w:rPr>
          <w:i/>
          <w:iCs/>
          <w:szCs w:val="26"/>
        </w:rPr>
        <w:t>Coito</w:t>
      </w:r>
      <w:r w:rsidR="00F17662">
        <w:rPr>
          <w:i/>
          <w:iCs/>
          <w:szCs w:val="26"/>
        </w:rPr>
        <w:t xml:space="preserve"> v. Superior Court</w:t>
      </w:r>
      <w:r w:rsidR="00F17662">
        <w:rPr>
          <w:szCs w:val="26"/>
        </w:rPr>
        <w:t xml:space="preserve"> (2012) </w:t>
      </w:r>
      <w:r w:rsidRPr="00D1376F" w:rsidR="00AA6FD8">
        <w:rPr>
          <w:szCs w:val="26"/>
        </w:rPr>
        <w:t xml:space="preserve">54 Cal.4th </w:t>
      </w:r>
      <w:r w:rsidR="00F17662">
        <w:rPr>
          <w:szCs w:val="26"/>
        </w:rPr>
        <w:t xml:space="preserve">480, </w:t>
      </w:r>
      <w:r w:rsidRPr="00D1376F" w:rsidR="00AA6FD8">
        <w:rPr>
          <w:szCs w:val="26"/>
        </w:rPr>
        <w:t>489–</w:t>
      </w:r>
      <w:r w:rsidRPr="00D1376F" w:rsidR="00B26F1E">
        <w:rPr>
          <w:szCs w:val="26"/>
        </w:rPr>
        <w:t>49</w:t>
      </w:r>
      <w:r w:rsidR="004A5277">
        <w:rPr>
          <w:szCs w:val="26"/>
        </w:rPr>
        <w:t>4</w:t>
      </w:r>
      <w:r w:rsidR="00B44342">
        <w:rPr>
          <w:szCs w:val="26"/>
        </w:rPr>
        <w:t xml:space="preserve"> (</w:t>
      </w:r>
      <w:r w:rsidRPr="00F17662" w:rsidR="00B44342">
        <w:rPr>
          <w:i/>
          <w:iCs/>
          <w:szCs w:val="26"/>
        </w:rPr>
        <w:t>Coito</w:t>
      </w:r>
      <w:r w:rsidR="00B44342">
        <w:rPr>
          <w:szCs w:val="26"/>
        </w:rPr>
        <w:t>)</w:t>
      </w:r>
      <w:r w:rsidR="003C5862">
        <w:rPr>
          <w:szCs w:val="26"/>
        </w:rPr>
        <w:t xml:space="preserve"> </w:t>
      </w:r>
      <w:r w:rsidRPr="00D1376F" w:rsidR="00B26F1E">
        <w:rPr>
          <w:szCs w:val="26"/>
        </w:rPr>
        <w:t xml:space="preserve">[recounting </w:t>
      </w:r>
      <w:r w:rsidR="003C5862">
        <w:rPr>
          <w:szCs w:val="26"/>
        </w:rPr>
        <w:t xml:space="preserve">the </w:t>
      </w:r>
      <w:r w:rsidRPr="00D1376F" w:rsidR="00B26F1E">
        <w:rPr>
          <w:szCs w:val="26"/>
        </w:rPr>
        <w:t>history of work product doctrine</w:t>
      </w:r>
      <w:r w:rsidRPr="00D1376F" w:rsidR="00134F9B">
        <w:rPr>
          <w:szCs w:val="26"/>
        </w:rPr>
        <w:t>]</w:t>
      </w:r>
      <w:r w:rsidRPr="00D1376F" w:rsidR="001345D4">
        <w:rPr>
          <w:szCs w:val="26"/>
        </w:rPr>
        <w:t>.)</w:t>
      </w:r>
      <w:r w:rsidR="00D764AF">
        <w:rPr>
          <w:szCs w:val="26"/>
        </w:rPr>
        <w:t xml:space="preserve"> </w:t>
      </w:r>
      <w:r w:rsidR="00F55008">
        <w:rPr>
          <w:szCs w:val="26"/>
        </w:rPr>
        <w:t xml:space="preserve"> </w:t>
      </w:r>
      <w:r w:rsidR="00C24092">
        <w:rPr>
          <w:szCs w:val="26"/>
        </w:rPr>
        <w:t>When t</w:t>
      </w:r>
      <w:r w:rsidRPr="00D1376F" w:rsidR="001345D4">
        <w:rPr>
          <w:szCs w:val="26"/>
        </w:rPr>
        <w:t xml:space="preserve">he Legislature </w:t>
      </w:r>
      <w:r w:rsidRPr="00D1376F" w:rsidR="008324EF">
        <w:rPr>
          <w:szCs w:val="26"/>
        </w:rPr>
        <w:t xml:space="preserve">later codified the doctrine, </w:t>
      </w:r>
      <w:r w:rsidR="00C24092">
        <w:rPr>
          <w:szCs w:val="26"/>
        </w:rPr>
        <w:t xml:space="preserve">it </w:t>
      </w:r>
      <w:r w:rsidRPr="00D1376F" w:rsidR="008324EF">
        <w:rPr>
          <w:szCs w:val="26"/>
        </w:rPr>
        <w:t>assign</w:t>
      </w:r>
      <w:r w:rsidR="00C24092">
        <w:rPr>
          <w:szCs w:val="26"/>
        </w:rPr>
        <w:t>ed</w:t>
      </w:r>
      <w:r w:rsidRPr="00D1376F" w:rsidR="008324EF">
        <w:rPr>
          <w:szCs w:val="26"/>
        </w:rPr>
        <w:t xml:space="preserve"> </w:t>
      </w:r>
      <w:r w:rsidRPr="00D1376F" w:rsidR="002B104A">
        <w:rPr>
          <w:szCs w:val="26"/>
        </w:rPr>
        <w:t>attorney work product</w:t>
      </w:r>
      <w:r w:rsidRPr="00D1376F" w:rsidR="001345D4">
        <w:rPr>
          <w:szCs w:val="26"/>
        </w:rPr>
        <w:t xml:space="preserve"> </w:t>
      </w:r>
      <w:r w:rsidRPr="00D1376F" w:rsidR="00AD1EA4">
        <w:rPr>
          <w:szCs w:val="26"/>
        </w:rPr>
        <w:t>either absolute or qualified</w:t>
      </w:r>
      <w:r w:rsidRPr="00D1376F" w:rsidR="001345D4">
        <w:rPr>
          <w:szCs w:val="26"/>
        </w:rPr>
        <w:t xml:space="preserve"> protection, depending on the type of material at issue.  “Absolute protection is afforded to writings that reflect </w:t>
      </w:r>
      <w:r w:rsidRPr="00D1376F" w:rsidR="002701C3">
        <w:rPr>
          <w:szCs w:val="26"/>
        </w:rPr>
        <w:t>‘</w:t>
      </w:r>
      <w:r w:rsidRPr="00D1376F" w:rsidR="001345D4">
        <w:rPr>
          <w:szCs w:val="26"/>
        </w:rPr>
        <w:t>an attorney’s impressions, conclusions, opinions, or legal research or theories.’</w:t>
      </w:r>
      <w:r w:rsidRPr="00D1376F" w:rsidR="00C21F00">
        <w:rPr>
          <w:szCs w:val="26"/>
        </w:rPr>
        <w:t xml:space="preserve"> </w:t>
      </w:r>
      <w:r w:rsidRPr="00D1376F" w:rsidR="001345D4">
        <w:rPr>
          <w:szCs w:val="26"/>
        </w:rPr>
        <w:t xml:space="preserve"> </w:t>
      </w:r>
      <w:r w:rsidRPr="00D1376F" w:rsidR="00F42E1F">
        <w:rPr>
          <w:szCs w:val="26"/>
        </w:rPr>
        <w:t>(</w:t>
      </w:r>
      <w:r w:rsidR="00852BCB">
        <w:rPr>
          <w:szCs w:val="26"/>
        </w:rPr>
        <w:t>[Code Civ. Proc.,]</w:t>
      </w:r>
      <w:r w:rsidR="00B40DB3">
        <w:rPr>
          <w:szCs w:val="26"/>
        </w:rPr>
        <w:t xml:space="preserve"> </w:t>
      </w:r>
      <w:r w:rsidRPr="00D1376F" w:rsidR="001345D4">
        <w:rPr>
          <w:szCs w:val="26"/>
        </w:rPr>
        <w:t>§</w:t>
      </w:r>
      <w:r w:rsidRPr="00D1376F" w:rsidR="00C21F00">
        <w:rPr>
          <w:szCs w:val="26"/>
        </w:rPr>
        <w:t> </w:t>
      </w:r>
      <w:r w:rsidRPr="00D1376F" w:rsidR="001345D4">
        <w:rPr>
          <w:szCs w:val="26"/>
        </w:rPr>
        <w:t>2018.030, subd.</w:t>
      </w:r>
      <w:r w:rsidR="00E81062">
        <w:rPr>
          <w:szCs w:val="26"/>
        </w:rPr>
        <w:t> </w:t>
      </w:r>
      <w:r w:rsidRPr="00D1376F" w:rsidR="001345D4">
        <w:rPr>
          <w:szCs w:val="26"/>
        </w:rPr>
        <w:t>(a).)  All other work product receives qualified protection</w:t>
      </w:r>
      <w:r w:rsidR="0028663E">
        <w:rPr>
          <w:szCs w:val="26"/>
        </w:rPr>
        <w:t>; such material ‘is not discoverable unless the court determines th</w:t>
      </w:r>
      <w:r w:rsidR="00E1452F">
        <w:rPr>
          <w:szCs w:val="26"/>
        </w:rPr>
        <w:t xml:space="preserve">at </w:t>
      </w:r>
      <w:r w:rsidR="0028663E">
        <w:rPr>
          <w:szCs w:val="26"/>
        </w:rPr>
        <w:t>denial of discovery will unfairly prejudice the party seeking discovery in preparing that party’s claim or defense or will result in an injustice.’  (§</w:t>
      </w:r>
      <w:r w:rsidR="00E81062">
        <w:rPr>
          <w:szCs w:val="26"/>
        </w:rPr>
        <w:t> </w:t>
      </w:r>
      <w:r w:rsidR="0028663E">
        <w:rPr>
          <w:szCs w:val="26"/>
        </w:rPr>
        <w:t>2018.030, subd.</w:t>
      </w:r>
      <w:r w:rsidR="00E81062">
        <w:rPr>
          <w:szCs w:val="26"/>
        </w:rPr>
        <w:t> </w:t>
      </w:r>
      <w:r w:rsidR="0028663E">
        <w:rPr>
          <w:szCs w:val="26"/>
        </w:rPr>
        <w:t>(b).)</w:t>
      </w:r>
      <w:r w:rsidRPr="00D1376F" w:rsidR="001345D4">
        <w:rPr>
          <w:szCs w:val="26"/>
        </w:rPr>
        <w:t>”  (</w:t>
      </w:r>
      <w:r w:rsidRPr="00D1376F" w:rsidR="001345D4">
        <w:rPr>
          <w:i/>
          <w:iCs/>
          <w:szCs w:val="26"/>
        </w:rPr>
        <w:t>Coito</w:t>
      </w:r>
      <w:r w:rsidRPr="00D1376F" w:rsidR="00E31F01">
        <w:rPr>
          <w:szCs w:val="26"/>
        </w:rPr>
        <w:t>, at p.</w:t>
      </w:r>
      <w:r w:rsidRPr="00D1376F" w:rsidR="00A3665E">
        <w:rPr>
          <w:szCs w:val="26"/>
        </w:rPr>
        <w:t> </w:t>
      </w:r>
      <w:r w:rsidRPr="00D1376F" w:rsidR="001345D4">
        <w:rPr>
          <w:szCs w:val="26"/>
        </w:rPr>
        <w:t>485.)</w:t>
      </w:r>
      <w:r w:rsidRPr="00D1376F" w:rsidR="002B104A">
        <w:rPr>
          <w:szCs w:val="26"/>
        </w:rPr>
        <w:t xml:space="preserve"> </w:t>
      </w:r>
      <w:r w:rsidRPr="00D1376F">
        <w:rPr>
          <w:szCs w:val="26"/>
        </w:rPr>
        <w:t xml:space="preserve"> </w:t>
      </w:r>
    </w:p>
    <w:p w:rsidR="00B2275D" w:rsidRPr="00D1376F">
      <w:pPr>
        <w:rPr>
          <w:szCs w:val="26"/>
        </w:rPr>
      </w:pPr>
      <w:r w:rsidRPr="00D1376F">
        <w:rPr>
          <w:szCs w:val="26"/>
        </w:rPr>
        <w:tab/>
        <w:t>T</w:t>
      </w:r>
      <w:r w:rsidRPr="00D1376F" w:rsidR="002B104A">
        <w:rPr>
          <w:szCs w:val="26"/>
        </w:rPr>
        <w:t>he District Attorney asserts that</w:t>
      </w:r>
      <w:r w:rsidR="0028663E">
        <w:rPr>
          <w:szCs w:val="26"/>
        </w:rPr>
        <w:t xml:space="preserve"> </w:t>
      </w:r>
      <w:r w:rsidRPr="00D1376F" w:rsidR="002B104A">
        <w:rPr>
          <w:szCs w:val="26"/>
        </w:rPr>
        <w:t xml:space="preserve">jury selection notes </w:t>
      </w:r>
      <w:r w:rsidRPr="00D1376F" w:rsidR="00F81A69">
        <w:rPr>
          <w:szCs w:val="26"/>
        </w:rPr>
        <w:t xml:space="preserve">are </w:t>
      </w:r>
      <w:r w:rsidR="002B0A8E">
        <w:rPr>
          <w:szCs w:val="26"/>
        </w:rPr>
        <w:t xml:space="preserve">writings </w:t>
      </w:r>
      <w:r w:rsidR="0028663E">
        <w:rPr>
          <w:szCs w:val="26"/>
        </w:rPr>
        <w:t>entitled to absolute protection</w:t>
      </w:r>
      <w:r w:rsidR="00BE19D6">
        <w:rPr>
          <w:szCs w:val="26"/>
        </w:rPr>
        <w:t xml:space="preserve"> under Code of Civil Procedure section 2018.030, subdivision (a)</w:t>
      </w:r>
      <w:r w:rsidR="00B15A59">
        <w:rPr>
          <w:szCs w:val="26"/>
        </w:rPr>
        <w:t xml:space="preserve"> because they </w:t>
      </w:r>
      <w:r w:rsidRPr="00D1376F" w:rsidR="002D5285">
        <w:rPr>
          <w:szCs w:val="26"/>
        </w:rPr>
        <w:t xml:space="preserve">reveal </w:t>
      </w:r>
      <w:r w:rsidRPr="00D1376F">
        <w:rPr>
          <w:szCs w:val="26"/>
        </w:rPr>
        <w:t>an attorney’s opinions and impressions of potential juror</w:t>
      </w:r>
      <w:r w:rsidRPr="00D1376F" w:rsidR="00185595">
        <w:rPr>
          <w:szCs w:val="26"/>
        </w:rPr>
        <w:t xml:space="preserve">s.  </w:t>
      </w:r>
      <w:r w:rsidR="00680AC9">
        <w:rPr>
          <w:szCs w:val="26"/>
        </w:rPr>
        <w:t>Jone</w:t>
      </w:r>
      <w:r w:rsidR="00B15A59">
        <w:rPr>
          <w:szCs w:val="26"/>
        </w:rPr>
        <w:t xml:space="preserve">s, for his part, argues that the work product </w:t>
      </w:r>
      <w:r w:rsidR="009570AD">
        <w:rPr>
          <w:szCs w:val="26"/>
        </w:rPr>
        <w:t>doctrine does not reach</w:t>
      </w:r>
      <w:r w:rsidR="00A01FEC">
        <w:rPr>
          <w:szCs w:val="26"/>
        </w:rPr>
        <w:t xml:space="preserve"> opinions and impressions of jurors, as opposed to opinions and impressions of the legal case</w:t>
      </w:r>
      <w:r w:rsidR="009570AD">
        <w:rPr>
          <w:szCs w:val="26"/>
        </w:rPr>
        <w:t>.  He</w:t>
      </w:r>
      <w:r w:rsidR="005723D4">
        <w:rPr>
          <w:szCs w:val="26"/>
        </w:rPr>
        <w:t xml:space="preserve"> </w:t>
      </w:r>
      <w:r w:rsidR="00680AC9">
        <w:rPr>
          <w:szCs w:val="26"/>
        </w:rPr>
        <w:t xml:space="preserve">characterizes the District Attorney’s </w:t>
      </w:r>
      <w:r w:rsidR="009570AD">
        <w:rPr>
          <w:szCs w:val="26"/>
        </w:rPr>
        <w:t xml:space="preserve">opposing </w:t>
      </w:r>
      <w:r w:rsidR="00680AC9">
        <w:rPr>
          <w:szCs w:val="26"/>
        </w:rPr>
        <w:t xml:space="preserve">view </w:t>
      </w:r>
      <w:r w:rsidRPr="00D1376F" w:rsidR="000F1285">
        <w:rPr>
          <w:szCs w:val="26"/>
        </w:rPr>
        <w:t xml:space="preserve">as overly broad and </w:t>
      </w:r>
      <w:r w:rsidRPr="00D1376F" w:rsidR="00BA0A80">
        <w:rPr>
          <w:szCs w:val="26"/>
        </w:rPr>
        <w:t>unmoored from</w:t>
      </w:r>
      <w:r w:rsidRPr="00D1376F" w:rsidR="00CA5CD6">
        <w:rPr>
          <w:szCs w:val="26"/>
        </w:rPr>
        <w:t xml:space="preserve"> </w:t>
      </w:r>
      <w:r w:rsidRPr="00D1376F" w:rsidR="000F1285">
        <w:rPr>
          <w:szCs w:val="26"/>
        </w:rPr>
        <w:t xml:space="preserve">the </w:t>
      </w:r>
      <w:r w:rsidR="00C71671">
        <w:rPr>
          <w:szCs w:val="26"/>
        </w:rPr>
        <w:t xml:space="preserve">doctrine’s </w:t>
      </w:r>
      <w:r w:rsidRPr="00D1376F" w:rsidR="00D75BA3">
        <w:rPr>
          <w:szCs w:val="26"/>
        </w:rPr>
        <w:t xml:space="preserve">central </w:t>
      </w:r>
      <w:r w:rsidRPr="00D1376F" w:rsidR="000F1285">
        <w:rPr>
          <w:szCs w:val="26"/>
        </w:rPr>
        <w:t>purpose</w:t>
      </w:r>
      <w:r w:rsidRPr="00D1376F" w:rsidR="00885F76">
        <w:rPr>
          <w:szCs w:val="26"/>
        </w:rPr>
        <w:t>s</w:t>
      </w:r>
      <w:r w:rsidR="005C5E47">
        <w:rPr>
          <w:szCs w:val="26"/>
        </w:rPr>
        <w:t> </w:t>
      </w:r>
      <w:r w:rsidR="00480DBE">
        <w:rPr>
          <w:szCs w:val="26"/>
        </w:rPr>
        <w:t>—</w:t>
      </w:r>
      <w:r w:rsidR="00246058">
        <w:rPr>
          <w:szCs w:val="26"/>
        </w:rPr>
        <w:t xml:space="preserve"> namely, to </w:t>
      </w:r>
      <w:r w:rsidR="00B26863">
        <w:rPr>
          <w:szCs w:val="26"/>
        </w:rPr>
        <w:t xml:space="preserve">allow attorneys to prepare their cases for trial and </w:t>
      </w:r>
      <w:r w:rsidR="00246058">
        <w:rPr>
          <w:szCs w:val="26"/>
        </w:rPr>
        <w:t xml:space="preserve">to prevent their </w:t>
      </w:r>
      <w:r w:rsidR="006A49B1">
        <w:rPr>
          <w:szCs w:val="26"/>
        </w:rPr>
        <w:t xml:space="preserve">opponents </w:t>
      </w:r>
      <w:r w:rsidR="00B26863">
        <w:rPr>
          <w:szCs w:val="26"/>
        </w:rPr>
        <w:t>from free-riding on their efforts</w:t>
      </w:r>
      <w:r w:rsidRPr="00D1376F" w:rsidR="00185595">
        <w:rPr>
          <w:szCs w:val="26"/>
        </w:rPr>
        <w:t xml:space="preserve">.  </w:t>
      </w:r>
      <w:r w:rsidRPr="00D1376F" w:rsidR="00D75BA3">
        <w:rPr>
          <w:szCs w:val="26"/>
        </w:rPr>
        <w:t>(See Code Civ. Proc., §</w:t>
      </w:r>
      <w:r w:rsidRPr="00D1376F" w:rsidR="00C21F00">
        <w:rPr>
          <w:szCs w:val="26"/>
        </w:rPr>
        <w:t> </w:t>
      </w:r>
      <w:r w:rsidRPr="00D1376F" w:rsidR="00D75BA3">
        <w:rPr>
          <w:szCs w:val="26"/>
        </w:rPr>
        <w:t>2018.020</w:t>
      </w:r>
      <w:r w:rsidRPr="00D1376F" w:rsidR="00C40A86">
        <w:rPr>
          <w:szCs w:val="26"/>
        </w:rPr>
        <w:t>.</w:t>
      </w:r>
      <w:r w:rsidRPr="00D1376F" w:rsidR="00D75BA3">
        <w:rPr>
          <w:szCs w:val="26"/>
        </w:rPr>
        <w:t>)</w:t>
      </w:r>
      <w:r w:rsidR="00B4431B">
        <w:rPr>
          <w:szCs w:val="26"/>
        </w:rPr>
        <w:t xml:space="preserve">  </w:t>
      </w:r>
    </w:p>
    <w:p w:rsidR="00841805" w:rsidRPr="00D1376F" w:rsidP="00D1376F">
      <w:pPr>
        <w:rPr>
          <w:szCs w:val="26"/>
        </w:rPr>
      </w:pPr>
      <w:r w:rsidRPr="00D1376F">
        <w:rPr>
          <w:szCs w:val="26"/>
        </w:rPr>
        <w:tab/>
      </w:r>
      <w:r w:rsidR="004031A3">
        <w:rPr>
          <w:szCs w:val="26"/>
        </w:rPr>
        <w:t xml:space="preserve">We need not resolve this </w:t>
      </w:r>
      <w:r w:rsidR="00B05E5C">
        <w:rPr>
          <w:szCs w:val="26"/>
        </w:rPr>
        <w:t xml:space="preserve">broad </w:t>
      </w:r>
      <w:r w:rsidR="004031A3">
        <w:rPr>
          <w:szCs w:val="26"/>
        </w:rPr>
        <w:t>dispute</w:t>
      </w:r>
      <w:r w:rsidR="009441D8">
        <w:rPr>
          <w:szCs w:val="26"/>
        </w:rPr>
        <w:t xml:space="preserve"> </w:t>
      </w:r>
      <w:r w:rsidR="008904CC">
        <w:rPr>
          <w:szCs w:val="26"/>
        </w:rPr>
        <w:t xml:space="preserve">about the </w:t>
      </w:r>
      <w:r w:rsidR="00D34F4F">
        <w:rPr>
          <w:szCs w:val="26"/>
        </w:rPr>
        <w:t xml:space="preserve">reach </w:t>
      </w:r>
      <w:r w:rsidR="008904CC">
        <w:rPr>
          <w:szCs w:val="26"/>
        </w:rPr>
        <w:t xml:space="preserve">of work product protection </w:t>
      </w:r>
      <w:r w:rsidR="00B05E5C">
        <w:rPr>
          <w:szCs w:val="26"/>
        </w:rPr>
        <w:t>to answer the question before us</w:t>
      </w:r>
      <w:r w:rsidR="00DA5610">
        <w:rPr>
          <w:szCs w:val="26"/>
        </w:rPr>
        <w:t xml:space="preserve">, which </w:t>
      </w:r>
      <w:r w:rsidR="00D34F4F">
        <w:rPr>
          <w:szCs w:val="26"/>
        </w:rPr>
        <w:t xml:space="preserve">concerns </w:t>
      </w:r>
      <w:r w:rsidR="00AC06AE">
        <w:rPr>
          <w:szCs w:val="26"/>
        </w:rPr>
        <w:t xml:space="preserve">one party’s invocation of the work product doctrine </w:t>
      </w:r>
      <w:r w:rsidR="002549BB">
        <w:rPr>
          <w:szCs w:val="26"/>
        </w:rPr>
        <w:t xml:space="preserve">to shield </w:t>
      </w:r>
      <w:r w:rsidR="00B93FD6">
        <w:rPr>
          <w:szCs w:val="26"/>
        </w:rPr>
        <w:t xml:space="preserve">matters </w:t>
      </w:r>
      <w:r w:rsidR="00B929F4">
        <w:rPr>
          <w:szCs w:val="26"/>
        </w:rPr>
        <w:t xml:space="preserve">it had put in issue </w:t>
      </w:r>
      <w:r w:rsidR="00942023">
        <w:rPr>
          <w:szCs w:val="26"/>
        </w:rPr>
        <w:t xml:space="preserve">during the litigation of the </w:t>
      </w:r>
      <w:r w:rsidR="00942023">
        <w:rPr>
          <w:i/>
          <w:iCs/>
          <w:szCs w:val="26"/>
        </w:rPr>
        <w:t>Batson/Wheeler</w:t>
      </w:r>
      <w:r w:rsidR="00942023">
        <w:rPr>
          <w:szCs w:val="26"/>
        </w:rPr>
        <w:t xml:space="preserve"> challenge</w:t>
      </w:r>
      <w:r w:rsidR="009441D8">
        <w:rPr>
          <w:szCs w:val="26"/>
        </w:rPr>
        <w:t xml:space="preserve">.  Even </w:t>
      </w:r>
      <w:r w:rsidR="004031A3">
        <w:rPr>
          <w:szCs w:val="26"/>
        </w:rPr>
        <w:t xml:space="preserve">if we assume </w:t>
      </w:r>
      <w:r w:rsidRPr="00D1376F">
        <w:rPr>
          <w:szCs w:val="26"/>
        </w:rPr>
        <w:t xml:space="preserve">that </w:t>
      </w:r>
      <w:r w:rsidRPr="00D1376F" w:rsidR="00CD4168">
        <w:rPr>
          <w:szCs w:val="26"/>
        </w:rPr>
        <w:t>jury selection notes are protected work product</w:t>
      </w:r>
      <w:r w:rsidRPr="00D1376F">
        <w:rPr>
          <w:szCs w:val="26"/>
        </w:rPr>
        <w:t xml:space="preserve"> as defined by</w:t>
      </w:r>
      <w:r w:rsidRPr="00D1376F" w:rsidR="00CD4168">
        <w:rPr>
          <w:szCs w:val="26"/>
        </w:rPr>
        <w:t xml:space="preserve"> </w:t>
      </w:r>
      <w:r w:rsidRPr="00D1376F" w:rsidR="00C20473">
        <w:rPr>
          <w:szCs w:val="26"/>
        </w:rPr>
        <w:t>Code of Civil Procedure section 2018.030</w:t>
      </w:r>
      <w:r w:rsidRPr="00D1376F" w:rsidR="00C40A86">
        <w:rPr>
          <w:szCs w:val="26"/>
        </w:rPr>
        <w:t>,</w:t>
      </w:r>
      <w:r w:rsidRPr="00D1376F">
        <w:rPr>
          <w:szCs w:val="26"/>
        </w:rPr>
        <w:t xml:space="preserve"> subdivision (a), </w:t>
      </w:r>
      <w:bookmarkStart w:id="7" w:name="_Hlk88236227"/>
      <w:r w:rsidR="004031A3">
        <w:rPr>
          <w:szCs w:val="26"/>
        </w:rPr>
        <w:t xml:space="preserve">we </w:t>
      </w:r>
      <w:r w:rsidR="00DE716C">
        <w:rPr>
          <w:szCs w:val="26"/>
        </w:rPr>
        <w:t xml:space="preserve">nonetheless </w:t>
      </w:r>
      <w:r w:rsidR="003A0E3F">
        <w:rPr>
          <w:szCs w:val="26"/>
        </w:rPr>
        <w:t xml:space="preserve">agree with the courts below </w:t>
      </w:r>
      <w:r w:rsidR="004031A3">
        <w:rPr>
          <w:szCs w:val="26"/>
        </w:rPr>
        <w:t xml:space="preserve">that </w:t>
      </w:r>
      <w:r w:rsidRPr="00D1376F" w:rsidR="00F80469">
        <w:rPr>
          <w:szCs w:val="26"/>
        </w:rPr>
        <w:t xml:space="preserve">the prosecutor </w:t>
      </w:r>
      <w:r w:rsidR="00AD2AA9">
        <w:rPr>
          <w:szCs w:val="26"/>
        </w:rPr>
        <w:t>in th</w:t>
      </w:r>
      <w:r w:rsidR="000F42DA">
        <w:rPr>
          <w:szCs w:val="26"/>
        </w:rPr>
        <w:t>is</w:t>
      </w:r>
      <w:r w:rsidR="00AD2AA9">
        <w:rPr>
          <w:szCs w:val="26"/>
        </w:rPr>
        <w:t xml:space="preserve"> case </w:t>
      </w:r>
      <w:r w:rsidRPr="00D1376F" w:rsidR="00F81A69">
        <w:rPr>
          <w:szCs w:val="26"/>
        </w:rPr>
        <w:t xml:space="preserve">impliedly </w:t>
      </w:r>
      <w:r w:rsidRPr="00D1376F" w:rsidR="00316C42">
        <w:rPr>
          <w:szCs w:val="26"/>
        </w:rPr>
        <w:t xml:space="preserve">waived </w:t>
      </w:r>
      <w:r w:rsidRPr="00D1376F" w:rsidR="00F81A69">
        <w:rPr>
          <w:szCs w:val="26"/>
        </w:rPr>
        <w:t>any</w:t>
      </w:r>
      <w:r w:rsidRPr="00D1376F" w:rsidR="00316C42">
        <w:rPr>
          <w:szCs w:val="26"/>
        </w:rPr>
        <w:t xml:space="preserve"> work product </w:t>
      </w:r>
      <w:r w:rsidRPr="00D1376F" w:rsidR="00BE26EC">
        <w:rPr>
          <w:szCs w:val="26"/>
        </w:rPr>
        <w:t>protection</w:t>
      </w:r>
      <w:r w:rsidRPr="00D1376F" w:rsidR="000D6D11">
        <w:rPr>
          <w:szCs w:val="26"/>
        </w:rPr>
        <w:t xml:space="preserve"> </w:t>
      </w:r>
      <w:r w:rsidR="000F685D">
        <w:rPr>
          <w:szCs w:val="26"/>
        </w:rPr>
        <w:t xml:space="preserve">when he </w:t>
      </w:r>
      <w:r w:rsidR="004B7C63">
        <w:rPr>
          <w:szCs w:val="26"/>
        </w:rPr>
        <w:t>justif</w:t>
      </w:r>
      <w:r w:rsidR="000F685D">
        <w:rPr>
          <w:szCs w:val="26"/>
        </w:rPr>
        <w:t>ied</w:t>
      </w:r>
      <w:r w:rsidR="004B7C63">
        <w:rPr>
          <w:szCs w:val="26"/>
        </w:rPr>
        <w:t xml:space="preserve"> his peremptory challenges by </w:t>
      </w:r>
      <w:r w:rsidR="00292672">
        <w:rPr>
          <w:szCs w:val="26"/>
        </w:rPr>
        <w:t xml:space="preserve">putting </w:t>
      </w:r>
      <w:r w:rsidR="00701CA4">
        <w:rPr>
          <w:szCs w:val="26"/>
        </w:rPr>
        <w:t>in</w:t>
      </w:r>
      <w:r w:rsidR="00292672">
        <w:rPr>
          <w:szCs w:val="26"/>
        </w:rPr>
        <w:t xml:space="preserve"> issue</w:t>
      </w:r>
      <w:r w:rsidR="00111717">
        <w:rPr>
          <w:szCs w:val="26"/>
        </w:rPr>
        <w:t xml:space="preserve"> information the District Attorney now </w:t>
      </w:r>
      <w:r w:rsidR="00D92314">
        <w:rPr>
          <w:szCs w:val="26"/>
        </w:rPr>
        <w:t xml:space="preserve">seeks to </w:t>
      </w:r>
      <w:r w:rsidR="00A72213">
        <w:rPr>
          <w:szCs w:val="26"/>
        </w:rPr>
        <w:t>withhold</w:t>
      </w:r>
      <w:r w:rsidR="00D92314">
        <w:rPr>
          <w:szCs w:val="26"/>
        </w:rPr>
        <w:t xml:space="preserve"> as confidential</w:t>
      </w:r>
      <w:r w:rsidR="00F072D9">
        <w:rPr>
          <w:szCs w:val="26"/>
        </w:rPr>
        <w:t xml:space="preserve"> in postconviction discovery</w:t>
      </w:r>
      <w:r w:rsidRPr="004031A3" w:rsidR="004031A3">
        <w:rPr>
          <w:szCs w:val="26"/>
        </w:rPr>
        <w:t>.</w:t>
      </w:r>
      <w:bookmarkEnd w:id="7"/>
    </w:p>
    <w:p w:rsidR="007C5FA4" w:rsidRPr="00D1376F" w:rsidP="00690BA0">
      <w:pPr>
        <w:rPr>
          <w:szCs w:val="26"/>
        </w:rPr>
      </w:pPr>
      <w:r w:rsidRPr="00D1376F">
        <w:rPr>
          <w:szCs w:val="26"/>
        </w:rPr>
        <w:tab/>
      </w:r>
      <w:r w:rsidRPr="00D1376F" w:rsidR="000D6D11">
        <w:rPr>
          <w:szCs w:val="26"/>
        </w:rPr>
        <w:t xml:space="preserve">Although the work product statute does not </w:t>
      </w:r>
      <w:r w:rsidR="00B6219B">
        <w:rPr>
          <w:szCs w:val="26"/>
        </w:rPr>
        <w:t xml:space="preserve">directly address </w:t>
      </w:r>
      <w:r w:rsidRPr="00D1376F" w:rsidR="000D6D11">
        <w:rPr>
          <w:szCs w:val="26"/>
        </w:rPr>
        <w:t>the issue</w:t>
      </w:r>
      <w:r w:rsidRPr="00D1376F" w:rsidR="002D4BF5">
        <w:rPr>
          <w:szCs w:val="26"/>
        </w:rPr>
        <w:t xml:space="preserve"> of waiver</w:t>
      </w:r>
      <w:r w:rsidRPr="00D1376F" w:rsidR="000D6D11">
        <w:rPr>
          <w:szCs w:val="26"/>
        </w:rPr>
        <w:t>, it is well</w:t>
      </w:r>
      <w:r w:rsidRPr="00D1376F" w:rsidR="00FC1910">
        <w:rPr>
          <w:szCs w:val="26"/>
        </w:rPr>
        <w:t xml:space="preserve"> </w:t>
      </w:r>
      <w:r w:rsidRPr="00D1376F" w:rsidR="000D6D11">
        <w:rPr>
          <w:szCs w:val="26"/>
        </w:rPr>
        <w:t xml:space="preserve">established that work product protection, like other forms of privilege, can be waived through conduct.  </w:t>
      </w:r>
      <w:r w:rsidRPr="00D1376F" w:rsidR="008069CD">
        <w:rPr>
          <w:szCs w:val="26"/>
        </w:rPr>
        <w:t>(</w:t>
      </w:r>
      <w:r w:rsidRPr="00D1376F" w:rsidR="00CE0C6D">
        <w:rPr>
          <w:szCs w:val="26"/>
        </w:rPr>
        <w:t xml:space="preserve">See </w:t>
      </w:r>
      <w:r w:rsidRPr="00D1376F" w:rsidR="00CE0C6D">
        <w:rPr>
          <w:i/>
          <w:iCs/>
          <w:szCs w:val="26"/>
        </w:rPr>
        <w:t>Ardon v. City of Los Angeles</w:t>
      </w:r>
      <w:r w:rsidRPr="00D1376F" w:rsidR="00CE0C6D">
        <w:rPr>
          <w:szCs w:val="26"/>
        </w:rPr>
        <w:t xml:space="preserve"> (2016) 62 Cal.4th 1176, 11</w:t>
      </w:r>
      <w:r w:rsidRPr="00D1376F" w:rsidR="002875E7">
        <w:rPr>
          <w:szCs w:val="26"/>
        </w:rPr>
        <w:t>86</w:t>
      </w:r>
      <w:r w:rsidRPr="00D1376F" w:rsidR="00E72F44">
        <w:rPr>
          <w:szCs w:val="26"/>
        </w:rPr>
        <w:t xml:space="preserve"> (</w:t>
      </w:r>
      <w:r w:rsidRPr="00D1376F" w:rsidR="00E72F44">
        <w:rPr>
          <w:i/>
          <w:iCs/>
          <w:szCs w:val="26"/>
        </w:rPr>
        <w:t>Ardon</w:t>
      </w:r>
      <w:r w:rsidRPr="00D1376F" w:rsidR="00E72F44">
        <w:rPr>
          <w:szCs w:val="26"/>
        </w:rPr>
        <w:t>)</w:t>
      </w:r>
      <w:r w:rsidRPr="00D1376F" w:rsidR="005F6993">
        <w:rPr>
          <w:szCs w:val="26"/>
        </w:rPr>
        <w:t xml:space="preserve">; </w:t>
      </w:r>
      <w:r w:rsidRPr="00D1376F" w:rsidR="00202BCB">
        <w:rPr>
          <w:i/>
          <w:iCs/>
          <w:szCs w:val="26"/>
        </w:rPr>
        <w:t>Rico v. Mitsubishi Motors Corp</w:t>
      </w:r>
      <w:r w:rsidRPr="00D1376F" w:rsidR="00202BCB">
        <w:rPr>
          <w:szCs w:val="26"/>
        </w:rPr>
        <w:t xml:space="preserve">. (2007) 42 Cal.4th 807; </w:t>
      </w:r>
      <w:r w:rsidRPr="00D1376F" w:rsidR="005F6993">
        <w:rPr>
          <w:i/>
          <w:iCs/>
          <w:szCs w:val="26"/>
        </w:rPr>
        <w:t>BP Alaska Exploration, Inc. v. Super</w:t>
      </w:r>
      <w:r w:rsidRPr="00D1376F" w:rsidR="00FD4648">
        <w:rPr>
          <w:i/>
          <w:iCs/>
          <w:szCs w:val="26"/>
        </w:rPr>
        <w:t>ior</w:t>
      </w:r>
      <w:r w:rsidRPr="00D1376F" w:rsidR="005F6993">
        <w:rPr>
          <w:i/>
          <w:iCs/>
          <w:szCs w:val="26"/>
        </w:rPr>
        <w:t xml:space="preserve"> </w:t>
      </w:r>
      <w:r w:rsidRPr="00D1376F" w:rsidR="00FD4648">
        <w:rPr>
          <w:i/>
          <w:iCs/>
          <w:szCs w:val="26"/>
        </w:rPr>
        <w:t>Court</w:t>
      </w:r>
      <w:r w:rsidRPr="00D1376F" w:rsidR="00294489">
        <w:rPr>
          <w:i/>
          <w:iCs/>
          <w:szCs w:val="26"/>
        </w:rPr>
        <w:t xml:space="preserve"> </w:t>
      </w:r>
      <w:r w:rsidRPr="00D1376F" w:rsidR="004A2D5E">
        <w:rPr>
          <w:szCs w:val="26"/>
        </w:rPr>
        <w:t>(</w:t>
      </w:r>
      <w:r w:rsidRPr="00D1376F" w:rsidR="00035EFD">
        <w:rPr>
          <w:szCs w:val="26"/>
        </w:rPr>
        <w:t xml:space="preserve">1988) </w:t>
      </w:r>
      <w:r w:rsidRPr="00D1376F" w:rsidR="00294489">
        <w:rPr>
          <w:szCs w:val="26"/>
        </w:rPr>
        <w:t>199 Cal.App.3d 1240, 1254</w:t>
      </w:r>
      <w:r w:rsidRPr="00D1376F" w:rsidR="002875E7">
        <w:rPr>
          <w:szCs w:val="26"/>
        </w:rPr>
        <w:t>.)</w:t>
      </w:r>
      <w:r w:rsidRPr="00D1376F" w:rsidR="006F166D">
        <w:rPr>
          <w:szCs w:val="26"/>
        </w:rPr>
        <w:t xml:space="preserve">  </w:t>
      </w:r>
      <w:r w:rsidRPr="00D1376F" w:rsidR="002E0416">
        <w:rPr>
          <w:szCs w:val="26"/>
        </w:rPr>
        <w:t xml:space="preserve">Waiver may be found where the </w:t>
      </w:r>
      <w:r w:rsidRPr="00D1376F" w:rsidR="009A6481">
        <w:rPr>
          <w:szCs w:val="26"/>
        </w:rPr>
        <w:t>privilege holder</w:t>
      </w:r>
      <w:r w:rsidRPr="00D1376F" w:rsidR="002E0416">
        <w:rPr>
          <w:szCs w:val="26"/>
        </w:rPr>
        <w:t>, without coercion,</w:t>
      </w:r>
      <w:r w:rsidRPr="00D1376F" w:rsidR="009A6481">
        <w:rPr>
          <w:szCs w:val="26"/>
        </w:rPr>
        <w:t xml:space="preserve"> discloses a significant part of the communication to </w:t>
      </w:r>
      <w:r w:rsidRPr="00D1376F" w:rsidR="00C93079">
        <w:rPr>
          <w:szCs w:val="26"/>
        </w:rPr>
        <w:t>another person</w:t>
      </w:r>
      <w:r w:rsidRPr="00D1376F" w:rsidR="009A6481">
        <w:rPr>
          <w:szCs w:val="26"/>
        </w:rPr>
        <w:t>.  (</w:t>
      </w:r>
      <w:r w:rsidR="00690BA0">
        <w:rPr>
          <w:i/>
          <w:iCs/>
          <w:szCs w:val="26"/>
        </w:rPr>
        <w:t>Labor &amp; Workforce Dev</w:t>
      </w:r>
      <w:r w:rsidR="00876BEA">
        <w:rPr>
          <w:i/>
          <w:iCs/>
          <w:szCs w:val="26"/>
        </w:rPr>
        <w:t>elopment</w:t>
      </w:r>
      <w:r w:rsidR="00690BA0">
        <w:rPr>
          <w:i/>
          <w:iCs/>
          <w:szCs w:val="26"/>
        </w:rPr>
        <w:t xml:space="preserve"> Agency v. Superior Court</w:t>
      </w:r>
      <w:r w:rsidR="00690BA0">
        <w:rPr>
          <w:szCs w:val="26"/>
        </w:rPr>
        <w:t xml:space="preserve"> (2018) 19 Cal.App.5th 12, 35–36; cf. </w:t>
      </w:r>
      <w:r w:rsidRPr="00D1376F" w:rsidR="009A6481">
        <w:rPr>
          <w:szCs w:val="26"/>
        </w:rPr>
        <w:t>Evid. Code</w:t>
      </w:r>
      <w:r w:rsidRPr="00D1376F" w:rsidR="00A3665E">
        <w:rPr>
          <w:szCs w:val="26"/>
        </w:rPr>
        <w:t>,</w:t>
      </w:r>
      <w:r w:rsidRPr="00D1376F" w:rsidR="009A6481">
        <w:rPr>
          <w:szCs w:val="26"/>
        </w:rPr>
        <w:t xml:space="preserve"> §</w:t>
      </w:r>
      <w:r w:rsidRPr="00D1376F" w:rsidR="00076EC5">
        <w:rPr>
          <w:szCs w:val="26"/>
        </w:rPr>
        <w:t> </w:t>
      </w:r>
      <w:r w:rsidRPr="00D1376F" w:rsidR="009A6481">
        <w:rPr>
          <w:szCs w:val="26"/>
        </w:rPr>
        <w:t>912</w:t>
      </w:r>
      <w:r w:rsidRPr="00D1376F" w:rsidR="00076EC5">
        <w:rPr>
          <w:szCs w:val="26"/>
        </w:rPr>
        <w:t>,</w:t>
      </w:r>
      <w:r w:rsidRPr="00D1376F" w:rsidR="00AD7085">
        <w:rPr>
          <w:szCs w:val="26"/>
        </w:rPr>
        <w:t xml:space="preserve"> subd.</w:t>
      </w:r>
      <w:r w:rsidR="007D558F">
        <w:rPr>
          <w:szCs w:val="26"/>
        </w:rPr>
        <w:t> </w:t>
      </w:r>
      <w:r w:rsidRPr="00D1376F" w:rsidR="009A6481">
        <w:rPr>
          <w:szCs w:val="26"/>
        </w:rPr>
        <w:t>(a)</w:t>
      </w:r>
      <w:r w:rsidRPr="00D1376F" w:rsidR="00802808">
        <w:rPr>
          <w:szCs w:val="26"/>
        </w:rPr>
        <w:t xml:space="preserve"> [</w:t>
      </w:r>
      <w:r w:rsidR="00EE22A8">
        <w:rPr>
          <w:szCs w:val="26"/>
        </w:rPr>
        <w:t xml:space="preserve">setting out the same </w:t>
      </w:r>
      <w:r w:rsidRPr="00D1376F" w:rsidR="00802808">
        <w:rPr>
          <w:szCs w:val="26"/>
        </w:rPr>
        <w:t xml:space="preserve">waiver standard for </w:t>
      </w:r>
      <w:r w:rsidRPr="00D1376F" w:rsidR="007B1E77">
        <w:rPr>
          <w:szCs w:val="26"/>
        </w:rPr>
        <w:t>enumerated</w:t>
      </w:r>
      <w:r w:rsidRPr="00D1376F" w:rsidR="00802808">
        <w:rPr>
          <w:szCs w:val="26"/>
        </w:rPr>
        <w:t xml:space="preserve"> forms of privilege, not including work product protection</w:t>
      </w:r>
      <w:r w:rsidRPr="00D1376F" w:rsidR="00D76F0E">
        <w:rPr>
          <w:szCs w:val="26"/>
        </w:rPr>
        <w:t>].</w:t>
      </w:r>
      <w:r w:rsidRPr="00D1376F" w:rsidR="009A6481">
        <w:rPr>
          <w:szCs w:val="26"/>
        </w:rPr>
        <w:t xml:space="preserve">)  </w:t>
      </w:r>
      <w:r w:rsidR="008E6957">
        <w:rPr>
          <w:szCs w:val="26"/>
        </w:rPr>
        <w:t>An implied w</w:t>
      </w:r>
      <w:r w:rsidRPr="00D1376F" w:rsidR="009A6094">
        <w:rPr>
          <w:szCs w:val="26"/>
        </w:rPr>
        <w:t xml:space="preserve">aiver may also be found when </w:t>
      </w:r>
      <w:r w:rsidRPr="00D1376F" w:rsidR="00F04790">
        <w:rPr>
          <w:szCs w:val="26"/>
        </w:rPr>
        <w:t xml:space="preserve">a party </w:t>
      </w:r>
      <w:r w:rsidRPr="00D1376F" w:rsidR="00F81A69">
        <w:rPr>
          <w:szCs w:val="26"/>
        </w:rPr>
        <w:t>“has put the otherwise privilege</w:t>
      </w:r>
      <w:r w:rsidRPr="00D1376F" w:rsidR="007B1E77">
        <w:rPr>
          <w:szCs w:val="26"/>
        </w:rPr>
        <w:t>d</w:t>
      </w:r>
      <w:r w:rsidRPr="00D1376F" w:rsidR="00F81A69">
        <w:rPr>
          <w:szCs w:val="26"/>
        </w:rPr>
        <w:t xml:space="preserve"> communication directly at issue and </w:t>
      </w:r>
      <w:r w:rsidRPr="00D1376F" w:rsidR="001C552C">
        <w:rPr>
          <w:szCs w:val="26"/>
        </w:rPr>
        <w:t>.</w:t>
      </w:r>
      <w:r w:rsidR="007D558F">
        <w:rPr>
          <w:szCs w:val="26"/>
        </w:rPr>
        <w:t> </w:t>
      </w:r>
      <w:r w:rsidRPr="00D1376F" w:rsidR="001C552C">
        <w:rPr>
          <w:szCs w:val="26"/>
        </w:rPr>
        <w:t>.</w:t>
      </w:r>
      <w:r w:rsidR="007D558F">
        <w:rPr>
          <w:szCs w:val="26"/>
        </w:rPr>
        <w:t> </w:t>
      </w:r>
      <w:r w:rsidRPr="00D1376F" w:rsidR="001C552C">
        <w:rPr>
          <w:szCs w:val="26"/>
        </w:rPr>
        <w:t xml:space="preserve">. </w:t>
      </w:r>
      <w:r w:rsidRPr="00D1376F" w:rsidR="00F81A69">
        <w:rPr>
          <w:szCs w:val="26"/>
        </w:rPr>
        <w:t xml:space="preserve">disclosure is </w:t>
      </w:r>
      <w:r w:rsidRPr="00D1376F" w:rsidR="007B1E77">
        <w:rPr>
          <w:szCs w:val="26"/>
        </w:rPr>
        <w:t>essential</w:t>
      </w:r>
      <w:r w:rsidRPr="00D1376F" w:rsidR="00F81A69">
        <w:rPr>
          <w:szCs w:val="26"/>
        </w:rPr>
        <w:t xml:space="preserve"> for a fair adjudication of the action.”  (</w:t>
      </w:r>
      <w:r w:rsidRPr="00D1376F" w:rsidR="00F81A69">
        <w:rPr>
          <w:i/>
          <w:iCs/>
          <w:szCs w:val="26"/>
        </w:rPr>
        <w:t>Southern Cal. Gas Co. v. Public Utilities Com</w:t>
      </w:r>
      <w:r w:rsidRPr="00D1376F" w:rsidR="007B1E77">
        <w:rPr>
          <w:i/>
          <w:iCs/>
          <w:szCs w:val="26"/>
        </w:rPr>
        <w:t>.</w:t>
      </w:r>
      <w:r w:rsidRPr="00D1376F" w:rsidR="00F81A69">
        <w:rPr>
          <w:szCs w:val="26"/>
        </w:rPr>
        <w:t xml:space="preserve"> (1990) 50 Cal.3d 31, 40</w:t>
      </w:r>
      <w:r w:rsidR="00FE0F67">
        <w:rPr>
          <w:szCs w:val="26"/>
        </w:rPr>
        <w:t>,</w:t>
      </w:r>
      <w:r w:rsidRPr="00D1376F" w:rsidR="00C40A86">
        <w:rPr>
          <w:szCs w:val="26"/>
        </w:rPr>
        <w:t xml:space="preserve"> </w:t>
      </w:r>
      <w:r w:rsidRPr="00D1376F" w:rsidR="00F81A69">
        <w:rPr>
          <w:szCs w:val="26"/>
        </w:rPr>
        <w:t xml:space="preserve">citing </w:t>
      </w:r>
      <w:r w:rsidRPr="00D1376F" w:rsidR="00F81A69">
        <w:rPr>
          <w:i/>
          <w:iCs/>
          <w:szCs w:val="26"/>
        </w:rPr>
        <w:t>Mitchell v. Super</w:t>
      </w:r>
      <w:r w:rsidRPr="00D1376F" w:rsidR="007B1E77">
        <w:rPr>
          <w:i/>
          <w:iCs/>
          <w:szCs w:val="26"/>
        </w:rPr>
        <w:t>ior</w:t>
      </w:r>
      <w:r w:rsidRPr="00D1376F" w:rsidR="00F81A69">
        <w:rPr>
          <w:i/>
          <w:iCs/>
          <w:szCs w:val="26"/>
        </w:rPr>
        <w:t xml:space="preserve"> C</w:t>
      </w:r>
      <w:r w:rsidRPr="00D1376F" w:rsidR="007B1E77">
        <w:rPr>
          <w:i/>
          <w:iCs/>
          <w:szCs w:val="26"/>
        </w:rPr>
        <w:t>ourt</w:t>
      </w:r>
      <w:r w:rsidRPr="00D1376F" w:rsidR="00F81A69">
        <w:rPr>
          <w:szCs w:val="26"/>
        </w:rPr>
        <w:t xml:space="preserve"> (</w:t>
      </w:r>
      <w:r w:rsidRPr="00D1376F" w:rsidR="00551988">
        <w:rPr>
          <w:szCs w:val="26"/>
        </w:rPr>
        <w:t>1984) 37 Cal.3d 591, 609</w:t>
      </w:r>
      <w:r w:rsidR="00E1452F">
        <w:rPr>
          <w:szCs w:val="26"/>
        </w:rPr>
        <w:t xml:space="preserve"> (</w:t>
      </w:r>
      <w:r w:rsidRPr="00E1452F" w:rsidR="00E1452F">
        <w:rPr>
          <w:i/>
          <w:iCs/>
          <w:szCs w:val="26"/>
        </w:rPr>
        <w:t>Mitchell</w:t>
      </w:r>
      <w:r w:rsidR="00E1452F">
        <w:rPr>
          <w:szCs w:val="26"/>
        </w:rPr>
        <w:t>)</w:t>
      </w:r>
      <w:r w:rsidRPr="00D1376F" w:rsidR="00551988">
        <w:rPr>
          <w:szCs w:val="26"/>
        </w:rPr>
        <w:t>.)</w:t>
      </w:r>
      <w:r w:rsidRPr="00D1376F" w:rsidR="000A74C8">
        <w:rPr>
          <w:szCs w:val="26"/>
        </w:rPr>
        <w:t xml:space="preserve">  </w:t>
      </w:r>
    </w:p>
    <w:p w:rsidR="000A74C8" w:rsidRPr="00D1376F" w:rsidP="00D1376F">
      <w:pPr>
        <w:rPr>
          <w:bCs/>
          <w:szCs w:val="26"/>
        </w:rPr>
      </w:pPr>
      <w:r w:rsidRPr="00D1376F">
        <w:rPr>
          <w:szCs w:val="26"/>
        </w:rPr>
        <w:tab/>
      </w:r>
      <w:r w:rsidRPr="00D1376F" w:rsidR="00D224AC">
        <w:rPr>
          <w:szCs w:val="26"/>
        </w:rPr>
        <w:t xml:space="preserve">Much like the work product doctrine itself, </w:t>
      </w:r>
      <w:r w:rsidRPr="00D1376F" w:rsidR="00D224AC">
        <w:rPr>
          <w:bCs/>
          <w:szCs w:val="26"/>
        </w:rPr>
        <w:t>t</w:t>
      </w:r>
      <w:r w:rsidRPr="00D1376F" w:rsidR="00D224AC">
        <w:rPr>
          <w:szCs w:val="26"/>
        </w:rPr>
        <w:t xml:space="preserve">his second theory of </w:t>
      </w:r>
      <w:r w:rsidR="00480DBE">
        <w:rPr>
          <w:szCs w:val="26"/>
        </w:rPr>
        <w:t xml:space="preserve">implied </w:t>
      </w:r>
      <w:r w:rsidRPr="00D1376F" w:rsidR="00D224AC">
        <w:rPr>
          <w:szCs w:val="26"/>
        </w:rPr>
        <w:t>waiver</w:t>
      </w:r>
      <w:r w:rsidR="00C42BA5">
        <w:rPr>
          <w:szCs w:val="26"/>
        </w:rPr>
        <w:t xml:space="preserve"> </w:t>
      </w:r>
      <w:r w:rsidRPr="00D1376F" w:rsidR="00D224AC">
        <w:rPr>
          <w:szCs w:val="26"/>
        </w:rPr>
        <w:t>is premised on the need to protect the integrity of the judicial proceeding</w:t>
      </w:r>
      <w:r w:rsidR="00BF54D8">
        <w:rPr>
          <w:szCs w:val="26"/>
        </w:rPr>
        <w:t>.  The cases recognize that a</w:t>
      </w:r>
      <w:r w:rsidRPr="00D1376F" w:rsidR="007C7647">
        <w:rPr>
          <w:bCs/>
          <w:szCs w:val="26"/>
        </w:rPr>
        <w:t>llowing one party to rely on a document to establish key facts</w:t>
      </w:r>
      <w:r w:rsidRPr="00D1376F" w:rsidR="00F53D00">
        <w:rPr>
          <w:bCs/>
          <w:szCs w:val="26"/>
        </w:rPr>
        <w:t xml:space="preserve"> </w:t>
      </w:r>
      <w:r w:rsidRPr="00D1376F" w:rsidR="007C7647">
        <w:rPr>
          <w:bCs/>
          <w:szCs w:val="26"/>
        </w:rPr>
        <w:t xml:space="preserve">while simultaneously shielding that same document from the other </w:t>
      </w:r>
      <w:r w:rsidRPr="00D1376F" w:rsidR="00864AA8">
        <w:rPr>
          <w:bCs/>
          <w:szCs w:val="26"/>
        </w:rPr>
        <w:t xml:space="preserve">side </w:t>
      </w:r>
      <w:r w:rsidRPr="00D1376F" w:rsidR="007C7647">
        <w:rPr>
          <w:bCs/>
          <w:szCs w:val="26"/>
        </w:rPr>
        <w:t xml:space="preserve">works an unfair </w:t>
      </w:r>
      <w:r w:rsidRPr="00D1376F" w:rsidR="00712D51">
        <w:rPr>
          <w:bCs/>
          <w:szCs w:val="26"/>
        </w:rPr>
        <w:t xml:space="preserve">adversarial </w:t>
      </w:r>
      <w:r w:rsidRPr="00D1376F" w:rsidR="007C7647">
        <w:rPr>
          <w:bCs/>
          <w:szCs w:val="26"/>
        </w:rPr>
        <w:t>advantage</w:t>
      </w:r>
      <w:r w:rsidRPr="00D1376F" w:rsidR="007C7647">
        <w:rPr>
          <w:szCs w:val="26"/>
        </w:rPr>
        <w:t xml:space="preserve">.  </w:t>
      </w:r>
      <w:r w:rsidR="000D26E8">
        <w:rPr>
          <w:szCs w:val="26"/>
        </w:rPr>
        <w:t xml:space="preserve">Considerations of basic </w:t>
      </w:r>
      <w:r w:rsidR="00BF54D8">
        <w:rPr>
          <w:szCs w:val="26"/>
        </w:rPr>
        <w:t xml:space="preserve">fairness accordingly </w:t>
      </w:r>
      <w:r w:rsidRPr="00D1376F" w:rsidR="00BF54D8">
        <w:rPr>
          <w:szCs w:val="26"/>
        </w:rPr>
        <w:t>“may require disclosure of otherwise privileged information or communications where [a party] has placed in issue a communication which goes to the heart of the claim in controversy</w:t>
      </w:r>
      <w:r w:rsidR="00EE32BB">
        <w:rPr>
          <w:szCs w:val="26"/>
        </w:rPr>
        <w:t>.</w:t>
      </w:r>
      <w:r w:rsidRPr="00D1376F" w:rsidR="00BF54D8">
        <w:rPr>
          <w:szCs w:val="26"/>
        </w:rPr>
        <w:t>”</w:t>
      </w:r>
      <w:r w:rsidR="00EE32BB">
        <w:rPr>
          <w:szCs w:val="26"/>
        </w:rPr>
        <w:t xml:space="preserve">  </w:t>
      </w:r>
      <w:r w:rsidRPr="00D1376F" w:rsidR="007C7647">
        <w:rPr>
          <w:bCs/>
          <w:szCs w:val="26"/>
        </w:rPr>
        <w:t>(</w:t>
      </w:r>
      <w:r w:rsidRPr="00D1376F" w:rsidR="007C7647">
        <w:rPr>
          <w:bCs/>
          <w:i/>
          <w:iCs/>
          <w:szCs w:val="26"/>
        </w:rPr>
        <w:t>Mitchell</w:t>
      </w:r>
      <w:r w:rsidRPr="00D1376F" w:rsidR="007C7647">
        <w:rPr>
          <w:bCs/>
          <w:szCs w:val="26"/>
        </w:rPr>
        <w:t xml:space="preserve">, </w:t>
      </w:r>
      <w:r w:rsidRPr="00D1376F" w:rsidR="00F77DEA">
        <w:rPr>
          <w:bCs/>
          <w:i/>
          <w:iCs/>
          <w:szCs w:val="26"/>
        </w:rPr>
        <w:t>supra</w:t>
      </w:r>
      <w:r w:rsidRPr="00D1376F" w:rsidR="00F77DEA">
        <w:rPr>
          <w:bCs/>
          <w:szCs w:val="26"/>
        </w:rPr>
        <w:t xml:space="preserve">, </w:t>
      </w:r>
      <w:r w:rsidRPr="00D1376F" w:rsidR="007C7647">
        <w:rPr>
          <w:bCs/>
          <w:szCs w:val="26"/>
        </w:rPr>
        <w:t>37 Cal.3d at p.</w:t>
      </w:r>
      <w:r w:rsidRPr="00D1376F" w:rsidR="00076EC5">
        <w:rPr>
          <w:bCs/>
          <w:szCs w:val="26"/>
        </w:rPr>
        <w:t> </w:t>
      </w:r>
      <w:r w:rsidRPr="00D1376F" w:rsidR="007C7647">
        <w:rPr>
          <w:bCs/>
          <w:szCs w:val="26"/>
        </w:rPr>
        <w:t>604.)</w:t>
      </w:r>
      <w:r>
        <w:rPr>
          <w:rStyle w:val="FootnoteReference"/>
          <w:bCs/>
        </w:rPr>
        <w:footnoteReference w:id="12"/>
      </w:r>
      <w:r w:rsidRPr="00D1376F" w:rsidR="00936BDE">
        <w:rPr>
          <w:bCs/>
          <w:szCs w:val="26"/>
        </w:rPr>
        <w:t xml:space="preserve">  </w:t>
      </w:r>
    </w:p>
    <w:p w:rsidR="00511C45" w:rsidRPr="00D1376F" w:rsidP="00D1376F">
      <w:pPr>
        <w:rPr>
          <w:bCs/>
          <w:szCs w:val="26"/>
        </w:rPr>
      </w:pPr>
      <w:r w:rsidRPr="00D1376F">
        <w:rPr>
          <w:bCs/>
          <w:szCs w:val="26"/>
        </w:rPr>
        <w:tab/>
      </w:r>
      <w:r w:rsidRPr="00D1376F" w:rsidR="00B82F65">
        <w:rPr>
          <w:bCs/>
          <w:szCs w:val="26"/>
        </w:rPr>
        <w:t xml:space="preserve">Courts have </w:t>
      </w:r>
      <w:r w:rsidR="008E6957">
        <w:rPr>
          <w:bCs/>
          <w:szCs w:val="26"/>
        </w:rPr>
        <w:t xml:space="preserve">found implied </w:t>
      </w:r>
      <w:r w:rsidRPr="00D1376F" w:rsidR="00B82F65">
        <w:rPr>
          <w:bCs/>
          <w:szCs w:val="26"/>
        </w:rPr>
        <w:t xml:space="preserve">waiver </w:t>
      </w:r>
      <w:r w:rsidRPr="00D1376F" w:rsidR="00EC7A1C">
        <w:rPr>
          <w:bCs/>
          <w:szCs w:val="26"/>
        </w:rPr>
        <w:t>in a variety of litigation contexts</w:t>
      </w:r>
      <w:r w:rsidRPr="00D1376F">
        <w:rPr>
          <w:bCs/>
          <w:szCs w:val="26"/>
        </w:rPr>
        <w:t>.</w:t>
      </w:r>
      <w:r w:rsidRPr="00D1376F">
        <w:rPr>
          <w:bCs/>
        </w:rPr>
        <w:t xml:space="preserve"> </w:t>
      </w:r>
      <w:r w:rsidRPr="00D1376F">
        <w:rPr>
          <w:bCs/>
          <w:szCs w:val="26"/>
        </w:rPr>
        <w:t xml:space="preserve"> </w:t>
      </w:r>
      <w:r w:rsidRPr="00D1376F" w:rsidR="00833122">
        <w:rPr>
          <w:bCs/>
          <w:szCs w:val="26"/>
        </w:rPr>
        <w:t xml:space="preserve">In </w:t>
      </w:r>
      <w:r w:rsidR="009243B7">
        <w:rPr>
          <w:bCs/>
          <w:i/>
          <w:iCs/>
          <w:szCs w:val="26"/>
        </w:rPr>
        <w:t>Nobles</w:t>
      </w:r>
      <w:r w:rsidR="009243B7">
        <w:rPr>
          <w:bCs/>
          <w:szCs w:val="26"/>
        </w:rPr>
        <w:t xml:space="preserve">, for example, </w:t>
      </w:r>
      <w:r w:rsidRPr="00D1376F" w:rsidR="00833122">
        <w:rPr>
          <w:bCs/>
          <w:szCs w:val="26"/>
        </w:rPr>
        <w:t>t</w:t>
      </w:r>
      <w:r w:rsidRPr="00D1376F" w:rsidR="00EC7A1C">
        <w:rPr>
          <w:bCs/>
          <w:szCs w:val="26"/>
        </w:rPr>
        <w:t>he</w:t>
      </w:r>
      <w:r w:rsidRPr="00D1376F">
        <w:rPr>
          <w:bCs/>
          <w:szCs w:val="26"/>
        </w:rPr>
        <w:t xml:space="preserve"> United States Supreme Court reject</w:t>
      </w:r>
      <w:r w:rsidRPr="00D1376F" w:rsidR="00EC7A1C">
        <w:rPr>
          <w:bCs/>
          <w:szCs w:val="26"/>
        </w:rPr>
        <w:t xml:space="preserve">ed </w:t>
      </w:r>
      <w:r w:rsidRPr="00D1376F">
        <w:rPr>
          <w:bCs/>
          <w:szCs w:val="26"/>
        </w:rPr>
        <w:t xml:space="preserve">an argument that criminal defense counsel could simultaneously rely on a </w:t>
      </w:r>
      <w:r w:rsidRPr="00D1376F" w:rsidR="00E07BD7">
        <w:rPr>
          <w:bCs/>
          <w:szCs w:val="26"/>
        </w:rPr>
        <w:t xml:space="preserve">testifying </w:t>
      </w:r>
      <w:r w:rsidRPr="00D1376F">
        <w:rPr>
          <w:bCs/>
          <w:szCs w:val="26"/>
        </w:rPr>
        <w:t>defense investigator to impeach the credibility of a critical prosecution witness while also claiming the investigator’s report was protected by the work product doctrine</w:t>
      </w:r>
      <w:r w:rsidRPr="00D1376F" w:rsidR="0009008D">
        <w:rPr>
          <w:bCs/>
          <w:szCs w:val="26"/>
        </w:rPr>
        <w:t>.  The court explained:</w:t>
      </w:r>
      <w:r w:rsidRPr="00D1376F" w:rsidR="00C86C04">
        <w:rPr>
          <w:bCs/>
          <w:szCs w:val="26"/>
        </w:rPr>
        <w:t xml:space="preserve"> </w:t>
      </w:r>
      <w:r w:rsidRPr="00D1376F">
        <w:rPr>
          <w:bCs/>
          <w:szCs w:val="26"/>
        </w:rPr>
        <w:t xml:space="preserve"> “At its core, the work-product doctrine shelters the mental processes of the attorney, providing a privileged area within which he can analyze and prepare his client’s case.  But the doctrine is an intensely practical one, grounded in the realities of litigation in our adversary system.</w:t>
      </w:r>
      <w:r w:rsidRPr="00D1376F" w:rsidR="00076EC5">
        <w:rPr>
          <w:bCs/>
          <w:szCs w:val="26"/>
        </w:rPr>
        <w:t> </w:t>
      </w:r>
      <w:r w:rsidRPr="00D1376F" w:rsidR="00872827">
        <w:rPr>
          <w:bCs/>
          <w:szCs w:val="26"/>
        </w:rPr>
        <w:t>.</w:t>
      </w:r>
      <w:r w:rsidRPr="00D1376F" w:rsidR="00076EC5">
        <w:rPr>
          <w:bCs/>
          <w:szCs w:val="26"/>
        </w:rPr>
        <w:t> </w:t>
      </w:r>
      <w:r w:rsidRPr="00D1376F" w:rsidR="00872827">
        <w:rPr>
          <w:bCs/>
          <w:szCs w:val="26"/>
        </w:rPr>
        <w:t>.</w:t>
      </w:r>
      <w:r w:rsidRPr="00D1376F" w:rsidR="00076EC5">
        <w:rPr>
          <w:bCs/>
          <w:szCs w:val="26"/>
        </w:rPr>
        <w:t> </w:t>
      </w:r>
      <w:r w:rsidRPr="00D1376F" w:rsidR="00872827">
        <w:rPr>
          <w:bCs/>
          <w:szCs w:val="26"/>
        </w:rPr>
        <w:t xml:space="preserve">. </w:t>
      </w:r>
      <w:r w:rsidR="00E1452F">
        <w:rPr>
          <w:bCs/>
          <w:szCs w:val="26"/>
        </w:rPr>
        <w:t xml:space="preserve"> [¶]  . . . </w:t>
      </w:r>
      <w:r w:rsidRPr="00D1376F">
        <w:rPr>
          <w:bCs/>
          <w:szCs w:val="26"/>
        </w:rPr>
        <w:t>Respondent, by electing to present the investigator as a witness, waived the privilege with respect to matters covered in his testimony.  Respondent can no more advance the work-product doctrine to sustain a unilateral testimonial use of work-produc</w:t>
      </w:r>
      <w:r w:rsidRPr="00D1376F" w:rsidR="00850AE5">
        <w:rPr>
          <w:bCs/>
          <w:szCs w:val="26"/>
        </w:rPr>
        <w:t>t</w:t>
      </w:r>
      <w:r w:rsidRPr="00D1376F">
        <w:rPr>
          <w:bCs/>
          <w:szCs w:val="26"/>
        </w:rPr>
        <w:t xml:space="preserve"> materials than he could elect to testify in his own behalf and thereafter assert his Fifth Amendment privilege to resist cross-examination on matters reasonably related to those brought out in direct examination.”  (</w:t>
      </w:r>
      <w:r w:rsidRPr="00D1376F">
        <w:rPr>
          <w:bCs/>
          <w:i/>
          <w:iCs/>
          <w:szCs w:val="26"/>
        </w:rPr>
        <w:t>Nobles</w:t>
      </w:r>
      <w:r w:rsidR="00F55008">
        <w:rPr>
          <w:bCs/>
          <w:szCs w:val="26"/>
        </w:rPr>
        <w:t xml:space="preserve">, </w:t>
      </w:r>
      <w:r w:rsidR="00F55008">
        <w:rPr>
          <w:bCs/>
          <w:i/>
          <w:iCs/>
          <w:szCs w:val="26"/>
        </w:rPr>
        <w:t>supra</w:t>
      </w:r>
      <w:r w:rsidR="00F55008">
        <w:rPr>
          <w:bCs/>
          <w:szCs w:val="26"/>
        </w:rPr>
        <w:t>,</w:t>
      </w:r>
      <w:r w:rsidRPr="00D1376F">
        <w:rPr>
          <w:bCs/>
          <w:i/>
          <w:iCs/>
          <w:szCs w:val="26"/>
        </w:rPr>
        <w:t xml:space="preserve"> </w:t>
      </w:r>
      <w:r w:rsidRPr="00D1376F">
        <w:rPr>
          <w:bCs/>
          <w:szCs w:val="26"/>
        </w:rPr>
        <w:t xml:space="preserve">422 U.S. </w:t>
      </w:r>
      <w:r w:rsidR="00F55008">
        <w:rPr>
          <w:bCs/>
          <w:szCs w:val="26"/>
        </w:rPr>
        <w:t>at pp. </w:t>
      </w:r>
      <w:r w:rsidRPr="00D1376F" w:rsidR="00C64A1C">
        <w:rPr>
          <w:bCs/>
          <w:szCs w:val="26"/>
        </w:rPr>
        <w:t>23</w:t>
      </w:r>
      <w:r w:rsidRPr="00D1376F" w:rsidR="006E0695">
        <w:rPr>
          <w:bCs/>
          <w:szCs w:val="26"/>
        </w:rPr>
        <w:t>8</w:t>
      </w:r>
      <w:r w:rsidRPr="00D1376F" w:rsidR="00C64A1C">
        <w:rPr>
          <w:bCs/>
          <w:szCs w:val="26"/>
        </w:rPr>
        <w:t>–240</w:t>
      </w:r>
      <w:r w:rsidRPr="00D1376F" w:rsidR="00076EC5">
        <w:rPr>
          <w:bCs/>
          <w:szCs w:val="26"/>
        </w:rPr>
        <w:t>,</w:t>
      </w:r>
      <w:r w:rsidRPr="00D1376F">
        <w:rPr>
          <w:bCs/>
          <w:szCs w:val="26"/>
        </w:rPr>
        <w:t xml:space="preserve"> </w:t>
      </w:r>
      <w:r w:rsidRPr="00D1376F" w:rsidR="006E0695">
        <w:rPr>
          <w:bCs/>
          <w:szCs w:val="26"/>
        </w:rPr>
        <w:t xml:space="preserve">fn. </w:t>
      </w:r>
      <w:r w:rsidRPr="00D1376F" w:rsidR="00D54214">
        <w:rPr>
          <w:bCs/>
          <w:szCs w:val="26"/>
        </w:rPr>
        <w:t>o</w:t>
      </w:r>
      <w:r w:rsidRPr="00D1376F" w:rsidR="006E0695">
        <w:rPr>
          <w:bCs/>
          <w:szCs w:val="26"/>
        </w:rPr>
        <w:t>mitted</w:t>
      </w:r>
      <w:r w:rsidRPr="00D1376F">
        <w:rPr>
          <w:bCs/>
          <w:szCs w:val="26"/>
        </w:rPr>
        <w:t>.)</w:t>
      </w:r>
      <w:r>
        <w:rPr>
          <w:rStyle w:val="FootnoteReference"/>
          <w:bCs/>
        </w:rPr>
        <w:footnoteReference w:id="13"/>
      </w:r>
      <w:r w:rsidRPr="00D1376F" w:rsidR="00D93920">
        <w:rPr>
          <w:bCs/>
          <w:szCs w:val="26"/>
        </w:rPr>
        <w:t xml:space="preserve">  </w:t>
      </w:r>
    </w:p>
    <w:p w:rsidR="00511C45" w:rsidRPr="00D1376F" w:rsidP="00D1376F">
      <w:pPr>
        <w:rPr>
          <w:bCs/>
          <w:szCs w:val="26"/>
        </w:rPr>
      </w:pPr>
      <w:r w:rsidRPr="00D1376F">
        <w:rPr>
          <w:bCs/>
          <w:szCs w:val="26"/>
        </w:rPr>
        <w:tab/>
      </w:r>
      <w:r w:rsidRPr="00D1376F">
        <w:rPr>
          <w:i/>
          <w:iCs/>
          <w:szCs w:val="26"/>
        </w:rPr>
        <w:t>Wellpoint Health Networks, Inc. v. Superior Court</w:t>
      </w:r>
      <w:r w:rsidRPr="00D1376F">
        <w:rPr>
          <w:szCs w:val="26"/>
        </w:rPr>
        <w:t xml:space="preserve"> (1997) 59 Cal.App.4th 110 </w:t>
      </w:r>
      <w:r w:rsidRPr="00D1376F" w:rsidR="00D72BCC">
        <w:rPr>
          <w:szCs w:val="26"/>
        </w:rPr>
        <w:t>is also instructive</w:t>
      </w:r>
      <w:r w:rsidRPr="00D1376F">
        <w:rPr>
          <w:szCs w:val="26"/>
        </w:rPr>
        <w:t xml:space="preserve">.  </w:t>
      </w:r>
      <w:r w:rsidRPr="00D1376F" w:rsidR="0009008D">
        <w:rPr>
          <w:szCs w:val="26"/>
        </w:rPr>
        <w:t>The p</w:t>
      </w:r>
      <w:r w:rsidRPr="00D1376F" w:rsidR="00A81245">
        <w:rPr>
          <w:szCs w:val="26"/>
        </w:rPr>
        <w:t xml:space="preserve">laintiff in </w:t>
      </w:r>
      <w:r w:rsidRPr="00D1376F">
        <w:rPr>
          <w:i/>
          <w:iCs/>
          <w:szCs w:val="26"/>
        </w:rPr>
        <w:t xml:space="preserve">Wellpoint </w:t>
      </w:r>
      <w:r w:rsidRPr="00D1376F" w:rsidR="00A81245">
        <w:rPr>
          <w:szCs w:val="26"/>
        </w:rPr>
        <w:t>brought</w:t>
      </w:r>
      <w:r w:rsidRPr="00D1376F">
        <w:rPr>
          <w:szCs w:val="26"/>
        </w:rPr>
        <w:t xml:space="preserve"> an employment discrimination action in which the employer raised an affirmative defense based on corrective action it had taken in response to an internal investigation.  The plaintiff sought production of the investigative reports.  Overruling </w:t>
      </w:r>
      <w:r w:rsidRPr="00D1376F" w:rsidR="00AB1B38">
        <w:rPr>
          <w:szCs w:val="26"/>
        </w:rPr>
        <w:t>the employer’s</w:t>
      </w:r>
      <w:r w:rsidRPr="00D1376F">
        <w:rPr>
          <w:szCs w:val="26"/>
        </w:rPr>
        <w:t xml:space="preserve"> claims of privilege, the Court of Appeal concluded the plaintiff was entitled to the reports.  It reasoned that the “adequacy or thoroughness of a defendant’s investigation of plaintiff’s claim,” while typically “irrelevant” to most civil actions, is highly relevant “</w:t>
      </w:r>
      <w:r w:rsidRPr="00D1376F">
        <w:rPr>
          <w:i/>
          <w:iCs/>
          <w:szCs w:val="26"/>
        </w:rPr>
        <w:t>if</w:t>
      </w:r>
      <w:r w:rsidRPr="00D1376F">
        <w:rPr>
          <w:szCs w:val="26"/>
        </w:rPr>
        <w:t xml:space="preserve"> the employer chooses to defend by establishing that it took reasonable corrective or remedial action.”  (</w:t>
      </w:r>
      <w:r w:rsidRPr="00D1376F">
        <w:rPr>
          <w:i/>
          <w:iCs/>
          <w:szCs w:val="26"/>
        </w:rPr>
        <w:t>Id.</w:t>
      </w:r>
      <w:r w:rsidRPr="00D1376F">
        <w:rPr>
          <w:szCs w:val="26"/>
        </w:rPr>
        <w:t xml:space="preserve"> at p.</w:t>
      </w:r>
      <w:r w:rsidRPr="00D1376F" w:rsidR="00076EC5">
        <w:rPr>
          <w:szCs w:val="26"/>
        </w:rPr>
        <w:t> </w:t>
      </w:r>
      <w:r w:rsidRPr="00D1376F">
        <w:rPr>
          <w:szCs w:val="26"/>
        </w:rPr>
        <w:t xml:space="preserve">126, </w:t>
      </w:r>
      <w:r w:rsidR="00A06636">
        <w:rPr>
          <w:szCs w:val="26"/>
        </w:rPr>
        <w:t>italics</w:t>
      </w:r>
      <w:r w:rsidRPr="00D1376F" w:rsidR="00A06636">
        <w:rPr>
          <w:szCs w:val="26"/>
        </w:rPr>
        <w:t xml:space="preserve"> </w:t>
      </w:r>
      <w:r w:rsidRPr="00D1376F">
        <w:rPr>
          <w:szCs w:val="26"/>
        </w:rPr>
        <w:t xml:space="preserve">added.)  By raising this defense, the employer had “inject[ed] into the lawsuit </w:t>
      </w:r>
      <w:r w:rsidRPr="00D1376F" w:rsidR="00797045">
        <w:rPr>
          <w:szCs w:val="26"/>
        </w:rPr>
        <w:t>.</w:t>
      </w:r>
      <w:r w:rsidRPr="00D1376F" w:rsidR="00076EC5">
        <w:rPr>
          <w:szCs w:val="26"/>
        </w:rPr>
        <w:t> </w:t>
      </w:r>
      <w:r w:rsidRPr="00D1376F" w:rsidR="00797045">
        <w:rPr>
          <w:szCs w:val="26"/>
        </w:rPr>
        <w:t>.</w:t>
      </w:r>
      <w:r w:rsidRPr="00D1376F" w:rsidR="00076EC5">
        <w:rPr>
          <w:szCs w:val="26"/>
        </w:rPr>
        <w:t> </w:t>
      </w:r>
      <w:r w:rsidRPr="00D1376F" w:rsidR="00797045">
        <w:rPr>
          <w:szCs w:val="26"/>
        </w:rPr>
        <w:t xml:space="preserve">. </w:t>
      </w:r>
      <w:r w:rsidRPr="00D1376F">
        <w:rPr>
          <w:szCs w:val="26"/>
        </w:rPr>
        <w:t>an issue concerning the adequacy of the investigation</w:t>
      </w:r>
      <w:r w:rsidR="002C32BE">
        <w:rPr>
          <w:szCs w:val="26"/>
        </w:rPr>
        <w:t>,</w:t>
      </w:r>
      <w:r w:rsidRPr="00D1376F">
        <w:rPr>
          <w:szCs w:val="26"/>
        </w:rPr>
        <w:t>” result</w:t>
      </w:r>
      <w:r w:rsidR="002C32BE">
        <w:rPr>
          <w:szCs w:val="26"/>
        </w:rPr>
        <w:t>ing</w:t>
      </w:r>
      <w:r w:rsidRPr="00D1376F">
        <w:rPr>
          <w:szCs w:val="26"/>
        </w:rPr>
        <w:t xml:space="preserve"> in waiver of the work-product doctrine.  (</w:t>
      </w:r>
      <w:r w:rsidRPr="00D1376F">
        <w:rPr>
          <w:i/>
          <w:iCs/>
          <w:szCs w:val="26"/>
        </w:rPr>
        <w:t>Id.</w:t>
      </w:r>
      <w:r w:rsidR="00FE0F67">
        <w:rPr>
          <w:szCs w:val="26"/>
        </w:rPr>
        <w:t xml:space="preserve"> at</w:t>
      </w:r>
      <w:r w:rsidRPr="00D1376F">
        <w:rPr>
          <w:i/>
          <w:iCs/>
          <w:szCs w:val="26"/>
        </w:rPr>
        <w:t xml:space="preserve"> </w:t>
      </w:r>
      <w:r w:rsidRPr="00D1376F">
        <w:rPr>
          <w:szCs w:val="26"/>
        </w:rPr>
        <w:t>p.</w:t>
      </w:r>
      <w:r w:rsidRPr="00D1376F" w:rsidR="00076EC5">
        <w:rPr>
          <w:szCs w:val="26"/>
        </w:rPr>
        <w:t> </w:t>
      </w:r>
      <w:r w:rsidRPr="00D1376F">
        <w:rPr>
          <w:szCs w:val="26"/>
        </w:rPr>
        <w:t>128.)  “If a defendant employer hopes to prevail by showing that it investigated an employee’s complaint and took action appropriate to the findings of the investigation, then it will have put the adequacy of the investigation directly at issue, and cannot stand on the attorney-client privilege or work product doctrine to preclude a thorough examination of its adequacy.  The defendant cannot have it both ways.  If it chooses this course, it does so with the understanding that the attorney-client privilege and the work product doctrine are thereby waived.”  (</w:t>
      </w:r>
      <w:r w:rsidRPr="00D1376F">
        <w:rPr>
          <w:i/>
          <w:iCs/>
          <w:szCs w:val="26"/>
        </w:rPr>
        <w:t>Ibid.</w:t>
      </w:r>
      <w:r w:rsidRPr="00D1376F">
        <w:rPr>
          <w:szCs w:val="26"/>
        </w:rPr>
        <w:t>)</w:t>
      </w:r>
      <w:r w:rsidRPr="00D1376F" w:rsidR="00C75D6D">
        <w:rPr>
          <w:szCs w:val="26"/>
        </w:rPr>
        <w:t xml:space="preserve">  </w:t>
      </w:r>
    </w:p>
    <w:p w:rsidR="00626EE6">
      <w:pPr>
        <w:rPr>
          <w:bCs/>
          <w:szCs w:val="26"/>
        </w:rPr>
      </w:pPr>
      <w:r w:rsidRPr="00D1376F">
        <w:rPr>
          <w:bCs/>
          <w:szCs w:val="26"/>
        </w:rPr>
        <w:tab/>
      </w:r>
      <w:r w:rsidRPr="00D1376F" w:rsidR="00BB5482">
        <w:rPr>
          <w:szCs w:val="26"/>
        </w:rPr>
        <w:t>The Court of Appeal</w:t>
      </w:r>
      <w:r w:rsidRPr="00D1376F" w:rsidR="00A41B83">
        <w:rPr>
          <w:szCs w:val="26"/>
        </w:rPr>
        <w:t xml:space="preserve"> in this case</w:t>
      </w:r>
      <w:r w:rsidRPr="00D1376F" w:rsidR="000E7D2C">
        <w:rPr>
          <w:szCs w:val="26"/>
        </w:rPr>
        <w:t xml:space="preserve">, citing </w:t>
      </w:r>
      <w:r w:rsidRPr="00D1376F" w:rsidR="000E7D2C">
        <w:rPr>
          <w:i/>
          <w:iCs/>
          <w:szCs w:val="26"/>
        </w:rPr>
        <w:t>Nobles</w:t>
      </w:r>
      <w:r w:rsidRPr="00D1376F" w:rsidR="00DE6FD1">
        <w:rPr>
          <w:i/>
          <w:iCs/>
          <w:szCs w:val="26"/>
        </w:rPr>
        <w:t xml:space="preserve"> </w:t>
      </w:r>
      <w:r w:rsidRPr="00D1376F" w:rsidR="00DE6FD1">
        <w:rPr>
          <w:szCs w:val="26"/>
        </w:rPr>
        <w:t xml:space="preserve">and </w:t>
      </w:r>
      <w:r w:rsidRPr="00D1376F" w:rsidR="00DE6FD1">
        <w:rPr>
          <w:i/>
          <w:iCs/>
          <w:szCs w:val="26"/>
        </w:rPr>
        <w:t>Wellpoint</w:t>
      </w:r>
      <w:r w:rsidRPr="00D1376F" w:rsidR="000E7D2C">
        <w:rPr>
          <w:szCs w:val="26"/>
        </w:rPr>
        <w:t>,</w:t>
      </w:r>
      <w:r w:rsidRPr="00D1376F" w:rsidR="00D068E8">
        <w:rPr>
          <w:szCs w:val="26"/>
        </w:rPr>
        <w:t xml:space="preserve"> </w:t>
      </w:r>
      <w:r w:rsidRPr="00D1376F" w:rsidR="00BB5482">
        <w:rPr>
          <w:szCs w:val="26"/>
        </w:rPr>
        <w:t xml:space="preserve">adopted </w:t>
      </w:r>
      <w:r w:rsidRPr="00D1376F" w:rsidR="00474771">
        <w:rPr>
          <w:szCs w:val="26"/>
        </w:rPr>
        <w:t>similar</w:t>
      </w:r>
      <w:r w:rsidRPr="00D1376F" w:rsidR="00BB5482">
        <w:rPr>
          <w:szCs w:val="26"/>
        </w:rPr>
        <w:t xml:space="preserve"> reasoning</w:t>
      </w:r>
      <w:r w:rsidR="00E2284A">
        <w:rPr>
          <w:szCs w:val="26"/>
        </w:rPr>
        <w:t xml:space="preserve"> to find implied waiver</w:t>
      </w:r>
      <w:r w:rsidR="008B199D">
        <w:rPr>
          <w:szCs w:val="26"/>
        </w:rPr>
        <w:t>.</w:t>
      </w:r>
      <w:r w:rsidR="00E2284A">
        <w:rPr>
          <w:szCs w:val="26"/>
        </w:rPr>
        <w:t xml:space="preserve"> </w:t>
      </w:r>
      <w:r w:rsidR="008B199D">
        <w:rPr>
          <w:szCs w:val="26"/>
        </w:rPr>
        <w:t xml:space="preserve"> I</w:t>
      </w:r>
      <w:r w:rsidR="00E2284A">
        <w:rPr>
          <w:szCs w:val="26"/>
        </w:rPr>
        <w:t xml:space="preserve">t </w:t>
      </w:r>
      <w:r w:rsidR="008B199D">
        <w:rPr>
          <w:szCs w:val="26"/>
        </w:rPr>
        <w:t xml:space="preserve">then </w:t>
      </w:r>
      <w:r w:rsidR="00E2284A">
        <w:rPr>
          <w:szCs w:val="26"/>
        </w:rPr>
        <w:t xml:space="preserve">went on to liken </w:t>
      </w:r>
      <w:r w:rsidRPr="00D1376F" w:rsidR="00D068E8">
        <w:rPr>
          <w:szCs w:val="26"/>
        </w:rPr>
        <w:t>the prosecutor to a witness who testified after refreshing his recollection with his notes</w:t>
      </w:r>
      <w:r w:rsidR="007D558F">
        <w:rPr>
          <w:szCs w:val="26"/>
        </w:rPr>
        <w:t>, citing Evidence Code section 771</w:t>
      </w:r>
      <w:r w:rsidRPr="00D1376F" w:rsidR="00D068E8">
        <w:rPr>
          <w:szCs w:val="26"/>
        </w:rPr>
        <w:t xml:space="preserve">.  </w:t>
      </w:r>
      <w:r w:rsidRPr="00D1376F" w:rsidR="00A808C7">
        <w:rPr>
          <w:bCs/>
          <w:szCs w:val="26"/>
        </w:rPr>
        <w:t>(</w:t>
      </w:r>
      <w:r w:rsidRPr="00D1376F" w:rsidR="00A808C7">
        <w:rPr>
          <w:bCs/>
          <w:i/>
          <w:iCs/>
          <w:szCs w:val="26"/>
        </w:rPr>
        <w:t>Jones</w:t>
      </w:r>
      <w:r w:rsidRPr="00D1376F" w:rsidR="00A808C7">
        <w:rPr>
          <w:bCs/>
          <w:szCs w:val="26"/>
        </w:rPr>
        <w:t xml:space="preserve">, </w:t>
      </w:r>
      <w:r w:rsidRPr="00D1376F" w:rsidR="00A808C7">
        <w:rPr>
          <w:bCs/>
          <w:i/>
          <w:iCs/>
          <w:szCs w:val="26"/>
        </w:rPr>
        <w:t>supra</w:t>
      </w:r>
      <w:r w:rsidRPr="00D1376F" w:rsidR="00A808C7">
        <w:rPr>
          <w:bCs/>
          <w:szCs w:val="26"/>
        </w:rPr>
        <w:t xml:space="preserve">, </w:t>
      </w:r>
      <w:r w:rsidRPr="00D1376F" w:rsidR="00A808C7">
        <w:rPr>
          <w:szCs w:val="26"/>
        </w:rPr>
        <w:t>34 Cal.App.5th at pp.</w:t>
      </w:r>
      <w:r w:rsidRPr="00D1376F" w:rsidR="00076EC5">
        <w:rPr>
          <w:szCs w:val="26"/>
        </w:rPr>
        <w:t> </w:t>
      </w:r>
      <w:r w:rsidRPr="00D1376F" w:rsidR="00A808C7">
        <w:rPr>
          <w:szCs w:val="26"/>
        </w:rPr>
        <w:t>83–84</w:t>
      </w:r>
      <w:r w:rsidRPr="00D1376F" w:rsidR="00A808C7">
        <w:rPr>
          <w:bCs/>
          <w:szCs w:val="26"/>
        </w:rPr>
        <w:t xml:space="preserve">.)  </w:t>
      </w:r>
      <w:r w:rsidR="00E2284A">
        <w:rPr>
          <w:bCs/>
          <w:szCs w:val="26"/>
        </w:rPr>
        <w:t xml:space="preserve">We agree with the District Attorney that section 771 has no direct application here, since </w:t>
      </w:r>
      <w:r w:rsidRPr="00D1376F" w:rsidR="00E33A66">
        <w:rPr>
          <w:bCs/>
          <w:szCs w:val="26"/>
        </w:rPr>
        <w:t xml:space="preserve">an attorney in a </w:t>
      </w:r>
      <w:r w:rsidRPr="00D1376F" w:rsidR="00E33A66">
        <w:rPr>
          <w:bCs/>
          <w:i/>
          <w:iCs/>
          <w:szCs w:val="26"/>
        </w:rPr>
        <w:t>Batson</w:t>
      </w:r>
      <w:r w:rsidRPr="00D1376F" w:rsidR="00E33A66">
        <w:rPr>
          <w:bCs/>
          <w:szCs w:val="26"/>
        </w:rPr>
        <w:t>/</w:t>
      </w:r>
      <w:r w:rsidRPr="00D1376F" w:rsidR="00E33A66">
        <w:rPr>
          <w:bCs/>
          <w:i/>
          <w:iCs/>
          <w:szCs w:val="26"/>
        </w:rPr>
        <w:t>Wheeler</w:t>
      </w:r>
      <w:r w:rsidRPr="00D1376F" w:rsidR="00E33A66">
        <w:rPr>
          <w:bCs/>
          <w:szCs w:val="26"/>
        </w:rPr>
        <w:t xml:space="preserve"> hearing does not testify as a sworn witness.  But </w:t>
      </w:r>
      <w:r w:rsidRPr="00D1376F" w:rsidR="000E3396">
        <w:rPr>
          <w:bCs/>
          <w:szCs w:val="26"/>
        </w:rPr>
        <w:t xml:space="preserve">the analogy nonetheless </w:t>
      </w:r>
      <w:r w:rsidRPr="00D1376F" w:rsidR="00C11CE3">
        <w:rPr>
          <w:bCs/>
          <w:szCs w:val="26"/>
        </w:rPr>
        <w:t>serves</w:t>
      </w:r>
      <w:r w:rsidRPr="00D1376F" w:rsidR="000E3396">
        <w:rPr>
          <w:bCs/>
          <w:szCs w:val="26"/>
        </w:rPr>
        <w:t>.</w:t>
      </w:r>
      <w:r w:rsidR="00A74AB8">
        <w:rPr>
          <w:bCs/>
          <w:szCs w:val="26"/>
        </w:rPr>
        <w:t xml:space="preserve">  </w:t>
      </w:r>
      <w:r w:rsidRPr="00540974" w:rsidR="00A74AB8">
        <w:rPr>
          <w:szCs w:val="27"/>
        </w:rPr>
        <w:t>T</w:t>
      </w:r>
      <w:r w:rsidRPr="00540974" w:rsidR="00A74AB8">
        <w:rPr>
          <w:bCs/>
          <w:szCs w:val="27"/>
        </w:rPr>
        <w:t xml:space="preserve">he law requires disclosure of notes used to refresh a witness’s recollection </w:t>
      </w:r>
      <w:r w:rsidR="00A35132">
        <w:rPr>
          <w:bCs/>
          <w:szCs w:val="27"/>
        </w:rPr>
        <w:t>for</w:t>
      </w:r>
      <w:r w:rsidRPr="00540974" w:rsidR="00A74AB8">
        <w:rPr>
          <w:bCs/>
          <w:szCs w:val="27"/>
        </w:rPr>
        <w:t xml:space="preserve"> much the </w:t>
      </w:r>
      <w:r w:rsidR="001846F7">
        <w:rPr>
          <w:bCs/>
          <w:szCs w:val="27"/>
        </w:rPr>
        <w:t xml:space="preserve">same </w:t>
      </w:r>
      <w:r w:rsidR="00A74AB8">
        <w:rPr>
          <w:bCs/>
          <w:szCs w:val="27"/>
        </w:rPr>
        <w:t xml:space="preserve">reason courts </w:t>
      </w:r>
      <w:r w:rsidRPr="00540974" w:rsidR="00A74AB8">
        <w:rPr>
          <w:bCs/>
          <w:szCs w:val="27"/>
        </w:rPr>
        <w:t>impl</w:t>
      </w:r>
      <w:r w:rsidR="00A74AB8">
        <w:rPr>
          <w:bCs/>
          <w:szCs w:val="27"/>
        </w:rPr>
        <w:t>y</w:t>
      </w:r>
      <w:r w:rsidRPr="00540974" w:rsidR="00A74AB8">
        <w:rPr>
          <w:bCs/>
          <w:szCs w:val="27"/>
        </w:rPr>
        <w:t xml:space="preserve"> waiver</w:t>
      </w:r>
      <w:r w:rsidR="007773DC">
        <w:rPr>
          <w:bCs/>
          <w:szCs w:val="27"/>
        </w:rPr>
        <w:t xml:space="preserve"> in other contexts</w:t>
      </w:r>
      <w:r w:rsidR="00480DBE">
        <w:rPr>
          <w:bCs/>
          <w:szCs w:val="27"/>
        </w:rPr>
        <w:t xml:space="preserve">: </w:t>
      </w:r>
      <w:r w:rsidR="00C42BA5">
        <w:rPr>
          <w:bCs/>
          <w:szCs w:val="27"/>
        </w:rPr>
        <w:t xml:space="preserve"> </w:t>
      </w:r>
      <w:r w:rsidRPr="00540974" w:rsidR="00A74AB8">
        <w:rPr>
          <w:bCs/>
          <w:szCs w:val="27"/>
        </w:rPr>
        <w:t>to ensure the basic fairness of the proceedings</w:t>
      </w:r>
      <w:r w:rsidR="008C0175">
        <w:rPr>
          <w:bCs/>
          <w:szCs w:val="27"/>
        </w:rPr>
        <w:t xml:space="preserve"> where a party has put the substance of privileged material in issue</w:t>
      </w:r>
      <w:r w:rsidRPr="00540974" w:rsidR="00A74AB8">
        <w:rPr>
          <w:bCs/>
          <w:szCs w:val="27"/>
        </w:rPr>
        <w:t xml:space="preserve">.  (See, e.g., </w:t>
      </w:r>
      <w:r w:rsidRPr="00540974" w:rsidR="00A74AB8">
        <w:rPr>
          <w:bCs/>
          <w:i/>
          <w:iCs/>
          <w:szCs w:val="27"/>
        </w:rPr>
        <w:t xml:space="preserve">Kerns Constr. Co. v. Superior Court </w:t>
      </w:r>
      <w:r w:rsidRPr="00540974" w:rsidR="00A74AB8">
        <w:rPr>
          <w:bCs/>
          <w:szCs w:val="27"/>
        </w:rPr>
        <w:t>(1968) 266 Cal.App.2d 405, 411 [an attorney may not provide a witness with protected documents, “allow a witness to testify therefrom and then claim work product privilege to prevent the opposing party from viewing the document from which he testified”].)</w:t>
      </w:r>
      <w:r w:rsidR="00480DBE">
        <w:rPr>
          <w:bCs/>
          <w:szCs w:val="27"/>
        </w:rPr>
        <w:t xml:space="preserve"> </w:t>
      </w:r>
    </w:p>
    <w:p w:rsidR="00665959" w:rsidRPr="00D1376F" w:rsidP="00F945B3">
      <w:pPr>
        <w:ind w:firstLine="720"/>
        <w:rPr>
          <w:bCs/>
          <w:szCs w:val="26"/>
        </w:rPr>
      </w:pPr>
      <w:r>
        <w:rPr>
          <w:bCs/>
          <w:szCs w:val="26"/>
        </w:rPr>
        <w:t>Here, the prosecutor invoked an undisclosed juror rating system</w:t>
      </w:r>
      <w:r w:rsidR="008C374C">
        <w:rPr>
          <w:bCs/>
          <w:szCs w:val="26"/>
        </w:rPr>
        <w:t xml:space="preserve"> in justifying his use of peremptory challenges at the second step of the </w:t>
      </w:r>
      <w:r w:rsidR="008C374C">
        <w:rPr>
          <w:bCs/>
          <w:i/>
          <w:iCs/>
          <w:szCs w:val="26"/>
        </w:rPr>
        <w:t>Batson/Wheeler</w:t>
      </w:r>
      <w:r w:rsidR="008C374C">
        <w:rPr>
          <w:bCs/>
          <w:szCs w:val="26"/>
        </w:rPr>
        <w:t xml:space="preserve"> </w:t>
      </w:r>
      <w:r w:rsidR="00AC6E01">
        <w:rPr>
          <w:bCs/>
          <w:szCs w:val="26"/>
        </w:rPr>
        <w:t>inquiry</w:t>
      </w:r>
      <w:r>
        <w:rPr>
          <w:bCs/>
          <w:szCs w:val="26"/>
        </w:rPr>
        <w:t xml:space="preserve">.  Had the prosecutor instead relied solely on a </w:t>
      </w:r>
      <w:r w:rsidR="004D6832">
        <w:rPr>
          <w:bCs/>
          <w:szCs w:val="26"/>
        </w:rPr>
        <w:t>straightforward listing of juror characteristics</w:t>
      </w:r>
      <w:r w:rsidR="00322692">
        <w:rPr>
          <w:bCs/>
          <w:szCs w:val="26"/>
        </w:rPr>
        <w:t xml:space="preserve">, the prosecutor’s reasons </w:t>
      </w:r>
      <w:r w:rsidR="008F3C80">
        <w:rPr>
          <w:bCs/>
          <w:szCs w:val="26"/>
        </w:rPr>
        <w:t xml:space="preserve">could have </w:t>
      </w:r>
      <w:r w:rsidRPr="00626EE6" w:rsidR="00626EE6">
        <w:rPr>
          <w:bCs/>
          <w:szCs w:val="26"/>
        </w:rPr>
        <w:t>be</w:t>
      </w:r>
      <w:r w:rsidR="0066255A">
        <w:rPr>
          <w:bCs/>
          <w:szCs w:val="26"/>
        </w:rPr>
        <w:t>en</w:t>
      </w:r>
      <w:r w:rsidRPr="00626EE6" w:rsidR="00626EE6">
        <w:rPr>
          <w:bCs/>
          <w:szCs w:val="26"/>
        </w:rPr>
        <w:t xml:space="preserve"> questioned by the defense and judged against the trial court’s own observations</w:t>
      </w:r>
      <w:r w:rsidR="008F3C80">
        <w:rPr>
          <w:bCs/>
          <w:szCs w:val="26"/>
        </w:rPr>
        <w:t xml:space="preserve">.  But </w:t>
      </w:r>
      <w:r w:rsidRPr="00626EE6" w:rsidR="00626EE6">
        <w:rPr>
          <w:bCs/>
          <w:szCs w:val="26"/>
        </w:rPr>
        <w:t>the defense and trial court had no way of confirming or evaluating the prosecutor’s claim</w:t>
      </w:r>
      <w:r w:rsidR="001A54B1">
        <w:rPr>
          <w:bCs/>
          <w:szCs w:val="26"/>
        </w:rPr>
        <w:t>s</w:t>
      </w:r>
      <w:r w:rsidRPr="00626EE6" w:rsidR="00626EE6">
        <w:rPr>
          <w:bCs/>
          <w:szCs w:val="26"/>
        </w:rPr>
        <w:t xml:space="preserve"> </w:t>
      </w:r>
      <w:r w:rsidR="00F55008">
        <w:rPr>
          <w:bCs/>
          <w:szCs w:val="26"/>
        </w:rPr>
        <w:t xml:space="preserve">that he used </w:t>
      </w:r>
      <w:r w:rsidR="001A54B1">
        <w:rPr>
          <w:bCs/>
          <w:szCs w:val="26"/>
        </w:rPr>
        <w:t xml:space="preserve">a race-neutral </w:t>
      </w:r>
      <w:r w:rsidRPr="00626EE6" w:rsidR="00626EE6">
        <w:rPr>
          <w:bCs/>
          <w:szCs w:val="26"/>
        </w:rPr>
        <w:t>rating system</w:t>
      </w:r>
      <w:r w:rsidR="00D169EA">
        <w:rPr>
          <w:bCs/>
          <w:szCs w:val="26"/>
        </w:rPr>
        <w:t xml:space="preserve"> they had never seen</w:t>
      </w:r>
      <w:r w:rsidRPr="00626EE6" w:rsidR="00626EE6">
        <w:rPr>
          <w:bCs/>
          <w:szCs w:val="26"/>
        </w:rPr>
        <w:t xml:space="preserve">.  </w:t>
      </w:r>
      <w:r w:rsidR="00870C42">
        <w:rPr>
          <w:bCs/>
          <w:szCs w:val="26"/>
        </w:rPr>
        <w:t>U</w:t>
      </w:r>
      <w:r w:rsidR="00AC5321">
        <w:rPr>
          <w:bCs/>
          <w:szCs w:val="26"/>
        </w:rPr>
        <w:t xml:space="preserve">nlike an attorney </w:t>
      </w:r>
      <w:r w:rsidR="003E1EFA">
        <w:rPr>
          <w:bCs/>
          <w:szCs w:val="26"/>
        </w:rPr>
        <w:t xml:space="preserve">who simply glances at </w:t>
      </w:r>
      <w:r w:rsidR="00AC5321">
        <w:rPr>
          <w:bCs/>
          <w:szCs w:val="26"/>
        </w:rPr>
        <w:t>her</w:t>
      </w:r>
      <w:r w:rsidR="00D7599E">
        <w:rPr>
          <w:bCs/>
          <w:szCs w:val="26"/>
        </w:rPr>
        <w:t xml:space="preserve"> or his</w:t>
      </w:r>
      <w:r w:rsidR="00AC5321">
        <w:rPr>
          <w:bCs/>
          <w:szCs w:val="26"/>
        </w:rPr>
        <w:t xml:space="preserve"> notes to </w:t>
      </w:r>
      <w:r w:rsidR="001A54B1">
        <w:rPr>
          <w:bCs/>
          <w:szCs w:val="26"/>
        </w:rPr>
        <w:t>recall</w:t>
      </w:r>
      <w:r w:rsidR="00386A5D">
        <w:rPr>
          <w:bCs/>
          <w:szCs w:val="26"/>
        </w:rPr>
        <w:t xml:space="preserve"> </w:t>
      </w:r>
      <w:r w:rsidR="001A54B1">
        <w:rPr>
          <w:bCs/>
          <w:szCs w:val="26"/>
        </w:rPr>
        <w:t xml:space="preserve">a particular answer </w:t>
      </w:r>
      <w:r w:rsidR="00555987">
        <w:rPr>
          <w:bCs/>
          <w:szCs w:val="26"/>
        </w:rPr>
        <w:t xml:space="preserve">provided </w:t>
      </w:r>
      <w:r w:rsidR="001A54B1">
        <w:rPr>
          <w:bCs/>
          <w:szCs w:val="26"/>
        </w:rPr>
        <w:t>during voir dire</w:t>
      </w:r>
      <w:r w:rsidR="00AC5321">
        <w:rPr>
          <w:bCs/>
          <w:szCs w:val="26"/>
        </w:rPr>
        <w:t xml:space="preserve">, </w:t>
      </w:r>
      <w:r w:rsidR="00386A5D">
        <w:rPr>
          <w:bCs/>
          <w:szCs w:val="26"/>
        </w:rPr>
        <w:t xml:space="preserve">for example, </w:t>
      </w:r>
      <w:r w:rsidR="00870C42">
        <w:rPr>
          <w:bCs/>
          <w:szCs w:val="26"/>
        </w:rPr>
        <w:t xml:space="preserve">a </w:t>
      </w:r>
      <w:r w:rsidR="00AC5321">
        <w:rPr>
          <w:bCs/>
          <w:szCs w:val="26"/>
        </w:rPr>
        <w:t xml:space="preserve">striking attorney </w:t>
      </w:r>
      <w:r w:rsidR="001F150F">
        <w:t>who</w:t>
      </w:r>
      <w:r w:rsidR="00F42CDF">
        <w:t xml:space="preserve"> mak</w:t>
      </w:r>
      <w:r w:rsidR="001F150F">
        <w:t>es</w:t>
      </w:r>
      <w:r w:rsidR="00F42CDF">
        <w:t xml:space="preserve"> </w:t>
      </w:r>
      <w:r w:rsidR="00AC6E01">
        <w:t xml:space="preserve">this sort of </w:t>
      </w:r>
      <w:r w:rsidR="00AC5321">
        <w:t>“testimonial use</w:t>
      </w:r>
      <w:r w:rsidR="00F42CDF">
        <w:t>”</w:t>
      </w:r>
      <w:r w:rsidR="00AC5321">
        <w:t xml:space="preserve"> of </w:t>
      </w:r>
      <w:r w:rsidR="00426C85">
        <w:t xml:space="preserve">undisclosed </w:t>
      </w:r>
      <w:r w:rsidR="00A324D9">
        <w:t>writings</w:t>
      </w:r>
      <w:r w:rsidR="001F150F">
        <w:t xml:space="preserve"> gains an unfair adversarial advantage</w:t>
      </w:r>
      <w:r w:rsidR="00AC6E01">
        <w:t xml:space="preserve"> by doing so</w:t>
      </w:r>
      <w:r w:rsidRPr="001040D0" w:rsidR="00AC5321">
        <w:t>.</w:t>
      </w:r>
      <w:r w:rsidR="00AC5321">
        <w:t xml:space="preserve">  (</w:t>
      </w:r>
      <w:r w:rsidRPr="007317AB" w:rsidR="00AC5321">
        <w:rPr>
          <w:i/>
          <w:iCs/>
        </w:rPr>
        <w:t>Nobles</w:t>
      </w:r>
      <w:r w:rsidR="00AC5321">
        <w:t xml:space="preserve">, </w:t>
      </w:r>
      <w:r w:rsidRPr="007317AB" w:rsidR="00AC5321">
        <w:rPr>
          <w:i/>
          <w:iCs/>
        </w:rPr>
        <w:t>supra</w:t>
      </w:r>
      <w:r w:rsidR="00AC5321">
        <w:t xml:space="preserve">, 422 U.S. at p. 239, fn. 14.) </w:t>
      </w:r>
      <w:r w:rsidR="0026769E">
        <w:t xml:space="preserve"> </w:t>
      </w:r>
      <w:bookmarkStart w:id="8" w:name="_Hlk88236479"/>
      <w:r w:rsidR="00460975">
        <w:rPr>
          <w:bCs/>
          <w:szCs w:val="26"/>
        </w:rPr>
        <w:t>Effectively</w:t>
      </w:r>
      <w:r w:rsidR="00D277DE">
        <w:rPr>
          <w:bCs/>
          <w:szCs w:val="26"/>
        </w:rPr>
        <w:t xml:space="preserve"> t</w:t>
      </w:r>
      <w:r w:rsidRPr="00D1376F" w:rsidR="009A6481">
        <w:rPr>
          <w:bCs/>
          <w:szCs w:val="26"/>
        </w:rPr>
        <w:t xml:space="preserve">he striking attorney has </w:t>
      </w:r>
      <w:r w:rsidR="00836779">
        <w:rPr>
          <w:bCs/>
          <w:szCs w:val="26"/>
        </w:rPr>
        <w:t xml:space="preserve">placed in issue </w:t>
      </w:r>
      <w:r w:rsidR="00737260">
        <w:rPr>
          <w:bCs/>
          <w:szCs w:val="26"/>
        </w:rPr>
        <w:t xml:space="preserve">information </w:t>
      </w:r>
      <w:r w:rsidR="00192BA8">
        <w:rPr>
          <w:bCs/>
          <w:szCs w:val="26"/>
        </w:rPr>
        <w:t xml:space="preserve">that </w:t>
      </w:r>
      <w:r w:rsidRPr="00D1376F" w:rsidR="009A6481">
        <w:rPr>
          <w:bCs/>
          <w:szCs w:val="26"/>
        </w:rPr>
        <w:t>go</w:t>
      </w:r>
      <w:r w:rsidR="00192BA8">
        <w:rPr>
          <w:bCs/>
          <w:szCs w:val="26"/>
        </w:rPr>
        <w:t>es</w:t>
      </w:r>
      <w:r w:rsidRPr="00D1376F" w:rsidR="009A6481">
        <w:rPr>
          <w:bCs/>
          <w:szCs w:val="26"/>
        </w:rPr>
        <w:t xml:space="preserve"> to the heart of </w:t>
      </w:r>
      <w:r w:rsidR="00AC6E01">
        <w:rPr>
          <w:bCs/>
          <w:szCs w:val="26"/>
        </w:rPr>
        <w:t>the question before the court, whether there has been discrimination in jury selection</w:t>
      </w:r>
      <w:r w:rsidR="00F945B3">
        <w:rPr>
          <w:bCs/>
          <w:szCs w:val="26"/>
        </w:rPr>
        <w:t xml:space="preserve">.  Under our cases, that </w:t>
      </w:r>
      <w:r w:rsidR="00690D61">
        <w:rPr>
          <w:bCs/>
          <w:szCs w:val="26"/>
        </w:rPr>
        <w:t>choice is one that constitutes waiver of</w:t>
      </w:r>
      <w:r w:rsidR="009C3B92">
        <w:rPr>
          <w:bCs/>
          <w:szCs w:val="26"/>
        </w:rPr>
        <w:t xml:space="preserve"> any claim that the information may be withheld as pr</w:t>
      </w:r>
      <w:r w:rsidR="00A00DDA">
        <w:rPr>
          <w:bCs/>
          <w:szCs w:val="26"/>
        </w:rPr>
        <w:t>otected work product</w:t>
      </w:r>
      <w:bookmarkEnd w:id="8"/>
      <w:r w:rsidR="00F945B3">
        <w:rPr>
          <w:bCs/>
          <w:szCs w:val="26"/>
        </w:rPr>
        <w:t>.</w:t>
      </w:r>
    </w:p>
    <w:p w:rsidR="008819E8" w:rsidRPr="00D1376F">
      <w:pPr>
        <w:rPr>
          <w:b/>
          <w:szCs w:val="26"/>
          <w:vertAlign w:val="superscript"/>
        </w:rPr>
      </w:pPr>
      <w:r w:rsidRPr="00D1376F">
        <w:rPr>
          <w:szCs w:val="26"/>
        </w:rPr>
        <w:tab/>
      </w:r>
      <w:r w:rsidRPr="00D1376F" w:rsidR="00551988">
        <w:rPr>
          <w:szCs w:val="26"/>
        </w:rPr>
        <w:t>T</w:t>
      </w:r>
      <w:r w:rsidRPr="00D1376F" w:rsidR="000D6D11">
        <w:rPr>
          <w:szCs w:val="26"/>
        </w:rPr>
        <w:t>he District Attorney</w:t>
      </w:r>
      <w:r w:rsidRPr="00D1376F" w:rsidR="00551988">
        <w:rPr>
          <w:szCs w:val="26"/>
        </w:rPr>
        <w:t xml:space="preserve"> </w:t>
      </w:r>
      <w:r w:rsidRPr="00D1376F" w:rsidR="009A6481">
        <w:rPr>
          <w:szCs w:val="26"/>
        </w:rPr>
        <w:t>protests</w:t>
      </w:r>
      <w:r w:rsidRPr="00D1376F" w:rsidR="00CE1A45">
        <w:rPr>
          <w:szCs w:val="26"/>
        </w:rPr>
        <w:t xml:space="preserve"> </w:t>
      </w:r>
      <w:r w:rsidRPr="00D1376F" w:rsidR="000D6D11">
        <w:rPr>
          <w:szCs w:val="26"/>
        </w:rPr>
        <w:t xml:space="preserve">that </w:t>
      </w:r>
      <w:r w:rsidR="0044326C">
        <w:rPr>
          <w:szCs w:val="26"/>
        </w:rPr>
        <w:t>the</w:t>
      </w:r>
      <w:r w:rsidR="006602A1">
        <w:rPr>
          <w:szCs w:val="26"/>
        </w:rPr>
        <w:t xml:space="preserve">re could have been no effective waiver </w:t>
      </w:r>
      <w:r w:rsidR="0044326C">
        <w:rPr>
          <w:szCs w:val="26"/>
        </w:rPr>
        <w:t xml:space="preserve">because </w:t>
      </w:r>
      <w:r w:rsidRPr="00D1376F" w:rsidR="009A6481">
        <w:rPr>
          <w:szCs w:val="26"/>
        </w:rPr>
        <w:t>any</w:t>
      </w:r>
      <w:r w:rsidRPr="00D1376F" w:rsidR="000D6D11">
        <w:rPr>
          <w:szCs w:val="26"/>
        </w:rPr>
        <w:t xml:space="preserve"> disclosure </w:t>
      </w:r>
      <w:r w:rsidR="006B7F51">
        <w:rPr>
          <w:szCs w:val="26"/>
        </w:rPr>
        <w:t xml:space="preserve">or invocation </w:t>
      </w:r>
      <w:r w:rsidR="0044326C">
        <w:rPr>
          <w:szCs w:val="26"/>
        </w:rPr>
        <w:t>of protected information wa</w:t>
      </w:r>
      <w:r w:rsidRPr="00D1376F" w:rsidR="00D1053C">
        <w:rPr>
          <w:szCs w:val="26"/>
        </w:rPr>
        <w:t xml:space="preserve">s </w:t>
      </w:r>
      <w:r w:rsidRPr="00D1376F" w:rsidR="00551988">
        <w:rPr>
          <w:szCs w:val="26"/>
        </w:rPr>
        <w:t>coerced</w:t>
      </w:r>
      <w:r w:rsidRPr="00D1376F" w:rsidR="000D6D11">
        <w:rPr>
          <w:szCs w:val="26"/>
        </w:rPr>
        <w:t>.</w:t>
      </w:r>
      <w:r w:rsidRPr="00D1376F" w:rsidR="00BE26EC">
        <w:rPr>
          <w:szCs w:val="26"/>
        </w:rPr>
        <w:t xml:space="preserve">  </w:t>
      </w:r>
      <w:r w:rsidRPr="00D1376F" w:rsidR="0052022F">
        <w:rPr>
          <w:szCs w:val="26"/>
        </w:rPr>
        <w:t xml:space="preserve">(See </w:t>
      </w:r>
      <w:r w:rsidRPr="00D1376F" w:rsidR="0052022F">
        <w:rPr>
          <w:i/>
          <w:iCs/>
          <w:szCs w:val="26"/>
        </w:rPr>
        <w:t xml:space="preserve">Regents of University of California v. Superior Court </w:t>
      </w:r>
      <w:r w:rsidRPr="00D1376F" w:rsidR="0052022F">
        <w:rPr>
          <w:szCs w:val="26"/>
        </w:rPr>
        <w:t>(2008) 165 Cal.App.4th 672</w:t>
      </w:r>
      <w:r w:rsidR="004046FF">
        <w:rPr>
          <w:szCs w:val="26"/>
        </w:rPr>
        <w:t>, 679</w:t>
      </w:r>
      <w:r w:rsidRPr="00D1376F" w:rsidR="0052022F">
        <w:rPr>
          <w:szCs w:val="26"/>
        </w:rPr>
        <w:t xml:space="preserve">.)  </w:t>
      </w:r>
      <w:r w:rsidRPr="00D1376F" w:rsidR="00521A7E">
        <w:rPr>
          <w:szCs w:val="26"/>
        </w:rPr>
        <w:t xml:space="preserve">The District Attorney </w:t>
      </w:r>
      <w:r w:rsidRPr="00D1376F" w:rsidR="00D45315">
        <w:rPr>
          <w:szCs w:val="26"/>
        </w:rPr>
        <w:t xml:space="preserve">stresses </w:t>
      </w:r>
      <w:r w:rsidRPr="00D1376F" w:rsidR="00521A7E">
        <w:rPr>
          <w:szCs w:val="26"/>
        </w:rPr>
        <w:t xml:space="preserve">that </w:t>
      </w:r>
      <w:r w:rsidRPr="00D1376F" w:rsidR="00DD4C93">
        <w:rPr>
          <w:szCs w:val="26"/>
        </w:rPr>
        <w:t xml:space="preserve">an </w:t>
      </w:r>
      <w:r w:rsidRPr="00D1376F" w:rsidR="00D1053C">
        <w:rPr>
          <w:szCs w:val="26"/>
        </w:rPr>
        <w:t xml:space="preserve">attorney </w:t>
      </w:r>
      <w:r w:rsidRPr="00D1376F" w:rsidR="00DD4C93">
        <w:rPr>
          <w:szCs w:val="26"/>
        </w:rPr>
        <w:t>provides a justification</w:t>
      </w:r>
      <w:r w:rsidRPr="00D1376F" w:rsidR="00433C94">
        <w:rPr>
          <w:szCs w:val="26"/>
        </w:rPr>
        <w:t xml:space="preserve"> for striking the challenged prospective jurors </w:t>
      </w:r>
      <w:r w:rsidRPr="00D1376F" w:rsidR="00647F80">
        <w:rPr>
          <w:szCs w:val="26"/>
        </w:rPr>
        <w:t xml:space="preserve">only </w:t>
      </w:r>
      <w:r w:rsidRPr="00D1376F" w:rsidR="00433C94">
        <w:rPr>
          <w:szCs w:val="26"/>
        </w:rPr>
        <w:t>at the request of the court</w:t>
      </w:r>
      <w:r w:rsidR="002A70AB">
        <w:rPr>
          <w:szCs w:val="26"/>
        </w:rPr>
        <w:t> </w:t>
      </w:r>
      <w:r w:rsidRPr="00D1376F" w:rsidR="00433C94">
        <w:rPr>
          <w:szCs w:val="26"/>
        </w:rPr>
        <w:t>— a request</w:t>
      </w:r>
      <w:r w:rsidRPr="00D1376F" w:rsidR="00DD4C93">
        <w:rPr>
          <w:szCs w:val="26"/>
        </w:rPr>
        <w:t xml:space="preserve"> compelled by </w:t>
      </w:r>
      <w:r w:rsidR="0052022F">
        <w:rPr>
          <w:i/>
          <w:iCs/>
          <w:szCs w:val="26"/>
        </w:rPr>
        <w:t>Batson</w:t>
      </w:r>
      <w:r w:rsidRPr="00D1376F" w:rsidR="00DD4C93">
        <w:rPr>
          <w:szCs w:val="26"/>
        </w:rPr>
        <w:t xml:space="preserve">, </w:t>
      </w:r>
      <w:r w:rsidRPr="00D1376F" w:rsidR="00E83D5D">
        <w:rPr>
          <w:szCs w:val="26"/>
        </w:rPr>
        <w:t xml:space="preserve">and therefore one </w:t>
      </w:r>
      <w:r w:rsidRPr="00D1376F" w:rsidR="00DD4C93">
        <w:rPr>
          <w:szCs w:val="26"/>
        </w:rPr>
        <w:t>that</w:t>
      </w:r>
      <w:r w:rsidRPr="00D1376F" w:rsidR="00D975D6">
        <w:rPr>
          <w:szCs w:val="26"/>
        </w:rPr>
        <w:t xml:space="preserve"> </w:t>
      </w:r>
      <w:r w:rsidRPr="00D1376F" w:rsidR="00E178B7">
        <w:rPr>
          <w:szCs w:val="26"/>
        </w:rPr>
        <w:t>the</w:t>
      </w:r>
      <w:r w:rsidRPr="00D1376F" w:rsidR="00DD4C93">
        <w:rPr>
          <w:szCs w:val="26"/>
        </w:rPr>
        <w:t xml:space="preserve"> attorney is</w:t>
      </w:r>
      <w:r w:rsidRPr="00D1376F" w:rsidR="00E178B7">
        <w:rPr>
          <w:szCs w:val="26"/>
        </w:rPr>
        <w:t xml:space="preserve"> </w:t>
      </w:r>
      <w:r w:rsidRPr="00D1376F" w:rsidR="00433C94">
        <w:rPr>
          <w:szCs w:val="26"/>
        </w:rPr>
        <w:t>hardly free to refuse.</w:t>
      </w:r>
      <w:r w:rsidRPr="00D1376F" w:rsidR="00A61DFB">
        <w:rPr>
          <w:szCs w:val="26"/>
        </w:rPr>
        <w:t xml:space="preserve">  </w:t>
      </w:r>
      <w:r w:rsidR="0052022F">
        <w:rPr>
          <w:szCs w:val="26"/>
        </w:rPr>
        <w:t>All of this is true, but it hardly follows that a striking attorney must</w:t>
      </w:r>
      <w:r w:rsidRPr="00D1376F" w:rsidR="00116769">
        <w:rPr>
          <w:szCs w:val="26"/>
        </w:rPr>
        <w:t xml:space="preserve"> </w:t>
      </w:r>
      <w:r w:rsidR="00AF7B6C">
        <w:rPr>
          <w:szCs w:val="26"/>
        </w:rPr>
        <w:t xml:space="preserve">explain the challenged strikes </w:t>
      </w:r>
      <w:r w:rsidR="008D20FE">
        <w:rPr>
          <w:szCs w:val="26"/>
        </w:rPr>
        <w:t xml:space="preserve">by </w:t>
      </w:r>
      <w:r w:rsidR="0023027C">
        <w:rPr>
          <w:szCs w:val="26"/>
        </w:rPr>
        <w:t xml:space="preserve">invoking </w:t>
      </w:r>
      <w:r w:rsidR="0029095E">
        <w:rPr>
          <w:szCs w:val="26"/>
        </w:rPr>
        <w:t xml:space="preserve">an </w:t>
      </w:r>
      <w:r w:rsidR="0023027C">
        <w:rPr>
          <w:szCs w:val="26"/>
        </w:rPr>
        <w:t xml:space="preserve">otherwise confidential </w:t>
      </w:r>
      <w:r w:rsidR="0029095E">
        <w:rPr>
          <w:szCs w:val="26"/>
        </w:rPr>
        <w:t xml:space="preserve">rating system </w:t>
      </w:r>
      <w:r w:rsidR="00C632FF">
        <w:rPr>
          <w:szCs w:val="26"/>
        </w:rPr>
        <w:t>she</w:t>
      </w:r>
      <w:r w:rsidR="004075B8">
        <w:rPr>
          <w:szCs w:val="26"/>
        </w:rPr>
        <w:t xml:space="preserve"> or he</w:t>
      </w:r>
      <w:r w:rsidR="00C632FF">
        <w:rPr>
          <w:szCs w:val="26"/>
        </w:rPr>
        <w:t xml:space="preserve"> believes </w:t>
      </w:r>
      <w:r w:rsidR="008D20FE">
        <w:rPr>
          <w:szCs w:val="26"/>
        </w:rPr>
        <w:t xml:space="preserve">to be </w:t>
      </w:r>
      <w:r w:rsidR="00C632FF">
        <w:rPr>
          <w:szCs w:val="26"/>
        </w:rPr>
        <w:t>protected work product</w:t>
      </w:r>
      <w:r w:rsidRPr="00D1376F" w:rsidR="00116769">
        <w:rPr>
          <w:szCs w:val="26"/>
        </w:rPr>
        <w:t>.</w:t>
      </w:r>
      <w:r w:rsidR="0023027C">
        <w:rPr>
          <w:szCs w:val="26"/>
        </w:rPr>
        <w:t xml:space="preserve">  </w:t>
      </w:r>
    </w:p>
    <w:p w:rsidR="006364D2" w:rsidRPr="00D1376F" w:rsidP="006364D2">
      <w:pPr>
        <w:rPr>
          <w:b/>
          <w:szCs w:val="26"/>
          <w:vertAlign w:val="superscript"/>
        </w:rPr>
      </w:pPr>
      <w:r w:rsidRPr="00D1376F">
        <w:rPr>
          <w:szCs w:val="26"/>
        </w:rPr>
        <w:tab/>
      </w:r>
      <w:r w:rsidR="001244E6">
        <w:rPr>
          <w:bCs/>
          <w:szCs w:val="26"/>
        </w:rPr>
        <w:t>Here, w</w:t>
      </w:r>
      <w:r w:rsidRPr="00D1376F" w:rsidR="00FB0164">
        <w:rPr>
          <w:bCs/>
          <w:szCs w:val="26"/>
        </w:rPr>
        <w:t>hen the trial court asked the prosecutor</w:t>
      </w:r>
      <w:r w:rsidR="001244E6">
        <w:rPr>
          <w:bCs/>
          <w:szCs w:val="26"/>
        </w:rPr>
        <w:t xml:space="preserve"> to defend </w:t>
      </w:r>
      <w:r w:rsidRPr="00D1376F" w:rsidR="00FB0164">
        <w:rPr>
          <w:bCs/>
          <w:szCs w:val="26"/>
        </w:rPr>
        <w:t xml:space="preserve">the challenged strikes, the prosecutor did not </w:t>
      </w:r>
      <w:r w:rsidRPr="00D1376F" w:rsidR="00F530F9">
        <w:rPr>
          <w:bCs/>
          <w:szCs w:val="26"/>
        </w:rPr>
        <w:t xml:space="preserve">simply </w:t>
      </w:r>
      <w:r w:rsidRPr="00D1376F">
        <w:rPr>
          <w:szCs w:val="26"/>
        </w:rPr>
        <w:t>cit</w:t>
      </w:r>
      <w:r w:rsidR="001244E6">
        <w:rPr>
          <w:szCs w:val="26"/>
        </w:rPr>
        <w:t>e</w:t>
      </w:r>
      <w:r w:rsidRPr="00D1376F">
        <w:rPr>
          <w:szCs w:val="26"/>
        </w:rPr>
        <w:t xml:space="preserve"> concern</w:t>
      </w:r>
      <w:r w:rsidRPr="00D1376F" w:rsidR="00F530F9">
        <w:rPr>
          <w:szCs w:val="26"/>
        </w:rPr>
        <w:t>s</w:t>
      </w:r>
      <w:r w:rsidRPr="00D1376F">
        <w:rPr>
          <w:szCs w:val="26"/>
        </w:rPr>
        <w:t xml:space="preserve"> about the prospective jurors’ occupations, volunteer activities, or </w:t>
      </w:r>
      <w:r w:rsidR="001244E6">
        <w:rPr>
          <w:szCs w:val="26"/>
        </w:rPr>
        <w:t>other characteristics</w:t>
      </w:r>
      <w:r w:rsidR="00E41B1B">
        <w:rPr>
          <w:szCs w:val="26"/>
        </w:rPr>
        <w:t xml:space="preserve"> established </w:t>
      </w:r>
      <w:r w:rsidR="00CA6EE2">
        <w:rPr>
          <w:szCs w:val="26"/>
        </w:rPr>
        <w:t xml:space="preserve">through </w:t>
      </w:r>
      <w:r w:rsidR="00E41B1B">
        <w:rPr>
          <w:szCs w:val="26"/>
        </w:rPr>
        <w:t>voir dire</w:t>
      </w:r>
      <w:r w:rsidRPr="00D1376F">
        <w:rPr>
          <w:szCs w:val="26"/>
        </w:rPr>
        <w:t xml:space="preserve">.  Instead, the prosecutor </w:t>
      </w:r>
      <w:r w:rsidRPr="00D1376F" w:rsidR="008820CA">
        <w:rPr>
          <w:szCs w:val="26"/>
        </w:rPr>
        <w:t>point</w:t>
      </w:r>
      <w:r w:rsidR="001244E6">
        <w:rPr>
          <w:szCs w:val="26"/>
        </w:rPr>
        <w:t>ed</w:t>
      </w:r>
      <w:r w:rsidRPr="00D1376F" w:rsidR="008820CA">
        <w:rPr>
          <w:szCs w:val="26"/>
        </w:rPr>
        <w:t xml:space="preserve"> to the </w:t>
      </w:r>
      <w:r w:rsidRPr="00D1376F" w:rsidR="00F530F9">
        <w:rPr>
          <w:szCs w:val="26"/>
        </w:rPr>
        <w:t xml:space="preserve">documented </w:t>
      </w:r>
      <w:r w:rsidRPr="00D1376F" w:rsidR="008820CA">
        <w:rPr>
          <w:szCs w:val="26"/>
        </w:rPr>
        <w:t xml:space="preserve">results of a purportedly color-blind numerical rating system </w:t>
      </w:r>
      <w:r w:rsidR="001244E6">
        <w:rPr>
          <w:szCs w:val="26"/>
        </w:rPr>
        <w:t xml:space="preserve">devised by the prosecution </w:t>
      </w:r>
      <w:r w:rsidRPr="00D1376F" w:rsidR="008820CA">
        <w:rPr>
          <w:szCs w:val="26"/>
        </w:rPr>
        <w:t xml:space="preserve">and </w:t>
      </w:r>
      <w:r w:rsidRPr="00D1376F">
        <w:rPr>
          <w:szCs w:val="26"/>
        </w:rPr>
        <w:t>offer</w:t>
      </w:r>
      <w:r w:rsidR="001244E6">
        <w:rPr>
          <w:szCs w:val="26"/>
        </w:rPr>
        <w:t>ed</w:t>
      </w:r>
      <w:r w:rsidRPr="00D1376F">
        <w:rPr>
          <w:szCs w:val="26"/>
        </w:rPr>
        <w:t xml:space="preserve"> detailed</w:t>
      </w:r>
      <w:r w:rsidR="00CA6EE2">
        <w:rPr>
          <w:szCs w:val="26"/>
        </w:rPr>
        <w:t xml:space="preserve"> </w:t>
      </w:r>
      <w:r w:rsidRPr="00D1376F">
        <w:rPr>
          <w:szCs w:val="26"/>
        </w:rPr>
        <w:t xml:space="preserve">explanations regarding </w:t>
      </w:r>
      <w:r w:rsidR="001244E6">
        <w:rPr>
          <w:szCs w:val="26"/>
        </w:rPr>
        <w:t>the low score</w:t>
      </w:r>
      <w:r w:rsidR="00051137">
        <w:rPr>
          <w:szCs w:val="26"/>
        </w:rPr>
        <w:t>s</w:t>
      </w:r>
      <w:r w:rsidR="001244E6">
        <w:rPr>
          <w:szCs w:val="26"/>
        </w:rPr>
        <w:t xml:space="preserve"> multiple prosecution team </w:t>
      </w:r>
      <w:r w:rsidR="00051137">
        <w:rPr>
          <w:szCs w:val="26"/>
        </w:rPr>
        <w:t xml:space="preserve">members </w:t>
      </w:r>
      <w:r w:rsidR="001244E6">
        <w:rPr>
          <w:szCs w:val="26"/>
        </w:rPr>
        <w:t xml:space="preserve">had given </w:t>
      </w:r>
      <w:r w:rsidRPr="00D1376F">
        <w:rPr>
          <w:szCs w:val="26"/>
        </w:rPr>
        <w:t>each of the struck jurors.</w:t>
      </w:r>
      <w:r>
        <w:rPr>
          <w:rStyle w:val="FootnoteReference"/>
        </w:rPr>
        <w:footnoteReference w:id="14"/>
      </w:r>
      <w:r w:rsidRPr="00D1376F">
        <w:rPr>
          <w:szCs w:val="26"/>
        </w:rPr>
        <w:t xml:space="preserve">  </w:t>
      </w:r>
      <w:r w:rsidR="00E41B1B">
        <w:rPr>
          <w:szCs w:val="26"/>
        </w:rPr>
        <w:t xml:space="preserve">Considering </w:t>
      </w:r>
      <w:r w:rsidRPr="00D1376F" w:rsidR="00ED30DC">
        <w:rPr>
          <w:szCs w:val="26"/>
        </w:rPr>
        <w:t>th</w:t>
      </w:r>
      <w:r w:rsidR="00261669">
        <w:rPr>
          <w:szCs w:val="26"/>
        </w:rPr>
        <w:t>is</w:t>
      </w:r>
      <w:r w:rsidRPr="00D1376F" w:rsidR="00ED30DC">
        <w:rPr>
          <w:szCs w:val="26"/>
        </w:rPr>
        <w:t xml:space="preserve"> record of the </w:t>
      </w:r>
      <w:r w:rsidRPr="00D1376F" w:rsidR="00ED30DC">
        <w:rPr>
          <w:i/>
          <w:iCs/>
          <w:szCs w:val="26"/>
        </w:rPr>
        <w:t>Batson</w:t>
      </w:r>
      <w:r w:rsidRPr="00D1376F" w:rsidR="00BF1CD3">
        <w:rPr>
          <w:szCs w:val="26"/>
        </w:rPr>
        <w:t>/</w:t>
      </w:r>
      <w:r w:rsidRPr="00D1376F" w:rsidR="00BF1CD3">
        <w:rPr>
          <w:i/>
          <w:iCs/>
          <w:szCs w:val="26"/>
        </w:rPr>
        <w:t>Wheeler</w:t>
      </w:r>
      <w:r w:rsidRPr="00D1376F" w:rsidR="00ED30DC">
        <w:rPr>
          <w:szCs w:val="26"/>
        </w:rPr>
        <w:t xml:space="preserve"> hearing</w:t>
      </w:r>
      <w:r w:rsidR="00137BAC">
        <w:rPr>
          <w:szCs w:val="26"/>
        </w:rPr>
        <w:t>s</w:t>
      </w:r>
      <w:r w:rsidR="00E41B1B">
        <w:rPr>
          <w:szCs w:val="26"/>
        </w:rPr>
        <w:t xml:space="preserve"> at trial</w:t>
      </w:r>
      <w:r w:rsidR="00651475">
        <w:rPr>
          <w:szCs w:val="26"/>
        </w:rPr>
        <w:t xml:space="preserve"> and the waiver principles we have discussed</w:t>
      </w:r>
      <w:r w:rsidRPr="00D1376F" w:rsidR="00ED30DC">
        <w:rPr>
          <w:szCs w:val="26"/>
        </w:rPr>
        <w:t xml:space="preserve">, </w:t>
      </w:r>
      <w:r w:rsidR="00651475">
        <w:rPr>
          <w:szCs w:val="26"/>
        </w:rPr>
        <w:t xml:space="preserve">we conclude that </w:t>
      </w:r>
      <w:r w:rsidR="00D30AAF">
        <w:rPr>
          <w:szCs w:val="26"/>
        </w:rPr>
        <w:t xml:space="preserve">the </w:t>
      </w:r>
      <w:r w:rsidR="00183649">
        <w:rPr>
          <w:szCs w:val="26"/>
        </w:rPr>
        <w:t xml:space="preserve">District Attorney’s assertion of work product protection is not a basis for overturning the </w:t>
      </w:r>
      <w:r w:rsidR="00137BAC">
        <w:rPr>
          <w:szCs w:val="26"/>
        </w:rPr>
        <w:t xml:space="preserve">postconviction </w:t>
      </w:r>
      <w:r w:rsidRPr="00D1376F" w:rsidR="00F25F08">
        <w:rPr>
          <w:szCs w:val="26"/>
        </w:rPr>
        <w:t>trial court</w:t>
      </w:r>
      <w:r w:rsidR="00183649">
        <w:rPr>
          <w:szCs w:val="26"/>
        </w:rPr>
        <w:t>’s disclosure order.</w:t>
      </w:r>
      <w:r w:rsidRPr="00D1376F" w:rsidR="00F25F08">
        <w:rPr>
          <w:szCs w:val="26"/>
        </w:rPr>
        <w:t xml:space="preserve"> </w:t>
      </w:r>
      <w:r w:rsidRPr="006364D2">
        <w:rPr>
          <w:szCs w:val="26"/>
        </w:rPr>
        <w:t xml:space="preserve"> </w:t>
      </w:r>
      <w:r>
        <w:rPr>
          <w:szCs w:val="26"/>
        </w:rPr>
        <w:t xml:space="preserve">The point, in the end, is simple:  </w:t>
      </w:r>
      <w:r>
        <w:rPr>
          <w:bCs/>
          <w:szCs w:val="26"/>
        </w:rPr>
        <w:t>A</w:t>
      </w:r>
      <w:r w:rsidRPr="00D1376F">
        <w:rPr>
          <w:bCs/>
          <w:szCs w:val="26"/>
        </w:rPr>
        <w:t xml:space="preserve"> striking attorney cannot both stand on </w:t>
      </w:r>
      <w:r>
        <w:rPr>
          <w:bCs/>
          <w:szCs w:val="26"/>
        </w:rPr>
        <w:t xml:space="preserve">such a rating system </w:t>
      </w:r>
      <w:r w:rsidRPr="00D1376F">
        <w:rPr>
          <w:bCs/>
          <w:szCs w:val="26"/>
        </w:rPr>
        <w:t xml:space="preserve">and assert privilege over </w:t>
      </w:r>
      <w:r>
        <w:rPr>
          <w:bCs/>
          <w:szCs w:val="26"/>
        </w:rPr>
        <w:t>it</w:t>
      </w:r>
      <w:r w:rsidRPr="00D1376F">
        <w:rPr>
          <w:szCs w:val="26"/>
        </w:rPr>
        <w:t>.</w:t>
      </w:r>
      <w:r>
        <w:rPr>
          <w:rStyle w:val="FootnoteReference"/>
          <w:szCs w:val="26"/>
        </w:rPr>
        <w:footnoteReference w:id="15"/>
      </w:r>
    </w:p>
    <w:p w:rsidR="00FA295A" w:rsidRPr="00B40DB3" w:rsidP="00D5149D">
      <w:pPr>
        <w:jc w:val="center"/>
        <w:rPr>
          <w:b/>
          <w:bCs/>
        </w:rPr>
      </w:pPr>
      <w:r w:rsidRPr="00B40DB3">
        <w:rPr>
          <w:b/>
          <w:bCs/>
        </w:rPr>
        <w:t>I</w:t>
      </w:r>
      <w:r w:rsidRPr="00B40DB3">
        <w:rPr>
          <w:b/>
          <w:bCs/>
        </w:rPr>
        <w:t>V.</w:t>
      </w:r>
    </w:p>
    <w:p w:rsidR="00DF2749" w:rsidRPr="00D1376F" w:rsidP="003E356D">
      <w:pPr>
        <w:ind w:firstLine="720"/>
        <w:rPr>
          <w:bCs/>
          <w:szCs w:val="26"/>
        </w:rPr>
      </w:pPr>
      <w:r>
        <w:rPr>
          <w:bCs/>
          <w:szCs w:val="26"/>
        </w:rPr>
        <w:t>For these reasons, we reject the District Attorney’s argument that work product protection categorically bars disclosure of jury selection notes</w:t>
      </w:r>
      <w:r w:rsidR="008A33A4">
        <w:rPr>
          <w:bCs/>
          <w:szCs w:val="26"/>
        </w:rPr>
        <w:t xml:space="preserve"> in postconviction discovery</w:t>
      </w:r>
      <w:r>
        <w:rPr>
          <w:bCs/>
          <w:szCs w:val="26"/>
        </w:rPr>
        <w:t xml:space="preserve">.  </w:t>
      </w:r>
      <w:r w:rsidR="0054557D">
        <w:rPr>
          <w:bCs/>
          <w:szCs w:val="26"/>
        </w:rPr>
        <w:t>H</w:t>
      </w:r>
      <w:r w:rsidRPr="00D1376F" w:rsidR="00A87CCB">
        <w:rPr>
          <w:bCs/>
          <w:szCs w:val="26"/>
        </w:rPr>
        <w:t>ere the</w:t>
      </w:r>
      <w:r w:rsidR="005B357F">
        <w:rPr>
          <w:bCs/>
          <w:szCs w:val="26"/>
        </w:rPr>
        <w:t>re has been a</w:t>
      </w:r>
      <w:r w:rsidR="009A7E1C">
        <w:rPr>
          <w:bCs/>
          <w:szCs w:val="26"/>
        </w:rPr>
        <w:t xml:space="preserve">n implied </w:t>
      </w:r>
      <w:r w:rsidR="005B357F">
        <w:rPr>
          <w:bCs/>
          <w:szCs w:val="26"/>
        </w:rPr>
        <w:t>waiver of any claim to work product protections</w:t>
      </w:r>
      <w:r w:rsidRPr="00D1376F" w:rsidR="00A87CCB">
        <w:rPr>
          <w:bCs/>
          <w:szCs w:val="26"/>
        </w:rPr>
        <w:t xml:space="preserve"> </w:t>
      </w:r>
      <w:r w:rsidR="005D6841">
        <w:rPr>
          <w:bCs/>
          <w:szCs w:val="26"/>
        </w:rPr>
        <w:t xml:space="preserve">and </w:t>
      </w:r>
      <w:r w:rsidR="00E23CBA">
        <w:rPr>
          <w:bCs/>
          <w:szCs w:val="26"/>
        </w:rPr>
        <w:t xml:space="preserve">so </w:t>
      </w:r>
      <w:r w:rsidR="005D6841">
        <w:rPr>
          <w:bCs/>
          <w:szCs w:val="26"/>
        </w:rPr>
        <w:t xml:space="preserve">the </w:t>
      </w:r>
      <w:r w:rsidRPr="00D1376F" w:rsidR="00A87CCB">
        <w:rPr>
          <w:bCs/>
          <w:szCs w:val="26"/>
        </w:rPr>
        <w:t>jury selection notes</w:t>
      </w:r>
      <w:r w:rsidRPr="00D1376F" w:rsidR="00E77E73">
        <w:rPr>
          <w:bCs/>
          <w:szCs w:val="26"/>
        </w:rPr>
        <w:t xml:space="preserve"> </w:t>
      </w:r>
      <w:r w:rsidR="008A33A4">
        <w:rPr>
          <w:bCs/>
          <w:szCs w:val="26"/>
        </w:rPr>
        <w:t>are subject to disclosure</w:t>
      </w:r>
      <w:r w:rsidR="004F5D89">
        <w:rPr>
          <w:bCs/>
          <w:szCs w:val="26"/>
        </w:rPr>
        <w:t xml:space="preserve">.  This is true for notes </w:t>
      </w:r>
      <w:r w:rsidRPr="00D1376F" w:rsidR="00E77E73">
        <w:rPr>
          <w:bCs/>
          <w:szCs w:val="26"/>
        </w:rPr>
        <w:t xml:space="preserve">revealing a clear focus on impermissible discrimination, such as the notes in </w:t>
      </w:r>
      <w:r w:rsidRPr="00D1376F" w:rsidR="00E77E73">
        <w:rPr>
          <w:bCs/>
          <w:i/>
          <w:iCs/>
          <w:szCs w:val="26"/>
        </w:rPr>
        <w:t>Foster</w:t>
      </w:r>
      <w:r w:rsidRPr="00D1376F" w:rsidR="00E77E73">
        <w:rPr>
          <w:bCs/>
          <w:szCs w:val="26"/>
        </w:rPr>
        <w:t xml:space="preserve">, </w:t>
      </w:r>
      <w:r w:rsidR="004F5D89">
        <w:rPr>
          <w:bCs/>
          <w:szCs w:val="26"/>
        </w:rPr>
        <w:t xml:space="preserve">as well as those </w:t>
      </w:r>
      <w:r w:rsidRPr="00D1376F" w:rsidR="00E77E73">
        <w:rPr>
          <w:bCs/>
          <w:szCs w:val="26"/>
        </w:rPr>
        <w:t xml:space="preserve">that might not, on </w:t>
      </w:r>
      <w:r w:rsidRPr="00D1376F" w:rsidR="00CC1026">
        <w:rPr>
          <w:bCs/>
          <w:szCs w:val="26"/>
        </w:rPr>
        <w:t xml:space="preserve">their </w:t>
      </w:r>
      <w:r w:rsidRPr="00D1376F" w:rsidR="00E77E73">
        <w:rPr>
          <w:bCs/>
          <w:szCs w:val="26"/>
        </w:rPr>
        <w:t xml:space="preserve">own, reveal a discriminatory purpose but that would tend to support the </w:t>
      </w:r>
      <w:r w:rsidRPr="00D1376F" w:rsidR="00E77E73">
        <w:rPr>
          <w:bCs/>
          <w:i/>
          <w:iCs/>
          <w:szCs w:val="26"/>
        </w:rPr>
        <w:t>Batson</w:t>
      </w:r>
      <w:r w:rsidRPr="00D1376F" w:rsidR="00E77E73">
        <w:rPr>
          <w:bCs/>
          <w:szCs w:val="26"/>
        </w:rPr>
        <w:t>/</w:t>
      </w:r>
      <w:r w:rsidRPr="00D1376F" w:rsidR="00E77E73">
        <w:rPr>
          <w:bCs/>
          <w:i/>
          <w:iCs/>
          <w:szCs w:val="26"/>
        </w:rPr>
        <w:t xml:space="preserve">Wheeler </w:t>
      </w:r>
      <w:r w:rsidRPr="00D1376F" w:rsidR="00E77E73">
        <w:rPr>
          <w:bCs/>
          <w:szCs w:val="26"/>
        </w:rPr>
        <w:t xml:space="preserve">challenge when aggregated with other evidence or notes.  </w:t>
      </w:r>
    </w:p>
    <w:p w:rsidR="00C24322" w:rsidP="00D1376F">
      <w:pPr>
        <w:rPr>
          <w:szCs w:val="26"/>
        </w:rPr>
      </w:pPr>
      <w:r w:rsidRPr="00D1376F">
        <w:rPr>
          <w:bCs/>
          <w:szCs w:val="26"/>
        </w:rPr>
        <w:tab/>
      </w:r>
      <w:r w:rsidR="00D40890">
        <w:rPr>
          <w:bCs/>
          <w:szCs w:val="26"/>
        </w:rPr>
        <w:t>W</w:t>
      </w:r>
      <w:r w:rsidRPr="00D1376F">
        <w:rPr>
          <w:bCs/>
          <w:szCs w:val="26"/>
        </w:rPr>
        <w:t xml:space="preserve">e recognize, however, that </w:t>
      </w:r>
      <w:r w:rsidRPr="00D1376F">
        <w:rPr>
          <w:szCs w:val="26"/>
        </w:rPr>
        <w:t>d</w:t>
      </w:r>
      <w:r w:rsidRPr="00D1376F">
        <w:rPr>
          <w:bCs/>
          <w:szCs w:val="26"/>
        </w:rPr>
        <w:t xml:space="preserve">isclosure of </w:t>
      </w:r>
      <w:r w:rsidR="007E3678">
        <w:rPr>
          <w:bCs/>
          <w:szCs w:val="26"/>
        </w:rPr>
        <w:t xml:space="preserve">jury notes, like </w:t>
      </w:r>
      <w:r w:rsidR="00664E51">
        <w:rPr>
          <w:bCs/>
          <w:szCs w:val="26"/>
        </w:rPr>
        <w:t xml:space="preserve">disclosure </w:t>
      </w:r>
      <w:r w:rsidR="00C44F16">
        <w:rPr>
          <w:bCs/>
          <w:szCs w:val="26"/>
        </w:rPr>
        <w:t xml:space="preserve">of </w:t>
      </w:r>
      <w:r w:rsidR="007E3678">
        <w:rPr>
          <w:bCs/>
          <w:szCs w:val="26"/>
        </w:rPr>
        <w:t xml:space="preserve">any other </w:t>
      </w:r>
      <w:r w:rsidRPr="00D1376F">
        <w:rPr>
          <w:bCs/>
          <w:szCs w:val="26"/>
        </w:rPr>
        <w:t>attorney writing</w:t>
      </w:r>
      <w:r w:rsidR="007E3678">
        <w:rPr>
          <w:bCs/>
          <w:szCs w:val="26"/>
        </w:rPr>
        <w:t>,</w:t>
      </w:r>
      <w:r w:rsidRPr="00D1376F">
        <w:rPr>
          <w:bCs/>
          <w:szCs w:val="26"/>
        </w:rPr>
        <w:t xml:space="preserve"> can risk unnecessary incursion on the confidentiality of attorney work product</w:t>
      </w:r>
      <w:r w:rsidR="007E3678">
        <w:rPr>
          <w:bCs/>
          <w:szCs w:val="26"/>
        </w:rPr>
        <w:t xml:space="preserve"> beyond the scope of the matter now at issue</w:t>
      </w:r>
      <w:r w:rsidRPr="00D1376F">
        <w:rPr>
          <w:bCs/>
          <w:szCs w:val="26"/>
        </w:rPr>
        <w:t xml:space="preserve">.  </w:t>
      </w:r>
      <w:r w:rsidR="00D00FA8">
        <w:rPr>
          <w:szCs w:val="26"/>
        </w:rPr>
        <w:t>T</w:t>
      </w:r>
      <w:r w:rsidR="00720F94">
        <w:rPr>
          <w:szCs w:val="26"/>
        </w:rPr>
        <w:t>hough the</w:t>
      </w:r>
      <w:r w:rsidR="00D00FA8">
        <w:rPr>
          <w:szCs w:val="26"/>
        </w:rPr>
        <w:t xml:space="preserve"> notes</w:t>
      </w:r>
      <w:r w:rsidR="00720F94">
        <w:rPr>
          <w:szCs w:val="26"/>
        </w:rPr>
        <w:t xml:space="preserve"> may illuminate an attorney’s opinions and impressions of prospective jurors</w:t>
      </w:r>
      <w:r w:rsidR="00AA1979">
        <w:rPr>
          <w:szCs w:val="26"/>
        </w:rPr>
        <w:t> </w:t>
      </w:r>
      <w:r w:rsidR="00D00FA8">
        <w:rPr>
          <w:szCs w:val="26"/>
        </w:rPr>
        <w:t xml:space="preserve">— the matter specifically at issue in a </w:t>
      </w:r>
      <w:r w:rsidR="00D00FA8">
        <w:rPr>
          <w:i/>
          <w:iCs/>
          <w:szCs w:val="26"/>
        </w:rPr>
        <w:t>Batson/Wheeler</w:t>
      </w:r>
      <w:r w:rsidR="00D00FA8">
        <w:rPr>
          <w:szCs w:val="26"/>
        </w:rPr>
        <w:t xml:space="preserve"> claim</w:t>
      </w:r>
      <w:r w:rsidR="00AA1979">
        <w:rPr>
          <w:szCs w:val="26"/>
        </w:rPr>
        <w:t> </w:t>
      </w:r>
      <w:r w:rsidR="00D00FA8">
        <w:rPr>
          <w:szCs w:val="26"/>
        </w:rPr>
        <w:t xml:space="preserve">— </w:t>
      </w:r>
      <w:r w:rsidR="00720F94">
        <w:rPr>
          <w:szCs w:val="26"/>
        </w:rPr>
        <w:t>they may also reveal opinions and impressions of the case and legal strategy</w:t>
      </w:r>
      <w:r w:rsidRPr="00D1376F">
        <w:rPr>
          <w:szCs w:val="26"/>
        </w:rPr>
        <w:t>.</w:t>
      </w:r>
    </w:p>
    <w:p w:rsidR="00E1452F" w:rsidP="00D1376F">
      <w:pPr>
        <w:rPr>
          <w:bCs/>
          <w:szCs w:val="26"/>
        </w:rPr>
      </w:pPr>
      <w:r>
        <w:rPr>
          <w:szCs w:val="26"/>
        </w:rPr>
        <w:tab/>
        <w:t xml:space="preserve">To the extent the District Attorney raises concerns about overbroad discovery </w:t>
      </w:r>
      <w:r w:rsidR="00153366">
        <w:rPr>
          <w:szCs w:val="26"/>
        </w:rPr>
        <w:t>in this context</w:t>
      </w:r>
      <w:r>
        <w:rPr>
          <w:szCs w:val="26"/>
        </w:rPr>
        <w:t xml:space="preserve">, </w:t>
      </w:r>
      <w:r w:rsidR="00452E2A">
        <w:rPr>
          <w:szCs w:val="26"/>
        </w:rPr>
        <w:t xml:space="preserve">the law offers answers.  </w:t>
      </w:r>
      <w:r w:rsidR="002C519D">
        <w:rPr>
          <w:szCs w:val="26"/>
        </w:rPr>
        <w:t>A</w:t>
      </w:r>
      <w:r w:rsidR="006458AC">
        <w:rPr>
          <w:szCs w:val="26"/>
        </w:rPr>
        <w:t>ttorney</w:t>
      </w:r>
      <w:r w:rsidR="009A25A6">
        <w:rPr>
          <w:szCs w:val="26"/>
        </w:rPr>
        <w:t>s</w:t>
      </w:r>
      <w:r w:rsidR="006458AC">
        <w:rPr>
          <w:szCs w:val="26"/>
        </w:rPr>
        <w:t xml:space="preserve"> </w:t>
      </w:r>
      <w:r w:rsidR="002C519D">
        <w:rPr>
          <w:szCs w:val="26"/>
        </w:rPr>
        <w:t xml:space="preserve">resisting what they view as overbroad discovery </w:t>
      </w:r>
      <w:r w:rsidR="009A25A6">
        <w:rPr>
          <w:szCs w:val="26"/>
        </w:rPr>
        <w:t>efforts may “</w:t>
      </w:r>
      <w:r w:rsidRPr="006458AC" w:rsidR="009A25A6">
        <w:rPr>
          <w:szCs w:val="26"/>
        </w:rPr>
        <w:t xml:space="preserve">make a preliminary or foundational showing that disclosure would reveal </w:t>
      </w:r>
      <w:r w:rsidR="009A25A6">
        <w:rPr>
          <w:szCs w:val="26"/>
        </w:rPr>
        <w:t>. . . ‘</w:t>
      </w:r>
      <w:r w:rsidRPr="006458AC" w:rsidR="009A25A6">
        <w:rPr>
          <w:szCs w:val="26"/>
        </w:rPr>
        <w:t>impressions, conclusions, opinions, or legal research or theories</w:t>
      </w:r>
      <w:r w:rsidR="0041481D">
        <w:rPr>
          <w:szCs w:val="26"/>
        </w:rPr>
        <w:t>[]</w:t>
      </w:r>
      <w:r w:rsidR="009A25A6">
        <w:rPr>
          <w:szCs w:val="26"/>
        </w:rPr>
        <w:t>’</w:t>
      </w:r>
      <w:r w:rsidRPr="006458AC" w:rsidR="009A25A6">
        <w:rPr>
          <w:szCs w:val="26"/>
        </w:rPr>
        <w:t xml:space="preserve"> (§</w:t>
      </w:r>
      <w:r w:rsidR="005572BD">
        <w:rPr>
          <w:szCs w:val="26"/>
        </w:rPr>
        <w:t> </w:t>
      </w:r>
      <w:r w:rsidRPr="006458AC" w:rsidR="009A25A6">
        <w:rPr>
          <w:szCs w:val="26"/>
        </w:rPr>
        <w:t>2018.030, subd.</w:t>
      </w:r>
      <w:r w:rsidR="00A8192F">
        <w:rPr>
          <w:szCs w:val="26"/>
        </w:rPr>
        <w:t> </w:t>
      </w:r>
      <w:r w:rsidRPr="006458AC" w:rsidR="009A25A6">
        <w:rPr>
          <w:szCs w:val="26"/>
        </w:rPr>
        <w:t>(a)</w:t>
      </w:r>
      <w:r w:rsidR="0041481D">
        <w:rPr>
          <w:szCs w:val="26"/>
        </w:rPr>
        <w:t>[]</w:t>
      </w:r>
      <w:r w:rsidRPr="006458AC" w:rsidR="009A25A6">
        <w:rPr>
          <w:szCs w:val="26"/>
        </w:rPr>
        <w:t>)</w:t>
      </w:r>
      <w:r w:rsidR="009A25A6">
        <w:rPr>
          <w:szCs w:val="26"/>
        </w:rPr>
        <w:t>”</w:t>
      </w:r>
      <w:r w:rsidRPr="009A25A6" w:rsidR="009A25A6">
        <w:rPr>
          <w:szCs w:val="26"/>
        </w:rPr>
        <w:t xml:space="preserve"> </w:t>
      </w:r>
      <w:r w:rsidR="009A25A6">
        <w:rPr>
          <w:szCs w:val="26"/>
        </w:rPr>
        <w:t>unrelated to jury selection, and “[u]</w:t>
      </w:r>
      <w:r w:rsidRPr="006458AC" w:rsidR="006458AC">
        <w:rPr>
          <w:szCs w:val="26"/>
        </w:rPr>
        <w:t>pon an adequate showing, the trial court should then determine, by making an in camera inspection if necessary, whether absolute work product protection applies to some or all of the material.</w:t>
      </w:r>
      <w:r w:rsidR="009A25A6">
        <w:rPr>
          <w:szCs w:val="26"/>
        </w:rPr>
        <w:t xml:space="preserve">”  </w:t>
      </w:r>
      <w:r w:rsidRPr="006458AC" w:rsidR="006458AC">
        <w:rPr>
          <w:szCs w:val="26"/>
        </w:rPr>
        <w:t>(</w:t>
      </w:r>
      <w:bookmarkStart w:id="9" w:name="_Hlk83195260"/>
      <w:r w:rsidRPr="002C53D4" w:rsidR="006458AC">
        <w:rPr>
          <w:i/>
          <w:iCs/>
          <w:szCs w:val="26"/>
        </w:rPr>
        <w:t>Coito</w:t>
      </w:r>
      <w:r w:rsidR="009A25A6">
        <w:rPr>
          <w:szCs w:val="26"/>
        </w:rPr>
        <w:t xml:space="preserve">, </w:t>
      </w:r>
      <w:r w:rsidRPr="002C53D4" w:rsidR="009A25A6">
        <w:rPr>
          <w:i/>
          <w:iCs/>
          <w:szCs w:val="26"/>
        </w:rPr>
        <w:t>supra</w:t>
      </w:r>
      <w:r w:rsidR="009A25A6">
        <w:rPr>
          <w:szCs w:val="26"/>
        </w:rPr>
        <w:t xml:space="preserve">, </w:t>
      </w:r>
      <w:r w:rsidRPr="006458AC" w:rsidR="006458AC">
        <w:rPr>
          <w:szCs w:val="26"/>
        </w:rPr>
        <w:t xml:space="preserve">54 Cal.4th </w:t>
      </w:r>
      <w:r w:rsidR="009A25A6">
        <w:rPr>
          <w:szCs w:val="26"/>
        </w:rPr>
        <w:t>at pp. </w:t>
      </w:r>
      <w:r w:rsidRPr="006458AC" w:rsidR="006458AC">
        <w:rPr>
          <w:szCs w:val="26"/>
        </w:rPr>
        <w:t>495</w:t>
      </w:r>
      <w:r w:rsidR="009A25A6">
        <w:rPr>
          <w:szCs w:val="26"/>
        </w:rPr>
        <w:t>–</w:t>
      </w:r>
      <w:r w:rsidRPr="006458AC" w:rsidR="006458AC">
        <w:rPr>
          <w:szCs w:val="26"/>
        </w:rPr>
        <w:t>496</w:t>
      </w:r>
      <w:bookmarkEnd w:id="9"/>
      <w:r w:rsidRPr="006458AC" w:rsidR="006458AC">
        <w:rPr>
          <w:szCs w:val="26"/>
        </w:rPr>
        <w:t>.)</w:t>
      </w:r>
      <w:r w:rsidR="00192A52">
        <w:rPr>
          <w:szCs w:val="26"/>
        </w:rPr>
        <w:t xml:space="preserve">  </w:t>
      </w:r>
      <w:r w:rsidR="00870122">
        <w:rPr>
          <w:szCs w:val="26"/>
        </w:rPr>
        <w:t xml:space="preserve">In this way, </w:t>
      </w:r>
      <w:r w:rsidR="00A87C6F">
        <w:rPr>
          <w:szCs w:val="26"/>
        </w:rPr>
        <w:t xml:space="preserve">the </w:t>
      </w:r>
      <w:r w:rsidR="00870122">
        <w:rPr>
          <w:szCs w:val="26"/>
        </w:rPr>
        <w:t>trial court may</w:t>
      </w:r>
      <w:r w:rsidRPr="00D1376F" w:rsidR="006E0442">
        <w:rPr>
          <w:bCs/>
          <w:szCs w:val="26"/>
        </w:rPr>
        <w:t xml:space="preserve"> ensure</w:t>
      </w:r>
      <w:r w:rsidRPr="00D1376F" w:rsidR="007A526E">
        <w:rPr>
          <w:bCs/>
          <w:szCs w:val="26"/>
        </w:rPr>
        <w:t xml:space="preserve"> </w:t>
      </w:r>
      <w:r w:rsidR="00CE7465">
        <w:rPr>
          <w:bCs/>
          <w:szCs w:val="26"/>
        </w:rPr>
        <w:t xml:space="preserve">on </w:t>
      </w:r>
      <w:r w:rsidR="007E3F2A">
        <w:rPr>
          <w:bCs/>
          <w:szCs w:val="26"/>
        </w:rPr>
        <w:t xml:space="preserve">a </w:t>
      </w:r>
      <w:r w:rsidRPr="00CE7465" w:rsidR="00CE7465">
        <w:rPr>
          <w:bCs/>
          <w:szCs w:val="26"/>
        </w:rPr>
        <w:t xml:space="preserve">“case by case” </w:t>
      </w:r>
      <w:r w:rsidR="00CE7465">
        <w:rPr>
          <w:bCs/>
          <w:szCs w:val="26"/>
        </w:rPr>
        <w:t xml:space="preserve">basis </w:t>
      </w:r>
      <w:r w:rsidRPr="00CE7465" w:rsidR="00CE7465">
        <w:rPr>
          <w:bCs/>
          <w:szCs w:val="26"/>
        </w:rPr>
        <w:t>(</w:t>
      </w:r>
      <w:r w:rsidRPr="00FE0F67" w:rsidR="00FE0F67">
        <w:rPr>
          <w:bCs/>
          <w:i/>
          <w:iCs/>
          <w:szCs w:val="26"/>
        </w:rPr>
        <w:t>i</w:t>
      </w:r>
      <w:r w:rsidRPr="00A8192F" w:rsidR="00A8192F">
        <w:rPr>
          <w:bCs/>
          <w:i/>
          <w:iCs/>
          <w:szCs w:val="26"/>
        </w:rPr>
        <w:t>d</w:t>
      </w:r>
      <w:r w:rsidR="00A8192F">
        <w:rPr>
          <w:bCs/>
          <w:szCs w:val="26"/>
        </w:rPr>
        <w:t>.</w:t>
      </w:r>
      <w:r w:rsidR="00CE7465">
        <w:rPr>
          <w:bCs/>
          <w:szCs w:val="26"/>
        </w:rPr>
        <w:t xml:space="preserve"> at p. </w:t>
      </w:r>
      <w:r w:rsidRPr="00CE7465" w:rsidR="00CE7465">
        <w:rPr>
          <w:bCs/>
          <w:szCs w:val="26"/>
        </w:rPr>
        <w:t>495</w:t>
      </w:r>
      <w:r w:rsidR="00CE7465">
        <w:rPr>
          <w:bCs/>
          <w:szCs w:val="26"/>
        </w:rPr>
        <w:t>)</w:t>
      </w:r>
      <w:r w:rsidRPr="00CE7465" w:rsidR="00CE7465">
        <w:rPr>
          <w:bCs/>
          <w:szCs w:val="26"/>
        </w:rPr>
        <w:t xml:space="preserve"> </w:t>
      </w:r>
      <w:r w:rsidR="00870122">
        <w:rPr>
          <w:bCs/>
          <w:szCs w:val="26"/>
        </w:rPr>
        <w:t xml:space="preserve">that </w:t>
      </w:r>
      <w:r w:rsidRPr="00D1376F" w:rsidR="007A526E">
        <w:rPr>
          <w:bCs/>
          <w:szCs w:val="26"/>
        </w:rPr>
        <w:t xml:space="preserve">necessary redactions </w:t>
      </w:r>
      <w:r w:rsidRPr="00D1376F" w:rsidR="006E0442">
        <w:rPr>
          <w:bCs/>
          <w:szCs w:val="26"/>
        </w:rPr>
        <w:t xml:space="preserve">are </w:t>
      </w:r>
      <w:r w:rsidRPr="00D1376F" w:rsidR="007A526E">
        <w:rPr>
          <w:bCs/>
          <w:szCs w:val="26"/>
        </w:rPr>
        <w:t xml:space="preserve">made to </w:t>
      </w:r>
      <w:r w:rsidR="00870122">
        <w:rPr>
          <w:bCs/>
          <w:szCs w:val="26"/>
        </w:rPr>
        <w:t xml:space="preserve">protect core work product that is </w:t>
      </w:r>
      <w:r w:rsidRPr="00D1376F" w:rsidR="007A526E">
        <w:rPr>
          <w:bCs/>
          <w:szCs w:val="26"/>
        </w:rPr>
        <w:t xml:space="preserve">not relevant to the </w:t>
      </w:r>
      <w:r w:rsidRPr="00D1376F" w:rsidR="007A526E">
        <w:rPr>
          <w:bCs/>
          <w:i/>
          <w:iCs/>
          <w:szCs w:val="26"/>
        </w:rPr>
        <w:t>Batson</w:t>
      </w:r>
      <w:r w:rsidRPr="00D1376F" w:rsidR="00435076">
        <w:rPr>
          <w:bCs/>
          <w:szCs w:val="26"/>
        </w:rPr>
        <w:t>/</w:t>
      </w:r>
      <w:r w:rsidRPr="00D1376F" w:rsidR="00435076">
        <w:rPr>
          <w:bCs/>
          <w:i/>
          <w:iCs/>
          <w:szCs w:val="26"/>
        </w:rPr>
        <w:t>Wheeler</w:t>
      </w:r>
      <w:r w:rsidRPr="00D1376F" w:rsidR="007A526E">
        <w:rPr>
          <w:bCs/>
          <w:i/>
          <w:iCs/>
          <w:szCs w:val="26"/>
        </w:rPr>
        <w:t xml:space="preserve"> </w:t>
      </w:r>
      <w:r w:rsidRPr="00D1376F" w:rsidR="007A526E">
        <w:rPr>
          <w:bCs/>
          <w:szCs w:val="26"/>
        </w:rPr>
        <w:t>challenge</w:t>
      </w:r>
      <w:r w:rsidR="00A87C6F">
        <w:rPr>
          <w:bCs/>
          <w:szCs w:val="26"/>
        </w:rPr>
        <w:t xml:space="preserve"> at issue</w:t>
      </w:r>
      <w:r w:rsidRPr="00D1376F" w:rsidR="007A526E">
        <w:rPr>
          <w:bCs/>
          <w:szCs w:val="26"/>
        </w:rPr>
        <w:t xml:space="preserve">.  </w:t>
      </w:r>
    </w:p>
    <w:p w:rsidR="00870122" w:rsidRPr="00D1376F" w:rsidP="002C53D4">
      <w:pPr>
        <w:pStyle w:val="Heading1"/>
      </w:pPr>
      <w:r>
        <w:t>Disposition</w:t>
      </w:r>
    </w:p>
    <w:p w:rsidR="003B4E63" w:rsidP="00D1376F">
      <w:pPr>
        <w:rPr>
          <w:bCs/>
          <w:szCs w:val="26"/>
        </w:rPr>
      </w:pPr>
      <w:r w:rsidRPr="00D1376F">
        <w:rPr>
          <w:bCs/>
          <w:szCs w:val="26"/>
        </w:rPr>
        <w:tab/>
      </w:r>
      <w:r w:rsidRPr="00D1376F" w:rsidR="00226F67">
        <w:rPr>
          <w:bCs/>
          <w:szCs w:val="26"/>
        </w:rPr>
        <w:t>The judgment of the Court of Appeal is affirmed</w:t>
      </w:r>
      <w:r w:rsidR="00F772C9">
        <w:rPr>
          <w:bCs/>
          <w:szCs w:val="26"/>
        </w:rPr>
        <w:t>,</w:t>
      </w:r>
      <w:r w:rsidRPr="00D1376F" w:rsidR="00226F67">
        <w:rPr>
          <w:bCs/>
          <w:szCs w:val="26"/>
        </w:rPr>
        <w:t xml:space="preserve"> and the case remanded for further proceedings not inconsistent with this opinion.</w:t>
      </w:r>
    </w:p>
    <w:p w:rsidR="002A6650" w:rsidP="00D1376F">
      <w:pPr>
        <w:rPr>
          <w:bCs/>
          <w:szCs w:val="26"/>
        </w:rPr>
      </w:pPr>
    </w:p>
    <w:p w:rsidR="003B4E63" w:rsidP="00AC650D">
      <w:pPr>
        <w:jc w:val="right"/>
        <w:rPr>
          <w:b/>
          <w:szCs w:val="26"/>
        </w:rPr>
      </w:pPr>
      <w:r w:rsidRPr="00D1376F">
        <w:rPr>
          <w:b/>
          <w:szCs w:val="26"/>
        </w:rPr>
        <w:t xml:space="preserve">KRUGER, </w:t>
      </w:r>
      <w:bookmarkStart w:id="10" w:name="initials"/>
      <w:bookmarkEnd w:id="10"/>
      <w:r w:rsidR="00AC650D">
        <w:rPr>
          <w:b/>
          <w:szCs w:val="26"/>
        </w:rPr>
        <w:t>J.</w:t>
      </w:r>
    </w:p>
    <w:p w:rsidR="00AC650D" w:rsidP="00AC650D">
      <w:pPr>
        <w:rPr>
          <w:b/>
          <w:szCs w:val="26"/>
        </w:rPr>
      </w:pPr>
      <w:r w:rsidRPr="00AC650D">
        <w:rPr>
          <w:b/>
          <w:szCs w:val="26"/>
        </w:rPr>
        <w:t>We Concur:</w:t>
      </w:r>
    </w:p>
    <w:p w:rsidR="00B44342" w:rsidP="00B44342">
      <w:pPr>
        <w:spacing w:after="0" w:line="240" w:lineRule="auto"/>
        <w:rPr>
          <w:b/>
          <w:szCs w:val="26"/>
        </w:rPr>
      </w:pPr>
      <w:r>
        <w:rPr>
          <w:b/>
          <w:szCs w:val="26"/>
        </w:rPr>
        <w:t>CANTIL-SAKAUYE, C. J.</w:t>
      </w:r>
    </w:p>
    <w:p w:rsidR="00B44342" w:rsidP="00B44342">
      <w:pPr>
        <w:spacing w:after="0" w:line="240" w:lineRule="auto"/>
        <w:rPr>
          <w:b/>
          <w:szCs w:val="26"/>
        </w:rPr>
      </w:pPr>
      <w:r>
        <w:rPr>
          <w:b/>
          <w:szCs w:val="26"/>
        </w:rPr>
        <w:t>CORRIGAN, J.</w:t>
      </w:r>
    </w:p>
    <w:p w:rsidR="00B44342" w:rsidP="00B44342">
      <w:pPr>
        <w:spacing w:after="0" w:line="240" w:lineRule="auto"/>
        <w:rPr>
          <w:b/>
          <w:szCs w:val="26"/>
        </w:rPr>
      </w:pPr>
      <w:r>
        <w:rPr>
          <w:b/>
          <w:szCs w:val="26"/>
        </w:rPr>
        <w:t>LIU, J.</w:t>
      </w:r>
    </w:p>
    <w:p w:rsidR="00B44342" w:rsidP="00B44342">
      <w:pPr>
        <w:spacing w:after="0" w:line="240" w:lineRule="auto"/>
        <w:rPr>
          <w:b/>
          <w:szCs w:val="26"/>
        </w:rPr>
      </w:pPr>
      <w:r>
        <w:rPr>
          <w:b/>
          <w:szCs w:val="26"/>
        </w:rPr>
        <w:t>GROBAN, J.</w:t>
      </w:r>
    </w:p>
    <w:p w:rsidR="00B70462" w:rsidP="00B44342">
      <w:pPr>
        <w:spacing w:after="0" w:line="240" w:lineRule="auto"/>
        <w:rPr>
          <w:b/>
          <w:szCs w:val="26"/>
        </w:rPr>
        <w:sectPr w:rsidSect="00432CB8">
          <w:headerReference w:type="first" r:id="rId13"/>
          <w:pgSz w:w="12240" w:h="15840"/>
          <w:pgMar w:top="1800" w:right="2160" w:bottom="1440" w:left="2160" w:header="720" w:footer="720" w:gutter="0"/>
          <w:pgNumType w:start="2"/>
          <w:cols w:space="720"/>
          <w:docGrid w:linePitch="367"/>
        </w:sectPr>
      </w:pPr>
      <w:r>
        <w:rPr>
          <w:b/>
          <w:szCs w:val="26"/>
        </w:rPr>
        <w:t>JENKINS, J.</w:t>
      </w:r>
    </w:p>
    <w:p w:rsidR="00C670BC" w:rsidRPr="00C670BC" w:rsidP="00C670BC">
      <w:pPr>
        <w:spacing w:after="0" w:line="240" w:lineRule="auto"/>
        <w:jc w:val="left"/>
        <w:rPr>
          <w:i/>
          <w:sz w:val="24"/>
          <w:szCs w:val="24"/>
        </w:rPr>
      </w:pPr>
      <w:r w:rsidRPr="00C670BC">
        <w:rPr>
          <w:i/>
          <w:sz w:val="24"/>
          <w:szCs w:val="24"/>
        </w:rPr>
        <w:t>See next page for addresses and telephone numbers for counsel who argued in Supreme Court.</w:t>
      </w:r>
    </w:p>
    <w:p w:rsidR="00C670BC" w:rsidRPr="00C670BC" w:rsidP="00C670BC">
      <w:pPr>
        <w:spacing w:after="0" w:line="240" w:lineRule="auto"/>
        <w:jc w:val="left"/>
        <w:rPr>
          <w:i/>
          <w:sz w:val="24"/>
          <w:szCs w:val="24"/>
        </w:rPr>
      </w:pPr>
    </w:p>
    <w:p w:rsidR="00C670BC" w:rsidRPr="00C670BC" w:rsidP="00C670BC">
      <w:pPr>
        <w:spacing w:after="0" w:line="240" w:lineRule="auto"/>
        <w:jc w:val="left"/>
        <w:rPr>
          <w:b/>
          <w:sz w:val="24"/>
          <w:szCs w:val="24"/>
        </w:rPr>
      </w:pPr>
      <w:r w:rsidRPr="00C670BC">
        <w:rPr>
          <w:b/>
          <w:sz w:val="24"/>
          <w:szCs w:val="24"/>
        </w:rPr>
        <w:t xml:space="preserve">Name of Opinion  </w:t>
      </w:r>
      <w:r w:rsidRPr="00C670BC">
        <w:rPr>
          <w:bCs/>
          <w:sz w:val="24"/>
          <w:szCs w:val="24"/>
        </w:rPr>
        <w:t>People v. Superior Court (Jones)</w:t>
      </w:r>
      <w:r w:rsidRPr="00C670BC">
        <w:rPr>
          <w:b/>
          <w:sz w:val="24"/>
          <w:szCs w:val="24"/>
        </w:rPr>
        <w:t xml:space="preserve"> </w:t>
      </w:r>
      <w:r w:rsidRPr="00C670BC">
        <w:rPr>
          <w:bCs/>
          <w:sz w:val="24"/>
          <w:szCs w:val="24"/>
        </w:rPr>
        <w:t xml:space="preserve"> </w:t>
      </w:r>
      <w:r w:rsidRPr="00C670BC">
        <w:rPr>
          <w:b/>
          <w:sz w:val="24"/>
          <w:szCs w:val="24"/>
        </w:rPr>
        <w:t xml:space="preserve">__________________________________________________________ </w:t>
      </w:r>
    </w:p>
    <w:p w:rsidR="00C670BC" w:rsidRPr="00C670BC" w:rsidP="00C670BC">
      <w:pPr>
        <w:spacing w:after="0" w:line="240" w:lineRule="auto"/>
        <w:jc w:val="left"/>
        <w:rPr>
          <w:b/>
          <w:sz w:val="24"/>
          <w:szCs w:val="24"/>
        </w:rPr>
      </w:pPr>
    </w:p>
    <w:p w:rsidR="00C670BC" w:rsidRPr="00C670BC" w:rsidP="00C670BC">
      <w:pPr>
        <w:spacing w:after="0" w:line="240" w:lineRule="auto"/>
        <w:jc w:val="left"/>
        <w:rPr>
          <w:sz w:val="24"/>
          <w:szCs w:val="24"/>
        </w:rPr>
      </w:pPr>
      <w:r w:rsidRPr="00C670BC">
        <w:rPr>
          <w:b/>
          <w:bCs/>
          <w:sz w:val="24"/>
          <w:szCs w:val="24"/>
          <w:u w:val="single"/>
        </w:rPr>
        <w:t>Procedural Posture</w:t>
      </w:r>
      <w:r w:rsidRPr="00C670BC">
        <w:rPr>
          <w:b/>
          <w:bCs/>
          <w:sz w:val="24"/>
          <w:szCs w:val="24"/>
        </w:rPr>
        <w:t xml:space="preserve"> </w:t>
      </w:r>
      <w:r w:rsidRPr="00C670BC">
        <w:rPr>
          <w:sz w:val="24"/>
          <w:szCs w:val="24"/>
        </w:rPr>
        <w:t>(see XX below)</w:t>
      </w:r>
    </w:p>
    <w:p w:rsidR="00C670BC" w:rsidRPr="00C670BC" w:rsidP="00C670BC">
      <w:pPr>
        <w:spacing w:after="0" w:line="240" w:lineRule="auto"/>
        <w:jc w:val="left"/>
        <w:rPr>
          <w:sz w:val="24"/>
          <w:szCs w:val="24"/>
        </w:rPr>
      </w:pPr>
      <w:r w:rsidRPr="00C670BC">
        <w:rPr>
          <w:b/>
          <w:bCs/>
          <w:sz w:val="24"/>
          <w:szCs w:val="24"/>
        </w:rPr>
        <w:t>Original Appeal</w:t>
      </w:r>
      <w:r w:rsidRPr="00C670BC">
        <w:rPr>
          <w:sz w:val="24"/>
          <w:szCs w:val="24"/>
        </w:rPr>
        <w:t xml:space="preserve"> </w:t>
      </w:r>
    </w:p>
    <w:p w:rsidR="00C670BC" w:rsidRPr="00C670BC" w:rsidP="00C670BC">
      <w:pPr>
        <w:spacing w:after="0" w:line="240" w:lineRule="auto"/>
        <w:jc w:val="left"/>
        <w:rPr>
          <w:b/>
          <w:bCs/>
          <w:sz w:val="24"/>
          <w:szCs w:val="24"/>
        </w:rPr>
      </w:pPr>
      <w:r w:rsidRPr="00C670BC">
        <w:rPr>
          <w:b/>
          <w:bCs/>
          <w:sz w:val="24"/>
          <w:szCs w:val="24"/>
        </w:rPr>
        <w:t>Original Proceeding</w:t>
      </w:r>
    </w:p>
    <w:p w:rsidR="00C670BC" w:rsidRPr="00C670BC" w:rsidP="00C670BC">
      <w:pPr>
        <w:spacing w:after="0" w:line="240" w:lineRule="auto"/>
        <w:jc w:val="left"/>
        <w:rPr>
          <w:sz w:val="24"/>
          <w:szCs w:val="24"/>
        </w:rPr>
      </w:pPr>
      <w:r w:rsidRPr="00C670BC">
        <w:rPr>
          <w:b/>
          <w:bCs/>
          <w:sz w:val="24"/>
          <w:szCs w:val="24"/>
        </w:rPr>
        <w:t>Review Granted</w:t>
      </w:r>
      <w:r w:rsidRPr="00C670BC">
        <w:rPr>
          <w:sz w:val="24"/>
          <w:szCs w:val="24"/>
        </w:rPr>
        <w:t xml:space="preserve"> </w:t>
      </w:r>
      <w:r w:rsidRPr="00C670BC">
        <w:rPr>
          <w:b/>
          <w:bCs/>
          <w:sz w:val="24"/>
          <w:szCs w:val="24"/>
        </w:rPr>
        <w:t xml:space="preserve">(published) </w:t>
      </w:r>
      <w:r w:rsidRPr="00C670BC">
        <w:rPr>
          <w:sz w:val="24"/>
          <w:szCs w:val="24"/>
        </w:rPr>
        <w:t>XX 34 Cal.App.5th 75</w:t>
      </w:r>
    </w:p>
    <w:p w:rsidR="00C670BC" w:rsidRPr="00C670BC" w:rsidP="00C670BC">
      <w:pPr>
        <w:spacing w:after="0" w:line="240" w:lineRule="auto"/>
        <w:jc w:val="left"/>
        <w:rPr>
          <w:sz w:val="24"/>
          <w:szCs w:val="24"/>
        </w:rPr>
      </w:pPr>
      <w:r w:rsidRPr="00C670BC">
        <w:rPr>
          <w:b/>
          <w:bCs/>
          <w:sz w:val="24"/>
          <w:szCs w:val="24"/>
        </w:rPr>
        <w:t xml:space="preserve">Review Granted (unpublished) </w:t>
      </w:r>
    </w:p>
    <w:p w:rsidR="00C670BC" w:rsidRPr="00C670BC" w:rsidP="00C670BC">
      <w:pPr>
        <w:spacing w:after="0" w:line="240" w:lineRule="auto"/>
        <w:jc w:val="left"/>
        <w:rPr>
          <w:b/>
          <w:bCs/>
          <w:sz w:val="24"/>
          <w:szCs w:val="24"/>
        </w:rPr>
      </w:pPr>
      <w:r w:rsidRPr="00C670BC">
        <w:rPr>
          <w:b/>
          <w:bCs/>
          <w:sz w:val="24"/>
          <w:szCs w:val="24"/>
        </w:rPr>
        <w:t>Rehearing Granted</w:t>
      </w:r>
    </w:p>
    <w:p w:rsidR="00C670BC" w:rsidRPr="00C670BC" w:rsidP="00C670BC">
      <w:pPr>
        <w:spacing w:after="0" w:line="240" w:lineRule="auto"/>
        <w:jc w:val="left"/>
        <w:rPr>
          <w:b/>
          <w:sz w:val="24"/>
          <w:szCs w:val="24"/>
        </w:rPr>
      </w:pPr>
    </w:p>
    <w:p w:rsidR="00C670BC" w:rsidRPr="00C670BC" w:rsidP="00C670BC">
      <w:pPr>
        <w:spacing w:after="0" w:line="240" w:lineRule="auto"/>
        <w:jc w:val="left"/>
        <w:rPr>
          <w:b/>
          <w:sz w:val="24"/>
          <w:szCs w:val="24"/>
        </w:rPr>
      </w:pPr>
      <w:r w:rsidRPr="00C670BC">
        <w:rPr>
          <w:b/>
          <w:sz w:val="24"/>
          <w:szCs w:val="24"/>
        </w:rPr>
        <w:t xml:space="preserve">__________________________________________________________ </w:t>
      </w:r>
    </w:p>
    <w:p w:rsidR="00C670BC" w:rsidRPr="00C670BC" w:rsidP="00C670BC">
      <w:pPr>
        <w:spacing w:after="0" w:line="240" w:lineRule="auto"/>
        <w:jc w:val="left"/>
        <w:rPr>
          <w:b/>
          <w:sz w:val="24"/>
          <w:szCs w:val="24"/>
        </w:rPr>
      </w:pPr>
    </w:p>
    <w:p w:rsidR="00C670BC" w:rsidRPr="00C670BC" w:rsidP="00C670BC">
      <w:pPr>
        <w:spacing w:after="0" w:line="240" w:lineRule="auto"/>
        <w:jc w:val="left"/>
        <w:rPr>
          <w:bCs/>
          <w:sz w:val="24"/>
          <w:szCs w:val="24"/>
        </w:rPr>
      </w:pPr>
      <w:r w:rsidRPr="00C670BC">
        <w:rPr>
          <w:b/>
          <w:sz w:val="24"/>
          <w:szCs w:val="24"/>
        </w:rPr>
        <w:t>Opinion No.</w:t>
      </w:r>
      <w:r w:rsidRPr="00C670BC">
        <w:rPr>
          <w:sz w:val="24"/>
          <w:szCs w:val="24"/>
        </w:rPr>
        <w:t xml:space="preserve"> S255826</w:t>
      </w:r>
    </w:p>
    <w:p w:rsidR="00C670BC" w:rsidRPr="00C670BC" w:rsidP="00C670BC">
      <w:pPr>
        <w:spacing w:after="0" w:line="240" w:lineRule="auto"/>
        <w:jc w:val="left"/>
        <w:rPr>
          <w:bCs/>
          <w:sz w:val="24"/>
          <w:szCs w:val="24"/>
        </w:rPr>
      </w:pPr>
      <w:r w:rsidRPr="00C670BC">
        <w:rPr>
          <w:b/>
          <w:sz w:val="24"/>
          <w:szCs w:val="24"/>
        </w:rPr>
        <w:t>Date Filed:</w:t>
      </w:r>
      <w:r w:rsidRPr="00C670BC">
        <w:rPr>
          <w:sz w:val="24"/>
          <w:szCs w:val="24"/>
        </w:rPr>
        <w:t xml:space="preserve">  December 2, 2021</w:t>
      </w:r>
    </w:p>
    <w:p w:rsidR="00C670BC" w:rsidRPr="00C670BC" w:rsidP="00C670BC">
      <w:pPr>
        <w:spacing w:after="0" w:line="240" w:lineRule="auto"/>
        <w:jc w:val="left"/>
        <w:rPr>
          <w:b/>
          <w:sz w:val="24"/>
          <w:szCs w:val="24"/>
        </w:rPr>
      </w:pPr>
      <w:r w:rsidRPr="00C670BC">
        <w:rPr>
          <w:b/>
          <w:sz w:val="24"/>
          <w:szCs w:val="24"/>
        </w:rPr>
        <w:t xml:space="preserve">__________________________________________________________ </w:t>
      </w:r>
    </w:p>
    <w:p w:rsidR="00C670BC" w:rsidRPr="00C670BC" w:rsidP="00C670BC">
      <w:pPr>
        <w:spacing w:after="0" w:line="240" w:lineRule="auto"/>
        <w:jc w:val="left"/>
        <w:rPr>
          <w:b/>
          <w:sz w:val="24"/>
          <w:szCs w:val="24"/>
        </w:rPr>
      </w:pPr>
    </w:p>
    <w:p w:rsidR="00C670BC" w:rsidRPr="00C670BC" w:rsidP="00C670BC">
      <w:pPr>
        <w:spacing w:after="0" w:line="240" w:lineRule="auto"/>
        <w:jc w:val="left"/>
        <w:rPr>
          <w:bCs/>
          <w:sz w:val="24"/>
          <w:szCs w:val="24"/>
        </w:rPr>
      </w:pPr>
      <w:r w:rsidRPr="00C670BC">
        <w:rPr>
          <w:b/>
          <w:sz w:val="24"/>
          <w:szCs w:val="24"/>
        </w:rPr>
        <w:t xml:space="preserve">Court:  </w:t>
      </w:r>
      <w:r w:rsidRPr="00C670BC">
        <w:rPr>
          <w:bCs/>
          <w:sz w:val="24"/>
          <w:szCs w:val="24"/>
        </w:rPr>
        <w:t>Superior</w:t>
      </w:r>
      <w:r w:rsidRPr="00C670BC">
        <w:rPr>
          <w:b/>
          <w:sz w:val="24"/>
          <w:szCs w:val="24"/>
        </w:rPr>
        <w:t xml:space="preserve"> </w:t>
      </w:r>
    </w:p>
    <w:p w:rsidR="00C670BC" w:rsidRPr="00C670BC" w:rsidP="00C670BC">
      <w:pPr>
        <w:spacing w:after="0" w:line="240" w:lineRule="auto"/>
        <w:jc w:val="left"/>
        <w:rPr>
          <w:bCs/>
          <w:sz w:val="24"/>
          <w:szCs w:val="24"/>
        </w:rPr>
      </w:pPr>
      <w:r w:rsidRPr="00C670BC">
        <w:rPr>
          <w:b/>
          <w:sz w:val="24"/>
          <w:szCs w:val="24"/>
        </w:rPr>
        <w:t xml:space="preserve">County: </w:t>
      </w:r>
      <w:r w:rsidRPr="00C670BC">
        <w:rPr>
          <w:bCs/>
          <w:sz w:val="24"/>
          <w:szCs w:val="24"/>
        </w:rPr>
        <w:t>San Diego</w:t>
      </w:r>
      <w:r w:rsidRPr="00C670BC">
        <w:rPr>
          <w:b/>
          <w:sz w:val="24"/>
          <w:szCs w:val="24"/>
        </w:rPr>
        <w:t xml:space="preserve"> </w:t>
      </w:r>
    </w:p>
    <w:p w:rsidR="00C670BC" w:rsidRPr="00C670BC" w:rsidP="00C670BC">
      <w:pPr>
        <w:spacing w:after="0" w:line="240" w:lineRule="auto"/>
        <w:ind w:left="720" w:hanging="720"/>
        <w:jc w:val="left"/>
        <w:rPr>
          <w:bCs/>
          <w:sz w:val="24"/>
          <w:szCs w:val="24"/>
        </w:rPr>
      </w:pPr>
      <w:r w:rsidRPr="00C670BC">
        <w:rPr>
          <w:b/>
          <w:sz w:val="24"/>
          <w:szCs w:val="24"/>
        </w:rPr>
        <w:t xml:space="preserve">Judge: </w:t>
      </w:r>
      <w:r w:rsidRPr="00C670BC">
        <w:rPr>
          <w:bCs/>
          <w:sz w:val="24"/>
          <w:szCs w:val="24"/>
        </w:rPr>
        <w:t>Joan P. Weber</w:t>
      </w:r>
      <w:r w:rsidRPr="00C670BC">
        <w:rPr>
          <w:b/>
          <w:sz w:val="24"/>
          <w:szCs w:val="24"/>
        </w:rPr>
        <w:t xml:space="preserve"> </w:t>
      </w:r>
    </w:p>
    <w:p w:rsidR="00C670BC" w:rsidRPr="00C670BC" w:rsidP="00C670BC">
      <w:pPr>
        <w:spacing w:after="0" w:line="240" w:lineRule="auto"/>
        <w:jc w:val="left"/>
        <w:rPr>
          <w:b/>
          <w:sz w:val="24"/>
          <w:szCs w:val="24"/>
        </w:rPr>
      </w:pPr>
    </w:p>
    <w:p w:rsidR="00C670BC" w:rsidRPr="00C670BC" w:rsidP="00C670BC">
      <w:pPr>
        <w:spacing w:after="0" w:line="240" w:lineRule="auto"/>
        <w:jc w:val="left"/>
        <w:rPr>
          <w:b/>
          <w:sz w:val="24"/>
          <w:szCs w:val="24"/>
        </w:rPr>
      </w:pPr>
      <w:r w:rsidRPr="00C670BC">
        <w:rPr>
          <w:b/>
          <w:sz w:val="24"/>
          <w:szCs w:val="24"/>
        </w:rPr>
        <w:t xml:space="preserve">__________________________________________________________  </w:t>
      </w:r>
    </w:p>
    <w:p w:rsidR="00C670BC" w:rsidRPr="00C670BC" w:rsidP="00C670BC">
      <w:pPr>
        <w:spacing w:after="0" w:line="240" w:lineRule="auto"/>
        <w:jc w:val="left"/>
        <w:rPr>
          <w:b/>
          <w:sz w:val="24"/>
          <w:szCs w:val="24"/>
        </w:rPr>
      </w:pPr>
    </w:p>
    <w:p w:rsidR="00C670BC" w:rsidRPr="00C670BC" w:rsidP="00C670BC">
      <w:pPr>
        <w:spacing w:after="0" w:line="240" w:lineRule="auto"/>
        <w:jc w:val="left"/>
        <w:rPr>
          <w:b/>
          <w:sz w:val="24"/>
          <w:szCs w:val="24"/>
        </w:rPr>
      </w:pPr>
      <w:r w:rsidRPr="00C670BC">
        <w:rPr>
          <w:b/>
          <w:sz w:val="24"/>
          <w:szCs w:val="24"/>
        </w:rPr>
        <w:t>Counsel:</w:t>
      </w:r>
    </w:p>
    <w:p w:rsidR="00C670BC" w:rsidRPr="00C670BC" w:rsidP="00C670BC">
      <w:pPr>
        <w:spacing w:after="0" w:line="240" w:lineRule="auto"/>
        <w:jc w:val="left"/>
        <w:rPr>
          <w:b/>
          <w:sz w:val="24"/>
          <w:szCs w:val="24"/>
        </w:rPr>
      </w:pPr>
    </w:p>
    <w:p w:rsidR="00C670BC" w:rsidRPr="00C670BC" w:rsidP="00C670BC">
      <w:pPr>
        <w:spacing w:after="0" w:line="240" w:lineRule="auto"/>
        <w:jc w:val="left"/>
        <w:rPr>
          <w:bCs/>
          <w:sz w:val="24"/>
          <w:szCs w:val="24"/>
        </w:rPr>
      </w:pPr>
      <w:r w:rsidRPr="00C670BC">
        <w:rPr>
          <w:bCs/>
          <w:sz w:val="24"/>
          <w:szCs w:val="24"/>
        </w:rPr>
        <w:t>Summer Stephan, District Attorney, Mark A. Amador, Linh Lam, Samantha Begovich and Anne Spitzberg, Deputy District Attorneys, for Petitioner.</w:t>
      </w:r>
    </w:p>
    <w:p w:rsidR="00C670BC" w:rsidRPr="00C670BC" w:rsidP="00C670BC">
      <w:pPr>
        <w:spacing w:after="0" w:line="240" w:lineRule="auto"/>
        <w:jc w:val="left"/>
        <w:rPr>
          <w:bCs/>
          <w:sz w:val="24"/>
          <w:szCs w:val="24"/>
        </w:rPr>
      </w:pPr>
    </w:p>
    <w:p w:rsidR="00C670BC" w:rsidRPr="00C670BC" w:rsidP="00C670BC">
      <w:pPr>
        <w:spacing w:after="0" w:line="240" w:lineRule="auto"/>
        <w:jc w:val="left"/>
        <w:rPr>
          <w:bCs/>
          <w:sz w:val="24"/>
          <w:szCs w:val="24"/>
        </w:rPr>
      </w:pPr>
      <w:r w:rsidRPr="00C670BC">
        <w:rPr>
          <w:bCs/>
          <w:sz w:val="24"/>
          <w:szCs w:val="24"/>
        </w:rPr>
        <w:t>Jeff Rubin, Deputy District Attorney (Santa Clara), for California District Attorneys Association as Amicus Curiae on behalf of Petitioner.</w:t>
      </w:r>
    </w:p>
    <w:p w:rsidR="00C670BC" w:rsidRPr="00C670BC" w:rsidP="00C670BC">
      <w:pPr>
        <w:spacing w:after="0" w:line="240" w:lineRule="auto"/>
        <w:jc w:val="left"/>
        <w:rPr>
          <w:bCs/>
          <w:sz w:val="24"/>
          <w:szCs w:val="24"/>
        </w:rPr>
      </w:pPr>
    </w:p>
    <w:p w:rsidR="00C670BC" w:rsidRPr="00C670BC" w:rsidP="00C670BC">
      <w:pPr>
        <w:spacing w:after="0" w:line="240" w:lineRule="auto"/>
        <w:jc w:val="left"/>
        <w:rPr>
          <w:bCs/>
          <w:sz w:val="24"/>
          <w:szCs w:val="24"/>
        </w:rPr>
      </w:pPr>
      <w:r w:rsidRPr="00C670BC">
        <w:rPr>
          <w:bCs/>
          <w:sz w:val="24"/>
          <w:szCs w:val="24"/>
        </w:rPr>
        <w:t>No appearance for Respondent.</w:t>
      </w:r>
    </w:p>
    <w:p w:rsidR="00C670BC" w:rsidRPr="00C670BC" w:rsidP="00C670BC">
      <w:pPr>
        <w:spacing w:after="0" w:line="240" w:lineRule="auto"/>
        <w:jc w:val="left"/>
        <w:rPr>
          <w:bCs/>
          <w:sz w:val="24"/>
          <w:szCs w:val="24"/>
        </w:rPr>
      </w:pPr>
    </w:p>
    <w:p w:rsidR="00C670BC" w:rsidRPr="00C670BC" w:rsidP="00C670BC">
      <w:pPr>
        <w:spacing w:after="0" w:line="240" w:lineRule="auto"/>
        <w:jc w:val="left"/>
        <w:rPr>
          <w:bCs/>
          <w:sz w:val="24"/>
          <w:szCs w:val="24"/>
        </w:rPr>
      </w:pPr>
      <w:r w:rsidRPr="00C670BC">
        <w:rPr>
          <w:bCs/>
          <w:sz w:val="24"/>
          <w:szCs w:val="24"/>
        </w:rPr>
        <w:t>Shelley J. Sandusky, Cliona Plunkett and Rachel G. Schaefer for Real Party in Interest.</w:t>
      </w:r>
    </w:p>
    <w:p w:rsidR="00C670BC" w:rsidRPr="00C670BC" w:rsidP="00C670BC">
      <w:pPr>
        <w:spacing w:after="0" w:line="240" w:lineRule="auto"/>
        <w:jc w:val="left"/>
        <w:rPr>
          <w:b/>
          <w:sz w:val="24"/>
          <w:szCs w:val="24"/>
        </w:rPr>
      </w:pPr>
    </w:p>
    <w:p w:rsidR="00C670BC" w:rsidRPr="00C670BC" w:rsidP="00C670BC">
      <w:pPr>
        <w:spacing w:after="0" w:line="240" w:lineRule="auto"/>
        <w:jc w:val="left"/>
        <w:rPr>
          <w:bCs/>
          <w:sz w:val="24"/>
          <w:szCs w:val="24"/>
        </w:rPr>
      </w:pPr>
      <w:r w:rsidRPr="00C670BC">
        <w:rPr>
          <w:bCs/>
          <w:sz w:val="24"/>
          <w:szCs w:val="24"/>
        </w:rPr>
        <w:t>Michael C. McMahon for California Public Defenders Association and Todd W. Howeth as Amici Curiae on behalf of Real Party in Interest.</w:t>
      </w:r>
    </w:p>
    <w:p w:rsidR="00C670BC" w:rsidRPr="00C670BC" w:rsidP="00C670BC">
      <w:pPr>
        <w:spacing w:after="0" w:line="240" w:lineRule="auto"/>
        <w:jc w:val="left"/>
        <w:rPr>
          <w:bCs/>
          <w:sz w:val="24"/>
          <w:szCs w:val="24"/>
        </w:rPr>
      </w:pPr>
    </w:p>
    <w:p w:rsidR="00C670BC" w:rsidRPr="00C670BC" w:rsidP="00C670BC">
      <w:pPr>
        <w:spacing w:after="0" w:line="240" w:lineRule="auto"/>
        <w:jc w:val="left"/>
        <w:rPr>
          <w:bCs/>
          <w:sz w:val="24"/>
          <w:szCs w:val="24"/>
        </w:rPr>
      </w:pPr>
      <w:r w:rsidRPr="00C670BC">
        <w:rPr>
          <w:bCs/>
          <w:sz w:val="24"/>
          <w:szCs w:val="24"/>
        </w:rPr>
        <w:t>Wesley A. Van Winkle for Private Practice Capital Habeas Corpus Attorneys as Amici Curiae on behalf of Real Party in Interest.</w:t>
      </w:r>
    </w:p>
    <w:p w:rsidR="00C670BC" w:rsidRPr="00C670BC" w:rsidP="00C670BC">
      <w:pPr>
        <w:spacing w:after="0" w:line="240" w:lineRule="auto"/>
        <w:jc w:val="left"/>
        <w:rPr>
          <w:bCs/>
          <w:sz w:val="24"/>
          <w:szCs w:val="24"/>
        </w:rPr>
      </w:pPr>
    </w:p>
    <w:p w:rsidR="00C670BC" w:rsidRPr="00C670BC" w:rsidP="00C670BC">
      <w:pPr>
        <w:spacing w:after="0" w:line="240" w:lineRule="auto"/>
        <w:jc w:val="left"/>
        <w:rPr>
          <w:bCs/>
          <w:sz w:val="24"/>
          <w:szCs w:val="24"/>
        </w:rPr>
      </w:pPr>
      <w:r w:rsidRPr="00C670BC">
        <w:rPr>
          <w:bCs/>
          <w:sz w:val="24"/>
          <w:szCs w:val="24"/>
        </w:rPr>
        <w:t>Kristen A. Johnson, Natasha C. Merle, Liliana Zaragoza and Mahogane C. Reed for NAACP Legal Defense &amp; Educational Fund, Inc., as Amicus Curiae on behalf of Real Party in Interest.</w:t>
      </w:r>
    </w:p>
    <w:p w:rsidR="00C670BC" w:rsidRPr="00C670BC" w:rsidP="00C670BC">
      <w:pPr>
        <w:spacing w:after="0" w:line="240" w:lineRule="auto"/>
        <w:jc w:val="left"/>
        <w:rPr>
          <w:b/>
          <w:sz w:val="24"/>
          <w:szCs w:val="24"/>
        </w:rPr>
      </w:pPr>
      <w:r w:rsidRPr="00C670BC">
        <w:rPr>
          <w:color w:val="212121"/>
          <w:sz w:val="24"/>
          <w:szCs w:val="24"/>
          <w:shd w:val="clear" w:color="auto" w:fill="FFFFFF"/>
        </w:rPr>
        <w:br w:type="page"/>
      </w:r>
      <w:r w:rsidRPr="00C670BC">
        <w:rPr>
          <w:b/>
          <w:sz w:val="24"/>
          <w:szCs w:val="24"/>
        </w:rPr>
        <w:t>Counsel who argued in Supreme Court (not intended for publication with opinion):</w:t>
      </w:r>
    </w:p>
    <w:p w:rsidR="00C670BC" w:rsidRPr="00C670BC" w:rsidP="00C670BC">
      <w:pPr>
        <w:spacing w:after="0" w:line="240" w:lineRule="auto"/>
        <w:jc w:val="left"/>
        <w:rPr>
          <w:b/>
          <w:sz w:val="24"/>
          <w:szCs w:val="24"/>
        </w:rPr>
      </w:pPr>
    </w:p>
    <w:p w:rsidR="00C670BC" w:rsidRPr="00C670BC" w:rsidP="00C670BC">
      <w:pPr>
        <w:spacing w:after="0" w:line="240" w:lineRule="auto"/>
        <w:jc w:val="left"/>
        <w:rPr>
          <w:sz w:val="24"/>
          <w:szCs w:val="24"/>
        </w:rPr>
      </w:pPr>
      <w:r w:rsidRPr="00C670BC">
        <w:rPr>
          <w:sz w:val="24"/>
          <w:szCs w:val="24"/>
        </w:rPr>
        <w:t xml:space="preserve">Anne Spitzberg </w:t>
      </w:r>
    </w:p>
    <w:p w:rsidR="00C670BC" w:rsidRPr="00C670BC" w:rsidP="00C670BC">
      <w:pPr>
        <w:spacing w:after="0" w:line="240" w:lineRule="auto"/>
        <w:jc w:val="left"/>
        <w:rPr>
          <w:sz w:val="24"/>
          <w:szCs w:val="24"/>
        </w:rPr>
      </w:pPr>
      <w:r w:rsidRPr="00C670BC">
        <w:rPr>
          <w:sz w:val="24"/>
          <w:szCs w:val="24"/>
        </w:rPr>
        <w:t>Deputy District Attorney</w:t>
      </w:r>
    </w:p>
    <w:p w:rsidR="00C670BC" w:rsidRPr="00C670BC" w:rsidP="00C670BC">
      <w:pPr>
        <w:spacing w:after="0" w:line="240" w:lineRule="auto"/>
        <w:jc w:val="left"/>
        <w:rPr>
          <w:sz w:val="24"/>
          <w:szCs w:val="24"/>
        </w:rPr>
      </w:pPr>
      <w:r w:rsidRPr="00C670BC">
        <w:rPr>
          <w:sz w:val="24"/>
          <w:szCs w:val="24"/>
        </w:rPr>
        <w:t>300 West Broadway, Suite 860</w:t>
      </w:r>
    </w:p>
    <w:p w:rsidR="00C670BC" w:rsidRPr="00C670BC" w:rsidP="00C670BC">
      <w:pPr>
        <w:spacing w:after="0" w:line="240" w:lineRule="auto"/>
        <w:jc w:val="left"/>
        <w:rPr>
          <w:sz w:val="24"/>
          <w:szCs w:val="24"/>
        </w:rPr>
      </w:pPr>
      <w:r w:rsidRPr="00C670BC">
        <w:rPr>
          <w:sz w:val="24"/>
          <w:szCs w:val="24"/>
        </w:rPr>
        <w:t>San Diego, CA 92101</w:t>
      </w:r>
    </w:p>
    <w:p w:rsidR="00C670BC" w:rsidRPr="00C670BC" w:rsidP="00C670BC">
      <w:pPr>
        <w:spacing w:after="0" w:line="240" w:lineRule="auto"/>
        <w:jc w:val="left"/>
        <w:rPr>
          <w:sz w:val="24"/>
          <w:szCs w:val="24"/>
        </w:rPr>
      </w:pPr>
      <w:r w:rsidRPr="00C670BC">
        <w:rPr>
          <w:sz w:val="24"/>
          <w:szCs w:val="24"/>
        </w:rPr>
        <w:t>(619) 531-3591</w:t>
      </w:r>
    </w:p>
    <w:p w:rsidR="00C670BC" w:rsidRPr="00C670BC" w:rsidP="00C670BC">
      <w:pPr>
        <w:spacing w:after="0" w:line="240" w:lineRule="auto"/>
        <w:jc w:val="left"/>
        <w:rPr>
          <w:sz w:val="24"/>
          <w:szCs w:val="24"/>
        </w:rPr>
      </w:pPr>
    </w:p>
    <w:p w:rsidR="00C670BC" w:rsidRPr="00C670BC" w:rsidP="00C670BC">
      <w:pPr>
        <w:spacing w:after="0" w:line="240" w:lineRule="auto"/>
        <w:jc w:val="left"/>
        <w:rPr>
          <w:sz w:val="24"/>
          <w:szCs w:val="24"/>
        </w:rPr>
      </w:pPr>
      <w:r w:rsidRPr="00C670BC">
        <w:rPr>
          <w:sz w:val="24"/>
          <w:szCs w:val="24"/>
        </w:rPr>
        <w:t>Rachel G. Schaefer</w:t>
      </w:r>
    </w:p>
    <w:p w:rsidR="00C670BC" w:rsidRPr="00C670BC" w:rsidP="00C670BC">
      <w:pPr>
        <w:spacing w:after="0" w:line="240" w:lineRule="auto"/>
        <w:jc w:val="left"/>
        <w:rPr>
          <w:sz w:val="24"/>
          <w:szCs w:val="24"/>
        </w:rPr>
      </w:pPr>
      <w:r w:rsidRPr="00C670BC">
        <w:rPr>
          <w:sz w:val="24"/>
          <w:szCs w:val="24"/>
        </w:rPr>
        <w:t>Habeas Corpus Resource Center</w:t>
      </w:r>
    </w:p>
    <w:p w:rsidR="00C670BC" w:rsidRPr="00C670BC" w:rsidP="00C670BC">
      <w:pPr>
        <w:spacing w:after="0" w:line="240" w:lineRule="auto"/>
        <w:jc w:val="left"/>
        <w:rPr>
          <w:sz w:val="24"/>
          <w:szCs w:val="24"/>
        </w:rPr>
      </w:pPr>
      <w:r w:rsidRPr="00C670BC">
        <w:rPr>
          <w:sz w:val="24"/>
          <w:szCs w:val="24"/>
        </w:rPr>
        <w:t>303 Second Street, Suite 400 South</w:t>
      </w:r>
    </w:p>
    <w:p w:rsidR="00C670BC" w:rsidRPr="00C670BC" w:rsidP="00C670BC">
      <w:pPr>
        <w:spacing w:after="0" w:line="240" w:lineRule="auto"/>
        <w:jc w:val="left"/>
        <w:rPr>
          <w:sz w:val="24"/>
          <w:szCs w:val="24"/>
        </w:rPr>
      </w:pPr>
      <w:r w:rsidRPr="00C670BC">
        <w:rPr>
          <w:sz w:val="24"/>
          <w:szCs w:val="24"/>
        </w:rPr>
        <w:t>San Francisco, CA 94107</w:t>
      </w:r>
    </w:p>
    <w:p w:rsidR="00C670BC" w:rsidRPr="00C670BC" w:rsidP="00C670BC">
      <w:pPr>
        <w:spacing w:after="0" w:line="240" w:lineRule="auto"/>
        <w:jc w:val="left"/>
        <w:rPr>
          <w:sz w:val="24"/>
          <w:szCs w:val="24"/>
        </w:rPr>
      </w:pPr>
      <w:r w:rsidRPr="00C670BC">
        <w:rPr>
          <w:sz w:val="24"/>
          <w:szCs w:val="24"/>
        </w:rPr>
        <w:t>(415) 348-3800</w:t>
      </w:r>
    </w:p>
    <w:p w:rsidR="00C670BC" w:rsidRPr="00C670BC" w:rsidP="00C670BC">
      <w:pPr>
        <w:spacing w:after="0" w:line="240" w:lineRule="auto"/>
        <w:jc w:val="left"/>
        <w:rPr>
          <w:sz w:val="24"/>
          <w:szCs w:val="24"/>
        </w:rPr>
      </w:pPr>
    </w:p>
    <w:p w:rsidR="00C670BC" w:rsidRPr="00C670BC" w:rsidP="00C670BC">
      <w:pPr>
        <w:spacing w:after="0" w:line="240" w:lineRule="auto"/>
        <w:jc w:val="left"/>
        <w:rPr>
          <w:sz w:val="24"/>
          <w:szCs w:val="24"/>
        </w:rPr>
      </w:pPr>
      <w:r w:rsidRPr="00C670BC">
        <w:rPr>
          <w:sz w:val="24"/>
          <w:szCs w:val="24"/>
        </w:rPr>
        <w:t>Natasha Merle</w:t>
      </w:r>
    </w:p>
    <w:p w:rsidR="00C670BC" w:rsidRPr="00C670BC" w:rsidP="00C670BC">
      <w:pPr>
        <w:spacing w:after="0" w:line="240" w:lineRule="auto"/>
        <w:jc w:val="left"/>
        <w:rPr>
          <w:sz w:val="24"/>
          <w:szCs w:val="24"/>
        </w:rPr>
      </w:pPr>
      <w:r w:rsidRPr="00C670BC">
        <w:rPr>
          <w:sz w:val="24"/>
          <w:szCs w:val="24"/>
        </w:rPr>
        <w:t>NAACP Legal Defense &amp; Educational Fund, Inc.</w:t>
      </w:r>
    </w:p>
    <w:p w:rsidR="00C670BC" w:rsidRPr="00C670BC" w:rsidP="00C670BC">
      <w:pPr>
        <w:spacing w:after="0" w:line="240" w:lineRule="auto"/>
        <w:jc w:val="left"/>
        <w:rPr>
          <w:sz w:val="24"/>
          <w:szCs w:val="24"/>
        </w:rPr>
      </w:pPr>
      <w:r w:rsidRPr="00C670BC">
        <w:rPr>
          <w:sz w:val="24"/>
          <w:szCs w:val="24"/>
        </w:rPr>
        <w:t>40 Rector Street, 5th Floor</w:t>
      </w:r>
    </w:p>
    <w:p w:rsidR="00C670BC" w:rsidRPr="00C670BC" w:rsidP="00C670BC">
      <w:pPr>
        <w:spacing w:after="0" w:line="240" w:lineRule="auto"/>
        <w:jc w:val="left"/>
        <w:rPr>
          <w:sz w:val="24"/>
          <w:szCs w:val="24"/>
        </w:rPr>
      </w:pPr>
      <w:r w:rsidRPr="00C670BC">
        <w:rPr>
          <w:sz w:val="24"/>
          <w:szCs w:val="24"/>
        </w:rPr>
        <w:t>New York, NY 10006</w:t>
      </w:r>
    </w:p>
    <w:p w:rsidR="00C670BC" w:rsidRPr="00C670BC" w:rsidP="00C670BC">
      <w:pPr>
        <w:spacing w:after="0" w:line="240" w:lineRule="auto"/>
        <w:jc w:val="left"/>
        <w:rPr>
          <w:sz w:val="24"/>
          <w:szCs w:val="24"/>
        </w:rPr>
      </w:pPr>
      <w:r w:rsidRPr="00C670BC">
        <w:rPr>
          <w:sz w:val="24"/>
          <w:szCs w:val="24"/>
        </w:rPr>
        <w:t>(212) 965-2200</w:t>
      </w:r>
    </w:p>
    <w:p w:rsidR="00B44342" w:rsidP="00B44342">
      <w:pPr>
        <w:spacing w:after="0" w:line="240" w:lineRule="auto"/>
        <w:rPr>
          <w:b/>
          <w:szCs w:val="26"/>
        </w:rPr>
      </w:pPr>
    </w:p>
    <w:sectPr w:rsidSect="00EC2BB8">
      <w:headerReference w:type="even" r:id="rId14"/>
      <w:headerReference w:type="default" r:id="rId15"/>
      <w:footerReference w:type="even" r:id="rId16"/>
      <w:footerReference w:type="default" r:id="rId17"/>
      <w:headerReference w:type="first" r:id="rId18"/>
      <w:footerReference w:type="first" r:id="rId19"/>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2834580"/>
      <w:docPartObj>
        <w:docPartGallery w:val="Page Numbers (Bottom of Page)"/>
        <w:docPartUnique/>
      </w:docPartObj>
    </w:sdtPr>
    <w:sdtEndPr>
      <w:rPr>
        <w:noProof/>
      </w:rPr>
    </w:sdtEndPr>
    <w:sdtContent>
      <w:p w:rsidR="00432CB8">
        <w:pPr>
          <w:pStyle w:val="Footer"/>
        </w:pPr>
        <w:r>
          <w:fldChar w:fldCharType="begin"/>
        </w:r>
        <w:r>
          <w:instrText xml:space="preserve"> PAGE   \* MERGEFORMAT </w:instrText>
        </w:r>
        <w:r>
          <w:fldChar w:fldCharType="separate"/>
        </w:r>
        <w:r>
          <w:rPr>
            <w:noProof/>
          </w:rPr>
          <w:t>2</w:t>
        </w:r>
        <w:r>
          <w:rPr>
            <w:noProof/>
          </w:rPr>
          <w:fldChar w:fldCharType="end"/>
        </w:r>
      </w:p>
    </w:sdtContent>
  </w:sdt>
  <w:p w:rsidR="00FE0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6354836"/>
      <w:docPartObj>
        <w:docPartGallery w:val="Page Numbers (Bottom of Page)"/>
        <w:docPartUnique/>
      </w:docPartObj>
    </w:sdtPr>
    <w:sdtEndPr>
      <w:rPr>
        <w:noProof/>
      </w:rPr>
    </w:sdtEndPr>
    <w:sdtContent>
      <w:p w:rsidR="006B68AB">
        <w:pPr>
          <w:pStyle w:val="Footer"/>
        </w:pPr>
      </w:p>
    </w:sdtContent>
  </w:sdt>
  <w:p w:rsidR="006B68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7023217"/>
      <w:docPartObj>
        <w:docPartGallery w:val="Page Numbers (Bottom of Page)"/>
        <w:docPartUnique/>
      </w:docPartObj>
    </w:sdtPr>
    <w:sdtEndPr>
      <w:rPr>
        <w:noProof/>
      </w:rPr>
    </w:sdtEndPr>
    <w:sdtContent>
      <w:p w:rsidR="001612EE">
        <w:pPr>
          <w:pStyle w:val="Footer"/>
        </w:pPr>
      </w:p>
    </w:sdtContent>
  </w:sdt>
  <w:p w:rsidR="006B68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8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8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064">
      <w:r>
        <w:separator/>
      </w:r>
    </w:p>
  </w:footnote>
  <w:footnote w:type="continuationSeparator" w:id="1">
    <w:p w:rsidR="009D6064">
      <w:pPr>
        <w:rPr>
          <w:sz w:val="22"/>
        </w:rPr>
      </w:pPr>
      <w:r>
        <w:continuationSeparator/>
      </w:r>
    </w:p>
  </w:footnote>
  <w:footnote w:type="continuationNotice" w:id="2">
    <w:p w:rsidR="009D6064">
      <w:pPr>
        <w:jc w:val="right"/>
        <w:rPr>
          <w:i/>
          <w:sz w:val="20"/>
        </w:rPr>
      </w:pPr>
    </w:p>
  </w:footnote>
  <w:footnote w:id="3">
    <w:p w:rsidR="0074216A" w:rsidRPr="007A526E" w:rsidP="009332C4">
      <w:pPr>
        <w:pStyle w:val="FootnoteText"/>
        <w:tabs>
          <w:tab w:val="left" w:pos="90"/>
        </w:tabs>
        <w:rPr>
          <w:bCs/>
          <w:szCs w:val="26"/>
        </w:rPr>
      </w:pPr>
      <w:r w:rsidRPr="007A210E">
        <w:rPr>
          <w:rStyle w:val="FootnoteReference"/>
        </w:rPr>
        <w:footnoteRef/>
      </w:r>
      <w:r w:rsidRPr="007A526E">
        <w:rPr>
          <w:bCs/>
          <w:sz w:val="20"/>
        </w:rPr>
        <w:t xml:space="preserve"> </w:t>
      </w:r>
      <w:r w:rsidRPr="007A526E">
        <w:rPr>
          <w:bCs/>
          <w:szCs w:val="26"/>
        </w:rPr>
        <w:tab/>
        <w:t xml:space="preserve">On direct appeal, Jones </w:t>
      </w:r>
      <w:r>
        <w:rPr>
          <w:bCs/>
          <w:szCs w:val="26"/>
        </w:rPr>
        <w:t xml:space="preserve">also </w:t>
      </w:r>
      <w:r w:rsidRPr="007A526E">
        <w:rPr>
          <w:bCs/>
          <w:szCs w:val="26"/>
        </w:rPr>
        <w:t xml:space="preserve">renewed his challenge to </w:t>
      </w:r>
      <w:r>
        <w:rPr>
          <w:bCs/>
          <w:szCs w:val="26"/>
        </w:rPr>
        <w:t xml:space="preserve">the removal of </w:t>
      </w:r>
      <w:r w:rsidR="00D35383">
        <w:rPr>
          <w:bCs/>
          <w:szCs w:val="26"/>
        </w:rPr>
        <w:t>P</w:t>
      </w:r>
      <w:r w:rsidRPr="007A526E">
        <w:rPr>
          <w:bCs/>
          <w:szCs w:val="26"/>
        </w:rPr>
        <w:t xml:space="preserve">rospective </w:t>
      </w:r>
      <w:r w:rsidR="00D35383">
        <w:rPr>
          <w:bCs/>
          <w:szCs w:val="26"/>
        </w:rPr>
        <w:t>J</w:t>
      </w:r>
      <w:r w:rsidRPr="007A526E">
        <w:rPr>
          <w:bCs/>
          <w:szCs w:val="26"/>
        </w:rPr>
        <w:t>uror</w:t>
      </w:r>
      <w:r>
        <w:rPr>
          <w:bCs/>
          <w:szCs w:val="26"/>
        </w:rPr>
        <w:t xml:space="preserve"> N.S</w:t>
      </w:r>
      <w:r w:rsidRPr="007A526E">
        <w:rPr>
          <w:bCs/>
          <w:szCs w:val="26"/>
        </w:rPr>
        <w:t xml:space="preserve">.  (See </w:t>
      </w:r>
      <w:r w:rsidRPr="007A526E">
        <w:rPr>
          <w:bCs/>
          <w:i/>
          <w:iCs/>
          <w:szCs w:val="26"/>
        </w:rPr>
        <w:t>People v. Jones</w:t>
      </w:r>
      <w:r>
        <w:rPr>
          <w:bCs/>
          <w:szCs w:val="26"/>
        </w:rPr>
        <w:t xml:space="preserve">, </w:t>
      </w:r>
      <w:r>
        <w:rPr>
          <w:bCs/>
          <w:i/>
          <w:iCs/>
          <w:szCs w:val="26"/>
        </w:rPr>
        <w:t>supra</w:t>
      </w:r>
      <w:r>
        <w:rPr>
          <w:bCs/>
          <w:szCs w:val="26"/>
        </w:rPr>
        <w:t>,</w:t>
      </w:r>
      <w:r w:rsidRPr="007A526E">
        <w:rPr>
          <w:bCs/>
          <w:szCs w:val="26"/>
        </w:rPr>
        <w:t xml:space="preserve"> 57 Cal.4th </w:t>
      </w:r>
      <w:r>
        <w:rPr>
          <w:bCs/>
          <w:szCs w:val="26"/>
        </w:rPr>
        <w:t>at p. </w:t>
      </w:r>
      <w:r w:rsidRPr="007A526E">
        <w:rPr>
          <w:bCs/>
          <w:szCs w:val="26"/>
        </w:rPr>
        <w:t xml:space="preserve">916.)  </w:t>
      </w:r>
      <w:r>
        <w:rPr>
          <w:bCs/>
          <w:szCs w:val="26"/>
        </w:rPr>
        <w:t xml:space="preserve">With respect to N.S., the trial court had ruled there was no prima facie showing of discrimination.  Because it was unclear whether the trial court had applied the correct prima facie case standard, we </w:t>
      </w:r>
      <w:r w:rsidRPr="007A526E">
        <w:rPr>
          <w:bCs/>
          <w:szCs w:val="26"/>
        </w:rPr>
        <w:t xml:space="preserve">independently reviewed the record and </w:t>
      </w:r>
      <w:r>
        <w:rPr>
          <w:bCs/>
          <w:szCs w:val="26"/>
        </w:rPr>
        <w:t xml:space="preserve">upheld the trial court’s conclusion that Jones failed to make out a prima facie case of discrimination concerning N.S.  </w:t>
      </w:r>
      <w:r w:rsidRPr="007A526E">
        <w:rPr>
          <w:bCs/>
          <w:szCs w:val="26"/>
        </w:rPr>
        <w:t>(</w:t>
      </w:r>
      <w:r w:rsidRPr="007A526E">
        <w:rPr>
          <w:bCs/>
          <w:i/>
          <w:iCs/>
          <w:szCs w:val="26"/>
        </w:rPr>
        <w:t>Id.</w:t>
      </w:r>
      <w:r w:rsidRPr="007A526E">
        <w:rPr>
          <w:bCs/>
          <w:szCs w:val="26"/>
        </w:rPr>
        <w:t xml:space="preserve"> at pp.</w:t>
      </w:r>
      <w:r>
        <w:rPr>
          <w:bCs/>
          <w:szCs w:val="26"/>
        </w:rPr>
        <w:t> </w:t>
      </w:r>
      <w:r w:rsidRPr="007A526E">
        <w:rPr>
          <w:bCs/>
          <w:szCs w:val="26"/>
        </w:rPr>
        <w:t>919–920.)</w:t>
      </w:r>
    </w:p>
  </w:footnote>
  <w:footnote w:id="4">
    <w:p w:rsidR="0074216A" w:rsidRPr="007A526E" w:rsidP="00D1376F">
      <w:pPr>
        <w:pStyle w:val="FootnoteText"/>
        <w:tabs>
          <w:tab w:val="left" w:pos="0"/>
        </w:tabs>
        <w:rPr>
          <w:bCs/>
          <w:szCs w:val="26"/>
        </w:rPr>
      </w:pPr>
      <w:r w:rsidRPr="007A210E">
        <w:rPr>
          <w:rStyle w:val="FootnoteReference"/>
        </w:rPr>
        <w:footnoteRef/>
      </w:r>
      <w:r w:rsidRPr="007A526E">
        <w:rPr>
          <w:bCs/>
          <w:sz w:val="20"/>
        </w:rPr>
        <w:t xml:space="preserve"> </w:t>
      </w:r>
      <w:r w:rsidRPr="007A526E">
        <w:rPr>
          <w:bCs/>
          <w:sz w:val="20"/>
        </w:rPr>
        <w:tab/>
      </w:r>
      <w:r w:rsidRPr="00462825">
        <w:rPr>
          <w:bCs/>
          <w:szCs w:val="26"/>
        </w:rPr>
        <w:t xml:space="preserve">Jones </w:t>
      </w:r>
      <w:r>
        <w:rPr>
          <w:bCs/>
          <w:szCs w:val="26"/>
        </w:rPr>
        <w:t xml:space="preserve">also </w:t>
      </w:r>
      <w:r w:rsidRPr="00462825">
        <w:rPr>
          <w:bCs/>
          <w:szCs w:val="26"/>
        </w:rPr>
        <w:t xml:space="preserve">requested </w:t>
      </w:r>
      <w:r>
        <w:rPr>
          <w:bCs/>
          <w:szCs w:val="26"/>
        </w:rPr>
        <w:t xml:space="preserve">other items related to jury selection, including prosecution </w:t>
      </w:r>
      <w:r w:rsidRPr="00462825">
        <w:rPr>
          <w:bCs/>
          <w:szCs w:val="26"/>
        </w:rPr>
        <w:t>polic</w:t>
      </w:r>
      <w:r>
        <w:rPr>
          <w:bCs/>
          <w:szCs w:val="26"/>
        </w:rPr>
        <w:t>ies</w:t>
      </w:r>
      <w:r w:rsidRPr="00462825">
        <w:rPr>
          <w:bCs/>
          <w:szCs w:val="26"/>
        </w:rPr>
        <w:t xml:space="preserve"> </w:t>
      </w:r>
      <w:r>
        <w:rPr>
          <w:bCs/>
          <w:szCs w:val="26"/>
        </w:rPr>
        <w:t xml:space="preserve">and training materials and records </w:t>
      </w:r>
      <w:r w:rsidRPr="007A526E">
        <w:rPr>
          <w:bCs/>
          <w:szCs w:val="26"/>
        </w:rPr>
        <w:t>relat</w:t>
      </w:r>
      <w:r>
        <w:rPr>
          <w:bCs/>
          <w:szCs w:val="26"/>
        </w:rPr>
        <w:t>ed</w:t>
      </w:r>
      <w:r w:rsidRPr="007A526E">
        <w:rPr>
          <w:bCs/>
          <w:szCs w:val="26"/>
        </w:rPr>
        <w:t xml:space="preserve"> to other </w:t>
      </w:r>
      <w:r>
        <w:rPr>
          <w:bCs/>
          <w:szCs w:val="26"/>
        </w:rPr>
        <w:t xml:space="preserve">cases </w:t>
      </w:r>
      <w:r w:rsidRPr="007A526E">
        <w:rPr>
          <w:bCs/>
          <w:szCs w:val="26"/>
        </w:rPr>
        <w:t>tried by the prosecutor</w:t>
      </w:r>
      <w:r>
        <w:rPr>
          <w:bCs/>
          <w:szCs w:val="26"/>
        </w:rPr>
        <w:t xml:space="preserve">.  </w:t>
      </w:r>
      <w:r w:rsidRPr="007A526E">
        <w:rPr>
          <w:bCs/>
          <w:szCs w:val="26"/>
        </w:rPr>
        <w:t>The questions on which we granted review concern only the jury selection notes.</w:t>
      </w:r>
    </w:p>
  </w:footnote>
  <w:footnote w:id="5">
    <w:p w:rsidR="0074216A">
      <w:pPr>
        <w:pStyle w:val="FootnoteText"/>
      </w:pPr>
      <w:r>
        <w:rPr>
          <w:rStyle w:val="FootnoteReference"/>
        </w:rPr>
        <w:footnoteRef/>
      </w:r>
      <w:r>
        <w:t xml:space="preserve"> </w:t>
      </w:r>
      <w:r>
        <w:tab/>
        <w:t xml:space="preserve">As the trial judge remarked in this case:  </w:t>
      </w:r>
      <w:r w:rsidRPr="00781374">
        <w:t>“I will tell you, as a long time trial judge, this is a very difficult issue for trial judges to deal with because you have an attorney at sidebar and he or she is making representations to you as to why a peremptory challenge was made, and it’s always been, for this Court, a very uncomfortable sidebar.”</w:t>
      </w:r>
    </w:p>
  </w:footnote>
  <w:footnote w:id="6">
    <w:p w:rsidR="0074216A" w:rsidRPr="008169F0" w:rsidP="00D1376F">
      <w:pPr>
        <w:tabs>
          <w:tab w:val="left" w:pos="90"/>
        </w:tabs>
        <w:spacing w:line="300" w:lineRule="exact"/>
        <w:rPr>
          <w:bCs/>
          <w:sz w:val="26"/>
          <w:szCs w:val="26"/>
        </w:rPr>
      </w:pPr>
      <w:r w:rsidRPr="00845EA3">
        <w:rPr>
          <w:rStyle w:val="FootnoteReference"/>
        </w:rPr>
        <w:footnoteRef/>
      </w:r>
      <w:r w:rsidRPr="00845EA3">
        <w:rPr>
          <w:sz w:val="20"/>
        </w:rPr>
        <w:t xml:space="preserve"> </w:t>
      </w:r>
      <w:r>
        <w:rPr>
          <w:bCs/>
          <w:sz w:val="20"/>
        </w:rPr>
        <w:tab/>
      </w:r>
      <w:r w:rsidRPr="004375DF">
        <w:rPr>
          <w:bCs/>
          <w:sz w:val="26"/>
          <w:szCs w:val="26"/>
        </w:rPr>
        <w:t xml:space="preserve">We </w:t>
      </w:r>
      <w:r>
        <w:rPr>
          <w:bCs/>
          <w:sz w:val="26"/>
          <w:szCs w:val="26"/>
        </w:rPr>
        <w:t xml:space="preserve">granted </w:t>
      </w:r>
      <w:r w:rsidRPr="007F66BA">
        <w:rPr>
          <w:bCs/>
          <w:sz w:val="26"/>
          <w:szCs w:val="26"/>
        </w:rPr>
        <w:t>Jones</w:t>
      </w:r>
      <w:r>
        <w:rPr>
          <w:bCs/>
          <w:sz w:val="26"/>
          <w:szCs w:val="26"/>
        </w:rPr>
        <w:t xml:space="preserve">’s request </w:t>
      </w:r>
      <w:r w:rsidRPr="007F66BA">
        <w:rPr>
          <w:bCs/>
          <w:sz w:val="26"/>
          <w:szCs w:val="26"/>
        </w:rPr>
        <w:t xml:space="preserve">to take judicial notice of several unpublished opinions and pleadings </w:t>
      </w:r>
      <w:r>
        <w:rPr>
          <w:bCs/>
          <w:sz w:val="26"/>
          <w:szCs w:val="26"/>
        </w:rPr>
        <w:t xml:space="preserve">as </w:t>
      </w:r>
      <w:r w:rsidRPr="007F66BA">
        <w:rPr>
          <w:bCs/>
          <w:sz w:val="26"/>
          <w:szCs w:val="26"/>
        </w:rPr>
        <w:t xml:space="preserve">relevant to this appeal.  </w:t>
      </w:r>
    </w:p>
  </w:footnote>
  <w:footnote w:id="7">
    <w:p w:rsidR="0007794E" w:rsidP="0007794E">
      <w:pPr>
        <w:pStyle w:val="FootnoteText"/>
      </w:pPr>
      <w:r w:rsidRPr="00845EA3">
        <w:rPr>
          <w:rStyle w:val="FootnoteReference"/>
        </w:rPr>
        <w:footnoteRef/>
      </w:r>
      <w:r w:rsidRPr="00845EA3">
        <w:t xml:space="preserve"> </w:t>
      </w:r>
      <w:r>
        <w:tab/>
        <w:t xml:space="preserve">Because Gates’s trial occurred before </w:t>
      </w:r>
      <w:r>
        <w:rPr>
          <w:i/>
          <w:iCs/>
        </w:rPr>
        <w:t>Batson</w:t>
      </w:r>
      <w:r>
        <w:t xml:space="preserve">, the trial court applied the standard set forth in </w:t>
      </w:r>
      <w:r>
        <w:rPr>
          <w:i/>
          <w:iCs/>
        </w:rPr>
        <w:t>Swain v. Alabama</w:t>
      </w:r>
      <w:r>
        <w:t xml:space="preserve"> (1965) 380 U.S. 202, and therefore considered evidence of systemic discrimination, including evidence of jury selection notes for trials other than Gates’s.  Although the court found Gates had demonstrated discrimination in jury selection, the court ultimately rejected Gates’s claim for procedural reasons.</w:t>
      </w:r>
    </w:p>
  </w:footnote>
  <w:footnote w:id="8">
    <w:p w:rsidR="006549F4">
      <w:pPr>
        <w:pStyle w:val="FootnoteText"/>
      </w:pPr>
      <w:r>
        <w:rPr>
          <w:rStyle w:val="FootnoteReference"/>
        </w:rPr>
        <w:footnoteRef/>
      </w:r>
      <w:r>
        <w:t xml:space="preserve"> </w:t>
      </w:r>
      <w:r>
        <w:tab/>
      </w:r>
      <w:r w:rsidR="002F1D64">
        <w:t xml:space="preserve">We note that </w:t>
      </w:r>
      <w:r>
        <w:t xml:space="preserve">recording prospective jurors’ race, gender, or other characteristics may be benign and </w:t>
      </w:r>
      <w:r w:rsidR="00C70F84">
        <w:t xml:space="preserve">may </w:t>
      </w:r>
      <w:r w:rsidR="004754B0">
        <w:t xml:space="preserve">also </w:t>
      </w:r>
      <w:r w:rsidR="002F1D64">
        <w:t xml:space="preserve">assist in the evaluation of </w:t>
      </w:r>
      <w:r w:rsidRPr="00C048A7" w:rsidR="002F1D64">
        <w:rPr>
          <w:i/>
          <w:iCs/>
        </w:rPr>
        <w:t>Batson</w:t>
      </w:r>
      <w:r w:rsidR="002F1D64">
        <w:t>/</w:t>
      </w:r>
      <w:r w:rsidRPr="00C048A7" w:rsidR="002F1D64">
        <w:rPr>
          <w:i/>
          <w:iCs/>
        </w:rPr>
        <w:t>Wheeler</w:t>
      </w:r>
      <w:r w:rsidR="002F1D64">
        <w:t xml:space="preserve"> motions by </w:t>
      </w:r>
      <w:r>
        <w:t xml:space="preserve">making a complete record of the composition of the </w:t>
      </w:r>
      <w:r w:rsidR="002F1D64">
        <w:t xml:space="preserve">venire and the </w:t>
      </w:r>
      <w:r w:rsidR="004754B0">
        <w:t xml:space="preserve">seated </w:t>
      </w:r>
      <w:r w:rsidR="002F1D64">
        <w:t>jury.</w:t>
      </w:r>
    </w:p>
  </w:footnote>
  <w:footnote w:id="9">
    <w:p w:rsidR="0074216A" w:rsidP="00D608FD">
      <w:pPr>
        <w:pStyle w:val="FootnoteText"/>
      </w:pPr>
      <w:r w:rsidRPr="00871232">
        <w:rPr>
          <w:rStyle w:val="FootnoteReference"/>
        </w:rPr>
        <w:footnoteRef/>
      </w:r>
      <w:r w:rsidRPr="00871232">
        <w:t xml:space="preserve"> </w:t>
      </w:r>
      <w:r>
        <w:rPr>
          <w:b/>
          <w:bCs/>
        </w:rPr>
        <w:tab/>
      </w:r>
      <w:r>
        <w:t xml:space="preserve">As explained above, the petitioner in </w:t>
      </w:r>
      <w:r>
        <w:rPr>
          <w:i/>
          <w:iCs/>
        </w:rPr>
        <w:t xml:space="preserve">Foster </w:t>
      </w:r>
      <w:r>
        <w:t>obtained jury selection notes through a public records request.  This case raises no question about the availability of the notes under California’s Public Records Act</w:t>
      </w:r>
      <w:r w:rsidR="0004001B">
        <w:t xml:space="preserve"> (Gov. Code, §</w:t>
      </w:r>
      <w:r w:rsidR="00B40DB3">
        <w:t> </w:t>
      </w:r>
      <w:r w:rsidR="0004001B">
        <w:t>6250 et seq.)</w:t>
      </w:r>
      <w:r>
        <w:t>.</w:t>
      </w:r>
    </w:p>
  </w:footnote>
  <w:footnote w:id="10">
    <w:p w:rsidR="0074216A" w:rsidRPr="00E41C28" w:rsidP="00D1376F">
      <w:pPr>
        <w:pStyle w:val="FootnoteText"/>
        <w:tabs>
          <w:tab w:val="left" w:pos="0"/>
        </w:tabs>
      </w:pPr>
      <w:r w:rsidRPr="00C21F00">
        <w:rPr>
          <w:rStyle w:val="FootnoteReference"/>
        </w:rPr>
        <w:footnoteRef/>
      </w:r>
      <w:r w:rsidRPr="00C21F00">
        <w:t xml:space="preserve"> </w:t>
      </w:r>
      <w:r>
        <w:tab/>
      </w:r>
      <w:bookmarkStart w:id="5" w:name="_Hlk88472917"/>
      <w:r>
        <w:t>We are concerned</w:t>
      </w:r>
      <w:r w:rsidR="00116307">
        <w:t xml:space="preserve"> in particular </w:t>
      </w:r>
      <w:r>
        <w:t xml:space="preserve">with postconviction discovery </w:t>
      </w:r>
      <w:r w:rsidR="00255077">
        <w:t xml:space="preserve">sought </w:t>
      </w:r>
      <w:r w:rsidR="00723773">
        <w:t xml:space="preserve">before </w:t>
      </w:r>
      <w:r>
        <w:t>an order to show cause</w:t>
      </w:r>
      <w:r w:rsidR="00723773">
        <w:t xml:space="preserve"> issues</w:t>
      </w:r>
      <w:r>
        <w:t xml:space="preserve">.  </w:t>
      </w:r>
      <w:r w:rsidR="00255077">
        <w:t xml:space="preserve">We express no view regarding </w:t>
      </w:r>
      <w:r w:rsidR="0088650C">
        <w:t xml:space="preserve">the available scope of discovery </w:t>
      </w:r>
      <w:r w:rsidR="00255077">
        <w:t xml:space="preserve">after issuance of an order to show cause.  </w:t>
      </w:r>
      <w:r>
        <w:t>(</w:t>
      </w:r>
      <w:r w:rsidR="00255077">
        <w:t xml:space="preserve">See </w:t>
      </w:r>
      <w:r>
        <w:rPr>
          <w:i/>
          <w:iCs/>
        </w:rPr>
        <w:t xml:space="preserve">In re Scott </w:t>
      </w:r>
      <w:r>
        <w:t>(2003) 29 Cal.4th 783, 813</w:t>
      </w:r>
      <w:r w:rsidR="00255077">
        <w:t xml:space="preserve"> [after order to show cause issues, the “scope of discovery in habeas corpus proceedings has generally been resolved on a case-by-case basis” and referees may fashion fair discovery rules to govern the proceedings]</w:t>
      </w:r>
      <w:r w:rsidR="00B44342">
        <w:t xml:space="preserve">; see </w:t>
      </w:r>
      <w:r w:rsidRPr="00B44342" w:rsidR="00B44342">
        <w:rPr>
          <w:i/>
          <w:iCs/>
        </w:rPr>
        <w:t>id.</w:t>
      </w:r>
      <w:r w:rsidR="00B44342">
        <w:t xml:space="preserve"> at p. 814</w:t>
      </w:r>
      <w:r>
        <w:t xml:space="preserve">.)  </w:t>
      </w:r>
      <w:bookmarkEnd w:id="5"/>
    </w:p>
  </w:footnote>
  <w:footnote w:id="11">
    <w:p w:rsidR="0074216A" w:rsidRPr="00C048A7" w:rsidP="005F06C8">
      <w:pPr>
        <w:pStyle w:val="FootnoteText"/>
        <w:tabs>
          <w:tab w:val="left" w:pos="0"/>
        </w:tabs>
        <w:rPr>
          <w:bCs/>
          <w:color w:val="000000"/>
          <w:szCs w:val="26"/>
        </w:rPr>
      </w:pPr>
      <w:r w:rsidRPr="00C21F00">
        <w:rPr>
          <w:rStyle w:val="FootnoteReference"/>
        </w:rPr>
        <w:footnoteRef/>
      </w:r>
      <w:r w:rsidRPr="00C21F00">
        <w:rPr>
          <w:color w:val="000000"/>
          <w:szCs w:val="26"/>
        </w:rPr>
        <w:t xml:space="preserve"> </w:t>
      </w:r>
      <w:r>
        <w:rPr>
          <w:bCs/>
          <w:color w:val="000000"/>
          <w:szCs w:val="26"/>
        </w:rPr>
        <w:tab/>
      </w:r>
      <w:bookmarkStart w:id="6" w:name="_Hlk87341182"/>
      <w:r w:rsidRPr="007A526E">
        <w:rPr>
          <w:bCs/>
          <w:color w:val="000000"/>
          <w:szCs w:val="26"/>
        </w:rPr>
        <w:t>T</w:t>
      </w:r>
      <w:r>
        <w:rPr>
          <w:bCs/>
          <w:color w:val="000000"/>
          <w:szCs w:val="26"/>
        </w:rPr>
        <w:t xml:space="preserve">he District Attorney </w:t>
      </w:r>
      <w:r w:rsidR="0068737F">
        <w:rPr>
          <w:bCs/>
          <w:color w:val="000000"/>
          <w:szCs w:val="26"/>
        </w:rPr>
        <w:t xml:space="preserve">alternatively </w:t>
      </w:r>
      <w:r w:rsidR="00395260">
        <w:rPr>
          <w:bCs/>
          <w:color w:val="000000"/>
          <w:szCs w:val="26"/>
        </w:rPr>
        <w:t>suggest</w:t>
      </w:r>
      <w:r w:rsidR="0068737F">
        <w:rPr>
          <w:bCs/>
          <w:color w:val="000000"/>
          <w:szCs w:val="26"/>
        </w:rPr>
        <w:t xml:space="preserve">s </w:t>
      </w:r>
      <w:r>
        <w:rPr>
          <w:bCs/>
          <w:color w:val="000000"/>
          <w:szCs w:val="26"/>
        </w:rPr>
        <w:t xml:space="preserve">that the jury selection notes are not subject to postconviction discovery orders because they are not included in the list of </w:t>
      </w:r>
      <w:r w:rsidR="009C6284">
        <w:rPr>
          <w:bCs/>
          <w:color w:val="000000"/>
          <w:szCs w:val="26"/>
        </w:rPr>
        <w:t xml:space="preserve">mandatory </w:t>
      </w:r>
      <w:r w:rsidR="00E77269">
        <w:rPr>
          <w:bCs/>
          <w:color w:val="000000"/>
          <w:szCs w:val="26"/>
        </w:rPr>
        <w:t xml:space="preserve">pretrial discovery </w:t>
      </w:r>
      <w:r>
        <w:rPr>
          <w:bCs/>
          <w:color w:val="000000"/>
          <w:szCs w:val="26"/>
        </w:rPr>
        <w:t xml:space="preserve">materials </w:t>
      </w:r>
      <w:r w:rsidR="00602B1B">
        <w:rPr>
          <w:bCs/>
          <w:color w:val="000000"/>
          <w:szCs w:val="26"/>
        </w:rPr>
        <w:t>that</w:t>
      </w:r>
      <w:r>
        <w:rPr>
          <w:bCs/>
          <w:color w:val="000000"/>
          <w:szCs w:val="26"/>
        </w:rPr>
        <w:t xml:space="preserve"> Penal Code section 1054.1</w:t>
      </w:r>
      <w:r w:rsidR="00602B1B">
        <w:rPr>
          <w:bCs/>
          <w:color w:val="000000"/>
          <w:szCs w:val="26"/>
        </w:rPr>
        <w:t xml:space="preserve"> requires the prosecution to provide</w:t>
      </w:r>
      <w:r w:rsidR="00395260">
        <w:rPr>
          <w:bCs/>
          <w:color w:val="000000"/>
          <w:szCs w:val="26"/>
        </w:rPr>
        <w:t xml:space="preserve"> </w:t>
      </w:r>
      <w:r w:rsidR="00602B1B">
        <w:rPr>
          <w:bCs/>
          <w:color w:val="000000"/>
          <w:szCs w:val="26"/>
        </w:rPr>
        <w:t>even absent a disclosure request</w:t>
      </w:r>
      <w:r>
        <w:rPr>
          <w:bCs/>
          <w:color w:val="000000"/>
          <w:szCs w:val="26"/>
        </w:rPr>
        <w:t xml:space="preserve">.  </w:t>
      </w:r>
      <w:r w:rsidR="00E77269">
        <w:rPr>
          <w:bCs/>
          <w:color w:val="000000"/>
          <w:szCs w:val="26"/>
        </w:rPr>
        <w:t>But</w:t>
      </w:r>
      <w:r w:rsidR="00602B1B">
        <w:rPr>
          <w:bCs/>
          <w:color w:val="000000"/>
          <w:szCs w:val="26"/>
        </w:rPr>
        <w:t xml:space="preserve"> a</w:t>
      </w:r>
      <w:r>
        <w:rPr>
          <w:bCs/>
          <w:color w:val="000000"/>
          <w:szCs w:val="26"/>
        </w:rPr>
        <w:t xml:space="preserve">s we explained </w:t>
      </w:r>
      <w:r w:rsidRPr="00D808DC">
        <w:rPr>
          <w:bCs/>
          <w:color w:val="000000"/>
          <w:szCs w:val="26"/>
        </w:rPr>
        <w:t xml:space="preserve">in </w:t>
      </w:r>
      <w:r w:rsidRPr="00567D1B">
        <w:rPr>
          <w:bCs/>
          <w:i/>
          <w:iCs/>
          <w:color w:val="000000"/>
          <w:szCs w:val="26"/>
        </w:rPr>
        <w:t>Steele</w:t>
      </w:r>
      <w:r w:rsidRPr="00D808DC">
        <w:rPr>
          <w:bCs/>
          <w:color w:val="000000"/>
          <w:szCs w:val="26"/>
        </w:rPr>
        <w:t xml:space="preserve">, postconviction discovery </w:t>
      </w:r>
      <w:r w:rsidR="00602B1B">
        <w:rPr>
          <w:bCs/>
          <w:color w:val="000000"/>
          <w:szCs w:val="26"/>
        </w:rPr>
        <w:t xml:space="preserve">under section 1054.9 </w:t>
      </w:r>
      <w:r w:rsidR="00833A88">
        <w:rPr>
          <w:bCs/>
          <w:color w:val="000000"/>
          <w:szCs w:val="26"/>
        </w:rPr>
        <w:t xml:space="preserve">is not limited to </w:t>
      </w:r>
      <w:r w:rsidR="00602B1B">
        <w:rPr>
          <w:bCs/>
          <w:color w:val="000000"/>
          <w:szCs w:val="26"/>
        </w:rPr>
        <w:t xml:space="preserve">materials the prosecution had “a statutory duty to provide” </w:t>
      </w:r>
      <w:r w:rsidRPr="00D808DC">
        <w:rPr>
          <w:bCs/>
          <w:color w:val="000000"/>
          <w:szCs w:val="26"/>
        </w:rPr>
        <w:t xml:space="preserve">at the time of trial; </w:t>
      </w:r>
      <w:r w:rsidR="00833A88">
        <w:rPr>
          <w:bCs/>
          <w:color w:val="000000"/>
          <w:szCs w:val="26"/>
        </w:rPr>
        <w:t xml:space="preserve">postconviction discovery </w:t>
      </w:r>
      <w:r w:rsidRPr="00D808DC">
        <w:rPr>
          <w:bCs/>
          <w:color w:val="000000"/>
          <w:szCs w:val="26"/>
        </w:rPr>
        <w:t xml:space="preserve">also </w:t>
      </w:r>
      <w:r w:rsidR="00833A88">
        <w:rPr>
          <w:bCs/>
          <w:color w:val="000000"/>
          <w:szCs w:val="26"/>
        </w:rPr>
        <w:t>extends to</w:t>
      </w:r>
      <w:r w:rsidR="005576CD">
        <w:rPr>
          <w:bCs/>
          <w:color w:val="000000"/>
          <w:szCs w:val="26"/>
        </w:rPr>
        <w:t>, among other things,</w:t>
      </w:r>
      <w:r w:rsidR="00EA43CA">
        <w:rPr>
          <w:bCs/>
          <w:color w:val="000000"/>
          <w:szCs w:val="26"/>
        </w:rPr>
        <w:t xml:space="preserve"> </w:t>
      </w:r>
      <w:r w:rsidRPr="00D808DC">
        <w:rPr>
          <w:bCs/>
          <w:color w:val="000000"/>
          <w:szCs w:val="26"/>
        </w:rPr>
        <w:t xml:space="preserve">materials </w:t>
      </w:r>
      <w:r>
        <w:rPr>
          <w:bCs/>
          <w:color w:val="000000"/>
          <w:szCs w:val="26"/>
        </w:rPr>
        <w:t>“</w:t>
      </w:r>
      <w:r w:rsidRPr="00D808DC">
        <w:rPr>
          <w:bCs/>
          <w:color w:val="000000"/>
          <w:szCs w:val="26"/>
        </w:rPr>
        <w:t>to which the defendant would have been entitled at time of trial had the defendant specifically requested them.</w:t>
      </w:r>
      <w:r>
        <w:rPr>
          <w:bCs/>
          <w:color w:val="000000"/>
          <w:szCs w:val="26"/>
        </w:rPr>
        <w:t xml:space="preserve">”  </w:t>
      </w:r>
      <w:r w:rsidRPr="00D808DC">
        <w:rPr>
          <w:bCs/>
          <w:color w:val="000000"/>
          <w:szCs w:val="26"/>
        </w:rPr>
        <w:t>(</w:t>
      </w:r>
      <w:r w:rsidRPr="00567D1B">
        <w:rPr>
          <w:bCs/>
          <w:i/>
          <w:iCs/>
          <w:color w:val="000000"/>
          <w:szCs w:val="26"/>
        </w:rPr>
        <w:t>Steele</w:t>
      </w:r>
      <w:r w:rsidRPr="00D808DC">
        <w:rPr>
          <w:bCs/>
          <w:color w:val="000000"/>
          <w:szCs w:val="26"/>
        </w:rPr>
        <w:t xml:space="preserve">, </w:t>
      </w:r>
      <w:r w:rsidRPr="003E3B94">
        <w:rPr>
          <w:bCs/>
          <w:i/>
          <w:iCs/>
          <w:color w:val="000000"/>
          <w:szCs w:val="26"/>
        </w:rPr>
        <w:t>supra</w:t>
      </w:r>
      <w:r w:rsidRPr="00D808DC">
        <w:rPr>
          <w:bCs/>
          <w:color w:val="000000"/>
          <w:szCs w:val="26"/>
        </w:rPr>
        <w:t>, 32 Cal.4th at p</w:t>
      </w:r>
      <w:r w:rsidR="00602B1B">
        <w:rPr>
          <w:bCs/>
          <w:color w:val="000000"/>
          <w:szCs w:val="26"/>
        </w:rPr>
        <w:t>p</w:t>
      </w:r>
      <w:r w:rsidRPr="00D808DC">
        <w:rPr>
          <w:bCs/>
          <w:color w:val="000000"/>
          <w:szCs w:val="26"/>
        </w:rPr>
        <w:t>.</w:t>
      </w:r>
      <w:r w:rsidR="00E81062">
        <w:rPr>
          <w:bCs/>
          <w:color w:val="000000"/>
          <w:szCs w:val="26"/>
        </w:rPr>
        <w:t> </w:t>
      </w:r>
      <w:r w:rsidR="00602B1B">
        <w:rPr>
          <w:bCs/>
          <w:color w:val="000000"/>
          <w:szCs w:val="26"/>
        </w:rPr>
        <w:t xml:space="preserve">695, </w:t>
      </w:r>
      <w:r w:rsidRPr="00D808DC">
        <w:rPr>
          <w:bCs/>
          <w:color w:val="000000"/>
          <w:szCs w:val="26"/>
        </w:rPr>
        <w:t>697</w:t>
      </w:r>
      <w:r w:rsidR="005576CD">
        <w:rPr>
          <w:bCs/>
          <w:color w:val="000000"/>
          <w:szCs w:val="26"/>
        </w:rPr>
        <w:t xml:space="preserve">.)  </w:t>
      </w:r>
      <w:r w:rsidR="00395260">
        <w:rPr>
          <w:bCs/>
          <w:color w:val="000000"/>
          <w:szCs w:val="26"/>
        </w:rPr>
        <w:t>T</w:t>
      </w:r>
      <w:r w:rsidR="005576CD">
        <w:rPr>
          <w:bCs/>
          <w:color w:val="000000"/>
          <w:szCs w:val="26"/>
        </w:rPr>
        <w:t xml:space="preserve">he criminal discovery statutes </w:t>
      </w:r>
      <w:r w:rsidR="00395260">
        <w:rPr>
          <w:bCs/>
          <w:color w:val="000000"/>
          <w:szCs w:val="26"/>
        </w:rPr>
        <w:t xml:space="preserve">expressly </w:t>
      </w:r>
      <w:r w:rsidR="005576CD">
        <w:rPr>
          <w:bCs/>
          <w:color w:val="000000"/>
          <w:szCs w:val="26"/>
        </w:rPr>
        <w:t xml:space="preserve">recognize that the availability of discovery </w:t>
      </w:r>
      <w:r w:rsidR="009854C1">
        <w:rPr>
          <w:bCs/>
          <w:color w:val="000000"/>
          <w:szCs w:val="26"/>
        </w:rPr>
        <w:t xml:space="preserve">may be </w:t>
      </w:r>
      <w:r w:rsidR="008B49E1">
        <w:rPr>
          <w:bCs/>
          <w:color w:val="000000"/>
          <w:szCs w:val="26"/>
        </w:rPr>
        <w:t xml:space="preserve">governed by </w:t>
      </w:r>
      <w:r>
        <w:rPr>
          <w:bCs/>
          <w:color w:val="000000"/>
          <w:szCs w:val="26"/>
        </w:rPr>
        <w:t>“</w:t>
      </w:r>
      <w:r w:rsidRPr="005F06C8">
        <w:rPr>
          <w:bCs/>
          <w:color w:val="000000"/>
          <w:szCs w:val="26"/>
        </w:rPr>
        <w:t>other express statutory provisions</w:t>
      </w:r>
      <w:r>
        <w:rPr>
          <w:bCs/>
          <w:color w:val="000000"/>
          <w:szCs w:val="26"/>
        </w:rPr>
        <w:t xml:space="preserve">” and </w:t>
      </w:r>
      <w:r w:rsidR="00602B1B">
        <w:rPr>
          <w:bCs/>
          <w:color w:val="000000"/>
          <w:szCs w:val="26"/>
        </w:rPr>
        <w:t xml:space="preserve">constitutional </w:t>
      </w:r>
      <w:r>
        <w:rPr>
          <w:bCs/>
          <w:color w:val="000000"/>
          <w:szCs w:val="26"/>
        </w:rPr>
        <w:t>mandates</w:t>
      </w:r>
      <w:r w:rsidR="00602B1B">
        <w:rPr>
          <w:bCs/>
          <w:color w:val="000000"/>
          <w:szCs w:val="26"/>
        </w:rPr>
        <w:t>.</w:t>
      </w:r>
      <w:r w:rsidR="005576CD">
        <w:rPr>
          <w:bCs/>
          <w:color w:val="000000"/>
          <w:szCs w:val="26"/>
        </w:rPr>
        <w:t xml:space="preserve">  (Pen. Code, §</w:t>
      </w:r>
      <w:r w:rsidR="00907766">
        <w:rPr>
          <w:bCs/>
          <w:color w:val="000000"/>
          <w:szCs w:val="26"/>
        </w:rPr>
        <w:t> </w:t>
      </w:r>
      <w:r w:rsidR="005576CD">
        <w:rPr>
          <w:bCs/>
          <w:color w:val="000000"/>
          <w:szCs w:val="26"/>
        </w:rPr>
        <w:t>1054, subd. (e).)</w:t>
      </w:r>
      <w:r w:rsidR="00395260">
        <w:rPr>
          <w:bCs/>
          <w:color w:val="000000"/>
          <w:szCs w:val="26"/>
        </w:rPr>
        <w:t xml:space="preserve">  In short, the fact that jury selection notes are not included</w:t>
      </w:r>
      <w:r w:rsidR="00FF7044">
        <w:rPr>
          <w:bCs/>
          <w:color w:val="000000"/>
          <w:szCs w:val="26"/>
        </w:rPr>
        <w:t xml:space="preserve"> in Penal Code section 1054.1 as items of mandatory pretrial discovery</w:t>
      </w:r>
      <w:r w:rsidR="00395260">
        <w:rPr>
          <w:bCs/>
          <w:color w:val="000000"/>
          <w:szCs w:val="26"/>
        </w:rPr>
        <w:t xml:space="preserve">, </w:t>
      </w:r>
      <w:r w:rsidR="00FF7044">
        <w:rPr>
          <w:bCs/>
          <w:color w:val="000000"/>
          <w:szCs w:val="26"/>
        </w:rPr>
        <w:t xml:space="preserve">along </w:t>
      </w:r>
      <w:r w:rsidR="00395260">
        <w:rPr>
          <w:bCs/>
          <w:color w:val="000000"/>
          <w:szCs w:val="26"/>
        </w:rPr>
        <w:t xml:space="preserve">with witness lists and </w:t>
      </w:r>
      <w:r w:rsidR="00FF7044">
        <w:rPr>
          <w:bCs/>
          <w:color w:val="000000"/>
          <w:szCs w:val="26"/>
        </w:rPr>
        <w:t>defendant statements</w:t>
      </w:r>
      <w:r w:rsidR="00395260">
        <w:rPr>
          <w:bCs/>
          <w:color w:val="000000"/>
          <w:szCs w:val="26"/>
        </w:rPr>
        <w:t xml:space="preserve">, </w:t>
      </w:r>
      <w:r w:rsidR="00F772F2">
        <w:rPr>
          <w:bCs/>
          <w:color w:val="000000"/>
          <w:szCs w:val="26"/>
        </w:rPr>
        <w:t>does not mean that the jury selection notes are no</w:t>
      </w:r>
      <w:r w:rsidR="00BF5E39">
        <w:rPr>
          <w:bCs/>
          <w:color w:val="000000"/>
          <w:szCs w:val="26"/>
        </w:rPr>
        <w:t xml:space="preserve">t </w:t>
      </w:r>
      <w:r w:rsidR="00F772F2">
        <w:rPr>
          <w:bCs/>
          <w:color w:val="000000"/>
          <w:szCs w:val="26"/>
        </w:rPr>
        <w:t xml:space="preserve">discoverable under section 1054.9.  </w:t>
      </w:r>
      <w:r w:rsidR="005576CD">
        <w:rPr>
          <w:bCs/>
          <w:color w:val="000000"/>
          <w:szCs w:val="26"/>
        </w:rPr>
        <w:t>T</w:t>
      </w:r>
      <w:r w:rsidR="0076721C">
        <w:rPr>
          <w:bCs/>
          <w:color w:val="000000"/>
          <w:szCs w:val="26"/>
        </w:rPr>
        <w:t xml:space="preserve">he </w:t>
      </w:r>
      <w:r w:rsidRPr="00D808DC">
        <w:rPr>
          <w:bCs/>
          <w:color w:val="000000"/>
          <w:szCs w:val="26"/>
        </w:rPr>
        <w:t xml:space="preserve">District Attorney raises no </w:t>
      </w:r>
      <w:r w:rsidR="0076721C">
        <w:rPr>
          <w:bCs/>
          <w:color w:val="000000"/>
          <w:szCs w:val="26"/>
        </w:rPr>
        <w:t xml:space="preserve">other </w:t>
      </w:r>
      <w:r w:rsidRPr="00D808DC">
        <w:rPr>
          <w:bCs/>
          <w:color w:val="000000"/>
          <w:szCs w:val="26"/>
        </w:rPr>
        <w:t>argument that the governing statutes preclude the disclosure of the notes, and we do not consider any statutory arguments that have not been raised.</w:t>
      </w:r>
      <w:bookmarkEnd w:id="6"/>
    </w:p>
  </w:footnote>
  <w:footnote w:id="12">
    <w:p w:rsidR="0074216A" w:rsidP="00752751">
      <w:pPr>
        <w:pStyle w:val="FootnoteText"/>
      </w:pPr>
      <w:r w:rsidRPr="00076EC5">
        <w:rPr>
          <w:rStyle w:val="FootnoteReference"/>
        </w:rPr>
        <w:footnoteRef/>
      </w:r>
      <w:r w:rsidRPr="008452E8">
        <w:rPr>
          <w:b/>
          <w:bCs/>
        </w:rPr>
        <w:t xml:space="preserve"> </w:t>
      </w:r>
      <w:r>
        <w:tab/>
      </w:r>
      <w:r w:rsidRPr="00F45F1A">
        <w:rPr>
          <w:bCs/>
          <w:szCs w:val="26"/>
        </w:rPr>
        <w:t xml:space="preserve">The Legislature has </w:t>
      </w:r>
      <w:r>
        <w:rPr>
          <w:bCs/>
          <w:szCs w:val="26"/>
        </w:rPr>
        <w:t xml:space="preserve">similarly </w:t>
      </w:r>
      <w:r w:rsidRPr="00F45F1A">
        <w:rPr>
          <w:bCs/>
          <w:szCs w:val="26"/>
        </w:rPr>
        <w:t>determined that tendering a</w:t>
      </w:r>
      <w:r>
        <w:rPr>
          <w:bCs/>
          <w:szCs w:val="26"/>
        </w:rPr>
        <w:t xml:space="preserve"> particular</w:t>
      </w:r>
      <w:r w:rsidRPr="00F45F1A">
        <w:rPr>
          <w:bCs/>
          <w:szCs w:val="26"/>
        </w:rPr>
        <w:t xml:space="preserve"> issue in a proceeding waives certain privileges.  (See, e.g., Evid. Code</w:t>
      </w:r>
      <w:r>
        <w:rPr>
          <w:bCs/>
          <w:szCs w:val="26"/>
        </w:rPr>
        <w:t>,</w:t>
      </w:r>
      <w:r w:rsidRPr="00F45F1A">
        <w:rPr>
          <w:bCs/>
          <w:szCs w:val="26"/>
        </w:rPr>
        <w:t xml:space="preserve"> §§ 958, 996, 1016.)  </w:t>
      </w:r>
    </w:p>
  </w:footnote>
  <w:footnote w:id="13">
    <w:p w:rsidR="0074216A" w:rsidP="00D1376F">
      <w:pPr>
        <w:pStyle w:val="FootnoteText"/>
      </w:pPr>
      <w:r w:rsidRPr="00076EC5">
        <w:rPr>
          <w:rStyle w:val="FootnoteReference"/>
        </w:rPr>
        <w:footnoteRef/>
      </w:r>
      <w:r>
        <w:t xml:space="preserve"> </w:t>
      </w:r>
      <w:r>
        <w:tab/>
        <w:t xml:space="preserve">The </w:t>
      </w:r>
      <w:r>
        <w:rPr>
          <w:i/>
          <w:iCs/>
        </w:rPr>
        <w:t xml:space="preserve">Nobles </w:t>
      </w:r>
      <w:r>
        <w:t>court explained that waiver “normally” does not extend to counsel’s use during trial of “notes, documents, and other internal materials prepared to present adequately his client’s case.”  (</w:t>
      </w:r>
      <w:r>
        <w:rPr>
          <w:i/>
          <w:iCs/>
        </w:rPr>
        <w:t>Nobles</w:t>
      </w:r>
      <w:r>
        <w:t xml:space="preserve">, </w:t>
      </w:r>
      <w:r w:rsidRPr="00C40A86">
        <w:rPr>
          <w:i/>
          <w:iCs/>
        </w:rPr>
        <w:t>supra</w:t>
      </w:r>
      <w:r>
        <w:t xml:space="preserve">, 422 U.S. at p. 239, fn. 14.)  </w:t>
      </w:r>
      <w:r w:rsidRPr="001040D0">
        <w:t xml:space="preserve">We </w:t>
      </w:r>
      <w:r>
        <w:t xml:space="preserve">likewise affirm </w:t>
      </w:r>
      <w:r w:rsidRPr="001040D0">
        <w:t xml:space="preserve">that </w:t>
      </w:r>
      <w:r>
        <w:t>“</w:t>
      </w:r>
      <w:r w:rsidR="00E1452F">
        <w:t>[</w:t>
      </w:r>
      <w:r>
        <w:t>w</w:t>
      </w:r>
      <w:r w:rsidR="00E1452F">
        <w:t>]</w:t>
      </w:r>
      <w:r>
        <w:t xml:space="preserve">hat </w:t>
      </w:r>
      <w:r w:rsidRPr="004A235C">
        <w:t>constitutes a waiver with respect to work-product materials depends, of course, upon the circumstances</w:t>
      </w:r>
      <w:r>
        <w:t>” (</w:t>
      </w:r>
      <w:r w:rsidRPr="004A235C">
        <w:rPr>
          <w:i/>
          <w:iCs/>
        </w:rPr>
        <w:t>ibid</w:t>
      </w:r>
      <w:r>
        <w:t xml:space="preserve">.) and do not suggest that </w:t>
      </w:r>
      <w:r w:rsidRPr="001040D0">
        <w:t xml:space="preserve">an attorney’s </w:t>
      </w:r>
      <w:r>
        <w:t xml:space="preserve">ordinary </w:t>
      </w:r>
      <w:r w:rsidRPr="001040D0">
        <w:t xml:space="preserve">reliance on notes throughout trial </w:t>
      </w:r>
      <w:r>
        <w:t xml:space="preserve">would necessarily </w:t>
      </w:r>
      <w:r w:rsidRPr="001040D0">
        <w:t>waive work product protections</w:t>
      </w:r>
      <w:r>
        <w:t xml:space="preserve">.  </w:t>
      </w:r>
    </w:p>
  </w:footnote>
  <w:footnote w:id="14">
    <w:p w:rsidR="0074216A" w:rsidRPr="007A526E" w:rsidP="00D1376F">
      <w:pPr>
        <w:pStyle w:val="FootnoteText"/>
        <w:tabs>
          <w:tab w:val="left" w:pos="90"/>
        </w:tabs>
        <w:rPr>
          <w:bCs/>
          <w:szCs w:val="26"/>
        </w:rPr>
      </w:pPr>
      <w:r w:rsidRPr="00871232">
        <w:rPr>
          <w:rStyle w:val="FootnoteReference"/>
        </w:rPr>
        <w:footnoteRef/>
      </w:r>
      <w:r w:rsidRPr="00871232">
        <w:rPr>
          <w:sz w:val="20"/>
        </w:rPr>
        <w:t xml:space="preserve"> </w:t>
      </w:r>
      <w:r>
        <w:rPr>
          <w:bCs/>
          <w:sz w:val="20"/>
        </w:rPr>
        <w:tab/>
      </w:r>
      <w:r w:rsidRPr="007A526E">
        <w:rPr>
          <w:bCs/>
          <w:szCs w:val="26"/>
        </w:rPr>
        <w:t xml:space="preserve">The District Attorney suggests in reply that any waiver was “inadvertent,” bringing the notes within the exception for inadvertent disclosure recognized by </w:t>
      </w:r>
      <w:r w:rsidRPr="007A526E">
        <w:rPr>
          <w:bCs/>
          <w:i/>
          <w:iCs/>
          <w:szCs w:val="26"/>
        </w:rPr>
        <w:t>Ardon</w:t>
      </w:r>
      <w:r>
        <w:rPr>
          <w:bCs/>
          <w:szCs w:val="26"/>
        </w:rPr>
        <w:t xml:space="preserve">, </w:t>
      </w:r>
      <w:r>
        <w:rPr>
          <w:bCs/>
          <w:i/>
          <w:iCs/>
          <w:szCs w:val="26"/>
        </w:rPr>
        <w:t>supra</w:t>
      </w:r>
      <w:r>
        <w:rPr>
          <w:bCs/>
          <w:szCs w:val="26"/>
        </w:rPr>
        <w:t xml:space="preserve">, </w:t>
      </w:r>
      <w:r w:rsidRPr="007A526E">
        <w:rPr>
          <w:bCs/>
          <w:szCs w:val="26"/>
        </w:rPr>
        <w:t>62 Cal.4th 1176</w:t>
      </w:r>
      <w:r>
        <w:rPr>
          <w:bCs/>
          <w:szCs w:val="26"/>
        </w:rPr>
        <w:t xml:space="preserve">.  </w:t>
      </w:r>
      <w:r w:rsidRPr="007A526E">
        <w:rPr>
          <w:bCs/>
          <w:szCs w:val="26"/>
        </w:rPr>
        <w:t xml:space="preserve">The analogy is inapt; in that case, as in other inadvertent disclosure cases, the disclosures at issue were accidental.  </w:t>
      </w:r>
      <w:r w:rsidR="00191820">
        <w:rPr>
          <w:bCs/>
          <w:szCs w:val="26"/>
        </w:rPr>
        <w:t xml:space="preserve">That </w:t>
      </w:r>
      <w:r w:rsidRPr="007A526E">
        <w:rPr>
          <w:bCs/>
          <w:szCs w:val="26"/>
        </w:rPr>
        <w:t xml:space="preserve">is not the case here, where the </w:t>
      </w:r>
      <w:r>
        <w:rPr>
          <w:bCs/>
          <w:szCs w:val="26"/>
        </w:rPr>
        <w:t>prosecutor</w:t>
      </w:r>
      <w:r w:rsidRPr="007A526E">
        <w:rPr>
          <w:bCs/>
          <w:szCs w:val="26"/>
        </w:rPr>
        <w:t xml:space="preserve"> made a </w:t>
      </w:r>
      <w:r w:rsidR="00191820">
        <w:rPr>
          <w:bCs/>
          <w:szCs w:val="26"/>
        </w:rPr>
        <w:t xml:space="preserve">calculated </w:t>
      </w:r>
      <w:r w:rsidRPr="007A526E">
        <w:rPr>
          <w:bCs/>
          <w:szCs w:val="26"/>
        </w:rPr>
        <w:t>decision to provide explanations of his rating system.</w:t>
      </w:r>
    </w:p>
  </w:footnote>
  <w:footnote w:id="15">
    <w:p w:rsidR="006364D2" w:rsidP="006364D2">
      <w:pPr>
        <w:pStyle w:val="FootnoteText"/>
      </w:pPr>
      <w:r>
        <w:rPr>
          <w:rStyle w:val="FootnoteReference"/>
        </w:rPr>
        <w:footnoteRef/>
      </w:r>
      <w:r>
        <w:t xml:space="preserve"> </w:t>
      </w:r>
      <w:r>
        <w:tab/>
        <w:t>We express no view on whether, under different circumstances, there would be a waiver of any work product protection attaching to jury selection 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12EE" w:rsidP="001612EE">
    <w:pPr>
      <w:pStyle w:val="Header"/>
    </w:pPr>
    <w:r>
      <w:t>PEOPLE v. SUPERIOR COURT (JONES)</w:t>
    </w:r>
  </w:p>
  <w:p w:rsidR="001612EE" w:rsidP="001612EE">
    <w:pPr>
      <w:pStyle w:val="Header"/>
    </w:pPr>
    <w:r>
      <w:t>Opinion of the Court by Kruger,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3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F67" w:rsidP="00FE0F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12EE" w:rsidP="00FE0F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8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8B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5555F3"/>
    <w:multiLevelType w:val="hybridMultilevel"/>
    <w:tmpl w:val="17EE65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6541E4"/>
    <w:multiLevelType w:val="hybridMultilevel"/>
    <w:tmpl w:val="F0CC5E34"/>
    <w:lvl w:ilvl="0">
      <w:start w:val="4"/>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9F1CF2"/>
    <w:multiLevelType w:val="hybridMultilevel"/>
    <w:tmpl w:val="17EE65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ED641F"/>
    <w:multiLevelType w:val="hybridMultilevel"/>
    <w:tmpl w:val="00D8BE1A"/>
    <w:lvl w:ilvl="0">
      <w:start w:val="1"/>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C770AE"/>
    <w:multiLevelType w:val="hybridMultilevel"/>
    <w:tmpl w:val="17EE65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3A5D90"/>
    <w:multiLevelType w:val="hybridMultilevel"/>
    <w:tmpl w:val="4E66FC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5A83396"/>
    <w:multiLevelType w:val="hybridMultilevel"/>
    <w:tmpl w:val="17EE65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3A41C3B"/>
    <w:multiLevelType w:val="hybridMultilevel"/>
    <w:tmpl w:val="17EE65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9075360"/>
    <w:multiLevelType w:val="hybridMultilevel"/>
    <w:tmpl w:val="A3428C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6"/>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76F"/>
    <w:pPr>
      <w:spacing w:after="100" w:line="400" w:lineRule="exact"/>
      <w:jc w:val="both"/>
    </w:pPr>
    <w:rPr>
      <w:rFonts w:ascii="Century Schoolbook" w:hAnsi="Century Schoolbook"/>
      <w:sz w:val="27"/>
    </w:rPr>
  </w:style>
  <w:style w:type="paragraph" w:styleId="Heading1">
    <w:name w:val="heading 1"/>
    <w:basedOn w:val="Normal"/>
    <w:next w:val="Normal"/>
    <w:qFormat/>
    <w:rsid w:val="00D1376F"/>
    <w:pPr>
      <w:keepNext/>
      <w:spacing w:before="140" w:line="240" w:lineRule="atLeast"/>
      <w:jc w:val="center"/>
      <w:outlineLvl w:val="0"/>
    </w:pPr>
    <w:rPr>
      <w:b/>
      <w:smallCaps/>
    </w:rPr>
  </w:style>
  <w:style w:type="paragraph" w:styleId="Heading2">
    <w:name w:val="heading 2"/>
    <w:basedOn w:val="Normal"/>
    <w:next w:val="Normal"/>
    <w:qFormat/>
    <w:rsid w:val="00D1376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1376F"/>
    <w:pPr>
      <w:keepNext/>
      <w:tabs>
        <w:tab w:val="left" w:pos="1584"/>
      </w:tabs>
      <w:spacing w:before="140" w:line="240" w:lineRule="atLeast"/>
      <w:ind w:left="1584" w:hanging="432"/>
      <w:jc w:val="left"/>
      <w:outlineLvl w:val="2"/>
    </w:pPr>
    <w:rPr>
      <w:i/>
    </w:rPr>
  </w:style>
  <w:style w:type="paragraph" w:styleId="Heading4">
    <w:name w:val="heading 4"/>
    <w:basedOn w:val="Normal"/>
    <w:rsid w:val="00D1376F"/>
    <w:pPr>
      <w:keepNext/>
      <w:tabs>
        <w:tab w:val="left" w:pos="2016"/>
      </w:tabs>
      <w:spacing w:before="140" w:line="240" w:lineRule="atLeast"/>
      <w:ind w:left="2016" w:hanging="432"/>
      <w:jc w:val="left"/>
      <w:outlineLvl w:val="3"/>
    </w:pPr>
    <w:rPr>
      <w:i/>
    </w:rPr>
  </w:style>
  <w:style w:type="paragraph" w:styleId="Heading5">
    <w:name w:val="heading 5"/>
    <w:basedOn w:val="Normal"/>
    <w:rsid w:val="00D1376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1376F"/>
    <w:pPr>
      <w:ind w:left="720"/>
    </w:pPr>
  </w:style>
  <w:style w:type="paragraph" w:styleId="Footer">
    <w:name w:val="footer"/>
    <w:basedOn w:val="Normal"/>
    <w:link w:val="FooterChar"/>
    <w:uiPriority w:val="99"/>
    <w:qFormat/>
    <w:rsid w:val="00D1376F"/>
    <w:pPr>
      <w:tabs>
        <w:tab w:val="center" w:pos="3960"/>
        <w:tab w:val="right" w:pos="10080"/>
      </w:tabs>
      <w:spacing w:after="0" w:line="240" w:lineRule="auto"/>
      <w:jc w:val="center"/>
    </w:pPr>
    <w:rPr>
      <w:sz w:val="22"/>
    </w:rPr>
  </w:style>
  <w:style w:type="paragraph" w:styleId="Header">
    <w:name w:val="header"/>
    <w:basedOn w:val="Normal"/>
    <w:qFormat/>
    <w:rsid w:val="00D1376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1376F"/>
    <w:rPr>
      <w:rFonts w:ascii="Century Schoolbook" w:hAnsi="Century Schoolbook"/>
      <w:b/>
      <w:i w:val="0"/>
      <w:position w:val="4"/>
      <w:sz w:val="27"/>
      <w:vertAlign w:val="superscript"/>
    </w:rPr>
  </w:style>
  <w:style w:type="paragraph" w:styleId="FootnoteText">
    <w:name w:val="footnote text"/>
    <w:basedOn w:val="Normal"/>
    <w:link w:val="FootnoteTextChar"/>
    <w:rsid w:val="00D1376F"/>
    <w:pPr>
      <w:spacing w:line="300" w:lineRule="exact"/>
    </w:pPr>
  </w:style>
  <w:style w:type="paragraph" w:customStyle="1" w:styleId="Title1">
    <w:name w:val="Title1"/>
    <w:basedOn w:val="Normal"/>
    <w:rsid w:val="00D1376F"/>
    <w:pPr>
      <w:tabs>
        <w:tab w:val="left" w:pos="5760"/>
        <w:tab w:val="left" w:pos="6480"/>
      </w:tabs>
      <w:spacing w:line="240" w:lineRule="atLeast"/>
    </w:pPr>
  </w:style>
  <w:style w:type="paragraph" w:customStyle="1" w:styleId="Recommend">
    <w:name w:val="Recommend"/>
    <w:basedOn w:val="Normal"/>
    <w:rsid w:val="00D1376F"/>
  </w:style>
  <w:style w:type="paragraph" w:customStyle="1" w:styleId="Summary">
    <w:name w:val="Summary"/>
    <w:basedOn w:val="Normal"/>
    <w:rsid w:val="00D1376F"/>
    <w:pPr>
      <w:ind w:left="2160" w:hanging="2160"/>
    </w:pPr>
  </w:style>
  <w:style w:type="paragraph" w:customStyle="1" w:styleId="Text">
    <w:name w:val="Text"/>
    <w:basedOn w:val="Normal"/>
    <w:rsid w:val="00D1376F"/>
    <w:pPr>
      <w:tabs>
        <w:tab w:val="left" w:pos="720"/>
        <w:tab w:val="left" w:pos="1440"/>
        <w:tab w:val="left" w:pos="2160"/>
        <w:tab w:val="center" w:pos="4320"/>
      </w:tabs>
      <w:spacing w:line="480" w:lineRule="atLeast"/>
      <w:ind w:firstLine="540"/>
    </w:pPr>
  </w:style>
  <w:style w:type="paragraph" w:styleId="Date">
    <w:name w:val="Date"/>
    <w:basedOn w:val="Normal"/>
    <w:semiHidden/>
    <w:rsid w:val="00D1376F"/>
    <w:pPr>
      <w:jc w:val="right"/>
    </w:pPr>
  </w:style>
  <w:style w:type="character" w:styleId="PageNumber">
    <w:name w:val="page number"/>
    <w:basedOn w:val="DefaultParagraphFont"/>
    <w:semiHidden/>
    <w:rsid w:val="00D1376F"/>
  </w:style>
  <w:style w:type="paragraph" w:customStyle="1" w:styleId="subject">
    <w:name w:val="subject"/>
    <w:basedOn w:val="Normal"/>
    <w:rsid w:val="00D1376F"/>
    <w:pPr>
      <w:tabs>
        <w:tab w:val="left" w:pos="1008"/>
      </w:tabs>
      <w:ind w:left="990" w:hanging="990"/>
    </w:pPr>
    <w:rPr>
      <w:b/>
    </w:rPr>
  </w:style>
  <w:style w:type="paragraph" w:customStyle="1" w:styleId="Titles">
    <w:name w:val="Titles"/>
    <w:basedOn w:val="Normal"/>
    <w:rsid w:val="00D1376F"/>
    <w:pPr>
      <w:tabs>
        <w:tab w:val="left" w:pos="2160"/>
      </w:tabs>
      <w:ind w:left="2160" w:hanging="2160"/>
    </w:pPr>
    <w:rPr>
      <w:b/>
    </w:rPr>
  </w:style>
  <w:style w:type="paragraph" w:styleId="TOAHeading">
    <w:name w:val="toa heading"/>
    <w:basedOn w:val="Normal"/>
    <w:next w:val="Normal"/>
    <w:semiHidden/>
    <w:rsid w:val="00D1376F"/>
    <w:pPr>
      <w:spacing w:before="120"/>
    </w:pPr>
    <w:rPr>
      <w:b/>
    </w:rPr>
  </w:style>
  <w:style w:type="paragraph" w:styleId="TOC1">
    <w:name w:val="toc 1"/>
    <w:basedOn w:val="Normal"/>
    <w:next w:val="Normal"/>
    <w:autoRedefine/>
    <w:semiHidden/>
    <w:rsid w:val="00D1376F"/>
  </w:style>
  <w:style w:type="paragraph" w:styleId="TOC2">
    <w:name w:val="toc 2"/>
    <w:basedOn w:val="Normal"/>
    <w:next w:val="Normal"/>
    <w:autoRedefine/>
    <w:semiHidden/>
    <w:rsid w:val="00D1376F"/>
    <w:pPr>
      <w:ind w:left="259"/>
    </w:pPr>
  </w:style>
  <w:style w:type="paragraph" w:styleId="TOC3">
    <w:name w:val="toc 3"/>
    <w:basedOn w:val="Normal"/>
    <w:next w:val="Normal"/>
    <w:autoRedefine/>
    <w:semiHidden/>
    <w:rsid w:val="00D1376F"/>
    <w:pPr>
      <w:ind w:left="520"/>
    </w:pPr>
  </w:style>
  <w:style w:type="paragraph" w:styleId="TOC4">
    <w:name w:val="toc 4"/>
    <w:basedOn w:val="Normal"/>
    <w:next w:val="Normal"/>
    <w:autoRedefine/>
    <w:semiHidden/>
    <w:rsid w:val="00D1376F"/>
    <w:pPr>
      <w:ind w:left="780"/>
    </w:pPr>
  </w:style>
  <w:style w:type="paragraph" w:styleId="TOC5">
    <w:name w:val="toc 5"/>
    <w:basedOn w:val="Normal"/>
    <w:next w:val="Normal"/>
    <w:autoRedefine/>
    <w:semiHidden/>
    <w:rsid w:val="00D1376F"/>
    <w:pPr>
      <w:ind w:left="1040"/>
    </w:pPr>
  </w:style>
  <w:style w:type="paragraph" w:styleId="TOC6">
    <w:name w:val="toc 6"/>
    <w:basedOn w:val="Normal"/>
    <w:next w:val="Normal"/>
    <w:autoRedefine/>
    <w:semiHidden/>
    <w:rsid w:val="00D1376F"/>
    <w:pPr>
      <w:ind w:left="1300"/>
    </w:pPr>
  </w:style>
  <w:style w:type="paragraph" w:styleId="TOC7">
    <w:name w:val="toc 7"/>
    <w:basedOn w:val="Normal"/>
    <w:next w:val="Normal"/>
    <w:autoRedefine/>
    <w:semiHidden/>
    <w:rsid w:val="00D1376F"/>
    <w:pPr>
      <w:ind w:left="1560"/>
    </w:pPr>
  </w:style>
  <w:style w:type="paragraph" w:styleId="TOC8">
    <w:name w:val="toc 8"/>
    <w:basedOn w:val="Normal"/>
    <w:next w:val="Normal"/>
    <w:autoRedefine/>
    <w:semiHidden/>
    <w:rsid w:val="00D1376F"/>
    <w:pPr>
      <w:ind w:left="1820"/>
    </w:pPr>
  </w:style>
  <w:style w:type="paragraph" w:styleId="TOC9">
    <w:name w:val="toc 9"/>
    <w:basedOn w:val="Normal"/>
    <w:next w:val="Normal"/>
    <w:autoRedefine/>
    <w:semiHidden/>
    <w:rsid w:val="00D1376F"/>
    <w:pPr>
      <w:ind w:left="2080"/>
    </w:pPr>
  </w:style>
  <w:style w:type="paragraph" w:customStyle="1" w:styleId="Contents">
    <w:name w:val="Contents"/>
    <w:basedOn w:val="Normal"/>
    <w:rsid w:val="00D1376F"/>
    <w:pPr>
      <w:jc w:val="center"/>
    </w:pPr>
    <w:rPr>
      <w:b/>
      <w:spacing w:val="100"/>
    </w:rPr>
  </w:style>
  <w:style w:type="paragraph" w:styleId="ListParagraph">
    <w:name w:val="List Paragraph"/>
    <w:basedOn w:val="Normal"/>
    <w:uiPriority w:val="34"/>
    <w:qFormat/>
    <w:rsid w:val="0012015B"/>
    <w:pPr>
      <w:ind w:left="720"/>
      <w:contextualSpacing/>
    </w:pPr>
    <w:rPr>
      <w:sz w:val="26"/>
    </w:rPr>
  </w:style>
  <w:style w:type="character" w:styleId="Hyperlink">
    <w:name w:val="Hyperlink"/>
    <w:basedOn w:val="DefaultParagraphFont"/>
    <w:uiPriority w:val="99"/>
    <w:unhideWhenUsed/>
    <w:rsid w:val="0005186A"/>
    <w:rPr>
      <w:color w:val="0000FF" w:themeColor="hyperlink"/>
      <w:u w:val="single"/>
    </w:rPr>
  </w:style>
  <w:style w:type="character" w:customStyle="1" w:styleId="UnresolvedMention">
    <w:name w:val="Unresolved Mention"/>
    <w:basedOn w:val="DefaultParagraphFont"/>
    <w:uiPriority w:val="99"/>
    <w:semiHidden/>
    <w:unhideWhenUsed/>
    <w:rsid w:val="0005186A"/>
    <w:rPr>
      <w:color w:val="605E5C"/>
      <w:shd w:val="clear" w:color="auto" w:fill="E1DFDD"/>
    </w:rPr>
  </w:style>
  <w:style w:type="character" w:customStyle="1" w:styleId="apple-converted-space">
    <w:name w:val="apple-converted-space"/>
    <w:basedOn w:val="DefaultParagraphFont"/>
    <w:rsid w:val="000F0E88"/>
  </w:style>
  <w:style w:type="paragraph" w:styleId="BalloonText">
    <w:name w:val="Balloon Text"/>
    <w:basedOn w:val="Normal"/>
    <w:link w:val="BalloonTextChar"/>
    <w:uiPriority w:val="99"/>
    <w:semiHidden/>
    <w:unhideWhenUsed/>
    <w:rsid w:val="00831E48"/>
    <w:rPr>
      <w:sz w:val="18"/>
      <w:szCs w:val="18"/>
    </w:rPr>
  </w:style>
  <w:style w:type="character" w:customStyle="1" w:styleId="BalloonTextChar">
    <w:name w:val="Balloon Text Char"/>
    <w:basedOn w:val="DefaultParagraphFont"/>
    <w:link w:val="BalloonText"/>
    <w:uiPriority w:val="99"/>
    <w:semiHidden/>
    <w:rsid w:val="00831E48"/>
    <w:rPr>
      <w:sz w:val="18"/>
      <w:szCs w:val="18"/>
    </w:rPr>
  </w:style>
  <w:style w:type="character" w:customStyle="1" w:styleId="FootnoteTextChar">
    <w:name w:val="Footnote Text Char"/>
    <w:basedOn w:val="DefaultParagraphFont"/>
    <w:link w:val="FootnoteText"/>
    <w:rsid w:val="00101E43"/>
    <w:rPr>
      <w:rFonts w:ascii="Century Schoolbook" w:hAnsi="Century Schoolbook"/>
      <w:sz w:val="27"/>
    </w:rPr>
  </w:style>
  <w:style w:type="character" w:customStyle="1" w:styleId="cohl">
    <w:name w:val="co_hl"/>
    <w:basedOn w:val="DefaultParagraphFont"/>
    <w:rsid w:val="00101E43"/>
  </w:style>
  <w:style w:type="character" w:styleId="Emphasis">
    <w:name w:val="Emphasis"/>
    <w:basedOn w:val="DefaultParagraphFont"/>
    <w:uiPriority w:val="20"/>
    <w:qFormat/>
    <w:rsid w:val="00C96AD4"/>
    <w:rPr>
      <w:i/>
      <w:iCs/>
    </w:rPr>
  </w:style>
  <w:style w:type="character" w:customStyle="1" w:styleId="costarpage">
    <w:name w:val="co_starpage"/>
    <w:basedOn w:val="DefaultParagraphFont"/>
    <w:rsid w:val="004849E3"/>
  </w:style>
  <w:style w:type="character" w:styleId="CommentReference">
    <w:name w:val="annotation reference"/>
    <w:basedOn w:val="DefaultParagraphFont"/>
    <w:uiPriority w:val="99"/>
    <w:semiHidden/>
    <w:unhideWhenUsed/>
    <w:rsid w:val="00172D32"/>
    <w:rPr>
      <w:sz w:val="16"/>
      <w:szCs w:val="16"/>
    </w:rPr>
  </w:style>
  <w:style w:type="paragraph" w:styleId="CommentText">
    <w:name w:val="annotation text"/>
    <w:basedOn w:val="Normal"/>
    <w:link w:val="CommentTextChar"/>
    <w:uiPriority w:val="99"/>
    <w:unhideWhenUsed/>
    <w:rsid w:val="00172D32"/>
    <w:rPr>
      <w:sz w:val="20"/>
    </w:rPr>
  </w:style>
  <w:style w:type="character" w:customStyle="1" w:styleId="CommentTextChar">
    <w:name w:val="Comment Text Char"/>
    <w:basedOn w:val="DefaultParagraphFont"/>
    <w:link w:val="CommentText"/>
    <w:uiPriority w:val="99"/>
    <w:rsid w:val="00172D32"/>
  </w:style>
  <w:style w:type="paragraph" w:styleId="CommentSubject">
    <w:name w:val="annotation subject"/>
    <w:basedOn w:val="CommentText"/>
    <w:next w:val="CommentText"/>
    <w:link w:val="CommentSubjectChar"/>
    <w:uiPriority w:val="99"/>
    <w:semiHidden/>
    <w:unhideWhenUsed/>
    <w:rsid w:val="00172D32"/>
    <w:rPr>
      <w:b/>
      <w:bCs/>
    </w:rPr>
  </w:style>
  <w:style w:type="character" w:customStyle="1" w:styleId="CommentSubjectChar">
    <w:name w:val="Comment Subject Char"/>
    <w:basedOn w:val="CommentTextChar"/>
    <w:link w:val="CommentSubject"/>
    <w:uiPriority w:val="99"/>
    <w:semiHidden/>
    <w:rsid w:val="00172D32"/>
    <w:rPr>
      <w:b/>
      <w:bCs/>
    </w:rPr>
  </w:style>
  <w:style w:type="paragraph" w:styleId="Revision">
    <w:name w:val="Revision"/>
    <w:hidden/>
    <w:uiPriority w:val="99"/>
    <w:semiHidden/>
    <w:rsid w:val="00D63163"/>
    <w:rPr>
      <w:sz w:val="24"/>
      <w:szCs w:val="24"/>
    </w:rPr>
  </w:style>
  <w:style w:type="character" w:customStyle="1" w:styleId="coconcept2531">
    <w:name w:val="co_concept_25_31"/>
    <w:basedOn w:val="DefaultParagraphFont"/>
    <w:rsid w:val="00304AA3"/>
  </w:style>
  <w:style w:type="character" w:customStyle="1" w:styleId="coconcept3336">
    <w:name w:val="co_concept_33_36"/>
    <w:basedOn w:val="DefaultParagraphFont"/>
    <w:rsid w:val="00304AA3"/>
  </w:style>
  <w:style w:type="character" w:customStyle="1" w:styleId="coconcept14">
    <w:name w:val="co_concept_1_4"/>
    <w:basedOn w:val="DefaultParagraphFont"/>
    <w:rsid w:val="00304AA3"/>
  </w:style>
  <w:style w:type="character" w:customStyle="1" w:styleId="coconcept913">
    <w:name w:val="co_concept_9_13"/>
    <w:basedOn w:val="DefaultParagraphFont"/>
    <w:rsid w:val="00304AA3"/>
  </w:style>
  <w:style w:type="character" w:customStyle="1" w:styleId="coconcept1523">
    <w:name w:val="co_concept_15_23"/>
    <w:basedOn w:val="DefaultParagraphFont"/>
    <w:rsid w:val="00304AA3"/>
  </w:style>
  <w:style w:type="paragraph" w:styleId="BodyText">
    <w:name w:val="Body Text"/>
    <w:basedOn w:val="Normal"/>
    <w:link w:val="BodyTextChar"/>
    <w:qFormat/>
    <w:rsid w:val="00D1376F"/>
  </w:style>
  <w:style w:type="character" w:customStyle="1" w:styleId="BodyTextChar">
    <w:name w:val="Body Text Char"/>
    <w:basedOn w:val="DefaultParagraphFont"/>
    <w:link w:val="BodyText"/>
    <w:rsid w:val="00D1376F"/>
    <w:rPr>
      <w:rFonts w:ascii="Century Schoolbook" w:hAnsi="Century Schoolbook"/>
      <w:sz w:val="27"/>
    </w:rPr>
  </w:style>
  <w:style w:type="character" w:customStyle="1" w:styleId="normaltextrun">
    <w:name w:val="normaltextrun"/>
    <w:basedOn w:val="DefaultParagraphFont"/>
    <w:rsid w:val="00ED3AA9"/>
  </w:style>
  <w:style w:type="character" w:customStyle="1" w:styleId="FooterChar">
    <w:name w:val="Footer Char"/>
    <w:basedOn w:val="DefaultParagraphFont"/>
    <w:link w:val="Footer"/>
    <w:uiPriority w:val="99"/>
    <w:rsid w:val="006B68AB"/>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2021-12-02T17:22:20Z</dcterms:created>
  <dcterms:modified xsi:type="dcterms:W3CDTF">2021-12-02T17:22:20Z</dcterms:modified>
</cp:coreProperties>
</file>