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C173BD" w:rsidP="00323796" w14:paraId="2AC35B6A" w14:textId="030FA1EA">
      <w:pPr>
        <w:tabs>
          <w:tab w:val="left" w:pos="1440"/>
          <w:tab w:val="left" w:pos="4680"/>
          <w:tab w:val="center" w:pos="7200"/>
        </w:tabs>
        <w:spacing w:after="0"/>
        <w:jc w:val="center"/>
        <w:rPr>
          <w:sz w:val="36"/>
        </w:rPr>
      </w:pPr>
      <w:bookmarkStart w:id="0" w:name="MarkDocLoc"/>
      <w:bookmarkEnd w:id="0"/>
      <w:r>
        <w:rPr>
          <w:b/>
          <w:sz w:val="36"/>
        </w:rPr>
        <w:t>IN THE SUPREME COURT OF CALIFORNIA</w:t>
      </w:r>
    </w:p>
    <w:p w:rsidR="00323796" w:rsidP="00323796" w14:paraId="09C34E00" w14:textId="24940E20">
      <w:pPr>
        <w:tabs>
          <w:tab w:val="left" w:pos="1440"/>
          <w:tab w:val="left" w:pos="4680"/>
          <w:tab w:val="center" w:pos="7200"/>
        </w:tabs>
        <w:spacing w:after="0"/>
        <w:jc w:val="center"/>
      </w:pPr>
    </w:p>
    <w:p w:rsidR="00323796" w:rsidP="00323796" w14:paraId="5EEEADF7" w14:textId="0C8EFCA5">
      <w:pPr>
        <w:tabs>
          <w:tab w:val="left" w:pos="1440"/>
          <w:tab w:val="left" w:pos="4680"/>
          <w:tab w:val="center" w:pos="7200"/>
        </w:tabs>
        <w:spacing w:after="0"/>
        <w:jc w:val="center"/>
      </w:pPr>
      <w:r>
        <w:t xml:space="preserve">LUIS </w:t>
      </w:r>
      <w:r w:rsidR="00016429">
        <w:t xml:space="preserve">ALEXANDRO </w:t>
      </w:r>
      <w:r>
        <w:t>SHALABI</w:t>
      </w:r>
      <w:r w:rsidR="00714451">
        <w:t>,</w:t>
      </w:r>
    </w:p>
    <w:p w:rsidR="00323796" w:rsidP="00323796" w14:paraId="36192B93" w14:textId="647F0A33">
      <w:pPr>
        <w:tabs>
          <w:tab w:val="left" w:pos="1440"/>
          <w:tab w:val="left" w:pos="4680"/>
          <w:tab w:val="center" w:pos="7200"/>
        </w:tabs>
        <w:spacing w:after="0"/>
        <w:jc w:val="center"/>
      </w:pPr>
      <w:r>
        <w:t>Plaintiff and Appellant</w:t>
      </w:r>
      <w:r w:rsidR="00714451">
        <w:t>,</w:t>
      </w:r>
    </w:p>
    <w:p w:rsidR="00323796" w:rsidP="00323796" w14:paraId="74AA872A" w14:textId="068FA184">
      <w:pPr>
        <w:tabs>
          <w:tab w:val="left" w:pos="1440"/>
          <w:tab w:val="left" w:pos="4680"/>
          <w:tab w:val="center" w:pos="7200"/>
        </w:tabs>
        <w:spacing w:after="0"/>
        <w:jc w:val="center"/>
      </w:pPr>
      <w:r>
        <w:t>v.</w:t>
      </w:r>
    </w:p>
    <w:p w:rsidR="00323796" w:rsidP="00323796" w14:paraId="4F340A09" w14:textId="78B73292">
      <w:pPr>
        <w:tabs>
          <w:tab w:val="left" w:pos="1440"/>
          <w:tab w:val="left" w:pos="4680"/>
          <w:tab w:val="center" w:pos="7200"/>
        </w:tabs>
        <w:spacing w:after="0"/>
        <w:jc w:val="center"/>
      </w:pPr>
      <w:r>
        <w:t>CITY OF FONTANA et al.</w:t>
      </w:r>
      <w:r w:rsidR="00714451">
        <w:t>,</w:t>
      </w:r>
    </w:p>
    <w:p w:rsidR="00323796" w:rsidP="00323796" w14:paraId="6DFEA565" w14:textId="271C0865">
      <w:pPr>
        <w:tabs>
          <w:tab w:val="left" w:pos="1440"/>
          <w:tab w:val="left" w:pos="4680"/>
          <w:tab w:val="center" w:pos="7200"/>
        </w:tabs>
        <w:spacing w:after="0"/>
        <w:jc w:val="center"/>
      </w:pPr>
      <w:r>
        <w:t>Defendants and Respondents</w:t>
      </w:r>
      <w:r w:rsidR="00714451">
        <w:t>.</w:t>
      </w:r>
    </w:p>
    <w:p w:rsidR="00323796" w:rsidP="00323796" w14:paraId="56F7CF07" w14:textId="7BCE1123">
      <w:pPr>
        <w:tabs>
          <w:tab w:val="left" w:pos="1440"/>
          <w:tab w:val="left" w:pos="4680"/>
          <w:tab w:val="center" w:pos="7200"/>
        </w:tabs>
        <w:spacing w:after="0"/>
        <w:jc w:val="center"/>
      </w:pPr>
    </w:p>
    <w:p w:rsidR="00323796" w:rsidP="00323796" w14:paraId="2B746480" w14:textId="5E03D435">
      <w:pPr>
        <w:tabs>
          <w:tab w:val="left" w:pos="1440"/>
          <w:tab w:val="left" w:pos="4680"/>
          <w:tab w:val="center" w:pos="7200"/>
        </w:tabs>
        <w:spacing w:after="0"/>
        <w:jc w:val="center"/>
      </w:pPr>
      <w:r>
        <w:t>S256665</w:t>
      </w:r>
    </w:p>
    <w:p w:rsidR="00323796" w:rsidP="00323796" w14:paraId="53F0EB1D" w14:textId="3BFD06F1">
      <w:pPr>
        <w:tabs>
          <w:tab w:val="left" w:pos="1440"/>
          <w:tab w:val="left" w:pos="4680"/>
          <w:tab w:val="center" w:pos="7200"/>
        </w:tabs>
        <w:spacing w:after="0"/>
        <w:jc w:val="center"/>
      </w:pPr>
    </w:p>
    <w:p w:rsidR="00CD7168" w:rsidP="00323796" w14:paraId="75001C3F" w14:textId="1A1E3802">
      <w:pPr>
        <w:tabs>
          <w:tab w:val="left" w:pos="1440"/>
          <w:tab w:val="left" w:pos="4680"/>
          <w:tab w:val="center" w:pos="7200"/>
        </w:tabs>
        <w:spacing w:after="0"/>
        <w:jc w:val="center"/>
      </w:pPr>
      <w:r>
        <w:t>Fourth Appellate District, Division Two</w:t>
      </w:r>
    </w:p>
    <w:p w:rsidR="00CD7168" w:rsidP="00323796" w14:paraId="145763D2" w14:textId="29BFD621">
      <w:pPr>
        <w:tabs>
          <w:tab w:val="left" w:pos="1440"/>
          <w:tab w:val="left" w:pos="4680"/>
          <w:tab w:val="center" w:pos="7200"/>
        </w:tabs>
        <w:spacing w:after="0"/>
        <w:jc w:val="center"/>
      </w:pPr>
      <w:r>
        <w:t>E069671</w:t>
      </w:r>
    </w:p>
    <w:p w:rsidR="00CD7168" w:rsidP="00323796" w14:paraId="61F54EC1" w14:textId="77777777">
      <w:pPr>
        <w:tabs>
          <w:tab w:val="left" w:pos="1440"/>
          <w:tab w:val="left" w:pos="4680"/>
          <w:tab w:val="center" w:pos="7200"/>
        </w:tabs>
        <w:spacing w:after="0"/>
        <w:jc w:val="center"/>
      </w:pPr>
    </w:p>
    <w:p w:rsidR="00323796" w:rsidP="00323796" w14:paraId="1C9291D4" w14:textId="506E3EAC">
      <w:pPr>
        <w:tabs>
          <w:tab w:val="left" w:pos="1440"/>
          <w:tab w:val="left" w:pos="4680"/>
          <w:tab w:val="center" w:pos="7200"/>
        </w:tabs>
        <w:spacing w:after="0"/>
        <w:jc w:val="center"/>
      </w:pPr>
      <w:r>
        <w:t>San Bernardino County</w:t>
      </w:r>
      <w:r w:rsidR="00714451">
        <w:t xml:space="preserve"> Superior Court</w:t>
      </w:r>
    </w:p>
    <w:p w:rsidR="00323796" w:rsidP="00323796" w14:paraId="0B170D3C" w14:textId="797AE02E">
      <w:pPr>
        <w:tabs>
          <w:tab w:val="left" w:pos="1440"/>
          <w:tab w:val="left" w:pos="4680"/>
          <w:tab w:val="center" w:pos="7200"/>
        </w:tabs>
        <w:spacing w:after="0"/>
        <w:jc w:val="center"/>
      </w:pPr>
      <w:r>
        <w:t>CIVDS1314694</w:t>
      </w:r>
    </w:p>
    <w:p w:rsidR="00323796" w:rsidP="00323796" w14:paraId="6648FAE7" w14:textId="18CE6D33">
      <w:pPr>
        <w:pBdr>
          <w:bottom w:val="single" w:sz="4" w:space="1" w:color="auto"/>
        </w:pBdr>
        <w:tabs>
          <w:tab w:val="left" w:pos="1440"/>
          <w:tab w:val="left" w:pos="4680"/>
          <w:tab w:val="center" w:pos="7200"/>
        </w:tabs>
        <w:spacing w:after="0"/>
        <w:jc w:val="center"/>
      </w:pPr>
    </w:p>
    <w:p w:rsidR="00323796" w:rsidP="00323796" w14:paraId="42400BFA" w14:textId="2E18567B">
      <w:pPr>
        <w:tabs>
          <w:tab w:val="left" w:pos="1440"/>
          <w:tab w:val="left" w:pos="4680"/>
          <w:tab w:val="center" w:pos="7200"/>
        </w:tabs>
        <w:spacing w:after="0"/>
        <w:jc w:val="center"/>
      </w:pPr>
    </w:p>
    <w:p w:rsidR="00323796" w:rsidP="00323796" w14:paraId="76BA6C4B" w14:textId="716B1F48">
      <w:pPr>
        <w:tabs>
          <w:tab w:val="left" w:pos="1440"/>
          <w:tab w:val="left" w:pos="4680"/>
          <w:tab w:val="center" w:pos="7200"/>
        </w:tabs>
        <w:spacing w:after="0"/>
        <w:jc w:val="center"/>
      </w:pPr>
      <w:r>
        <w:t>July 12</w:t>
      </w:r>
      <w:r>
        <w:t>, 2021</w:t>
      </w:r>
    </w:p>
    <w:p w:rsidR="00323796" w:rsidP="00323796" w14:paraId="0706E541" w14:textId="2E959919">
      <w:pPr>
        <w:tabs>
          <w:tab w:val="left" w:pos="1440"/>
          <w:tab w:val="left" w:pos="4680"/>
          <w:tab w:val="center" w:pos="7200"/>
        </w:tabs>
        <w:spacing w:after="0"/>
        <w:jc w:val="center"/>
      </w:pPr>
    </w:p>
    <w:p w:rsidR="00323796" w:rsidRPr="00B56A78" w:rsidP="00323796" w14:paraId="1E0804BD" w14:textId="1B544AB9">
      <w:pPr>
        <w:tabs>
          <w:tab w:val="left" w:pos="1440"/>
          <w:tab w:val="left" w:pos="4680"/>
          <w:tab w:val="center" w:pos="7200"/>
        </w:tabs>
        <w:spacing w:after="0"/>
        <w:jc w:val="left"/>
      </w:pPr>
      <w:r w:rsidRPr="00B56A78">
        <w:t xml:space="preserve">Chief Justice Cantil-Sakauye authored the opinion of the Court, in which Justices </w:t>
      </w:r>
      <w:r w:rsidR="00BF7EB4">
        <w:t>Corrigan, Liu, Cuéllar, Kruger, Groban,</w:t>
      </w:r>
      <w:r w:rsidRPr="00B56A78">
        <w:t xml:space="preserve"> and </w:t>
      </w:r>
      <w:r w:rsidR="00BF7EB4">
        <w:t>Jenkins</w:t>
      </w:r>
      <w:r w:rsidRPr="00B56A78">
        <w:t xml:space="preserve"> concurred. </w:t>
      </w:r>
    </w:p>
    <w:p w:rsidR="00323796" w:rsidRPr="00323796" w:rsidP="00323796" w14:paraId="739E8B86" w14:textId="77777777">
      <w:pPr>
        <w:pBdr>
          <w:bottom w:val="single" w:sz="4" w:space="1" w:color="auto"/>
        </w:pBdr>
        <w:tabs>
          <w:tab w:val="left" w:pos="1440"/>
          <w:tab w:val="left" w:pos="4680"/>
          <w:tab w:val="center" w:pos="7200"/>
        </w:tabs>
        <w:spacing w:line="480" w:lineRule="atLeast"/>
        <w:jc w:val="left"/>
      </w:pPr>
      <w:bookmarkStart w:id="1" w:name="Return"/>
      <w:bookmarkEnd w:id="1"/>
    </w:p>
    <w:p w:rsidR="00323796" w14:paraId="7AEE42CE" w14:textId="77777777">
      <w:pPr>
        <w:tabs>
          <w:tab w:val="left" w:pos="1440"/>
          <w:tab w:val="left" w:pos="4680"/>
          <w:tab w:val="center" w:pos="7200"/>
        </w:tabs>
        <w:spacing w:line="480" w:lineRule="atLeast"/>
        <w:sectPr w:rsidSect="00323796">
          <w:headerReference w:type="even" r:id="rId6"/>
          <w:headerReference w:type="default" r:id="rId7"/>
          <w:footerReference w:type="even" r:id="rId8"/>
          <w:footerReference w:type="default" r:id="rId9"/>
          <w:headerReference w:type="first" r:id="rId10"/>
          <w:footerReference w:type="first" r:id="rId11"/>
          <w:pgSz w:w="12240" w:h="15840"/>
          <w:pgMar w:top="1800" w:right="2160" w:bottom="1440" w:left="2160" w:header="720" w:footer="720" w:gutter="0"/>
          <w:cols w:space="720"/>
          <w:titlePg/>
          <w:docGrid w:linePitch="367"/>
        </w:sectPr>
      </w:pPr>
    </w:p>
    <w:p w:rsidR="00323796" w:rsidP="00323796" w14:paraId="27DA9EFD" w14:textId="002BCEC7">
      <w:pPr>
        <w:tabs>
          <w:tab w:val="left" w:pos="1440"/>
          <w:tab w:val="left" w:pos="4680"/>
          <w:tab w:val="center" w:pos="7200"/>
        </w:tabs>
        <w:jc w:val="center"/>
      </w:pPr>
      <w:r>
        <w:t>SHALABI v. CITY OF FONTANA</w:t>
      </w:r>
    </w:p>
    <w:p w:rsidR="00323796" w:rsidP="00323796" w14:paraId="52C132BC" w14:textId="7BB0A6C7">
      <w:pPr>
        <w:tabs>
          <w:tab w:val="left" w:pos="1440"/>
          <w:tab w:val="left" w:pos="4680"/>
          <w:tab w:val="center" w:pos="7200"/>
        </w:tabs>
        <w:jc w:val="center"/>
      </w:pPr>
      <w:r>
        <w:t>S256665</w:t>
      </w:r>
    </w:p>
    <w:p w:rsidR="00323796" w:rsidP="00323796" w14:paraId="42FB15B5" w14:textId="357C8C82">
      <w:pPr>
        <w:tabs>
          <w:tab w:val="left" w:pos="1440"/>
          <w:tab w:val="left" w:pos="4680"/>
          <w:tab w:val="center" w:pos="7200"/>
        </w:tabs>
        <w:jc w:val="center"/>
      </w:pPr>
    </w:p>
    <w:p w:rsidR="00323796" w:rsidP="00323796" w14:paraId="06272335" w14:textId="59A01A73">
      <w:pPr>
        <w:tabs>
          <w:tab w:val="left" w:pos="1440"/>
          <w:tab w:val="left" w:pos="4680"/>
          <w:tab w:val="center" w:pos="7200"/>
        </w:tabs>
        <w:jc w:val="center"/>
      </w:pPr>
      <w:r>
        <w:t>Opinion of the Court by Cantil-Sakauye, C. J.</w:t>
      </w:r>
    </w:p>
    <w:p w:rsidR="00323796" w:rsidRPr="00323796" w:rsidP="00323796" w14:paraId="6E23836B" w14:textId="77777777">
      <w:pPr>
        <w:tabs>
          <w:tab w:val="left" w:pos="1440"/>
          <w:tab w:val="left" w:pos="4680"/>
          <w:tab w:val="center" w:pos="7200"/>
        </w:tabs>
        <w:jc w:val="center"/>
      </w:pPr>
    </w:p>
    <w:p w:rsidR="007F00DE" w:rsidRPr="00323796" w:rsidP="00323796" w14:paraId="5DD77B27" w14:textId="3A0250B6">
      <w:pPr>
        <w:tabs>
          <w:tab w:val="left" w:pos="1440"/>
        </w:tabs>
        <w:ind w:firstLine="720"/>
      </w:pPr>
      <w:bookmarkStart w:id="2" w:name="mainstory"/>
      <w:bookmarkEnd w:id="2"/>
      <w:r w:rsidRPr="00323796">
        <w:t xml:space="preserve">The statute of limitations is a law that sets the maximum amount of time within which legal proceedings may be initiated.  </w:t>
      </w:r>
      <w:r w:rsidRPr="00323796" w:rsidR="00DE4502">
        <w:t xml:space="preserve">As </w:t>
      </w:r>
      <w:r w:rsidRPr="00323796" w:rsidR="00FD02DC">
        <w:t>established by</w:t>
      </w:r>
      <w:r w:rsidRPr="00323796" w:rsidR="00DE4502">
        <w:t xml:space="preserve"> Code of Civil Procedure section 12,</w:t>
      </w:r>
      <w:r>
        <w:rPr>
          <w:rStyle w:val="FootnoteReference"/>
        </w:rPr>
        <w:footnoteReference w:id="3"/>
      </w:r>
      <w:r w:rsidRPr="00323796" w:rsidR="00DE4502">
        <w:t xml:space="preserve"> t</w:t>
      </w:r>
      <w:r w:rsidRPr="00323796" w:rsidR="00EF1E9C">
        <w:t xml:space="preserve">he general rule </w:t>
      </w:r>
      <w:r w:rsidRPr="00323796" w:rsidR="00637A5C">
        <w:t xml:space="preserve">for computing </w:t>
      </w:r>
      <w:r w:rsidRPr="00323796" w:rsidR="001E0CCF">
        <w:t xml:space="preserve">the </w:t>
      </w:r>
      <w:r w:rsidRPr="00323796" w:rsidR="00637A5C">
        <w:t>time</w:t>
      </w:r>
      <w:r w:rsidRPr="00323796" w:rsidR="00A15585">
        <w:t xml:space="preserve"> </w:t>
      </w:r>
      <w:r w:rsidRPr="00323796" w:rsidR="00871330">
        <w:t xml:space="preserve">by </w:t>
      </w:r>
      <w:r w:rsidRPr="00323796" w:rsidR="00A15585">
        <w:t>which a plaintiff must bring a cause of action</w:t>
      </w:r>
      <w:r w:rsidRPr="00323796" w:rsidR="00DE4502">
        <w:t xml:space="preserve"> </w:t>
      </w:r>
      <w:r w:rsidRPr="00323796" w:rsidR="00FD02DC">
        <w:t>is to exclude the first</w:t>
      </w:r>
      <w:r w:rsidRPr="00323796" w:rsidR="006463C8">
        <w:t xml:space="preserve"> day of the limitations period and include the last day</w:t>
      </w:r>
      <w:r w:rsidRPr="00323796" w:rsidR="0076394A">
        <w:t>.</w:t>
      </w:r>
      <w:r w:rsidRPr="00323796" w:rsidR="004B4EEF">
        <w:t xml:space="preserve">  </w:t>
      </w:r>
    </w:p>
    <w:p w:rsidR="006F285B" w:rsidRPr="00323796" w:rsidP="00323796" w14:paraId="07091686" w14:textId="616895FA">
      <w:pPr>
        <w:tabs>
          <w:tab w:val="left" w:pos="1440"/>
        </w:tabs>
        <w:ind w:firstLine="720"/>
      </w:pPr>
      <w:r w:rsidRPr="00323796">
        <w:t>A tolling provision suspends the running of a limitations period</w:t>
      </w:r>
      <w:r w:rsidRPr="00323796" w:rsidR="0017596F">
        <w:t xml:space="preserve">.  </w:t>
      </w:r>
      <w:r w:rsidRPr="00323796" w:rsidR="0023031F">
        <w:t>W</w:t>
      </w:r>
      <w:r w:rsidRPr="00323796" w:rsidR="007F00DE">
        <w:t xml:space="preserve">hen a minor is injured, the statute of limitations </w:t>
      </w:r>
      <w:r w:rsidRPr="00323796" w:rsidR="002076F0">
        <w:t xml:space="preserve">for any claim arising </w:t>
      </w:r>
      <w:r w:rsidRPr="00323796" w:rsidR="00AB07EB">
        <w:t>from</w:t>
      </w:r>
      <w:r w:rsidRPr="00323796" w:rsidR="002076F0">
        <w:t xml:space="preserve"> the injury </w:t>
      </w:r>
      <w:r w:rsidRPr="00323796" w:rsidR="007F00DE">
        <w:t xml:space="preserve">is tolled until the minor reaches age 18.  (§ 352, subd. (a); Fam. Code, § 6500.)  </w:t>
      </w:r>
      <w:r w:rsidRPr="00323796" w:rsidR="004B4EEF">
        <w:t xml:space="preserve">We granted review </w:t>
      </w:r>
      <w:r w:rsidRPr="00323796" w:rsidR="00AB1090">
        <w:t>in this matter to decide</w:t>
      </w:r>
      <w:r w:rsidRPr="00323796" w:rsidR="007F2AC1">
        <w:t xml:space="preserve"> whether, in </w:t>
      </w:r>
      <w:r w:rsidRPr="00323796" w:rsidR="007A4B84">
        <w:t xml:space="preserve">cases </w:t>
      </w:r>
      <w:r w:rsidRPr="00323796" w:rsidR="00096E53">
        <w:t xml:space="preserve">in which </w:t>
      </w:r>
      <w:r w:rsidRPr="00323796" w:rsidR="007A4B84">
        <w:t>the statute of limitations is tolled</w:t>
      </w:r>
      <w:r w:rsidRPr="00323796" w:rsidR="007F00DE">
        <w:t xml:space="preserve"> based on the plaintiff minor’s </w:t>
      </w:r>
      <w:r w:rsidRPr="00323796" w:rsidR="00745301">
        <w:t>age</w:t>
      </w:r>
      <w:r w:rsidRPr="00323796" w:rsidR="007A4B84">
        <w:t xml:space="preserve">, the day after </w:t>
      </w:r>
      <w:r w:rsidRPr="00323796" w:rsidR="009B5F69">
        <w:t xml:space="preserve">which the </w:t>
      </w:r>
      <w:r w:rsidRPr="00323796" w:rsidR="007A4B84">
        <w:t xml:space="preserve">tolling </w:t>
      </w:r>
      <w:r w:rsidRPr="00323796" w:rsidR="009B5F69">
        <w:t xml:space="preserve">period </w:t>
      </w:r>
      <w:r w:rsidRPr="00323796" w:rsidR="007A4B84">
        <w:t xml:space="preserve">ends is </w:t>
      </w:r>
      <w:r w:rsidRPr="00323796" w:rsidR="00540731">
        <w:t xml:space="preserve">either </w:t>
      </w:r>
      <w:r w:rsidRPr="00323796" w:rsidR="007A4B84">
        <w:t>included or excluded in calculating whether an action is timely filed</w:t>
      </w:r>
      <w:r w:rsidRPr="00323796" w:rsidR="00540731">
        <w:t xml:space="preserve"> within the limitations period</w:t>
      </w:r>
      <w:r w:rsidRPr="00323796" w:rsidR="007A4B84">
        <w:t xml:space="preserve">.  </w:t>
      </w:r>
      <w:r w:rsidRPr="00323796" w:rsidR="0076394A">
        <w:t xml:space="preserve">  </w:t>
      </w:r>
      <w:r w:rsidRPr="00323796" w:rsidR="00EF1E9C">
        <w:t xml:space="preserve"> </w:t>
      </w:r>
    </w:p>
    <w:p w:rsidR="00C3472B" w:rsidRPr="00323796" w:rsidP="00323796" w14:paraId="3FE971B0" w14:textId="28BA3F09">
      <w:pPr>
        <w:tabs>
          <w:tab w:val="left" w:pos="1440"/>
        </w:tabs>
        <w:ind w:firstLine="720"/>
      </w:pPr>
      <w:r w:rsidRPr="00323796">
        <w:t>Here</w:t>
      </w:r>
      <w:r w:rsidRPr="00323796" w:rsidR="00C2067A">
        <w:t>, the Court of Appeal held</w:t>
      </w:r>
      <w:r w:rsidRPr="00323796" w:rsidR="00546F66">
        <w:t>,</w:t>
      </w:r>
      <w:r w:rsidRPr="00323796" w:rsidR="00DC0352">
        <w:t xml:space="preserve"> consistent with section 12,</w:t>
      </w:r>
      <w:r w:rsidRPr="00323796" w:rsidR="00C2067A">
        <w:t xml:space="preserve"> that a minor’s </w:t>
      </w:r>
      <w:r w:rsidRPr="00323796" w:rsidR="00CD6083">
        <w:t>18</w:t>
      </w:r>
      <w:r w:rsidRPr="00323796" w:rsidR="00C2067A">
        <w:t xml:space="preserve">th birthday is excluded </w:t>
      </w:r>
      <w:r w:rsidRPr="00323796" w:rsidR="003B398F">
        <w:t>in calculating when the statute of limitations b</w:t>
      </w:r>
      <w:r w:rsidRPr="00323796" w:rsidR="00FE1ACB">
        <w:t>egins</w:t>
      </w:r>
      <w:r w:rsidRPr="00323796" w:rsidR="003B398F">
        <w:t xml:space="preserve"> to run</w:t>
      </w:r>
      <w:r w:rsidRPr="00323796" w:rsidR="00C2067A">
        <w:t xml:space="preserve">.  </w:t>
      </w:r>
      <w:r w:rsidRPr="00323796" w:rsidR="00DC0352">
        <w:t>The appellate court</w:t>
      </w:r>
      <w:r w:rsidRPr="00323796">
        <w:t xml:space="preserve"> </w:t>
      </w:r>
      <w:r w:rsidRPr="00323796" w:rsidR="00E23B2C">
        <w:t xml:space="preserve">acknowledged </w:t>
      </w:r>
      <w:r w:rsidRPr="00323796" w:rsidR="00492149">
        <w:t>that</w:t>
      </w:r>
      <w:r w:rsidRPr="00323796" w:rsidR="00E52B01">
        <w:t xml:space="preserve"> </w:t>
      </w:r>
      <w:r w:rsidRPr="00323796" w:rsidR="00886A04">
        <w:t>this court</w:t>
      </w:r>
      <w:r w:rsidRPr="00323796" w:rsidR="00492149">
        <w:t xml:space="preserve"> </w:t>
      </w:r>
      <w:r w:rsidRPr="00323796" w:rsidR="00E52B01">
        <w:t xml:space="preserve">had </w:t>
      </w:r>
      <w:r w:rsidRPr="00323796" w:rsidR="00492149">
        <w:t xml:space="preserve">reached a different conclusion </w:t>
      </w:r>
      <w:r w:rsidRPr="00323796" w:rsidR="005C107D">
        <w:t xml:space="preserve">more than a century earlier </w:t>
      </w:r>
      <w:r w:rsidRPr="00323796" w:rsidR="008866AD">
        <w:t xml:space="preserve">in </w:t>
      </w:r>
      <w:r w:rsidRPr="00323796" w:rsidR="00952F0A">
        <w:rPr>
          <w:i/>
        </w:rPr>
        <w:t xml:space="preserve">Ganahl v. </w:t>
      </w:r>
      <w:r w:rsidRPr="00323796" w:rsidR="00DB78CE">
        <w:rPr>
          <w:i/>
        </w:rPr>
        <w:t>Soher</w:t>
      </w:r>
      <w:r w:rsidRPr="00323796" w:rsidR="00DB78CE">
        <w:t xml:space="preserve"> (1884) </w:t>
      </w:r>
      <w:r w:rsidRPr="00323796" w:rsidR="00DA25C3">
        <w:t>2</w:t>
      </w:r>
      <w:r w:rsidR="00323796">
        <w:t> </w:t>
      </w:r>
      <w:r w:rsidRPr="00323796" w:rsidR="00DA25C3">
        <w:t>Cal.Unrep. 415</w:t>
      </w:r>
      <w:r w:rsidRPr="00323796" w:rsidR="00333F13">
        <w:t xml:space="preserve"> (</w:t>
      </w:r>
      <w:r w:rsidRPr="00323796" w:rsidR="00333F13">
        <w:rPr>
          <w:i/>
          <w:iCs/>
        </w:rPr>
        <w:t>Ganahl</w:t>
      </w:r>
      <w:r w:rsidRPr="00323796" w:rsidR="00CB5915">
        <w:rPr>
          <w:i/>
          <w:iCs/>
        </w:rPr>
        <w:t xml:space="preserve"> I</w:t>
      </w:r>
      <w:r w:rsidRPr="00323796" w:rsidR="00333F13">
        <w:t>)</w:t>
      </w:r>
      <w:r w:rsidRPr="00323796" w:rsidR="00EC4CF5">
        <w:t xml:space="preserve">, </w:t>
      </w:r>
      <w:r w:rsidRPr="00323796" w:rsidR="00C36FE9">
        <w:t xml:space="preserve">an unreported Supreme Court </w:t>
      </w:r>
      <w:r w:rsidRPr="00323796" w:rsidR="00C36FE9">
        <w:t xml:space="preserve">decision, </w:t>
      </w:r>
      <w:r w:rsidRPr="00323796" w:rsidR="00FE1ACB">
        <w:t xml:space="preserve">but </w:t>
      </w:r>
      <w:r w:rsidRPr="00323796" w:rsidR="006839E4">
        <w:t xml:space="preserve">it </w:t>
      </w:r>
      <w:r w:rsidRPr="00323796" w:rsidR="00234EC9">
        <w:t>resolved</w:t>
      </w:r>
      <w:r w:rsidRPr="00323796" w:rsidR="00FB7361">
        <w:t xml:space="preserve"> </w:t>
      </w:r>
      <w:r w:rsidRPr="00323796" w:rsidR="00C7173F">
        <w:t xml:space="preserve">that </w:t>
      </w:r>
      <w:r w:rsidRPr="00323796" w:rsidR="00C7173F">
        <w:rPr>
          <w:i/>
          <w:iCs/>
        </w:rPr>
        <w:t>Ganahl</w:t>
      </w:r>
      <w:r w:rsidRPr="00323796" w:rsidR="00C7173F">
        <w:t xml:space="preserve"> </w:t>
      </w:r>
      <w:r w:rsidR="005E6A07">
        <w:rPr>
          <w:i/>
          <w:iCs/>
        </w:rPr>
        <w:t xml:space="preserve">I </w:t>
      </w:r>
      <w:r w:rsidRPr="00323796" w:rsidR="00C7173F">
        <w:t>was not controlling</w:t>
      </w:r>
      <w:r w:rsidRPr="00323796" w:rsidR="00F7251F">
        <w:t xml:space="preserve"> </w:t>
      </w:r>
      <w:r w:rsidRPr="00323796" w:rsidR="00841907">
        <w:t xml:space="preserve">because </w:t>
      </w:r>
      <w:r w:rsidRPr="00323796" w:rsidR="006839E4">
        <w:t>that decision</w:t>
      </w:r>
      <w:r w:rsidRPr="00323796" w:rsidR="00841907">
        <w:t xml:space="preserve"> did not </w:t>
      </w:r>
      <w:r w:rsidRPr="00323796" w:rsidR="00B65235">
        <w:t xml:space="preserve">explicitly </w:t>
      </w:r>
      <w:r w:rsidRPr="00323796" w:rsidR="00841907">
        <w:t xml:space="preserve">address </w:t>
      </w:r>
      <w:r w:rsidRPr="00323796" w:rsidR="001914B7">
        <w:t xml:space="preserve">the applicability of section 12.  </w:t>
      </w:r>
      <w:r w:rsidRPr="00323796" w:rsidR="005C2D94">
        <w:t>(</w:t>
      </w:r>
      <w:r w:rsidRPr="00323796" w:rsidR="006839E4">
        <w:rPr>
          <w:i/>
        </w:rPr>
        <w:t>Shalabi v. City of Fontana</w:t>
      </w:r>
      <w:r w:rsidRPr="00323796" w:rsidR="006839E4">
        <w:t xml:space="preserve"> (2019) 35 Cal.App.5th 639</w:t>
      </w:r>
      <w:r w:rsidR="00840F23">
        <w:t>, 644</w:t>
      </w:r>
      <w:r w:rsidRPr="00323796" w:rsidR="006839E4">
        <w:t xml:space="preserve"> (</w:t>
      </w:r>
      <w:r w:rsidRPr="00323796" w:rsidR="006839E4">
        <w:rPr>
          <w:i/>
          <w:iCs/>
        </w:rPr>
        <w:t>Shalabi</w:t>
      </w:r>
      <w:r w:rsidRPr="00323796" w:rsidR="006839E4">
        <w:t>).)</w:t>
      </w:r>
    </w:p>
    <w:p w:rsidR="00F33EA0" w:rsidRPr="00323796" w:rsidP="00323796" w14:paraId="01A9AD3D" w14:textId="00DEA326">
      <w:pPr>
        <w:tabs>
          <w:tab w:val="left" w:pos="1440"/>
        </w:tabs>
        <w:ind w:firstLine="720"/>
      </w:pPr>
      <w:r w:rsidRPr="00323796">
        <w:t>W</w:t>
      </w:r>
      <w:r w:rsidRPr="00323796" w:rsidR="00133077">
        <w:t>e agree with the</w:t>
      </w:r>
      <w:r w:rsidRPr="00323796" w:rsidR="00BF4E39">
        <w:t xml:space="preserve"> Court of </w:t>
      </w:r>
      <w:r w:rsidRPr="00323796" w:rsidR="00133077">
        <w:t>Appeal</w:t>
      </w:r>
      <w:r w:rsidRPr="00323796" w:rsidR="009B19D0">
        <w:t>’s conclusion</w:t>
      </w:r>
      <w:r w:rsidRPr="00323796" w:rsidR="00F0156E">
        <w:t xml:space="preserve"> that an individual’s 18th birthday is excluded</w:t>
      </w:r>
      <w:r w:rsidRPr="00323796" w:rsidR="00F12442">
        <w:t xml:space="preserve"> when calculating the applicable limitations period</w:t>
      </w:r>
      <w:r w:rsidRPr="00323796" w:rsidR="00BF4E39">
        <w:t xml:space="preserve">.  </w:t>
      </w:r>
      <w:r w:rsidRPr="00323796" w:rsidR="00E85254">
        <w:t>As artic</w:t>
      </w:r>
      <w:r w:rsidRPr="00323796" w:rsidR="009F77E3">
        <w:t>ulated in section 12, t</w:t>
      </w:r>
      <w:r w:rsidRPr="00323796" w:rsidR="00BF4E39">
        <w:t xml:space="preserve">he ordinary rule </w:t>
      </w:r>
      <w:r w:rsidRPr="00323796" w:rsidR="00E85254">
        <w:t xml:space="preserve">for </w:t>
      </w:r>
      <w:r w:rsidRPr="00323796" w:rsidR="00BF4E39">
        <w:t xml:space="preserve">computation of time excludes the first day and includes the last. </w:t>
      </w:r>
      <w:r w:rsidRPr="00323796" w:rsidR="00844274">
        <w:t xml:space="preserve"> </w:t>
      </w:r>
      <w:r w:rsidRPr="00323796" w:rsidR="00D64CD7">
        <w:rPr>
          <w:rFonts w:cstheme="minorHAnsi"/>
          <w:szCs w:val="26"/>
        </w:rPr>
        <w:t xml:space="preserve">We have </w:t>
      </w:r>
      <w:r w:rsidRPr="00323796" w:rsidR="00276168">
        <w:rPr>
          <w:rFonts w:cstheme="minorHAnsi"/>
          <w:szCs w:val="26"/>
        </w:rPr>
        <w:t xml:space="preserve">long </w:t>
      </w:r>
      <w:r w:rsidRPr="00323796" w:rsidR="00A61B1A">
        <w:rPr>
          <w:rFonts w:cstheme="minorHAnsi"/>
          <w:szCs w:val="26"/>
        </w:rPr>
        <w:t xml:space="preserve">held </w:t>
      </w:r>
      <w:r w:rsidRPr="00323796" w:rsidR="00D62822">
        <w:rPr>
          <w:rFonts w:cstheme="minorHAnsi"/>
          <w:szCs w:val="26"/>
        </w:rPr>
        <w:t>th</w:t>
      </w:r>
      <w:r w:rsidRPr="00323796" w:rsidR="00123B1F">
        <w:rPr>
          <w:rFonts w:cstheme="minorHAnsi"/>
          <w:szCs w:val="26"/>
        </w:rPr>
        <w:t xml:space="preserve">at </w:t>
      </w:r>
      <w:r w:rsidRPr="00323796" w:rsidR="00D1090A">
        <w:rPr>
          <w:rFonts w:cstheme="minorHAnsi"/>
          <w:szCs w:val="26"/>
        </w:rPr>
        <w:t>significant</w:t>
      </w:r>
      <w:r w:rsidRPr="00323796" w:rsidR="00123B1F">
        <w:rPr>
          <w:rFonts w:cstheme="minorHAnsi"/>
          <w:szCs w:val="26"/>
        </w:rPr>
        <w:t xml:space="preserve"> public order and security considerations </w:t>
      </w:r>
      <w:r w:rsidRPr="00323796" w:rsidR="00D1090A">
        <w:rPr>
          <w:rFonts w:cstheme="minorHAnsi"/>
          <w:szCs w:val="26"/>
        </w:rPr>
        <w:t xml:space="preserve">compel a definite and certain method of computing time.  </w:t>
      </w:r>
      <w:r w:rsidRPr="00323796" w:rsidR="0073540B">
        <w:rPr>
          <w:rFonts w:cstheme="minorHAnsi"/>
          <w:szCs w:val="26"/>
        </w:rPr>
        <w:t>B</w:t>
      </w:r>
      <w:r w:rsidRPr="00323796" w:rsidR="00081074">
        <w:t xml:space="preserve">efore a given case will be deemed to </w:t>
      </w:r>
      <w:r w:rsidRPr="00323796" w:rsidR="00C96ACD">
        <w:t xml:space="preserve">fall </w:t>
      </w:r>
      <w:r w:rsidRPr="00323796" w:rsidR="0016346E">
        <w:t xml:space="preserve">outside </w:t>
      </w:r>
      <w:r w:rsidRPr="00323796" w:rsidR="00081074">
        <w:t>the general rule, the</w:t>
      </w:r>
      <w:r w:rsidRPr="00323796" w:rsidR="00E421AA">
        <w:t>re must be a clearly expressed</w:t>
      </w:r>
      <w:r w:rsidRPr="00323796" w:rsidR="00081074">
        <w:t xml:space="preserve"> intention that a different method of computation was </w:t>
      </w:r>
      <w:r w:rsidRPr="00323796" w:rsidR="00C87FA7">
        <w:t xml:space="preserve">intended and </w:t>
      </w:r>
      <w:r w:rsidRPr="00323796" w:rsidR="00081074">
        <w:t xml:space="preserve">provided for.  </w:t>
      </w:r>
      <w:r w:rsidRPr="00323796" w:rsidR="00CE2AE3">
        <w:t>N</w:t>
      </w:r>
      <w:r w:rsidRPr="00323796" w:rsidR="00223658">
        <w:t>o such intent</w:t>
      </w:r>
      <w:r w:rsidRPr="00323796" w:rsidR="00685176">
        <w:t>, compelling reason</w:t>
      </w:r>
      <w:r w:rsidRPr="00323796" w:rsidR="00562F91">
        <w:t>,</w:t>
      </w:r>
      <w:r w:rsidRPr="00323796" w:rsidR="00223658">
        <w:t xml:space="preserve"> </w:t>
      </w:r>
      <w:r w:rsidRPr="00323796" w:rsidR="00ED71C5">
        <w:t xml:space="preserve">or direction </w:t>
      </w:r>
      <w:r w:rsidRPr="00323796" w:rsidR="00223658">
        <w:t xml:space="preserve">is evident </w:t>
      </w:r>
      <w:r w:rsidRPr="00323796" w:rsidR="00371138">
        <w:t>from</w:t>
      </w:r>
      <w:r w:rsidRPr="00323796" w:rsidR="00B70479">
        <w:t xml:space="preserve"> the </w:t>
      </w:r>
      <w:r w:rsidRPr="00323796" w:rsidR="0091200D">
        <w:t xml:space="preserve">relevant </w:t>
      </w:r>
      <w:r w:rsidRPr="00323796" w:rsidR="00B70479">
        <w:t>statutory language</w:t>
      </w:r>
      <w:r w:rsidRPr="00323796" w:rsidR="004871A7">
        <w:t xml:space="preserve"> or history</w:t>
      </w:r>
      <w:r w:rsidRPr="00323796" w:rsidR="00562F91">
        <w:t xml:space="preserve">.  </w:t>
      </w:r>
    </w:p>
    <w:p w:rsidR="00BF4E39" w:rsidRPr="00323796" w:rsidP="00323796" w14:paraId="5F128BB0" w14:textId="23875216">
      <w:pPr>
        <w:tabs>
          <w:tab w:val="left" w:pos="1440"/>
        </w:tabs>
        <w:ind w:firstLine="720"/>
      </w:pPr>
      <w:r w:rsidRPr="00323796">
        <w:t xml:space="preserve">We also </w:t>
      </w:r>
      <w:r w:rsidRPr="00323796" w:rsidR="003E5275">
        <w:t>agree</w:t>
      </w:r>
      <w:r w:rsidRPr="00323796">
        <w:t xml:space="preserve"> that our</w:t>
      </w:r>
      <w:r w:rsidRPr="00323796" w:rsidR="006261E5">
        <w:t xml:space="preserve"> decision in </w:t>
      </w:r>
      <w:r w:rsidRPr="00323796" w:rsidR="00DD10FE">
        <w:rPr>
          <w:i/>
          <w:iCs/>
          <w:color w:val="000000"/>
          <w:shd w:val="clear" w:color="auto" w:fill="FFFFFF"/>
        </w:rPr>
        <w:t>Ganahl I</w:t>
      </w:r>
      <w:r w:rsidRPr="00323796" w:rsidR="00F33EA0">
        <w:rPr>
          <w:color w:val="000000"/>
          <w:shd w:val="clear" w:color="auto" w:fill="FFFFFF"/>
        </w:rPr>
        <w:t xml:space="preserve">, </w:t>
      </w:r>
      <w:r w:rsidRPr="00323796" w:rsidR="00F33EA0">
        <w:rPr>
          <w:i/>
          <w:iCs/>
          <w:color w:val="000000"/>
          <w:shd w:val="clear" w:color="auto" w:fill="FFFFFF"/>
        </w:rPr>
        <w:t>supra</w:t>
      </w:r>
      <w:r w:rsidRPr="00323796" w:rsidR="00F33EA0">
        <w:rPr>
          <w:color w:val="000000"/>
          <w:shd w:val="clear" w:color="auto" w:fill="FFFFFF"/>
        </w:rPr>
        <w:t>,</w:t>
      </w:r>
      <w:r w:rsidRPr="00323796" w:rsidR="00F33EA0">
        <w:rPr>
          <w:i/>
          <w:iCs/>
          <w:color w:val="000000"/>
          <w:shd w:val="clear" w:color="auto" w:fill="FFFFFF"/>
        </w:rPr>
        <w:t xml:space="preserve"> </w:t>
      </w:r>
      <w:r w:rsidRPr="00323796" w:rsidR="00F33EA0">
        <w:t>2</w:t>
      </w:r>
      <w:r w:rsidR="00323796">
        <w:t> </w:t>
      </w:r>
      <w:r w:rsidRPr="00323796" w:rsidR="00F33EA0">
        <w:t>Cal.Unrep. 415</w:t>
      </w:r>
      <w:r w:rsidRPr="00323796" w:rsidR="00DD10FE">
        <w:rPr>
          <w:color w:val="000000"/>
          <w:shd w:val="clear" w:color="auto" w:fill="FFFFFF"/>
        </w:rPr>
        <w:t xml:space="preserve"> is not binding, </w:t>
      </w:r>
      <w:r w:rsidRPr="00323796">
        <w:rPr>
          <w:color w:val="000000"/>
          <w:shd w:val="clear" w:color="auto" w:fill="FFFFFF"/>
        </w:rPr>
        <w:t>but</w:t>
      </w:r>
      <w:r w:rsidRPr="00323796" w:rsidR="006E6607">
        <w:rPr>
          <w:color w:val="000000"/>
          <w:shd w:val="clear" w:color="auto" w:fill="FFFFFF"/>
        </w:rPr>
        <w:t xml:space="preserve"> not for the reason expressed by the Court of Appeal</w:t>
      </w:r>
      <w:r w:rsidRPr="00323796" w:rsidR="00E7153D">
        <w:rPr>
          <w:color w:val="000000"/>
          <w:shd w:val="clear" w:color="auto" w:fill="FFFFFF"/>
        </w:rPr>
        <w:t xml:space="preserve">.  </w:t>
      </w:r>
      <w:r w:rsidRPr="00323796" w:rsidR="000E21F2">
        <w:rPr>
          <w:color w:val="000000"/>
          <w:shd w:val="clear" w:color="auto" w:fill="FFFFFF"/>
        </w:rPr>
        <w:t xml:space="preserve">This court granted hearing in bank in </w:t>
      </w:r>
      <w:r w:rsidRPr="00323796" w:rsidR="00E524AE">
        <w:rPr>
          <w:i/>
          <w:iCs/>
          <w:color w:val="000000"/>
          <w:shd w:val="clear" w:color="auto" w:fill="FFFFFF"/>
        </w:rPr>
        <w:t>Ganahl I</w:t>
      </w:r>
      <w:r w:rsidRPr="00323796" w:rsidR="00FA3E3C">
        <w:rPr>
          <w:i/>
          <w:iCs/>
          <w:color w:val="000000"/>
          <w:shd w:val="clear" w:color="auto" w:fill="FFFFFF"/>
        </w:rPr>
        <w:t xml:space="preserve"> </w:t>
      </w:r>
      <w:r w:rsidRPr="00323796" w:rsidR="000E21F2">
        <w:rPr>
          <w:color w:val="000000"/>
          <w:shd w:val="clear" w:color="auto" w:fill="FFFFFF"/>
        </w:rPr>
        <w:t>and issued a</w:t>
      </w:r>
      <w:r w:rsidRPr="00323796" w:rsidR="00C55452">
        <w:rPr>
          <w:color w:val="000000"/>
          <w:shd w:val="clear" w:color="auto" w:fill="FFFFFF"/>
        </w:rPr>
        <w:t xml:space="preserve"> subsequent superseding decision, </w:t>
      </w:r>
      <w:r w:rsidRPr="00323796" w:rsidR="00BE189E">
        <w:rPr>
          <w:color w:val="000000"/>
          <w:shd w:val="clear" w:color="auto" w:fill="FFFFFF"/>
        </w:rPr>
        <w:t>thereby vacating</w:t>
      </w:r>
      <w:r w:rsidRPr="00323796" w:rsidR="00C55452">
        <w:rPr>
          <w:color w:val="000000"/>
          <w:shd w:val="clear" w:color="auto" w:fill="FFFFFF"/>
        </w:rPr>
        <w:t xml:space="preserve"> </w:t>
      </w:r>
      <w:r w:rsidRPr="00323796" w:rsidR="00C55452">
        <w:rPr>
          <w:i/>
          <w:iCs/>
          <w:color w:val="000000"/>
          <w:shd w:val="clear" w:color="auto" w:fill="FFFFFF"/>
        </w:rPr>
        <w:t>Ganahl I</w:t>
      </w:r>
      <w:r w:rsidRPr="00323796" w:rsidR="00DD10FE">
        <w:rPr>
          <w:color w:val="000000"/>
          <w:shd w:val="clear" w:color="auto" w:fill="FFFFFF"/>
        </w:rPr>
        <w:t xml:space="preserve">. </w:t>
      </w:r>
      <w:r w:rsidRPr="00323796" w:rsidR="00DD10FE">
        <w:t xml:space="preserve"> </w:t>
      </w:r>
      <w:r w:rsidRPr="00323796" w:rsidR="00C55452">
        <w:t xml:space="preserve">And so, although defendants in this case </w:t>
      </w:r>
      <w:r w:rsidRPr="00323796" w:rsidR="00F87594">
        <w:t xml:space="preserve">now urge us to uphold and not “overrule” the initial decision in </w:t>
      </w:r>
      <w:r w:rsidRPr="00323796" w:rsidR="00F87594">
        <w:rPr>
          <w:i/>
          <w:iCs/>
        </w:rPr>
        <w:t>Ganahl I</w:t>
      </w:r>
      <w:r w:rsidRPr="00323796" w:rsidR="00F87594">
        <w:t xml:space="preserve">, </w:t>
      </w:r>
      <w:r w:rsidRPr="00323796" w:rsidR="00103324">
        <w:t xml:space="preserve">there is </w:t>
      </w:r>
      <w:r w:rsidR="00072BB6">
        <w:t>in fact</w:t>
      </w:r>
      <w:r w:rsidRPr="00323796" w:rsidR="00103324">
        <w:t xml:space="preserve"> nothing to uphold or overrule, because the former decision never possessed precedential authority.  Nor</w:t>
      </w:r>
      <w:r w:rsidRPr="00323796" w:rsidR="00292BF0">
        <w:t xml:space="preserve"> </w:t>
      </w:r>
      <w:r w:rsidRPr="00323796" w:rsidR="00FB2F4F">
        <w:t>does the reasoning set out in that vacated decision have</w:t>
      </w:r>
      <w:r w:rsidRPr="00323796" w:rsidR="00103324">
        <w:t xml:space="preserve"> persuasive force.</w:t>
      </w:r>
      <w:r w:rsidRPr="00323796" w:rsidR="00F87594">
        <w:rPr>
          <w:i/>
          <w:iCs/>
        </w:rPr>
        <w:t xml:space="preserve"> </w:t>
      </w:r>
      <w:r w:rsidRPr="00323796" w:rsidR="00103324">
        <w:rPr>
          <w:i/>
          <w:iCs/>
        </w:rPr>
        <w:t xml:space="preserve"> </w:t>
      </w:r>
      <w:r w:rsidRPr="00323796" w:rsidR="00292BF0">
        <w:t>Accordingly, w</w:t>
      </w:r>
      <w:r w:rsidRPr="00323796" w:rsidR="00FA7A88">
        <w:t xml:space="preserve">e </w:t>
      </w:r>
      <w:r w:rsidRPr="00323796" w:rsidR="0091200D">
        <w:t xml:space="preserve">affirm the judgment of the </w:t>
      </w:r>
      <w:r w:rsidRPr="00323796" w:rsidR="009D5626">
        <w:t>C</w:t>
      </w:r>
      <w:r w:rsidRPr="00323796" w:rsidR="00F31607">
        <w:t>ourt</w:t>
      </w:r>
      <w:r w:rsidRPr="00323796" w:rsidR="009D5626">
        <w:t xml:space="preserve"> of Appeal</w:t>
      </w:r>
      <w:r w:rsidRPr="00323796" w:rsidR="003C7C8B">
        <w:t>.</w:t>
      </w:r>
    </w:p>
    <w:p w:rsidR="006F285B" w:rsidRPr="00323796" w:rsidP="00E52267" w14:paraId="02B1B72D" w14:textId="6C671200">
      <w:pPr>
        <w:pStyle w:val="Heading1"/>
      </w:pPr>
      <w:r w:rsidRPr="00323796">
        <w:t>I.  Factual and Procedural Background</w:t>
      </w:r>
    </w:p>
    <w:p w:rsidR="00386947" w:rsidRPr="00323796" w:rsidP="00323796" w14:paraId="03CE3E47" w14:textId="239C8F52">
      <w:pPr>
        <w:tabs>
          <w:tab w:val="left" w:pos="1440"/>
        </w:tabs>
        <w:ind w:firstLine="720"/>
      </w:pPr>
      <w:r w:rsidRPr="00323796">
        <w:t xml:space="preserve">On </w:t>
      </w:r>
      <w:r w:rsidRPr="00323796" w:rsidR="00646458">
        <w:t xml:space="preserve">December 3, 2013, </w:t>
      </w:r>
      <w:r w:rsidRPr="00323796" w:rsidR="00240B1D">
        <w:t xml:space="preserve">plaintiff </w:t>
      </w:r>
      <w:r w:rsidRPr="00323796" w:rsidR="00646458">
        <w:t xml:space="preserve">Luis </w:t>
      </w:r>
      <w:r w:rsidRPr="00323796" w:rsidR="005539F9">
        <w:t xml:space="preserve">Alexandro </w:t>
      </w:r>
      <w:r w:rsidRPr="00323796" w:rsidR="00646458">
        <w:t xml:space="preserve">Shalabi </w:t>
      </w:r>
      <w:r w:rsidRPr="00323796" w:rsidR="00D27D43">
        <w:t xml:space="preserve">filed </w:t>
      </w:r>
      <w:r w:rsidRPr="00323796" w:rsidR="00721B66">
        <w:t>a law</w:t>
      </w:r>
      <w:r w:rsidRPr="00323796" w:rsidR="00EE185C">
        <w:t>suit</w:t>
      </w:r>
      <w:r w:rsidRPr="00323796" w:rsidR="00D27D43">
        <w:t xml:space="preserve"> against </w:t>
      </w:r>
      <w:r w:rsidRPr="00323796" w:rsidR="007A7DE7">
        <w:t xml:space="preserve">the City of Fontana and </w:t>
      </w:r>
      <w:r w:rsidRPr="00323796" w:rsidR="004A46BE">
        <w:t>several</w:t>
      </w:r>
      <w:r w:rsidRPr="00323796" w:rsidR="007A7DE7">
        <w:t xml:space="preserve"> of its police officers</w:t>
      </w:r>
      <w:r w:rsidRPr="00323796" w:rsidR="002726BA">
        <w:t xml:space="preserve"> </w:t>
      </w:r>
      <w:r w:rsidRPr="00323796" w:rsidR="008E17F7">
        <w:t xml:space="preserve">(collectively, </w:t>
      </w:r>
      <w:r w:rsidRPr="00323796" w:rsidR="005C00A0">
        <w:t>defendants</w:t>
      </w:r>
      <w:r w:rsidRPr="00323796" w:rsidR="008E17F7">
        <w:t>)</w:t>
      </w:r>
      <w:r w:rsidRPr="00323796" w:rsidR="00F30E9D">
        <w:t xml:space="preserve"> </w:t>
      </w:r>
      <w:r w:rsidRPr="00323796" w:rsidR="006B1806">
        <w:t>a</w:t>
      </w:r>
      <w:r w:rsidRPr="00323796" w:rsidR="00814EDA">
        <w:t>sserting</w:t>
      </w:r>
      <w:r w:rsidRPr="00323796" w:rsidR="006B1806">
        <w:t xml:space="preserve"> </w:t>
      </w:r>
      <w:r w:rsidRPr="00323796" w:rsidR="00F30E9D">
        <w:t xml:space="preserve">a deprivation of civil rights </w:t>
      </w:r>
      <w:r w:rsidRPr="00323796" w:rsidR="00F6727A">
        <w:t xml:space="preserve">under </w:t>
      </w:r>
      <w:r w:rsidR="000E05A2">
        <w:t xml:space="preserve">title </w:t>
      </w:r>
      <w:r w:rsidRPr="00323796" w:rsidR="00F30E9D">
        <w:t>42 U</w:t>
      </w:r>
      <w:r w:rsidR="000E05A2">
        <w:t>nited States Code</w:t>
      </w:r>
      <w:r w:rsidRPr="00323796" w:rsidR="00F30E9D">
        <w:t xml:space="preserve"> </w:t>
      </w:r>
      <w:r w:rsidRPr="00323796" w:rsidR="00F6727A">
        <w:t>section </w:t>
      </w:r>
      <w:r w:rsidRPr="00323796" w:rsidR="00F30E9D">
        <w:t>1983</w:t>
      </w:r>
      <w:r w:rsidRPr="00323796" w:rsidR="00AD3FDF">
        <w:t xml:space="preserve"> (section 1983</w:t>
      </w:r>
      <w:r w:rsidRPr="00323796" w:rsidR="009A1EED">
        <w:t xml:space="preserve"> claim</w:t>
      </w:r>
      <w:r w:rsidRPr="00323796" w:rsidR="00AD3FDF">
        <w:t>)</w:t>
      </w:r>
      <w:r w:rsidRPr="00323796" w:rsidR="00F30E9D">
        <w:t>.</w:t>
      </w:r>
      <w:r w:rsidRPr="00323796" w:rsidR="00F5435E">
        <w:t xml:space="preserve">  </w:t>
      </w:r>
      <w:r w:rsidRPr="00323796" w:rsidR="005C00A0">
        <w:t>Plaintiff</w:t>
      </w:r>
      <w:r w:rsidRPr="00323796" w:rsidR="00A11048">
        <w:t xml:space="preserve"> alleged that </w:t>
      </w:r>
      <w:r w:rsidRPr="00323796" w:rsidR="00F86BD7">
        <w:t>on May 1</w:t>
      </w:r>
      <w:r w:rsidRPr="00323796" w:rsidR="00D6294A">
        <w:t>4</w:t>
      </w:r>
      <w:r w:rsidRPr="00323796" w:rsidR="00F86BD7">
        <w:t xml:space="preserve">, 2011, </w:t>
      </w:r>
      <w:r w:rsidRPr="00323796" w:rsidR="0048466B">
        <w:t xml:space="preserve">one of the officers wrongfully shot and killed </w:t>
      </w:r>
      <w:r w:rsidRPr="00323796" w:rsidR="005C00A0">
        <w:t>plaintiff</w:t>
      </w:r>
      <w:r w:rsidRPr="00323796" w:rsidR="00A11048">
        <w:t>’s father</w:t>
      </w:r>
      <w:r w:rsidRPr="00323796" w:rsidR="0048466B">
        <w:t>.</w:t>
      </w:r>
      <w:r w:rsidRPr="00323796" w:rsidR="00433D46">
        <w:t xml:space="preserve">  </w:t>
      </w:r>
      <w:r w:rsidRPr="00323796" w:rsidR="005C00A0">
        <w:t>Plaintiff</w:t>
      </w:r>
      <w:r w:rsidRPr="00323796" w:rsidR="00E259FD">
        <w:t xml:space="preserve"> was a minor at the time </w:t>
      </w:r>
      <w:r w:rsidRPr="00323796" w:rsidR="00580FD6">
        <w:t xml:space="preserve">of </w:t>
      </w:r>
      <w:r w:rsidRPr="00323796" w:rsidR="00E259FD">
        <w:t>his father</w:t>
      </w:r>
      <w:r w:rsidRPr="00323796" w:rsidR="00580FD6">
        <w:t>’s death</w:t>
      </w:r>
      <w:r w:rsidRPr="00323796" w:rsidR="00E259FD">
        <w:t xml:space="preserve">.  </w:t>
      </w:r>
      <w:r w:rsidRPr="00323796" w:rsidR="0048466B">
        <w:t xml:space="preserve">  </w:t>
      </w:r>
      <w:r w:rsidRPr="00323796" w:rsidR="00F30E9D">
        <w:t xml:space="preserve"> </w:t>
      </w:r>
    </w:p>
    <w:p w:rsidR="004F0181" w:rsidRPr="00323796" w:rsidP="00323796" w14:paraId="133285BD" w14:textId="66461061">
      <w:pPr>
        <w:tabs>
          <w:tab w:val="left" w:pos="1440"/>
        </w:tabs>
        <w:ind w:firstLine="720"/>
        <w:rPr>
          <w:color w:val="000000" w:themeColor="text1"/>
        </w:rPr>
      </w:pPr>
      <w:r w:rsidRPr="00323796">
        <w:t xml:space="preserve">The parties agreed to a bifurcated bench trial (§ 1048, subd. (b)) </w:t>
      </w:r>
      <w:r w:rsidRPr="00323796" w:rsidR="00BC07C3">
        <w:t xml:space="preserve">concerning </w:t>
      </w:r>
      <w:r w:rsidRPr="00323796" w:rsidR="00AD216C">
        <w:t xml:space="preserve">whether </w:t>
      </w:r>
      <w:r w:rsidRPr="00323796" w:rsidR="005C00A0">
        <w:t>plaintiff</w:t>
      </w:r>
      <w:r w:rsidRPr="00323796" w:rsidR="00AD216C">
        <w:t xml:space="preserve">’s </w:t>
      </w:r>
      <w:r w:rsidRPr="00323796" w:rsidR="009A1EED">
        <w:t>section 1983</w:t>
      </w:r>
      <w:r w:rsidRPr="00323796" w:rsidR="00174079">
        <w:t xml:space="preserve"> claim</w:t>
      </w:r>
      <w:r w:rsidRPr="00323796" w:rsidR="00AD216C">
        <w:t xml:space="preserve"> was barred by the </w:t>
      </w:r>
      <w:r w:rsidRPr="00323796" w:rsidR="002B2D4A">
        <w:t>relevant two</w:t>
      </w:r>
      <w:r w:rsidRPr="00323796" w:rsidR="004938B0">
        <w:t xml:space="preserve">-year </w:t>
      </w:r>
      <w:r w:rsidRPr="00323796" w:rsidR="00AD216C">
        <w:t>statute of limitations.</w:t>
      </w:r>
      <w:r w:rsidRPr="00323796" w:rsidR="002340B2">
        <w:t xml:space="preserve">  The parties stipulated </w:t>
      </w:r>
      <w:r w:rsidRPr="00323796" w:rsidR="007720CE">
        <w:t xml:space="preserve">to the following facts:  (1) </w:t>
      </w:r>
      <w:r w:rsidRPr="00323796" w:rsidR="00545085">
        <w:t>p</w:t>
      </w:r>
      <w:r w:rsidRPr="00323796" w:rsidR="005C00A0">
        <w:t>laintiff</w:t>
      </w:r>
      <w:r w:rsidRPr="00323796" w:rsidR="007720CE">
        <w:t xml:space="preserve">’s date of birth is December 3, 1993; (2) </w:t>
      </w:r>
      <w:r w:rsidRPr="00323796" w:rsidR="005C00A0">
        <w:t>plaintiff</w:t>
      </w:r>
      <w:r w:rsidRPr="00323796" w:rsidR="007720CE">
        <w:t xml:space="preserve"> reached the age of majority on December 3, 2011; and (3) </w:t>
      </w:r>
      <w:r w:rsidRPr="00323796" w:rsidR="005C00A0">
        <w:t>plaintiff</w:t>
      </w:r>
      <w:r w:rsidRPr="00323796" w:rsidR="007720CE">
        <w:t xml:space="preserve"> filed his original complaint </w:t>
      </w:r>
      <w:r w:rsidRPr="00323796" w:rsidR="0049737A">
        <w:t xml:space="preserve">on December 3, 2013.  </w:t>
      </w:r>
      <w:r w:rsidRPr="00323796" w:rsidR="00AD216C">
        <w:rPr>
          <w:color w:val="000000" w:themeColor="text1"/>
        </w:rPr>
        <w:t xml:space="preserve">  </w:t>
      </w:r>
    </w:p>
    <w:p w:rsidR="006F285B" w:rsidRPr="00323796" w:rsidP="00323796" w14:paraId="2B89F027" w14:textId="043FC1BA">
      <w:pPr>
        <w:tabs>
          <w:tab w:val="left" w:pos="1440"/>
        </w:tabs>
        <w:ind w:firstLine="720"/>
      </w:pPr>
      <w:r w:rsidRPr="00323796">
        <w:t xml:space="preserve">The </w:t>
      </w:r>
      <w:r w:rsidRPr="00323796" w:rsidR="004F0181">
        <w:t xml:space="preserve">trial </w:t>
      </w:r>
      <w:r w:rsidRPr="00323796">
        <w:t xml:space="preserve">court ruled </w:t>
      </w:r>
      <w:r w:rsidRPr="00323796" w:rsidR="00195BFF">
        <w:t xml:space="preserve">that </w:t>
      </w:r>
      <w:r w:rsidRPr="00323796" w:rsidR="008011D3">
        <w:t>plaintiff</w:t>
      </w:r>
      <w:r w:rsidRPr="00323796" w:rsidR="00805511">
        <w:t xml:space="preserve">’s </w:t>
      </w:r>
      <w:r w:rsidRPr="00323796" w:rsidR="0050582B">
        <w:t>claim</w:t>
      </w:r>
      <w:r w:rsidRPr="00323796" w:rsidR="00174079">
        <w:t xml:space="preserve"> </w:t>
      </w:r>
      <w:r w:rsidRPr="00323796" w:rsidR="00195BFF">
        <w:t xml:space="preserve">was </w:t>
      </w:r>
      <w:r w:rsidRPr="00323796" w:rsidR="00BC6BF2">
        <w:t xml:space="preserve">time-barred because </w:t>
      </w:r>
      <w:r w:rsidRPr="00323796" w:rsidR="00805511">
        <w:t xml:space="preserve">he </w:t>
      </w:r>
      <w:r w:rsidRPr="00323796" w:rsidR="0050582B">
        <w:t>filed suit</w:t>
      </w:r>
      <w:r w:rsidRPr="00323796" w:rsidR="00EF366C">
        <w:t xml:space="preserve"> one day</w:t>
      </w:r>
      <w:r w:rsidRPr="00323796" w:rsidR="0066015A">
        <w:t xml:space="preserve"> </w:t>
      </w:r>
      <w:r w:rsidRPr="00323796" w:rsidR="007174CE">
        <w:t xml:space="preserve">outside the </w:t>
      </w:r>
      <w:r w:rsidRPr="00323796" w:rsidR="0066015A">
        <w:t>two</w:t>
      </w:r>
      <w:r w:rsidRPr="00323796" w:rsidR="001C7BA2">
        <w:t>-</w:t>
      </w:r>
      <w:r w:rsidRPr="00323796" w:rsidR="0066015A">
        <w:t>year limitations period</w:t>
      </w:r>
      <w:r w:rsidRPr="00323796" w:rsidR="00EF366C">
        <w:t xml:space="preserve">.  </w:t>
      </w:r>
      <w:r w:rsidRPr="00323796" w:rsidR="00A43967">
        <w:t xml:space="preserve">It </w:t>
      </w:r>
      <w:r w:rsidRPr="00323796" w:rsidR="000E3F1E">
        <w:t>found</w:t>
      </w:r>
      <w:r w:rsidRPr="00323796" w:rsidR="00CA57FA">
        <w:t xml:space="preserve"> that </w:t>
      </w:r>
      <w:r w:rsidRPr="00323796" w:rsidR="008011D3">
        <w:t>plaintiff’</w:t>
      </w:r>
      <w:r w:rsidRPr="00323796" w:rsidR="00CA57FA">
        <w:t xml:space="preserve">s </w:t>
      </w:r>
      <w:r w:rsidRPr="00323796" w:rsidR="00CD6083">
        <w:t>18th</w:t>
      </w:r>
      <w:r w:rsidRPr="00323796" w:rsidR="00FB618D">
        <w:t xml:space="preserve"> </w:t>
      </w:r>
      <w:r w:rsidRPr="00323796" w:rsidR="00CA57FA">
        <w:t xml:space="preserve">birthday must be included </w:t>
      </w:r>
      <w:r w:rsidRPr="00323796" w:rsidR="005114D8">
        <w:t xml:space="preserve">in calculating the limitations period, </w:t>
      </w:r>
      <w:r w:rsidRPr="00323796" w:rsidR="0045634D">
        <w:t>and</w:t>
      </w:r>
      <w:r w:rsidRPr="00323796" w:rsidR="00E61A15">
        <w:t>,</w:t>
      </w:r>
      <w:r w:rsidRPr="00323796" w:rsidR="0045634D">
        <w:t xml:space="preserve"> accordingly, </w:t>
      </w:r>
      <w:r w:rsidRPr="00323796" w:rsidR="008011D3">
        <w:t>plaintiff’</w:t>
      </w:r>
      <w:r w:rsidRPr="00323796" w:rsidR="0045634D">
        <w:t xml:space="preserve">s lawsuit had to be filed by December 2, 2013.  </w:t>
      </w:r>
      <w:r w:rsidRPr="00323796" w:rsidR="00ED69F1">
        <w:t>T</w:t>
      </w:r>
      <w:r w:rsidRPr="00323796" w:rsidR="00536BC5">
        <w:t xml:space="preserve">he court relied on </w:t>
      </w:r>
      <w:r w:rsidRPr="00323796" w:rsidR="00E53008">
        <w:t>the</w:t>
      </w:r>
      <w:r w:rsidRPr="00323796" w:rsidR="00723EA2">
        <w:t xml:space="preserve"> unreported </w:t>
      </w:r>
      <w:r w:rsidRPr="00323796" w:rsidR="000A2696">
        <w:t xml:space="preserve">decision in </w:t>
      </w:r>
      <w:r w:rsidRPr="00323796" w:rsidR="00536BC5">
        <w:rPr>
          <w:i/>
        </w:rPr>
        <w:t>Ganahl</w:t>
      </w:r>
      <w:r w:rsidRPr="00323796" w:rsidR="00CB5915">
        <w:rPr>
          <w:i/>
        </w:rPr>
        <w:t xml:space="preserve"> I</w:t>
      </w:r>
      <w:r w:rsidRPr="00323796" w:rsidR="00080782">
        <w:rPr>
          <w:iCs/>
        </w:rPr>
        <w:t xml:space="preserve">, </w:t>
      </w:r>
      <w:r w:rsidRPr="00323796" w:rsidR="00080782">
        <w:rPr>
          <w:i/>
        </w:rPr>
        <w:t>supra</w:t>
      </w:r>
      <w:r w:rsidRPr="00323796" w:rsidR="00080782">
        <w:rPr>
          <w:iCs/>
        </w:rPr>
        <w:t>,</w:t>
      </w:r>
      <w:r w:rsidRPr="00323796" w:rsidR="00536BC5">
        <w:rPr>
          <w:i/>
        </w:rPr>
        <w:t xml:space="preserve"> </w:t>
      </w:r>
      <w:r w:rsidRPr="00323796" w:rsidR="00536BC5">
        <w:t>2</w:t>
      </w:r>
      <w:r w:rsidRPr="00323796" w:rsidR="00B40A51">
        <w:t> </w:t>
      </w:r>
      <w:r w:rsidRPr="00323796" w:rsidR="00536BC5">
        <w:t>Cal.Unrep. 415</w:t>
      </w:r>
      <w:r w:rsidRPr="00323796" w:rsidR="00674D4A">
        <w:t>,</w:t>
      </w:r>
      <w:r>
        <w:rPr>
          <w:rStyle w:val="FootnoteReference"/>
        </w:rPr>
        <w:footnoteReference w:id="4"/>
      </w:r>
      <w:r w:rsidRPr="00323796" w:rsidR="00674D4A">
        <w:t xml:space="preserve"> </w:t>
      </w:r>
      <w:r w:rsidRPr="00323796" w:rsidR="00162325">
        <w:t>which</w:t>
      </w:r>
      <w:r w:rsidRPr="00323796" w:rsidR="00DC2112">
        <w:t>, in its analysis,</w:t>
      </w:r>
      <w:r w:rsidRPr="00323796" w:rsidR="00162325">
        <w:t xml:space="preserve"> </w:t>
      </w:r>
      <w:r w:rsidRPr="00323796" w:rsidR="001339E0">
        <w:t xml:space="preserve">included the </w:t>
      </w:r>
      <w:r w:rsidRPr="00323796" w:rsidR="006570F7">
        <w:t xml:space="preserve">date </w:t>
      </w:r>
      <w:r w:rsidRPr="00323796" w:rsidR="00CB0958">
        <w:t>o</w:t>
      </w:r>
      <w:r w:rsidRPr="00323796" w:rsidR="005B27FC">
        <w:t xml:space="preserve">n which the </w:t>
      </w:r>
      <w:r w:rsidRPr="00323796" w:rsidR="00E52268">
        <w:t>plaintiff</w:t>
      </w:r>
      <w:r w:rsidRPr="00323796" w:rsidR="005B27FC">
        <w:t xml:space="preserve"> reached the age of majority </w:t>
      </w:r>
      <w:r w:rsidRPr="00323796" w:rsidR="004F56A3">
        <w:t xml:space="preserve">in calculating </w:t>
      </w:r>
      <w:r w:rsidRPr="00323796" w:rsidR="0042311D">
        <w:t xml:space="preserve">when </w:t>
      </w:r>
      <w:r w:rsidRPr="00323796" w:rsidR="00674D4A">
        <w:t xml:space="preserve">the </w:t>
      </w:r>
      <w:r w:rsidRPr="00323796" w:rsidR="00362CBC">
        <w:t xml:space="preserve">applicable </w:t>
      </w:r>
      <w:r w:rsidRPr="00323796" w:rsidR="00674D4A">
        <w:t xml:space="preserve">statute of limitations </w:t>
      </w:r>
      <w:r w:rsidRPr="00323796" w:rsidR="00AF256C">
        <w:t xml:space="preserve">period </w:t>
      </w:r>
      <w:r w:rsidRPr="00323796" w:rsidR="00674D4A">
        <w:t>commenced</w:t>
      </w:r>
      <w:r w:rsidRPr="00323796" w:rsidR="00C30F5D">
        <w:t xml:space="preserve"> after tolling</w:t>
      </w:r>
      <w:r w:rsidRPr="00323796" w:rsidR="002B0A03">
        <w:t xml:space="preserve"> </w:t>
      </w:r>
      <w:r w:rsidRPr="00323796" w:rsidR="003B3D0E">
        <w:t xml:space="preserve">during minority </w:t>
      </w:r>
      <w:r w:rsidRPr="00323796" w:rsidR="002B0A03">
        <w:t>end</w:t>
      </w:r>
      <w:r w:rsidRPr="00323796" w:rsidR="00362CBC">
        <w:t>ed</w:t>
      </w:r>
      <w:r w:rsidRPr="00323796" w:rsidR="0042311D">
        <w:t>.</w:t>
      </w:r>
      <w:r w:rsidRPr="00323796" w:rsidR="00AC211E">
        <w:t xml:space="preserve">    </w:t>
      </w:r>
      <w:r w:rsidRPr="00323796" w:rsidR="0042311D">
        <w:t xml:space="preserve">  </w:t>
      </w:r>
      <w:r w:rsidRPr="00323796" w:rsidR="001339E0">
        <w:t xml:space="preserve"> </w:t>
      </w:r>
    </w:p>
    <w:p w:rsidR="007B37E0" w:rsidRPr="00323796" w:rsidP="00323796" w14:paraId="058396F7" w14:textId="37D6D74B">
      <w:pPr>
        <w:tabs>
          <w:tab w:val="left" w:pos="1440"/>
        </w:tabs>
        <w:ind w:firstLine="720"/>
      </w:pPr>
      <w:r w:rsidRPr="00323796">
        <w:t xml:space="preserve">Plaintiff </w:t>
      </w:r>
      <w:r w:rsidRPr="00323796">
        <w:t xml:space="preserve">appealed, and the </w:t>
      </w:r>
      <w:r w:rsidRPr="00323796" w:rsidR="00EC2A3C">
        <w:t xml:space="preserve">Court of Appeal reversed.  </w:t>
      </w:r>
      <w:r w:rsidRPr="00323796" w:rsidR="00476F06">
        <w:t>(</w:t>
      </w:r>
      <w:r w:rsidRPr="00323796" w:rsidR="00476F06">
        <w:rPr>
          <w:i/>
        </w:rPr>
        <w:t>Shalabi</w:t>
      </w:r>
      <w:r w:rsidRPr="00323796" w:rsidR="00591F7E">
        <w:rPr>
          <w:iCs/>
        </w:rPr>
        <w:t xml:space="preserve">, </w:t>
      </w:r>
      <w:r w:rsidRPr="00323796" w:rsidR="00591F7E">
        <w:rPr>
          <w:i/>
        </w:rPr>
        <w:t>supra</w:t>
      </w:r>
      <w:r w:rsidRPr="00323796" w:rsidR="00591F7E">
        <w:rPr>
          <w:iCs/>
        </w:rPr>
        <w:t>,</w:t>
      </w:r>
      <w:r w:rsidRPr="00323796" w:rsidR="00476F06">
        <w:rPr>
          <w:i/>
        </w:rPr>
        <w:t xml:space="preserve"> </w:t>
      </w:r>
      <w:r w:rsidRPr="00323796" w:rsidR="00476F06">
        <w:t xml:space="preserve">35 Cal.App.5th 639.)  </w:t>
      </w:r>
      <w:r w:rsidRPr="00323796" w:rsidR="002233B4">
        <w:t>It</w:t>
      </w:r>
      <w:r w:rsidRPr="00323796" w:rsidR="00CD6083">
        <w:t xml:space="preserve"> held that </w:t>
      </w:r>
      <w:r w:rsidRPr="00323796">
        <w:t>plaintiff</w:t>
      </w:r>
      <w:r w:rsidRPr="00323796" w:rsidR="00B75DCA">
        <w:t xml:space="preserve">’s </w:t>
      </w:r>
      <w:r w:rsidRPr="00323796" w:rsidR="00CD6083">
        <w:t>18th</w:t>
      </w:r>
      <w:r w:rsidRPr="00323796" w:rsidR="00B75DCA">
        <w:t xml:space="preserve"> birthday </w:t>
      </w:r>
      <w:r w:rsidRPr="00323796" w:rsidR="001A418B">
        <w:t>should have been</w:t>
      </w:r>
      <w:r w:rsidRPr="00323796" w:rsidR="00B75DCA">
        <w:t xml:space="preserve"> excluded</w:t>
      </w:r>
      <w:r w:rsidRPr="00323796" w:rsidR="00364E8D">
        <w:t xml:space="preserve"> </w:t>
      </w:r>
      <w:r w:rsidRPr="00323796" w:rsidR="0035337A">
        <w:t xml:space="preserve">pursuant to section 12 </w:t>
      </w:r>
      <w:r w:rsidRPr="00323796" w:rsidR="00B75DCA">
        <w:t xml:space="preserve">in calculating when the statute of limitations </w:t>
      </w:r>
      <w:r w:rsidRPr="00323796" w:rsidR="00B83092">
        <w:t xml:space="preserve">period </w:t>
      </w:r>
      <w:r w:rsidRPr="00323796" w:rsidR="00B75DCA">
        <w:t xml:space="preserve">started running </w:t>
      </w:r>
      <w:r w:rsidRPr="00323796" w:rsidR="0035337A">
        <w:t>after</w:t>
      </w:r>
      <w:r w:rsidRPr="00323796" w:rsidR="00B75DCA">
        <w:t xml:space="preserve"> tolling</w:t>
      </w:r>
      <w:r w:rsidRPr="00323796" w:rsidR="0035337A">
        <w:t xml:space="preserve"> </w:t>
      </w:r>
      <w:r w:rsidRPr="00323796" w:rsidR="00B83092">
        <w:t xml:space="preserve">during minority </w:t>
      </w:r>
      <w:r w:rsidRPr="00323796" w:rsidR="0035337A">
        <w:t>ended</w:t>
      </w:r>
      <w:r w:rsidRPr="00323796" w:rsidR="00B75DCA">
        <w:t>.  (</w:t>
      </w:r>
      <w:r w:rsidR="00CD3A78">
        <w:rPr>
          <w:i/>
        </w:rPr>
        <w:t>Shalabi</w:t>
      </w:r>
      <w:r w:rsidR="00CD3A78">
        <w:rPr>
          <w:iCs/>
        </w:rPr>
        <w:t>,</w:t>
      </w:r>
      <w:r w:rsidRPr="00323796" w:rsidR="00B75DCA">
        <w:t xml:space="preserve"> at p</w:t>
      </w:r>
      <w:r w:rsidRPr="00323796" w:rsidR="00436ECE">
        <w:t>p</w:t>
      </w:r>
      <w:r w:rsidRPr="00323796" w:rsidR="00B75DCA">
        <w:t>.</w:t>
      </w:r>
      <w:r w:rsidR="00323796">
        <w:t> </w:t>
      </w:r>
      <w:r w:rsidRPr="00323796" w:rsidR="00436ECE">
        <w:t>643–</w:t>
      </w:r>
      <w:r w:rsidRPr="00323796" w:rsidR="00B75DCA">
        <w:t xml:space="preserve">644.)  </w:t>
      </w:r>
      <w:r w:rsidRPr="00323796" w:rsidR="00034BCF">
        <w:t>It</w:t>
      </w:r>
      <w:r w:rsidRPr="00323796" w:rsidR="004C6CA5">
        <w:t xml:space="preserve"> also</w:t>
      </w:r>
      <w:r w:rsidRPr="00323796" w:rsidR="00DF1260">
        <w:t xml:space="preserve"> </w:t>
      </w:r>
      <w:r w:rsidRPr="00323796" w:rsidR="00034BCF">
        <w:t>determine</w:t>
      </w:r>
      <w:r w:rsidRPr="00323796" w:rsidR="008528D8">
        <w:t>d</w:t>
      </w:r>
      <w:r w:rsidRPr="00323796" w:rsidR="00FA7B14">
        <w:t xml:space="preserve"> </w:t>
      </w:r>
      <w:r w:rsidRPr="00323796" w:rsidR="00034BCF">
        <w:t xml:space="preserve">that </w:t>
      </w:r>
      <w:r w:rsidRPr="00323796" w:rsidR="003B7CB0">
        <w:t xml:space="preserve">the 1884 opinion in </w:t>
      </w:r>
      <w:r w:rsidRPr="00323796" w:rsidR="00FA7B14">
        <w:rPr>
          <w:i/>
        </w:rPr>
        <w:t>Ganahl</w:t>
      </w:r>
      <w:r w:rsidRPr="00323796" w:rsidR="00FA7B14">
        <w:rPr>
          <w:i/>
          <w:color w:val="000000" w:themeColor="text1"/>
        </w:rPr>
        <w:t xml:space="preserve"> </w:t>
      </w:r>
      <w:r w:rsidRPr="00323796" w:rsidR="00CB5915">
        <w:rPr>
          <w:i/>
          <w:color w:val="000000" w:themeColor="text1"/>
        </w:rPr>
        <w:t xml:space="preserve">I </w:t>
      </w:r>
      <w:r w:rsidRPr="00323796" w:rsidR="008528D8">
        <w:t>was not</w:t>
      </w:r>
      <w:r w:rsidRPr="00323796" w:rsidR="007C110C">
        <w:t xml:space="preserve"> </w:t>
      </w:r>
      <w:r w:rsidRPr="00323796" w:rsidR="00C67134">
        <w:t xml:space="preserve">controlling </w:t>
      </w:r>
      <w:r w:rsidRPr="00323796" w:rsidR="004E312B">
        <w:t xml:space="preserve">in light of </w:t>
      </w:r>
      <w:r w:rsidRPr="00323796" w:rsidR="001E1EA2">
        <w:t>that decision</w:t>
      </w:r>
      <w:r w:rsidRPr="00323796" w:rsidR="004E312B">
        <w:t>’s</w:t>
      </w:r>
      <w:r w:rsidRPr="00323796" w:rsidR="001E1EA2">
        <w:t xml:space="preserve"> </w:t>
      </w:r>
      <w:r w:rsidRPr="00323796" w:rsidR="006A5270">
        <w:t>fail</w:t>
      </w:r>
      <w:r w:rsidRPr="00323796" w:rsidR="004E312B">
        <w:t xml:space="preserve">ure </w:t>
      </w:r>
      <w:r w:rsidRPr="00323796" w:rsidR="006A5270">
        <w:t xml:space="preserve">to </w:t>
      </w:r>
      <w:r w:rsidRPr="00323796" w:rsidR="0064051E">
        <w:t>address</w:t>
      </w:r>
      <w:r w:rsidRPr="00323796" w:rsidR="001E1EA2">
        <w:t xml:space="preserve"> section 12.  </w:t>
      </w:r>
      <w:r w:rsidRPr="00323796" w:rsidR="00212C33">
        <w:t>(</w:t>
      </w:r>
      <w:r w:rsidR="003C43D7">
        <w:rPr>
          <w:i/>
        </w:rPr>
        <w:t>Shalabi</w:t>
      </w:r>
      <w:r w:rsidR="003C43D7">
        <w:rPr>
          <w:iCs/>
        </w:rPr>
        <w:t>,</w:t>
      </w:r>
      <w:r w:rsidRPr="00323796" w:rsidR="00436ECE">
        <w:rPr>
          <w:iCs/>
        </w:rPr>
        <w:t xml:space="preserve"> at p.</w:t>
      </w:r>
      <w:r w:rsidRPr="00323796" w:rsidR="00634DDD">
        <w:rPr>
          <w:iCs/>
        </w:rPr>
        <w:t xml:space="preserve"> </w:t>
      </w:r>
      <w:r w:rsidRPr="00323796" w:rsidR="00210864">
        <w:rPr>
          <w:iCs/>
        </w:rPr>
        <w:t>644</w:t>
      </w:r>
      <w:r w:rsidRPr="00323796" w:rsidR="00634DDD">
        <w:rPr>
          <w:iCs/>
        </w:rPr>
        <w:t>.</w:t>
      </w:r>
      <w:r w:rsidRPr="00323796" w:rsidR="00212C33">
        <w:t xml:space="preserve">)  </w:t>
      </w:r>
      <w:r w:rsidRPr="00323796" w:rsidR="004B7C11">
        <w:t xml:space="preserve">“Because </w:t>
      </w:r>
      <w:r w:rsidRPr="00323796" w:rsidR="00CB5915">
        <w:t>[</w:t>
      </w:r>
      <w:r w:rsidRPr="00323796" w:rsidR="004B7C11">
        <w:rPr>
          <w:i/>
        </w:rPr>
        <w:t xml:space="preserve">Ganahl </w:t>
      </w:r>
      <w:r w:rsidRPr="00323796" w:rsidR="00CB5915">
        <w:rPr>
          <w:i/>
        </w:rPr>
        <w:t>I</w:t>
      </w:r>
      <w:r w:rsidRPr="00323796" w:rsidR="00CB5915">
        <w:rPr>
          <w:iCs/>
        </w:rPr>
        <w:t xml:space="preserve">] </w:t>
      </w:r>
      <w:r w:rsidRPr="00323796" w:rsidR="004B7C11">
        <w:rPr>
          <w:iCs/>
        </w:rPr>
        <w:t>did</w:t>
      </w:r>
      <w:r w:rsidRPr="00323796" w:rsidR="004B7C11">
        <w:t xml:space="preserve"> not cite section 12 or explain how the court could create an exception to a law created by the Legislature,” the </w:t>
      </w:r>
      <w:r w:rsidRPr="00323796" w:rsidR="00034BCF">
        <w:t>Court of Appeal</w:t>
      </w:r>
      <w:r w:rsidRPr="00323796" w:rsidR="004B7C11">
        <w:t xml:space="preserve"> reasoned, “we conclude </w:t>
      </w:r>
      <w:r w:rsidRPr="00323796" w:rsidR="00CB5915">
        <w:t>[</w:t>
      </w:r>
      <w:r w:rsidRPr="00323796" w:rsidR="004B7C11">
        <w:rPr>
          <w:i/>
        </w:rPr>
        <w:t>Ganahl</w:t>
      </w:r>
      <w:r w:rsidRPr="00323796" w:rsidR="004B7C11">
        <w:t xml:space="preserve"> </w:t>
      </w:r>
      <w:r w:rsidRPr="00323796" w:rsidR="002D3774">
        <w:rPr>
          <w:i/>
          <w:iCs/>
        </w:rPr>
        <w:t>I</w:t>
      </w:r>
      <w:r w:rsidRPr="00323796" w:rsidR="002D3774">
        <w:t>]</w:t>
      </w:r>
      <w:r w:rsidRPr="00323796" w:rsidR="002D3774">
        <w:rPr>
          <w:i/>
          <w:iCs/>
        </w:rPr>
        <w:t xml:space="preserve"> </w:t>
      </w:r>
      <w:r w:rsidRPr="00323796" w:rsidR="004B7C11">
        <w:t xml:space="preserve">is </w:t>
      </w:r>
      <w:r w:rsidRPr="00323796" w:rsidR="00A91AE4">
        <w:t>not binding authority on the issue of how to calculate time under section 12.</w:t>
      </w:r>
      <w:r w:rsidRPr="00323796" w:rsidR="005C77F2">
        <w:t>”</w:t>
      </w:r>
      <w:r w:rsidRPr="00323796" w:rsidR="00A91AE4">
        <w:t xml:space="preserve"> </w:t>
      </w:r>
      <w:r w:rsidRPr="00323796" w:rsidR="003D7500">
        <w:t xml:space="preserve"> (</w:t>
      </w:r>
      <w:r w:rsidRPr="00323796" w:rsidR="003D7500">
        <w:rPr>
          <w:i/>
        </w:rPr>
        <w:t>Ibid.</w:t>
      </w:r>
      <w:r w:rsidRPr="00323796" w:rsidR="003D7500">
        <w:t xml:space="preserve">) </w:t>
      </w:r>
      <w:r w:rsidRPr="00323796" w:rsidR="004B7C11">
        <w:t xml:space="preserve"> </w:t>
      </w:r>
      <w:r w:rsidRPr="00323796" w:rsidR="00C325D1">
        <w:t xml:space="preserve">Counting two years from December 4, 2011, the day after </w:t>
      </w:r>
      <w:r w:rsidRPr="00323796">
        <w:t>plaintiff</w:t>
      </w:r>
      <w:r w:rsidRPr="00323796" w:rsidR="00C325D1">
        <w:t xml:space="preserve">’s birthday, the </w:t>
      </w:r>
      <w:r w:rsidRPr="00323796" w:rsidR="004737CC">
        <w:t xml:space="preserve">appellate </w:t>
      </w:r>
      <w:r w:rsidRPr="00323796" w:rsidR="00973190">
        <w:t>court</w:t>
      </w:r>
      <w:r w:rsidRPr="00323796" w:rsidR="008A6500">
        <w:t xml:space="preserve"> </w:t>
      </w:r>
      <w:r w:rsidRPr="00323796" w:rsidR="00F70A66">
        <w:t>held that</w:t>
      </w:r>
      <w:r w:rsidRPr="00323796" w:rsidR="00501587">
        <w:t xml:space="preserve"> </w:t>
      </w:r>
      <w:r w:rsidRPr="00323796">
        <w:t>plaintiff</w:t>
      </w:r>
      <w:r w:rsidRPr="00323796" w:rsidR="00D10CEA">
        <w:t>’s complaint was timely</w:t>
      </w:r>
      <w:r w:rsidRPr="00323796" w:rsidR="00973190">
        <w:t xml:space="preserve"> filed</w:t>
      </w:r>
      <w:r w:rsidRPr="00323796" w:rsidR="00334707">
        <w:t>.  (</w:t>
      </w:r>
      <w:r w:rsidRPr="00323796" w:rsidR="00334707">
        <w:rPr>
          <w:i/>
        </w:rPr>
        <w:t xml:space="preserve">Id. </w:t>
      </w:r>
      <w:r w:rsidRPr="00323796" w:rsidR="00334707">
        <w:t xml:space="preserve">at p. 643.)  </w:t>
      </w:r>
      <w:r w:rsidRPr="00323796" w:rsidR="00045E6E">
        <w:t>It observed that</w:t>
      </w:r>
      <w:r w:rsidRPr="00323796" w:rsidR="00142A75">
        <w:t xml:space="preserve"> </w:t>
      </w:r>
      <w:r w:rsidRPr="00323796" w:rsidR="00910852">
        <w:t>“[i]f the Legislature prefers to include a plaintiff’s birthday when calculating time in cases in which the statute of limitations has been tolled awaiting the plaintiff’s 18th birthday, then the Legislature</w:t>
      </w:r>
      <w:r w:rsidR="00704D34">
        <w:t> </w:t>
      </w:r>
      <w:r w:rsidRPr="00323796" w:rsidR="00910852">
        <w:t>— not this court</w:t>
      </w:r>
      <w:r w:rsidR="00704D34">
        <w:t> </w:t>
      </w:r>
      <w:r w:rsidRPr="00323796" w:rsidR="00910852">
        <w:t>— must create that exception.</w:t>
      </w:r>
      <w:r w:rsidRPr="00323796" w:rsidR="00FD58F3">
        <w:t>”</w:t>
      </w:r>
      <w:r w:rsidRPr="00323796" w:rsidR="00910852">
        <w:t xml:space="preserve">  (</w:t>
      </w:r>
      <w:r w:rsidRPr="00323796" w:rsidR="00334707">
        <w:rPr>
          <w:i/>
        </w:rPr>
        <w:t>Id</w:t>
      </w:r>
      <w:r w:rsidRPr="00323796" w:rsidR="00910852">
        <w:rPr>
          <w:i/>
        </w:rPr>
        <w:t>.</w:t>
      </w:r>
      <w:r w:rsidRPr="00323796" w:rsidR="00334707">
        <w:t xml:space="preserve"> at p. 644</w:t>
      </w:r>
      <w:r w:rsidRPr="00323796" w:rsidR="009B06C5">
        <w:t>.</w:t>
      </w:r>
      <w:r w:rsidRPr="00323796" w:rsidR="00910852">
        <w:t xml:space="preserve">)  </w:t>
      </w:r>
      <w:r w:rsidRPr="00323796" w:rsidR="00212C33">
        <w:rPr>
          <w:color w:val="FF0000"/>
        </w:rPr>
        <w:t xml:space="preserve"> </w:t>
      </w:r>
    </w:p>
    <w:p w:rsidR="00D37D61" w:rsidRPr="00323796" w:rsidP="00323796" w14:paraId="478A3406" w14:textId="2DF2109A">
      <w:pPr>
        <w:tabs>
          <w:tab w:val="left" w:pos="1440"/>
        </w:tabs>
        <w:ind w:firstLine="720"/>
      </w:pPr>
      <w:r w:rsidRPr="00323796">
        <w:t>We granted review.</w:t>
      </w:r>
    </w:p>
    <w:p w:rsidR="00D37D61" w:rsidRPr="00323796" w:rsidP="00323796" w14:paraId="3A73AC7A" w14:textId="61F9492F">
      <w:pPr>
        <w:pStyle w:val="Heading1"/>
      </w:pPr>
      <w:r w:rsidRPr="00323796">
        <w:t>II.  Discussion</w:t>
      </w:r>
    </w:p>
    <w:p w:rsidR="00D37D61" w:rsidRPr="00323796" w:rsidP="00323796" w14:paraId="0CABBACC" w14:textId="3B667A73">
      <w:pPr>
        <w:tabs>
          <w:tab w:val="left" w:pos="1440"/>
        </w:tabs>
        <w:ind w:firstLine="720"/>
      </w:pPr>
      <w:r w:rsidRPr="00323796">
        <w:t xml:space="preserve">A </w:t>
      </w:r>
      <w:r w:rsidRPr="00323796" w:rsidR="007120DD">
        <w:t>section 1983</w:t>
      </w:r>
      <w:r w:rsidRPr="00323796">
        <w:t xml:space="preserve"> cause of action</w:t>
      </w:r>
      <w:r w:rsidRPr="00323796" w:rsidR="004B0385">
        <w:t xml:space="preserve"> is subject to the forum state’s statute of limitations for personal injury torts.  (</w:t>
      </w:r>
      <w:r w:rsidRPr="00323796" w:rsidR="004B0385">
        <w:rPr>
          <w:i/>
        </w:rPr>
        <w:t>Wallace v. Kato</w:t>
      </w:r>
      <w:r w:rsidRPr="00323796" w:rsidR="004B0385">
        <w:t xml:space="preserve"> (2007) 549 U.S. 384, 387</w:t>
      </w:r>
      <w:r w:rsidRPr="00323796" w:rsidR="00A4760B">
        <w:t xml:space="preserve"> (</w:t>
      </w:r>
      <w:r w:rsidRPr="00323796" w:rsidR="00A4760B">
        <w:rPr>
          <w:i/>
          <w:iCs/>
        </w:rPr>
        <w:t>Wallace</w:t>
      </w:r>
      <w:r w:rsidRPr="00323796" w:rsidR="00A4760B">
        <w:t>)</w:t>
      </w:r>
      <w:r w:rsidRPr="00323796" w:rsidR="004B0385">
        <w:t xml:space="preserve">.)  </w:t>
      </w:r>
      <w:r w:rsidRPr="00323796" w:rsidR="00F35E88">
        <w:t>California</w:t>
      </w:r>
      <w:r w:rsidRPr="00323796" w:rsidR="00394A3E">
        <w:t>’s</w:t>
      </w:r>
      <w:r w:rsidRPr="00323796" w:rsidR="00794519">
        <w:t xml:space="preserve"> </w:t>
      </w:r>
      <w:r w:rsidRPr="00323796" w:rsidR="00F35E88">
        <w:t xml:space="preserve">statute of limitations </w:t>
      </w:r>
      <w:r w:rsidRPr="00323796" w:rsidR="00A83314">
        <w:t xml:space="preserve">governing </w:t>
      </w:r>
      <w:r w:rsidRPr="00323796" w:rsidR="00F35E88">
        <w:t>a personal injury claim</w:t>
      </w:r>
      <w:r w:rsidRPr="00323796" w:rsidR="00794519">
        <w:t xml:space="preserve"> is two years</w:t>
      </w:r>
      <w:r w:rsidRPr="00323796" w:rsidR="00F35E88">
        <w:t>.  (§ 335.1</w:t>
      </w:r>
      <w:r w:rsidRPr="00323796" w:rsidR="004E7B7B">
        <w:t xml:space="preserve"> [“Within two years: </w:t>
      </w:r>
      <w:r w:rsidR="00912785">
        <w:t xml:space="preserve"> </w:t>
      </w:r>
      <w:r w:rsidRPr="00323796" w:rsidR="004E7B7B">
        <w:t xml:space="preserve">An action </w:t>
      </w:r>
      <w:r w:rsidRPr="00323796" w:rsidR="00C860A8">
        <w:t>. . . </w:t>
      </w:r>
      <w:r w:rsidRPr="00323796" w:rsidR="004F7642">
        <w:t>for the death of</w:t>
      </w:r>
      <w:r w:rsidRPr="00323796" w:rsidR="00C860A8">
        <w:t xml:space="preserve"> . . . </w:t>
      </w:r>
      <w:r w:rsidRPr="00323796" w:rsidR="004F7642">
        <w:t>an individual caused by the wrongful act or neglect of another”]</w:t>
      </w:r>
      <w:r w:rsidRPr="00323796" w:rsidR="00031B57">
        <w:t>.</w:t>
      </w:r>
      <w:r w:rsidRPr="00323796" w:rsidR="00F35E88">
        <w:t>)</w:t>
      </w:r>
      <w:r w:rsidRPr="00323796" w:rsidR="00A52141">
        <w:t xml:space="preserve">  </w:t>
      </w:r>
      <w:r w:rsidRPr="00323796" w:rsidR="00F421EA">
        <w:t>F</w:t>
      </w:r>
      <w:r w:rsidRPr="00323796" w:rsidR="007774CE">
        <w:t xml:space="preserve">ederal law governs when </w:t>
      </w:r>
      <w:r w:rsidRPr="00323796" w:rsidR="00756E5F">
        <w:t xml:space="preserve">a </w:t>
      </w:r>
      <w:r w:rsidRPr="00323796" w:rsidR="007774CE">
        <w:t>cause of action ac</w:t>
      </w:r>
      <w:r w:rsidRPr="00323796" w:rsidR="00420B77">
        <w:t xml:space="preserve">crues and </w:t>
      </w:r>
      <w:r w:rsidR="00912785">
        <w:t xml:space="preserve">when </w:t>
      </w:r>
      <w:r w:rsidRPr="00323796" w:rsidR="00420B77">
        <w:t xml:space="preserve">the statute of limitations begins to run </w:t>
      </w:r>
      <w:r w:rsidR="00CA785B">
        <w:t>o</w:t>
      </w:r>
      <w:r w:rsidRPr="00323796" w:rsidR="00B03BDA">
        <w:t xml:space="preserve">n a </w:t>
      </w:r>
      <w:r w:rsidRPr="00323796" w:rsidR="00F421EA">
        <w:t>federal civil rights</w:t>
      </w:r>
      <w:r w:rsidRPr="00323796" w:rsidR="00B03BDA">
        <w:t xml:space="preserve"> cause of action.  (</w:t>
      </w:r>
      <w:r w:rsidRPr="00323796" w:rsidR="00BF5031">
        <w:rPr>
          <w:i/>
          <w:iCs/>
        </w:rPr>
        <w:t xml:space="preserve">Cabrera v. City of Huntington Park </w:t>
      </w:r>
      <w:r w:rsidRPr="00323796" w:rsidR="00BF5031">
        <w:t>(</w:t>
      </w:r>
      <w:r w:rsidRPr="00323796" w:rsidR="00260394">
        <w:t xml:space="preserve">9th Cir. </w:t>
      </w:r>
      <w:r w:rsidRPr="00323796" w:rsidR="00BF5031">
        <w:t xml:space="preserve">1998) 159 F.3d 374, </w:t>
      </w:r>
      <w:r w:rsidRPr="00323796" w:rsidR="00D52815">
        <w:t>379</w:t>
      </w:r>
      <w:r w:rsidRPr="00323796" w:rsidR="00102729">
        <w:t xml:space="preserve"> (</w:t>
      </w:r>
      <w:r w:rsidRPr="00323796" w:rsidR="00102729">
        <w:rPr>
          <w:i/>
          <w:iCs/>
        </w:rPr>
        <w:t>Cabrera</w:t>
      </w:r>
      <w:r w:rsidRPr="00323796" w:rsidR="00102729">
        <w:t>)</w:t>
      </w:r>
      <w:r w:rsidRPr="00323796" w:rsidR="00D52815">
        <w:t xml:space="preserve">.)  </w:t>
      </w:r>
      <w:r w:rsidRPr="00323796" w:rsidR="008011D3">
        <w:t>Plaintiff</w:t>
      </w:r>
      <w:r w:rsidRPr="00323796" w:rsidR="00405BEE">
        <w:t>’s</w:t>
      </w:r>
      <w:r w:rsidRPr="00323796" w:rsidR="0029532F">
        <w:t xml:space="preserve"> </w:t>
      </w:r>
      <w:r w:rsidRPr="00323796" w:rsidR="00BF6AA2">
        <w:t xml:space="preserve">federal civil rights </w:t>
      </w:r>
      <w:r w:rsidRPr="00323796" w:rsidR="0029532F">
        <w:t xml:space="preserve">cause of action based on </w:t>
      </w:r>
      <w:r w:rsidRPr="00323796" w:rsidR="00405BEE">
        <w:t>his father’s</w:t>
      </w:r>
      <w:r w:rsidRPr="00323796" w:rsidR="0029532F">
        <w:t xml:space="preserve"> death accrue</w:t>
      </w:r>
      <w:r w:rsidRPr="00323796" w:rsidR="00405BEE">
        <w:t>d</w:t>
      </w:r>
      <w:r w:rsidRPr="00323796" w:rsidR="0029532F">
        <w:t xml:space="preserve"> at the time of death.  (</w:t>
      </w:r>
      <w:r w:rsidRPr="00323796" w:rsidR="0029532F">
        <w:rPr>
          <w:i/>
        </w:rPr>
        <w:t>Estate of B.I.C. v. Gillen</w:t>
      </w:r>
      <w:r w:rsidRPr="00323796" w:rsidR="0029532F">
        <w:t xml:space="preserve"> (10th Cir. 2013) 710 F.3d 1168, 1176.)</w:t>
      </w:r>
    </w:p>
    <w:p w:rsidR="00BB0DE1" w:rsidRPr="00323796" w:rsidP="00323796" w14:paraId="480E7C75" w14:textId="31488497">
      <w:pPr>
        <w:tabs>
          <w:tab w:val="left" w:pos="1440"/>
        </w:tabs>
        <w:ind w:firstLine="720"/>
      </w:pPr>
      <w:r w:rsidRPr="00323796">
        <w:t>A tolling provision suspends the running of a limitations period</w:t>
      </w:r>
      <w:r w:rsidRPr="00323796" w:rsidR="00C929DE">
        <w:t xml:space="preserve">.  We have analogized </w:t>
      </w:r>
      <w:r w:rsidRPr="00323796" w:rsidR="002541E8">
        <w:t xml:space="preserve">tolling </w:t>
      </w:r>
      <w:r w:rsidRPr="00323796" w:rsidR="008A5328">
        <w:t xml:space="preserve">to </w:t>
      </w:r>
      <w:r w:rsidRPr="00323796">
        <w:t>“the stopping and restarting of a clock.”  (</w:t>
      </w:r>
      <w:r w:rsidRPr="00323796">
        <w:rPr>
          <w:i/>
          <w:iCs/>
        </w:rPr>
        <w:t>People v. Leiva</w:t>
      </w:r>
      <w:r w:rsidRPr="00323796">
        <w:t xml:space="preserve"> (2013) 56 Cal.4th 498, 507</w:t>
      </w:r>
      <w:r w:rsidRPr="00323796">
        <w:rPr>
          <w:color w:val="000000" w:themeColor="text1"/>
        </w:rPr>
        <w:t xml:space="preserve">.)  </w:t>
      </w:r>
      <w:r w:rsidRPr="00323796" w:rsidR="00144E01">
        <w:rPr>
          <w:color w:val="000000" w:themeColor="text1"/>
        </w:rPr>
        <w:t>S</w:t>
      </w:r>
      <w:r w:rsidRPr="00323796" w:rsidR="00144E01">
        <w:t xml:space="preserve">tate law controls the tolling of the statute of limitations for </w:t>
      </w:r>
      <w:r w:rsidRPr="00323796" w:rsidR="00211285">
        <w:t xml:space="preserve">a federal civil rights </w:t>
      </w:r>
      <w:r w:rsidRPr="00323796" w:rsidR="009338B9">
        <w:t>claim</w:t>
      </w:r>
      <w:r w:rsidRPr="00323796" w:rsidR="00211285">
        <w:t>.  (</w:t>
      </w:r>
      <w:r w:rsidRPr="00323796" w:rsidR="00211285">
        <w:rPr>
          <w:i/>
        </w:rPr>
        <w:t>Wallace</w:t>
      </w:r>
      <w:r w:rsidRPr="00323796" w:rsidR="00211285">
        <w:t xml:space="preserve">, </w:t>
      </w:r>
      <w:r w:rsidRPr="00323796" w:rsidR="00211285">
        <w:rPr>
          <w:i/>
        </w:rPr>
        <w:t>supra</w:t>
      </w:r>
      <w:r w:rsidRPr="00323796" w:rsidR="00211285">
        <w:t>, 549 U.S. at p.</w:t>
      </w:r>
      <w:r w:rsidR="00323796">
        <w:t> </w:t>
      </w:r>
      <w:r w:rsidRPr="00323796" w:rsidR="00211285">
        <w:t xml:space="preserve">394.)  </w:t>
      </w:r>
      <w:r w:rsidRPr="00323796" w:rsidR="00DB3384">
        <w:t xml:space="preserve">In California, when a minor is injured, the statute of limitations is tolled </w:t>
      </w:r>
      <w:r w:rsidRPr="00323796" w:rsidR="00307889">
        <w:t>during</w:t>
      </w:r>
      <w:r w:rsidRPr="00323796" w:rsidR="00AA3606">
        <w:t xml:space="preserve"> minority and </w:t>
      </w:r>
      <w:r w:rsidRPr="00323796" w:rsidR="00DB3384">
        <w:t xml:space="preserve">until the minor </w:t>
      </w:r>
      <w:r w:rsidRPr="00323796" w:rsidR="001243D4">
        <w:t>turns</w:t>
      </w:r>
      <w:r w:rsidRPr="00323796" w:rsidR="00DB3384">
        <w:t xml:space="preserve"> 18.  (§ 352, subd. (a)</w:t>
      </w:r>
      <w:r w:rsidRPr="00323796" w:rsidR="00A54DE9">
        <w:t xml:space="preserve"> [“If a person entitled to bring a</w:t>
      </w:r>
      <w:r w:rsidRPr="00323796" w:rsidR="00461F13">
        <w:t>n</w:t>
      </w:r>
      <w:r w:rsidRPr="00323796" w:rsidR="008A0640">
        <w:t xml:space="preserve"> a</w:t>
      </w:r>
      <w:r w:rsidRPr="00323796" w:rsidR="00A54DE9">
        <w:t>ction</w:t>
      </w:r>
      <w:r w:rsidRPr="00323796" w:rsidR="00C860A8">
        <w:t xml:space="preserve"> . . . </w:t>
      </w:r>
      <w:r w:rsidRPr="00323796" w:rsidR="008A0640">
        <w:t>is</w:t>
      </w:r>
      <w:r w:rsidRPr="00323796" w:rsidR="00295B59">
        <w:t xml:space="preserve">, at the time the cause of action accrued </w:t>
      </w:r>
      <w:r w:rsidRPr="00323796" w:rsidR="00C860A8">
        <w:t>. . . </w:t>
      </w:r>
      <w:r w:rsidRPr="00323796" w:rsidR="00295B59">
        <w:t xml:space="preserve">under the age </w:t>
      </w:r>
      <w:r w:rsidRPr="00323796" w:rsidR="008F5EFD">
        <w:t>of majorit</w:t>
      </w:r>
      <w:r w:rsidRPr="00323796" w:rsidR="0059577A">
        <w:t xml:space="preserve">y </w:t>
      </w:r>
      <w:r w:rsidRPr="00323796" w:rsidR="00C860A8">
        <w:t>. . .</w:t>
      </w:r>
      <w:r w:rsidRPr="00323796" w:rsidR="009B44BB">
        <w:t> </w:t>
      </w:r>
      <w:r w:rsidRPr="00323796" w:rsidR="008F5EFD">
        <w:t>, the time of the disability is not part of the time limited for the commencement of the action”]</w:t>
      </w:r>
      <w:r w:rsidRPr="00323796" w:rsidR="00E534EA">
        <w:t>; Fam. Code, § 6500 [</w:t>
      </w:r>
      <w:r w:rsidRPr="00323796" w:rsidR="00395F93">
        <w:t>“A minor is</w:t>
      </w:r>
      <w:r w:rsidRPr="00323796" w:rsidR="00D31958">
        <w:t xml:space="preserve"> an individual </w:t>
      </w:r>
      <w:r w:rsidRPr="00323796" w:rsidR="00395F93">
        <w:t xml:space="preserve">who is </w:t>
      </w:r>
      <w:r w:rsidRPr="00323796" w:rsidR="00D31958">
        <w:t>under 18 years of age</w:t>
      </w:r>
      <w:r w:rsidRPr="00323796" w:rsidR="009A7EF2">
        <w:t xml:space="preserve">.  The period of minority is calculated from the first minute of the day on which the individual </w:t>
      </w:r>
      <w:r w:rsidRPr="00323796" w:rsidR="008F4069">
        <w:t>i</w:t>
      </w:r>
      <w:r w:rsidRPr="00323796" w:rsidR="009A7EF2">
        <w:t>s born to the same minute of the corresponding day completing the period of minority”</w:t>
      </w:r>
      <w:r w:rsidRPr="00323796" w:rsidR="00D31958">
        <w:t>]</w:t>
      </w:r>
      <w:r w:rsidRPr="00323796" w:rsidR="00C83A8B">
        <w:t xml:space="preserve">; </w:t>
      </w:r>
      <w:r w:rsidRPr="00323796" w:rsidR="00C83A8B">
        <w:rPr>
          <w:i/>
          <w:iCs/>
        </w:rPr>
        <w:t>In re Harris</w:t>
      </w:r>
      <w:r w:rsidRPr="00323796" w:rsidR="00CE0FEB">
        <w:t xml:space="preserve">, </w:t>
      </w:r>
      <w:r w:rsidRPr="00323796" w:rsidR="00CE0FEB">
        <w:rPr>
          <w:i/>
          <w:iCs/>
        </w:rPr>
        <w:t>supra</w:t>
      </w:r>
      <w:r w:rsidRPr="00323796" w:rsidR="00CE0FEB">
        <w:t>,</w:t>
      </w:r>
      <w:r w:rsidRPr="00323796" w:rsidR="00C83A8B">
        <w:t xml:space="preserve"> 5</w:t>
      </w:r>
      <w:r w:rsidRPr="00323796" w:rsidR="00B40A51">
        <w:t> </w:t>
      </w:r>
      <w:r w:rsidRPr="00323796" w:rsidR="00C83A8B">
        <w:t xml:space="preserve">Cal.4th </w:t>
      </w:r>
      <w:r w:rsidRPr="00323796" w:rsidR="00CE0FEB">
        <w:t>at p.</w:t>
      </w:r>
      <w:r w:rsidRPr="00323796" w:rsidR="00C83A8B">
        <w:t xml:space="preserve"> </w:t>
      </w:r>
      <w:r w:rsidRPr="00323796" w:rsidR="00F036A2">
        <w:t>845 [“</w:t>
      </w:r>
      <w:r w:rsidR="00912785">
        <w:t>t</w:t>
      </w:r>
      <w:r w:rsidRPr="00323796" w:rsidR="00F036A2">
        <w:t>he period of minority terminates on the first minute of one’s 18th birthday”]</w:t>
      </w:r>
      <w:r w:rsidRPr="00323796" w:rsidR="00DB3384">
        <w:t xml:space="preserve">.)  </w:t>
      </w:r>
    </w:p>
    <w:p w:rsidR="00144E01" w:rsidRPr="00323796" w:rsidP="00323796" w14:paraId="4F66F589" w14:textId="0D358C23">
      <w:pPr>
        <w:tabs>
          <w:tab w:val="left" w:pos="1440"/>
        </w:tabs>
        <w:ind w:firstLine="720"/>
      </w:pPr>
      <w:r w:rsidRPr="00323796">
        <w:t xml:space="preserve">Thus, the two-year statute of </w:t>
      </w:r>
      <w:r w:rsidRPr="00323796" w:rsidR="008C1A44">
        <w:t xml:space="preserve">limitations </w:t>
      </w:r>
      <w:r w:rsidRPr="00323796" w:rsidR="00AA3606">
        <w:t xml:space="preserve">governing </w:t>
      </w:r>
      <w:r w:rsidRPr="00323796" w:rsidR="007D1B4E">
        <w:t>plaintiff</w:t>
      </w:r>
      <w:r w:rsidRPr="00323796" w:rsidR="008C1A44">
        <w:t xml:space="preserve">’s </w:t>
      </w:r>
      <w:r w:rsidRPr="00323796" w:rsidR="007C626D">
        <w:t xml:space="preserve">federal civil rights </w:t>
      </w:r>
      <w:r w:rsidRPr="00323796" w:rsidR="008C1A44">
        <w:t xml:space="preserve">cause of action, triggered by </w:t>
      </w:r>
      <w:r w:rsidRPr="00323796" w:rsidR="007C626D">
        <w:t xml:space="preserve">the death of </w:t>
      </w:r>
      <w:r w:rsidRPr="00323796" w:rsidR="00AA3606">
        <w:t>his</w:t>
      </w:r>
      <w:r w:rsidRPr="00323796" w:rsidR="007C626D">
        <w:t xml:space="preserve"> father,</w:t>
      </w:r>
      <w:r w:rsidRPr="00323796" w:rsidR="008C1A44">
        <w:t xml:space="preserve"> </w:t>
      </w:r>
      <w:r w:rsidRPr="00323796">
        <w:t xml:space="preserve">was tolled while </w:t>
      </w:r>
      <w:r w:rsidRPr="00323796" w:rsidR="007D1B4E">
        <w:t xml:space="preserve">plaintiff </w:t>
      </w:r>
      <w:r w:rsidRPr="00323796">
        <w:t xml:space="preserve">was a minor.  </w:t>
      </w:r>
      <w:r w:rsidRPr="00323796" w:rsidR="00BB0DE1">
        <w:t xml:space="preserve">We now turn to the question of whether </w:t>
      </w:r>
      <w:r w:rsidRPr="00323796" w:rsidR="007D1B4E">
        <w:t>plaintiff</w:t>
      </w:r>
      <w:r w:rsidRPr="00323796" w:rsidR="00BB0DE1">
        <w:t>’s 18th birthday</w:t>
      </w:r>
      <w:r w:rsidR="00704D34">
        <w:t> </w:t>
      </w:r>
      <w:r w:rsidRPr="00323796" w:rsidR="00BB0DE1">
        <w:t xml:space="preserve">— the day after </w:t>
      </w:r>
      <w:r w:rsidRPr="00323796" w:rsidR="0060434D">
        <w:t xml:space="preserve">the </w:t>
      </w:r>
      <w:r w:rsidRPr="00323796" w:rsidR="00BB0DE1">
        <w:t xml:space="preserve">tolling </w:t>
      </w:r>
      <w:r w:rsidRPr="00323796" w:rsidR="0060434D">
        <w:t xml:space="preserve">period </w:t>
      </w:r>
      <w:r w:rsidRPr="00323796" w:rsidR="00BB0DE1">
        <w:t>end</w:t>
      </w:r>
      <w:r w:rsidRPr="00323796" w:rsidR="00D6672E">
        <w:t>ed</w:t>
      </w:r>
      <w:r w:rsidR="00704D34">
        <w:t> </w:t>
      </w:r>
      <w:r w:rsidRPr="00323796" w:rsidR="00BB0DE1">
        <w:t xml:space="preserve">— should be included or excluded in calculating </w:t>
      </w:r>
      <w:r w:rsidRPr="00323796" w:rsidR="007D1B4E">
        <w:t>plaintiff</w:t>
      </w:r>
      <w:r w:rsidRPr="00323796" w:rsidR="00BB0DE1">
        <w:t xml:space="preserve">’s final </w:t>
      </w:r>
      <w:r w:rsidRPr="00323796" w:rsidR="0069264E">
        <w:t xml:space="preserve">date </w:t>
      </w:r>
      <w:r w:rsidRPr="00323796" w:rsidR="00C8616F">
        <w:t xml:space="preserve">by which </w:t>
      </w:r>
      <w:r w:rsidRPr="00323796" w:rsidR="0069264E">
        <w:t>to file suit.</w:t>
      </w:r>
    </w:p>
    <w:p w:rsidR="00A718BC" w:rsidRPr="00323796" w:rsidP="00323796" w14:paraId="3B5D61DA" w14:textId="4CB8D0A0">
      <w:pPr>
        <w:tabs>
          <w:tab w:val="left" w:pos="1440"/>
        </w:tabs>
        <w:ind w:firstLine="720"/>
      </w:pPr>
      <w:r w:rsidRPr="00323796">
        <w:t>Section 12 sets forth “the ordinary rule of computation of time.”  (</w:t>
      </w:r>
      <w:r w:rsidRPr="00323796">
        <w:rPr>
          <w:i/>
        </w:rPr>
        <w:t>Ley v. Dominguez</w:t>
      </w:r>
      <w:r w:rsidRPr="00323796">
        <w:t xml:space="preserve"> (1931) 212 Cal.</w:t>
      </w:r>
      <w:r w:rsidRPr="00323796" w:rsidR="00B01CFD">
        <w:t xml:space="preserve"> </w:t>
      </w:r>
      <w:r w:rsidRPr="00323796">
        <w:t>587, 594</w:t>
      </w:r>
      <w:r w:rsidRPr="00323796" w:rsidR="00C11249">
        <w:t xml:space="preserve"> (</w:t>
      </w:r>
      <w:r w:rsidRPr="00323796" w:rsidR="00C11249">
        <w:rPr>
          <w:i/>
          <w:iCs/>
        </w:rPr>
        <w:t>Ley</w:t>
      </w:r>
      <w:r w:rsidRPr="00323796" w:rsidR="00C11249">
        <w:t>)</w:t>
      </w:r>
      <w:r w:rsidRPr="00323796" w:rsidR="000A36CA">
        <w:t>.</w:t>
      </w:r>
      <w:r w:rsidRPr="00323796">
        <w:t>)</w:t>
      </w:r>
      <w:r w:rsidRPr="00323796" w:rsidR="008E0EA6">
        <w:t xml:space="preserve">  </w:t>
      </w:r>
      <w:r w:rsidRPr="00323796" w:rsidR="00D974BF">
        <w:t>Th</w:t>
      </w:r>
      <w:r w:rsidRPr="00323796" w:rsidR="00917A5D">
        <w:t>is</w:t>
      </w:r>
      <w:r w:rsidRPr="00323796" w:rsidR="00D974BF">
        <w:t xml:space="preserve"> </w:t>
      </w:r>
      <w:r w:rsidRPr="00323796" w:rsidR="008A35A9">
        <w:t>section</w:t>
      </w:r>
      <w:r w:rsidRPr="00323796" w:rsidR="008235DA">
        <w:t xml:space="preserve"> </w:t>
      </w:r>
      <w:r w:rsidRPr="00323796" w:rsidR="00D974BF">
        <w:t>provides</w:t>
      </w:r>
      <w:r w:rsidRPr="00323796" w:rsidR="00C8616F">
        <w:t xml:space="preserve"> in full</w:t>
      </w:r>
      <w:r w:rsidRPr="00323796" w:rsidR="00D974BF">
        <w:t>:  “T</w:t>
      </w:r>
      <w:r w:rsidRPr="00323796" w:rsidR="00C447DE">
        <w:t>he time in which any act provided by law is to be done is computed by excluding the first day, and including the last, unless the last day is a holiday, and then it is also excluded.”</w:t>
      </w:r>
      <w:r w:rsidRPr="00323796" w:rsidR="00917A5D">
        <w:t xml:space="preserve">  (§ 12.)</w:t>
      </w:r>
      <w:r w:rsidRPr="00323796" w:rsidR="000B68FB">
        <w:t xml:space="preserve">  Th</w:t>
      </w:r>
      <w:r w:rsidRPr="00323796" w:rsidR="00150CD4">
        <w:t>is</w:t>
      </w:r>
      <w:r w:rsidRPr="00323796" w:rsidR="000B68FB">
        <w:t xml:space="preserve"> general statutory rule</w:t>
      </w:r>
      <w:r w:rsidRPr="00323796" w:rsidR="00DC3CD1">
        <w:t xml:space="preserve"> was</w:t>
      </w:r>
      <w:r w:rsidRPr="00323796" w:rsidR="008A35A9">
        <w:t xml:space="preserve"> first codified in 185</w:t>
      </w:r>
      <w:r w:rsidRPr="00323796" w:rsidR="000208FB">
        <w:t>0</w:t>
      </w:r>
      <w:r w:rsidRPr="00323796" w:rsidR="008A35A9">
        <w:t xml:space="preserve"> as section </w:t>
      </w:r>
      <w:r w:rsidRPr="00323796" w:rsidR="000208FB">
        <w:t xml:space="preserve">307 </w:t>
      </w:r>
      <w:r w:rsidRPr="00323796" w:rsidR="008A35A9">
        <w:t>of the Original Practice Act</w:t>
      </w:r>
      <w:r>
        <w:rPr>
          <w:rStyle w:val="FootnoteReference"/>
        </w:rPr>
        <w:footnoteReference w:id="5"/>
      </w:r>
      <w:r w:rsidRPr="00323796" w:rsidR="00C04A08">
        <w:t xml:space="preserve"> and has remained unchanged since </w:t>
      </w:r>
      <w:r w:rsidRPr="00323796" w:rsidR="009734EB">
        <w:t xml:space="preserve">its enactment in </w:t>
      </w:r>
      <w:r w:rsidRPr="00323796" w:rsidR="00C04A08">
        <w:t>1872.</w:t>
      </w:r>
      <w:r w:rsidRPr="00323796" w:rsidR="001F7861">
        <w:t xml:space="preserve"> </w:t>
      </w:r>
      <w:r w:rsidRPr="00323796" w:rsidR="00221A34">
        <w:t xml:space="preserve"> </w:t>
      </w:r>
      <w:r w:rsidRPr="00323796" w:rsidR="00ED03DA">
        <w:t>(</w:t>
      </w:r>
      <w:r w:rsidRPr="00323796" w:rsidR="00A72A92">
        <w:t>§ 12; see</w:t>
      </w:r>
      <w:r w:rsidRPr="00323796" w:rsidR="00ED03DA">
        <w:t xml:space="preserve"> </w:t>
      </w:r>
      <w:r w:rsidRPr="00323796" w:rsidR="00ED03DA">
        <w:rPr>
          <w:i/>
          <w:iCs/>
        </w:rPr>
        <w:t>Cabrera</w:t>
      </w:r>
      <w:r w:rsidRPr="00323796" w:rsidR="00ED03DA">
        <w:t xml:space="preserve">, </w:t>
      </w:r>
      <w:r w:rsidRPr="00323796" w:rsidR="00ED03DA">
        <w:rPr>
          <w:i/>
          <w:iCs/>
        </w:rPr>
        <w:t>supra</w:t>
      </w:r>
      <w:r w:rsidRPr="00323796" w:rsidR="00ED03DA">
        <w:t xml:space="preserve">, </w:t>
      </w:r>
      <w:r w:rsidRPr="00323796" w:rsidR="00614949">
        <w:t>1</w:t>
      </w:r>
      <w:r w:rsidRPr="00323796" w:rsidR="008E6E3E">
        <w:t>59 F.3d at p. 379.)</w:t>
      </w:r>
    </w:p>
    <w:p w:rsidR="00BF780B" w:rsidRPr="00323796" w:rsidP="00323796" w14:paraId="739CA1BC" w14:textId="278EC7D9">
      <w:pPr>
        <w:tabs>
          <w:tab w:val="left" w:pos="1440"/>
        </w:tabs>
        <w:ind w:firstLine="720"/>
      </w:pPr>
      <w:r w:rsidRPr="00323796">
        <w:t xml:space="preserve">Prior to the enactment of the </w:t>
      </w:r>
      <w:r w:rsidRPr="00323796" w:rsidR="00360403">
        <w:t xml:space="preserve">general </w:t>
      </w:r>
      <w:r w:rsidRPr="00323796">
        <w:t xml:space="preserve">rule, the cases were </w:t>
      </w:r>
      <w:r w:rsidRPr="00323796" w:rsidR="00862B73">
        <w:t>not in agreement</w:t>
      </w:r>
      <w:r w:rsidRPr="00323796">
        <w:t xml:space="preserve"> regarding whether the first day was included or excluded in computing a time period.  </w:t>
      </w:r>
      <w:r w:rsidRPr="00323796" w:rsidR="004447FF">
        <w:t>(</w:t>
      </w:r>
      <w:r w:rsidRPr="00323796" w:rsidR="00760EA5">
        <w:rPr>
          <w:i/>
          <w:iCs/>
        </w:rPr>
        <w:t>People v. Clayton</w:t>
      </w:r>
      <w:r w:rsidRPr="00323796" w:rsidR="00760EA5">
        <w:t xml:space="preserve"> (1993) 18 Cal.App.4th 440, 443 (</w:t>
      </w:r>
      <w:r w:rsidRPr="00323796" w:rsidR="00760EA5">
        <w:rPr>
          <w:i/>
          <w:iCs/>
        </w:rPr>
        <w:t>Clayton</w:t>
      </w:r>
      <w:r w:rsidRPr="00323796" w:rsidR="00760EA5">
        <w:t>)</w:t>
      </w:r>
      <w:r w:rsidRPr="00323796" w:rsidR="001F7861">
        <w:t>.)</w:t>
      </w:r>
      <w:r w:rsidRPr="00323796" w:rsidR="00A271C6">
        <w:t xml:space="preserve">  </w:t>
      </w:r>
      <w:r w:rsidRPr="00323796" w:rsidR="00D4619B">
        <w:t>“In early common law cases, where the computation was to be made from the doing of an act, the usual practice was to include the day when that act was done.  [Citations</w:t>
      </w:r>
      <w:r w:rsidRPr="00323796" w:rsidR="00190841">
        <w:t xml:space="preserve">.]  In later cases, </w:t>
      </w:r>
      <w:r w:rsidRPr="00323796" w:rsidR="00911EF8">
        <w:t>how</w:t>
      </w:r>
      <w:r w:rsidRPr="00323796" w:rsidR="00190841">
        <w:t>ever, this rule of construction was gradually repudiated and the rule excluding the first day of the period wa</w:t>
      </w:r>
      <w:r w:rsidRPr="00323796" w:rsidR="001343CB">
        <w:t>s</w:t>
      </w:r>
      <w:r w:rsidRPr="00323796" w:rsidR="00190841">
        <w:t xml:space="preserve"> adopted.  </w:t>
      </w:r>
      <w:r w:rsidRPr="00323796" w:rsidR="001343CB">
        <w:t xml:space="preserve">[Citation.]  </w:t>
      </w:r>
      <w:r w:rsidRPr="00323796" w:rsidR="00862B73">
        <w:t>For more than two centuries, however, the cases were in conflict and there was no fixed rule.”  (</w:t>
      </w:r>
      <w:r w:rsidRPr="00323796" w:rsidR="00862B73">
        <w:rPr>
          <w:i/>
          <w:iCs/>
        </w:rPr>
        <w:t>I</w:t>
      </w:r>
      <w:r w:rsidRPr="00323796" w:rsidR="00DC5362">
        <w:rPr>
          <w:i/>
          <w:iCs/>
        </w:rPr>
        <w:t>bi</w:t>
      </w:r>
      <w:r w:rsidRPr="00323796" w:rsidR="00862B73">
        <w:rPr>
          <w:i/>
          <w:iCs/>
        </w:rPr>
        <w:t>d.</w:t>
      </w:r>
      <w:r w:rsidRPr="00323796" w:rsidR="00862B73">
        <w:t xml:space="preserve">, fn. omitted.)  </w:t>
      </w:r>
      <w:r w:rsidRPr="00323796" w:rsidR="00D20C12">
        <w:t xml:space="preserve">Thereafter, </w:t>
      </w:r>
      <w:r w:rsidRPr="00323796" w:rsidR="00F60BC9">
        <w:t xml:space="preserve">Lord Mansfield set forth a rule </w:t>
      </w:r>
      <w:r w:rsidRPr="00323796" w:rsidR="002B09AF">
        <w:t xml:space="preserve">that was dependent upon the context and subject matter of each case. </w:t>
      </w:r>
      <w:r w:rsidRPr="00323796" w:rsidR="00F60BC9">
        <w:t xml:space="preserve"> </w:t>
      </w:r>
      <w:r w:rsidRPr="00323796" w:rsidR="00DC5362">
        <w:t>(</w:t>
      </w:r>
      <w:r w:rsidRPr="00323796" w:rsidR="00DC5362">
        <w:rPr>
          <w:i/>
          <w:iCs/>
        </w:rPr>
        <w:t>Ibid.</w:t>
      </w:r>
      <w:r w:rsidRPr="00323796" w:rsidR="00DC5362">
        <w:t>)</w:t>
      </w:r>
      <w:r w:rsidRPr="00323796" w:rsidR="00DC5362">
        <w:rPr>
          <w:i/>
          <w:iCs/>
        </w:rPr>
        <w:t xml:space="preserve">  </w:t>
      </w:r>
      <w:r w:rsidRPr="00323796">
        <w:t xml:space="preserve">The </w:t>
      </w:r>
      <w:r w:rsidRPr="00323796" w:rsidR="003E6106">
        <w:t>general statutory rule</w:t>
      </w:r>
      <w:r w:rsidRPr="00323796">
        <w:t xml:space="preserve"> was </w:t>
      </w:r>
      <w:r w:rsidRPr="00323796" w:rsidR="002B09AF">
        <w:t>subs</w:t>
      </w:r>
      <w:r w:rsidRPr="00323796" w:rsidR="00DC5362">
        <w:t xml:space="preserve">equently </w:t>
      </w:r>
      <w:r w:rsidRPr="00323796">
        <w:t xml:space="preserve">enacted to resolve and foreclose any otherwise inherent uncertainty in computing a time period based on the circumstances of each case.  </w:t>
      </w:r>
      <w:r w:rsidRPr="00323796" w:rsidR="00DC3CD1">
        <w:t>(</w:t>
      </w:r>
      <w:r w:rsidRPr="00323796" w:rsidR="00DC3CD1">
        <w:rPr>
          <w:i/>
          <w:iCs/>
        </w:rPr>
        <w:t>Id.</w:t>
      </w:r>
      <w:r w:rsidRPr="00323796" w:rsidR="00DC5362">
        <w:t xml:space="preserve"> at p.</w:t>
      </w:r>
      <w:r w:rsidRPr="00323796" w:rsidR="00B40A51">
        <w:t> </w:t>
      </w:r>
      <w:r w:rsidRPr="00323796" w:rsidR="00DC5362">
        <w:t>444.</w:t>
      </w:r>
      <w:r w:rsidRPr="00323796" w:rsidR="00DC3CD1">
        <w:t>)</w:t>
      </w:r>
    </w:p>
    <w:p w:rsidR="00F71637" w:rsidRPr="00323796" w:rsidP="00323796" w14:paraId="20AD179E" w14:textId="2823A99D">
      <w:pPr>
        <w:tabs>
          <w:tab w:val="left" w:pos="1440"/>
        </w:tabs>
        <w:ind w:firstLine="720"/>
        <w:rPr>
          <w:color w:val="000000" w:themeColor="text1"/>
        </w:rPr>
      </w:pPr>
      <w:r w:rsidRPr="00323796">
        <w:t>A u</w:t>
      </w:r>
      <w:r w:rsidRPr="00323796" w:rsidR="009E1C70">
        <w:t xml:space="preserve">niform rule </w:t>
      </w:r>
      <w:r w:rsidRPr="00323796" w:rsidR="003A2B91">
        <w:t>governing</w:t>
      </w:r>
      <w:r w:rsidRPr="00323796" w:rsidR="009E1C70">
        <w:t xml:space="preserve"> the method of computing time </w:t>
      </w:r>
      <w:r w:rsidRPr="00323796" w:rsidR="008B3DFA">
        <w:t xml:space="preserve">promotes </w:t>
      </w:r>
      <w:r w:rsidRPr="00323796" w:rsidR="001A1CC1">
        <w:t xml:space="preserve">clarity and </w:t>
      </w:r>
      <w:r w:rsidRPr="00323796" w:rsidR="00232025">
        <w:t>stability</w:t>
      </w:r>
      <w:r w:rsidRPr="00323796" w:rsidR="009E1C70">
        <w:t xml:space="preserve">.  </w:t>
      </w:r>
      <w:r w:rsidRPr="00323796" w:rsidR="001A1CC1">
        <w:t>(</w:t>
      </w:r>
      <w:r w:rsidRPr="00323796" w:rsidR="00AF1781">
        <w:t xml:space="preserve">See </w:t>
      </w:r>
      <w:r w:rsidRPr="00323796" w:rsidR="001A1CC1">
        <w:rPr>
          <w:i/>
          <w:iCs/>
        </w:rPr>
        <w:t>Ley</w:t>
      </w:r>
      <w:r w:rsidRPr="00323796" w:rsidR="001A1CC1">
        <w:t xml:space="preserve">, </w:t>
      </w:r>
      <w:r w:rsidRPr="00323796" w:rsidR="001A1CC1">
        <w:rPr>
          <w:i/>
          <w:iCs/>
        </w:rPr>
        <w:t>supra</w:t>
      </w:r>
      <w:r w:rsidRPr="00323796" w:rsidR="001A1CC1">
        <w:t>, 212 Cal. at pp.</w:t>
      </w:r>
      <w:r w:rsidR="00323796">
        <w:t> </w:t>
      </w:r>
      <w:r w:rsidRPr="00323796" w:rsidR="001A1CC1">
        <w:t xml:space="preserve">594–595.)  </w:t>
      </w:r>
      <w:r w:rsidRPr="00323796" w:rsidR="00F27303">
        <w:t xml:space="preserve">In </w:t>
      </w:r>
      <w:r w:rsidRPr="00323796" w:rsidR="00D066D4">
        <w:rPr>
          <w:i/>
          <w:iCs/>
        </w:rPr>
        <w:t>Ley</w:t>
      </w:r>
      <w:r w:rsidRPr="00323796" w:rsidR="00D066D4">
        <w:t>,</w:t>
      </w:r>
      <w:r w:rsidRPr="00323796" w:rsidR="00D066D4">
        <w:rPr>
          <w:i/>
          <w:iCs/>
        </w:rPr>
        <w:t xml:space="preserve"> </w:t>
      </w:r>
      <w:r w:rsidRPr="00323796" w:rsidR="005F507B">
        <w:t xml:space="preserve">we </w:t>
      </w:r>
      <w:r w:rsidRPr="00323796" w:rsidR="009A6782">
        <w:t>explained that</w:t>
      </w:r>
      <w:r w:rsidRPr="00323796" w:rsidR="00BB5A0E">
        <w:t xml:space="preserve"> “</w:t>
      </w:r>
      <w:r w:rsidRPr="00323796" w:rsidR="009A6782">
        <w:t>[t]</w:t>
      </w:r>
      <w:r w:rsidRPr="00323796" w:rsidR="00E179CF">
        <w:t xml:space="preserve">he </w:t>
      </w:r>
      <w:r w:rsidRPr="00323796" w:rsidR="00E179CF">
        <w:rPr>
          <w:rFonts w:cstheme="minorHAnsi"/>
          <w:color w:val="000000"/>
          <w:szCs w:val="26"/>
        </w:rPr>
        <w:t>gravest considerations of public order and security require that the method of computing time be definite and certain.</w:t>
      </w:r>
      <w:r w:rsidRPr="00323796" w:rsidR="00DB2ED6">
        <w:rPr>
          <w:rFonts w:cstheme="minorHAnsi"/>
          <w:color w:val="000000"/>
          <w:szCs w:val="26"/>
        </w:rPr>
        <w:t xml:space="preserve">”  </w:t>
      </w:r>
      <w:r w:rsidRPr="00323796" w:rsidR="00DB2ED6">
        <w:rPr>
          <w:rFonts w:cstheme="minorHAnsi"/>
          <w:szCs w:val="26"/>
        </w:rPr>
        <w:t>(</w:t>
      </w:r>
      <w:r w:rsidRPr="00323796" w:rsidR="00DB2ED6">
        <w:rPr>
          <w:rFonts w:cstheme="minorHAnsi"/>
          <w:i/>
          <w:iCs/>
          <w:szCs w:val="26"/>
        </w:rPr>
        <w:t xml:space="preserve">Id. </w:t>
      </w:r>
      <w:r w:rsidRPr="00323796" w:rsidR="00DB2ED6">
        <w:rPr>
          <w:rFonts w:cstheme="minorHAnsi"/>
          <w:szCs w:val="26"/>
        </w:rPr>
        <w:t>at p</w:t>
      </w:r>
      <w:r w:rsidR="00AD5080">
        <w:rPr>
          <w:rFonts w:cstheme="minorHAnsi"/>
          <w:szCs w:val="26"/>
        </w:rPr>
        <w:t>. </w:t>
      </w:r>
      <w:r w:rsidRPr="00323796" w:rsidR="00DB2ED6">
        <w:rPr>
          <w:rFonts w:cstheme="minorHAnsi"/>
          <w:szCs w:val="26"/>
        </w:rPr>
        <w:t>594.)</w:t>
      </w:r>
      <w:r w:rsidRPr="00323796" w:rsidR="009A0F9C">
        <w:rPr>
          <w:rFonts w:cstheme="minorHAnsi"/>
          <w:szCs w:val="26"/>
        </w:rPr>
        <w:t xml:space="preserve"> </w:t>
      </w:r>
      <w:r w:rsidRPr="00323796" w:rsidR="00455B6B">
        <w:rPr>
          <w:rFonts w:cstheme="minorHAnsi"/>
          <w:szCs w:val="26"/>
        </w:rPr>
        <w:t xml:space="preserve"> </w:t>
      </w:r>
      <w:r w:rsidRPr="00323796" w:rsidR="00B10A39">
        <w:rPr>
          <w:rFonts w:cstheme="minorHAnsi"/>
          <w:szCs w:val="26"/>
        </w:rPr>
        <w:t>In keeping</w:t>
      </w:r>
      <w:r w:rsidRPr="00323796" w:rsidR="00DB2ED6">
        <w:rPr>
          <w:rFonts w:cstheme="minorHAnsi"/>
          <w:szCs w:val="26"/>
        </w:rPr>
        <w:t xml:space="preserve"> with </w:t>
      </w:r>
      <w:r w:rsidRPr="00323796" w:rsidR="00513948">
        <w:rPr>
          <w:rFonts w:cstheme="minorHAnsi"/>
          <w:szCs w:val="26"/>
        </w:rPr>
        <w:t>these important policy concerns</w:t>
      </w:r>
      <w:r w:rsidRPr="00323796" w:rsidR="00463374">
        <w:rPr>
          <w:rFonts w:cstheme="minorHAnsi"/>
          <w:szCs w:val="26"/>
        </w:rPr>
        <w:t>, we held that “</w:t>
      </w:r>
      <w:r w:rsidRPr="00323796" w:rsidR="00463374">
        <w:rPr>
          <w:rFonts w:cstheme="minorHAnsi"/>
          <w:color w:val="000000"/>
          <w:szCs w:val="26"/>
        </w:rPr>
        <w:t>[b]</w:t>
      </w:r>
      <w:r w:rsidRPr="00323796" w:rsidR="009A0F9C">
        <w:rPr>
          <w:rFonts w:cstheme="minorHAnsi"/>
          <w:color w:val="000000"/>
          <w:szCs w:val="26"/>
        </w:rPr>
        <w:t>efore a given case will be deemed to come under an exception to the general rule the intention must be clearly expressed that a different method of computation was provided for</w:t>
      </w:r>
      <w:r w:rsidRPr="00323796" w:rsidR="009A0F9C">
        <w:rPr>
          <w:rFonts w:cstheme="minorHAnsi"/>
          <w:szCs w:val="26"/>
        </w:rPr>
        <w:t>.</w:t>
      </w:r>
      <w:r w:rsidRPr="00323796" w:rsidR="00E179CF">
        <w:rPr>
          <w:rFonts w:cstheme="minorHAnsi"/>
          <w:szCs w:val="26"/>
        </w:rPr>
        <w:t xml:space="preserve">” </w:t>
      </w:r>
      <w:r w:rsidRPr="00323796" w:rsidR="002004D5">
        <w:t xml:space="preserve"> </w:t>
      </w:r>
      <w:r w:rsidRPr="00323796" w:rsidR="000942A1">
        <w:t>(</w:t>
      </w:r>
      <w:r w:rsidRPr="00323796" w:rsidR="00513948">
        <w:rPr>
          <w:i/>
          <w:iCs/>
        </w:rPr>
        <w:t xml:space="preserve">Id. </w:t>
      </w:r>
      <w:r w:rsidRPr="00323796" w:rsidR="00513948">
        <w:t>at p.</w:t>
      </w:r>
      <w:r w:rsidRPr="00323796" w:rsidR="00B40A51">
        <w:t> </w:t>
      </w:r>
      <w:r w:rsidRPr="00323796">
        <w:t>595</w:t>
      </w:r>
      <w:r w:rsidRPr="00323796" w:rsidR="001D7817">
        <w:t xml:space="preserve">; see also </w:t>
      </w:r>
      <w:r w:rsidRPr="00323796" w:rsidR="001D7817">
        <w:rPr>
          <w:rFonts w:cstheme="minorHAnsi"/>
          <w:i/>
          <w:iCs/>
          <w:szCs w:val="26"/>
        </w:rPr>
        <w:t xml:space="preserve">In re Rodriguez </w:t>
      </w:r>
      <w:r w:rsidRPr="00323796" w:rsidR="001D7817">
        <w:rPr>
          <w:rFonts w:cstheme="minorHAnsi"/>
          <w:szCs w:val="26"/>
        </w:rPr>
        <w:t>(1964) 60 Cal.2d 822, 825–826</w:t>
      </w:r>
      <w:r w:rsidRPr="00323796">
        <w:t xml:space="preserve">.) </w:t>
      </w:r>
      <w:r w:rsidRPr="00323796" w:rsidR="00635E18">
        <w:t xml:space="preserve"> </w:t>
      </w:r>
      <w:r w:rsidRPr="00323796" w:rsidR="00513948">
        <w:t xml:space="preserve">Put differently:  </w:t>
      </w:r>
      <w:r w:rsidRPr="00323796" w:rsidR="00635E18">
        <w:t xml:space="preserve">“Consistent with the need for certainty in the method of computing time, a case will not be found to come under an exception to the general rule unless there is a clear expression of provision for a different method of computation.”  </w:t>
      </w:r>
      <w:r w:rsidRPr="00323796" w:rsidR="00AF6F88">
        <w:t>(</w:t>
      </w:r>
      <w:r w:rsidRPr="00323796" w:rsidR="00AF6F88">
        <w:rPr>
          <w:i/>
          <w:iCs/>
        </w:rPr>
        <w:t>De</w:t>
      </w:r>
      <w:r w:rsidR="0063419B">
        <w:rPr>
          <w:i/>
          <w:iCs/>
        </w:rPr>
        <w:t>L</w:t>
      </w:r>
      <w:r w:rsidRPr="00323796" w:rsidR="00AF6F88">
        <w:rPr>
          <w:i/>
          <w:iCs/>
        </w:rPr>
        <w:t>eon v. Bay Area Rapid Transit</w:t>
      </w:r>
      <w:r w:rsidRPr="00323796" w:rsidR="00AF6F88">
        <w:t xml:space="preserve"> </w:t>
      </w:r>
      <w:r w:rsidRPr="00323796" w:rsidR="00314AB5">
        <w:rPr>
          <w:i/>
          <w:iCs/>
        </w:rPr>
        <w:t xml:space="preserve">Dist. </w:t>
      </w:r>
      <w:r w:rsidRPr="00323796" w:rsidR="00AF6F88">
        <w:t xml:space="preserve">(1983) 33 Cal.3d 456, </w:t>
      </w:r>
      <w:r w:rsidRPr="00323796" w:rsidR="00B002F3">
        <w:t>460–461</w:t>
      </w:r>
      <w:r w:rsidRPr="00323796" w:rsidR="00B002F3">
        <w:rPr>
          <w:color w:val="000000" w:themeColor="text1"/>
        </w:rPr>
        <w:t xml:space="preserve">.) </w:t>
      </w:r>
    </w:p>
    <w:p w:rsidR="00482888" w:rsidRPr="00323796" w:rsidP="00323796" w14:paraId="7D43B5D7" w14:textId="109515B5">
      <w:pPr>
        <w:tabs>
          <w:tab w:val="left" w:pos="1440"/>
        </w:tabs>
        <w:ind w:firstLine="720"/>
        <w:rPr>
          <w:rFonts w:cstheme="minorHAnsi"/>
          <w:color w:val="000000" w:themeColor="text1"/>
          <w:szCs w:val="26"/>
        </w:rPr>
      </w:pPr>
      <w:r w:rsidRPr="00323796">
        <w:t xml:space="preserve">In </w:t>
      </w:r>
      <w:r w:rsidRPr="00323796">
        <w:rPr>
          <w:i/>
          <w:iCs/>
        </w:rPr>
        <w:t>Ley</w:t>
      </w:r>
      <w:r w:rsidRPr="00323796">
        <w:t xml:space="preserve">, </w:t>
      </w:r>
      <w:r w:rsidRPr="00323796" w:rsidR="004C1293">
        <w:t xml:space="preserve">we rejected the argument that </w:t>
      </w:r>
      <w:r w:rsidRPr="00323796" w:rsidR="005F7F60">
        <w:t>section 12 did not</w:t>
      </w:r>
      <w:r w:rsidRPr="00323796" w:rsidR="00C8055B">
        <w:t xml:space="preserve"> a</w:t>
      </w:r>
      <w:r w:rsidRPr="00323796" w:rsidR="005F7F60">
        <w:t xml:space="preserve">pply </w:t>
      </w:r>
      <w:r w:rsidRPr="00323796" w:rsidR="00C8055B">
        <w:t xml:space="preserve">in calculating </w:t>
      </w:r>
      <w:r w:rsidRPr="00323796" w:rsidR="009D6B01">
        <w:t xml:space="preserve">when </w:t>
      </w:r>
      <w:r w:rsidRPr="00323796" w:rsidR="00C8055B">
        <w:t>a 30-day publication period specified in a city charter</w:t>
      </w:r>
      <w:r w:rsidRPr="00323796" w:rsidR="009D6B01">
        <w:t xml:space="preserve"> </w:t>
      </w:r>
      <w:r w:rsidRPr="00323796" w:rsidR="000879B8">
        <w:t>began</w:t>
      </w:r>
      <w:r w:rsidRPr="00323796" w:rsidR="009D6B01">
        <w:t xml:space="preserve"> to run</w:t>
      </w:r>
      <w:r w:rsidRPr="00323796" w:rsidR="00C8055B">
        <w:t xml:space="preserve">.  </w:t>
      </w:r>
      <w:r w:rsidRPr="00323796" w:rsidR="0087406C">
        <w:t>(</w:t>
      </w:r>
      <w:r w:rsidRPr="00323796" w:rsidR="0087406C">
        <w:rPr>
          <w:i/>
          <w:iCs/>
        </w:rPr>
        <w:t>Ley</w:t>
      </w:r>
      <w:r w:rsidRPr="00323796" w:rsidR="0087406C">
        <w:t xml:space="preserve">, </w:t>
      </w:r>
      <w:r w:rsidRPr="00323796" w:rsidR="0087406C">
        <w:rPr>
          <w:i/>
          <w:iCs/>
        </w:rPr>
        <w:t>supra</w:t>
      </w:r>
      <w:r w:rsidRPr="00323796" w:rsidR="0087406C">
        <w:t xml:space="preserve">, 212 Cal. at p. 594.)  </w:t>
      </w:r>
      <w:r w:rsidRPr="00323796" w:rsidR="005F7F60">
        <w:t>We</w:t>
      </w:r>
      <w:r w:rsidRPr="00323796" w:rsidR="0016329F">
        <w:t xml:space="preserve"> </w:t>
      </w:r>
      <w:r w:rsidRPr="00323796" w:rsidR="002F1A14">
        <w:t>elucidated</w:t>
      </w:r>
      <w:r w:rsidRPr="00323796" w:rsidR="00D93F9F">
        <w:t>:  “</w:t>
      </w:r>
      <w:r w:rsidRPr="00323796" w:rsidR="0016329F">
        <w:t xml:space="preserve">The express language </w:t>
      </w:r>
      <w:r w:rsidRPr="00323796" w:rsidR="00176985">
        <w:t>. . .</w:t>
      </w:r>
      <w:r w:rsidRPr="00323796" w:rsidR="00B0213B">
        <w:t xml:space="preserve"> </w:t>
      </w:r>
      <w:r w:rsidRPr="00323796" w:rsidR="0016329F">
        <w:t xml:space="preserve">of the charter is that no ordinance shall go into effect ‘until’ the expiration of thirty days from its publication. </w:t>
      </w:r>
      <w:r w:rsidRPr="00323796" w:rsidR="00D93F9F">
        <w:t xml:space="preserve"> </w:t>
      </w:r>
      <w:r w:rsidRPr="00323796" w:rsidR="0016329F">
        <w:t xml:space="preserve">Properly interpreted, this would seem to mean thirty days </w:t>
      </w:r>
      <w:r w:rsidRPr="00323796" w:rsidR="0016329F">
        <w:rPr>
          <w:i/>
          <w:iCs/>
        </w:rPr>
        <w:t>after</w:t>
      </w:r>
      <w:r w:rsidRPr="00323796" w:rsidR="0016329F">
        <w:t xml:space="preserve"> the publication, which necessarily excludes the day of publication.</w:t>
      </w:r>
      <w:r w:rsidRPr="00323796" w:rsidR="0056252D">
        <w:t xml:space="preserve">  [¶]  We </w:t>
      </w:r>
      <w:r w:rsidRPr="00323796" w:rsidR="00364C7C">
        <w:t xml:space="preserve">can </w:t>
      </w:r>
      <w:r w:rsidRPr="00323796" w:rsidR="0056252D">
        <w:t>see no reason for applying to the above charter provisions a method of reckoning different from and an exception to the ordinary method of computation</w:t>
      </w:r>
      <w:r w:rsidRPr="00323796" w:rsidR="001D7817">
        <w:t>.</w:t>
      </w:r>
      <w:r w:rsidRPr="00323796">
        <w:t>”</w:t>
      </w:r>
      <w:r w:rsidRPr="00323796">
        <w:t xml:space="preserve"> </w:t>
      </w:r>
      <w:r w:rsidRPr="00323796" w:rsidR="00D93F9F">
        <w:t xml:space="preserve"> </w:t>
      </w:r>
      <w:r w:rsidRPr="00323796" w:rsidR="00C412D3">
        <w:t>(</w:t>
      </w:r>
      <w:r w:rsidRPr="00323796" w:rsidR="00C412D3">
        <w:rPr>
          <w:i/>
          <w:iCs/>
        </w:rPr>
        <w:t>Ibid</w:t>
      </w:r>
      <w:r w:rsidRPr="00323796" w:rsidR="00C412D3">
        <w:rPr>
          <w:i/>
          <w:iCs/>
          <w:color w:val="000000" w:themeColor="text1"/>
        </w:rPr>
        <w:t>.</w:t>
      </w:r>
      <w:r w:rsidRPr="00323796" w:rsidR="007F0550">
        <w:rPr>
          <w:color w:val="000000" w:themeColor="text1"/>
        </w:rPr>
        <w:t>)</w:t>
      </w:r>
      <w:r w:rsidRPr="00323796" w:rsidR="00C412D3">
        <w:rPr>
          <w:i/>
          <w:iCs/>
          <w:color w:val="000000" w:themeColor="text1"/>
        </w:rPr>
        <w:t xml:space="preserve"> </w:t>
      </w:r>
      <w:r w:rsidRPr="00323796" w:rsidR="007F0550">
        <w:rPr>
          <w:i/>
          <w:iCs/>
          <w:color w:val="000000" w:themeColor="text1"/>
        </w:rPr>
        <w:t xml:space="preserve"> </w:t>
      </w:r>
    </w:p>
    <w:p w:rsidR="007A4DEE" w:rsidRPr="00323796" w:rsidP="00323796" w14:paraId="40A6DB3B" w14:textId="475C6E3E">
      <w:pPr>
        <w:tabs>
          <w:tab w:val="left" w:pos="1440"/>
        </w:tabs>
        <w:ind w:firstLine="720"/>
      </w:pPr>
      <w:r>
        <w:rPr>
          <w:rFonts w:cstheme="minorHAnsi"/>
          <w:szCs w:val="26"/>
        </w:rPr>
        <w:t>Subsequent to</w:t>
      </w:r>
      <w:r w:rsidR="00B62623">
        <w:rPr>
          <w:rFonts w:cstheme="minorHAnsi"/>
          <w:szCs w:val="26"/>
        </w:rPr>
        <w:t xml:space="preserve"> our decision in</w:t>
      </w:r>
      <w:r w:rsidR="00C51CE9">
        <w:rPr>
          <w:rFonts w:cstheme="minorHAnsi"/>
          <w:szCs w:val="26"/>
        </w:rPr>
        <w:t xml:space="preserve"> </w:t>
      </w:r>
      <w:r w:rsidRPr="00323796" w:rsidR="00AB1E19">
        <w:rPr>
          <w:rFonts w:cstheme="minorHAnsi"/>
          <w:i/>
          <w:szCs w:val="26"/>
        </w:rPr>
        <w:t>Ley</w:t>
      </w:r>
      <w:r w:rsidRPr="00323796" w:rsidR="004C78C2">
        <w:rPr>
          <w:rFonts w:cstheme="minorHAnsi"/>
          <w:iCs/>
          <w:szCs w:val="26"/>
        </w:rPr>
        <w:t xml:space="preserve">, </w:t>
      </w:r>
      <w:r w:rsidRPr="00323796" w:rsidR="0093231A">
        <w:rPr>
          <w:rFonts w:cstheme="minorHAnsi"/>
          <w:iCs/>
          <w:szCs w:val="26"/>
        </w:rPr>
        <w:t>appellate courts</w:t>
      </w:r>
      <w:r w:rsidRPr="00323796" w:rsidR="00AB1E19">
        <w:rPr>
          <w:rFonts w:cstheme="minorHAnsi"/>
          <w:i/>
          <w:szCs w:val="26"/>
        </w:rPr>
        <w:t xml:space="preserve"> </w:t>
      </w:r>
      <w:r w:rsidRPr="00323796" w:rsidR="00AB1E19">
        <w:rPr>
          <w:rFonts w:cstheme="minorHAnsi"/>
          <w:szCs w:val="26"/>
        </w:rPr>
        <w:t>have</w:t>
      </w:r>
      <w:r w:rsidRPr="00323796" w:rsidR="00446D3F">
        <w:rPr>
          <w:rFonts w:cstheme="minorHAnsi"/>
          <w:szCs w:val="26"/>
        </w:rPr>
        <w:t xml:space="preserve"> </w:t>
      </w:r>
      <w:r w:rsidRPr="00323796" w:rsidR="003E043D">
        <w:rPr>
          <w:rFonts w:cstheme="minorHAnsi"/>
          <w:szCs w:val="26"/>
        </w:rPr>
        <w:t>held that</w:t>
      </w:r>
      <w:r w:rsidRPr="00323796" w:rsidR="004D33EE">
        <w:rPr>
          <w:rFonts w:cstheme="minorHAnsi"/>
          <w:szCs w:val="26"/>
        </w:rPr>
        <w:t xml:space="preserve"> </w:t>
      </w:r>
      <w:r w:rsidRPr="00323796" w:rsidR="004441BF">
        <w:rPr>
          <w:rFonts w:cstheme="minorHAnsi"/>
          <w:szCs w:val="26"/>
        </w:rPr>
        <w:t>“[a]bsent a compelling reason for a departure, [</w:t>
      </w:r>
      <w:r w:rsidRPr="00323796" w:rsidR="00ED1924">
        <w:rPr>
          <w:rFonts w:cstheme="minorHAnsi"/>
          <w:szCs w:val="26"/>
        </w:rPr>
        <w:t>section 12</w:t>
      </w:r>
      <w:r w:rsidRPr="00323796" w:rsidR="004441BF">
        <w:rPr>
          <w:rFonts w:cstheme="minorHAnsi"/>
          <w:szCs w:val="26"/>
        </w:rPr>
        <w:t xml:space="preserve">] </w:t>
      </w:r>
      <w:r w:rsidRPr="00323796" w:rsidR="00ED1924">
        <w:rPr>
          <w:rFonts w:cstheme="minorHAnsi"/>
          <w:szCs w:val="26"/>
        </w:rPr>
        <w:t xml:space="preserve">governs the calculation of </w:t>
      </w:r>
      <w:r w:rsidRPr="00323796" w:rsidR="00ED1924">
        <w:rPr>
          <w:rFonts w:cstheme="minorHAnsi"/>
          <w:i/>
          <w:szCs w:val="26"/>
        </w:rPr>
        <w:t xml:space="preserve">all </w:t>
      </w:r>
      <w:r w:rsidRPr="00323796" w:rsidR="00ED1924">
        <w:rPr>
          <w:rFonts w:cstheme="minorHAnsi"/>
          <w:szCs w:val="26"/>
        </w:rPr>
        <w:t>statutorily prescribed time periods</w:t>
      </w:r>
      <w:r w:rsidRPr="00323796" w:rsidR="004441BF">
        <w:rPr>
          <w:rFonts w:cstheme="minorHAnsi"/>
          <w:szCs w:val="26"/>
        </w:rPr>
        <w:t>.”  (</w:t>
      </w:r>
      <w:r w:rsidRPr="00323796" w:rsidR="00CC76FC">
        <w:rPr>
          <w:rFonts w:cstheme="minorHAnsi"/>
          <w:i/>
          <w:szCs w:val="26"/>
        </w:rPr>
        <w:t xml:space="preserve">In </w:t>
      </w:r>
      <w:r w:rsidRPr="00323796" w:rsidR="0064712F">
        <w:rPr>
          <w:rFonts w:cstheme="minorHAnsi"/>
          <w:i/>
          <w:szCs w:val="26"/>
        </w:rPr>
        <w:t>re Anthony B.</w:t>
      </w:r>
      <w:r w:rsidRPr="00323796" w:rsidR="0064712F">
        <w:rPr>
          <w:rFonts w:cstheme="minorHAnsi"/>
          <w:szCs w:val="26"/>
        </w:rPr>
        <w:t xml:space="preserve"> (2002) 104 Cal.App.4th 677, 682</w:t>
      </w:r>
      <w:r w:rsidRPr="00323796" w:rsidR="000B3E91">
        <w:rPr>
          <w:rFonts w:cstheme="minorHAnsi"/>
          <w:szCs w:val="26"/>
        </w:rPr>
        <w:t xml:space="preserve">; see </w:t>
      </w:r>
      <w:r w:rsidRPr="00323796" w:rsidR="000B3E91">
        <w:rPr>
          <w:rFonts w:cstheme="minorHAnsi"/>
          <w:i/>
          <w:iCs/>
          <w:szCs w:val="26"/>
        </w:rPr>
        <w:t>ibid.</w:t>
      </w:r>
      <w:r w:rsidRPr="00323796" w:rsidR="000B3E91">
        <w:rPr>
          <w:rFonts w:cstheme="minorHAnsi"/>
          <w:szCs w:val="26"/>
        </w:rPr>
        <w:t xml:space="preserve"> [“Our Supreme Court has encouraged the use of uniform rules so that the method of computing time not be a source of doubt or confusion”]</w:t>
      </w:r>
      <w:r w:rsidRPr="00323796" w:rsidR="004C30E9">
        <w:rPr>
          <w:rFonts w:cstheme="minorHAnsi"/>
          <w:szCs w:val="26"/>
        </w:rPr>
        <w:t xml:space="preserve">; see also </w:t>
      </w:r>
      <w:r w:rsidRPr="00323796" w:rsidR="004C30E9">
        <w:rPr>
          <w:rFonts w:cstheme="minorHAnsi"/>
          <w:i/>
          <w:szCs w:val="26"/>
        </w:rPr>
        <w:t xml:space="preserve">Latinos Unidos de Napa v. City of Napa </w:t>
      </w:r>
      <w:r w:rsidRPr="00323796" w:rsidR="004C30E9">
        <w:rPr>
          <w:rFonts w:cstheme="minorHAnsi"/>
          <w:szCs w:val="26"/>
        </w:rPr>
        <w:t xml:space="preserve">(2011) 196 Cal.App.4th 1154, </w:t>
      </w:r>
      <w:r w:rsidRPr="00323796" w:rsidR="00FD2F86">
        <w:rPr>
          <w:rFonts w:cstheme="minorHAnsi"/>
          <w:szCs w:val="26"/>
        </w:rPr>
        <w:t>1161 [“Defendants identify no clear expression of intent, or compelling reason, to except the co</w:t>
      </w:r>
      <w:r w:rsidRPr="00323796" w:rsidR="001D2D0C">
        <w:rPr>
          <w:rFonts w:cstheme="minorHAnsi"/>
          <w:szCs w:val="26"/>
        </w:rPr>
        <w:t>m</w:t>
      </w:r>
      <w:r w:rsidRPr="00323796" w:rsidR="00FD2F86">
        <w:rPr>
          <w:rFonts w:cstheme="minorHAnsi"/>
          <w:szCs w:val="26"/>
        </w:rPr>
        <w:t xml:space="preserve">putation of the </w:t>
      </w:r>
      <w:r w:rsidRPr="00323796" w:rsidR="004E61FF">
        <w:rPr>
          <w:rFonts w:cstheme="minorHAnsi"/>
          <w:szCs w:val="26"/>
        </w:rPr>
        <w:t>[statutory limitations period]</w:t>
      </w:r>
      <w:r w:rsidRPr="00323796" w:rsidR="001D2D0C">
        <w:rPr>
          <w:rFonts w:cstheme="minorHAnsi"/>
          <w:szCs w:val="26"/>
        </w:rPr>
        <w:t xml:space="preserve"> from the general rule of</w:t>
      </w:r>
      <w:r w:rsidR="00F72F2D">
        <w:rPr>
          <w:rFonts w:cstheme="minorHAnsi"/>
          <w:szCs w:val="26"/>
        </w:rPr>
        <w:t xml:space="preserve"> . . . </w:t>
      </w:r>
      <w:r w:rsidRPr="00323796" w:rsidR="001D2D0C">
        <w:rPr>
          <w:rFonts w:cstheme="minorHAnsi"/>
          <w:szCs w:val="26"/>
        </w:rPr>
        <w:t>section 12</w:t>
      </w:r>
      <w:r w:rsidRPr="00323796" w:rsidR="00B37F35">
        <w:rPr>
          <w:rFonts w:cstheme="minorHAnsi"/>
          <w:szCs w:val="26"/>
        </w:rPr>
        <w:t>”</w:t>
      </w:r>
      <w:r w:rsidRPr="00323796" w:rsidR="00B30214">
        <w:rPr>
          <w:rFonts w:cstheme="minorHAnsi"/>
          <w:szCs w:val="26"/>
        </w:rPr>
        <w:t>];</w:t>
      </w:r>
      <w:r w:rsidRPr="00323796" w:rsidR="00633E88">
        <w:rPr>
          <w:rFonts w:cstheme="minorHAnsi"/>
          <w:color w:val="000000" w:themeColor="text1"/>
          <w:szCs w:val="26"/>
        </w:rPr>
        <w:t xml:space="preserve"> </w:t>
      </w:r>
      <w:r w:rsidRPr="00323796" w:rsidR="0062224A">
        <w:rPr>
          <w:rFonts w:cstheme="minorHAnsi"/>
          <w:i/>
          <w:iCs/>
          <w:color w:val="000000" w:themeColor="text1"/>
          <w:szCs w:val="26"/>
        </w:rPr>
        <w:t>C</w:t>
      </w:r>
      <w:r w:rsidRPr="00323796" w:rsidR="0062224A">
        <w:rPr>
          <w:rFonts w:cstheme="minorHAnsi"/>
          <w:i/>
          <w:iCs/>
          <w:szCs w:val="26"/>
        </w:rPr>
        <w:t>layton</w:t>
      </w:r>
      <w:r w:rsidRPr="00323796" w:rsidR="007E5067">
        <w:rPr>
          <w:rFonts w:cstheme="minorHAnsi"/>
          <w:szCs w:val="26"/>
        </w:rPr>
        <w:t xml:space="preserve">, </w:t>
      </w:r>
      <w:r w:rsidRPr="00323796" w:rsidR="007E5067">
        <w:rPr>
          <w:rFonts w:cstheme="minorHAnsi"/>
          <w:i/>
          <w:iCs/>
          <w:szCs w:val="26"/>
        </w:rPr>
        <w:t>supra</w:t>
      </w:r>
      <w:r w:rsidRPr="00323796" w:rsidR="007E5067">
        <w:rPr>
          <w:rFonts w:cstheme="minorHAnsi"/>
          <w:szCs w:val="26"/>
        </w:rPr>
        <w:t>,</w:t>
      </w:r>
      <w:r w:rsidRPr="00323796" w:rsidR="0062224A">
        <w:rPr>
          <w:rFonts w:cstheme="minorHAnsi"/>
          <w:i/>
          <w:iCs/>
          <w:szCs w:val="26"/>
        </w:rPr>
        <w:t xml:space="preserve"> </w:t>
      </w:r>
      <w:r w:rsidRPr="00323796" w:rsidR="00C81E4B">
        <w:rPr>
          <w:rFonts w:cstheme="minorHAnsi"/>
          <w:szCs w:val="26"/>
        </w:rPr>
        <w:t>18</w:t>
      </w:r>
      <w:r w:rsidR="008D6DE2">
        <w:rPr>
          <w:rFonts w:cstheme="minorHAnsi"/>
          <w:szCs w:val="26"/>
        </w:rPr>
        <w:t> </w:t>
      </w:r>
      <w:r w:rsidRPr="00323796" w:rsidR="00C81E4B">
        <w:rPr>
          <w:rFonts w:cstheme="minorHAnsi"/>
          <w:szCs w:val="26"/>
        </w:rPr>
        <w:t xml:space="preserve">Cal.App.4th </w:t>
      </w:r>
      <w:r w:rsidRPr="00323796" w:rsidR="007E5067">
        <w:rPr>
          <w:rFonts w:cstheme="minorHAnsi"/>
          <w:szCs w:val="26"/>
        </w:rPr>
        <w:t>at p.</w:t>
      </w:r>
      <w:r w:rsidRPr="00323796" w:rsidR="00B40A51">
        <w:rPr>
          <w:rFonts w:cstheme="minorHAnsi"/>
          <w:szCs w:val="26"/>
        </w:rPr>
        <w:t> </w:t>
      </w:r>
      <w:r w:rsidRPr="00323796" w:rsidR="00C81E4B">
        <w:rPr>
          <w:rFonts w:cstheme="minorHAnsi"/>
          <w:szCs w:val="26"/>
        </w:rPr>
        <w:t>44</w:t>
      </w:r>
      <w:r w:rsidRPr="00323796" w:rsidR="00E50256">
        <w:rPr>
          <w:rFonts w:cstheme="minorHAnsi"/>
          <w:szCs w:val="26"/>
        </w:rPr>
        <w:t>5</w:t>
      </w:r>
      <w:r w:rsidRPr="00323796" w:rsidR="007846D3">
        <w:rPr>
          <w:rFonts w:cstheme="minorHAnsi"/>
          <w:szCs w:val="26"/>
        </w:rPr>
        <w:t>, fn. omitted</w:t>
      </w:r>
      <w:r w:rsidRPr="00323796" w:rsidR="00E71761">
        <w:rPr>
          <w:rFonts w:cstheme="minorHAnsi"/>
          <w:szCs w:val="26"/>
        </w:rPr>
        <w:t xml:space="preserve"> [</w:t>
      </w:r>
      <w:r w:rsidRPr="00323796" w:rsidR="00E50256">
        <w:rPr>
          <w:rFonts w:cstheme="minorHAnsi"/>
          <w:szCs w:val="26"/>
        </w:rPr>
        <w:t xml:space="preserve">“Given </w:t>
      </w:r>
      <w:r w:rsidRPr="00323796" w:rsidR="00D839C9">
        <w:rPr>
          <w:rFonts w:cstheme="minorHAnsi"/>
          <w:szCs w:val="26"/>
        </w:rPr>
        <w:t xml:space="preserve">the unambiguous language of [the statute of limitations], the uniform method adopted by the Legislature for computing </w:t>
      </w:r>
      <w:r w:rsidRPr="00323796" w:rsidR="00800875">
        <w:rPr>
          <w:rFonts w:cstheme="minorHAnsi"/>
          <w:szCs w:val="26"/>
        </w:rPr>
        <w:t>days within which an act provided by law is to be done, and our Supreme Court’s encouragement that the general rule be used absent a clear intent to the contrary</w:t>
      </w:r>
      <w:r w:rsidRPr="00323796" w:rsidR="007846D3">
        <w:rPr>
          <w:rFonts w:cstheme="minorHAnsi"/>
          <w:szCs w:val="26"/>
        </w:rPr>
        <w:t xml:space="preserve">, we hold that the 10-day period </w:t>
      </w:r>
      <w:r w:rsidRPr="00323796" w:rsidR="00176985">
        <w:rPr>
          <w:rFonts w:cstheme="minorHAnsi"/>
          <w:szCs w:val="26"/>
        </w:rPr>
        <w:t>. . .</w:t>
      </w:r>
      <w:r w:rsidRPr="00323796" w:rsidR="00C343D1">
        <w:rPr>
          <w:rFonts w:cstheme="minorHAnsi"/>
          <w:szCs w:val="26"/>
        </w:rPr>
        <w:t xml:space="preserve"> is to be computed by excluding the </w:t>
      </w:r>
      <w:r w:rsidRPr="00323796" w:rsidR="00DE6926">
        <w:rPr>
          <w:rFonts w:cstheme="minorHAnsi"/>
          <w:szCs w:val="26"/>
        </w:rPr>
        <w:t>[first] day</w:t>
      </w:r>
      <w:r w:rsidRPr="00323796" w:rsidR="00800875">
        <w:rPr>
          <w:rFonts w:cstheme="minorHAnsi"/>
          <w:szCs w:val="26"/>
        </w:rPr>
        <w:t>”]</w:t>
      </w:r>
      <w:r w:rsidRPr="00323796" w:rsidR="000879B8">
        <w:rPr>
          <w:rFonts w:cstheme="minorHAnsi"/>
          <w:szCs w:val="26"/>
        </w:rPr>
        <w:t xml:space="preserve">; </w:t>
      </w:r>
      <w:r w:rsidRPr="00323796" w:rsidR="000879B8">
        <w:rPr>
          <w:i/>
          <w:iCs/>
        </w:rPr>
        <w:t>Mox, Inc. v. Leventhal</w:t>
      </w:r>
      <w:r w:rsidRPr="00323796" w:rsidR="000879B8">
        <w:t xml:space="preserve"> (1928) 89</w:t>
      </w:r>
      <w:r w:rsidR="00AD5080">
        <w:t> </w:t>
      </w:r>
      <w:r w:rsidRPr="00323796" w:rsidR="000879B8">
        <w:t>Cal.App. 253, 256 (</w:t>
      </w:r>
      <w:r w:rsidRPr="00323796" w:rsidR="000879B8">
        <w:rPr>
          <w:i/>
          <w:iCs/>
        </w:rPr>
        <w:t>Mox</w:t>
      </w:r>
      <w:r w:rsidRPr="00323796" w:rsidR="000879B8">
        <w:t>) [</w:t>
      </w:r>
      <w:r w:rsidR="007E61FC">
        <w:t>s</w:t>
      </w:r>
      <w:r w:rsidRPr="00323796" w:rsidR="000879B8">
        <w:t xml:space="preserve">ection 12 </w:t>
      </w:r>
      <w:r w:rsidR="007E61FC">
        <w:t>“</w:t>
      </w:r>
      <w:r w:rsidRPr="00323796" w:rsidR="000879B8">
        <w:t>is a general rule for computing time, applicable to any act which is required by law, except where a statute specifically otherwise provides”]</w:t>
      </w:r>
      <w:r w:rsidRPr="00323796" w:rsidR="00BF76C0">
        <w:rPr>
          <w:rFonts w:cstheme="minorHAnsi"/>
          <w:szCs w:val="26"/>
        </w:rPr>
        <w:t>.)  In</w:t>
      </w:r>
      <w:r w:rsidRPr="00323796" w:rsidR="00C81E4B">
        <w:rPr>
          <w:rFonts w:cstheme="minorHAnsi"/>
          <w:szCs w:val="26"/>
        </w:rPr>
        <w:t xml:space="preserve"> </w:t>
      </w:r>
      <w:r w:rsidRPr="00323796" w:rsidR="003452E6">
        <w:rPr>
          <w:rFonts w:cstheme="minorHAnsi"/>
          <w:i/>
          <w:iCs/>
          <w:szCs w:val="26"/>
        </w:rPr>
        <w:t xml:space="preserve">Wixted v. Fletcher </w:t>
      </w:r>
      <w:r w:rsidRPr="00323796" w:rsidR="003452E6">
        <w:rPr>
          <w:rFonts w:cstheme="minorHAnsi"/>
          <w:szCs w:val="26"/>
        </w:rPr>
        <w:t>(1961) 192 Cal.App.2d 706</w:t>
      </w:r>
      <w:r w:rsidRPr="00323796" w:rsidR="00511FE7">
        <w:rPr>
          <w:rFonts w:cstheme="minorHAnsi"/>
          <w:szCs w:val="26"/>
        </w:rPr>
        <w:t xml:space="preserve"> (</w:t>
      </w:r>
      <w:r w:rsidRPr="00323796" w:rsidR="00511FE7">
        <w:rPr>
          <w:rFonts w:cstheme="minorHAnsi"/>
          <w:i/>
          <w:iCs/>
          <w:szCs w:val="26"/>
        </w:rPr>
        <w:t>Wixted</w:t>
      </w:r>
      <w:r w:rsidRPr="00323796" w:rsidR="00511FE7">
        <w:rPr>
          <w:rFonts w:cstheme="minorHAnsi"/>
          <w:szCs w:val="26"/>
        </w:rPr>
        <w:t>)</w:t>
      </w:r>
      <w:r w:rsidRPr="00323796" w:rsidR="00BF76C0">
        <w:rPr>
          <w:rFonts w:cstheme="minorHAnsi"/>
          <w:szCs w:val="26"/>
        </w:rPr>
        <w:t>, the Court of Appeal</w:t>
      </w:r>
      <w:r w:rsidRPr="00323796" w:rsidR="00CB6551">
        <w:rPr>
          <w:rFonts w:cstheme="minorHAnsi"/>
          <w:szCs w:val="26"/>
        </w:rPr>
        <w:t xml:space="preserve"> </w:t>
      </w:r>
      <w:r w:rsidRPr="00323796" w:rsidR="00BF76C0">
        <w:rPr>
          <w:rFonts w:cstheme="minorHAnsi"/>
          <w:szCs w:val="26"/>
        </w:rPr>
        <w:t xml:space="preserve">aptly </w:t>
      </w:r>
      <w:r w:rsidRPr="00323796" w:rsidR="00C4037E">
        <w:rPr>
          <w:rFonts w:cstheme="minorHAnsi"/>
          <w:szCs w:val="26"/>
        </w:rPr>
        <w:t>summarized</w:t>
      </w:r>
      <w:r w:rsidRPr="00323796" w:rsidR="00BF76C0">
        <w:rPr>
          <w:rFonts w:cstheme="minorHAnsi"/>
          <w:szCs w:val="26"/>
        </w:rPr>
        <w:t xml:space="preserve"> the</w:t>
      </w:r>
      <w:r w:rsidRPr="00323796" w:rsidR="00C4037E">
        <w:rPr>
          <w:rFonts w:cstheme="minorHAnsi"/>
          <w:szCs w:val="26"/>
        </w:rPr>
        <w:t xml:space="preserve"> reason for the</w:t>
      </w:r>
      <w:r w:rsidRPr="00323796" w:rsidR="00BF76C0">
        <w:rPr>
          <w:rFonts w:cstheme="minorHAnsi"/>
          <w:szCs w:val="26"/>
        </w:rPr>
        <w:t xml:space="preserve"> rule as follows:  </w:t>
      </w:r>
      <w:r w:rsidRPr="00323796" w:rsidR="00CB6551">
        <w:rPr>
          <w:rFonts w:cstheme="minorHAnsi"/>
          <w:szCs w:val="26"/>
        </w:rPr>
        <w:t xml:space="preserve">“[N]ot only </w:t>
      </w:r>
      <w:r w:rsidRPr="00323796" w:rsidR="0015251C">
        <w:rPr>
          <w:rFonts w:cstheme="minorHAnsi"/>
          <w:szCs w:val="26"/>
        </w:rPr>
        <w:t>d</w:t>
      </w:r>
      <w:r w:rsidRPr="00323796" w:rsidR="00CB6551">
        <w:rPr>
          <w:rFonts w:cstheme="minorHAnsi"/>
          <w:szCs w:val="26"/>
        </w:rPr>
        <w:t xml:space="preserve">o ‘considerations of public order and security require that the method of computing time be definite and certain,’ but some measure of uniformity in the law is achieved by adherence to the principles declared in </w:t>
      </w:r>
      <w:r w:rsidRPr="00323796" w:rsidR="00C33A02">
        <w:rPr>
          <w:rFonts w:cstheme="minorHAnsi"/>
          <w:szCs w:val="26"/>
        </w:rPr>
        <w:t>[</w:t>
      </w:r>
      <w:r w:rsidRPr="00323796" w:rsidR="00C33A02">
        <w:rPr>
          <w:rFonts w:cstheme="minorHAnsi"/>
          <w:i/>
          <w:iCs/>
          <w:szCs w:val="26"/>
        </w:rPr>
        <w:t>Ley</w:t>
      </w:r>
      <w:r w:rsidRPr="00323796" w:rsidR="00C33A02">
        <w:rPr>
          <w:rFonts w:cstheme="minorHAnsi"/>
          <w:szCs w:val="26"/>
        </w:rPr>
        <w:t>]</w:t>
      </w:r>
      <w:r w:rsidRPr="00323796" w:rsidR="00CB6551">
        <w:rPr>
          <w:rFonts w:cstheme="minorHAnsi"/>
          <w:szCs w:val="26"/>
        </w:rPr>
        <w:t xml:space="preserve">.  Thus, for years the rule of the first day’s exclusion has been applied in a variety of procedural situations </w:t>
      </w:r>
      <w:r w:rsidRPr="00323796" w:rsidR="00176985">
        <w:rPr>
          <w:rFonts w:cstheme="minorHAnsi"/>
          <w:szCs w:val="26"/>
        </w:rPr>
        <w:t>. . . .</w:t>
      </w:r>
      <w:r w:rsidRPr="00323796" w:rsidR="00CB6551">
        <w:rPr>
          <w:rFonts w:cstheme="minorHAnsi"/>
          <w:szCs w:val="26"/>
        </w:rPr>
        <w:t xml:space="preserve">  </w:t>
      </w:r>
      <w:r w:rsidRPr="00323796" w:rsidR="009A1D86">
        <w:rPr>
          <w:rFonts w:cstheme="minorHAnsi"/>
          <w:szCs w:val="26"/>
        </w:rPr>
        <w:t>There are already enough legal subtleties without adding the further refinement that one rule of time computation must be applied to certain statutes of limitation and still another to procedural situations.”</w:t>
      </w:r>
      <w:r w:rsidRPr="00323796" w:rsidR="0038368B">
        <w:rPr>
          <w:rFonts w:cstheme="minorHAnsi"/>
          <w:szCs w:val="26"/>
        </w:rPr>
        <w:t xml:space="preserve">  (</w:t>
      </w:r>
      <w:r w:rsidRPr="00323796" w:rsidR="0038368B">
        <w:rPr>
          <w:rFonts w:cstheme="minorHAnsi"/>
          <w:i/>
          <w:iCs/>
          <w:szCs w:val="26"/>
        </w:rPr>
        <w:t>Id.</w:t>
      </w:r>
      <w:r w:rsidRPr="00323796" w:rsidR="0038368B">
        <w:rPr>
          <w:rFonts w:cstheme="minorHAnsi"/>
          <w:szCs w:val="26"/>
        </w:rPr>
        <w:t xml:space="preserve"> at p.</w:t>
      </w:r>
      <w:r w:rsidR="008D6DE2">
        <w:rPr>
          <w:rFonts w:cstheme="minorHAnsi"/>
          <w:szCs w:val="26"/>
        </w:rPr>
        <w:t> </w:t>
      </w:r>
      <w:r w:rsidRPr="00323796" w:rsidR="0038368B">
        <w:rPr>
          <w:rFonts w:cstheme="minorHAnsi"/>
          <w:szCs w:val="26"/>
        </w:rPr>
        <w:t>709.)</w:t>
      </w:r>
    </w:p>
    <w:p w:rsidR="000B759A" w:rsidRPr="00323796" w:rsidP="00323796" w14:paraId="76935B2D" w14:textId="3840DB16">
      <w:pPr>
        <w:tabs>
          <w:tab w:val="left" w:pos="1440"/>
        </w:tabs>
        <w:ind w:firstLine="720"/>
        <w:rPr>
          <w:rFonts w:cstheme="minorHAnsi"/>
          <w:szCs w:val="26"/>
        </w:rPr>
      </w:pPr>
      <w:r w:rsidRPr="00323796">
        <w:rPr>
          <w:rFonts w:cstheme="minorHAnsi"/>
          <w:szCs w:val="26"/>
        </w:rPr>
        <w:t>Defendants argue</w:t>
      </w:r>
      <w:r w:rsidRPr="00323796" w:rsidR="001367D5">
        <w:rPr>
          <w:rFonts w:cstheme="minorHAnsi"/>
          <w:szCs w:val="26"/>
        </w:rPr>
        <w:t xml:space="preserve"> that</w:t>
      </w:r>
      <w:r w:rsidRPr="00323796" w:rsidR="00A1760E">
        <w:rPr>
          <w:rFonts w:cstheme="minorHAnsi"/>
          <w:szCs w:val="26"/>
        </w:rPr>
        <w:t xml:space="preserve"> </w:t>
      </w:r>
      <w:r w:rsidRPr="00323796" w:rsidR="007A470A">
        <w:rPr>
          <w:rFonts w:cstheme="minorHAnsi"/>
          <w:szCs w:val="26"/>
        </w:rPr>
        <w:t>an exception to</w:t>
      </w:r>
      <w:r w:rsidRPr="00323796" w:rsidR="00383E13">
        <w:rPr>
          <w:rFonts w:cstheme="minorHAnsi"/>
          <w:szCs w:val="26"/>
        </w:rPr>
        <w:t xml:space="preserve"> </w:t>
      </w:r>
      <w:r w:rsidRPr="00323796" w:rsidR="007A470A">
        <w:rPr>
          <w:rFonts w:cstheme="minorHAnsi"/>
          <w:szCs w:val="26"/>
        </w:rPr>
        <w:t xml:space="preserve">the general first day exclusion rule applies when, as here, the </w:t>
      </w:r>
      <w:r w:rsidRPr="00323796" w:rsidR="00F91AAF">
        <w:rPr>
          <w:rFonts w:cstheme="minorHAnsi"/>
          <w:szCs w:val="26"/>
        </w:rPr>
        <w:t>plaintiff has the whole of the first day to sue</w:t>
      </w:r>
      <w:r w:rsidRPr="00323796" w:rsidR="006D427D">
        <w:rPr>
          <w:rFonts w:cstheme="minorHAnsi"/>
          <w:szCs w:val="26"/>
        </w:rPr>
        <w:t xml:space="preserve">.  </w:t>
      </w:r>
      <w:r w:rsidRPr="00323796">
        <w:rPr>
          <w:rFonts w:cstheme="minorHAnsi"/>
          <w:szCs w:val="26"/>
        </w:rPr>
        <w:t xml:space="preserve">They </w:t>
      </w:r>
      <w:r w:rsidRPr="00323796" w:rsidR="00387832">
        <w:rPr>
          <w:rFonts w:cstheme="minorHAnsi"/>
          <w:szCs w:val="26"/>
        </w:rPr>
        <w:t>maintain</w:t>
      </w:r>
      <w:r w:rsidRPr="00323796" w:rsidR="002B5C09">
        <w:rPr>
          <w:rFonts w:cstheme="minorHAnsi"/>
          <w:szCs w:val="26"/>
        </w:rPr>
        <w:t xml:space="preserve"> </w:t>
      </w:r>
      <w:r w:rsidRPr="00323796">
        <w:rPr>
          <w:rFonts w:cstheme="minorHAnsi"/>
          <w:szCs w:val="26"/>
        </w:rPr>
        <w:t>that</w:t>
      </w:r>
      <w:r w:rsidRPr="00323796" w:rsidR="00A01238">
        <w:rPr>
          <w:rFonts w:cstheme="minorHAnsi"/>
          <w:szCs w:val="26"/>
        </w:rPr>
        <w:t xml:space="preserve"> the </w:t>
      </w:r>
      <w:r w:rsidRPr="00323796" w:rsidR="007323D0">
        <w:rPr>
          <w:rFonts w:cstheme="minorHAnsi"/>
          <w:szCs w:val="26"/>
        </w:rPr>
        <w:t>law recognizes no fractions of a day</w:t>
      </w:r>
      <w:r w:rsidR="004462D3">
        <w:rPr>
          <w:rFonts w:cstheme="minorHAnsi"/>
          <w:szCs w:val="26"/>
        </w:rPr>
        <w:t>,</w:t>
      </w:r>
      <w:r w:rsidRPr="00323796" w:rsidR="007323D0">
        <w:rPr>
          <w:rFonts w:cstheme="minorHAnsi"/>
          <w:szCs w:val="26"/>
        </w:rPr>
        <w:t xml:space="preserve"> and the </w:t>
      </w:r>
      <w:r w:rsidRPr="00323796" w:rsidR="00A01238">
        <w:rPr>
          <w:rFonts w:cstheme="minorHAnsi"/>
          <w:szCs w:val="26"/>
        </w:rPr>
        <w:t>purpose of</w:t>
      </w:r>
      <w:r w:rsidRPr="00323796">
        <w:rPr>
          <w:rFonts w:cstheme="minorHAnsi"/>
          <w:szCs w:val="26"/>
        </w:rPr>
        <w:t xml:space="preserve"> section 12</w:t>
      </w:r>
      <w:r w:rsidRPr="00323796" w:rsidR="00A01238">
        <w:rPr>
          <w:rFonts w:cstheme="minorHAnsi"/>
          <w:szCs w:val="26"/>
        </w:rPr>
        <w:t xml:space="preserve">’s exclusion </w:t>
      </w:r>
      <w:r w:rsidRPr="00323796" w:rsidR="00387832">
        <w:rPr>
          <w:rFonts w:cstheme="minorHAnsi"/>
          <w:szCs w:val="26"/>
        </w:rPr>
        <w:t xml:space="preserve">of the first day </w:t>
      </w:r>
      <w:r w:rsidRPr="00323796" w:rsidR="00094825">
        <w:rPr>
          <w:rFonts w:cstheme="minorHAnsi"/>
          <w:szCs w:val="26"/>
        </w:rPr>
        <w:t>i</w:t>
      </w:r>
      <w:r w:rsidRPr="00323796" w:rsidR="00A01238">
        <w:rPr>
          <w:rFonts w:cstheme="minorHAnsi"/>
          <w:szCs w:val="26"/>
        </w:rPr>
        <w:t>s</w:t>
      </w:r>
      <w:r w:rsidRPr="00323796">
        <w:rPr>
          <w:rFonts w:cstheme="minorHAnsi"/>
          <w:szCs w:val="26"/>
        </w:rPr>
        <w:t xml:space="preserve"> to give parties the full measure of days to satisfy statutory deadlines.  </w:t>
      </w:r>
      <w:r w:rsidRPr="00323796">
        <w:rPr>
          <w:rFonts w:cstheme="minorHAnsi"/>
          <w:szCs w:val="26"/>
        </w:rPr>
        <w:t>Defendants assert</w:t>
      </w:r>
      <w:r w:rsidRPr="00323796">
        <w:rPr>
          <w:rFonts w:cstheme="minorHAnsi"/>
          <w:szCs w:val="26"/>
        </w:rPr>
        <w:t xml:space="preserve"> that when the cause of action accrues on a partially spent day, </w:t>
      </w:r>
      <w:r w:rsidRPr="00323796" w:rsidR="009873A7">
        <w:rPr>
          <w:rFonts w:cstheme="minorHAnsi"/>
          <w:szCs w:val="26"/>
        </w:rPr>
        <w:t xml:space="preserve">then </w:t>
      </w:r>
      <w:r w:rsidRPr="00323796">
        <w:rPr>
          <w:rFonts w:cstheme="minorHAnsi"/>
          <w:szCs w:val="26"/>
        </w:rPr>
        <w:t>that day is excluded under section 12; but</w:t>
      </w:r>
      <w:r w:rsidRPr="00323796" w:rsidR="00A53D75">
        <w:rPr>
          <w:rFonts w:cstheme="minorHAnsi"/>
          <w:szCs w:val="26"/>
        </w:rPr>
        <w:t xml:space="preserve">, they maintain, </w:t>
      </w:r>
      <w:r w:rsidRPr="00323796" w:rsidR="009873A7">
        <w:rPr>
          <w:rFonts w:cstheme="minorHAnsi"/>
          <w:szCs w:val="26"/>
        </w:rPr>
        <w:t xml:space="preserve">when </w:t>
      </w:r>
      <w:r w:rsidRPr="00323796">
        <w:rPr>
          <w:rFonts w:cstheme="minorHAnsi"/>
          <w:szCs w:val="26"/>
        </w:rPr>
        <w:t xml:space="preserve">a cause of action accrues on the first minute of a day, that day </w:t>
      </w:r>
      <w:r w:rsidRPr="00323796" w:rsidR="00A53D75">
        <w:rPr>
          <w:rFonts w:cstheme="minorHAnsi"/>
          <w:szCs w:val="26"/>
        </w:rPr>
        <w:t>should be</w:t>
      </w:r>
      <w:r w:rsidRPr="00323796">
        <w:rPr>
          <w:rFonts w:cstheme="minorHAnsi"/>
          <w:szCs w:val="26"/>
        </w:rPr>
        <w:t xml:space="preserve"> included</w:t>
      </w:r>
      <w:r w:rsidRPr="00323796" w:rsidR="00A53D75">
        <w:rPr>
          <w:rFonts w:cstheme="minorHAnsi"/>
          <w:szCs w:val="26"/>
        </w:rPr>
        <w:t xml:space="preserve"> when calculating the running of the statute of limitations</w:t>
      </w:r>
      <w:r w:rsidRPr="00323796">
        <w:rPr>
          <w:rFonts w:cstheme="minorHAnsi"/>
          <w:szCs w:val="26"/>
        </w:rPr>
        <w:t xml:space="preserve">. </w:t>
      </w:r>
    </w:p>
    <w:p w:rsidR="004911B8" w:rsidRPr="00323796" w:rsidP="00323796" w14:paraId="5FB4A675" w14:textId="6507C41A">
      <w:pPr>
        <w:tabs>
          <w:tab w:val="left" w:pos="1440"/>
        </w:tabs>
        <w:ind w:firstLine="720"/>
        <w:rPr>
          <w:rFonts w:cstheme="minorHAnsi"/>
          <w:szCs w:val="26"/>
        </w:rPr>
      </w:pPr>
      <w:r w:rsidRPr="00323796">
        <w:rPr>
          <w:rFonts w:cstheme="minorHAnsi"/>
          <w:szCs w:val="26"/>
        </w:rPr>
        <w:t>We are unpersuaded</w:t>
      </w:r>
      <w:r w:rsidRPr="00323796" w:rsidR="00993716">
        <w:rPr>
          <w:rFonts w:cstheme="minorHAnsi"/>
          <w:szCs w:val="26"/>
        </w:rPr>
        <w:t xml:space="preserve">.  </w:t>
      </w:r>
      <w:r w:rsidRPr="00323796" w:rsidR="008D3404">
        <w:rPr>
          <w:rFonts w:cstheme="minorHAnsi"/>
          <w:szCs w:val="26"/>
        </w:rPr>
        <w:t xml:space="preserve">Although </w:t>
      </w:r>
      <w:r w:rsidRPr="00323796" w:rsidR="008011D3">
        <w:rPr>
          <w:rFonts w:cstheme="minorHAnsi"/>
          <w:szCs w:val="26"/>
        </w:rPr>
        <w:t>defendants claim</w:t>
      </w:r>
      <w:r w:rsidRPr="00323796" w:rsidR="008D3404">
        <w:rPr>
          <w:rFonts w:cstheme="minorHAnsi"/>
          <w:szCs w:val="26"/>
        </w:rPr>
        <w:t xml:space="preserve"> that</w:t>
      </w:r>
      <w:r w:rsidRPr="00323796" w:rsidR="007323D0">
        <w:rPr>
          <w:rFonts w:cstheme="minorHAnsi"/>
          <w:szCs w:val="26"/>
        </w:rPr>
        <w:t xml:space="preserve"> </w:t>
      </w:r>
      <w:r w:rsidRPr="00323796" w:rsidR="00E13B64">
        <w:rPr>
          <w:rFonts w:cstheme="minorHAnsi"/>
          <w:szCs w:val="26"/>
        </w:rPr>
        <w:t xml:space="preserve">section 12 was enacted </w:t>
      </w:r>
      <w:r w:rsidRPr="00323796" w:rsidR="005E5169">
        <w:rPr>
          <w:rFonts w:cstheme="minorHAnsi"/>
          <w:szCs w:val="26"/>
        </w:rPr>
        <w:t xml:space="preserve">to ensure that fractions of a day are not </w:t>
      </w:r>
      <w:r w:rsidRPr="00323796" w:rsidR="00B05236">
        <w:rPr>
          <w:rFonts w:cstheme="minorHAnsi"/>
          <w:szCs w:val="26"/>
        </w:rPr>
        <w:t xml:space="preserve">to be </w:t>
      </w:r>
      <w:r w:rsidRPr="00323796" w:rsidR="005E5169">
        <w:rPr>
          <w:rFonts w:cstheme="minorHAnsi"/>
          <w:szCs w:val="26"/>
        </w:rPr>
        <w:t>counted in calculating the applicable limitations period</w:t>
      </w:r>
      <w:r w:rsidRPr="00323796" w:rsidR="00731BC7">
        <w:rPr>
          <w:rFonts w:cstheme="minorHAnsi"/>
          <w:szCs w:val="26"/>
        </w:rPr>
        <w:t xml:space="preserve">, </w:t>
      </w:r>
      <w:r w:rsidRPr="00323796" w:rsidR="00B05236">
        <w:rPr>
          <w:rFonts w:cstheme="minorHAnsi"/>
          <w:szCs w:val="26"/>
        </w:rPr>
        <w:t>no such</w:t>
      </w:r>
      <w:r w:rsidRPr="00323796" w:rsidR="00323C2E">
        <w:rPr>
          <w:rFonts w:cstheme="minorHAnsi"/>
          <w:szCs w:val="26"/>
        </w:rPr>
        <w:t xml:space="preserve"> purpose </w:t>
      </w:r>
      <w:r w:rsidRPr="00323796" w:rsidR="008D3404">
        <w:rPr>
          <w:rFonts w:cstheme="minorHAnsi"/>
          <w:szCs w:val="26"/>
        </w:rPr>
        <w:t>is apparent from</w:t>
      </w:r>
      <w:r w:rsidRPr="00323796" w:rsidR="00323C2E">
        <w:rPr>
          <w:rFonts w:cstheme="minorHAnsi"/>
          <w:szCs w:val="26"/>
        </w:rPr>
        <w:t xml:space="preserve"> the statutory language or legislative history.</w:t>
      </w:r>
      <w:r w:rsidRPr="00323796" w:rsidR="00423E60">
        <w:rPr>
          <w:rFonts w:cstheme="minorHAnsi"/>
          <w:szCs w:val="26"/>
        </w:rPr>
        <w:t xml:space="preserve"> </w:t>
      </w:r>
      <w:r w:rsidRPr="00323796" w:rsidR="00682DC4">
        <w:rPr>
          <w:rFonts w:cstheme="minorHAnsi"/>
          <w:szCs w:val="26"/>
        </w:rPr>
        <w:t xml:space="preserve"> Instead, as our prior decisions </w:t>
      </w:r>
      <w:r w:rsidRPr="00323796" w:rsidR="00A9461B">
        <w:rPr>
          <w:rFonts w:cstheme="minorHAnsi"/>
          <w:szCs w:val="26"/>
        </w:rPr>
        <w:t>demonstrate</w:t>
      </w:r>
      <w:r w:rsidRPr="00323796" w:rsidR="00682DC4">
        <w:rPr>
          <w:rFonts w:cstheme="minorHAnsi"/>
          <w:szCs w:val="26"/>
        </w:rPr>
        <w:t>,</w:t>
      </w:r>
      <w:r w:rsidRPr="00323796" w:rsidR="0096626A">
        <w:rPr>
          <w:rFonts w:cstheme="minorHAnsi"/>
          <w:szCs w:val="26"/>
        </w:rPr>
        <w:t xml:space="preserve"> </w:t>
      </w:r>
      <w:r w:rsidRPr="00323796" w:rsidR="00A9461B">
        <w:rPr>
          <w:rFonts w:cstheme="minorHAnsi"/>
          <w:szCs w:val="26"/>
        </w:rPr>
        <w:t>the general rule for computing time</w:t>
      </w:r>
      <w:r w:rsidRPr="00323796" w:rsidR="00F01948">
        <w:rPr>
          <w:rFonts w:cstheme="minorHAnsi"/>
          <w:szCs w:val="26"/>
        </w:rPr>
        <w:t xml:space="preserve"> was adopted </w:t>
      </w:r>
      <w:r w:rsidRPr="00323796" w:rsidR="00024658">
        <w:rPr>
          <w:rFonts w:cstheme="minorHAnsi"/>
          <w:szCs w:val="26"/>
        </w:rPr>
        <w:t xml:space="preserve">to end the uncertainty inherent in deciding whether the first day </w:t>
      </w:r>
      <w:r w:rsidRPr="00323796" w:rsidR="00773820">
        <w:rPr>
          <w:rFonts w:cstheme="minorHAnsi"/>
          <w:szCs w:val="26"/>
        </w:rPr>
        <w:t>i</w:t>
      </w:r>
      <w:r w:rsidRPr="00323796" w:rsidR="00024658">
        <w:rPr>
          <w:rFonts w:cstheme="minorHAnsi"/>
          <w:szCs w:val="26"/>
        </w:rPr>
        <w:t>s</w:t>
      </w:r>
      <w:r w:rsidRPr="00323796" w:rsidR="00773820">
        <w:rPr>
          <w:rFonts w:cstheme="minorHAnsi"/>
          <w:szCs w:val="26"/>
        </w:rPr>
        <w:t xml:space="preserve"> to be</w:t>
      </w:r>
      <w:r w:rsidRPr="00323796" w:rsidR="00024658">
        <w:rPr>
          <w:rFonts w:cstheme="minorHAnsi"/>
          <w:szCs w:val="26"/>
        </w:rPr>
        <w:t xml:space="preserve"> included or excluded </w:t>
      </w:r>
      <w:r w:rsidRPr="00323796" w:rsidR="00512473">
        <w:rPr>
          <w:rFonts w:cstheme="minorHAnsi"/>
          <w:szCs w:val="26"/>
        </w:rPr>
        <w:t xml:space="preserve">based on the </w:t>
      </w:r>
      <w:r w:rsidRPr="00323796" w:rsidR="00773820">
        <w:rPr>
          <w:rFonts w:cstheme="minorHAnsi"/>
          <w:szCs w:val="26"/>
        </w:rPr>
        <w:t xml:space="preserve">particular </w:t>
      </w:r>
      <w:r w:rsidRPr="00323796" w:rsidR="00512473">
        <w:rPr>
          <w:rFonts w:cstheme="minorHAnsi"/>
          <w:szCs w:val="26"/>
        </w:rPr>
        <w:t>context and subject matter of each case</w:t>
      </w:r>
      <w:r w:rsidRPr="00323796" w:rsidR="00DA609D">
        <w:rPr>
          <w:rFonts w:cstheme="minorHAnsi"/>
          <w:szCs w:val="26"/>
        </w:rPr>
        <w:t xml:space="preserve">.  (See, e.g., </w:t>
      </w:r>
      <w:r w:rsidRPr="00323796" w:rsidR="002F1A8E">
        <w:rPr>
          <w:rFonts w:cstheme="minorHAnsi"/>
          <w:i/>
          <w:iCs/>
          <w:szCs w:val="26"/>
        </w:rPr>
        <w:t xml:space="preserve">Dingley v. McDonald </w:t>
      </w:r>
      <w:r w:rsidRPr="00323796" w:rsidR="002F1A8E">
        <w:rPr>
          <w:rFonts w:cstheme="minorHAnsi"/>
          <w:szCs w:val="26"/>
        </w:rPr>
        <w:t>(1899) 124</w:t>
      </w:r>
      <w:r w:rsidR="008D6DE2">
        <w:rPr>
          <w:rFonts w:cstheme="minorHAnsi"/>
          <w:szCs w:val="26"/>
        </w:rPr>
        <w:t> </w:t>
      </w:r>
      <w:r w:rsidRPr="00323796" w:rsidR="002F1A8E">
        <w:rPr>
          <w:rFonts w:cstheme="minorHAnsi"/>
          <w:szCs w:val="26"/>
        </w:rPr>
        <w:t>Cal. 90, 95</w:t>
      </w:r>
      <w:r w:rsidRPr="00323796" w:rsidR="0065245E">
        <w:rPr>
          <w:rFonts w:cstheme="minorHAnsi"/>
          <w:szCs w:val="26"/>
        </w:rPr>
        <w:t xml:space="preserve"> [conflicting decisions </w:t>
      </w:r>
      <w:r w:rsidRPr="00323796" w:rsidR="009500F2">
        <w:rPr>
          <w:rFonts w:cstheme="minorHAnsi"/>
          <w:szCs w:val="26"/>
        </w:rPr>
        <w:t xml:space="preserve">concerning </w:t>
      </w:r>
      <w:r w:rsidRPr="00323796" w:rsidR="0065245E">
        <w:rPr>
          <w:rFonts w:cstheme="minorHAnsi"/>
          <w:szCs w:val="26"/>
        </w:rPr>
        <w:t xml:space="preserve">whether the first day should be included in the </w:t>
      </w:r>
      <w:r w:rsidRPr="00323796" w:rsidR="00DD5831">
        <w:rPr>
          <w:rFonts w:cstheme="minorHAnsi"/>
          <w:szCs w:val="26"/>
        </w:rPr>
        <w:t>computation</w:t>
      </w:r>
      <w:r w:rsidRPr="00323796" w:rsidR="0065245E">
        <w:rPr>
          <w:rFonts w:cstheme="minorHAnsi"/>
          <w:szCs w:val="26"/>
        </w:rPr>
        <w:t xml:space="preserve"> of time </w:t>
      </w:r>
      <w:r w:rsidRPr="00323796" w:rsidR="00FF0BFE">
        <w:rPr>
          <w:rFonts w:cstheme="minorHAnsi"/>
          <w:szCs w:val="26"/>
        </w:rPr>
        <w:t xml:space="preserve">was “set at rest by section 12 </w:t>
      </w:r>
      <w:r w:rsidRPr="00323796" w:rsidR="00176985">
        <w:rPr>
          <w:rFonts w:cstheme="minorHAnsi"/>
          <w:szCs w:val="26"/>
        </w:rPr>
        <w:t>. . .</w:t>
      </w:r>
      <w:r w:rsidR="00841C00">
        <w:rPr>
          <w:rFonts w:cstheme="minorHAnsi"/>
          <w:szCs w:val="26"/>
        </w:rPr>
        <w:t> ,</w:t>
      </w:r>
      <w:r w:rsidRPr="00323796" w:rsidR="00176985">
        <w:rPr>
          <w:rFonts w:cstheme="minorHAnsi"/>
          <w:szCs w:val="26"/>
        </w:rPr>
        <w:t> </w:t>
      </w:r>
      <w:r w:rsidRPr="00323796" w:rsidR="00FF0BFE">
        <w:rPr>
          <w:rFonts w:cstheme="minorHAnsi"/>
          <w:szCs w:val="26"/>
        </w:rPr>
        <w:t>which requires the exclusion of the first day”]</w:t>
      </w:r>
      <w:r w:rsidRPr="00323796" w:rsidR="002F1A8E">
        <w:rPr>
          <w:rFonts w:cstheme="minorHAnsi"/>
          <w:szCs w:val="26"/>
        </w:rPr>
        <w:t xml:space="preserve">; </w:t>
      </w:r>
      <w:r w:rsidRPr="00323796" w:rsidR="000104A5">
        <w:rPr>
          <w:rFonts w:cstheme="minorHAnsi"/>
          <w:szCs w:val="26"/>
        </w:rPr>
        <w:t xml:space="preserve">see </w:t>
      </w:r>
      <w:r w:rsidRPr="00323796" w:rsidR="00905B5B">
        <w:rPr>
          <w:rFonts w:cstheme="minorHAnsi"/>
          <w:szCs w:val="26"/>
        </w:rPr>
        <w:t>a</w:t>
      </w:r>
      <w:r w:rsidRPr="00323796" w:rsidR="00643D29">
        <w:rPr>
          <w:rFonts w:cstheme="minorHAnsi"/>
          <w:szCs w:val="26"/>
        </w:rPr>
        <w:t>l</w:t>
      </w:r>
      <w:r w:rsidRPr="00323796" w:rsidR="00905B5B">
        <w:rPr>
          <w:rFonts w:cstheme="minorHAnsi"/>
          <w:szCs w:val="26"/>
        </w:rPr>
        <w:t>s</w:t>
      </w:r>
      <w:r w:rsidRPr="00323796" w:rsidR="00643D29">
        <w:rPr>
          <w:rFonts w:cstheme="minorHAnsi"/>
          <w:szCs w:val="26"/>
        </w:rPr>
        <w:t>o</w:t>
      </w:r>
      <w:r w:rsidRPr="00323796" w:rsidR="00905B5B">
        <w:rPr>
          <w:rFonts w:cstheme="minorHAnsi"/>
          <w:szCs w:val="26"/>
        </w:rPr>
        <w:t xml:space="preserve"> </w:t>
      </w:r>
      <w:r w:rsidRPr="00323796" w:rsidR="00DA609D">
        <w:rPr>
          <w:rFonts w:cstheme="minorHAnsi"/>
          <w:i/>
          <w:iCs/>
          <w:szCs w:val="26"/>
        </w:rPr>
        <w:t>Clayton</w:t>
      </w:r>
      <w:r w:rsidRPr="00323796" w:rsidR="00DA609D">
        <w:rPr>
          <w:rFonts w:cstheme="minorHAnsi"/>
          <w:szCs w:val="26"/>
        </w:rPr>
        <w:t xml:space="preserve">, </w:t>
      </w:r>
      <w:r w:rsidRPr="00323796" w:rsidR="00DA609D">
        <w:rPr>
          <w:rFonts w:cstheme="minorHAnsi"/>
          <w:i/>
          <w:iCs/>
          <w:szCs w:val="26"/>
        </w:rPr>
        <w:t>supra</w:t>
      </w:r>
      <w:r w:rsidRPr="00323796" w:rsidR="00DA609D">
        <w:rPr>
          <w:rFonts w:cstheme="minorHAnsi"/>
          <w:szCs w:val="26"/>
        </w:rPr>
        <w:t>, 18</w:t>
      </w:r>
      <w:r w:rsidR="008D6DE2">
        <w:rPr>
          <w:rFonts w:cstheme="minorHAnsi"/>
          <w:szCs w:val="26"/>
        </w:rPr>
        <w:t> </w:t>
      </w:r>
      <w:r w:rsidRPr="00323796" w:rsidR="00DA609D">
        <w:rPr>
          <w:rFonts w:cstheme="minorHAnsi"/>
          <w:szCs w:val="26"/>
        </w:rPr>
        <w:t>Cal.App.4th at p.</w:t>
      </w:r>
      <w:r w:rsidR="008D6DE2">
        <w:rPr>
          <w:rFonts w:cstheme="minorHAnsi"/>
          <w:szCs w:val="26"/>
        </w:rPr>
        <w:t> </w:t>
      </w:r>
      <w:r w:rsidRPr="00323796" w:rsidR="00DA609D">
        <w:rPr>
          <w:rFonts w:cstheme="minorHAnsi"/>
          <w:szCs w:val="26"/>
        </w:rPr>
        <w:t>443</w:t>
      </w:r>
      <w:r w:rsidRPr="00323796" w:rsidR="001441CD">
        <w:rPr>
          <w:rFonts w:cstheme="minorHAnsi"/>
          <w:szCs w:val="26"/>
        </w:rPr>
        <w:t xml:space="preserve"> [</w:t>
      </w:r>
      <w:r w:rsidRPr="00323796" w:rsidR="002F5374">
        <w:rPr>
          <w:rFonts w:cstheme="minorHAnsi"/>
          <w:szCs w:val="26"/>
        </w:rPr>
        <w:t>observing that “[f]</w:t>
      </w:r>
      <w:r w:rsidRPr="00323796" w:rsidR="00804616">
        <w:rPr>
          <w:rFonts w:cstheme="minorHAnsi"/>
          <w:szCs w:val="26"/>
        </w:rPr>
        <w:t>or more than two centuries</w:t>
      </w:r>
      <w:r w:rsidRPr="00323796" w:rsidR="00826DBE">
        <w:rPr>
          <w:rFonts w:cstheme="minorHAnsi"/>
          <w:szCs w:val="26"/>
        </w:rPr>
        <w:t xml:space="preserve"> [prior to the enactment of the general rule for computing time]</w:t>
      </w:r>
      <w:r w:rsidRPr="00323796" w:rsidR="00804616">
        <w:rPr>
          <w:rFonts w:cstheme="minorHAnsi"/>
          <w:szCs w:val="26"/>
        </w:rPr>
        <w:t xml:space="preserve">, </w:t>
      </w:r>
      <w:r w:rsidRPr="00323796" w:rsidR="00176985">
        <w:rPr>
          <w:rFonts w:cstheme="minorHAnsi"/>
          <w:szCs w:val="26"/>
        </w:rPr>
        <w:t>. . .</w:t>
      </w:r>
      <w:r w:rsidRPr="00323796" w:rsidR="00804616">
        <w:rPr>
          <w:rFonts w:cstheme="minorHAnsi"/>
          <w:szCs w:val="26"/>
        </w:rPr>
        <w:t xml:space="preserve"> the cases were in conflict and there was no fixed rule” regarding whether to exclude or include the first day]</w:t>
      </w:r>
      <w:r w:rsidRPr="00323796" w:rsidR="00DA609D">
        <w:rPr>
          <w:rFonts w:cstheme="minorHAnsi"/>
          <w:szCs w:val="26"/>
        </w:rPr>
        <w:t>.)</w:t>
      </w:r>
      <w:r w:rsidRPr="00323796" w:rsidR="00050F5C">
        <w:rPr>
          <w:rFonts w:cstheme="minorHAnsi"/>
          <w:szCs w:val="26"/>
        </w:rPr>
        <w:t xml:space="preserve"> </w:t>
      </w:r>
    </w:p>
    <w:p w:rsidR="00F83FDD" w:rsidRPr="00323796" w:rsidP="00323796" w14:paraId="7AB90859" w14:textId="3B421BEE">
      <w:pPr>
        <w:tabs>
          <w:tab w:val="left" w:pos="1440"/>
        </w:tabs>
        <w:ind w:firstLine="720"/>
        <w:rPr>
          <w:rFonts w:cstheme="minorHAnsi"/>
          <w:szCs w:val="26"/>
        </w:rPr>
      </w:pPr>
      <w:r w:rsidRPr="00323796">
        <w:rPr>
          <w:rFonts w:cstheme="minorHAnsi"/>
          <w:szCs w:val="26"/>
        </w:rPr>
        <w:t>T</w:t>
      </w:r>
      <w:r w:rsidRPr="00323796">
        <w:rPr>
          <w:rFonts w:cstheme="minorHAnsi"/>
          <w:szCs w:val="26"/>
        </w:rPr>
        <w:t>he Association of Southern California Defense Counsel</w:t>
      </w:r>
      <w:r w:rsidRPr="00323796" w:rsidR="004D7AB3">
        <w:rPr>
          <w:rFonts w:cstheme="minorHAnsi"/>
          <w:szCs w:val="26"/>
        </w:rPr>
        <w:t>,</w:t>
      </w:r>
      <w:r w:rsidRPr="00323796">
        <w:rPr>
          <w:rFonts w:cstheme="minorHAnsi"/>
          <w:szCs w:val="26"/>
        </w:rPr>
        <w:t xml:space="preserve"> </w:t>
      </w:r>
      <w:r w:rsidRPr="00323796">
        <w:rPr>
          <w:rFonts w:cstheme="minorHAnsi"/>
          <w:szCs w:val="26"/>
        </w:rPr>
        <w:t xml:space="preserve">amicus curiae on behalf of </w:t>
      </w:r>
      <w:r w:rsidRPr="00323796" w:rsidR="00D45408">
        <w:rPr>
          <w:rFonts w:cstheme="minorHAnsi"/>
          <w:szCs w:val="26"/>
        </w:rPr>
        <w:t>defendants</w:t>
      </w:r>
      <w:r w:rsidRPr="00323796">
        <w:rPr>
          <w:rFonts w:cstheme="minorHAnsi"/>
          <w:szCs w:val="26"/>
        </w:rPr>
        <w:t xml:space="preserve">, </w:t>
      </w:r>
      <w:r w:rsidRPr="00323796">
        <w:rPr>
          <w:rFonts w:cstheme="minorHAnsi"/>
          <w:szCs w:val="26"/>
        </w:rPr>
        <w:t xml:space="preserve">asserts that interpreting section 12 to exclude a plaintiff’s 18th birthday would clash with the statutory definition of a year as </w:t>
      </w:r>
      <w:r w:rsidRPr="00323796" w:rsidR="0066612E">
        <w:rPr>
          <w:rFonts w:cstheme="minorHAnsi"/>
          <w:szCs w:val="26"/>
        </w:rPr>
        <w:t xml:space="preserve">being </w:t>
      </w:r>
      <w:r w:rsidRPr="00323796">
        <w:rPr>
          <w:rFonts w:cstheme="minorHAnsi"/>
          <w:szCs w:val="26"/>
        </w:rPr>
        <w:t xml:space="preserve">365 days (Gov. Code, § 6803), because a plaintiff would have 366 days to file suit, and thereby “thrust the statutes into inexorable conflict.”  </w:t>
      </w:r>
      <w:r w:rsidRPr="00323796" w:rsidR="003F0C19">
        <w:rPr>
          <w:rFonts w:cstheme="minorHAnsi"/>
          <w:szCs w:val="26"/>
        </w:rPr>
        <w:t>Again, w</w:t>
      </w:r>
      <w:r w:rsidRPr="00323796" w:rsidR="00845A4B">
        <w:rPr>
          <w:rFonts w:cstheme="minorHAnsi"/>
          <w:szCs w:val="26"/>
        </w:rPr>
        <w:t>e are</w:t>
      </w:r>
      <w:r w:rsidRPr="00323796">
        <w:rPr>
          <w:rFonts w:cstheme="minorHAnsi"/>
          <w:szCs w:val="26"/>
        </w:rPr>
        <w:t xml:space="preserve"> </w:t>
      </w:r>
      <w:r w:rsidRPr="00323796" w:rsidR="003F0C19">
        <w:rPr>
          <w:rFonts w:cstheme="minorHAnsi"/>
          <w:szCs w:val="26"/>
        </w:rPr>
        <w:t>unconvinced</w:t>
      </w:r>
      <w:r w:rsidRPr="00323796">
        <w:rPr>
          <w:rFonts w:cstheme="minorHAnsi"/>
          <w:szCs w:val="26"/>
        </w:rPr>
        <w:t>.  It is well</w:t>
      </w:r>
      <w:r w:rsidR="00841C00">
        <w:rPr>
          <w:rFonts w:cstheme="minorHAnsi"/>
          <w:szCs w:val="26"/>
        </w:rPr>
        <w:t xml:space="preserve"> </w:t>
      </w:r>
      <w:r w:rsidRPr="00323796">
        <w:rPr>
          <w:rFonts w:cstheme="minorHAnsi"/>
          <w:szCs w:val="26"/>
        </w:rPr>
        <w:t>settled that, generally speaking, if the 365th day falls on a Saturday, Sunday, or a holiday, that day is also excluded, thereby giving a plaintiff more than a “year” in which bring an action.  (§</w:t>
      </w:r>
      <w:r w:rsidRPr="00323796" w:rsidR="00F5276C">
        <w:rPr>
          <w:rFonts w:cstheme="minorHAnsi"/>
          <w:szCs w:val="26"/>
        </w:rPr>
        <w:t>§</w:t>
      </w:r>
      <w:r w:rsidRPr="00323796">
        <w:rPr>
          <w:rFonts w:cstheme="minorHAnsi"/>
          <w:szCs w:val="26"/>
        </w:rPr>
        <w:t> 12</w:t>
      </w:r>
      <w:r w:rsidRPr="00323796" w:rsidR="00A176D6">
        <w:rPr>
          <w:rFonts w:cstheme="minorHAnsi"/>
          <w:szCs w:val="26"/>
        </w:rPr>
        <w:t>, 12a, subd. (a)</w:t>
      </w:r>
      <w:r w:rsidRPr="00323796">
        <w:rPr>
          <w:rFonts w:cstheme="minorHAnsi"/>
          <w:szCs w:val="26"/>
        </w:rPr>
        <w:t xml:space="preserve">; see, e.g., </w:t>
      </w:r>
      <w:r w:rsidRPr="00323796">
        <w:rPr>
          <w:rFonts w:cstheme="minorHAnsi"/>
          <w:i/>
          <w:iCs/>
          <w:szCs w:val="26"/>
        </w:rPr>
        <w:t xml:space="preserve">Alford v. Industrial Acc. Commission </w:t>
      </w:r>
      <w:r w:rsidRPr="00323796">
        <w:rPr>
          <w:rFonts w:cstheme="minorHAnsi"/>
          <w:szCs w:val="26"/>
        </w:rPr>
        <w:t xml:space="preserve">(1946) 28 Cal.2d 198, 200; </w:t>
      </w:r>
      <w:r w:rsidRPr="00323796">
        <w:rPr>
          <w:rFonts w:cstheme="minorHAnsi"/>
          <w:i/>
          <w:iCs/>
          <w:szCs w:val="26"/>
        </w:rPr>
        <w:t>Mox</w:t>
      </w:r>
      <w:r w:rsidRPr="00323796">
        <w:rPr>
          <w:rFonts w:cstheme="minorHAnsi"/>
          <w:szCs w:val="26"/>
        </w:rPr>
        <w:t xml:space="preserve">, </w:t>
      </w:r>
      <w:r w:rsidRPr="00323796">
        <w:rPr>
          <w:rFonts w:cstheme="minorHAnsi"/>
          <w:i/>
          <w:iCs/>
          <w:szCs w:val="26"/>
        </w:rPr>
        <w:t>supra</w:t>
      </w:r>
      <w:r w:rsidRPr="00323796">
        <w:rPr>
          <w:rFonts w:cstheme="minorHAnsi"/>
          <w:szCs w:val="26"/>
        </w:rPr>
        <w:t xml:space="preserve">, 89 Cal.App. at p. 257.)  </w:t>
      </w:r>
      <w:r w:rsidRPr="00323796" w:rsidR="0019342C">
        <w:rPr>
          <w:rFonts w:cstheme="minorHAnsi"/>
          <w:szCs w:val="26"/>
        </w:rPr>
        <w:t xml:space="preserve">We </w:t>
      </w:r>
      <w:r w:rsidRPr="00323796">
        <w:rPr>
          <w:rFonts w:cstheme="minorHAnsi"/>
          <w:szCs w:val="26"/>
        </w:rPr>
        <w:t xml:space="preserve">do not discern any </w:t>
      </w:r>
      <w:r w:rsidRPr="00323796" w:rsidR="00BA64D2">
        <w:rPr>
          <w:rFonts w:cstheme="minorHAnsi"/>
          <w:szCs w:val="26"/>
        </w:rPr>
        <w:t xml:space="preserve">serious </w:t>
      </w:r>
      <w:r w:rsidRPr="00323796">
        <w:rPr>
          <w:rFonts w:cstheme="minorHAnsi"/>
          <w:szCs w:val="26"/>
        </w:rPr>
        <w:t xml:space="preserve">difficulty </w:t>
      </w:r>
      <w:r w:rsidRPr="00323796" w:rsidR="00BA64D2">
        <w:rPr>
          <w:rFonts w:cstheme="minorHAnsi"/>
          <w:szCs w:val="26"/>
        </w:rPr>
        <w:t xml:space="preserve">for </w:t>
      </w:r>
      <w:r w:rsidRPr="00323796">
        <w:rPr>
          <w:rFonts w:cstheme="minorHAnsi"/>
          <w:szCs w:val="26"/>
        </w:rPr>
        <w:t>the lower courts in calculating such a limitations period.</w:t>
      </w:r>
    </w:p>
    <w:p w:rsidR="00F83FDD" w:rsidRPr="00323796" w:rsidP="00323796" w14:paraId="516A6BDE" w14:textId="2E874556">
      <w:pPr>
        <w:tabs>
          <w:tab w:val="left" w:pos="1440"/>
        </w:tabs>
        <w:ind w:firstLine="720"/>
        <w:rPr>
          <w:rFonts w:cstheme="minorHAnsi"/>
          <w:szCs w:val="26"/>
        </w:rPr>
      </w:pPr>
      <w:r w:rsidRPr="00323796">
        <w:rPr>
          <w:rFonts w:cstheme="minorHAnsi"/>
          <w:szCs w:val="26"/>
        </w:rPr>
        <w:t>Amicus curiae</w:t>
      </w:r>
      <w:r w:rsidRPr="00323796" w:rsidR="00845A4B">
        <w:rPr>
          <w:rFonts w:cstheme="minorHAnsi"/>
          <w:szCs w:val="26"/>
        </w:rPr>
        <w:t xml:space="preserve"> </w:t>
      </w:r>
      <w:r w:rsidRPr="00323796">
        <w:rPr>
          <w:rFonts w:cstheme="minorHAnsi"/>
          <w:szCs w:val="26"/>
        </w:rPr>
        <w:t>also asserts that section 12’s exclusion of the first day is “inextricably linked to the law’s refusal to recognize fractional days</w:t>
      </w:r>
      <w:r w:rsidRPr="00323796" w:rsidR="00101536">
        <w:rPr>
          <w:rFonts w:cstheme="minorHAnsi"/>
          <w:szCs w:val="26"/>
        </w:rPr>
        <w:t>”</w:t>
      </w:r>
      <w:r w:rsidRPr="00323796">
        <w:rPr>
          <w:rFonts w:cstheme="minorHAnsi"/>
          <w:szCs w:val="26"/>
        </w:rPr>
        <w:t xml:space="preserve"> and that there is no reason to apply the general rule when a person attains the age of majority because </w:t>
      </w:r>
      <w:r w:rsidRPr="00323796" w:rsidR="00A03628">
        <w:rPr>
          <w:rFonts w:cstheme="minorHAnsi"/>
          <w:szCs w:val="26"/>
        </w:rPr>
        <w:t xml:space="preserve">an </w:t>
      </w:r>
      <w:r w:rsidRPr="00323796">
        <w:rPr>
          <w:rFonts w:cstheme="minorHAnsi"/>
          <w:szCs w:val="26"/>
        </w:rPr>
        <w:t xml:space="preserve">individual always turns 18 on the first minute of his or her birthday.  However, the statute instructs that “[t]he time in which any act provided by law is to be done is computed by excluding the first </w:t>
      </w:r>
      <w:r w:rsidRPr="00323796">
        <w:rPr>
          <w:rFonts w:cstheme="minorHAnsi"/>
          <w:i/>
          <w:iCs/>
          <w:szCs w:val="26"/>
        </w:rPr>
        <w:t>day</w:t>
      </w:r>
      <w:r w:rsidR="00C62B31">
        <w:rPr>
          <w:rFonts w:cstheme="minorHAnsi"/>
          <w:szCs w:val="26"/>
        </w:rPr>
        <w:t> . . . </w:t>
      </w:r>
      <w:r w:rsidRPr="00323796">
        <w:rPr>
          <w:rFonts w:cstheme="minorHAnsi"/>
          <w:szCs w:val="26"/>
        </w:rPr>
        <w:t>.”  (§ 12, italics added.)  It does not limit the first day exclusion rule to partially</w:t>
      </w:r>
      <w:r w:rsidR="00C62B31">
        <w:rPr>
          <w:rFonts w:cstheme="minorHAnsi"/>
          <w:szCs w:val="26"/>
        </w:rPr>
        <w:t xml:space="preserve"> </w:t>
      </w:r>
      <w:r w:rsidRPr="00323796">
        <w:rPr>
          <w:rFonts w:cstheme="minorHAnsi"/>
          <w:szCs w:val="26"/>
        </w:rPr>
        <w:t>spent days.  If the Legislature wished to exclude only fractional days, it could have easily so stated.  In light of the plain language of the statute, whi</w:t>
      </w:r>
      <w:r w:rsidRPr="00323796" w:rsidR="00007080">
        <w:rPr>
          <w:rFonts w:cstheme="minorHAnsi"/>
          <w:szCs w:val="26"/>
        </w:rPr>
        <w:t xml:space="preserve">ch </w:t>
      </w:r>
      <w:r w:rsidRPr="00323796">
        <w:rPr>
          <w:rFonts w:cstheme="minorHAnsi"/>
          <w:szCs w:val="26"/>
        </w:rPr>
        <w:t>has remained unchanged since its enactment in 1872</w:t>
      </w:r>
      <w:r w:rsidRPr="00323796" w:rsidR="007A05CE">
        <w:rPr>
          <w:rFonts w:cstheme="minorHAnsi"/>
          <w:szCs w:val="26"/>
        </w:rPr>
        <w:t xml:space="preserve"> and does not limit its application to a first “partial” day</w:t>
      </w:r>
      <w:r w:rsidRPr="00323796">
        <w:rPr>
          <w:rFonts w:cstheme="minorHAnsi"/>
          <w:szCs w:val="26"/>
        </w:rPr>
        <w:t xml:space="preserve">, </w:t>
      </w:r>
      <w:r w:rsidRPr="00323796">
        <w:rPr>
          <w:rFonts w:cstheme="minorHAnsi"/>
          <w:szCs w:val="26"/>
        </w:rPr>
        <w:t xml:space="preserve">we </w:t>
      </w:r>
      <w:r w:rsidRPr="00323796">
        <w:rPr>
          <w:rFonts w:cstheme="minorHAnsi"/>
          <w:szCs w:val="26"/>
        </w:rPr>
        <w:t>cannot conclude that the first day to sue should be exempted from the general rule, and therefore counted, when it is a “whole” day.</w:t>
      </w:r>
      <w:r w:rsidRPr="00323796" w:rsidR="002E3BE4">
        <w:rPr>
          <w:rFonts w:cstheme="minorHAnsi"/>
          <w:szCs w:val="26"/>
        </w:rPr>
        <w:t xml:space="preserve">  Moreover</w:t>
      </w:r>
      <w:r w:rsidRPr="00323796" w:rsidR="00557791">
        <w:rPr>
          <w:rFonts w:cstheme="minorHAnsi"/>
          <w:szCs w:val="26"/>
        </w:rPr>
        <w:t xml:space="preserve">, the legislative history indicates that the general rule for computing time was enacted to </w:t>
      </w:r>
      <w:r w:rsidRPr="00323796" w:rsidR="002E3BE4">
        <w:rPr>
          <w:rFonts w:cstheme="minorHAnsi"/>
          <w:szCs w:val="26"/>
        </w:rPr>
        <w:t>achieve uniformity and certainty</w:t>
      </w:r>
      <w:r w:rsidRPr="00323796" w:rsidR="00557791">
        <w:rPr>
          <w:rFonts w:cstheme="minorHAnsi"/>
          <w:szCs w:val="26"/>
        </w:rPr>
        <w:t xml:space="preserve">.  </w:t>
      </w:r>
      <w:r w:rsidRPr="00323796" w:rsidR="005504AE">
        <w:rPr>
          <w:rFonts w:cstheme="minorHAnsi"/>
          <w:szCs w:val="26"/>
        </w:rPr>
        <w:t xml:space="preserve">In </w:t>
      </w:r>
      <w:r w:rsidRPr="00323796">
        <w:rPr>
          <w:rFonts w:cstheme="minorHAnsi"/>
          <w:szCs w:val="26"/>
        </w:rPr>
        <w:t xml:space="preserve">our </w:t>
      </w:r>
      <w:r w:rsidRPr="00323796" w:rsidR="005504AE">
        <w:rPr>
          <w:rFonts w:cstheme="minorHAnsi"/>
          <w:szCs w:val="26"/>
        </w:rPr>
        <w:t>view,</w:t>
      </w:r>
      <w:r w:rsidRPr="00323796" w:rsidR="009F01C9">
        <w:rPr>
          <w:rFonts w:cstheme="minorHAnsi"/>
          <w:szCs w:val="26"/>
        </w:rPr>
        <w:t xml:space="preserve"> the significant goals of</w:t>
      </w:r>
      <w:r w:rsidRPr="00323796" w:rsidR="005504AE">
        <w:rPr>
          <w:rFonts w:cstheme="minorHAnsi"/>
          <w:szCs w:val="26"/>
        </w:rPr>
        <w:t xml:space="preserve"> </w:t>
      </w:r>
      <w:r w:rsidRPr="00323796" w:rsidR="00BE665D">
        <w:rPr>
          <w:rFonts w:cstheme="minorHAnsi"/>
          <w:szCs w:val="26"/>
        </w:rPr>
        <w:t>ensuring order and security</w:t>
      </w:r>
      <w:r w:rsidRPr="00323796" w:rsidR="009F01C9">
        <w:rPr>
          <w:rFonts w:cstheme="minorHAnsi"/>
          <w:szCs w:val="26"/>
        </w:rPr>
        <w:t xml:space="preserve"> weigh in favor of applying the general rule </w:t>
      </w:r>
      <w:r w:rsidRPr="00323796" w:rsidR="00266DFB">
        <w:rPr>
          <w:rFonts w:cstheme="minorHAnsi"/>
          <w:szCs w:val="26"/>
        </w:rPr>
        <w:t xml:space="preserve">governing </w:t>
      </w:r>
      <w:r w:rsidRPr="00323796" w:rsidR="009F01C9">
        <w:rPr>
          <w:rFonts w:cstheme="minorHAnsi"/>
          <w:szCs w:val="26"/>
        </w:rPr>
        <w:t xml:space="preserve">computing time </w:t>
      </w:r>
      <w:r w:rsidRPr="00323796" w:rsidR="000D3487">
        <w:rPr>
          <w:rFonts w:cstheme="minorHAnsi"/>
          <w:szCs w:val="26"/>
        </w:rPr>
        <w:t xml:space="preserve">to </w:t>
      </w:r>
      <w:r w:rsidRPr="00323796" w:rsidR="00266DFB">
        <w:rPr>
          <w:rFonts w:cstheme="minorHAnsi"/>
          <w:szCs w:val="26"/>
        </w:rPr>
        <w:t xml:space="preserve">calculating </w:t>
      </w:r>
      <w:r w:rsidRPr="00323796" w:rsidR="000D3487">
        <w:rPr>
          <w:rFonts w:cstheme="minorHAnsi"/>
          <w:szCs w:val="26"/>
        </w:rPr>
        <w:t>the applicable statute of limitations period after tolling based on minority ends.</w:t>
      </w:r>
      <w:r w:rsidRPr="00323796" w:rsidR="009F01C9">
        <w:rPr>
          <w:rFonts w:cstheme="minorHAnsi"/>
          <w:szCs w:val="26"/>
        </w:rPr>
        <w:t xml:space="preserve"> </w:t>
      </w:r>
    </w:p>
    <w:p w:rsidR="000B030E" w:rsidRPr="00323796" w:rsidP="00323796" w14:paraId="0E2433C3" w14:textId="6B6A08E2">
      <w:pPr>
        <w:tabs>
          <w:tab w:val="left" w:pos="1440"/>
        </w:tabs>
        <w:ind w:firstLine="720"/>
        <w:rPr>
          <w:rFonts w:cstheme="minorHAnsi"/>
          <w:szCs w:val="26"/>
        </w:rPr>
      </w:pPr>
      <w:r w:rsidRPr="00323796">
        <w:rPr>
          <w:rFonts w:cstheme="minorHAnsi"/>
          <w:szCs w:val="26"/>
        </w:rPr>
        <w:t>We</w:t>
      </w:r>
      <w:r w:rsidRPr="00323796" w:rsidR="00D64AC0">
        <w:rPr>
          <w:rFonts w:cstheme="minorHAnsi"/>
          <w:szCs w:val="26"/>
        </w:rPr>
        <w:t xml:space="preserve"> continue to adhere to </w:t>
      </w:r>
      <w:r w:rsidRPr="00323796" w:rsidR="00124ED9">
        <w:rPr>
          <w:rFonts w:cstheme="minorHAnsi"/>
          <w:szCs w:val="26"/>
        </w:rPr>
        <w:t xml:space="preserve">our holding in </w:t>
      </w:r>
      <w:r w:rsidRPr="00323796" w:rsidR="00124ED9">
        <w:rPr>
          <w:rFonts w:cstheme="minorHAnsi"/>
          <w:i/>
          <w:iCs/>
          <w:szCs w:val="26"/>
        </w:rPr>
        <w:t>Ley</w:t>
      </w:r>
      <w:r w:rsidRPr="00323796" w:rsidR="00AE12E7">
        <w:rPr>
          <w:rFonts w:cstheme="minorHAnsi"/>
          <w:i/>
          <w:iCs/>
          <w:szCs w:val="26"/>
        </w:rPr>
        <w:t>,</w:t>
      </w:r>
      <w:r w:rsidRPr="00323796" w:rsidR="00124ED9">
        <w:rPr>
          <w:rFonts w:cstheme="minorHAnsi"/>
          <w:szCs w:val="26"/>
        </w:rPr>
        <w:t xml:space="preserve"> that</w:t>
      </w:r>
      <w:r w:rsidRPr="00323796" w:rsidR="00AA632D">
        <w:rPr>
          <w:rFonts w:cstheme="minorHAnsi"/>
          <w:szCs w:val="26"/>
        </w:rPr>
        <w:t xml:space="preserve"> an exception to the ordinary rule for computation of time must be clearly expressed in the limitations statute.  (</w:t>
      </w:r>
      <w:r w:rsidRPr="00323796" w:rsidR="00AA632D">
        <w:rPr>
          <w:rFonts w:cstheme="minorHAnsi"/>
          <w:i/>
          <w:iCs/>
          <w:szCs w:val="26"/>
        </w:rPr>
        <w:t>Ley</w:t>
      </w:r>
      <w:r w:rsidRPr="00323796" w:rsidR="00AA632D">
        <w:rPr>
          <w:rFonts w:cstheme="minorHAnsi"/>
          <w:szCs w:val="26"/>
        </w:rPr>
        <w:t xml:space="preserve">, </w:t>
      </w:r>
      <w:r w:rsidRPr="00323796" w:rsidR="00AA632D">
        <w:rPr>
          <w:rFonts w:cstheme="minorHAnsi"/>
          <w:i/>
          <w:iCs/>
          <w:szCs w:val="26"/>
        </w:rPr>
        <w:t>supra</w:t>
      </w:r>
      <w:r w:rsidRPr="00323796" w:rsidR="00AA632D">
        <w:rPr>
          <w:rFonts w:cstheme="minorHAnsi"/>
          <w:szCs w:val="26"/>
        </w:rPr>
        <w:t>, 212</w:t>
      </w:r>
      <w:r w:rsidR="008D6DE2">
        <w:rPr>
          <w:rFonts w:cstheme="minorHAnsi"/>
          <w:szCs w:val="26"/>
        </w:rPr>
        <w:t> </w:t>
      </w:r>
      <w:r w:rsidRPr="00323796" w:rsidR="00AA632D">
        <w:rPr>
          <w:rFonts w:cstheme="minorHAnsi"/>
          <w:szCs w:val="26"/>
        </w:rPr>
        <w:t>Cal. at p. 59</w:t>
      </w:r>
      <w:r w:rsidRPr="00323796" w:rsidR="00BE05DB">
        <w:rPr>
          <w:rFonts w:cstheme="minorHAnsi"/>
          <w:szCs w:val="26"/>
        </w:rPr>
        <w:t>5</w:t>
      </w:r>
      <w:r w:rsidRPr="00323796" w:rsidR="00AA632D">
        <w:rPr>
          <w:rFonts w:cstheme="minorHAnsi"/>
          <w:szCs w:val="26"/>
        </w:rPr>
        <w:t xml:space="preserve">.)  </w:t>
      </w:r>
      <w:r w:rsidRPr="00323796" w:rsidR="00A34988">
        <w:rPr>
          <w:rFonts w:cstheme="minorHAnsi"/>
          <w:szCs w:val="26"/>
        </w:rPr>
        <w:t>T</w:t>
      </w:r>
      <w:r w:rsidRPr="00323796" w:rsidR="00842846">
        <w:rPr>
          <w:rFonts w:cstheme="minorHAnsi"/>
          <w:szCs w:val="26"/>
        </w:rPr>
        <w:t>urning to the statutory provisions</w:t>
      </w:r>
      <w:r w:rsidRPr="00323796" w:rsidR="00D87770">
        <w:rPr>
          <w:rFonts w:cstheme="minorHAnsi"/>
          <w:szCs w:val="26"/>
        </w:rPr>
        <w:t xml:space="preserve"> at issue in this case</w:t>
      </w:r>
      <w:r w:rsidRPr="00323796" w:rsidR="00842846">
        <w:rPr>
          <w:rFonts w:cstheme="minorHAnsi"/>
          <w:szCs w:val="26"/>
        </w:rPr>
        <w:t xml:space="preserve">, </w:t>
      </w:r>
      <w:r w:rsidRPr="00323796">
        <w:rPr>
          <w:rFonts w:cstheme="minorHAnsi"/>
          <w:szCs w:val="26"/>
        </w:rPr>
        <w:t xml:space="preserve">we </w:t>
      </w:r>
      <w:r w:rsidRPr="00323796" w:rsidR="00896F8B">
        <w:rPr>
          <w:rFonts w:cstheme="minorHAnsi"/>
          <w:szCs w:val="26"/>
        </w:rPr>
        <w:t xml:space="preserve">perceive </w:t>
      </w:r>
      <w:r w:rsidRPr="00323796" w:rsidR="005A76E6">
        <w:rPr>
          <w:rFonts w:cstheme="minorHAnsi"/>
          <w:szCs w:val="26"/>
        </w:rPr>
        <w:t>no such</w:t>
      </w:r>
      <w:r w:rsidRPr="00323796" w:rsidR="001B0796">
        <w:rPr>
          <w:rFonts w:cstheme="minorHAnsi"/>
          <w:szCs w:val="26"/>
        </w:rPr>
        <w:t xml:space="preserve"> </w:t>
      </w:r>
      <w:r w:rsidRPr="00323796" w:rsidR="00DC694A">
        <w:rPr>
          <w:rFonts w:cstheme="minorHAnsi"/>
          <w:color w:val="000000"/>
          <w:szCs w:val="26"/>
        </w:rPr>
        <w:t>expression of</w:t>
      </w:r>
      <w:r w:rsidRPr="00323796" w:rsidR="001B0796">
        <w:rPr>
          <w:rFonts w:cstheme="minorHAnsi"/>
          <w:color w:val="000000"/>
          <w:szCs w:val="26"/>
        </w:rPr>
        <w:t xml:space="preserve"> </w:t>
      </w:r>
      <w:r w:rsidRPr="00323796" w:rsidR="00875BCE">
        <w:rPr>
          <w:rFonts w:cstheme="minorHAnsi"/>
          <w:szCs w:val="26"/>
        </w:rPr>
        <w:t xml:space="preserve">an intention to depart from the general rule for computation of time. </w:t>
      </w:r>
      <w:r w:rsidRPr="00323796" w:rsidR="005C7E04">
        <w:rPr>
          <w:rFonts w:cstheme="minorHAnsi"/>
          <w:szCs w:val="26"/>
        </w:rPr>
        <w:t xml:space="preserve"> </w:t>
      </w:r>
      <w:r w:rsidRPr="00323796" w:rsidR="00D605B1">
        <w:rPr>
          <w:rFonts w:cstheme="minorHAnsi"/>
          <w:szCs w:val="26"/>
        </w:rPr>
        <w:t xml:space="preserve">The statute of limitations </w:t>
      </w:r>
      <w:r w:rsidRPr="00323796" w:rsidR="005A76E6">
        <w:rPr>
          <w:rFonts w:cstheme="minorHAnsi"/>
          <w:szCs w:val="26"/>
        </w:rPr>
        <w:t>regarding</w:t>
      </w:r>
      <w:r w:rsidRPr="00323796" w:rsidR="00D605B1">
        <w:rPr>
          <w:rFonts w:cstheme="minorHAnsi"/>
          <w:szCs w:val="26"/>
        </w:rPr>
        <w:t xml:space="preserve"> a wrongful death </w:t>
      </w:r>
      <w:r w:rsidRPr="00323796" w:rsidR="009F2BFB">
        <w:rPr>
          <w:rFonts w:cstheme="minorHAnsi"/>
          <w:szCs w:val="26"/>
        </w:rPr>
        <w:t>claim</w:t>
      </w:r>
      <w:r w:rsidRPr="00323796" w:rsidR="008D4750">
        <w:rPr>
          <w:rFonts w:cstheme="minorHAnsi"/>
          <w:szCs w:val="26"/>
        </w:rPr>
        <w:t xml:space="preserve"> simply </w:t>
      </w:r>
      <w:r w:rsidRPr="00323796" w:rsidR="009F2BFB">
        <w:rPr>
          <w:rFonts w:cstheme="minorHAnsi"/>
          <w:szCs w:val="26"/>
        </w:rPr>
        <w:t>requires that the action be brought</w:t>
      </w:r>
      <w:r w:rsidRPr="00323796" w:rsidR="008D4750">
        <w:rPr>
          <w:rFonts w:cstheme="minorHAnsi"/>
          <w:szCs w:val="26"/>
        </w:rPr>
        <w:t xml:space="preserve"> “[w]ithin two years.”  (§ 335.1.)</w:t>
      </w:r>
      <w:r w:rsidRPr="00323796" w:rsidR="008345FB">
        <w:rPr>
          <w:rFonts w:cstheme="minorHAnsi"/>
          <w:szCs w:val="26"/>
        </w:rPr>
        <w:t xml:space="preserve">  </w:t>
      </w:r>
      <w:r w:rsidRPr="00323796" w:rsidR="006B2983">
        <w:rPr>
          <w:rFonts w:cstheme="minorHAnsi"/>
          <w:szCs w:val="26"/>
        </w:rPr>
        <w:t>It is well</w:t>
      </w:r>
      <w:r w:rsidRPr="00323796" w:rsidR="00F22DC9">
        <w:rPr>
          <w:rFonts w:cstheme="minorHAnsi"/>
          <w:szCs w:val="26"/>
        </w:rPr>
        <w:t xml:space="preserve"> </w:t>
      </w:r>
      <w:r w:rsidRPr="00323796" w:rsidR="006B2983">
        <w:rPr>
          <w:rFonts w:cstheme="minorHAnsi"/>
          <w:szCs w:val="26"/>
        </w:rPr>
        <w:t>settled that w</w:t>
      </w:r>
      <w:r w:rsidRPr="00323796" w:rsidR="00F4787C">
        <w:rPr>
          <w:rFonts w:cstheme="minorHAnsi"/>
          <w:szCs w:val="26"/>
        </w:rPr>
        <w:t>hen the limitations provision requires that an action be brought “within” a specified time, the first day of that period is excluded</w:t>
      </w:r>
      <w:r w:rsidRPr="00323796" w:rsidR="00987BA7">
        <w:rPr>
          <w:rFonts w:cstheme="minorHAnsi"/>
          <w:szCs w:val="26"/>
        </w:rPr>
        <w:t>, as required by section 12</w:t>
      </w:r>
      <w:r w:rsidRPr="00323796" w:rsidR="00F4787C">
        <w:rPr>
          <w:rFonts w:cstheme="minorHAnsi"/>
          <w:szCs w:val="26"/>
        </w:rPr>
        <w:t xml:space="preserve">.  </w:t>
      </w:r>
      <w:r w:rsidRPr="00323796" w:rsidR="006B2983">
        <w:rPr>
          <w:rFonts w:cstheme="minorHAnsi"/>
          <w:szCs w:val="26"/>
        </w:rPr>
        <w:t xml:space="preserve">(See, e.g., </w:t>
      </w:r>
      <w:r w:rsidRPr="00323796" w:rsidR="00146D68">
        <w:rPr>
          <w:rFonts w:cstheme="minorHAnsi"/>
          <w:i/>
          <w:iCs/>
          <w:szCs w:val="26"/>
        </w:rPr>
        <w:t xml:space="preserve">Scoville v. Anderson </w:t>
      </w:r>
      <w:r w:rsidRPr="00323796" w:rsidR="00146D68">
        <w:rPr>
          <w:rFonts w:cstheme="minorHAnsi"/>
          <w:szCs w:val="26"/>
        </w:rPr>
        <w:t>(1901) 131 Cal. 590</w:t>
      </w:r>
      <w:r w:rsidRPr="00323796" w:rsidR="002C37BB">
        <w:rPr>
          <w:rFonts w:cstheme="minorHAnsi"/>
          <w:szCs w:val="26"/>
        </w:rPr>
        <w:t xml:space="preserve">, 594 </w:t>
      </w:r>
      <w:r w:rsidRPr="00323796" w:rsidR="001758D9">
        <w:rPr>
          <w:rFonts w:cstheme="minorHAnsi"/>
          <w:szCs w:val="26"/>
        </w:rPr>
        <w:t>[</w:t>
      </w:r>
      <w:r w:rsidRPr="00323796" w:rsidR="004C0DFE">
        <w:rPr>
          <w:rFonts w:cstheme="minorHAnsi"/>
          <w:szCs w:val="26"/>
        </w:rPr>
        <w:t xml:space="preserve">excluding first day in calculating </w:t>
      </w:r>
      <w:r w:rsidRPr="00323796" w:rsidR="00F53BDA">
        <w:rPr>
          <w:rFonts w:cstheme="minorHAnsi"/>
          <w:szCs w:val="26"/>
        </w:rPr>
        <w:t>whether an action was taken “within a month”]</w:t>
      </w:r>
      <w:r w:rsidRPr="00323796" w:rsidR="00854A87">
        <w:rPr>
          <w:rFonts w:cstheme="minorHAnsi"/>
          <w:szCs w:val="26"/>
        </w:rPr>
        <w:t xml:space="preserve">; </w:t>
      </w:r>
      <w:r w:rsidRPr="00323796" w:rsidR="00AB3673">
        <w:rPr>
          <w:rFonts w:cstheme="minorHAnsi"/>
          <w:i/>
          <w:iCs/>
          <w:szCs w:val="26"/>
        </w:rPr>
        <w:t>Wixted</w:t>
      </w:r>
      <w:r w:rsidRPr="00323796" w:rsidR="00AB3673">
        <w:rPr>
          <w:rFonts w:cstheme="minorHAnsi"/>
          <w:szCs w:val="26"/>
        </w:rPr>
        <w:t xml:space="preserve">, </w:t>
      </w:r>
      <w:r w:rsidRPr="00323796" w:rsidR="00AB3673">
        <w:rPr>
          <w:rFonts w:cstheme="minorHAnsi"/>
          <w:i/>
          <w:iCs/>
          <w:szCs w:val="26"/>
        </w:rPr>
        <w:t>supra</w:t>
      </w:r>
      <w:r w:rsidRPr="00323796" w:rsidR="00AB3673">
        <w:rPr>
          <w:rFonts w:cstheme="minorHAnsi"/>
          <w:szCs w:val="26"/>
        </w:rPr>
        <w:t>, 192 Cal.App.2d at pp.</w:t>
      </w:r>
      <w:r w:rsidR="008D6DE2">
        <w:rPr>
          <w:rFonts w:cstheme="minorHAnsi"/>
          <w:szCs w:val="26"/>
        </w:rPr>
        <w:t> </w:t>
      </w:r>
      <w:r w:rsidRPr="00323796" w:rsidR="00B54362">
        <w:rPr>
          <w:rFonts w:cstheme="minorHAnsi"/>
          <w:szCs w:val="26"/>
        </w:rPr>
        <w:t>707–709</w:t>
      </w:r>
      <w:r w:rsidRPr="00323796" w:rsidR="00511FE7">
        <w:rPr>
          <w:rFonts w:cstheme="minorHAnsi"/>
          <w:color w:val="000000" w:themeColor="text1"/>
          <w:szCs w:val="26"/>
        </w:rPr>
        <w:t xml:space="preserve">.) </w:t>
      </w:r>
      <w:r w:rsidRPr="00323796" w:rsidR="006D5FA2">
        <w:rPr>
          <w:rFonts w:cstheme="minorHAnsi"/>
          <w:color w:val="000000" w:themeColor="text1"/>
          <w:szCs w:val="26"/>
        </w:rPr>
        <w:t xml:space="preserve"> </w:t>
      </w:r>
      <w:r w:rsidRPr="00323796" w:rsidR="00B64A24">
        <w:rPr>
          <w:rFonts w:cstheme="minorHAnsi"/>
          <w:color w:val="000000" w:themeColor="text1"/>
          <w:szCs w:val="26"/>
        </w:rPr>
        <w:t>Similarly</w:t>
      </w:r>
      <w:r w:rsidRPr="00323796" w:rsidR="008345FB">
        <w:rPr>
          <w:rFonts w:cstheme="minorHAnsi"/>
          <w:szCs w:val="26"/>
        </w:rPr>
        <w:t xml:space="preserve">, the </w:t>
      </w:r>
      <w:r w:rsidRPr="00323796" w:rsidR="00B64A24">
        <w:rPr>
          <w:rFonts w:cstheme="minorHAnsi"/>
          <w:szCs w:val="26"/>
        </w:rPr>
        <w:t xml:space="preserve">language of the </w:t>
      </w:r>
      <w:r w:rsidRPr="00323796" w:rsidR="002B0C9A">
        <w:rPr>
          <w:rFonts w:cstheme="minorHAnsi"/>
          <w:szCs w:val="26"/>
        </w:rPr>
        <w:t xml:space="preserve">age-based </w:t>
      </w:r>
      <w:r w:rsidRPr="00323796" w:rsidR="008345FB">
        <w:rPr>
          <w:rFonts w:cstheme="minorHAnsi"/>
          <w:szCs w:val="26"/>
        </w:rPr>
        <w:t xml:space="preserve">tolling </w:t>
      </w:r>
      <w:r w:rsidRPr="00323796" w:rsidR="00B64A24">
        <w:rPr>
          <w:rFonts w:cstheme="minorHAnsi"/>
          <w:szCs w:val="26"/>
        </w:rPr>
        <w:t>statute</w:t>
      </w:r>
      <w:r w:rsidRPr="00323796" w:rsidR="008345FB">
        <w:rPr>
          <w:rFonts w:cstheme="minorHAnsi"/>
          <w:szCs w:val="26"/>
        </w:rPr>
        <w:t xml:space="preserve"> </w:t>
      </w:r>
      <w:r w:rsidRPr="00323796" w:rsidR="00B64A24">
        <w:rPr>
          <w:rFonts w:cstheme="minorHAnsi"/>
          <w:szCs w:val="26"/>
        </w:rPr>
        <w:t xml:space="preserve">provides no indication that the </w:t>
      </w:r>
      <w:r w:rsidRPr="00323796" w:rsidR="004F567E">
        <w:rPr>
          <w:rFonts w:cstheme="minorHAnsi"/>
          <w:szCs w:val="26"/>
        </w:rPr>
        <w:t xml:space="preserve">Legislature intended to include the </w:t>
      </w:r>
      <w:r w:rsidRPr="00323796" w:rsidR="00B64A24">
        <w:rPr>
          <w:rFonts w:cstheme="minorHAnsi"/>
          <w:szCs w:val="26"/>
        </w:rPr>
        <w:t xml:space="preserve">first day after </w:t>
      </w:r>
      <w:r w:rsidRPr="00323796" w:rsidR="0005680B">
        <w:rPr>
          <w:rFonts w:cstheme="minorHAnsi"/>
          <w:szCs w:val="26"/>
        </w:rPr>
        <w:t xml:space="preserve">the </w:t>
      </w:r>
      <w:r w:rsidRPr="00323796" w:rsidR="00B64A24">
        <w:rPr>
          <w:rFonts w:cstheme="minorHAnsi"/>
          <w:szCs w:val="26"/>
        </w:rPr>
        <w:t>tolling</w:t>
      </w:r>
      <w:r w:rsidRPr="00323796" w:rsidR="0005680B">
        <w:rPr>
          <w:rFonts w:cstheme="minorHAnsi"/>
          <w:szCs w:val="26"/>
        </w:rPr>
        <w:t xml:space="preserve"> period</w:t>
      </w:r>
      <w:r w:rsidRPr="00323796" w:rsidR="00B64A24">
        <w:rPr>
          <w:rFonts w:cstheme="minorHAnsi"/>
          <w:szCs w:val="26"/>
        </w:rPr>
        <w:t xml:space="preserve"> ends</w:t>
      </w:r>
      <w:r w:rsidRPr="00323796" w:rsidR="00466AF3">
        <w:rPr>
          <w:rFonts w:cstheme="minorHAnsi"/>
          <w:szCs w:val="26"/>
        </w:rPr>
        <w:t xml:space="preserve"> in calculating the </w:t>
      </w:r>
      <w:r w:rsidRPr="00323796" w:rsidR="007D3974">
        <w:rPr>
          <w:rFonts w:cstheme="minorHAnsi"/>
          <w:szCs w:val="26"/>
        </w:rPr>
        <w:t xml:space="preserve">statute of limitations </w:t>
      </w:r>
      <w:r w:rsidRPr="00323796" w:rsidR="00466AF3">
        <w:rPr>
          <w:rFonts w:cstheme="minorHAnsi"/>
          <w:szCs w:val="26"/>
        </w:rPr>
        <w:t xml:space="preserve">deadline to file suit.  </w:t>
      </w:r>
      <w:r w:rsidRPr="00323796" w:rsidR="00183382">
        <w:rPr>
          <w:rFonts w:cstheme="minorHAnsi"/>
          <w:szCs w:val="26"/>
        </w:rPr>
        <w:t>(§ 352, subd. (a)</w:t>
      </w:r>
      <w:r w:rsidRPr="00323796" w:rsidR="00183382">
        <w:t>.)</w:t>
      </w:r>
      <w:r w:rsidRPr="00323796" w:rsidR="00CC31A9">
        <w:t xml:space="preserve">  </w:t>
      </w:r>
      <w:r w:rsidRPr="00323796" w:rsidR="00AF456A">
        <w:t xml:space="preserve">Section 352, subdivision (a) provides that the time </w:t>
      </w:r>
      <w:r w:rsidRPr="00323796" w:rsidR="00F376BB">
        <w:t xml:space="preserve">during which a plaintiff is under the age of majority “is not part of the time limited for the commencement of the action.”  </w:t>
      </w:r>
      <w:r w:rsidRPr="00323796" w:rsidR="008011D3">
        <w:t>Defendants do</w:t>
      </w:r>
      <w:r w:rsidRPr="00323796" w:rsidR="001727A4">
        <w:t xml:space="preserve"> not </w:t>
      </w:r>
      <w:r w:rsidRPr="00323796" w:rsidR="006D3FA2">
        <w:rPr>
          <w:rFonts w:cstheme="minorHAnsi"/>
          <w:szCs w:val="26"/>
        </w:rPr>
        <w:t xml:space="preserve">identify a clear expression of intent </w:t>
      </w:r>
      <w:r w:rsidRPr="00323796" w:rsidR="004312DB">
        <w:rPr>
          <w:rFonts w:cstheme="minorHAnsi"/>
          <w:szCs w:val="26"/>
        </w:rPr>
        <w:t xml:space="preserve">concerning </w:t>
      </w:r>
      <w:r w:rsidRPr="00323796" w:rsidR="00B56B43">
        <w:rPr>
          <w:rFonts w:cstheme="minorHAnsi"/>
          <w:szCs w:val="26"/>
        </w:rPr>
        <w:t xml:space="preserve">the applicable limitations period or tolling provision </w:t>
      </w:r>
      <w:r w:rsidRPr="00323796" w:rsidR="008E1A89">
        <w:rPr>
          <w:rFonts w:cstheme="minorHAnsi"/>
          <w:szCs w:val="26"/>
        </w:rPr>
        <w:t xml:space="preserve">sufficient to justify </w:t>
      </w:r>
      <w:r w:rsidRPr="00323796" w:rsidR="006D3FA2">
        <w:rPr>
          <w:rFonts w:cstheme="minorHAnsi"/>
          <w:szCs w:val="26"/>
        </w:rPr>
        <w:t>except</w:t>
      </w:r>
      <w:r w:rsidRPr="00323796" w:rsidR="008E1A89">
        <w:rPr>
          <w:rFonts w:cstheme="minorHAnsi"/>
          <w:szCs w:val="26"/>
        </w:rPr>
        <w:t>ing</w:t>
      </w:r>
      <w:r w:rsidRPr="00323796" w:rsidR="006D3FA2">
        <w:rPr>
          <w:rFonts w:cstheme="minorHAnsi"/>
          <w:szCs w:val="26"/>
        </w:rPr>
        <w:t xml:space="preserve"> the computation of </w:t>
      </w:r>
      <w:r w:rsidRPr="00323796" w:rsidR="008E1A89">
        <w:rPr>
          <w:rFonts w:cstheme="minorHAnsi"/>
          <w:szCs w:val="26"/>
        </w:rPr>
        <w:t xml:space="preserve">that </w:t>
      </w:r>
      <w:r w:rsidRPr="00323796" w:rsidR="00B56B43">
        <w:rPr>
          <w:rFonts w:cstheme="minorHAnsi"/>
          <w:szCs w:val="26"/>
        </w:rPr>
        <w:t>time</w:t>
      </w:r>
      <w:r w:rsidRPr="00323796" w:rsidR="006D3FA2">
        <w:rPr>
          <w:rFonts w:cstheme="minorHAnsi"/>
          <w:szCs w:val="26"/>
        </w:rPr>
        <w:t xml:space="preserve"> from the general rule of section 12</w:t>
      </w:r>
      <w:r w:rsidRPr="00323796" w:rsidR="00B56B43">
        <w:rPr>
          <w:rFonts w:cstheme="minorHAnsi"/>
          <w:szCs w:val="26"/>
        </w:rPr>
        <w:t>.</w:t>
      </w:r>
    </w:p>
    <w:p w:rsidR="00D74AFD" w:rsidRPr="00323796" w:rsidP="00323796" w14:paraId="37DD1934" w14:textId="10796FE8">
      <w:pPr>
        <w:tabs>
          <w:tab w:val="left" w:pos="1440"/>
        </w:tabs>
        <w:ind w:firstLine="720"/>
      </w:pPr>
      <w:r w:rsidRPr="00323796">
        <w:t>In</w:t>
      </w:r>
      <w:r w:rsidRPr="00323796" w:rsidR="001763CC">
        <w:t>deed,</w:t>
      </w:r>
      <w:r w:rsidRPr="00323796" w:rsidR="0030588E">
        <w:t xml:space="preserve"> the legislative history of section 352</w:t>
      </w:r>
      <w:r w:rsidRPr="00323796" w:rsidR="00C24D87">
        <w:t xml:space="preserve"> </w:t>
      </w:r>
      <w:r w:rsidRPr="00323796" w:rsidR="001763CC">
        <w:t>most reas</w:t>
      </w:r>
      <w:r w:rsidRPr="00323796" w:rsidR="001F5EEA">
        <w:t xml:space="preserve">onably </w:t>
      </w:r>
      <w:r w:rsidRPr="00323796" w:rsidR="0030588E">
        <w:t>support</w:t>
      </w:r>
      <w:r w:rsidRPr="00323796" w:rsidR="001F5EEA">
        <w:t>s</w:t>
      </w:r>
      <w:r w:rsidRPr="00323796" w:rsidR="0030588E">
        <w:t xml:space="preserve"> </w:t>
      </w:r>
      <w:r w:rsidRPr="00323796" w:rsidR="001F5EEA">
        <w:t xml:space="preserve">an </w:t>
      </w:r>
      <w:r w:rsidRPr="00323796" w:rsidR="0030588E">
        <w:t>argument that section 12</w:t>
      </w:r>
      <w:r w:rsidRPr="00323796" w:rsidR="001F5EEA">
        <w:t>, proper</w:t>
      </w:r>
      <w:r w:rsidRPr="00323796" w:rsidR="005621F3">
        <w:t>ly construed,</w:t>
      </w:r>
      <w:r w:rsidRPr="00323796" w:rsidR="0030588E">
        <w:t xml:space="preserve"> </w:t>
      </w:r>
      <w:r w:rsidRPr="00323796" w:rsidR="00C24D87">
        <w:t>exclude</w:t>
      </w:r>
      <w:r w:rsidRPr="00323796" w:rsidR="005621F3">
        <w:t>s</w:t>
      </w:r>
      <w:r w:rsidRPr="00323796" w:rsidR="00C24D87">
        <w:t xml:space="preserve"> the day a minor reaches the age of majority</w:t>
      </w:r>
      <w:r w:rsidRPr="00323796" w:rsidR="0030588E">
        <w:t xml:space="preserve">.  </w:t>
      </w:r>
      <w:r w:rsidRPr="00323796" w:rsidR="005C0664">
        <w:t>In</w:t>
      </w:r>
      <w:r w:rsidRPr="00323796" w:rsidR="0030588E">
        <w:t xml:space="preserve"> enacting </w:t>
      </w:r>
      <w:r w:rsidRPr="00323796" w:rsidR="005A0AC0">
        <w:t>this tolling statute</w:t>
      </w:r>
      <w:r w:rsidRPr="00323796" w:rsidR="00745B1A">
        <w:t xml:space="preserve"> in 1872</w:t>
      </w:r>
      <w:r w:rsidRPr="00323796" w:rsidR="0030588E">
        <w:t xml:space="preserve">, the Legislature was focused on </w:t>
      </w:r>
      <w:r w:rsidRPr="00323796" w:rsidR="002039B7">
        <w:t>preserving the rights of children during minority</w:t>
      </w:r>
      <w:r w:rsidRPr="00323796" w:rsidR="00C24D87">
        <w:t>.  (</w:t>
      </w:r>
      <w:r w:rsidRPr="00323796" w:rsidR="002B53B9">
        <w:rPr>
          <w:i/>
          <w:iCs/>
        </w:rPr>
        <w:t>Williams v. Los Angeles Metropolitan Transit Authority</w:t>
      </w:r>
      <w:r w:rsidRPr="00323796" w:rsidR="002B53B9">
        <w:t xml:space="preserve"> (1968) 68 Cal.2d 599, </w:t>
      </w:r>
      <w:r w:rsidRPr="00323796" w:rsidR="007541DB">
        <w:t>60</w:t>
      </w:r>
      <w:r w:rsidRPr="00323796" w:rsidR="007541DB">
        <w:rPr>
          <w:color w:val="000000" w:themeColor="text1"/>
        </w:rPr>
        <w:t xml:space="preserve">2 </w:t>
      </w:r>
      <w:r w:rsidRPr="00323796" w:rsidR="00C24D87">
        <w:t>[</w:t>
      </w:r>
      <w:r w:rsidRPr="00323796" w:rsidR="007C5EB1">
        <w:t xml:space="preserve">explaining that </w:t>
      </w:r>
      <w:r w:rsidR="00C62B31">
        <w:t>§</w:t>
      </w:r>
      <w:r w:rsidRPr="00323796" w:rsidR="00BB4399">
        <w:t xml:space="preserve"> 352</w:t>
      </w:r>
      <w:r w:rsidRPr="00323796" w:rsidR="00B1757E">
        <w:t>, subd</w:t>
      </w:r>
      <w:r w:rsidR="00C62B31">
        <w:t>.</w:t>
      </w:r>
      <w:r w:rsidRPr="00323796" w:rsidR="00B1757E">
        <w:t xml:space="preserve"> (a)</w:t>
      </w:r>
      <w:r w:rsidRPr="00323796" w:rsidR="00F83799">
        <w:t xml:space="preserve"> </w:t>
      </w:r>
      <w:r w:rsidRPr="00323796" w:rsidR="00BE47B0">
        <w:t>“</w:t>
      </w:r>
      <w:r w:rsidRPr="00323796" w:rsidR="00C24D87">
        <w:t>effectuate</w:t>
      </w:r>
      <w:r w:rsidRPr="00323796" w:rsidR="00BB4399">
        <w:t>[s]</w:t>
      </w:r>
      <w:r w:rsidRPr="00323796" w:rsidR="00C24D87">
        <w:t xml:space="preserve"> a deep and long recognized principle of the common law and of this state: </w:t>
      </w:r>
      <w:r w:rsidR="00204D88">
        <w:t xml:space="preserve"> </w:t>
      </w:r>
      <w:r w:rsidRPr="00323796" w:rsidR="00C24D87">
        <w:t>children are to be protected during their minority from the destruction of their rights by the running of the statute of limitations</w:t>
      </w:r>
      <w:r w:rsidRPr="00323796" w:rsidR="002B53B9">
        <w:t>”]</w:t>
      </w:r>
      <w:r w:rsidRPr="00323796" w:rsidR="00AB7EB4">
        <w:t xml:space="preserve">; </w:t>
      </w:r>
      <w:r w:rsidRPr="00323796" w:rsidR="00346A91">
        <w:rPr>
          <w:i/>
          <w:iCs/>
        </w:rPr>
        <w:t xml:space="preserve">Barker v. Garza </w:t>
      </w:r>
      <w:r w:rsidRPr="00323796" w:rsidR="00346A91">
        <w:t xml:space="preserve">(2013) 218 Cal.App.4th 1449, </w:t>
      </w:r>
      <w:r w:rsidRPr="00323796" w:rsidR="00AD131D">
        <w:rPr>
          <w:color w:val="000000" w:themeColor="text1"/>
        </w:rPr>
        <w:t xml:space="preserve">1462 </w:t>
      </w:r>
      <w:r w:rsidRPr="00323796" w:rsidR="00346A91">
        <w:rPr>
          <w:color w:val="000000" w:themeColor="text1"/>
        </w:rPr>
        <w:t>[</w:t>
      </w:r>
      <w:r w:rsidRPr="00323796" w:rsidR="00346A91">
        <w:t xml:space="preserve">recognizing </w:t>
      </w:r>
      <w:r w:rsidRPr="00323796" w:rsidR="00544901">
        <w:t>“</w:t>
      </w:r>
      <w:r w:rsidRPr="00323796" w:rsidR="00AD131D">
        <w:t>the strong public policy in protecting minors from the sometimes harsh application of statutes of limitations”]</w:t>
      </w:r>
      <w:r w:rsidRPr="00323796" w:rsidR="00D16C42">
        <w:t xml:space="preserve">; </w:t>
      </w:r>
      <w:r w:rsidRPr="00323796" w:rsidR="00356AA8">
        <w:t>see also</w:t>
      </w:r>
      <w:r w:rsidRPr="00323796" w:rsidR="00F12D88">
        <w:t xml:space="preserve"> </w:t>
      </w:r>
      <w:r w:rsidRPr="00204D88" w:rsidR="001B0BEA">
        <w:t xml:space="preserve">Inclusion or </w:t>
      </w:r>
      <w:r w:rsidR="00204D88">
        <w:t>E</w:t>
      </w:r>
      <w:r w:rsidRPr="00204D88" w:rsidR="001B0BEA">
        <w:t xml:space="preserve">xclusion of </w:t>
      </w:r>
      <w:r w:rsidR="00204D88">
        <w:t>F</w:t>
      </w:r>
      <w:r w:rsidRPr="00204D88" w:rsidR="001B0BEA">
        <w:t xml:space="preserve">irst and </w:t>
      </w:r>
      <w:r w:rsidR="00204D88">
        <w:t>L</w:t>
      </w:r>
      <w:r w:rsidRPr="00204D88" w:rsidR="001B0BEA">
        <w:t xml:space="preserve">ast </w:t>
      </w:r>
      <w:r w:rsidR="00204D88">
        <w:t>D</w:t>
      </w:r>
      <w:r w:rsidRPr="00204D88" w:rsidR="001B0BEA">
        <w:t xml:space="preserve">ay for </w:t>
      </w:r>
      <w:r w:rsidR="00204D88">
        <w:t>P</w:t>
      </w:r>
      <w:r w:rsidRPr="00204D88" w:rsidR="001B0BEA">
        <w:t xml:space="preserve">urposes of </w:t>
      </w:r>
      <w:r w:rsidR="00204D88">
        <w:t>S</w:t>
      </w:r>
      <w:r w:rsidRPr="00204D88" w:rsidR="001B0BEA">
        <w:t xml:space="preserve">tatute of </w:t>
      </w:r>
      <w:r w:rsidR="00204D88">
        <w:t>L</w:t>
      </w:r>
      <w:r w:rsidRPr="00204D88" w:rsidR="001B0BEA">
        <w:t>imitations</w:t>
      </w:r>
      <w:r w:rsidRPr="00204D88" w:rsidR="00221CAC">
        <w:t xml:space="preserve"> </w:t>
      </w:r>
      <w:r w:rsidRPr="00204D88" w:rsidR="00221CAC">
        <w:rPr>
          <w:rFonts w:cstheme="minorHAnsi"/>
          <w:szCs w:val="26"/>
        </w:rPr>
        <w:t>(</w:t>
      </w:r>
      <w:r w:rsidRPr="00323796" w:rsidR="00221CAC">
        <w:rPr>
          <w:rFonts w:cstheme="minorHAnsi"/>
          <w:szCs w:val="26"/>
        </w:rPr>
        <w:t>19</w:t>
      </w:r>
      <w:r w:rsidRPr="00323796" w:rsidR="006E165D">
        <w:rPr>
          <w:rFonts w:cstheme="minorHAnsi"/>
          <w:szCs w:val="26"/>
        </w:rPr>
        <w:t>52</w:t>
      </w:r>
      <w:r w:rsidRPr="00323796" w:rsidR="00221CAC">
        <w:rPr>
          <w:rFonts w:cstheme="minorHAnsi"/>
          <w:szCs w:val="26"/>
        </w:rPr>
        <w:t xml:space="preserve">) </w:t>
      </w:r>
      <w:r w:rsidRPr="00323796" w:rsidR="00D16C42">
        <w:rPr>
          <w:rFonts w:cstheme="minorHAnsi"/>
          <w:szCs w:val="26"/>
        </w:rPr>
        <w:t>20 A.L.R.2d 1249, § 2 [“The general policy of the law to protect rights and prevent forfeitures has also been found to be applicable to the computation of time under statutes of limitation”].)</w:t>
      </w:r>
      <w:r w:rsidRPr="00323796" w:rsidR="003B5B07">
        <w:rPr>
          <w:rFonts w:cstheme="minorHAnsi"/>
          <w:szCs w:val="26"/>
        </w:rPr>
        <w:t xml:space="preserve">  </w:t>
      </w:r>
      <w:r w:rsidRPr="00323796" w:rsidR="004F6CD1">
        <w:t xml:space="preserve">In </w:t>
      </w:r>
      <w:r w:rsidRPr="00323796" w:rsidR="004F6CD1">
        <w:rPr>
          <w:i/>
          <w:iCs/>
        </w:rPr>
        <w:t xml:space="preserve">West Shield Investigations </w:t>
      </w:r>
      <w:r w:rsidR="00C73CDD">
        <w:rPr>
          <w:i/>
          <w:iCs/>
        </w:rPr>
        <w:t>&amp; Security</w:t>
      </w:r>
      <w:r w:rsidRPr="00323796" w:rsidR="004F6CD1">
        <w:rPr>
          <w:i/>
          <w:iCs/>
        </w:rPr>
        <w:t xml:space="preserve"> Consultants v. Superior Court</w:t>
      </w:r>
      <w:r w:rsidRPr="00323796" w:rsidR="004F6CD1">
        <w:t xml:space="preserve"> (2000) 82</w:t>
      </w:r>
      <w:r w:rsidRPr="00323796" w:rsidR="00B40A51">
        <w:t> </w:t>
      </w:r>
      <w:r w:rsidRPr="00323796" w:rsidR="004F6CD1">
        <w:t xml:space="preserve">Cal.App.4th 935, the Court of Appeal </w:t>
      </w:r>
      <w:r w:rsidRPr="00323796" w:rsidR="00B05E46">
        <w:t>succinctly</w:t>
      </w:r>
      <w:r w:rsidRPr="00323796" w:rsidR="004F6CD1">
        <w:t xml:space="preserve"> described the rationale for the </w:t>
      </w:r>
      <w:r w:rsidRPr="00323796" w:rsidR="00324353">
        <w:t>age-based</w:t>
      </w:r>
      <w:r w:rsidRPr="00323796" w:rsidR="004F6CD1">
        <w:t xml:space="preserve"> tolling provision as follows:  </w:t>
      </w:r>
      <w:r w:rsidRPr="00323796" w:rsidR="002C7EB7">
        <w:t xml:space="preserve">“ ‘Because a minor does not have the understanding or experience of an adult, and because a minor may not bring an action except through a guardian </w:t>
      </w:r>
      <w:r w:rsidRPr="00323796" w:rsidR="00176985">
        <w:t>. . . </w:t>
      </w:r>
      <w:r w:rsidRPr="00323796" w:rsidR="002C7EB7">
        <w:t xml:space="preserve">special safeguards are required to protect the minor’s right of action.’  [Citation.]  Therefore, statutes of limitations are tolled to </w:t>
      </w:r>
      <w:r w:rsidRPr="00323796" w:rsidR="00EF32E0">
        <w:t>protect</w:t>
      </w:r>
      <w:r w:rsidRPr="00323796" w:rsidR="002C7EB7">
        <w:t xml:space="preserve"> the minor’s rights from being destroyed during the period of disability.  [Citations.]</w:t>
      </w:r>
      <w:r w:rsidRPr="00323796" w:rsidR="00C0665C">
        <w:t xml:space="preserve">  The tolling provision is not easily overcome.”</w:t>
      </w:r>
      <w:r w:rsidRPr="00323796" w:rsidR="00EF32E0">
        <w:t xml:space="preserve">  </w:t>
      </w:r>
      <w:r w:rsidRPr="00323796" w:rsidR="0021568A">
        <w:t>(</w:t>
      </w:r>
      <w:r w:rsidRPr="00323796" w:rsidR="0021568A">
        <w:rPr>
          <w:i/>
          <w:iCs/>
        </w:rPr>
        <w:t>Id.</w:t>
      </w:r>
      <w:r w:rsidRPr="00323796" w:rsidR="0021568A">
        <w:t xml:space="preserve"> at p. 947.)  </w:t>
      </w:r>
    </w:p>
    <w:p w:rsidR="008914AA" w:rsidRPr="00323796" w:rsidP="00323796" w14:paraId="433EB397" w14:textId="2B3BB3FB">
      <w:pPr>
        <w:tabs>
          <w:tab w:val="left" w:pos="1440"/>
        </w:tabs>
        <w:ind w:firstLine="720"/>
        <w:rPr>
          <w:rFonts w:cstheme="minorHAnsi"/>
          <w:szCs w:val="26"/>
        </w:rPr>
      </w:pPr>
      <w:r w:rsidRPr="00323796">
        <w:rPr>
          <w:rFonts w:cstheme="minorHAnsi"/>
          <w:szCs w:val="26"/>
        </w:rPr>
        <w:t xml:space="preserve">Consistent with </w:t>
      </w:r>
      <w:r w:rsidRPr="00323796" w:rsidR="00DD134A">
        <w:rPr>
          <w:rFonts w:cstheme="minorHAnsi"/>
          <w:szCs w:val="26"/>
        </w:rPr>
        <w:t xml:space="preserve">the principles effectuated by section 352, subdivision (a), </w:t>
      </w:r>
      <w:r w:rsidRPr="00323796" w:rsidR="00DD4651">
        <w:rPr>
          <w:rFonts w:cstheme="minorHAnsi"/>
          <w:szCs w:val="26"/>
        </w:rPr>
        <w:t xml:space="preserve">by </w:t>
      </w:r>
      <w:r w:rsidRPr="00323796" w:rsidR="00DD134A">
        <w:rPr>
          <w:rFonts w:cstheme="minorHAnsi"/>
          <w:szCs w:val="26"/>
        </w:rPr>
        <w:t>a</w:t>
      </w:r>
      <w:r w:rsidRPr="00323796" w:rsidR="00EF32E0">
        <w:rPr>
          <w:rFonts w:cstheme="minorHAnsi"/>
          <w:szCs w:val="26"/>
        </w:rPr>
        <w:t xml:space="preserve">llowing </w:t>
      </w:r>
      <w:r w:rsidRPr="00323796" w:rsidR="00AE2CB8">
        <w:rPr>
          <w:rFonts w:cstheme="minorHAnsi"/>
          <w:szCs w:val="26"/>
        </w:rPr>
        <w:t xml:space="preserve">a </w:t>
      </w:r>
      <w:r w:rsidRPr="00323796" w:rsidR="00EF32E0">
        <w:rPr>
          <w:rFonts w:cstheme="minorHAnsi"/>
          <w:szCs w:val="26"/>
        </w:rPr>
        <w:t xml:space="preserve">minor to exclude the first day on which </w:t>
      </w:r>
      <w:r w:rsidRPr="00323796" w:rsidR="004839AE">
        <w:rPr>
          <w:rFonts w:cstheme="minorHAnsi"/>
          <w:szCs w:val="26"/>
        </w:rPr>
        <w:t>he or she</w:t>
      </w:r>
      <w:r w:rsidRPr="00323796" w:rsidR="00EF32E0">
        <w:rPr>
          <w:rFonts w:cstheme="minorHAnsi"/>
          <w:szCs w:val="26"/>
        </w:rPr>
        <w:t xml:space="preserve"> could </w:t>
      </w:r>
      <w:r w:rsidR="00273F1F">
        <w:rPr>
          <w:rFonts w:cstheme="minorHAnsi"/>
          <w:szCs w:val="26"/>
        </w:rPr>
        <w:t>per</w:t>
      </w:r>
      <w:r w:rsidR="003539D5">
        <w:rPr>
          <w:rFonts w:cstheme="minorHAnsi"/>
          <w:szCs w:val="26"/>
        </w:rPr>
        <w:t xml:space="preserve">sonally </w:t>
      </w:r>
      <w:r w:rsidRPr="00323796" w:rsidR="00EF32E0">
        <w:rPr>
          <w:rFonts w:cstheme="minorHAnsi"/>
          <w:szCs w:val="26"/>
        </w:rPr>
        <w:t>sue</w:t>
      </w:r>
      <w:r w:rsidRPr="00323796" w:rsidR="00DD4651">
        <w:rPr>
          <w:rFonts w:cstheme="minorHAnsi"/>
          <w:szCs w:val="26"/>
        </w:rPr>
        <w:t xml:space="preserve"> </w:t>
      </w:r>
      <w:r w:rsidR="003539D5">
        <w:rPr>
          <w:rFonts w:cstheme="minorHAnsi"/>
          <w:szCs w:val="26"/>
        </w:rPr>
        <w:t>(</w:t>
      </w:r>
      <w:r w:rsidR="007613D5">
        <w:rPr>
          <w:rFonts w:cstheme="minorHAnsi"/>
          <w:szCs w:val="26"/>
        </w:rPr>
        <w:t xml:space="preserve">i.e., </w:t>
      </w:r>
      <w:r w:rsidRPr="00323796" w:rsidR="00836893">
        <w:rPr>
          <w:rFonts w:cstheme="minorHAnsi"/>
          <w:szCs w:val="26"/>
        </w:rPr>
        <w:t>without a guardian</w:t>
      </w:r>
      <w:r w:rsidR="003539D5">
        <w:rPr>
          <w:rFonts w:cstheme="minorHAnsi"/>
          <w:szCs w:val="26"/>
        </w:rPr>
        <w:t>)</w:t>
      </w:r>
      <w:r w:rsidR="00704D34">
        <w:rPr>
          <w:rFonts w:cstheme="minorHAnsi"/>
          <w:szCs w:val="26"/>
        </w:rPr>
        <w:t> </w:t>
      </w:r>
      <w:r w:rsidR="003539D5">
        <w:rPr>
          <w:rFonts w:cstheme="minorHAnsi"/>
          <w:szCs w:val="26"/>
        </w:rPr>
        <w:t xml:space="preserve">— </w:t>
      </w:r>
      <w:r w:rsidRPr="00323796" w:rsidR="00EF32E0">
        <w:rPr>
          <w:rFonts w:cstheme="minorHAnsi"/>
          <w:szCs w:val="26"/>
        </w:rPr>
        <w:t xml:space="preserve">the </w:t>
      </w:r>
      <w:r w:rsidRPr="00323796" w:rsidR="00335DF9">
        <w:rPr>
          <w:rFonts w:cstheme="minorHAnsi"/>
          <w:szCs w:val="26"/>
        </w:rPr>
        <w:t xml:space="preserve">individual’s </w:t>
      </w:r>
      <w:r w:rsidRPr="00323796" w:rsidR="00EF32E0">
        <w:rPr>
          <w:rFonts w:cstheme="minorHAnsi"/>
          <w:szCs w:val="26"/>
        </w:rPr>
        <w:t>18th birthday</w:t>
      </w:r>
      <w:r w:rsidR="00704D34">
        <w:rPr>
          <w:rFonts w:cstheme="minorHAnsi"/>
          <w:szCs w:val="26"/>
        </w:rPr>
        <w:t> </w:t>
      </w:r>
      <w:r w:rsidR="003539D5">
        <w:rPr>
          <w:rFonts w:cstheme="minorHAnsi"/>
          <w:szCs w:val="26"/>
        </w:rPr>
        <w:t>—</w:t>
      </w:r>
      <w:r w:rsidRPr="00323796" w:rsidR="00EF32E0">
        <w:rPr>
          <w:rFonts w:cstheme="minorHAnsi"/>
          <w:szCs w:val="26"/>
        </w:rPr>
        <w:t xml:space="preserve"> from the applicable limitations period</w:t>
      </w:r>
      <w:r w:rsidRPr="00323796" w:rsidR="00BE0F04">
        <w:rPr>
          <w:rFonts w:cstheme="minorHAnsi"/>
          <w:szCs w:val="26"/>
        </w:rPr>
        <w:t>, the law</w:t>
      </w:r>
      <w:r w:rsidRPr="00323796" w:rsidR="00EF32E0">
        <w:rPr>
          <w:rFonts w:cstheme="minorHAnsi"/>
          <w:szCs w:val="26"/>
        </w:rPr>
        <w:t xml:space="preserve"> better serves to protect </w:t>
      </w:r>
      <w:r w:rsidRPr="00323796" w:rsidR="00BE0F04">
        <w:rPr>
          <w:rFonts w:cstheme="minorHAnsi"/>
          <w:szCs w:val="26"/>
        </w:rPr>
        <w:t xml:space="preserve">a minor’s </w:t>
      </w:r>
      <w:r w:rsidRPr="00323796" w:rsidR="00EF32E0">
        <w:rPr>
          <w:rFonts w:cstheme="minorHAnsi"/>
          <w:szCs w:val="26"/>
        </w:rPr>
        <w:t>rights</w:t>
      </w:r>
      <w:r w:rsidRPr="00323796" w:rsidR="007D32B5">
        <w:rPr>
          <w:rFonts w:cstheme="minorHAnsi"/>
          <w:szCs w:val="26"/>
        </w:rPr>
        <w:t>.</w:t>
      </w:r>
      <w:r w:rsidRPr="00323796" w:rsidR="00BD3947">
        <w:rPr>
          <w:rFonts w:cstheme="minorHAnsi"/>
          <w:szCs w:val="26"/>
        </w:rPr>
        <w:t xml:space="preserve">  </w:t>
      </w:r>
      <w:r w:rsidRPr="00323796" w:rsidR="00AF2FF7">
        <w:rPr>
          <w:rFonts w:cstheme="minorHAnsi"/>
          <w:szCs w:val="26"/>
        </w:rPr>
        <w:t xml:space="preserve">Not only does </w:t>
      </w:r>
      <w:r w:rsidRPr="00323796" w:rsidR="007635D3">
        <w:rPr>
          <w:rFonts w:cstheme="minorHAnsi"/>
          <w:szCs w:val="26"/>
        </w:rPr>
        <w:t xml:space="preserve">such a construction </w:t>
      </w:r>
      <w:r w:rsidRPr="00323796" w:rsidR="00BD047A">
        <w:rPr>
          <w:rFonts w:cstheme="minorHAnsi"/>
          <w:szCs w:val="26"/>
        </w:rPr>
        <w:t>ensure that</w:t>
      </w:r>
      <w:r w:rsidRPr="00323796" w:rsidR="00BE0EC7">
        <w:rPr>
          <w:rFonts w:cstheme="minorHAnsi"/>
          <w:szCs w:val="26"/>
        </w:rPr>
        <w:t xml:space="preserve"> </w:t>
      </w:r>
      <w:r w:rsidRPr="00323796" w:rsidR="00BD047A">
        <w:rPr>
          <w:rFonts w:cstheme="minorHAnsi"/>
          <w:szCs w:val="26"/>
        </w:rPr>
        <w:t>a plaintiff</w:t>
      </w:r>
      <w:r w:rsidRPr="00323796" w:rsidR="00BE0EC7">
        <w:rPr>
          <w:rFonts w:cstheme="minorHAnsi"/>
          <w:szCs w:val="26"/>
        </w:rPr>
        <w:t xml:space="preserve"> minor </w:t>
      </w:r>
      <w:r w:rsidRPr="00323796" w:rsidR="00BD047A">
        <w:rPr>
          <w:rFonts w:cstheme="minorHAnsi"/>
          <w:szCs w:val="26"/>
        </w:rPr>
        <w:t xml:space="preserve">receives the same </w:t>
      </w:r>
      <w:r w:rsidRPr="00323796" w:rsidR="002F5C4B">
        <w:rPr>
          <w:rFonts w:cstheme="minorHAnsi"/>
          <w:szCs w:val="26"/>
        </w:rPr>
        <w:t xml:space="preserve">first day exclusion </w:t>
      </w:r>
      <w:r w:rsidRPr="00323796" w:rsidR="00BD047A">
        <w:rPr>
          <w:rFonts w:cstheme="minorHAnsi"/>
          <w:szCs w:val="26"/>
        </w:rPr>
        <w:t xml:space="preserve">benefit as a plaintiff adult </w:t>
      </w:r>
      <w:r w:rsidRPr="00323796" w:rsidR="00A33CFB">
        <w:rPr>
          <w:rFonts w:cstheme="minorHAnsi"/>
          <w:szCs w:val="26"/>
        </w:rPr>
        <w:t xml:space="preserve">whose cause of action </w:t>
      </w:r>
      <w:r w:rsidRPr="00323796" w:rsidR="00120710">
        <w:rPr>
          <w:rFonts w:cstheme="minorHAnsi"/>
          <w:szCs w:val="26"/>
        </w:rPr>
        <w:t xml:space="preserve">has </w:t>
      </w:r>
      <w:r w:rsidRPr="00323796" w:rsidR="002F5C4B">
        <w:rPr>
          <w:rFonts w:cstheme="minorHAnsi"/>
          <w:szCs w:val="26"/>
        </w:rPr>
        <w:t xml:space="preserve">accrued, </w:t>
      </w:r>
      <w:r w:rsidR="002C21DD">
        <w:rPr>
          <w:rFonts w:cstheme="minorHAnsi"/>
          <w:szCs w:val="26"/>
        </w:rPr>
        <w:t xml:space="preserve">but </w:t>
      </w:r>
      <w:r w:rsidRPr="00323796" w:rsidR="00AF2FF7">
        <w:rPr>
          <w:rFonts w:cstheme="minorHAnsi"/>
          <w:szCs w:val="26"/>
        </w:rPr>
        <w:t xml:space="preserve">it also avoids creating an exception to the generally applicable rule that could become a source of confusion and error.  </w:t>
      </w:r>
      <w:r w:rsidRPr="00323796" w:rsidR="008011D3">
        <w:rPr>
          <w:rFonts w:cstheme="minorHAnsi"/>
          <w:szCs w:val="26"/>
        </w:rPr>
        <w:t>Defendants do</w:t>
      </w:r>
      <w:r w:rsidRPr="00323796" w:rsidR="00BD3947">
        <w:rPr>
          <w:rFonts w:cstheme="minorHAnsi"/>
          <w:szCs w:val="26"/>
        </w:rPr>
        <w:t xml:space="preserve"> not identify </w:t>
      </w:r>
      <w:r w:rsidRPr="00323796" w:rsidR="00C63C34">
        <w:rPr>
          <w:rFonts w:cstheme="minorHAnsi"/>
          <w:szCs w:val="26"/>
        </w:rPr>
        <w:t xml:space="preserve">any </w:t>
      </w:r>
      <w:r w:rsidRPr="00323796" w:rsidR="00BD3947">
        <w:rPr>
          <w:rFonts w:cstheme="minorHAnsi"/>
          <w:szCs w:val="26"/>
        </w:rPr>
        <w:t xml:space="preserve">similarly significant objectives </w:t>
      </w:r>
      <w:r w:rsidRPr="00323796" w:rsidR="00C63C34">
        <w:rPr>
          <w:rFonts w:cstheme="minorHAnsi"/>
          <w:szCs w:val="26"/>
        </w:rPr>
        <w:t xml:space="preserve">that </w:t>
      </w:r>
      <w:r w:rsidRPr="00323796" w:rsidR="00BD3947">
        <w:rPr>
          <w:rFonts w:cstheme="minorHAnsi"/>
          <w:szCs w:val="26"/>
        </w:rPr>
        <w:t xml:space="preserve">would be achieved by allowing a different method of computation under the circumstances.  </w:t>
      </w:r>
      <w:r w:rsidRPr="00323796" w:rsidR="007B55BF">
        <w:rPr>
          <w:rFonts w:cstheme="minorHAnsi"/>
          <w:szCs w:val="26"/>
        </w:rPr>
        <w:t xml:space="preserve"> </w:t>
      </w:r>
    </w:p>
    <w:p w:rsidR="005B750D" w:rsidRPr="00323796" w:rsidP="00323796" w14:paraId="06122DB7" w14:textId="2EE1BBB5">
      <w:pPr>
        <w:tabs>
          <w:tab w:val="left" w:pos="1440"/>
        </w:tabs>
        <w:ind w:firstLine="720"/>
        <w:rPr>
          <w:rFonts w:cstheme="minorHAnsi"/>
          <w:szCs w:val="26"/>
        </w:rPr>
      </w:pPr>
      <w:r w:rsidRPr="00323796">
        <w:rPr>
          <w:rFonts w:cstheme="minorHAnsi"/>
          <w:szCs w:val="26"/>
        </w:rPr>
        <w:t xml:space="preserve">Citing </w:t>
      </w:r>
      <w:r w:rsidRPr="00323796" w:rsidR="00A31897">
        <w:rPr>
          <w:rFonts w:cstheme="minorHAnsi"/>
          <w:szCs w:val="26"/>
        </w:rPr>
        <w:t>our</w:t>
      </w:r>
      <w:r w:rsidRPr="00323796" w:rsidR="00E027C2">
        <w:rPr>
          <w:rFonts w:cstheme="minorHAnsi"/>
          <w:szCs w:val="26"/>
        </w:rPr>
        <w:t xml:space="preserve"> </w:t>
      </w:r>
      <w:r w:rsidRPr="00323796" w:rsidR="00335DF9">
        <w:rPr>
          <w:rFonts w:cstheme="minorHAnsi"/>
          <w:szCs w:val="26"/>
        </w:rPr>
        <w:t>unreporte</w:t>
      </w:r>
      <w:r w:rsidRPr="00323796" w:rsidR="00E027C2">
        <w:rPr>
          <w:rFonts w:cstheme="minorHAnsi"/>
          <w:szCs w:val="26"/>
        </w:rPr>
        <w:t>d</w:t>
      </w:r>
      <w:r w:rsidRPr="00323796" w:rsidR="006B7FFE">
        <w:rPr>
          <w:rFonts w:cstheme="minorHAnsi"/>
          <w:szCs w:val="26"/>
        </w:rPr>
        <w:t xml:space="preserve"> </w:t>
      </w:r>
      <w:r w:rsidRPr="00323796">
        <w:rPr>
          <w:rFonts w:cstheme="minorHAnsi"/>
          <w:szCs w:val="26"/>
        </w:rPr>
        <w:t xml:space="preserve">decision in </w:t>
      </w:r>
      <w:r w:rsidRPr="00323796">
        <w:rPr>
          <w:rFonts w:cstheme="minorHAnsi"/>
          <w:i/>
          <w:iCs/>
          <w:szCs w:val="26"/>
        </w:rPr>
        <w:t>Ganahl</w:t>
      </w:r>
      <w:r w:rsidRPr="00323796" w:rsidR="002D3774">
        <w:rPr>
          <w:rFonts w:cstheme="minorHAnsi"/>
          <w:i/>
          <w:iCs/>
          <w:szCs w:val="26"/>
        </w:rPr>
        <w:t xml:space="preserve"> I</w:t>
      </w:r>
      <w:r w:rsidRPr="00323796">
        <w:rPr>
          <w:rFonts w:cstheme="minorHAnsi"/>
          <w:szCs w:val="26"/>
        </w:rPr>
        <w:t>,</w:t>
      </w:r>
      <w:r w:rsidRPr="00323796">
        <w:rPr>
          <w:rFonts w:cstheme="minorHAnsi"/>
          <w:i/>
          <w:iCs/>
          <w:szCs w:val="26"/>
        </w:rPr>
        <w:t xml:space="preserve"> </w:t>
      </w:r>
      <w:r w:rsidRPr="00323796" w:rsidR="008011D3">
        <w:rPr>
          <w:rFonts w:cstheme="minorHAnsi"/>
          <w:szCs w:val="26"/>
        </w:rPr>
        <w:t>defendants maintain</w:t>
      </w:r>
      <w:r w:rsidRPr="00323796" w:rsidR="009F0A68">
        <w:rPr>
          <w:rFonts w:cstheme="minorHAnsi"/>
          <w:szCs w:val="26"/>
        </w:rPr>
        <w:t xml:space="preserve"> that</w:t>
      </w:r>
      <w:r w:rsidRPr="00323796" w:rsidR="006E7677">
        <w:rPr>
          <w:rFonts w:cstheme="minorHAnsi"/>
          <w:szCs w:val="26"/>
        </w:rPr>
        <w:t xml:space="preserve"> </w:t>
      </w:r>
      <w:r w:rsidRPr="00323796" w:rsidR="00D270B9">
        <w:rPr>
          <w:rFonts w:cstheme="minorHAnsi"/>
          <w:szCs w:val="26"/>
        </w:rPr>
        <w:t xml:space="preserve">this court </w:t>
      </w:r>
      <w:r w:rsidRPr="00323796">
        <w:rPr>
          <w:rFonts w:cstheme="minorHAnsi"/>
          <w:szCs w:val="26"/>
        </w:rPr>
        <w:t>has already concluded</w:t>
      </w:r>
      <w:r w:rsidRPr="00323796" w:rsidR="00D265DB">
        <w:rPr>
          <w:rFonts w:cstheme="minorHAnsi"/>
          <w:szCs w:val="26"/>
        </w:rPr>
        <w:t xml:space="preserve"> that</w:t>
      </w:r>
      <w:r w:rsidRPr="00323796" w:rsidR="006E7677">
        <w:rPr>
          <w:rFonts w:cstheme="minorHAnsi"/>
          <w:szCs w:val="26"/>
        </w:rPr>
        <w:t xml:space="preserve"> an exception to the general rule for computation </w:t>
      </w:r>
      <w:r w:rsidRPr="00323796" w:rsidR="00D270B9">
        <w:rPr>
          <w:rFonts w:cstheme="minorHAnsi"/>
          <w:szCs w:val="26"/>
        </w:rPr>
        <w:t>of time</w:t>
      </w:r>
      <w:r w:rsidRPr="00323796" w:rsidR="00A102C9">
        <w:rPr>
          <w:rFonts w:cstheme="minorHAnsi"/>
          <w:szCs w:val="26"/>
        </w:rPr>
        <w:t xml:space="preserve"> </w:t>
      </w:r>
      <w:r w:rsidRPr="00323796" w:rsidR="00D265DB">
        <w:rPr>
          <w:rFonts w:cstheme="minorHAnsi"/>
          <w:szCs w:val="26"/>
        </w:rPr>
        <w:t xml:space="preserve">applies </w:t>
      </w:r>
      <w:r w:rsidRPr="00323796" w:rsidR="00D657B9">
        <w:rPr>
          <w:rFonts w:cstheme="minorHAnsi"/>
          <w:szCs w:val="26"/>
        </w:rPr>
        <w:t xml:space="preserve">after </w:t>
      </w:r>
      <w:r w:rsidRPr="00323796" w:rsidR="00085040">
        <w:rPr>
          <w:rFonts w:cstheme="minorHAnsi"/>
          <w:szCs w:val="26"/>
        </w:rPr>
        <w:t xml:space="preserve">the </w:t>
      </w:r>
      <w:r w:rsidRPr="00323796" w:rsidR="00D657B9">
        <w:rPr>
          <w:rFonts w:cstheme="minorHAnsi"/>
          <w:szCs w:val="26"/>
        </w:rPr>
        <w:t xml:space="preserve">tolling </w:t>
      </w:r>
      <w:r w:rsidRPr="00323796" w:rsidR="00085040">
        <w:rPr>
          <w:rFonts w:cstheme="minorHAnsi"/>
          <w:szCs w:val="26"/>
        </w:rPr>
        <w:t xml:space="preserve">period </w:t>
      </w:r>
      <w:r w:rsidRPr="00323796" w:rsidR="00F744D3">
        <w:rPr>
          <w:rFonts w:cstheme="minorHAnsi"/>
          <w:szCs w:val="26"/>
        </w:rPr>
        <w:t xml:space="preserve">based on minority </w:t>
      </w:r>
      <w:r w:rsidRPr="00323796" w:rsidR="00D657B9">
        <w:rPr>
          <w:rFonts w:cstheme="minorHAnsi"/>
          <w:szCs w:val="26"/>
        </w:rPr>
        <w:t>ends</w:t>
      </w:r>
      <w:r w:rsidRPr="00323796" w:rsidR="00C53B10">
        <w:rPr>
          <w:rFonts w:cstheme="minorHAnsi"/>
          <w:szCs w:val="26"/>
        </w:rPr>
        <w:t xml:space="preserve"> and that the Court of Appeal erred by not following </w:t>
      </w:r>
      <w:r w:rsidRPr="00323796" w:rsidR="002D3774">
        <w:rPr>
          <w:rFonts w:cstheme="minorHAnsi"/>
          <w:i/>
          <w:iCs/>
          <w:szCs w:val="26"/>
        </w:rPr>
        <w:t>Ganahl I</w:t>
      </w:r>
      <w:r w:rsidRPr="00323796" w:rsidR="00437FE5">
        <w:rPr>
          <w:rFonts w:cstheme="minorHAnsi"/>
          <w:szCs w:val="26"/>
        </w:rPr>
        <w:t>.</w:t>
      </w:r>
      <w:r w:rsidRPr="00323796" w:rsidR="006E7677">
        <w:rPr>
          <w:rFonts w:cstheme="minorHAnsi"/>
          <w:szCs w:val="26"/>
        </w:rPr>
        <w:t xml:space="preserve"> </w:t>
      </w:r>
      <w:r w:rsidRPr="00323796" w:rsidR="00EC0765">
        <w:rPr>
          <w:rFonts w:cstheme="minorHAnsi"/>
          <w:szCs w:val="26"/>
        </w:rPr>
        <w:t xml:space="preserve"> </w:t>
      </w:r>
      <w:r w:rsidRPr="00323796" w:rsidR="008011D3">
        <w:rPr>
          <w:rFonts w:cstheme="minorHAnsi"/>
          <w:szCs w:val="26"/>
        </w:rPr>
        <w:t>Defendan</w:t>
      </w:r>
      <w:r w:rsidRPr="00323796" w:rsidR="004839AE">
        <w:rPr>
          <w:rFonts w:cstheme="minorHAnsi"/>
          <w:szCs w:val="26"/>
        </w:rPr>
        <w:t>t</w:t>
      </w:r>
      <w:r w:rsidRPr="00323796" w:rsidR="008011D3">
        <w:rPr>
          <w:rFonts w:cstheme="minorHAnsi"/>
          <w:szCs w:val="26"/>
        </w:rPr>
        <w:t>s recount</w:t>
      </w:r>
      <w:r w:rsidRPr="00323796" w:rsidR="00F5387D">
        <w:rPr>
          <w:rFonts w:cstheme="minorHAnsi"/>
          <w:szCs w:val="26"/>
        </w:rPr>
        <w:t xml:space="preserve"> that i</w:t>
      </w:r>
      <w:r w:rsidRPr="00323796">
        <w:rPr>
          <w:rFonts w:cstheme="minorHAnsi"/>
          <w:szCs w:val="26"/>
        </w:rPr>
        <w:t xml:space="preserve">n </w:t>
      </w:r>
      <w:r w:rsidRPr="00323796">
        <w:rPr>
          <w:rFonts w:cstheme="minorHAnsi"/>
          <w:i/>
          <w:iCs/>
          <w:szCs w:val="26"/>
        </w:rPr>
        <w:t>Ganahl</w:t>
      </w:r>
      <w:r w:rsidRPr="00323796" w:rsidR="00A17A4F">
        <w:rPr>
          <w:rFonts w:cstheme="minorHAnsi"/>
          <w:i/>
          <w:iCs/>
          <w:szCs w:val="26"/>
        </w:rPr>
        <w:t xml:space="preserve"> I</w:t>
      </w:r>
      <w:r w:rsidRPr="00323796">
        <w:rPr>
          <w:rFonts w:cstheme="minorHAnsi"/>
          <w:szCs w:val="26"/>
        </w:rPr>
        <w:t xml:space="preserve">, </w:t>
      </w:r>
      <w:r w:rsidRPr="00323796" w:rsidR="00EB5861">
        <w:rPr>
          <w:rFonts w:cstheme="minorHAnsi"/>
          <w:szCs w:val="26"/>
        </w:rPr>
        <w:t>Henry Gordon Ganahl (Gordon)</w:t>
      </w:r>
      <w:r w:rsidRPr="00323796" w:rsidR="00081FBF">
        <w:rPr>
          <w:rFonts w:cstheme="minorHAnsi"/>
          <w:szCs w:val="26"/>
        </w:rPr>
        <w:t xml:space="preserve"> claimed title to land </w:t>
      </w:r>
      <w:r w:rsidRPr="00323796" w:rsidR="00ED01D9">
        <w:rPr>
          <w:rFonts w:cstheme="minorHAnsi"/>
          <w:szCs w:val="26"/>
        </w:rPr>
        <w:t xml:space="preserve">that had been </w:t>
      </w:r>
      <w:r w:rsidRPr="00323796" w:rsidR="00081FBF">
        <w:rPr>
          <w:rFonts w:cstheme="minorHAnsi"/>
          <w:szCs w:val="26"/>
        </w:rPr>
        <w:t xml:space="preserve">owned by </w:t>
      </w:r>
      <w:r w:rsidRPr="00323796" w:rsidR="00ED01D9">
        <w:rPr>
          <w:rFonts w:cstheme="minorHAnsi"/>
          <w:szCs w:val="26"/>
        </w:rPr>
        <w:t>Henry Ganahl</w:t>
      </w:r>
      <w:r w:rsidRPr="00323796" w:rsidR="00081FBF">
        <w:rPr>
          <w:rFonts w:cstheme="minorHAnsi"/>
          <w:szCs w:val="26"/>
        </w:rPr>
        <w:t>, who died intestate.  (</w:t>
      </w:r>
      <w:r w:rsidRPr="00323796" w:rsidR="002D3774">
        <w:rPr>
          <w:rFonts w:cstheme="minorHAnsi"/>
          <w:i/>
          <w:iCs/>
          <w:szCs w:val="26"/>
        </w:rPr>
        <w:t>Ganahl I</w:t>
      </w:r>
      <w:r w:rsidRPr="00323796" w:rsidR="00081FBF">
        <w:rPr>
          <w:rFonts w:cstheme="minorHAnsi"/>
          <w:szCs w:val="26"/>
        </w:rPr>
        <w:t xml:space="preserve">, </w:t>
      </w:r>
      <w:r w:rsidRPr="00323796" w:rsidR="00081FBF">
        <w:rPr>
          <w:rFonts w:cstheme="minorHAnsi"/>
          <w:i/>
          <w:iCs/>
          <w:szCs w:val="26"/>
        </w:rPr>
        <w:t>supra</w:t>
      </w:r>
      <w:r w:rsidRPr="00323796" w:rsidR="00081FBF">
        <w:rPr>
          <w:rFonts w:cstheme="minorHAnsi"/>
          <w:szCs w:val="26"/>
        </w:rPr>
        <w:t xml:space="preserve">, 2 Cal.Unrep. at </w:t>
      </w:r>
      <w:r w:rsidRPr="00323796" w:rsidR="00237603">
        <w:rPr>
          <w:rFonts w:cstheme="minorHAnsi"/>
          <w:szCs w:val="26"/>
        </w:rPr>
        <w:t>p</w:t>
      </w:r>
      <w:r w:rsidRPr="00323796" w:rsidR="00081FBF">
        <w:rPr>
          <w:rFonts w:cstheme="minorHAnsi"/>
          <w:szCs w:val="26"/>
        </w:rPr>
        <w:t>p.</w:t>
      </w:r>
      <w:r w:rsidR="008D6DE2">
        <w:rPr>
          <w:rFonts w:cstheme="minorHAnsi"/>
          <w:szCs w:val="26"/>
        </w:rPr>
        <w:t> </w:t>
      </w:r>
      <w:r w:rsidRPr="00323796" w:rsidR="00081FBF">
        <w:rPr>
          <w:rFonts w:cstheme="minorHAnsi"/>
          <w:szCs w:val="26"/>
        </w:rPr>
        <w:t>415</w:t>
      </w:r>
      <w:r w:rsidRPr="00323796" w:rsidR="00237603">
        <w:rPr>
          <w:rFonts w:cstheme="minorHAnsi"/>
          <w:szCs w:val="26"/>
        </w:rPr>
        <w:t>–416</w:t>
      </w:r>
      <w:r w:rsidRPr="00323796" w:rsidR="00081FBF">
        <w:rPr>
          <w:rFonts w:cstheme="minorHAnsi"/>
          <w:szCs w:val="26"/>
        </w:rPr>
        <w:t xml:space="preserve">.)  </w:t>
      </w:r>
      <w:r w:rsidRPr="00323796" w:rsidR="00D46979">
        <w:rPr>
          <w:rFonts w:cstheme="minorHAnsi"/>
          <w:szCs w:val="26"/>
        </w:rPr>
        <w:t>Th</w:t>
      </w:r>
      <w:r w:rsidRPr="00323796" w:rsidR="006069A2">
        <w:rPr>
          <w:rFonts w:cstheme="minorHAnsi"/>
          <w:szCs w:val="26"/>
        </w:rPr>
        <w:t xml:space="preserve">e cited decision </w:t>
      </w:r>
      <w:r w:rsidRPr="00323796" w:rsidR="00063EB4">
        <w:rPr>
          <w:rFonts w:cstheme="minorHAnsi"/>
          <w:szCs w:val="26"/>
        </w:rPr>
        <w:t xml:space="preserve">held that </w:t>
      </w:r>
      <w:r w:rsidRPr="00323796" w:rsidR="00F21BBD">
        <w:rPr>
          <w:rFonts w:cstheme="minorHAnsi"/>
          <w:szCs w:val="26"/>
        </w:rPr>
        <w:t>G</w:t>
      </w:r>
      <w:r w:rsidRPr="00323796" w:rsidR="00D46979">
        <w:rPr>
          <w:rFonts w:cstheme="minorHAnsi"/>
          <w:szCs w:val="26"/>
        </w:rPr>
        <w:t>ordon’</w:t>
      </w:r>
      <w:r w:rsidRPr="00323796" w:rsidR="00F21BBD">
        <w:rPr>
          <w:rFonts w:cstheme="minorHAnsi"/>
          <w:szCs w:val="26"/>
        </w:rPr>
        <w:t>s lawsuit was barred by the statute of limitations</w:t>
      </w:r>
      <w:r w:rsidRPr="00323796" w:rsidR="00D34F68">
        <w:rPr>
          <w:rFonts w:cstheme="minorHAnsi"/>
          <w:szCs w:val="26"/>
        </w:rPr>
        <w:t>.  (</w:t>
      </w:r>
      <w:r w:rsidRPr="00323796" w:rsidR="00D34F68">
        <w:rPr>
          <w:rFonts w:cstheme="minorHAnsi"/>
          <w:i/>
          <w:iCs/>
          <w:szCs w:val="26"/>
        </w:rPr>
        <w:t>Id</w:t>
      </w:r>
      <w:r w:rsidRPr="00323796" w:rsidR="00D46979">
        <w:rPr>
          <w:rFonts w:cstheme="minorHAnsi"/>
          <w:i/>
          <w:iCs/>
          <w:szCs w:val="26"/>
        </w:rPr>
        <w:t>.</w:t>
      </w:r>
      <w:r w:rsidR="006D3F27">
        <w:rPr>
          <w:rFonts w:cstheme="minorHAnsi"/>
          <w:szCs w:val="26"/>
        </w:rPr>
        <w:t xml:space="preserve"> at p. 416.</w:t>
      </w:r>
      <w:r w:rsidRPr="00323796" w:rsidR="00D46979">
        <w:rPr>
          <w:rFonts w:cstheme="minorHAnsi"/>
          <w:szCs w:val="26"/>
        </w:rPr>
        <w:t xml:space="preserve">)  </w:t>
      </w:r>
      <w:r w:rsidRPr="00323796" w:rsidR="002900CE">
        <w:rPr>
          <w:rFonts w:cstheme="minorHAnsi"/>
          <w:szCs w:val="26"/>
        </w:rPr>
        <w:t>It</w:t>
      </w:r>
      <w:r w:rsidRPr="00323796" w:rsidR="00E95AAA">
        <w:rPr>
          <w:rFonts w:cstheme="minorHAnsi"/>
          <w:szCs w:val="26"/>
        </w:rPr>
        <w:t xml:space="preserve"> </w:t>
      </w:r>
      <w:r w:rsidRPr="00323796" w:rsidR="007E2682">
        <w:rPr>
          <w:rFonts w:cstheme="minorHAnsi"/>
          <w:szCs w:val="26"/>
        </w:rPr>
        <w:t>observe</w:t>
      </w:r>
      <w:r w:rsidRPr="00323796" w:rsidR="00236C07">
        <w:rPr>
          <w:rFonts w:cstheme="minorHAnsi"/>
          <w:szCs w:val="26"/>
        </w:rPr>
        <w:t>d</w:t>
      </w:r>
      <w:r w:rsidRPr="00323796" w:rsidR="00E33B17">
        <w:rPr>
          <w:rFonts w:cstheme="minorHAnsi"/>
          <w:szCs w:val="26"/>
        </w:rPr>
        <w:t xml:space="preserve"> that Gordon</w:t>
      </w:r>
      <w:r w:rsidRPr="00323796" w:rsidR="00342DB8">
        <w:rPr>
          <w:rFonts w:cstheme="minorHAnsi"/>
          <w:szCs w:val="26"/>
        </w:rPr>
        <w:t xml:space="preserve"> became of age </w:t>
      </w:r>
      <w:r w:rsidRPr="00323796" w:rsidR="00E03234">
        <w:rPr>
          <w:rFonts w:cstheme="minorHAnsi"/>
          <w:szCs w:val="26"/>
        </w:rPr>
        <w:t>“</w:t>
      </w:r>
      <w:r w:rsidRPr="00323796" w:rsidR="00342DB8">
        <w:rPr>
          <w:rFonts w:cstheme="minorHAnsi"/>
          <w:szCs w:val="26"/>
        </w:rPr>
        <w:t>the first minute of the eleventh day of April, 1876,</w:t>
      </w:r>
      <w:r w:rsidRPr="00323796" w:rsidR="00E03234">
        <w:rPr>
          <w:rFonts w:cstheme="minorHAnsi"/>
          <w:szCs w:val="26"/>
        </w:rPr>
        <w:t>” and therefore</w:t>
      </w:r>
      <w:r w:rsidRPr="00323796" w:rsidR="00342DB8">
        <w:rPr>
          <w:rFonts w:cstheme="minorHAnsi"/>
          <w:szCs w:val="26"/>
        </w:rPr>
        <w:t xml:space="preserve"> </w:t>
      </w:r>
      <w:r w:rsidRPr="00323796" w:rsidR="00E03234">
        <w:rPr>
          <w:rFonts w:cstheme="minorHAnsi"/>
          <w:szCs w:val="26"/>
        </w:rPr>
        <w:t>“</w:t>
      </w:r>
      <w:r w:rsidRPr="00323796" w:rsidR="00342DB8">
        <w:rPr>
          <w:rFonts w:cstheme="minorHAnsi"/>
          <w:szCs w:val="26"/>
        </w:rPr>
        <w:t xml:space="preserve">he was entitled to commence an action for the recovery of whatever interest he had in the land within the period of five years thereafter, </w:t>
      </w:r>
      <w:r w:rsidRPr="00323796" w:rsidR="00652BEA">
        <w:rPr>
          <w:rFonts w:cstheme="minorHAnsi"/>
          <w:szCs w:val="26"/>
        </w:rPr>
        <w:t>but not after the expiration of that period.</w:t>
      </w:r>
      <w:r w:rsidRPr="00323796" w:rsidR="007E2682">
        <w:rPr>
          <w:rFonts w:cstheme="minorHAnsi"/>
          <w:szCs w:val="26"/>
        </w:rPr>
        <w:t>”  (</w:t>
      </w:r>
      <w:r w:rsidRPr="00323796" w:rsidR="007E2682">
        <w:rPr>
          <w:rFonts w:cstheme="minorHAnsi"/>
          <w:i/>
          <w:iCs/>
          <w:szCs w:val="26"/>
        </w:rPr>
        <w:t>Ibid.</w:t>
      </w:r>
      <w:r w:rsidRPr="00323796" w:rsidR="007E2682">
        <w:rPr>
          <w:rFonts w:cstheme="minorHAnsi"/>
          <w:szCs w:val="26"/>
        </w:rPr>
        <w:t>)</w:t>
      </w:r>
      <w:r w:rsidRPr="00323796" w:rsidR="00652BEA">
        <w:rPr>
          <w:rFonts w:cstheme="minorHAnsi"/>
          <w:szCs w:val="26"/>
        </w:rPr>
        <w:t xml:space="preserve">  </w:t>
      </w:r>
      <w:r w:rsidRPr="00323796" w:rsidR="00C305E8">
        <w:rPr>
          <w:rFonts w:cstheme="minorHAnsi"/>
          <w:szCs w:val="26"/>
        </w:rPr>
        <w:t xml:space="preserve">The opinion </w:t>
      </w:r>
      <w:r w:rsidRPr="00323796" w:rsidR="005F25B4">
        <w:rPr>
          <w:rFonts w:cstheme="minorHAnsi"/>
          <w:szCs w:val="26"/>
        </w:rPr>
        <w:t>reason</w:t>
      </w:r>
      <w:r w:rsidRPr="00323796" w:rsidR="00474126">
        <w:rPr>
          <w:rFonts w:cstheme="minorHAnsi"/>
          <w:szCs w:val="26"/>
        </w:rPr>
        <w:t>e</w:t>
      </w:r>
      <w:r w:rsidRPr="00323796" w:rsidR="007E2682">
        <w:rPr>
          <w:rFonts w:cstheme="minorHAnsi"/>
          <w:szCs w:val="26"/>
        </w:rPr>
        <w:t>d:  “</w:t>
      </w:r>
      <w:r w:rsidRPr="00323796" w:rsidR="00652BEA">
        <w:rPr>
          <w:rFonts w:cstheme="minorHAnsi"/>
          <w:szCs w:val="26"/>
        </w:rPr>
        <w:t>In computing the period of five years we must include the eleventh day of April, 1876, because, as the plaintiff in question attained his majority the first minute of that day, he had the whole of the day in which to sue; and computing that as the first day of the five years, the whole period of five years expired with the tenth day of April, 1881, and the action not having been commenced until the</w:t>
      </w:r>
      <w:r w:rsidRPr="00323796" w:rsidR="00300E42">
        <w:rPr>
          <w:rFonts w:cstheme="minorHAnsi"/>
          <w:szCs w:val="26"/>
        </w:rPr>
        <w:t xml:space="preserve"> eleventh of April, 1881, was barred by the provisions of the statute.”  (</w:t>
      </w:r>
      <w:r w:rsidRPr="00323796" w:rsidR="00300E42">
        <w:rPr>
          <w:rFonts w:cstheme="minorHAnsi"/>
          <w:i/>
          <w:iCs/>
          <w:szCs w:val="26"/>
        </w:rPr>
        <w:t>Ibid.</w:t>
      </w:r>
      <w:r w:rsidRPr="00323796" w:rsidR="00300E42">
        <w:rPr>
          <w:rFonts w:cstheme="minorHAnsi"/>
          <w:szCs w:val="26"/>
        </w:rPr>
        <w:t>)</w:t>
      </w:r>
      <w:r w:rsidRPr="00323796" w:rsidR="00652BEA">
        <w:rPr>
          <w:rFonts w:cstheme="minorHAnsi"/>
          <w:szCs w:val="26"/>
        </w:rPr>
        <w:t xml:space="preserve"> </w:t>
      </w:r>
      <w:r w:rsidRPr="00323796" w:rsidR="00DC5770">
        <w:rPr>
          <w:rFonts w:cstheme="minorHAnsi"/>
          <w:szCs w:val="26"/>
        </w:rPr>
        <w:t xml:space="preserve"> Although section 12 was enacted more than a decade before the 1884 </w:t>
      </w:r>
      <w:r w:rsidRPr="00323796" w:rsidR="00DC5770">
        <w:rPr>
          <w:rFonts w:cstheme="minorHAnsi"/>
          <w:i/>
          <w:iCs/>
          <w:szCs w:val="26"/>
        </w:rPr>
        <w:t>Ganahl I</w:t>
      </w:r>
      <w:r w:rsidRPr="00323796" w:rsidR="00DC5770">
        <w:rPr>
          <w:rFonts w:cstheme="minorHAnsi"/>
          <w:szCs w:val="26"/>
        </w:rPr>
        <w:t xml:space="preserve"> decision, the opinion in </w:t>
      </w:r>
      <w:r w:rsidRPr="00323796" w:rsidR="00DC5770">
        <w:rPr>
          <w:rFonts w:cstheme="minorHAnsi"/>
          <w:i/>
          <w:iCs/>
          <w:szCs w:val="26"/>
        </w:rPr>
        <w:t>Ganahl I</w:t>
      </w:r>
      <w:r w:rsidRPr="00323796" w:rsidR="00DC5770">
        <w:rPr>
          <w:rFonts w:cstheme="minorHAnsi"/>
          <w:szCs w:val="26"/>
        </w:rPr>
        <w:t xml:space="preserve"> does not consider the role of, or even mention, this general </w:t>
      </w:r>
      <w:r w:rsidRPr="00323796" w:rsidR="00207A7B">
        <w:rPr>
          <w:rFonts w:cstheme="minorHAnsi"/>
          <w:szCs w:val="26"/>
        </w:rPr>
        <w:t>rule governing</w:t>
      </w:r>
      <w:r w:rsidRPr="00323796" w:rsidR="00DC5770">
        <w:rPr>
          <w:rFonts w:cstheme="minorHAnsi"/>
          <w:szCs w:val="26"/>
        </w:rPr>
        <w:t xml:space="preserve"> comput</w:t>
      </w:r>
      <w:r w:rsidRPr="00323796" w:rsidR="00207A7B">
        <w:rPr>
          <w:rFonts w:cstheme="minorHAnsi"/>
          <w:szCs w:val="26"/>
        </w:rPr>
        <w:t>ation of</w:t>
      </w:r>
      <w:r w:rsidRPr="00323796" w:rsidR="00DC5770">
        <w:rPr>
          <w:rFonts w:cstheme="minorHAnsi"/>
          <w:szCs w:val="26"/>
        </w:rPr>
        <w:t xml:space="preserve"> time.  </w:t>
      </w:r>
    </w:p>
    <w:p w:rsidR="00F45917" w:rsidRPr="00323796" w:rsidP="00323796" w14:paraId="35FF4424" w14:textId="095EBD06">
      <w:pPr>
        <w:tabs>
          <w:tab w:val="left" w:pos="1440"/>
        </w:tabs>
        <w:ind w:firstLine="720"/>
        <w:rPr>
          <w:rFonts w:cstheme="minorHAnsi"/>
          <w:szCs w:val="26"/>
        </w:rPr>
      </w:pPr>
      <w:r w:rsidRPr="00323796">
        <w:rPr>
          <w:rFonts w:cstheme="minorHAnsi"/>
          <w:szCs w:val="26"/>
        </w:rPr>
        <w:t xml:space="preserve">Putting aside the question of whether </w:t>
      </w:r>
      <w:r w:rsidRPr="00323796" w:rsidR="0033452E">
        <w:rPr>
          <w:rFonts w:cstheme="minorHAnsi"/>
          <w:szCs w:val="26"/>
        </w:rPr>
        <w:t xml:space="preserve">the </w:t>
      </w:r>
      <w:r w:rsidRPr="00323796" w:rsidR="0033452E">
        <w:rPr>
          <w:rFonts w:cstheme="minorHAnsi"/>
          <w:i/>
          <w:iCs/>
          <w:szCs w:val="26"/>
        </w:rPr>
        <w:t xml:space="preserve">Ganahl I </w:t>
      </w:r>
      <w:r w:rsidRPr="00323796" w:rsidR="0033452E">
        <w:rPr>
          <w:rFonts w:cstheme="minorHAnsi"/>
          <w:szCs w:val="26"/>
        </w:rPr>
        <w:t>decision stands for the proposition</w:t>
      </w:r>
      <w:r w:rsidRPr="00323796" w:rsidR="00ED5C9A">
        <w:rPr>
          <w:rFonts w:cstheme="minorHAnsi"/>
          <w:szCs w:val="26"/>
        </w:rPr>
        <w:t xml:space="preserve"> that, notwithstanding section</w:t>
      </w:r>
      <w:r w:rsidR="008D6DE2">
        <w:rPr>
          <w:rFonts w:cstheme="minorHAnsi"/>
          <w:szCs w:val="26"/>
        </w:rPr>
        <w:t> </w:t>
      </w:r>
      <w:r w:rsidRPr="00323796" w:rsidR="00ED5C9A">
        <w:rPr>
          <w:rFonts w:cstheme="minorHAnsi"/>
          <w:szCs w:val="26"/>
        </w:rPr>
        <w:t>12</w:t>
      </w:r>
      <w:r w:rsidRPr="00323796" w:rsidR="00A22452">
        <w:rPr>
          <w:rFonts w:cstheme="minorHAnsi"/>
          <w:szCs w:val="26"/>
        </w:rPr>
        <w:t>, the day after minority tolling ends is included in calculating the applicable limitations period, we</w:t>
      </w:r>
      <w:r w:rsidRPr="00323796" w:rsidR="00207A7B">
        <w:rPr>
          <w:rFonts w:cstheme="minorHAnsi"/>
          <w:szCs w:val="26"/>
        </w:rPr>
        <w:t xml:space="preserve"> </w:t>
      </w:r>
      <w:r w:rsidRPr="00323796" w:rsidR="00A22452">
        <w:rPr>
          <w:rFonts w:cstheme="minorHAnsi"/>
          <w:szCs w:val="26"/>
        </w:rPr>
        <w:t xml:space="preserve">conclude that </w:t>
      </w:r>
      <w:r w:rsidRPr="00323796" w:rsidR="00A22452">
        <w:rPr>
          <w:rFonts w:cstheme="minorHAnsi"/>
          <w:i/>
          <w:iCs/>
          <w:szCs w:val="26"/>
        </w:rPr>
        <w:t xml:space="preserve">Ganahl I </w:t>
      </w:r>
      <w:r w:rsidRPr="00323796" w:rsidR="00A22452">
        <w:rPr>
          <w:rFonts w:cstheme="minorHAnsi"/>
          <w:szCs w:val="26"/>
        </w:rPr>
        <w:t xml:space="preserve">has no precedential </w:t>
      </w:r>
      <w:r w:rsidRPr="00323796" w:rsidR="0044728A">
        <w:rPr>
          <w:rFonts w:cstheme="minorHAnsi"/>
          <w:szCs w:val="26"/>
        </w:rPr>
        <w:t>authority</w:t>
      </w:r>
      <w:r w:rsidRPr="00323796" w:rsidR="00A22452">
        <w:rPr>
          <w:rFonts w:cstheme="minorHAnsi"/>
          <w:szCs w:val="26"/>
        </w:rPr>
        <w:t>.  As d</w:t>
      </w:r>
      <w:r w:rsidRPr="00323796" w:rsidR="008011D3">
        <w:rPr>
          <w:rFonts w:cstheme="minorHAnsi"/>
          <w:szCs w:val="26"/>
        </w:rPr>
        <w:t>efendants</w:t>
      </w:r>
      <w:r w:rsidRPr="00323796" w:rsidR="00586382">
        <w:rPr>
          <w:rFonts w:cstheme="minorHAnsi"/>
          <w:szCs w:val="26"/>
        </w:rPr>
        <w:t xml:space="preserve"> </w:t>
      </w:r>
      <w:r w:rsidRPr="00323796" w:rsidR="00D72490">
        <w:rPr>
          <w:rFonts w:cstheme="minorHAnsi"/>
          <w:szCs w:val="26"/>
        </w:rPr>
        <w:t>acknowledge</w:t>
      </w:r>
      <w:r w:rsidRPr="00323796" w:rsidR="00A22452">
        <w:rPr>
          <w:rFonts w:cstheme="minorHAnsi"/>
          <w:szCs w:val="26"/>
        </w:rPr>
        <w:t xml:space="preserve">, </w:t>
      </w:r>
      <w:r w:rsidRPr="00323796" w:rsidR="00D72490">
        <w:rPr>
          <w:rFonts w:cstheme="minorHAnsi"/>
          <w:szCs w:val="26"/>
        </w:rPr>
        <w:t xml:space="preserve">we </w:t>
      </w:r>
      <w:r w:rsidRPr="00323796" w:rsidR="008D1EDE">
        <w:rPr>
          <w:rFonts w:cstheme="minorHAnsi"/>
          <w:szCs w:val="26"/>
        </w:rPr>
        <w:t xml:space="preserve">granted </w:t>
      </w:r>
      <w:r w:rsidRPr="00323796" w:rsidR="001614C0">
        <w:rPr>
          <w:rFonts w:cstheme="minorHAnsi"/>
          <w:szCs w:val="26"/>
        </w:rPr>
        <w:t xml:space="preserve">the plaintiffs’ </w:t>
      </w:r>
      <w:r w:rsidRPr="00323796" w:rsidR="008656BE">
        <w:rPr>
          <w:rFonts w:cstheme="minorHAnsi"/>
          <w:szCs w:val="26"/>
        </w:rPr>
        <w:t>“P</w:t>
      </w:r>
      <w:r w:rsidRPr="00323796" w:rsidR="001614C0">
        <w:rPr>
          <w:rFonts w:cstheme="minorHAnsi"/>
          <w:szCs w:val="26"/>
        </w:rPr>
        <w:t xml:space="preserve">etition for </w:t>
      </w:r>
      <w:r w:rsidRPr="00323796" w:rsidR="008656BE">
        <w:rPr>
          <w:rFonts w:cstheme="minorHAnsi"/>
          <w:szCs w:val="26"/>
        </w:rPr>
        <w:t>H</w:t>
      </w:r>
      <w:r w:rsidRPr="00323796" w:rsidR="008D1EDE">
        <w:rPr>
          <w:rFonts w:cstheme="minorHAnsi"/>
          <w:szCs w:val="26"/>
        </w:rPr>
        <w:t xml:space="preserve">earing </w:t>
      </w:r>
      <w:r w:rsidRPr="00323796" w:rsidR="00335157">
        <w:rPr>
          <w:rFonts w:cstheme="minorHAnsi"/>
          <w:szCs w:val="26"/>
        </w:rPr>
        <w:t xml:space="preserve">in </w:t>
      </w:r>
      <w:r w:rsidRPr="00323796" w:rsidR="008656BE">
        <w:rPr>
          <w:rFonts w:cstheme="minorHAnsi"/>
          <w:szCs w:val="26"/>
        </w:rPr>
        <w:t>B</w:t>
      </w:r>
      <w:r w:rsidRPr="00323796" w:rsidR="00335157">
        <w:rPr>
          <w:rFonts w:cstheme="minorHAnsi"/>
          <w:szCs w:val="26"/>
        </w:rPr>
        <w:t>ank</w:t>
      </w:r>
      <w:r w:rsidRPr="00323796" w:rsidR="008656BE">
        <w:rPr>
          <w:rFonts w:cstheme="minorHAnsi"/>
          <w:szCs w:val="26"/>
        </w:rPr>
        <w:t>”</w:t>
      </w:r>
      <w:r w:rsidRPr="00323796" w:rsidR="00335157">
        <w:rPr>
          <w:rFonts w:cstheme="minorHAnsi"/>
          <w:szCs w:val="26"/>
        </w:rPr>
        <w:t xml:space="preserve"> </w:t>
      </w:r>
      <w:r w:rsidRPr="00323796" w:rsidR="008D1EDE">
        <w:rPr>
          <w:rFonts w:cstheme="minorHAnsi"/>
          <w:szCs w:val="26"/>
        </w:rPr>
        <w:t>in</w:t>
      </w:r>
      <w:r w:rsidRPr="00323796" w:rsidR="006E4BE4">
        <w:rPr>
          <w:rFonts w:cstheme="minorHAnsi"/>
          <w:szCs w:val="26"/>
        </w:rPr>
        <w:t xml:space="preserve"> that case</w:t>
      </w:r>
      <w:r w:rsidRPr="00323796" w:rsidR="008D1EDE">
        <w:rPr>
          <w:rFonts w:cstheme="minorHAnsi"/>
          <w:szCs w:val="26"/>
        </w:rPr>
        <w:t xml:space="preserve"> and subsequently filed a </w:t>
      </w:r>
      <w:r w:rsidRPr="00323796" w:rsidR="0044728A">
        <w:rPr>
          <w:rFonts w:cstheme="minorHAnsi"/>
          <w:szCs w:val="26"/>
        </w:rPr>
        <w:t>superseding</w:t>
      </w:r>
      <w:r w:rsidRPr="00323796" w:rsidR="008D1EDE">
        <w:rPr>
          <w:rFonts w:cstheme="minorHAnsi"/>
          <w:szCs w:val="26"/>
        </w:rPr>
        <w:t xml:space="preserve"> opinion,</w:t>
      </w:r>
      <w:r w:rsidRPr="00323796" w:rsidR="00534CBB">
        <w:rPr>
          <w:rFonts w:cstheme="minorHAnsi"/>
          <w:szCs w:val="26"/>
        </w:rPr>
        <w:t xml:space="preserve"> </w:t>
      </w:r>
      <w:r w:rsidRPr="00323796" w:rsidR="009B3C41">
        <w:rPr>
          <w:rFonts w:cstheme="minorHAnsi"/>
          <w:i/>
          <w:iCs/>
          <w:szCs w:val="26"/>
        </w:rPr>
        <w:t xml:space="preserve">Ganahl </w:t>
      </w:r>
      <w:r w:rsidRPr="00323796" w:rsidR="00680D23">
        <w:rPr>
          <w:rFonts w:cstheme="minorHAnsi"/>
          <w:i/>
          <w:iCs/>
          <w:szCs w:val="26"/>
        </w:rPr>
        <w:t>v. Soher</w:t>
      </w:r>
      <w:r w:rsidRPr="00323796" w:rsidR="00680D23">
        <w:rPr>
          <w:rFonts w:cstheme="minorHAnsi"/>
          <w:szCs w:val="26"/>
        </w:rPr>
        <w:t xml:space="preserve"> (1885) 68 Cal. 9</w:t>
      </w:r>
      <w:r w:rsidRPr="00323796" w:rsidR="00FB6DF1">
        <w:rPr>
          <w:rFonts w:cstheme="minorHAnsi"/>
          <w:szCs w:val="26"/>
        </w:rPr>
        <w:t>5</w:t>
      </w:r>
      <w:r w:rsidRPr="00323796" w:rsidR="002D3774">
        <w:rPr>
          <w:rFonts w:cstheme="minorHAnsi"/>
          <w:szCs w:val="26"/>
        </w:rPr>
        <w:t xml:space="preserve"> (</w:t>
      </w:r>
      <w:r w:rsidRPr="00323796" w:rsidR="002D3774">
        <w:rPr>
          <w:rFonts w:cstheme="minorHAnsi"/>
          <w:i/>
          <w:iCs/>
          <w:szCs w:val="26"/>
        </w:rPr>
        <w:t>Ganahl II</w:t>
      </w:r>
      <w:r w:rsidRPr="00323796" w:rsidR="002D3774">
        <w:rPr>
          <w:rFonts w:cstheme="minorHAnsi"/>
          <w:szCs w:val="26"/>
        </w:rPr>
        <w:t>)</w:t>
      </w:r>
      <w:r w:rsidRPr="00323796" w:rsidR="00CB7C6D">
        <w:rPr>
          <w:rFonts w:cstheme="minorHAnsi"/>
          <w:szCs w:val="26"/>
        </w:rPr>
        <w:t>.</w:t>
      </w:r>
      <w:r w:rsidRPr="00323796" w:rsidR="000215F2">
        <w:rPr>
          <w:rStyle w:val="FootnoteReference"/>
          <w:rFonts w:cstheme="minorHAnsi"/>
          <w:szCs w:val="26"/>
        </w:rPr>
        <w:t xml:space="preserve"> </w:t>
      </w:r>
      <w:r w:rsidRPr="00323796" w:rsidR="00FB6DF1">
        <w:rPr>
          <w:rFonts w:cstheme="minorHAnsi"/>
          <w:szCs w:val="26"/>
        </w:rPr>
        <w:t xml:space="preserve"> </w:t>
      </w:r>
      <w:r w:rsidRPr="00323796" w:rsidR="00CB7C6D">
        <w:rPr>
          <w:rFonts w:cstheme="minorHAnsi"/>
          <w:szCs w:val="26"/>
        </w:rPr>
        <w:t xml:space="preserve"> In </w:t>
      </w:r>
      <w:r w:rsidRPr="00323796" w:rsidR="00CB7C6D">
        <w:rPr>
          <w:rFonts w:cstheme="minorHAnsi"/>
          <w:i/>
          <w:iCs/>
          <w:szCs w:val="26"/>
        </w:rPr>
        <w:t>Ganahl II</w:t>
      </w:r>
      <w:r w:rsidRPr="00323796" w:rsidR="00CB7C6D">
        <w:rPr>
          <w:rFonts w:cstheme="minorHAnsi"/>
          <w:szCs w:val="26"/>
        </w:rPr>
        <w:t>, we</w:t>
      </w:r>
      <w:r w:rsidRPr="00323796" w:rsidR="00CB7C6D">
        <w:rPr>
          <w:rFonts w:cstheme="minorHAnsi"/>
          <w:i/>
          <w:iCs/>
          <w:szCs w:val="26"/>
        </w:rPr>
        <w:t xml:space="preserve"> </w:t>
      </w:r>
      <w:r w:rsidRPr="00323796" w:rsidR="00FB6DF1">
        <w:rPr>
          <w:rFonts w:cstheme="minorHAnsi"/>
          <w:szCs w:val="26"/>
        </w:rPr>
        <w:t>again uph</w:t>
      </w:r>
      <w:r w:rsidRPr="00323796" w:rsidR="00CB7C6D">
        <w:rPr>
          <w:rFonts w:cstheme="minorHAnsi"/>
          <w:szCs w:val="26"/>
        </w:rPr>
        <w:t>e</w:t>
      </w:r>
      <w:r w:rsidRPr="00323796" w:rsidR="00FB6DF1">
        <w:rPr>
          <w:rFonts w:cstheme="minorHAnsi"/>
          <w:szCs w:val="26"/>
        </w:rPr>
        <w:t xml:space="preserve">ld the </w:t>
      </w:r>
      <w:r w:rsidRPr="00323796" w:rsidR="0092328F">
        <w:rPr>
          <w:rFonts w:cstheme="minorHAnsi"/>
          <w:szCs w:val="26"/>
        </w:rPr>
        <w:t>trial court’s ruling against Gordon</w:t>
      </w:r>
      <w:r w:rsidR="00704D34">
        <w:rPr>
          <w:rFonts w:cstheme="minorHAnsi"/>
          <w:szCs w:val="26"/>
        </w:rPr>
        <w:t> </w:t>
      </w:r>
      <w:r w:rsidRPr="00323796" w:rsidR="006731BE">
        <w:rPr>
          <w:rFonts w:cstheme="minorHAnsi"/>
          <w:szCs w:val="26"/>
        </w:rPr>
        <w:t xml:space="preserve">— but </w:t>
      </w:r>
      <w:r w:rsidRPr="00323796" w:rsidR="000670A5">
        <w:rPr>
          <w:rFonts w:cstheme="minorHAnsi"/>
          <w:szCs w:val="26"/>
        </w:rPr>
        <w:t>this time on the basis of a three-year, rather that the five-year</w:t>
      </w:r>
      <w:r w:rsidRPr="00323796" w:rsidR="00C16244">
        <w:rPr>
          <w:rFonts w:cstheme="minorHAnsi"/>
          <w:szCs w:val="26"/>
        </w:rPr>
        <w:t>,</w:t>
      </w:r>
      <w:r w:rsidRPr="00323796" w:rsidR="000670A5">
        <w:rPr>
          <w:rFonts w:cstheme="minorHAnsi"/>
          <w:szCs w:val="26"/>
        </w:rPr>
        <w:t xml:space="preserve"> statute of limitations.  </w:t>
      </w:r>
      <w:r w:rsidRPr="00323796" w:rsidR="007E1189">
        <w:rPr>
          <w:rFonts w:cstheme="minorHAnsi"/>
          <w:szCs w:val="26"/>
        </w:rPr>
        <w:t>(</w:t>
      </w:r>
      <w:r w:rsidRPr="00323796" w:rsidR="007E1189">
        <w:rPr>
          <w:rFonts w:cstheme="minorHAnsi"/>
          <w:i/>
          <w:iCs/>
          <w:szCs w:val="26"/>
        </w:rPr>
        <w:t>Id.</w:t>
      </w:r>
      <w:r w:rsidRPr="00323796" w:rsidR="007E1189">
        <w:rPr>
          <w:rFonts w:cstheme="minorHAnsi"/>
          <w:szCs w:val="26"/>
        </w:rPr>
        <w:t xml:space="preserve"> at p.</w:t>
      </w:r>
      <w:r w:rsidR="008D6DE2">
        <w:rPr>
          <w:rFonts w:cstheme="minorHAnsi"/>
          <w:szCs w:val="26"/>
        </w:rPr>
        <w:t> </w:t>
      </w:r>
      <w:r w:rsidRPr="00323796" w:rsidR="00B26077">
        <w:rPr>
          <w:rFonts w:cstheme="minorHAnsi"/>
          <w:szCs w:val="26"/>
        </w:rPr>
        <w:t>96 [“At the time of sale the plaintiff, Henry Gordon Ganahl, was a minor, but he attained his majority more than three years before the commencement of this action”].)</w:t>
      </w:r>
      <w:r w:rsidRPr="00323796" w:rsidR="00FD7E1B">
        <w:rPr>
          <w:rFonts w:cstheme="minorHAnsi"/>
          <w:szCs w:val="26"/>
        </w:rPr>
        <w:t xml:space="preserve">  Unlike </w:t>
      </w:r>
      <w:r w:rsidRPr="00323796" w:rsidR="0006230F">
        <w:rPr>
          <w:rFonts w:cstheme="minorHAnsi"/>
          <w:szCs w:val="26"/>
        </w:rPr>
        <w:t>the initial</w:t>
      </w:r>
      <w:r w:rsidRPr="00323796" w:rsidR="00FD7E1B">
        <w:rPr>
          <w:rFonts w:cstheme="minorHAnsi"/>
          <w:szCs w:val="26"/>
        </w:rPr>
        <w:t xml:space="preserve"> decision in </w:t>
      </w:r>
      <w:r w:rsidRPr="00323796" w:rsidR="00FD7E1B">
        <w:rPr>
          <w:rFonts w:cstheme="minorHAnsi"/>
          <w:i/>
          <w:iCs/>
          <w:szCs w:val="26"/>
        </w:rPr>
        <w:t>Ganahl I</w:t>
      </w:r>
      <w:r w:rsidRPr="00323796" w:rsidR="00FD7E1B">
        <w:rPr>
          <w:rFonts w:cstheme="minorHAnsi"/>
          <w:szCs w:val="26"/>
        </w:rPr>
        <w:t xml:space="preserve">, </w:t>
      </w:r>
      <w:r w:rsidRPr="00323796" w:rsidR="0006230F">
        <w:rPr>
          <w:rFonts w:cstheme="minorHAnsi"/>
          <w:szCs w:val="26"/>
        </w:rPr>
        <w:t>our subsequent opinion in</w:t>
      </w:r>
      <w:r w:rsidRPr="00323796" w:rsidR="00FD7E1B">
        <w:rPr>
          <w:rFonts w:cstheme="minorHAnsi"/>
          <w:szCs w:val="26"/>
        </w:rPr>
        <w:t xml:space="preserve"> </w:t>
      </w:r>
      <w:r w:rsidRPr="00323796" w:rsidR="00FD7E1B">
        <w:rPr>
          <w:rFonts w:cstheme="minorHAnsi"/>
          <w:i/>
          <w:iCs/>
          <w:szCs w:val="26"/>
        </w:rPr>
        <w:t xml:space="preserve">Ganahl II </w:t>
      </w:r>
      <w:r w:rsidRPr="00323796" w:rsidR="00E729AE">
        <w:rPr>
          <w:rFonts w:cstheme="minorHAnsi"/>
          <w:szCs w:val="26"/>
        </w:rPr>
        <w:t>did not mention</w:t>
      </w:r>
      <w:r w:rsidRPr="00323796" w:rsidR="001A5ADF">
        <w:rPr>
          <w:rFonts w:cstheme="minorHAnsi"/>
          <w:szCs w:val="26"/>
        </w:rPr>
        <w:t>, let alone address,</w:t>
      </w:r>
      <w:r w:rsidRPr="00323796" w:rsidR="00E729AE">
        <w:rPr>
          <w:rFonts w:cstheme="minorHAnsi"/>
          <w:szCs w:val="26"/>
        </w:rPr>
        <w:t xml:space="preserve"> whether Gordon’s </w:t>
      </w:r>
      <w:r w:rsidRPr="00323796" w:rsidR="0006230F">
        <w:rPr>
          <w:rFonts w:cstheme="minorHAnsi"/>
          <w:szCs w:val="26"/>
        </w:rPr>
        <w:t>21st</w:t>
      </w:r>
      <w:r w:rsidRPr="00323796" w:rsidR="00E729AE">
        <w:rPr>
          <w:rFonts w:cstheme="minorHAnsi"/>
          <w:szCs w:val="26"/>
        </w:rPr>
        <w:t xml:space="preserve"> birthday was included in calculating the applicable limitations period</w:t>
      </w:r>
      <w:r w:rsidRPr="00323796" w:rsidR="001A71B4">
        <w:rPr>
          <w:rFonts w:cstheme="minorHAnsi"/>
          <w:szCs w:val="26"/>
        </w:rPr>
        <w:t xml:space="preserve">.  (Compare </w:t>
      </w:r>
      <w:r w:rsidRPr="00323796" w:rsidR="001A71B4">
        <w:rPr>
          <w:rFonts w:cstheme="minorHAnsi"/>
          <w:i/>
          <w:iCs/>
          <w:szCs w:val="26"/>
        </w:rPr>
        <w:t>Ganahl</w:t>
      </w:r>
      <w:r w:rsidRPr="00323796" w:rsidR="00BC4060">
        <w:rPr>
          <w:rFonts w:cstheme="minorHAnsi"/>
          <w:i/>
          <w:iCs/>
          <w:szCs w:val="26"/>
        </w:rPr>
        <w:t xml:space="preserve"> I</w:t>
      </w:r>
      <w:r w:rsidRPr="00323796" w:rsidR="001A71B4">
        <w:rPr>
          <w:rFonts w:cstheme="minorHAnsi"/>
          <w:szCs w:val="26"/>
        </w:rPr>
        <w:t xml:space="preserve">, </w:t>
      </w:r>
      <w:r w:rsidRPr="00323796" w:rsidR="001A71B4">
        <w:rPr>
          <w:rFonts w:cstheme="minorHAnsi"/>
          <w:i/>
          <w:iCs/>
          <w:szCs w:val="26"/>
        </w:rPr>
        <w:t>supra</w:t>
      </w:r>
      <w:r w:rsidRPr="00323796" w:rsidR="001A71B4">
        <w:rPr>
          <w:rFonts w:cstheme="minorHAnsi"/>
          <w:szCs w:val="26"/>
        </w:rPr>
        <w:t xml:space="preserve">, </w:t>
      </w:r>
      <w:r w:rsidRPr="00323796" w:rsidR="00BC4060">
        <w:rPr>
          <w:rFonts w:cstheme="minorHAnsi"/>
          <w:szCs w:val="26"/>
        </w:rPr>
        <w:t xml:space="preserve">2 Cal.Unrep. at p. 416 with </w:t>
      </w:r>
      <w:r w:rsidRPr="00323796" w:rsidR="00BC4060">
        <w:rPr>
          <w:rFonts w:cstheme="minorHAnsi"/>
          <w:i/>
          <w:iCs/>
          <w:szCs w:val="26"/>
        </w:rPr>
        <w:t>Ganahl II</w:t>
      </w:r>
      <w:r w:rsidRPr="00323796" w:rsidR="00BC4060">
        <w:rPr>
          <w:rFonts w:cstheme="minorHAnsi"/>
          <w:szCs w:val="26"/>
        </w:rPr>
        <w:t xml:space="preserve">, </w:t>
      </w:r>
      <w:r w:rsidRPr="00323796" w:rsidR="001F4DB7">
        <w:rPr>
          <w:rFonts w:cstheme="minorHAnsi"/>
          <w:i/>
          <w:iCs/>
          <w:szCs w:val="26"/>
        </w:rPr>
        <w:t>supra</w:t>
      </w:r>
      <w:r w:rsidRPr="00323796" w:rsidR="001F4DB7">
        <w:rPr>
          <w:rFonts w:cstheme="minorHAnsi"/>
          <w:szCs w:val="26"/>
        </w:rPr>
        <w:t>, 68 Cal.</w:t>
      </w:r>
      <w:r w:rsidRPr="00323796" w:rsidR="001F4DB7">
        <w:rPr>
          <w:rFonts w:cstheme="minorHAnsi"/>
          <w:i/>
          <w:iCs/>
          <w:szCs w:val="26"/>
        </w:rPr>
        <w:t xml:space="preserve"> </w:t>
      </w:r>
      <w:r w:rsidRPr="00323796" w:rsidR="00BC4060">
        <w:rPr>
          <w:rFonts w:cstheme="minorHAnsi"/>
          <w:szCs w:val="26"/>
        </w:rPr>
        <w:t>at p. 96.)</w:t>
      </w:r>
    </w:p>
    <w:p w:rsidR="00B316D3" w:rsidRPr="00323796" w:rsidP="00323796" w14:paraId="102F2DBB" w14:textId="0098EA28">
      <w:pPr>
        <w:tabs>
          <w:tab w:val="left" w:pos="1440"/>
        </w:tabs>
        <w:ind w:firstLine="720"/>
        <w:rPr>
          <w:szCs w:val="26"/>
        </w:rPr>
      </w:pPr>
      <w:r w:rsidRPr="00323796">
        <w:t xml:space="preserve">The constitutional provisions </w:t>
      </w:r>
      <w:r w:rsidRPr="00323796" w:rsidR="00CF488E">
        <w:t>applicable</w:t>
      </w:r>
      <w:r w:rsidRPr="00323796">
        <w:t xml:space="preserve"> at th</w:t>
      </w:r>
      <w:r w:rsidR="004D4B0D">
        <w:t>e</w:t>
      </w:r>
      <w:r w:rsidRPr="00323796" w:rsidR="005D4921">
        <w:t xml:space="preserve"> time </w:t>
      </w:r>
      <w:r w:rsidRPr="00323796" w:rsidR="001205B1">
        <w:t xml:space="preserve">of </w:t>
      </w:r>
      <w:r w:rsidRPr="00323796" w:rsidR="00CF488E">
        <w:t xml:space="preserve">the </w:t>
      </w:r>
      <w:r w:rsidRPr="00323796" w:rsidR="001205B1">
        <w:rPr>
          <w:i/>
          <w:iCs/>
        </w:rPr>
        <w:t xml:space="preserve">Ganahl </w:t>
      </w:r>
      <w:r w:rsidRPr="00323796" w:rsidR="00AC7692">
        <w:t xml:space="preserve">proceedings </w:t>
      </w:r>
      <w:r w:rsidRPr="00323796" w:rsidR="00FF4DE1">
        <w:t>make clear</w:t>
      </w:r>
      <w:r w:rsidRPr="00323796" w:rsidR="003F1BC2">
        <w:t xml:space="preserve"> that</w:t>
      </w:r>
      <w:r w:rsidRPr="00323796" w:rsidR="00CF488E">
        <w:t xml:space="preserve"> </w:t>
      </w:r>
      <w:r w:rsidRPr="00323796" w:rsidR="003F1BC2">
        <w:t xml:space="preserve">our decision in </w:t>
      </w:r>
      <w:r w:rsidRPr="00323796" w:rsidR="00CF488E">
        <w:rPr>
          <w:i/>
          <w:iCs/>
        </w:rPr>
        <w:t xml:space="preserve">Ganahl I </w:t>
      </w:r>
      <w:r w:rsidRPr="00323796" w:rsidR="003F1BC2">
        <w:t xml:space="preserve">was vacated as a matter of law and has never had any precedential authority.  </w:t>
      </w:r>
      <w:r w:rsidRPr="00323796" w:rsidR="003F1BC2">
        <w:rPr>
          <w:szCs w:val="26"/>
        </w:rPr>
        <w:t>A</w:t>
      </w:r>
      <w:r w:rsidRPr="00323796">
        <w:rPr>
          <w:szCs w:val="26"/>
        </w:rPr>
        <w:t xml:space="preserve">rticle VI, section 2 of the California Constitution of 1879 </w:t>
      </w:r>
      <w:r w:rsidRPr="00323796" w:rsidR="006F0B43">
        <w:t>established the court’s structural practice (abandoned five decades later) of operating in two three-justice “departments,” each with “the power to hear and determine causes.”</w:t>
      </w:r>
      <w:r w:rsidRPr="00323796" w:rsidR="006F0B43">
        <w:rPr>
          <w:szCs w:val="26"/>
        </w:rPr>
        <w:t xml:space="preserve">  </w:t>
      </w:r>
      <w:r w:rsidRPr="00323796" w:rsidR="000F02DC">
        <w:rPr>
          <w:szCs w:val="26"/>
        </w:rPr>
        <w:t>This section</w:t>
      </w:r>
      <w:r w:rsidRPr="00323796" w:rsidR="006F0B43">
        <w:rPr>
          <w:szCs w:val="26"/>
        </w:rPr>
        <w:t xml:space="preserve"> </w:t>
      </w:r>
      <w:r w:rsidRPr="00323796" w:rsidR="00B21B8B">
        <w:rPr>
          <w:szCs w:val="26"/>
        </w:rPr>
        <w:t>provided</w:t>
      </w:r>
      <w:r w:rsidRPr="00323796">
        <w:rPr>
          <w:szCs w:val="26"/>
        </w:rPr>
        <w:t xml:space="preserve"> that </w:t>
      </w:r>
      <w:r w:rsidR="001016C4">
        <w:rPr>
          <w:szCs w:val="26"/>
        </w:rPr>
        <w:t>either the Chief Justice</w:t>
      </w:r>
      <w:r w:rsidR="00521A3E">
        <w:rPr>
          <w:szCs w:val="26"/>
        </w:rPr>
        <w:t xml:space="preserve"> or any four justices may</w:t>
      </w:r>
      <w:r w:rsidRPr="00323796" w:rsidR="007F6EFF">
        <w:rPr>
          <w:szCs w:val="26"/>
        </w:rPr>
        <w:t xml:space="preserve">, </w:t>
      </w:r>
      <w:r w:rsidRPr="00323796" w:rsidR="0020081C">
        <w:t>“before or after judgment by a department, order a case to be heard in bank.”  (</w:t>
      </w:r>
      <w:r w:rsidRPr="00323796" w:rsidR="0020081C">
        <w:rPr>
          <w:i/>
          <w:iCs/>
        </w:rPr>
        <w:t>Ibid.</w:t>
      </w:r>
      <w:r w:rsidRPr="00323796" w:rsidR="0020081C">
        <w:t>)</w:t>
      </w:r>
      <w:r w:rsidRPr="00323796" w:rsidR="0020081C">
        <w:rPr>
          <w:i/>
          <w:iCs/>
        </w:rPr>
        <w:t xml:space="preserve">  </w:t>
      </w:r>
      <w:r w:rsidRPr="00323796" w:rsidR="0020081C">
        <w:rPr>
          <w:szCs w:val="26"/>
        </w:rPr>
        <w:t xml:space="preserve">Significantly, </w:t>
      </w:r>
      <w:r w:rsidRPr="00323796" w:rsidR="000F02DC">
        <w:rPr>
          <w:szCs w:val="26"/>
        </w:rPr>
        <w:t>this section</w:t>
      </w:r>
      <w:r w:rsidRPr="00323796" w:rsidR="00B21B8B">
        <w:rPr>
          <w:szCs w:val="26"/>
        </w:rPr>
        <w:t xml:space="preserve"> also specified that an order </w:t>
      </w:r>
      <w:r w:rsidRPr="00323796" w:rsidR="008F6ACB">
        <w:rPr>
          <w:szCs w:val="26"/>
        </w:rPr>
        <w:t>for a</w:t>
      </w:r>
      <w:r w:rsidRPr="00323796" w:rsidR="00B21B8B">
        <w:rPr>
          <w:szCs w:val="26"/>
        </w:rPr>
        <w:t xml:space="preserve"> hearing </w:t>
      </w:r>
      <w:r w:rsidRPr="00323796" w:rsidR="008F6ACB">
        <w:rPr>
          <w:szCs w:val="26"/>
        </w:rPr>
        <w:t xml:space="preserve">in bank </w:t>
      </w:r>
      <w:r w:rsidRPr="00323796" w:rsidR="00B21B8B">
        <w:rPr>
          <w:szCs w:val="26"/>
        </w:rPr>
        <w:t xml:space="preserve">“shall have the effect to </w:t>
      </w:r>
      <w:r w:rsidRPr="00323796" w:rsidR="00B21B8B">
        <w:rPr>
          <w:i/>
          <w:iCs/>
          <w:szCs w:val="26"/>
        </w:rPr>
        <w:t xml:space="preserve">vacate and set aside the </w:t>
      </w:r>
      <w:r w:rsidRPr="00323796" w:rsidR="00B21B8B">
        <w:rPr>
          <w:szCs w:val="26"/>
        </w:rPr>
        <w:t>[</w:t>
      </w:r>
      <w:r w:rsidRPr="00323796" w:rsidR="00B21B8B">
        <w:rPr>
          <w:i/>
          <w:iCs/>
          <w:szCs w:val="26"/>
        </w:rPr>
        <w:t>prior</w:t>
      </w:r>
      <w:r w:rsidRPr="00323796" w:rsidR="00B21B8B">
        <w:rPr>
          <w:szCs w:val="26"/>
        </w:rPr>
        <w:t>]</w:t>
      </w:r>
      <w:r w:rsidRPr="00323796" w:rsidR="00B21B8B">
        <w:rPr>
          <w:i/>
          <w:iCs/>
          <w:szCs w:val="26"/>
        </w:rPr>
        <w:t xml:space="preserve"> judgment</w:t>
      </w:r>
      <w:r w:rsidRPr="00323796" w:rsidR="00B21B8B">
        <w:rPr>
          <w:szCs w:val="26"/>
        </w:rPr>
        <w:t xml:space="preserve">.”  </w:t>
      </w:r>
      <w:r w:rsidRPr="00323796" w:rsidR="009A4118">
        <w:t>(</w:t>
      </w:r>
      <w:r w:rsidRPr="00323796" w:rsidR="007C2269">
        <w:rPr>
          <w:i/>
          <w:iCs/>
        </w:rPr>
        <w:t>Ibid.</w:t>
      </w:r>
      <w:r w:rsidRPr="00323796" w:rsidR="009A4118">
        <w:t>, italics added.)</w:t>
      </w:r>
      <w:r w:rsidRPr="00323796" w:rsidR="00C4555E">
        <w:t xml:space="preserve">  Thus, </w:t>
      </w:r>
      <w:r w:rsidRPr="00323796" w:rsidR="00C4555E">
        <w:rPr>
          <w:i/>
          <w:iCs/>
        </w:rPr>
        <w:t>Ganahl I</w:t>
      </w:r>
      <w:r w:rsidRPr="00323796" w:rsidR="00C4555E">
        <w:t xml:space="preserve"> is not</w:t>
      </w:r>
      <w:r w:rsidR="00704D34">
        <w:t> </w:t>
      </w:r>
      <w:r w:rsidRPr="00323796" w:rsidR="00DA2312">
        <w:t>— and never has been</w:t>
      </w:r>
      <w:r w:rsidR="001C69D6">
        <w:t> </w:t>
      </w:r>
      <w:r w:rsidRPr="00323796" w:rsidR="00DA2312">
        <w:t xml:space="preserve">— </w:t>
      </w:r>
      <w:r w:rsidRPr="00323796" w:rsidR="0095473B">
        <w:t xml:space="preserve">a </w:t>
      </w:r>
      <w:r w:rsidRPr="00323796" w:rsidR="00C4555E">
        <w:t>binding</w:t>
      </w:r>
      <w:r w:rsidRPr="00323796" w:rsidR="0095473B">
        <w:t xml:space="preserve"> decision of this court</w:t>
      </w:r>
      <w:r w:rsidRPr="00323796" w:rsidR="00DA2312">
        <w:t>.</w:t>
      </w:r>
      <w:r w:rsidRPr="00323796" w:rsidR="009A4118">
        <w:t xml:space="preserve">  </w:t>
      </w:r>
      <w:r w:rsidRPr="00323796">
        <w:rPr>
          <w:szCs w:val="26"/>
        </w:rPr>
        <w:t xml:space="preserve">  </w:t>
      </w:r>
    </w:p>
    <w:p w:rsidR="00B316D3" w:rsidRPr="00323796" w:rsidP="00323796" w14:paraId="48349E38" w14:textId="05D58400">
      <w:pPr>
        <w:tabs>
          <w:tab w:val="left" w:pos="1440"/>
        </w:tabs>
        <w:ind w:firstLine="720"/>
        <w:rPr>
          <w:szCs w:val="26"/>
        </w:rPr>
      </w:pPr>
      <w:r w:rsidRPr="00323796">
        <w:t>Indeed, our case law</w:t>
      </w:r>
      <w:r w:rsidRPr="00323796" w:rsidR="00CD259D">
        <w:t>, both</w:t>
      </w:r>
      <w:r w:rsidRPr="00323796">
        <w:t xml:space="preserve"> </w:t>
      </w:r>
      <w:r w:rsidRPr="00323796" w:rsidR="004A37A7">
        <w:t xml:space="preserve">well before and at the time this court ordered hearing in bank following </w:t>
      </w:r>
      <w:r w:rsidRPr="00323796" w:rsidR="004A37A7">
        <w:rPr>
          <w:i/>
          <w:iCs/>
        </w:rPr>
        <w:t>Ganahl I</w:t>
      </w:r>
      <w:r w:rsidRPr="00323796" w:rsidR="00CD259D">
        <w:t xml:space="preserve">, </w:t>
      </w:r>
      <w:r w:rsidRPr="00323796" w:rsidR="00EB1441">
        <w:t>reflects this fundamental rule of appellate procedure</w:t>
      </w:r>
      <w:r w:rsidRPr="00323796" w:rsidR="00953FA4">
        <w:t xml:space="preserve">.  </w:t>
      </w:r>
      <w:r w:rsidRPr="00323796">
        <w:t xml:space="preserve">In </w:t>
      </w:r>
      <w:r w:rsidRPr="00323796">
        <w:rPr>
          <w:i/>
          <w:iCs/>
          <w:szCs w:val="26"/>
        </w:rPr>
        <w:t>Argenti v. City of San Francisco</w:t>
      </w:r>
      <w:r w:rsidRPr="00323796">
        <w:rPr>
          <w:szCs w:val="26"/>
        </w:rPr>
        <w:t xml:space="preserve"> (1860) 16 Cal. 255, Chief Justice Field explained, in the course of denying rehearing in that matter:  “[W]hen a rehearing is granted, the opinion previously delivered falls, unless reaffirmed after the reargument.  Until such reaffirmance, the opinion never acquires the force of an adjudication, and is entitled to no more consideration than the briefs of counsel.  The opinion subsequent to the reargument constitutes the exposition of the law applicable to the facts of the case, and the only one to which the attention of the Court can be directed.”  (</w:t>
      </w:r>
      <w:r w:rsidRPr="00323796">
        <w:rPr>
          <w:i/>
          <w:iCs/>
          <w:szCs w:val="26"/>
        </w:rPr>
        <w:t>Id</w:t>
      </w:r>
      <w:r w:rsidRPr="00323796">
        <w:rPr>
          <w:szCs w:val="26"/>
        </w:rPr>
        <w:t>. at p. 276.)</w:t>
      </w:r>
      <w:r w:rsidRPr="00323796" w:rsidR="00E23963">
        <w:rPr>
          <w:szCs w:val="26"/>
        </w:rPr>
        <w:t xml:space="preserve">  </w:t>
      </w:r>
      <w:r w:rsidRPr="00323796" w:rsidR="001E5F93">
        <w:t xml:space="preserve">Likewise, </w:t>
      </w:r>
      <w:r w:rsidRPr="00323796" w:rsidR="00DD77F6">
        <w:t xml:space="preserve">in </w:t>
      </w:r>
      <w:r w:rsidRPr="00323796" w:rsidR="00DD77F6">
        <w:rPr>
          <w:i/>
          <w:iCs/>
        </w:rPr>
        <w:t xml:space="preserve">Gray v. Cotton </w:t>
      </w:r>
      <w:r w:rsidRPr="00323796" w:rsidR="00DD77F6">
        <w:t>(1913) 166</w:t>
      </w:r>
      <w:r w:rsidR="008D6DE2">
        <w:t> </w:t>
      </w:r>
      <w:r w:rsidRPr="00323796" w:rsidR="00DD77F6">
        <w:t xml:space="preserve">Cal. 130, 138, </w:t>
      </w:r>
      <w:r w:rsidRPr="00323796" w:rsidR="000D43F7">
        <w:t>we held that it was error for the appellants to rely on a department decision</w:t>
      </w:r>
      <w:r w:rsidRPr="00323796" w:rsidR="002C3EB3">
        <w:t xml:space="preserve"> “which never became final, but was vacated by an order directing a hearing in </w:t>
      </w:r>
      <w:r w:rsidR="00F84B0E">
        <w:t>B</w:t>
      </w:r>
      <w:r w:rsidRPr="00323796" w:rsidR="002C3EB3">
        <w:t xml:space="preserve">ank,” </w:t>
      </w:r>
      <w:r w:rsidRPr="00323796" w:rsidR="00910540">
        <w:t xml:space="preserve">and “[t]he court in </w:t>
      </w:r>
      <w:r w:rsidR="00F84B0E">
        <w:t>B</w:t>
      </w:r>
      <w:r w:rsidRPr="00323796" w:rsidR="00910540">
        <w:t>ank subsequently reached a different conclusion from that announced in department”</w:t>
      </w:r>
      <w:r w:rsidR="00F40BE9">
        <w:t xml:space="preserve"> (</w:t>
      </w:r>
      <w:r w:rsidR="00F40BE9">
        <w:rPr>
          <w:i/>
          <w:iCs/>
        </w:rPr>
        <w:t>id.</w:t>
      </w:r>
      <w:r w:rsidR="00F40BE9">
        <w:t xml:space="preserve"> at pp. 138–139).</w:t>
      </w:r>
      <w:r w:rsidRPr="00323796" w:rsidR="00910540">
        <w:t xml:space="preserve">  </w:t>
      </w:r>
      <w:r w:rsidRPr="00323796" w:rsidR="00DD77F6">
        <w:t xml:space="preserve">And </w:t>
      </w:r>
      <w:r w:rsidRPr="00323796" w:rsidR="001E5F93">
        <w:t>i</w:t>
      </w:r>
      <w:r w:rsidRPr="00323796" w:rsidR="00E23963">
        <w:t xml:space="preserve">n </w:t>
      </w:r>
      <w:r w:rsidRPr="00323796" w:rsidR="00E23963">
        <w:rPr>
          <w:i/>
          <w:iCs/>
        </w:rPr>
        <w:t>Miller &amp; Lux v. James</w:t>
      </w:r>
      <w:r w:rsidRPr="00323796" w:rsidR="003A21F2">
        <w:t xml:space="preserve"> (1919) </w:t>
      </w:r>
      <w:r w:rsidRPr="00323796" w:rsidR="00E23963">
        <w:t xml:space="preserve">180 Cal. 38, </w:t>
      </w:r>
      <w:r w:rsidRPr="00323796" w:rsidR="003A21F2">
        <w:t xml:space="preserve">48, </w:t>
      </w:r>
      <w:r w:rsidRPr="00323796" w:rsidR="00E23963">
        <w:t xml:space="preserve">we explained that an initial decision rendered on appeal was vacated by the order granting a rehearing.  We noted that even if the order granting such rehearing limited the argument to a specific issue, “the order, nevertheless, vacated the previous opinion </w:t>
      </w:r>
      <w:r w:rsidR="00327A5D">
        <w:t xml:space="preserve">and judgment </w:t>
      </w:r>
      <w:r w:rsidRPr="00323796" w:rsidR="00E23963">
        <w:t>and set the whole matter at large.”  (</w:t>
      </w:r>
      <w:r w:rsidRPr="00323796" w:rsidR="00E23963">
        <w:rPr>
          <w:i/>
          <w:iCs/>
        </w:rPr>
        <w:t>Ibid.</w:t>
      </w:r>
      <w:r w:rsidRPr="00323796" w:rsidR="00E23963">
        <w:t>)</w:t>
      </w:r>
      <w:r>
        <w:rPr>
          <w:rStyle w:val="FootnoteReference"/>
          <w:szCs w:val="26"/>
        </w:rPr>
        <w:footnoteReference w:id="6"/>
      </w:r>
      <w:r w:rsidRPr="00323796">
        <w:rPr>
          <w:szCs w:val="26"/>
        </w:rPr>
        <w:t xml:space="preserve">  </w:t>
      </w:r>
    </w:p>
    <w:p w:rsidR="006D53A6" w:rsidRPr="00323796" w:rsidP="00323796" w14:paraId="28133F48" w14:textId="4D0F93D2">
      <w:pPr>
        <w:tabs>
          <w:tab w:val="left" w:pos="1440"/>
        </w:tabs>
        <w:ind w:firstLine="720"/>
      </w:pPr>
      <w:r w:rsidRPr="00323796">
        <w:rPr>
          <w:rFonts w:cstheme="minorHAnsi"/>
          <w:szCs w:val="26"/>
        </w:rPr>
        <w:t xml:space="preserve">As summarized by Witkin: </w:t>
      </w:r>
      <w:r w:rsidR="00327A5D">
        <w:rPr>
          <w:rFonts w:cstheme="minorHAnsi"/>
          <w:szCs w:val="26"/>
        </w:rPr>
        <w:t xml:space="preserve"> </w:t>
      </w:r>
      <w:r w:rsidRPr="00323796">
        <w:t>“An order granting a rehearing vacates the decision and any opinion filed in the case and sets the cause at large in the Supreme Court.  (Cal. Rules of Court, rule 8.536(e).)  The old opinion, though previously printed in the advance sheets and California Reporter or Pacific Reporter, is wholly superseded, and never appears in the final official volumes of California Reports or California Appellate Reports.  (</w:t>
      </w:r>
      <w:r w:rsidRPr="00323796">
        <w:rPr>
          <w:i/>
          <w:iCs/>
        </w:rPr>
        <w:t>Miller &amp; Lux v. James</w:t>
      </w:r>
      <w:r w:rsidR="00B17068">
        <w:t xml:space="preserve">[, </w:t>
      </w:r>
      <w:r w:rsidR="00B17068">
        <w:rPr>
          <w:i/>
          <w:iCs/>
        </w:rPr>
        <w:t>supra</w:t>
      </w:r>
      <w:r w:rsidR="00B17068">
        <w:t>,]</w:t>
      </w:r>
      <w:r w:rsidRPr="00323796">
        <w:t xml:space="preserve"> 180 Cal. </w:t>
      </w:r>
      <w:r w:rsidR="00B17068">
        <w:t>[at p.</w:t>
      </w:r>
      <w:r w:rsidRPr="00323796">
        <w:t xml:space="preserve"> 48</w:t>
      </w:r>
      <w:r w:rsidR="00B17068">
        <w:t>]</w:t>
      </w:r>
      <w:r w:rsidRPr="00323796">
        <w:t>, 179 P. 174, 175.)”  (</w:t>
      </w:r>
      <w:r w:rsidR="00B17068">
        <w:t>13</w:t>
      </w:r>
      <w:r w:rsidRPr="00323796">
        <w:t xml:space="preserve"> Witkin, Cal. Procedure (5th ed. 2008) Appeal, § 948, p.</w:t>
      </w:r>
      <w:r w:rsidR="008D6DE2">
        <w:t> </w:t>
      </w:r>
      <w:r w:rsidRPr="00323796">
        <w:t xml:space="preserve">1004; </w:t>
      </w:r>
      <w:r w:rsidRPr="00323796">
        <w:rPr>
          <w:i/>
          <w:iCs/>
        </w:rPr>
        <w:t>Morgan v. Stubblefield</w:t>
      </w:r>
      <w:r w:rsidRPr="00323796">
        <w:t xml:space="preserve"> (1972) 6 Cal.3d 606, 624 [“The granting of a rehearing had the effect of vacating the decision and eliminating the rule of law upon which [the party</w:t>
      </w:r>
      <w:r w:rsidR="003C497C">
        <w:t>]</w:t>
      </w:r>
      <w:r w:rsidRPr="00323796">
        <w:t xml:space="preserve"> relied”]; </w:t>
      </w:r>
      <w:r w:rsidRPr="00323796">
        <w:rPr>
          <w:i/>
          <w:iCs/>
        </w:rPr>
        <w:t>Bell v. Board of Supervisors</w:t>
      </w:r>
      <w:r w:rsidRPr="00323796">
        <w:t xml:space="preserve"> (1976) 55 Cal.App.3d 629, 634 [“An opinion is superseded by an order granting rehearing and the rule of law set forth therein is thereby eliminated”].)</w:t>
      </w:r>
    </w:p>
    <w:p w:rsidR="00BC4060" w:rsidRPr="00323796" w:rsidP="00323796" w14:paraId="178E8541" w14:textId="2C5A2847">
      <w:pPr>
        <w:tabs>
          <w:tab w:val="left" w:pos="1440"/>
        </w:tabs>
        <w:ind w:firstLine="720"/>
      </w:pPr>
      <w:r w:rsidRPr="00323796">
        <w:t>Nevertheless</w:t>
      </w:r>
      <w:r w:rsidRPr="00323796" w:rsidR="0046486B">
        <w:t xml:space="preserve">, various past </w:t>
      </w:r>
      <w:r w:rsidR="001027D2">
        <w:t xml:space="preserve">appellate </w:t>
      </w:r>
      <w:r w:rsidRPr="00323796" w:rsidR="0046486B">
        <w:t xml:space="preserve">decisions (including by this court) </w:t>
      </w:r>
      <w:r w:rsidRPr="00323796">
        <w:t xml:space="preserve">in addition to the one we review here </w:t>
      </w:r>
      <w:r w:rsidRPr="00323796" w:rsidR="0046486B">
        <w:t xml:space="preserve">have failed to apprehend this rule’s application with respect to </w:t>
      </w:r>
      <w:r w:rsidRPr="00323796" w:rsidR="0046486B">
        <w:rPr>
          <w:i/>
          <w:iCs/>
        </w:rPr>
        <w:t>Ganahl I</w:t>
      </w:r>
      <w:r w:rsidRPr="00323796">
        <w:t xml:space="preserve"> and have purported to give precedential effect to that decision</w:t>
      </w:r>
      <w:r w:rsidRPr="00323796" w:rsidR="00BC64A0">
        <w:t>.</w:t>
      </w:r>
      <w:r>
        <w:rPr>
          <w:rStyle w:val="FootnoteReference"/>
          <w:rFonts w:cstheme="minorHAnsi"/>
          <w:szCs w:val="26"/>
        </w:rPr>
        <w:footnoteReference w:id="7"/>
      </w:r>
      <w:r w:rsidRPr="00323796" w:rsidR="00C26197">
        <w:rPr>
          <w:rFonts w:cstheme="minorHAnsi"/>
          <w:szCs w:val="26"/>
        </w:rPr>
        <w:t xml:space="preserve"> </w:t>
      </w:r>
      <w:r w:rsidRPr="00323796" w:rsidR="0046486B">
        <w:t xml:space="preserve">  We have no doubt that this lapse may be attributed</w:t>
      </w:r>
      <w:r w:rsidR="00CD71FD">
        <w:t>, in part,</w:t>
      </w:r>
      <w:r w:rsidRPr="00323796" w:rsidR="0046486B">
        <w:t xml:space="preserve"> to the fact that services such as Westlaw and LexisNexis’s Shepard’s Citation</w:t>
      </w:r>
      <w:r w:rsidR="002B75F7">
        <w:t>s</w:t>
      </w:r>
      <w:r w:rsidRPr="00323796" w:rsidR="0046486B">
        <w:t xml:space="preserve"> Service do not show the relevant subsequent or prior history with regard to either the initial decision in </w:t>
      </w:r>
      <w:r w:rsidRPr="00323796" w:rsidR="0046486B">
        <w:rPr>
          <w:i/>
          <w:iCs/>
        </w:rPr>
        <w:t>Ganahl I</w:t>
      </w:r>
      <w:r w:rsidRPr="00323796" w:rsidR="0046486B">
        <w:t xml:space="preserve"> or the superseding decision in </w:t>
      </w:r>
      <w:r w:rsidRPr="00323796" w:rsidR="0046486B">
        <w:rPr>
          <w:i/>
          <w:iCs/>
        </w:rPr>
        <w:t>Ganahl II</w:t>
      </w:r>
      <w:r w:rsidRPr="00323796" w:rsidR="0046486B">
        <w:t xml:space="preserve">.  Nevertheless, it is plain that </w:t>
      </w:r>
      <w:r w:rsidRPr="00323796" w:rsidR="0046486B">
        <w:rPr>
          <w:i/>
          <w:iCs/>
        </w:rPr>
        <w:t>Ganahl I</w:t>
      </w:r>
      <w:r w:rsidRPr="00323796" w:rsidR="0046486B">
        <w:t xml:space="preserve">, having been reheard by this court before it became final and superseded by </w:t>
      </w:r>
      <w:r w:rsidRPr="00323796" w:rsidR="0046486B">
        <w:rPr>
          <w:i/>
          <w:iCs/>
        </w:rPr>
        <w:t>Ganahl II</w:t>
      </w:r>
      <w:r w:rsidRPr="00323796" w:rsidR="0046486B">
        <w:t xml:space="preserve">, </w:t>
      </w:r>
      <w:r w:rsidRPr="00323796" w:rsidR="0020290F">
        <w:t xml:space="preserve">was vacated and </w:t>
      </w:r>
      <w:r w:rsidRPr="00323796" w:rsidR="0046486B">
        <w:rPr>
          <w:i/>
          <w:iCs/>
        </w:rPr>
        <w:t xml:space="preserve">never </w:t>
      </w:r>
      <w:r w:rsidRPr="00323796" w:rsidR="0046486B">
        <w:t>had precedential effect</w:t>
      </w:r>
      <w:r w:rsidR="001C69D6">
        <w:t> </w:t>
      </w:r>
      <w:r w:rsidRPr="00323796" w:rsidR="001E6431">
        <w:t xml:space="preserve">— </w:t>
      </w:r>
      <w:r w:rsidRPr="00323796" w:rsidR="00BB3D38">
        <w:t>as we now recognize, better late than never.</w:t>
      </w:r>
      <w:r w:rsidRPr="00323796" w:rsidR="00C26197">
        <w:t xml:space="preserve">  To the extent the</w:t>
      </w:r>
      <w:r w:rsidRPr="00323796" w:rsidR="002247E5">
        <w:t xml:space="preserve"> published appellate decisions cited </w:t>
      </w:r>
      <w:r w:rsidRPr="00323796" w:rsidR="002247E5">
        <w:rPr>
          <w:i/>
          <w:iCs/>
        </w:rPr>
        <w:t>ante</w:t>
      </w:r>
      <w:r w:rsidRPr="00323796" w:rsidR="002247E5">
        <w:t xml:space="preserve">, footnote </w:t>
      </w:r>
      <w:r w:rsidRPr="00323796" w:rsidR="002B0B09">
        <w:t>5</w:t>
      </w:r>
      <w:r w:rsidRPr="00323796" w:rsidR="002247E5">
        <w:t xml:space="preserve">, </w:t>
      </w:r>
      <w:r w:rsidRPr="00323796" w:rsidR="00D44AE5">
        <w:t xml:space="preserve">contain language inconsistent with our </w:t>
      </w:r>
      <w:r w:rsidR="009C3D14">
        <w:t>conclusion</w:t>
      </w:r>
      <w:r w:rsidRPr="00323796" w:rsidR="00D44AE5">
        <w:t xml:space="preserve"> that </w:t>
      </w:r>
      <w:r w:rsidRPr="00323796" w:rsidR="00D44AE5">
        <w:rPr>
          <w:i/>
          <w:iCs/>
        </w:rPr>
        <w:t xml:space="preserve">Ganahl I </w:t>
      </w:r>
      <w:r w:rsidRPr="00323796" w:rsidR="00D44AE5">
        <w:t>is not precedential, we</w:t>
      </w:r>
      <w:r w:rsidRPr="00323796" w:rsidR="004E63DA">
        <w:t xml:space="preserve"> disapprove of </w:t>
      </w:r>
      <w:r w:rsidRPr="00323796" w:rsidR="00D44AE5">
        <w:t>them.</w:t>
      </w:r>
      <w:r w:rsidRPr="00323796" w:rsidR="004E63DA">
        <w:t xml:space="preserve">  </w:t>
      </w:r>
    </w:p>
    <w:p w:rsidR="001D7271" w:rsidRPr="00323796" w:rsidP="00323796" w14:paraId="63925AFD" w14:textId="272FA6BE">
      <w:pPr>
        <w:tabs>
          <w:tab w:val="left" w:pos="1440"/>
        </w:tabs>
        <w:ind w:firstLine="720"/>
      </w:pPr>
      <w:r w:rsidRPr="00323796">
        <w:t xml:space="preserve">Nor, for the reasons expressed above, do we find the </w:t>
      </w:r>
      <w:r w:rsidRPr="00323796" w:rsidR="0020290F">
        <w:t>reasoning</w:t>
      </w:r>
      <w:r w:rsidRPr="00323796">
        <w:t xml:space="preserve"> set out in </w:t>
      </w:r>
      <w:r w:rsidRPr="00323796">
        <w:rPr>
          <w:i/>
          <w:iCs/>
        </w:rPr>
        <w:t xml:space="preserve">Ganahl I </w:t>
      </w:r>
      <w:r w:rsidRPr="00323796">
        <w:t>to be independently persuasive.  We reject the approach to calculating commencement of the statute of limitations articulated in that decision and instead endorse and apply the rule set out in section 12</w:t>
      </w:r>
      <w:r w:rsidR="001C69D6">
        <w:t> </w:t>
      </w:r>
      <w:r w:rsidRPr="00323796" w:rsidR="000B1FE0">
        <w:t>—</w:t>
      </w:r>
      <w:r w:rsidRPr="00323796">
        <w:t xml:space="preserve"> that is, we exclude the first day of the limitations period and </w:t>
      </w:r>
      <w:r w:rsidRPr="00323796" w:rsidR="00CA29EA">
        <w:t>in</w:t>
      </w:r>
      <w:r w:rsidRPr="00323796">
        <w:t xml:space="preserve">clude the last day. </w:t>
      </w:r>
    </w:p>
    <w:p w:rsidR="00824FDA" w:rsidRPr="00323796" w:rsidP="00323796" w14:paraId="3CD85953" w14:textId="366B56B3">
      <w:pPr>
        <w:tabs>
          <w:tab w:val="left" w:pos="1440"/>
        </w:tabs>
        <w:ind w:firstLine="720"/>
      </w:pPr>
      <w:r w:rsidRPr="00323796">
        <w:rPr>
          <w:rStyle w:val="ssrfcsection"/>
          <w:szCs w:val="26"/>
          <w:bdr w:val="none" w:sz="0" w:space="0" w:color="auto" w:frame="1"/>
          <w:shd w:val="clear" w:color="auto" w:fill="FFFFFF"/>
        </w:rPr>
        <w:t>Defendants</w:t>
      </w:r>
      <w:r w:rsidRPr="00323796" w:rsidR="00F91DB8">
        <w:rPr>
          <w:rStyle w:val="ssrfcsection"/>
          <w:szCs w:val="26"/>
          <w:bdr w:val="none" w:sz="0" w:space="0" w:color="auto" w:frame="1"/>
          <w:shd w:val="clear" w:color="auto" w:fill="FFFFFF"/>
        </w:rPr>
        <w:t xml:space="preserve"> </w:t>
      </w:r>
      <w:r w:rsidRPr="00323796" w:rsidR="001E5727">
        <w:rPr>
          <w:rStyle w:val="ssrfcsection"/>
          <w:szCs w:val="26"/>
          <w:bdr w:val="none" w:sz="0" w:space="0" w:color="auto" w:frame="1"/>
          <w:shd w:val="clear" w:color="auto" w:fill="FFFFFF"/>
        </w:rPr>
        <w:t xml:space="preserve">urge </w:t>
      </w:r>
      <w:r w:rsidRPr="00323796" w:rsidR="00B42D46">
        <w:rPr>
          <w:rStyle w:val="ssrfcsection"/>
          <w:szCs w:val="26"/>
          <w:bdr w:val="none" w:sz="0" w:space="0" w:color="auto" w:frame="1"/>
          <w:shd w:val="clear" w:color="auto" w:fill="FFFFFF"/>
        </w:rPr>
        <w:t>us</w:t>
      </w:r>
      <w:r w:rsidRPr="00323796" w:rsidR="001E5727">
        <w:rPr>
          <w:rStyle w:val="ssrfcsection"/>
          <w:szCs w:val="26"/>
          <w:bdr w:val="none" w:sz="0" w:space="0" w:color="auto" w:frame="1"/>
          <w:shd w:val="clear" w:color="auto" w:fill="FFFFFF"/>
        </w:rPr>
        <w:t xml:space="preserve"> to follow </w:t>
      </w:r>
      <w:r w:rsidRPr="00323796" w:rsidR="00B42D46">
        <w:rPr>
          <w:rStyle w:val="ssrfcsection"/>
          <w:szCs w:val="26"/>
          <w:bdr w:val="none" w:sz="0" w:space="0" w:color="auto" w:frame="1"/>
          <w:shd w:val="clear" w:color="auto" w:fill="FFFFFF"/>
        </w:rPr>
        <w:t xml:space="preserve">the </w:t>
      </w:r>
      <w:r w:rsidRPr="00323796" w:rsidR="00B42D46">
        <w:t xml:space="preserve">decisions of other jurisdictions </w:t>
      </w:r>
      <w:r w:rsidRPr="00323796" w:rsidR="0067344E">
        <w:t>that have included</w:t>
      </w:r>
      <w:r w:rsidRPr="00323796" w:rsidR="00F91DB8">
        <w:rPr>
          <w:rStyle w:val="ssrfcsection"/>
          <w:szCs w:val="26"/>
          <w:bdr w:val="none" w:sz="0" w:space="0" w:color="auto" w:frame="1"/>
          <w:shd w:val="clear" w:color="auto" w:fill="FFFFFF"/>
        </w:rPr>
        <w:t xml:space="preserve"> the </w:t>
      </w:r>
      <w:r w:rsidRPr="00323796" w:rsidR="00926975">
        <w:rPr>
          <w:rStyle w:val="ssrfcsection"/>
          <w:szCs w:val="26"/>
          <w:bdr w:val="none" w:sz="0" w:space="0" w:color="auto" w:frame="1"/>
          <w:shd w:val="clear" w:color="auto" w:fill="FFFFFF"/>
        </w:rPr>
        <w:t xml:space="preserve">first </w:t>
      </w:r>
      <w:r w:rsidRPr="00323796" w:rsidR="00EE549D">
        <w:rPr>
          <w:rStyle w:val="ssrfcsection"/>
          <w:szCs w:val="26"/>
          <w:bdr w:val="none" w:sz="0" w:space="0" w:color="auto" w:frame="1"/>
          <w:shd w:val="clear" w:color="auto" w:fill="FFFFFF"/>
        </w:rPr>
        <w:t xml:space="preserve">date </w:t>
      </w:r>
      <w:r w:rsidRPr="00323796" w:rsidR="004C7D0E">
        <w:rPr>
          <w:rStyle w:val="ssrfcsection"/>
          <w:szCs w:val="26"/>
          <w:bdr w:val="none" w:sz="0" w:space="0" w:color="auto" w:frame="1"/>
          <w:shd w:val="clear" w:color="auto" w:fill="FFFFFF"/>
        </w:rPr>
        <w:t xml:space="preserve">after </w:t>
      </w:r>
      <w:r w:rsidRPr="00323796" w:rsidR="00856D37">
        <w:rPr>
          <w:rStyle w:val="ssrfcsection"/>
          <w:szCs w:val="26"/>
          <w:bdr w:val="none" w:sz="0" w:space="0" w:color="auto" w:frame="1"/>
          <w:shd w:val="clear" w:color="auto" w:fill="FFFFFF"/>
        </w:rPr>
        <w:t xml:space="preserve">age-based </w:t>
      </w:r>
      <w:r w:rsidRPr="00323796" w:rsidR="004C7D0E">
        <w:rPr>
          <w:rStyle w:val="ssrfcsection"/>
          <w:szCs w:val="26"/>
          <w:bdr w:val="none" w:sz="0" w:space="0" w:color="auto" w:frame="1"/>
          <w:shd w:val="clear" w:color="auto" w:fill="FFFFFF"/>
        </w:rPr>
        <w:t>tolling ends when calculating the limitations period</w:t>
      </w:r>
      <w:r w:rsidRPr="00323796" w:rsidR="00FA6162">
        <w:t xml:space="preserve">, relying primarily on </w:t>
      </w:r>
      <w:r w:rsidRPr="00323796" w:rsidR="00FA6162">
        <w:rPr>
          <w:i/>
          <w:iCs/>
        </w:rPr>
        <w:t>Phelan v. Douglass</w:t>
      </w:r>
      <w:r w:rsidRPr="00323796" w:rsidR="00FA6162">
        <w:t xml:space="preserve"> (N.Y. 1855) 11 How.Pr. 193</w:t>
      </w:r>
      <w:r w:rsidRPr="00323796" w:rsidR="0067344E">
        <w:t>.</w:t>
      </w:r>
      <w:r w:rsidRPr="00323796" w:rsidR="003B3EE5">
        <w:rPr>
          <w:color w:val="000000" w:themeColor="text1"/>
        </w:rPr>
        <w:t xml:space="preserve"> </w:t>
      </w:r>
      <w:r w:rsidRPr="00323796" w:rsidR="0049037D">
        <w:rPr>
          <w:color w:val="000000" w:themeColor="text1"/>
        </w:rPr>
        <w:t xml:space="preserve"> </w:t>
      </w:r>
      <w:r w:rsidRPr="00323796" w:rsidR="003B3EE5">
        <w:t>There</w:t>
      </w:r>
      <w:r w:rsidRPr="00323796" w:rsidR="004C270D">
        <w:t xml:space="preserve">, </w:t>
      </w:r>
      <w:r w:rsidRPr="00323796" w:rsidR="007C0C9C">
        <w:t xml:space="preserve">the New York Court of Appeals </w:t>
      </w:r>
      <w:r w:rsidRPr="00323796" w:rsidR="006424EB">
        <w:t>held that the ordinary rule of computing time</w:t>
      </w:r>
      <w:r w:rsidRPr="00323796" w:rsidR="00F54734">
        <w:t>, similar to California’s section 12,</w:t>
      </w:r>
      <w:r w:rsidRPr="00323796" w:rsidR="006424EB">
        <w:t xml:space="preserve"> did not apply </w:t>
      </w:r>
      <w:r w:rsidRPr="00323796" w:rsidR="002A34E2">
        <w:t xml:space="preserve">when </w:t>
      </w:r>
      <w:r w:rsidRPr="00323796" w:rsidR="00017436">
        <w:t xml:space="preserve">calculating the limitations period </w:t>
      </w:r>
      <w:r w:rsidRPr="00323796" w:rsidR="003B335B">
        <w:t>after</w:t>
      </w:r>
      <w:r w:rsidRPr="00323796" w:rsidR="00017436">
        <w:t xml:space="preserve"> tolling based on minority</w:t>
      </w:r>
      <w:r w:rsidRPr="00323796" w:rsidR="000F71C5">
        <w:t xml:space="preserve"> ends</w:t>
      </w:r>
      <w:r w:rsidRPr="00323796" w:rsidR="00017436">
        <w:t>.  (</w:t>
      </w:r>
      <w:r w:rsidR="00984519">
        <w:rPr>
          <w:i/>
          <w:iCs/>
        </w:rPr>
        <w:t>Phelan</w:t>
      </w:r>
      <w:r w:rsidR="00984519">
        <w:t>,</w:t>
      </w:r>
      <w:r w:rsidRPr="00323796" w:rsidR="00017436">
        <w:t xml:space="preserve"> at </w:t>
      </w:r>
      <w:r w:rsidRPr="00323796" w:rsidR="0096609F">
        <w:t xml:space="preserve">p. 196.)  </w:t>
      </w:r>
      <w:r w:rsidRPr="00323796" w:rsidR="000D7FF9">
        <w:t>It</w:t>
      </w:r>
      <w:r w:rsidRPr="00323796" w:rsidR="0096609F">
        <w:t xml:space="preserve"> </w:t>
      </w:r>
      <w:r w:rsidRPr="00323796" w:rsidR="00534466">
        <w:t xml:space="preserve">explained that the reason for </w:t>
      </w:r>
      <w:r w:rsidRPr="00323796" w:rsidR="008D4459">
        <w:t xml:space="preserve">the rule </w:t>
      </w:r>
      <w:r w:rsidRPr="00323796" w:rsidR="00534466">
        <w:t>excluding the first day</w:t>
      </w:r>
      <w:r w:rsidRPr="00323796" w:rsidR="008D4459">
        <w:t xml:space="preserve"> was that “the law </w:t>
      </w:r>
      <w:r w:rsidR="00984519">
        <w:t xml:space="preserve">will </w:t>
      </w:r>
      <w:r w:rsidR="00F864CF">
        <w:t xml:space="preserve">not </w:t>
      </w:r>
      <w:r w:rsidRPr="00323796" w:rsidR="008D4459">
        <w:t xml:space="preserve">take notice of fractions of </w:t>
      </w:r>
      <w:r w:rsidR="00F864CF">
        <w:t xml:space="preserve">a </w:t>
      </w:r>
      <w:r w:rsidRPr="00323796" w:rsidR="008D4459">
        <w:t>day</w:t>
      </w:r>
      <w:r w:rsidRPr="00323796" w:rsidR="00CD79A9">
        <w:t xml:space="preserve">, </w:t>
      </w:r>
      <w:r w:rsidRPr="00323796" w:rsidR="00176985">
        <w:t>. . . </w:t>
      </w:r>
      <w:r w:rsidRPr="00323796" w:rsidR="00B55CEB">
        <w:t xml:space="preserve">[b]ut the reason </w:t>
      </w:r>
      <w:r w:rsidR="00F864CF">
        <w:t>of</w:t>
      </w:r>
      <w:r w:rsidRPr="00323796" w:rsidR="00B55CEB">
        <w:t xml:space="preserve"> the rule ceases whenever the party affected has the whole and entire day.”  (</w:t>
      </w:r>
      <w:r w:rsidRPr="00323796" w:rsidR="00B55CEB">
        <w:rPr>
          <w:i/>
          <w:iCs/>
        </w:rPr>
        <w:t>I</w:t>
      </w:r>
      <w:r w:rsidRPr="00323796" w:rsidR="00094F9C">
        <w:rPr>
          <w:i/>
          <w:iCs/>
        </w:rPr>
        <w:t>bi</w:t>
      </w:r>
      <w:r w:rsidRPr="00323796" w:rsidR="00B55CEB">
        <w:rPr>
          <w:i/>
          <w:iCs/>
        </w:rPr>
        <w:t>d.</w:t>
      </w:r>
      <w:r w:rsidRPr="00323796" w:rsidR="00B55CEB">
        <w:t>)</w:t>
      </w:r>
      <w:r w:rsidRPr="00323796" w:rsidR="00534466">
        <w:t xml:space="preserve"> </w:t>
      </w:r>
      <w:r w:rsidRPr="00323796" w:rsidR="00597A38">
        <w:t xml:space="preserve"> </w:t>
      </w:r>
      <w:r w:rsidRPr="00323796" w:rsidR="000D7FF9">
        <w:t xml:space="preserve">The </w:t>
      </w:r>
      <w:r w:rsidRPr="00323796" w:rsidR="00094F9C">
        <w:rPr>
          <w:i/>
          <w:iCs/>
        </w:rPr>
        <w:t xml:space="preserve">Phelan </w:t>
      </w:r>
      <w:r w:rsidRPr="00323796" w:rsidR="000D7FF9">
        <w:t>court</w:t>
      </w:r>
      <w:r w:rsidRPr="00323796" w:rsidR="00597A38">
        <w:t xml:space="preserve"> </w:t>
      </w:r>
      <w:r w:rsidRPr="00323796" w:rsidR="006D63E2">
        <w:t>concluded that “[w]</w:t>
      </w:r>
      <w:r w:rsidRPr="00323796" w:rsidR="00597A38">
        <w:t xml:space="preserve">henever the whole day, and </w:t>
      </w:r>
      <w:r w:rsidRPr="00323796" w:rsidR="00597A38">
        <w:rPr>
          <w:i/>
          <w:iCs/>
        </w:rPr>
        <w:t>every moment</w:t>
      </w:r>
      <w:r w:rsidRPr="00323796" w:rsidR="00597A38">
        <w:t xml:space="preserve"> of it, can be counted, then it should be; whenever, if counted</w:t>
      </w:r>
      <w:r w:rsidRPr="00323796" w:rsidR="0098349C">
        <w:t xml:space="preserve">, the party would, in fact, have but a </w:t>
      </w:r>
      <w:r w:rsidRPr="00323796" w:rsidR="0098349C">
        <w:rPr>
          <w:i/>
          <w:iCs/>
        </w:rPr>
        <w:t>fractional part of it</w:t>
      </w:r>
      <w:r w:rsidRPr="00323796" w:rsidR="0098349C">
        <w:t>, then it should not be counted.”</w:t>
      </w:r>
      <w:r w:rsidRPr="00323796" w:rsidR="00597A38">
        <w:t xml:space="preserve"> </w:t>
      </w:r>
      <w:r w:rsidRPr="00323796" w:rsidR="0098349C">
        <w:t xml:space="preserve"> (</w:t>
      </w:r>
      <w:r w:rsidRPr="00323796" w:rsidR="0098349C">
        <w:rPr>
          <w:i/>
          <w:iCs/>
        </w:rPr>
        <w:t>I</w:t>
      </w:r>
      <w:r w:rsidRPr="00323796" w:rsidR="00D90821">
        <w:rPr>
          <w:i/>
          <w:iCs/>
        </w:rPr>
        <w:t>bi</w:t>
      </w:r>
      <w:r w:rsidRPr="00323796" w:rsidR="0098349C">
        <w:rPr>
          <w:i/>
          <w:iCs/>
        </w:rPr>
        <w:t>d</w:t>
      </w:r>
      <w:r w:rsidR="00A24A53">
        <w:rPr>
          <w:i/>
          <w:iCs/>
        </w:rPr>
        <w:t>.</w:t>
      </w:r>
      <w:r w:rsidRPr="00323796" w:rsidR="00CF58C6">
        <w:t>)  T</w:t>
      </w:r>
      <w:r w:rsidRPr="00323796" w:rsidR="00C71B4F">
        <w:t>he T</w:t>
      </w:r>
      <w:r w:rsidRPr="00323796" w:rsidR="00CF58C6">
        <w:t>exas</w:t>
      </w:r>
      <w:r w:rsidRPr="00323796" w:rsidR="005313D2">
        <w:t xml:space="preserve"> </w:t>
      </w:r>
      <w:r w:rsidRPr="00323796" w:rsidR="00C71B4F">
        <w:t xml:space="preserve">Supreme Court similarly held that </w:t>
      </w:r>
      <w:r w:rsidRPr="00323796" w:rsidR="004235F2">
        <w:t xml:space="preserve">the general rule excluding first day </w:t>
      </w:r>
      <w:r w:rsidRPr="00323796" w:rsidR="00B80F66">
        <w:t>did</w:t>
      </w:r>
      <w:r w:rsidRPr="00323796" w:rsidR="004235F2">
        <w:t xml:space="preserve"> not apply to limitations period that ran after a minor attained his or her majority because </w:t>
      </w:r>
      <w:r w:rsidRPr="00323796" w:rsidR="00AC55F3">
        <w:t xml:space="preserve">the </w:t>
      </w:r>
      <w:r w:rsidRPr="00323796" w:rsidR="004235F2">
        <w:t xml:space="preserve">minor </w:t>
      </w:r>
      <w:r w:rsidRPr="00323796" w:rsidR="00AC55F3">
        <w:t>“could have instituted his suit at any moment of th</w:t>
      </w:r>
      <w:r w:rsidR="00A24A53">
        <w:t xml:space="preserve">at </w:t>
      </w:r>
      <w:r w:rsidRPr="00323796" w:rsidR="00AC55F3">
        <w:t>day.”</w:t>
      </w:r>
      <w:r w:rsidRPr="00323796" w:rsidR="005313D2">
        <w:t xml:space="preserve"> </w:t>
      </w:r>
      <w:r w:rsidRPr="00323796" w:rsidR="00AC55F3">
        <w:t xml:space="preserve"> (</w:t>
      </w:r>
      <w:r w:rsidRPr="00323796" w:rsidR="009D18A5">
        <w:rPr>
          <w:i/>
          <w:iCs/>
        </w:rPr>
        <w:t xml:space="preserve">Ross v. Morrow </w:t>
      </w:r>
      <w:r w:rsidRPr="00323796" w:rsidR="009D18A5">
        <w:t>(</w:t>
      </w:r>
      <w:r w:rsidRPr="00323796" w:rsidR="005232AB">
        <w:t xml:space="preserve">Tex. </w:t>
      </w:r>
      <w:r w:rsidRPr="00323796" w:rsidR="009D18A5">
        <w:t xml:space="preserve">1892) </w:t>
      </w:r>
      <w:r w:rsidRPr="00323796" w:rsidR="004F5BAC">
        <w:t>1</w:t>
      </w:r>
      <w:r w:rsidRPr="00323796" w:rsidR="00214FD4">
        <w:t>9</w:t>
      </w:r>
      <w:r w:rsidRPr="00323796" w:rsidR="004F5BAC">
        <w:t xml:space="preserve"> S</w:t>
      </w:r>
      <w:r w:rsidRPr="00323796" w:rsidR="00B56877">
        <w:t>.</w:t>
      </w:r>
      <w:r w:rsidRPr="00323796" w:rsidR="004F5BAC">
        <w:t>W</w:t>
      </w:r>
      <w:r w:rsidRPr="00323796" w:rsidR="00B56877">
        <w:t xml:space="preserve">. </w:t>
      </w:r>
      <w:r w:rsidRPr="00323796" w:rsidR="004F5BAC">
        <w:t xml:space="preserve">1090, </w:t>
      </w:r>
      <w:r w:rsidRPr="00323796" w:rsidR="000F70B3">
        <w:t>1091</w:t>
      </w:r>
      <w:r w:rsidRPr="00323796" w:rsidR="00697D68">
        <w:t xml:space="preserve">; see also </w:t>
      </w:r>
      <w:r w:rsidRPr="00323796" w:rsidR="00697D68">
        <w:rPr>
          <w:i/>
          <w:iCs/>
        </w:rPr>
        <w:t xml:space="preserve">Pate v. Thompson </w:t>
      </w:r>
      <w:r w:rsidRPr="00323796" w:rsidR="00697D68">
        <w:t>(</w:t>
      </w:r>
      <w:r w:rsidRPr="00323796" w:rsidR="00170DD2">
        <w:t>Tex.Ct.App. 1944) 179 S.W.2d 355, 356</w:t>
      </w:r>
      <w:r w:rsidRPr="00323796" w:rsidR="008A270C">
        <w:t>.</w:t>
      </w:r>
      <w:r w:rsidRPr="00323796" w:rsidR="0098349C">
        <w:t xml:space="preserve">)  </w:t>
      </w:r>
    </w:p>
    <w:p w:rsidR="00904B88" w:rsidRPr="00323796" w:rsidP="00323796" w14:paraId="4A61F92C" w14:textId="1678B530">
      <w:pPr>
        <w:tabs>
          <w:tab w:val="left" w:pos="1440"/>
        </w:tabs>
        <w:ind w:firstLine="720"/>
        <w:rPr>
          <w:color w:val="000000" w:themeColor="text1"/>
        </w:rPr>
      </w:pPr>
      <w:r w:rsidRPr="00323796">
        <w:t xml:space="preserve">As </w:t>
      </w:r>
      <w:r w:rsidRPr="00323796" w:rsidR="002714CA">
        <w:t>defendants</w:t>
      </w:r>
      <w:r w:rsidRPr="00323796">
        <w:t xml:space="preserve"> acknowledge, however, </w:t>
      </w:r>
      <w:r w:rsidRPr="00323796" w:rsidR="00C86EAF">
        <w:t xml:space="preserve">other states </w:t>
      </w:r>
      <w:r w:rsidRPr="00323796" w:rsidR="001B1D90">
        <w:t xml:space="preserve">that have more recently addressed the issue </w:t>
      </w:r>
      <w:r w:rsidRPr="00323796" w:rsidR="00C86EAF">
        <w:t xml:space="preserve">have </w:t>
      </w:r>
      <w:r w:rsidRPr="00323796" w:rsidR="00E12DA7">
        <w:t xml:space="preserve">reached a different conclusion.  </w:t>
      </w:r>
      <w:r w:rsidRPr="00323796" w:rsidR="00215E23">
        <w:t>For example, i</w:t>
      </w:r>
      <w:r w:rsidRPr="00323796">
        <w:t xml:space="preserve">n </w:t>
      </w:r>
      <w:r w:rsidRPr="00323796">
        <w:rPr>
          <w:i/>
          <w:iCs/>
        </w:rPr>
        <w:t xml:space="preserve">Nelson v. Sandkamp </w:t>
      </w:r>
      <w:r w:rsidRPr="00323796">
        <w:t xml:space="preserve">(Minn. 1948) </w:t>
      </w:r>
      <w:r w:rsidRPr="00323796" w:rsidR="00CD3AE7">
        <w:t>34 N.W.</w:t>
      </w:r>
      <w:r w:rsidRPr="00323796" w:rsidR="00467CC9">
        <w:t xml:space="preserve">2d 640 </w:t>
      </w:r>
      <w:r w:rsidRPr="00323796" w:rsidR="00F710A6">
        <w:t>(</w:t>
      </w:r>
      <w:r w:rsidRPr="00323796" w:rsidR="00F710A6">
        <w:rPr>
          <w:i/>
          <w:iCs/>
        </w:rPr>
        <w:t>Nelson</w:t>
      </w:r>
      <w:r w:rsidRPr="00323796" w:rsidR="00F710A6">
        <w:t>)</w:t>
      </w:r>
      <w:r w:rsidRPr="00323796" w:rsidR="00EE13CB">
        <w:t xml:space="preserve">, </w:t>
      </w:r>
      <w:r w:rsidRPr="00323796" w:rsidR="00C63CEA">
        <w:t xml:space="preserve">the </w:t>
      </w:r>
      <w:r w:rsidRPr="00323796" w:rsidR="00DA6234">
        <w:t xml:space="preserve">Minnesota Supreme Court </w:t>
      </w:r>
      <w:r w:rsidRPr="00323796" w:rsidR="00B1527B">
        <w:t xml:space="preserve">held that the </w:t>
      </w:r>
      <w:r w:rsidRPr="00323796" w:rsidR="00A812EC">
        <w:t>ordinary</w:t>
      </w:r>
      <w:r w:rsidRPr="00323796" w:rsidR="00B1527B">
        <w:t xml:space="preserve"> rule for computing time</w:t>
      </w:r>
      <w:r w:rsidRPr="00323796" w:rsidR="00EB040F">
        <w:t>, which excludes the first day and includes the last,</w:t>
      </w:r>
      <w:r w:rsidRPr="00323796" w:rsidR="00B1527B">
        <w:t xml:space="preserve"> </w:t>
      </w:r>
      <w:r w:rsidRPr="00323796" w:rsidR="00A812EC">
        <w:t xml:space="preserve">applies in calculating the applicable limitations </w:t>
      </w:r>
      <w:r w:rsidRPr="00323796" w:rsidR="00CC4CFC">
        <w:t>period after age-based tolling ends</w:t>
      </w:r>
      <w:r w:rsidRPr="00323796" w:rsidR="008C2439">
        <w:t>.</w:t>
      </w:r>
      <w:r w:rsidRPr="00323796" w:rsidR="003A561A">
        <w:t xml:space="preserve"> </w:t>
      </w:r>
      <w:r w:rsidRPr="00323796" w:rsidR="008C2439">
        <w:t xml:space="preserve"> </w:t>
      </w:r>
      <w:r w:rsidRPr="00323796" w:rsidR="00CB39FC">
        <w:t>(</w:t>
      </w:r>
      <w:r w:rsidRPr="00323796" w:rsidR="00CB39FC">
        <w:rPr>
          <w:i/>
          <w:iCs/>
        </w:rPr>
        <w:t>Id.</w:t>
      </w:r>
      <w:r w:rsidR="008D6DE2">
        <w:t> </w:t>
      </w:r>
      <w:r w:rsidRPr="00323796" w:rsidR="00CB39FC">
        <w:t>at p</w:t>
      </w:r>
      <w:r w:rsidRPr="00323796" w:rsidR="00F56B51">
        <w:t>. 643</w:t>
      </w:r>
      <w:r w:rsidRPr="00323796" w:rsidR="00CB39FC">
        <w:t xml:space="preserve">.)  </w:t>
      </w:r>
      <w:r w:rsidRPr="00323796" w:rsidR="00EB040F">
        <w:t>It</w:t>
      </w:r>
      <w:r w:rsidRPr="00323796" w:rsidR="00CB39FC">
        <w:t xml:space="preserve"> </w:t>
      </w:r>
      <w:r w:rsidRPr="00323796" w:rsidR="00CC4CFC">
        <w:t xml:space="preserve">specifically </w:t>
      </w:r>
      <w:r w:rsidRPr="00323796" w:rsidR="00CB39FC">
        <w:t xml:space="preserve">rejected the defendant’s argument that </w:t>
      </w:r>
      <w:r w:rsidRPr="00323796" w:rsidR="00136083">
        <w:t xml:space="preserve">because </w:t>
      </w:r>
      <w:r w:rsidRPr="00323796" w:rsidR="001523E4">
        <w:t>“</w:t>
      </w:r>
      <w:r w:rsidRPr="00323796" w:rsidR="006B5FFE">
        <w:t xml:space="preserve">the </w:t>
      </w:r>
      <w:r w:rsidRPr="00323796" w:rsidR="003A06FB">
        <w:t xml:space="preserve">reason </w:t>
      </w:r>
      <w:r w:rsidRPr="00323796" w:rsidR="001523E4">
        <w:t xml:space="preserve">for the application of </w:t>
      </w:r>
      <w:r w:rsidRPr="00323796" w:rsidR="006451DA">
        <w:t xml:space="preserve">the rule at common law is that </w:t>
      </w:r>
      <w:r w:rsidRPr="00323796" w:rsidR="003A06FB">
        <w:t>the law takes no notice of fractions of days</w:t>
      </w:r>
      <w:r w:rsidRPr="00323796" w:rsidR="006451DA">
        <w:t>,</w:t>
      </w:r>
      <w:r w:rsidRPr="00323796" w:rsidR="00136083">
        <w:t xml:space="preserve">” </w:t>
      </w:r>
      <w:r w:rsidRPr="00323796" w:rsidR="00F80CA3">
        <w:t>it should follow “</w:t>
      </w:r>
      <w:r w:rsidRPr="00323796" w:rsidR="006451DA">
        <w:t xml:space="preserve">that the </w:t>
      </w:r>
      <w:r w:rsidRPr="00323796" w:rsidR="00EA326E">
        <w:t>rule</w:t>
      </w:r>
      <w:r w:rsidRPr="00323796" w:rsidR="00176985">
        <w:t xml:space="preserve"> . . . </w:t>
      </w:r>
      <w:r w:rsidRPr="00323796" w:rsidR="006B5FFE">
        <w:t xml:space="preserve">should not </w:t>
      </w:r>
      <w:r w:rsidRPr="00323796" w:rsidR="00364E58">
        <w:t>be applied here</w:t>
      </w:r>
      <w:r w:rsidR="004910F1">
        <w:t>,</w:t>
      </w:r>
      <w:r w:rsidRPr="00323796" w:rsidR="006B5FFE">
        <w:t xml:space="preserve"> </w:t>
      </w:r>
      <w:r w:rsidRPr="00323796" w:rsidR="00EA326E">
        <w:t xml:space="preserve">in that plaintiff </w:t>
      </w:r>
      <w:r w:rsidRPr="00323796" w:rsidR="006B5FFE">
        <w:t xml:space="preserve">had the whole, and not a mere fraction, of </w:t>
      </w:r>
      <w:r w:rsidRPr="00323796" w:rsidR="00364E58">
        <w:t>the day</w:t>
      </w:r>
      <w:r w:rsidRPr="00323796" w:rsidR="00724B71">
        <w:t>”</w:t>
      </w:r>
      <w:r w:rsidRPr="00323796" w:rsidR="00364E58">
        <w:t xml:space="preserve"> to sue.  (</w:t>
      </w:r>
      <w:r w:rsidR="004910F1">
        <w:rPr>
          <w:i/>
          <w:iCs/>
        </w:rPr>
        <w:t>Ibid.</w:t>
      </w:r>
      <w:r w:rsidRPr="00323796" w:rsidR="00364E58">
        <w:t xml:space="preserve">)  </w:t>
      </w:r>
      <w:r w:rsidRPr="00323796" w:rsidR="00170377">
        <w:t>The court determined</w:t>
      </w:r>
      <w:r w:rsidRPr="00323796" w:rsidR="000831B9">
        <w:t xml:space="preserve"> that </w:t>
      </w:r>
      <w:r w:rsidRPr="00323796" w:rsidR="00713558">
        <w:t>“</w:t>
      </w:r>
      <w:r w:rsidRPr="00323796" w:rsidR="009A6856">
        <w:t> ‘[i]</w:t>
      </w:r>
      <w:r w:rsidRPr="00323796" w:rsidR="00055FD1">
        <w:t xml:space="preserve">nasmuch as the certainty of a rule is of more importance than the reason of it, we think the legislature intended by </w:t>
      </w:r>
      <w:r w:rsidRPr="00323796" w:rsidR="0081336F">
        <w:t xml:space="preserve">[the statute setting forth the general rule] to put an end to all this confusion and uncertainty by adopting a uniform rule </w:t>
      </w:r>
      <w:r w:rsidRPr="00323796" w:rsidR="002E273F">
        <w:t>for the computation of</w:t>
      </w:r>
      <w:r w:rsidRPr="00323796" w:rsidR="0081336F">
        <w:t xml:space="preserve"> time alike applicable to matters of mere practice and to the construction of statutes.’ </w:t>
      </w:r>
      <w:r w:rsidRPr="00323796" w:rsidR="000831B9">
        <w:t xml:space="preserve">”  </w:t>
      </w:r>
      <w:r w:rsidRPr="00323796" w:rsidR="00724B71">
        <w:t>(</w:t>
      </w:r>
      <w:r w:rsidRPr="00323796" w:rsidR="00724B71">
        <w:rPr>
          <w:i/>
          <w:iCs/>
        </w:rPr>
        <w:t>Ibid.</w:t>
      </w:r>
      <w:r w:rsidRPr="00323796" w:rsidR="00724B71">
        <w:t xml:space="preserve">)  </w:t>
      </w:r>
      <w:r w:rsidRPr="00323796" w:rsidR="004C5CF6">
        <w:t>T</w:t>
      </w:r>
      <w:r w:rsidRPr="00323796" w:rsidR="00EE250E">
        <w:t>he Alaska Supreme Court</w:t>
      </w:r>
      <w:r w:rsidRPr="00323796" w:rsidR="0080493A">
        <w:t xml:space="preserve"> has</w:t>
      </w:r>
      <w:r w:rsidRPr="00323796" w:rsidR="00EE250E">
        <w:t xml:space="preserve"> </w:t>
      </w:r>
      <w:r w:rsidRPr="00323796" w:rsidR="004821A2">
        <w:t>similar</w:t>
      </w:r>
      <w:r w:rsidRPr="00323796" w:rsidR="00BA349D">
        <w:t xml:space="preserve">ly held that the ordinary method for computing time </w:t>
      </w:r>
      <w:r w:rsidRPr="00323796" w:rsidR="00326514">
        <w:t xml:space="preserve">periods </w:t>
      </w:r>
      <w:r w:rsidRPr="00323796" w:rsidR="00BA349D">
        <w:t>applie</w:t>
      </w:r>
      <w:r w:rsidRPr="00323796" w:rsidR="00326514">
        <w:t>s after age-based tolling ends</w:t>
      </w:r>
      <w:r w:rsidRPr="00323796" w:rsidR="00074C16">
        <w:t>, reasoning that “attainment of the age of majority is analogous to other events that trigger running of time periods; the limitation period excludes the day of the event (attainment of majority), and includes the last day in the period</w:t>
      </w:r>
      <w:r w:rsidRPr="00323796" w:rsidR="00ED52E8">
        <w:t xml:space="preserve"> . . . .”  </w:t>
      </w:r>
      <w:r w:rsidRPr="00323796" w:rsidR="009019B6">
        <w:t>(</w:t>
      </w:r>
      <w:r w:rsidRPr="00323796" w:rsidR="009019B6">
        <w:rPr>
          <w:i/>
          <w:iCs/>
        </w:rPr>
        <w:t>Fields v. Fairbanks North Star Borough</w:t>
      </w:r>
      <w:r w:rsidRPr="00323796" w:rsidR="009019B6">
        <w:t xml:space="preserve"> (Alaska 1991) </w:t>
      </w:r>
      <w:r w:rsidRPr="00323796" w:rsidR="00E5629C">
        <w:t>818 P.2d 658</w:t>
      </w:r>
      <w:r w:rsidRPr="00323796" w:rsidR="00BA349D">
        <w:t>, 661</w:t>
      </w:r>
      <w:r w:rsidRPr="00323796" w:rsidR="00D924D7">
        <w:t xml:space="preserve">; </w:t>
      </w:r>
      <w:r w:rsidRPr="00323796" w:rsidR="001B2AF4">
        <w:t xml:space="preserve">see also </w:t>
      </w:r>
      <w:r w:rsidRPr="00323796" w:rsidR="001B2AF4">
        <w:rPr>
          <w:i/>
          <w:iCs/>
        </w:rPr>
        <w:t xml:space="preserve">Mason v. Board of Educ. of Baltimore County </w:t>
      </w:r>
      <w:r w:rsidRPr="00323796" w:rsidR="001B2AF4">
        <w:t>(</w:t>
      </w:r>
      <w:r w:rsidR="006641CC">
        <w:t xml:space="preserve">Md.Ct.App. </w:t>
      </w:r>
      <w:r w:rsidRPr="00323796" w:rsidR="001B2AF4">
        <w:t xml:space="preserve">2003) 826 A.2d 433, </w:t>
      </w:r>
      <w:r w:rsidR="00EE3435">
        <w:t>43</w:t>
      </w:r>
      <w:r w:rsidR="00064BB6">
        <w:t>8</w:t>
      </w:r>
      <w:r w:rsidR="00EE3435">
        <w:t xml:space="preserve"> </w:t>
      </w:r>
      <w:r w:rsidRPr="00323796" w:rsidR="00F340B6">
        <w:t>[</w:t>
      </w:r>
      <w:r w:rsidRPr="00323796" w:rsidR="00CF7428">
        <w:t xml:space="preserve">court applied common law “coming of age” rule, in which a minor becomes an adult one day before the minor’s </w:t>
      </w:r>
      <w:r w:rsidRPr="00323796" w:rsidR="0068671C">
        <w:t>18t</w:t>
      </w:r>
      <w:r w:rsidRPr="00323796" w:rsidR="00CF7428">
        <w:t>h birthday</w:t>
      </w:r>
      <w:r w:rsidRPr="00323796" w:rsidR="00F87C34">
        <w:t xml:space="preserve">; nevertheless, </w:t>
      </w:r>
      <w:r w:rsidRPr="00323796" w:rsidR="001979BC">
        <w:t xml:space="preserve">the </w:t>
      </w:r>
      <w:r w:rsidRPr="00323796" w:rsidR="003772E1">
        <w:t xml:space="preserve">date of </w:t>
      </w:r>
      <w:r w:rsidRPr="00323796" w:rsidR="0068671C">
        <w:t xml:space="preserve">removal of the disability (the day before the minor’s 18th birthday) was excluded </w:t>
      </w:r>
      <w:r w:rsidRPr="00323796" w:rsidR="00342383">
        <w:t>from the statute of limitations period under the general rule for computation of time]</w:t>
      </w:r>
      <w:r w:rsidRPr="00323796" w:rsidR="00C67D92">
        <w:t>.</w:t>
      </w:r>
      <w:r w:rsidRPr="00323796" w:rsidR="007758FA">
        <w:t>)</w:t>
      </w:r>
      <w:r w:rsidRPr="00323796" w:rsidR="0061124E">
        <w:t xml:space="preserve">  </w:t>
      </w:r>
    </w:p>
    <w:p w:rsidR="006E0CDD" w:rsidRPr="00323796" w:rsidP="00323796" w14:paraId="3F49B5B6" w14:textId="70B0A3EE">
      <w:pPr>
        <w:tabs>
          <w:tab w:val="left" w:pos="1440"/>
        </w:tabs>
        <w:ind w:firstLine="720"/>
      </w:pPr>
      <w:r w:rsidRPr="00323796">
        <w:t xml:space="preserve">We </w:t>
      </w:r>
      <w:r w:rsidRPr="00323796" w:rsidR="00564200">
        <w:t>are in accord</w:t>
      </w:r>
      <w:r w:rsidRPr="00323796">
        <w:t xml:space="preserve"> with</w:t>
      </w:r>
      <w:r w:rsidRPr="00323796" w:rsidR="001368CF">
        <w:t xml:space="preserve"> the</w:t>
      </w:r>
      <w:r w:rsidRPr="00323796" w:rsidR="00B564C9">
        <w:t xml:space="preserve"> high courts </w:t>
      </w:r>
      <w:r w:rsidRPr="00323796" w:rsidR="001368CF">
        <w:t>of</w:t>
      </w:r>
      <w:r w:rsidRPr="00323796" w:rsidR="00B564C9">
        <w:t xml:space="preserve"> Minnesota and Alaska.  </w:t>
      </w:r>
      <w:r w:rsidRPr="00323796" w:rsidR="00792867">
        <w:t>More than a century ago, the Legislature enacted section 12</w:t>
      </w:r>
      <w:r w:rsidRPr="00323796" w:rsidR="00EF052E">
        <w:t xml:space="preserve"> to</w:t>
      </w:r>
      <w:r w:rsidRPr="00323796" w:rsidR="00410A12">
        <w:t xml:space="preserve"> </w:t>
      </w:r>
      <w:r w:rsidRPr="00323796" w:rsidR="005C5044">
        <w:t xml:space="preserve">exclude the first day </w:t>
      </w:r>
      <w:r w:rsidRPr="00323796" w:rsidR="0028521A">
        <w:t>in</w:t>
      </w:r>
      <w:r w:rsidRPr="00323796" w:rsidR="005C5044">
        <w:t xml:space="preserve"> calculating the applicable limitations period.  </w:t>
      </w:r>
      <w:r w:rsidRPr="00323796" w:rsidR="00D166F9">
        <w:t xml:space="preserve">A general rule </w:t>
      </w:r>
      <w:r w:rsidRPr="00323796" w:rsidR="003A7072">
        <w:t xml:space="preserve">governing </w:t>
      </w:r>
      <w:r w:rsidRPr="00323796" w:rsidR="00D166F9">
        <w:t>the computation of time serves to promote</w:t>
      </w:r>
      <w:r w:rsidRPr="00323796" w:rsidR="00410A12">
        <w:t xml:space="preserve"> </w:t>
      </w:r>
      <w:r w:rsidRPr="00323796" w:rsidR="00EF052E">
        <w:t>order and certainty</w:t>
      </w:r>
      <w:r w:rsidRPr="00323796" w:rsidR="00410A12">
        <w:t xml:space="preserve">. </w:t>
      </w:r>
      <w:r w:rsidRPr="00323796" w:rsidR="00EF052E">
        <w:t xml:space="preserve"> </w:t>
      </w:r>
      <w:r w:rsidRPr="00323796" w:rsidR="00FE15BB">
        <w:t xml:space="preserve">Even </w:t>
      </w:r>
      <w:r w:rsidRPr="00323796" w:rsidR="000960CC">
        <w:t>assuming</w:t>
      </w:r>
      <w:r w:rsidRPr="00323796" w:rsidR="00FE15BB">
        <w:t xml:space="preserve">, as </w:t>
      </w:r>
      <w:r w:rsidRPr="00323796" w:rsidR="002714CA">
        <w:t>defendants</w:t>
      </w:r>
      <w:r w:rsidRPr="00323796" w:rsidR="00FE15BB">
        <w:t xml:space="preserve"> suggest,</w:t>
      </w:r>
      <w:r w:rsidRPr="00323796" w:rsidR="00ED07FA">
        <w:t xml:space="preserve"> </w:t>
      </w:r>
      <w:r w:rsidRPr="00323796" w:rsidR="000960CC">
        <w:t xml:space="preserve">that </w:t>
      </w:r>
      <w:r w:rsidRPr="00323796" w:rsidR="00A06A10">
        <w:t xml:space="preserve">section 12’s first day exclusion rule was </w:t>
      </w:r>
      <w:r w:rsidRPr="00323796" w:rsidR="00CD1810">
        <w:t xml:space="preserve">originally </w:t>
      </w:r>
      <w:r w:rsidRPr="00323796" w:rsidR="00A06A10">
        <w:t>meant only to exclude partial days</w:t>
      </w:r>
      <w:r w:rsidRPr="00323796" w:rsidR="00ED07FA">
        <w:t xml:space="preserve">, </w:t>
      </w:r>
      <w:r w:rsidRPr="00323796" w:rsidR="00E25107">
        <w:t xml:space="preserve">we </w:t>
      </w:r>
      <w:r w:rsidRPr="00323796" w:rsidR="00FE15BB">
        <w:t>agree with the Minnesota Supreme Court that</w:t>
      </w:r>
      <w:r w:rsidRPr="00323796" w:rsidR="00F63C07">
        <w:t xml:space="preserve"> </w:t>
      </w:r>
      <w:r w:rsidRPr="00323796" w:rsidR="002664C3">
        <w:t>“</w:t>
      </w:r>
      <w:r w:rsidRPr="00323796" w:rsidR="00A06A10">
        <w:t>certainty and uniformity in the application of the rule for the computation of time is of more importance than the reason for its application at common law</w:t>
      </w:r>
      <w:r w:rsidRPr="00323796" w:rsidR="002664C3">
        <w:t>.”  (</w:t>
      </w:r>
      <w:r w:rsidRPr="00323796" w:rsidR="002664C3">
        <w:rPr>
          <w:i/>
          <w:iCs/>
        </w:rPr>
        <w:t>Nelson</w:t>
      </w:r>
      <w:r w:rsidRPr="00323796" w:rsidR="002664C3">
        <w:t xml:space="preserve">, </w:t>
      </w:r>
      <w:r w:rsidRPr="00323796" w:rsidR="002664C3">
        <w:rPr>
          <w:i/>
          <w:iCs/>
        </w:rPr>
        <w:t>supra</w:t>
      </w:r>
      <w:r w:rsidRPr="00323796" w:rsidR="002664C3">
        <w:t xml:space="preserve">, </w:t>
      </w:r>
      <w:r w:rsidRPr="00323796" w:rsidR="00964722">
        <w:t xml:space="preserve">34 N.W.2d at p. </w:t>
      </w:r>
      <w:r w:rsidRPr="00323796" w:rsidR="006F050C">
        <w:t>643</w:t>
      </w:r>
      <w:r w:rsidRPr="00323796" w:rsidR="002664C3">
        <w:t>.)</w:t>
      </w:r>
      <w:r w:rsidRPr="00323796" w:rsidR="00B4799B">
        <w:t xml:space="preserve">  </w:t>
      </w:r>
      <w:r w:rsidRPr="00323796" w:rsidR="00BD23FF">
        <w:t>And</w:t>
      </w:r>
      <w:r w:rsidRPr="00323796" w:rsidR="00B4799B">
        <w:t xml:space="preserve">, </w:t>
      </w:r>
      <w:r w:rsidRPr="00323796" w:rsidR="0033662F">
        <w:t xml:space="preserve">as noted above, </w:t>
      </w:r>
      <w:r w:rsidRPr="00323796" w:rsidR="00B97BF8">
        <w:t>applying section 12 t</w:t>
      </w:r>
      <w:r w:rsidRPr="00323796" w:rsidR="00281ED8">
        <w:t>o exclude a plaintiff’s birthday in calculating a limitations period after age-based tolling ends under section 352, subdivision (a)</w:t>
      </w:r>
      <w:r w:rsidRPr="00323796" w:rsidR="009E7F4E">
        <w:t xml:space="preserve"> serves to protect</w:t>
      </w:r>
      <w:r w:rsidRPr="00323796" w:rsidR="00BD23FF">
        <w:t xml:space="preserve"> the rights of minors</w:t>
      </w:r>
      <w:r w:rsidRPr="00323796" w:rsidR="00537F2B">
        <w:t xml:space="preserve">.  </w:t>
      </w:r>
      <w:r w:rsidRPr="00323796" w:rsidR="00BE24ED">
        <w:t>By contrast, allowing an</w:t>
      </w:r>
      <w:r w:rsidRPr="00323796" w:rsidR="00302D55">
        <w:t xml:space="preserve"> exception to the general rule</w:t>
      </w:r>
      <w:r w:rsidRPr="00323796" w:rsidR="003E7460">
        <w:t xml:space="preserve"> </w:t>
      </w:r>
      <w:r w:rsidRPr="00323796" w:rsidR="004776A0">
        <w:t xml:space="preserve">when a plaintiff reaches the age of majority </w:t>
      </w:r>
      <w:r w:rsidRPr="00323796" w:rsidR="003E7460">
        <w:t xml:space="preserve">would </w:t>
      </w:r>
      <w:r w:rsidRPr="00323796" w:rsidR="00CC32AC">
        <w:t xml:space="preserve">punish </w:t>
      </w:r>
      <w:r w:rsidRPr="00323796" w:rsidR="00D37211">
        <w:t xml:space="preserve">the </w:t>
      </w:r>
      <w:r w:rsidRPr="00323796" w:rsidR="00D45DA5">
        <w:t>minor plaintiff whom section 352 is meant to protect</w:t>
      </w:r>
      <w:r w:rsidRPr="00323796" w:rsidR="00D37211">
        <w:t>.</w:t>
      </w:r>
      <w:r w:rsidRPr="00323796" w:rsidR="00B8315D">
        <w:t xml:space="preserve">  </w:t>
      </w:r>
    </w:p>
    <w:p w:rsidR="00B564C9" w:rsidRPr="00323796" w:rsidP="00323796" w14:paraId="0B186C69" w14:textId="438DDCCB">
      <w:pPr>
        <w:tabs>
          <w:tab w:val="left" w:pos="1440"/>
        </w:tabs>
        <w:ind w:firstLine="720"/>
        <w:rPr>
          <w:i/>
          <w:iCs/>
        </w:rPr>
      </w:pPr>
      <w:r w:rsidRPr="00323796">
        <w:t xml:space="preserve">Therefore, in cases </w:t>
      </w:r>
      <w:r w:rsidRPr="00323796" w:rsidR="00CC32AC">
        <w:t xml:space="preserve">in which </w:t>
      </w:r>
      <w:r w:rsidRPr="00323796">
        <w:t xml:space="preserve">the statute of limitations is tolled based on </w:t>
      </w:r>
      <w:r w:rsidRPr="00323796" w:rsidR="004B7590">
        <w:t xml:space="preserve">a </w:t>
      </w:r>
      <w:r w:rsidRPr="00323796">
        <w:t xml:space="preserve">plaintiff minor’s age, </w:t>
      </w:r>
      <w:r w:rsidRPr="00323796" w:rsidR="004B7590">
        <w:t>as set forth in section 12</w:t>
      </w:r>
      <w:r w:rsidR="00CE4D83">
        <w:t>,</w:t>
      </w:r>
      <w:r w:rsidRPr="00323796" w:rsidR="004B7590">
        <w:t xml:space="preserve"> </w:t>
      </w:r>
      <w:r w:rsidRPr="00323796">
        <w:t>the day after tolling ends is excluded in calculating whether an action is timely filed.</w:t>
      </w:r>
      <w:r w:rsidRPr="00323796" w:rsidR="00045750">
        <w:t xml:space="preserve">  </w:t>
      </w:r>
    </w:p>
    <w:p w:rsidR="006621D2" w:rsidRPr="00323796" w:rsidP="00323796" w14:paraId="383DD368" w14:textId="27EC23AE">
      <w:pPr>
        <w:tabs>
          <w:tab w:val="left" w:pos="1440"/>
        </w:tabs>
        <w:ind w:firstLine="720"/>
      </w:pPr>
      <w:r w:rsidRPr="00323796">
        <w:t xml:space="preserve">We </w:t>
      </w:r>
      <w:r w:rsidRPr="00323796" w:rsidR="00D03995">
        <w:t xml:space="preserve">now apply </w:t>
      </w:r>
      <w:r w:rsidRPr="00323796" w:rsidR="00376733">
        <w:t>the</w:t>
      </w:r>
      <w:r w:rsidRPr="00323796" w:rsidR="00D03995">
        <w:t xml:space="preserve"> holding to the facts of this case. </w:t>
      </w:r>
      <w:r w:rsidRPr="00323796" w:rsidR="00B07F09">
        <w:t xml:space="preserve"> </w:t>
      </w:r>
      <w:r w:rsidRPr="00323796" w:rsidR="00D03995">
        <w:t xml:space="preserve">Under section 352, subdivision (a), </w:t>
      </w:r>
      <w:r w:rsidRPr="00323796" w:rsidR="009B02DB">
        <w:t xml:space="preserve">the statute of limitations was tolled </w:t>
      </w:r>
      <w:r w:rsidRPr="00323796" w:rsidR="00B61614">
        <w:t xml:space="preserve">during the time when </w:t>
      </w:r>
      <w:r w:rsidRPr="00323796" w:rsidR="008011D3">
        <w:t xml:space="preserve">plaintiff </w:t>
      </w:r>
      <w:r w:rsidRPr="00323796" w:rsidR="009B02DB">
        <w:t xml:space="preserve">was a minor.  </w:t>
      </w:r>
      <w:r w:rsidRPr="00323796" w:rsidR="00B61614">
        <w:t>His</w:t>
      </w:r>
      <w:r w:rsidRPr="00323796" w:rsidR="004B454C">
        <w:t xml:space="preserve"> 18th birthday</w:t>
      </w:r>
      <w:r w:rsidR="001C69D6">
        <w:t> </w:t>
      </w:r>
      <w:r w:rsidRPr="00323796" w:rsidR="00C31C14">
        <w:t>— December 3, 2011</w:t>
      </w:r>
      <w:r w:rsidR="001C69D6">
        <w:t> </w:t>
      </w:r>
      <w:r w:rsidRPr="00323796" w:rsidR="00C31C14">
        <w:t xml:space="preserve">— </w:t>
      </w:r>
      <w:r w:rsidRPr="00323796" w:rsidR="004B454C">
        <w:t xml:space="preserve">was the triggering event </w:t>
      </w:r>
      <w:r w:rsidRPr="00323796" w:rsidR="00C403F2">
        <w:t>because</w:t>
      </w:r>
      <w:r w:rsidRPr="00323796" w:rsidR="004B454C">
        <w:t xml:space="preserve"> that wa</w:t>
      </w:r>
      <w:r w:rsidRPr="00323796" w:rsidR="00C403F2">
        <w:t>s</w:t>
      </w:r>
      <w:r w:rsidRPr="00323796" w:rsidR="004B454C">
        <w:t xml:space="preserve"> the first day he </w:t>
      </w:r>
      <w:r w:rsidRPr="00323796" w:rsidR="002B263F">
        <w:t>was no longer a minor</w:t>
      </w:r>
      <w:r w:rsidRPr="00323796" w:rsidR="004B454C">
        <w:t xml:space="preserve">.  </w:t>
      </w:r>
      <w:r w:rsidRPr="00323796" w:rsidR="00894279">
        <w:t>Excluding this date and including the last</w:t>
      </w:r>
      <w:r w:rsidRPr="00323796" w:rsidR="00833C15">
        <w:t xml:space="preserve"> </w:t>
      </w:r>
      <w:r w:rsidRPr="00323796" w:rsidR="00316B83">
        <w:t xml:space="preserve">date </w:t>
      </w:r>
      <w:r w:rsidRPr="00323796" w:rsidR="00833C15">
        <w:t>two years later</w:t>
      </w:r>
      <w:r w:rsidRPr="00323796" w:rsidR="00894279">
        <w:t xml:space="preserve">, </w:t>
      </w:r>
      <w:r w:rsidRPr="00323796" w:rsidR="008011D3">
        <w:t xml:space="preserve">plaintiff </w:t>
      </w:r>
      <w:r w:rsidRPr="00323796" w:rsidR="00894279">
        <w:t xml:space="preserve">was required to </w:t>
      </w:r>
      <w:r w:rsidRPr="00323796" w:rsidR="00B030AB">
        <w:t xml:space="preserve">file suit no later than December 3, 2013.  </w:t>
      </w:r>
      <w:r w:rsidRPr="00323796" w:rsidR="00D172C3">
        <w:t xml:space="preserve">(§ 335.1.)  </w:t>
      </w:r>
      <w:r w:rsidRPr="00323796" w:rsidR="001743AA">
        <w:t xml:space="preserve">He did so.  </w:t>
      </w:r>
      <w:r w:rsidRPr="00323796" w:rsidR="00833C15">
        <w:t xml:space="preserve">His lawsuit was therefore </w:t>
      </w:r>
      <w:r w:rsidRPr="00323796" w:rsidR="005458D2">
        <w:t xml:space="preserve">timely </w:t>
      </w:r>
      <w:r w:rsidRPr="00323796" w:rsidR="00833C15">
        <w:t>filed.</w:t>
      </w:r>
      <w:r w:rsidRPr="00323796" w:rsidR="00713B70">
        <w:t xml:space="preserve"> </w:t>
      </w:r>
    </w:p>
    <w:p w:rsidR="00813E15" w:rsidRPr="00323796" w:rsidP="00323796" w14:paraId="4F67E748" w14:textId="21188FF6">
      <w:pPr>
        <w:pStyle w:val="Heading1"/>
      </w:pPr>
      <w:r w:rsidRPr="00323796">
        <w:t>III.  Disposition</w:t>
      </w:r>
    </w:p>
    <w:p w:rsidR="00F01B70" w:rsidRPr="00323796" w:rsidP="00323796" w14:paraId="62183730" w14:textId="12162090">
      <w:pPr>
        <w:tabs>
          <w:tab w:val="left" w:pos="1440"/>
        </w:tabs>
        <w:ind w:firstLine="720"/>
      </w:pPr>
      <w:r w:rsidRPr="00323796">
        <w:t>W</w:t>
      </w:r>
      <w:r w:rsidRPr="00323796" w:rsidR="00E71E63">
        <w:t xml:space="preserve">e </w:t>
      </w:r>
      <w:r w:rsidRPr="00323796" w:rsidR="00944A19">
        <w:t>affirm</w:t>
      </w:r>
      <w:r w:rsidRPr="00323796" w:rsidR="00E71E63">
        <w:t xml:space="preserve"> the judgment of the Court of Appeal</w:t>
      </w:r>
      <w:r w:rsidRPr="00323796" w:rsidR="00D41F35">
        <w:t>.</w:t>
      </w:r>
      <w:r w:rsidRPr="00323796" w:rsidR="005C5FB0">
        <w:t xml:space="preserve"> </w:t>
      </w:r>
    </w:p>
    <w:p w:rsidR="00ED4410" w:rsidRPr="00ED4410" w:rsidP="00ED4410" w14:paraId="5A6D74E0" w14:textId="66E58BB4">
      <w:pPr>
        <w:tabs>
          <w:tab w:val="left" w:pos="1440"/>
        </w:tabs>
        <w:ind w:firstLine="720"/>
      </w:pPr>
      <w:r w:rsidRPr="00323796">
        <w:rPr>
          <w:b/>
          <w:bCs/>
          <w:szCs w:val="26"/>
        </w:rPr>
        <w:tab/>
      </w:r>
      <w:r w:rsidRPr="00323796">
        <w:rPr>
          <w:b/>
          <w:bCs/>
          <w:szCs w:val="26"/>
        </w:rPr>
        <w:tab/>
      </w:r>
      <w:r w:rsidRPr="00323796">
        <w:rPr>
          <w:b/>
          <w:bCs/>
          <w:szCs w:val="26"/>
        </w:rPr>
        <w:tab/>
      </w:r>
      <w:r w:rsidRPr="00323796">
        <w:rPr>
          <w:b/>
          <w:bCs/>
          <w:szCs w:val="26"/>
        </w:rPr>
        <w:tab/>
      </w:r>
      <w:r w:rsidRPr="00323796">
        <w:rPr>
          <w:b/>
          <w:bCs/>
          <w:szCs w:val="26"/>
        </w:rPr>
        <w:tab/>
      </w:r>
      <w:r w:rsidRPr="00323796" w:rsidR="00F01B70">
        <w:rPr>
          <w:b/>
          <w:bCs/>
          <w:szCs w:val="26"/>
        </w:rPr>
        <w:t>CANTIL-SAKAUYE, C. J.</w:t>
      </w:r>
    </w:p>
    <w:p w:rsidR="004B711D" w:rsidP="00ED4410" w14:paraId="2D8F11C1" w14:textId="77777777">
      <w:pPr>
        <w:tabs>
          <w:tab w:val="left" w:pos="1440"/>
        </w:tabs>
        <w:spacing w:after="0" w:line="480" w:lineRule="atLeast"/>
        <w:rPr>
          <w:b/>
        </w:rPr>
      </w:pPr>
    </w:p>
    <w:p w:rsidR="00ED4410" w:rsidP="00531E9B" w14:paraId="5E949F89" w14:textId="43BC6582">
      <w:pPr>
        <w:tabs>
          <w:tab w:val="left" w:pos="1440"/>
        </w:tabs>
        <w:rPr>
          <w:b/>
        </w:rPr>
      </w:pPr>
      <w:r w:rsidRPr="00DC4B44">
        <w:rPr>
          <w:b/>
        </w:rPr>
        <w:t>We Concur</w:t>
      </w:r>
      <w:r>
        <w:rPr>
          <w:b/>
        </w:rPr>
        <w:t>:</w:t>
      </w:r>
    </w:p>
    <w:p w:rsidR="0029635E" w:rsidP="00F70558" w14:paraId="74E5D6F9" w14:textId="77777777">
      <w:pPr>
        <w:tabs>
          <w:tab w:val="left" w:pos="1440"/>
        </w:tabs>
        <w:jc w:val="left"/>
        <w:rPr>
          <w:b/>
          <w:bCs/>
        </w:rPr>
        <w:sectPr w:rsidSect="00323796">
          <w:footerReference w:type="first" r:id="rId12"/>
          <w:pgSz w:w="12240" w:h="15840"/>
          <w:pgMar w:top="1800" w:right="2160" w:bottom="1440" w:left="2160" w:header="720" w:footer="720" w:gutter="0"/>
          <w:pgNumType w:start="1"/>
          <w:cols w:space="720"/>
          <w:titlePg/>
          <w:docGrid w:linePitch="367"/>
        </w:sectPr>
      </w:pPr>
      <w:r w:rsidRPr="00F70558">
        <w:rPr>
          <w:b/>
          <w:bCs/>
        </w:rPr>
        <w:t>CORRIGAN, J.</w:t>
      </w:r>
      <w:r w:rsidRPr="00F70558">
        <w:rPr>
          <w:b/>
          <w:bCs/>
        </w:rPr>
        <w:br/>
        <w:t>LIU, J.</w:t>
      </w:r>
      <w:r w:rsidRPr="00F70558">
        <w:rPr>
          <w:b/>
          <w:bCs/>
        </w:rPr>
        <w:br/>
        <w:t>CUÉLLAR, J.</w:t>
      </w:r>
      <w:r w:rsidRPr="00F70558">
        <w:rPr>
          <w:b/>
          <w:bCs/>
        </w:rPr>
        <w:br/>
        <w:t>KRUGER, J.</w:t>
      </w:r>
      <w:r w:rsidRPr="00F70558">
        <w:rPr>
          <w:b/>
          <w:bCs/>
        </w:rPr>
        <w:br/>
        <w:t>GROBAN, J.</w:t>
      </w:r>
      <w:r w:rsidRPr="00F70558">
        <w:rPr>
          <w:b/>
          <w:bCs/>
        </w:rPr>
        <w:br/>
        <w:t>JENKINS, J.</w:t>
      </w:r>
    </w:p>
    <w:p w:rsidR="001F63F8" w:rsidRPr="001F63F8" w:rsidP="001F63F8" w14:paraId="6632AF13" w14:textId="77777777">
      <w:pPr>
        <w:spacing w:after="0" w:line="240" w:lineRule="auto"/>
        <w:jc w:val="left"/>
        <w:rPr>
          <w:i/>
          <w:sz w:val="24"/>
          <w:szCs w:val="24"/>
        </w:rPr>
      </w:pPr>
      <w:r w:rsidRPr="001F63F8">
        <w:rPr>
          <w:i/>
          <w:sz w:val="24"/>
          <w:szCs w:val="24"/>
        </w:rPr>
        <w:t>See next page for addresses and telephone numbers for counsel who argued in Supreme Court.</w:t>
      </w:r>
    </w:p>
    <w:p w:rsidR="001F63F8" w:rsidRPr="001F63F8" w:rsidP="001F63F8" w14:paraId="41734943" w14:textId="77777777">
      <w:pPr>
        <w:spacing w:after="0" w:line="240" w:lineRule="auto"/>
        <w:jc w:val="left"/>
        <w:rPr>
          <w:i/>
          <w:sz w:val="24"/>
          <w:szCs w:val="24"/>
        </w:rPr>
      </w:pPr>
    </w:p>
    <w:p w:rsidR="001F63F8" w:rsidRPr="001F63F8" w:rsidP="001F63F8" w14:paraId="7ECE759D" w14:textId="77777777">
      <w:pPr>
        <w:spacing w:after="0" w:line="240" w:lineRule="auto"/>
        <w:jc w:val="left"/>
        <w:rPr>
          <w:b/>
          <w:sz w:val="24"/>
          <w:szCs w:val="24"/>
        </w:rPr>
      </w:pPr>
      <w:r w:rsidRPr="001F63F8">
        <w:rPr>
          <w:b/>
          <w:sz w:val="24"/>
          <w:szCs w:val="24"/>
        </w:rPr>
        <w:t xml:space="preserve">Name of Opinion </w:t>
      </w:r>
      <w:r w:rsidRPr="001F63F8">
        <w:rPr>
          <w:bCs/>
          <w:sz w:val="24"/>
          <w:szCs w:val="24"/>
        </w:rPr>
        <w:t xml:space="preserve">Shalabi v. City of Fontana </w:t>
      </w:r>
      <w:r w:rsidRPr="001F63F8">
        <w:rPr>
          <w:b/>
          <w:sz w:val="24"/>
          <w:szCs w:val="24"/>
        </w:rPr>
        <w:t xml:space="preserve">__________________________________________________________ </w:t>
      </w:r>
    </w:p>
    <w:p w:rsidR="001F63F8" w:rsidRPr="001F63F8" w:rsidP="001F63F8" w14:paraId="518305EA" w14:textId="77777777">
      <w:pPr>
        <w:spacing w:after="0" w:line="240" w:lineRule="auto"/>
        <w:jc w:val="left"/>
        <w:rPr>
          <w:b/>
          <w:sz w:val="24"/>
          <w:szCs w:val="24"/>
        </w:rPr>
      </w:pPr>
    </w:p>
    <w:p w:rsidR="001F63F8" w:rsidRPr="001F63F8" w:rsidP="001F63F8" w14:paraId="2A86C1D8" w14:textId="77777777">
      <w:pPr>
        <w:spacing w:after="0" w:line="240" w:lineRule="auto"/>
        <w:jc w:val="left"/>
        <w:rPr>
          <w:sz w:val="24"/>
          <w:szCs w:val="24"/>
        </w:rPr>
      </w:pPr>
      <w:r w:rsidRPr="001F63F8">
        <w:rPr>
          <w:b/>
          <w:bCs/>
          <w:sz w:val="24"/>
          <w:szCs w:val="24"/>
          <w:u w:val="single"/>
        </w:rPr>
        <w:t>Procedural Posture</w:t>
      </w:r>
      <w:r w:rsidRPr="001F63F8">
        <w:rPr>
          <w:b/>
          <w:bCs/>
          <w:sz w:val="24"/>
          <w:szCs w:val="24"/>
        </w:rPr>
        <w:t xml:space="preserve"> </w:t>
      </w:r>
      <w:r w:rsidRPr="001F63F8">
        <w:rPr>
          <w:sz w:val="24"/>
          <w:szCs w:val="24"/>
        </w:rPr>
        <w:t>(see XX below)</w:t>
      </w:r>
    </w:p>
    <w:p w:rsidR="001F63F8" w:rsidRPr="001F63F8" w:rsidP="001F63F8" w14:paraId="0EC73B29" w14:textId="77777777">
      <w:pPr>
        <w:spacing w:after="0" w:line="240" w:lineRule="auto"/>
        <w:jc w:val="left"/>
        <w:rPr>
          <w:sz w:val="24"/>
          <w:szCs w:val="24"/>
        </w:rPr>
      </w:pPr>
      <w:r w:rsidRPr="001F63F8">
        <w:rPr>
          <w:b/>
          <w:bCs/>
          <w:sz w:val="24"/>
          <w:szCs w:val="24"/>
        </w:rPr>
        <w:t>Original Appeal</w:t>
      </w:r>
      <w:r w:rsidRPr="001F63F8">
        <w:rPr>
          <w:sz w:val="24"/>
          <w:szCs w:val="24"/>
        </w:rPr>
        <w:t xml:space="preserve"> </w:t>
      </w:r>
    </w:p>
    <w:p w:rsidR="001F63F8" w:rsidRPr="001F63F8" w:rsidP="001F63F8" w14:paraId="0C355682" w14:textId="77777777">
      <w:pPr>
        <w:spacing w:after="0" w:line="240" w:lineRule="auto"/>
        <w:jc w:val="left"/>
        <w:rPr>
          <w:b/>
          <w:bCs/>
          <w:sz w:val="24"/>
          <w:szCs w:val="24"/>
        </w:rPr>
      </w:pPr>
      <w:r w:rsidRPr="001F63F8">
        <w:rPr>
          <w:b/>
          <w:bCs/>
          <w:sz w:val="24"/>
          <w:szCs w:val="24"/>
        </w:rPr>
        <w:t>Original Proceeding</w:t>
      </w:r>
    </w:p>
    <w:p w:rsidR="001F63F8" w:rsidRPr="001F63F8" w:rsidP="001F63F8" w14:paraId="75447F0F" w14:textId="77777777">
      <w:pPr>
        <w:spacing w:after="0" w:line="240" w:lineRule="auto"/>
        <w:jc w:val="left"/>
        <w:rPr>
          <w:sz w:val="24"/>
          <w:szCs w:val="24"/>
        </w:rPr>
      </w:pPr>
      <w:r w:rsidRPr="001F63F8">
        <w:rPr>
          <w:b/>
          <w:bCs/>
          <w:sz w:val="24"/>
          <w:szCs w:val="24"/>
        </w:rPr>
        <w:t>Review Granted</w:t>
      </w:r>
      <w:r w:rsidRPr="001F63F8">
        <w:rPr>
          <w:sz w:val="24"/>
          <w:szCs w:val="24"/>
        </w:rPr>
        <w:t xml:space="preserve"> </w:t>
      </w:r>
      <w:r w:rsidRPr="001F63F8">
        <w:rPr>
          <w:b/>
          <w:bCs/>
          <w:sz w:val="24"/>
          <w:szCs w:val="24"/>
        </w:rPr>
        <w:t xml:space="preserve">(published) </w:t>
      </w:r>
      <w:r w:rsidRPr="001F63F8">
        <w:rPr>
          <w:sz w:val="24"/>
          <w:szCs w:val="24"/>
        </w:rPr>
        <w:t>XX 35 Cal.App.5th 639</w:t>
      </w:r>
    </w:p>
    <w:p w:rsidR="001F63F8" w:rsidRPr="001F63F8" w:rsidP="001F63F8" w14:paraId="5FCB4760" w14:textId="77777777">
      <w:pPr>
        <w:spacing w:after="0" w:line="240" w:lineRule="auto"/>
        <w:jc w:val="left"/>
        <w:rPr>
          <w:sz w:val="24"/>
          <w:szCs w:val="24"/>
        </w:rPr>
      </w:pPr>
      <w:r w:rsidRPr="001F63F8">
        <w:rPr>
          <w:b/>
          <w:bCs/>
          <w:sz w:val="24"/>
          <w:szCs w:val="24"/>
        </w:rPr>
        <w:t xml:space="preserve">Review Granted (unpublished) </w:t>
      </w:r>
    </w:p>
    <w:p w:rsidR="001F63F8" w:rsidRPr="001F63F8" w:rsidP="001F63F8" w14:paraId="147E217E" w14:textId="77777777">
      <w:pPr>
        <w:spacing w:after="0" w:line="240" w:lineRule="auto"/>
        <w:jc w:val="left"/>
        <w:rPr>
          <w:b/>
          <w:bCs/>
          <w:sz w:val="24"/>
          <w:szCs w:val="24"/>
        </w:rPr>
      </w:pPr>
      <w:r w:rsidRPr="001F63F8">
        <w:rPr>
          <w:b/>
          <w:bCs/>
          <w:sz w:val="24"/>
          <w:szCs w:val="24"/>
        </w:rPr>
        <w:t>Rehearing Granted</w:t>
      </w:r>
    </w:p>
    <w:p w:rsidR="001F63F8" w:rsidRPr="001F63F8" w:rsidP="001F63F8" w14:paraId="45D79CAA" w14:textId="77777777">
      <w:pPr>
        <w:spacing w:after="0" w:line="240" w:lineRule="auto"/>
        <w:jc w:val="left"/>
        <w:rPr>
          <w:b/>
          <w:sz w:val="24"/>
          <w:szCs w:val="24"/>
        </w:rPr>
      </w:pPr>
    </w:p>
    <w:p w:rsidR="001F63F8" w:rsidRPr="001F63F8" w:rsidP="001F63F8" w14:paraId="7BA200F1" w14:textId="77777777">
      <w:pPr>
        <w:spacing w:after="0" w:line="240" w:lineRule="auto"/>
        <w:jc w:val="left"/>
        <w:rPr>
          <w:b/>
          <w:sz w:val="24"/>
          <w:szCs w:val="24"/>
        </w:rPr>
      </w:pPr>
      <w:r w:rsidRPr="001F63F8">
        <w:rPr>
          <w:b/>
          <w:sz w:val="24"/>
          <w:szCs w:val="24"/>
        </w:rPr>
        <w:t xml:space="preserve">__________________________________________________________ </w:t>
      </w:r>
    </w:p>
    <w:p w:rsidR="001F63F8" w:rsidRPr="001F63F8" w:rsidP="001F63F8" w14:paraId="110B1FEE" w14:textId="77777777">
      <w:pPr>
        <w:spacing w:after="0" w:line="240" w:lineRule="auto"/>
        <w:jc w:val="left"/>
        <w:rPr>
          <w:b/>
          <w:sz w:val="24"/>
          <w:szCs w:val="24"/>
        </w:rPr>
      </w:pPr>
    </w:p>
    <w:p w:rsidR="001F63F8" w:rsidRPr="001F63F8" w:rsidP="001F63F8" w14:paraId="72D4A308" w14:textId="77777777">
      <w:pPr>
        <w:spacing w:after="0" w:line="240" w:lineRule="auto"/>
        <w:jc w:val="left"/>
        <w:rPr>
          <w:bCs/>
          <w:sz w:val="24"/>
          <w:szCs w:val="24"/>
        </w:rPr>
      </w:pPr>
      <w:r w:rsidRPr="001F63F8">
        <w:rPr>
          <w:b/>
          <w:sz w:val="24"/>
          <w:szCs w:val="24"/>
        </w:rPr>
        <w:t>Opinion No.</w:t>
      </w:r>
      <w:r w:rsidRPr="001F63F8">
        <w:rPr>
          <w:sz w:val="24"/>
          <w:szCs w:val="24"/>
        </w:rPr>
        <w:t xml:space="preserve"> S256665</w:t>
      </w:r>
    </w:p>
    <w:p w:rsidR="001F63F8" w:rsidRPr="001F63F8" w:rsidP="001F63F8" w14:paraId="627F653D" w14:textId="77777777">
      <w:pPr>
        <w:spacing w:after="0" w:line="240" w:lineRule="auto"/>
        <w:jc w:val="left"/>
        <w:rPr>
          <w:bCs/>
          <w:sz w:val="24"/>
          <w:szCs w:val="24"/>
        </w:rPr>
      </w:pPr>
      <w:r w:rsidRPr="001F63F8">
        <w:rPr>
          <w:b/>
          <w:sz w:val="24"/>
          <w:szCs w:val="24"/>
        </w:rPr>
        <w:t>Date Filed:</w:t>
      </w:r>
      <w:r w:rsidRPr="001F63F8">
        <w:rPr>
          <w:sz w:val="24"/>
          <w:szCs w:val="24"/>
        </w:rPr>
        <w:t xml:space="preserve">  July 12, 2021</w:t>
      </w:r>
    </w:p>
    <w:p w:rsidR="001F63F8" w:rsidRPr="001F63F8" w:rsidP="001F63F8" w14:paraId="4C5BAE66" w14:textId="77777777">
      <w:pPr>
        <w:spacing w:after="0" w:line="240" w:lineRule="auto"/>
        <w:jc w:val="left"/>
        <w:rPr>
          <w:b/>
          <w:sz w:val="24"/>
          <w:szCs w:val="24"/>
        </w:rPr>
      </w:pPr>
      <w:r w:rsidRPr="001F63F8">
        <w:rPr>
          <w:b/>
          <w:sz w:val="24"/>
          <w:szCs w:val="24"/>
        </w:rPr>
        <w:t xml:space="preserve">__________________________________________________________ </w:t>
      </w:r>
    </w:p>
    <w:p w:rsidR="001F63F8" w:rsidRPr="001F63F8" w:rsidP="001F63F8" w14:paraId="743E65B4" w14:textId="77777777">
      <w:pPr>
        <w:spacing w:after="0" w:line="240" w:lineRule="auto"/>
        <w:jc w:val="left"/>
        <w:rPr>
          <w:b/>
          <w:sz w:val="24"/>
          <w:szCs w:val="24"/>
        </w:rPr>
      </w:pPr>
    </w:p>
    <w:p w:rsidR="001F63F8" w:rsidRPr="001F63F8" w:rsidP="001F63F8" w14:paraId="18D0A4C0" w14:textId="77777777">
      <w:pPr>
        <w:spacing w:after="0" w:line="240" w:lineRule="auto"/>
        <w:jc w:val="left"/>
        <w:rPr>
          <w:bCs/>
          <w:sz w:val="24"/>
          <w:szCs w:val="24"/>
        </w:rPr>
      </w:pPr>
      <w:r w:rsidRPr="001F63F8">
        <w:rPr>
          <w:b/>
          <w:sz w:val="24"/>
          <w:szCs w:val="24"/>
        </w:rPr>
        <w:t xml:space="preserve">Court:  </w:t>
      </w:r>
      <w:r w:rsidRPr="001F63F8">
        <w:rPr>
          <w:bCs/>
          <w:sz w:val="24"/>
          <w:szCs w:val="24"/>
        </w:rPr>
        <w:t>Superior</w:t>
      </w:r>
      <w:r w:rsidRPr="001F63F8">
        <w:rPr>
          <w:b/>
          <w:sz w:val="24"/>
          <w:szCs w:val="24"/>
        </w:rPr>
        <w:t xml:space="preserve"> </w:t>
      </w:r>
    </w:p>
    <w:p w:rsidR="001F63F8" w:rsidRPr="001F63F8" w:rsidP="001F63F8" w14:paraId="174D250E" w14:textId="77777777">
      <w:pPr>
        <w:spacing w:after="0" w:line="240" w:lineRule="auto"/>
        <w:jc w:val="left"/>
        <w:rPr>
          <w:bCs/>
          <w:sz w:val="24"/>
          <w:szCs w:val="24"/>
        </w:rPr>
      </w:pPr>
      <w:r w:rsidRPr="001F63F8">
        <w:rPr>
          <w:b/>
          <w:sz w:val="24"/>
          <w:szCs w:val="24"/>
        </w:rPr>
        <w:t xml:space="preserve">County: </w:t>
      </w:r>
      <w:r w:rsidRPr="001F63F8">
        <w:rPr>
          <w:bCs/>
          <w:sz w:val="24"/>
          <w:szCs w:val="24"/>
        </w:rPr>
        <w:t>San Bernardino</w:t>
      </w:r>
      <w:r w:rsidRPr="001F63F8">
        <w:rPr>
          <w:b/>
          <w:sz w:val="24"/>
          <w:szCs w:val="24"/>
        </w:rPr>
        <w:t xml:space="preserve"> </w:t>
      </w:r>
    </w:p>
    <w:p w:rsidR="001F63F8" w:rsidRPr="001F63F8" w:rsidP="001F63F8" w14:paraId="0593529F" w14:textId="77777777">
      <w:pPr>
        <w:spacing w:after="0" w:line="240" w:lineRule="auto"/>
        <w:ind w:left="720" w:hanging="720"/>
        <w:jc w:val="left"/>
        <w:rPr>
          <w:bCs/>
          <w:sz w:val="24"/>
          <w:szCs w:val="24"/>
        </w:rPr>
      </w:pPr>
      <w:r w:rsidRPr="001F63F8">
        <w:rPr>
          <w:b/>
          <w:sz w:val="24"/>
          <w:szCs w:val="24"/>
        </w:rPr>
        <w:t xml:space="preserve">Judge: </w:t>
      </w:r>
      <w:r w:rsidRPr="001F63F8">
        <w:rPr>
          <w:bCs/>
          <w:sz w:val="24"/>
          <w:szCs w:val="24"/>
        </w:rPr>
        <w:t>Wilfred J. Schneider, Jr.</w:t>
      </w:r>
      <w:r w:rsidRPr="001F63F8">
        <w:rPr>
          <w:b/>
          <w:sz w:val="24"/>
          <w:szCs w:val="24"/>
        </w:rPr>
        <w:t xml:space="preserve"> </w:t>
      </w:r>
    </w:p>
    <w:p w:rsidR="001F63F8" w:rsidRPr="001F63F8" w:rsidP="001F63F8" w14:paraId="7FD54AA4" w14:textId="77777777">
      <w:pPr>
        <w:spacing w:after="0" w:line="240" w:lineRule="auto"/>
        <w:jc w:val="left"/>
        <w:rPr>
          <w:b/>
          <w:sz w:val="24"/>
          <w:szCs w:val="24"/>
        </w:rPr>
      </w:pPr>
      <w:r w:rsidRPr="001F63F8">
        <w:rPr>
          <w:b/>
          <w:sz w:val="24"/>
          <w:szCs w:val="24"/>
        </w:rPr>
        <w:t xml:space="preserve">__________________________________________________________  </w:t>
      </w:r>
    </w:p>
    <w:p w:rsidR="001F63F8" w:rsidRPr="001F63F8" w:rsidP="001F63F8" w14:paraId="349D6E37" w14:textId="77777777">
      <w:pPr>
        <w:spacing w:after="0" w:line="240" w:lineRule="auto"/>
        <w:jc w:val="left"/>
        <w:rPr>
          <w:b/>
          <w:sz w:val="24"/>
          <w:szCs w:val="24"/>
        </w:rPr>
      </w:pPr>
    </w:p>
    <w:p w:rsidR="001F63F8" w:rsidRPr="001F63F8" w:rsidP="001F63F8" w14:paraId="1699F88B" w14:textId="77777777">
      <w:pPr>
        <w:spacing w:after="0" w:line="240" w:lineRule="auto"/>
        <w:jc w:val="left"/>
        <w:rPr>
          <w:b/>
          <w:sz w:val="24"/>
          <w:szCs w:val="24"/>
        </w:rPr>
      </w:pPr>
      <w:r w:rsidRPr="001F63F8">
        <w:rPr>
          <w:b/>
          <w:sz w:val="24"/>
          <w:szCs w:val="24"/>
        </w:rPr>
        <w:t>Counsel:</w:t>
      </w:r>
    </w:p>
    <w:p w:rsidR="001F63F8" w:rsidRPr="001F63F8" w:rsidP="001F63F8" w14:paraId="2BE0A7B1" w14:textId="77777777">
      <w:pPr>
        <w:spacing w:after="0" w:line="240" w:lineRule="auto"/>
        <w:jc w:val="left"/>
        <w:rPr>
          <w:b/>
          <w:sz w:val="24"/>
          <w:szCs w:val="24"/>
        </w:rPr>
      </w:pPr>
    </w:p>
    <w:p w:rsidR="001F63F8" w:rsidRPr="001F63F8" w:rsidP="001F63F8" w14:paraId="648DF7CE" w14:textId="77777777">
      <w:pPr>
        <w:spacing w:after="0" w:line="240" w:lineRule="auto"/>
        <w:jc w:val="left"/>
        <w:rPr>
          <w:sz w:val="24"/>
          <w:szCs w:val="24"/>
          <w:bdr w:val="none" w:sz="0" w:space="0" w:color="auto" w:frame="1"/>
        </w:rPr>
      </w:pPr>
      <w:r w:rsidRPr="001F63F8">
        <w:rPr>
          <w:sz w:val="24"/>
          <w:szCs w:val="24"/>
          <w:bdr w:val="none" w:sz="0" w:space="0" w:color="auto" w:frame="1"/>
        </w:rPr>
        <w:t>Ortiz Law Group, Jesse S. Ortiz, Nolan Berggren and Andres Salas for Plaintiff and Appellant.</w:t>
      </w:r>
    </w:p>
    <w:p w:rsidR="001F63F8" w:rsidRPr="001F63F8" w:rsidP="001F63F8" w14:paraId="3568971E" w14:textId="77777777">
      <w:pPr>
        <w:spacing w:after="0" w:line="240" w:lineRule="auto"/>
        <w:jc w:val="left"/>
        <w:rPr>
          <w:bCs/>
          <w:sz w:val="24"/>
          <w:szCs w:val="24"/>
          <w:bdr w:val="none" w:sz="0" w:space="0" w:color="auto" w:frame="1"/>
        </w:rPr>
      </w:pPr>
    </w:p>
    <w:p w:rsidR="001F63F8" w:rsidRPr="001F63F8" w:rsidP="001F63F8" w14:paraId="087A285A" w14:textId="77777777">
      <w:pPr>
        <w:spacing w:after="0" w:line="240" w:lineRule="auto"/>
        <w:jc w:val="left"/>
        <w:rPr>
          <w:bCs/>
          <w:sz w:val="24"/>
          <w:szCs w:val="24"/>
        </w:rPr>
      </w:pPr>
      <w:r w:rsidRPr="001F63F8">
        <w:rPr>
          <w:bCs/>
          <w:sz w:val="24"/>
          <w:szCs w:val="24"/>
        </w:rPr>
        <w:t>Lynberg &amp; Watkins, S. Frank Harrell, Pancy Lin, Ruben Escobedo III and Jesse K. Cox for Defendants and Respondents.</w:t>
      </w:r>
    </w:p>
    <w:p w:rsidR="001F63F8" w:rsidRPr="001F63F8" w:rsidP="001F63F8" w14:paraId="516ABEFD" w14:textId="77777777">
      <w:pPr>
        <w:spacing w:after="0" w:line="240" w:lineRule="auto"/>
        <w:jc w:val="left"/>
        <w:rPr>
          <w:bCs/>
          <w:sz w:val="24"/>
          <w:szCs w:val="24"/>
        </w:rPr>
      </w:pPr>
    </w:p>
    <w:p w:rsidR="001F63F8" w:rsidRPr="001F63F8" w:rsidP="001F63F8" w14:paraId="072DD5E4" w14:textId="77777777">
      <w:pPr>
        <w:spacing w:after="0" w:line="240" w:lineRule="auto"/>
        <w:jc w:val="left"/>
        <w:rPr>
          <w:bCs/>
          <w:sz w:val="24"/>
          <w:szCs w:val="24"/>
        </w:rPr>
      </w:pPr>
      <w:r w:rsidRPr="001F63F8">
        <w:rPr>
          <w:bCs/>
          <w:sz w:val="24"/>
          <w:szCs w:val="24"/>
        </w:rPr>
        <w:t>Horvitz &amp; Levy, Steven S. Fleischman, Scott P. Dixler and Sarah E. Hamill for Association of Southern California Defense Counsel as Amicus Curiae on behalf of Defendants and Respondents.</w:t>
      </w:r>
    </w:p>
    <w:p w:rsidR="001F63F8" w:rsidRPr="001F63F8" w:rsidP="001F63F8" w14:paraId="0473477A" w14:textId="77777777">
      <w:pPr>
        <w:spacing w:after="0" w:line="240" w:lineRule="auto"/>
        <w:jc w:val="left"/>
        <w:rPr>
          <w:b/>
          <w:sz w:val="24"/>
          <w:szCs w:val="24"/>
        </w:rPr>
      </w:pPr>
      <w:r w:rsidRPr="001F63F8">
        <w:rPr>
          <w:color w:val="212121"/>
          <w:sz w:val="24"/>
          <w:szCs w:val="24"/>
          <w:shd w:val="clear" w:color="auto" w:fill="FFFFFF"/>
        </w:rPr>
        <w:br w:type="page"/>
      </w:r>
      <w:r w:rsidRPr="001F63F8">
        <w:rPr>
          <w:b/>
          <w:sz w:val="24"/>
          <w:szCs w:val="24"/>
        </w:rPr>
        <w:t>Counsel who argued in Supreme Court (not intended for publication with opinion):</w:t>
      </w:r>
    </w:p>
    <w:p w:rsidR="001F63F8" w:rsidRPr="001F63F8" w:rsidP="001F63F8" w14:paraId="5589B6E9" w14:textId="77777777">
      <w:pPr>
        <w:spacing w:after="0" w:line="240" w:lineRule="auto"/>
        <w:jc w:val="left"/>
        <w:rPr>
          <w:b/>
          <w:sz w:val="24"/>
          <w:szCs w:val="24"/>
        </w:rPr>
      </w:pPr>
    </w:p>
    <w:p w:rsidR="001F63F8" w:rsidRPr="001F63F8" w:rsidP="001F63F8" w14:paraId="1F3AED33" w14:textId="77777777">
      <w:pPr>
        <w:spacing w:after="0" w:line="240" w:lineRule="auto"/>
        <w:jc w:val="left"/>
        <w:rPr>
          <w:bCs/>
          <w:sz w:val="24"/>
          <w:szCs w:val="24"/>
        </w:rPr>
      </w:pPr>
      <w:r w:rsidRPr="001F63F8">
        <w:rPr>
          <w:bCs/>
          <w:sz w:val="24"/>
          <w:szCs w:val="24"/>
        </w:rPr>
        <w:t>Jesse Ortiz</w:t>
      </w:r>
    </w:p>
    <w:p w:rsidR="001F63F8" w:rsidRPr="001F63F8" w:rsidP="001F63F8" w14:paraId="32AA8E3A" w14:textId="77777777">
      <w:pPr>
        <w:spacing w:after="0" w:line="240" w:lineRule="auto"/>
        <w:jc w:val="left"/>
        <w:rPr>
          <w:bCs/>
          <w:sz w:val="24"/>
          <w:szCs w:val="24"/>
        </w:rPr>
      </w:pPr>
      <w:r w:rsidRPr="001F63F8">
        <w:rPr>
          <w:bCs/>
          <w:sz w:val="24"/>
          <w:szCs w:val="24"/>
        </w:rPr>
        <w:t>Ortiz Law Group, APC</w:t>
      </w:r>
    </w:p>
    <w:p w:rsidR="001F63F8" w:rsidRPr="001F63F8" w:rsidP="001F63F8" w14:paraId="541F1299" w14:textId="77777777">
      <w:pPr>
        <w:spacing w:after="0" w:line="240" w:lineRule="auto"/>
        <w:jc w:val="left"/>
        <w:rPr>
          <w:bCs/>
          <w:sz w:val="24"/>
          <w:szCs w:val="24"/>
        </w:rPr>
      </w:pPr>
      <w:r w:rsidRPr="001F63F8">
        <w:rPr>
          <w:bCs/>
          <w:sz w:val="24"/>
          <w:szCs w:val="24"/>
        </w:rPr>
        <w:t>1510 J Street, Suite 100</w:t>
      </w:r>
    </w:p>
    <w:p w:rsidR="001F63F8" w:rsidRPr="001F63F8" w:rsidP="001F63F8" w14:paraId="47195504" w14:textId="77777777">
      <w:pPr>
        <w:spacing w:after="0" w:line="240" w:lineRule="auto"/>
        <w:jc w:val="left"/>
        <w:rPr>
          <w:bCs/>
          <w:sz w:val="24"/>
          <w:szCs w:val="24"/>
        </w:rPr>
      </w:pPr>
      <w:r w:rsidRPr="001F63F8">
        <w:rPr>
          <w:bCs/>
          <w:sz w:val="24"/>
          <w:szCs w:val="24"/>
        </w:rPr>
        <w:t>Sacramento, CA 95814</w:t>
      </w:r>
    </w:p>
    <w:p w:rsidR="001F63F8" w:rsidRPr="001F63F8" w:rsidP="001F63F8" w14:paraId="31DF67B3" w14:textId="77777777">
      <w:pPr>
        <w:spacing w:after="0" w:line="240" w:lineRule="auto"/>
        <w:jc w:val="left"/>
        <w:rPr>
          <w:bCs/>
          <w:sz w:val="24"/>
          <w:szCs w:val="24"/>
        </w:rPr>
      </w:pPr>
      <w:r w:rsidRPr="001F63F8">
        <w:rPr>
          <w:bCs/>
          <w:sz w:val="24"/>
          <w:szCs w:val="24"/>
        </w:rPr>
        <w:t>(916) 443-9500</w:t>
      </w:r>
    </w:p>
    <w:p w:rsidR="001F63F8" w:rsidRPr="001F63F8" w:rsidP="001F63F8" w14:paraId="629A116C" w14:textId="77777777">
      <w:pPr>
        <w:spacing w:after="0" w:line="240" w:lineRule="auto"/>
        <w:jc w:val="left"/>
        <w:rPr>
          <w:bCs/>
          <w:sz w:val="24"/>
          <w:szCs w:val="24"/>
        </w:rPr>
      </w:pPr>
    </w:p>
    <w:p w:rsidR="001F63F8" w:rsidRPr="001F63F8" w:rsidP="001F63F8" w14:paraId="4B9B3C71" w14:textId="77777777">
      <w:pPr>
        <w:spacing w:after="0" w:line="240" w:lineRule="auto"/>
        <w:jc w:val="left"/>
        <w:rPr>
          <w:bCs/>
          <w:sz w:val="24"/>
          <w:szCs w:val="24"/>
        </w:rPr>
      </w:pPr>
      <w:r w:rsidRPr="001F63F8">
        <w:rPr>
          <w:bCs/>
          <w:sz w:val="24"/>
          <w:szCs w:val="24"/>
        </w:rPr>
        <w:t>S. Frank Harrell</w:t>
      </w:r>
    </w:p>
    <w:p w:rsidR="001F63F8" w:rsidRPr="001F63F8" w:rsidP="001F63F8" w14:paraId="1D6A9D95" w14:textId="77777777">
      <w:pPr>
        <w:spacing w:after="0" w:line="240" w:lineRule="auto"/>
        <w:jc w:val="left"/>
        <w:rPr>
          <w:sz w:val="24"/>
          <w:szCs w:val="24"/>
        </w:rPr>
      </w:pPr>
      <w:r w:rsidRPr="001F63F8">
        <w:rPr>
          <w:sz w:val="24"/>
          <w:szCs w:val="24"/>
        </w:rPr>
        <w:t>Lynberg &amp; Watkins, APC</w:t>
      </w:r>
    </w:p>
    <w:p w:rsidR="001F63F8" w:rsidRPr="001F63F8" w:rsidP="001F63F8" w14:paraId="1E2C3180" w14:textId="77777777">
      <w:pPr>
        <w:spacing w:after="0" w:line="240" w:lineRule="auto"/>
        <w:jc w:val="left"/>
        <w:rPr>
          <w:sz w:val="24"/>
          <w:szCs w:val="24"/>
        </w:rPr>
      </w:pPr>
      <w:r w:rsidRPr="001F63F8">
        <w:rPr>
          <w:sz w:val="24"/>
          <w:szCs w:val="24"/>
        </w:rPr>
        <w:t>1100 Town &amp; Country Road, Suite 1450</w:t>
      </w:r>
    </w:p>
    <w:p w:rsidR="001F63F8" w:rsidRPr="001F63F8" w:rsidP="001F63F8" w14:paraId="2073C335" w14:textId="77777777">
      <w:pPr>
        <w:spacing w:after="0" w:line="240" w:lineRule="auto"/>
        <w:jc w:val="left"/>
        <w:rPr>
          <w:sz w:val="24"/>
          <w:szCs w:val="24"/>
        </w:rPr>
      </w:pPr>
      <w:r w:rsidRPr="001F63F8">
        <w:rPr>
          <w:sz w:val="24"/>
          <w:szCs w:val="24"/>
        </w:rPr>
        <w:t>Orange, CA 92868</w:t>
      </w:r>
    </w:p>
    <w:p w:rsidR="001F63F8" w:rsidRPr="001F63F8" w:rsidP="001F63F8" w14:paraId="14149B94" w14:textId="77777777">
      <w:pPr>
        <w:spacing w:after="0" w:line="240" w:lineRule="auto"/>
        <w:jc w:val="left"/>
        <w:rPr>
          <w:sz w:val="24"/>
          <w:szCs w:val="24"/>
        </w:rPr>
      </w:pPr>
      <w:r w:rsidRPr="001F63F8">
        <w:rPr>
          <w:sz w:val="24"/>
          <w:szCs w:val="24"/>
        </w:rPr>
        <w:t>(714) 937-1010</w:t>
      </w:r>
    </w:p>
    <w:p w:rsidR="001F63F8" w:rsidRPr="001F63F8" w:rsidP="001F63F8" w14:paraId="75A12FA4" w14:textId="77777777">
      <w:pPr>
        <w:spacing w:after="0" w:line="240" w:lineRule="auto"/>
        <w:jc w:val="left"/>
        <w:rPr>
          <w:sz w:val="24"/>
          <w:szCs w:val="24"/>
        </w:rPr>
      </w:pPr>
    </w:p>
    <w:p w:rsidR="001F63F8" w:rsidRPr="001F63F8" w:rsidP="001F63F8" w14:paraId="43AD8D3B" w14:textId="77777777">
      <w:pPr>
        <w:spacing w:after="0" w:line="240" w:lineRule="auto"/>
        <w:jc w:val="left"/>
        <w:rPr>
          <w:sz w:val="24"/>
          <w:szCs w:val="24"/>
        </w:rPr>
      </w:pPr>
      <w:r w:rsidRPr="001F63F8">
        <w:rPr>
          <w:sz w:val="24"/>
          <w:szCs w:val="24"/>
        </w:rPr>
        <w:t>Scott P. Dixler</w:t>
      </w:r>
    </w:p>
    <w:p w:rsidR="001F63F8" w:rsidRPr="001F63F8" w:rsidP="001F63F8" w14:paraId="740FE493" w14:textId="77777777">
      <w:pPr>
        <w:spacing w:after="0" w:line="240" w:lineRule="auto"/>
        <w:jc w:val="left"/>
        <w:rPr>
          <w:sz w:val="24"/>
          <w:szCs w:val="24"/>
        </w:rPr>
      </w:pPr>
      <w:r w:rsidRPr="001F63F8">
        <w:rPr>
          <w:sz w:val="24"/>
          <w:szCs w:val="24"/>
        </w:rPr>
        <w:t>Horvitz &amp; Levy LLP</w:t>
      </w:r>
    </w:p>
    <w:p w:rsidR="001F63F8" w:rsidRPr="001F63F8" w:rsidP="001F63F8" w14:paraId="20C0DAEF" w14:textId="77777777">
      <w:pPr>
        <w:spacing w:after="0" w:line="240" w:lineRule="auto"/>
        <w:jc w:val="left"/>
        <w:rPr>
          <w:sz w:val="24"/>
          <w:szCs w:val="24"/>
        </w:rPr>
      </w:pPr>
      <w:r w:rsidRPr="001F63F8">
        <w:rPr>
          <w:sz w:val="24"/>
          <w:szCs w:val="24"/>
        </w:rPr>
        <w:t>3601 West Olive Avenue, 8th Floor</w:t>
      </w:r>
    </w:p>
    <w:p w:rsidR="001F63F8" w:rsidRPr="001F63F8" w:rsidP="001F63F8" w14:paraId="219BBC4C" w14:textId="77777777">
      <w:pPr>
        <w:spacing w:after="0" w:line="240" w:lineRule="auto"/>
        <w:jc w:val="left"/>
        <w:rPr>
          <w:sz w:val="24"/>
          <w:szCs w:val="24"/>
        </w:rPr>
      </w:pPr>
      <w:r w:rsidRPr="001F63F8">
        <w:rPr>
          <w:sz w:val="24"/>
          <w:szCs w:val="24"/>
        </w:rPr>
        <w:t>Burbank, CA 91505</w:t>
      </w:r>
    </w:p>
    <w:p w:rsidR="001F63F8" w:rsidRPr="001F63F8" w:rsidP="001F63F8" w14:paraId="6E936F4C" w14:textId="77777777">
      <w:pPr>
        <w:spacing w:after="0" w:line="240" w:lineRule="auto"/>
        <w:jc w:val="left"/>
        <w:rPr>
          <w:sz w:val="24"/>
          <w:szCs w:val="24"/>
        </w:rPr>
      </w:pPr>
      <w:r w:rsidRPr="001F63F8">
        <w:rPr>
          <w:sz w:val="24"/>
          <w:szCs w:val="24"/>
        </w:rPr>
        <w:t>(818) 995-0800</w:t>
      </w:r>
    </w:p>
    <w:p w:rsidR="001F63F8" w:rsidRPr="001F63F8" w:rsidP="001F63F8" w14:paraId="29219F96" w14:textId="77777777">
      <w:pPr>
        <w:spacing w:after="0" w:line="240" w:lineRule="auto"/>
        <w:jc w:val="left"/>
        <w:rPr>
          <w:sz w:val="24"/>
          <w:szCs w:val="24"/>
        </w:rPr>
      </w:pPr>
    </w:p>
    <w:p w:rsidR="001F63F8" w:rsidRPr="001F63F8" w:rsidP="001F63F8" w14:paraId="09F40367" w14:textId="77777777">
      <w:pPr>
        <w:spacing w:after="0" w:line="240" w:lineRule="auto"/>
        <w:jc w:val="left"/>
        <w:rPr>
          <w:sz w:val="24"/>
          <w:szCs w:val="24"/>
        </w:rPr>
      </w:pPr>
    </w:p>
    <w:p w:rsidR="00F70558" w:rsidRPr="00F70558" w:rsidP="00F70558" w14:paraId="00EB5953" w14:textId="37D80287">
      <w:pPr>
        <w:tabs>
          <w:tab w:val="left" w:pos="1440"/>
        </w:tabs>
        <w:jc w:val="left"/>
        <w:rPr>
          <w:b/>
          <w:bCs/>
        </w:rPr>
      </w:pPr>
    </w:p>
    <w:sectPr w:rsidSect="00EC2BB8">
      <w:headerReference w:type="even" r:id="rId13"/>
      <w:headerReference w:type="default" r:id="rId14"/>
      <w:footerReference w:type="even" r:id="rId15"/>
      <w:footerReference w:type="default" r:id="rId16"/>
      <w:headerReference w:type="first" r:id="rId17"/>
      <w:footerReference w:type="first" r:id="rId18"/>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145" w14:paraId="16617E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6179" w14:paraId="40C6A2D9" w14:textId="77777777">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145" w14:paraId="7B01C86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3796" w14:paraId="3EFA1B1D" w14:textId="77777777">
    <w:pPr>
      <w:pStyle w:val="Foo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648F" w14:paraId="7A42DF7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648F" w14:paraId="4E007C34"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648F" w14:paraId="0092693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77AE" w14:paraId="21A1DDEB" w14:textId="77777777">
      <w:r>
        <w:separator/>
      </w:r>
    </w:p>
  </w:footnote>
  <w:footnote w:type="continuationSeparator" w:id="1">
    <w:p w:rsidR="00DF77AE" w14:paraId="6590867B" w14:textId="77777777">
      <w:pPr>
        <w:rPr>
          <w:sz w:val="22"/>
        </w:rPr>
      </w:pPr>
      <w:r>
        <w:continuationSeparator/>
      </w:r>
    </w:p>
  </w:footnote>
  <w:footnote w:type="continuationNotice" w:id="2">
    <w:p w:rsidR="00DF77AE" w14:paraId="0A918AEF" w14:textId="77777777">
      <w:pPr>
        <w:jc w:val="right"/>
        <w:rPr>
          <w:i/>
          <w:sz w:val="20"/>
        </w:rPr>
      </w:pPr>
    </w:p>
  </w:footnote>
  <w:footnote w:id="3">
    <w:p w:rsidR="00DE4502" w:rsidRPr="004026B2" w:rsidP="00323796" w14:paraId="59811CD5" w14:textId="0EEC1114">
      <w:pPr>
        <w:pStyle w:val="FootnoteText"/>
      </w:pPr>
      <w:r>
        <w:rPr>
          <w:rStyle w:val="FootnoteReference"/>
        </w:rPr>
        <w:footnoteRef/>
      </w:r>
      <w:r>
        <w:t xml:space="preserve"> </w:t>
      </w:r>
      <w:r>
        <w:tab/>
        <w:t>All subsequent undesignated statutory references are to the Code of Civil Procedure.</w:t>
      </w:r>
    </w:p>
  </w:footnote>
  <w:footnote w:id="4">
    <w:p w:rsidR="00FB17A1" w:rsidRPr="00CF3BCC" w:rsidP="00323796" w14:paraId="2661B5AD" w14:textId="6F9DBCB1">
      <w:pPr>
        <w:pStyle w:val="Pa34"/>
        <w:spacing w:line="300" w:lineRule="exact"/>
        <w:rPr>
          <w:szCs w:val="26"/>
        </w:rPr>
      </w:pPr>
      <w:r w:rsidRPr="001436FE">
        <w:rPr>
          <w:rStyle w:val="FootnoteReference"/>
          <w:szCs w:val="20"/>
        </w:rPr>
        <w:footnoteRef/>
      </w:r>
      <w:r w:rsidRPr="001436FE">
        <w:rPr>
          <w:rFonts w:ascii="Century Schoolbook" w:hAnsi="Century Schoolbook"/>
          <w:sz w:val="26"/>
          <w:szCs w:val="26"/>
        </w:rPr>
        <w:t xml:space="preserve"> </w:t>
      </w:r>
      <w:r>
        <w:tab/>
      </w:r>
      <w:r w:rsidRPr="008D6DE2">
        <w:rPr>
          <w:rFonts w:ascii="Century Schoolbook" w:hAnsi="Century Schoolbook"/>
          <w:sz w:val="27"/>
          <w:szCs w:val="27"/>
        </w:rPr>
        <w:t xml:space="preserve">Approximately 1,800 opinions rendered over the course of this court’s first six decades were, through inadvertence or otherwise, not published in the California Official Reports.  (See generally, 1–7 </w:t>
      </w:r>
      <w:r w:rsidRPr="008D6DE2">
        <w:rPr>
          <w:rFonts w:ascii="Century Schoolbook" w:hAnsi="Century Schoolbook"/>
          <w:color w:val="000000"/>
          <w:sz w:val="27"/>
          <w:szCs w:val="27"/>
        </w:rPr>
        <w:t xml:space="preserve">Cal.Unrep. (1913); </w:t>
      </w:r>
      <w:r w:rsidR="009605C3">
        <w:rPr>
          <w:rFonts w:ascii="Century Schoolbook" w:hAnsi="Century Schoolbook"/>
          <w:color w:val="000000"/>
          <w:sz w:val="27"/>
          <w:szCs w:val="27"/>
        </w:rPr>
        <w:t>1 Cal.Unrep. at</w:t>
      </w:r>
      <w:r w:rsidRPr="008D6DE2">
        <w:rPr>
          <w:rFonts w:ascii="Century Schoolbook" w:hAnsi="Century Schoolbook"/>
          <w:color w:val="000000"/>
          <w:sz w:val="27"/>
          <w:szCs w:val="27"/>
        </w:rPr>
        <w:t xml:space="preserve"> </w:t>
      </w:r>
      <w:r w:rsidR="009605C3">
        <w:rPr>
          <w:rFonts w:ascii="Century Schoolbook" w:hAnsi="Century Schoolbook"/>
          <w:color w:val="000000"/>
          <w:sz w:val="27"/>
          <w:szCs w:val="27"/>
        </w:rPr>
        <w:t>p.</w:t>
      </w:r>
      <w:r w:rsidR="00AD5080">
        <w:rPr>
          <w:rFonts w:ascii="Century Schoolbook" w:hAnsi="Century Schoolbook"/>
          <w:color w:val="000000"/>
          <w:sz w:val="27"/>
          <w:szCs w:val="27"/>
        </w:rPr>
        <w:t> </w:t>
      </w:r>
      <w:r w:rsidRPr="008D6DE2">
        <w:rPr>
          <w:rFonts w:ascii="Century Schoolbook" w:hAnsi="Century Schoolbook"/>
          <w:color w:val="000000"/>
          <w:sz w:val="27"/>
          <w:szCs w:val="27"/>
        </w:rPr>
        <w:t>v [describing the history and highlighting “the extent to which the unreported decisions have been cited by courts and legal writers,” and asserting that “the intrinsic value revealed in the opinions themselves</w:t>
      </w:r>
      <w:r w:rsidRPr="008D6DE2" w:rsidR="00D83317">
        <w:rPr>
          <w:rFonts w:ascii="Century Schoolbook" w:hAnsi="Century Schoolbook"/>
          <w:color w:val="000000"/>
          <w:sz w:val="27"/>
          <w:szCs w:val="27"/>
        </w:rPr>
        <w:t xml:space="preserve"> . . . </w:t>
      </w:r>
      <w:r w:rsidRPr="008D6DE2">
        <w:rPr>
          <w:rFonts w:ascii="Century Schoolbook" w:hAnsi="Century Schoolbook"/>
          <w:color w:val="000000"/>
          <w:sz w:val="27"/>
          <w:szCs w:val="27"/>
        </w:rPr>
        <w:t>have placed the question of their importance to the practitioner beyond all</w:t>
      </w:r>
      <w:r w:rsidRPr="008D6DE2">
        <w:rPr>
          <w:rFonts w:ascii="Century Schoolbook" w:hAnsi="Century Schoolbook"/>
          <w:color w:val="000000"/>
          <w:sz w:val="26"/>
          <w:szCs w:val="26"/>
        </w:rPr>
        <w:t xml:space="preserve"> </w:t>
      </w:r>
      <w:r w:rsidRPr="008D6DE2">
        <w:rPr>
          <w:rFonts w:ascii="Century Schoolbook" w:hAnsi="Century Schoolbook"/>
          <w:color w:val="000000"/>
          <w:sz w:val="27"/>
          <w:szCs w:val="27"/>
        </w:rPr>
        <w:t xml:space="preserve">controversy”].)  </w:t>
      </w:r>
      <w:r w:rsidRPr="008D6DE2" w:rsidR="00A83314">
        <w:rPr>
          <w:rFonts w:ascii="Century Schoolbook" w:hAnsi="Century Schoolbook"/>
          <w:sz w:val="27"/>
          <w:szCs w:val="27"/>
        </w:rPr>
        <w:t>M</w:t>
      </w:r>
      <w:r w:rsidRPr="008D6DE2">
        <w:rPr>
          <w:rFonts w:ascii="Century Schoolbook" w:hAnsi="Century Schoolbook"/>
          <w:sz w:val="27"/>
          <w:szCs w:val="27"/>
        </w:rPr>
        <w:t xml:space="preserve">ost of these Supreme Court cases set out in the seven volumes of </w:t>
      </w:r>
      <w:r w:rsidRPr="003A51DA">
        <w:rPr>
          <w:rFonts w:ascii="Century Schoolbook" w:hAnsi="Century Schoolbook"/>
          <w:sz w:val="27"/>
          <w:szCs w:val="27"/>
        </w:rPr>
        <w:t>California Unreported Cases</w:t>
      </w:r>
      <w:r w:rsidRPr="008D6DE2">
        <w:rPr>
          <w:rFonts w:ascii="Century Schoolbook" w:hAnsi="Century Schoolbook"/>
          <w:sz w:val="27"/>
          <w:szCs w:val="27"/>
        </w:rPr>
        <w:t xml:space="preserve"> remain precedential unless and until overruled.  (</w:t>
      </w:r>
      <w:r w:rsidRPr="008D6DE2">
        <w:rPr>
          <w:rFonts w:ascii="Century Schoolbook" w:hAnsi="Century Schoolbook"/>
          <w:i/>
          <w:sz w:val="27"/>
          <w:szCs w:val="27"/>
        </w:rPr>
        <w:t xml:space="preserve">In re Harris </w:t>
      </w:r>
      <w:r w:rsidRPr="008D6DE2">
        <w:rPr>
          <w:rFonts w:ascii="Century Schoolbook" w:hAnsi="Century Schoolbook"/>
          <w:sz w:val="27"/>
          <w:szCs w:val="27"/>
        </w:rPr>
        <w:t>(1993) 5</w:t>
      </w:r>
      <w:r w:rsidRPr="008D6DE2" w:rsidR="00B40A51">
        <w:rPr>
          <w:rFonts w:ascii="Century Schoolbook" w:hAnsi="Century Schoolbook"/>
          <w:sz w:val="27"/>
          <w:szCs w:val="27"/>
        </w:rPr>
        <w:t> </w:t>
      </w:r>
      <w:r w:rsidRPr="008D6DE2">
        <w:rPr>
          <w:rFonts w:ascii="Century Schoolbook" w:hAnsi="Century Schoolbook"/>
          <w:sz w:val="27"/>
          <w:szCs w:val="27"/>
        </w:rPr>
        <w:t xml:space="preserve">Cal.4th 813, 849, fn. 18; </w:t>
      </w:r>
      <w:r w:rsidRPr="008D6DE2">
        <w:rPr>
          <w:rFonts w:ascii="Century Schoolbook" w:hAnsi="Century Schoolbook"/>
          <w:i/>
          <w:sz w:val="27"/>
          <w:szCs w:val="27"/>
        </w:rPr>
        <w:t>In re Little’s Estate</w:t>
      </w:r>
      <w:r w:rsidRPr="008D6DE2">
        <w:rPr>
          <w:rFonts w:ascii="Century Schoolbook" w:hAnsi="Century Schoolbook"/>
          <w:sz w:val="27"/>
          <w:szCs w:val="27"/>
        </w:rPr>
        <w:t xml:space="preserve"> (1937) 23 Cal.App.2d 40, 43 [Supreme Court cases that have not been ordered officially reported are nonetheless binding upon lower courts].)</w:t>
      </w:r>
      <w:r>
        <w:rPr>
          <w:rFonts w:ascii="Times New Roman" w:hAnsi="Times New Roman"/>
          <w:sz w:val="26"/>
          <w:szCs w:val="26"/>
        </w:rPr>
        <w:t xml:space="preserve">  </w:t>
      </w:r>
    </w:p>
  </w:footnote>
  <w:footnote w:id="5">
    <w:p w:rsidR="0035560A" w:rsidRPr="002B5C09" w:rsidP="00323796" w14:paraId="3CC75183" w14:textId="6FC6EE81">
      <w:pPr>
        <w:pStyle w:val="FootnoteText"/>
      </w:pPr>
      <w:r>
        <w:rPr>
          <w:rStyle w:val="FootnoteReference"/>
        </w:rPr>
        <w:footnoteRef/>
      </w:r>
      <w:r>
        <w:t xml:space="preserve"> </w:t>
      </w:r>
      <w:r w:rsidR="007138A3">
        <w:tab/>
        <w:t xml:space="preserve">Section </w:t>
      </w:r>
      <w:r w:rsidR="000208FB">
        <w:t xml:space="preserve">307 </w:t>
      </w:r>
      <w:r w:rsidR="002D029F">
        <w:t xml:space="preserve">of the Original Practice Act </w:t>
      </w:r>
      <w:r w:rsidR="003E23DA">
        <w:t xml:space="preserve">similarly provided:  “The time within which an act is done, as </w:t>
      </w:r>
      <w:r w:rsidR="00446809">
        <w:t xml:space="preserve">herein </w:t>
      </w:r>
      <w:r w:rsidR="003E23DA">
        <w:t>provided, shall be computed by excluding the first day and including the last</w:t>
      </w:r>
      <w:r w:rsidR="00446809">
        <w:t>;</w:t>
      </w:r>
      <w:r w:rsidR="00D13012">
        <w:t xml:space="preserve"> </w:t>
      </w:r>
      <w:r w:rsidR="00446809">
        <w:t>i</w:t>
      </w:r>
      <w:r w:rsidR="00D13012">
        <w:t>f the last day be Sunday, it shall be excluded.</w:t>
      </w:r>
      <w:r w:rsidR="003E23DA">
        <w:t>”  (</w:t>
      </w:r>
      <w:r w:rsidRPr="002B5C09" w:rsidR="003E23DA">
        <w:t>Stats. 185</w:t>
      </w:r>
      <w:r w:rsidR="00446809">
        <w:t>0</w:t>
      </w:r>
      <w:r w:rsidRPr="002B5C09" w:rsidR="003E23DA">
        <w:t xml:space="preserve">, ch. </w:t>
      </w:r>
      <w:r w:rsidR="00446809">
        <w:t>142</w:t>
      </w:r>
      <w:r w:rsidRPr="002B5C09" w:rsidR="003E23DA">
        <w:t xml:space="preserve">, </w:t>
      </w:r>
      <w:r w:rsidRPr="002B5C09" w:rsidR="003E23DA">
        <w:rPr>
          <w:caps/>
        </w:rPr>
        <w:t>§ </w:t>
      </w:r>
      <w:r w:rsidR="00446809">
        <w:rPr>
          <w:caps/>
        </w:rPr>
        <w:t>307</w:t>
      </w:r>
      <w:r w:rsidRPr="002B5C09" w:rsidR="003E23DA">
        <w:rPr>
          <w:caps/>
        </w:rPr>
        <w:t xml:space="preserve">, </w:t>
      </w:r>
      <w:r w:rsidRPr="002B5C09" w:rsidR="003E23DA">
        <w:t>p</w:t>
      </w:r>
      <w:r w:rsidRPr="002B5C09" w:rsidR="003E23DA">
        <w:rPr>
          <w:caps/>
        </w:rPr>
        <w:t>.</w:t>
      </w:r>
      <w:r w:rsidR="00323796">
        <w:rPr>
          <w:caps/>
        </w:rPr>
        <w:t> </w:t>
      </w:r>
      <w:r w:rsidR="00446809">
        <w:rPr>
          <w:caps/>
        </w:rPr>
        <w:t>455</w:t>
      </w:r>
      <w:r w:rsidRPr="002B5C09" w:rsidR="003E23DA">
        <w:rPr>
          <w:caps/>
        </w:rPr>
        <w:t>.)</w:t>
      </w:r>
    </w:p>
  </w:footnote>
  <w:footnote w:id="6">
    <w:p w:rsidR="00B316D3" w:rsidP="00323796" w14:paraId="48AA0379" w14:textId="249545BE">
      <w:pPr>
        <w:pStyle w:val="FootnoteText"/>
      </w:pPr>
      <w:r>
        <w:rPr>
          <w:rStyle w:val="FootnoteReference"/>
        </w:rPr>
        <w:footnoteRef/>
      </w:r>
      <w:r>
        <w:t xml:space="preserve"> </w:t>
      </w:r>
      <w:r>
        <w:tab/>
        <w:t>S</w:t>
      </w:r>
      <w:r>
        <w:rPr>
          <w:szCs w:val="26"/>
        </w:rPr>
        <w:t xml:space="preserve">ee </w:t>
      </w:r>
      <w:r w:rsidRPr="00857521">
        <w:rPr>
          <w:szCs w:val="26"/>
        </w:rPr>
        <w:t xml:space="preserve">also </w:t>
      </w:r>
      <w:r w:rsidR="00216B34">
        <w:rPr>
          <w:i/>
          <w:iCs/>
        </w:rPr>
        <w:t xml:space="preserve">In re Jessup </w:t>
      </w:r>
      <w:r w:rsidR="00216B34">
        <w:t xml:space="preserve">(1889) 81 Cal. 408, 462 [when the court grants rehearing, this “put[s] the case in the same position as if it had never been decided or submitted”]; </w:t>
      </w:r>
      <w:r w:rsidRPr="005B5F57">
        <w:rPr>
          <w:i/>
          <w:iCs/>
        </w:rPr>
        <w:t>Poppe v. Athern</w:t>
      </w:r>
      <w:r>
        <w:t xml:space="preserve"> </w:t>
      </w:r>
      <w:r w:rsidRPr="00750694">
        <w:t>(</w:t>
      </w:r>
      <w:r w:rsidRPr="00171A98">
        <w:t>187</w:t>
      </w:r>
      <w:r w:rsidRPr="00750694">
        <w:t>2)</w:t>
      </w:r>
      <w:r>
        <w:t xml:space="preserve"> 42 Cal. 606, 610 </w:t>
      </w:r>
      <w:r w:rsidRPr="00E61D3A">
        <w:rPr>
          <w:szCs w:val="26"/>
        </w:rPr>
        <w:t>[repo</w:t>
      </w:r>
      <w:r w:rsidRPr="005B5F57">
        <w:rPr>
          <w:szCs w:val="26"/>
        </w:rPr>
        <w:t xml:space="preserve">rter’s note: </w:t>
      </w:r>
      <w:r w:rsidR="00996A18">
        <w:rPr>
          <w:szCs w:val="26"/>
        </w:rPr>
        <w:t xml:space="preserve"> </w:t>
      </w:r>
      <w:r w:rsidRPr="005B5F57">
        <w:rPr>
          <w:szCs w:val="26"/>
        </w:rPr>
        <w:t>“After a rehearing the first opinion is understood to be no longer the opinion of the Court, unless it is adopted in the subsequent opinion”</w:t>
      </w:r>
      <w:r w:rsidRPr="00E61D3A">
        <w:rPr>
          <w:szCs w:val="26"/>
        </w:rPr>
        <w:t>]</w:t>
      </w:r>
      <w:r w:rsidR="00216B34">
        <w:rPr>
          <w:szCs w:val="26"/>
        </w:rPr>
        <w:t xml:space="preserve">; </w:t>
      </w:r>
      <w:r w:rsidRPr="00171A98" w:rsidR="00216B34">
        <w:rPr>
          <w:i/>
          <w:iCs/>
        </w:rPr>
        <w:t xml:space="preserve">Carpentier v. Small </w:t>
      </w:r>
      <w:r w:rsidRPr="00171A98" w:rsidR="00216B34">
        <w:t>(1868) 35</w:t>
      </w:r>
      <w:r w:rsidR="00323796">
        <w:t> </w:t>
      </w:r>
      <w:r w:rsidRPr="00171A98" w:rsidR="00216B34">
        <w:t>Cal. 346, 364 [</w:t>
      </w:r>
      <w:r w:rsidR="00216B34">
        <w:t xml:space="preserve">observing that </w:t>
      </w:r>
      <w:r w:rsidRPr="00171A98" w:rsidR="00216B34">
        <w:t>“</w:t>
      </w:r>
      <w:r w:rsidR="00216B34">
        <w:t>[t]</w:t>
      </w:r>
      <w:r w:rsidRPr="00171A98" w:rsidR="00216B34">
        <w:t xml:space="preserve">he former judgment of this case, so far as it relates to </w:t>
      </w:r>
      <w:r w:rsidR="00996A18">
        <w:t xml:space="preserve">the </w:t>
      </w:r>
      <w:r w:rsidRPr="00171A98" w:rsidR="00216B34">
        <w:t>defendants</w:t>
      </w:r>
      <w:r w:rsidR="00216B34">
        <w:t xml:space="preserve"> . . . </w:t>
      </w:r>
      <w:r w:rsidRPr="00171A98" w:rsidR="00216B34">
        <w:t>, to whom a rehearing was granted, is vacated”]</w:t>
      </w:r>
      <w:r w:rsidRPr="00E61D3A">
        <w:rPr>
          <w:szCs w:val="26"/>
        </w:rPr>
        <w:t xml:space="preserve">.  </w:t>
      </w:r>
    </w:p>
  </w:footnote>
  <w:footnote w:id="7">
    <w:p w:rsidR="00C26197" w:rsidP="00323796" w14:paraId="75AA956E" w14:textId="48086758">
      <w:pPr>
        <w:pStyle w:val="FootnoteText"/>
      </w:pPr>
      <w:r>
        <w:rPr>
          <w:rStyle w:val="FootnoteReference"/>
        </w:rPr>
        <w:footnoteRef/>
      </w:r>
      <w:r>
        <w:t xml:space="preserve"> </w:t>
      </w:r>
      <w:r>
        <w:tab/>
        <w:t xml:space="preserve">See, in chronological order, </w:t>
      </w:r>
      <w:r w:rsidRPr="00633EAF">
        <w:rPr>
          <w:i/>
          <w:iCs/>
          <w:szCs w:val="26"/>
        </w:rPr>
        <w:t>Ex Parte Wood</w:t>
      </w:r>
      <w:r w:rsidRPr="00633EAF">
        <w:rPr>
          <w:szCs w:val="26"/>
        </w:rPr>
        <w:t xml:space="preserve"> (1907) 5</w:t>
      </w:r>
      <w:r w:rsidR="008D6DE2">
        <w:rPr>
          <w:szCs w:val="26"/>
        </w:rPr>
        <w:t> </w:t>
      </w:r>
      <w:r w:rsidRPr="00633EAF">
        <w:rPr>
          <w:szCs w:val="26"/>
        </w:rPr>
        <w:t>Cal.App. 471, 473</w:t>
      </w:r>
      <w:r>
        <w:rPr>
          <w:szCs w:val="26"/>
        </w:rPr>
        <w:t xml:space="preserve"> [citing the </w:t>
      </w:r>
      <w:r>
        <w:rPr>
          <w:i/>
          <w:iCs/>
          <w:szCs w:val="26"/>
        </w:rPr>
        <w:t xml:space="preserve">Ganahl I </w:t>
      </w:r>
      <w:r>
        <w:rPr>
          <w:szCs w:val="26"/>
        </w:rPr>
        <w:t xml:space="preserve">decision and purporting to follow it regarding computation of age of majority], abrogated by </w:t>
      </w:r>
      <w:r>
        <w:rPr>
          <w:i/>
          <w:iCs/>
          <w:szCs w:val="26"/>
        </w:rPr>
        <w:t>In re Harris</w:t>
      </w:r>
      <w:r>
        <w:rPr>
          <w:szCs w:val="26"/>
        </w:rPr>
        <w:t xml:space="preserve">, </w:t>
      </w:r>
      <w:r>
        <w:rPr>
          <w:i/>
          <w:iCs/>
          <w:szCs w:val="26"/>
        </w:rPr>
        <w:t>supra</w:t>
      </w:r>
      <w:r>
        <w:rPr>
          <w:szCs w:val="26"/>
        </w:rPr>
        <w:t>, 5 Cal.4th at p. 850</w:t>
      </w:r>
      <w:r w:rsidRPr="00633EAF">
        <w:rPr>
          <w:szCs w:val="26"/>
        </w:rPr>
        <w:t xml:space="preserve">; </w:t>
      </w:r>
      <w:r w:rsidRPr="00633EAF">
        <w:rPr>
          <w:i/>
          <w:iCs/>
          <w:szCs w:val="26"/>
        </w:rPr>
        <w:t>Bynum v. Moore</w:t>
      </w:r>
      <w:r w:rsidRPr="00633EAF">
        <w:rPr>
          <w:szCs w:val="26"/>
        </w:rPr>
        <w:t xml:space="preserve"> (Okla. 1923) 223 P. 687, 690</w:t>
      </w:r>
      <w:r>
        <w:rPr>
          <w:szCs w:val="26"/>
        </w:rPr>
        <w:t>–</w:t>
      </w:r>
      <w:r w:rsidRPr="00633EAF">
        <w:rPr>
          <w:szCs w:val="26"/>
        </w:rPr>
        <w:t>691 [</w:t>
      </w:r>
      <w:r>
        <w:rPr>
          <w:szCs w:val="26"/>
        </w:rPr>
        <w:t xml:space="preserve">citing the </w:t>
      </w:r>
      <w:r>
        <w:rPr>
          <w:i/>
          <w:iCs/>
          <w:szCs w:val="26"/>
        </w:rPr>
        <w:t xml:space="preserve">Ganahl I </w:t>
      </w:r>
      <w:r>
        <w:rPr>
          <w:szCs w:val="26"/>
        </w:rPr>
        <w:t>decision regarding computation of age of majority</w:t>
      </w:r>
      <w:r w:rsidRPr="00633EAF">
        <w:rPr>
          <w:szCs w:val="26"/>
        </w:rPr>
        <w:t xml:space="preserve">]; </w:t>
      </w:r>
      <w:r w:rsidRPr="00633EAF">
        <w:rPr>
          <w:i/>
          <w:iCs/>
          <w:szCs w:val="26"/>
        </w:rPr>
        <w:t>People v. Dudley</w:t>
      </w:r>
      <w:r w:rsidRPr="00633EAF">
        <w:rPr>
          <w:szCs w:val="26"/>
        </w:rPr>
        <w:t xml:space="preserve"> (1942) 53 Cal.App.2d 181, 183</w:t>
      </w:r>
      <w:r>
        <w:rPr>
          <w:szCs w:val="26"/>
        </w:rPr>
        <w:t>–</w:t>
      </w:r>
      <w:r w:rsidRPr="00633EAF">
        <w:rPr>
          <w:szCs w:val="26"/>
        </w:rPr>
        <w:t xml:space="preserve">185 </w:t>
      </w:r>
      <w:r>
        <w:rPr>
          <w:szCs w:val="26"/>
        </w:rPr>
        <w:t xml:space="preserve">[same], abrogated by </w:t>
      </w:r>
      <w:r>
        <w:rPr>
          <w:i/>
          <w:iCs/>
          <w:szCs w:val="26"/>
        </w:rPr>
        <w:t>In re Harris</w:t>
      </w:r>
      <w:r>
        <w:rPr>
          <w:szCs w:val="26"/>
        </w:rPr>
        <w:t>, at p. 850</w:t>
      </w:r>
      <w:r w:rsidRPr="00633EAF">
        <w:rPr>
          <w:szCs w:val="26"/>
        </w:rPr>
        <w:t xml:space="preserve">; </w:t>
      </w:r>
      <w:r w:rsidRPr="00633EAF">
        <w:rPr>
          <w:i/>
          <w:iCs/>
          <w:szCs w:val="26"/>
        </w:rPr>
        <w:t xml:space="preserve">Justus v. Atchison </w:t>
      </w:r>
      <w:r w:rsidRPr="00633EAF">
        <w:rPr>
          <w:szCs w:val="26"/>
        </w:rPr>
        <w:t>(1977) 19</w:t>
      </w:r>
      <w:r>
        <w:rPr>
          <w:szCs w:val="26"/>
        </w:rPr>
        <w:t> </w:t>
      </w:r>
      <w:r w:rsidRPr="00633EAF">
        <w:rPr>
          <w:szCs w:val="26"/>
        </w:rPr>
        <w:t xml:space="preserve">Cal.3d 564, 576 </w:t>
      </w:r>
      <w:r>
        <w:rPr>
          <w:szCs w:val="26"/>
        </w:rPr>
        <w:t>[same</w:t>
      </w:r>
      <w:r w:rsidR="00996A18">
        <w:rPr>
          <w:szCs w:val="26"/>
        </w:rPr>
        <w:t>]</w:t>
      </w:r>
      <w:r w:rsidRPr="00633EAF">
        <w:rPr>
          <w:szCs w:val="26"/>
        </w:rPr>
        <w:t xml:space="preserve">; </w:t>
      </w:r>
      <w:r w:rsidRPr="00633EAF">
        <w:rPr>
          <w:i/>
          <w:iCs/>
          <w:szCs w:val="26"/>
        </w:rPr>
        <w:t xml:space="preserve">Johnson v. Superior Court </w:t>
      </w:r>
      <w:r w:rsidRPr="00633EAF">
        <w:rPr>
          <w:szCs w:val="26"/>
        </w:rPr>
        <w:t>(1989) 208</w:t>
      </w:r>
      <w:r>
        <w:rPr>
          <w:szCs w:val="26"/>
        </w:rPr>
        <w:t> </w:t>
      </w:r>
      <w:r w:rsidRPr="00633EAF">
        <w:rPr>
          <w:szCs w:val="26"/>
        </w:rPr>
        <w:t>Cal.App.3d 1093 [</w:t>
      </w:r>
      <w:r>
        <w:rPr>
          <w:szCs w:val="26"/>
        </w:rPr>
        <w:t>same</w:t>
      </w:r>
      <w:r w:rsidRPr="00102729">
        <w:rPr>
          <w:szCs w:val="26"/>
        </w:rPr>
        <w:t xml:space="preserve">]; </w:t>
      </w:r>
      <w:r w:rsidRPr="00102729">
        <w:rPr>
          <w:i/>
          <w:iCs/>
          <w:szCs w:val="26"/>
        </w:rPr>
        <w:t>In re Harris</w:t>
      </w:r>
      <w:r w:rsidRPr="00102729">
        <w:rPr>
          <w:szCs w:val="26"/>
        </w:rPr>
        <w:t>, at pp.</w:t>
      </w:r>
      <w:r w:rsidR="008D6DE2">
        <w:rPr>
          <w:szCs w:val="26"/>
        </w:rPr>
        <w:t> </w:t>
      </w:r>
      <w:r w:rsidRPr="00102729">
        <w:rPr>
          <w:szCs w:val="26"/>
        </w:rPr>
        <w:t xml:space="preserve">845–850 &amp; fn. 18 [discussing </w:t>
      </w:r>
      <w:r w:rsidRPr="00102729">
        <w:rPr>
          <w:i/>
          <w:iCs/>
          <w:szCs w:val="26"/>
        </w:rPr>
        <w:t>Ganahl</w:t>
      </w:r>
      <w:r w:rsidRPr="00102729">
        <w:rPr>
          <w:szCs w:val="26"/>
        </w:rPr>
        <w:t xml:space="preserve"> </w:t>
      </w:r>
      <w:r>
        <w:rPr>
          <w:i/>
          <w:iCs/>
          <w:szCs w:val="26"/>
        </w:rPr>
        <w:t xml:space="preserve">I </w:t>
      </w:r>
      <w:r w:rsidRPr="00102729">
        <w:rPr>
          <w:szCs w:val="26"/>
        </w:rPr>
        <w:t xml:space="preserve">decision </w:t>
      </w:r>
      <w:r>
        <w:rPr>
          <w:szCs w:val="26"/>
        </w:rPr>
        <w:t xml:space="preserve">regarding computation of age of majority </w:t>
      </w:r>
      <w:r w:rsidRPr="00102729">
        <w:rPr>
          <w:szCs w:val="26"/>
        </w:rPr>
        <w:t xml:space="preserve">and affirming that merely because it was not officially published does not undermine its precedential authority]; </w:t>
      </w:r>
      <w:r w:rsidRPr="00102729">
        <w:rPr>
          <w:i/>
          <w:iCs/>
          <w:szCs w:val="26"/>
        </w:rPr>
        <w:t>Cabrera</w:t>
      </w:r>
      <w:r>
        <w:rPr>
          <w:szCs w:val="26"/>
        </w:rPr>
        <w:t xml:space="preserve">, </w:t>
      </w:r>
      <w:r>
        <w:rPr>
          <w:i/>
          <w:iCs/>
          <w:szCs w:val="26"/>
        </w:rPr>
        <w:t>supra</w:t>
      </w:r>
      <w:r>
        <w:rPr>
          <w:szCs w:val="26"/>
        </w:rPr>
        <w:t>,</w:t>
      </w:r>
      <w:r w:rsidRPr="00102729">
        <w:rPr>
          <w:i/>
          <w:iCs/>
          <w:szCs w:val="26"/>
        </w:rPr>
        <w:t xml:space="preserve"> </w:t>
      </w:r>
      <w:r w:rsidRPr="00102729">
        <w:rPr>
          <w:szCs w:val="26"/>
        </w:rPr>
        <w:t xml:space="preserve">159 F.3d </w:t>
      </w:r>
      <w:r>
        <w:rPr>
          <w:szCs w:val="26"/>
        </w:rPr>
        <w:t>at p.</w:t>
      </w:r>
      <w:r w:rsidR="008D6DE2">
        <w:rPr>
          <w:szCs w:val="26"/>
        </w:rPr>
        <w:t> </w:t>
      </w:r>
      <w:r w:rsidRPr="00102729">
        <w:rPr>
          <w:szCs w:val="26"/>
        </w:rPr>
        <w:t>379 [“</w:t>
      </w:r>
      <w:r w:rsidRPr="00102729">
        <w:rPr>
          <w:szCs w:val="26"/>
          <w:shd w:val="clear" w:color="auto" w:fill="FFFFFF"/>
        </w:rPr>
        <w:t xml:space="preserve">Despite its age, the </w:t>
      </w:r>
      <w:r w:rsidRPr="00102729">
        <w:rPr>
          <w:rStyle w:val="Emphasis"/>
          <w:szCs w:val="26"/>
          <w:bdr w:val="none" w:sz="0" w:space="0" w:color="auto" w:frame="1"/>
        </w:rPr>
        <w:t xml:space="preserve">Ganahl </w:t>
      </w:r>
      <w:r>
        <w:rPr>
          <w:rStyle w:val="Emphasis"/>
          <w:i w:val="0"/>
          <w:iCs w:val="0"/>
          <w:szCs w:val="26"/>
          <w:bdr w:val="none" w:sz="0" w:space="0" w:color="auto" w:frame="1"/>
        </w:rPr>
        <w:t>[</w:t>
      </w:r>
      <w:r>
        <w:rPr>
          <w:rStyle w:val="Emphasis"/>
          <w:szCs w:val="26"/>
          <w:bdr w:val="none" w:sz="0" w:space="0" w:color="auto" w:frame="1"/>
        </w:rPr>
        <w:t>I</w:t>
      </w:r>
      <w:r>
        <w:rPr>
          <w:rStyle w:val="Emphasis"/>
          <w:i w:val="0"/>
          <w:iCs w:val="0"/>
          <w:szCs w:val="26"/>
          <w:bdr w:val="none" w:sz="0" w:space="0" w:color="auto" w:frame="1"/>
        </w:rPr>
        <w:t>]</w:t>
      </w:r>
      <w:r>
        <w:rPr>
          <w:rStyle w:val="Emphasis"/>
          <w:szCs w:val="26"/>
          <w:bdr w:val="none" w:sz="0" w:space="0" w:color="auto" w:frame="1"/>
        </w:rPr>
        <w:t xml:space="preserve"> </w:t>
      </w:r>
      <w:r w:rsidRPr="00102729">
        <w:rPr>
          <w:szCs w:val="26"/>
          <w:shd w:val="clear" w:color="auto" w:fill="FFFFFF"/>
        </w:rPr>
        <w:t>holding is still good law”</w:t>
      </w:r>
      <w:r w:rsidRPr="00102729">
        <w:rPr>
          <w:szCs w:val="26"/>
        </w:rPr>
        <w:t>].</w:t>
      </w:r>
      <w:r w:rsidRPr="00102729">
        <w:rPr>
          <w:rFonts w:ascii="Arial" w:hAnsi="Arial" w:cs="Arial"/>
          <w:sz w:val="24"/>
          <w:szCs w:val="24"/>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145" w14:paraId="6962173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3796" w14:paraId="42C39539" w14:textId="7F85A7C6">
    <w:pPr>
      <w:pStyle w:val="Header"/>
    </w:pPr>
    <w:r>
      <w:t>SHALABI v. CITY OF FONTANA</w:t>
    </w:r>
  </w:p>
  <w:p w:rsidR="00323796" w14:paraId="35608613" w14:textId="677687EC">
    <w:pPr>
      <w:pStyle w:val="Header"/>
    </w:pPr>
    <w:r>
      <w:t>Opinion of the Court by Cantil-Sakauye, C. J.</w:t>
    </w:r>
  </w:p>
  <w:p w:rsidR="00323796" w14:paraId="49494CC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145" w14:paraId="131F40C1"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648F" w14:paraId="71334BF3"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648F" w14:paraId="03EFC267"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648F" w14:paraId="1E445AB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5AE2363"/>
    <w:multiLevelType w:val="hybridMultilevel"/>
    <w:tmpl w:val="8A16FE3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5B"/>
    <w:rsid w:val="00001C97"/>
    <w:rsid w:val="00003F12"/>
    <w:rsid w:val="00004D31"/>
    <w:rsid w:val="00007080"/>
    <w:rsid w:val="00007736"/>
    <w:rsid w:val="000101D4"/>
    <w:rsid w:val="000104A5"/>
    <w:rsid w:val="00010D47"/>
    <w:rsid w:val="000133DA"/>
    <w:rsid w:val="0001592D"/>
    <w:rsid w:val="00016429"/>
    <w:rsid w:val="00017436"/>
    <w:rsid w:val="000175D6"/>
    <w:rsid w:val="0002018E"/>
    <w:rsid w:val="000208FB"/>
    <w:rsid w:val="00020F9F"/>
    <w:rsid w:val="000215F2"/>
    <w:rsid w:val="0002251D"/>
    <w:rsid w:val="0002302A"/>
    <w:rsid w:val="00024658"/>
    <w:rsid w:val="00024C11"/>
    <w:rsid w:val="00024F8A"/>
    <w:rsid w:val="00026E80"/>
    <w:rsid w:val="000276C7"/>
    <w:rsid w:val="0003016D"/>
    <w:rsid w:val="000302B2"/>
    <w:rsid w:val="00031B57"/>
    <w:rsid w:val="000334C3"/>
    <w:rsid w:val="0003441B"/>
    <w:rsid w:val="00034BCF"/>
    <w:rsid w:val="00035B69"/>
    <w:rsid w:val="000374AB"/>
    <w:rsid w:val="00041CFB"/>
    <w:rsid w:val="00043949"/>
    <w:rsid w:val="00043A32"/>
    <w:rsid w:val="000447BD"/>
    <w:rsid w:val="000450DB"/>
    <w:rsid w:val="000455F7"/>
    <w:rsid w:val="00045750"/>
    <w:rsid w:val="00045C11"/>
    <w:rsid w:val="00045E6E"/>
    <w:rsid w:val="00050F5C"/>
    <w:rsid w:val="00051762"/>
    <w:rsid w:val="0005351C"/>
    <w:rsid w:val="00054186"/>
    <w:rsid w:val="00054C37"/>
    <w:rsid w:val="000555DC"/>
    <w:rsid w:val="00055FD1"/>
    <w:rsid w:val="0005680B"/>
    <w:rsid w:val="00057297"/>
    <w:rsid w:val="00057539"/>
    <w:rsid w:val="00057706"/>
    <w:rsid w:val="0005787D"/>
    <w:rsid w:val="00061EC1"/>
    <w:rsid w:val="00061F53"/>
    <w:rsid w:val="0006230F"/>
    <w:rsid w:val="00063EB4"/>
    <w:rsid w:val="00064BB6"/>
    <w:rsid w:val="000656AF"/>
    <w:rsid w:val="0006633B"/>
    <w:rsid w:val="000670A5"/>
    <w:rsid w:val="00067341"/>
    <w:rsid w:val="00067452"/>
    <w:rsid w:val="00070625"/>
    <w:rsid w:val="00071730"/>
    <w:rsid w:val="0007177B"/>
    <w:rsid w:val="00072BB6"/>
    <w:rsid w:val="00072F02"/>
    <w:rsid w:val="00074246"/>
    <w:rsid w:val="00074C16"/>
    <w:rsid w:val="0007630A"/>
    <w:rsid w:val="00076E35"/>
    <w:rsid w:val="00077DD3"/>
    <w:rsid w:val="0008048B"/>
    <w:rsid w:val="00080782"/>
    <w:rsid w:val="00081074"/>
    <w:rsid w:val="00081512"/>
    <w:rsid w:val="00081FBF"/>
    <w:rsid w:val="00082C7D"/>
    <w:rsid w:val="000831B9"/>
    <w:rsid w:val="00084B8F"/>
    <w:rsid w:val="00085040"/>
    <w:rsid w:val="000858DB"/>
    <w:rsid w:val="000859A1"/>
    <w:rsid w:val="00087349"/>
    <w:rsid w:val="0008766B"/>
    <w:rsid w:val="000879B8"/>
    <w:rsid w:val="00092299"/>
    <w:rsid w:val="000942A1"/>
    <w:rsid w:val="00094825"/>
    <w:rsid w:val="00094F9C"/>
    <w:rsid w:val="00095839"/>
    <w:rsid w:val="00095916"/>
    <w:rsid w:val="00095C63"/>
    <w:rsid w:val="000960CC"/>
    <w:rsid w:val="00096E53"/>
    <w:rsid w:val="00097130"/>
    <w:rsid w:val="000A0FBB"/>
    <w:rsid w:val="000A2696"/>
    <w:rsid w:val="000A36CA"/>
    <w:rsid w:val="000A46FD"/>
    <w:rsid w:val="000A4AF3"/>
    <w:rsid w:val="000A514B"/>
    <w:rsid w:val="000B030E"/>
    <w:rsid w:val="000B0BD9"/>
    <w:rsid w:val="000B1FE0"/>
    <w:rsid w:val="000B3E91"/>
    <w:rsid w:val="000B4823"/>
    <w:rsid w:val="000B5EC7"/>
    <w:rsid w:val="000B65AA"/>
    <w:rsid w:val="000B68FB"/>
    <w:rsid w:val="000B6C13"/>
    <w:rsid w:val="000B6D1D"/>
    <w:rsid w:val="000B759A"/>
    <w:rsid w:val="000C0161"/>
    <w:rsid w:val="000C07CD"/>
    <w:rsid w:val="000C0CF0"/>
    <w:rsid w:val="000C1EE5"/>
    <w:rsid w:val="000C2D92"/>
    <w:rsid w:val="000C50D5"/>
    <w:rsid w:val="000C55F9"/>
    <w:rsid w:val="000C643E"/>
    <w:rsid w:val="000D3487"/>
    <w:rsid w:val="000D43F7"/>
    <w:rsid w:val="000D627E"/>
    <w:rsid w:val="000D7FF9"/>
    <w:rsid w:val="000E05A2"/>
    <w:rsid w:val="000E1188"/>
    <w:rsid w:val="000E1684"/>
    <w:rsid w:val="000E20C3"/>
    <w:rsid w:val="000E21F2"/>
    <w:rsid w:val="000E2E93"/>
    <w:rsid w:val="000E3F1E"/>
    <w:rsid w:val="000E446A"/>
    <w:rsid w:val="000E587C"/>
    <w:rsid w:val="000E6144"/>
    <w:rsid w:val="000E6F98"/>
    <w:rsid w:val="000E7659"/>
    <w:rsid w:val="000F02DC"/>
    <w:rsid w:val="000F0F61"/>
    <w:rsid w:val="000F1240"/>
    <w:rsid w:val="000F13A1"/>
    <w:rsid w:val="000F2738"/>
    <w:rsid w:val="000F3534"/>
    <w:rsid w:val="000F4E26"/>
    <w:rsid w:val="000F61DE"/>
    <w:rsid w:val="000F70B3"/>
    <w:rsid w:val="000F71C5"/>
    <w:rsid w:val="000F73CE"/>
    <w:rsid w:val="00100575"/>
    <w:rsid w:val="00100ABB"/>
    <w:rsid w:val="00100E68"/>
    <w:rsid w:val="00101536"/>
    <w:rsid w:val="001016C4"/>
    <w:rsid w:val="00102390"/>
    <w:rsid w:val="00102729"/>
    <w:rsid w:val="001027D2"/>
    <w:rsid w:val="00103324"/>
    <w:rsid w:val="00106F93"/>
    <w:rsid w:val="00107506"/>
    <w:rsid w:val="001102FF"/>
    <w:rsid w:val="0011068D"/>
    <w:rsid w:val="00111F72"/>
    <w:rsid w:val="001139E0"/>
    <w:rsid w:val="00114F17"/>
    <w:rsid w:val="00115DF4"/>
    <w:rsid w:val="001160B0"/>
    <w:rsid w:val="00117A8F"/>
    <w:rsid w:val="001205B1"/>
    <w:rsid w:val="00120710"/>
    <w:rsid w:val="00120E1B"/>
    <w:rsid w:val="00122727"/>
    <w:rsid w:val="00123B1F"/>
    <w:rsid w:val="001243D4"/>
    <w:rsid w:val="00124ED9"/>
    <w:rsid w:val="00125163"/>
    <w:rsid w:val="00125199"/>
    <w:rsid w:val="001267C3"/>
    <w:rsid w:val="00126D94"/>
    <w:rsid w:val="001300D8"/>
    <w:rsid w:val="001313D3"/>
    <w:rsid w:val="00133077"/>
    <w:rsid w:val="001339E0"/>
    <w:rsid w:val="001343CB"/>
    <w:rsid w:val="001343F1"/>
    <w:rsid w:val="001355A2"/>
    <w:rsid w:val="00136083"/>
    <w:rsid w:val="001367D5"/>
    <w:rsid w:val="001368CF"/>
    <w:rsid w:val="001369CB"/>
    <w:rsid w:val="00137580"/>
    <w:rsid w:val="00137ED3"/>
    <w:rsid w:val="00140CDA"/>
    <w:rsid w:val="00140EAA"/>
    <w:rsid w:val="00140EBF"/>
    <w:rsid w:val="00141C09"/>
    <w:rsid w:val="00142A75"/>
    <w:rsid w:val="00142AA7"/>
    <w:rsid w:val="001436FE"/>
    <w:rsid w:val="001441CD"/>
    <w:rsid w:val="00144E01"/>
    <w:rsid w:val="0014576A"/>
    <w:rsid w:val="00146658"/>
    <w:rsid w:val="00146D68"/>
    <w:rsid w:val="00146DE0"/>
    <w:rsid w:val="00147DE4"/>
    <w:rsid w:val="00150CD4"/>
    <w:rsid w:val="001523E4"/>
    <w:rsid w:val="0015251C"/>
    <w:rsid w:val="00153486"/>
    <w:rsid w:val="00154BDE"/>
    <w:rsid w:val="00155210"/>
    <w:rsid w:val="00155F86"/>
    <w:rsid w:val="00156C03"/>
    <w:rsid w:val="001576B3"/>
    <w:rsid w:val="001603C8"/>
    <w:rsid w:val="00160F03"/>
    <w:rsid w:val="001614C0"/>
    <w:rsid w:val="00161942"/>
    <w:rsid w:val="00162325"/>
    <w:rsid w:val="0016329F"/>
    <w:rsid w:val="0016346E"/>
    <w:rsid w:val="0016417D"/>
    <w:rsid w:val="00164C96"/>
    <w:rsid w:val="00165CA5"/>
    <w:rsid w:val="0016717E"/>
    <w:rsid w:val="001671B0"/>
    <w:rsid w:val="00170377"/>
    <w:rsid w:val="00170DD2"/>
    <w:rsid w:val="0017188A"/>
    <w:rsid w:val="00171A98"/>
    <w:rsid w:val="001727A4"/>
    <w:rsid w:val="00173741"/>
    <w:rsid w:val="00174079"/>
    <w:rsid w:val="001743AA"/>
    <w:rsid w:val="001758D9"/>
    <w:rsid w:val="0017596F"/>
    <w:rsid w:val="001763CC"/>
    <w:rsid w:val="00176985"/>
    <w:rsid w:val="00176AE3"/>
    <w:rsid w:val="00180B90"/>
    <w:rsid w:val="00180F9F"/>
    <w:rsid w:val="00181D97"/>
    <w:rsid w:val="001828C9"/>
    <w:rsid w:val="00182B6A"/>
    <w:rsid w:val="00183333"/>
    <w:rsid w:val="00183382"/>
    <w:rsid w:val="0018421D"/>
    <w:rsid w:val="00185105"/>
    <w:rsid w:val="00185451"/>
    <w:rsid w:val="0018567F"/>
    <w:rsid w:val="001876E7"/>
    <w:rsid w:val="00187EFD"/>
    <w:rsid w:val="00190841"/>
    <w:rsid w:val="00190C35"/>
    <w:rsid w:val="001914B7"/>
    <w:rsid w:val="00191A23"/>
    <w:rsid w:val="0019342C"/>
    <w:rsid w:val="001935F9"/>
    <w:rsid w:val="00193FF8"/>
    <w:rsid w:val="001941CF"/>
    <w:rsid w:val="00194238"/>
    <w:rsid w:val="00195A99"/>
    <w:rsid w:val="00195BFF"/>
    <w:rsid w:val="001979BC"/>
    <w:rsid w:val="001A1CC1"/>
    <w:rsid w:val="001A1D1D"/>
    <w:rsid w:val="001A418B"/>
    <w:rsid w:val="001A50C0"/>
    <w:rsid w:val="001A5ADF"/>
    <w:rsid w:val="001A71B4"/>
    <w:rsid w:val="001A7EE5"/>
    <w:rsid w:val="001B0796"/>
    <w:rsid w:val="001B0BEA"/>
    <w:rsid w:val="001B1022"/>
    <w:rsid w:val="001B1810"/>
    <w:rsid w:val="001B1D90"/>
    <w:rsid w:val="001B255C"/>
    <w:rsid w:val="001B2AF4"/>
    <w:rsid w:val="001C00FE"/>
    <w:rsid w:val="001C19DC"/>
    <w:rsid w:val="001C41C7"/>
    <w:rsid w:val="001C69D6"/>
    <w:rsid w:val="001C7BA2"/>
    <w:rsid w:val="001D038C"/>
    <w:rsid w:val="001D0C4F"/>
    <w:rsid w:val="001D2D0C"/>
    <w:rsid w:val="001D4D8E"/>
    <w:rsid w:val="001D4F7D"/>
    <w:rsid w:val="001D60CC"/>
    <w:rsid w:val="001D7271"/>
    <w:rsid w:val="001D7817"/>
    <w:rsid w:val="001E0CCF"/>
    <w:rsid w:val="001E1EA2"/>
    <w:rsid w:val="001E2064"/>
    <w:rsid w:val="001E35AE"/>
    <w:rsid w:val="001E3E46"/>
    <w:rsid w:val="001E4BDB"/>
    <w:rsid w:val="001E5690"/>
    <w:rsid w:val="001E5727"/>
    <w:rsid w:val="001E5787"/>
    <w:rsid w:val="001E5F93"/>
    <w:rsid w:val="001E6431"/>
    <w:rsid w:val="001F0B73"/>
    <w:rsid w:val="001F1182"/>
    <w:rsid w:val="001F3AC9"/>
    <w:rsid w:val="001F4040"/>
    <w:rsid w:val="001F41E2"/>
    <w:rsid w:val="001F4DB7"/>
    <w:rsid w:val="001F5260"/>
    <w:rsid w:val="001F56B5"/>
    <w:rsid w:val="001F5EEA"/>
    <w:rsid w:val="001F62C4"/>
    <w:rsid w:val="001F63F8"/>
    <w:rsid w:val="001F7861"/>
    <w:rsid w:val="002004D5"/>
    <w:rsid w:val="002005A9"/>
    <w:rsid w:val="0020081C"/>
    <w:rsid w:val="0020290F"/>
    <w:rsid w:val="002039B7"/>
    <w:rsid w:val="00203FFF"/>
    <w:rsid w:val="00204D88"/>
    <w:rsid w:val="0020648C"/>
    <w:rsid w:val="002076F0"/>
    <w:rsid w:val="00207A7B"/>
    <w:rsid w:val="0021005E"/>
    <w:rsid w:val="00210864"/>
    <w:rsid w:val="00211285"/>
    <w:rsid w:val="00212A8F"/>
    <w:rsid w:val="00212C33"/>
    <w:rsid w:val="00212D99"/>
    <w:rsid w:val="00214B0C"/>
    <w:rsid w:val="00214F47"/>
    <w:rsid w:val="00214FD4"/>
    <w:rsid w:val="0021558C"/>
    <w:rsid w:val="0021568A"/>
    <w:rsid w:val="002157F5"/>
    <w:rsid w:val="00215950"/>
    <w:rsid w:val="00215E23"/>
    <w:rsid w:val="0021681D"/>
    <w:rsid w:val="00216B34"/>
    <w:rsid w:val="002179CA"/>
    <w:rsid w:val="00221A34"/>
    <w:rsid w:val="00221CAC"/>
    <w:rsid w:val="00221F48"/>
    <w:rsid w:val="002233B4"/>
    <w:rsid w:val="00223658"/>
    <w:rsid w:val="00223740"/>
    <w:rsid w:val="002247E5"/>
    <w:rsid w:val="00225EBA"/>
    <w:rsid w:val="00226299"/>
    <w:rsid w:val="0023031F"/>
    <w:rsid w:val="00230ACC"/>
    <w:rsid w:val="00230C0B"/>
    <w:rsid w:val="00232025"/>
    <w:rsid w:val="00232DAE"/>
    <w:rsid w:val="00233303"/>
    <w:rsid w:val="002340B2"/>
    <w:rsid w:val="00234EC9"/>
    <w:rsid w:val="0023595E"/>
    <w:rsid w:val="0023611C"/>
    <w:rsid w:val="002369C7"/>
    <w:rsid w:val="00236A7B"/>
    <w:rsid w:val="00236C07"/>
    <w:rsid w:val="00237603"/>
    <w:rsid w:val="00240B1D"/>
    <w:rsid w:val="0024105F"/>
    <w:rsid w:val="00241D7D"/>
    <w:rsid w:val="00243D35"/>
    <w:rsid w:val="00243F1C"/>
    <w:rsid w:val="00247EDC"/>
    <w:rsid w:val="00251874"/>
    <w:rsid w:val="0025342C"/>
    <w:rsid w:val="002541E8"/>
    <w:rsid w:val="0025454E"/>
    <w:rsid w:val="00254957"/>
    <w:rsid w:val="00255316"/>
    <w:rsid w:val="00255E3F"/>
    <w:rsid w:val="00255F40"/>
    <w:rsid w:val="0025667A"/>
    <w:rsid w:val="00260394"/>
    <w:rsid w:val="00260DC4"/>
    <w:rsid w:val="0026224A"/>
    <w:rsid w:val="00262251"/>
    <w:rsid w:val="00263347"/>
    <w:rsid w:val="00263809"/>
    <w:rsid w:val="0026435C"/>
    <w:rsid w:val="0026472A"/>
    <w:rsid w:val="0026648F"/>
    <w:rsid w:val="002664C3"/>
    <w:rsid w:val="00266DFB"/>
    <w:rsid w:val="0027030B"/>
    <w:rsid w:val="002714CA"/>
    <w:rsid w:val="00271523"/>
    <w:rsid w:val="002726BA"/>
    <w:rsid w:val="00273F1F"/>
    <w:rsid w:val="00275625"/>
    <w:rsid w:val="00276168"/>
    <w:rsid w:val="00280285"/>
    <w:rsid w:val="002808EE"/>
    <w:rsid w:val="00281ED8"/>
    <w:rsid w:val="00283EB2"/>
    <w:rsid w:val="0028521A"/>
    <w:rsid w:val="00285FD8"/>
    <w:rsid w:val="00287305"/>
    <w:rsid w:val="00287735"/>
    <w:rsid w:val="002900CE"/>
    <w:rsid w:val="002915CE"/>
    <w:rsid w:val="00292629"/>
    <w:rsid w:val="0029289D"/>
    <w:rsid w:val="00292BF0"/>
    <w:rsid w:val="00293236"/>
    <w:rsid w:val="0029379A"/>
    <w:rsid w:val="0029532F"/>
    <w:rsid w:val="00295B59"/>
    <w:rsid w:val="0029635E"/>
    <w:rsid w:val="002A0335"/>
    <w:rsid w:val="002A2437"/>
    <w:rsid w:val="002A34E2"/>
    <w:rsid w:val="002A42D2"/>
    <w:rsid w:val="002A4930"/>
    <w:rsid w:val="002A63A1"/>
    <w:rsid w:val="002A6C60"/>
    <w:rsid w:val="002A6CA7"/>
    <w:rsid w:val="002A78C9"/>
    <w:rsid w:val="002A7C2C"/>
    <w:rsid w:val="002B09AF"/>
    <w:rsid w:val="002B0A03"/>
    <w:rsid w:val="002B0B09"/>
    <w:rsid w:val="002B0C9A"/>
    <w:rsid w:val="002B1966"/>
    <w:rsid w:val="002B263F"/>
    <w:rsid w:val="002B2D4A"/>
    <w:rsid w:val="002B4092"/>
    <w:rsid w:val="002B4F9F"/>
    <w:rsid w:val="002B53B9"/>
    <w:rsid w:val="002B5C09"/>
    <w:rsid w:val="002B75F7"/>
    <w:rsid w:val="002C21DD"/>
    <w:rsid w:val="002C2907"/>
    <w:rsid w:val="002C2F08"/>
    <w:rsid w:val="002C3435"/>
    <w:rsid w:val="002C37BB"/>
    <w:rsid w:val="002C3EB3"/>
    <w:rsid w:val="002C4CC1"/>
    <w:rsid w:val="002C5665"/>
    <w:rsid w:val="002C636C"/>
    <w:rsid w:val="002C704B"/>
    <w:rsid w:val="002C7EB7"/>
    <w:rsid w:val="002D029F"/>
    <w:rsid w:val="002D3774"/>
    <w:rsid w:val="002D423F"/>
    <w:rsid w:val="002D4A73"/>
    <w:rsid w:val="002D4C84"/>
    <w:rsid w:val="002D5909"/>
    <w:rsid w:val="002E0EA7"/>
    <w:rsid w:val="002E273F"/>
    <w:rsid w:val="002E2DAE"/>
    <w:rsid w:val="002E3BE4"/>
    <w:rsid w:val="002E3DEB"/>
    <w:rsid w:val="002E3E99"/>
    <w:rsid w:val="002E47CE"/>
    <w:rsid w:val="002E4D32"/>
    <w:rsid w:val="002E5BD6"/>
    <w:rsid w:val="002E6A2C"/>
    <w:rsid w:val="002E6CBB"/>
    <w:rsid w:val="002E6E51"/>
    <w:rsid w:val="002E74F3"/>
    <w:rsid w:val="002F032F"/>
    <w:rsid w:val="002F0665"/>
    <w:rsid w:val="002F18B5"/>
    <w:rsid w:val="002F1A14"/>
    <w:rsid w:val="002F1A8E"/>
    <w:rsid w:val="002F3C95"/>
    <w:rsid w:val="002F476F"/>
    <w:rsid w:val="002F5374"/>
    <w:rsid w:val="002F5609"/>
    <w:rsid w:val="002F5C4B"/>
    <w:rsid w:val="002F77A1"/>
    <w:rsid w:val="003000EC"/>
    <w:rsid w:val="00300E42"/>
    <w:rsid w:val="00302C07"/>
    <w:rsid w:val="00302D55"/>
    <w:rsid w:val="003035AA"/>
    <w:rsid w:val="003045B6"/>
    <w:rsid w:val="00305094"/>
    <w:rsid w:val="0030588E"/>
    <w:rsid w:val="00305D8E"/>
    <w:rsid w:val="00306667"/>
    <w:rsid w:val="00306AB7"/>
    <w:rsid w:val="00306F9F"/>
    <w:rsid w:val="00307889"/>
    <w:rsid w:val="00307BC3"/>
    <w:rsid w:val="0031103F"/>
    <w:rsid w:val="00312369"/>
    <w:rsid w:val="00313B20"/>
    <w:rsid w:val="00314753"/>
    <w:rsid w:val="00314AB5"/>
    <w:rsid w:val="00315BA6"/>
    <w:rsid w:val="00315BB7"/>
    <w:rsid w:val="00316B83"/>
    <w:rsid w:val="003176A7"/>
    <w:rsid w:val="00317FC5"/>
    <w:rsid w:val="003207AE"/>
    <w:rsid w:val="00321135"/>
    <w:rsid w:val="00321CE4"/>
    <w:rsid w:val="00323796"/>
    <w:rsid w:val="00323C2E"/>
    <w:rsid w:val="00324353"/>
    <w:rsid w:val="00326514"/>
    <w:rsid w:val="003275E0"/>
    <w:rsid w:val="00327A5D"/>
    <w:rsid w:val="00333F13"/>
    <w:rsid w:val="0033452E"/>
    <w:rsid w:val="00334707"/>
    <w:rsid w:val="00335157"/>
    <w:rsid w:val="00335D06"/>
    <w:rsid w:val="00335DF9"/>
    <w:rsid w:val="0033662F"/>
    <w:rsid w:val="00337885"/>
    <w:rsid w:val="0034124D"/>
    <w:rsid w:val="00342383"/>
    <w:rsid w:val="00342DB8"/>
    <w:rsid w:val="0034345D"/>
    <w:rsid w:val="003452E6"/>
    <w:rsid w:val="00346A91"/>
    <w:rsid w:val="00347EFA"/>
    <w:rsid w:val="00352724"/>
    <w:rsid w:val="00352C7F"/>
    <w:rsid w:val="0035337A"/>
    <w:rsid w:val="003536CE"/>
    <w:rsid w:val="003539D5"/>
    <w:rsid w:val="00353B2E"/>
    <w:rsid w:val="00353B92"/>
    <w:rsid w:val="0035469D"/>
    <w:rsid w:val="0035517D"/>
    <w:rsid w:val="003555B8"/>
    <w:rsid w:val="0035560A"/>
    <w:rsid w:val="00355806"/>
    <w:rsid w:val="00355A74"/>
    <w:rsid w:val="0035649C"/>
    <w:rsid w:val="00356AA8"/>
    <w:rsid w:val="0035752D"/>
    <w:rsid w:val="00360403"/>
    <w:rsid w:val="00360AFA"/>
    <w:rsid w:val="00362A19"/>
    <w:rsid w:val="00362CBC"/>
    <w:rsid w:val="00364639"/>
    <w:rsid w:val="00364C7C"/>
    <w:rsid w:val="00364E58"/>
    <w:rsid w:val="00364E8D"/>
    <w:rsid w:val="003656F5"/>
    <w:rsid w:val="00365B92"/>
    <w:rsid w:val="00371138"/>
    <w:rsid w:val="0037491F"/>
    <w:rsid w:val="00375B21"/>
    <w:rsid w:val="00375B80"/>
    <w:rsid w:val="00376733"/>
    <w:rsid w:val="00376943"/>
    <w:rsid w:val="003770AD"/>
    <w:rsid w:val="003772E1"/>
    <w:rsid w:val="00377F15"/>
    <w:rsid w:val="00380681"/>
    <w:rsid w:val="00382508"/>
    <w:rsid w:val="003831A1"/>
    <w:rsid w:val="0038368B"/>
    <w:rsid w:val="00383E13"/>
    <w:rsid w:val="00386947"/>
    <w:rsid w:val="00386AD8"/>
    <w:rsid w:val="00387832"/>
    <w:rsid w:val="00390DCD"/>
    <w:rsid w:val="003912D3"/>
    <w:rsid w:val="00391C87"/>
    <w:rsid w:val="003923FD"/>
    <w:rsid w:val="003926BD"/>
    <w:rsid w:val="00393E75"/>
    <w:rsid w:val="00394A3E"/>
    <w:rsid w:val="00395F93"/>
    <w:rsid w:val="003960E2"/>
    <w:rsid w:val="003964B1"/>
    <w:rsid w:val="00397C47"/>
    <w:rsid w:val="00397D8C"/>
    <w:rsid w:val="003A06FB"/>
    <w:rsid w:val="003A21F2"/>
    <w:rsid w:val="003A2B91"/>
    <w:rsid w:val="003A2D6D"/>
    <w:rsid w:val="003A51DA"/>
    <w:rsid w:val="003A5587"/>
    <w:rsid w:val="003A561A"/>
    <w:rsid w:val="003A7072"/>
    <w:rsid w:val="003B2D22"/>
    <w:rsid w:val="003B335B"/>
    <w:rsid w:val="003B3412"/>
    <w:rsid w:val="003B398F"/>
    <w:rsid w:val="003B3D0E"/>
    <w:rsid w:val="003B3EE5"/>
    <w:rsid w:val="003B54E7"/>
    <w:rsid w:val="003B5B07"/>
    <w:rsid w:val="003B5B37"/>
    <w:rsid w:val="003B612D"/>
    <w:rsid w:val="003B752E"/>
    <w:rsid w:val="003B7CB0"/>
    <w:rsid w:val="003C0674"/>
    <w:rsid w:val="003C43D7"/>
    <w:rsid w:val="003C46E4"/>
    <w:rsid w:val="003C497C"/>
    <w:rsid w:val="003C59C6"/>
    <w:rsid w:val="003C60F3"/>
    <w:rsid w:val="003C61F8"/>
    <w:rsid w:val="003C6D21"/>
    <w:rsid w:val="003C719D"/>
    <w:rsid w:val="003C7BB0"/>
    <w:rsid w:val="003C7C8B"/>
    <w:rsid w:val="003D1C11"/>
    <w:rsid w:val="003D1D45"/>
    <w:rsid w:val="003D26F5"/>
    <w:rsid w:val="003D4DC6"/>
    <w:rsid w:val="003D5491"/>
    <w:rsid w:val="003D59AB"/>
    <w:rsid w:val="003D648B"/>
    <w:rsid w:val="003D70BC"/>
    <w:rsid w:val="003D7500"/>
    <w:rsid w:val="003D7827"/>
    <w:rsid w:val="003E043D"/>
    <w:rsid w:val="003E1F55"/>
    <w:rsid w:val="003E23DA"/>
    <w:rsid w:val="003E4555"/>
    <w:rsid w:val="003E4A09"/>
    <w:rsid w:val="003E5275"/>
    <w:rsid w:val="003E5738"/>
    <w:rsid w:val="003E6106"/>
    <w:rsid w:val="003E680B"/>
    <w:rsid w:val="003E7460"/>
    <w:rsid w:val="003E7E31"/>
    <w:rsid w:val="003F0C19"/>
    <w:rsid w:val="003F0FA9"/>
    <w:rsid w:val="003F1765"/>
    <w:rsid w:val="003F1BC2"/>
    <w:rsid w:val="003F4533"/>
    <w:rsid w:val="003F7865"/>
    <w:rsid w:val="00400C85"/>
    <w:rsid w:val="004026B2"/>
    <w:rsid w:val="0040281D"/>
    <w:rsid w:val="00402F8C"/>
    <w:rsid w:val="004040D7"/>
    <w:rsid w:val="00405BEE"/>
    <w:rsid w:val="00407AB7"/>
    <w:rsid w:val="00410A12"/>
    <w:rsid w:val="00410A3A"/>
    <w:rsid w:val="00412A0D"/>
    <w:rsid w:val="00413936"/>
    <w:rsid w:val="004145A5"/>
    <w:rsid w:val="00415871"/>
    <w:rsid w:val="00416DEC"/>
    <w:rsid w:val="0041737C"/>
    <w:rsid w:val="00420B77"/>
    <w:rsid w:val="00421676"/>
    <w:rsid w:val="0042198B"/>
    <w:rsid w:val="00421F66"/>
    <w:rsid w:val="0042311D"/>
    <w:rsid w:val="004231D8"/>
    <w:rsid w:val="004235F2"/>
    <w:rsid w:val="004236E7"/>
    <w:rsid w:val="00423E60"/>
    <w:rsid w:val="004247F5"/>
    <w:rsid w:val="0042550C"/>
    <w:rsid w:val="00426081"/>
    <w:rsid w:val="004312DB"/>
    <w:rsid w:val="004330AE"/>
    <w:rsid w:val="00433D46"/>
    <w:rsid w:val="004345D8"/>
    <w:rsid w:val="0043550A"/>
    <w:rsid w:val="004362C5"/>
    <w:rsid w:val="00436B47"/>
    <w:rsid w:val="00436ECE"/>
    <w:rsid w:val="00437FE5"/>
    <w:rsid w:val="00442A11"/>
    <w:rsid w:val="00443493"/>
    <w:rsid w:val="004441BF"/>
    <w:rsid w:val="004447FF"/>
    <w:rsid w:val="00445445"/>
    <w:rsid w:val="004460EA"/>
    <w:rsid w:val="004462D3"/>
    <w:rsid w:val="00446809"/>
    <w:rsid w:val="00446D3F"/>
    <w:rsid w:val="0044728A"/>
    <w:rsid w:val="00451B82"/>
    <w:rsid w:val="004521A3"/>
    <w:rsid w:val="00452FF6"/>
    <w:rsid w:val="00453507"/>
    <w:rsid w:val="00453A56"/>
    <w:rsid w:val="00454458"/>
    <w:rsid w:val="00454A4F"/>
    <w:rsid w:val="00455B6B"/>
    <w:rsid w:val="00455F7C"/>
    <w:rsid w:val="0045634D"/>
    <w:rsid w:val="00456BF9"/>
    <w:rsid w:val="00456CCF"/>
    <w:rsid w:val="00460C5B"/>
    <w:rsid w:val="00461F13"/>
    <w:rsid w:val="00462089"/>
    <w:rsid w:val="00463374"/>
    <w:rsid w:val="004634F1"/>
    <w:rsid w:val="00463CDA"/>
    <w:rsid w:val="00464357"/>
    <w:rsid w:val="0046486B"/>
    <w:rsid w:val="00464A81"/>
    <w:rsid w:val="00464E34"/>
    <w:rsid w:val="00465399"/>
    <w:rsid w:val="0046541A"/>
    <w:rsid w:val="0046570E"/>
    <w:rsid w:val="00465D57"/>
    <w:rsid w:val="00466AF3"/>
    <w:rsid w:val="00467CC9"/>
    <w:rsid w:val="00467F82"/>
    <w:rsid w:val="0047048B"/>
    <w:rsid w:val="004712DB"/>
    <w:rsid w:val="004717B7"/>
    <w:rsid w:val="004722AA"/>
    <w:rsid w:val="00472C95"/>
    <w:rsid w:val="004737CC"/>
    <w:rsid w:val="00474126"/>
    <w:rsid w:val="00474BC9"/>
    <w:rsid w:val="00475363"/>
    <w:rsid w:val="00475510"/>
    <w:rsid w:val="00475D6E"/>
    <w:rsid w:val="00476575"/>
    <w:rsid w:val="00476F06"/>
    <w:rsid w:val="004776A0"/>
    <w:rsid w:val="0048021F"/>
    <w:rsid w:val="004821A2"/>
    <w:rsid w:val="00482888"/>
    <w:rsid w:val="004836F3"/>
    <w:rsid w:val="004839AE"/>
    <w:rsid w:val="0048466B"/>
    <w:rsid w:val="004855CD"/>
    <w:rsid w:val="004871A7"/>
    <w:rsid w:val="004879AB"/>
    <w:rsid w:val="00487A3F"/>
    <w:rsid w:val="00487FA9"/>
    <w:rsid w:val="00487FF1"/>
    <w:rsid w:val="0049037D"/>
    <w:rsid w:val="004910F1"/>
    <w:rsid w:val="004911B8"/>
    <w:rsid w:val="00491FB8"/>
    <w:rsid w:val="00492149"/>
    <w:rsid w:val="00493805"/>
    <w:rsid w:val="004938B0"/>
    <w:rsid w:val="00496912"/>
    <w:rsid w:val="0049737A"/>
    <w:rsid w:val="004A07B8"/>
    <w:rsid w:val="004A29ED"/>
    <w:rsid w:val="004A3073"/>
    <w:rsid w:val="004A37A7"/>
    <w:rsid w:val="004A3B3C"/>
    <w:rsid w:val="004A43C6"/>
    <w:rsid w:val="004A43D6"/>
    <w:rsid w:val="004A46BE"/>
    <w:rsid w:val="004A5353"/>
    <w:rsid w:val="004A57C3"/>
    <w:rsid w:val="004A6147"/>
    <w:rsid w:val="004A6E3D"/>
    <w:rsid w:val="004A6EDB"/>
    <w:rsid w:val="004A7284"/>
    <w:rsid w:val="004A79A9"/>
    <w:rsid w:val="004B0385"/>
    <w:rsid w:val="004B31C4"/>
    <w:rsid w:val="004B31CA"/>
    <w:rsid w:val="004B36F4"/>
    <w:rsid w:val="004B454C"/>
    <w:rsid w:val="004B4EEF"/>
    <w:rsid w:val="004B62ED"/>
    <w:rsid w:val="004B711D"/>
    <w:rsid w:val="004B7590"/>
    <w:rsid w:val="004B7C11"/>
    <w:rsid w:val="004C0404"/>
    <w:rsid w:val="004C0DFE"/>
    <w:rsid w:val="004C1293"/>
    <w:rsid w:val="004C256F"/>
    <w:rsid w:val="004C270D"/>
    <w:rsid w:val="004C30E9"/>
    <w:rsid w:val="004C548E"/>
    <w:rsid w:val="004C5CF6"/>
    <w:rsid w:val="004C6CA5"/>
    <w:rsid w:val="004C6F54"/>
    <w:rsid w:val="004C78C2"/>
    <w:rsid w:val="004C7D0E"/>
    <w:rsid w:val="004D0F9C"/>
    <w:rsid w:val="004D2A42"/>
    <w:rsid w:val="004D33EE"/>
    <w:rsid w:val="004D3A23"/>
    <w:rsid w:val="004D485C"/>
    <w:rsid w:val="004D4B0D"/>
    <w:rsid w:val="004D7AB3"/>
    <w:rsid w:val="004E0297"/>
    <w:rsid w:val="004E312B"/>
    <w:rsid w:val="004E3AA3"/>
    <w:rsid w:val="004E4428"/>
    <w:rsid w:val="004E61FF"/>
    <w:rsid w:val="004E63DA"/>
    <w:rsid w:val="004E64D3"/>
    <w:rsid w:val="004E7B7B"/>
    <w:rsid w:val="004F0181"/>
    <w:rsid w:val="004F063A"/>
    <w:rsid w:val="004F3B46"/>
    <w:rsid w:val="004F567E"/>
    <w:rsid w:val="004F56A3"/>
    <w:rsid w:val="004F5BAC"/>
    <w:rsid w:val="004F6CD1"/>
    <w:rsid w:val="004F7642"/>
    <w:rsid w:val="004F7B66"/>
    <w:rsid w:val="00501362"/>
    <w:rsid w:val="00501587"/>
    <w:rsid w:val="00503AA0"/>
    <w:rsid w:val="0050582B"/>
    <w:rsid w:val="00505FCD"/>
    <w:rsid w:val="0050701A"/>
    <w:rsid w:val="00507AEB"/>
    <w:rsid w:val="005114D8"/>
    <w:rsid w:val="00511FE7"/>
    <w:rsid w:val="00512473"/>
    <w:rsid w:val="00513948"/>
    <w:rsid w:val="0051748B"/>
    <w:rsid w:val="0052156D"/>
    <w:rsid w:val="00521A3E"/>
    <w:rsid w:val="00521DB4"/>
    <w:rsid w:val="005232AB"/>
    <w:rsid w:val="00524A79"/>
    <w:rsid w:val="00526008"/>
    <w:rsid w:val="00527439"/>
    <w:rsid w:val="00530B7A"/>
    <w:rsid w:val="005313D2"/>
    <w:rsid w:val="00531E9B"/>
    <w:rsid w:val="00532708"/>
    <w:rsid w:val="00532979"/>
    <w:rsid w:val="0053381D"/>
    <w:rsid w:val="00534134"/>
    <w:rsid w:val="00534466"/>
    <w:rsid w:val="00534715"/>
    <w:rsid w:val="00534A11"/>
    <w:rsid w:val="00534CBB"/>
    <w:rsid w:val="00535D6B"/>
    <w:rsid w:val="00536111"/>
    <w:rsid w:val="00536BC5"/>
    <w:rsid w:val="0053703A"/>
    <w:rsid w:val="0053796A"/>
    <w:rsid w:val="00537F2B"/>
    <w:rsid w:val="00540731"/>
    <w:rsid w:val="00543B83"/>
    <w:rsid w:val="00544901"/>
    <w:rsid w:val="00545085"/>
    <w:rsid w:val="005458D2"/>
    <w:rsid w:val="00546571"/>
    <w:rsid w:val="00546F66"/>
    <w:rsid w:val="005476D3"/>
    <w:rsid w:val="005504AE"/>
    <w:rsid w:val="005539F9"/>
    <w:rsid w:val="00553BAB"/>
    <w:rsid w:val="005559F9"/>
    <w:rsid w:val="00556236"/>
    <w:rsid w:val="00557791"/>
    <w:rsid w:val="00557AE8"/>
    <w:rsid w:val="00560610"/>
    <w:rsid w:val="00561C10"/>
    <w:rsid w:val="005621F3"/>
    <w:rsid w:val="0056252D"/>
    <w:rsid w:val="005626DE"/>
    <w:rsid w:val="00562F91"/>
    <w:rsid w:val="00563118"/>
    <w:rsid w:val="00564200"/>
    <w:rsid w:val="005701F5"/>
    <w:rsid w:val="00572ACD"/>
    <w:rsid w:val="005769C7"/>
    <w:rsid w:val="00576BDB"/>
    <w:rsid w:val="00576C14"/>
    <w:rsid w:val="0057766F"/>
    <w:rsid w:val="00580FD6"/>
    <w:rsid w:val="00581F8A"/>
    <w:rsid w:val="00584063"/>
    <w:rsid w:val="005857DE"/>
    <w:rsid w:val="0058632A"/>
    <w:rsid w:val="00586382"/>
    <w:rsid w:val="00586AD8"/>
    <w:rsid w:val="005879EE"/>
    <w:rsid w:val="00591F7E"/>
    <w:rsid w:val="00594503"/>
    <w:rsid w:val="00594A5D"/>
    <w:rsid w:val="0059577A"/>
    <w:rsid w:val="00597A38"/>
    <w:rsid w:val="005A0AC0"/>
    <w:rsid w:val="005A1EEF"/>
    <w:rsid w:val="005A4099"/>
    <w:rsid w:val="005A440D"/>
    <w:rsid w:val="005A4F82"/>
    <w:rsid w:val="005A76E6"/>
    <w:rsid w:val="005A7FD7"/>
    <w:rsid w:val="005B0F70"/>
    <w:rsid w:val="005B1470"/>
    <w:rsid w:val="005B27FC"/>
    <w:rsid w:val="005B2A65"/>
    <w:rsid w:val="005B3155"/>
    <w:rsid w:val="005B5F57"/>
    <w:rsid w:val="005B6FD1"/>
    <w:rsid w:val="005B750D"/>
    <w:rsid w:val="005C00A0"/>
    <w:rsid w:val="005C0664"/>
    <w:rsid w:val="005C09AC"/>
    <w:rsid w:val="005C0E49"/>
    <w:rsid w:val="005C107D"/>
    <w:rsid w:val="005C2B85"/>
    <w:rsid w:val="005C2D94"/>
    <w:rsid w:val="005C45B3"/>
    <w:rsid w:val="005C5044"/>
    <w:rsid w:val="005C57FF"/>
    <w:rsid w:val="005C5FB0"/>
    <w:rsid w:val="005C6E20"/>
    <w:rsid w:val="005C721A"/>
    <w:rsid w:val="005C77F2"/>
    <w:rsid w:val="005C78E3"/>
    <w:rsid w:val="005C7E04"/>
    <w:rsid w:val="005D1716"/>
    <w:rsid w:val="005D2580"/>
    <w:rsid w:val="005D475D"/>
    <w:rsid w:val="005D4921"/>
    <w:rsid w:val="005E0B9C"/>
    <w:rsid w:val="005E1132"/>
    <w:rsid w:val="005E11C3"/>
    <w:rsid w:val="005E161B"/>
    <w:rsid w:val="005E303F"/>
    <w:rsid w:val="005E3300"/>
    <w:rsid w:val="005E348F"/>
    <w:rsid w:val="005E378C"/>
    <w:rsid w:val="005E47D7"/>
    <w:rsid w:val="005E5169"/>
    <w:rsid w:val="005E547A"/>
    <w:rsid w:val="005E5994"/>
    <w:rsid w:val="005E6A07"/>
    <w:rsid w:val="005E74C9"/>
    <w:rsid w:val="005F10AF"/>
    <w:rsid w:val="005F25B4"/>
    <w:rsid w:val="005F34EB"/>
    <w:rsid w:val="005F42DB"/>
    <w:rsid w:val="005F507B"/>
    <w:rsid w:val="005F584E"/>
    <w:rsid w:val="005F7CE6"/>
    <w:rsid w:val="005F7F60"/>
    <w:rsid w:val="00600EFE"/>
    <w:rsid w:val="00601198"/>
    <w:rsid w:val="00602A43"/>
    <w:rsid w:val="00602EF3"/>
    <w:rsid w:val="00603AFC"/>
    <w:rsid w:val="0060434D"/>
    <w:rsid w:val="0060479D"/>
    <w:rsid w:val="0060607C"/>
    <w:rsid w:val="006069A2"/>
    <w:rsid w:val="00610A67"/>
    <w:rsid w:val="0061124E"/>
    <w:rsid w:val="00612223"/>
    <w:rsid w:val="00612809"/>
    <w:rsid w:val="006132E6"/>
    <w:rsid w:val="0061376C"/>
    <w:rsid w:val="0061407A"/>
    <w:rsid w:val="006145E6"/>
    <w:rsid w:val="00614949"/>
    <w:rsid w:val="00617D4C"/>
    <w:rsid w:val="00617DDA"/>
    <w:rsid w:val="00620D03"/>
    <w:rsid w:val="00621474"/>
    <w:rsid w:val="006217F7"/>
    <w:rsid w:val="00621CF4"/>
    <w:rsid w:val="00622099"/>
    <w:rsid w:val="00622163"/>
    <w:rsid w:val="0062224A"/>
    <w:rsid w:val="00622A31"/>
    <w:rsid w:val="006238DD"/>
    <w:rsid w:val="006246C3"/>
    <w:rsid w:val="00624744"/>
    <w:rsid w:val="0062549B"/>
    <w:rsid w:val="00625D35"/>
    <w:rsid w:val="006261E5"/>
    <w:rsid w:val="00626401"/>
    <w:rsid w:val="00626599"/>
    <w:rsid w:val="00630FF3"/>
    <w:rsid w:val="006323D1"/>
    <w:rsid w:val="00633656"/>
    <w:rsid w:val="00633E88"/>
    <w:rsid w:val="00633EAF"/>
    <w:rsid w:val="00633FB6"/>
    <w:rsid w:val="0063419B"/>
    <w:rsid w:val="00634A25"/>
    <w:rsid w:val="00634DDD"/>
    <w:rsid w:val="00635E18"/>
    <w:rsid w:val="00636762"/>
    <w:rsid w:val="00637378"/>
    <w:rsid w:val="00637A5C"/>
    <w:rsid w:val="00637E31"/>
    <w:rsid w:val="0064051E"/>
    <w:rsid w:val="00640939"/>
    <w:rsid w:val="00641E0D"/>
    <w:rsid w:val="00641F30"/>
    <w:rsid w:val="006424EB"/>
    <w:rsid w:val="00642C0D"/>
    <w:rsid w:val="00643130"/>
    <w:rsid w:val="00643222"/>
    <w:rsid w:val="00643D29"/>
    <w:rsid w:val="00644CF8"/>
    <w:rsid w:val="006451A1"/>
    <w:rsid w:val="006451DA"/>
    <w:rsid w:val="00645A85"/>
    <w:rsid w:val="00645B60"/>
    <w:rsid w:val="006463C8"/>
    <w:rsid w:val="00646458"/>
    <w:rsid w:val="0064712F"/>
    <w:rsid w:val="00647348"/>
    <w:rsid w:val="0064791B"/>
    <w:rsid w:val="00647A35"/>
    <w:rsid w:val="00647D91"/>
    <w:rsid w:val="0065245E"/>
    <w:rsid w:val="00652AD4"/>
    <w:rsid w:val="00652BEA"/>
    <w:rsid w:val="00652D1F"/>
    <w:rsid w:val="006534E1"/>
    <w:rsid w:val="0065512C"/>
    <w:rsid w:val="00655655"/>
    <w:rsid w:val="00655C00"/>
    <w:rsid w:val="00655C40"/>
    <w:rsid w:val="006570F7"/>
    <w:rsid w:val="00657EA1"/>
    <w:rsid w:val="0066015A"/>
    <w:rsid w:val="00660FE3"/>
    <w:rsid w:val="006621D2"/>
    <w:rsid w:val="00662EC4"/>
    <w:rsid w:val="00664041"/>
    <w:rsid w:val="006641CC"/>
    <w:rsid w:val="00664A54"/>
    <w:rsid w:val="0066612E"/>
    <w:rsid w:val="00667204"/>
    <w:rsid w:val="00670234"/>
    <w:rsid w:val="006703A6"/>
    <w:rsid w:val="00671B0D"/>
    <w:rsid w:val="00671D58"/>
    <w:rsid w:val="006731BE"/>
    <w:rsid w:val="0067344E"/>
    <w:rsid w:val="00674D4A"/>
    <w:rsid w:val="006751C1"/>
    <w:rsid w:val="00675C69"/>
    <w:rsid w:val="00675DFE"/>
    <w:rsid w:val="00676179"/>
    <w:rsid w:val="00676C23"/>
    <w:rsid w:val="00677B75"/>
    <w:rsid w:val="006808FB"/>
    <w:rsid w:val="00680D23"/>
    <w:rsid w:val="00682DC4"/>
    <w:rsid w:val="006839E4"/>
    <w:rsid w:val="00685176"/>
    <w:rsid w:val="00686366"/>
    <w:rsid w:val="006863D3"/>
    <w:rsid w:val="0068671C"/>
    <w:rsid w:val="0068681D"/>
    <w:rsid w:val="00687ADF"/>
    <w:rsid w:val="0069264E"/>
    <w:rsid w:val="0069604F"/>
    <w:rsid w:val="00696A85"/>
    <w:rsid w:val="00697CA7"/>
    <w:rsid w:val="00697D68"/>
    <w:rsid w:val="006A1717"/>
    <w:rsid w:val="006A2465"/>
    <w:rsid w:val="006A3302"/>
    <w:rsid w:val="006A3BB4"/>
    <w:rsid w:val="006A5270"/>
    <w:rsid w:val="006A5BB7"/>
    <w:rsid w:val="006A7A5C"/>
    <w:rsid w:val="006B034E"/>
    <w:rsid w:val="006B15F1"/>
    <w:rsid w:val="006B1806"/>
    <w:rsid w:val="006B19C1"/>
    <w:rsid w:val="006B2983"/>
    <w:rsid w:val="006B2C8B"/>
    <w:rsid w:val="006B31EF"/>
    <w:rsid w:val="006B3F6B"/>
    <w:rsid w:val="006B5A70"/>
    <w:rsid w:val="006B5F50"/>
    <w:rsid w:val="006B5FFE"/>
    <w:rsid w:val="006B69F2"/>
    <w:rsid w:val="006B6E35"/>
    <w:rsid w:val="006B77FE"/>
    <w:rsid w:val="006B7FFE"/>
    <w:rsid w:val="006C0EA7"/>
    <w:rsid w:val="006C284A"/>
    <w:rsid w:val="006C36E0"/>
    <w:rsid w:val="006C4841"/>
    <w:rsid w:val="006C56BF"/>
    <w:rsid w:val="006C5880"/>
    <w:rsid w:val="006C5B3B"/>
    <w:rsid w:val="006C5FBB"/>
    <w:rsid w:val="006C70FE"/>
    <w:rsid w:val="006D1099"/>
    <w:rsid w:val="006D1912"/>
    <w:rsid w:val="006D1CF3"/>
    <w:rsid w:val="006D2E50"/>
    <w:rsid w:val="006D3DF0"/>
    <w:rsid w:val="006D3F27"/>
    <w:rsid w:val="006D3FA2"/>
    <w:rsid w:val="006D427D"/>
    <w:rsid w:val="006D489B"/>
    <w:rsid w:val="006D48E2"/>
    <w:rsid w:val="006D53A6"/>
    <w:rsid w:val="006D5FA2"/>
    <w:rsid w:val="006D63E2"/>
    <w:rsid w:val="006E0CDD"/>
    <w:rsid w:val="006E165D"/>
    <w:rsid w:val="006E27A6"/>
    <w:rsid w:val="006E28B1"/>
    <w:rsid w:val="006E362C"/>
    <w:rsid w:val="006E4BE4"/>
    <w:rsid w:val="006E5358"/>
    <w:rsid w:val="006E6607"/>
    <w:rsid w:val="006E7677"/>
    <w:rsid w:val="006F050C"/>
    <w:rsid w:val="006F0B43"/>
    <w:rsid w:val="006F0D5A"/>
    <w:rsid w:val="006F16A9"/>
    <w:rsid w:val="006F2809"/>
    <w:rsid w:val="006F285B"/>
    <w:rsid w:val="006F4256"/>
    <w:rsid w:val="006F4D51"/>
    <w:rsid w:val="006F57A7"/>
    <w:rsid w:val="006F6144"/>
    <w:rsid w:val="006F62B2"/>
    <w:rsid w:val="006F72F8"/>
    <w:rsid w:val="00700BED"/>
    <w:rsid w:val="00701B3D"/>
    <w:rsid w:val="007020B1"/>
    <w:rsid w:val="007032EC"/>
    <w:rsid w:val="00703695"/>
    <w:rsid w:val="0070381F"/>
    <w:rsid w:val="00704D34"/>
    <w:rsid w:val="007053EC"/>
    <w:rsid w:val="00710AB7"/>
    <w:rsid w:val="00711F59"/>
    <w:rsid w:val="007120DD"/>
    <w:rsid w:val="00713558"/>
    <w:rsid w:val="007138A3"/>
    <w:rsid w:val="00713B70"/>
    <w:rsid w:val="00714451"/>
    <w:rsid w:val="00716C35"/>
    <w:rsid w:val="00717254"/>
    <w:rsid w:val="007174CE"/>
    <w:rsid w:val="007201F4"/>
    <w:rsid w:val="007205A0"/>
    <w:rsid w:val="00721B66"/>
    <w:rsid w:val="00722790"/>
    <w:rsid w:val="00722811"/>
    <w:rsid w:val="00723775"/>
    <w:rsid w:val="00723EA2"/>
    <w:rsid w:val="00724096"/>
    <w:rsid w:val="0072419B"/>
    <w:rsid w:val="00724B71"/>
    <w:rsid w:val="007316F7"/>
    <w:rsid w:val="00731BC7"/>
    <w:rsid w:val="007323D0"/>
    <w:rsid w:val="00733384"/>
    <w:rsid w:val="00733975"/>
    <w:rsid w:val="00734301"/>
    <w:rsid w:val="0073439A"/>
    <w:rsid w:val="0073540B"/>
    <w:rsid w:val="00735D17"/>
    <w:rsid w:val="0073610F"/>
    <w:rsid w:val="00736299"/>
    <w:rsid w:val="00736926"/>
    <w:rsid w:val="007369C3"/>
    <w:rsid w:val="00736AC6"/>
    <w:rsid w:val="007376E6"/>
    <w:rsid w:val="00740081"/>
    <w:rsid w:val="00742BDB"/>
    <w:rsid w:val="00743A59"/>
    <w:rsid w:val="00745301"/>
    <w:rsid w:val="00745B1A"/>
    <w:rsid w:val="00750694"/>
    <w:rsid w:val="007517E5"/>
    <w:rsid w:val="007518C0"/>
    <w:rsid w:val="00752A8C"/>
    <w:rsid w:val="00753146"/>
    <w:rsid w:val="007541DB"/>
    <w:rsid w:val="00756E5F"/>
    <w:rsid w:val="007606A0"/>
    <w:rsid w:val="0076086C"/>
    <w:rsid w:val="00760D62"/>
    <w:rsid w:val="00760EA5"/>
    <w:rsid w:val="007613AE"/>
    <w:rsid w:val="007613D5"/>
    <w:rsid w:val="007614D3"/>
    <w:rsid w:val="0076161C"/>
    <w:rsid w:val="00761AD8"/>
    <w:rsid w:val="00762D7B"/>
    <w:rsid w:val="007635D3"/>
    <w:rsid w:val="0076394A"/>
    <w:rsid w:val="00763CDD"/>
    <w:rsid w:val="00764939"/>
    <w:rsid w:val="00765957"/>
    <w:rsid w:val="00766522"/>
    <w:rsid w:val="00770BFA"/>
    <w:rsid w:val="00771630"/>
    <w:rsid w:val="00771A3C"/>
    <w:rsid w:val="007720CE"/>
    <w:rsid w:val="00772EE5"/>
    <w:rsid w:val="00773820"/>
    <w:rsid w:val="00775380"/>
    <w:rsid w:val="007758FA"/>
    <w:rsid w:val="00776B36"/>
    <w:rsid w:val="00776ECE"/>
    <w:rsid w:val="007774CE"/>
    <w:rsid w:val="00777E92"/>
    <w:rsid w:val="00780843"/>
    <w:rsid w:val="00780A39"/>
    <w:rsid w:val="0078170E"/>
    <w:rsid w:val="007846D3"/>
    <w:rsid w:val="00784B08"/>
    <w:rsid w:val="007854CC"/>
    <w:rsid w:val="0079050A"/>
    <w:rsid w:val="00792867"/>
    <w:rsid w:val="00793519"/>
    <w:rsid w:val="007939FF"/>
    <w:rsid w:val="007944CD"/>
    <w:rsid w:val="00794519"/>
    <w:rsid w:val="007961BC"/>
    <w:rsid w:val="007968D9"/>
    <w:rsid w:val="00796B7A"/>
    <w:rsid w:val="007A00FC"/>
    <w:rsid w:val="007A05CE"/>
    <w:rsid w:val="007A0FB2"/>
    <w:rsid w:val="007A127A"/>
    <w:rsid w:val="007A1E6C"/>
    <w:rsid w:val="007A267E"/>
    <w:rsid w:val="007A304C"/>
    <w:rsid w:val="007A470A"/>
    <w:rsid w:val="007A4B84"/>
    <w:rsid w:val="007A4DEE"/>
    <w:rsid w:val="007A70FA"/>
    <w:rsid w:val="007A74A8"/>
    <w:rsid w:val="007A7DE7"/>
    <w:rsid w:val="007B1318"/>
    <w:rsid w:val="007B147D"/>
    <w:rsid w:val="007B2702"/>
    <w:rsid w:val="007B3084"/>
    <w:rsid w:val="007B37E0"/>
    <w:rsid w:val="007B40BC"/>
    <w:rsid w:val="007B5099"/>
    <w:rsid w:val="007B55BF"/>
    <w:rsid w:val="007B6324"/>
    <w:rsid w:val="007B66D3"/>
    <w:rsid w:val="007B6E69"/>
    <w:rsid w:val="007B79CE"/>
    <w:rsid w:val="007C0C9C"/>
    <w:rsid w:val="007C110C"/>
    <w:rsid w:val="007C1FF7"/>
    <w:rsid w:val="007C2269"/>
    <w:rsid w:val="007C5EB1"/>
    <w:rsid w:val="007C626D"/>
    <w:rsid w:val="007D077B"/>
    <w:rsid w:val="007D1341"/>
    <w:rsid w:val="007D1B4E"/>
    <w:rsid w:val="007D32B5"/>
    <w:rsid w:val="007D3398"/>
    <w:rsid w:val="007D3974"/>
    <w:rsid w:val="007D42F0"/>
    <w:rsid w:val="007D5B36"/>
    <w:rsid w:val="007E0F07"/>
    <w:rsid w:val="007E1189"/>
    <w:rsid w:val="007E262A"/>
    <w:rsid w:val="007E2682"/>
    <w:rsid w:val="007E29FB"/>
    <w:rsid w:val="007E3ABC"/>
    <w:rsid w:val="007E5067"/>
    <w:rsid w:val="007E5B1B"/>
    <w:rsid w:val="007E61FC"/>
    <w:rsid w:val="007F00DE"/>
    <w:rsid w:val="007F03D9"/>
    <w:rsid w:val="007F0550"/>
    <w:rsid w:val="007F2AC1"/>
    <w:rsid w:val="007F572E"/>
    <w:rsid w:val="007F6049"/>
    <w:rsid w:val="007F6EFF"/>
    <w:rsid w:val="007F799F"/>
    <w:rsid w:val="008003FA"/>
    <w:rsid w:val="00800603"/>
    <w:rsid w:val="00800875"/>
    <w:rsid w:val="008011D3"/>
    <w:rsid w:val="00802EA4"/>
    <w:rsid w:val="008039D9"/>
    <w:rsid w:val="00804616"/>
    <w:rsid w:val="0080493A"/>
    <w:rsid w:val="008052A9"/>
    <w:rsid w:val="00805511"/>
    <w:rsid w:val="0080731B"/>
    <w:rsid w:val="0081336F"/>
    <w:rsid w:val="00813E15"/>
    <w:rsid w:val="00814324"/>
    <w:rsid w:val="00814544"/>
    <w:rsid w:val="00814EDA"/>
    <w:rsid w:val="0081616F"/>
    <w:rsid w:val="0081651D"/>
    <w:rsid w:val="0082029E"/>
    <w:rsid w:val="00821B1A"/>
    <w:rsid w:val="00822F77"/>
    <w:rsid w:val="008235DA"/>
    <w:rsid w:val="00824FDA"/>
    <w:rsid w:val="0082514A"/>
    <w:rsid w:val="00825430"/>
    <w:rsid w:val="00825834"/>
    <w:rsid w:val="00826DBE"/>
    <w:rsid w:val="00830530"/>
    <w:rsid w:val="008308A7"/>
    <w:rsid w:val="00830E31"/>
    <w:rsid w:val="00831482"/>
    <w:rsid w:val="008317E3"/>
    <w:rsid w:val="008319DD"/>
    <w:rsid w:val="00833C15"/>
    <w:rsid w:val="008345FB"/>
    <w:rsid w:val="00836893"/>
    <w:rsid w:val="00836915"/>
    <w:rsid w:val="0083778E"/>
    <w:rsid w:val="00840388"/>
    <w:rsid w:val="00840E26"/>
    <w:rsid w:val="00840F23"/>
    <w:rsid w:val="00840FFB"/>
    <w:rsid w:val="00841907"/>
    <w:rsid w:val="00841977"/>
    <w:rsid w:val="00841C00"/>
    <w:rsid w:val="00842846"/>
    <w:rsid w:val="00842EBD"/>
    <w:rsid w:val="00844274"/>
    <w:rsid w:val="00845A4B"/>
    <w:rsid w:val="00845EE8"/>
    <w:rsid w:val="008460F9"/>
    <w:rsid w:val="0084676C"/>
    <w:rsid w:val="00846FF2"/>
    <w:rsid w:val="00847A3E"/>
    <w:rsid w:val="00847BAF"/>
    <w:rsid w:val="00847D4F"/>
    <w:rsid w:val="0085180A"/>
    <w:rsid w:val="008528D8"/>
    <w:rsid w:val="0085383E"/>
    <w:rsid w:val="0085433C"/>
    <w:rsid w:val="00854A87"/>
    <w:rsid w:val="00854B49"/>
    <w:rsid w:val="00854BB0"/>
    <w:rsid w:val="008559DF"/>
    <w:rsid w:val="00856317"/>
    <w:rsid w:val="00856D37"/>
    <w:rsid w:val="00856E1D"/>
    <w:rsid w:val="00857478"/>
    <w:rsid w:val="00857521"/>
    <w:rsid w:val="00857BF4"/>
    <w:rsid w:val="008606EE"/>
    <w:rsid w:val="00860968"/>
    <w:rsid w:val="00860D92"/>
    <w:rsid w:val="00861C9C"/>
    <w:rsid w:val="00862054"/>
    <w:rsid w:val="00862B73"/>
    <w:rsid w:val="00863272"/>
    <w:rsid w:val="008641AE"/>
    <w:rsid w:val="00864A86"/>
    <w:rsid w:val="008656BE"/>
    <w:rsid w:val="008666C5"/>
    <w:rsid w:val="008677F1"/>
    <w:rsid w:val="00867806"/>
    <w:rsid w:val="00867A17"/>
    <w:rsid w:val="00871330"/>
    <w:rsid w:val="0087406C"/>
    <w:rsid w:val="00874136"/>
    <w:rsid w:val="00874DAC"/>
    <w:rsid w:val="008751A5"/>
    <w:rsid w:val="00875BCE"/>
    <w:rsid w:val="008801E8"/>
    <w:rsid w:val="008802C8"/>
    <w:rsid w:val="008831CF"/>
    <w:rsid w:val="00883392"/>
    <w:rsid w:val="00885686"/>
    <w:rsid w:val="008866AD"/>
    <w:rsid w:val="008869A4"/>
    <w:rsid w:val="00886A04"/>
    <w:rsid w:val="008914AA"/>
    <w:rsid w:val="00892972"/>
    <w:rsid w:val="00892EFA"/>
    <w:rsid w:val="00893190"/>
    <w:rsid w:val="008935AC"/>
    <w:rsid w:val="00894279"/>
    <w:rsid w:val="00895B58"/>
    <w:rsid w:val="00895F3D"/>
    <w:rsid w:val="00896F8B"/>
    <w:rsid w:val="00897CB2"/>
    <w:rsid w:val="008A0640"/>
    <w:rsid w:val="008A06CC"/>
    <w:rsid w:val="008A0D38"/>
    <w:rsid w:val="008A2495"/>
    <w:rsid w:val="008A270C"/>
    <w:rsid w:val="008A35A9"/>
    <w:rsid w:val="008A38D8"/>
    <w:rsid w:val="008A4B4B"/>
    <w:rsid w:val="008A5328"/>
    <w:rsid w:val="008A6500"/>
    <w:rsid w:val="008B072C"/>
    <w:rsid w:val="008B2C34"/>
    <w:rsid w:val="008B3C19"/>
    <w:rsid w:val="008B3DFA"/>
    <w:rsid w:val="008B42EE"/>
    <w:rsid w:val="008C1145"/>
    <w:rsid w:val="008C1A44"/>
    <w:rsid w:val="008C1BF4"/>
    <w:rsid w:val="008C2439"/>
    <w:rsid w:val="008C5965"/>
    <w:rsid w:val="008C6443"/>
    <w:rsid w:val="008C7488"/>
    <w:rsid w:val="008D0A0B"/>
    <w:rsid w:val="008D1935"/>
    <w:rsid w:val="008D1EDE"/>
    <w:rsid w:val="008D3404"/>
    <w:rsid w:val="008D36B0"/>
    <w:rsid w:val="008D4459"/>
    <w:rsid w:val="008D4750"/>
    <w:rsid w:val="008D572C"/>
    <w:rsid w:val="008D6DE2"/>
    <w:rsid w:val="008D7E9D"/>
    <w:rsid w:val="008E0527"/>
    <w:rsid w:val="008E0EA6"/>
    <w:rsid w:val="008E17F7"/>
    <w:rsid w:val="008E1A89"/>
    <w:rsid w:val="008E28B4"/>
    <w:rsid w:val="008E5663"/>
    <w:rsid w:val="008E6E3E"/>
    <w:rsid w:val="008E6FEB"/>
    <w:rsid w:val="008F1DA5"/>
    <w:rsid w:val="008F32DA"/>
    <w:rsid w:val="008F3E26"/>
    <w:rsid w:val="008F4069"/>
    <w:rsid w:val="008F5EFD"/>
    <w:rsid w:val="008F6ACB"/>
    <w:rsid w:val="009015BB"/>
    <w:rsid w:val="009019B6"/>
    <w:rsid w:val="0090372A"/>
    <w:rsid w:val="00903EED"/>
    <w:rsid w:val="0090490F"/>
    <w:rsid w:val="00904B88"/>
    <w:rsid w:val="00905B5B"/>
    <w:rsid w:val="009068C8"/>
    <w:rsid w:val="009102F2"/>
    <w:rsid w:val="00910540"/>
    <w:rsid w:val="00910852"/>
    <w:rsid w:val="00911555"/>
    <w:rsid w:val="00911EF8"/>
    <w:rsid w:val="0091200D"/>
    <w:rsid w:val="00912785"/>
    <w:rsid w:val="009130DC"/>
    <w:rsid w:val="00914877"/>
    <w:rsid w:val="00915519"/>
    <w:rsid w:val="00917547"/>
    <w:rsid w:val="00917A5D"/>
    <w:rsid w:val="00920090"/>
    <w:rsid w:val="00920430"/>
    <w:rsid w:val="009209F9"/>
    <w:rsid w:val="0092129C"/>
    <w:rsid w:val="0092328F"/>
    <w:rsid w:val="00924B71"/>
    <w:rsid w:val="00926975"/>
    <w:rsid w:val="00926D99"/>
    <w:rsid w:val="009271EF"/>
    <w:rsid w:val="00930395"/>
    <w:rsid w:val="00930992"/>
    <w:rsid w:val="00931B0A"/>
    <w:rsid w:val="0093229E"/>
    <w:rsid w:val="0093231A"/>
    <w:rsid w:val="009323FD"/>
    <w:rsid w:val="009338B9"/>
    <w:rsid w:val="00933936"/>
    <w:rsid w:val="009347AF"/>
    <w:rsid w:val="00935F64"/>
    <w:rsid w:val="00937097"/>
    <w:rsid w:val="00940307"/>
    <w:rsid w:val="009413F7"/>
    <w:rsid w:val="00942317"/>
    <w:rsid w:val="00944A19"/>
    <w:rsid w:val="00945F1C"/>
    <w:rsid w:val="009500F2"/>
    <w:rsid w:val="00952A3E"/>
    <w:rsid w:val="00952D2F"/>
    <w:rsid w:val="00952F0A"/>
    <w:rsid w:val="00953FA4"/>
    <w:rsid w:val="0095473B"/>
    <w:rsid w:val="00956C5C"/>
    <w:rsid w:val="009579C3"/>
    <w:rsid w:val="0096025F"/>
    <w:rsid w:val="009605C3"/>
    <w:rsid w:val="009610DA"/>
    <w:rsid w:val="00964722"/>
    <w:rsid w:val="009653B5"/>
    <w:rsid w:val="0096609F"/>
    <w:rsid w:val="0096626A"/>
    <w:rsid w:val="0096669E"/>
    <w:rsid w:val="0097166E"/>
    <w:rsid w:val="00971B56"/>
    <w:rsid w:val="00971BB4"/>
    <w:rsid w:val="00971FF3"/>
    <w:rsid w:val="00973190"/>
    <w:rsid w:val="009734EB"/>
    <w:rsid w:val="00974BB7"/>
    <w:rsid w:val="00975109"/>
    <w:rsid w:val="00976E12"/>
    <w:rsid w:val="0098349C"/>
    <w:rsid w:val="00984519"/>
    <w:rsid w:val="009873A7"/>
    <w:rsid w:val="00987BA7"/>
    <w:rsid w:val="009914B1"/>
    <w:rsid w:val="00991998"/>
    <w:rsid w:val="00991CA0"/>
    <w:rsid w:val="00993716"/>
    <w:rsid w:val="00993E3C"/>
    <w:rsid w:val="00995897"/>
    <w:rsid w:val="00995F06"/>
    <w:rsid w:val="00996A18"/>
    <w:rsid w:val="009A00D0"/>
    <w:rsid w:val="009A0F9C"/>
    <w:rsid w:val="009A1918"/>
    <w:rsid w:val="009A1A68"/>
    <w:rsid w:val="009A1D86"/>
    <w:rsid w:val="009A1EED"/>
    <w:rsid w:val="009A28AB"/>
    <w:rsid w:val="009A2CC9"/>
    <w:rsid w:val="009A4118"/>
    <w:rsid w:val="009A4A9E"/>
    <w:rsid w:val="009A64E2"/>
    <w:rsid w:val="009A6782"/>
    <w:rsid w:val="009A680F"/>
    <w:rsid w:val="009A6856"/>
    <w:rsid w:val="009A7EF2"/>
    <w:rsid w:val="009B02DB"/>
    <w:rsid w:val="009B043F"/>
    <w:rsid w:val="009B06C5"/>
    <w:rsid w:val="009B19D0"/>
    <w:rsid w:val="009B36CA"/>
    <w:rsid w:val="009B3C41"/>
    <w:rsid w:val="009B44BB"/>
    <w:rsid w:val="009B5F69"/>
    <w:rsid w:val="009C06CA"/>
    <w:rsid w:val="009C0F32"/>
    <w:rsid w:val="009C1238"/>
    <w:rsid w:val="009C1336"/>
    <w:rsid w:val="009C1D1C"/>
    <w:rsid w:val="009C22EF"/>
    <w:rsid w:val="009C39DC"/>
    <w:rsid w:val="009C3D14"/>
    <w:rsid w:val="009C4DD3"/>
    <w:rsid w:val="009D09C2"/>
    <w:rsid w:val="009D0E72"/>
    <w:rsid w:val="009D18A5"/>
    <w:rsid w:val="009D394B"/>
    <w:rsid w:val="009D48DB"/>
    <w:rsid w:val="009D5626"/>
    <w:rsid w:val="009D6B01"/>
    <w:rsid w:val="009D739A"/>
    <w:rsid w:val="009D7969"/>
    <w:rsid w:val="009E0B37"/>
    <w:rsid w:val="009E0C72"/>
    <w:rsid w:val="009E1C70"/>
    <w:rsid w:val="009E2603"/>
    <w:rsid w:val="009E3555"/>
    <w:rsid w:val="009E4666"/>
    <w:rsid w:val="009E7A57"/>
    <w:rsid w:val="009E7F4E"/>
    <w:rsid w:val="009F01C9"/>
    <w:rsid w:val="009F0A68"/>
    <w:rsid w:val="009F13A3"/>
    <w:rsid w:val="009F22DF"/>
    <w:rsid w:val="009F2511"/>
    <w:rsid w:val="009F2BFB"/>
    <w:rsid w:val="009F4263"/>
    <w:rsid w:val="009F5052"/>
    <w:rsid w:val="009F5935"/>
    <w:rsid w:val="009F77E3"/>
    <w:rsid w:val="00A01238"/>
    <w:rsid w:val="00A020E5"/>
    <w:rsid w:val="00A02263"/>
    <w:rsid w:val="00A0317C"/>
    <w:rsid w:val="00A03628"/>
    <w:rsid w:val="00A06A10"/>
    <w:rsid w:val="00A0767E"/>
    <w:rsid w:val="00A07B47"/>
    <w:rsid w:val="00A07C9A"/>
    <w:rsid w:val="00A102C9"/>
    <w:rsid w:val="00A104CF"/>
    <w:rsid w:val="00A11048"/>
    <w:rsid w:val="00A1295D"/>
    <w:rsid w:val="00A12D32"/>
    <w:rsid w:val="00A1383F"/>
    <w:rsid w:val="00A13B94"/>
    <w:rsid w:val="00A14EAB"/>
    <w:rsid w:val="00A15585"/>
    <w:rsid w:val="00A1760E"/>
    <w:rsid w:val="00A176D6"/>
    <w:rsid w:val="00A1770A"/>
    <w:rsid w:val="00A17A4F"/>
    <w:rsid w:val="00A211AE"/>
    <w:rsid w:val="00A21F07"/>
    <w:rsid w:val="00A22452"/>
    <w:rsid w:val="00A22783"/>
    <w:rsid w:val="00A24702"/>
    <w:rsid w:val="00A24A53"/>
    <w:rsid w:val="00A26B5B"/>
    <w:rsid w:val="00A271C6"/>
    <w:rsid w:val="00A31148"/>
    <w:rsid w:val="00A31897"/>
    <w:rsid w:val="00A31C55"/>
    <w:rsid w:val="00A3343A"/>
    <w:rsid w:val="00A33CFB"/>
    <w:rsid w:val="00A341BC"/>
    <w:rsid w:val="00A34988"/>
    <w:rsid w:val="00A34AE9"/>
    <w:rsid w:val="00A3521A"/>
    <w:rsid w:val="00A37C4C"/>
    <w:rsid w:val="00A40487"/>
    <w:rsid w:val="00A42738"/>
    <w:rsid w:val="00A43444"/>
    <w:rsid w:val="00A43967"/>
    <w:rsid w:val="00A45DB5"/>
    <w:rsid w:val="00A46205"/>
    <w:rsid w:val="00A4760B"/>
    <w:rsid w:val="00A47917"/>
    <w:rsid w:val="00A47C79"/>
    <w:rsid w:val="00A50D5D"/>
    <w:rsid w:val="00A51969"/>
    <w:rsid w:val="00A52141"/>
    <w:rsid w:val="00A5241A"/>
    <w:rsid w:val="00A52A7A"/>
    <w:rsid w:val="00A536DC"/>
    <w:rsid w:val="00A53D75"/>
    <w:rsid w:val="00A54DE9"/>
    <w:rsid w:val="00A55E63"/>
    <w:rsid w:val="00A56E93"/>
    <w:rsid w:val="00A574EE"/>
    <w:rsid w:val="00A57858"/>
    <w:rsid w:val="00A57EAD"/>
    <w:rsid w:val="00A61B1A"/>
    <w:rsid w:val="00A62470"/>
    <w:rsid w:val="00A67452"/>
    <w:rsid w:val="00A709D6"/>
    <w:rsid w:val="00A718BC"/>
    <w:rsid w:val="00A726F4"/>
    <w:rsid w:val="00A726F5"/>
    <w:rsid w:val="00A72A92"/>
    <w:rsid w:val="00A72BE2"/>
    <w:rsid w:val="00A73A95"/>
    <w:rsid w:val="00A74920"/>
    <w:rsid w:val="00A74FB6"/>
    <w:rsid w:val="00A752A1"/>
    <w:rsid w:val="00A7536E"/>
    <w:rsid w:val="00A7787F"/>
    <w:rsid w:val="00A802CB"/>
    <w:rsid w:val="00A811C7"/>
    <w:rsid w:val="00A812EC"/>
    <w:rsid w:val="00A824D1"/>
    <w:rsid w:val="00A83314"/>
    <w:rsid w:val="00A864A3"/>
    <w:rsid w:val="00A86FF3"/>
    <w:rsid w:val="00A87239"/>
    <w:rsid w:val="00A9083B"/>
    <w:rsid w:val="00A91186"/>
    <w:rsid w:val="00A91AE4"/>
    <w:rsid w:val="00A922A2"/>
    <w:rsid w:val="00A92DDB"/>
    <w:rsid w:val="00A93319"/>
    <w:rsid w:val="00A9434D"/>
    <w:rsid w:val="00A9461B"/>
    <w:rsid w:val="00A94E0C"/>
    <w:rsid w:val="00A95D8F"/>
    <w:rsid w:val="00A9670B"/>
    <w:rsid w:val="00A97B37"/>
    <w:rsid w:val="00AA26D5"/>
    <w:rsid w:val="00AA2CBB"/>
    <w:rsid w:val="00AA2D58"/>
    <w:rsid w:val="00AA3121"/>
    <w:rsid w:val="00AA3606"/>
    <w:rsid w:val="00AA3A83"/>
    <w:rsid w:val="00AA590C"/>
    <w:rsid w:val="00AA5B46"/>
    <w:rsid w:val="00AA632D"/>
    <w:rsid w:val="00AA6ABB"/>
    <w:rsid w:val="00AB07EB"/>
    <w:rsid w:val="00AB1090"/>
    <w:rsid w:val="00AB10A0"/>
    <w:rsid w:val="00AB1E19"/>
    <w:rsid w:val="00AB34FE"/>
    <w:rsid w:val="00AB3673"/>
    <w:rsid w:val="00AB4333"/>
    <w:rsid w:val="00AB4505"/>
    <w:rsid w:val="00AB4739"/>
    <w:rsid w:val="00AB4AA4"/>
    <w:rsid w:val="00AB4ED5"/>
    <w:rsid w:val="00AB521B"/>
    <w:rsid w:val="00AB59D4"/>
    <w:rsid w:val="00AB6C25"/>
    <w:rsid w:val="00AB7EB4"/>
    <w:rsid w:val="00AC0D0C"/>
    <w:rsid w:val="00AC1589"/>
    <w:rsid w:val="00AC211E"/>
    <w:rsid w:val="00AC2C2A"/>
    <w:rsid w:val="00AC483F"/>
    <w:rsid w:val="00AC55F3"/>
    <w:rsid w:val="00AC7692"/>
    <w:rsid w:val="00AD131D"/>
    <w:rsid w:val="00AD216C"/>
    <w:rsid w:val="00AD335A"/>
    <w:rsid w:val="00AD3FDF"/>
    <w:rsid w:val="00AD4D3D"/>
    <w:rsid w:val="00AD5080"/>
    <w:rsid w:val="00AD54CE"/>
    <w:rsid w:val="00AD5646"/>
    <w:rsid w:val="00AD57DA"/>
    <w:rsid w:val="00AD6231"/>
    <w:rsid w:val="00AD786F"/>
    <w:rsid w:val="00AD7A58"/>
    <w:rsid w:val="00AE12E7"/>
    <w:rsid w:val="00AE25FE"/>
    <w:rsid w:val="00AE2CB8"/>
    <w:rsid w:val="00AE3178"/>
    <w:rsid w:val="00AE3221"/>
    <w:rsid w:val="00AE5CF5"/>
    <w:rsid w:val="00AE69DD"/>
    <w:rsid w:val="00AF0FF9"/>
    <w:rsid w:val="00AF1781"/>
    <w:rsid w:val="00AF1873"/>
    <w:rsid w:val="00AF20F2"/>
    <w:rsid w:val="00AF256C"/>
    <w:rsid w:val="00AF2FF7"/>
    <w:rsid w:val="00AF3C5A"/>
    <w:rsid w:val="00AF456A"/>
    <w:rsid w:val="00AF6F88"/>
    <w:rsid w:val="00B002F3"/>
    <w:rsid w:val="00B009EE"/>
    <w:rsid w:val="00B00D2D"/>
    <w:rsid w:val="00B01080"/>
    <w:rsid w:val="00B01CFD"/>
    <w:rsid w:val="00B0213B"/>
    <w:rsid w:val="00B02D22"/>
    <w:rsid w:val="00B030AB"/>
    <w:rsid w:val="00B0322E"/>
    <w:rsid w:val="00B03BDA"/>
    <w:rsid w:val="00B04340"/>
    <w:rsid w:val="00B05236"/>
    <w:rsid w:val="00B05E46"/>
    <w:rsid w:val="00B07F09"/>
    <w:rsid w:val="00B10A39"/>
    <w:rsid w:val="00B11600"/>
    <w:rsid w:val="00B11B7E"/>
    <w:rsid w:val="00B11C1C"/>
    <w:rsid w:val="00B12A38"/>
    <w:rsid w:val="00B13745"/>
    <w:rsid w:val="00B13E4C"/>
    <w:rsid w:val="00B1527B"/>
    <w:rsid w:val="00B1540A"/>
    <w:rsid w:val="00B15A25"/>
    <w:rsid w:val="00B17068"/>
    <w:rsid w:val="00B1757E"/>
    <w:rsid w:val="00B2029B"/>
    <w:rsid w:val="00B210F5"/>
    <w:rsid w:val="00B21249"/>
    <w:rsid w:val="00B21B8B"/>
    <w:rsid w:val="00B223EF"/>
    <w:rsid w:val="00B25D23"/>
    <w:rsid w:val="00B26077"/>
    <w:rsid w:val="00B26B2B"/>
    <w:rsid w:val="00B30214"/>
    <w:rsid w:val="00B313E6"/>
    <w:rsid w:val="00B316D3"/>
    <w:rsid w:val="00B31FBE"/>
    <w:rsid w:val="00B37F35"/>
    <w:rsid w:val="00B40A51"/>
    <w:rsid w:val="00B41731"/>
    <w:rsid w:val="00B42D46"/>
    <w:rsid w:val="00B44EF9"/>
    <w:rsid w:val="00B4799B"/>
    <w:rsid w:val="00B527BE"/>
    <w:rsid w:val="00B53041"/>
    <w:rsid w:val="00B53F22"/>
    <w:rsid w:val="00B53F2D"/>
    <w:rsid w:val="00B54362"/>
    <w:rsid w:val="00B54A30"/>
    <w:rsid w:val="00B55BFA"/>
    <w:rsid w:val="00B55C76"/>
    <w:rsid w:val="00B55CEB"/>
    <w:rsid w:val="00B564C9"/>
    <w:rsid w:val="00B56877"/>
    <w:rsid w:val="00B56A78"/>
    <w:rsid w:val="00B56B43"/>
    <w:rsid w:val="00B605C7"/>
    <w:rsid w:val="00B61614"/>
    <w:rsid w:val="00B6239E"/>
    <w:rsid w:val="00B62623"/>
    <w:rsid w:val="00B64A24"/>
    <w:rsid w:val="00B64B00"/>
    <w:rsid w:val="00B64E38"/>
    <w:rsid w:val="00B65235"/>
    <w:rsid w:val="00B6588C"/>
    <w:rsid w:val="00B66D5D"/>
    <w:rsid w:val="00B66F18"/>
    <w:rsid w:val="00B66F77"/>
    <w:rsid w:val="00B671E7"/>
    <w:rsid w:val="00B67479"/>
    <w:rsid w:val="00B679E6"/>
    <w:rsid w:val="00B70479"/>
    <w:rsid w:val="00B705D4"/>
    <w:rsid w:val="00B70D94"/>
    <w:rsid w:val="00B726CC"/>
    <w:rsid w:val="00B72CA0"/>
    <w:rsid w:val="00B73A60"/>
    <w:rsid w:val="00B75DCA"/>
    <w:rsid w:val="00B80F66"/>
    <w:rsid w:val="00B81EE3"/>
    <w:rsid w:val="00B8281A"/>
    <w:rsid w:val="00B82906"/>
    <w:rsid w:val="00B83092"/>
    <w:rsid w:val="00B8315D"/>
    <w:rsid w:val="00B83A9B"/>
    <w:rsid w:val="00B86684"/>
    <w:rsid w:val="00B90140"/>
    <w:rsid w:val="00B92E67"/>
    <w:rsid w:val="00B93C32"/>
    <w:rsid w:val="00B96C8F"/>
    <w:rsid w:val="00B96D59"/>
    <w:rsid w:val="00B97BF8"/>
    <w:rsid w:val="00BA349D"/>
    <w:rsid w:val="00BA3692"/>
    <w:rsid w:val="00BA49E3"/>
    <w:rsid w:val="00BA4DBC"/>
    <w:rsid w:val="00BA5DA5"/>
    <w:rsid w:val="00BA64BB"/>
    <w:rsid w:val="00BA64D2"/>
    <w:rsid w:val="00BA67DE"/>
    <w:rsid w:val="00BB0DE1"/>
    <w:rsid w:val="00BB3D38"/>
    <w:rsid w:val="00BB4399"/>
    <w:rsid w:val="00BB5345"/>
    <w:rsid w:val="00BB53BD"/>
    <w:rsid w:val="00BB5830"/>
    <w:rsid w:val="00BB5A0E"/>
    <w:rsid w:val="00BB7A64"/>
    <w:rsid w:val="00BB7D9A"/>
    <w:rsid w:val="00BC07C3"/>
    <w:rsid w:val="00BC1628"/>
    <w:rsid w:val="00BC21C8"/>
    <w:rsid w:val="00BC25F9"/>
    <w:rsid w:val="00BC2FF9"/>
    <w:rsid w:val="00BC3AF9"/>
    <w:rsid w:val="00BC4060"/>
    <w:rsid w:val="00BC40C8"/>
    <w:rsid w:val="00BC64A0"/>
    <w:rsid w:val="00BC6BF2"/>
    <w:rsid w:val="00BC7CEF"/>
    <w:rsid w:val="00BD047A"/>
    <w:rsid w:val="00BD1147"/>
    <w:rsid w:val="00BD23FF"/>
    <w:rsid w:val="00BD3947"/>
    <w:rsid w:val="00BD4038"/>
    <w:rsid w:val="00BD4221"/>
    <w:rsid w:val="00BD459D"/>
    <w:rsid w:val="00BD4F94"/>
    <w:rsid w:val="00BD63E3"/>
    <w:rsid w:val="00BD6A86"/>
    <w:rsid w:val="00BE05DB"/>
    <w:rsid w:val="00BE0EC7"/>
    <w:rsid w:val="00BE0F04"/>
    <w:rsid w:val="00BE118D"/>
    <w:rsid w:val="00BE1486"/>
    <w:rsid w:val="00BE189E"/>
    <w:rsid w:val="00BE1A2E"/>
    <w:rsid w:val="00BE24ED"/>
    <w:rsid w:val="00BE32F1"/>
    <w:rsid w:val="00BE33BA"/>
    <w:rsid w:val="00BE47B0"/>
    <w:rsid w:val="00BE665D"/>
    <w:rsid w:val="00BF0422"/>
    <w:rsid w:val="00BF4E39"/>
    <w:rsid w:val="00BF5031"/>
    <w:rsid w:val="00BF6134"/>
    <w:rsid w:val="00BF69EC"/>
    <w:rsid w:val="00BF6AA2"/>
    <w:rsid w:val="00BF6CB6"/>
    <w:rsid w:val="00BF6E17"/>
    <w:rsid w:val="00BF71F3"/>
    <w:rsid w:val="00BF76C0"/>
    <w:rsid w:val="00BF780B"/>
    <w:rsid w:val="00BF7EB4"/>
    <w:rsid w:val="00C0039B"/>
    <w:rsid w:val="00C00D96"/>
    <w:rsid w:val="00C017E9"/>
    <w:rsid w:val="00C036DB"/>
    <w:rsid w:val="00C04106"/>
    <w:rsid w:val="00C04A08"/>
    <w:rsid w:val="00C054F8"/>
    <w:rsid w:val="00C056BB"/>
    <w:rsid w:val="00C06218"/>
    <w:rsid w:val="00C0665C"/>
    <w:rsid w:val="00C071EA"/>
    <w:rsid w:val="00C11249"/>
    <w:rsid w:val="00C13866"/>
    <w:rsid w:val="00C1403F"/>
    <w:rsid w:val="00C1542B"/>
    <w:rsid w:val="00C1552D"/>
    <w:rsid w:val="00C16244"/>
    <w:rsid w:val="00C173BD"/>
    <w:rsid w:val="00C2067A"/>
    <w:rsid w:val="00C213BA"/>
    <w:rsid w:val="00C23353"/>
    <w:rsid w:val="00C24D87"/>
    <w:rsid w:val="00C26081"/>
    <w:rsid w:val="00C26197"/>
    <w:rsid w:val="00C27D36"/>
    <w:rsid w:val="00C305E8"/>
    <w:rsid w:val="00C30B82"/>
    <w:rsid w:val="00C30F5D"/>
    <w:rsid w:val="00C315D1"/>
    <w:rsid w:val="00C31C14"/>
    <w:rsid w:val="00C325D1"/>
    <w:rsid w:val="00C33A02"/>
    <w:rsid w:val="00C343D1"/>
    <w:rsid w:val="00C3472B"/>
    <w:rsid w:val="00C35923"/>
    <w:rsid w:val="00C36113"/>
    <w:rsid w:val="00C36FE9"/>
    <w:rsid w:val="00C37B29"/>
    <w:rsid w:val="00C37E0B"/>
    <w:rsid w:val="00C4037E"/>
    <w:rsid w:val="00C403F2"/>
    <w:rsid w:val="00C40562"/>
    <w:rsid w:val="00C409A7"/>
    <w:rsid w:val="00C412D3"/>
    <w:rsid w:val="00C43946"/>
    <w:rsid w:val="00C44284"/>
    <w:rsid w:val="00C447DE"/>
    <w:rsid w:val="00C45369"/>
    <w:rsid w:val="00C4555E"/>
    <w:rsid w:val="00C47440"/>
    <w:rsid w:val="00C50B0D"/>
    <w:rsid w:val="00C50C9B"/>
    <w:rsid w:val="00C51CE9"/>
    <w:rsid w:val="00C51CEC"/>
    <w:rsid w:val="00C52DD5"/>
    <w:rsid w:val="00C534C3"/>
    <w:rsid w:val="00C5354F"/>
    <w:rsid w:val="00C53B10"/>
    <w:rsid w:val="00C55452"/>
    <w:rsid w:val="00C55A90"/>
    <w:rsid w:val="00C55DE4"/>
    <w:rsid w:val="00C5659C"/>
    <w:rsid w:val="00C61A29"/>
    <w:rsid w:val="00C62B31"/>
    <w:rsid w:val="00C63C34"/>
    <w:rsid w:val="00C63CEA"/>
    <w:rsid w:val="00C64E52"/>
    <w:rsid w:val="00C65B9C"/>
    <w:rsid w:val="00C66218"/>
    <w:rsid w:val="00C66DA3"/>
    <w:rsid w:val="00C67134"/>
    <w:rsid w:val="00C67D92"/>
    <w:rsid w:val="00C700F7"/>
    <w:rsid w:val="00C70EA2"/>
    <w:rsid w:val="00C71701"/>
    <w:rsid w:val="00C7173F"/>
    <w:rsid w:val="00C71B4F"/>
    <w:rsid w:val="00C731A4"/>
    <w:rsid w:val="00C73CDD"/>
    <w:rsid w:val="00C740A8"/>
    <w:rsid w:val="00C74A67"/>
    <w:rsid w:val="00C74C3D"/>
    <w:rsid w:val="00C75EA5"/>
    <w:rsid w:val="00C7746E"/>
    <w:rsid w:val="00C8055B"/>
    <w:rsid w:val="00C80B27"/>
    <w:rsid w:val="00C81E4B"/>
    <w:rsid w:val="00C8205B"/>
    <w:rsid w:val="00C830E8"/>
    <w:rsid w:val="00C83A8B"/>
    <w:rsid w:val="00C84421"/>
    <w:rsid w:val="00C84729"/>
    <w:rsid w:val="00C860A8"/>
    <w:rsid w:val="00C8616F"/>
    <w:rsid w:val="00C86EAF"/>
    <w:rsid w:val="00C878DF"/>
    <w:rsid w:val="00C87C43"/>
    <w:rsid w:val="00C87CC7"/>
    <w:rsid w:val="00C87FA7"/>
    <w:rsid w:val="00C91729"/>
    <w:rsid w:val="00C9182F"/>
    <w:rsid w:val="00C929DE"/>
    <w:rsid w:val="00C93E84"/>
    <w:rsid w:val="00C95012"/>
    <w:rsid w:val="00C964DD"/>
    <w:rsid w:val="00C96ACD"/>
    <w:rsid w:val="00C96C7A"/>
    <w:rsid w:val="00C9796B"/>
    <w:rsid w:val="00CA0000"/>
    <w:rsid w:val="00CA2602"/>
    <w:rsid w:val="00CA284A"/>
    <w:rsid w:val="00CA29EA"/>
    <w:rsid w:val="00CA311F"/>
    <w:rsid w:val="00CA316B"/>
    <w:rsid w:val="00CA390F"/>
    <w:rsid w:val="00CA4835"/>
    <w:rsid w:val="00CA51DC"/>
    <w:rsid w:val="00CA53BF"/>
    <w:rsid w:val="00CA5775"/>
    <w:rsid w:val="00CA57FA"/>
    <w:rsid w:val="00CA676D"/>
    <w:rsid w:val="00CA682C"/>
    <w:rsid w:val="00CA785B"/>
    <w:rsid w:val="00CB0662"/>
    <w:rsid w:val="00CB0958"/>
    <w:rsid w:val="00CB0DDD"/>
    <w:rsid w:val="00CB13ED"/>
    <w:rsid w:val="00CB1DBA"/>
    <w:rsid w:val="00CB39FC"/>
    <w:rsid w:val="00CB5915"/>
    <w:rsid w:val="00CB6551"/>
    <w:rsid w:val="00CB6A23"/>
    <w:rsid w:val="00CB6F60"/>
    <w:rsid w:val="00CB7A74"/>
    <w:rsid w:val="00CB7C6D"/>
    <w:rsid w:val="00CC0154"/>
    <w:rsid w:val="00CC0E80"/>
    <w:rsid w:val="00CC16B3"/>
    <w:rsid w:val="00CC26E2"/>
    <w:rsid w:val="00CC31A9"/>
    <w:rsid w:val="00CC32AC"/>
    <w:rsid w:val="00CC40C2"/>
    <w:rsid w:val="00CC4CFC"/>
    <w:rsid w:val="00CC76FC"/>
    <w:rsid w:val="00CD0078"/>
    <w:rsid w:val="00CD1133"/>
    <w:rsid w:val="00CD1810"/>
    <w:rsid w:val="00CD2136"/>
    <w:rsid w:val="00CD2380"/>
    <w:rsid w:val="00CD259D"/>
    <w:rsid w:val="00CD26B1"/>
    <w:rsid w:val="00CD29AF"/>
    <w:rsid w:val="00CD30CC"/>
    <w:rsid w:val="00CD3A78"/>
    <w:rsid w:val="00CD3AE7"/>
    <w:rsid w:val="00CD49A6"/>
    <w:rsid w:val="00CD595A"/>
    <w:rsid w:val="00CD6083"/>
    <w:rsid w:val="00CD60AC"/>
    <w:rsid w:val="00CD60C2"/>
    <w:rsid w:val="00CD61C4"/>
    <w:rsid w:val="00CD6F9C"/>
    <w:rsid w:val="00CD7168"/>
    <w:rsid w:val="00CD71FD"/>
    <w:rsid w:val="00CD7269"/>
    <w:rsid w:val="00CD79A9"/>
    <w:rsid w:val="00CE0FEB"/>
    <w:rsid w:val="00CE2AE3"/>
    <w:rsid w:val="00CE38F1"/>
    <w:rsid w:val="00CE394C"/>
    <w:rsid w:val="00CE3EED"/>
    <w:rsid w:val="00CE4D83"/>
    <w:rsid w:val="00CE524D"/>
    <w:rsid w:val="00CE6421"/>
    <w:rsid w:val="00CE648E"/>
    <w:rsid w:val="00CF06A3"/>
    <w:rsid w:val="00CF27B4"/>
    <w:rsid w:val="00CF30FA"/>
    <w:rsid w:val="00CF3BCC"/>
    <w:rsid w:val="00CF462A"/>
    <w:rsid w:val="00CF488E"/>
    <w:rsid w:val="00CF58C6"/>
    <w:rsid w:val="00CF7428"/>
    <w:rsid w:val="00CF7579"/>
    <w:rsid w:val="00CF7831"/>
    <w:rsid w:val="00D012EC"/>
    <w:rsid w:val="00D01B43"/>
    <w:rsid w:val="00D01FC7"/>
    <w:rsid w:val="00D0279B"/>
    <w:rsid w:val="00D02FBA"/>
    <w:rsid w:val="00D0351F"/>
    <w:rsid w:val="00D03995"/>
    <w:rsid w:val="00D04A03"/>
    <w:rsid w:val="00D06127"/>
    <w:rsid w:val="00D066D4"/>
    <w:rsid w:val="00D074DC"/>
    <w:rsid w:val="00D1090A"/>
    <w:rsid w:val="00D10CEA"/>
    <w:rsid w:val="00D13012"/>
    <w:rsid w:val="00D1384A"/>
    <w:rsid w:val="00D138EF"/>
    <w:rsid w:val="00D1500E"/>
    <w:rsid w:val="00D1580D"/>
    <w:rsid w:val="00D15AD0"/>
    <w:rsid w:val="00D166F9"/>
    <w:rsid w:val="00D167A6"/>
    <w:rsid w:val="00D16C42"/>
    <w:rsid w:val="00D172C3"/>
    <w:rsid w:val="00D17AAF"/>
    <w:rsid w:val="00D20C12"/>
    <w:rsid w:val="00D21257"/>
    <w:rsid w:val="00D22D40"/>
    <w:rsid w:val="00D24E32"/>
    <w:rsid w:val="00D265DB"/>
    <w:rsid w:val="00D270B9"/>
    <w:rsid w:val="00D27D43"/>
    <w:rsid w:val="00D31958"/>
    <w:rsid w:val="00D32923"/>
    <w:rsid w:val="00D33EF4"/>
    <w:rsid w:val="00D34F68"/>
    <w:rsid w:val="00D35C44"/>
    <w:rsid w:val="00D36E7E"/>
    <w:rsid w:val="00D37211"/>
    <w:rsid w:val="00D37D61"/>
    <w:rsid w:val="00D40121"/>
    <w:rsid w:val="00D4062B"/>
    <w:rsid w:val="00D40C3C"/>
    <w:rsid w:val="00D41F35"/>
    <w:rsid w:val="00D426F5"/>
    <w:rsid w:val="00D44AE5"/>
    <w:rsid w:val="00D44CDF"/>
    <w:rsid w:val="00D450C8"/>
    <w:rsid w:val="00D45408"/>
    <w:rsid w:val="00D45DA5"/>
    <w:rsid w:val="00D4619B"/>
    <w:rsid w:val="00D4633A"/>
    <w:rsid w:val="00D46979"/>
    <w:rsid w:val="00D47F93"/>
    <w:rsid w:val="00D521D7"/>
    <w:rsid w:val="00D52241"/>
    <w:rsid w:val="00D52815"/>
    <w:rsid w:val="00D52EFE"/>
    <w:rsid w:val="00D53C38"/>
    <w:rsid w:val="00D5429A"/>
    <w:rsid w:val="00D56A65"/>
    <w:rsid w:val="00D579E4"/>
    <w:rsid w:val="00D605B1"/>
    <w:rsid w:val="00D606C7"/>
    <w:rsid w:val="00D607BD"/>
    <w:rsid w:val="00D61841"/>
    <w:rsid w:val="00D61CEA"/>
    <w:rsid w:val="00D62657"/>
    <w:rsid w:val="00D62822"/>
    <w:rsid w:val="00D6294A"/>
    <w:rsid w:val="00D62A3D"/>
    <w:rsid w:val="00D62DBA"/>
    <w:rsid w:val="00D63EE7"/>
    <w:rsid w:val="00D64AC0"/>
    <w:rsid w:val="00D64CD7"/>
    <w:rsid w:val="00D6523F"/>
    <w:rsid w:val="00D657B9"/>
    <w:rsid w:val="00D6672E"/>
    <w:rsid w:val="00D704B7"/>
    <w:rsid w:val="00D71891"/>
    <w:rsid w:val="00D72490"/>
    <w:rsid w:val="00D72FCD"/>
    <w:rsid w:val="00D7481B"/>
    <w:rsid w:val="00D74AFD"/>
    <w:rsid w:val="00D770DC"/>
    <w:rsid w:val="00D81CF0"/>
    <w:rsid w:val="00D83317"/>
    <w:rsid w:val="00D83985"/>
    <w:rsid w:val="00D839C9"/>
    <w:rsid w:val="00D84481"/>
    <w:rsid w:val="00D84572"/>
    <w:rsid w:val="00D847E1"/>
    <w:rsid w:val="00D84905"/>
    <w:rsid w:val="00D84BE9"/>
    <w:rsid w:val="00D851A9"/>
    <w:rsid w:val="00D85388"/>
    <w:rsid w:val="00D856E8"/>
    <w:rsid w:val="00D87506"/>
    <w:rsid w:val="00D8774D"/>
    <w:rsid w:val="00D87770"/>
    <w:rsid w:val="00D878DA"/>
    <w:rsid w:val="00D87FE0"/>
    <w:rsid w:val="00D90821"/>
    <w:rsid w:val="00D91838"/>
    <w:rsid w:val="00D924D7"/>
    <w:rsid w:val="00D9279A"/>
    <w:rsid w:val="00D93B59"/>
    <w:rsid w:val="00D93F9F"/>
    <w:rsid w:val="00D974BF"/>
    <w:rsid w:val="00D97F2F"/>
    <w:rsid w:val="00DA2312"/>
    <w:rsid w:val="00DA25C3"/>
    <w:rsid w:val="00DA38C0"/>
    <w:rsid w:val="00DA4D67"/>
    <w:rsid w:val="00DA51A3"/>
    <w:rsid w:val="00DA609D"/>
    <w:rsid w:val="00DA6234"/>
    <w:rsid w:val="00DB27C4"/>
    <w:rsid w:val="00DB2ED6"/>
    <w:rsid w:val="00DB30F2"/>
    <w:rsid w:val="00DB3384"/>
    <w:rsid w:val="00DB400F"/>
    <w:rsid w:val="00DB4343"/>
    <w:rsid w:val="00DB53AA"/>
    <w:rsid w:val="00DB70F5"/>
    <w:rsid w:val="00DB78CE"/>
    <w:rsid w:val="00DB79C0"/>
    <w:rsid w:val="00DC0352"/>
    <w:rsid w:val="00DC2057"/>
    <w:rsid w:val="00DC2112"/>
    <w:rsid w:val="00DC27C3"/>
    <w:rsid w:val="00DC29A6"/>
    <w:rsid w:val="00DC3B19"/>
    <w:rsid w:val="00DC3CD1"/>
    <w:rsid w:val="00DC4036"/>
    <w:rsid w:val="00DC4B44"/>
    <w:rsid w:val="00DC5362"/>
    <w:rsid w:val="00DC5611"/>
    <w:rsid w:val="00DC5770"/>
    <w:rsid w:val="00DC694A"/>
    <w:rsid w:val="00DD02C2"/>
    <w:rsid w:val="00DD095F"/>
    <w:rsid w:val="00DD10FE"/>
    <w:rsid w:val="00DD134A"/>
    <w:rsid w:val="00DD1B63"/>
    <w:rsid w:val="00DD2CF1"/>
    <w:rsid w:val="00DD334C"/>
    <w:rsid w:val="00DD4616"/>
    <w:rsid w:val="00DD4651"/>
    <w:rsid w:val="00DD4666"/>
    <w:rsid w:val="00DD5831"/>
    <w:rsid w:val="00DD5EEA"/>
    <w:rsid w:val="00DD6E19"/>
    <w:rsid w:val="00DD77BA"/>
    <w:rsid w:val="00DD77F6"/>
    <w:rsid w:val="00DE0304"/>
    <w:rsid w:val="00DE06DF"/>
    <w:rsid w:val="00DE1AB5"/>
    <w:rsid w:val="00DE2038"/>
    <w:rsid w:val="00DE386E"/>
    <w:rsid w:val="00DE3B33"/>
    <w:rsid w:val="00DE4333"/>
    <w:rsid w:val="00DE4502"/>
    <w:rsid w:val="00DE51DB"/>
    <w:rsid w:val="00DE5853"/>
    <w:rsid w:val="00DE6926"/>
    <w:rsid w:val="00DF0E01"/>
    <w:rsid w:val="00DF1260"/>
    <w:rsid w:val="00DF188F"/>
    <w:rsid w:val="00DF374C"/>
    <w:rsid w:val="00DF6E97"/>
    <w:rsid w:val="00DF77AE"/>
    <w:rsid w:val="00DF7F2B"/>
    <w:rsid w:val="00E027C2"/>
    <w:rsid w:val="00E03104"/>
    <w:rsid w:val="00E03234"/>
    <w:rsid w:val="00E03DC7"/>
    <w:rsid w:val="00E056EE"/>
    <w:rsid w:val="00E05F0B"/>
    <w:rsid w:val="00E06417"/>
    <w:rsid w:val="00E074A7"/>
    <w:rsid w:val="00E0797A"/>
    <w:rsid w:val="00E07DD7"/>
    <w:rsid w:val="00E104E9"/>
    <w:rsid w:val="00E11264"/>
    <w:rsid w:val="00E11955"/>
    <w:rsid w:val="00E11EB3"/>
    <w:rsid w:val="00E12DA7"/>
    <w:rsid w:val="00E13B64"/>
    <w:rsid w:val="00E13DB8"/>
    <w:rsid w:val="00E15D4F"/>
    <w:rsid w:val="00E15FFA"/>
    <w:rsid w:val="00E16156"/>
    <w:rsid w:val="00E173E9"/>
    <w:rsid w:val="00E179CF"/>
    <w:rsid w:val="00E17FC8"/>
    <w:rsid w:val="00E20438"/>
    <w:rsid w:val="00E233AD"/>
    <w:rsid w:val="00E23963"/>
    <w:rsid w:val="00E23B2C"/>
    <w:rsid w:val="00E23CBD"/>
    <w:rsid w:val="00E25107"/>
    <w:rsid w:val="00E259FD"/>
    <w:rsid w:val="00E25C3E"/>
    <w:rsid w:val="00E26D33"/>
    <w:rsid w:val="00E334D4"/>
    <w:rsid w:val="00E33B17"/>
    <w:rsid w:val="00E33B63"/>
    <w:rsid w:val="00E34227"/>
    <w:rsid w:val="00E34695"/>
    <w:rsid w:val="00E421AA"/>
    <w:rsid w:val="00E43AD8"/>
    <w:rsid w:val="00E43DA9"/>
    <w:rsid w:val="00E43EA9"/>
    <w:rsid w:val="00E44756"/>
    <w:rsid w:val="00E44A34"/>
    <w:rsid w:val="00E45765"/>
    <w:rsid w:val="00E47E7F"/>
    <w:rsid w:val="00E47EC8"/>
    <w:rsid w:val="00E50256"/>
    <w:rsid w:val="00E50CAD"/>
    <w:rsid w:val="00E50E19"/>
    <w:rsid w:val="00E5184F"/>
    <w:rsid w:val="00E52267"/>
    <w:rsid w:val="00E52268"/>
    <w:rsid w:val="00E524AE"/>
    <w:rsid w:val="00E52B01"/>
    <w:rsid w:val="00E53008"/>
    <w:rsid w:val="00E53312"/>
    <w:rsid w:val="00E534EA"/>
    <w:rsid w:val="00E5629C"/>
    <w:rsid w:val="00E56B2E"/>
    <w:rsid w:val="00E57596"/>
    <w:rsid w:val="00E61219"/>
    <w:rsid w:val="00E6173A"/>
    <w:rsid w:val="00E61A15"/>
    <w:rsid w:val="00E61D3A"/>
    <w:rsid w:val="00E639AC"/>
    <w:rsid w:val="00E64468"/>
    <w:rsid w:val="00E64F36"/>
    <w:rsid w:val="00E654FB"/>
    <w:rsid w:val="00E664D9"/>
    <w:rsid w:val="00E67AF7"/>
    <w:rsid w:val="00E7153D"/>
    <w:rsid w:val="00E71761"/>
    <w:rsid w:val="00E71B81"/>
    <w:rsid w:val="00E71E63"/>
    <w:rsid w:val="00E729AE"/>
    <w:rsid w:val="00E74102"/>
    <w:rsid w:val="00E741F5"/>
    <w:rsid w:val="00E7492D"/>
    <w:rsid w:val="00E74EBD"/>
    <w:rsid w:val="00E75D1D"/>
    <w:rsid w:val="00E826C7"/>
    <w:rsid w:val="00E83635"/>
    <w:rsid w:val="00E85254"/>
    <w:rsid w:val="00E8570F"/>
    <w:rsid w:val="00E86DAA"/>
    <w:rsid w:val="00E87C0A"/>
    <w:rsid w:val="00E9071D"/>
    <w:rsid w:val="00E90B52"/>
    <w:rsid w:val="00E90DB0"/>
    <w:rsid w:val="00E937DD"/>
    <w:rsid w:val="00E93E73"/>
    <w:rsid w:val="00E93F9F"/>
    <w:rsid w:val="00E950AD"/>
    <w:rsid w:val="00E95AAA"/>
    <w:rsid w:val="00E96251"/>
    <w:rsid w:val="00E973A8"/>
    <w:rsid w:val="00E97ABB"/>
    <w:rsid w:val="00EA06E9"/>
    <w:rsid w:val="00EA080A"/>
    <w:rsid w:val="00EA1DE2"/>
    <w:rsid w:val="00EA21EA"/>
    <w:rsid w:val="00EA3255"/>
    <w:rsid w:val="00EA326E"/>
    <w:rsid w:val="00EA6C0F"/>
    <w:rsid w:val="00EA6D7D"/>
    <w:rsid w:val="00EB040F"/>
    <w:rsid w:val="00EB1441"/>
    <w:rsid w:val="00EB1A74"/>
    <w:rsid w:val="00EB201F"/>
    <w:rsid w:val="00EB29F7"/>
    <w:rsid w:val="00EB5060"/>
    <w:rsid w:val="00EB5861"/>
    <w:rsid w:val="00EB7C93"/>
    <w:rsid w:val="00EC0765"/>
    <w:rsid w:val="00EC16A1"/>
    <w:rsid w:val="00EC2620"/>
    <w:rsid w:val="00EC2A3C"/>
    <w:rsid w:val="00EC4CF5"/>
    <w:rsid w:val="00EC737E"/>
    <w:rsid w:val="00ED0196"/>
    <w:rsid w:val="00ED01D9"/>
    <w:rsid w:val="00ED03DA"/>
    <w:rsid w:val="00ED07FA"/>
    <w:rsid w:val="00ED1924"/>
    <w:rsid w:val="00ED334E"/>
    <w:rsid w:val="00ED37CE"/>
    <w:rsid w:val="00ED3D38"/>
    <w:rsid w:val="00ED4410"/>
    <w:rsid w:val="00ED52E8"/>
    <w:rsid w:val="00ED5C9A"/>
    <w:rsid w:val="00ED69F1"/>
    <w:rsid w:val="00ED71C5"/>
    <w:rsid w:val="00EE13CB"/>
    <w:rsid w:val="00EE185C"/>
    <w:rsid w:val="00EE24C3"/>
    <w:rsid w:val="00EE250E"/>
    <w:rsid w:val="00EE3435"/>
    <w:rsid w:val="00EE549D"/>
    <w:rsid w:val="00EE5CE7"/>
    <w:rsid w:val="00EF052E"/>
    <w:rsid w:val="00EF0E97"/>
    <w:rsid w:val="00EF0F7D"/>
    <w:rsid w:val="00EF1E9C"/>
    <w:rsid w:val="00EF20F9"/>
    <w:rsid w:val="00EF3208"/>
    <w:rsid w:val="00EF32E0"/>
    <w:rsid w:val="00EF366C"/>
    <w:rsid w:val="00EF4962"/>
    <w:rsid w:val="00EF4C39"/>
    <w:rsid w:val="00EF69A2"/>
    <w:rsid w:val="00F0029D"/>
    <w:rsid w:val="00F0096F"/>
    <w:rsid w:val="00F0156E"/>
    <w:rsid w:val="00F01948"/>
    <w:rsid w:val="00F01B70"/>
    <w:rsid w:val="00F02D03"/>
    <w:rsid w:val="00F02EBA"/>
    <w:rsid w:val="00F036A2"/>
    <w:rsid w:val="00F04000"/>
    <w:rsid w:val="00F0455E"/>
    <w:rsid w:val="00F0490B"/>
    <w:rsid w:val="00F04B73"/>
    <w:rsid w:val="00F05568"/>
    <w:rsid w:val="00F06D1C"/>
    <w:rsid w:val="00F1219A"/>
    <w:rsid w:val="00F12442"/>
    <w:rsid w:val="00F12549"/>
    <w:rsid w:val="00F12D88"/>
    <w:rsid w:val="00F12E88"/>
    <w:rsid w:val="00F14329"/>
    <w:rsid w:val="00F15C4B"/>
    <w:rsid w:val="00F17707"/>
    <w:rsid w:val="00F17F12"/>
    <w:rsid w:val="00F20048"/>
    <w:rsid w:val="00F21257"/>
    <w:rsid w:val="00F21BBD"/>
    <w:rsid w:val="00F22776"/>
    <w:rsid w:val="00F22DC9"/>
    <w:rsid w:val="00F248DA"/>
    <w:rsid w:val="00F27303"/>
    <w:rsid w:val="00F304D9"/>
    <w:rsid w:val="00F30E9D"/>
    <w:rsid w:val="00F3127A"/>
    <w:rsid w:val="00F31607"/>
    <w:rsid w:val="00F33EA0"/>
    <w:rsid w:val="00F340B6"/>
    <w:rsid w:val="00F341B3"/>
    <w:rsid w:val="00F35E88"/>
    <w:rsid w:val="00F376BB"/>
    <w:rsid w:val="00F40BE9"/>
    <w:rsid w:val="00F4157F"/>
    <w:rsid w:val="00F421EA"/>
    <w:rsid w:val="00F42C9A"/>
    <w:rsid w:val="00F43150"/>
    <w:rsid w:val="00F43923"/>
    <w:rsid w:val="00F43D48"/>
    <w:rsid w:val="00F45917"/>
    <w:rsid w:val="00F4715B"/>
    <w:rsid w:val="00F4787C"/>
    <w:rsid w:val="00F50346"/>
    <w:rsid w:val="00F5209C"/>
    <w:rsid w:val="00F5260C"/>
    <w:rsid w:val="00F5276C"/>
    <w:rsid w:val="00F53673"/>
    <w:rsid w:val="00F5387D"/>
    <w:rsid w:val="00F53B7C"/>
    <w:rsid w:val="00F53BDA"/>
    <w:rsid w:val="00F5435E"/>
    <w:rsid w:val="00F54734"/>
    <w:rsid w:val="00F55D50"/>
    <w:rsid w:val="00F56785"/>
    <w:rsid w:val="00F568BB"/>
    <w:rsid w:val="00F56B51"/>
    <w:rsid w:val="00F60183"/>
    <w:rsid w:val="00F60BC9"/>
    <w:rsid w:val="00F630BC"/>
    <w:rsid w:val="00F63C07"/>
    <w:rsid w:val="00F642C8"/>
    <w:rsid w:val="00F6704A"/>
    <w:rsid w:val="00F6727A"/>
    <w:rsid w:val="00F672E8"/>
    <w:rsid w:val="00F70558"/>
    <w:rsid w:val="00F70590"/>
    <w:rsid w:val="00F70861"/>
    <w:rsid w:val="00F70A66"/>
    <w:rsid w:val="00F70C08"/>
    <w:rsid w:val="00F70D75"/>
    <w:rsid w:val="00F710A6"/>
    <w:rsid w:val="00F71637"/>
    <w:rsid w:val="00F71822"/>
    <w:rsid w:val="00F71E9F"/>
    <w:rsid w:val="00F7251F"/>
    <w:rsid w:val="00F72F2D"/>
    <w:rsid w:val="00F744D3"/>
    <w:rsid w:val="00F7771A"/>
    <w:rsid w:val="00F80CA3"/>
    <w:rsid w:val="00F83133"/>
    <w:rsid w:val="00F83799"/>
    <w:rsid w:val="00F83FDD"/>
    <w:rsid w:val="00F83FF8"/>
    <w:rsid w:val="00F84B0E"/>
    <w:rsid w:val="00F864CF"/>
    <w:rsid w:val="00F86BD7"/>
    <w:rsid w:val="00F87594"/>
    <w:rsid w:val="00F87C34"/>
    <w:rsid w:val="00F91AAF"/>
    <w:rsid w:val="00F91DB2"/>
    <w:rsid w:val="00F91DB8"/>
    <w:rsid w:val="00F93BB1"/>
    <w:rsid w:val="00F96F5F"/>
    <w:rsid w:val="00FA040A"/>
    <w:rsid w:val="00FA0535"/>
    <w:rsid w:val="00FA06EB"/>
    <w:rsid w:val="00FA3E3C"/>
    <w:rsid w:val="00FA4723"/>
    <w:rsid w:val="00FA6162"/>
    <w:rsid w:val="00FA711D"/>
    <w:rsid w:val="00FA7A88"/>
    <w:rsid w:val="00FA7B14"/>
    <w:rsid w:val="00FB032A"/>
    <w:rsid w:val="00FB17A1"/>
    <w:rsid w:val="00FB26AC"/>
    <w:rsid w:val="00FB2D6D"/>
    <w:rsid w:val="00FB2F4F"/>
    <w:rsid w:val="00FB34AC"/>
    <w:rsid w:val="00FB3B70"/>
    <w:rsid w:val="00FB445F"/>
    <w:rsid w:val="00FB618D"/>
    <w:rsid w:val="00FB6DF1"/>
    <w:rsid w:val="00FB7361"/>
    <w:rsid w:val="00FB78C3"/>
    <w:rsid w:val="00FC24DD"/>
    <w:rsid w:val="00FC52C4"/>
    <w:rsid w:val="00FC63C1"/>
    <w:rsid w:val="00FD02DC"/>
    <w:rsid w:val="00FD14B0"/>
    <w:rsid w:val="00FD2F86"/>
    <w:rsid w:val="00FD3745"/>
    <w:rsid w:val="00FD58F3"/>
    <w:rsid w:val="00FD5916"/>
    <w:rsid w:val="00FD6712"/>
    <w:rsid w:val="00FD7E1B"/>
    <w:rsid w:val="00FE0B22"/>
    <w:rsid w:val="00FE159B"/>
    <w:rsid w:val="00FE15BB"/>
    <w:rsid w:val="00FE1ACB"/>
    <w:rsid w:val="00FE2ED0"/>
    <w:rsid w:val="00FE31ED"/>
    <w:rsid w:val="00FF0BFE"/>
    <w:rsid w:val="00FF0C4F"/>
    <w:rsid w:val="00FF2996"/>
    <w:rsid w:val="00FF3581"/>
    <w:rsid w:val="00FF3859"/>
    <w:rsid w:val="00FF3A0F"/>
    <w:rsid w:val="00FF4DE1"/>
    <w:rsid w:val="00FF50ED"/>
    <w:rsid w:val="00FF5311"/>
    <w:rsid w:val="00FF693D"/>
    <w:rsid w:val="00FF7D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796"/>
    <w:pPr>
      <w:spacing w:after="100" w:line="400" w:lineRule="exact"/>
      <w:jc w:val="both"/>
    </w:pPr>
    <w:rPr>
      <w:rFonts w:ascii="Century Schoolbook" w:hAnsi="Century Schoolbook"/>
      <w:sz w:val="27"/>
    </w:rPr>
  </w:style>
  <w:style w:type="paragraph" w:styleId="Heading1">
    <w:name w:val="heading 1"/>
    <w:basedOn w:val="Normal"/>
    <w:next w:val="Normal"/>
    <w:qFormat/>
    <w:rsid w:val="00323796"/>
    <w:pPr>
      <w:keepNext/>
      <w:spacing w:before="140" w:line="240" w:lineRule="atLeast"/>
      <w:jc w:val="center"/>
      <w:outlineLvl w:val="0"/>
    </w:pPr>
    <w:rPr>
      <w:b/>
      <w:smallCaps/>
    </w:rPr>
  </w:style>
  <w:style w:type="paragraph" w:styleId="Heading2">
    <w:name w:val="heading 2"/>
    <w:basedOn w:val="Normal"/>
    <w:next w:val="Normal"/>
    <w:qFormat/>
    <w:rsid w:val="00323796"/>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323796"/>
    <w:pPr>
      <w:keepNext/>
      <w:tabs>
        <w:tab w:val="left" w:pos="1584"/>
      </w:tabs>
      <w:spacing w:before="140" w:line="240" w:lineRule="atLeast"/>
      <w:ind w:left="1584" w:hanging="432"/>
      <w:jc w:val="left"/>
      <w:outlineLvl w:val="2"/>
    </w:pPr>
    <w:rPr>
      <w:i/>
    </w:rPr>
  </w:style>
  <w:style w:type="paragraph" w:styleId="Heading4">
    <w:name w:val="heading 4"/>
    <w:basedOn w:val="Normal"/>
    <w:rsid w:val="00323796"/>
    <w:pPr>
      <w:keepNext/>
      <w:tabs>
        <w:tab w:val="left" w:pos="2016"/>
      </w:tabs>
      <w:spacing w:before="140" w:line="240" w:lineRule="atLeast"/>
      <w:ind w:left="2016" w:hanging="432"/>
      <w:jc w:val="left"/>
      <w:outlineLvl w:val="3"/>
    </w:pPr>
    <w:rPr>
      <w:i/>
    </w:rPr>
  </w:style>
  <w:style w:type="paragraph" w:styleId="Heading5">
    <w:name w:val="heading 5"/>
    <w:basedOn w:val="Normal"/>
    <w:rsid w:val="00323796"/>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323796"/>
    <w:pPr>
      <w:ind w:left="720"/>
    </w:pPr>
  </w:style>
  <w:style w:type="paragraph" w:styleId="Footer">
    <w:name w:val="footer"/>
    <w:basedOn w:val="Normal"/>
    <w:qFormat/>
    <w:rsid w:val="00323796"/>
    <w:pPr>
      <w:tabs>
        <w:tab w:val="center" w:pos="3960"/>
        <w:tab w:val="right" w:pos="10080"/>
      </w:tabs>
      <w:spacing w:after="0" w:line="240" w:lineRule="auto"/>
      <w:jc w:val="center"/>
    </w:pPr>
    <w:rPr>
      <w:sz w:val="22"/>
    </w:rPr>
  </w:style>
  <w:style w:type="paragraph" w:styleId="Header">
    <w:name w:val="header"/>
    <w:basedOn w:val="Normal"/>
    <w:qFormat/>
    <w:rsid w:val="00323796"/>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323796"/>
    <w:rPr>
      <w:rFonts w:ascii="Century Schoolbook" w:hAnsi="Century Schoolbook"/>
      <w:b/>
      <w:i w:val="0"/>
      <w:position w:val="4"/>
      <w:sz w:val="27"/>
      <w:vertAlign w:val="superscript"/>
    </w:rPr>
  </w:style>
  <w:style w:type="paragraph" w:styleId="FootnoteText">
    <w:name w:val="footnote text"/>
    <w:basedOn w:val="Normal"/>
    <w:link w:val="FootnoteTextChar"/>
    <w:rsid w:val="00323796"/>
    <w:pPr>
      <w:spacing w:line="300" w:lineRule="exact"/>
    </w:pPr>
  </w:style>
  <w:style w:type="paragraph" w:customStyle="1" w:styleId="Title1">
    <w:name w:val="Title1"/>
    <w:basedOn w:val="Normal"/>
    <w:rsid w:val="00323796"/>
    <w:pPr>
      <w:tabs>
        <w:tab w:val="left" w:pos="5760"/>
        <w:tab w:val="left" w:pos="6480"/>
      </w:tabs>
      <w:spacing w:line="240" w:lineRule="atLeast"/>
    </w:pPr>
  </w:style>
  <w:style w:type="paragraph" w:customStyle="1" w:styleId="Recommend">
    <w:name w:val="Recommend"/>
    <w:basedOn w:val="Normal"/>
    <w:rsid w:val="00323796"/>
  </w:style>
  <w:style w:type="paragraph" w:customStyle="1" w:styleId="Summary">
    <w:name w:val="Summary"/>
    <w:basedOn w:val="Normal"/>
    <w:rsid w:val="00323796"/>
    <w:pPr>
      <w:ind w:left="2160" w:hanging="2160"/>
    </w:pPr>
  </w:style>
  <w:style w:type="paragraph" w:customStyle="1" w:styleId="Text">
    <w:name w:val="Text"/>
    <w:basedOn w:val="Normal"/>
    <w:rsid w:val="00323796"/>
    <w:pPr>
      <w:tabs>
        <w:tab w:val="left" w:pos="720"/>
        <w:tab w:val="left" w:pos="1440"/>
        <w:tab w:val="left" w:pos="2160"/>
        <w:tab w:val="center" w:pos="4320"/>
      </w:tabs>
      <w:spacing w:line="480" w:lineRule="atLeast"/>
      <w:ind w:firstLine="540"/>
    </w:pPr>
  </w:style>
  <w:style w:type="paragraph" w:styleId="Date">
    <w:name w:val="Date"/>
    <w:basedOn w:val="Normal"/>
    <w:semiHidden/>
    <w:rsid w:val="00323796"/>
    <w:pPr>
      <w:jc w:val="right"/>
    </w:pPr>
  </w:style>
  <w:style w:type="character" w:styleId="PageNumber">
    <w:name w:val="page number"/>
    <w:basedOn w:val="DefaultParagraphFont"/>
    <w:semiHidden/>
    <w:rsid w:val="00323796"/>
  </w:style>
  <w:style w:type="paragraph" w:customStyle="1" w:styleId="subject">
    <w:name w:val="subject"/>
    <w:basedOn w:val="Normal"/>
    <w:rsid w:val="00323796"/>
    <w:pPr>
      <w:tabs>
        <w:tab w:val="left" w:pos="1008"/>
      </w:tabs>
      <w:ind w:left="990" w:hanging="990"/>
    </w:pPr>
    <w:rPr>
      <w:b/>
    </w:rPr>
  </w:style>
  <w:style w:type="paragraph" w:customStyle="1" w:styleId="Titles">
    <w:name w:val="Titles"/>
    <w:basedOn w:val="Normal"/>
    <w:rsid w:val="00323796"/>
    <w:pPr>
      <w:tabs>
        <w:tab w:val="left" w:pos="2160"/>
      </w:tabs>
      <w:ind w:left="2160" w:hanging="2160"/>
    </w:pPr>
    <w:rPr>
      <w:b/>
    </w:rPr>
  </w:style>
  <w:style w:type="paragraph" w:styleId="TOAHeading">
    <w:name w:val="toa heading"/>
    <w:basedOn w:val="Normal"/>
    <w:next w:val="Normal"/>
    <w:semiHidden/>
    <w:rsid w:val="00323796"/>
    <w:pPr>
      <w:spacing w:before="120"/>
    </w:pPr>
    <w:rPr>
      <w:b/>
    </w:rPr>
  </w:style>
  <w:style w:type="paragraph" w:styleId="TOC1">
    <w:name w:val="toc 1"/>
    <w:basedOn w:val="Normal"/>
    <w:next w:val="Normal"/>
    <w:autoRedefine/>
    <w:semiHidden/>
    <w:rsid w:val="00323796"/>
  </w:style>
  <w:style w:type="paragraph" w:styleId="TOC2">
    <w:name w:val="toc 2"/>
    <w:basedOn w:val="Normal"/>
    <w:next w:val="Normal"/>
    <w:autoRedefine/>
    <w:semiHidden/>
    <w:rsid w:val="00323796"/>
    <w:pPr>
      <w:ind w:left="259"/>
    </w:pPr>
  </w:style>
  <w:style w:type="paragraph" w:styleId="TOC3">
    <w:name w:val="toc 3"/>
    <w:basedOn w:val="Normal"/>
    <w:next w:val="Normal"/>
    <w:autoRedefine/>
    <w:semiHidden/>
    <w:rsid w:val="00323796"/>
    <w:pPr>
      <w:ind w:left="520"/>
    </w:pPr>
  </w:style>
  <w:style w:type="paragraph" w:styleId="TOC4">
    <w:name w:val="toc 4"/>
    <w:basedOn w:val="Normal"/>
    <w:next w:val="Normal"/>
    <w:autoRedefine/>
    <w:semiHidden/>
    <w:rsid w:val="00323796"/>
    <w:pPr>
      <w:ind w:left="780"/>
    </w:pPr>
  </w:style>
  <w:style w:type="paragraph" w:styleId="TOC5">
    <w:name w:val="toc 5"/>
    <w:basedOn w:val="Normal"/>
    <w:next w:val="Normal"/>
    <w:autoRedefine/>
    <w:semiHidden/>
    <w:rsid w:val="00323796"/>
    <w:pPr>
      <w:ind w:left="1040"/>
    </w:pPr>
  </w:style>
  <w:style w:type="paragraph" w:styleId="TOC6">
    <w:name w:val="toc 6"/>
    <w:basedOn w:val="Normal"/>
    <w:next w:val="Normal"/>
    <w:autoRedefine/>
    <w:semiHidden/>
    <w:rsid w:val="00323796"/>
    <w:pPr>
      <w:ind w:left="1300"/>
    </w:pPr>
  </w:style>
  <w:style w:type="paragraph" w:styleId="TOC7">
    <w:name w:val="toc 7"/>
    <w:basedOn w:val="Normal"/>
    <w:next w:val="Normal"/>
    <w:autoRedefine/>
    <w:semiHidden/>
    <w:rsid w:val="00323796"/>
    <w:pPr>
      <w:ind w:left="1560"/>
    </w:pPr>
  </w:style>
  <w:style w:type="paragraph" w:styleId="TOC8">
    <w:name w:val="toc 8"/>
    <w:basedOn w:val="Normal"/>
    <w:next w:val="Normal"/>
    <w:autoRedefine/>
    <w:semiHidden/>
    <w:rsid w:val="00323796"/>
    <w:pPr>
      <w:ind w:left="1820"/>
    </w:pPr>
  </w:style>
  <w:style w:type="paragraph" w:styleId="TOC9">
    <w:name w:val="toc 9"/>
    <w:basedOn w:val="Normal"/>
    <w:next w:val="Normal"/>
    <w:autoRedefine/>
    <w:semiHidden/>
    <w:rsid w:val="00323796"/>
    <w:pPr>
      <w:ind w:left="2080"/>
    </w:pPr>
  </w:style>
  <w:style w:type="paragraph" w:customStyle="1" w:styleId="Contents">
    <w:name w:val="Contents"/>
    <w:basedOn w:val="Normal"/>
    <w:rsid w:val="00323796"/>
    <w:pPr>
      <w:jc w:val="center"/>
    </w:pPr>
    <w:rPr>
      <w:b/>
      <w:spacing w:val="100"/>
    </w:rPr>
  </w:style>
  <w:style w:type="character" w:styleId="CommentReference">
    <w:name w:val="annotation reference"/>
    <w:basedOn w:val="DefaultParagraphFont"/>
    <w:uiPriority w:val="99"/>
    <w:semiHidden/>
    <w:unhideWhenUsed/>
    <w:rsid w:val="00D40121"/>
    <w:rPr>
      <w:sz w:val="16"/>
      <w:szCs w:val="16"/>
    </w:rPr>
  </w:style>
  <w:style w:type="paragraph" w:styleId="CommentText">
    <w:name w:val="annotation text"/>
    <w:basedOn w:val="Normal"/>
    <w:link w:val="CommentTextChar"/>
    <w:uiPriority w:val="99"/>
    <w:semiHidden/>
    <w:unhideWhenUsed/>
    <w:rsid w:val="00D40121"/>
    <w:rPr>
      <w:sz w:val="20"/>
    </w:rPr>
  </w:style>
  <w:style w:type="character" w:customStyle="1" w:styleId="CommentTextChar">
    <w:name w:val="Comment Text Char"/>
    <w:basedOn w:val="DefaultParagraphFont"/>
    <w:link w:val="CommentText"/>
    <w:uiPriority w:val="99"/>
    <w:semiHidden/>
    <w:rsid w:val="00D40121"/>
  </w:style>
  <w:style w:type="paragraph" w:styleId="CommentSubject">
    <w:name w:val="annotation subject"/>
    <w:basedOn w:val="CommentText"/>
    <w:next w:val="CommentText"/>
    <w:link w:val="CommentSubjectChar"/>
    <w:uiPriority w:val="99"/>
    <w:semiHidden/>
    <w:unhideWhenUsed/>
    <w:rsid w:val="00D40121"/>
    <w:rPr>
      <w:b/>
      <w:bCs/>
    </w:rPr>
  </w:style>
  <w:style w:type="character" w:customStyle="1" w:styleId="CommentSubjectChar">
    <w:name w:val="Comment Subject Char"/>
    <w:basedOn w:val="CommentTextChar"/>
    <w:link w:val="CommentSubject"/>
    <w:uiPriority w:val="99"/>
    <w:semiHidden/>
    <w:rsid w:val="00D40121"/>
    <w:rPr>
      <w:b/>
      <w:bCs/>
    </w:rPr>
  </w:style>
  <w:style w:type="paragraph" w:styleId="BalloonText">
    <w:name w:val="Balloon Text"/>
    <w:basedOn w:val="Normal"/>
    <w:link w:val="BalloonTextChar"/>
    <w:uiPriority w:val="99"/>
    <w:semiHidden/>
    <w:unhideWhenUsed/>
    <w:rsid w:val="00D40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121"/>
    <w:rPr>
      <w:rFonts w:ascii="Segoe UI" w:hAnsi="Segoe UI" w:cs="Segoe UI"/>
      <w:sz w:val="18"/>
      <w:szCs w:val="18"/>
    </w:rPr>
  </w:style>
  <w:style w:type="character" w:customStyle="1" w:styleId="ssrfcsection">
    <w:name w:val="ss_rfcsection"/>
    <w:rsid w:val="00824FDA"/>
  </w:style>
  <w:style w:type="character" w:customStyle="1" w:styleId="cosearchterm">
    <w:name w:val="co_searchterm"/>
    <w:basedOn w:val="DefaultParagraphFont"/>
    <w:rsid w:val="00EC2620"/>
  </w:style>
  <w:style w:type="character" w:styleId="Emphasis">
    <w:name w:val="Emphasis"/>
    <w:basedOn w:val="DefaultParagraphFont"/>
    <w:uiPriority w:val="20"/>
    <w:qFormat/>
    <w:rsid w:val="000B0BD9"/>
    <w:rPr>
      <w:i/>
      <w:iCs/>
    </w:rPr>
  </w:style>
  <w:style w:type="paragraph" w:customStyle="1" w:styleId="Pa34">
    <w:name w:val="Pa34"/>
    <w:basedOn w:val="Normal"/>
    <w:next w:val="Normal"/>
    <w:uiPriority w:val="99"/>
    <w:rsid w:val="00215950"/>
    <w:pPr>
      <w:autoSpaceDE w:val="0"/>
      <w:autoSpaceDN w:val="0"/>
      <w:adjustRightInd w:val="0"/>
      <w:spacing w:line="226" w:lineRule="atLeast"/>
    </w:pPr>
    <w:rPr>
      <w:rFonts w:ascii="Minion Pro" w:hAnsi="Minion Pro"/>
      <w:sz w:val="24"/>
      <w:szCs w:val="24"/>
    </w:rPr>
  </w:style>
  <w:style w:type="paragraph" w:styleId="Revision">
    <w:name w:val="Revision"/>
    <w:hidden/>
    <w:uiPriority w:val="99"/>
    <w:semiHidden/>
    <w:rsid w:val="00D41F35"/>
    <w:rPr>
      <w:sz w:val="26"/>
    </w:rPr>
  </w:style>
  <w:style w:type="character" w:customStyle="1" w:styleId="FootnoteTextChar">
    <w:name w:val="Footnote Text Char"/>
    <w:basedOn w:val="DefaultParagraphFont"/>
    <w:link w:val="FootnoteText"/>
    <w:rsid w:val="00C26197"/>
    <w:rPr>
      <w:rFonts w:ascii="Century Schoolbook" w:hAnsi="Century Schoolbook"/>
      <w:sz w:val="27"/>
    </w:rPr>
  </w:style>
  <w:style w:type="paragraph" w:styleId="BodyText">
    <w:name w:val="Body Text"/>
    <w:basedOn w:val="Normal"/>
    <w:link w:val="BodyTextChar"/>
    <w:qFormat/>
    <w:rsid w:val="00323796"/>
  </w:style>
  <w:style w:type="character" w:customStyle="1" w:styleId="BodyTextChar">
    <w:name w:val="Body Text Char"/>
    <w:basedOn w:val="DefaultParagraphFont"/>
    <w:link w:val="BodyText"/>
    <w:rsid w:val="00323796"/>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header" Target="header6.xml" /><Relationship Id="rId18" Type="http://schemas.openxmlformats.org/officeDocument/2006/relationships/footer" Target="footer7.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6851D-BB2E-42BF-B3EB-CC87BE08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5297</Words>
  <Characters>30195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2021-07-12T15:33:53Z</dcterms:created>
  <dcterms:modified xsi:type="dcterms:W3CDTF">2021-07-12T15:33:53Z</dcterms:modified>
</cp:coreProperties>
</file>