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C6CB3" w:rsidP="009C6CB3">
      <w:pPr>
        <w:tabs>
          <w:tab w:val="left" w:pos="1440"/>
        </w:tabs>
        <w:spacing w:after="0"/>
        <w:jc w:val="center"/>
        <w:rPr>
          <w:caps/>
          <w:sz w:val="36"/>
        </w:rPr>
      </w:pPr>
      <w:r>
        <w:rPr>
          <w:b/>
          <w:caps/>
          <w:sz w:val="36"/>
        </w:rPr>
        <w:t>IN THE SUPREME COURT OF CALIFORNIA</w:t>
      </w:r>
    </w:p>
    <w:p w:rsidR="009C6CB3" w:rsidP="009C6CB3">
      <w:pPr>
        <w:tabs>
          <w:tab w:val="left" w:pos="1440"/>
        </w:tabs>
        <w:spacing w:after="0"/>
        <w:jc w:val="center"/>
        <w:rPr>
          <w:caps/>
        </w:rPr>
      </w:pPr>
    </w:p>
    <w:p w:rsidR="009C6CB3" w:rsidP="009C6CB3">
      <w:pPr>
        <w:tabs>
          <w:tab w:val="left" w:pos="1440"/>
        </w:tabs>
        <w:spacing w:after="0"/>
        <w:jc w:val="center"/>
        <w:rPr>
          <w:caps/>
        </w:rPr>
      </w:pPr>
      <w:r>
        <w:rPr>
          <w:caps/>
        </w:rPr>
        <w:t>THE PEOPLE</w:t>
      </w:r>
      <w:r w:rsidR="000B7798">
        <w:rPr>
          <w:caps/>
        </w:rPr>
        <w:t>,</w:t>
      </w:r>
    </w:p>
    <w:p w:rsidR="009C6CB3" w:rsidP="009C6CB3">
      <w:pPr>
        <w:tabs>
          <w:tab w:val="left" w:pos="1440"/>
        </w:tabs>
        <w:spacing w:after="0"/>
        <w:jc w:val="center"/>
        <w:rPr>
          <w:caps/>
        </w:rPr>
      </w:pPr>
      <w:r w:rsidRPr="000B7798">
        <w:t>Plaintiff and Respondent</w:t>
      </w:r>
      <w:r w:rsidR="000B7798">
        <w:rPr>
          <w:caps/>
        </w:rPr>
        <w:t>,</w:t>
      </w:r>
    </w:p>
    <w:p w:rsidR="009C6CB3" w:rsidRPr="000B7798" w:rsidP="009C6CB3">
      <w:pPr>
        <w:tabs>
          <w:tab w:val="left" w:pos="1440"/>
        </w:tabs>
        <w:spacing w:after="0"/>
        <w:jc w:val="center"/>
      </w:pPr>
      <w:r w:rsidRPr="000B7798">
        <w:t>v.</w:t>
      </w:r>
    </w:p>
    <w:p w:rsidR="009C6CB3" w:rsidP="009C6CB3">
      <w:pPr>
        <w:tabs>
          <w:tab w:val="left" w:pos="1440"/>
        </w:tabs>
        <w:spacing w:after="0"/>
        <w:jc w:val="center"/>
        <w:rPr>
          <w:caps/>
        </w:rPr>
      </w:pPr>
      <w:r>
        <w:rPr>
          <w:caps/>
        </w:rPr>
        <w:t>JOSEPH GENTILE, JR.</w:t>
      </w:r>
      <w:r w:rsidR="000B7798">
        <w:rPr>
          <w:caps/>
        </w:rPr>
        <w:t>,</w:t>
      </w:r>
    </w:p>
    <w:p w:rsidR="009C6CB3" w:rsidRPr="000B7798" w:rsidP="009C6CB3">
      <w:pPr>
        <w:tabs>
          <w:tab w:val="left" w:pos="1440"/>
        </w:tabs>
        <w:spacing w:after="0"/>
        <w:jc w:val="center"/>
      </w:pPr>
      <w:r w:rsidRPr="000B7798">
        <w:t>Defendant and Appellant.</w:t>
      </w:r>
    </w:p>
    <w:p w:rsidR="009C6CB3" w:rsidP="009C6CB3">
      <w:pPr>
        <w:tabs>
          <w:tab w:val="left" w:pos="1440"/>
        </w:tabs>
        <w:spacing w:after="0"/>
        <w:jc w:val="center"/>
        <w:rPr>
          <w:caps/>
        </w:rPr>
      </w:pPr>
    </w:p>
    <w:p w:rsidR="009C6CB3" w:rsidP="009C6CB3">
      <w:pPr>
        <w:tabs>
          <w:tab w:val="left" w:pos="1440"/>
        </w:tabs>
        <w:spacing w:after="0"/>
        <w:jc w:val="center"/>
        <w:rPr>
          <w:caps/>
        </w:rPr>
      </w:pPr>
      <w:r>
        <w:rPr>
          <w:caps/>
        </w:rPr>
        <w:t>S256698</w:t>
      </w:r>
    </w:p>
    <w:p w:rsidR="009C6CB3" w:rsidP="009C6CB3">
      <w:pPr>
        <w:tabs>
          <w:tab w:val="left" w:pos="1440"/>
        </w:tabs>
        <w:spacing w:after="0"/>
        <w:jc w:val="center"/>
        <w:rPr>
          <w:caps/>
        </w:rPr>
      </w:pPr>
    </w:p>
    <w:p w:rsidR="009C6CB3" w:rsidRPr="000B7798" w:rsidP="009C6CB3">
      <w:pPr>
        <w:tabs>
          <w:tab w:val="left" w:pos="1440"/>
        </w:tabs>
        <w:spacing w:after="0"/>
        <w:jc w:val="center"/>
      </w:pPr>
      <w:r w:rsidRPr="000B7798">
        <w:t>Fourth Appellate District, Division Two</w:t>
      </w:r>
    </w:p>
    <w:p w:rsidR="009C6CB3" w:rsidP="00DB5105">
      <w:pPr>
        <w:tabs>
          <w:tab w:val="left" w:pos="1440"/>
        </w:tabs>
        <w:spacing w:after="0"/>
        <w:jc w:val="center"/>
        <w:rPr>
          <w:caps/>
        </w:rPr>
      </w:pPr>
      <w:r>
        <w:rPr>
          <w:caps/>
        </w:rPr>
        <w:t>E069088</w:t>
      </w:r>
    </w:p>
    <w:p w:rsidR="009C6CB3" w:rsidP="009C6CB3">
      <w:pPr>
        <w:pBdr>
          <w:bottom w:val="single" w:sz="4" w:space="1" w:color="auto"/>
        </w:pBdr>
        <w:tabs>
          <w:tab w:val="left" w:pos="1440"/>
        </w:tabs>
        <w:spacing w:after="0"/>
        <w:jc w:val="center"/>
        <w:rPr>
          <w:caps/>
        </w:rPr>
      </w:pPr>
    </w:p>
    <w:p w:rsidR="00FF25EF" w:rsidP="009C6CB3">
      <w:pPr>
        <w:pBdr>
          <w:bottom w:val="single" w:sz="4" w:space="1" w:color="auto"/>
        </w:pBdr>
        <w:tabs>
          <w:tab w:val="left" w:pos="1440"/>
        </w:tabs>
        <w:spacing w:after="0"/>
        <w:jc w:val="center"/>
      </w:pPr>
      <w:r>
        <w:t>Riverside County Superior Court</w:t>
      </w:r>
    </w:p>
    <w:p w:rsidR="00273B0C" w:rsidP="009C6CB3">
      <w:pPr>
        <w:pBdr>
          <w:bottom w:val="single" w:sz="4" w:space="1" w:color="auto"/>
        </w:pBdr>
        <w:tabs>
          <w:tab w:val="left" w:pos="1440"/>
        </w:tabs>
        <w:spacing w:after="0"/>
        <w:jc w:val="center"/>
      </w:pPr>
      <w:r>
        <w:t>INF1401840</w:t>
      </w:r>
    </w:p>
    <w:p w:rsidR="00E318B6" w:rsidRPr="00273B0C" w:rsidP="009C6CB3">
      <w:pPr>
        <w:pBdr>
          <w:bottom w:val="single" w:sz="4" w:space="1" w:color="auto"/>
        </w:pBdr>
        <w:tabs>
          <w:tab w:val="left" w:pos="1440"/>
        </w:tabs>
        <w:spacing w:after="0"/>
        <w:jc w:val="center"/>
      </w:pPr>
    </w:p>
    <w:p w:rsidR="009C6CB3" w:rsidP="009C6CB3">
      <w:pPr>
        <w:tabs>
          <w:tab w:val="left" w:pos="1440"/>
        </w:tabs>
        <w:spacing w:after="0"/>
        <w:jc w:val="center"/>
        <w:rPr>
          <w:caps/>
        </w:rPr>
      </w:pPr>
    </w:p>
    <w:p w:rsidR="009C6CB3" w:rsidP="009C6CB3">
      <w:pPr>
        <w:tabs>
          <w:tab w:val="left" w:pos="1440"/>
        </w:tabs>
        <w:spacing w:after="0"/>
        <w:jc w:val="center"/>
        <w:rPr>
          <w:caps/>
        </w:rPr>
      </w:pPr>
      <w:r>
        <w:t xml:space="preserve">December 17, </w:t>
      </w:r>
      <w:r>
        <w:rPr>
          <w:caps/>
        </w:rPr>
        <w:t>2020</w:t>
      </w:r>
    </w:p>
    <w:p w:rsidR="009C6CB3" w:rsidP="009C6CB3">
      <w:pPr>
        <w:tabs>
          <w:tab w:val="left" w:pos="1440"/>
        </w:tabs>
        <w:spacing w:after="0"/>
        <w:jc w:val="center"/>
        <w:rPr>
          <w:caps/>
        </w:rPr>
      </w:pPr>
    </w:p>
    <w:p w:rsidR="009C6CB3" w:rsidRPr="003D65AE" w:rsidP="009C6CB3">
      <w:pPr>
        <w:tabs>
          <w:tab w:val="left" w:pos="1440"/>
        </w:tabs>
        <w:spacing w:after="0"/>
        <w:jc w:val="left"/>
      </w:pPr>
      <w:r w:rsidRPr="00E8787B">
        <w:t xml:space="preserve">Justice Liu authored the opinion of the Court, in which </w:t>
      </w:r>
      <w:r w:rsidRPr="00F55FC1" w:rsidR="00F55FC1">
        <w:t>Chief Justice Cantil-Sakauye and Justices Corrigan, Cuéllar, Kruger</w:t>
      </w:r>
      <w:r w:rsidR="00F55FC1">
        <w:t>, Groban</w:t>
      </w:r>
      <w:r w:rsidR="009E1882">
        <w:t>,</w:t>
      </w:r>
      <w:r w:rsidRPr="00F55FC1" w:rsidR="00F55FC1">
        <w:t xml:space="preserve"> and </w:t>
      </w:r>
      <w:r w:rsidR="00F55FC1">
        <w:t>Grimes</w:t>
      </w:r>
      <w:r>
        <w:rPr>
          <w:b/>
          <w:vertAlign w:val="superscript"/>
        </w:rPr>
        <w:footnoteReference w:customMarkFollows="1" w:id="3"/>
        <w:t xml:space="preserve">*</w:t>
      </w:r>
      <w:r w:rsidRPr="00F55FC1" w:rsidR="00F55FC1">
        <w:t xml:space="preserve"> </w:t>
      </w:r>
      <w:r w:rsidRPr="00E8787B">
        <w:t>concurred.</w:t>
      </w:r>
    </w:p>
    <w:p w:rsidR="009C6CB3" w:rsidRPr="009C6CB3" w:rsidP="009C6CB3">
      <w:pPr>
        <w:pBdr>
          <w:bottom w:val="single" w:sz="4" w:space="1" w:color="auto"/>
        </w:pBdr>
        <w:tabs>
          <w:tab w:val="left" w:pos="1440"/>
        </w:tabs>
        <w:spacing w:line="480" w:lineRule="atLeast"/>
        <w:jc w:val="left"/>
        <w:rPr>
          <w:caps/>
        </w:rPr>
      </w:pPr>
      <w:bookmarkStart w:id="0" w:name="Return"/>
      <w:bookmarkEnd w:id="0"/>
    </w:p>
    <w:p w:rsidR="009C6CB3" w:rsidP="00845983">
      <w:pPr>
        <w:tabs>
          <w:tab w:val="left" w:pos="1440"/>
        </w:tabs>
        <w:spacing w:line="480" w:lineRule="atLeast"/>
        <w:jc w:val="center"/>
        <w:rPr>
          <w:b/>
          <w:caps/>
        </w:rPr>
        <w:sectPr w:rsidSect="009C6CB3">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DB5105" w:rsidRPr="00AC4BE3" w:rsidP="00DB5105">
      <w:pPr>
        <w:tabs>
          <w:tab w:val="left" w:pos="1440"/>
        </w:tabs>
        <w:jc w:val="center"/>
        <w:rPr>
          <w:bCs/>
          <w:caps/>
        </w:rPr>
      </w:pPr>
      <w:r w:rsidRPr="00AC4BE3">
        <w:rPr>
          <w:bCs/>
          <w:caps/>
        </w:rPr>
        <w:t xml:space="preserve">PEOPLE </w:t>
      </w:r>
      <w:r>
        <w:rPr>
          <w:bCs/>
        </w:rPr>
        <w:t>v</w:t>
      </w:r>
      <w:r w:rsidRPr="00AC4BE3">
        <w:rPr>
          <w:bCs/>
          <w:caps/>
        </w:rPr>
        <w:t>. GENTILE</w:t>
      </w:r>
    </w:p>
    <w:p w:rsidR="00DB5105" w:rsidRPr="00AC4BE3" w:rsidP="00DB5105">
      <w:pPr>
        <w:tabs>
          <w:tab w:val="left" w:pos="1440"/>
        </w:tabs>
        <w:jc w:val="center"/>
        <w:rPr>
          <w:bCs/>
          <w:caps/>
        </w:rPr>
      </w:pPr>
      <w:r w:rsidRPr="00AC4BE3">
        <w:rPr>
          <w:bCs/>
          <w:caps/>
        </w:rPr>
        <w:t>S256698</w:t>
      </w:r>
    </w:p>
    <w:p w:rsidR="00DB5105" w:rsidP="00DB5105">
      <w:pPr>
        <w:tabs>
          <w:tab w:val="left" w:pos="1440"/>
        </w:tabs>
        <w:jc w:val="center"/>
        <w:rPr>
          <w:b/>
          <w:caps/>
        </w:rPr>
      </w:pPr>
    </w:p>
    <w:p w:rsidR="00DB5105" w:rsidP="00DB5105">
      <w:pPr>
        <w:tabs>
          <w:tab w:val="left" w:pos="1440"/>
        </w:tabs>
        <w:jc w:val="center"/>
        <w:rPr>
          <w:bCs/>
        </w:rPr>
      </w:pPr>
      <w:r w:rsidRPr="00AC4BE3">
        <w:rPr>
          <w:bCs/>
        </w:rPr>
        <w:t>Opinion of the Court by Liu, J.</w:t>
      </w:r>
    </w:p>
    <w:p w:rsidR="00402B76" w:rsidP="00DB5105">
      <w:pPr>
        <w:tabs>
          <w:tab w:val="left" w:pos="1440"/>
        </w:tabs>
        <w:jc w:val="center"/>
        <w:rPr>
          <w:bCs/>
        </w:rPr>
      </w:pPr>
    </w:p>
    <w:p w:rsidR="00845983" w:rsidRPr="009C6CB3" w:rsidP="009C6CB3">
      <w:pPr>
        <w:tabs>
          <w:tab w:val="left" w:pos="1440"/>
        </w:tabs>
        <w:ind w:firstLine="720"/>
        <w:rPr>
          <w:color w:val="000000"/>
          <w:szCs w:val="26"/>
        </w:rPr>
      </w:pPr>
      <w:r w:rsidRPr="009C6CB3">
        <w:rPr>
          <w:rFonts w:cstheme="minorHAnsi"/>
          <w:szCs w:val="26"/>
        </w:rPr>
        <w:t>W</w:t>
      </w:r>
      <w:r w:rsidRPr="009C6CB3" w:rsidR="00170936">
        <w:rPr>
          <w:rFonts w:cstheme="minorHAnsi"/>
          <w:szCs w:val="26"/>
        </w:rPr>
        <w:t>hen a</w:t>
      </w:r>
      <w:r w:rsidRPr="009C6CB3">
        <w:rPr>
          <w:rFonts w:cstheme="minorHAnsi"/>
          <w:szCs w:val="26"/>
        </w:rPr>
        <w:t xml:space="preserve">n accomplice </w:t>
      </w:r>
      <w:r w:rsidRPr="009C6CB3" w:rsidR="00170936">
        <w:rPr>
          <w:rFonts w:cstheme="minorHAnsi"/>
          <w:szCs w:val="26"/>
        </w:rPr>
        <w:t>aid</w:t>
      </w:r>
      <w:r w:rsidRPr="009C6CB3">
        <w:rPr>
          <w:rFonts w:cstheme="minorHAnsi"/>
          <w:szCs w:val="26"/>
        </w:rPr>
        <w:t>s</w:t>
      </w:r>
      <w:r w:rsidRPr="009C6CB3" w:rsidR="00170936">
        <w:rPr>
          <w:rFonts w:cstheme="minorHAnsi"/>
          <w:szCs w:val="26"/>
        </w:rPr>
        <w:t xml:space="preserve"> and abet</w:t>
      </w:r>
      <w:r w:rsidRPr="009C6CB3">
        <w:rPr>
          <w:rFonts w:cstheme="minorHAnsi"/>
          <w:szCs w:val="26"/>
        </w:rPr>
        <w:t>s</w:t>
      </w:r>
      <w:r w:rsidRPr="009C6CB3" w:rsidR="00170936">
        <w:rPr>
          <w:rFonts w:cstheme="minorHAnsi"/>
          <w:szCs w:val="26"/>
        </w:rPr>
        <w:t xml:space="preserve"> a crim</w:t>
      </w:r>
      <w:r w:rsidRPr="009C6CB3">
        <w:rPr>
          <w:rFonts w:cstheme="minorHAnsi"/>
          <w:szCs w:val="26"/>
        </w:rPr>
        <w:t xml:space="preserve">e, </w:t>
      </w:r>
      <w:r w:rsidRPr="009C6CB3" w:rsidR="00955CC2">
        <w:rPr>
          <w:rFonts w:cstheme="minorHAnsi"/>
          <w:szCs w:val="26"/>
        </w:rPr>
        <w:t>the accomplice is culpable for both that crime and any other offense committed that is the natural and probable consequence of the aided and abetted crime.</w:t>
      </w:r>
      <w:r w:rsidRPr="009C6CB3">
        <w:rPr>
          <w:rFonts w:cstheme="minorHAnsi"/>
          <w:szCs w:val="26"/>
        </w:rPr>
        <w:t xml:space="preserve"> </w:t>
      </w:r>
      <w:r w:rsidRPr="009C6CB3" w:rsidR="00955CC2">
        <w:rPr>
          <w:rFonts w:cstheme="minorHAnsi"/>
          <w:szCs w:val="26"/>
        </w:rPr>
        <w:t xml:space="preserve"> </w:t>
      </w:r>
      <w:r w:rsidRPr="009C6CB3" w:rsidR="00BA2A57">
        <w:rPr>
          <w:rFonts w:cstheme="minorHAnsi"/>
          <w:szCs w:val="26"/>
        </w:rPr>
        <w:t xml:space="preserve">Natural and probable consequences </w:t>
      </w:r>
      <w:r w:rsidRPr="009C6CB3">
        <w:rPr>
          <w:rFonts w:cstheme="minorHAnsi"/>
          <w:szCs w:val="26"/>
        </w:rPr>
        <w:t xml:space="preserve">liability </w:t>
      </w:r>
      <w:r w:rsidRPr="009C6CB3" w:rsidR="00955CC2">
        <w:rPr>
          <w:rFonts w:cstheme="minorHAnsi"/>
          <w:szCs w:val="26"/>
        </w:rPr>
        <w:t>can</w:t>
      </w:r>
      <w:r w:rsidRPr="009C6CB3">
        <w:rPr>
          <w:rFonts w:cstheme="minorHAnsi"/>
          <w:szCs w:val="26"/>
        </w:rPr>
        <w:t xml:space="preserve"> be imposed even if the accomplice did not intend </w:t>
      </w:r>
      <w:r w:rsidRPr="009C6CB3" w:rsidR="00955CC2">
        <w:rPr>
          <w:rFonts w:cstheme="minorHAnsi"/>
          <w:szCs w:val="26"/>
        </w:rPr>
        <w:t>the additional offense.  (</w:t>
      </w:r>
      <w:bookmarkStart w:id="1" w:name="Psych_Cite_2"/>
      <w:r w:rsidRPr="009C6CB3" w:rsidR="00955CC2">
        <w:rPr>
          <w:rFonts w:cstheme="minorHAnsi"/>
          <w:i/>
          <w:szCs w:val="26"/>
        </w:rPr>
        <w:t>People v. McCoy</w:t>
      </w:r>
      <w:r w:rsidRPr="009C6CB3" w:rsidR="00955CC2">
        <w:rPr>
          <w:rFonts w:cstheme="minorHAnsi"/>
          <w:szCs w:val="26"/>
        </w:rPr>
        <w:t xml:space="preserve"> (2001) 25 Cal.4th 1111, 1117 (</w:t>
      </w:r>
      <w:r w:rsidRPr="009C6CB3" w:rsidR="00955CC2">
        <w:rPr>
          <w:rFonts w:cstheme="minorHAnsi"/>
          <w:i/>
          <w:szCs w:val="26"/>
        </w:rPr>
        <w:t>McCoy</w:t>
      </w:r>
      <w:r w:rsidRPr="009C6CB3" w:rsidR="00955CC2">
        <w:rPr>
          <w:rFonts w:cstheme="minorHAnsi"/>
          <w:szCs w:val="26"/>
        </w:rPr>
        <w:t>)</w:t>
      </w:r>
      <w:bookmarkEnd w:id="1"/>
      <w:r w:rsidRPr="009C6CB3" w:rsidR="00955CC2">
        <w:rPr>
          <w:rFonts w:cstheme="minorHAnsi"/>
          <w:szCs w:val="26"/>
        </w:rPr>
        <w:t>.)</w:t>
      </w:r>
      <w:r w:rsidRPr="009C6CB3" w:rsidR="00955CC2">
        <w:rPr>
          <w:color w:val="000000"/>
          <w:szCs w:val="26"/>
        </w:rPr>
        <w:t xml:space="preserve">  </w:t>
      </w:r>
      <w:r w:rsidRPr="009C6CB3" w:rsidR="007B1D54">
        <w:t xml:space="preserve">In </w:t>
      </w:r>
      <w:bookmarkStart w:id="2" w:name="Psych_Cite_3"/>
      <w:r w:rsidRPr="009C6CB3" w:rsidR="007B1D54">
        <w:rPr>
          <w:i/>
          <w:color w:val="000000"/>
          <w:szCs w:val="26"/>
        </w:rPr>
        <w:t xml:space="preserve">People v. Chiu </w:t>
      </w:r>
      <w:r w:rsidRPr="009C6CB3" w:rsidR="007B1D54">
        <w:rPr>
          <w:color w:val="000000"/>
          <w:szCs w:val="26"/>
        </w:rPr>
        <w:t>(2014) 59 Cal.</w:t>
      </w:r>
      <w:r w:rsidRPr="009C6CB3" w:rsidR="00E26BF6">
        <w:rPr>
          <w:color w:val="000000"/>
          <w:szCs w:val="26"/>
        </w:rPr>
        <w:t>4th</w:t>
      </w:r>
      <w:r w:rsidRPr="009C6CB3" w:rsidR="007B1D54">
        <w:rPr>
          <w:color w:val="000000"/>
          <w:szCs w:val="26"/>
        </w:rPr>
        <w:t xml:space="preserve"> 155 (</w:t>
      </w:r>
      <w:r w:rsidRPr="009C6CB3" w:rsidR="007B1D54">
        <w:rPr>
          <w:i/>
          <w:color w:val="000000"/>
          <w:szCs w:val="26"/>
        </w:rPr>
        <w:t>Chiu</w:t>
      </w:r>
      <w:r w:rsidRPr="009C6CB3" w:rsidR="007B1D54">
        <w:rPr>
          <w:color w:val="000000"/>
          <w:szCs w:val="26"/>
        </w:rPr>
        <w:t>)</w:t>
      </w:r>
      <w:bookmarkEnd w:id="2"/>
      <w:r w:rsidRPr="009C6CB3" w:rsidR="007B1D54">
        <w:rPr>
          <w:color w:val="000000"/>
          <w:szCs w:val="26"/>
        </w:rPr>
        <w:t xml:space="preserve">, </w:t>
      </w:r>
      <w:r w:rsidRPr="009C6CB3" w:rsidR="00983479">
        <w:rPr>
          <w:color w:val="000000"/>
          <w:szCs w:val="26"/>
        </w:rPr>
        <w:t xml:space="preserve">we held that </w:t>
      </w:r>
      <w:r w:rsidRPr="009C6CB3" w:rsidR="002E7B5D">
        <w:t xml:space="preserve">natural and probable consequences liability </w:t>
      </w:r>
      <w:r w:rsidRPr="009C6CB3" w:rsidR="00983479">
        <w:t xml:space="preserve">cannot extend to </w:t>
      </w:r>
      <w:r w:rsidRPr="009C6CB3" w:rsidR="002E7B5D">
        <w:t xml:space="preserve">first degree premeditated murder because </w:t>
      </w:r>
      <w:r w:rsidRPr="009C6CB3" w:rsidR="00E26BF6">
        <w:t xml:space="preserve">punishing </w:t>
      </w:r>
      <w:r w:rsidRPr="009C6CB3" w:rsidR="0065653D">
        <w:t>someone</w:t>
      </w:r>
      <w:r w:rsidRPr="009C6CB3" w:rsidR="00E26BF6">
        <w:t xml:space="preserve"> for</w:t>
      </w:r>
      <w:r w:rsidRPr="009C6CB3" w:rsidR="009F7F20">
        <w:t xml:space="preserve"> </w:t>
      </w:r>
      <w:r w:rsidRPr="009C6CB3" w:rsidR="00E26BF6">
        <w:t xml:space="preserve">first degree premeditated murder </w:t>
      </w:r>
      <w:r w:rsidRPr="009C6CB3" w:rsidR="009F7F20">
        <w:t xml:space="preserve">when that person did not actually </w:t>
      </w:r>
      <w:r w:rsidRPr="009C6CB3" w:rsidR="002E7B5D">
        <w:t xml:space="preserve">perpetrate </w:t>
      </w:r>
      <w:r w:rsidRPr="009C6CB3" w:rsidR="001A2924">
        <w:t xml:space="preserve">or intend </w:t>
      </w:r>
      <w:r w:rsidRPr="009C6CB3" w:rsidR="002E7B5D">
        <w:t>the killing</w:t>
      </w:r>
      <w:r w:rsidRPr="009C6CB3" w:rsidR="009F7F20">
        <w:t xml:space="preserve"> </w:t>
      </w:r>
      <w:r w:rsidR="00642A82">
        <w:t>i</w:t>
      </w:r>
      <w:r w:rsidRPr="009C6CB3" w:rsidR="009F7F20">
        <w:t>s inconsistent with “reasonable concepts of culpability.”  (</w:t>
      </w:r>
      <w:r w:rsidRPr="009C6CB3" w:rsidR="009F7F20">
        <w:rPr>
          <w:i/>
        </w:rPr>
        <w:t>I</w:t>
      </w:r>
      <w:bookmarkStart w:id="3" w:name="Psych_Cite_1"/>
      <w:r w:rsidRPr="009C6CB3" w:rsidR="009F7F20">
        <w:rPr>
          <w:i/>
        </w:rPr>
        <w:t>d</w:t>
      </w:r>
      <w:r w:rsidRPr="009C6CB3" w:rsidR="009F7F20">
        <w:t xml:space="preserve">. at </w:t>
      </w:r>
      <w:r w:rsidRPr="009C6CB3" w:rsidR="00697035">
        <w:t>p</w:t>
      </w:r>
      <w:r w:rsidRPr="009C6CB3" w:rsidR="009F7F20">
        <w:t>. </w:t>
      </w:r>
      <w:r w:rsidRPr="009C6CB3" w:rsidR="00697035">
        <w:t>165</w:t>
      </w:r>
      <w:r w:rsidR="00D23A20">
        <w:t xml:space="preserve">; </w:t>
      </w:r>
      <w:r w:rsidR="00440369">
        <w:t xml:space="preserve">see </w:t>
      </w:r>
      <w:r w:rsidR="00D23A20">
        <w:rPr>
          <w:i/>
          <w:iCs/>
        </w:rPr>
        <w:t>id.</w:t>
      </w:r>
      <w:r w:rsidR="00D23A20">
        <w:t xml:space="preserve"> at p. </w:t>
      </w:r>
      <w:r w:rsidRPr="009C6CB3" w:rsidR="009F7F20">
        <w:t>166</w:t>
      </w:r>
      <w:bookmarkEnd w:id="3"/>
      <w:r w:rsidRPr="009C6CB3" w:rsidR="009F7F20">
        <w:t xml:space="preserve">.)  </w:t>
      </w:r>
    </w:p>
    <w:p w:rsidR="00845983" w:rsidRPr="009C6CB3" w:rsidP="009C6CB3">
      <w:pPr>
        <w:tabs>
          <w:tab w:val="left" w:pos="1440"/>
        </w:tabs>
        <w:ind w:firstLine="720"/>
      </w:pPr>
      <w:r w:rsidRPr="009C6CB3">
        <w:t>I</w:t>
      </w:r>
      <w:r w:rsidRPr="009C6CB3" w:rsidR="002E7B5D">
        <w:t>n 2018,</w:t>
      </w:r>
      <w:r w:rsidRPr="009C6CB3" w:rsidR="00EF5544">
        <w:t xml:space="preserve"> the Legislature </w:t>
      </w:r>
      <w:r w:rsidRPr="009C6CB3" w:rsidR="009F7F20">
        <w:t>enacted</w:t>
      </w:r>
      <w:r w:rsidRPr="009C6CB3" w:rsidR="006D4FF6">
        <w:t xml:space="preserve"> </w:t>
      </w:r>
      <w:r w:rsidRPr="009C6CB3">
        <w:t>Senate Bill No. 1437</w:t>
      </w:r>
      <w:r w:rsidR="009102FA">
        <w:t xml:space="preserve"> (2017</w:t>
      </w:r>
      <w:r w:rsidR="00CE2030">
        <w:t>–</w:t>
      </w:r>
      <w:r w:rsidR="009102FA">
        <w:t>2018 Reg. Sess.)</w:t>
      </w:r>
      <w:r w:rsidR="00341ECC">
        <w:t xml:space="preserve"> (Senate Bill 1437)</w:t>
      </w:r>
      <w:r w:rsidRPr="009C6CB3" w:rsidR="00EF5544">
        <w:t xml:space="preserve"> after determining that there was further “need for statutory changes to more equitably sentence offenders in accordance with their involvement in homicides.”</w:t>
      </w:r>
      <w:r w:rsidRPr="009C6CB3" w:rsidR="00657CD9">
        <w:t xml:space="preserve">  </w:t>
      </w:r>
      <w:r w:rsidRPr="009C6CB3" w:rsidR="00657CD9">
        <w:rPr>
          <w:rFonts w:cstheme="minorHAnsi"/>
          <w:szCs w:val="26"/>
        </w:rPr>
        <w:t>(Stats.</w:t>
      </w:r>
      <w:r w:rsidRPr="009C6CB3" w:rsidR="002E7B5D">
        <w:rPr>
          <w:rFonts w:cstheme="minorHAnsi"/>
          <w:szCs w:val="26"/>
        </w:rPr>
        <w:t> </w:t>
      </w:r>
      <w:r w:rsidRPr="009C6CB3" w:rsidR="00657CD9">
        <w:rPr>
          <w:rFonts w:cstheme="minorHAnsi"/>
          <w:szCs w:val="26"/>
        </w:rPr>
        <w:t>2018, ch.</w:t>
      </w:r>
      <w:r w:rsidRPr="009C6CB3" w:rsidR="002E7B5D">
        <w:rPr>
          <w:rFonts w:cstheme="minorHAnsi"/>
          <w:szCs w:val="26"/>
        </w:rPr>
        <w:t> </w:t>
      </w:r>
      <w:r w:rsidRPr="009C6CB3" w:rsidR="00657CD9">
        <w:rPr>
          <w:rFonts w:cstheme="minorHAnsi"/>
          <w:szCs w:val="26"/>
        </w:rPr>
        <w:t>1015, § l</w:t>
      </w:r>
      <w:r w:rsidR="00341ECC">
        <w:rPr>
          <w:rFonts w:cstheme="minorHAnsi"/>
          <w:szCs w:val="26"/>
        </w:rPr>
        <w:t>, subd.</w:t>
      </w:r>
      <w:r w:rsidR="00AA462A">
        <w:rPr>
          <w:rFonts w:cstheme="minorHAnsi"/>
          <w:szCs w:val="26"/>
        </w:rPr>
        <w:t> </w:t>
      </w:r>
      <w:r w:rsidRPr="009C6CB3" w:rsidR="00657CD9">
        <w:rPr>
          <w:rFonts w:cstheme="minorHAnsi"/>
          <w:szCs w:val="26"/>
        </w:rPr>
        <w:t>(b).)</w:t>
      </w:r>
      <w:r w:rsidRPr="009C6CB3" w:rsidR="00657CD9">
        <w:t xml:space="preserve">  Among other things,</w:t>
      </w:r>
      <w:r w:rsidRPr="009C6CB3">
        <w:t xml:space="preserve"> </w:t>
      </w:r>
      <w:r w:rsidRPr="009C6CB3" w:rsidR="00F508AE">
        <w:t>S</w:t>
      </w:r>
      <w:r w:rsidRPr="009C6CB3" w:rsidR="00B4417A">
        <w:t xml:space="preserve">enate </w:t>
      </w:r>
      <w:r w:rsidRPr="009C6CB3" w:rsidR="00F508AE">
        <w:t>B</w:t>
      </w:r>
      <w:r w:rsidRPr="009C6CB3" w:rsidR="00B4417A">
        <w:t>ill</w:t>
      </w:r>
      <w:r w:rsidRPr="009C6CB3" w:rsidR="00F508AE">
        <w:t> 1437</w:t>
      </w:r>
      <w:r w:rsidRPr="009C6CB3" w:rsidR="00657CD9">
        <w:t xml:space="preserve"> </w:t>
      </w:r>
      <w:r w:rsidRPr="009C6CB3" w:rsidR="00B47D73">
        <w:t xml:space="preserve">amended </w:t>
      </w:r>
      <w:bookmarkStart w:id="4" w:name="Psych_Cite_4"/>
      <w:r w:rsidRPr="009C6CB3" w:rsidR="00B47D73">
        <w:t>Penal Code section 18</w:t>
      </w:r>
      <w:bookmarkEnd w:id="4"/>
      <w:r w:rsidRPr="009C6CB3" w:rsidR="00B47D73">
        <w:t xml:space="preserve">8 to provide </w:t>
      </w:r>
      <w:r w:rsidRPr="009C6CB3">
        <w:t>that “</w:t>
      </w:r>
      <w:r w:rsidRPr="009C6CB3" w:rsidR="00B47D73">
        <w:t xml:space="preserve">[e]xcept as stated in subdivision (e) of </w:t>
      </w:r>
      <w:bookmarkStart w:id="5" w:name="Psych_Cite_6"/>
      <w:r w:rsidR="003716D0">
        <w:t>S</w:t>
      </w:r>
      <w:r w:rsidRPr="009C6CB3" w:rsidR="00B47D73">
        <w:t>ection 189 [governing felony murder]</w:t>
      </w:r>
      <w:bookmarkEnd w:id="5"/>
      <w:r w:rsidRPr="009C6CB3" w:rsidR="00B47D73">
        <w:t xml:space="preserve">, in order to be convicted of murder, </w:t>
      </w:r>
      <w:r w:rsidRPr="009C6CB3">
        <w:t>a principal in a crime shall act with malice aforethought</w:t>
      </w:r>
      <w:r w:rsidRPr="009C6CB3" w:rsidR="00B47D73">
        <w:t>.  Malice shall not be imputed to a person based solely on his or her participation in a crime.</w:t>
      </w:r>
      <w:r w:rsidRPr="009C6CB3">
        <w:t>”  (</w:t>
      </w:r>
      <w:bookmarkStart w:id="6" w:name="Psych_Cite_5"/>
      <w:r w:rsidRPr="009C6CB3" w:rsidR="00424153">
        <w:t>Pen</w:t>
      </w:r>
      <w:r w:rsidRPr="009C6CB3" w:rsidR="00C47713">
        <w:t>.</w:t>
      </w:r>
      <w:r w:rsidRPr="009C6CB3" w:rsidR="00424153">
        <w:t xml:space="preserve"> Code, </w:t>
      </w:r>
      <w:r w:rsidRPr="009C6CB3">
        <w:t>§ 188, subd. (a)(3)</w:t>
      </w:r>
      <w:bookmarkEnd w:id="6"/>
      <w:r w:rsidRPr="009C6CB3" w:rsidR="00F52889">
        <w:t>; all undesignated statutory references are to the Penal Code</w:t>
      </w:r>
      <w:r w:rsidRPr="009C6CB3">
        <w:t xml:space="preserve">.)  We </w:t>
      </w:r>
      <w:r w:rsidRPr="009C6CB3">
        <w:t>are asked to decide the effect of this amendment on the natural and probable consequences doctrine as it applies to second degree murder.</w:t>
      </w:r>
    </w:p>
    <w:p w:rsidR="00845983" w:rsidRPr="009C6CB3" w:rsidP="009C6CB3">
      <w:pPr>
        <w:tabs>
          <w:tab w:val="left" w:pos="1440"/>
        </w:tabs>
        <w:ind w:firstLine="720"/>
      </w:pPr>
      <w:r w:rsidRPr="009C6CB3">
        <w:t>W</w:t>
      </w:r>
      <w:r w:rsidRPr="009C6CB3" w:rsidR="009F7F20">
        <w:t>e hold that</w:t>
      </w:r>
      <w:r w:rsidRPr="009C6CB3" w:rsidR="00424153">
        <w:t xml:space="preserve"> </w:t>
      </w:r>
      <w:r w:rsidRPr="009C6CB3" w:rsidR="00F508AE">
        <w:t>S</w:t>
      </w:r>
      <w:r w:rsidRPr="009C6CB3" w:rsidR="00B4417A">
        <w:t xml:space="preserve">enate </w:t>
      </w:r>
      <w:r w:rsidRPr="009C6CB3" w:rsidR="00F508AE">
        <w:t>B</w:t>
      </w:r>
      <w:r w:rsidRPr="009C6CB3" w:rsidR="00B4417A">
        <w:t>ill</w:t>
      </w:r>
      <w:r w:rsidRPr="009C6CB3" w:rsidR="00F508AE">
        <w:t> 1437</w:t>
      </w:r>
      <w:r w:rsidRPr="009C6CB3" w:rsidR="00424153">
        <w:t xml:space="preserve"> bars a conviction for second degree murder under the natural and probable consequences theory.  </w:t>
      </w:r>
      <w:r w:rsidRPr="009C6CB3" w:rsidR="00F52889">
        <w:t xml:space="preserve">We further hold </w:t>
      </w:r>
      <w:r w:rsidRPr="009C6CB3" w:rsidR="00F52889">
        <w:rPr>
          <w:rFonts w:cstheme="minorHAnsi"/>
          <w:szCs w:val="26"/>
        </w:rPr>
        <w:t>that the procedure set forth in section</w:t>
      </w:r>
      <w:r w:rsidR="00041B69">
        <w:rPr>
          <w:rFonts w:cstheme="minorHAnsi"/>
          <w:szCs w:val="26"/>
        </w:rPr>
        <w:t> </w:t>
      </w:r>
      <w:r w:rsidRPr="009C6CB3" w:rsidR="00F52889">
        <w:rPr>
          <w:rFonts w:cstheme="minorHAnsi"/>
          <w:szCs w:val="26"/>
        </w:rPr>
        <w:t xml:space="preserve">1170.95 is the exclusive mechanism for </w:t>
      </w:r>
      <w:r w:rsidRPr="009C6CB3" w:rsidR="00AE2C78">
        <w:rPr>
          <w:rFonts w:cstheme="minorHAnsi"/>
          <w:szCs w:val="26"/>
        </w:rPr>
        <w:t>retroactive relief and thus the ameliorative provisions of Senate Bill 1437 do not apply to nonfinal judgments on direct appeal</w:t>
      </w:r>
      <w:r w:rsidRPr="009C6CB3" w:rsidR="00F52889">
        <w:rPr>
          <w:rFonts w:cstheme="minorHAnsi"/>
          <w:szCs w:val="26"/>
        </w:rPr>
        <w:t>.</w:t>
      </w:r>
    </w:p>
    <w:p w:rsidR="00215EE2" w:rsidRPr="009C6CB3" w:rsidP="002806BA">
      <w:pPr>
        <w:tabs>
          <w:tab w:val="left" w:pos="1440"/>
        </w:tabs>
        <w:jc w:val="center"/>
        <w:rPr>
          <w:b/>
        </w:rPr>
      </w:pPr>
      <w:r w:rsidRPr="009C6CB3">
        <w:rPr>
          <w:b/>
        </w:rPr>
        <w:t>I.</w:t>
      </w:r>
    </w:p>
    <w:p w:rsidR="00E25900" w:rsidRPr="009C6CB3" w:rsidP="009C6CB3">
      <w:pPr>
        <w:ind w:firstLine="720"/>
        <w:contextualSpacing/>
        <w:rPr>
          <w:color w:val="000000"/>
          <w:szCs w:val="26"/>
        </w:rPr>
      </w:pPr>
      <w:r w:rsidRPr="009C6CB3">
        <w:rPr>
          <w:color w:val="000000"/>
          <w:szCs w:val="26"/>
        </w:rPr>
        <w:t xml:space="preserve">In June 2014, Guillermo Saavedra was found beaten to death inside La Casita restaurant in Indio where he lived and worked as the caretaker.  Near his body was a broken chair, a broken </w:t>
      </w:r>
      <w:r w:rsidRPr="009C6CB3" w:rsidR="00D45ABD">
        <w:rPr>
          <w:color w:val="000000"/>
          <w:szCs w:val="26"/>
        </w:rPr>
        <w:t xml:space="preserve">beer </w:t>
      </w:r>
      <w:r w:rsidRPr="009C6CB3">
        <w:rPr>
          <w:color w:val="000000"/>
          <w:szCs w:val="26"/>
        </w:rPr>
        <w:t xml:space="preserve">bottle, </w:t>
      </w:r>
      <w:r w:rsidRPr="009C6CB3" w:rsidR="004D5C3A">
        <w:rPr>
          <w:color w:val="000000"/>
          <w:szCs w:val="26"/>
        </w:rPr>
        <w:t xml:space="preserve">a wooden stick, </w:t>
      </w:r>
      <w:r w:rsidRPr="009C6CB3">
        <w:rPr>
          <w:color w:val="000000"/>
          <w:szCs w:val="26"/>
        </w:rPr>
        <w:t>and a broken golf club</w:t>
      </w:r>
      <w:r w:rsidRPr="009C6CB3" w:rsidR="00E3522D">
        <w:rPr>
          <w:color w:val="000000"/>
          <w:szCs w:val="26"/>
        </w:rPr>
        <w:t xml:space="preserve"> </w:t>
      </w:r>
      <w:r w:rsidRPr="009C6CB3">
        <w:rPr>
          <w:color w:val="000000"/>
          <w:szCs w:val="26"/>
        </w:rPr>
        <w:t xml:space="preserve">with Saavedra’s blood on it, as well as bloody </w:t>
      </w:r>
      <w:r w:rsidRPr="009C6CB3" w:rsidR="004D5C3A">
        <w:rPr>
          <w:color w:val="000000"/>
          <w:szCs w:val="26"/>
        </w:rPr>
        <w:t>shoe and sock prints</w:t>
      </w:r>
      <w:r w:rsidRPr="009C6CB3">
        <w:rPr>
          <w:color w:val="000000"/>
          <w:szCs w:val="26"/>
        </w:rPr>
        <w:t xml:space="preserve">.  </w:t>
      </w:r>
      <w:r w:rsidRPr="009C6CB3">
        <w:rPr>
          <w:color w:val="000000"/>
          <w:szCs w:val="26"/>
        </w:rPr>
        <w:t>Also found in the restaurant were cigarette butts containing DNA from defendant Joseph Gentile</w:t>
      </w:r>
      <w:r w:rsidR="00231E5E">
        <w:rPr>
          <w:color w:val="000000"/>
          <w:szCs w:val="26"/>
        </w:rPr>
        <w:t>,</w:t>
      </w:r>
      <w:r w:rsidRPr="009C6CB3">
        <w:rPr>
          <w:color w:val="000000"/>
          <w:szCs w:val="26"/>
        </w:rPr>
        <w:t xml:space="preserve"> Jr., his ex-wife Saundra Roberts, and Saavedra.</w:t>
      </w:r>
    </w:p>
    <w:p w:rsidR="0057439C" w:rsidRPr="009C6CB3" w:rsidP="009C6CB3">
      <w:pPr>
        <w:ind w:firstLine="720"/>
        <w:contextualSpacing/>
        <w:rPr>
          <w:color w:val="000000"/>
          <w:szCs w:val="26"/>
        </w:rPr>
      </w:pPr>
      <w:r w:rsidRPr="009C6CB3">
        <w:rPr>
          <w:color w:val="000000"/>
          <w:szCs w:val="26"/>
        </w:rPr>
        <w:t>A</w:t>
      </w:r>
      <w:r w:rsidR="00AA462A">
        <w:rPr>
          <w:color w:val="000000"/>
          <w:szCs w:val="26"/>
        </w:rPr>
        <w:t>round</w:t>
      </w:r>
      <w:r w:rsidR="00F95D57">
        <w:rPr>
          <w:color w:val="000000"/>
          <w:szCs w:val="26"/>
        </w:rPr>
        <w:t xml:space="preserve"> </w:t>
      </w:r>
      <w:r w:rsidRPr="009C6CB3">
        <w:rPr>
          <w:color w:val="000000"/>
          <w:szCs w:val="26"/>
        </w:rPr>
        <w:t>1:00 a</w:t>
      </w:r>
      <w:r w:rsidR="00AA462A">
        <w:rPr>
          <w:color w:val="000000"/>
          <w:szCs w:val="26"/>
        </w:rPr>
        <w:t>.</w:t>
      </w:r>
      <w:r w:rsidRPr="009C6CB3">
        <w:rPr>
          <w:color w:val="000000"/>
          <w:szCs w:val="26"/>
        </w:rPr>
        <w:t>m</w:t>
      </w:r>
      <w:r w:rsidR="00AA462A">
        <w:rPr>
          <w:color w:val="000000"/>
          <w:szCs w:val="26"/>
        </w:rPr>
        <w:t>.</w:t>
      </w:r>
      <w:r w:rsidRPr="009C6CB3">
        <w:rPr>
          <w:color w:val="000000"/>
          <w:szCs w:val="26"/>
        </w:rPr>
        <w:t xml:space="preserve"> the day before Saavedra’s body was found, surveillance footage captured </w:t>
      </w:r>
      <w:r w:rsidRPr="009C6CB3" w:rsidR="00E25900">
        <w:rPr>
          <w:color w:val="000000"/>
          <w:szCs w:val="26"/>
        </w:rPr>
        <w:t>Gentile</w:t>
      </w:r>
      <w:r w:rsidRPr="009C6CB3" w:rsidR="007B1D54">
        <w:rPr>
          <w:color w:val="000000"/>
          <w:szCs w:val="26"/>
        </w:rPr>
        <w:t xml:space="preserve"> </w:t>
      </w:r>
      <w:r w:rsidRPr="009C6CB3">
        <w:rPr>
          <w:color w:val="000000"/>
          <w:szCs w:val="26"/>
        </w:rPr>
        <w:t xml:space="preserve">wandering </w:t>
      </w:r>
      <w:r w:rsidRPr="009C6CB3" w:rsidR="00735643">
        <w:rPr>
          <w:color w:val="000000"/>
          <w:szCs w:val="26"/>
        </w:rPr>
        <w:t xml:space="preserve">around </w:t>
      </w:r>
      <w:r w:rsidRPr="009C6CB3">
        <w:rPr>
          <w:color w:val="000000"/>
          <w:szCs w:val="26"/>
        </w:rPr>
        <w:t>the nearby Royal Plaza Inn.  Several minutes later, another camera outside a laundromat next to the Royal Plaza Inn showed Gentile with Roberts</w:t>
      </w:r>
      <w:r w:rsidRPr="009C6CB3" w:rsidR="00E25900">
        <w:rPr>
          <w:color w:val="000000"/>
          <w:szCs w:val="26"/>
        </w:rPr>
        <w:t xml:space="preserve"> </w:t>
      </w:r>
      <w:r w:rsidRPr="009C6CB3">
        <w:rPr>
          <w:color w:val="000000"/>
          <w:szCs w:val="26"/>
        </w:rPr>
        <w:t xml:space="preserve">and Roberts’s boyfriend Stephen Gardner.  When a detective retraced Gentile’s steps from the surveillance footage, he found a bloody sock containing Saavedra’s DNA </w:t>
      </w:r>
      <w:r w:rsidR="00AA462A">
        <w:rPr>
          <w:color w:val="000000"/>
          <w:szCs w:val="26"/>
        </w:rPr>
        <w:t xml:space="preserve">as well as DNA consistent with </w:t>
      </w:r>
      <w:r w:rsidRPr="009C6CB3">
        <w:rPr>
          <w:color w:val="000000"/>
          <w:szCs w:val="26"/>
        </w:rPr>
        <w:t xml:space="preserve">Gentile’s </w:t>
      </w:r>
      <w:r w:rsidR="00AA462A">
        <w:rPr>
          <w:color w:val="000000"/>
          <w:szCs w:val="26"/>
        </w:rPr>
        <w:t>profile</w:t>
      </w:r>
      <w:r w:rsidRPr="009C6CB3">
        <w:rPr>
          <w:color w:val="000000"/>
          <w:szCs w:val="26"/>
        </w:rPr>
        <w:t>.</w:t>
      </w:r>
    </w:p>
    <w:p w:rsidR="008E2A65" w:rsidRPr="009C6CB3" w:rsidP="009C6CB3">
      <w:pPr>
        <w:ind w:firstLine="720"/>
        <w:contextualSpacing/>
        <w:rPr>
          <w:rFonts w:cstheme="minorHAnsi"/>
          <w:color w:val="000000"/>
          <w:szCs w:val="26"/>
        </w:rPr>
      </w:pPr>
      <w:r w:rsidRPr="00847C9F">
        <w:rPr>
          <w:rFonts w:cstheme="minorHAnsi"/>
          <w:color w:val="000000"/>
          <w:szCs w:val="26"/>
        </w:rPr>
        <w:t>G</w:t>
      </w:r>
      <w:r w:rsidRPr="009C6CB3">
        <w:rPr>
          <w:rFonts w:cstheme="minorHAnsi"/>
          <w:color w:val="000000"/>
          <w:szCs w:val="26"/>
        </w:rPr>
        <w:t xml:space="preserve">entile was charged with </w:t>
      </w:r>
      <w:r w:rsidRPr="009C6CB3" w:rsidR="00CB2F12">
        <w:rPr>
          <w:rFonts w:cstheme="minorHAnsi"/>
          <w:color w:val="000000"/>
          <w:szCs w:val="26"/>
        </w:rPr>
        <w:t xml:space="preserve">one count of </w:t>
      </w:r>
      <w:r w:rsidRPr="009C6CB3">
        <w:rPr>
          <w:rFonts w:cstheme="minorHAnsi"/>
          <w:color w:val="000000"/>
          <w:szCs w:val="26"/>
        </w:rPr>
        <w:t xml:space="preserve">first degree </w:t>
      </w:r>
      <w:r w:rsidRPr="009C6CB3" w:rsidR="001D1D9C">
        <w:rPr>
          <w:rFonts w:cstheme="minorHAnsi"/>
          <w:color w:val="000000"/>
          <w:szCs w:val="26"/>
        </w:rPr>
        <w:t xml:space="preserve">premeditated </w:t>
      </w:r>
      <w:r w:rsidRPr="009C6CB3">
        <w:rPr>
          <w:rFonts w:cstheme="minorHAnsi"/>
          <w:color w:val="000000"/>
          <w:szCs w:val="26"/>
        </w:rPr>
        <w:t xml:space="preserve">murder </w:t>
      </w:r>
      <w:r w:rsidRPr="009C6CB3" w:rsidR="00CB2F12">
        <w:rPr>
          <w:rFonts w:cstheme="minorHAnsi"/>
          <w:color w:val="000000"/>
          <w:szCs w:val="26"/>
        </w:rPr>
        <w:t>(§ 187, subd. (a)) with</w:t>
      </w:r>
      <w:r w:rsidRPr="009C6CB3">
        <w:rPr>
          <w:rFonts w:cstheme="minorHAnsi"/>
          <w:color w:val="000000"/>
          <w:szCs w:val="26"/>
        </w:rPr>
        <w:t xml:space="preserve"> </w:t>
      </w:r>
      <w:r w:rsidRPr="009C6CB3" w:rsidR="001D1D9C">
        <w:rPr>
          <w:rFonts w:cstheme="minorHAnsi"/>
          <w:color w:val="000000"/>
          <w:szCs w:val="26"/>
        </w:rPr>
        <w:t xml:space="preserve">sentencing </w:t>
      </w:r>
      <w:r w:rsidRPr="009C6CB3" w:rsidR="00CB2F12">
        <w:rPr>
          <w:rFonts w:cstheme="minorHAnsi"/>
          <w:color w:val="000000"/>
          <w:szCs w:val="26"/>
        </w:rPr>
        <w:t>enhancement</w:t>
      </w:r>
      <w:r w:rsidRPr="009C6CB3" w:rsidR="00D577D8">
        <w:rPr>
          <w:rFonts w:cstheme="minorHAnsi"/>
          <w:color w:val="000000"/>
          <w:szCs w:val="26"/>
        </w:rPr>
        <w:t>s</w:t>
      </w:r>
      <w:r w:rsidRPr="009C6CB3" w:rsidR="00CB2F12">
        <w:rPr>
          <w:rFonts w:cstheme="minorHAnsi"/>
          <w:color w:val="000000"/>
          <w:szCs w:val="26"/>
        </w:rPr>
        <w:t xml:space="preserve"> for personal </w:t>
      </w:r>
      <w:r w:rsidRPr="009C6CB3">
        <w:rPr>
          <w:rFonts w:cstheme="minorHAnsi"/>
          <w:color w:val="000000"/>
          <w:szCs w:val="26"/>
        </w:rPr>
        <w:t>use of a deadly weapon</w:t>
      </w:r>
      <w:r w:rsidRPr="009C6CB3" w:rsidR="00CB2F12">
        <w:rPr>
          <w:rFonts w:cstheme="minorHAnsi"/>
          <w:color w:val="000000"/>
          <w:szCs w:val="26"/>
        </w:rPr>
        <w:t xml:space="preserve"> (</w:t>
      </w:r>
      <w:bookmarkStart w:id="7" w:name="Psych_Cite_7"/>
      <w:r w:rsidRPr="009C6CB3" w:rsidR="00735643">
        <w:rPr>
          <w:rFonts w:cstheme="minorHAnsi"/>
          <w:i/>
          <w:color w:val="000000"/>
          <w:szCs w:val="26"/>
        </w:rPr>
        <w:t>id.</w:t>
      </w:r>
      <w:r w:rsidRPr="009C6CB3" w:rsidR="00735643">
        <w:rPr>
          <w:rFonts w:cstheme="minorHAnsi"/>
          <w:color w:val="000000"/>
          <w:szCs w:val="26"/>
        </w:rPr>
        <w:t xml:space="preserve">, </w:t>
      </w:r>
      <w:r w:rsidRPr="009C6CB3" w:rsidR="00CB2F12">
        <w:rPr>
          <w:rFonts w:cstheme="minorHAnsi"/>
          <w:color w:val="000000"/>
          <w:szCs w:val="26"/>
        </w:rPr>
        <w:t>§§ 12022, subd</w:t>
      </w:r>
      <w:bookmarkEnd w:id="7"/>
      <w:r w:rsidRPr="009C6CB3" w:rsidR="00CB2F12">
        <w:rPr>
          <w:rFonts w:cstheme="minorHAnsi"/>
          <w:color w:val="000000"/>
          <w:szCs w:val="26"/>
        </w:rPr>
        <w:t>. (b)(1)</w:t>
      </w:r>
      <w:r w:rsidRPr="009C6CB3" w:rsidR="00837575">
        <w:rPr>
          <w:rFonts w:cstheme="minorHAnsi"/>
          <w:color w:val="000000"/>
          <w:szCs w:val="26"/>
        </w:rPr>
        <w:t>,</w:t>
      </w:r>
      <w:r w:rsidRPr="009C6CB3" w:rsidR="00CB2F12">
        <w:rPr>
          <w:rFonts w:cstheme="minorHAnsi"/>
          <w:color w:val="000000"/>
          <w:szCs w:val="26"/>
        </w:rPr>
        <w:t xml:space="preserve"> 1192.7</w:t>
      </w:r>
      <w:r w:rsidRPr="009C6CB3" w:rsidR="00837575">
        <w:rPr>
          <w:rFonts w:cstheme="minorHAnsi"/>
          <w:color w:val="000000"/>
          <w:szCs w:val="26"/>
        </w:rPr>
        <w:t>, subd. </w:t>
      </w:r>
      <w:r w:rsidRPr="009C6CB3" w:rsidR="00CB2F12">
        <w:rPr>
          <w:rFonts w:cstheme="minorHAnsi"/>
          <w:color w:val="000000"/>
          <w:szCs w:val="26"/>
        </w:rPr>
        <w:t>(c)(23))</w:t>
      </w:r>
      <w:r w:rsidRPr="009C6CB3" w:rsidR="00837575">
        <w:rPr>
          <w:rFonts w:cstheme="minorHAnsi"/>
          <w:color w:val="000000"/>
          <w:szCs w:val="26"/>
        </w:rPr>
        <w:t xml:space="preserve"> and </w:t>
      </w:r>
      <w:r w:rsidRPr="009C6CB3" w:rsidR="00D577D8">
        <w:rPr>
          <w:rFonts w:cstheme="minorHAnsi"/>
          <w:color w:val="000000"/>
          <w:szCs w:val="26"/>
        </w:rPr>
        <w:t xml:space="preserve">for </w:t>
      </w:r>
      <w:r w:rsidRPr="009C6CB3" w:rsidR="00837575">
        <w:rPr>
          <w:rFonts w:cstheme="minorHAnsi"/>
          <w:color w:val="000000"/>
          <w:szCs w:val="26"/>
        </w:rPr>
        <w:t>one prior conviction (</w:t>
      </w:r>
      <w:bookmarkStart w:id="8" w:name="Psych_Cite_8"/>
      <w:r w:rsidRPr="009C6CB3" w:rsidR="00735643">
        <w:rPr>
          <w:rFonts w:cstheme="minorHAnsi"/>
          <w:i/>
          <w:color w:val="000000"/>
          <w:szCs w:val="26"/>
        </w:rPr>
        <w:t>id.</w:t>
      </w:r>
      <w:r w:rsidRPr="009C6CB3" w:rsidR="00735643">
        <w:rPr>
          <w:rFonts w:cstheme="minorHAnsi"/>
          <w:color w:val="000000"/>
          <w:szCs w:val="26"/>
        </w:rPr>
        <w:t xml:space="preserve">, </w:t>
      </w:r>
      <w:r w:rsidRPr="009C6CB3" w:rsidR="00837575">
        <w:rPr>
          <w:rFonts w:cstheme="minorHAnsi"/>
          <w:color w:val="000000"/>
          <w:szCs w:val="26"/>
        </w:rPr>
        <w:t>§ 667.5, subd</w:t>
      </w:r>
      <w:bookmarkEnd w:id="8"/>
      <w:r w:rsidRPr="009C6CB3" w:rsidR="00837575">
        <w:rPr>
          <w:rFonts w:cstheme="minorHAnsi"/>
          <w:color w:val="000000"/>
          <w:szCs w:val="26"/>
        </w:rPr>
        <w:t>. (b))</w:t>
      </w:r>
      <w:r w:rsidRPr="009C6CB3">
        <w:rPr>
          <w:rFonts w:cstheme="minorHAnsi"/>
          <w:color w:val="000000"/>
          <w:szCs w:val="26"/>
        </w:rPr>
        <w:t>.</w:t>
      </w:r>
    </w:p>
    <w:p w:rsidR="0092384D" w:rsidRPr="009C6CB3" w:rsidP="009C6CB3">
      <w:pPr>
        <w:ind w:firstLine="720"/>
        <w:contextualSpacing/>
        <w:rPr>
          <w:color w:val="000000"/>
          <w:szCs w:val="26"/>
        </w:rPr>
      </w:pPr>
      <w:r w:rsidRPr="009C6CB3">
        <w:rPr>
          <w:rFonts w:cstheme="minorHAnsi"/>
          <w:color w:val="000000"/>
          <w:szCs w:val="26"/>
        </w:rPr>
        <w:t>At trial</w:t>
      </w:r>
      <w:r w:rsidRPr="009C6CB3" w:rsidR="00735643">
        <w:rPr>
          <w:rFonts w:cstheme="minorHAnsi"/>
          <w:color w:val="000000"/>
          <w:szCs w:val="26"/>
        </w:rPr>
        <w:t>,</w:t>
      </w:r>
      <w:r w:rsidRPr="009C6CB3">
        <w:rPr>
          <w:rFonts w:cstheme="minorHAnsi"/>
          <w:color w:val="000000"/>
          <w:szCs w:val="26"/>
        </w:rPr>
        <w:t xml:space="preserve"> the prosecution and Gentile presented dueling accounts of the events </w:t>
      </w:r>
      <w:r w:rsidRPr="009C6CB3">
        <w:rPr>
          <w:rFonts w:cstheme="minorHAnsi"/>
          <w:color w:val="000000"/>
          <w:szCs w:val="26"/>
        </w:rPr>
        <w:t>surrounding</w:t>
      </w:r>
      <w:r w:rsidRPr="009C6CB3">
        <w:rPr>
          <w:rFonts w:cstheme="minorHAnsi"/>
          <w:color w:val="000000"/>
          <w:szCs w:val="26"/>
        </w:rPr>
        <w:t xml:space="preserve"> Saavedra’s death.  Saundra Roberts was the primary witness for the prosecution.  She testified that on the day Saavedra was killed, Roberts, Gentile, and Saavedra met at La Casita restaurant.  The three talked and drank alcohol there into the evening.  </w:t>
      </w:r>
      <w:r w:rsidRPr="009C6CB3">
        <w:rPr>
          <w:color w:val="000000"/>
          <w:szCs w:val="26"/>
        </w:rPr>
        <w:t xml:space="preserve">At one point, </w:t>
      </w:r>
      <w:r w:rsidRPr="009C6CB3" w:rsidR="00C95320">
        <w:rPr>
          <w:color w:val="000000"/>
          <w:szCs w:val="26"/>
        </w:rPr>
        <w:t>Gentile</w:t>
      </w:r>
      <w:r w:rsidRPr="009C6CB3">
        <w:rPr>
          <w:color w:val="000000"/>
          <w:szCs w:val="26"/>
        </w:rPr>
        <w:t xml:space="preserve"> and Saavedra got into an argument</w:t>
      </w:r>
      <w:r w:rsidRPr="009C6CB3" w:rsidR="00735643">
        <w:rPr>
          <w:color w:val="000000"/>
          <w:szCs w:val="26"/>
        </w:rPr>
        <w:t>,</w:t>
      </w:r>
      <w:r w:rsidRPr="009C6CB3">
        <w:rPr>
          <w:color w:val="000000"/>
          <w:szCs w:val="26"/>
        </w:rPr>
        <w:t xml:space="preserve"> but they remained friendly and there was no violence.  After several hours, Roberts felt drunk and left to go sleep at a homeless encampment </w:t>
      </w:r>
      <w:r w:rsidR="00285BA7">
        <w:rPr>
          <w:color w:val="000000"/>
          <w:szCs w:val="26"/>
        </w:rPr>
        <w:t xml:space="preserve">about </w:t>
      </w:r>
      <w:r w:rsidRPr="009C6CB3" w:rsidR="00C95320">
        <w:rPr>
          <w:color w:val="000000"/>
          <w:szCs w:val="26"/>
        </w:rPr>
        <w:t>one</w:t>
      </w:r>
      <w:r w:rsidRPr="009C6CB3">
        <w:rPr>
          <w:color w:val="000000"/>
          <w:szCs w:val="26"/>
        </w:rPr>
        <w:t xml:space="preserve"> block away.  When Roberts woke</w:t>
      </w:r>
      <w:r w:rsidRPr="009C6CB3">
        <w:rPr>
          <w:color w:val="000000"/>
          <w:szCs w:val="26"/>
        </w:rPr>
        <w:t xml:space="preserve"> up</w:t>
      </w:r>
      <w:r w:rsidRPr="009C6CB3">
        <w:rPr>
          <w:color w:val="000000"/>
          <w:szCs w:val="26"/>
        </w:rPr>
        <w:t xml:space="preserve"> around 1:00</w:t>
      </w:r>
      <w:r w:rsidRPr="009C6CB3" w:rsidR="001F51CC">
        <w:rPr>
          <w:color w:val="000000"/>
          <w:szCs w:val="26"/>
        </w:rPr>
        <w:t> </w:t>
      </w:r>
      <w:r w:rsidRPr="009C6CB3">
        <w:rPr>
          <w:color w:val="000000"/>
          <w:szCs w:val="26"/>
        </w:rPr>
        <w:t>a</w:t>
      </w:r>
      <w:r w:rsidR="00AA462A">
        <w:rPr>
          <w:color w:val="000000"/>
          <w:szCs w:val="26"/>
        </w:rPr>
        <w:t>.</w:t>
      </w:r>
      <w:r w:rsidRPr="009C6CB3">
        <w:rPr>
          <w:color w:val="000000"/>
          <w:szCs w:val="26"/>
        </w:rPr>
        <w:t>m</w:t>
      </w:r>
      <w:r w:rsidR="00AA462A">
        <w:rPr>
          <w:color w:val="000000"/>
          <w:szCs w:val="26"/>
        </w:rPr>
        <w:t>.</w:t>
      </w:r>
      <w:r w:rsidRPr="009C6CB3">
        <w:rPr>
          <w:color w:val="000000"/>
          <w:szCs w:val="26"/>
        </w:rPr>
        <w:t xml:space="preserve"> or 1:30</w:t>
      </w:r>
      <w:r w:rsidR="004A41E7">
        <w:rPr>
          <w:color w:val="000000"/>
          <w:szCs w:val="26"/>
        </w:rPr>
        <w:t> </w:t>
      </w:r>
      <w:r w:rsidRPr="009C6CB3">
        <w:rPr>
          <w:color w:val="000000"/>
          <w:szCs w:val="26"/>
        </w:rPr>
        <w:t>a</w:t>
      </w:r>
      <w:r w:rsidR="00AA462A">
        <w:rPr>
          <w:color w:val="000000"/>
          <w:szCs w:val="26"/>
        </w:rPr>
        <w:t>.</w:t>
      </w:r>
      <w:r w:rsidRPr="009C6CB3">
        <w:rPr>
          <w:color w:val="000000"/>
          <w:szCs w:val="26"/>
        </w:rPr>
        <w:t>m</w:t>
      </w:r>
      <w:r w:rsidR="00AA462A">
        <w:rPr>
          <w:color w:val="000000"/>
          <w:szCs w:val="26"/>
        </w:rPr>
        <w:t>.</w:t>
      </w:r>
      <w:r w:rsidRPr="009C6CB3">
        <w:rPr>
          <w:color w:val="000000"/>
          <w:szCs w:val="26"/>
        </w:rPr>
        <w:t xml:space="preserve"> that night, she went to a nearby convenience store and saw Gentile across the street in the parking lot of the Royal Plaza Inn.  Roberts approached Gentile and saw that his </w:t>
      </w:r>
      <w:r w:rsidRPr="009C6CB3" w:rsidR="00881CF7">
        <w:rPr>
          <w:color w:val="000000"/>
          <w:szCs w:val="26"/>
        </w:rPr>
        <w:t>shirt was</w:t>
      </w:r>
      <w:r w:rsidRPr="009C6CB3">
        <w:rPr>
          <w:color w:val="000000"/>
          <w:szCs w:val="26"/>
        </w:rPr>
        <w:t xml:space="preserve"> wet.  Roberts recalled Gentile saying that he had gotten into a fight</w:t>
      </w:r>
      <w:r w:rsidR="006F177B">
        <w:rPr>
          <w:color w:val="000000"/>
          <w:szCs w:val="26"/>
        </w:rPr>
        <w:t xml:space="preserve"> with a man</w:t>
      </w:r>
      <w:r w:rsidRPr="009C6CB3">
        <w:rPr>
          <w:color w:val="000000"/>
          <w:szCs w:val="26"/>
        </w:rPr>
        <w:t xml:space="preserve">, that he </w:t>
      </w:r>
      <w:r w:rsidRPr="009C6CB3" w:rsidR="00497924">
        <w:rPr>
          <w:color w:val="000000"/>
          <w:szCs w:val="26"/>
        </w:rPr>
        <w:t xml:space="preserve">“hurt </w:t>
      </w:r>
      <w:r w:rsidR="00CF6EBE">
        <w:rPr>
          <w:color w:val="000000"/>
          <w:szCs w:val="26"/>
        </w:rPr>
        <w:t xml:space="preserve">him </w:t>
      </w:r>
      <w:r w:rsidRPr="009C6CB3" w:rsidR="00497924">
        <w:rPr>
          <w:color w:val="000000"/>
          <w:szCs w:val="26"/>
        </w:rPr>
        <w:t>pretty bad,” and that he “might have killed</w:t>
      </w:r>
      <w:r w:rsidR="00506109">
        <w:rPr>
          <w:color w:val="000000"/>
          <w:szCs w:val="26"/>
        </w:rPr>
        <w:t>”</w:t>
      </w:r>
      <w:r w:rsidRPr="009C6CB3" w:rsidR="00497924">
        <w:rPr>
          <w:color w:val="000000"/>
          <w:szCs w:val="26"/>
        </w:rPr>
        <w:t xml:space="preserve"> him.  </w:t>
      </w:r>
      <w:r w:rsidRPr="009C6CB3">
        <w:rPr>
          <w:color w:val="000000"/>
          <w:szCs w:val="26"/>
        </w:rPr>
        <w:t xml:space="preserve">Roberts called Gardner </w:t>
      </w:r>
      <w:r w:rsidRPr="009C6CB3" w:rsidR="00735643">
        <w:rPr>
          <w:color w:val="000000"/>
          <w:szCs w:val="26"/>
        </w:rPr>
        <w:t xml:space="preserve">and asked him </w:t>
      </w:r>
      <w:r w:rsidRPr="009C6CB3">
        <w:rPr>
          <w:color w:val="000000"/>
          <w:szCs w:val="26"/>
        </w:rPr>
        <w:t xml:space="preserve">to bring a spare set of clothes, which he did.  </w:t>
      </w:r>
      <w:r w:rsidRPr="009C6CB3">
        <w:rPr>
          <w:color w:val="000000"/>
          <w:szCs w:val="26"/>
        </w:rPr>
        <w:t>W</w:t>
      </w:r>
      <w:r w:rsidRPr="009C6CB3">
        <w:rPr>
          <w:color w:val="000000"/>
          <w:szCs w:val="26"/>
        </w:rPr>
        <w:t>hen Gardner arrived and realized that the clothes were for Gentile, he became angry and left.  Roberts sa</w:t>
      </w:r>
      <w:r w:rsidRPr="009C6CB3" w:rsidR="00735643">
        <w:rPr>
          <w:color w:val="000000"/>
          <w:szCs w:val="26"/>
        </w:rPr>
        <w:t>id</w:t>
      </w:r>
      <w:r w:rsidRPr="009C6CB3">
        <w:rPr>
          <w:color w:val="000000"/>
          <w:szCs w:val="26"/>
        </w:rPr>
        <w:t xml:space="preserve"> she then left and did not see Gentile again.</w:t>
      </w:r>
    </w:p>
    <w:p w:rsidR="0057439C" w:rsidRPr="009C6CB3" w:rsidP="009C6CB3">
      <w:pPr>
        <w:ind w:firstLine="720"/>
        <w:contextualSpacing/>
        <w:rPr>
          <w:rFonts w:cstheme="minorHAnsi"/>
          <w:color w:val="000000"/>
          <w:szCs w:val="26"/>
        </w:rPr>
      </w:pPr>
      <w:r w:rsidRPr="00007EBC">
        <w:rPr>
          <w:rFonts w:cstheme="minorHAnsi"/>
          <w:color w:val="000000"/>
          <w:szCs w:val="26"/>
        </w:rPr>
        <w:t>G</w:t>
      </w:r>
      <w:r w:rsidRPr="009C6CB3">
        <w:rPr>
          <w:rFonts w:cstheme="minorHAnsi"/>
          <w:color w:val="000000"/>
          <w:szCs w:val="26"/>
        </w:rPr>
        <w:t>entile provided a different account to the police.  He said that when he arrived at the restaurant to meet Roberts, there was a man there he had never met.  Roberts told Gentile that she was staying at the restaurant with the man.</w:t>
      </w:r>
      <w:r w:rsidRPr="009C6CB3">
        <w:rPr>
          <w:color w:val="000000"/>
          <w:szCs w:val="26"/>
        </w:rPr>
        <w:t xml:space="preserve">  </w:t>
      </w:r>
      <w:r w:rsidRPr="009C6CB3">
        <w:rPr>
          <w:rFonts w:cstheme="minorHAnsi"/>
          <w:color w:val="000000"/>
          <w:szCs w:val="26"/>
        </w:rPr>
        <w:t xml:space="preserve">At some point, Roberts also told Gentile that the man had “been raping” her.  Gentile then punched the man </w:t>
      </w:r>
      <w:r w:rsidRPr="009C6CB3" w:rsidR="0092384D">
        <w:rPr>
          <w:rFonts w:cstheme="minorHAnsi"/>
          <w:color w:val="000000"/>
          <w:szCs w:val="26"/>
        </w:rPr>
        <w:t>several</w:t>
      </w:r>
      <w:r w:rsidRPr="009C6CB3">
        <w:rPr>
          <w:rFonts w:cstheme="minorHAnsi"/>
          <w:color w:val="000000"/>
          <w:szCs w:val="26"/>
        </w:rPr>
        <w:t xml:space="preserve"> times but did not use any weapon.  Roberts then said the man would never rape her again, and she began hitting him with </w:t>
      </w:r>
      <w:r w:rsidRPr="009C6CB3" w:rsidR="0092384D">
        <w:rPr>
          <w:rFonts w:cstheme="minorHAnsi"/>
          <w:color w:val="000000"/>
          <w:szCs w:val="26"/>
        </w:rPr>
        <w:t xml:space="preserve">what Gentile thought was </w:t>
      </w:r>
      <w:r w:rsidRPr="009C6CB3">
        <w:rPr>
          <w:rFonts w:cstheme="minorHAnsi"/>
          <w:color w:val="000000"/>
          <w:szCs w:val="26"/>
        </w:rPr>
        <w:t>a sledgehammer</w:t>
      </w:r>
      <w:r w:rsidRPr="009C6CB3" w:rsidR="0092384D">
        <w:rPr>
          <w:rFonts w:cstheme="minorHAnsi"/>
          <w:color w:val="000000"/>
          <w:szCs w:val="26"/>
        </w:rPr>
        <w:t xml:space="preserve">.  </w:t>
      </w:r>
      <w:r w:rsidRPr="009C6CB3">
        <w:rPr>
          <w:rFonts w:cstheme="minorHAnsi"/>
          <w:color w:val="000000"/>
          <w:szCs w:val="26"/>
        </w:rPr>
        <w:t>Gentile took the weapon away from Roberts</w:t>
      </w:r>
      <w:r w:rsidRPr="009C6CB3" w:rsidR="00A0101D">
        <w:rPr>
          <w:rFonts w:cstheme="minorHAnsi"/>
          <w:color w:val="000000"/>
          <w:szCs w:val="26"/>
        </w:rPr>
        <w:t>,</w:t>
      </w:r>
      <w:r w:rsidRPr="009C6CB3">
        <w:rPr>
          <w:rFonts w:cstheme="minorHAnsi"/>
          <w:color w:val="000000"/>
          <w:szCs w:val="26"/>
        </w:rPr>
        <w:t xml:space="preserve"> but she retrieved it and resumed hitting the man.  Gentile took the weapon away from Roberts a second time, threw it to the ground, and left the premises.  Gentile denied ever striking the man with a weapon.</w:t>
      </w:r>
    </w:p>
    <w:p w:rsidR="0057439C" w:rsidRPr="009C6CB3" w:rsidP="009C6CB3">
      <w:pPr>
        <w:ind w:firstLine="720"/>
        <w:contextualSpacing/>
        <w:rPr>
          <w:rFonts w:cstheme="minorHAnsi"/>
          <w:color w:val="000000"/>
          <w:szCs w:val="26"/>
        </w:rPr>
      </w:pPr>
      <w:r w:rsidRPr="009C6CB3">
        <w:rPr>
          <w:rFonts w:cstheme="minorHAnsi"/>
          <w:color w:val="000000"/>
          <w:szCs w:val="26"/>
        </w:rPr>
        <w:t xml:space="preserve">Gentile’s friend Charlotte Sullivan testified that Gentile was scheduled to visit her in Imperial Beach during the </w:t>
      </w:r>
      <w:r w:rsidRPr="009C6CB3" w:rsidR="00A0101D">
        <w:rPr>
          <w:rFonts w:cstheme="minorHAnsi"/>
          <w:color w:val="000000"/>
          <w:szCs w:val="26"/>
        </w:rPr>
        <w:t>F</w:t>
      </w:r>
      <w:r w:rsidRPr="009C6CB3">
        <w:rPr>
          <w:rFonts w:cstheme="minorHAnsi"/>
          <w:color w:val="000000"/>
          <w:szCs w:val="26"/>
        </w:rPr>
        <w:t>ourth of July weekend in 2014.  In late June, around the time that Saavedra was killed, Gentile called to ask if he could come out earlier than planned.  When she agreed, Gentile came out later that same day.  When he arrived, Gentile’s hands were swollen</w:t>
      </w:r>
      <w:r w:rsidRPr="009C6CB3" w:rsidR="00A0101D">
        <w:rPr>
          <w:rFonts w:cstheme="minorHAnsi"/>
          <w:color w:val="000000"/>
          <w:szCs w:val="26"/>
        </w:rPr>
        <w:t>,</w:t>
      </w:r>
      <w:r w:rsidRPr="009C6CB3">
        <w:rPr>
          <w:rFonts w:cstheme="minorHAnsi"/>
          <w:color w:val="000000"/>
          <w:szCs w:val="26"/>
        </w:rPr>
        <w:t xml:space="preserve"> but he did not initially mention anything about being in or witnessing a fight.  Eventually, Gentile told Sullivan that he had gotten into a fight with another man.  He said that he was drunk and that Roberts had told him the other man had raped her.  Gentile said he punched the other man </w:t>
      </w:r>
      <w:r w:rsidR="00AA462A">
        <w:rPr>
          <w:rFonts w:cstheme="minorHAnsi"/>
          <w:color w:val="000000"/>
          <w:szCs w:val="26"/>
        </w:rPr>
        <w:t>a few</w:t>
      </w:r>
      <w:r w:rsidRPr="009C6CB3" w:rsidR="00AA462A">
        <w:rPr>
          <w:rFonts w:cstheme="minorHAnsi"/>
          <w:color w:val="000000"/>
          <w:szCs w:val="26"/>
        </w:rPr>
        <w:t xml:space="preserve"> </w:t>
      </w:r>
      <w:r w:rsidRPr="009C6CB3">
        <w:rPr>
          <w:rFonts w:cstheme="minorHAnsi"/>
          <w:color w:val="000000"/>
          <w:szCs w:val="26"/>
        </w:rPr>
        <w:t xml:space="preserve">times, but eventually the man apologized and Gentile stopped hitting him.  </w:t>
      </w:r>
      <w:r w:rsidRPr="009C6CB3" w:rsidR="00B0213A">
        <w:rPr>
          <w:rFonts w:cstheme="minorHAnsi"/>
          <w:color w:val="000000"/>
          <w:szCs w:val="26"/>
        </w:rPr>
        <w:t>A</w:t>
      </w:r>
      <w:r w:rsidRPr="009C6CB3">
        <w:rPr>
          <w:rFonts w:cstheme="minorHAnsi"/>
          <w:color w:val="000000"/>
          <w:szCs w:val="26"/>
        </w:rPr>
        <w:t xml:space="preserve">t that point, </w:t>
      </w:r>
      <w:r w:rsidRPr="009C6CB3" w:rsidR="00837575">
        <w:rPr>
          <w:rFonts w:cstheme="minorHAnsi"/>
          <w:color w:val="000000"/>
          <w:szCs w:val="26"/>
        </w:rPr>
        <w:t>Gentile said</w:t>
      </w:r>
      <w:r w:rsidRPr="009C6CB3" w:rsidR="00B0213A">
        <w:rPr>
          <w:rFonts w:cstheme="minorHAnsi"/>
          <w:color w:val="000000"/>
          <w:szCs w:val="26"/>
        </w:rPr>
        <w:t>,</w:t>
      </w:r>
      <w:r w:rsidRPr="009C6CB3" w:rsidR="00837575">
        <w:rPr>
          <w:rFonts w:cstheme="minorHAnsi"/>
          <w:color w:val="000000"/>
          <w:szCs w:val="26"/>
        </w:rPr>
        <w:t xml:space="preserve"> </w:t>
      </w:r>
      <w:r w:rsidRPr="009C6CB3">
        <w:rPr>
          <w:rFonts w:cstheme="minorHAnsi"/>
          <w:color w:val="000000"/>
          <w:szCs w:val="26"/>
        </w:rPr>
        <w:t xml:space="preserve">Roberts </w:t>
      </w:r>
      <w:r w:rsidRPr="009C6CB3" w:rsidR="00837575">
        <w:rPr>
          <w:rFonts w:cstheme="minorHAnsi"/>
          <w:color w:val="000000"/>
          <w:szCs w:val="26"/>
        </w:rPr>
        <w:t xml:space="preserve">had </w:t>
      </w:r>
      <w:r w:rsidRPr="009C6CB3">
        <w:rPr>
          <w:rFonts w:cstheme="minorHAnsi"/>
          <w:color w:val="000000"/>
          <w:szCs w:val="26"/>
        </w:rPr>
        <w:t>picked up a club and started hitting the man with it.  Gentile was arrested at Sullivan’s residence on June 28, 2014.  Sullivan testified that a day after the arrest, Roberts called her</w:t>
      </w:r>
      <w:r w:rsidRPr="009C6CB3" w:rsidR="00A0101D">
        <w:rPr>
          <w:rFonts w:cstheme="minorHAnsi"/>
          <w:color w:val="000000"/>
          <w:szCs w:val="26"/>
        </w:rPr>
        <w:t xml:space="preserve"> and </w:t>
      </w:r>
      <w:r w:rsidRPr="009C6CB3">
        <w:rPr>
          <w:rFonts w:cstheme="minorHAnsi"/>
          <w:color w:val="000000"/>
          <w:szCs w:val="26"/>
        </w:rPr>
        <w:t xml:space="preserve">said </w:t>
      </w:r>
      <w:r w:rsidRPr="009C6CB3" w:rsidR="00A0101D">
        <w:rPr>
          <w:rFonts w:cstheme="minorHAnsi"/>
          <w:color w:val="000000"/>
          <w:szCs w:val="26"/>
        </w:rPr>
        <w:t xml:space="preserve">that </w:t>
      </w:r>
      <w:r w:rsidRPr="009C6CB3">
        <w:rPr>
          <w:rFonts w:cstheme="minorHAnsi"/>
          <w:color w:val="000000"/>
          <w:szCs w:val="26"/>
        </w:rPr>
        <w:t xml:space="preserve">the man who was killed had raped her and that Gentile got upset about it.  Roberts </w:t>
      </w:r>
      <w:r w:rsidRPr="009C6CB3" w:rsidR="00A0101D">
        <w:rPr>
          <w:rFonts w:cstheme="minorHAnsi"/>
          <w:color w:val="000000"/>
          <w:szCs w:val="26"/>
        </w:rPr>
        <w:t xml:space="preserve">also </w:t>
      </w:r>
      <w:r w:rsidRPr="009C6CB3">
        <w:rPr>
          <w:rFonts w:cstheme="minorHAnsi"/>
          <w:color w:val="000000"/>
          <w:szCs w:val="26"/>
        </w:rPr>
        <w:t xml:space="preserve">said that Gentile and the man got into a fight and that she left before anything else happened.  </w:t>
      </w:r>
      <w:r w:rsidRPr="009C6CB3" w:rsidR="00A0101D">
        <w:rPr>
          <w:rFonts w:cstheme="minorHAnsi"/>
          <w:color w:val="000000"/>
          <w:szCs w:val="26"/>
        </w:rPr>
        <w:t xml:space="preserve">Further, according to Sullivan, </w:t>
      </w:r>
      <w:r w:rsidRPr="009C6CB3">
        <w:rPr>
          <w:rFonts w:cstheme="minorHAnsi"/>
          <w:color w:val="000000"/>
          <w:szCs w:val="26"/>
        </w:rPr>
        <w:t>Roberts said that she later went back to the restaurant, “bleached everything,” and cleaned up the mess.</w:t>
      </w:r>
    </w:p>
    <w:p w:rsidR="00834045" w:rsidRPr="009C6CB3" w:rsidP="009C6CB3">
      <w:pPr>
        <w:ind w:firstLine="720"/>
        <w:contextualSpacing/>
        <w:rPr>
          <w:rFonts w:cstheme="minorHAnsi"/>
          <w:color w:val="000000"/>
          <w:szCs w:val="26"/>
        </w:rPr>
      </w:pPr>
      <w:r w:rsidRPr="00276E42">
        <w:rPr>
          <w:rFonts w:cstheme="minorHAnsi"/>
          <w:color w:val="000000"/>
          <w:szCs w:val="26"/>
        </w:rPr>
        <w:t>T</w:t>
      </w:r>
      <w:r w:rsidRPr="009C6CB3" w:rsidR="0057439C">
        <w:rPr>
          <w:rFonts w:cstheme="minorHAnsi"/>
          <w:color w:val="000000"/>
          <w:szCs w:val="26"/>
        </w:rPr>
        <w:t xml:space="preserve">he trial court instructed the jury on three </w:t>
      </w:r>
      <w:r w:rsidRPr="009C6CB3" w:rsidR="00D577D8">
        <w:rPr>
          <w:rFonts w:cstheme="minorHAnsi"/>
          <w:color w:val="000000"/>
          <w:szCs w:val="26"/>
        </w:rPr>
        <w:t xml:space="preserve">separate </w:t>
      </w:r>
      <w:r w:rsidRPr="009C6CB3" w:rsidR="0057439C">
        <w:rPr>
          <w:rFonts w:cstheme="minorHAnsi"/>
          <w:color w:val="000000"/>
          <w:szCs w:val="26"/>
        </w:rPr>
        <w:t xml:space="preserve">theories of first degree murder: </w:t>
      </w:r>
      <w:r w:rsidRPr="009C6CB3" w:rsidR="00073ADE">
        <w:rPr>
          <w:rFonts w:cstheme="minorHAnsi"/>
          <w:color w:val="000000"/>
          <w:szCs w:val="26"/>
        </w:rPr>
        <w:t xml:space="preserve"> </w:t>
      </w:r>
      <w:r w:rsidRPr="009C6CB3" w:rsidR="0057439C">
        <w:rPr>
          <w:rFonts w:cstheme="minorHAnsi"/>
          <w:color w:val="000000"/>
          <w:szCs w:val="26"/>
        </w:rPr>
        <w:t>(1) that Gentile was the direct perpetrator of the murder; (2) that he directly aided and abetted Roberts in the commission of murder; and (3) that he aided and abetted Roberts in the commission of felony assault</w:t>
      </w:r>
      <w:r w:rsidRPr="009C6CB3">
        <w:rPr>
          <w:rFonts w:cstheme="minorHAnsi"/>
          <w:color w:val="000000"/>
          <w:szCs w:val="26"/>
        </w:rPr>
        <w:t xml:space="preserve"> with a deadly </w:t>
      </w:r>
      <w:r w:rsidRPr="009C6CB3" w:rsidR="00331155">
        <w:rPr>
          <w:rFonts w:cstheme="minorHAnsi"/>
          <w:color w:val="000000"/>
          <w:szCs w:val="26"/>
        </w:rPr>
        <w:t>weapon</w:t>
      </w:r>
      <w:r w:rsidRPr="009C6CB3" w:rsidR="008747A2">
        <w:rPr>
          <w:rFonts w:cstheme="minorHAnsi"/>
          <w:color w:val="000000"/>
          <w:szCs w:val="26"/>
        </w:rPr>
        <w:t xml:space="preserve"> (§ 245</w:t>
      </w:r>
      <w:r w:rsidRPr="009C6CB3" w:rsidR="00697035">
        <w:rPr>
          <w:rFonts w:cstheme="minorHAnsi"/>
          <w:color w:val="000000"/>
          <w:szCs w:val="26"/>
        </w:rPr>
        <w:t>, subd. </w:t>
      </w:r>
      <w:r w:rsidRPr="009C6CB3" w:rsidR="008747A2">
        <w:rPr>
          <w:rFonts w:cstheme="minorHAnsi"/>
          <w:color w:val="000000"/>
          <w:szCs w:val="26"/>
        </w:rPr>
        <w:t>(a)(1))</w:t>
      </w:r>
      <w:r w:rsidRPr="009C6CB3" w:rsidR="0057439C">
        <w:rPr>
          <w:rFonts w:cstheme="minorHAnsi"/>
          <w:color w:val="000000"/>
          <w:szCs w:val="26"/>
        </w:rPr>
        <w:t xml:space="preserve">, the natural and probable consequence of which was death.  During deliberations, </w:t>
      </w:r>
      <w:r w:rsidRPr="009C6CB3" w:rsidR="00073ADE">
        <w:rPr>
          <w:rFonts w:cstheme="minorHAnsi"/>
          <w:color w:val="000000"/>
          <w:szCs w:val="26"/>
        </w:rPr>
        <w:t xml:space="preserve">the jury </w:t>
      </w:r>
      <w:r w:rsidRPr="009C6CB3" w:rsidR="00331155">
        <w:rPr>
          <w:rFonts w:cstheme="minorHAnsi"/>
          <w:color w:val="000000"/>
          <w:szCs w:val="26"/>
        </w:rPr>
        <w:t>asked the court</w:t>
      </w:r>
      <w:r w:rsidRPr="009C6CB3" w:rsidR="00073ADE">
        <w:rPr>
          <w:rFonts w:cstheme="minorHAnsi"/>
          <w:color w:val="000000"/>
          <w:szCs w:val="26"/>
        </w:rPr>
        <w:t xml:space="preserve">, “Are fists considered a deadly weapon?”  The court responded, “No.”  </w:t>
      </w:r>
      <w:r w:rsidRPr="009C6CB3" w:rsidR="0057439C">
        <w:rPr>
          <w:rFonts w:cstheme="minorHAnsi"/>
          <w:color w:val="000000"/>
          <w:szCs w:val="26"/>
        </w:rPr>
        <w:t xml:space="preserve">The jury </w:t>
      </w:r>
      <w:r w:rsidRPr="009C6CB3" w:rsidR="00331155">
        <w:rPr>
          <w:rFonts w:cstheme="minorHAnsi"/>
          <w:color w:val="000000"/>
          <w:szCs w:val="26"/>
        </w:rPr>
        <w:t xml:space="preserve">then </w:t>
      </w:r>
      <w:r w:rsidRPr="009C6CB3" w:rsidR="0057439C">
        <w:rPr>
          <w:rFonts w:cstheme="minorHAnsi"/>
          <w:color w:val="000000"/>
          <w:szCs w:val="26"/>
        </w:rPr>
        <w:t>convicted Gentile of first degree murder</w:t>
      </w:r>
      <w:r w:rsidRPr="009C6CB3" w:rsidR="00073ADE">
        <w:rPr>
          <w:rFonts w:cstheme="minorHAnsi"/>
          <w:color w:val="000000"/>
          <w:szCs w:val="26"/>
        </w:rPr>
        <w:t xml:space="preserve"> and found not true that he personally used a deadly weapon.  </w:t>
      </w:r>
      <w:r w:rsidRPr="009C6CB3" w:rsidR="0057439C">
        <w:rPr>
          <w:rFonts w:cstheme="minorHAnsi"/>
          <w:color w:val="000000"/>
          <w:szCs w:val="26"/>
        </w:rPr>
        <w:t>The prosecution dismissed the prison prior</w:t>
      </w:r>
      <w:r w:rsidRPr="009C6CB3" w:rsidR="001E4585">
        <w:rPr>
          <w:rFonts w:cstheme="minorHAnsi"/>
          <w:color w:val="000000"/>
          <w:szCs w:val="26"/>
        </w:rPr>
        <w:t>,</w:t>
      </w:r>
      <w:r w:rsidRPr="009C6CB3" w:rsidR="0057439C">
        <w:rPr>
          <w:rFonts w:cstheme="minorHAnsi"/>
          <w:color w:val="000000"/>
          <w:szCs w:val="26"/>
        </w:rPr>
        <w:t xml:space="preserve"> and </w:t>
      </w:r>
      <w:r w:rsidRPr="009C6CB3" w:rsidR="006D7ED3">
        <w:rPr>
          <w:rFonts w:cstheme="minorHAnsi"/>
          <w:color w:val="000000"/>
          <w:szCs w:val="26"/>
        </w:rPr>
        <w:t xml:space="preserve">the court </w:t>
      </w:r>
      <w:r w:rsidRPr="009C6CB3" w:rsidR="0057439C">
        <w:rPr>
          <w:rFonts w:cstheme="minorHAnsi"/>
          <w:color w:val="000000"/>
          <w:szCs w:val="26"/>
        </w:rPr>
        <w:t xml:space="preserve">sentenced </w:t>
      </w:r>
      <w:r w:rsidRPr="009C6CB3" w:rsidR="006D7ED3">
        <w:rPr>
          <w:rFonts w:cstheme="minorHAnsi"/>
          <w:color w:val="000000"/>
          <w:szCs w:val="26"/>
        </w:rPr>
        <w:t xml:space="preserve">Gentile </w:t>
      </w:r>
      <w:r w:rsidRPr="009C6CB3" w:rsidR="0057439C">
        <w:rPr>
          <w:rFonts w:cstheme="minorHAnsi"/>
          <w:color w:val="000000"/>
          <w:szCs w:val="26"/>
        </w:rPr>
        <w:t>to 25</w:t>
      </w:r>
      <w:r w:rsidRPr="009C6CB3" w:rsidR="001F51CC">
        <w:rPr>
          <w:rFonts w:cstheme="minorHAnsi"/>
          <w:color w:val="000000"/>
          <w:szCs w:val="26"/>
        </w:rPr>
        <w:t> </w:t>
      </w:r>
      <w:r w:rsidRPr="009C6CB3" w:rsidR="0057439C">
        <w:rPr>
          <w:rFonts w:cstheme="minorHAnsi"/>
          <w:color w:val="000000"/>
          <w:szCs w:val="26"/>
        </w:rPr>
        <w:t>years to life in prison.</w:t>
      </w:r>
    </w:p>
    <w:p w:rsidR="00834045" w:rsidRPr="009C6CB3" w:rsidP="009C6CB3">
      <w:pPr>
        <w:ind w:firstLine="720"/>
        <w:contextualSpacing/>
        <w:rPr>
          <w:color w:val="000000"/>
          <w:szCs w:val="26"/>
        </w:rPr>
      </w:pPr>
      <w:r w:rsidRPr="009C6CB3">
        <w:rPr>
          <w:rFonts w:cstheme="minorHAnsi"/>
          <w:color w:val="000000"/>
          <w:szCs w:val="26"/>
        </w:rPr>
        <w:t xml:space="preserve">A series of appeals followed.  </w:t>
      </w:r>
      <w:r w:rsidRPr="009C6CB3">
        <w:rPr>
          <w:color w:val="000000"/>
          <w:szCs w:val="26"/>
        </w:rPr>
        <w:t>In Gentile’s first appeal, the Court of Appeal reversed his</w:t>
      </w:r>
      <w:r w:rsidRPr="009C6CB3" w:rsidR="00331155">
        <w:rPr>
          <w:color w:val="000000"/>
          <w:szCs w:val="26"/>
        </w:rPr>
        <w:t xml:space="preserve"> murder</w:t>
      </w:r>
      <w:r w:rsidRPr="009C6CB3">
        <w:rPr>
          <w:color w:val="000000"/>
          <w:szCs w:val="26"/>
        </w:rPr>
        <w:t xml:space="preserve"> conviction </w:t>
      </w:r>
      <w:r w:rsidRPr="009C6CB3" w:rsidR="00331155">
        <w:rPr>
          <w:color w:val="000000"/>
          <w:szCs w:val="26"/>
        </w:rPr>
        <w:t xml:space="preserve">after finding that the natural and probable consequences jury instruction for first degree murder violated </w:t>
      </w:r>
      <w:bookmarkStart w:id="9" w:name="Psych_Cite_11"/>
      <w:r w:rsidRPr="009C6CB3">
        <w:rPr>
          <w:i/>
          <w:color w:val="000000"/>
          <w:szCs w:val="26"/>
        </w:rPr>
        <w:t>Chiu</w:t>
      </w:r>
      <w:r w:rsidRPr="009C6CB3" w:rsidR="007B1D54">
        <w:rPr>
          <w:color w:val="000000"/>
          <w:szCs w:val="26"/>
        </w:rPr>
        <w:t>,</w:t>
      </w:r>
      <w:r w:rsidRPr="009C6CB3" w:rsidR="00331155">
        <w:rPr>
          <w:color w:val="000000"/>
          <w:szCs w:val="26"/>
        </w:rPr>
        <w:t xml:space="preserve"> </w:t>
      </w:r>
      <w:r w:rsidRPr="009C6CB3" w:rsidR="00331155">
        <w:rPr>
          <w:i/>
          <w:color w:val="000000"/>
          <w:szCs w:val="26"/>
        </w:rPr>
        <w:t>supra</w:t>
      </w:r>
      <w:r w:rsidRPr="009C6CB3" w:rsidR="00331155">
        <w:rPr>
          <w:color w:val="000000"/>
          <w:szCs w:val="26"/>
        </w:rPr>
        <w:t>,</w:t>
      </w:r>
      <w:r w:rsidRPr="009C6CB3">
        <w:rPr>
          <w:color w:val="000000"/>
          <w:szCs w:val="26"/>
        </w:rPr>
        <w:t xml:space="preserve"> 59</w:t>
      </w:r>
      <w:r w:rsidRPr="009C6CB3" w:rsidR="001F51CC">
        <w:rPr>
          <w:color w:val="000000"/>
          <w:szCs w:val="26"/>
        </w:rPr>
        <w:t> </w:t>
      </w:r>
      <w:r w:rsidRPr="009C6CB3">
        <w:rPr>
          <w:color w:val="000000"/>
          <w:szCs w:val="26"/>
        </w:rPr>
        <w:t>Cal.</w:t>
      </w:r>
      <w:r w:rsidRPr="009C6CB3" w:rsidR="007B1D54">
        <w:rPr>
          <w:color w:val="000000"/>
          <w:szCs w:val="26"/>
        </w:rPr>
        <w:t>4th</w:t>
      </w:r>
      <w:r w:rsidRPr="009C6CB3">
        <w:rPr>
          <w:color w:val="000000"/>
          <w:szCs w:val="26"/>
        </w:rPr>
        <w:t xml:space="preserve"> 155</w:t>
      </w:r>
      <w:r w:rsidRPr="009C6CB3" w:rsidR="00331155">
        <w:rPr>
          <w:color w:val="000000"/>
          <w:szCs w:val="26"/>
        </w:rPr>
        <w:t>.</w:t>
      </w:r>
      <w:r w:rsidRPr="009C6CB3">
        <w:rPr>
          <w:color w:val="000000"/>
          <w:szCs w:val="26"/>
        </w:rPr>
        <w:t xml:space="preserve">  (</w:t>
      </w:r>
      <w:r w:rsidRPr="009C6CB3">
        <w:rPr>
          <w:i/>
          <w:color w:val="000000"/>
          <w:szCs w:val="26"/>
        </w:rPr>
        <w:t>People v. Gentile</w:t>
      </w:r>
      <w:r w:rsidRPr="009C6CB3">
        <w:rPr>
          <w:color w:val="000000"/>
          <w:szCs w:val="26"/>
        </w:rPr>
        <w:t xml:space="preserve"> (Feb. 27, 2017, E064822) [nonpub. opn.]</w:t>
      </w:r>
      <w:r w:rsidRPr="009C6CB3" w:rsidR="005169F2">
        <w:rPr>
          <w:color w:val="000000"/>
          <w:szCs w:val="26"/>
        </w:rPr>
        <w:t xml:space="preserve"> </w:t>
      </w:r>
      <w:r w:rsidRPr="009C6CB3">
        <w:rPr>
          <w:color w:val="000000"/>
          <w:szCs w:val="26"/>
        </w:rPr>
        <w:t>(</w:t>
      </w:r>
      <w:r w:rsidRPr="009C6CB3">
        <w:rPr>
          <w:i/>
          <w:color w:val="000000"/>
          <w:szCs w:val="26"/>
        </w:rPr>
        <w:t>Gentile I</w:t>
      </w:r>
      <w:r w:rsidRPr="009C6CB3" w:rsidR="006D4DB1">
        <w:rPr>
          <w:iCs/>
          <w:color w:val="000000"/>
          <w:szCs w:val="10"/>
        </w:rPr>
        <w:t> </w:t>
      </w:r>
      <w:r w:rsidRPr="009C6CB3">
        <w:rPr>
          <w:color w:val="000000"/>
          <w:szCs w:val="26"/>
        </w:rPr>
        <w:t>)</w:t>
      </w:r>
      <w:bookmarkEnd w:id="9"/>
      <w:r w:rsidRPr="009C6CB3">
        <w:rPr>
          <w:color w:val="000000"/>
          <w:szCs w:val="26"/>
        </w:rPr>
        <w:t>.)</w:t>
      </w:r>
      <w:r w:rsidRPr="009C6CB3">
        <w:rPr>
          <w:rFonts w:cstheme="minorHAnsi"/>
          <w:color w:val="000000"/>
          <w:szCs w:val="26"/>
        </w:rPr>
        <w:t xml:space="preserve">  </w:t>
      </w:r>
      <w:r w:rsidRPr="009C6CB3">
        <w:rPr>
          <w:color w:val="000000"/>
          <w:szCs w:val="26"/>
        </w:rPr>
        <w:t xml:space="preserve">The court found it “probable that the jury convicted defendant on an unauthorized legal theory” because the trial court had instructed the jury on the natural and probable consequences theory and the jury did not find that Gentile used a deadly or dangerous weapon in committing the crime, suggesting that the jury did not think he was the actual perpetrator.  </w:t>
      </w:r>
      <w:r w:rsidR="00961611">
        <w:rPr>
          <w:color w:val="000000"/>
          <w:szCs w:val="26"/>
        </w:rPr>
        <w:t>(</w:t>
      </w:r>
      <w:bookmarkStart w:id="10" w:name="Psych_Cite_9"/>
      <w:r w:rsidR="00961611">
        <w:rPr>
          <w:i/>
          <w:iCs/>
          <w:color w:val="000000"/>
          <w:szCs w:val="26"/>
        </w:rPr>
        <w:t>Ibid.</w:t>
      </w:r>
      <w:bookmarkEnd w:id="10"/>
      <w:r w:rsidR="00961611">
        <w:rPr>
          <w:color w:val="000000"/>
          <w:szCs w:val="26"/>
        </w:rPr>
        <w:t>)</w:t>
      </w:r>
      <w:r w:rsidR="00961611">
        <w:rPr>
          <w:i/>
          <w:iCs/>
          <w:color w:val="000000"/>
          <w:szCs w:val="26"/>
        </w:rPr>
        <w:t xml:space="preserve">  </w:t>
      </w:r>
      <w:r w:rsidRPr="009C6CB3">
        <w:rPr>
          <w:color w:val="000000"/>
          <w:szCs w:val="26"/>
        </w:rPr>
        <w:t xml:space="preserve">The </w:t>
      </w:r>
      <w:r w:rsidRPr="009C6CB3" w:rsidR="00331155">
        <w:rPr>
          <w:color w:val="000000"/>
          <w:szCs w:val="26"/>
        </w:rPr>
        <w:t>Court of Appeal</w:t>
      </w:r>
      <w:r w:rsidRPr="009C6CB3">
        <w:rPr>
          <w:color w:val="000000"/>
          <w:szCs w:val="26"/>
        </w:rPr>
        <w:t xml:space="preserve"> remanded the case for the </w:t>
      </w:r>
      <w:r w:rsidRPr="009C6CB3" w:rsidR="00331155">
        <w:rPr>
          <w:color w:val="000000"/>
          <w:szCs w:val="26"/>
        </w:rPr>
        <w:t>prosecution</w:t>
      </w:r>
      <w:r w:rsidRPr="009C6CB3">
        <w:rPr>
          <w:color w:val="000000"/>
          <w:szCs w:val="26"/>
        </w:rPr>
        <w:t xml:space="preserve"> to decide whether to “retry [Gentile] for </w:t>
      </w:r>
      <w:r w:rsidRPr="009C6CB3" w:rsidR="001232B0">
        <w:rPr>
          <w:color w:val="000000"/>
          <w:szCs w:val="26"/>
        </w:rPr>
        <w:t xml:space="preserve">the </w:t>
      </w:r>
      <w:r w:rsidRPr="009C6CB3">
        <w:rPr>
          <w:color w:val="000000"/>
          <w:szCs w:val="26"/>
        </w:rPr>
        <w:t xml:space="preserve">first degree murder under theories other than natural and probable consequences” or to accept reduction of Gentile’s conviction to second degree murder.  </w:t>
      </w:r>
      <w:r w:rsidR="00C8112A">
        <w:rPr>
          <w:color w:val="000000"/>
          <w:szCs w:val="26"/>
        </w:rPr>
        <w:t>(</w:t>
      </w:r>
      <w:bookmarkStart w:id="11" w:name="Psych_Cite_10"/>
      <w:r w:rsidR="00C8112A">
        <w:rPr>
          <w:i/>
          <w:iCs/>
          <w:color w:val="000000"/>
          <w:szCs w:val="26"/>
        </w:rPr>
        <w:t>Ibid.</w:t>
      </w:r>
      <w:bookmarkEnd w:id="11"/>
      <w:r w:rsidR="00C8112A">
        <w:rPr>
          <w:color w:val="000000"/>
          <w:szCs w:val="26"/>
        </w:rPr>
        <w:t xml:space="preserve">)  </w:t>
      </w:r>
      <w:r w:rsidRPr="009C6CB3">
        <w:rPr>
          <w:color w:val="000000"/>
          <w:szCs w:val="26"/>
        </w:rPr>
        <w:t xml:space="preserve">It did not reach Gentile’s other claims.  </w:t>
      </w:r>
    </w:p>
    <w:p w:rsidR="00834045" w:rsidRPr="009C6CB3" w:rsidP="009C6CB3">
      <w:pPr>
        <w:ind w:firstLine="720"/>
        <w:contextualSpacing/>
        <w:rPr>
          <w:rFonts w:cstheme="minorHAnsi"/>
          <w:color w:val="000000"/>
          <w:szCs w:val="26"/>
        </w:rPr>
      </w:pPr>
      <w:r w:rsidRPr="009C6CB3">
        <w:rPr>
          <w:rFonts w:cstheme="minorHAnsi"/>
          <w:color w:val="000000"/>
          <w:szCs w:val="26"/>
        </w:rPr>
        <w:t xml:space="preserve">On remand, the prosecution elected to accept a reduction to second degree murder, and Gentile was sentenced to a </w:t>
      </w:r>
      <w:r w:rsidR="00440369">
        <w:rPr>
          <w:rFonts w:cstheme="minorHAnsi"/>
          <w:color w:val="000000"/>
          <w:szCs w:val="26"/>
        </w:rPr>
        <w:t xml:space="preserve">prison </w:t>
      </w:r>
      <w:r w:rsidRPr="009C6CB3">
        <w:rPr>
          <w:rFonts w:cstheme="minorHAnsi"/>
          <w:color w:val="000000"/>
          <w:szCs w:val="26"/>
        </w:rPr>
        <w:t>term of 15 years to life.</w:t>
      </w:r>
      <w:r w:rsidRPr="009C6CB3">
        <w:rPr>
          <w:rFonts w:cstheme="minorHAnsi"/>
          <w:color w:val="000000"/>
          <w:szCs w:val="26"/>
        </w:rPr>
        <w:t xml:space="preserve">  </w:t>
      </w:r>
      <w:r w:rsidRPr="009C6CB3">
        <w:rPr>
          <w:rFonts w:cstheme="minorHAnsi"/>
          <w:color w:val="000000"/>
          <w:szCs w:val="26"/>
        </w:rPr>
        <w:t xml:space="preserve">Meanwhile, </w:t>
      </w:r>
      <w:r w:rsidRPr="009C6CB3">
        <w:rPr>
          <w:rFonts w:cstheme="minorHAnsi"/>
          <w:szCs w:val="26"/>
        </w:rPr>
        <w:t>on September 30, 2018</w:t>
      </w:r>
      <w:r w:rsidR="00440369">
        <w:rPr>
          <w:rFonts w:cstheme="minorHAnsi"/>
          <w:szCs w:val="26"/>
        </w:rPr>
        <w:t>,</w:t>
      </w:r>
      <w:r w:rsidRPr="009C6CB3">
        <w:rPr>
          <w:rFonts w:cstheme="minorHAnsi"/>
          <w:szCs w:val="26"/>
        </w:rPr>
        <w:t xml:space="preserve"> the Governor signed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sidR="00331155">
        <w:rPr>
          <w:rFonts w:cstheme="minorHAnsi"/>
          <w:szCs w:val="26"/>
        </w:rPr>
        <w:t xml:space="preserve"> into law</w:t>
      </w:r>
      <w:r w:rsidRPr="009C6CB3">
        <w:rPr>
          <w:rFonts w:cstheme="minorHAnsi"/>
          <w:szCs w:val="26"/>
        </w:rPr>
        <w:t>, which, effective January 1, 2019, amended the Penal Code to modify</w:t>
      </w:r>
      <w:r w:rsidRPr="009C6CB3">
        <w:rPr>
          <w:rFonts w:cstheme="minorHAnsi"/>
          <w:color w:val="000000"/>
          <w:szCs w:val="26"/>
        </w:rPr>
        <w:t xml:space="preserve"> accomplice liability for murder and the felony murder rule.</w:t>
      </w:r>
      <w:r w:rsidRPr="009C6CB3" w:rsidR="00FD4915">
        <w:rPr>
          <w:rFonts w:cstheme="minorHAnsi"/>
          <w:color w:val="000000"/>
          <w:szCs w:val="26"/>
        </w:rPr>
        <w:t xml:space="preserve">  (Stats. 2018, ch. 1015.)</w:t>
      </w:r>
    </w:p>
    <w:p w:rsidR="00834045" w:rsidRPr="004C0901" w:rsidP="009C6CB3">
      <w:pPr>
        <w:ind w:firstLine="720"/>
        <w:contextualSpacing/>
        <w:rPr>
          <w:rFonts w:cstheme="minorHAnsi"/>
          <w:color w:val="000000"/>
          <w:szCs w:val="26"/>
        </w:rPr>
      </w:pPr>
      <w:r w:rsidRPr="009C6CB3">
        <w:rPr>
          <w:rFonts w:cstheme="minorHAnsi"/>
          <w:color w:val="000000"/>
          <w:szCs w:val="26"/>
        </w:rPr>
        <w:t xml:space="preserve">Gentile appealed again, raising the issues the Court of Appeal left undecided in his first appeal.  He also sought leave to file a supplemental brief arguing that </w:t>
      </w:r>
      <w:r w:rsidRPr="009C6CB3" w:rsidR="00F508AE">
        <w:rPr>
          <w:rFonts w:cstheme="minorHAnsi"/>
          <w:color w:val="000000"/>
          <w:szCs w:val="26"/>
        </w:rPr>
        <w:t>S</w:t>
      </w:r>
      <w:r w:rsidRPr="009C6CB3" w:rsidR="00B4417A">
        <w:rPr>
          <w:rFonts w:cstheme="minorHAnsi"/>
          <w:color w:val="000000"/>
          <w:szCs w:val="26"/>
        </w:rPr>
        <w:t xml:space="preserve">enate </w:t>
      </w:r>
      <w:r w:rsidRPr="009C6CB3" w:rsidR="00F508AE">
        <w:rPr>
          <w:rFonts w:cstheme="minorHAnsi"/>
          <w:color w:val="000000"/>
          <w:szCs w:val="26"/>
        </w:rPr>
        <w:t>B</w:t>
      </w:r>
      <w:r w:rsidRPr="009C6CB3" w:rsidR="00B4417A">
        <w:rPr>
          <w:rFonts w:cstheme="minorHAnsi"/>
          <w:color w:val="000000"/>
          <w:szCs w:val="26"/>
        </w:rPr>
        <w:t>ill</w:t>
      </w:r>
      <w:r w:rsidRPr="009C6CB3" w:rsidR="00F508AE">
        <w:rPr>
          <w:rFonts w:cstheme="minorHAnsi"/>
          <w:color w:val="000000"/>
          <w:szCs w:val="26"/>
        </w:rPr>
        <w:t> 1437</w:t>
      </w:r>
      <w:r w:rsidRPr="009C6CB3">
        <w:rPr>
          <w:rFonts w:cstheme="minorHAnsi"/>
          <w:color w:val="000000"/>
          <w:szCs w:val="26"/>
        </w:rPr>
        <w:t xml:space="preserve"> applied retroactively to his conviction and </w:t>
      </w:r>
      <w:r w:rsidRPr="009C6CB3" w:rsidR="00331155">
        <w:rPr>
          <w:rFonts w:cstheme="minorHAnsi"/>
          <w:color w:val="000000"/>
          <w:szCs w:val="26"/>
        </w:rPr>
        <w:t xml:space="preserve">that it </w:t>
      </w:r>
      <w:r w:rsidRPr="009C6CB3">
        <w:rPr>
          <w:rFonts w:cstheme="minorHAnsi"/>
          <w:color w:val="000000"/>
          <w:szCs w:val="26"/>
        </w:rPr>
        <w:t xml:space="preserve">eliminated second degree murder liability under </w:t>
      </w:r>
      <w:r w:rsidRPr="009C6CB3" w:rsidR="00341C8A">
        <w:rPr>
          <w:rFonts w:cstheme="minorHAnsi"/>
          <w:color w:val="000000"/>
          <w:szCs w:val="26"/>
        </w:rPr>
        <w:t xml:space="preserve">a </w:t>
      </w:r>
      <w:r w:rsidRPr="009C6CB3">
        <w:rPr>
          <w:rFonts w:cstheme="minorHAnsi"/>
          <w:color w:val="000000"/>
          <w:szCs w:val="26"/>
        </w:rPr>
        <w:t>natural and probable consequences theory.  The Court of Appeal rejected Gentile’s arguments and affirmed his second degree murder conviction.  (</w:t>
      </w:r>
      <w:r w:rsidRPr="009C6CB3">
        <w:rPr>
          <w:rFonts w:cstheme="minorHAnsi"/>
          <w:i/>
          <w:color w:val="000000"/>
          <w:szCs w:val="26"/>
        </w:rPr>
        <w:t>People v. Gentile</w:t>
      </w:r>
      <w:r w:rsidRPr="009C6CB3">
        <w:rPr>
          <w:rFonts w:cstheme="minorHAnsi"/>
          <w:color w:val="000000"/>
          <w:szCs w:val="26"/>
        </w:rPr>
        <w:t xml:space="preserve"> (Nov. 15, 2018, E069088) [nonpub. opn.]</w:t>
      </w:r>
      <w:r w:rsidRPr="009C6CB3">
        <w:rPr>
          <w:rFonts w:cstheme="minorHAnsi"/>
          <w:szCs w:val="26"/>
        </w:rPr>
        <w:t xml:space="preserve"> (</w:t>
      </w:r>
      <w:r w:rsidRPr="009C6CB3">
        <w:rPr>
          <w:rFonts w:cstheme="minorHAnsi"/>
          <w:i/>
          <w:szCs w:val="26"/>
        </w:rPr>
        <w:t>Gentile II</w:t>
      </w:r>
      <w:r w:rsidRPr="009C6CB3" w:rsidR="00430B75">
        <w:rPr>
          <w:rFonts w:cstheme="minorHAnsi"/>
          <w:iCs/>
          <w:szCs w:val="10"/>
        </w:rPr>
        <w:t> </w:t>
      </w:r>
      <w:r w:rsidRPr="009C6CB3">
        <w:rPr>
          <w:rFonts w:cstheme="minorHAnsi"/>
          <w:szCs w:val="26"/>
        </w:rPr>
        <w:t>)</w:t>
      </w:r>
      <w:r w:rsidRPr="009C6CB3">
        <w:rPr>
          <w:rFonts w:cstheme="minorHAnsi"/>
          <w:color w:val="000000"/>
          <w:szCs w:val="26"/>
        </w:rPr>
        <w:t>.)</w:t>
      </w:r>
      <w:r w:rsidRPr="009C6CB3">
        <w:rPr>
          <w:rFonts w:cstheme="minorHAnsi"/>
          <w:color w:val="000000"/>
          <w:szCs w:val="26"/>
        </w:rPr>
        <w:t xml:space="preserve">  </w:t>
      </w:r>
      <w:r w:rsidRPr="009C6CB3">
        <w:rPr>
          <w:rFonts w:cstheme="minorHAnsi"/>
          <w:color w:val="000000"/>
          <w:szCs w:val="26"/>
        </w:rPr>
        <w:t xml:space="preserve">It disposed of Gentile’s </w:t>
      </w:r>
      <w:r w:rsidRPr="009C6CB3" w:rsidR="00F508AE">
        <w:rPr>
          <w:rFonts w:cstheme="minorHAnsi"/>
          <w:color w:val="000000"/>
          <w:szCs w:val="26"/>
        </w:rPr>
        <w:t>S</w:t>
      </w:r>
      <w:r w:rsidRPr="009C6CB3" w:rsidR="00B4417A">
        <w:rPr>
          <w:rFonts w:cstheme="minorHAnsi"/>
          <w:color w:val="000000"/>
          <w:szCs w:val="26"/>
        </w:rPr>
        <w:t xml:space="preserve">enate </w:t>
      </w:r>
      <w:r w:rsidRPr="009C6CB3" w:rsidR="00F508AE">
        <w:rPr>
          <w:rFonts w:cstheme="minorHAnsi"/>
          <w:color w:val="000000"/>
          <w:szCs w:val="26"/>
        </w:rPr>
        <w:t>B</w:t>
      </w:r>
      <w:r w:rsidRPr="009C6CB3" w:rsidR="00B4417A">
        <w:rPr>
          <w:rFonts w:cstheme="minorHAnsi"/>
          <w:color w:val="000000"/>
          <w:szCs w:val="26"/>
        </w:rPr>
        <w:t>ill</w:t>
      </w:r>
      <w:r w:rsidRPr="009C6CB3" w:rsidR="00F508AE">
        <w:rPr>
          <w:rFonts w:cstheme="minorHAnsi"/>
          <w:color w:val="000000"/>
          <w:szCs w:val="26"/>
        </w:rPr>
        <w:t> 1437</w:t>
      </w:r>
      <w:r w:rsidRPr="009C6CB3">
        <w:rPr>
          <w:rFonts w:cstheme="minorHAnsi"/>
          <w:color w:val="000000"/>
          <w:szCs w:val="26"/>
        </w:rPr>
        <w:t xml:space="preserve"> argument in a footnote.  Without deciding whether </w:t>
      </w:r>
      <w:r w:rsidRPr="009C6CB3" w:rsidR="00F508AE">
        <w:rPr>
          <w:rFonts w:cstheme="minorHAnsi"/>
          <w:color w:val="000000"/>
          <w:szCs w:val="26"/>
        </w:rPr>
        <w:t>S</w:t>
      </w:r>
      <w:r w:rsidRPr="009C6CB3" w:rsidR="00B4417A">
        <w:rPr>
          <w:rFonts w:cstheme="minorHAnsi"/>
          <w:color w:val="000000"/>
          <w:szCs w:val="26"/>
        </w:rPr>
        <w:t xml:space="preserve">enate </w:t>
      </w:r>
      <w:r w:rsidRPr="009C6CB3" w:rsidR="00F508AE">
        <w:rPr>
          <w:rFonts w:cstheme="minorHAnsi"/>
          <w:color w:val="000000"/>
          <w:szCs w:val="26"/>
        </w:rPr>
        <w:t>B</w:t>
      </w:r>
      <w:r w:rsidRPr="009C6CB3" w:rsidR="00B4417A">
        <w:rPr>
          <w:rFonts w:cstheme="minorHAnsi"/>
          <w:color w:val="000000"/>
          <w:szCs w:val="26"/>
        </w:rPr>
        <w:t>ill</w:t>
      </w:r>
      <w:r w:rsidRPr="009C6CB3" w:rsidR="00F508AE">
        <w:rPr>
          <w:rFonts w:cstheme="minorHAnsi"/>
          <w:color w:val="000000"/>
          <w:szCs w:val="26"/>
        </w:rPr>
        <w:t> 1437</w:t>
      </w:r>
      <w:r w:rsidRPr="009C6CB3">
        <w:rPr>
          <w:rFonts w:cstheme="minorHAnsi"/>
          <w:color w:val="000000"/>
          <w:szCs w:val="26"/>
        </w:rPr>
        <w:t xml:space="preserve"> applied retroactively, the court concluded that </w:t>
      </w:r>
      <w:r w:rsidRPr="009C6CB3" w:rsidR="00F508AE">
        <w:rPr>
          <w:rFonts w:cstheme="minorHAnsi"/>
          <w:color w:val="000000"/>
          <w:szCs w:val="26"/>
        </w:rPr>
        <w:t>S</w:t>
      </w:r>
      <w:r w:rsidRPr="009C6CB3" w:rsidR="00B4417A">
        <w:rPr>
          <w:rFonts w:cstheme="minorHAnsi"/>
          <w:color w:val="000000"/>
          <w:szCs w:val="26"/>
        </w:rPr>
        <w:t xml:space="preserve">enate </w:t>
      </w:r>
      <w:r w:rsidRPr="009C6CB3" w:rsidR="00F508AE">
        <w:rPr>
          <w:rFonts w:cstheme="minorHAnsi"/>
          <w:color w:val="000000"/>
          <w:szCs w:val="26"/>
        </w:rPr>
        <w:t>B</w:t>
      </w:r>
      <w:r w:rsidRPr="009C6CB3" w:rsidR="00B4417A">
        <w:rPr>
          <w:rFonts w:cstheme="minorHAnsi"/>
          <w:color w:val="000000"/>
          <w:szCs w:val="26"/>
        </w:rPr>
        <w:t>ill</w:t>
      </w:r>
      <w:r w:rsidRPr="009C6CB3" w:rsidR="00F508AE">
        <w:rPr>
          <w:rFonts w:cstheme="minorHAnsi"/>
          <w:color w:val="000000"/>
          <w:szCs w:val="26"/>
        </w:rPr>
        <w:t> 1437</w:t>
      </w:r>
      <w:r w:rsidRPr="009C6CB3">
        <w:rPr>
          <w:rFonts w:cstheme="minorHAnsi"/>
          <w:color w:val="000000"/>
          <w:szCs w:val="26"/>
        </w:rPr>
        <w:t xml:space="preserve"> “does not preclude convictions for second degree murder where the defendant is an active aider-abettor. </w:t>
      </w:r>
      <w:r w:rsidRPr="009C6CB3" w:rsidR="00331155">
        <w:rPr>
          <w:rFonts w:cstheme="minorHAnsi"/>
          <w:color w:val="000000"/>
          <w:szCs w:val="26"/>
        </w:rPr>
        <w:t xml:space="preserve"> </w:t>
      </w:r>
      <w:r w:rsidRPr="009C6CB3">
        <w:rPr>
          <w:rFonts w:cstheme="minorHAnsi"/>
          <w:color w:val="000000"/>
          <w:szCs w:val="26"/>
        </w:rPr>
        <w:t>We denied defendant</w:t>
      </w:r>
      <w:r w:rsidRPr="009C6CB3" w:rsidR="00331155">
        <w:rPr>
          <w:rFonts w:cstheme="minorHAnsi"/>
          <w:color w:val="000000"/>
          <w:szCs w:val="26"/>
        </w:rPr>
        <w:t>’</w:t>
      </w:r>
      <w:r w:rsidRPr="009C6CB3">
        <w:rPr>
          <w:rFonts w:cstheme="minorHAnsi"/>
          <w:color w:val="000000"/>
          <w:szCs w:val="26"/>
        </w:rPr>
        <w:t xml:space="preserve">s request because he was, at a minimum, an active aider abettor, if not the actual killer, for which a reduction to second degree murder was appropriate, pursuant to </w:t>
      </w:r>
      <w:bookmarkStart w:id="12" w:name="Psych_Cite_13"/>
      <w:r w:rsidRPr="009C6CB3">
        <w:rPr>
          <w:rFonts w:cstheme="minorHAnsi"/>
          <w:i/>
          <w:color w:val="000000"/>
          <w:szCs w:val="26"/>
        </w:rPr>
        <w:t>People v. Chiu</w:t>
      </w:r>
      <w:r w:rsidRPr="009C6CB3">
        <w:rPr>
          <w:rFonts w:cstheme="minorHAnsi"/>
          <w:color w:val="000000"/>
          <w:szCs w:val="26"/>
        </w:rPr>
        <w:t xml:space="preserve"> (2014) 59</w:t>
      </w:r>
      <w:r w:rsidRPr="009C6CB3" w:rsidR="001F51CC">
        <w:rPr>
          <w:rFonts w:cstheme="minorHAnsi"/>
          <w:color w:val="000000"/>
          <w:szCs w:val="26"/>
        </w:rPr>
        <w:t> </w:t>
      </w:r>
      <w:r w:rsidRPr="009C6CB3">
        <w:rPr>
          <w:rFonts w:cstheme="minorHAnsi"/>
          <w:color w:val="000000"/>
          <w:szCs w:val="26"/>
        </w:rPr>
        <w:t>Cal.4th 155, 166</w:t>
      </w:r>
      <w:bookmarkEnd w:id="12"/>
      <w:r w:rsidRPr="009C6CB3">
        <w:rPr>
          <w:rFonts w:cstheme="minorHAnsi"/>
          <w:color w:val="000000"/>
          <w:szCs w:val="26"/>
        </w:rPr>
        <w:t>.</w:t>
      </w:r>
      <w:r w:rsidRPr="009C6CB3" w:rsidR="00331155">
        <w:rPr>
          <w:rFonts w:cstheme="minorHAnsi"/>
          <w:color w:val="000000"/>
          <w:szCs w:val="26"/>
        </w:rPr>
        <w:t>”</w:t>
      </w:r>
      <w:r w:rsidR="004C0901">
        <w:rPr>
          <w:rFonts w:cstheme="minorHAnsi"/>
          <w:color w:val="000000"/>
          <w:szCs w:val="26"/>
        </w:rPr>
        <w:t xml:space="preserve">  (</w:t>
      </w:r>
      <w:bookmarkStart w:id="13" w:name="Psych_Cite_12"/>
      <w:r w:rsidR="004C0901">
        <w:rPr>
          <w:rFonts w:cstheme="minorHAnsi"/>
          <w:i/>
          <w:iCs/>
          <w:color w:val="000000"/>
          <w:szCs w:val="26"/>
        </w:rPr>
        <w:t>Ibid.</w:t>
      </w:r>
      <w:bookmarkEnd w:id="13"/>
      <w:r w:rsidR="004C0901">
        <w:rPr>
          <w:rFonts w:cstheme="minorHAnsi"/>
          <w:color w:val="000000"/>
          <w:szCs w:val="26"/>
        </w:rPr>
        <w:t>)</w:t>
      </w:r>
    </w:p>
    <w:p w:rsidR="00834045" w:rsidRPr="005D2338" w:rsidP="009C6CB3">
      <w:pPr>
        <w:ind w:firstLine="720"/>
        <w:contextualSpacing/>
        <w:rPr>
          <w:rFonts w:cstheme="minorHAnsi"/>
          <w:color w:val="000000"/>
          <w:szCs w:val="26"/>
        </w:rPr>
      </w:pPr>
      <w:r w:rsidRPr="009C6CB3">
        <w:rPr>
          <w:rFonts w:cstheme="minorHAnsi"/>
          <w:color w:val="000000"/>
          <w:szCs w:val="26"/>
        </w:rPr>
        <w:t>W</w:t>
      </w:r>
      <w:r w:rsidRPr="009C6CB3" w:rsidR="0057439C">
        <w:rPr>
          <w:rFonts w:cstheme="minorHAnsi"/>
          <w:color w:val="000000"/>
          <w:szCs w:val="26"/>
        </w:rPr>
        <w:t xml:space="preserve">e granted </w:t>
      </w:r>
      <w:r w:rsidRPr="009C6CB3">
        <w:rPr>
          <w:rFonts w:cstheme="minorHAnsi"/>
          <w:color w:val="000000"/>
          <w:szCs w:val="26"/>
        </w:rPr>
        <w:t xml:space="preserve">Gentile’s petition for review </w:t>
      </w:r>
      <w:r w:rsidRPr="009C6CB3" w:rsidR="0057439C">
        <w:rPr>
          <w:rFonts w:cstheme="minorHAnsi"/>
          <w:color w:val="000000"/>
          <w:szCs w:val="26"/>
        </w:rPr>
        <w:t>and transferred the case to the Court of Appeal to reconsider Gentile’s second</w:t>
      </w:r>
      <w:r w:rsidRPr="009C6CB3" w:rsidR="00FD4915">
        <w:rPr>
          <w:rFonts w:cstheme="minorHAnsi"/>
          <w:color w:val="000000"/>
          <w:szCs w:val="26"/>
        </w:rPr>
        <w:t xml:space="preserve"> </w:t>
      </w:r>
      <w:r w:rsidRPr="009C6CB3" w:rsidR="0057439C">
        <w:rPr>
          <w:rFonts w:cstheme="minorHAnsi"/>
          <w:color w:val="000000"/>
          <w:szCs w:val="26"/>
        </w:rPr>
        <w:t xml:space="preserve">degree murder conviction in light of </w:t>
      </w:r>
      <w:r w:rsidRPr="009C6CB3" w:rsidR="00F508AE">
        <w:rPr>
          <w:rFonts w:cstheme="minorHAnsi"/>
          <w:color w:val="000000"/>
          <w:szCs w:val="26"/>
        </w:rPr>
        <w:t>S</w:t>
      </w:r>
      <w:r w:rsidRPr="009C6CB3" w:rsidR="00B4417A">
        <w:rPr>
          <w:rFonts w:cstheme="minorHAnsi"/>
          <w:color w:val="000000"/>
          <w:szCs w:val="26"/>
        </w:rPr>
        <w:t xml:space="preserve">enate </w:t>
      </w:r>
      <w:r w:rsidRPr="009C6CB3" w:rsidR="00F508AE">
        <w:rPr>
          <w:rFonts w:cstheme="minorHAnsi"/>
          <w:color w:val="000000"/>
          <w:szCs w:val="26"/>
        </w:rPr>
        <w:t>B</w:t>
      </w:r>
      <w:r w:rsidRPr="009C6CB3" w:rsidR="00B4417A">
        <w:rPr>
          <w:rFonts w:cstheme="minorHAnsi"/>
          <w:color w:val="000000"/>
          <w:szCs w:val="26"/>
        </w:rPr>
        <w:t>ill</w:t>
      </w:r>
      <w:r w:rsidRPr="009C6CB3" w:rsidR="00F508AE">
        <w:rPr>
          <w:rFonts w:cstheme="minorHAnsi"/>
          <w:color w:val="000000"/>
          <w:szCs w:val="26"/>
        </w:rPr>
        <w:t> 1437</w:t>
      </w:r>
      <w:r w:rsidRPr="009C6CB3" w:rsidR="0057439C">
        <w:rPr>
          <w:rFonts w:cstheme="minorHAnsi"/>
          <w:color w:val="000000"/>
          <w:szCs w:val="26"/>
        </w:rPr>
        <w:t xml:space="preserve"> and </w:t>
      </w:r>
      <w:r w:rsidRPr="009C6CB3" w:rsidR="00C152E4">
        <w:rPr>
          <w:rFonts w:cstheme="minorHAnsi"/>
          <w:color w:val="000000"/>
          <w:szCs w:val="26"/>
        </w:rPr>
        <w:t>“the court’s determination, in defendant’s prior appeal, that it is probable the jury convicted defendant of murder on the theory that he aided and abetted Saundra Roberts in a target crime that, as a natural and probable consequence, resulted in her murder of the victim.”</w:t>
      </w:r>
      <w:r w:rsidR="005D2338">
        <w:rPr>
          <w:rFonts w:cstheme="minorHAnsi"/>
          <w:color w:val="000000"/>
          <w:szCs w:val="26"/>
        </w:rPr>
        <w:t xml:space="preserve">  (</w:t>
      </w:r>
      <w:r w:rsidR="005D2338">
        <w:rPr>
          <w:rFonts w:cstheme="minorHAnsi"/>
          <w:i/>
          <w:iCs/>
          <w:color w:val="000000"/>
          <w:szCs w:val="26"/>
        </w:rPr>
        <w:t>People v. Gentile</w:t>
      </w:r>
      <w:r w:rsidR="005D2338">
        <w:rPr>
          <w:rFonts w:cstheme="minorHAnsi"/>
          <w:color w:val="000000"/>
          <w:szCs w:val="26"/>
        </w:rPr>
        <w:t>, S253197, Supreme Ct. Mins., Mar. 13, 2019.)</w:t>
      </w:r>
    </w:p>
    <w:p w:rsidR="0057439C" w:rsidRPr="009C6CB3" w:rsidP="009C6CB3">
      <w:pPr>
        <w:ind w:firstLine="720"/>
        <w:contextualSpacing/>
        <w:rPr>
          <w:rFonts w:cstheme="minorHAnsi"/>
          <w:color w:val="000000"/>
          <w:szCs w:val="26"/>
        </w:rPr>
      </w:pPr>
      <w:r w:rsidRPr="009C6CB3">
        <w:rPr>
          <w:rFonts w:cstheme="minorHAnsi"/>
          <w:color w:val="000000"/>
          <w:szCs w:val="26"/>
        </w:rPr>
        <w:t>On reconsideration, t</w:t>
      </w:r>
      <w:r w:rsidRPr="009C6CB3">
        <w:rPr>
          <w:rFonts w:cstheme="minorHAnsi"/>
          <w:color w:val="000000"/>
          <w:szCs w:val="26"/>
        </w:rPr>
        <w:t xml:space="preserve">he Court of Appeal again affirmed Gentile’s </w:t>
      </w:r>
      <w:r w:rsidRPr="009C6CB3">
        <w:rPr>
          <w:rFonts w:cstheme="minorHAnsi"/>
          <w:color w:val="000000"/>
          <w:szCs w:val="26"/>
        </w:rPr>
        <w:t xml:space="preserve">second degree </w:t>
      </w:r>
      <w:r w:rsidRPr="009C6CB3">
        <w:rPr>
          <w:rFonts w:cstheme="minorHAnsi"/>
          <w:color w:val="000000"/>
          <w:szCs w:val="26"/>
        </w:rPr>
        <w:t>murder conviction.  (</w:t>
      </w:r>
      <w:r w:rsidRPr="009C6CB3">
        <w:rPr>
          <w:rFonts w:cstheme="minorHAnsi"/>
          <w:i/>
          <w:color w:val="000000"/>
          <w:szCs w:val="26"/>
        </w:rPr>
        <w:t>People v. Gentile</w:t>
      </w:r>
      <w:r w:rsidRPr="009C6CB3">
        <w:rPr>
          <w:rFonts w:cstheme="minorHAnsi"/>
          <w:color w:val="000000"/>
          <w:szCs w:val="26"/>
        </w:rPr>
        <w:t xml:space="preserve"> (May 30, 2019)</w:t>
      </w:r>
      <w:r w:rsidR="00A17C0D">
        <w:rPr>
          <w:rFonts w:cstheme="minorHAnsi"/>
          <w:color w:val="000000"/>
          <w:szCs w:val="26"/>
        </w:rPr>
        <w:t xml:space="preserve"> </w:t>
      </w:r>
      <w:r w:rsidRPr="009C6CB3" w:rsidR="00A17C0D">
        <w:rPr>
          <w:rFonts w:cstheme="minorHAnsi"/>
          <w:color w:val="000000"/>
          <w:szCs w:val="26"/>
        </w:rPr>
        <w:t>E069088</w:t>
      </w:r>
      <w:r w:rsidRPr="009C6CB3" w:rsidR="00341C8A">
        <w:rPr>
          <w:rFonts w:cstheme="minorHAnsi"/>
          <w:color w:val="000000"/>
          <w:szCs w:val="26"/>
        </w:rPr>
        <w:t>,</w:t>
      </w:r>
      <w:r w:rsidRPr="009C6CB3">
        <w:rPr>
          <w:rFonts w:cstheme="minorHAnsi"/>
          <w:color w:val="000000"/>
          <w:szCs w:val="26"/>
        </w:rPr>
        <w:t xml:space="preserve"> rev</w:t>
      </w:r>
      <w:r w:rsidRPr="009C6CB3" w:rsidR="00F508AE">
        <w:rPr>
          <w:rFonts w:cstheme="minorHAnsi"/>
          <w:color w:val="000000"/>
          <w:szCs w:val="26"/>
        </w:rPr>
        <w:t>iew</w:t>
      </w:r>
      <w:r w:rsidRPr="009C6CB3">
        <w:rPr>
          <w:rFonts w:cstheme="minorHAnsi"/>
          <w:color w:val="000000"/>
          <w:szCs w:val="26"/>
        </w:rPr>
        <w:t xml:space="preserve"> granted and opn. ordered nonpub</w:t>
      </w:r>
      <w:r w:rsidRPr="009C6CB3" w:rsidR="0013397A">
        <w:rPr>
          <w:rFonts w:cstheme="minorHAnsi"/>
          <w:color w:val="000000"/>
          <w:szCs w:val="26"/>
        </w:rPr>
        <w:t>.</w:t>
      </w:r>
      <w:r w:rsidRPr="009C6CB3" w:rsidR="00F508AE">
        <w:rPr>
          <w:rFonts w:cstheme="minorHAnsi"/>
          <w:color w:val="000000"/>
          <w:szCs w:val="26"/>
        </w:rPr>
        <w:t xml:space="preserve"> Sept.</w:t>
      </w:r>
      <w:r w:rsidRPr="009C6CB3" w:rsidR="001F51CC">
        <w:rPr>
          <w:rFonts w:cstheme="minorHAnsi"/>
          <w:color w:val="000000"/>
          <w:szCs w:val="26"/>
        </w:rPr>
        <w:t> </w:t>
      </w:r>
      <w:r w:rsidRPr="009C6CB3" w:rsidR="00F508AE">
        <w:rPr>
          <w:rFonts w:cstheme="minorHAnsi"/>
          <w:color w:val="000000"/>
          <w:szCs w:val="26"/>
        </w:rPr>
        <w:t>11, 2019, S256698</w:t>
      </w:r>
      <w:r w:rsidR="00A17C0D">
        <w:rPr>
          <w:rFonts w:cstheme="minorHAnsi"/>
          <w:color w:val="000000"/>
          <w:szCs w:val="26"/>
        </w:rPr>
        <w:t xml:space="preserve"> (</w:t>
      </w:r>
      <w:r w:rsidRPr="009C6CB3" w:rsidR="00A17C0D">
        <w:rPr>
          <w:rFonts w:cstheme="minorHAnsi"/>
          <w:i/>
          <w:color w:val="000000"/>
          <w:szCs w:val="26"/>
        </w:rPr>
        <w:t>Gentile III</w:t>
      </w:r>
      <w:r w:rsidR="00A17C0D">
        <w:rPr>
          <w:rFonts w:cstheme="minorHAnsi"/>
          <w:iCs/>
          <w:color w:val="000000"/>
          <w:szCs w:val="26"/>
        </w:rPr>
        <w:t>)</w:t>
      </w:r>
      <w:r w:rsidRPr="009C6CB3">
        <w:rPr>
          <w:rFonts w:cstheme="minorHAnsi"/>
          <w:color w:val="000000"/>
          <w:szCs w:val="26"/>
        </w:rPr>
        <w:t>.)</w:t>
      </w:r>
      <w:r w:rsidRPr="009C6CB3" w:rsidR="00834045">
        <w:rPr>
          <w:rFonts w:cstheme="minorHAnsi"/>
          <w:color w:val="000000"/>
          <w:szCs w:val="26"/>
        </w:rPr>
        <w:t xml:space="preserve">  </w:t>
      </w:r>
      <w:r w:rsidRPr="009C6CB3">
        <w:rPr>
          <w:rFonts w:cstheme="minorHAnsi"/>
          <w:color w:val="000000"/>
          <w:szCs w:val="26"/>
        </w:rPr>
        <w:t xml:space="preserve">It construed Gentile’s argument to contend that </w:t>
      </w:r>
      <w:r w:rsidRPr="009C6CB3" w:rsidR="00F508AE">
        <w:rPr>
          <w:rFonts w:cstheme="minorHAnsi"/>
          <w:color w:val="000000"/>
          <w:szCs w:val="26"/>
        </w:rPr>
        <w:t>S</w:t>
      </w:r>
      <w:r w:rsidRPr="009C6CB3" w:rsidR="00B4417A">
        <w:rPr>
          <w:rFonts w:cstheme="minorHAnsi"/>
          <w:color w:val="000000"/>
          <w:szCs w:val="26"/>
        </w:rPr>
        <w:t xml:space="preserve">enate </w:t>
      </w:r>
      <w:r w:rsidRPr="009C6CB3" w:rsidR="00F508AE">
        <w:rPr>
          <w:rFonts w:cstheme="minorHAnsi"/>
          <w:color w:val="000000"/>
          <w:szCs w:val="26"/>
        </w:rPr>
        <w:t>B</w:t>
      </w:r>
      <w:r w:rsidRPr="009C6CB3" w:rsidR="00B4417A">
        <w:rPr>
          <w:rFonts w:cstheme="minorHAnsi"/>
          <w:color w:val="000000"/>
          <w:szCs w:val="26"/>
        </w:rPr>
        <w:t>ill</w:t>
      </w:r>
      <w:r w:rsidRPr="009C6CB3" w:rsidR="00F508AE">
        <w:rPr>
          <w:rFonts w:cstheme="minorHAnsi"/>
          <w:color w:val="000000"/>
          <w:szCs w:val="26"/>
        </w:rPr>
        <w:t> 1437</w:t>
      </w:r>
      <w:r w:rsidRPr="009C6CB3">
        <w:rPr>
          <w:rFonts w:cstheme="minorHAnsi"/>
          <w:color w:val="000000"/>
          <w:szCs w:val="26"/>
        </w:rPr>
        <w:t xml:space="preserve">’s amendments to </w:t>
      </w:r>
      <w:bookmarkStart w:id="14" w:name="Psych_Cite_16"/>
      <w:r w:rsidRPr="009C6CB3">
        <w:rPr>
          <w:rFonts w:cstheme="minorHAnsi"/>
          <w:color w:val="000000"/>
          <w:szCs w:val="26"/>
        </w:rPr>
        <w:t>section 189</w:t>
      </w:r>
      <w:bookmarkEnd w:id="14"/>
      <w:r w:rsidRPr="009C6CB3">
        <w:rPr>
          <w:rFonts w:cstheme="minorHAnsi"/>
          <w:color w:val="000000"/>
          <w:szCs w:val="26"/>
        </w:rPr>
        <w:t xml:space="preserve"> “</w:t>
      </w:r>
      <w:bookmarkStart w:id="15" w:name="QUOTE_BOOKMARK_IS_CONFIRMED_1"/>
      <w:r w:rsidR="00F82825">
        <w:rPr>
          <w:rFonts w:cstheme="minorHAnsi"/>
          <w:color w:val="000000"/>
          <w:szCs w:val="26"/>
        </w:rPr>
        <w:t>eliminate[d] all murder liability for aiders and abettors.</w:t>
      </w:r>
      <w:bookmarkEnd w:id="15"/>
      <w:r w:rsidRPr="009C6CB3">
        <w:rPr>
          <w:rFonts w:cstheme="minorHAnsi"/>
          <w:color w:val="000000"/>
          <w:szCs w:val="26"/>
        </w:rPr>
        <w:t>”  (</w:t>
      </w:r>
      <w:bookmarkStart w:id="16" w:name="Psych_Cite_14"/>
      <w:r w:rsidR="007258C4">
        <w:rPr>
          <w:rFonts w:cstheme="minorHAnsi"/>
          <w:i/>
          <w:iCs/>
          <w:color w:val="000000"/>
          <w:szCs w:val="26"/>
        </w:rPr>
        <w:t>Ibid</w:t>
      </w:r>
      <w:r w:rsidRPr="009C6CB3" w:rsidR="00834045">
        <w:rPr>
          <w:rFonts w:cstheme="minorHAnsi"/>
          <w:color w:val="000000"/>
          <w:szCs w:val="26"/>
        </w:rPr>
        <w:t>.</w:t>
      </w:r>
      <w:bookmarkEnd w:id="16"/>
      <w:r w:rsidRPr="009C6CB3">
        <w:rPr>
          <w:rFonts w:cstheme="minorHAnsi"/>
          <w:color w:val="000000"/>
          <w:szCs w:val="26"/>
        </w:rPr>
        <w:t>)</w:t>
      </w:r>
      <w:r w:rsidRPr="009C6CB3" w:rsidR="00834045">
        <w:rPr>
          <w:rFonts w:cstheme="minorHAnsi"/>
          <w:color w:val="000000"/>
          <w:szCs w:val="26"/>
        </w:rPr>
        <w:t xml:space="preserve">  </w:t>
      </w:r>
      <w:r w:rsidRPr="009C6CB3">
        <w:rPr>
          <w:rFonts w:cstheme="minorHAnsi"/>
          <w:color w:val="000000"/>
          <w:szCs w:val="26"/>
        </w:rPr>
        <w:t xml:space="preserve">The court concluded that such an interpretation of </w:t>
      </w:r>
      <w:bookmarkStart w:id="17" w:name="Psych_Cite_17"/>
      <w:r w:rsidRPr="009C6CB3">
        <w:rPr>
          <w:rFonts w:cstheme="minorHAnsi"/>
          <w:color w:val="000000"/>
          <w:szCs w:val="26"/>
        </w:rPr>
        <w:t>section 189</w:t>
      </w:r>
      <w:bookmarkEnd w:id="17"/>
      <w:r w:rsidRPr="009C6CB3">
        <w:rPr>
          <w:rFonts w:cstheme="minorHAnsi"/>
          <w:color w:val="000000"/>
          <w:szCs w:val="26"/>
        </w:rPr>
        <w:t xml:space="preserve"> was contrary to the text of the statute and would conflict with our decision in </w:t>
      </w:r>
      <w:r w:rsidRPr="009C6CB3">
        <w:rPr>
          <w:rFonts w:cstheme="minorHAnsi"/>
          <w:i/>
          <w:color w:val="000000"/>
          <w:szCs w:val="26"/>
        </w:rPr>
        <w:t>Chiu</w:t>
      </w:r>
      <w:r w:rsidRPr="009C6CB3">
        <w:rPr>
          <w:rFonts w:cstheme="minorHAnsi"/>
          <w:color w:val="000000"/>
          <w:szCs w:val="26"/>
        </w:rPr>
        <w:t>.</w:t>
      </w:r>
      <w:r w:rsidRPr="009C6CB3" w:rsidR="00834045">
        <w:rPr>
          <w:rFonts w:cstheme="minorHAnsi"/>
          <w:color w:val="000000"/>
          <w:szCs w:val="26"/>
        </w:rPr>
        <w:t xml:space="preserve">  </w:t>
      </w:r>
      <w:r w:rsidRPr="009C6CB3">
        <w:rPr>
          <w:rFonts w:cstheme="minorHAnsi"/>
          <w:color w:val="000000"/>
          <w:szCs w:val="26"/>
        </w:rPr>
        <w:t xml:space="preserve">It </w:t>
      </w:r>
      <w:r w:rsidRPr="009C6CB3" w:rsidR="00FD4915">
        <w:rPr>
          <w:rFonts w:cstheme="minorHAnsi"/>
          <w:color w:val="000000"/>
          <w:szCs w:val="26"/>
        </w:rPr>
        <w:t>reiterated</w:t>
      </w:r>
      <w:r w:rsidRPr="009C6CB3">
        <w:rPr>
          <w:rFonts w:cstheme="minorHAnsi"/>
          <w:color w:val="000000"/>
          <w:szCs w:val="26"/>
        </w:rPr>
        <w:t xml:space="preserve"> that Gentile’s conviction stand</w:t>
      </w:r>
      <w:r w:rsidRPr="009C6CB3">
        <w:rPr>
          <w:rFonts w:cstheme="minorHAnsi"/>
          <w:color w:val="000000"/>
          <w:szCs w:val="26"/>
        </w:rPr>
        <w:t>s</w:t>
      </w:r>
      <w:r w:rsidRPr="009C6CB3">
        <w:rPr>
          <w:rFonts w:cstheme="minorHAnsi"/>
          <w:color w:val="000000"/>
          <w:szCs w:val="26"/>
        </w:rPr>
        <w:t xml:space="preserve"> because “</w:t>
      </w:r>
      <w:bookmarkStart w:id="18" w:name="QUOTE_BOOKMARK_IS_CONFIRMED_2"/>
      <w:r w:rsidR="00F82825">
        <w:rPr>
          <w:rFonts w:cstheme="minorHAnsi"/>
          <w:color w:val="000000"/>
          <w:szCs w:val="26"/>
        </w:rPr>
        <w:t>[a]t a minimum . . . [he] was a direct or active aider and abettor</w:t>
      </w:r>
      <w:bookmarkEnd w:id="18"/>
      <w:r w:rsidRPr="009C6CB3">
        <w:rPr>
          <w:rFonts w:cstheme="minorHAnsi"/>
          <w:color w:val="000000"/>
          <w:szCs w:val="26"/>
        </w:rPr>
        <w:t>” of murder.  (</w:t>
      </w:r>
      <w:bookmarkStart w:id="19" w:name="Psych_Cite_15"/>
      <w:r w:rsidR="007258C4">
        <w:rPr>
          <w:rFonts w:cstheme="minorHAnsi"/>
          <w:i/>
          <w:iCs/>
          <w:color w:val="000000"/>
          <w:szCs w:val="26"/>
        </w:rPr>
        <w:t>Ibid</w:t>
      </w:r>
      <w:r w:rsidRPr="009C6CB3">
        <w:rPr>
          <w:rFonts w:cstheme="minorHAnsi"/>
          <w:color w:val="000000"/>
          <w:szCs w:val="26"/>
        </w:rPr>
        <w:t>.</w:t>
      </w:r>
      <w:bookmarkEnd w:id="19"/>
      <w:r w:rsidRPr="009C6CB3">
        <w:rPr>
          <w:rFonts w:cstheme="minorHAnsi"/>
          <w:color w:val="000000"/>
          <w:szCs w:val="26"/>
        </w:rPr>
        <w:t xml:space="preserve">) </w:t>
      </w:r>
      <w:r w:rsidRPr="009C6CB3" w:rsidR="00834045">
        <w:rPr>
          <w:rFonts w:cstheme="minorHAnsi"/>
          <w:color w:val="000000"/>
          <w:szCs w:val="26"/>
        </w:rPr>
        <w:t xml:space="preserve"> </w:t>
      </w:r>
      <w:r w:rsidRPr="009C6CB3">
        <w:rPr>
          <w:rFonts w:cstheme="minorHAnsi"/>
          <w:color w:val="000000"/>
          <w:szCs w:val="26"/>
        </w:rPr>
        <w:t>We granted review.</w:t>
      </w:r>
    </w:p>
    <w:p w:rsidR="0057439C" w:rsidRPr="009C6CB3" w:rsidP="002806BA">
      <w:pPr>
        <w:jc w:val="center"/>
        <w:rPr>
          <w:rFonts w:cstheme="minorHAnsi"/>
          <w:b/>
          <w:color w:val="000000"/>
          <w:szCs w:val="26"/>
        </w:rPr>
      </w:pPr>
      <w:r w:rsidRPr="009C6CB3">
        <w:rPr>
          <w:rFonts w:cstheme="minorHAnsi"/>
          <w:b/>
          <w:color w:val="000000"/>
          <w:szCs w:val="26"/>
        </w:rPr>
        <w:t>II.</w:t>
      </w:r>
    </w:p>
    <w:p w:rsidR="00CC5C01" w:rsidRPr="009C6CB3" w:rsidP="009C6CB3">
      <w:pPr>
        <w:autoSpaceDE w:val="0"/>
        <w:autoSpaceDN w:val="0"/>
        <w:adjustRightInd w:val="0"/>
        <w:ind w:firstLine="720"/>
        <w:rPr>
          <w:rFonts w:cstheme="minorHAnsi"/>
          <w:szCs w:val="26"/>
        </w:rPr>
      </w:pPr>
      <w:r w:rsidRPr="009C6CB3">
        <w:rPr>
          <w:rFonts w:cstheme="minorHAnsi"/>
          <w:szCs w:val="26"/>
        </w:rPr>
        <w:t>Senate Bill 1437 “amend[</w:t>
      </w:r>
      <w:r w:rsidRPr="009C6CB3">
        <w:rPr>
          <w:rFonts w:cstheme="minorHAnsi"/>
          <w:szCs w:val="26"/>
        </w:rPr>
        <w:t>ed</w:t>
      </w:r>
      <w:r w:rsidRPr="009C6CB3">
        <w:rPr>
          <w:rFonts w:cstheme="minorHAnsi"/>
          <w:szCs w:val="26"/>
        </w:rPr>
        <w:t>] 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  (</w:t>
      </w:r>
      <w:r w:rsidRPr="004719D8" w:rsidR="00862F25">
        <w:rPr>
          <w:rFonts w:cstheme="minorHAnsi"/>
          <w:szCs w:val="26"/>
        </w:rPr>
        <w:t>Stats</w:t>
      </w:r>
      <w:r w:rsidRPr="009C6CB3" w:rsidR="00862F25">
        <w:rPr>
          <w:rFonts w:cstheme="minorHAnsi"/>
          <w:iCs/>
          <w:szCs w:val="26"/>
        </w:rPr>
        <w:t>. 2018, ch. 1015</w:t>
      </w:r>
      <w:r w:rsidRPr="009C6CB3">
        <w:rPr>
          <w:rFonts w:cstheme="minorHAnsi"/>
          <w:szCs w:val="26"/>
        </w:rPr>
        <w:t>, § l</w:t>
      </w:r>
      <w:r w:rsidR="00260D46">
        <w:rPr>
          <w:rFonts w:cstheme="minorHAnsi"/>
          <w:szCs w:val="26"/>
        </w:rPr>
        <w:t>, subd.</w:t>
      </w:r>
      <w:r w:rsidR="00AA462A">
        <w:rPr>
          <w:rFonts w:cstheme="minorHAnsi"/>
          <w:szCs w:val="26"/>
        </w:rPr>
        <w:t> </w:t>
      </w:r>
      <w:r w:rsidRPr="009C6CB3">
        <w:rPr>
          <w:rFonts w:cstheme="minorHAnsi"/>
          <w:szCs w:val="26"/>
        </w:rPr>
        <w:t>(f).)</w:t>
      </w:r>
    </w:p>
    <w:p w:rsidR="009D63E2" w:rsidRPr="009C6CB3" w:rsidP="009C6CB3">
      <w:pPr>
        <w:autoSpaceDE w:val="0"/>
        <w:autoSpaceDN w:val="0"/>
        <w:adjustRightInd w:val="0"/>
        <w:ind w:firstLine="720"/>
        <w:rPr>
          <w:rFonts w:cstheme="minorHAnsi"/>
          <w:szCs w:val="26"/>
        </w:rPr>
      </w:pPr>
      <w:r>
        <w:rPr>
          <w:rFonts w:cstheme="minorHAnsi"/>
          <w:szCs w:val="26"/>
        </w:rPr>
        <w:t>To further</w:t>
      </w:r>
      <w:r w:rsidRPr="009C6CB3" w:rsidR="00CC5C01">
        <w:rPr>
          <w:rFonts w:cstheme="minorHAnsi"/>
          <w:szCs w:val="26"/>
        </w:rPr>
        <w:t xml:space="preserve"> that purpose</w:t>
      </w:r>
      <w:r w:rsidRPr="009C6CB3" w:rsidR="0057439C">
        <w:rPr>
          <w:rFonts w:cstheme="minorHAnsi"/>
          <w:szCs w:val="26"/>
        </w:rPr>
        <w:t xml:space="preserve">,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sidR="0057439C">
        <w:rPr>
          <w:rFonts w:cstheme="minorHAnsi"/>
          <w:szCs w:val="26"/>
        </w:rPr>
        <w:t xml:space="preserve"> added three separate provisions</w:t>
      </w:r>
      <w:r w:rsidRPr="009C6CB3" w:rsidR="00CC5C01">
        <w:rPr>
          <w:rFonts w:cstheme="minorHAnsi"/>
          <w:szCs w:val="26"/>
        </w:rPr>
        <w:t xml:space="preserve"> to the Penal Code</w:t>
      </w:r>
      <w:r w:rsidRPr="009C6CB3" w:rsidR="0057439C">
        <w:rPr>
          <w:rFonts w:cstheme="minorHAnsi"/>
          <w:szCs w:val="26"/>
        </w:rPr>
        <w:t>.</w:t>
      </w:r>
      <w:r w:rsidRPr="009C6CB3" w:rsidR="00834045">
        <w:rPr>
          <w:rFonts w:cstheme="minorHAnsi"/>
          <w:szCs w:val="26"/>
        </w:rPr>
        <w:t xml:space="preserve">  </w:t>
      </w:r>
      <w:r w:rsidRPr="009C6CB3" w:rsidR="006F6086">
        <w:rPr>
          <w:rFonts w:cstheme="minorHAnsi"/>
          <w:szCs w:val="26"/>
        </w:rPr>
        <w:t>First, t</w:t>
      </w:r>
      <w:r w:rsidRPr="009C6CB3" w:rsidR="0057439C">
        <w:rPr>
          <w:rFonts w:cstheme="minorHAnsi"/>
          <w:szCs w:val="26"/>
        </w:rPr>
        <w:t xml:space="preserve">o amend the felony murder rule,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sidR="0057439C">
        <w:rPr>
          <w:rFonts w:cstheme="minorHAnsi"/>
          <w:szCs w:val="26"/>
        </w:rPr>
        <w:t xml:space="preserve"> added </w:t>
      </w:r>
      <w:bookmarkStart w:id="20" w:name="Psych_Cite_18"/>
      <w:r w:rsidRPr="009C6CB3" w:rsidR="0057439C">
        <w:rPr>
          <w:rFonts w:cstheme="minorHAnsi"/>
          <w:szCs w:val="26"/>
        </w:rPr>
        <w:t>section 189, subdivision (e)</w:t>
      </w:r>
      <w:bookmarkEnd w:id="20"/>
      <w:r w:rsidRPr="009C6CB3" w:rsidR="0057439C">
        <w:rPr>
          <w:rFonts w:cstheme="minorHAnsi"/>
          <w:szCs w:val="26"/>
        </w:rPr>
        <w:t xml:space="preserve">:  “A participant in the perpetration or attempted perpetration of </w:t>
      </w:r>
      <w:r w:rsidRPr="009C6CB3" w:rsidR="00CC5C01">
        <w:rPr>
          <w:rFonts w:cstheme="minorHAnsi"/>
          <w:szCs w:val="26"/>
        </w:rPr>
        <w:t>[</w:t>
      </w:r>
      <w:r w:rsidRPr="009C6CB3" w:rsidR="006E6BC5">
        <w:rPr>
          <w:rFonts w:cstheme="minorHAnsi"/>
          <w:szCs w:val="26"/>
        </w:rPr>
        <w:t>qualifying</w:t>
      </w:r>
      <w:r w:rsidRPr="009C6CB3" w:rsidR="00CC5C01">
        <w:rPr>
          <w:rFonts w:cstheme="minorHAnsi"/>
          <w:szCs w:val="26"/>
        </w:rPr>
        <w:t xml:space="preserve"> felonies]</w:t>
      </w:r>
      <w:r w:rsidRPr="009C6CB3" w:rsidR="0057439C">
        <w:rPr>
          <w:rFonts w:cstheme="minorHAnsi"/>
          <w:szCs w:val="26"/>
        </w:rPr>
        <w:t xml:space="preserve"> in which a death occurs is liable for murder only if one of the following is proven:  </w:t>
      </w:r>
      <w:r w:rsidR="00656D23">
        <w:t>[¶]</w:t>
      </w:r>
      <w:r w:rsidR="002A0C84">
        <w:t> </w:t>
      </w:r>
      <w:r w:rsidRPr="009C6CB3" w:rsidR="0057439C">
        <w:rPr>
          <w:rFonts w:cstheme="minorHAnsi"/>
          <w:szCs w:val="26"/>
        </w:rPr>
        <w:t>(1)</w:t>
      </w:r>
      <w:r w:rsidR="002A0C84">
        <w:rPr>
          <w:rFonts w:cstheme="minorHAnsi"/>
          <w:szCs w:val="26"/>
        </w:rPr>
        <w:t> </w:t>
      </w:r>
      <w:r w:rsidRPr="009C6CB3" w:rsidR="0057439C">
        <w:rPr>
          <w:rFonts w:cstheme="minorHAnsi"/>
          <w:szCs w:val="26"/>
        </w:rPr>
        <w:t xml:space="preserve">The person was the actual killer.  </w:t>
      </w:r>
      <w:r w:rsidR="007F5520">
        <w:t xml:space="preserve">[¶] </w:t>
      </w:r>
      <w:r w:rsidRPr="009C6CB3" w:rsidR="0057439C">
        <w:rPr>
          <w:rFonts w:cstheme="minorHAnsi"/>
          <w:szCs w:val="26"/>
        </w:rPr>
        <w:t xml:space="preserve">(2) The person was not the actual killer, but, with the intent to kill, aided, abetted, counseled, commanded, induced, solicited, requested, or assisted the actual killer in the commission of murder in the first degree.  </w:t>
      </w:r>
      <w:r w:rsidR="007F5520">
        <w:t xml:space="preserve">[¶] </w:t>
      </w:r>
      <w:r w:rsidRPr="009C6CB3" w:rsidR="0057439C">
        <w:rPr>
          <w:rFonts w:cstheme="minorHAnsi"/>
          <w:szCs w:val="26"/>
        </w:rPr>
        <w:t xml:space="preserve">(3) The person was a major participant in the underlying felony and acted with reckless indifference to human life, as described in subdivision (d) of </w:t>
      </w:r>
      <w:bookmarkStart w:id="21" w:name="Psych_Cite_19"/>
      <w:r w:rsidRPr="009C6CB3" w:rsidR="0057439C">
        <w:rPr>
          <w:rFonts w:cstheme="minorHAnsi"/>
          <w:szCs w:val="26"/>
        </w:rPr>
        <w:t>Section 190.2</w:t>
      </w:r>
      <w:bookmarkEnd w:id="21"/>
      <w:r w:rsidRPr="009C6CB3" w:rsidR="0057439C">
        <w:rPr>
          <w:rFonts w:cstheme="minorHAnsi"/>
          <w:szCs w:val="26"/>
        </w:rPr>
        <w:t>.”</w:t>
      </w:r>
      <w:r w:rsidRPr="009C6CB3" w:rsidR="00947B5F">
        <w:rPr>
          <w:rFonts w:cstheme="minorHAnsi"/>
          <w:szCs w:val="26"/>
        </w:rPr>
        <w:t xml:space="preserve">  </w:t>
      </w:r>
      <w:r w:rsidRPr="009C6CB3" w:rsidR="006F6086">
        <w:rPr>
          <w:rFonts w:cstheme="minorHAnsi"/>
          <w:szCs w:val="26"/>
        </w:rPr>
        <w:t xml:space="preserve">Because </w:t>
      </w:r>
      <w:r w:rsidRPr="009C6CB3" w:rsidR="006E6BC5">
        <w:rPr>
          <w:rFonts w:cstheme="minorHAnsi"/>
          <w:szCs w:val="26"/>
        </w:rPr>
        <w:t>Gentile</w:t>
      </w:r>
      <w:r w:rsidRPr="009C6CB3" w:rsidR="00947B5F">
        <w:rPr>
          <w:rFonts w:cstheme="minorHAnsi"/>
          <w:szCs w:val="26"/>
        </w:rPr>
        <w:t xml:space="preserve"> was not </w:t>
      </w:r>
      <w:r w:rsidR="00C6279F">
        <w:rPr>
          <w:rFonts w:cstheme="minorHAnsi"/>
          <w:szCs w:val="26"/>
        </w:rPr>
        <w:t xml:space="preserve">prosecuted under a theory </w:t>
      </w:r>
      <w:r w:rsidRPr="009C6CB3" w:rsidR="00947B5F">
        <w:rPr>
          <w:rFonts w:cstheme="minorHAnsi"/>
          <w:szCs w:val="26"/>
        </w:rPr>
        <w:t>of felony murder</w:t>
      </w:r>
      <w:r w:rsidRPr="009C6CB3" w:rsidR="006F6086">
        <w:rPr>
          <w:rFonts w:cstheme="minorHAnsi"/>
          <w:szCs w:val="26"/>
        </w:rPr>
        <w:t>,</w:t>
      </w:r>
      <w:r w:rsidRPr="009C6CB3" w:rsidR="00947B5F">
        <w:rPr>
          <w:rFonts w:cstheme="minorHAnsi"/>
          <w:szCs w:val="26"/>
        </w:rPr>
        <w:t xml:space="preserve"> </w:t>
      </w:r>
      <w:r w:rsidRPr="009C6CB3" w:rsidR="00B3250A">
        <w:rPr>
          <w:rFonts w:cstheme="minorHAnsi"/>
          <w:szCs w:val="26"/>
        </w:rPr>
        <w:t>this</w:t>
      </w:r>
      <w:r w:rsidRPr="009C6CB3" w:rsidR="00947B5F">
        <w:rPr>
          <w:rFonts w:cstheme="minorHAnsi"/>
          <w:szCs w:val="26"/>
        </w:rPr>
        <w:t xml:space="preserve"> provision is not at issue </w:t>
      </w:r>
      <w:r w:rsidRPr="009C6CB3" w:rsidR="00B3250A">
        <w:rPr>
          <w:rFonts w:cstheme="minorHAnsi"/>
          <w:szCs w:val="26"/>
        </w:rPr>
        <w:t>here</w:t>
      </w:r>
      <w:r w:rsidRPr="009C6CB3" w:rsidR="00947B5F">
        <w:rPr>
          <w:rFonts w:cstheme="minorHAnsi"/>
          <w:szCs w:val="26"/>
        </w:rPr>
        <w:t>.  (§ 189</w:t>
      </w:r>
      <w:r w:rsidRPr="009C6CB3" w:rsidR="00F508AE">
        <w:rPr>
          <w:rFonts w:cstheme="minorHAnsi"/>
          <w:szCs w:val="26"/>
        </w:rPr>
        <w:t>, subd. </w:t>
      </w:r>
      <w:r w:rsidRPr="009C6CB3" w:rsidR="00947B5F">
        <w:rPr>
          <w:rFonts w:cstheme="minorHAnsi"/>
          <w:szCs w:val="26"/>
        </w:rPr>
        <w:t>(a).)</w:t>
      </w:r>
    </w:p>
    <w:p w:rsidR="00834045" w:rsidRPr="009C6CB3" w:rsidP="009C6CB3">
      <w:pPr>
        <w:autoSpaceDE w:val="0"/>
        <w:autoSpaceDN w:val="0"/>
        <w:adjustRightInd w:val="0"/>
        <w:ind w:firstLine="720"/>
        <w:rPr>
          <w:rFonts w:cstheme="minorHAnsi"/>
          <w:szCs w:val="26"/>
        </w:rPr>
      </w:pPr>
      <w:r w:rsidRPr="009C6CB3">
        <w:rPr>
          <w:rFonts w:cstheme="minorHAnsi"/>
          <w:szCs w:val="26"/>
        </w:rPr>
        <w:t>Second, t</w:t>
      </w:r>
      <w:r w:rsidRPr="009C6CB3" w:rsidR="0057439C">
        <w:rPr>
          <w:rFonts w:cstheme="minorHAnsi"/>
          <w:szCs w:val="26"/>
        </w:rPr>
        <w:t xml:space="preserve">o amend the natural and probable consequences doctrine,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sidR="0057439C">
        <w:rPr>
          <w:rFonts w:cstheme="minorHAnsi"/>
          <w:szCs w:val="26"/>
        </w:rPr>
        <w:t xml:space="preserve"> added </w:t>
      </w:r>
      <w:bookmarkStart w:id="22" w:name="Psych_Cite_20"/>
      <w:r w:rsidRPr="009C6CB3" w:rsidR="0057439C">
        <w:rPr>
          <w:rFonts w:cstheme="minorHAnsi"/>
          <w:szCs w:val="26"/>
        </w:rPr>
        <w:t>section 188, subdivision (a)(3)</w:t>
      </w:r>
      <w:r w:rsidRPr="009C6CB3" w:rsidR="00CC5C01">
        <w:rPr>
          <w:rFonts w:cstheme="minorHAnsi"/>
          <w:szCs w:val="26"/>
        </w:rPr>
        <w:t xml:space="preserve"> (section 188(a)(3))</w:t>
      </w:r>
      <w:bookmarkEnd w:id="22"/>
      <w:r w:rsidRPr="009C6CB3" w:rsidR="0057439C">
        <w:rPr>
          <w:rFonts w:cstheme="minorHAnsi"/>
          <w:szCs w:val="26"/>
        </w:rPr>
        <w:t xml:space="preserve">:  “Except [for felony murder liability] as stated in subdivision (e) of </w:t>
      </w:r>
      <w:bookmarkStart w:id="23" w:name="Psych_Cite_22"/>
      <w:r w:rsidRPr="009C6CB3" w:rsidR="0057439C">
        <w:rPr>
          <w:rFonts w:cstheme="minorHAnsi"/>
          <w:szCs w:val="26"/>
        </w:rPr>
        <w:t>Section 189</w:t>
      </w:r>
      <w:bookmarkEnd w:id="23"/>
      <w:r w:rsidRPr="009C6CB3" w:rsidR="0057439C">
        <w:rPr>
          <w:rFonts w:cstheme="minorHAnsi"/>
          <w:szCs w:val="26"/>
        </w:rPr>
        <w:t>, in order to be convicted of murder, a principal in a crime shall act with malice aforethought.  Malice shall not be imputed to a person based solely on his or her participation in a crime.”</w:t>
      </w:r>
    </w:p>
    <w:p w:rsidR="00834045" w:rsidRPr="009C6CB3" w:rsidP="009C6CB3">
      <w:pPr>
        <w:autoSpaceDE w:val="0"/>
        <w:autoSpaceDN w:val="0"/>
        <w:adjustRightInd w:val="0"/>
        <w:ind w:firstLine="720"/>
        <w:rPr>
          <w:rFonts w:cstheme="minorHAnsi"/>
          <w:szCs w:val="26"/>
        </w:rPr>
      </w:pPr>
      <w:r w:rsidRPr="009C6CB3">
        <w:rPr>
          <w:rFonts w:cstheme="minorHAnsi"/>
          <w:szCs w:val="26"/>
        </w:rPr>
        <w:t>Third</w:t>
      </w:r>
      <w:r w:rsidRPr="009C6CB3" w:rsidR="0057439C">
        <w:rPr>
          <w:rFonts w:cstheme="minorHAnsi"/>
          <w:szCs w:val="26"/>
        </w:rPr>
        <w:t xml:space="preserve">,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sidR="0057439C">
        <w:rPr>
          <w:rFonts w:cstheme="minorHAnsi"/>
          <w:szCs w:val="26"/>
        </w:rPr>
        <w:t xml:space="preserve"> added </w:t>
      </w:r>
      <w:bookmarkStart w:id="24" w:name="Psych_Cite_23"/>
      <w:r w:rsidRPr="009C6CB3" w:rsidR="0057439C">
        <w:rPr>
          <w:rFonts w:cstheme="minorHAnsi"/>
          <w:szCs w:val="26"/>
        </w:rPr>
        <w:t>section 1170.95</w:t>
      </w:r>
      <w:bookmarkEnd w:id="24"/>
      <w:r w:rsidRPr="009C6CB3" w:rsidR="0057439C">
        <w:rPr>
          <w:rFonts w:cstheme="minorHAnsi"/>
          <w:szCs w:val="26"/>
        </w:rPr>
        <w:t xml:space="preserve"> </w:t>
      </w:r>
      <w:r w:rsidRPr="009C6CB3" w:rsidR="00CC5C01">
        <w:rPr>
          <w:rFonts w:cstheme="minorHAnsi"/>
          <w:szCs w:val="26"/>
        </w:rPr>
        <w:t xml:space="preserve">to </w:t>
      </w:r>
      <w:r w:rsidRPr="009C6CB3" w:rsidR="0057439C">
        <w:rPr>
          <w:rFonts w:cstheme="minorHAnsi"/>
          <w:szCs w:val="26"/>
        </w:rPr>
        <w:t xml:space="preserve">provide a procedure for those convicted of felony murder or murder under the natural and probable consequences doctrine </w:t>
      </w:r>
      <w:r w:rsidRPr="009C6CB3">
        <w:rPr>
          <w:rFonts w:cstheme="minorHAnsi"/>
          <w:szCs w:val="26"/>
        </w:rPr>
        <w:t>to</w:t>
      </w:r>
      <w:r w:rsidRPr="009C6CB3" w:rsidR="00CC5C01">
        <w:rPr>
          <w:rFonts w:cstheme="minorHAnsi"/>
          <w:szCs w:val="26"/>
        </w:rPr>
        <w:t xml:space="preserve"> seek relief under the two ameliorative provisions</w:t>
      </w:r>
      <w:r w:rsidRPr="009C6CB3">
        <w:rPr>
          <w:rFonts w:cstheme="minorHAnsi"/>
          <w:szCs w:val="26"/>
        </w:rPr>
        <w:t xml:space="preserve"> above</w:t>
      </w:r>
      <w:r w:rsidRPr="009C6CB3" w:rsidR="0057439C">
        <w:rPr>
          <w:rFonts w:cstheme="minorHAnsi"/>
          <w:szCs w:val="26"/>
        </w:rPr>
        <w:t>.</w:t>
      </w:r>
    </w:p>
    <w:p w:rsidR="00054285" w:rsidRPr="009C6CB3" w:rsidP="00B65265">
      <w:pPr>
        <w:autoSpaceDE w:val="0"/>
        <w:autoSpaceDN w:val="0"/>
        <w:adjustRightInd w:val="0"/>
        <w:ind w:firstLine="720"/>
        <w:rPr>
          <w:rFonts w:cstheme="minorHAnsi"/>
          <w:szCs w:val="26"/>
        </w:rPr>
      </w:pPr>
      <w:r w:rsidRPr="009C6CB3">
        <w:rPr>
          <w:rFonts w:cstheme="minorHAnsi"/>
          <w:szCs w:val="26"/>
        </w:rPr>
        <w:t xml:space="preserve">Gentile argues that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Pr>
          <w:rFonts w:cstheme="minorHAnsi"/>
          <w:szCs w:val="26"/>
        </w:rPr>
        <w:t xml:space="preserve">’s amendments to </w:t>
      </w:r>
      <w:bookmarkStart w:id="25" w:name="Psych_Cite_25"/>
      <w:r w:rsidRPr="009C6CB3">
        <w:rPr>
          <w:rFonts w:cstheme="minorHAnsi"/>
          <w:szCs w:val="26"/>
        </w:rPr>
        <w:t>section 188</w:t>
      </w:r>
      <w:bookmarkEnd w:id="25"/>
      <w:r w:rsidRPr="009C6CB3">
        <w:rPr>
          <w:rFonts w:cstheme="minorHAnsi"/>
          <w:szCs w:val="26"/>
        </w:rPr>
        <w:t xml:space="preserve"> eliminate second degree murder liability under the natural and probable consequences doctrine and that his second degree murder conviction </w:t>
      </w:r>
      <w:r w:rsidRPr="009C6CB3" w:rsidR="006F6086">
        <w:rPr>
          <w:rFonts w:cstheme="minorHAnsi"/>
          <w:szCs w:val="26"/>
        </w:rPr>
        <w:t xml:space="preserve">must </w:t>
      </w:r>
      <w:r w:rsidRPr="009C6CB3">
        <w:rPr>
          <w:rFonts w:cstheme="minorHAnsi"/>
          <w:szCs w:val="26"/>
        </w:rPr>
        <w:t>be reversed.</w:t>
      </w:r>
      <w:r w:rsidRPr="009C6CB3" w:rsidR="00834045">
        <w:rPr>
          <w:rFonts w:cstheme="minorHAnsi"/>
          <w:szCs w:val="26"/>
        </w:rPr>
        <w:t xml:space="preserve">  </w:t>
      </w:r>
      <w:r w:rsidRPr="009C6CB3">
        <w:rPr>
          <w:rFonts w:cstheme="minorHAnsi"/>
          <w:szCs w:val="26"/>
        </w:rPr>
        <w:t xml:space="preserve">The Attorney General does not dispute Gentile’s interpretation of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sidR="00CC5C01">
        <w:rPr>
          <w:rFonts w:cstheme="minorHAnsi"/>
          <w:szCs w:val="26"/>
        </w:rPr>
        <w:t xml:space="preserve"> </w:t>
      </w:r>
      <w:r w:rsidRPr="009C6CB3">
        <w:rPr>
          <w:rFonts w:cstheme="minorHAnsi"/>
          <w:szCs w:val="26"/>
        </w:rPr>
        <w:t xml:space="preserve">but argues that the erroneous natural and probable consequences jury instruction in </w:t>
      </w:r>
      <w:r w:rsidRPr="009C6CB3" w:rsidR="0062078C">
        <w:rPr>
          <w:rFonts w:cstheme="minorHAnsi"/>
          <w:szCs w:val="26"/>
        </w:rPr>
        <w:t>his</w:t>
      </w:r>
      <w:r w:rsidRPr="009C6CB3">
        <w:rPr>
          <w:rFonts w:cstheme="minorHAnsi"/>
          <w:szCs w:val="26"/>
        </w:rPr>
        <w:t xml:space="preserve"> case did not prejudice him.</w:t>
      </w:r>
      <w:r w:rsidRPr="009C6CB3" w:rsidR="00834045">
        <w:rPr>
          <w:rFonts w:cstheme="minorHAnsi"/>
          <w:szCs w:val="26"/>
        </w:rPr>
        <w:t xml:space="preserve">  </w:t>
      </w:r>
      <w:r w:rsidRPr="009C6CB3">
        <w:rPr>
          <w:rFonts w:cstheme="minorHAnsi"/>
          <w:szCs w:val="26"/>
        </w:rPr>
        <w:t>Exercising our independent judgment</w:t>
      </w:r>
      <w:r w:rsidRPr="009C6CB3" w:rsidR="006F6086">
        <w:rPr>
          <w:rFonts w:cstheme="minorHAnsi"/>
          <w:szCs w:val="26"/>
        </w:rPr>
        <w:t xml:space="preserve"> (</w:t>
      </w:r>
      <w:bookmarkStart w:id="26" w:name="Psych_Cite_24"/>
      <w:r w:rsidRPr="009C6CB3" w:rsidR="006F6086">
        <w:rPr>
          <w:rFonts w:cstheme="minorHAnsi"/>
          <w:szCs w:val="26"/>
        </w:rPr>
        <w:t xml:space="preserve">see </w:t>
      </w:r>
      <w:r w:rsidRPr="009C6CB3" w:rsidR="006F6086">
        <w:rPr>
          <w:rFonts w:cstheme="minorHAnsi"/>
          <w:i/>
          <w:szCs w:val="26"/>
        </w:rPr>
        <w:t>People v. Lopez</w:t>
      </w:r>
      <w:r w:rsidRPr="009C6CB3" w:rsidR="006F6086">
        <w:rPr>
          <w:rFonts w:cstheme="minorHAnsi"/>
          <w:szCs w:val="26"/>
        </w:rPr>
        <w:t xml:space="preserve"> (2020) 9 Cal.5th 254, 268</w:t>
      </w:r>
      <w:bookmarkEnd w:id="26"/>
      <w:r w:rsidRPr="009C6CB3" w:rsidR="006F6086">
        <w:rPr>
          <w:rFonts w:cstheme="minorHAnsi"/>
          <w:szCs w:val="26"/>
        </w:rPr>
        <w:t>)</w:t>
      </w:r>
      <w:r w:rsidRPr="009C6CB3">
        <w:rPr>
          <w:rFonts w:cstheme="minorHAnsi"/>
          <w:szCs w:val="26"/>
        </w:rPr>
        <w:t xml:space="preserve">, we agree with </w:t>
      </w:r>
      <w:r w:rsidRPr="009C6CB3" w:rsidR="006F6086">
        <w:rPr>
          <w:rFonts w:cstheme="minorHAnsi"/>
          <w:szCs w:val="26"/>
        </w:rPr>
        <w:t xml:space="preserve">the </w:t>
      </w:r>
      <w:r w:rsidRPr="009C6CB3">
        <w:rPr>
          <w:rFonts w:cstheme="minorHAnsi"/>
          <w:szCs w:val="26"/>
        </w:rPr>
        <w:t xml:space="preserve">parties that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Pr>
          <w:rFonts w:cstheme="minorHAnsi"/>
          <w:szCs w:val="26"/>
        </w:rPr>
        <w:t xml:space="preserve"> bars a defendant from being convicted of second degree murder </w:t>
      </w:r>
      <w:r w:rsidRPr="009C6CB3" w:rsidR="00E61F64">
        <w:rPr>
          <w:rFonts w:cstheme="minorHAnsi"/>
          <w:szCs w:val="26"/>
        </w:rPr>
        <w:t xml:space="preserve">under a theory that the defendant </w:t>
      </w:r>
      <w:r w:rsidRPr="009C6CB3">
        <w:rPr>
          <w:rFonts w:cstheme="minorHAnsi"/>
          <w:szCs w:val="26"/>
        </w:rPr>
        <w:t>aid</w:t>
      </w:r>
      <w:r w:rsidRPr="009C6CB3" w:rsidR="00E61F64">
        <w:rPr>
          <w:rFonts w:cstheme="minorHAnsi"/>
          <w:szCs w:val="26"/>
        </w:rPr>
        <w:t xml:space="preserve">ed </w:t>
      </w:r>
      <w:r w:rsidRPr="009C6CB3">
        <w:rPr>
          <w:rFonts w:cstheme="minorHAnsi"/>
          <w:szCs w:val="26"/>
        </w:rPr>
        <w:t>and abett</w:t>
      </w:r>
      <w:r w:rsidRPr="009C6CB3" w:rsidR="00E61F64">
        <w:rPr>
          <w:rFonts w:cstheme="minorHAnsi"/>
          <w:szCs w:val="26"/>
        </w:rPr>
        <w:t>ed</w:t>
      </w:r>
      <w:r w:rsidRPr="009C6CB3">
        <w:rPr>
          <w:rFonts w:cstheme="minorHAnsi"/>
          <w:szCs w:val="26"/>
        </w:rPr>
        <w:t xml:space="preserve"> a crime, the natural and probable consequence of which was murder.</w:t>
      </w:r>
    </w:p>
    <w:p w:rsidR="0057439C" w:rsidRPr="009C6CB3" w:rsidP="002806BA">
      <w:pPr>
        <w:autoSpaceDE w:val="0"/>
        <w:autoSpaceDN w:val="0"/>
        <w:adjustRightInd w:val="0"/>
        <w:jc w:val="center"/>
        <w:rPr>
          <w:rFonts w:cstheme="minorHAnsi"/>
          <w:szCs w:val="26"/>
        </w:rPr>
      </w:pPr>
      <w:r w:rsidRPr="009C6CB3">
        <w:rPr>
          <w:rFonts w:cstheme="minorHAnsi"/>
          <w:b/>
          <w:szCs w:val="26"/>
        </w:rPr>
        <w:t>A.</w:t>
      </w:r>
    </w:p>
    <w:p w:rsidR="00834045" w:rsidRPr="009C6CB3" w:rsidP="009C6CB3">
      <w:pPr>
        <w:autoSpaceDE w:val="0"/>
        <w:autoSpaceDN w:val="0"/>
        <w:adjustRightInd w:val="0"/>
        <w:ind w:firstLine="720"/>
        <w:rPr>
          <w:rFonts w:cstheme="minorHAnsi"/>
          <w:szCs w:val="26"/>
        </w:rPr>
      </w:pPr>
      <w:r w:rsidRPr="009C6CB3">
        <w:rPr>
          <w:rFonts w:cstheme="minorHAnsi"/>
          <w:szCs w:val="26"/>
        </w:rPr>
        <w:t xml:space="preserve">A person who aids and abets the commission of a crime is culpable as a principal in that crime.  (§ 31.)  Aiding and abetting is not a separate offense but a form of derivative liability for the underlying </w:t>
      </w:r>
      <w:r w:rsidRPr="009C6CB3" w:rsidR="006F6086">
        <w:rPr>
          <w:rFonts w:cstheme="minorHAnsi"/>
          <w:szCs w:val="26"/>
        </w:rPr>
        <w:t>crime</w:t>
      </w:r>
      <w:r w:rsidRPr="009C6CB3">
        <w:rPr>
          <w:rFonts w:cstheme="minorHAnsi"/>
          <w:szCs w:val="26"/>
        </w:rPr>
        <w:t>.  (</w:t>
      </w:r>
      <w:bookmarkStart w:id="27" w:name="Psych_Cite_26"/>
      <w:r w:rsidRPr="009C6CB3">
        <w:rPr>
          <w:rFonts w:cstheme="minorHAnsi"/>
          <w:i/>
          <w:szCs w:val="26"/>
        </w:rPr>
        <w:t>People v. Francisco</w:t>
      </w:r>
      <w:r w:rsidRPr="009C6CB3">
        <w:rPr>
          <w:rFonts w:cstheme="minorHAnsi"/>
          <w:szCs w:val="26"/>
        </w:rPr>
        <w:t xml:space="preserve"> (1994) 22</w:t>
      </w:r>
      <w:r w:rsidR="00A25207">
        <w:rPr>
          <w:rFonts w:cstheme="minorHAnsi"/>
          <w:szCs w:val="26"/>
        </w:rPr>
        <w:t> </w:t>
      </w:r>
      <w:r w:rsidRPr="009C6CB3">
        <w:rPr>
          <w:rFonts w:cstheme="minorHAnsi"/>
          <w:szCs w:val="26"/>
        </w:rPr>
        <w:t>Cal.App.4th 1180, 1190</w:t>
      </w:r>
      <w:bookmarkEnd w:id="27"/>
      <w:r w:rsidRPr="009C6CB3">
        <w:rPr>
          <w:rFonts w:cstheme="minorHAnsi"/>
          <w:szCs w:val="26"/>
        </w:rPr>
        <w:t>.)</w:t>
      </w:r>
      <w:r w:rsidRPr="009C6CB3">
        <w:rPr>
          <w:rFonts w:cstheme="minorHAnsi"/>
          <w:szCs w:val="26"/>
        </w:rPr>
        <w:t xml:space="preserve">  </w:t>
      </w:r>
      <w:r w:rsidRPr="009C6CB3">
        <w:rPr>
          <w:rFonts w:cstheme="minorHAnsi"/>
          <w:szCs w:val="26"/>
        </w:rPr>
        <w:t>Our law recognizes two forms of liability for aiders and abettors.  (</w:t>
      </w:r>
      <w:bookmarkStart w:id="28" w:name="Psych_Cite_27"/>
      <w:r w:rsidRPr="009C6CB3">
        <w:rPr>
          <w:rFonts w:cstheme="minorHAnsi"/>
          <w:i/>
          <w:szCs w:val="26"/>
        </w:rPr>
        <w:t>McCoy</w:t>
      </w:r>
      <w:r w:rsidRPr="009C6CB3" w:rsidR="0062078C">
        <w:rPr>
          <w:rFonts w:cstheme="minorHAnsi"/>
          <w:szCs w:val="26"/>
        </w:rPr>
        <w:t xml:space="preserve">, </w:t>
      </w:r>
      <w:r w:rsidRPr="009C6CB3" w:rsidR="0062078C">
        <w:rPr>
          <w:rFonts w:cstheme="minorHAnsi"/>
          <w:i/>
          <w:szCs w:val="26"/>
        </w:rPr>
        <w:t>supra</w:t>
      </w:r>
      <w:r w:rsidRPr="009C6CB3" w:rsidR="0062078C">
        <w:rPr>
          <w:rFonts w:cstheme="minorHAnsi"/>
          <w:szCs w:val="26"/>
        </w:rPr>
        <w:t xml:space="preserve">, </w:t>
      </w:r>
      <w:r w:rsidRPr="009C6CB3">
        <w:rPr>
          <w:rFonts w:cstheme="minorHAnsi"/>
          <w:szCs w:val="26"/>
        </w:rPr>
        <w:t>25</w:t>
      </w:r>
      <w:r w:rsidR="00BD21FE">
        <w:rPr>
          <w:rFonts w:cstheme="minorHAnsi"/>
          <w:szCs w:val="26"/>
        </w:rPr>
        <w:t> </w:t>
      </w:r>
      <w:r w:rsidRPr="009C6CB3">
        <w:rPr>
          <w:rFonts w:cstheme="minorHAnsi"/>
          <w:szCs w:val="26"/>
        </w:rPr>
        <w:t xml:space="preserve">Cal.4th </w:t>
      </w:r>
      <w:r w:rsidRPr="009C6CB3" w:rsidR="0062078C">
        <w:rPr>
          <w:rFonts w:cstheme="minorHAnsi"/>
          <w:szCs w:val="26"/>
        </w:rPr>
        <w:t>at p. </w:t>
      </w:r>
      <w:r w:rsidRPr="009C6CB3">
        <w:rPr>
          <w:rFonts w:cstheme="minorHAnsi"/>
          <w:szCs w:val="26"/>
        </w:rPr>
        <w:t>1117</w:t>
      </w:r>
      <w:bookmarkEnd w:id="28"/>
      <w:r w:rsidRPr="009C6CB3">
        <w:rPr>
          <w:rFonts w:cstheme="minorHAnsi"/>
          <w:szCs w:val="26"/>
        </w:rPr>
        <w:t>.)</w:t>
      </w:r>
      <w:r w:rsidRPr="009C6CB3">
        <w:rPr>
          <w:rFonts w:cstheme="minorHAnsi"/>
          <w:szCs w:val="26"/>
        </w:rPr>
        <w:t xml:space="preserve">  </w:t>
      </w:r>
      <w:r w:rsidRPr="009C6CB3">
        <w:rPr>
          <w:rFonts w:cstheme="minorHAnsi"/>
          <w:szCs w:val="26"/>
        </w:rPr>
        <w:t>First, under direct aiding and abetting principles, an accomplice is guilty of an offense perpetrated by another if the accomplice aids the commission of that offense with “</w:t>
      </w:r>
      <w:bookmarkStart w:id="29" w:name="QUOTE_BOOKMARK_IS_CONFIRMED_3"/>
      <w:r w:rsidR="00F82825">
        <w:rPr>
          <w:rFonts w:cstheme="minorHAnsi"/>
          <w:szCs w:val="26"/>
        </w:rPr>
        <w:t>knowledge of the direct perpetrator’s unlawful intent and [with] an intent to assist in achieving those unlawful ends.</w:t>
      </w:r>
      <w:bookmarkEnd w:id="29"/>
      <w:r w:rsidRPr="009C6CB3">
        <w:rPr>
          <w:rFonts w:cstheme="minorHAnsi"/>
          <w:szCs w:val="26"/>
        </w:rPr>
        <w:t>”  (</w:t>
      </w:r>
      <w:bookmarkStart w:id="30" w:name="Psych_Cite_28"/>
      <w:r w:rsidRPr="009C6CB3">
        <w:rPr>
          <w:rFonts w:cstheme="minorHAnsi"/>
          <w:i/>
          <w:szCs w:val="26"/>
        </w:rPr>
        <w:t>People v. Perez</w:t>
      </w:r>
      <w:r w:rsidRPr="009C6CB3">
        <w:rPr>
          <w:rFonts w:cstheme="minorHAnsi"/>
          <w:szCs w:val="26"/>
        </w:rPr>
        <w:t xml:space="preserve"> (2005) 35 Cal.4th 12</w:t>
      </w:r>
      <w:r w:rsidRPr="009C6CB3" w:rsidR="001232B0">
        <w:rPr>
          <w:rFonts w:cstheme="minorHAnsi"/>
          <w:szCs w:val="26"/>
        </w:rPr>
        <w:t>1</w:t>
      </w:r>
      <w:r w:rsidRPr="009C6CB3">
        <w:rPr>
          <w:rFonts w:cstheme="minorHAnsi"/>
          <w:szCs w:val="26"/>
        </w:rPr>
        <w:t>9, 1225</w:t>
      </w:r>
      <w:bookmarkEnd w:id="30"/>
      <w:r w:rsidRPr="009C6CB3">
        <w:rPr>
          <w:rFonts w:cstheme="minorHAnsi"/>
          <w:szCs w:val="26"/>
        </w:rPr>
        <w:t>.</w:t>
      </w:r>
      <w:r w:rsidRPr="009C6CB3">
        <w:rPr>
          <w:rFonts w:cstheme="minorHAnsi"/>
          <w:szCs w:val="26"/>
        </w:rPr>
        <w:t xml:space="preserve">) </w:t>
      </w:r>
      <w:r w:rsidRPr="009C6CB3">
        <w:rPr>
          <w:rFonts w:cstheme="minorHAnsi"/>
          <w:szCs w:val="26"/>
        </w:rPr>
        <w:t xml:space="preserve"> </w:t>
      </w:r>
    </w:p>
    <w:p w:rsidR="007757F1" w:rsidRPr="009C6CB3" w:rsidP="009C6CB3">
      <w:pPr>
        <w:autoSpaceDE w:val="0"/>
        <w:autoSpaceDN w:val="0"/>
        <w:adjustRightInd w:val="0"/>
        <w:ind w:firstLine="720"/>
        <w:rPr>
          <w:rFonts w:cstheme="minorHAnsi"/>
          <w:szCs w:val="26"/>
        </w:rPr>
      </w:pPr>
      <w:r w:rsidRPr="009C6CB3">
        <w:rPr>
          <w:rFonts w:cstheme="minorHAnsi"/>
          <w:szCs w:val="26"/>
        </w:rPr>
        <w:t xml:space="preserve">Second, </w:t>
      </w:r>
      <w:r w:rsidRPr="009C6CB3" w:rsidR="00E61F64">
        <w:rPr>
          <w:rFonts w:cstheme="minorHAnsi"/>
          <w:szCs w:val="26"/>
        </w:rPr>
        <w:t xml:space="preserve">under the natural and probable consequences doctrine, </w:t>
      </w:r>
      <w:r w:rsidRPr="009C6CB3">
        <w:rPr>
          <w:rFonts w:cstheme="minorHAnsi"/>
          <w:szCs w:val="26"/>
        </w:rPr>
        <w:t xml:space="preserve">an accomplice is guilty </w:t>
      </w:r>
      <w:r w:rsidRPr="009C6CB3" w:rsidR="006F6086">
        <w:rPr>
          <w:rFonts w:cstheme="minorHAnsi"/>
          <w:szCs w:val="26"/>
        </w:rPr>
        <w:t xml:space="preserve">not only of the offense he or she directly aided or abetted (i.e., the target offense), but also </w:t>
      </w:r>
      <w:r w:rsidRPr="009C6CB3">
        <w:rPr>
          <w:rFonts w:cstheme="minorHAnsi"/>
          <w:szCs w:val="26"/>
        </w:rPr>
        <w:t>of any other offense committed by the direct perpetrator that was the “natural and probable consequence” of the crime the accomplice aid</w:t>
      </w:r>
      <w:r w:rsidRPr="009C6CB3" w:rsidR="00256F8D">
        <w:rPr>
          <w:rFonts w:cstheme="minorHAnsi"/>
          <w:szCs w:val="26"/>
        </w:rPr>
        <w:t>ed</w:t>
      </w:r>
      <w:r w:rsidRPr="009C6CB3">
        <w:rPr>
          <w:rFonts w:cstheme="minorHAnsi"/>
          <w:szCs w:val="26"/>
        </w:rPr>
        <w:t xml:space="preserve"> and abet</w:t>
      </w:r>
      <w:r w:rsidRPr="009C6CB3" w:rsidR="00256F8D">
        <w:rPr>
          <w:rFonts w:cstheme="minorHAnsi"/>
          <w:szCs w:val="26"/>
        </w:rPr>
        <w:t>ted</w:t>
      </w:r>
      <w:r w:rsidRPr="009C6CB3" w:rsidR="006F6086">
        <w:rPr>
          <w:rFonts w:cstheme="minorHAnsi"/>
          <w:szCs w:val="26"/>
        </w:rPr>
        <w:t xml:space="preserve"> (i.e., the nontarget offense)</w:t>
      </w:r>
      <w:r w:rsidRPr="009C6CB3">
        <w:rPr>
          <w:rFonts w:cstheme="minorHAnsi"/>
          <w:szCs w:val="26"/>
        </w:rPr>
        <w:t>.  (</w:t>
      </w:r>
      <w:bookmarkStart w:id="31" w:name="Psych_Cite_31"/>
      <w:r w:rsidRPr="009C6CB3">
        <w:rPr>
          <w:rFonts w:cstheme="minorHAnsi"/>
          <w:i/>
          <w:szCs w:val="26"/>
        </w:rPr>
        <w:t>Chiu</w:t>
      </w:r>
      <w:r w:rsidRPr="009C6CB3" w:rsidR="0062078C">
        <w:rPr>
          <w:rFonts w:cstheme="minorHAnsi"/>
          <w:szCs w:val="26"/>
        </w:rPr>
        <w:t>,</w:t>
      </w:r>
      <w:r w:rsidRPr="009C6CB3" w:rsidR="0062078C">
        <w:rPr>
          <w:rFonts w:cstheme="minorHAnsi"/>
          <w:i/>
          <w:szCs w:val="26"/>
        </w:rPr>
        <w:t xml:space="preserve"> supra</w:t>
      </w:r>
      <w:r w:rsidRPr="009C6CB3" w:rsidR="0062078C">
        <w:rPr>
          <w:rFonts w:cstheme="minorHAnsi"/>
          <w:szCs w:val="26"/>
        </w:rPr>
        <w:t xml:space="preserve">, </w:t>
      </w:r>
      <w:r w:rsidRPr="009C6CB3">
        <w:rPr>
          <w:rFonts w:cstheme="minorHAnsi"/>
          <w:szCs w:val="26"/>
        </w:rPr>
        <w:t>59</w:t>
      </w:r>
      <w:r w:rsidRPr="009C6CB3" w:rsidR="00BF1FAC">
        <w:rPr>
          <w:rFonts w:cstheme="minorHAnsi"/>
          <w:szCs w:val="26"/>
        </w:rPr>
        <w:t> </w:t>
      </w:r>
      <w:r w:rsidRPr="009C6CB3">
        <w:rPr>
          <w:rFonts w:cstheme="minorHAnsi"/>
          <w:szCs w:val="26"/>
        </w:rPr>
        <w:t xml:space="preserve">Cal.4th </w:t>
      </w:r>
      <w:r w:rsidRPr="009C6CB3" w:rsidR="0062078C">
        <w:rPr>
          <w:rFonts w:cstheme="minorHAnsi"/>
          <w:szCs w:val="26"/>
        </w:rPr>
        <w:t>at p. </w:t>
      </w:r>
      <w:r w:rsidRPr="009C6CB3">
        <w:rPr>
          <w:rFonts w:cstheme="minorHAnsi"/>
          <w:szCs w:val="26"/>
        </w:rPr>
        <w:t>161</w:t>
      </w:r>
      <w:bookmarkEnd w:id="31"/>
      <w:r w:rsidRPr="009C6CB3">
        <w:rPr>
          <w:rFonts w:cstheme="minorHAnsi"/>
          <w:szCs w:val="26"/>
        </w:rPr>
        <w:t xml:space="preserve">.)  </w:t>
      </w:r>
      <w:r w:rsidRPr="009C6CB3" w:rsidR="006F6086">
        <w:rPr>
          <w:rFonts w:cstheme="minorHAnsi"/>
          <w:szCs w:val="26"/>
        </w:rPr>
        <w:t>A</w:t>
      </w:r>
      <w:r w:rsidRPr="009C6CB3">
        <w:rPr>
          <w:rFonts w:cstheme="minorHAnsi"/>
          <w:szCs w:val="26"/>
        </w:rPr>
        <w:t xml:space="preserve"> nontarget offense is the natural and probable consequence of </w:t>
      </w:r>
      <w:r w:rsidRPr="009C6CB3" w:rsidR="006F6086">
        <w:rPr>
          <w:rFonts w:cstheme="minorHAnsi"/>
          <w:szCs w:val="26"/>
        </w:rPr>
        <w:t>a</w:t>
      </w:r>
      <w:r w:rsidRPr="009C6CB3" w:rsidR="00E61F64">
        <w:rPr>
          <w:rFonts w:cstheme="minorHAnsi"/>
          <w:szCs w:val="26"/>
        </w:rPr>
        <w:t xml:space="preserve"> target offense </w:t>
      </w:r>
      <w:r w:rsidRPr="009C6CB3">
        <w:rPr>
          <w:rFonts w:cstheme="minorHAnsi"/>
          <w:szCs w:val="26"/>
        </w:rPr>
        <w:t xml:space="preserve">“if, judged objectively, the </w:t>
      </w:r>
      <w:r w:rsidRPr="009C6CB3" w:rsidR="00E61F64">
        <w:rPr>
          <w:rFonts w:cstheme="minorHAnsi"/>
          <w:szCs w:val="26"/>
        </w:rPr>
        <w:t>[nontarget]</w:t>
      </w:r>
      <w:r w:rsidRPr="009C6CB3">
        <w:rPr>
          <w:rFonts w:cstheme="minorHAnsi"/>
          <w:szCs w:val="26"/>
        </w:rPr>
        <w:t xml:space="preserve"> offense was reasonably foreseeable.”  (</w:t>
      </w:r>
      <w:bookmarkStart w:id="32" w:name="Psych_Cite_29"/>
      <w:r w:rsidRPr="009C6CB3">
        <w:rPr>
          <w:rFonts w:cstheme="minorHAnsi"/>
          <w:i/>
          <w:szCs w:val="26"/>
        </w:rPr>
        <w:t>I</w:t>
      </w:r>
      <w:r w:rsidR="001F1654">
        <w:rPr>
          <w:rFonts w:cstheme="minorHAnsi"/>
          <w:i/>
          <w:szCs w:val="26"/>
        </w:rPr>
        <w:t>bid</w:t>
      </w:r>
      <w:r w:rsidRPr="009C6CB3">
        <w:rPr>
          <w:rFonts w:cstheme="minorHAnsi"/>
          <w:szCs w:val="26"/>
        </w:rPr>
        <w:t>.</w:t>
      </w:r>
      <w:bookmarkEnd w:id="32"/>
      <w:r w:rsidRPr="009C6CB3">
        <w:rPr>
          <w:rFonts w:cstheme="minorHAnsi"/>
          <w:szCs w:val="26"/>
        </w:rPr>
        <w:t xml:space="preserve">)  </w:t>
      </w:r>
      <w:r w:rsidRPr="009C6CB3" w:rsidR="002C1BCF">
        <w:rPr>
          <w:rFonts w:cstheme="minorHAnsi"/>
          <w:szCs w:val="26"/>
        </w:rPr>
        <w:t>T</w:t>
      </w:r>
      <w:r w:rsidRPr="009C6CB3" w:rsidR="002E6C91">
        <w:rPr>
          <w:rFonts w:cstheme="minorHAnsi"/>
          <w:szCs w:val="26"/>
        </w:rPr>
        <w:t xml:space="preserve">he accomplice </w:t>
      </w:r>
      <w:r w:rsidRPr="009C6CB3" w:rsidR="002C1BCF">
        <w:rPr>
          <w:rFonts w:cstheme="minorHAnsi"/>
          <w:szCs w:val="26"/>
        </w:rPr>
        <w:t>need not</w:t>
      </w:r>
      <w:r w:rsidRPr="009C6CB3" w:rsidR="009111E4">
        <w:rPr>
          <w:rFonts w:cstheme="minorHAnsi"/>
          <w:szCs w:val="26"/>
        </w:rPr>
        <w:t xml:space="preserve"> actually foresee the nontarget offense.  “</w:t>
      </w:r>
      <w:bookmarkStart w:id="33" w:name="QUOTE_BOOKMARK_IS_CONFIRMED_4"/>
      <w:r w:rsidR="00F82825">
        <w:rPr>
          <w:rFonts w:cstheme="minorHAnsi"/>
          <w:szCs w:val="26"/>
        </w:rPr>
        <w:t>Rather, liability ‘ “is measured by whether a reasonable person in the defendant’s position would have or should have known that the charged offense was a reasonably foreseeable consequence of the act aided and abetted.” ’</w:t>
      </w:r>
      <w:bookmarkEnd w:id="33"/>
      <w:r w:rsidR="004B3FD1">
        <w:rPr>
          <w:rFonts w:cstheme="minorHAnsi"/>
          <w:szCs w:val="26"/>
        </w:rPr>
        <w:t> </w:t>
      </w:r>
      <w:r w:rsidRPr="009C6CB3" w:rsidR="00C41D30">
        <w:rPr>
          <w:rFonts w:cstheme="minorHAnsi"/>
          <w:szCs w:val="26"/>
        </w:rPr>
        <w:t>”  (</w:t>
      </w:r>
      <w:bookmarkStart w:id="34" w:name="Psych_Cite_30"/>
      <w:r w:rsidRPr="009C6CB3" w:rsidR="00FD5C71">
        <w:rPr>
          <w:rFonts w:cstheme="minorHAnsi"/>
          <w:i/>
          <w:iCs/>
          <w:szCs w:val="26"/>
        </w:rPr>
        <w:t>Id.</w:t>
      </w:r>
      <w:r w:rsidRPr="009C6CB3" w:rsidR="00C41D30">
        <w:rPr>
          <w:rFonts w:cstheme="minorHAnsi"/>
          <w:szCs w:val="26"/>
        </w:rPr>
        <w:t xml:space="preserve"> at p. </w:t>
      </w:r>
      <w:r w:rsidRPr="009C6CB3" w:rsidR="007055E6">
        <w:rPr>
          <w:rFonts w:cstheme="minorHAnsi"/>
          <w:szCs w:val="26"/>
        </w:rPr>
        <w:t>162</w:t>
      </w:r>
      <w:bookmarkEnd w:id="34"/>
      <w:r w:rsidRPr="009C6CB3" w:rsidR="007055E6">
        <w:rPr>
          <w:rFonts w:cstheme="minorHAnsi"/>
          <w:szCs w:val="26"/>
        </w:rPr>
        <w:t xml:space="preserve">.)  </w:t>
      </w:r>
    </w:p>
    <w:p w:rsidR="00752CC7" w:rsidRPr="009C6CB3" w:rsidP="009C6CB3">
      <w:pPr>
        <w:autoSpaceDE w:val="0"/>
        <w:autoSpaceDN w:val="0"/>
        <w:adjustRightInd w:val="0"/>
        <w:ind w:firstLine="720"/>
        <w:rPr>
          <w:rFonts w:cstheme="minorHAnsi"/>
          <w:szCs w:val="26"/>
        </w:rPr>
      </w:pPr>
      <w:r w:rsidRPr="009C6CB3">
        <w:rPr>
          <w:rFonts w:cstheme="minorHAnsi"/>
          <w:szCs w:val="26"/>
        </w:rPr>
        <w:t>U</w:t>
      </w:r>
      <w:r w:rsidRPr="009C6CB3" w:rsidR="0057439C">
        <w:rPr>
          <w:rFonts w:cstheme="minorHAnsi"/>
          <w:szCs w:val="26"/>
        </w:rPr>
        <w:t>nlike direct aiding and abetting</w:t>
      </w:r>
      <w:r w:rsidRPr="009C6CB3" w:rsidR="00E61F64">
        <w:rPr>
          <w:rFonts w:cstheme="minorHAnsi"/>
          <w:szCs w:val="26"/>
        </w:rPr>
        <w:t xml:space="preserve"> liability</w:t>
      </w:r>
      <w:r w:rsidRPr="009C6CB3" w:rsidR="0057439C">
        <w:rPr>
          <w:rFonts w:cstheme="minorHAnsi"/>
          <w:szCs w:val="26"/>
        </w:rPr>
        <w:t>, culpability under</w:t>
      </w:r>
      <w:r w:rsidRPr="009C6CB3" w:rsidR="00D35B44">
        <w:rPr>
          <w:rFonts w:cstheme="minorHAnsi"/>
          <w:szCs w:val="26"/>
        </w:rPr>
        <w:t xml:space="preserve"> the</w:t>
      </w:r>
      <w:r w:rsidRPr="009C6CB3">
        <w:rPr>
          <w:rFonts w:cstheme="minorHAnsi"/>
          <w:szCs w:val="26"/>
        </w:rPr>
        <w:t xml:space="preserve"> natural and probable consequences </w:t>
      </w:r>
      <w:r w:rsidRPr="009C6CB3" w:rsidR="0057439C">
        <w:rPr>
          <w:rFonts w:cstheme="minorHAnsi"/>
          <w:szCs w:val="26"/>
        </w:rPr>
        <w:t xml:space="preserve">theory does not require an accomplice to share the </w:t>
      </w:r>
      <w:r w:rsidRPr="009C6CB3" w:rsidR="00E61F64">
        <w:rPr>
          <w:rFonts w:cstheme="minorHAnsi"/>
          <w:szCs w:val="26"/>
        </w:rPr>
        <w:t xml:space="preserve">direct </w:t>
      </w:r>
      <w:r w:rsidRPr="009C6CB3" w:rsidR="0057439C">
        <w:rPr>
          <w:rFonts w:cstheme="minorHAnsi"/>
          <w:szCs w:val="26"/>
        </w:rPr>
        <w:t>perpetrator’s intent.</w:t>
      </w:r>
      <w:r w:rsidRPr="009C6CB3">
        <w:rPr>
          <w:rFonts w:cstheme="minorHAnsi"/>
          <w:szCs w:val="26"/>
        </w:rPr>
        <w:t xml:space="preserve">  </w:t>
      </w:r>
      <w:r w:rsidRPr="009C6CB3" w:rsidR="008A214D">
        <w:rPr>
          <w:rFonts w:cstheme="minorHAnsi"/>
          <w:szCs w:val="26"/>
        </w:rPr>
        <w:t>Instead,</w:t>
      </w:r>
      <w:r w:rsidRPr="009C6CB3" w:rsidR="00572818">
        <w:rPr>
          <w:rFonts w:cstheme="minorHAnsi"/>
          <w:szCs w:val="26"/>
        </w:rPr>
        <w:t xml:space="preserve"> </w:t>
      </w:r>
      <w:r w:rsidRPr="009C6CB3" w:rsidR="0057439C">
        <w:rPr>
          <w:rFonts w:cstheme="minorHAnsi"/>
          <w:szCs w:val="26"/>
        </w:rPr>
        <w:t>“</w:t>
      </w:r>
      <w:r w:rsidRPr="009C6CB3" w:rsidR="00572818">
        <w:rPr>
          <w:rFonts w:cstheme="minorHAnsi"/>
          <w:szCs w:val="26"/>
        </w:rPr>
        <w:t>[a]</w:t>
      </w:r>
      <w:r w:rsidRPr="009C6CB3" w:rsidR="0057439C">
        <w:rPr>
          <w:rFonts w:cstheme="minorHAnsi"/>
          <w:szCs w:val="26"/>
        </w:rPr>
        <w:t>ider and abettor culpability under the natural and probable consequences doctrine is vicarious in nature</w:t>
      </w:r>
      <w:r w:rsidRPr="009C6CB3" w:rsidR="00255E04">
        <w:rPr>
          <w:rFonts w:cstheme="minorHAnsi"/>
          <w:szCs w:val="26"/>
        </w:rPr>
        <w:t>” and “</w:t>
      </w:r>
      <w:bookmarkStart w:id="35" w:name="QUOTE_BOOKMARK_IS_CONFIRMED_5"/>
      <w:r w:rsidR="00E777EE">
        <w:rPr>
          <w:rFonts w:cstheme="minorHAnsi"/>
          <w:szCs w:val="26"/>
        </w:rPr>
        <w:t> </w:t>
      </w:r>
      <w:r w:rsidR="00F82825">
        <w:rPr>
          <w:rFonts w:cstheme="minorHAnsi"/>
          <w:szCs w:val="26"/>
        </w:rPr>
        <w:t>‘is not premised upon the intention of the aider and abettor to commit the nontarget offense because the nontarget offense’</w:t>
      </w:r>
      <w:bookmarkEnd w:id="35"/>
      <w:r w:rsidR="00E777EE">
        <w:rPr>
          <w:rFonts w:cstheme="minorHAnsi"/>
          <w:szCs w:val="26"/>
        </w:rPr>
        <w:t> </w:t>
      </w:r>
      <w:r w:rsidRPr="009C6CB3" w:rsidR="0040053D">
        <w:rPr>
          <w:rFonts w:cstheme="minorHAnsi"/>
          <w:szCs w:val="26"/>
        </w:rPr>
        <w:t>” may not be intended at all.</w:t>
      </w:r>
      <w:r w:rsidRPr="009C6CB3" w:rsidR="0057439C">
        <w:rPr>
          <w:rFonts w:cstheme="minorHAnsi"/>
          <w:szCs w:val="26"/>
        </w:rPr>
        <w:t xml:space="preserve">  (</w:t>
      </w:r>
      <w:bookmarkStart w:id="36" w:name="Psych_Cite_32"/>
      <w:r w:rsidRPr="009C6CB3" w:rsidR="0057439C">
        <w:rPr>
          <w:rFonts w:cstheme="minorHAnsi"/>
          <w:i/>
          <w:szCs w:val="26"/>
        </w:rPr>
        <w:t>Chiu</w:t>
      </w:r>
      <w:r w:rsidRPr="009C6CB3" w:rsidR="0057439C">
        <w:rPr>
          <w:rFonts w:cstheme="minorHAnsi"/>
          <w:szCs w:val="26"/>
        </w:rPr>
        <w:t>,</w:t>
      </w:r>
      <w:r w:rsidRPr="009C6CB3" w:rsidR="00FD5C71">
        <w:rPr>
          <w:rFonts w:cstheme="minorHAnsi"/>
          <w:szCs w:val="26"/>
        </w:rPr>
        <w:t xml:space="preserve"> </w:t>
      </w:r>
      <w:r w:rsidRPr="009C6CB3" w:rsidR="00FD5C71">
        <w:rPr>
          <w:rFonts w:cstheme="minorHAnsi"/>
          <w:i/>
          <w:szCs w:val="26"/>
        </w:rPr>
        <w:t>supra</w:t>
      </w:r>
      <w:r w:rsidRPr="009C6CB3" w:rsidR="00FD5C71">
        <w:rPr>
          <w:rFonts w:cstheme="minorHAnsi"/>
          <w:szCs w:val="26"/>
        </w:rPr>
        <w:t>, 59 Cal.4th</w:t>
      </w:r>
      <w:r w:rsidRPr="009C6CB3" w:rsidR="0057439C">
        <w:rPr>
          <w:rFonts w:cstheme="minorHAnsi"/>
          <w:szCs w:val="26"/>
        </w:rPr>
        <w:t xml:space="preserve"> </w:t>
      </w:r>
      <w:r w:rsidRPr="009C6CB3" w:rsidR="00E61F64">
        <w:rPr>
          <w:rFonts w:cstheme="minorHAnsi"/>
          <w:szCs w:val="26"/>
        </w:rPr>
        <w:t>at p. </w:t>
      </w:r>
      <w:r w:rsidRPr="009C6CB3" w:rsidR="0057439C">
        <w:rPr>
          <w:rFonts w:cstheme="minorHAnsi"/>
          <w:szCs w:val="26"/>
        </w:rPr>
        <w:t>164</w:t>
      </w:r>
      <w:bookmarkEnd w:id="36"/>
      <w:r w:rsidRPr="009C6CB3" w:rsidR="0057439C">
        <w:rPr>
          <w:rFonts w:cstheme="minorHAnsi"/>
          <w:szCs w:val="26"/>
        </w:rPr>
        <w:t>.)</w:t>
      </w:r>
      <w:r w:rsidRPr="009C6CB3" w:rsidR="00834045">
        <w:rPr>
          <w:rFonts w:cstheme="minorHAnsi"/>
          <w:szCs w:val="26"/>
        </w:rPr>
        <w:t xml:space="preserve">  </w:t>
      </w:r>
      <w:r w:rsidRPr="009C6CB3" w:rsidR="0057439C">
        <w:rPr>
          <w:rFonts w:cstheme="minorHAnsi"/>
          <w:szCs w:val="26"/>
        </w:rPr>
        <w:t>“</w:t>
      </w:r>
      <w:r w:rsidRPr="009C6CB3" w:rsidR="00A00590">
        <w:rPr>
          <w:rFonts w:cstheme="minorHAnsi"/>
          <w:szCs w:val="26"/>
        </w:rPr>
        <w:t>[F]</w:t>
      </w:r>
      <w:r w:rsidRPr="009C6CB3" w:rsidR="0057439C">
        <w:rPr>
          <w:rFonts w:cstheme="minorHAnsi"/>
          <w:szCs w:val="26"/>
        </w:rPr>
        <w:t>or example, if a person aids and abets only an intended assault, but a murder results, that person may be guilty of that murder, even if unintended, if it is a natural and probable consequence of the intended assault.”  (</w:t>
      </w:r>
      <w:bookmarkStart w:id="37" w:name="Psych_Cite_33"/>
      <w:r w:rsidRPr="009C6CB3" w:rsidR="0057439C">
        <w:rPr>
          <w:rFonts w:cstheme="minorHAnsi"/>
          <w:i/>
          <w:szCs w:val="26"/>
        </w:rPr>
        <w:t>McCoy</w:t>
      </w:r>
      <w:r w:rsidRPr="009C6CB3" w:rsidR="0057439C">
        <w:rPr>
          <w:rFonts w:cstheme="minorHAnsi"/>
          <w:szCs w:val="26"/>
        </w:rPr>
        <w:t xml:space="preserve">, </w:t>
      </w:r>
      <w:r w:rsidRPr="009C6CB3" w:rsidR="0057439C">
        <w:rPr>
          <w:rFonts w:cstheme="minorHAnsi"/>
          <w:i/>
          <w:szCs w:val="26"/>
        </w:rPr>
        <w:t>supra</w:t>
      </w:r>
      <w:r w:rsidRPr="009C6CB3" w:rsidR="0057439C">
        <w:rPr>
          <w:rFonts w:cstheme="minorHAnsi"/>
          <w:szCs w:val="26"/>
        </w:rPr>
        <w:t>, 25</w:t>
      </w:r>
      <w:r w:rsidRPr="009C6CB3" w:rsidR="00497581">
        <w:rPr>
          <w:rFonts w:cstheme="minorHAnsi"/>
          <w:szCs w:val="26"/>
        </w:rPr>
        <w:t> </w:t>
      </w:r>
      <w:r w:rsidRPr="009C6CB3" w:rsidR="0057439C">
        <w:rPr>
          <w:rFonts w:cstheme="minorHAnsi"/>
          <w:szCs w:val="26"/>
        </w:rPr>
        <w:t>Cal.4th at p. 1117</w:t>
      </w:r>
      <w:bookmarkEnd w:id="37"/>
      <w:r w:rsidRPr="009C6CB3" w:rsidR="0057439C">
        <w:rPr>
          <w:rFonts w:cstheme="minorHAnsi"/>
          <w:szCs w:val="26"/>
        </w:rPr>
        <w:t>.)</w:t>
      </w:r>
    </w:p>
    <w:p w:rsidR="00AD3DFE" w:rsidRPr="009C6CB3" w:rsidP="009C6CB3">
      <w:pPr>
        <w:autoSpaceDE w:val="0"/>
        <w:autoSpaceDN w:val="0"/>
        <w:adjustRightInd w:val="0"/>
        <w:rPr>
          <w:rFonts w:cstheme="minorHAnsi"/>
          <w:szCs w:val="26"/>
        </w:rPr>
      </w:pPr>
      <w:r w:rsidRPr="009C6CB3">
        <w:rPr>
          <w:rFonts w:cstheme="minorHAnsi"/>
          <w:szCs w:val="26"/>
        </w:rPr>
        <w:tab/>
      </w:r>
      <w:r w:rsidR="002E0DD8">
        <w:rPr>
          <w:szCs w:val="26"/>
        </w:rPr>
        <w:t>The natural and probable consequences doctrine is not</w:t>
      </w:r>
      <w:r w:rsidRPr="009C6CB3" w:rsidR="00141512">
        <w:rPr>
          <w:szCs w:val="26"/>
        </w:rPr>
        <w:t xml:space="preserve"> circumscribed b</w:t>
      </w:r>
      <w:r w:rsidRPr="009C6CB3" w:rsidR="001B6208">
        <w:rPr>
          <w:szCs w:val="26"/>
        </w:rPr>
        <w:t>y</w:t>
      </w:r>
      <w:r w:rsidRPr="009C6CB3" w:rsidR="00141512">
        <w:rPr>
          <w:szCs w:val="26"/>
        </w:rPr>
        <w:t xml:space="preserve"> the felony murder principle that prohibit</w:t>
      </w:r>
      <w:r w:rsidRPr="009C6CB3" w:rsidR="001226A2">
        <w:rPr>
          <w:szCs w:val="26"/>
        </w:rPr>
        <w:t>s</w:t>
      </w:r>
      <w:r w:rsidRPr="009C6CB3" w:rsidR="00141512">
        <w:rPr>
          <w:szCs w:val="26"/>
        </w:rPr>
        <w:t xml:space="preserve"> murder convictions premised solely on a lesser included offense of the murder itself, such as felony assault.  (</w:t>
      </w:r>
      <w:bookmarkStart w:id="38" w:name="Psych_Cite_35"/>
      <w:r w:rsidRPr="009C6CB3" w:rsidR="00141512">
        <w:rPr>
          <w:szCs w:val="26"/>
        </w:rPr>
        <w:t xml:space="preserve">See </w:t>
      </w:r>
      <w:r w:rsidRPr="009C6CB3" w:rsidR="00141512">
        <w:rPr>
          <w:i/>
          <w:iCs/>
          <w:szCs w:val="26"/>
        </w:rPr>
        <w:t>People v. Ireland</w:t>
      </w:r>
      <w:r w:rsidRPr="009C6CB3" w:rsidR="00141512">
        <w:rPr>
          <w:szCs w:val="26"/>
        </w:rPr>
        <w:t xml:space="preserve"> (1969) 70 Cal.2d 522, 539–</w:t>
      </w:r>
      <w:r w:rsidRPr="009C6CB3" w:rsidR="00922299">
        <w:rPr>
          <w:szCs w:val="26"/>
        </w:rPr>
        <w:t>540</w:t>
      </w:r>
      <w:bookmarkEnd w:id="38"/>
      <w:r w:rsidRPr="009C6CB3" w:rsidR="00922299">
        <w:rPr>
          <w:szCs w:val="26"/>
        </w:rPr>
        <w:t xml:space="preserve">.) </w:t>
      </w:r>
      <w:r w:rsidRPr="009C6CB3" w:rsidR="006D388D">
        <w:rPr>
          <w:szCs w:val="26"/>
        </w:rPr>
        <w:t xml:space="preserve"> </w:t>
      </w:r>
      <w:r w:rsidR="002E0DD8">
        <w:rPr>
          <w:rFonts w:cstheme="minorHAnsi"/>
          <w:szCs w:val="26"/>
        </w:rPr>
        <w:t>T</w:t>
      </w:r>
      <w:r w:rsidRPr="009C6CB3" w:rsidR="002E0DD8">
        <w:rPr>
          <w:rFonts w:cstheme="minorHAnsi"/>
          <w:szCs w:val="26"/>
        </w:rPr>
        <w:t xml:space="preserve">he </w:t>
      </w:r>
      <w:r w:rsidR="002E0DD8">
        <w:rPr>
          <w:rFonts w:cstheme="minorHAnsi"/>
          <w:szCs w:val="26"/>
        </w:rPr>
        <w:t xml:space="preserve">natural and probable consequences </w:t>
      </w:r>
      <w:r w:rsidRPr="009C6CB3" w:rsidR="002E0DD8">
        <w:rPr>
          <w:rFonts w:cstheme="minorHAnsi"/>
          <w:szCs w:val="26"/>
        </w:rPr>
        <w:t xml:space="preserve">doctrine </w:t>
      </w:r>
      <w:r w:rsidR="002E0DD8">
        <w:rPr>
          <w:rFonts w:cstheme="minorHAnsi"/>
          <w:szCs w:val="26"/>
        </w:rPr>
        <w:t>also differs from the law of</w:t>
      </w:r>
      <w:r w:rsidRPr="009C6CB3" w:rsidR="002E0DD8">
        <w:rPr>
          <w:rFonts w:cstheme="minorHAnsi"/>
          <w:szCs w:val="26"/>
        </w:rPr>
        <w:t xml:space="preserve"> conspiracy</w:t>
      </w:r>
      <w:r w:rsidR="002E0DD8">
        <w:rPr>
          <w:rFonts w:cstheme="minorHAnsi"/>
          <w:szCs w:val="26"/>
        </w:rPr>
        <w:t>, which holds a person</w:t>
      </w:r>
      <w:r w:rsidRPr="009C6CB3" w:rsidR="002E0DD8">
        <w:rPr>
          <w:rFonts w:cstheme="minorHAnsi"/>
          <w:szCs w:val="26"/>
        </w:rPr>
        <w:t xml:space="preserve"> liab</w:t>
      </w:r>
      <w:r w:rsidR="002E0DD8">
        <w:rPr>
          <w:rFonts w:cstheme="minorHAnsi"/>
          <w:szCs w:val="26"/>
        </w:rPr>
        <w:t>le</w:t>
      </w:r>
      <w:r w:rsidRPr="009C6CB3" w:rsidR="002E0DD8">
        <w:rPr>
          <w:rFonts w:cstheme="minorHAnsi"/>
          <w:szCs w:val="26"/>
        </w:rPr>
        <w:t xml:space="preserve"> </w:t>
      </w:r>
      <w:r w:rsidR="002E0DD8">
        <w:rPr>
          <w:rFonts w:cstheme="minorHAnsi"/>
          <w:szCs w:val="26"/>
        </w:rPr>
        <w:t xml:space="preserve">for </w:t>
      </w:r>
      <w:r w:rsidRPr="009C6CB3" w:rsidR="002E0DD8">
        <w:rPr>
          <w:rFonts w:cstheme="minorHAnsi"/>
          <w:szCs w:val="26"/>
        </w:rPr>
        <w:t xml:space="preserve">crimes that </w:t>
      </w:r>
      <w:r w:rsidR="002E0DD8">
        <w:rPr>
          <w:rFonts w:cstheme="minorHAnsi"/>
          <w:szCs w:val="26"/>
        </w:rPr>
        <w:t>he or she</w:t>
      </w:r>
      <w:r w:rsidRPr="009C6CB3" w:rsidR="002E0DD8">
        <w:rPr>
          <w:rFonts w:cstheme="minorHAnsi"/>
          <w:szCs w:val="26"/>
        </w:rPr>
        <w:t xml:space="preserve"> agreed with one or more persons to commit and that a member of the conspiracy committed in furtherance of the agreement.  (See </w:t>
      </w:r>
      <w:r w:rsidRPr="009C6CB3" w:rsidR="002E0DD8">
        <w:rPr>
          <w:rFonts w:cstheme="minorHAnsi"/>
          <w:i/>
          <w:iCs/>
          <w:szCs w:val="26"/>
        </w:rPr>
        <w:t>People v. Smith</w:t>
      </w:r>
      <w:r w:rsidRPr="009C6CB3" w:rsidR="002E0DD8">
        <w:rPr>
          <w:rFonts w:cstheme="minorHAnsi"/>
          <w:szCs w:val="26"/>
        </w:rPr>
        <w:t xml:space="preserve"> (2014) 60 Cal.4th 603, 616</w:t>
      </w:r>
      <w:r w:rsidRPr="009C6CB3" w:rsidR="002E0DD8">
        <w:rPr>
          <w:szCs w:val="26"/>
        </w:rPr>
        <w:t xml:space="preserve">–617.)  </w:t>
      </w:r>
      <w:r w:rsidRPr="009C6CB3" w:rsidR="00F929A6">
        <w:rPr>
          <w:szCs w:val="26"/>
        </w:rPr>
        <w:t>As one treatise notes</w:t>
      </w:r>
      <w:r w:rsidRPr="009C6CB3" w:rsidR="00897F30">
        <w:rPr>
          <w:szCs w:val="26"/>
        </w:rPr>
        <w:t xml:space="preserve">, the </w:t>
      </w:r>
      <w:r w:rsidRPr="009C6CB3" w:rsidR="00821ECD">
        <w:rPr>
          <w:szCs w:val="26"/>
        </w:rPr>
        <w:t xml:space="preserve">natural and probable consequences doctrine </w:t>
      </w:r>
      <w:r w:rsidRPr="009C6CB3" w:rsidR="00F63812">
        <w:rPr>
          <w:szCs w:val="26"/>
        </w:rPr>
        <w:t xml:space="preserve">is a theory of </w:t>
      </w:r>
      <w:r w:rsidRPr="009C6CB3" w:rsidR="006163AC">
        <w:rPr>
          <w:szCs w:val="26"/>
        </w:rPr>
        <w:t xml:space="preserve">liability that </w:t>
      </w:r>
      <w:r w:rsidRPr="009C6CB3" w:rsidR="00C700DA">
        <w:rPr>
          <w:szCs w:val="26"/>
        </w:rPr>
        <w:t xml:space="preserve">often exposes a defendant to punishment for </w:t>
      </w:r>
      <w:r w:rsidR="0047118D">
        <w:rPr>
          <w:szCs w:val="26"/>
        </w:rPr>
        <w:t>“</w:t>
      </w:r>
      <w:r w:rsidRPr="009C6CB3" w:rsidR="00C700DA">
        <w:rPr>
          <w:szCs w:val="26"/>
        </w:rPr>
        <w:t>a crime of intent although his culpability regarding its commission may be no greater than that of negligence.”  (</w:t>
      </w:r>
      <w:r w:rsidRPr="009C6CB3" w:rsidR="005A77E6">
        <w:rPr>
          <w:rFonts w:cstheme="minorHAnsi"/>
          <w:szCs w:val="26"/>
        </w:rPr>
        <w:t>Dressler, Understanding Criminal Law (2d ed. 1995) § 30.05[B][5], p. 444</w:t>
      </w:r>
      <w:r w:rsidRPr="009C6CB3" w:rsidR="003E7D44">
        <w:rPr>
          <w:rFonts w:cstheme="minorHAnsi"/>
          <w:szCs w:val="26"/>
        </w:rPr>
        <w:t>.)</w:t>
      </w:r>
    </w:p>
    <w:p w:rsidR="00834045" w:rsidRPr="009C6CB3" w:rsidP="009C6CB3">
      <w:pPr>
        <w:autoSpaceDE w:val="0"/>
        <w:autoSpaceDN w:val="0"/>
        <w:adjustRightInd w:val="0"/>
        <w:ind w:firstLine="720"/>
        <w:rPr>
          <w:rFonts w:cstheme="minorHAnsi"/>
          <w:color w:val="000000"/>
          <w:szCs w:val="26"/>
          <w:shd w:val="clear" w:color="auto" w:fill="FFFFFF"/>
        </w:rPr>
      </w:pPr>
      <w:r w:rsidRPr="009C6CB3">
        <w:rPr>
          <w:rFonts w:cstheme="minorHAnsi"/>
          <w:szCs w:val="26"/>
        </w:rPr>
        <w:t>Murder, whether in the first or second degree, requires malice aforethought.  (§ 187.)  Malice can be express</w:t>
      </w:r>
      <w:r w:rsidRPr="009C6CB3" w:rsidR="0018304B">
        <w:rPr>
          <w:rFonts w:cstheme="minorHAnsi"/>
          <w:szCs w:val="26"/>
        </w:rPr>
        <w:t xml:space="preserve"> or implied.  It is express</w:t>
      </w:r>
      <w:r w:rsidRPr="009C6CB3">
        <w:rPr>
          <w:rFonts w:cstheme="minorHAnsi"/>
          <w:szCs w:val="26"/>
        </w:rPr>
        <w:t xml:space="preserve"> when there is a manifest intent to kill</w:t>
      </w:r>
      <w:r w:rsidR="00A43B64">
        <w:rPr>
          <w:rFonts w:cstheme="minorHAnsi"/>
          <w:szCs w:val="26"/>
        </w:rPr>
        <w:t xml:space="preserve"> (§</w:t>
      </w:r>
      <w:bookmarkStart w:id="39" w:name="Psych_Cite_40"/>
      <w:r w:rsidR="00A43B64">
        <w:rPr>
          <w:rFonts w:cstheme="minorHAnsi"/>
          <w:szCs w:val="26"/>
        </w:rPr>
        <w:t xml:space="preserve"> 188, subd.</w:t>
      </w:r>
      <w:r w:rsidR="00F326FC">
        <w:rPr>
          <w:rFonts w:cstheme="minorHAnsi"/>
          <w:szCs w:val="26"/>
        </w:rPr>
        <w:t> </w:t>
      </w:r>
      <w:r w:rsidR="00A43B64">
        <w:rPr>
          <w:rFonts w:cstheme="minorHAnsi"/>
          <w:szCs w:val="26"/>
        </w:rPr>
        <w:t>(a)(1)</w:t>
      </w:r>
      <w:bookmarkEnd w:id="39"/>
      <w:r w:rsidR="00CC7633">
        <w:rPr>
          <w:rFonts w:cstheme="minorHAnsi"/>
          <w:szCs w:val="26"/>
        </w:rPr>
        <w:t>)</w:t>
      </w:r>
      <w:r w:rsidRPr="009C6CB3" w:rsidR="0018304B">
        <w:rPr>
          <w:rFonts w:cstheme="minorHAnsi"/>
          <w:szCs w:val="26"/>
        </w:rPr>
        <w:t>; it is</w:t>
      </w:r>
      <w:r w:rsidRPr="009C6CB3">
        <w:rPr>
          <w:rFonts w:cstheme="minorHAnsi"/>
          <w:szCs w:val="26"/>
        </w:rPr>
        <w:t xml:space="preserve"> implied if someone kills with </w:t>
      </w:r>
      <w:bookmarkStart w:id="40" w:name="QUOTE_BOOKMARK_IS_CONFIRMED_6"/>
      <w:r w:rsidR="00F82825">
        <w:rPr>
          <w:rFonts w:cstheme="minorHAnsi"/>
          <w:szCs w:val="26"/>
        </w:rPr>
        <w:t>“no considerable provocation . . . or when the circumstances attending the killing show an abandoned and malignant heart</w:t>
      </w:r>
      <w:bookmarkEnd w:id="40"/>
      <w:r w:rsidRPr="009C6CB3">
        <w:rPr>
          <w:rFonts w:cstheme="minorHAnsi"/>
          <w:szCs w:val="26"/>
        </w:rPr>
        <w:t>”</w:t>
      </w:r>
      <w:r w:rsidR="00376877">
        <w:rPr>
          <w:rFonts w:cstheme="minorHAnsi"/>
          <w:szCs w:val="26"/>
        </w:rPr>
        <w:t xml:space="preserve"> </w:t>
      </w:r>
      <w:r w:rsidRPr="009C6CB3">
        <w:rPr>
          <w:rFonts w:cstheme="minorHAnsi"/>
          <w:szCs w:val="26"/>
        </w:rPr>
        <w:t>(§ 188, subd. (a)(</w:t>
      </w:r>
      <w:r w:rsidRPr="009C6CB3" w:rsidR="001232B0">
        <w:rPr>
          <w:rFonts w:cstheme="minorHAnsi"/>
          <w:szCs w:val="26"/>
        </w:rPr>
        <w:t>2</w:t>
      </w:r>
      <w:r w:rsidRPr="009C6CB3">
        <w:rPr>
          <w:rFonts w:cstheme="minorHAnsi"/>
          <w:szCs w:val="26"/>
        </w:rPr>
        <w:t>))</w:t>
      </w:r>
      <w:r w:rsidR="00A43B64">
        <w:rPr>
          <w:rFonts w:cstheme="minorHAnsi"/>
          <w:szCs w:val="26"/>
        </w:rPr>
        <w:t>.</w:t>
      </w:r>
      <w:r w:rsidRPr="009C6CB3">
        <w:rPr>
          <w:rFonts w:cstheme="minorHAnsi"/>
          <w:szCs w:val="26"/>
        </w:rPr>
        <w:t xml:space="preserve">  </w:t>
      </w:r>
      <w:r w:rsidRPr="009C6CB3">
        <w:rPr>
          <w:rFonts w:cstheme="minorHAnsi"/>
          <w:szCs w:val="26"/>
        </w:rPr>
        <w:t xml:space="preserve">When a person directly perpetrates a killing, it is the perpetrator </w:t>
      </w:r>
      <w:r w:rsidRPr="009C6CB3" w:rsidR="00E61F64">
        <w:rPr>
          <w:rFonts w:cstheme="minorHAnsi"/>
          <w:szCs w:val="26"/>
        </w:rPr>
        <w:t>who</w:t>
      </w:r>
      <w:r w:rsidRPr="009C6CB3">
        <w:rPr>
          <w:rFonts w:cstheme="minorHAnsi"/>
          <w:szCs w:val="26"/>
        </w:rPr>
        <w:t xml:space="preserve"> must possess such malice.  (</w:t>
      </w:r>
      <w:bookmarkStart w:id="41" w:name="Psych_Cite_36"/>
      <w:r w:rsidRPr="009C6CB3">
        <w:rPr>
          <w:rFonts w:cstheme="minorHAnsi"/>
          <w:szCs w:val="26"/>
        </w:rPr>
        <w:t xml:space="preserve">See </w:t>
      </w:r>
      <w:r w:rsidRPr="009C6CB3">
        <w:rPr>
          <w:rFonts w:cstheme="minorHAnsi"/>
          <w:i/>
          <w:szCs w:val="26"/>
        </w:rPr>
        <w:t>People v. Concha</w:t>
      </w:r>
      <w:r w:rsidRPr="009C6CB3">
        <w:rPr>
          <w:rFonts w:cstheme="minorHAnsi"/>
          <w:szCs w:val="26"/>
        </w:rPr>
        <w:t xml:space="preserve"> (2009) 47 Cal.4th 653, 660</w:t>
      </w:r>
      <w:r w:rsidR="00DA72AE">
        <w:rPr>
          <w:rFonts w:cstheme="minorHAnsi"/>
          <w:szCs w:val="26"/>
        </w:rPr>
        <w:t xml:space="preserve"> </w:t>
      </w:r>
      <w:r w:rsidRPr="009C6CB3">
        <w:rPr>
          <w:rFonts w:cstheme="minorHAnsi"/>
          <w:szCs w:val="26"/>
        </w:rPr>
        <w:t>[“To satisfy the mens rea element of murder, the defendant must personally act with malice aforethought.”</w:t>
      </w:r>
      <w:bookmarkEnd w:id="41"/>
      <w:r w:rsidRPr="009C6CB3">
        <w:rPr>
          <w:rFonts w:cstheme="minorHAnsi"/>
          <w:szCs w:val="26"/>
        </w:rPr>
        <w:t xml:space="preserve">]; </w:t>
      </w:r>
      <w:bookmarkStart w:id="42" w:name="Psych_Cite_37"/>
      <w:r w:rsidRPr="009C6CB3">
        <w:rPr>
          <w:rFonts w:cstheme="minorHAnsi"/>
          <w:i/>
          <w:color w:val="000000"/>
          <w:szCs w:val="26"/>
          <w:bdr w:val="none" w:sz="0" w:space="0" w:color="auto" w:frame="1"/>
        </w:rPr>
        <w:t>People v. Soto</w:t>
      </w:r>
      <w:r w:rsidRPr="009C6CB3">
        <w:rPr>
          <w:rFonts w:cstheme="minorHAnsi"/>
          <w:color w:val="000000"/>
          <w:szCs w:val="26"/>
        </w:rPr>
        <w:t> (2018) 4 Cal.5th 968, 974</w:t>
      </w:r>
      <w:r w:rsidR="00B03AE3">
        <w:rPr>
          <w:rFonts w:cstheme="minorHAnsi"/>
          <w:color w:val="000000"/>
          <w:szCs w:val="26"/>
        </w:rPr>
        <w:t xml:space="preserve"> (</w:t>
      </w:r>
      <w:r w:rsidR="00B03AE3">
        <w:rPr>
          <w:rFonts w:cstheme="minorHAnsi"/>
          <w:i/>
          <w:iCs/>
          <w:color w:val="000000"/>
          <w:szCs w:val="26"/>
        </w:rPr>
        <w:t>Soto</w:t>
      </w:r>
      <w:r w:rsidR="00B03AE3">
        <w:rPr>
          <w:rFonts w:cstheme="minorHAnsi"/>
          <w:color w:val="000000"/>
          <w:szCs w:val="26"/>
        </w:rPr>
        <w:t>)</w:t>
      </w:r>
      <w:r w:rsidRPr="009C6CB3">
        <w:rPr>
          <w:rFonts w:cstheme="minorHAnsi"/>
          <w:color w:val="000000"/>
          <w:szCs w:val="26"/>
        </w:rPr>
        <w:t xml:space="preserve"> [“</w:t>
      </w:r>
      <w:r w:rsidRPr="009C6CB3">
        <w:rPr>
          <w:rFonts w:cstheme="minorHAnsi"/>
          <w:color w:val="000000"/>
          <w:szCs w:val="26"/>
          <w:shd w:val="clear" w:color="auto" w:fill="FFFFFF"/>
        </w:rPr>
        <w:t xml:space="preserve">The mental component [of implied malice] is the requirement that the defendant </w:t>
      </w:r>
      <w:r w:rsidRPr="009C6CB3" w:rsidR="00E61F64">
        <w:rPr>
          <w:rFonts w:cstheme="minorHAnsi"/>
          <w:color w:val="000000"/>
          <w:szCs w:val="26"/>
          <w:shd w:val="clear" w:color="auto" w:fill="FFFFFF"/>
        </w:rPr>
        <w:t>‘</w:t>
      </w:r>
      <w:r w:rsidRPr="009C6CB3">
        <w:rPr>
          <w:rFonts w:cstheme="minorHAnsi"/>
          <w:color w:val="000000"/>
          <w:szCs w:val="26"/>
          <w:shd w:val="clear" w:color="auto" w:fill="FFFFFF"/>
        </w:rPr>
        <w:t>knows that his conduct endangers the life of another and . . . acts with conscious disregard for life.’ ”</w:t>
      </w:r>
      <w:bookmarkEnd w:id="42"/>
      <w:r w:rsidRPr="009C6CB3">
        <w:rPr>
          <w:rFonts w:cstheme="minorHAnsi"/>
          <w:color w:val="000000"/>
          <w:szCs w:val="26"/>
          <w:shd w:val="clear" w:color="auto" w:fill="FFFFFF"/>
        </w:rPr>
        <w:t>].)</w:t>
      </w:r>
      <w:r w:rsidRPr="009C6CB3" w:rsidR="00B24FA0">
        <w:rPr>
          <w:rFonts w:cstheme="minorHAnsi"/>
          <w:color w:val="000000"/>
          <w:szCs w:val="26"/>
          <w:shd w:val="clear" w:color="auto" w:fill="FFFFFF"/>
        </w:rPr>
        <w:t xml:space="preserve">  Similarly, when a person directly aids and abets a murder, the aider and abettor must possess malice aforethought.  </w:t>
      </w:r>
      <w:r w:rsidRPr="009C6CB3" w:rsidR="00B24FA0">
        <w:rPr>
          <w:rFonts w:cstheme="minorHAnsi"/>
          <w:szCs w:val="26"/>
        </w:rPr>
        <w:t>(</w:t>
      </w:r>
      <w:bookmarkStart w:id="43" w:name="Psych_Cite_38"/>
      <w:r w:rsidRPr="009C6CB3" w:rsidR="00B24FA0">
        <w:rPr>
          <w:rFonts w:cstheme="minorHAnsi"/>
          <w:i/>
          <w:szCs w:val="26"/>
        </w:rPr>
        <w:t>McCoy</w:t>
      </w:r>
      <w:r w:rsidRPr="009C6CB3" w:rsidR="00B24FA0">
        <w:rPr>
          <w:rFonts w:cstheme="minorHAnsi"/>
          <w:szCs w:val="26"/>
        </w:rPr>
        <w:t xml:space="preserve">, </w:t>
      </w:r>
      <w:r w:rsidRPr="009C6CB3" w:rsidR="00B24FA0">
        <w:rPr>
          <w:rFonts w:cstheme="minorHAnsi"/>
          <w:i/>
          <w:szCs w:val="26"/>
        </w:rPr>
        <w:t>supra</w:t>
      </w:r>
      <w:r w:rsidRPr="009C6CB3" w:rsidR="00B24FA0">
        <w:rPr>
          <w:rFonts w:cstheme="minorHAnsi"/>
          <w:szCs w:val="26"/>
        </w:rPr>
        <w:t>, 25 Cal.4th at p. 1118 [“[O]utside of the natural and probable consequences doctrine, an aider and abettor’s mental state must be at least that required of the direct perpetrator.”</w:t>
      </w:r>
      <w:bookmarkEnd w:id="43"/>
      <w:r w:rsidRPr="009C6CB3" w:rsidR="00B24FA0">
        <w:rPr>
          <w:rFonts w:cstheme="minorHAnsi"/>
          <w:szCs w:val="26"/>
        </w:rPr>
        <w:t>].)</w:t>
      </w:r>
      <w:r w:rsidRPr="009C6CB3" w:rsidR="00E61F64">
        <w:rPr>
          <w:rFonts w:cstheme="minorHAnsi"/>
          <w:szCs w:val="26"/>
        </w:rPr>
        <w:t xml:space="preserve">  </w:t>
      </w:r>
      <w:r w:rsidRPr="009C6CB3">
        <w:rPr>
          <w:rFonts w:cstheme="minorHAnsi"/>
          <w:szCs w:val="26"/>
        </w:rPr>
        <w:t xml:space="preserve">But </w:t>
      </w:r>
      <w:r w:rsidRPr="009C6CB3" w:rsidR="00E61F64">
        <w:rPr>
          <w:rFonts w:cstheme="minorHAnsi"/>
          <w:szCs w:val="26"/>
        </w:rPr>
        <w:t>until recently</w:t>
      </w:r>
      <w:r w:rsidRPr="009C6CB3">
        <w:rPr>
          <w:rFonts w:cstheme="minorHAnsi"/>
          <w:szCs w:val="26"/>
        </w:rPr>
        <w:t xml:space="preserve">, when a person aided and abetted a </w:t>
      </w:r>
      <w:r w:rsidRPr="009C6CB3" w:rsidR="001A2924">
        <w:rPr>
          <w:rFonts w:cstheme="minorHAnsi"/>
          <w:szCs w:val="26"/>
        </w:rPr>
        <w:t xml:space="preserve">nonhomicide </w:t>
      </w:r>
      <w:r w:rsidRPr="009C6CB3">
        <w:rPr>
          <w:rFonts w:cstheme="minorHAnsi"/>
          <w:szCs w:val="26"/>
        </w:rPr>
        <w:t xml:space="preserve">crime </w:t>
      </w:r>
      <w:r w:rsidRPr="009C6CB3" w:rsidR="001A2924">
        <w:rPr>
          <w:rFonts w:cstheme="minorHAnsi"/>
          <w:szCs w:val="26"/>
        </w:rPr>
        <w:t xml:space="preserve">that then </w:t>
      </w:r>
      <w:r w:rsidRPr="009C6CB3">
        <w:rPr>
          <w:rFonts w:cstheme="minorHAnsi"/>
          <w:szCs w:val="26"/>
        </w:rPr>
        <w:t>result</w:t>
      </w:r>
      <w:r w:rsidRPr="009C6CB3" w:rsidR="001A2924">
        <w:rPr>
          <w:rFonts w:cstheme="minorHAnsi"/>
          <w:szCs w:val="26"/>
        </w:rPr>
        <w:t>ed</w:t>
      </w:r>
      <w:r w:rsidRPr="009C6CB3">
        <w:rPr>
          <w:rFonts w:cstheme="minorHAnsi"/>
          <w:szCs w:val="26"/>
        </w:rPr>
        <w:t xml:space="preserve"> in a </w:t>
      </w:r>
      <w:r w:rsidRPr="009C6CB3" w:rsidR="001A2924">
        <w:rPr>
          <w:rFonts w:cstheme="minorHAnsi"/>
          <w:szCs w:val="26"/>
        </w:rPr>
        <w:t>murder</w:t>
      </w:r>
      <w:r w:rsidRPr="009C6CB3">
        <w:rPr>
          <w:rFonts w:cstheme="minorHAnsi"/>
          <w:szCs w:val="26"/>
        </w:rPr>
        <w:t xml:space="preserve">, </w:t>
      </w:r>
      <w:r w:rsidRPr="009C6CB3" w:rsidR="000D2DF5">
        <w:rPr>
          <w:rFonts w:cstheme="minorHAnsi"/>
          <w:szCs w:val="26"/>
        </w:rPr>
        <w:t xml:space="preserve">the natural and probable consequences doctrine allowed him or her to </w:t>
      </w:r>
      <w:r w:rsidRPr="009C6CB3">
        <w:rPr>
          <w:rFonts w:cstheme="minorHAnsi"/>
          <w:szCs w:val="26"/>
        </w:rPr>
        <w:t xml:space="preserve">be convicted of murder without personally possessing malice aforethought.  </w:t>
      </w:r>
      <w:r w:rsidRPr="009C6CB3" w:rsidR="000D2DF5">
        <w:rPr>
          <w:rFonts w:cstheme="minorHAnsi"/>
          <w:szCs w:val="26"/>
        </w:rPr>
        <w:t>S</w:t>
      </w:r>
      <w:r w:rsidRPr="009C6CB3">
        <w:rPr>
          <w:rFonts w:cstheme="minorHAnsi"/>
          <w:szCs w:val="26"/>
        </w:rPr>
        <w:t>o long as the direct perpetrator possessed malice, and the killing was a natural and probable consequence of the crime the defendant aided and abetted, it did not matter whether the defendant intended to kill</w:t>
      </w:r>
      <w:r w:rsidR="008C3532">
        <w:rPr>
          <w:rFonts w:cstheme="minorHAnsi"/>
          <w:szCs w:val="26"/>
        </w:rPr>
        <w:t xml:space="preserve"> or acted with conscious disregard for human life</w:t>
      </w:r>
      <w:r w:rsidRPr="009C6CB3">
        <w:rPr>
          <w:rFonts w:cstheme="minorHAnsi"/>
          <w:szCs w:val="26"/>
        </w:rPr>
        <w:t>.  (</w:t>
      </w:r>
      <w:bookmarkStart w:id="44" w:name="Psych_Cite_39"/>
      <w:r w:rsidRPr="009C6CB3">
        <w:rPr>
          <w:rFonts w:cstheme="minorHAnsi"/>
          <w:i/>
          <w:szCs w:val="26"/>
        </w:rPr>
        <w:t>Chiu</w:t>
      </w:r>
      <w:r w:rsidRPr="009C6CB3">
        <w:rPr>
          <w:rFonts w:cstheme="minorHAnsi"/>
          <w:szCs w:val="26"/>
        </w:rPr>
        <w:t xml:space="preserve">, </w:t>
      </w:r>
      <w:r w:rsidRPr="009C6CB3">
        <w:rPr>
          <w:rFonts w:cstheme="minorHAnsi"/>
          <w:i/>
          <w:szCs w:val="26"/>
        </w:rPr>
        <w:t>supra</w:t>
      </w:r>
      <w:r w:rsidRPr="009C6CB3">
        <w:rPr>
          <w:rFonts w:cstheme="minorHAnsi"/>
          <w:szCs w:val="26"/>
        </w:rPr>
        <w:t>, 59</w:t>
      </w:r>
      <w:r w:rsidRPr="009C6CB3" w:rsidR="00710DAD">
        <w:rPr>
          <w:rFonts w:cstheme="minorHAnsi"/>
          <w:szCs w:val="26"/>
        </w:rPr>
        <w:t> </w:t>
      </w:r>
      <w:r w:rsidRPr="009C6CB3">
        <w:rPr>
          <w:rFonts w:cstheme="minorHAnsi"/>
          <w:szCs w:val="26"/>
        </w:rPr>
        <w:t xml:space="preserve">Cal.4th at </w:t>
      </w:r>
      <w:r w:rsidRPr="009C6CB3" w:rsidR="006C1398">
        <w:rPr>
          <w:rFonts w:cstheme="minorHAnsi"/>
          <w:szCs w:val="26"/>
        </w:rPr>
        <w:t>p</w:t>
      </w:r>
      <w:r w:rsidRPr="009C6CB3">
        <w:rPr>
          <w:rFonts w:cstheme="minorHAnsi"/>
          <w:szCs w:val="26"/>
        </w:rPr>
        <w:t>p. 165–1</w:t>
      </w:r>
      <w:bookmarkEnd w:id="44"/>
      <w:r w:rsidRPr="009C6CB3">
        <w:rPr>
          <w:rFonts w:cstheme="minorHAnsi"/>
          <w:szCs w:val="26"/>
        </w:rPr>
        <w:t>66.)</w:t>
      </w:r>
      <w:r w:rsidRPr="009C6CB3" w:rsidR="00452E81">
        <w:rPr>
          <w:rFonts w:cstheme="minorHAnsi"/>
          <w:szCs w:val="26"/>
        </w:rPr>
        <w:t xml:space="preserve">  </w:t>
      </w:r>
    </w:p>
    <w:p w:rsidR="000D2DF5" w:rsidRPr="009C6CB3" w:rsidP="009C6CB3">
      <w:pPr>
        <w:autoSpaceDE w:val="0"/>
        <w:autoSpaceDN w:val="0"/>
        <w:adjustRightInd w:val="0"/>
        <w:ind w:firstLine="720"/>
        <w:rPr>
          <w:rFonts w:cstheme="minorHAnsi"/>
          <w:szCs w:val="26"/>
        </w:rPr>
      </w:pPr>
      <w:r w:rsidRPr="009C6CB3">
        <w:rPr>
          <w:rFonts w:cstheme="minorHAnsi"/>
          <w:szCs w:val="26"/>
        </w:rPr>
        <w:t xml:space="preserve">In </w:t>
      </w:r>
      <w:r w:rsidRPr="009C6CB3">
        <w:rPr>
          <w:rFonts w:cstheme="minorHAnsi"/>
          <w:i/>
          <w:szCs w:val="26"/>
        </w:rPr>
        <w:t>Chiu</w:t>
      </w:r>
      <w:r w:rsidRPr="009C6CB3">
        <w:rPr>
          <w:rFonts w:cstheme="minorHAnsi"/>
          <w:szCs w:val="26"/>
        </w:rPr>
        <w:t xml:space="preserve">, we held that the natural and probable consequences doctrine </w:t>
      </w:r>
      <w:r w:rsidR="008C3532">
        <w:rPr>
          <w:rFonts w:cstheme="minorHAnsi"/>
          <w:szCs w:val="26"/>
        </w:rPr>
        <w:t>cannot</w:t>
      </w:r>
      <w:r w:rsidRPr="009C6CB3">
        <w:rPr>
          <w:rFonts w:cstheme="minorHAnsi"/>
          <w:szCs w:val="26"/>
        </w:rPr>
        <w:t xml:space="preserve"> support a conviction for first degree premeditated murder.</w:t>
      </w:r>
      <w:r w:rsidRPr="009C6CB3" w:rsidR="00834045">
        <w:rPr>
          <w:rFonts w:cstheme="minorHAnsi"/>
          <w:szCs w:val="26"/>
        </w:rPr>
        <w:t xml:space="preserve">  </w:t>
      </w:r>
      <w:r w:rsidRPr="009C6CB3" w:rsidR="00A711C6">
        <w:rPr>
          <w:rFonts w:cstheme="minorHAnsi"/>
          <w:szCs w:val="26"/>
        </w:rPr>
        <w:t>(</w:t>
      </w:r>
      <w:bookmarkStart w:id="45" w:name="Psych_Cite_43"/>
      <w:r w:rsidRPr="009C6CB3" w:rsidR="00A711C6">
        <w:rPr>
          <w:rFonts w:cstheme="minorHAnsi"/>
          <w:i/>
          <w:szCs w:val="26"/>
        </w:rPr>
        <w:t>Chiu</w:t>
      </w:r>
      <w:r w:rsidRPr="009C6CB3" w:rsidR="00A711C6">
        <w:rPr>
          <w:rFonts w:cstheme="minorHAnsi"/>
          <w:szCs w:val="26"/>
        </w:rPr>
        <w:t xml:space="preserve">, </w:t>
      </w:r>
      <w:r w:rsidRPr="009C6CB3" w:rsidR="00A711C6">
        <w:rPr>
          <w:rFonts w:cstheme="minorHAnsi"/>
          <w:i/>
          <w:szCs w:val="26"/>
        </w:rPr>
        <w:t>supra</w:t>
      </w:r>
      <w:r w:rsidRPr="009C6CB3" w:rsidR="00A711C6">
        <w:rPr>
          <w:rFonts w:cstheme="minorHAnsi"/>
          <w:szCs w:val="26"/>
        </w:rPr>
        <w:t>, 59 Cal.4th at p. 167</w:t>
      </w:r>
      <w:bookmarkEnd w:id="45"/>
      <w:r w:rsidRPr="009C6CB3" w:rsidR="00A711C6">
        <w:rPr>
          <w:rFonts w:cstheme="minorHAnsi"/>
          <w:szCs w:val="26"/>
        </w:rPr>
        <w:t xml:space="preserve">.)  </w:t>
      </w:r>
      <w:r w:rsidRPr="009C6CB3">
        <w:rPr>
          <w:rFonts w:cstheme="minorHAnsi"/>
          <w:szCs w:val="26"/>
        </w:rPr>
        <w:t>We reasoned that in the context of murder, the natural and probable consequences doctrine serves the purpose of “deterring aiders and abettors from aiding or encouraging the commission of offenses that would naturally, probably, and foreseeably result in an unlawful killing.”  (</w:t>
      </w:r>
      <w:bookmarkStart w:id="46" w:name="Psych_Cite_41"/>
      <w:r w:rsidRPr="009C6CB3">
        <w:rPr>
          <w:rFonts w:cstheme="minorHAnsi"/>
          <w:i/>
          <w:szCs w:val="26"/>
        </w:rPr>
        <w:t>Id</w:t>
      </w:r>
      <w:r w:rsidRPr="009C6CB3">
        <w:rPr>
          <w:rFonts w:cstheme="minorHAnsi"/>
          <w:szCs w:val="26"/>
        </w:rPr>
        <w:t>. at p. 165</w:t>
      </w:r>
      <w:bookmarkEnd w:id="46"/>
      <w:r w:rsidRPr="009C6CB3">
        <w:rPr>
          <w:rFonts w:cstheme="minorHAnsi"/>
          <w:szCs w:val="26"/>
        </w:rPr>
        <w:t>.)</w:t>
      </w:r>
      <w:r w:rsidRPr="009C6CB3" w:rsidR="00834045">
        <w:rPr>
          <w:rFonts w:cstheme="minorHAnsi"/>
          <w:szCs w:val="26"/>
        </w:rPr>
        <w:t xml:space="preserve">  </w:t>
      </w:r>
      <w:r w:rsidRPr="009C6CB3">
        <w:rPr>
          <w:rFonts w:cstheme="minorHAnsi"/>
          <w:szCs w:val="26"/>
        </w:rPr>
        <w:t xml:space="preserve">But </w:t>
      </w:r>
      <w:r w:rsidRPr="009C6CB3" w:rsidR="00695AE0">
        <w:rPr>
          <w:rFonts w:cstheme="minorHAnsi"/>
          <w:szCs w:val="26"/>
        </w:rPr>
        <w:t>this</w:t>
      </w:r>
      <w:r w:rsidRPr="009C6CB3">
        <w:rPr>
          <w:rFonts w:cstheme="minorHAnsi"/>
          <w:szCs w:val="26"/>
        </w:rPr>
        <w:t xml:space="preserve"> purpose “loses its force” when an accomplice is held culpable for first degree premeditated murder under a natural and probable consequences theory.</w:t>
      </w:r>
      <w:r w:rsidRPr="009C6CB3" w:rsidR="00834045">
        <w:rPr>
          <w:rFonts w:cstheme="minorHAnsi"/>
          <w:szCs w:val="26"/>
        </w:rPr>
        <w:t xml:space="preserve">  </w:t>
      </w:r>
      <w:r w:rsidR="00E47434">
        <w:rPr>
          <w:rFonts w:cstheme="minorHAnsi"/>
          <w:szCs w:val="26"/>
        </w:rPr>
        <w:t>(</w:t>
      </w:r>
      <w:bookmarkStart w:id="47" w:name="Psych_Cite_42"/>
      <w:r w:rsidR="00E47434">
        <w:rPr>
          <w:rFonts w:cstheme="minorHAnsi"/>
          <w:i/>
          <w:iCs/>
          <w:szCs w:val="26"/>
        </w:rPr>
        <w:t xml:space="preserve">Id. </w:t>
      </w:r>
      <w:r w:rsidR="00E47434">
        <w:rPr>
          <w:rFonts w:cstheme="minorHAnsi"/>
          <w:szCs w:val="26"/>
        </w:rPr>
        <w:t xml:space="preserve">at p. 166.)  </w:t>
      </w:r>
      <w:r w:rsidRPr="009C6CB3">
        <w:rPr>
          <w:rFonts w:cstheme="minorHAnsi"/>
          <w:szCs w:val="26"/>
        </w:rPr>
        <w:t>First</w:t>
      </w:r>
      <w:bookmarkEnd w:id="47"/>
      <w:r w:rsidRPr="009C6CB3">
        <w:rPr>
          <w:rFonts w:cstheme="minorHAnsi"/>
          <w:szCs w:val="26"/>
        </w:rPr>
        <w:t xml:space="preserve"> degree premeditated murder carries significantly higher penalties than second degree murder</w:t>
      </w:r>
      <w:r w:rsidRPr="009C6CB3" w:rsidR="00A711C6">
        <w:rPr>
          <w:rFonts w:cstheme="minorHAnsi"/>
          <w:szCs w:val="26"/>
        </w:rPr>
        <w:t xml:space="preserve"> and</w:t>
      </w:r>
      <w:r w:rsidRPr="009C6CB3">
        <w:rPr>
          <w:rFonts w:cstheme="minorHAnsi"/>
          <w:szCs w:val="26"/>
        </w:rPr>
        <w:t xml:space="preserve"> requires the additional mental state that the killing be “</w:t>
      </w:r>
      <w:bookmarkStart w:id="48" w:name="QUOTE_BOOKMARK_IS_CONFIRMED_7"/>
      <w:r w:rsidR="00F82825">
        <w:rPr>
          <w:rFonts w:cstheme="minorHAnsi"/>
          <w:szCs w:val="26"/>
        </w:rPr>
        <w:t>willful, deliberate, and premeditated.</w:t>
      </w:r>
      <w:bookmarkEnd w:id="48"/>
      <w:r w:rsidRPr="009C6CB3">
        <w:rPr>
          <w:rFonts w:cstheme="minorHAnsi"/>
          <w:szCs w:val="26"/>
        </w:rPr>
        <w:t>”  (§ 189</w:t>
      </w:r>
      <w:r w:rsidRPr="009C6CB3" w:rsidR="00D45ABD">
        <w:rPr>
          <w:rFonts w:cstheme="minorHAnsi"/>
          <w:szCs w:val="26"/>
        </w:rPr>
        <w:t>, subd. </w:t>
      </w:r>
      <w:r w:rsidRPr="009C6CB3">
        <w:rPr>
          <w:rFonts w:cstheme="minorHAnsi"/>
          <w:szCs w:val="26"/>
        </w:rPr>
        <w:t xml:space="preserve">(a); </w:t>
      </w:r>
      <w:bookmarkStart w:id="49" w:name="Psych_Cite_44"/>
      <w:r w:rsidRPr="009C6CB3">
        <w:rPr>
          <w:rFonts w:cstheme="minorHAnsi"/>
          <w:i/>
          <w:szCs w:val="26"/>
        </w:rPr>
        <w:t>Chiu</w:t>
      </w:r>
      <w:r w:rsidRPr="009C6CB3">
        <w:rPr>
          <w:rFonts w:cstheme="minorHAnsi"/>
          <w:szCs w:val="26"/>
        </w:rPr>
        <w:t>, at p. 166</w:t>
      </w:r>
      <w:bookmarkEnd w:id="49"/>
      <w:r w:rsidRPr="009C6CB3">
        <w:rPr>
          <w:rFonts w:cstheme="minorHAnsi"/>
          <w:szCs w:val="26"/>
        </w:rPr>
        <w:t>.)  Whether or not the direct perpetrator killed with premeditation “has no effect on the resultant harm.</w:t>
      </w:r>
      <w:r w:rsidRPr="009C6CB3">
        <w:rPr>
          <w:rFonts w:cstheme="minorHAnsi"/>
          <w:szCs w:val="26"/>
        </w:rPr>
        <w:t xml:space="preserve">  The victim has been killed regardless of the perpetrator</w:t>
      </w:r>
      <w:r w:rsidRPr="009C6CB3" w:rsidR="00695AE0">
        <w:rPr>
          <w:rFonts w:cstheme="minorHAnsi"/>
          <w:szCs w:val="26"/>
        </w:rPr>
        <w:t>’</w:t>
      </w:r>
      <w:r w:rsidRPr="009C6CB3">
        <w:rPr>
          <w:rFonts w:cstheme="minorHAnsi"/>
          <w:szCs w:val="26"/>
        </w:rPr>
        <w:t>s premeditative mental state.</w:t>
      </w:r>
      <w:r w:rsidRPr="009C6CB3">
        <w:rPr>
          <w:rFonts w:cstheme="minorHAnsi"/>
          <w:szCs w:val="26"/>
        </w:rPr>
        <w:t>”  (</w:t>
      </w:r>
      <w:bookmarkStart w:id="50" w:name="Psych_Cite_45"/>
      <w:r w:rsidR="00A91819">
        <w:rPr>
          <w:rFonts w:cstheme="minorHAnsi"/>
          <w:i/>
          <w:iCs/>
          <w:szCs w:val="26"/>
        </w:rPr>
        <w:t>Chiu</w:t>
      </w:r>
      <w:r w:rsidR="00A91819">
        <w:rPr>
          <w:rFonts w:cstheme="minorHAnsi"/>
          <w:szCs w:val="26"/>
        </w:rPr>
        <w:t xml:space="preserve">, </w:t>
      </w:r>
      <w:r w:rsidRPr="009C6CB3">
        <w:rPr>
          <w:rFonts w:cstheme="minorHAnsi"/>
          <w:szCs w:val="26"/>
        </w:rPr>
        <w:t>at p. 166</w:t>
      </w:r>
      <w:bookmarkEnd w:id="50"/>
      <w:r w:rsidRPr="009C6CB3">
        <w:rPr>
          <w:rFonts w:cstheme="minorHAnsi"/>
          <w:szCs w:val="26"/>
        </w:rPr>
        <w:t>.)</w:t>
      </w:r>
    </w:p>
    <w:p w:rsidR="0057439C" w:rsidRPr="009C6CB3" w:rsidP="009C6CB3">
      <w:pPr>
        <w:autoSpaceDE w:val="0"/>
        <w:autoSpaceDN w:val="0"/>
        <w:adjustRightInd w:val="0"/>
        <w:ind w:firstLine="720"/>
        <w:rPr>
          <w:rFonts w:cstheme="minorHAnsi"/>
          <w:szCs w:val="26"/>
        </w:rPr>
      </w:pPr>
      <w:r w:rsidRPr="009C6CB3">
        <w:rPr>
          <w:rFonts w:cstheme="minorHAnsi"/>
          <w:szCs w:val="26"/>
        </w:rPr>
        <w:t>W</w:t>
      </w:r>
      <w:r w:rsidRPr="009C6CB3" w:rsidR="000D2DF5">
        <w:rPr>
          <w:rFonts w:cstheme="minorHAnsi"/>
          <w:szCs w:val="26"/>
        </w:rPr>
        <w:t xml:space="preserve">e </w:t>
      </w:r>
      <w:r w:rsidRPr="009C6CB3">
        <w:rPr>
          <w:rFonts w:cstheme="minorHAnsi"/>
          <w:szCs w:val="26"/>
        </w:rPr>
        <w:t xml:space="preserve">further </w:t>
      </w:r>
      <w:r w:rsidRPr="009C6CB3" w:rsidR="000D2DF5">
        <w:rPr>
          <w:rFonts w:cstheme="minorHAnsi"/>
          <w:szCs w:val="26"/>
        </w:rPr>
        <w:t xml:space="preserve">concluded that subjecting an accomplice to </w:t>
      </w:r>
      <w:r w:rsidRPr="009C6CB3" w:rsidR="00091625">
        <w:rPr>
          <w:rFonts w:cstheme="minorHAnsi"/>
          <w:szCs w:val="26"/>
        </w:rPr>
        <w:t xml:space="preserve">enhanced punishment based solely on </w:t>
      </w:r>
      <w:r w:rsidRPr="009C6CB3" w:rsidR="000D2DF5">
        <w:rPr>
          <w:rFonts w:cstheme="minorHAnsi"/>
          <w:szCs w:val="26"/>
        </w:rPr>
        <w:t xml:space="preserve">the </w:t>
      </w:r>
      <w:r w:rsidRPr="009C6CB3" w:rsidR="00091625">
        <w:rPr>
          <w:rFonts w:cstheme="minorHAnsi"/>
          <w:szCs w:val="26"/>
        </w:rPr>
        <w:t>“</w:t>
      </w:r>
      <w:bookmarkStart w:id="51" w:name="QUOTE_BOOKMARK_IS_CONFIRMED_8"/>
      <w:r w:rsidR="00F82825">
        <w:rPr>
          <w:rFonts w:cstheme="minorHAnsi"/>
          <w:szCs w:val="26"/>
        </w:rPr>
        <w:t>uniquely subjective and personal</w:t>
      </w:r>
      <w:bookmarkEnd w:id="51"/>
      <w:r w:rsidRPr="009C6CB3" w:rsidR="00091625">
        <w:rPr>
          <w:rFonts w:cstheme="minorHAnsi"/>
          <w:szCs w:val="26"/>
        </w:rPr>
        <w:t xml:space="preserve">” mental state </w:t>
      </w:r>
      <w:r w:rsidRPr="009C6CB3" w:rsidR="000D2DF5">
        <w:rPr>
          <w:rFonts w:cstheme="minorHAnsi"/>
          <w:szCs w:val="26"/>
        </w:rPr>
        <w:t>of the direct perpetrator was inconsistent with “</w:t>
      </w:r>
      <w:bookmarkStart w:id="52" w:name="QUOTE_BOOKMARK_IS_CONFIRMED_9"/>
      <w:r w:rsidR="00F82825">
        <w:rPr>
          <w:rFonts w:cstheme="minorHAnsi"/>
          <w:szCs w:val="26"/>
        </w:rPr>
        <w:t>reasonable concepts of culpability.</w:t>
      </w:r>
      <w:bookmarkEnd w:id="52"/>
      <w:r w:rsidRPr="009C6CB3" w:rsidR="000D2DF5">
        <w:rPr>
          <w:rFonts w:cstheme="minorHAnsi"/>
          <w:szCs w:val="26"/>
        </w:rPr>
        <w:t>”  (</w:t>
      </w:r>
      <w:bookmarkStart w:id="53" w:name="Psych_Cite_48"/>
      <w:r w:rsidRPr="009C6CB3" w:rsidR="000D2DF5">
        <w:rPr>
          <w:rFonts w:cstheme="minorHAnsi"/>
          <w:i/>
          <w:szCs w:val="26"/>
        </w:rPr>
        <w:t>Chiu</w:t>
      </w:r>
      <w:r w:rsidRPr="009C6CB3" w:rsidR="000D2DF5">
        <w:rPr>
          <w:rFonts w:cstheme="minorHAnsi"/>
          <w:szCs w:val="26"/>
        </w:rPr>
        <w:t xml:space="preserve">, </w:t>
      </w:r>
      <w:r w:rsidRPr="009C6CB3" w:rsidR="000D2DF5">
        <w:rPr>
          <w:rFonts w:cstheme="minorHAnsi"/>
          <w:i/>
          <w:szCs w:val="26"/>
        </w:rPr>
        <w:t>supra</w:t>
      </w:r>
      <w:r w:rsidRPr="009C6CB3" w:rsidR="000D2DF5">
        <w:rPr>
          <w:rFonts w:cstheme="minorHAnsi"/>
          <w:szCs w:val="26"/>
        </w:rPr>
        <w:t xml:space="preserve">, 59 Cal.4th at </w:t>
      </w:r>
      <w:r w:rsidRPr="009C6CB3" w:rsidR="00695AE0">
        <w:rPr>
          <w:rFonts w:cstheme="minorHAnsi"/>
          <w:szCs w:val="26"/>
        </w:rPr>
        <w:t>p</w:t>
      </w:r>
      <w:r w:rsidRPr="009C6CB3" w:rsidR="000D2DF5">
        <w:rPr>
          <w:rFonts w:cstheme="minorHAnsi"/>
          <w:szCs w:val="26"/>
        </w:rPr>
        <w:t>p. 16</w:t>
      </w:r>
      <w:r w:rsidR="00B70E57">
        <w:rPr>
          <w:rFonts w:cstheme="minorHAnsi"/>
          <w:szCs w:val="26"/>
        </w:rPr>
        <w:t>6</w:t>
      </w:r>
      <w:r w:rsidRPr="009C6CB3" w:rsidR="00091625">
        <w:rPr>
          <w:rFonts w:cstheme="minorHAnsi"/>
          <w:szCs w:val="26"/>
        </w:rPr>
        <w:t>, 16</w:t>
      </w:r>
      <w:r w:rsidR="00B70E57">
        <w:rPr>
          <w:rFonts w:cstheme="minorHAnsi"/>
          <w:szCs w:val="26"/>
        </w:rPr>
        <w:t>5</w:t>
      </w:r>
      <w:bookmarkEnd w:id="53"/>
      <w:r w:rsidRPr="009C6CB3" w:rsidR="000D2DF5">
        <w:rPr>
          <w:rFonts w:cstheme="minorHAnsi"/>
          <w:szCs w:val="26"/>
        </w:rPr>
        <w:t>.)</w:t>
      </w:r>
      <w:r w:rsidRPr="009C6CB3" w:rsidR="00091625">
        <w:rPr>
          <w:rFonts w:cstheme="minorHAnsi"/>
          <w:szCs w:val="26"/>
        </w:rPr>
        <w:t xml:space="preserve">  We found </w:t>
      </w:r>
      <w:r w:rsidRPr="009C6CB3">
        <w:rPr>
          <w:rFonts w:cstheme="minorHAnsi"/>
          <w:szCs w:val="26"/>
        </w:rPr>
        <w:t>“</w:t>
      </w:r>
      <w:r w:rsidRPr="009C6CB3" w:rsidR="00091625">
        <w:rPr>
          <w:rFonts w:cstheme="minorHAnsi"/>
          <w:szCs w:val="26"/>
        </w:rPr>
        <w:t>t</w:t>
      </w:r>
      <w:r w:rsidRPr="009C6CB3">
        <w:rPr>
          <w:rFonts w:cstheme="minorHAnsi"/>
          <w:szCs w:val="26"/>
        </w:rPr>
        <w:t xml:space="preserve">he connection between the defendant’s culpability and the perpetrator’s premeditative state </w:t>
      </w:r>
      <w:r w:rsidRPr="009C6CB3" w:rsidR="00091625">
        <w:rPr>
          <w:rFonts w:cstheme="minorHAnsi"/>
          <w:szCs w:val="26"/>
        </w:rPr>
        <w:t>. . .</w:t>
      </w:r>
      <w:r w:rsidRPr="009C6CB3">
        <w:rPr>
          <w:rFonts w:cstheme="minorHAnsi"/>
          <w:szCs w:val="26"/>
        </w:rPr>
        <w:t xml:space="preserve"> too attenuated to impose aider and abettor liability for first degree murder under the natural and probable consequences doctrine.”  (</w:t>
      </w:r>
      <w:bookmarkStart w:id="54" w:name="Psych_Cite_46"/>
      <w:r w:rsidRPr="009C6CB3">
        <w:rPr>
          <w:rFonts w:cstheme="minorHAnsi"/>
          <w:i/>
          <w:szCs w:val="26"/>
        </w:rPr>
        <w:t>Id</w:t>
      </w:r>
      <w:r w:rsidRPr="009C6CB3">
        <w:rPr>
          <w:rFonts w:cstheme="minorHAnsi"/>
          <w:szCs w:val="26"/>
        </w:rPr>
        <w:t>. at p. 16</w:t>
      </w:r>
      <w:bookmarkEnd w:id="54"/>
      <w:r w:rsidRPr="009C6CB3" w:rsidR="001232B0">
        <w:rPr>
          <w:rFonts w:cstheme="minorHAnsi"/>
          <w:szCs w:val="26"/>
        </w:rPr>
        <w:t>6</w:t>
      </w:r>
      <w:r w:rsidRPr="009C6CB3">
        <w:rPr>
          <w:rFonts w:cstheme="minorHAnsi"/>
          <w:szCs w:val="26"/>
        </w:rPr>
        <w:t>.)</w:t>
      </w:r>
      <w:r w:rsidRPr="009C6CB3" w:rsidR="00834045">
        <w:rPr>
          <w:rFonts w:cstheme="minorHAnsi"/>
          <w:szCs w:val="26"/>
        </w:rPr>
        <w:t xml:space="preserve">  </w:t>
      </w:r>
      <w:r w:rsidRPr="009C6CB3" w:rsidR="003C1CEE">
        <w:rPr>
          <w:rFonts w:cstheme="minorHAnsi"/>
          <w:szCs w:val="26"/>
        </w:rPr>
        <w:t>By</w:t>
      </w:r>
      <w:r w:rsidRPr="009C6CB3">
        <w:rPr>
          <w:rFonts w:cstheme="minorHAnsi"/>
          <w:szCs w:val="26"/>
        </w:rPr>
        <w:t xml:space="preserve"> contrast, we concluded “that punishment for second degree murder is commensurate with</w:t>
      </w:r>
      <w:r w:rsidRPr="009C6CB3" w:rsidR="00091625">
        <w:rPr>
          <w:rFonts w:cstheme="minorHAnsi"/>
          <w:szCs w:val="26"/>
        </w:rPr>
        <w:t>” a defendant’s level of culpability under the natural and probable consequences doctrine.</w:t>
      </w:r>
      <w:r w:rsidRPr="009C6CB3" w:rsidR="00537BE8">
        <w:rPr>
          <w:rFonts w:cstheme="minorHAnsi"/>
          <w:szCs w:val="26"/>
        </w:rPr>
        <w:t xml:space="preserve"> </w:t>
      </w:r>
      <w:r w:rsidRPr="009C6CB3">
        <w:rPr>
          <w:rFonts w:cstheme="minorHAnsi"/>
          <w:szCs w:val="26"/>
        </w:rPr>
        <w:t xml:space="preserve"> (</w:t>
      </w:r>
      <w:bookmarkStart w:id="55" w:name="Psych_Cite_47"/>
      <w:r w:rsidRPr="009C6CB3">
        <w:rPr>
          <w:rFonts w:cstheme="minorHAnsi"/>
          <w:i/>
          <w:szCs w:val="26"/>
        </w:rPr>
        <w:t>Ibid</w:t>
      </w:r>
      <w:r w:rsidRPr="009C6CB3">
        <w:rPr>
          <w:rFonts w:cstheme="minorHAnsi"/>
          <w:szCs w:val="26"/>
        </w:rPr>
        <w:t>.</w:t>
      </w:r>
      <w:bookmarkEnd w:id="55"/>
      <w:r w:rsidRPr="009C6CB3">
        <w:rPr>
          <w:rFonts w:cstheme="minorHAnsi"/>
          <w:szCs w:val="26"/>
        </w:rPr>
        <w:t xml:space="preserve">)  We </w:t>
      </w:r>
      <w:r w:rsidRPr="009C6CB3" w:rsidR="00537BE8">
        <w:rPr>
          <w:rFonts w:cstheme="minorHAnsi"/>
          <w:szCs w:val="26"/>
        </w:rPr>
        <w:t xml:space="preserve">thus left in place </w:t>
      </w:r>
      <w:r w:rsidRPr="009C6CB3">
        <w:rPr>
          <w:rFonts w:cstheme="minorHAnsi"/>
          <w:szCs w:val="26"/>
        </w:rPr>
        <w:t>natural and probable consequences liability for second degree murder.</w:t>
      </w:r>
    </w:p>
    <w:p w:rsidR="00834045" w:rsidRPr="009C6CB3" w:rsidP="009C6CB3">
      <w:pPr>
        <w:autoSpaceDE w:val="0"/>
        <w:autoSpaceDN w:val="0"/>
        <w:adjustRightInd w:val="0"/>
        <w:ind w:firstLine="720"/>
        <w:rPr>
          <w:rFonts w:cstheme="minorHAnsi"/>
          <w:szCs w:val="26"/>
        </w:rPr>
      </w:pPr>
      <w:r w:rsidRPr="009C6CB3">
        <w:rPr>
          <w:rFonts w:cstheme="minorHAnsi"/>
          <w:szCs w:val="26"/>
        </w:rPr>
        <w:t xml:space="preserve">After </w:t>
      </w:r>
      <w:r w:rsidRPr="009C6CB3">
        <w:rPr>
          <w:rFonts w:cstheme="minorHAnsi"/>
          <w:i/>
          <w:szCs w:val="26"/>
        </w:rPr>
        <w:t>Chiu</w:t>
      </w:r>
      <w:r w:rsidRPr="009C6CB3">
        <w:rPr>
          <w:rFonts w:cstheme="minorHAnsi"/>
          <w:szCs w:val="26"/>
        </w:rPr>
        <w:t xml:space="preserve">, the Legislature </w:t>
      </w:r>
      <w:r w:rsidRPr="009C6CB3" w:rsidR="00457A56">
        <w:rPr>
          <w:rFonts w:cstheme="minorHAnsi"/>
          <w:szCs w:val="26"/>
        </w:rPr>
        <w:t xml:space="preserve">in 2017 adopted Senate Concurrent Resolution </w:t>
      </w:r>
      <w:r w:rsidR="00B40549">
        <w:rPr>
          <w:rFonts w:cstheme="minorHAnsi"/>
          <w:szCs w:val="26"/>
        </w:rPr>
        <w:t xml:space="preserve">No. </w:t>
      </w:r>
      <w:r w:rsidRPr="009C6CB3" w:rsidR="00457A56">
        <w:rPr>
          <w:rFonts w:cstheme="minorHAnsi"/>
          <w:szCs w:val="26"/>
        </w:rPr>
        <w:t xml:space="preserve">48, which </w:t>
      </w:r>
      <w:r w:rsidRPr="009C6CB3">
        <w:rPr>
          <w:rFonts w:cstheme="minorHAnsi"/>
          <w:szCs w:val="26"/>
        </w:rPr>
        <w:t xml:space="preserve">declared </w:t>
      </w:r>
      <w:r w:rsidRPr="009C6CB3" w:rsidR="00457A56">
        <w:rPr>
          <w:rFonts w:cstheme="minorHAnsi"/>
          <w:szCs w:val="26"/>
        </w:rPr>
        <w:t xml:space="preserve">the Legislature’s </w:t>
      </w:r>
      <w:r w:rsidRPr="009C6CB3">
        <w:rPr>
          <w:rFonts w:cstheme="minorHAnsi"/>
          <w:szCs w:val="26"/>
        </w:rPr>
        <w:t>intent to enact further “statutory changes to more equitably sentence offenders in accordance with their involvement in the crime.”  (Sen. Conc. Res. No. 48, Stats. 2017 (2017–2018 Reg. Sess.) res. ch. 175 (Senate Concurren</w:t>
      </w:r>
      <w:r w:rsidRPr="009C6CB3" w:rsidR="00537BE8">
        <w:rPr>
          <w:rFonts w:cstheme="minorHAnsi"/>
          <w:szCs w:val="26"/>
        </w:rPr>
        <w:t>t</w:t>
      </w:r>
      <w:r w:rsidRPr="009C6CB3">
        <w:rPr>
          <w:rFonts w:cstheme="minorHAnsi"/>
          <w:szCs w:val="26"/>
        </w:rPr>
        <w:t xml:space="preserve"> Resolution 48).)  </w:t>
      </w:r>
      <w:r w:rsidRPr="009C6CB3" w:rsidR="00457A56">
        <w:rPr>
          <w:rFonts w:cstheme="minorHAnsi"/>
          <w:szCs w:val="26"/>
        </w:rPr>
        <w:t>The resolution</w:t>
      </w:r>
      <w:r w:rsidRPr="009C6CB3">
        <w:rPr>
          <w:rFonts w:cstheme="minorHAnsi"/>
          <w:szCs w:val="26"/>
        </w:rPr>
        <w:t xml:space="preserve"> recognized a “</w:t>
      </w:r>
      <w:bookmarkStart w:id="56" w:name="QUOTE_BOOKMARK_IS_CONFIRMED_10"/>
      <w:r w:rsidR="00F82825">
        <w:rPr>
          <w:rFonts w:cstheme="minorHAnsi"/>
          <w:szCs w:val="26"/>
        </w:rPr>
        <w:t>need for additional reform when addressing aider and abettor liability . . . , specifically the ‘natural and probable’ consequences doctrine, which . . . results in greater punishment for lesser culpability.</w:t>
      </w:r>
      <w:bookmarkEnd w:id="56"/>
      <w:r w:rsidRPr="009C6CB3">
        <w:rPr>
          <w:rFonts w:cstheme="minorHAnsi"/>
          <w:szCs w:val="26"/>
        </w:rPr>
        <w:t>”  (</w:t>
      </w:r>
      <w:bookmarkStart w:id="57" w:name="Psych_Cite_49"/>
      <w:r w:rsidRPr="009C6CB3">
        <w:rPr>
          <w:rFonts w:cstheme="minorHAnsi"/>
          <w:i/>
          <w:szCs w:val="26"/>
        </w:rPr>
        <w:t>Ibid</w:t>
      </w:r>
      <w:bookmarkEnd w:id="57"/>
      <w:r w:rsidRPr="009C6CB3">
        <w:rPr>
          <w:rFonts w:cstheme="minorHAnsi"/>
          <w:szCs w:val="26"/>
        </w:rPr>
        <w:t xml:space="preserve">.)  The </w:t>
      </w:r>
      <w:r w:rsidRPr="009C6CB3" w:rsidR="00457A56">
        <w:rPr>
          <w:rFonts w:cstheme="minorHAnsi"/>
          <w:szCs w:val="26"/>
        </w:rPr>
        <w:t xml:space="preserve">Legislature </w:t>
      </w:r>
      <w:r w:rsidRPr="009C6CB3">
        <w:rPr>
          <w:rFonts w:cstheme="minorHAnsi"/>
          <w:szCs w:val="26"/>
        </w:rPr>
        <w:t>found that the natural and probable consequences doctrine “result[s] in individuals lacking the mens rea and culpability for murder being punished as if they were the ones who committed the fatal act”</w:t>
      </w:r>
      <w:r w:rsidRPr="009C6CB3" w:rsidR="00F87428">
        <w:rPr>
          <w:rFonts w:cstheme="minorHAnsi"/>
          <w:szCs w:val="26"/>
        </w:rPr>
        <w:t xml:space="preserve"> and that “</w:t>
      </w:r>
      <w:bookmarkStart w:id="58" w:name="QUOTE_BOOKMARK_IS_CONFIRMED_11"/>
      <w:r w:rsidR="00F82825">
        <w:rPr>
          <w:rFonts w:cstheme="minorHAnsi"/>
          <w:szCs w:val="26"/>
        </w:rPr>
        <w:t>this leads to overbroad application.</w:t>
      </w:r>
      <w:bookmarkEnd w:id="58"/>
      <w:r w:rsidRPr="009C6CB3" w:rsidR="00F87428">
        <w:rPr>
          <w:rFonts w:cstheme="minorHAnsi"/>
          <w:szCs w:val="26"/>
        </w:rPr>
        <w:t>”</w:t>
      </w:r>
      <w:r w:rsidRPr="009C6CB3">
        <w:rPr>
          <w:rFonts w:cstheme="minorHAnsi"/>
          <w:szCs w:val="26"/>
        </w:rPr>
        <w:t xml:space="preserve">  (</w:t>
      </w:r>
      <w:bookmarkStart w:id="59" w:name="Psych_Cite_50"/>
      <w:r w:rsidRPr="009C6CB3">
        <w:rPr>
          <w:rFonts w:cstheme="minorHAnsi"/>
          <w:i/>
          <w:szCs w:val="26"/>
        </w:rPr>
        <w:t>Ibid</w:t>
      </w:r>
      <w:bookmarkEnd w:id="59"/>
      <w:r w:rsidRPr="009C6CB3">
        <w:rPr>
          <w:rFonts w:cstheme="minorHAnsi"/>
          <w:szCs w:val="26"/>
        </w:rPr>
        <w:t>.)  It also concluded that “[i]t can be cruel and unusual punishment to not assess individual liability for nonperpetrators of the fatal act</w:t>
      </w:r>
      <w:r w:rsidRPr="009C6CB3" w:rsidR="004C2071">
        <w:rPr>
          <w:rFonts w:cstheme="minorHAnsi"/>
          <w:szCs w:val="26"/>
        </w:rPr>
        <w:t> </w:t>
      </w:r>
      <w:r w:rsidRPr="009C6CB3">
        <w:rPr>
          <w:rFonts w:cstheme="minorHAnsi"/>
          <w:szCs w:val="26"/>
        </w:rPr>
        <w:t>.</w:t>
      </w:r>
      <w:r w:rsidRPr="009C6CB3" w:rsidR="004C2071">
        <w:rPr>
          <w:rFonts w:cstheme="minorHAnsi"/>
          <w:szCs w:val="26"/>
        </w:rPr>
        <w:t> </w:t>
      </w:r>
      <w:r w:rsidRPr="009C6CB3">
        <w:rPr>
          <w:rFonts w:cstheme="minorHAnsi"/>
          <w:szCs w:val="26"/>
        </w:rPr>
        <w:t>.</w:t>
      </w:r>
      <w:r w:rsidRPr="009C6CB3" w:rsidR="004C2071">
        <w:rPr>
          <w:rFonts w:cstheme="minorHAnsi"/>
          <w:szCs w:val="26"/>
        </w:rPr>
        <w:t> </w:t>
      </w:r>
      <w:r w:rsidRPr="009C6CB3">
        <w:rPr>
          <w:rFonts w:cstheme="minorHAnsi"/>
          <w:szCs w:val="26"/>
        </w:rPr>
        <w:t>.</w:t>
      </w:r>
      <w:r w:rsidRPr="009C6CB3" w:rsidR="004C2071">
        <w:rPr>
          <w:rFonts w:cstheme="minorHAnsi"/>
          <w:szCs w:val="26"/>
        </w:rPr>
        <w:t> </w:t>
      </w:r>
      <w:r w:rsidRPr="009C6CB3">
        <w:rPr>
          <w:rFonts w:cstheme="minorHAnsi"/>
          <w:szCs w:val="26"/>
        </w:rPr>
        <w:t>and impute culpability for another’s bad act, thereby imposing lengthy sentences that are disproportionate to the conduct in the underlying case.”  (</w:t>
      </w:r>
      <w:bookmarkStart w:id="60" w:name="Psych_Cite_51"/>
      <w:r w:rsidRPr="009C6CB3">
        <w:rPr>
          <w:rFonts w:cstheme="minorHAnsi"/>
          <w:i/>
          <w:szCs w:val="26"/>
        </w:rPr>
        <w:t>Ibid</w:t>
      </w:r>
      <w:bookmarkEnd w:id="60"/>
      <w:r w:rsidRPr="009C6CB3">
        <w:rPr>
          <w:rFonts w:cstheme="minorHAnsi"/>
          <w:szCs w:val="26"/>
        </w:rPr>
        <w:t>.)</w:t>
      </w:r>
    </w:p>
    <w:p w:rsidR="00834045" w:rsidRPr="009C6CB3" w:rsidP="009C6CB3">
      <w:pPr>
        <w:autoSpaceDE w:val="0"/>
        <w:autoSpaceDN w:val="0"/>
        <w:adjustRightInd w:val="0"/>
        <w:ind w:firstLine="720"/>
        <w:rPr>
          <w:rFonts w:cstheme="minorHAnsi"/>
          <w:szCs w:val="26"/>
        </w:rPr>
      </w:pPr>
      <w:r w:rsidRPr="009C6CB3">
        <w:rPr>
          <w:rFonts w:cstheme="minorHAnsi"/>
          <w:szCs w:val="26"/>
        </w:rPr>
        <w:t xml:space="preserve">A year later, the Legislature </w:t>
      </w:r>
      <w:r w:rsidRPr="009C6CB3" w:rsidR="00B81907">
        <w:rPr>
          <w:rFonts w:cstheme="minorHAnsi"/>
          <w:szCs w:val="26"/>
        </w:rPr>
        <w:t xml:space="preserve">cited Senate Concurrent Resolution 48 when it </w:t>
      </w:r>
      <w:r w:rsidRPr="009C6CB3">
        <w:rPr>
          <w:rFonts w:cstheme="minorHAnsi"/>
          <w:szCs w:val="26"/>
        </w:rPr>
        <w:t xml:space="preserve">enacted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sidR="00B81907">
        <w:rPr>
          <w:rFonts w:cstheme="minorHAnsi"/>
          <w:szCs w:val="26"/>
        </w:rPr>
        <w:t>.</w:t>
      </w:r>
      <w:r w:rsidRPr="009C6CB3">
        <w:rPr>
          <w:rFonts w:cstheme="minorHAnsi"/>
          <w:szCs w:val="26"/>
        </w:rPr>
        <w:t xml:space="preserve">  (Stats. 2018, ch. 1015, § l</w:t>
      </w:r>
      <w:r w:rsidR="00403B41">
        <w:rPr>
          <w:rFonts w:cstheme="minorHAnsi"/>
          <w:szCs w:val="26"/>
        </w:rPr>
        <w:t xml:space="preserve">, subd. </w:t>
      </w:r>
      <w:r w:rsidRPr="009C6CB3">
        <w:rPr>
          <w:rFonts w:cstheme="minorHAnsi"/>
          <w:szCs w:val="26"/>
        </w:rPr>
        <w:t>(</w:t>
      </w:r>
      <w:r w:rsidRPr="009C6CB3" w:rsidR="00B81907">
        <w:rPr>
          <w:rFonts w:cstheme="minorHAnsi"/>
          <w:szCs w:val="26"/>
        </w:rPr>
        <w:t>c</w:t>
      </w:r>
      <w:r w:rsidRPr="009C6CB3">
        <w:rPr>
          <w:rFonts w:cstheme="minorHAnsi"/>
          <w:szCs w:val="26"/>
        </w:rPr>
        <w:t>)</w:t>
      </w:r>
      <w:r w:rsidRPr="009C6CB3" w:rsidR="00B81907">
        <w:rPr>
          <w:rFonts w:cstheme="minorHAnsi"/>
          <w:szCs w:val="26"/>
        </w:rPr>
        <w:t xml:space="preserve"> [“Senate Concurrent Resolution 48 . . .</w:t>
      </w:r>
      <w:r w:rsidR="00822E26">
        <w:rPr>
          <w:rFonts w:cstheme="minorHAnsi"/>
          <w:szCs w:val="26"/>
        </w:rPr>
        <w:t> </w:t>
      </w:r>
      <w:r w:rsidRPr="009C6CB3" w:rsidR="00B81907">
        <w:rPr>
          <w:rFonts w:cstheme="minorHAnsi"/>
          <w:szCs w:val="26"/>
        </w:rPr>
        <w:t>outlines the need for the statutory changes contained in this measure.”]</w:t>
      </w:r>
      <w:r w:rsidRPr="009C6CB3">
        <w:rPr>
          <w:rFonts w:cstheme="minorHAnsi"/>
          <w:szCs w:val="26"/>
        </w:rPr>
        <w:t>.)</w:t>
      </w:r>
      <w:r w:rsidRPr="009C6CB3">
        <w:rPr>
          <w:rFonts w:cstheme="minorHAnsi"/>
          <w:szCs w:val="26"/>
        </w:rPr>
        <w:t xml:space="preserve">  </w:t>
      </w:r>
      <w:r w:rsidRPr="009C6CB3" w:rsidR="00C3459E">
        <w:rPr>
          <w:rFonts w:cstheme="minorHAnsi"/>
          <w:szCs w:val="26"/>
        </w:rPr>
        <w:t>Among other things</w:t>
      </w:r>
      <w:r w:rsidRPr="009C6CB3">
        <w:rPr>
          <w:rFonts w:cstheme="minorHAnsi"/>
          <w:szCs w:val="26"/>
        </w:rPr>
        <w:t xml:space="preserve">,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Pr>
          <w:rFonts w:cstheme="minorHAnsi"/>
          <w:szCs w:val="26"/>
        </w:rPr>
        <w:t xml:space="preserve"> modified the requirement of malice aforethought for purposes of murder.  Now, </w:t>
      </w:r>
      <w:r w:rsidRPr="009C6CB3" w:rsidR="00695AE0">
        <w:rPr>
          <w:rFonts w:cstheme="minorHAnsi"/>
          <w:szCs w:val="26"/>
        </w:rPr>
        <w:t>except for</w:t>
      </w:r>
      <w:r w:rsidRPr="009C6CB3" w:rsidR="00642F79">
        <w:rPr>
          <w:rFonts w:cstheme="minorHAnsi"/>
          <w:szCs w:val="26"/>
        </w:rPr>
        <w:t xml:space="preserve"> felony murder, </w:t>
      </w:r>
      <w:r w:rsidRPr="009C6CB3">
        <w:rPr>
          <w:rFonts w:cstheme="minorHAnsi"/>
          <w:szCs w:val="26"/>
        </w:rPr>
        <w:t xml:space="preserve">“in order to be convicted of murder, a principal in a crime </w:t>
      </w:r>
      <w:r w:rsidRPr="009C6CB3">
        <w:rPr>
          <w:rFonts w:cstheme="minorHAnsi"/>
          <w:i/>
          <w:szCs w:val="26"/>
        </w:rPr>
        <w:t>shall act with malice aforethought</w:t>
      </w:r>
      <w:r w:rsidRPr="009C6CB3">
        <w:rPr>
          <w:rFonts w:cstheme="minorHAnsi"/>
          <w:szCs w:val="26"/>
        </w:rPr>
        <w:t>.  Malice shall not be imputed to a person based solely on his or her participation in a crime.”  (§ 188(a)(3), italics added.)</w:t>
      </w:r>
    </w:p>
    <w:p w:rsidR="00C3459E" w:rsidRPr="009C6CB3" w:rsidP="009C6CB3">
      <w:pPr>
        <w:autoSpaceDE w:val="0"/>
        <w:autoSpaceDN w:val="0"/>
        <w:adjustRightInd w:val="0"/>
        <w:ind w:firstLine="720"/>
        <w:rPr>
          <w:rFonts w:cstheme="minorHAnsi"/>
          <w:szCs w:val="26"/>
        </w:rPr>
      </w:pPr>
      <w:r w:rsidRPr="009C6CB3">
        <w:rPr>
          <w:rFonts w:cstheme="minorHAnsi"/>
          <w:szCs w:val="26"/>
        </w:rPr>
        <w:t>The</w:t>
      </w:r>
      <w:r w:rsidRPr="009C6CB3" w:rsidR="00177CA2">
        <w:rPr>
          <w:rFonts w:cstheme="minorHAnsi"/>
          <w:szCs w:val="26"/>
        </w:rPr>
        <w:t xml:space="preserve"> most natural</w:t>
      </w:r>
      <w:r w:rsidRPr="009C6CB3">
        <w:rPr>
          <w:rFonts w:cstheme="minorHAnsi"/>
          <w:szCs w:val="26"/>
        </w:rPr>
        <w:t xml:space="preserve"> meaning of this provision, construed in the context of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Pr>
          <w:rFonts w:cstheme="minorHAnsi"/>
          <w:szCs w:val="26"/>
        </w:rPr>
        <w:t xml:space="preserve"> as a whole and in the context of the Penal Code, </w:t>
      </w:r>
      <w:r w:rsidRPr="009C6CB3">
        <w:rPr>
          <w:rFonts w:cstheme="minorHAnsi"/>
          <w:szCs w:val="26"/>
        </w:rPr>
        <w:t xml:space="preserve">bars a conviction for first or second degree murder under a natural and probable consequences theory.  </w:t>
      </w:r>
      <w:r w:rsidRPr="009C6CB3" w:rsidR="00695AE0">
        <w:rPr>
          <w:rFonts w:cstheme="minorHAnsi"/>
          <w:szCs w:val="26"/>
        </w:rPr>
        <w:t>Except for</w:t>
      </w:r>
      <w:r w:rsidRPr="009C6CB3" w:rsidR="003211EA">
        <w:rPr>
          <w:rFonts w:cstheme="minorHAnsi"/>
          <w:szCs w:val="26"/>
        </w:rPr>
        <w:t xml:space="preserve"> </w:t>
      </w:r>
      <w:r w:rsidRPr="009C6CB3" w:rsidR="00642F79">
        <w:rPr>
          <w:rFonts w:cstheme="minorHAnsi"/>
          <w:szCs w:val="26"/>
        </w:rPr>
        <w:t xml:space="preserve">felony murder, </w:t>
      </w:r>
      <w:bookmarkStart w:id="61" w:name="Psych_Cite_52"/>
      <w:r w:rsidRPr="009C6CB3" w:rsidR="00642F79">
        <w:rPr>
          <w:rFonts w:cstheme="minorHAnsi"/>
          <w:szCs w:val="26"/>
        </w:rPr>
        <w:t>s</w:t>
      </w:r>
      <w:r w:rsidRPr="009C6CB3">
        <w:rPr>
          <w:rFonts w:cstheme="minorHAnsi"/>
          <w:szCs w:val="26"/>
        </w:rPr>
        <w:t>ection 188(a)(3)</w:t>
      </w:r>
      <w:bookmarkEnd w:id="61"/>
      <w:r w:rsidRPr="009C6CB3">
        <w:rPr>
          <w:rFonts w:cstheme="minorHAnsi"/>
          <w:szCs w:val="26"/>
        </w:rPr>
        <w:t xml:space="preserve"> makes personally possessing malice aforethought a necessary element of murder</w:t>
      </w:r>
      <w:r w:rsidRPr="009C6CB3" w:rsidR="00F87428">
        <w:rPr>
          <w:rFonts w:cstheme="minorHAnsi"/>
          <w:szCs w:val="26"/>
        </w:rPr>
        <w:t>.  N</w:t>
      </w:r>
      <w:r w:rsidRPr="009C6CB3">
        <w:rPr>
          <w:rFonts w:cstheme="minorHAnsi"/>
          <w:szCs w:val="26"/>
        </w:rPr>
        <w:t xml:space="preserve">atural and probable consequences liability </w:t>
      </w:r>
      <w:r w:rsidRPr="009C6CB3" w:rsidR="0057522A">
        <w:rPr>
          <w:rFonts w:cstheme="minorHAnsi"/>
          <w:szCs w:val="26"/>
        </w:rPr>
        <w:t xml:space="preserve">for murder </w:t>
      </w:r>
      <w:r w:rsidRPr="009C6CB3">
        <w:rPr>
          <w:rFonts w:cstheme="minorHAnsi"/>
          <w:szCs w:val="26"/>
        </w:rPr>
        <w:t>contains no such requirement</w:t>
      </w:r>
      <w:r w:rsidRPr="009C6CB3" w:rsidR="00E0260F">
        <w:rPr>
          <w:rFonts w:cstheme="minorHAnsi"/>
          <w:szCs w:val="26"/>
        </w:rPr>
        <w:t>.</w:t>
      </w:r>
    </w:p>
    <w:p w:rsidR="00834045" w:rsidRPr="009C6CB3" w:rsidP="009C6CB3">
      <w:pPr>
        <w:autoSpaceDE w:val="0"/>
        <w:autoSpaceDN w:val="0"/>
        <w:adjustRightInd w:val="0"/>
        <w:ind w:firstLine="720"/>
        <w:rPr>
          <w:rFonts w:cstheme="minorHAnsi"/>
          <w:szCs w:val="26"/>
        </w:rPr>
      </w:pPr>
      <w:r w:rsidRPr="009C6CB3">
        <w:rPr>
          <w:rFonts w:cstheme="minorHAnsi"/>
          <w:szCs w:val="26"/>
        </w:rPr>
        <w:t xml:space="preserve">The language of </w:t>
      </w:r>
      <w:bookmarkStart w:id="62" w:name="Psych_Cite_54"/>
      <w:r w:rsidRPr="009C6CB3">
        <w:rPr>
          <w:rFonts w:cstheme="minorHAnsi"/>
          <w:szCs w:val="26"/>
        </w:rPr>
        <w:t>section 188(a)(3)</w:t>
      </w:r>
      <w:bookmarkEnd w:id="62"/>
      <w:r w:rsidRPr="009C6CB3">
        <w:rPr>
          <w:rFonts w:cstheme="minorHAnsi"/>
          <w:szCs w:val="26"/>
        </w:rPr>
        <w:t xml:space="preserve"> requires a principal to “act with malice aforethought” in order to be convicted of murder, making no exception for accomplices or second degree murder.  (§ 188(a)(3).)</w:t>
      </w:r>
      <w:r w:rsidRPr="009C6CB3">
        <w:rPr>
          <w:rFonts w:cstheme="minorHAnsi"/>
          <w:szCs w:val="26"/>
        </w:rPr>
        <w:t xml:space="preserve">  </w:t>
      </w:r>
      <w:r w:rsidRPr="009C6CB3" w:rsidR="00467679">
        <w:rPr>
          <w:rFonts w:cstheme="minorHAnsi"/>
          <w:szCs w:val="26"/>
        </w:rPr>
        <w:t>B</w:t>
      </w:r>
      <w:r w:rsidRPr="009C6CB3">
        <w:rPr>
          <w:rFonts w:cstheme="minorHAnsi"/>
          <w:szCs w:val="26"/>
        </w:rPr>
        <w:t>y its terms, section</w:t>
      </w:r>
      <w:r w:rsidR="000D50F5">
        <w:rPr>
          <w:rFonts w:cstheme="minorHAnsi"/>
          <w:szCs w:val="26"/>
        </w:rPr>
        <w:t> </w:t>
      </w:r>
      <w:r w:rsidRPr="009C6CB3">
        <w:rPr>
          <w:rFonts w:cstheme="minorHAnsi"/>
          <w:szCs w:val="26"/>
        </w:rPr>
        <w:t xml:space="preserve">188(a)(3) permits a second degree murder conviction only if the prosecution can prove the </w:t>
      </w:r>
      <w:r w:rsidRPr="009C6CB3" w:rsidR="00C3459E">
        <w:rPr>
          <w:rFonts w:cstheme="minorHAnsi"/>
          <w:szCs w:val="26"/>
        </w:rPr>
        <w:t xml:space="preserve">defendant acted with the accompanying mental state </w:t>
      </w:r>
      <w:r w:rsidRPr="009C6CB3">
        <w:rPr>
          <w:rFonts w:cstheme="minorHAnsi"/>
          <w:szCs w:val="26"/>
        </w:rPr>
        <w:t xml:space="preserve">of mind of malice aforethought.  </w:t>
      </w:r>
      <w:r w:rsidRPr="009C6CB3" w:rsidR="00467679">
        <w:rPr>
          <w:rFonts w:cstheme="minorHAnsi"/>
          <w:szCs w:val="26"/>
        </w:rPr>
        <w:t>T</w:t>
      </w:r>
      <w:r w:rsidRPr="009C6CB3">
        <w:rPr>
          <w:rFonts w:cstheme="minorHAnsi"/>
          <w:szCs w:val="26"/>
        </w:rPr>
        <w:t>he prosecution cannot “</w:t>
      </w:r>
      <w:bookmarkStart w:id="63" w:name="QUOTE_BOOKMARK_IS_CONFIRMED_12"/>
      <w:r w:rsidR="00F82825">
        <w:rPr>
          <w:rFonts w:cstheme="minorHAnsi"/>
          <w:szCs w:val="26"/>
        </w:rPr>
        <w:t>impute[] [malice] to a person based solely on his or her participation in a crime.</w:t>
      </w:r>
      <w:bookmarkEnd w:id="63"/>
      <w:r w:rsidRPr="009C6CB3">
        <w:rPr>
          <w:rFonts w:cstheme="minorHAnsi"/>
          <w:szCs w:val="26"/>
        </w:rPr>
        <w:t>”  (</w:t>
      </w:r>
      <w:bookmarkStart w:id="64" w:name="Psych_Cite_53"/>
      <w:r w:rsidRPr="009C6CB3">
        <w:rPr>
          <w:rFonts w:cstheme="minorHAnsi"/>
          <w:i/>
          <w:szCs w:val="26"/>
        </w:rPr>
        <w:t>Ibid</w:t>
      </w:r>
      <w:r w:rsidRPr="009C6CB3">
        <w:rPr>
          <w:rFonts w:cstheme="minorHAnsi"/>
          <w:szCs w:val="26"/>
        </w:rPr>
        <w:t>.</w:t>
      </w:r>
      <w:bookmarkEnd w:id="64"/>
      <w:r w:rsidRPr="009C6CB3">
        <w:rPr>
          <w:rFonts w:cstheme="minorHAnsi"/>
          <w:szCs w:val="26"/>
        </w:rPr>
        <w:t>)</w:t>
      </w:r>
    </w:p>
    <w:p w:rsidR="00834045" w:rsidRPr="009C6CB3" w:rsidP="009C6CB3">
      <w:pPr>
        <w:autoSpaceDE w:val="0"/>
        <w:autoSpaceDN w:val="0"/>
        <w:adjustRightInd w:val="0"/>
        <w:ind w:firstLine="720"/>
        <w:rPr>
          <w:rFonts w:cstheme="minorHAnsi"/>
          <w:szCs w:val="26"/>
        </w:rPr>
      </w:pPr>
      <w:r w:rsidRPr="009C6CB3">
        <w:rPr>
          <w:rFonts w:cstheme="minorHAnsi"/>
          <w:szCs w:val="26"/>
        </w:rPr>
        <w:t>S</w:t>
      </w:r>
      <w:r w:rsidRPr="009C6CB3" w:rsidR="00B4417A">
        <w:rPr>
          <w:rFonts w:cstheme="minorHAnsi"/>
          <w:szCs w:val="26"/>
        </w:rPr>
        <w:t xml:space="preserve">enate </w:t>
      </w:r>
      <w:r w:rsidRPr="009C6CB3">
        <w:rPr>
          <w:rFonts w:cstheme="minorHAnsi"/>
          <w:szCs w:val="26"/>
        </w:rPr>
        <w:t>B</w:t>
      </w:r>
      <w:r w:rsidRPr="009C6CB3" w:rsidR="00B4417A">
        <w:rPr>
          <w:rFonts w:cstheme="minorHAnsi"/>
          <w:szCs w:val="26"/>
        </w:rPr>
        <w:t>ill</w:t>
      </w:r>
      <w:r w:rsidRPr="009C6CB3">
        <w:rPr>
          <w:rFonts w:cstheme="minorHAnsi"/>
          <w:szCs w:val="26"/>
        </w:rPr>
        <w:t> 1437</w:t>
      </w:r>
      <w:r w:rsidRPr="009C6CB3" w:rsidR="0057439C">
        <w:rPr>
          <w:rFonts w:cstheme="minorHAnsi"/>
          <w:szCs w:val="26"/>
        </w:rPr>
        <w:t xml:space="preserve">’s </w:t>
      </w:r>
      <w:r w:rsidRPr="009C6CB3" w:rsidR="00BD3C1C">
        <w:rPr>
          <w:rFonts w:cstheme="minorHAnsi"/>
          <w:szCs w:val="26"/>
        </w:rPr>
        <w:t>l</w:t>
      </w:r>
      <w:r w:rsidRPr="009C6CB3" w:rsidR="0057439C">
        <w:rPr>
          <w:rFonts w:cstheme="minorHAnsi"/>
          <w:szCs w:val="26"/>
        </w:rPr>
        <w:t>egislative findings confirm this straightforward reading of the statute.  The Legislature state</w:t>
      </w:r>
      <w:r w:rsidRPr="009C6CB3" w:rsidR="00BD3C1C">
        <w:rPr>
          <w:rFonts w:cstheme="minorHAnsi"/>
          <w:szCs w:val="26"/>
        </w:rPr>
        <w:t>d</w:t>
      </w:r>
      <w:r w:rsidRPr="009C6CB3" w:rsidR="0057439C">
        <w:rPr>
          <w:rFonts w:cstheme="minorHAnsi"/>
          <w:szCs w:val="26"/>
        </w:rPr>
        <w:t xml:space="preserve"> a need for “statutory changes to more equitably sentence offenders in accordance with their involvement in homicides.”  (Stats.</w:t>
      </w:r>
      <w:r w:rsidRPr="009C6CB3" w:rsidR="00695AE0">
        <w:rPr>
          <w:rFonts w:cstheme="minorHAnsi"/>
          <w:szCs w:val="26"/>
        </w:rPr>
        <w:t> </w:t>
      </w:r>
      <w:r w:rsidRPr="009C6CB3" w:rsidR="0057439C">
        <w:rPr>
          <w:rFonts w:cstheme="minorHAnsi"/>
          <w:szCs w:val="26"/>
        </w:rPr>
        <w:t>2018, ch.</w:t>
      </w:r>
      <w:r w:rsidRPr="009C6CB3" w:rsidR="00695AE0">
        <w:rPr>
          <w:rFonts w:cstheme="minorHAnsi"/>
          <w:szCs w:val="26"/>
        </w:rPr>
        <w:t> </w:t>
      </w:r>
      <w:r w:rsidRPr="009C6CB3" w:rsidR="0057439C">
        <w:rPr>
          <w:rFonts w:cstheme="minorHAnsi"/>
          <w:szCs w:val="26"/>
        </w:rPr>
        <w:t>1015, § l</w:t>
      </w:r>
      <w:r w:rsidR="00341ECC">
        <w:rPr>
          <w:rFonts w:cstheme="minorHAnsi"/>
          <w:szCs w:val="26"/>
        </w:rPr>
        <w:t>, subd.</w:t>
      </w:r>
      <w:r w:rsidR="00AA462A">
        <w:rPr>
          <w:rFonts w:cstheme="minorHAnsi"/>
          <w:szCs w:val="26"/>
        </w:rPr>
        <w:t> </w:t>
      </w:r>
      <w:r w:rsidRPr="009C6CB3" w:rsidR="0057439C">
        <w:rPr>
          <w:rFonts w:cstheme="minorHAnsi"/>
          <w:szCs w:val="26"/>
        </w:rPr>
        <w:t>(b).)</w:t>
      </w:r>
      <w:r w:rsidRPr="009C6CB3">
        <w:rPr>
          <w:rFonts w:cstheme="minorHAnsi"/>
          <w:szCs w:val="26"/>
        </w:rPr>
        <w:t xml:space="preserve">  </w:t>
      </w:r>
      <w:r w:rsidRPr="009C6CB3" w:rsidR="0057439C">
        <w:rPr>
          <w:rFonts w:cstheme="minorHAnsi"/>
          <w:szCs w:val="26"/>
        </w:rPr>
        <w:t xml:space="preserve">Accordingly, </w:t>
      </w:r>
      <w:r w:rsidRPr="009C6CB3" w:rsidR="00467679">
        <w:rPr>
          <w:rFonts w:cstheme="minorHAnsi"/>
          <w:szCs w:val="26"/>
        </w:rPr>
        <w:t>the Legislature found</w:t>
      </w:r>
      <w:r w:rsidRPr="009C6CB3" w:rsidR="0057439C">
        <w:rPr>
          <w:rFonts w:cstheme="minorHAnsi"/>
          <w:szCs w:val="26"/>
        </w:rPr>
        <w:t xml:space="preserve"> it “necessary to amend the felony murder rule and the natural and probable consequences doctrine, as it relates to murder, to ensure that murder liability is not imposed on a person who is not the actual killer, </w:t>
      </w:r>
      <w:r w:rsidRPr="009C6CB3" w:rsidR="0057439C">
        <w:rPr>
          <w:rFonts w:cstheme="minorHAnsi"/>
          <w:iCs/>
          <w:szCs w:val="26"/>
        </w:rPr>
        <w:t>did not act with the intent to kill</w:t>
      </w:r>
      <w:r w:rsidRPr="009C6CB3" w:rsidR="0057439C">
        <w:rPr>
          <w:rFonts w:cstheme="minorHAnsi"/>
          <w:szCs w:val="26"/>
        </w:rPr>
        <w:t>, or was not a major participant in the underlying felony who acted with reckless indifference to human life.”  (</w:t>
      </w:r>
      <w:bookmarkStart w:id="65" w:name="Psych_Cite_55"/>
      <w:r w:rsidRPr="009C6CB3" w:rsidR="003A02DB">
        <w:rPr>
          <w:rFonts w:cstheme="minorHAnsi"/>
          <w:i/>
          <w:szCs w:val="26"/>
        </w:rPr>
        <w:t>I</w:t>
      </w:r>
      <w:r w:rsidRPr="009C6CB3" w:rsidR="0057439C">
        <w:rPr>
          <w:rFonts w:cstheme="minorHAnsi"/>
          <w:i/>
          <w:szCs w:val="26"/>
        </w:rPr>
        <w:t>d</w:t>
      </w:r>
      <w:r w:rsidRPr="009C6CB3" w:rsidR="0057439C">
        <w:rPr>
          <w:rFonts w:cstheme="minorHAnsi"/>
          <w:szCs w:val="26"/>
        </w:rPr>
        <w:t>.</w:t>
      </w:r>
      <w:r w:rsidRPr="009C6CB3" w:rsidR="003A02DB">
        <w:rPr>
          <w:rFonts w:cstheme="minorHAnsi"/>
          <w:szCs w:val="26"/>
        </w:rPr>
        <w:t>,</w:t>
      </w:r>
      <w:r w:rsidRPr="009C6CB3" w:rsidR="0057439C">
        <w:rPr>
          <w:rFonts w:cstheme="minorHAnsi"/>
          <w:szCs w:val="26"/>
        </w:rPr>
        <w:t xml:space="preserve"> § 1</w:t>
      </w:r>
      <w:r w:rsidR="00E25E0A">
        <w:rPr>
          <w:rFonts w:cstheme="minorHAnsi"/>
          <w:szCs w:val="26"/>
        </w:rPr>
        <w:t>, subd</w:t>
      </w:r>
      <w:bookmarkEnd w:id="65"/>
      <w:r w:rsidR="00E25E0A">
        <w:rPr>
          <w:rFonts w:cstheme="minorHAnsi"/>
          <w:szCs w:val="26"/>
        </w:rPr>
        <w:t xml:space="preserve">. </w:t>
      </w:r>
      <w:r w:rsidRPr="009C6CB3" w:rsidR="0057439C">
        <w:rPr>
          <w:rFonts w:cstheme="minorHAnsi"/>
          <w:szCs w:val="26"/>
        </w:rPr>
        <w:t>(f).)</w:t>
      </w:r>
      <w:r w:rsidRPr="009C6CB3">
        <w:rPr>
          <w:rFonts w:cstheme="minorHAnsi"/>
          <w:szCs w:val="26"/>
        </w:rPr>
        <w:t xml:space="preserve">  </w:t>
      </w:r>
      <w:r w:rsidRPr="009C6CB3" w:rsidR="003A02DB">
        <w:rPr>
          <w:rFonts w:cstheme="minorHAnsi"/>
          <w:szCs w:val="26"/>
        </w:rPr>
        <w:t xml:space="preserve">Critically, </w:t>
      </w:r>
      <w:r w:rsidRPr="009C6CB3" w:rsidR="0057439C">
        <w:rPr>
          <w:rFonts w:cstheme="minorHAnsi"/>
          <w:szCs w:val="26"/>
        </w:rPr>
        <w:t xml:space="preserve">the Legislature </w:t>
      </w:r>
      <w:r w:rsidRPr="009C6CB3" w:rsidR="00906E23">
        <w:rPr>
          <w:rFonts w:cstheme="minorHAnsi"/>
          <w:szCs w:val="26"/>
        </w:rPr>
        <w:t>said that</w:t>
      </w:r>
      <w:r w:rsidRPr="009C6CB3" w:rsidR="0057439C">
        <w:rPr>
          <w:rFonts w:cstheme="minorHAnsi"/>
          <w:szCs w:val="26"/>
        </w:rPr>
        <w:t xml:space="preserve"> </w:t>
      </w:r>
      <w:r w:rsidRPr="009C6CB3" w:rsidR="00906E23">
        <w:rPr>
          <w:rFonts w:cstheme="minorHAnsi"/>
          <w:szCs w:val="26"/>
        </w:rPr>
        <w:t xml:space="preserve">with the exception of the felony murder rule, </w:t>
      </w:r>
      <w:r w:rsidRPr="009C6CB3" w:rsidR="0057439C">
        <w:rPr>
          <w:rFonts w:cstheme="minorHAnsi"/>
          <w:szCs w:val="26"/>
        </w:rPr>
        <w:t>“</w:t>
      </w:r>
      <w:r w:rsidRPr="009C6CB3" w:rsidR="00906E23">
        <w:rPr>
          <w:rFonts w:cstheme="minorHAnsi"/>
          <w:szCs w:val="26"/>
        </w:rPr>
        <w:t>[a]</w:t>
      </w:r>
      <w:r w:rsidRPr="009C6CB3" w:rsidR="0057439C">
        <w:rPr>
          <w:rFonts w:cstheme="minorHAnsi"/>
          <w:szCs w:val="26"/>
        </w:rPr>
        <w:t xml:space="preserve"> person’s culpability for murder must be premised upon that person’s </w:t>
      </w:r>
      <w:r w:rsidRPr="009C6CB3" w:rsidR="0057439C">
        <w:rPr>
          <w:rFonts w:cstheme="minorHAnsi"/>
          <w:i/>
          <w:szCs w:val="26"/>
        </w:rPr>
        <w:t>own</w:t>
      </w:r>
      <w:r w:rsidRPr="009C6CB3" w:rsidR="0057439C">
        <w:rPr>
          <w:rFonts w:cstheme="minorHAnsi"/>
          <w:szCs w:val="26"/>
        </w:rPr>
        <w:t xml:space="preserve"> </w:t>
      </w:r>
      <w:r w:rsidRPr="009C6CB3" w:rsidR="0057439C">
        <w:rPr>
          <w:rFonts w:cstheme="minorHAnsi"/>
          <w:i/>
          <w:szCs w:val="26"/>
        </w:rPr>
        <w:t>actions and subjective mens rea</w:t>
      </w:r>
      <w:r w:rsidRPr="009C6CB3" w:rsidR="0057439C">
        <w:rPr>
          <w:rFonts w:cstheme="minorHAnsi"/>
          <w:szCs w:val="26"/>
        </w:rPr>
        <w:t>.”  (</w:t>
      </w:r>
      <w:bookmarkStart w:id="66" w:name="Psych_Cite_56"/>
      <w:r w:rsidRPr="009C6CB3" w:rsidR="0057439C">
        <w:rPr>
          <w:rFonts w:cstheme="minorHAnsi"/>
          <w:i/>
          <w:szCs w:val="26"/>
        </w:rPr>
        <w:t>Id</w:t>
      </w:r>
      <w:r w:rsidRPr="009C6CB3" w:rsidR="0057439C">
        <w:rPr>
          <w:rFonts w:cstheme="minorHAnsi"/>
          <w:szCs w:val="26"/>
        </w:rPr>
        <w:t>.</w:t>
      </w:r>
      <w:r w:rsidRPr="009C6CB3" w:rsidR="003A02DB">
        <w:rPr>
          <w:rFonts w:cstheme="minorHAnsi"/>
          <w:szCs w:val="26"/>
        </w:rPr>
        <w:t xml:space="preserve">, </w:t>
      </w:r>
      <w:r w:rsidRPr="009C6CB3" w:rsidR="0057439C">
        <w:rPr>
          <w:rFonts w:cstheme="minorHAnsi"/>
          <w:szCs w:val="26"/>
        </w:rPr>
        <w:t>§</w:t>
      </w:r>
      <w:r w:rsidRPr="009C6CB3" w:rsidR="003A02DB">
        <w:rPr>
          <w:rFonts w:cstheme="minorHAnsi"/>
          <w:szCs w:val="26"/>
        </w:rPr>
        <w:t> </w:t>
      </w:r>
      <w:r w:rsidRPr="009C6CB3" w:rsidR="0057439C">
        <w:rPr>
          <w:rFonts w:cstheme="minorHAnsi"/>
          <w:szCs w:val="26"/>
        </w:rPr>
        <w:t>l</w:t>
      </w:r>
      <w:bookmarkEnd w:id="66"/>
      <w:r w:rsidR="00655516">
        <w:rPr>
          <w:rFonts w:cstheme="minorHAnsi"/>
          <w:szCs w:val="26"/>
        </w:rPr>
        <w:t xml:space="preserve">, subd. </w:t>
      </w:r>
      <w:r w:rsidRPr="009C6CB3" w:rsidR="0057439C">
        <w:rPr>
          <w:rFonts w:cstheme="minorHAnsi"/>
          <w:szCs w:val="26"/>
        </w:rPr>
        <w:t>(g), italics added.)</w:t>
      </w:r>
      <w:r w:rsidRPr="009C6CB3">
        <w:rPr>
          <w:rFonts w:cstheme="minorHAnsi"/>
          <w:szCs w:val="26"/>
        </w:rPr>
        <w:t xml:space="preserve">  </w:t>
      </w:r>
      <w:r w:rsidRPr="009C6CB3" w:rsidR="0057439C">
        <w:rPr>
          <w:rFonts w:cstheme="minorHAnsi"/>
          <w:szCs w:val="26"/>
        </w:rPr>
        <w:t>These findings</w:t>
      </w:r>
      <w:r w:rsidRPr="009C6CB3" w:rsidR="0012771A">
        <w:rPr>
          <w:rFonts w:cstheme="minorHAnsi"/>
          <w:szCs w:val="26"/>
        </w:rPr>
        <w:t xml:space="preserve">, </w:t>
      </w:r>
      <w:r w:rsidRPr="009C6CB3" w:rsidR="00B47A04">
        <w:rPr>
          <w:rFonts w:cstheme="minorHAnsi"/>
          <w:szCs w:val="26"/>
        </w:rPr>
        <w:t>like</w:t>
      </w:r>
      <w:r w:rsidRPr="009C6CB3" w:rsidR="0012771A">
        <w:rPr>
          <w:rFonts w:cstheme="minorHAnsi"/>
          <w:szCs w:val="26"/>
        </w:rPr>
        <w:t xml:space="preserve"> the </w:t>
      </w:r>
      <w:r w:rsidRPr="009C6CB3" w:rsidR="00B47A04">
        <w:rPr>
          <w:rFonts w:cstheme="minorHAnsi"/>
          <w:szCs w:val="26"/>
        </w:rPr>
        <w:t xml:space="preserve">text of the </w:t>
      </w:r>
      <w:r w:rsidRPr="009C6CB3" w:rsidR="0012771A">
        <w:rPr>
          <w:rFonts w:cstheme="minorHAnsi"/>
          <w:szCs w:val="26"/>
        </w:rPr>
        <w:t>statut</w:t>
      </w:r>
      <w:r w:rsidRPr="009C6CB3" w:rsidR="00B47A04">
        <w:rPr>
          <w:rFonts w:cstheme="minorHAnsi"/>
          <w:szCs w:val="26"/>
        </w:rPr>
        <w:t>e</w:t>
      </w:r>
      <w:r w:rsidRPr="009C6CB3" w:rsidR="0012771A">
        <w:rPr>
          <w:rFonts w:cstheme="minorHAnsi"/>
          <w:szCs w:val="26"/>
        </w:rPr>
        <w:t>,</w:t>
      </w:r>
      <w:r w:rsidRPr="009C6CB3" w:rsidR="0057439C">
        <w:rPr>
          <w:rFonts w:cstheme="minorHAnsi"/>
          <w:szCs w:val="26"/>
        </w:rPr>
        <w:t xml:space="preserve"> clearly indicate </w:t>
      </w:r>
      <w:r w:rsidR="00820E99">
        <w:rPr>
          <w:rFonts w:cstheme="minorHAnsi"/>
          <w:szCs w:val="26"/>
        </w:rPr>
        <w:t xml:space="preserve">that </w:t>
      </w:r>
      <w:r w:rsidRPr="009C6CB3" w:rsidR="0057439C">
        <w:rPr>
          <w:rFonts w:cstheme="minorHAnsi"/>
          <w:szCs w:val="26"/>
        </w:rPr>
        <w:t xml:space="preserve">the Legislature intended to restrict culpability for murder </w:t>
      </w:r>
      <w:r w:rsidRPr="009C6CB3" w:rsidR="00906E23">
        <w:rPr>
          <w:rFonts w:cstheme="minorHAnsi"/>
          <w:szCs w:val="26"/>
        </w:rPr>
        <w:t xml:space="preserve">outside the felony murder rule </w:t>
      </w:r>
      <w:r w:rsidRPr="009C6CB3" w:rsidR="0057439C">
        <w:rPr>
          <w:rFonts w:cstheme="minorHAnsi"/>
          <w:szCs w:val="26"/>
        </w:rPr>
        <w:t xml:space="preserve">to </w:t>
      </w:r>
      <w:r w:rsidRPr="009C6CB3" w:rsidR="00906E23">
        <w:rPr>
          <w:rFonts w:cstheme="minorHAnsi"/>
          <w:szCs w:val="26"/>
        </w:rPr>
        <w:t>persons</w:t>
      </w:r>
      <w:r w:rsidRPr="009C6CB3" w:rsidR="0057439C">
        <w:rPr>
          <w:rFonts w:cstheme="minorHAnsi"/>
          <w:szCs w:val="26"/>
        </w:rPr>
        <w:t xml:space="preserve"> who personally possess malice aforethought</w:t>
      </w:r>
      <w:r w:rsidRPr="009C6CB3" w:rsidR="00401F32">
        <w:rPr>
          <w:rFonts w:cstheme="minorHAnsi"/>
          <w:szCs w:val="26"/>
        </w:rPr>
        <w:t>.</w:t>
      </w:r>
    </w:p>
    <w:p w:rsidR="00834045" w:rsidRPr="009C6CB3" w:rsidP="009C6CB3">
      <w:pPr>
        <w:autoSpaceDE w:val="0"/>
        <w:autoSpaceDN w:val="0"/>
        <w:adjustRightInd w:val="0"/>
        <w:ind w:firstLine="720"/>
        <w:rPr>
          <w:rFonts w:cstheme="minorHAnsi"/>
          <w:szCs w:val="26"/>
        </w:rPr>
      </w:pPr>
      <w:r w:rsidRPr="009C6CB3">
        <w:rPr>
          <w:rFonts w:cstheme="minorHAnsi"/>
          <w:szCs w:val="26"/>
        </w:rPr>
        <w:t>The natural and probable consequences doctrine is incompatible with this requirement</w:t>
      </w:r>
      <w:r w:rsidRPr="009C6CB3" w:rsidR="00C24FEE">
        <w:rPr>
          <w:rFonts w:cstheme="minorHAnsi"/>
          <w:szCs w:val="26"/>
        </w:rPr>
        <w:t xml:space="preserve"> because</w:t>
      </w:r>
      <w:r w:rsidRPr="009C6CB3">
        <w:rPr>
          <w:rFonts w:cstheme="minorHAnsi"/>
          <w:szCs w:val="26"/>
        </w:rPr>
        <w:t xml:space="preserve"> </w:t>
      </w:r>
      <w:r w:rsidRPr="009C6CB3" w:rsidR="00C24FEE">
        <w:rPr>
          <w:rFonts w:cstheme="minorHAnsi"/>
          <w:szCs w:val="26"/>
        </w:rPr>
        <w:t>a</w:t>
      </w:r>
      <w:r w:rsidRPr="009C6CB3">
        <w:rPr>
          <w:rFonts w:cstheme="minorHAnsi"/>
          <w:szCs w:val="26"/>
        </w:rPr>
        <w:t>n aider and abettor need not personally possess malice</w:t>
      </w:r>
      <w:r w:rsidRPr="009C6CB3" w:rsidR="00196803">
        <w:rPr>
          <w:rFonts w:cstheme="minorHAnsi"/>
          <w:szCs w:val="26"/>
        </w:rPr>
        <w:t>, express or implied,</w:t>
      </w:r>
      <w:r w:rsidRPr="009C6CB3">
        <w:rPr>
          <w:rFonts w:cstheme="minorHAnsi"/>
          <w:szCs w:val="26"/>
        </w:rPr>
        <w:t xml:space="preserve"> to be convicted of second degree murder under a natural and probable consequences theory.  (</w:t>
      </w:r>
      <w:bookmarkStart w:id="67" w:name="Psych_Cite_57"/>
      <w:r w:rsidRPr="009C6CB3">
        <w:rPr>
          <w:rFonts w:cstheme="minorHAnsi"/>
          <w:szCs w:val="26"/>
        </w:rPr>
        <w:t>See</w:t>
      </w:r>
      <w:r w:rsidRPr="009C6CB3" w:rsidR="00C24FEE">
        <w:rPr>
          <w:rFonts w:cstheme="minorHAnsi"/>
          <w:szCs w:val="26"/>
        </w:rPr>
        <w:t xml:space="preserve"> </w:t>
      </w:r>
      <w:r w:rsidRPr="009C6CB3" w:rsidR="00C24FEE">
        <w:rPr>
          <w:rFonts w:cstheme="minorHAnsi"/>
          <w:i/>
          <w:szCs w:val="26"/>
        </w:rPr>
        <w:t>Chiu</w:t>
      </w:r>
      <w:r w:rsidRPr="009C6CB3" w:rsidR="00C24FEE">
        <w:rPr>
          <w:rFonts w:cstheme="minorHAnsi"/>
          <w:szCs w:val="26"/>
        </w:rPr>
        <w:t xml:space="preserve">, </w:t>
      </w:r>
      <w:r w:rsidRPr="009C6CB3" w:rsidR="00C24FEE">
        <w:rPr>
          <w:rFonts w:cstheme="minorHAnsi"/>
          <w:i/>
          <w:szCs w:val="26"/>
        </w:rPr>
        <w:t>supra</w:t>
      </w:r>
      <w:r w:rsidRPr="009C6CB3" w:rsidR="00C24FEE">
        <w:rPr>
          <w:rFonts w:cstheme="minorHAnsi"/>
          <w:szCs w:val="26"/>
        </w:rPr>
        <w:t>, 59 Cal.4th at p. 164 [“</w:t>
      </w:r>
      <w:bookmarkStart w:id="68" w:name="QUOTE_BOOKMARK_IS_CONFIRMED_13"/>
      <w:r w:rsidR="002E55A7">
        <w:rPr>
          <w:rFonts w:cstheme="minorHAnsi"/>
          <w:szCs w:val="26"/>
        </w:rPr>
        <w:t> </w:t>
      </w:r>
      <w:r w:rsidR="00F82825">
        <w:rPr>
          <w:rFonts w:cstheme="minorHAnsi"/>
          <w:szCs w:val="26"/>
        </w:rPr>
        <w:t>‘the mens rea of the aider and abettor with respect to [the nontarget] offense is irrelevant’</w:t>
      </w:r>
      <w:bookmarkEnd w:id="68"/>
      <w:r w:rsidR="002E55A7">
        <w:rPr>
          <w:rFonts w:cstheme="minorHAnsi"/>
          <w:szCs w:val="26"/>
        </w:rPr>
        <w:t> </w:t>
      </w:r>
      <w:r w:rsidRPr="009C6CB3" w:rsidR="00C24FEE">
        <w:rPr>
          <w:rFonts w:cstheme="minorHAnsi"/>
          <w:szCs w:val="26"/>
        </w:rPr>
        <w:t>”]</w:t>
      </w:r>
      <w:bookmarkEnd w:id="67"/>
      <w:r w:rsidRPr="009C6CB3" w:rsidR="003211EA">
        <w:rPr>
          <w:rFonts w:cstheme="minorHAnsi"/>
          <w:szCs w:val="26"/>
        </w:rPr>
        <w:t>;</w:t>
      </w:r>
      <w:r w:rsidRPr="009C6CB3">
        <w:rPr>
          <w:rFonts w:cstheme="minorHAnsi"/>
          <w:szCs w:val="26"/>
        </w:rPr>
        <w:t xml:space="preserve"> </w:t>
      </w:r>
      <w:bookmarkStart w:id="69" w:name="Psych_Cite_58"/>
      <w:r w:rsidRPr="009C6CB3">
        <w:rPr>
          <w:rFonts w:cstheme="minorHAnsi"/>
          <w:i/>
          <w:szCs w:val="26"/>
        </w:rPr>
        <w:t>People v. Culuko</w:t>
      </w:r>
      <w:r w:rsidRPr="009C6CB3">
        <w:rPr>
          <w:rFonts w:cstheme="minorHAnsi"/>
          <w:szCs w:val="26"/>
        </w:rPr>
        <w:t xml:space="preserve"> (2000) 78 Cal.App.4th 307, 322 [“The natural and probable consequences doctrine . . . allows an aider and abettor to be convicted of murder, without malice</w:t>
      </w:r>
      <w:r w:rsidR="001B78B1">
        <w:rPr>
          <w:rFonts w:cstheme="minorHAnsi"/>
          <w:szCs w:val="26"/>
        </w:rPr>
        <w:t xml:space="preserve"> </w:t>
      </w:r>
      <w:r w:rsidRPr="009C6CB3">
        <w:rPr>
          <w:rFonts w:cstheme="minorHAnsi"/>
          <w:szCs w:val="26"/>
        </w:rPr>
        <w:t>.</w:t>
      </w:r>
      <w:r w:rsidR="001B78B1">
        <w:rPr>
          <w:rFonts w:cstheme="minorHAnsi"/>
          <w:szCs w:val="26"/>
        </w:rPr>
        <w:t xml:space="preserve"> . . .</w:t>
      </w:r>
      <w:r w:rsidRPr="009C6CB3">
        <w:rPr>
          <w:rFonts w:cstheme="minorHAnsi"/>
          <w:szCs w:val="26"/>
        </w:rPr>
        <w:t>”].)</w:t>
      </w:r>
      <w:bookmarkEnd w:id="69"/>
      <w:r w:rsidRPr="009C6CB3">
        <w:rPr>
          <w:rFonts w:cstheme="minorHAnsi"/>
          <w:szCs w:val="26"/>
        </w:rPr>
        <w:t xml:space="preserve">  </w:t>
      </w:r>
      <w:r w:rsidRPr="009C6CB3" w:rsidR="00C24FEE">
        <w:rPr>
          <w:rFonts w:cstheme="minorHAnsi"/>
          <w:szCs w:val="26"/>
        </w:rPr>
        <w:t>Indeed</w:t>
      </w:r>
      <w:r w:rsidRPr="009C6CB3">
        <w:rPr>
          <w:rFonts w:cstheme="minorHAnsi"/>
          <w:szCs w:val="26"/>
        </w:rPr>
        <w:t xml:space="preserve">, the natural and probable consequences doctrine </w:t>
      </w:r>
      <w:r w:rsidRPr="009C6CB3" w:rsidR="00C24FEE">
        <w:rPr>
          <w:rFonts w:cstheme="minorHAnsi"/>
          <w:szCs w:val="26"/>
        </w:rPr>
        <w:t xml:space="preserve">authorizes </w:t>
      </w:r>
      <w:r w:rsidRPr="009C6CB3">
        <w:rPr>
          <w:rFonts w:cstheme="minorHAnsi"/>
          <w:szCs w:val="26"/>
        </w:rPr>
        <w:t xml:space="preserve">precisely what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Pr>
          <w:rFonts w:cstheme="minorHAnsi"/>
          <w:szCs w:val="26"/>
        </w:rPr>
        <w:t xml:space="preserve"> forbids</w:t>
      </w:r>
      <w:r w:rsidRPr="009C6CB3" w:rsidR="00C24FEE">
        <w:rPr>
          <w:rFonts w:cstheme="minorHAnsi"/>
          <w:szCs w:val="26"/>
        </w:rPr>
        <w:t>:</w:t>
      </w:r>
      <w:r w:rsidRPr="009C6CB3">
        <w:rPr>
          <w:rFonts w:cstheme="minorHAnsi"/>
          <w:szCs w:val="26"/>
        </w:rPr>
        <w:t xml:space="preserve"> </w:t>
      </w:r>
      <w:r w:rsidRPr="009C6CB3" w:rsidR="00C24FEE">
        <w:rPr>
          <w:rFonts w:cstheme="minorHAnsi"/>
          <w:szCs w:val="26"/>
        </w:rPr>
        <w:t xml:space="preserve"> </w:t>
      </w:r>
      <w:r w:rsidRPr="009C6CB3">
        <w:rPr>
          <w:rFonts w:cstheme="minorHAnsi"/>
          <w:szCs w:val="26"/>
        </w:rPr>
        <w:t xml:space="preserve">it </w:t>
      </w:r>
      <w:r w:rsidRPr="009C6CB3" w:rsidR="00C24FEE">
        <w:rPr>
          <w:rFonts w:cstheme="minorHAnsi"/>
          <w:szCs w:val="26"/>
        </w:rPr>
        <w:t xml:space="preserve">allows a factfinder to </w:t>
      </w:r>
      <w:r w:rsidRPr="009C6CB3">
        <w:rPr>
          <w:rFonts w:cstheme="minorHAnsi"/>
          <w:szCs w:val="26"/>
        </w:rPr>
        <w:t>impute malice “to a person based solely on his or her participation in a crime.”  (§ 188(a)(3).)</w:t>
      </w:r>
      <w:r w:rsidRPr="009C6CB3">
        <w:rPr>
          <w:rFonts w:cstheme="minorHAnsi"/>
          <w:szCs w:val="26"/>
        </w:rPr>
        <w:t xml:space="preserve">  </w:t>
      </w:r>
      <w:r w:rsidRPr="009C6CB3">
        <w:rPr>
          <w:rFonts w:cstheme="minorHAnsi"/>
          <w:szCs w:val="26"/>
        </w:rPr>
        <w:t>Under the doctrine</w:t>
      </w:r>
      <w:r w:rsidRPr="009C6CB3" w:rsidR="00644050">
        <w:rPr>
          <w:rFonts w:cstheme="minorHAnsi"/>
          <w:szCs w:val="26"/>
        </w:rPr>
        <w:t>,</w:t>
      </w:r>
      <w:r w:rsidRPr="009C6CB3">
        <w:rPr>
          <w:rFonts w:cstheme="minorHAnsi"/>
          <w:szCs w:val="26"/>
        </w:rPr>
        <w:t xml:space="preserve"> </w:t>
      </w:r>
      <w:r w:rsidRPr="009C6CB3" w:rsidR="00644050">
        <w:rPr>
          <w:rFonts w:cstheme="minorHAnsi"/>
          <w:szCs w:val="26"/>
        </w:rPr>
        <w:t>“individuals lacking the mens rea and culpability for murder [are] punished as if they were the ones who committed the fatal act.”  (Sen</w:t>
      </w:r>
      <w:r w:rsidR="00431248">
        <w:rPr>
          <w:rFonts w:cstheme="minorHAnsi"/>
          <w:szCs w:val="26"/>
        </w:rPr>
        <w:t>.</w:t>
      </w:r>
      <w:r w:rsidRPr="009C6CB3" w:rsidR="00644050">
        <w:rPr>
          <w:rFonts w:cstheme="minorHAnsi"/>
          <w:szCs w:val="26"/>
        </w:rPr>
        <w:t xml:space="preserve"> Conc</w:t>
      </w:r>
      <w:r w:rsidR="00431248">
        <w:rPr>
          <w:rFonts w:cstheme="minorHAnsi"/>
          <w:szCs w:val="26"/>
        </w:rPr>
        <w:t>.</w:t>
      </w:r>
      <w:r w:rsidRPr="009C6CB3" w:rsidR="00644050">
        <w:rPr>
          <w:rFonts w:cstheme="minorHAnsi"/>
          <w:szCs w:val="26"/>
        </w:rPr>
        <w:t xml:space="preserve"> Res</w:t>
      </w:r>
      <w:r w:rsidR="00431248">
        <w:rPr>
          <w:rFonts w:cstheme="minorHAnsi"/>
          <w:szCs w:val="26"/>
        </w:rPr>
        <w:t>.</w:t>
      </w:r>
      <w:r w:rsidRPr="009C6CB3" w:rsidR="00644050">
        <w:rPr>
          <w:rFonts w:cstheme="minorHAnsi"/>
          <w:szCs w:val="26"/>
        </w:rPr>
        <w:t xml:space="preserve"> 48, </w:t>
      </w:r>
      <w:r w:rsidRPr="009C6CB3" w:rsidR="00644050">
        <w:rPr>
          <w:rFonts w:cstheme="minorHAnsi"/>
          <w:i/>
          <w:szCs w:val="26"/>
        </w:rPr>
        <w:t>supra</w:t>
      </w:r>
      <w:r w:rsidRPr="009C6CB3" w:rsidR="00644050">
        <w:rPr>
          <w:rFonts w:cstheme="minorHAnsi"/>
          <w:szCs w:val="26"/>
        </w:rPr>
        <w:t>.)</w:t>
      </w:r>
    </w:p>
    <w:p w:rsidR="00E52F2C" w:rsidRPr="009C6CB3" w:rsidP="009C6CB3">
      <w:pPr>
        <w:autoSpaceDE w:val="0"/>
        <w:autoSpaceDN w:val="0"/>
        <w:adjustRightInd w:val="0"/>
        <w:ind w:firstLine="720"/>
        <w:rPr>
          <w:rFonts w:cstheme="minorHAnsi"/>
          <w:szCs w:val="26"/>
        </w:rPr>
      </w:pPr>
      <w:r>
        <w:rPr>
          <w:rFonts w:cstheme="minorHAnsi"/>
          <w:szCs w:val="26"/>
        </w:rPr>
        <w:t>Further, we observe that i</w:t>
      </w:r>
      <w:r w:rsidRPr="009C6CB3" w:rsidR="0057439C">
        <w:rPr>
          <w:rFonts w:cstheme="minorHAnsi"/>
          <w:szCs w:val="26"/>
        </w:rPr>
        <w:t xml:space="preserve">n addition to amending the substantive law of murder,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sidR="0057439C">
        <w:rPr>
          <w:rFonts w:cstheme="minorHAnsi"/>
          <w:szCs w:val="26"/>
        </w:rPr>
        <w:t xml:space="preserve"> provide</w:t>
      </w:r>
      <w:r w:rsidRPr="009C6CB3" w:rsidR="00644050">
        <w:rPr>
          <w:rFonts w:cstheme="minorHAnsi"/>
          <w:szCs w:val="26"/>
        </w:rPr>
        <w:t>d</w:t>
      </w:r>
      <w:r w:rsidRPr="009C6CB3" w:rsidR="0057439C">
        <w:rPr>
          <w:rFonts w:cstheme="minorHAnsi"/>
          <w:szCs w:val="26"/>
        </w:rPr>
        <w:t xml:space="preserve"> a procedure for defendants with eligible murder convictions to petition </w:t>
      </w:r>
      <w:r w:rsidRPr="009C6CB3" w:rsidR="00644050">
        <w:rPr>
          <w:rFonts w:cstheme="minorHAnsi"/>
          <w:szCs w:val="26"/>
        </w:rPr>
        <w:t>to have their convictions vacated</w:t>
      </w:r>
      <w:r w:rsidRPr="009C6CB3">
        <w:rPr>
          <w:rFonts w:cstheme="minorHAnsi"/>
          <w:szCs w:val="26"/>
        </w:rPr>
        <w:t xml:space="preserve"> through the trial court</w:t>
      </w:r>
      <w:r w:rsidRPr="009C6CB3" w:rsidR="00644050">
        <w:rPr>
          <w:rFonts w:cstheme="minorHAnsi"/>
          <w:szCs w:val="26"/>
        </w:rPr>
        <w:t xml:space="preserve">.  (§ 1170.95.)  </w:t>
      </w:r>
      <w:r w:rsidRPr="009C6CB3" w:rsidR="0057439C">
        <w:rPr>
          <w:rFonts w:cstheme="minorHAnsi"/>
          <w:szCs w:val="26"/>
        </w:rPr>
        <w:t xml:space="preserve">This procedure expressly contemplates that defendants convicted of second degree murder can avail themselves of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sidR="0057439C">
        <w:rPr>
          <w:rFonts w:cstheme="minorHAnsi"/>
          <w:szCs w:val="26"/>
        </w:rPr>
        <w:t>’s ameliorative provisions.</w:t>
      </w:r>
      <w:r w:rsidRPr="009C6CB3" w:rsidR="00834045">
        <w:rPr>
          <w:rFonts w:cstheme="minorHAnsi"/>
          <w:szCs w:val="26"/>
        </w:rPr>
        <w:t xml:space="preserve">  </w:t>
      </w:r>
      <w:r w:rsidRPr="009C6CB3" w:rsidR="0057439C">
        <w:rPr>
          <w:rFonts w:cstheme="minorHAnsi"/>
          <w:szCs w:val="26"/>
        </w:rPr>
        <w:t xml:space="preserve">Under </w:t>
      </w:r>
      <w:bookmarkStart w:id="70" w:name="Psych_Cite_60"/>
      <w:r w:rsidRPr="009C6CB3" w:rsidR="0057439C">
        <w:rPr>
          <w:rFonts w:cstheme="minorHAnsi"/>
          <w:szCs w:val="26"/>
        </w:rPr>
        <w:t>section 1170.95</w:t>
      </w:r>
      <w:bookmarkEnd w:id="70"/>
      <w:r w:rsidRPr="009C6CB3" w:rsidR="0057439C">
        <w:rPr>
          <w:rFonts w:cstheme="minorHAnsi"/>
          <w:szCs w:val="26"/>
        </w:rPr>
        <w:t>, a defendant may petition to have his or her conviction vacated when, among other conditions, the following apply</w:t>
      </w:r>
      <w:r w:rsidRPr="009C6CB3" w:rsidR="00834045">
        <w:rPr>
          <w:rFonts w:cstheme="minorHAnsi"/>
          <w:szCs w:val="26"/>
        </w:rPr>
        <w:t xml:space="preserve">:  </w:t>
      </w:r>
      <w:r w:rsidRPr="009C6CB3" w:rsidR="0057439C">
        <w:rPr>
          <w:rFonts w:cstheme="minorHAnsi"/>
          <w:szCs w:val="26"/>
        </w:rPr>
        <w:t>“</w:t>
      </w:r>
      <w:bookmarkStart w:id="71" w:name="QUOTE_BOOKMARK_IS_CONFIRMED_14"/>
      <w:r w:rsidR="00F82825">
        <w:rPr>
          <w:rFonts w:cstheme="minorHAnsi"/>
          <w:szCs w:val="26"/>
        </w:rPr>
        <w:t>The petitioner was convicted of first degree or second degree murder following a trial or accepted a plea offer in lieu of a trial at which the petitioner could be convicted for first degree or second degree murder</w:t>
      </w:r>
      <w:bookmarkEnd w:id="71"/>
      <w:r w:rsidRPr="009C6CB3" w:rsidR="0057439C">
        <w:rPr>
          <w:rFonts w:cstheme="minorHAnsi"/>
          <w:szCs w:val="26"/>
        </w:rPr>
        <w:t>” (§ 1170.95, subd. (a)(2))</w:t>
      </w:r>
      <w:r w:rsidRPr="009C6CB3" w:rsidR="00C24FEE">
        <w:rPr>
          <w:rFonts w:cstheme="minorHAnsi"/>
          <w:szCs w:val="26"/>
        </w:rPr>
        <w:t>,</w:t>
      </w:r>
      <w:r w:rsidRPr="009C6CB3" w:rsidR="00644050">
        <w:rPr>
          <w:rFonts w:cstheme="minorHAnsi"/>
          <w:szCs w:val="26"/>
        </w:rPr>
        <w:t xml:space="preserve"> and </w:t>
      </w:r>
      <w:r w:rsidRPr="009C6CB3" w:rsidR="0057439C">
        <w:rPr>
          <w:rFonts w:cstheme="minorHAnsi"/>
          <w:szCs w:val="26"/>
        </w:rPr>
        <w:t>“</w:t>
      </w:r>
      <w:r w:rsidRPr="009C6CB3" w:rsidR="00644050">
        <w:rPr>
          <w:rFonts w:cstheme="minorHAnsi"/>
          <w:szCs w:val="26"/>
        </w:rPr>
        <w:t>[t]</w:t>
      </w:r>
      <w:r w:rsidRPr="009C6CB3" w:rsidR="0057439C">
        <w:rPr>
          <w:rFonts w:cstheme="minorHAnsi"/>
          <w:szCs w:val="26"/>
        </w:rPr>
        <w:t xml:space="preserve">he petitioner could not be convicted of first or </w:t>
      </w:r>
      <w:r w:rsidRPr="009A4B48" w:rsidR="0057439C">
        <w:rPr>
          <w:rFonts w:cstheme="minorHAnsi"/>
          <w:szCs w:val="26"/>
        </w:rPr>
        <w:t>second degree murder</w:t>
      </w:r>
      <w:r w:rsidRPr="009C6CB3" w:rsidR="0057439C">
        <w:rPr>
          <w:rFonts w:cstheme="minorHAnsi"/>
          <w:i/>
          <w:szCs w:val="26"/>
        </w:rPr>
        <w:t xml:space="preserve"> </w:t>
      </w:r>
      <w:r w:rsidRPr="009C6CB3" w:rsidR="0057439C">
        <w:rPr>
          <w:rFonts w:cstheme="minorHAnsi"/>
          <w:szCs w:val="26"/>
        </w:rPr>
        <w:t xml:space="preserve">because of changes to </w:t>
      </w:r>
      <w:bookmarkStart w:id="72" w:name="Psych_Cite_61"/>
      <w:r w:rsidRPr="009C6CB3" w:rsidR="0057439C">
        <w:rPr>
          <w:rFonts w:cstheme="minorHAnsi"/>
          <w:szCs w:val="26"/>
        </w:rPr>
        <w:t>Section 188</w:t>
      </w:r>
      <w:bookmarkEnd w:id="72"/>
      <w:r w:rsidRPr="009C6CB3" w:rsidR="0057439C">
        <w:rPr>
          <w:rFonts w:cstheme="minorHAnsi"/>
          <w:szCs w:val="26"/>
        </w:rPr>
        <w:t xml:space="preserve"> or 189 made effective January</w:t>
      </w:r>
      <w:r w:rsidR="00FB65BB">
        <w:rPr>
          <w:rFonts w:cstheme="minorHAnsi"/>
          <w:szCs w:val="26"/>
        </w:rPr>
        <w:t> </w:t>
      </w:r>
      <w:r w:rsidRPr="009C6CB3" w:rsidR="0057439C">
        <w:rPr>
          <w:rFonts w:cstheme="minorHAnsi"/>
          <w:szCs w:val="26"/>
        </w:rPr>
        <w:t>1, 2019” (§ 1170.95, subd. (a)(3))</w:t>
      </w:r>
      <w:r w:rsidRPr="009C6CB3" w:rsidR="00644050">
        <w:rPr>
          <w:rFonts w:cstheme="minorHAnsi"/>
          <w:szCs w:val="26"/>
        </w:rPr>
        <w:t>.</w:t>
      </w:r>
      <w:r w:rsidRPr="009C6CB3" w:rsidR="00834045">
        <w:rPr>
          <w:rFonts w:cstheme="minorHAnsi"/>
          <w:szCs w:val="26"/>
        </w:rPr>
        <w:t xml:space="preserve">  </w:t>
      </w:r>
      <w:r w:rsidRPr="009C6CB3" w:rsidR="0057439C">
        <w:rPr>
          <w:rFonts w:cstheme="minorHAnsi"/>
          <w:szCs w:val="26"/>
        </w:rPr>
        <w:t xml:space="preserve">If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sidR="0057439C">
        <w:rPr>
          <w:rFonts w:cstheme="minorHAnsi"/>
          <w:szCs w:val="26"/>
        </w:rPr>
        <w:t xml:space="preserve"> </w:t>
      </w:r>
      <w:r w:rsidRPr="009C6CB3" w:rsidR="00C24FEE">
        <w:rPr>
          <w:rFonts w:cstheme="minorHAnsi"/>
          <w:szCs w:val="26"/>
        </w:rPr>
        <w:t>were inapplicable</w:t>
      </w:r>
      <w:r w:rsidRPr="009C6CB3" w:rsidR="0057439C">
        <w:rPr>
          <w:rFonts w:cstheme="minorHAnsi"/>
          <w:szCs w:val="26"/>
        </w:rPr>
        <w:t xml:space="preserve"> to second degree murder, there would have been no need to include second degree murder among the convictions eligible for relief under </w:t>
      </w:r>
      <w:bookmarkStart w:id="73" w:name="Psych_Cite_62"/>
      <w:r w:rsidRPr="009C6CB3" w:rsidR="0057439C">
        <w:rPr>
          <w:rFonts w:cstheme="minorHAnsi"/>
          <w:szCs w:val="26"/>
        </w:rPr>
        <w:t>section 1170.95</w:t>
      </w:r>
      <w:bookmarkEnd w:id="73"/>
      <w:r w:rsidRPr="009C6CB3">
        <w:rPr>
          <w:rFonts w:cstheme="minorHAnsi"/>
          <w:szCs w:val="26"/>
        </w:rPr>
        <w:t>.</w:t>
      </w:r>
    </w:p>
    <w:p w:rsidR="00834045" w:rsidRPr="009C6CB3" w:rsidP="009C6CB3">
      <w:pPr>
        <w:autoSpaceDE w:val="0"/>
        <w:autoSpaceDN w:val="0"/>
        <w:adjustRightInd w:val="0"/>
        <w:ind w:firstLine="720"/>
        <w:rPr>
          <w:rFonts w:cstheme="minorHAnsi"/>
          <w:szCs w:val="26"/>
        </w:rPr>
      </w:pPr>
      <w:r w:rsidRPr="009C6CB3">
        <w:rPr>
          <w:rFonts w:cstheme="minorHAnsi"/>
          <w:szCs w:val="26"/>
        </w:rPr>
        <w:t xml:space="preserve">Apart from the Court of Appeal decision in this case, every published Court of Appeal opinion to address the issue has concluded that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Pr>
          <w:rFonts w:cstheme="minorHAnsi"/>
          <w:szCs w:val="26"/>
        </w:rPr>
        <w:t xml:space="preserve"> eliminates natural and probable consequences liability for murder regardless of degree.</w:t>
      </w:r>
      <w:r w:rsidRPr="009C6CB3">
        <w:rPr>
          <w:rFonts w:cstheme="minorHAnsi"/>
          <w:szCs w:val="26"/>
        </w:rPr>
        <w:t xml:space="preserve">  (</w:t>
      </w:r>
      <w:bookmarkStart w:id="74" w:name="Psych_Cite_63"/>
      <w:r w:rsidRPr="009C6CB3">
        <w:rPr>
          <w:rFonts w:cstheme="minorHAnsi"/>
          <w:szCs w:val="26"/>
        </w:rPr>
        <w:t>See</w:t>
      </w:r>
      <w:r w:rsidRPr="009C6CB3" w:rsidR="0064581D">
        <w:rPr>
          <w:rFonts w:cstheme="minorHAnsi"/>
          <w:szCs w:val="26"/>
        </w:rPr>
        <w:t>, e.g.,</w:t>
      </w:r>
      <w:r w:rsidRPr="009C6CB3">
        <w:rPr>
          <w:rFonts w:cstheme="minorHAnsi"/>
          <w:szCs w:val="26"/>
        </w:rPr>
        <w:t xml:space="preserve"> </w:t>
      </w:r>
      <w:r w:rsidRPr="009C6CB3">
        <w:rPr>
          <w:rFonts w:cstheme="minorHAnsi"/>
          <w:i/>
          <w:iCs/>
          <w:szCs w:val="26"/>
        </w:rPr>
        <w:t xml:space="preserve">People v. Lopez </w:t>
      </w:r>
      <w:r w:rsidRPr="009C6CB3">
        <w:rPr>
          <w:rFonts w:cstheme="minorHAnsi"/>
          <w:szCs w:val="26"/>
        </w:rPr>
        <w:t>(2019) 38 Cal.App.5th 1087, 1102–1103 &amp; fn. 9</w:t>
      </w:r>
      <w:bookmarkEnd w:id="74"/>
      <w:r w:rsidRPr="009C6CB3">
        <w:rPr>
          <w:rFonts w:cstheme="minorHAnsi"/>
          <w:szCs w:val="26"/>
        </w:rPr>
        <w:t>, rev</w:t>
      </w:r>
      <w:r w:rsidR="009C2FCA">
        <w:rPr>
          <w:rFonts w:cstheme="minorHAnsi"/>
          <w:szCs w:val="26"/>
        </w:rPr>
        <w:t>iew</w:t>
      </w:r>
      <w:r w:rsidRPr="009C6CB3">
        <w:rPr>
          <w:rFonts w:cstheme="minorHAnsi"/>
          <w:szCs w:val="26"/>
        </w:rPr>
        <w:t xml:space="preserve"> granted on another issue</w:t>
      </w:r>
      <w:r w:rsidRPr="009C6CB3" w:rsidR="00F508AE">
        <w:rPr>
          <w:rFonts w:cstheme="minorHAnsi"/>
          <w:szCs w:val="26"/>
        </w:rPr>
        <w:t xml:space="preserve"> Nov. 13, 2019, S</w:t>
      </w:r>
      <w:r w:rsidRPr="009C6CB3" w:rsidR="0013397A">
        <w:rPr>
          <w:rFonts w:cstheme="minorHAnsi"/>
          <w:szCs w:val="26"/>
        </w:rPr>
        <w:t>258175</w:t>
      </w:r>
      <w:r w:rsidR="0052555C">
        <w:rPr>
          <w:rFonts w:cstheme="minorHAnsi"/>
          <w:szCs w:val="26"/>
        </w:rPr>
        <w:t xml:space="preserve"> </w:t>
      </w:r>
      <w:r w:rsidRPr="009C6CB3" w:rsidR="0052555C">
        <w:rPr>
          <w:rFonts w:cstheme="minorHAnsi"/>
          <w:szCs w:val="26"/>
        </w:rPr>
        <w:t>(</w:t>
      </w:r>
      <w:r w:rsidRPr="009C6CB3" w:rsidR="0052555C">
        <w:rPr>
          <w:rFonts w:cstheme="minorHAnsi"/>
          <w:i/>
          <w:szCs w:val="26"/>
        </w:rPr>
        <w:t>Lopez</w:t>
      </w:r>
      <w:r w:rsidRPr="009C6CB3" w:rsidR="0052555C">
        <w:rPr>
          <w:rFonts w:cstheme="minorHAnsi"/>
          <w:szCs w:val="26"/>
        </w:rPr>
        <w:t>)</w:t>
      </w:r>
      <w:r w:rsidRPr="009C6CB3">
        <w:rPr>
          <w:rFonts w:cstheme="minorHAnsi"/>
          <w:szCs w:val="26"/>
        </w:rPr>
        <w:t xml:space="preserve">; </w:t>
      </w:r>
      <w:bookmarkStart w:id="75" w:name="Psych_Cite_64"/>
      <w:r w:rsidRPr="009C6CB3">
        <w:rPr>
          <w:rFonts w:cstheme="minorHAnsi"/>
          <w:i/>
          <w:iCs/>
          <w:szCs w:val="26"/>
        </w:rPr>
        <w:t xml:space="preserve">People v. Larios </w:t>
      </w:r>
      <w:r w:rsidRPr="009C6CB3">
        <w:rPr>
          <w:rFonts w:cstheme="minorHAnsi"/>
          <w:szCs w:val="26"/>
        </w:rPr>
        <w:t>(2019) 42 Cal.App.5th 956, 964</w:t>
      </w:r>
      <w:bookmarkEnd w:id="75"/>
      <w:r w:rsidRPr="009C6CB3">
        <w:rPr>
          <w:rFonts w:cstheme="minorHAnsi"/>
          <w:szCs w:val="26"/>
        </w:rPr>
        <w:t>, review granted</w:t>
      </w:r>
      <w:r w:rsidRPr="009C6CB3" w:rsidR="0013397A">
        <w:rPr>
          <w:rFonts w:cstheme="minorHAnsi"/>
          <w:szCs w:val="26"/>
        </w:rPr>
        <w:t xml:space="preserve"> Feb. 26, 2020, S259983</w:t>
      </w:r>
      <w:r w:rsidRPr="009C6CB3">
        <w:rPr>
          <w:rFonts w:cstheme="minorHAnsi"/>
          <w:szCs w:val="26"/>
        </w:rPr>
        <w:t xml:space="preserve">; </w:t>
      </w:r>
      <w:bookmarkStart w:id="76" w:name="Psych_Cite_65"/>
      <w:r w:rsidRPr="009C6CB3">
        <w:rPr>
          <w:rFonts w:cstheme="minorHAnsi"/>
          <w:i/>
          <w:szCs w:val="26"/>
        </w:rPr>
        <w:t>People v. Verdugo</w:t>
      </w:r>
      <w:r w:rsidRPr="009C6CB3">
        <w:rPr>
          <w:rFonts w:cstheme="minorHAnsi"/>
          <w:szCs w:val="26"/>
        </w:rPr>
        <w:t xml:space="preserve"> (2020) 44 Cal.App.5th 320, 323</w:t>
      </w:r>
      <w:bookmarkEnd w:id="76"/>
      <w:r w:rsidR="004326EE">
        <w:rPr>
          <w:rFonts w:cstheme="minorHAnsi"/>
          <w:szCs w:val="26"/>
        </w:rPr>
        <w:t xml:space="preserve">, review granted </w:t>
      </w:r>
      <w:r w:rsidR="00EA703F">
        <w:rPr>
          <w:rFonts w:cstheme="minorHAnsi"/>
          <w:szCs w:val="26"/>
        </w:rPr>
        <w:t xml:space="preserve">on another issue </w:t>
      </w:r>
      <w:r w:rsidR="004326EE">
        <w:rPr>
          <w:rFonts w:cstheme="minorHAnsi"/>
          <w:szCs w:val="26"/>
        </w:rPr>
        <w:t>Mar.</w:t>
      </w:r>
      <w:r w:rsidR="00EA703F">
        <w:rPr>
          <w:rFonts w:cstheme="minorHAnsi"/>
          <w:szCs w:val="26"/>
        </w:rPr>
        <w:t> </w:t>
      </w:r>
      <w:r w:rsidR="004326EE">
        <w:rPr>
          <w:rFonts w:cstheme="minorHAnsi"/>
          <w:szCs w:val="26"/>
        </w:rPr>
        <w:t>18, 2020, S260493</w:t>
      </w:r>
      <w:r w:rsidRPr="009C6CB3">
        <w:rPr>
          <w:rFonts w:cstheme="minorHAnsi"/>
          <w:szCs w:val="26"/>
        </w:rPr>
        <w:t xml:space="preserve">; </w:t>
      </w:r>
      <w:bookmarkStart w:id="77" w:name="Psych_Cite_66"/>
      <w:r w:rsidRPr="009C6CB3">
        <w:rPr>
          <w:rFonts w:cstheme="minorHAnsi"/>
          <w:i/>
          <w:iCs/>
          <w:szCs w:val="26"/>
        </w:rPr>
        <w:t>People v. Lewis</w:t>
      </w:r>
      <w:r w:rsidRPr="009C6CB3">
        <w:rPr>
          <w:rFonts w:cstheme="minorHAnsi"/>
          <w:iCs/>
          <w:szCs w:val="26"/>
        </w:rPr>
        <w:t xml:space="preserve"> (2020) 43</w:t>
      </w:r>
      <w:r w:rsidRPr="009C6CB3" w:rsidR="00710DAD">
        <w:rPr>
          <w:rFonts w:cstheme="minorHAnsi"/>
          <w:iCs/>
          <w:szCs w:val="26"/>
        </w:rPr>
        <w:t> </w:t>
      </w:r>
      <w:r w:rsidRPr="009C6CB3">
        <w:rPr>
          <w:rFonts w:cstheme="minorHAnsi"/>
          <w:iCs/>
          <w:szCs w:val="26"/>
        </w:rPr>
        <w:t>Cal.App.5th 1128, 1135</w:t>
      </w:r>
      <w:bookmarkEnd w:id="77"/>
      <w:r w:rsidRPr="009C6CB3">
        <w:rPr>
          <w:rFonts w:cstheme="minorHAnsi"/>
          <w:iCs/>
          <w:szCs w:val="26"/>
        </w:rPr>
        <w:t>, review granted on another issue</w:t>
      </w:r>
      <w:r w:rsidRPr="009C6CB3" w:rsidR="0013397A">
        <w:rPr>
          <w:rFonts w:cstheme="minorHAnsi"/>
          <w:iCs/>
          <w:szCs w:val="26"/>
        </w:rPr>
        <w:t xml:space="preserve"> Mar. 18, 2020, S260598</w:t>
      </w:r>
      <w:r w:rsidRPr="009C6CB3">
        <w:rPr>
          <w:rFonts w:cstheme="minorHAnsi"/>
          <w:iCs/>
          <w:szCs w:val="26"/>
        </w:rPr>
        <w:t xml:space="preserve">; </w:t>
      </w:r>
      <w:bookmarkStart w:id="78" w:name="Psych_Cite_67"/>
      <w:r w:rsidRPr="009C6CB3">
        <w:rPr>
          <w:rFonts w:cstheme="minorHAnsi"/>
          <w:i/>
          <w:iCs/>
          <w:szCs w:val="26"/>
        </w:rPr>
        <w:t xml:space="preserve">People v. Medrano </w:t>
      </w:r>
      <w:r w:rsidRPr="009C6CB3">
        <w:rPr>
          <w:rFonts w:cstheme="minorHAnsi"/>
          <w:szCs w:val="26"/>
        </w:rPr>
        <w:t>(2019) 42 Cal.App.5th 1001, 1007</w:t>
      </w:r>
      <w:r w:rsidRPr="009C6CB3" w:rsidR="00E52F2C">
        <w:rPr>
          <w:rFonts w:cstheme="minorHAnsi"/>
          <w:szCs w:val="26"/>
        </w:rPr>
        <w:t>–</w:t>
      </w:r>
      <w:r w:rsidRPr="009C6CB3">
        <w:rPr>
          <w:rFonts w:cstheme="minorHAnsi"/>
          <w:szCs w:val="26"/>
        </w:rPr>
        <w:t>1008</w:t>
      </w:r>
      <w:bookmarkEnd w:id="78"/>
      <w:r w:rsidRPr="009C6CB3">
        <w:rPr>
          <w:rFonts w:cstheme="minorHAnsi"/>
          <w:szCs w:val="26"/>
        </w:rPr>
        <w:t>, review granted on another issue</w:t>
      </w:r>
      <w:r w:rsidRPr="009C6CB3" w:rsidR="0013397A">
        <w:rPr>
          <w:rFonts w:cstheme="minorHAnsi"/>
          <w:szCs w:val="26"/>
        </w:rPr>
        <w:t xml:space="preserve"> Mar. 11, 2020, S259948</w:t>
      </w:r>
      <w:r w:rsidRPr="009C6CB3">
        <w:rPr>
          <w:rFonts w:cstheme="minorHAnsi"/>
          <w:szCs w:val="26"/>
        </w:rPr>
        <w:t>;</w:t>
      </w:r>
      <w:r w:rsidRPr="009C6CB3">
        <w:rPr>
          <w:rFonts w:cstheme="minorHAnsi"/>
          <w:szCs w:val="26"/>
        </w:rPr>
        <w:t xml:space="preserve"> </w:t>
      </w:r>
      <w:bookmarkStart w:id="79" w:name="Psych_Cite_68"/>
      <w:r w:rsidRPr="009C6CB3">
        <w:rPr>
          <w:rFonts w:cstheme="minorHAnsi"/>
          <w:i/>
          <w:szCs w:val="26"/>
        </w:rPr>
        <w:t>People v. Lee</w:t>
      </w:r>
      <w:r w:rsidRPr="009C6CB3">
        <w:rPr>
          <w:rFonts w:cstheme="minorHAnsi"/>
          <w:szCs w:val="26"/>
        </w:rPr>
        <w:t xml:space="preserve"> (2020) 49</w:t>
      </w:r>
      <w:r w:rsidRPr="009C6CB3" w:rsidR="00710DAD">
        <w:rPr>
          <w:rFonts w:cstheme="minorHAnsi"/>
          <w:szCs w:val="26"/>
        </w:rPr>
        <w:t> </w:t>
      </w:r>
      <w:r w:rsidRPr="009C6CB3">
        <w:rPr>
          <w:rFonts w:cstheme="minorHAnsi"/>
          <w:szCs w:val="26"/>
        </w:rPr>
        <w:t>Cal.App.5th 254, 262</w:t>
      </w:r>
      <w:bookmarkEnd w:id="79"/>
      <w:r w:rsidR="002462F0">
        <w:rPr>
          <w:rFonts w:cstheme="minorHAnsi"/>
          <w:szCs w:val="26"/>
        </w:rPr>
        <w:t>, review granted on another issue July 15, 2020, S262459</w:t>
      </w:r>
      <w:r w:rsidRPr="009C6CB3">
        <w:rPr>
          <w:rFonts w:cstheme="minorHAnsi"/>
          <w:szCs w:val="26"/>
        </w:rPr>
        <w:t xml:space="preserve">; </w:t>
      </w:r>
      <w:bookmarkStart w:id="80" w:name="Psych_Cite_69"/>
      <w:r w:rsidRPr="009C6CB3">
        <w:rPr>
          <w:rFonts w:cstheme="minorHAnsi"/>
          <w:i/>
          <w:szCs w:val="26"/>
        </w:rPr>
        <w:t>People v. Offley</w:t>
      </w:r>
      <w:r w:rsidRPr="009C6CB3">
        <w:rPr>
          <w:rFonts w:cstheme="minorHAnsi"/>
          <w:szCs w:val="26"/>
        </w:rPr>
        <w:t xml:space="preserve"> (2020) 48</w:t>
      </w:r>
      <w:r w:rsidR="002462F0">
        <w:rPr>
          <w:rFonts w:cstheme="minorHAnsi"/>
          <w:szCs w:val="26"/>
        </w:rPr>
        <w:t> </w:t>
      </w:r>
      <w:r w:rsidRPr="009C6CB3">
        <w:rPr>
          <w:rFonts w:cstheme="minorHAnsi"/>
          <w:szCs w:val="26"/>
        </w:rPr>
        <w:t>Cal.App.5th 588, 595</w:t>
      </w:r>
      <w:bookmarkEnd w:id="80"/>
      <w:r w:rsidRPr="009C6CB3">
        <w:rPr>
          <w:rFonts w:cstheme="minorHAnsi"/>
          <w:szCs w:val="26"/>
        </w:rPr>
        <w:t>.)</w:t>
      </w:r>
      <w:r w:rsidRPr="009C6CB3" w:rsidR="006777F2">
        <w:rPr>
          <w:rFonts w:cstheme="minorHAnsi"/>
          <w:szCs w:val="26"/>
        </w:rPr>
        <w:t xml:space="preserve">  We agree with these authorities.</w:t>
      </w:r>
    </w:p>
    <w:p w:rsidR="006777F2" w:rsidRPr="009C6CB3" w:rsidP="002806BA">
      <w:pPr>
        <w:autoSpaceDE w:val="0"/>
        <w:autoSpaceDN w:val="0"/>
        <w:adjustRightInd w:val="0"/>
        <w:jc w:val="center"/>
        <w:rPr>
          <w:rFonts w:cstheme="minorHAnsi"/>
          <w:szCs w:val="26"/>
        </w:rPr>
      </w:pPr>
      <w:r w:rsidRPr="009C6CB3">
        <w:rPr>
          <w:rFonts w:cstheme="minorHAnsi"/>
          <w:b/>
          <w:szCs w:val="26"/>
        </w:rPr>
        <w:t>B.</w:t>
      </w:r>
    </w:p>
    <w:p w:rsidR="000A2D4A" w:rsidRPr="009C6CB3" w:rsidP="009C6CB3">
      <w:pPr>
        <w:autoSpaceDE w:val="0"/>
        <w:autoSpaceDN w:val="0"/>
        <w:adjustRightInd w:val="0"/>
        <w:ind w:firstLine="720"/>
        <w:rPr>
          <w:rFonts w:cstheme="minorHAnsi"/>
          <w:szCs w:val="26"/>
        </w:rPr>
      </w:pPr>
      <w:r w:rsidRPr="009C6CB3">
        <w:rPr>
          <w:rFonts w:cstheme="minorHAnsi"/>
          <w:szCs w:val="26"/>
        </w:rPr>
        <w:t xml:space="preserve">The Court of Appeal </w:t>
      </w:r>
      <w:r w:rsidRPr="009C6CB3" w:rsidR="00C24FEE">
        <w:rPr>
          <w:rFonts w:cstheme="minorHAnsi"/>
          <w:szCs w:val="26"/>
        </w:rPr>
        <w:t xml:space="preserve">here </w:t>
      </w:r>
      <w:r w:rsidRPr="009C6CB3">
        <w:rPr>
          <w:rFonts w:cstheme="minorHAnsi"/>
          <w:szCs w:val="26"/>
        </w:rPr>
        <w:t xml:space="preserve">appeared to recognize that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Pr>
          <w:rFonts w:cstheme="minorHAnsi"/>
          <w:szCs w:val="26"/>
        </w:rPr>
        <w:t xml:space="preserve"> “intended to prohibit murder convictions where the participant was not the actual killer or a direct aider or abettor of the murderer.”</w:t>
      </w:r>
      <w:r w:rsidRPr="009C6CB3" w:rsidR="00834045">
        <w:rPr>
          <w:rFonts w:cstheme="minorHAnsi"/>
          <w:szCs w:val="26"/>
        </w:rPr>
        <w:t xml:space="preserve">  (</w:t>
      </w:r>
      <w:r w:rsidRPr="009C6CB3" w:rsidR="00D32ABC">
        <w:rPr>
          <w:rFonts w:cstheme="minorHAnsi"/>
          <w:i/>
          <w:szCs w:val="26"/>
        </w:rPr>
        <w:t>G</w:t>
      </w:r>
      <w:bookmarkStart w:id="81" w:name="Psych_Cite_71"/>
      <w:r w:rsidRPr="009C6CB3" w:rsidR="00D32ABC">
        <w:rPr>
          <w:rFonts w:cstheme="minorHAnsi"/>
          <w:i/>
          <w:szCs w:val="26"/>
        </w:rPr>
        <w:t>entile III</w:t>
      </w:r>
      <w:r w:rsidRPr="009C6CB3" w:rsidR="00D32ABC">
        <w:rPr>
          <w:rFonts w:cstheme="minorHAnsi"/>
          <w:szCs w:val="26"/>
        </w:rPr>
        <w:t xml:space="preserve">, </w:t>
      </w:r>
      <w:r w:rsidRPr="009C6CB3" w:rsidR="00D32ABC">
        <w:rPr>
          <w:rFonts w:cstheme="minorHAnsi"/>
          <w:i/>
          <w:szCs w:val="26"/>
        </w:rPr>
        <w:t>supra</w:t>
      </w:r>
      <w:r w:rsidR="00325714">
        <w:rPr>
          <w:rFonts w:cstheme="minorHAnsi"/>
          <w:iCs/>
          <w:szCs w:val="26"/>
        </w:rPr>
        <w:t>,</w:t>
      </w:r>
      <w:r w:rsidR="009221AE">
        <w:rPr>
          <w:rFonts w:cstheme="minorHAnsi"/>
          <w:i/>
          <w:szCs w:val="26"/>
        </w:rPr>
        <w:t xml:space="preserve"> </w:t>
      </w:r>
      <w:bookmarkEnd w:id="81"/>
      <w:r w:rsidRPr="009C6CB3" w:rsidR="00325714">
        <w:rPr>
          <w:rFonts w:cstheme="minorHAnsi"/>
          <w:color w:val="000000"/>
          <w:szCs w:val="26"/>
        </w:rPr>
        <w:t>E069088</w:t>
      </w:r>
      <w:r w:rsidRPr="009C6CB3" w:rsidR="00D32ABC">
        <w:rPr>
          <w:rFonts w:cstheme="minorHAnsi"/>
          <w:szCs w:val="26"/>
        </w:rPr>
        <w:t>.</w:t>
      </w:r>
      <w:r w:rsidRPr="009C6CB3" w:rsidR="00834045">
        <w:rPr>
          <w:rFonts w:cstheme="minorHAnsi"/>
          <w:szCs w:val="26"/>
        </w:rPr>
        <w:t xml:space="preserve">) </w:t>
      </w:r>
      <w:r w:rsidRPr="009C6CB3" w:rsidR="00D32ABC">
        <w:rPr>
          <w:rFonts w:cstheme="minorHAnsi"/>
          <w:szCs w:val="26"/>
        </w:rPr>
        <w:t xml:space="preserve"> </w:t>
      </w:r>
      <w:r w:rsidRPr="009C6CB3">
        <w:rPr>
          <w:rFonts w:cstheme="minorHAnsi"/>
          <w:szCs w:val="26"/>
        </w:rPr>
        <w:t>But it then misconstrue</w:t>
      </w:r>
      <w:r w:rsidRPr="009C6CB3" w:rsidR="00C24FEE">
        <w:rPr>
          <w:rFonts w:cstheme="minorHAnsi"/>
          <w:szCs w:val="26"/>
        </w:rPr>
        <w:t>d</w:t>
      </w:r>
      <w:r w:rsidRPr="009C6CB3">
        <w:rPr>
          <w:rFonts w:cstheme="minorHAnsi"/>
          <w:szCs w:val="26"/>
        </w:rPr>
        <w:t xml:space="preserve"> Gentile’s argument</w:t>
      </w:r>
      <w:r w:rsidRPr="009C6CB3" w:rsidR="00C24FEE">
        <w:rPr>
          <w:rFonts w:cstheme="minorHAnsi"/>
          <w:szCs w:val="26"/>
        </w:rPr>
        <w:t xml:space="preserve"> by stating </w:t>
      </w:r>
      <w:r w:rsidRPr="009C6CB3">
        <w:rPr>
          <w:rFonts w:cstheme="minorHAnsi"/>
          <w:szCs w:val="26"/>
        </w:rPr>
        <w:t>that “</w:t>
      </w:r>
      <w:r w:rsidRPr="009C6CB3" w:rsidR="001232B0">
        <w:rPr>
          <w:rFonts w:cstheme="minorHAnsi"/>
          <w:szCs w:val="26"/>
        </w:rPr>
        <w:t>[</w:t>
      </w:r>
      <w:r w:rsidRPr="009C6CB3">
        <w:rPr>
          <w:rFonts w:cstheme="minorHAnsi"/>
          <w:szCs w:val="26"/>
        </w:rPr>
        <w:t>c</w:t>
      </w:r>
      <w:r w:rsidRPr="009C6CB3" w:rsidR="001232B0">
        <w:rPr>
          <w:rFonts w:cstheme="minorHAnsi"/>
          <w:szCs w:val="26"/>
        </w:rPr>
        <w:t>]</w:t>
      </w:r>
      <w:r w:rsidRPr="009C6CB3">
        <w:rPr>
          <w:rFonts w:cstheme="minorHAnsi"/>
          <w:szCs w:val="26"/>
        </w:rPr>
        <w:t>ontrary to defendant’s interpretation, section</w:t>
      </w:r>
      <w:r w:rsidR="008C5E90">
        <w:rPr>
          <w:rFonts w:cstheme="minorHAnsi"/>
          <w:szCs w:val="26"/>
        </w:rPr>
        <w:t> </w:t>
      </w:r>
      <w:r w:rsidRPr="009C6CB3">
        <w:rPr>
          <w:rFonts w:cstheme="minorHAnsi"/>
          <w:szCs w:val="26"/>
        </w:rPr>
        <w:t>189, subdivision (e) does not eliminate all murder liability for aiders and abettors.”  (</w:t>
      </w:r>
      <w:bookmarkStart w:id="82" w:name="Psych_Cite_70"/>
      <w:r w:rsidRPr="00350F6D" w:rsidR="00D32ABC">
        <w:rPr>
          <w:rFonts w:cstheme="minorHAnsi"/>
          <w:i/>
          <w:iCs/>
          <w:szCs w:val="26"/>
        </w:rPr>
        <w:t>I</w:t>
      </w:r>
      <w:r w:rsidR="00350F6D">
        <w:rPr>
          <w:rFonts w:cstheme="minorHAnsi"/>
          <w:i/>
          <w:iCs/>
          <w:szCs w:val="26"/>
        </w:rPr>
        <w:t>bid</w:t>
      </w:r>
      <w:r w:rsidRPr="009C6CB3" w:rsidR="001232B0">
        <w:rPr>
          <w:rFonts w:cstheme="minorHAnsi"/>
          <w:szCs w:val="26"/>
        </w:rPr>
        <w:t>.</w:t>
      </w:r>
      <w:bookmarkEnd w:id="82"/>
      <w:r w:rsidRPr="009C6CB3" w:rsidR="00834045">
        <w:rPr>
          <w:rFonts w:cstheme="minorHAnsi"/>
          <w:szCs w:val="26"/>
        </w:rPr>
        <w:t>)</w:t>
      </w:r>
      <w:r w:rsidRPr="009C6CB3" w:rsidR="00C24FEE">
        <w:rPr>
          <w:rFonts w:cstheme="minorHAnsi"/>
          <w:szCs w:val="26"/>
        </w:rPr>
        <w:t xml:space="preserve">  </w:t>
      </w:r>
      <w:r w:rsidRPr="009C6CB3">
        <w:rPr>
          <w:rFonts w:cstheme="minorHAnsi"/>
          <w:szCs w:val="26"/>
        </w:rPr>
        <w:t xml:space="preserve">That was </w:t>
      </w:r>
      <w:r w:rsidRPr="009C6CB3" w:rsidR="00C24FEE">
        <w:rPr>
          <w:rFonts w:cstheme="minorHAnsi"/>
          <w:szCs w:val="26"/>
        </w:rPr>
        <w:t xml:space="preserve">not </w:t>
      </w:r>
      <w:r w:rsidRPr="009C6CB3">
        <w:rPr>
          <w:rFonts w:cstheme="minorHAnsi"/>
          <w:szCs w:val="26"/>
        </w:rPr>
        <w:t xml:space="preserve">Gentile’s argument in the Court of Appeal </w:t>
      </w:r>
      <w:r w:rsidRPr="009C6CB3" w:rsidR="00C24FEE">
        <w:rPr>
          <w:rFonts w:cstheme="minorHAnsi"/>
          <w:szCs w:val="26"/>
        </w:rPr>
        <w:t xml:space="preserve">or in </w:t>
      </w:r>
      <w:r w:rsidRPr="009C6CB3">
        <w:rPr>
          <w:rFonts w:cstheme="minorHAnsi"/>
          <w:szCs w:val="26"/>
        </w:rPr>
        <w:t xml:space="preserve">this court.  Gentile has consistently argued that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Pr>
          <w:rFonts w:cstheme="minorHAnsi"/>
          <w:szCs w:val="26"/>
        </w:rPr>
        <w:t xml:space="preserve"> eliminated aiding and abetting murder liability under the natural and probable consequences theory, not that it eliminated all aiding and abetting murder liability.</w:t>
      </w:r>
      <w:r w:rsidRPr="009C6CB3" w:rsidR="00834045">
        <w:rPr>
          <w:rFonts w:cstheme="minorHAnsi"/>
          <w:szCs w:val="26"/>
        </w:rPr>
        <w:t xml:space="preserve">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sidR="00B01CE5">
        <w:rPr>
          <w:rFonts w:cstheme="minorHAnsi"/>
          <w:szCs w:val="26"/>
        </w:rPr>
        <w:t xml:space="preserve"> does not eliminate direct aid</w:t>
      </w:r>
      <w:r w:rsidRPr="009C6CB3" w:rsidR="00D45ABD">
        <w:rPr>
          <w:rFonts w:cstheme="minorHAnsi"/>
          <w:szCs w:val="26"/>
        </w:rPr>
        <w:t>ing</w:t>
      </w:r>
      <w:r w:rsidRPr="009C6CB3" w:rsidR="00B01CE5">
        <w:rPr>
          <w:rFonts w:cstheme="minorHAnsi"/>
          <w:szCs w:val="26"/>
        </w:rPr>
        <w:t xml:space="preserve"> and abett</w:t>
      </w:r>
      <w:r w:rsidRPr="009C6CB3" w:rsidR="00D45ABD">
        <w:rPr>
          <w:rFonts w:cstheme="minorHAnsi"/>
          <w:szCs w:val="26"/>
        </w:rPr>
        <w:t>ing</w:t>
      </w:r>
      <w:r w:rsidRPr="009C6CB3" w:rsidR="00B01CE5">
        <w:rPr>
          <w:rFonts w:cstheme="minorHAnsi"/>
          <w:szCs w:val="26"/>
        </w:rPr>
        <w:t xml:space="preserve"> liability for murder because a direct aider and abettor to murder must possess malice aforethought.  (</w:t>
      </w:r>
      <w:bookmarkStart w:id="83" w:name="Psych_Cite_72"/>
      <w:r w:rsidRPr="009C6CB3" w:rsidR="00B01CE5">
        <w:rPr>
          <w:rFonts w:cstheme="minorHAnsi"/>
          <w:i/>
          <w:szCs w:val="26"/>
        </w:rPr>
        <w:t>McCoy</w:t>
      </w:r>
      <w:r w:rsidRPr="009C6CB3" w:rsidR="00B01CE5">
        <w:rPr>
          <w:rFonts w:cstheme="minorHAnsi"/>
          <w:szCs w:val="26"/>
        </w:rPr>
        <w:t xml:space="preserve">, </w:t>
      </w:r>
      <w:r w:rsidRPr="009C6CB3" w:rsidR="00B01CE5">
        <w:rPr>
          <w:rFonts w:cstheme="minorHAnsi"/>
          <w:i/>
          <w:szCs w:val="26"/>
        </w:rPr>
        <w:t>supra</w:t>
      </w:r>
      <w:r w:rsidRPr="009C6CB3" w:rsidR="00B01CE5">
        <w:rPr>
          <w:rFonts w:cstheme="minorHAnsi"/>
          <w:szCs w:val="26"/>
        </w:rPr>
        <w:t>, 25</w:t>
      </w:r>
      <w:r w:rsidR="00DB4712">
        <w:rPr>
          <w:rFonts w:cstheme="minorHAnsi"/>
          <w:szCs w:val="26"/>
        </w:rPr>
        <w:t> </w:t>
      </w:r>
      <w:r w:rsidRPr="009C6CB3" w:rsidR="00B01CE5">
        <w:rPr>
          <w:rFonts w:cstheme="minorHAnsi"/>
          <w:szCs w:val="26"/>
        </w:rPr>
        <w:t>Cal.4th at p. 1118</w:t>
      </w:r>
      <w:bookmarkEnd w:id="83"/>
      <w:r w:rsidRPr="009C6CB3" w:rsidR="000C0731">
        <w:rPr>
          <w:rFonts w:cstheme="minorHAnsi"/>
          <w:szCs w:val="26"/>
        </w:rPr>
        <w:t>.)</w:t>
      </w:r>
    </w:p>
    <w:p w:rsidR="00703EE5" w:rsidRPr="009C6CB3" w:rsidP="009C6CB3">
      <w:pPr>
        <w:autoSpaceDE w:val="0"/>
        <w:autoSpaceDN w:val="0"/>
        <w:adjustRightInd w:val="0"/>
        <w:ind w:firstLine="720"/>
        <w:rPr>
          <w:rFonts w:cstheme="minorHAnsi"/>
          <w:szCs w:val="26"/>
        </w:rPr>
      </w:pPr>
      <w:r w:rsidRPr="009C6CB3">
        <w:rPr>
          <w:rFonts w:cstheme="minorHAnsi"/>
          <w:szCs w:val="26"/>
        </w:rPr>
        <w:t xml:space="preserve">Nor </w:t>
      </w:r>
      <w:r w:rsidRPr="009C6CB3" w:rsidR="00124608">
        <w:rPr>
          <w:rFonts w:cstheme="minorHAnsi"/>
          <w:szCs w:val="26"/>
        </w:rPr>
        <w:t xml:space="preserve">is Gentile’s argument based on </w:t>
      </w:r>
      <w:bookmarkStart w:id="84" w:name="Psych_Cite_73"/>
      <w:r w:rsidRPr="009C6CB3" w:rsidR="00124608">
        <w:rPr>
          <w:rFonts w:cstheme="minorHAnsi"/>
          <w:szCs w:val="26"/>
        </w:rPr>
        <w:t>section 189</w:t>
      </w:r>
      <w:bookmarkEnd w:id="84"/>
      <w:r w:rsidRPr="009C6CB3" w:rsidR="00124608">
        <w:rPr>
          <w:rFonts w:cstheme="minorHAnsi"/>
          <w:szCs w:val="26"/>
        </w:rPr>
        <w:t xml:space="preserve">.  He has consistently argued that </w:t>
      </w:r>
      <w:bookmarkStart w:id="85" w:name="Psych_Cite_74"/>
      <w:r w:rsidRPr="009C6CB3" w:rsidR="00124608">
        <w:rPr>
          <w:rFonts w:cstheme="minorHAnsi"/>
          <w:szCs w:val="26"/>
        </w:rPr>
        <w:t>section 188</w:t>
      </w:r>
      <w:bookmarkEnd w:id="85"/>
      <w:r w:rsidRPr="009C6CB3" w:rsidR="00124608">
        <w:rPr>
          <w:rFonts w:cstheme="minorHAnsi"/>
          <w:szCs w:val="26"/>
        </w:rPr>
        <w:t xml:space="preserve"> eliminates natural and probable consequences liability for second degree murder.</w:t>
      </w:r>
      <w:r w:rsidRPr="009C6CB3" w:rsidR="00D45ABD">
        <w:rPr>
          <w:rFonts w:cstheme="minorHAnsi"/>
          <w:szCs w:val="26"/>
        </w:rPr>
        <w:t xml:space="preserve">  </w:t>
      </w:r>
      <w:bookmarkStart w:id="86" w:name="Psych_Cite_75"/>
      <w:r w:rsidRPr="009C6CB3">
        <w:rPr>
          <w:rFonts w:cstheme="minorHAnsi"/>
          <w:szCs w:val="26"/>
        </w:rPr>
        <w:t>Section 189, subdivision (e)</w:t>
      </w:r>
      <w:bookmarkEnd w:id="86"/>
      <w:r w:rsidRPr="009C6CB3" w:rsidR="00124608">
        <w:rPr>
          <w:rFonts w:cstheme="minorHAnsi"/>
          <w:szCs w:val="26"/>
        </w:rPr>
        <w:t xml:space="preserve"> </w:t>
      </w:r>
      <w:r w:rsidRPr="009C6CB3">
        <w:rPr>
          <w:rFonts w:cstheme="minorHAnsi"/>
          <w:szCs w:val="26"/>
        </w:rPr>
        <w:t>does not apply to this case</w:t>
      </w:r>
      <w:r w:rsidRPr="009C6CB3" w:rsidR="0040625F">
        <w:rPr>
          <w:rFonts w:cstheme="minorHAnsi"/>
          <w:szCs w:val="26"/>
        </w:rPr>
        <w:t>; t</w:t>
      </w:r>
      <w:r w:rsidRPr="009C6CB3">
        <w:rPr>
          <w:rFonts w:cstheme="minorHAnsi"/>
          <w:szCs w:val="26"/>
        </w:rPr>
        <w:t xml:space="preserve">hat provision </w:t>
      </w:r>
      <w:r w:rsidRPr="009C6CB3" w:rsidR="00C24FEE">
        <w:rPr>
          <w:rFonts w:cstheme="minorHAnsi"/>
          <w:szCs w:val="26"/>
        </w:rPr>
        <w:t>addresses liability under the felony murder rule</w:t>
      </w:r>
      <w:r w:rsidRPr="009C6CB3" w:rsidR="0040625F">
        <w:rPr>
          <w:rFonts w:cstheme="minorHAnsi"/>
          <w:szCs w:val="26"/>
        </w:rPr>
        <w:t xml:space="preserve">.  </w:t>
      </w:r>
      <w:r w:rsidRPr="009C6CB3">
        <w:rPr>
          <w:rFonts w:cstheme="minorHAnsi"/>
          <w:szCs w:val="26"/>
        </w:rPr>
        <w:t xml:space="preserve">The jury </w:t>
      </w:r>
      <w:r w:rsidRPr="009C6CB3" w:rsidR="00124608">
        <w:rPr>
          <w:rFonts w:cstheme="minorHAnsi"/>
          <w:szCs w:val="26"/>
        </w:rPr>
        <w:t xml:space="preserve">in </w:t>
      </w:r>
      <w:r w:rsidRPr="009C6CB3">
        <w:rPr>
          <w:rFonts w:cstheme="minorHAnsi"/>
          <w:szCs w:val="26"/>
        </w:rPr>
        <w:t>Gentile’s case was never instructed on the felony murder rule</w:t>
      </w:r>
      <w:r w:rsidRPr="009C6CB3" w:rsidR="0040625F">
        <w:rPr>
          <w:rFonts w:cstheme="minorHAnsi"/>
          <w:szCs w:val="26"/>
        </w:rPr>
        <w:t>,</w:t>
      </w:r>
      <w:r w:rsidRPr="009C6CB3" w:rsidR="00947B5F">
        <w:rPr>
          <w:rFonts w:cstheme="minorHAnsi"/>
          <w:szCs w:val="26"/>
        </w:rPr>
        <w:t xml:space="preserve"> and Gentile was not charged with a </w:t>
      </w:r>
      <w:r w:rsidRPr="009C6CB3" w:rsidR="009B0B75">
        <w:rPr>
          <w:rFonts w:cstheme="minorHAnsi"/>
          <w:szCs w:val="26"/>
        </w:rPr>
        <w:t xml:space="preserve">predicate </w:t>
      </w:r>
      <w:r w:rsidRPr="009C6CB3" w:rsidR="00947B5F">
        <w:rPr>
          <w:rFonts w:cstheme="minorHAnsi"/>
          <w:szCs w:val="26"/>
        </w:rPr>
        <w:t>felony that can serve as the basis for felony murder.</w:t>
      </w:r>
      <w:r w:rsidRPr="009C6CB3" w:rsidR="009B0B75">
        <w:rPr>
          <w:rFonts w:cstheme="minorHAnsi"/>
          <w:szCs w:val="26"/>
        </w:rPr>
        <w:t xml:space="preserve">  (§ 189, subd. (a).)  </w:t>
      </w:r>
      <w:r w:rsidRPr="009C6CB3" w:rsidR="00947B5F">
        <w:rPr>
          <w:rFonts w:cstheme="minorHAnsi"/>
          <w:szCs w:val="26"/>
        </w:rPr>
        <w:t>Nor does anyone argue that assault with a deadly weapon</w:t>
      </w:r>
      <w:r w:rsidRPr="009C6CB3">
        <w:rPr>
          <w:rFonts w:cstheme="minorHAnsi"/>
          <w:szCs w:val="26"/>
        </w:rPr>
        <w:t xml:space="preserve"> </w:t>
      </w:r>
      <w:r w:rsidRPr="009C6CB3" w:rsidR="00124608">
        <w:rPr>
          <w:rFonts w:cstheme="minorHAnsi"/>
          <w:szCs w:val="26"/>
        </w:rPr>
        <w:t xml:space="preserve">(§ 245, subd. (a)(1)) </w:t>
      </w:r>
      <w:r w:rsidRPr="009C6CB3">
        <w:rPr>
          <w:rFonts w:cstheme="minorHAnsi"/>
          <w:szCs w:val="26"/>
        </w:rPr>
        <w:t xml:space="preserve">— the crime that Gentile </w:t>
      </w:r>
      <w:r w:rsidRPr="009C6CB3" w:rsidR="001E7051">
        <w:rPr>
          <w:rFonts w:cstheme="minorHAnsi"/>
          <w:szCs w:val="26"/>
        </w:rPr>
        <w:t xml:space="preserve">is alleged to </w:t>
      </w:r>
      <w:r w:rsidRPr="009C6CB3">
        <w:rPr>
          <w:rFonts w:cstheme="minorHAnsi"/>
          <w:szCs w:val="26"/>
        </w:rPr>
        <w:t>have aided and abetted</w:t>
      </w:r>
      <w:r w:rsidRPr="009C6CB3" w:rsidR="004D35A9">
        <w:rPr>
          <w:rFonts w:cstheme="minorHAnsi"/>
          <w:szCs w:val="26"/>
        </w:rPr>
        <w:t> </w:t>
      </w:r>
      <w:r w:rsidRPr="009C6CB3">
        <w:rPr>
          <w:rFonts w:cstheme="minorHAnsi"/>
          <w:szCs w:val="26"/>
        </w:rPr>
        <w:t xml:space="preserve">— is </w:t>
      </w:r>
      <w:r w:rsidRPr="009C6CB3" w:rsidR="009B0B75">
        <w:rPr>
          <w:rFonts w:cstheme="minorHAnsi"/>
          <w:szCs w:val="26"/>
        </w:rPr>
        <w:t>a qualifying felony</w:t>
      </w:r>
      <w:r w:rsidRPr="009C6CB3">
        <w:rPr>
          <w:rFonts w:cstheme="minorHAnsi"/>
          <w:szCs w:val="26"/>
        </w:rPr>
        <w:t xml:space="preserve"> for felony murder</w:t>
      </w:r>
      <w:r w:rsidRPr="009C6CB3" w:rsidR="009B0B75">
        <w:rPr>
          <w:rFonts w:cstheme="minorHAnsi"/>
          <w:szCs w:val="26"/>
        </w:rPr>
        <w:t xml:space="preserve"> purposes</w:t>
      </w:r>
      <w:r w:rsidRPr="009C6CB3">
        <w:rPr>
          <w:rFonts w:cstheme="minorHAnsi"/>
          <w:szCs w:val="26"/>
        </w:rPr>
        <w:t>.</w:t>
      </w:r>
    </w:p>
    <w:p w:rsidR="009223D5" w:rsidRPr="009C6CB3" w:rsidP="009C6CB3">
      <w:pPr>
        <w:autoSpaceDE w:val="0"/>
        <w:autoSpaceDN w:val="0"/>
        <w:adjustRightInd w:val="0"/>
        <w:ind w:firstLine="720"/>
        <w:rPr>
          <w:rFonts w:cstheme="minorHAnsi"/>
          <w:szCs w:val="26"/>
        </w:rPr>
      </w:pPr>
      <w:r w:rsidRPr="009C6CB3">
        <w:rPr>
          <w:rFonts w:cstheme="minorHAnsi"/>
          <w:szCs w:val="26"/>
        </w:rPr>
        <w:t xml:space="preserve">The Court of Appeal also reasoned that Gentile’s contention would run counter to </w:t>
      </w:r>
      <w:r w:rsidRPr="009C6CB3">
        <w:rPr>
          <w:rFonts w:cstheme="minorHAnsi"/>
          <w:i/>
          <w:szCs w:val="26"/>
        </w:rPr>
        <w:t>Chiu</w:t>
      </w:r>
      <w:r w:rsidRPr="009C6CB3">
        <w:rPr>
          <w:rFonts w:cstheme="minorHAnsi"/>
          <w:szCs w:val="26"/>
        </w:rPr>
        <w:t>, which “made clear that second degree murder liability is proportional to the culpability of an aider and abettor under the natural and probable consequences doctrine.”  (</w:t>
      </w:r>
      <w:r w:rsidRPr="009C6CB3">
        <w:rPr>
          <w:rFonts w:cstheme="minorHAnsi"/>
          <w:i/>
          <w:szCs w:val="26"/>
        </w:rPr>
        <w:t>G</w:t>
      </w:r>
      <w:bookmarkStart w:id="87" w:name="Psych_Cite_76"/>
      <w:r w:rsidRPr="009C6CB3">
        <w:rPr>
          <w:rFonts w:cstheme="minorHAnsi"/>
          <w:i/>
          <w:szCs w:val="26"/>
        </w:rPr>
        <w:t>entile III</w:t>
      </w:r>
      <w:r w:rsidRPr="009C6CB3">
        <w:rPr>
          <w:rFonts w:cstheme="minorHAnsi"/>
          <w:szCs w:val="26"/>
        </w:rPr>
        <w:t xml:space="preserve">, </w:t>
      </w:r>
      <w:r w:rsidRPr="009C6CB3">
        <w:rPr>
          <w:rFonts w:cstheme="minorHAnsi"/>
          <w:i/>
          <w:szCs w:val="26"/>
        </w:rPr>
        <w:t>supra</w:t>
      </w:r>
      <w:bookmarkEnd w:id="87"/>
      <w:r w:rsidR="00366E9F">
        <w:rPr>
          <w:rFonts w:cstheme="minorHAnsi"/>
          <w:iCs/>
          <w:szCs w:val="26"/>
        </w:rPr>
        <w:t>,</w:t>
      </w:r>
      <w:r w:rsidRPr="00366E9F" w:rsidR="000F608A">
        <w:rPr>
          <w:rFonts w:cstheme="minorHAnsi"/>
          <w:iCs/>
          <w:szCs w:val="26"/>
        </w:rPr>
        <w:t xml:space="preserve"> </w:t>
      </w:r>
      <w:r w:rsidRPr="009C6CB3" w:rsidR="00366E9F">
        <w:rPr>
          <w:rFonts w:cstheme="minorHAnsi"/>
          <w:color w:val="000000"/>
          <w:szCs w:val="26"/>
        </w:rPr>
        <w:t>E069088</w:t>
      </w:r>
      <w:r w:rsidRPr="009C6CB3">
        <w:rPr>
          <w:rFonts w:cstheme="minorHAnsi"/>
          <w:szCs w:val="26"/>
        </w:rPr>
        <w:t>.)</w:t>
      </w:r>
      <w:r w:rsidRPr="009C6CB3" w:rsidR="00703EE5">
        <w:rPr>
          <w:rFonts w:cstheme="minorHAnsi"/>
          <w:szCs w:val="26"/>
        </w:rPr>
        <w:t xml:space="preserve">  </w:t>
      </w:r>
      <w:r w:rsidRPr="009C6CB3">
        <w:rPr>
          <w:rFonts w:cstheme="minorHAnsi"/>
          <w:szCs w:val="26"/>
        </w:rPr>
        <w:t xml:space="preserve">But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Pr>
          <w:rFonts w:cstheme="minorHAnsi"/>
          <w:szCs w:val="26"/>
        </w:rPr>
        <w:t xml:space="preserve"> superseded that portion of </w:t>
      </w:r>
      <w:r w:rsidRPr="009C6CB3" w:rsidR="0040625F">
        <w:rPr>
          <w:rFonts w:cstheme="minorHAnsi"/>
          <w:i/>
          <w:szCs w:val="26"/>
        </w:rPr>
        <w:t>Chiu</w:t>
      </w:r>
      <w:r w:rsidRPr="009C6CB3">
        <w:rPr>
          <w:rFonts w:cstheme="minorHAnsi"/>
          <w:szCs w:val="26"/>
        </w:rPr>
        <w:t xml:space="preserve"> </w:t>
      </w:r>
      <w:r w:rsidRPr="009C6CB3" w:rsidR="0040625F">
        <w:rPr>
          <w:rFonts w:cstheme="minorHAnsi"/>
          <w:szCs w:val="26"/>
        </w:rPr>
        <w:t xml:space="preserve">by </w:t>
      </w:r>
      <w:r w:rsidRPr="009C6CB3">
        <w:rPr>
          <w:rFonts w:cstheme="minorHAnsi"/>
          <w:szCs w:val="26"/>
        </w:rPr>
        <w:t>amend</w:t>
      </w:r>
      <w:r w:rsidRPr="009C6CB3" w:rsidR="0040625F">
        <w:rPr>
          <w:rFonts w:cstheme="minorHAnsi"/>
          <w:szCs w:val="26"/>
        </w:rPr>
        <w:t>ing</w:t>
      </w:r>
      <w:r w:rsidRPr="009C6CB3">
        <w:rPr>
          <w:rFonts w:cstheme="minorHAnsi"/>
          <w:szCs w:val="26"/>
        </w:rPr>
        <w:t xml:space="preserve"> section</w:t>
      </w:r>
      <w:r w:rsidRPr="009C6CB3" w:rsidR="00677986">
        <w:rPr>
          <w:rFonts w:cstheme="minorHAnsi"/>
          <w:szCs w:val="26"/>
        </w:rPr>
        <w:t> </w:t>
      </w:r>
      <w:r w:rsidRPr="009C6CB3">
        <w:rPr>
          <w:rFonts w:cstheme="minorHAnsi"/>
          <w:szCs w:val="26"/>
        </w:rPr>
        <w:t xml:space="preserve">188 to </w:t>
      </w:r>
      <w:r w:rsidRPr="009C6CB3">
        <w:rPr>
          <w:rFonts w:cstheme="minorHAnsi"/>
          <w:szCs w:val="26"/>
        </w:rPr>
        <w:t>require that a defendant personally possess malice aforethought to be convicted of murder</w:t>
      </w:r>
      <w:r w:rsidRPr="009C6CB3" w:rsidR="00C5397B">
        <w:rPr>
          <w:rFonts w:cstheme="minorHAnsi"/>
          <w:szCs w:val="26"/>
        </w:rPr>
        <w:t>,</w:t>
      </w:r>
      <w:r w:rsidRPr="009C6CB3">
        <w:rPr>
          <w:rFonts w:cstheme="minorHAnsi"/>
          <w:szCs w:val="26"/>
        </w:rPr>
        <w:t xml:space="preserve"> with only the exception of felony murder.</w:t>
      </w:r>
    </w:p>
    <w:p w:rsidR="00C127E9" w:rsidRPr="009C6CB3" w:rsidP="009C6CB3">
      <w:pPr>
        <w:autoSpaceDE w:val="0"/>
        <w:autoSpaceDN w:val="0"/>
        <w:adjustRightInd w:val="0"/>
        <w:ind w:firstLine="720"/>
      </w:pPr>
      <w:r>
        <w:rPr>
          <w:rFonts w:cstheme="minorHAnsi"/>
          <w:szCs w:val="26"/>
        </w:rPr>
        <w:t>T</w:t>
      </w:r>
      <w:r w:rsidR="004D6DCD">
        <w:rPr>
          <w:rFonts w:cstheme="minorHAnsi"/>
          <w:szCs w:val="26"/>
        </w:rPr>
        <w:t xml:space="preserve">he </w:t>
      </w:r>
      <w:r w:rsidRPr="009C6CB3" w:rsidR="006F6B4A">
        <w:rPr>
          <w:rFonts w:cstheme="minorHAnsi"/>
          <w:szCs w:val="26"/>
        </w:rPr>
        <w:t>San Diego County District Attorney</w:t>
      </w:r>
      <w:r>
        <w:rPr>
          <w:rFonts w:cstheme="minorHAnsi"/>
          <w:szCs w:val="26"/>
        </w:rPr>
        <w:t xml:space="preserve"> </w:t>
      </w:r>
      <w:r w:rsidR="004D6DCD">
        <w:rPr>
          <w:rFonts w:cstheme="minorHAnsi"/>
          <w:szCs w:val="26"/>
        </w:rPr>
        <w:t>(</w:t>
      </w:r>
      <w:r>
        <w:rPr>
          <w:rFonts w:cstheme="minorHAnsi"/>
          <w:szCs w:val="26"/>
        </w:rPr>
        <w:t>District Attorney</w:t>
      </w:r>
      <w:r w:rsidR="004D6DCD">
        <w:rPr>
          <w:rFonts w:cstheme="minorHAnsi"/>
          <w:szCs w:val="26"/>
        </w:rPr>
        <w:t>)</w:t>
      </w:r>
      <w:r>
        <w:rPr>
          <w:rFonts w:cstheme="minorHAnsi"/>
          <w:szCs w:val="26"/>
        </w:rPr>
        <w:t xml:space="preserve"> as amicus curiae</w:t>
      </w:r>
      <w:r w:rsidRPr="009C6CB3" w:rsidR="00DA45C0">
        <w:rPr>
          <w:rFonts w:cstheme="minorHAnsi"/>
          <w:szCs w:val="26"/>
        </w:rPr>
        <w:t xml:space="preserve"> argues that S</w:t>
      </w:r>
      <w:r w:rsidRPr="009C6CB3" w:rsidR="00B4417A">
        <w:rPr>
          <w:rFonts w:cstheme="minorHAnsi"/>
          <w:szCs w:val="26"/>
        </w:rPr>
        <w:t xml:space="preserve">enate </w:t>
      </w:r>
      <w:r w:rsidRPr="009C6CB3" w:rsidR="00DA45C0">
        <w:rPr>
          <w:rFonts w:cstheme="minorHAnsi"/>
          <w:szCs w:val="26"/>
        </w:rPr>
        <w:t>B</w:t>
      </w:r>
      <w:r w:rsidRPr="009C6CB3" w:rsidR="00B4417A">
        <w:rPr>
          <w:rFonts w:cstheme="minorHAnsi"/>
          <w:szCs w:val="26"/>
        </w:rPr>
        <w:t>ill</w:t>
      </w:r>
      <w:r w:rsidRPr="009C6CB3" w:rsidR="00D45ABD">
        <w:rPr>
          <w:rFonts w:cstheme="minorHAnsi"/>
          <w:szCs w:val="26"/>
        </w:rPr>
        <w:t> </w:t>
      </w:r>
      <w:r w:rsidRPr="009C6CB3" w:rsidR="00DA45C0">
        <w:rPr>
          <w:rFonts w:cstheme="minorHAnsi"/>
          <w:szCs w:val="26"/>
        </w:rPr>
        <w:t xml:space="preserve">1437 should be interpreted only to modify the natural and probable consequences doctrine for murder rather than to eliminate it.  </w:t>
      </w:r>
      <w:r w:rsidR="00EE31D1">
        <w:rPr>
          <w:rFonts w:cstheme="minorHAnsi"/>
          <w:szCs w:val="26"/>
        </w:rPr>
        <w:t>The D</w:t>
      </w:r>
      <w:r>
        <w:rPr>
          <w:rFonts w:cstheme="minorHAnsi"/>
          <w:szCs w:val="26"/>
        </w:rPr>
        <w:t>istrict Attorney</w:t>
      </w:r>
      <w:r w:rsidRPr="009C6CB3" w:rsidR="00DA45C0">
        <w:rPr>
          <w:rFonts w:cstheme="minorHAnsi"/>
          <w:szCs w:val="26"/>
        </w:rPr>
        <w:t xml:space="preserve"> argues that </w:t>
      </w:r>
      <w:r w:rsidRPr="009C6CB3" w:rsidR="0040625F">
        <w:rPr>
          <w:rFonts w:cstheme="minorHAnsi"/>
          <w:szCs w:val="26"/>
        </w:rPr>
        <w:t xml:space="preserve">what </w:t>
      </w:r>
      <w:bookmarkStart w:id="88" w:name="Psych_Cite_78"/>
      <w:r w:rsidRPr="009C6CB3" w:rsidR="00DA45C0">
        <w:rPr>
          <w:rFonts w:cstheme="minorHAnsi"/>
          <w:szCs w:val="26"/>
        </w:rPr>
        <w:t>section 188(a)(3)</w:t>
      </w:r>
      <w:bookmarkEnd w:id="88"/>
      <w:r w:rsidRPr="009C6CB3" w:rsidR="00DA45C0">
        <w:rPr>
          <w:rFonts w:cstheme="minorHAnsi"/>
          <w:szCs w:val="26"/>
        </w:rPr>
        <w:t xml:space="preserve"> does is add the element of malice aforethought to natural and probable consequences liability.  </w:t>
      </w:r>
      <w:r w:rsidRPr="009C6CB3" w:rsidR="008D388A">
        <w:rPr>
          <w:rFonts w:cstheme="minorHAnsi"/>
          <w:szCs w:val="26"/>
        </w:rPr>
        <w:t xml:space="preserve">In other words, </w:t>
      </w:r>
      <w:r w:rsidR="00EE31D1">
        <w:rPr>
          <w:rFonts w:cstheme="minorHAnsi"/>
          <w:szCs w:val="26"/>
        </w:rPr>
        <w:t>the D</w:t>
      </w:r>
      <w:r>
        <w:rPr>
          <w:rFonts w:cstheme="minorHAnsi"/>
          <w:szCs w:val="26"/>
        </w:rPr>
        <w:t>istrict Attorney</w:t>
      </w:r>
      <w:r w:rsidRPr="009C6CB3" w:rsidR="00F124A9">
        <w:rPr>
          <w:rFonts w:cstheme="minorHAnsi"/>
          <w:szCs w:val="26"/>
        </w:rPr>
        <w:t xml:space="preserve"> contends that </w:t>
      </w:r>
      <w:r w:rsidRPr="009C6CB3" w:rsidR="008D388A">
        <w:rPr>
          <w:rFonts w:cstheme="minorHAnsi"/>
          <w:szCs w:val="26"/>
        </w:rPr>
        <w:t>to be culpable for murder under the natural and probable consequences theory</w:t>
      </w:r>
      <w:r w:rsidRPr="009C6CB3" w:rsidR="00F124A9">
        <w:rPr>
          <w:rFonts w:cstheme="minorHAnsi"/>
          <w:szCs w:val="26"/>
        </w:rPr>
        <w:t xml:space="preserve"> after </w:t>
      </w:r>
      <w:r w:rsidRPr="009C6CB3" w:rsidR="00F508AE">
        <w:rPr>
          <w:rFonts w:cstheme="minorHAnsi"/>
          <w:szCs w:val="26"/>
        </w:rPr>
        <w:t>S</w:t>
      </w:r>
      <w:r w:rsidRPr="009C6CB3" w:rsidR="00B4417A">
        <w:rPr>
          <w:rFonts w:cstheme="minorHAnsi"/>
          <w:szCs w:val="26"/>
        </w:rPr>
        <w:t xml:space="preserve">enate </w:t>
      </w:r>
      <w:r w:rsidRPr="009C6CB3" w:rsidR="00F508AE">
        <w:rPr>
          <w:rFonts w:cstheme="minorHAnsi"/>
          <w:szCs w:val="26"/>
        </w:rPr>
        <w:t>B</w:t>
      </w:r>
      <w:r w:rsidRPr="009C6CB3" w:rsidR="00B4417A">
        <w:rPr>
          <w:rFonts w:cstheme="minorHAnsi"/>
          <w:szCs w:val="26"/>
        </w:rPr>
        <w:t>ill</w:t>
      </w:r>
      <w:r w:rsidRPr="009C6CB3" w:rsidR="00F508AE">
        <w:rPr>
          <w:rFonts w:cstheme="minorHAnsi"/>
          <w:szCs w:val="26"/>
        </w:rPr>
        <w:t> 1437</w:t>
      </w:r>
      <w:r w:rsidRPr="009C6CB3" w:rsidR="008D388A">
        <w:rPr>
          <w:rFonts w:cstheme="minorHAnsi"/>
          <w:szCs w:val="26"/>
        </w:rPr>
        <w:t>,</w:t>
      </w:r>
      <w:r w:rsidRPr="009C6CB3" w:rsidR="00DB6626">
        <w:rPr>
          <w:rFonts w:cstheme="minorHAnsi"/>
          <w:szCs w:val="26"/>
        </w:rPr>
        <w:t xml:space="preserve"> a</w:t>
      </w:r>
      <w:r w:rsidRPr="009C6CB3" w:rsidR="008D388A">
        <w:rPr>
          <w:rFonts w:cstheme="minorHAnsi"/>
          <w:szCs w:val="26"/>
        </w:rPr>
        <w:t xml:space="preserve"> defendant must aid in and intend the commission of a target offense, the target offense must have foreseeably resulted in murder, and </w:t>
      </w:r>
      <w:r>
        <w:rPr>
          <w:rFonts w:cstheme="minorHAnsi"/>
          <w:szCs w:val="26"/>
        </w:rPr>
        <w:t>additionally</w:t>
      </w:r>
      <w:r w:rsidRPr="009C6CB3">
        <w:rPr>
          <w:rFonts w:cstheme="minorHAnsi"/>
          <w:szCs w:val="26"/>
        </w:rPr>
        <w:t xml:space="preserve"> </w:t>
      </w:r>
      <w:r w:rsidRPr="009C6CB3" w:rsidR="008D388A">
        <w:rPr>
          <w:rFonts w:cstheme="minorHAnsi"/>
          <w:szCs w:val="26"/>
        </w:rPr>
        <w:t>the defendant must possess malice aforethought.</w:t>
      </w:r>
      <w:r w:rsidRPr="009C6CB3" w:rsidR="00DB6626">
        <w:rPr>
          <w:rFonts w:cstheme="minorHAnsi"/>
          <w:szCs w:val="26"/>
        </w:rPr>
        <w:t xml:space="preserve">  </w:t>
      </w:r>
      <w:r w:rsidR="00EE31D1">
        <w:rPr>
          <w:rFonts w:cstheme="minorHAnsi"/>
          <w:szCs w:val="26"/>
        </w:rPr>
        <w:t>The D</w:t>
      </w:r>
      <w:r>
        <w:rPr>
          <w:rFonts w:cstheme="minorHAnsi"/>
          <w:szCs w:val="26"/>
        </w:rPr>
        <w:t>istrict Attorney</w:t>
      </w:r>
      <w:r w:rsidRPr="009C6CB3">
        <w:rPr>
          <w:rFonts w:cstheme="minorHAnsi"/>
          <w:szCs w:val="26"/>
        </w:rPr>
        <w:t xml:space="preserve"> </w:t>
      </w:r>
      <w:r w:rsidRPr="009C6CB3" w:rsidR="00B96BA9">
        <w:rPr>
          <w:rFonts w:cstheme="minorHAnsi"/>
          <w:szCs w:val="26"/>
        </w:rPr>
        <w:t>points to</w:t>
      </w:r>
      <w:r w:rsidRPr="009C6CB3">
        <w:rPr>
          <w:rFonts w:cstheme="minorHAnsi"/>
          <w:szCs w:val="26"/>
        </w:rPr>
        <w:t xml:space="preserve"> the fact that uncodified </w:t>
      </w:r>
      <w:bookmarkStart w:id="89" w:name="Psych_Cite_79"/>
      <w:r w:rsidRPr="009C6CB3">
        <w:rPr>
          <w:rFonts w:cstheme="minorHAnsi"/>
          <w:szCs w:val="26"/>
        </w:rPr>
        <w:t>section 1, subdivision</w:t>
      </w:r>
      <w:r w:rsidR="00857A20">
        <w:rPr>
          <w:rFonts w:cstheme="minorHAnsi"/>
          <w:szCs w:val="26"/>
        </w:rPr>
        <w:t> </w:t>
      </w:r>
      <w:r w:rsidRPr="009C6CB3">
        <w:rPr>
          <w:rFonts w:cstheme="minorHAnsi"/>
          <w:szCs w:val="26"/>
        </w:rPr>
        <w:t>(f)</w:t>
      </w:r>
      <w:bookmarkEnd w:id="89"/>
      <w:r w:rsidRPr="009C6CB3">
        <w:rPr>
          <w:rFonts w:cstheme="minorHAnsi"/>
          <w:szCs w:val="26"/>
        </w:rPr>
        <w:t xml:space="preserve"> of Senate Bill 1437 uses the word “amend.”  (</w:t>
      </w:r>
      <w:bookmarkStart w:id="90" w:name="Psych_Cite_77"/>
      <w:r w:rsidRPr="009C6CB3">
        <w:rPr>
          <w:rFonts w:cstheme="minorHAnsi"/>
          <w:i/>
          <w:iCs/>
          <w:szCs w:val="26"/>
        </w:rPr>
        <w:t>Id.</w:t>
      </w:r>
      <w:r w:rsidRPr="009C6CB3">
        <w:rPr>
          <w:rFonts w:cstheme="minorHAnsi"/>
          <w:szCs w:val="26"/>
        </w:rPr>
        <w:t>, § 1</w:t>
      </w:r>
      <w:r w:rsidR="000301FA">
        <w:rPr>
          <w:rFonts w:cstheme="minorHAnsi"/>
          <w:szCs w:val="26"/>
        </w:rPr>
        <w:t>, subd</w:t>
      </w:r>
      <w:bookmarkEnd w:id="90"/>
      <w:r w:rsidR="000301FA">
        <w:rPr>
          <w:rFonts w:cstheme="minorHAnsi"/>
          <w:szCs w:val="26"/>
        </w:rPr>
        <w:t xml:space="preserve">. </w:t>
      </w:r>
      <w:r w:rsidRPr="009C6CB3">
        <w:rPr>
          <w:rFonts w:cstheme="minorHAnsi"/>
          <w:szCs w:val="26"/>
        </w:rPr>
        <w:t xml:space="preserve">(f) [“It </w:t>
      </w:r>
      <w:r w:rsidRPr="009C6CB3">
        <w:t xml:space="preserve">is necessary to </w:t>
      </w:r>
      <w:r w:rsidRPr="009C6CB3">
        <w:rPr>
          <w:iCs/>
        </w:rPr>
        <w:t>amend</w:t>
      </w:r>
      <w:r w:rsidRPr="009C6CB3">
        <w:t> 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w:t>
      </w:r>
    </w:p>
    <w:p w:rsidR="00532FFD" w:rsidP="009C6CB3">
      <w:pPr>
        <w:autoSpaceDE w:val="0"/>
        <w:autoSpaceDN w:val="0"/>
        <w:adjustRightInd w:val="0"/>
        <w:ind w:firstLine="720"/>
      </w:pPr>
      <w:r w:rsidRPr="009C6CB3">
        <w:t xml:space="preserve">But </w:t>
      </w:r>
      <w:r w:rsidRPr="009C6CB3" w:rsidR="00B96BA9">
        <w:t xml:space="preserve">it is not unreasonable to say that Senate Bill 1437 “amend[ed] . . . the natural and probable consequences doctrine, as it relates to murder,” by eliminating the doctrine’s applicability to murder while leaving the doctrine intact with respect to other crimes.  </w:t>
      </w:r>
      <w:r w:rsidRPr="009C6CB3" w:rsidR="008E19D0">
        <w:rPr>
          <w:rFonts w:cstheme="minorHAnsi"/>
          <w:szCs w:val="26"/>
        </w:rPr>
        <w:t>(</w:t>
      </w:r>
      <w:r w:rsidRPr="009C6CB3" w:rsidR="008E19D0">
        <w:rPr>
          <w:rFonts w:cstheme="minorHAnsi"/>
          <w:i/>
          <w:iCs/>
          <w:szCs w:val="26"/>
        </w:rPr>
        <w:t>I</w:t>
      </w:r>
      <w:bookmarkStart w:id="91" w:name="Psych_Cite_80"/>
      <w:r w:rsidRPr="009C6CB3" w:rsidR="008E19D0">
        <w:rPr>
          <w:rFonts w:cstheme="minorHAnsi"/>
          <w:i/>
          <w:iCs/>
          <w:szCs w:val="26"/>
        </w:rPr>
        <w:t>d.</w:t>
      </w:r>
      <w:r w:rsidRPr="009C6CB3" w:rsidR="008E19D0">
        <w:rPr>
          <w:rFonts w:cstheme="minorHAnsi"/>
          <w:szCs w:val="26"/>
        </w:rPr>
        <w:t>, § 1</w:t>
      </w:r>
      <w:r w:rsidR="008E19D0">
        <w:rPr>
          <w:rFonts w:cstheme="minorHAnsi"/>
          <w:szCs w:val="26"/>
        </w:rPr>
        <w:t>, subd</w:t>
      </w:r>
      <w:bookmarkEnd w:id="91"/>
      <w:r w:rsidR="008E19D0">
        <w:rPr>
          <w:rFonts w:cstheme="minorHAnsi"/>
          <w:szCs w:val="26"/>
        </w:rPr>
        <w:t xml:space="preserve">. </w:t>
      </w:r>
      <w:r w:rsidRPr="009C6CB3" w:rsidR="008E19D0">
        <w:rPr>
          <w:rFonts w:cstheme="minorHAnsi"/>
          <w:szCs w:val="26"/>
        </w:rPr>
        <w:t>(f)</w:t>
      </w:r>
      <w:r w:rsidR="008E19D0">
        <w:rPr>
          <w:rFonts w:cstheme="minorHAnsi"/>
          <w:szCs w:val="26"/>
        </w:rPr>
        <w:t xml:space="preserve">.)  </w:t>
      </w:r>
      <w:r w:rsidRPr="009C6CB3" w:rsidR="00B96BA9">
        <w:t xml:space="preserve">In any event, </w:t>
      </w:r>
      <w:r w:rsidRPr="009C6CB3">
        <w:t>an uncodified statement of purpose cannot substitute for operative statutory language (</w:t>
      </w:r>
      <w:bookmarkStart w:id="92" w:name="Psych_Cite_81"/>
      <w:r w:rsidRPr="009C6CB3">
        <w:t xml:space="preserve">see </w:t>
      </w:r>
      <w:r w:rsidRPr="009C6CB3">
        <w:rPr>
          <w:i/>
          <w:iCs/>
        </w:rPr>
        <w:t>Scher v. Burke</w:t>
      </w:r>
      <w:r w:rsidRPr="009C6CB3">
        <w:t xml:space="preserve"> (2017) 3 Cal.5th 136, 148</w:t>
      </w:r>
      <w:r w:rsidRPr="009C6CB3" w:rsidR="00A61A28">
        <w:t>–</w:t>
      </w:r>
      <w:r w:rsidRPr="009C6CB3">
        <w:t>149</w:t>
      </w:r>
      <w:bookmarkEnd w:id="92"/>
      <w:r w:rsidRPr="009C6CB3">
        <w:t xml:space="preserve">; </w:t>
      </w:r>
      <w:bookmarkStart w:id="93" w:name="Psych_Cite_82"/>
      <w:r w:rsidRPr="009C6CB3">
        <w:rPr>
          <w:i/>
          <w:iCs/>
        </w:rPr>
        <w:t>Equilon Enterprises v. Consumer Cause, Inc.</w:t>
      </w:r>
      <w:r w:rsidRPr="009C6CB3">
        <w:t xml:space="preserve"> (2002) 29</w:t>
      </w:r>
      <w:r w:rsidR="00705949">
        <w:t> </w:t>
      </w:r>
      <w:r w:rsidRPr="009C6CB3">
        <w:t>Cal.4th 53, 58</w:t>
      </w:r>
      <w:bookmarkEnd w:id="93"/>
      <w:r w:rsidRPr="009C6CB3" w:rsidR="003037C7">
        <w:t>–</w:t>
      </w:r>
      <w:r w:rsidRPr="009C6CB3">
        <w:t>61)</w:t>
      </w:r>
      <w:r w:rsidR="00BD5883">
        <w:t xml:space="preserve">.  By limiting murder liability to those principals who personally acted with malice </w:t>
      </w:r>
      <w:r w:rsidR="00BB6BA9">
        <w:t>aforethought</w:t>
      </w:r>
      <w:r w:rsidR="00BD5883">
        <w:t>, section 188(a)(3) eliminates what was the core feature of natural and probable consequences murder liability:  the absence of a requirement that the defendant personally possess malice aforethought.  As a result,</w:t>
      </w:r>
      <w:r w:rsidRPr="009C6CB3">
        <w:t xml:space="preserve"> the most natural reading of </w:t>
      </w:r>
      <w:r w:rsidRPr="009C6CB3" w:rsidR="00B96BA9">
        <w:t>Senate Bill 1437’s</w:t>
      </w:r>
      <w:r w:rsidRPr="009C6CB3">
        <w:t xml:space="preserve"> operative language is that it eliminates natural and probable consequences liability for </w:t>
      </w:r>
      <w:r w:rsidRPr="009C6CB3" w:rsidR="003F14B5">
        <w:t xml:space="preserve">first and </w:t>
      </w:r>
      <w:r w:rsidRPr="009C6CB3">
        <w:t>second degree murder.</w:t>
      </w:r>
      <w:r w:rsidR="00172DFE">
        <w:t xml:space="preserve">  </w:t>
      </w:r>
      <w:r w:rsidRPr="009C6CB3" w:rsidR="00B96BA9">
        <w:t>Further</w:t>
      </w:r>
      <w:r w:rsidRPr="009C6CB3">
        <w:t xml:space="preserve">, we agree with the Attorney General that the </w:t>
      </w:r>
      <w:r w:rsidR="003D618D">
        <w:t>D</w:t>
      </w:r>
      <w:r w:rsidR="00172DFE">
        <w:t>istrict Attorney</w:t>
      </w:r>
      <w:r w:rsidR="003D618D">
        <w:t>’s proposed</w:t>
      </w:r>
      <w:r w:rsidRPr="009C6CB3" w:rsidR="003D618D">
        <w:t xml:space="preserve"> </w:t>
      </w:r>
      <w:r w:rsidRPr="009C6CB3">
        <w:t>“hybrid doctrine” is “confusing and unnecessary”</w:t>
      </w:r>
      <w:r w:rsidRPr="009C6CB3" w:rsidR="00B96BA9">
        <w:t xml:space="preserve"> and is </w:t>
      </w:r>
      <w:r w:rsidRPr="009C6CB3" w:rsidR="00CB7A65">
        <w:t>most likely not</w:t>
      </w:r>
      <w:r w:rsidRPr="009C6CB3" w:rsidR="00B96BA9">
        <w:t xml:space="preserve"> what the Legislature intended.</w:t>
      </w:r>
    </w:p>
    <w:p w:rsidR="00CB7A65" w:rsidRPr="009C6CB3" w:rsidP="009C6CB3">
      <w:pPr>
        <w:autoSpaceDE w:val="0"/>
        <w:autoSpaceDN w:val="0"/>
        <w:adjustRightInd w:val="0"/>
        <w:ind w:firstLine="720"/>
      </w:pPr>
      <w:r w:rsidRPr="009C6CB3">
        <w:t xml:space="preserve">The </w:t>
      </w:r>
      <w:r w:rsidR="00857A20">
        <w:t>D</w:t>
      </w:r>
      <w:r w:rsidR="00172DFE">
        <w:t>istrict Attorney</w:t>
      </w:r>
      <w:r w:rsidR="00857A20">
        <w:t xml:space="preserve"> </w:t>
      </w:r>
      <w:r w:rsidRPr="009C6CB3">
        <w:t xml:space="preserve">points to two unpublished cases to illustrate the importance of creating a “hybrid doctrine.”  In </w:t>
      </w:r>
      <w:r w:rsidRPr="009C6CB3">
        <w:t>one case</w:t>
      </w:r>
      <w:r w:rsidRPr="009C6CB3">
        <w:t xml:space="preserve">, the driver in a drive-by shooting was convicted of second degree murder after he “observed rival gang members on [his gang’s] ‘turf’ ” </w:t>
      </w:r>
      <w:r w:rsidRPr="009C6CB3">
        <w:t xml:space="preserve">and </w:t>
      </w:r>
      <w:r w:rsidRPr="009C6CB3">
        <w:t xml:space="preserve">“drove up to the rivals at a rapid speed to scare them” as well as “beat them up and harm them,” </w:t>
      </w:r>
      <w:r w:rsidRPr="009C6CB3">
        <w:t xml:space="preserve">at which point </w:t>
      </w:r>
      <w:r w:rsidRPr="009C6CB3">
        <w:t xml:space="preserve">his companion suddenly opened fire </w:t>
      </w:r>
      <w:r w:rsidRPr="009C6CB3">
        <w:t xml:space="preserve">and caused </w:t>
      </w:r>
      <w:r w:rsidRPr="009C6CB3">
        <w:t>the death of one of the rival gang members.  (</w:t>
      </w:r>
      <w:r w:rsidRPr="009C6CB3">
        <w:rPr>
          <w:i/>
          <w:iCs/>
        </w:rPr>
        <w:t>People v. Franco</w:t>
      </w:r>
      <w:r w:rsidRPr="009C6CB3">
        <w:t xml:space="preserve"> (Dec. 10, 2012, D060354) [nonpub. opn.].)  In the </w:t>
      </w:r>
      <w:r w:rsidRPr="009C6CB3">
        <w:t xml:space="preserve">other </w:t>
      </w:r>
      <w:r w:rsidRPr="009C6CB3">
        <w:t>case, three gang members were convicted of second degree murder for ambushing and stabbing to death a person walking home, but the evidence was inconclusive as to which of the defendants actually caused the death of the victim.  (</w:t>
      </w:r>
      <w:r w:rsidRPr="009C6CB3">
        <w:rPr>
          <w:i/>
          <w:iCs/>
        </w:rPr>
        <w:t>People v. Dean</w:t>
      </w:r>
      <w:r w:rsidRPr="009C6CB3">
        <w:t xml:space="preserve"> (Sept. 30, 2020, D074371) [nonpub. opn.].)  </w:t>
      </w:r>
      <w:r w:rsidRPr="009C6CB3">
        <w:t>W</w:t>
      </w:r>
      <w:r w:rsidRPr="009C6CB3">
        <w:t xml:space="preserve">ithout a “hybrid doctrine,” </w:t>
      </w:r>
      <w:r w:rsidRPr="009C6CB3">
        <w:t xml:space="preserve">the </w:t>
      </w:r>
      <w:r w:rsidR="00857A20">
        <w:t>D</w:t>
      </w:r>
      <w:r w:rsidR="00172DFE">
        <w:t>istrict Attorney</w:t>
      </w:r>
      <w:r w:rsidR="00857A20">
        <w:t xml:space="preserve"> </w:t>
      </w:r>
      <w:r w:rsidRPr="009C6CB3">
        <w:t xml:space="preserve">contends, </w:t>
      </w:r>
      <w:r w:rsidRPr="009C6CB3">
        <w:t>these defendants would have “literally g[otten] away with murder.”</w:t>
      </w:r>
    </w:p>
    <w:p w:rsidR="008963C6" w:rsidP="009C6CB3">
      <w:pPr>
        <w:autoSpaceDE w:val="0"/>
        <w:autoSpaceDN w:val="0"/>
        <w:adjustRightInd w:val="0"/>
        <w:ind w:firstLine="720"/>
        <w:rPr>
          <w:szCs w:val="26"/>
        </w:rPr>
      </w:pPr>
      <w:r>
        <w:t>A</w:t>
      </w:r>
      <w:r w:rsidRPr="009C6CB3" w:rsidR="00CB7A65">
        <w:t>s</w:t>
      </w:r>
      <w:r w:rsidRPr="009C6CB3" w:rsidR="00C127E9">
        <w:t xml:space="preserve"> the Attorney General </w:t>
      </w:r>
      <w:r w:rsidRPr="009C6CB3" w:rsidR="00CB7A65">
        <w:t xml:space="preserve">observes, </w:t>
      </w:r>
      <w:r>
        <w:t xml:space="preserve">however, </w:t>
      </w:r>
      <w:r w:rsidRPr="009C6CB3" w:rsidR="00CB7A65">
        <w:t xml:space="preserve">second degree murder in </w:t>
      </w:r>
      <w:r w:rsidRPr="009C6CB3" w:rsidR="00C127E9">
        <w:t>both</w:t>
      </w:r>
      <w:r w:rsidRPr="009C6CB3" w:rsidR="00CB7A65">
        <w:t xml:space="preserve"> </w:t>
      </w:r>
      <w:r w:rsidRPr="009C6CB3" w:rsidR="00C127E9">
        <w:t xml:space="preserve">cases </w:t>
      </w:r>
      <w:r w:rsidR="00556E33">
        <w:t>might</w:t>
      </w:r>
      <w:r w:rsidRPr="009C6CB3" w:rsidR="00C127E9">
        <w:t xml:space="preserve"> </w:t>
      </w:r>
      <w:r w:rsidRPr="009C6CB3" w:rsidR="00CB7A65">
        <w:t xml:space="preserve">have </w:t>
      </w:r>
      <w:r w:rsidRPr="009C6CB3" w:rsidR="00C127E9">
        <w:t>be</w:t>
      </w:r>
      <w:r w:rsidRPr="009C6CB3" w:rsidR="00CB7A65">
        <w:t>en</w:t>
      </w:r>
      <w:r w:rsidRPr="009C6CB3" w:rsidR="00C127E9">
        <w:t xml:space="preserve"> </w:t>
      </w:r>
      <w:r w:rsidR="00BA2A92">
        <w:t>pursued</w:t>
      </w:r>
      <w:r w:rsidRPr="009C6CB3" w:rsidR="00C127E9">
        <w:t xml:space="preserve"> under a direct aiding and abetting theory. </w:t>
      </w:r>
      <w:r w:rsidRPr="009C6CB3" w:rsidR="004739F5">
        <w:t xml:space="preserve"> </w:t>
      </w:r>
      <w:r w:rsidRPr="009C6CB3" w:rsidR="00CB7A65">
        <w:t>Such a theory</w:t>
      </w:r>
      <w:r w:rsidRPr="009C6CB3" w:rsidR="00C127E9">
        <w:t xml:space="preserve"> requires that “the aider and abettor . . . know and share the murderous intent of the actual perpetrator.”  (</w:t>
      </w:r>
      <w:bookmarkStart w:id="94" w:name="Psych_Cite_83"/>
      <w:r w:rsidRPr="009C6CB3" w:rsidR="00C127E9">
        <w:rPr>
          <w:i/>
          <w:iCs/>
        </w:rPr>
        <w:t>McCoy</w:t>
      </w:r>
      <w:r w:rsidRPr="009C6CB3" w:rsidR="00C127E9">
        <w:t xml:space="preserve">, </w:t>
      </w:r>
      <w:r w:rsidRPr="009C6CB3" w:rsidR="00C127E9">
        <w:rPr>
          <w:i/>
          <w:iCs/>
        </w:rPr>
        <w:t>supra</w:t>
      </w:r>
      <w:r w:rsidRPr="009C6CB3" w:rsidR="00C127E9">
        <w:t>, 25</w:t>
      </w:r>
      <w:r w:rsidR="00A83F14">
        <w:t> </w:t>
      </w:r>
      <w:r w:rsidRPr="009C6CB3" w:rsidR="00C127E9">
        <w:t xml:space="preserve">Cal.4th </w:t>
      </w:r>
      <w:r w:rsidRPr="009C6CB3" w:rsidR="00CB7A65">
        <w:t>at p. </w:t>
      </w:r>
      <w:r w:rsidRPr="009C6CB3" w:rsidR="00C127E9">
        <w:t>1118</w:t>
      </w:r>
      <w:bookmarkEnd w:id="94"/>
      <w:r w:rsidRPr="009C6CB3" w:rsidR="00C127E9">
        <w:t xml:space="preserve">).  </w:t>
      </w:r>
      <w:r w:rsidRPr="009C6CB3" w:rsidR="00CB7A65">
        <w:t xml:space="preserve">For </w:t>
      </w:r>
      <w:r w:rsidRPr="009C6CB3" w:rsidR="00C127E9">
        <w:t>implied malice</w:t>
      </w:r>
      <w:r w:rsidRPr="009C6CB3" w:rsidR="00CB7A65">
        <w:t xml:space="preserve">, the </w:t>
      </w:r>
      <w:r w:rsidRPr="009C6CB3" w:rsidR="00C127E9">
        <w:t xml:space="preserve">intent requirement is </w:t>
      </w:r>
      <w:r w:rsidRPr="009C6CB3" w:rsidR="00CB7A65">
        <w:t xml:space="preserve">satisfied by proof </w:t>
      </w:r>
      <w:r w:rsidRPr="009C6CB3" w:rsidR="00C127E9">
        <w:t xml:space="preserve">that the </w:t>
      </w:r>
      <w:r w:rsidR="001E261A">
        <w:t xml:space="preserve">actual </w:t>
      </w:r>
      <w:r w:rsidRPr="009C6CB3" w:rsidR="00C127E9">
        <w:t>perpetrator</w:t>
      </w:r>
      <w:r w:rsidRPr="009C6CB3" w:rsidR="00C127E9">
        <w:rPr>
          <w:szCs w:val="26"/>
        </w:rPr>
        <w:t xml:space="preserve"> “</w:t>
      </w:r>
      <w:r w:rsidRPr="009C6CB3" w:rsidR="00FA064E">
        <w:rPr>
          <w:szCs w:val="26"/>
        </w:rPr>
        <w:t> </w:t>
      </w:r>
      <w:r w:rsidRPr="009C6CB3" w:rsidR="00C127E9">
        <w:rPr>
          <w:szCs w:val="26"/>
        </w:rPr>
        <w:t>‘knows that his conduct endangers the life of another and . . . acts with conscious disregard for life.’</w:t>
      </w:r>
      <w:r w:rsidR="00543487">
        <w:rPr>
          <w:szCs w:val="26"/>
        </w:rPr>
        <w:t> </w:t>
      </w:r>
      <w:r w:rsidRPr="009C6CB3" w:rsidR="00C127E9">
        <w:rPr>
          <w:szCs w:val="26"/>
        </w:rPr>
        <w:t>”  (</w:t>
      </w:r>
      <w:bookmarkStart w:id="95" w:name="Psych_Cite_84"/>
      <w:r w:rsidRPr="009C6CB3" w:rsidR="00C127E9">
        <w:rPr>
          <w:i/>
          <w:iCs/>
          <w:szCs w:val="26"/>
        </w:rPr>
        <w:t>Soto</w:t>
      </w:r>
      <w:r w:rsidR="0074083B">
        <w:rPr>
          <w:szCs w:val="26"/>
        </w:rPr>
        <w:t xml:space="preserve">, </w:t>
      </w:r>
      <w:r w:rsidR="0074083B">
        <w:rPr>
          <w:i/>
          <w:iCs/>
          <w:szCs w:val="26"/>
        </w:rPr>
        <w:t>supra</w:t>
      </w:r>
      <w:r w:rsidR="0074083B">
        <w:rPr>
          <w:szCs w:val="26"/>
        </w:rPr>
        <w:t>,</w:t>
      </w:r>
      <w:r w:rsidRPr="009C6CB3" w:rsidR="00C127E9">
        <w:rPr>
          <w:szCs w:val="26"/>
        </w:rPr>
        <w:t xml:space="preserve"> 4 Cal.5th </w:t>
      </w:r>
      <w:r w:rsidR="0074083B">
        <w:rPr>
          <w:szCs w:val="26"/>
        </w:rPr>
        <w:t xml:space="preserve">at p. </w:t>
      </w:r>
      <w:r w:rsidRPr="009C6CB3" w:rsidR="00C127E9">
        <w:rPr>
          <w:szCs w:val="26"/>
        </w:rPr>
        <w:t>974</w:t>
      </w:r>
      <w:bookmarkEnd w:id="95"/>
      <w:r w:rsidRPr="009C6CB3" w:rsidR="00C127E9">
        <w:rPr>
          <w:szCs w:val="26"/>
        </w:rPr>
        <w:t xml:space="preserve">.) </w:t>
      </w:r>
      <w:r>
        <w:rPr>
          <w:szCs w:val="26"/>
        </w:rPr>
        <w:t xml:space="preserve"> Therefore, notwithstanding Senate Bill 1437’s elimination of natural and probable consequences liability for second degree murder, an aider and abettor who does not expressly intend to aid a killing can still be convicted of second degree murder if </w:t>
      </w:r>
      <w:r w:rsidR="001B6692">
        <w:rPr>
          <w:szCs w:val="26"/>
        </w:rPr>
        <w:t>the person</w:t>
      </w:r>
      <w:r>
        <w:rPr>
          <w:szCs w:val="26"/>
        </w:rPr>
        <w:t xml:space="preserve"> knows that </w:t>
      </w:r>
      <w:r w:rsidR="001B6692">
        <w:rPr>
          <w:szCs w:val="26"/>
        </w:rPr>
        <w:t>his or her conduct</w:t>
      </w:r>
      <w:r>
        <w:rPr>
          <w:szCs w:val="26"/>
        </w:rPr>
        <w:t xml:space="preserve"> endangers the life of another and acts with conscious disregard for life.</w:t>
      </w:r>
    </w:p>
    <w:p w:rsidR="003815B7" w:rsidRPr="009C6CB3" w:rsidP="009C6CB3">
      <w:pPr>
        <w:autoSpaceDE w:val="0"/>
        <w:autoSpaceDN w:val="0"/>
        <w:adjustRightInd w:val="0"/>
        <w:ind w:firstLine="720"/>
        <w:rPr>
          <w:szCs w:val="24"/>
        </w:rPr>
      </w:pPr>
      <w:r>
        <w:rPr>
          <w:szCs w:val="26"/>
        </w:rPr>
        <w:t>I</w:t>
      </w:r>
      <w:r w:rsidRPr="009C6CB3" w:rsidR="00C127E9">
        <w:rPr>
          <w:szCs w:val="26"/>
        </w:rPr>
        <w:t>n other cases</w:t>
      </w:r>
      <w:r w:rsidRPr="009C6CB3" w:rsidR="005403DE">
        <w:rPr>
          <w:szCs w:val="26"/>
        </w:rPr>
        <w:t xml:space="preserve"> involving</w:t>
      </w:r>
      <w:r w:rsidRPr="009C6CB3" w:rsidR="00C127E9">
        <w:rPr>
          <w:szCs w:val="26"/>
        </w:rPr>
        <w:t xml:space="preserve"> conduct resulting in </w:t>
      </w:r>
      <w:r w:rsidRPr="009C6CB3" w:rsidR="003254A3">
        <w:rPr>
          <w:szCs w:val="26"/>
        </w:rPr>
        <w:t xml:space="preserve">a victim’s </w:t>
      </w:r>
      <w:r w:rsidRPr="009C6CB3" w:rsidR="00C127E9">
        <w:rPr>
          <w:szCs w:val="26"/>
        </w:rPr>
        <w:t>death</w:t>
      </w:r>
      <w:r w:rsidRPr="009C6CB3" w:rsidR="005403DE">
        <w:rPr>
          <w:szCs w:val="26"/>
        </w:rPr>
        <w:t>, a murder prosecution</w:t>
      </w:r>
      <w:r w:rsidRPr="009C6CB3" w:rsidR="00C127E9">
        <w:rPr>
          <w:szCs w:val="26"/>
        </w:rPr>
        <w:t xml:space="preserve"> </w:t>
      </w:r>
      <w:r w:rsidRPr="009C6CB3" w:rsidR="003254A3">
        <w:rPr>
          <w:szCs w:val="26"/>
        </w:rPr>
        <w:t xml:space="preserve">can </w:t>
      </w:r>
      <w:r w:rsidRPr="009C6CB3" w:rsidR="005403DE">
        <w:rPr>
          <w:szCs w:val="26"/>
        </w:rPr>
        <w:t xml:space="preserve">proceed under </w:t>
      </w:r>
      <w:r w:rsidRPr="009C6CB3" w:rsidR="00C127E9">
        <w:rPr>
          <w:szCs w:val="26"/>
        </w:rPr>
        <w:t>the “substantial factor” causation doctrine or the felony murder rule.  (</w:t>
      </w:r>
      <w:bookmarkStart w:id="96" w:name="Psych_Cite_85"/>
      <w:r w:rsidRPr="009C6CB3" w:rsidR="00C127E9">
        <w:rPr>
          <w:szCs w:val="26"/>
        </w:rPr>
        <w:t xml:space="preserve">See, e.g., </w:t>
      </w:r>
      <w:r w:rsidRPr="009C6CB3" w:rsidR="00C127E9">
        <w:rPr>
          <w:i/>
          <w:iCs/>
          <w:szCs w:val="26"/>
        </w:rPr>
        <w:t>People v. Jennings</w:t>
      </w:r>
      <w:r w:rsidRPr="009C6CB3" w:rsidR="00C127E9">
        <w:rPr>
          <w:szCs w:val="26"/>
        </w:rPr>
        <w:t xml:space="preserve"> (2010) 50 Cal.4th 616, 643</w:t>
      </w:r>
      <w:bookmarkEnd w:id="96"/>
      <w:r w:rsidRPr="009C6CB3" w:rsidR="00C127E9">
        <w:rPr>
          <w:szCs w:val="26"/>
        </w:rPr>
        <w:t xml:space="preserve">; </w:t>
      </w:r>
      <w:bookmarkStart w:id="97" w:name="Psych_Cite_86"/>
      <w:r w:rsidRPr="009C6CB3" w:rsidR="00C127E9">
        <w:rPr>
          <w:i/>
          <w:iCs/>
          <w:szCs w:val="26"/>
        </w:rPr>
        <w:t xml:space="preserve">People v. Chun </w:t>
      </w:r>
      <w:r w:rsidRPr="009C6CB3" w:rsidR="00C127E9">
        <w:rPr>
          <w:szCs w:val="26"/>
        </w:rPr>
        <w:t>(2009) 45 Cal.4th 1172, 1182</w:t>
      </w:r>
      <w:bookmarkEnd w:id="97"/>
      <w:r w:rsidRPr="009C6CB3" w:rsidR="00C127E9">
        <w:rPr>
          <w:szCs w:val="26"/>
        </w:rPr>
        <w:t xml:space="preserve">.)  </w:t>
      </w:r>
      <w:r>
        <w:rPr>
          <w:szCs w:val="26"/>
        </w:rPr>
        <w:t>Moreover,</w:t>
      </w:r>
      <w:r w:rsidRPr="009C6CB3">
        <w:rPr>
          <w:szCs w:val="26"/>
        </w:rPr>
        <w:t xml:space="preserve"> </w:t>
      </w:r>
      <w:r w:rsidRPr="009C6CB3">
        <w:rPr>
          <w:rFonts w:cstheme="minorHAnsi"/>
          <w:szCs w:val="26"/>
        </w:rPr>
        <w:t xml:space="preserve">the foreseeable result of a defendant’s actions, though insufficient by itself to </w:t>
      </w:r>
      <w:r w:rsidR="001B6692">
        <w:rPr>
          <w:rFonts w:cstheme="minorHAnsi"/>
          <w:szCs w:val="26"/>
        </w:rPr>
        <w:t>result in</w:t>
      </w:r>
      <w:r w:rsidRPr="009C6CB3">
        <w:rPr>
          <w:rFonts w:cstheme="minorHAnsi"/>
          <w:szCs w:val="26"/>
        </w:rPr>
        <w:t xml:space="preserve"> liability for murder, remains relevant to assessing whether </w:t>
      </w:r>
      <w:r w:rsidR="001B6692">
        <w:rPr>
          <w:rFonts w:cstheme="minorHAnsi"/>
          <w:szCs w:val="26"/>
        </w:rPr>
        <w:t>the defendant</w:t>
      </w:r>
      <w:r w:rsidRPr="009C6CB3">
        <w:rPr>
          <w:rFonts w:cstheme="minorHAnsi"/>
          <w:szCs w:val="26"/>
        </w:rPr>
        <w:t xml:space="preserve"> acted with malice aforethought or whether </w:t>
      </w:r>
      <w:r w:rsidR="001B6692">
        <w:rPr>
          <w:rFonts w:cstheme="minorHAnsi"/>
          <w:szCs w:val="26"/>
        </w:rPr>
        <w:t>the defendant’s</w:t>
      </w:r>
      <w:r w:rsidRPr="009C6CB3">
        <w:rPr>
          <w:rFonts w:cstheme="minorHAnsi"/>
          <w:szCs w:val="26"/>
        </w:rPr>
        <w:t xml:space="preserve"> actions were sufficiently connected to the victim’s death as a matter of proximate cause.</w:t>
      </w:r>
    </w:p>
    <w:p w:rsidR="003E2489" w:rsidRPr="009C6CB3" w:rsidP="009C6CB3">
      <w:pPr>
        <w:autoSpaceDE w:val="0"/>
        <w:autoSpaceDN w:val="0"/>
        <w:adjustRightInd w:val="0"/>
        <w:ind w:firstLine="720"/>
        <w:rPr>
          <w:rFonts w:cstheme="minorHAnsi"/>
          <w:szCs w:val="26"/>
        </w:rPr>
      </w:pPr>
      <w:r w:rsidRPr="009C6CB3">
        <w:rPr>
          <w:szCs w:val="26"/>
        </w:rPr>
        <w:t xml:space="preserve">Even if </w:t>
      </w:r>
      <w:r w:rsidRPr="009C6CB3" w:rsidR="00C127E9">
        <w:rPr>
          <w:szCs w:val="26"/>
        </w:rPr>
        <w:t xml:space="preserve">the “hybrid doctrine” might </w:t>
      </w:r>
      <w:r w:rsidRPr="009C6CB3" w:rsidR="005403DE">
        <w:rPr>
          <w:szCs w:val="26"/>
        </w:rPr>
        <w:t xml:space="preserve">theoretically </w:t>
      </w:r>
      <w:r w:rsidRPr="009C6CB3" w:rsidR="00C127E9">
        <w:rPr>
          <w:szCs w:val="26"/>
        </w:rPr>
        <w:t xml:space="preserve">reach some conduct not reached by the doctrines above, the universe of such conduct </w:t>
      </w:r>
      <w:r w:rsidRPr="009C6CB3">
        <w:rPr>
          <w:szCs w:val="26"/>
        </w:rPr>
        <w:t>— where there is proof of malice af</w:t>
      </w:r>
      <w:r w:rsidR="00BF72EB">
        <w:rPr>
          <w:szCs w:val="26"/>
        </w:rPr>
        <w:t>orethought</w:t>
      </w:r>
      <w:r w:rsidRPr="009C6CB3">
        <w:rPr>
          <w:szCs w:val="26"/>
        </w:rPr>
        <w:t xml:space="preserve"> but insufficient evidence of direct aiding and abetting or other </w:t>
      </w:r>
      <w:r w:rsidRPr="009C6CB3" w:rsidR="005403DE">
        <w:rPr>
          <w:szCs w:val="26"/>
        </w:rPr>
        <w:t xml:space="preserve">liability for murder — seems ill-defined and, in any event, quite narrow.  </w:t>
      </w:r>
      <w:r w:rsidRPr="009C6CB3" w:rsidR="0073559E">
        <w:rPr>
          <w:rFonts w:cstheme="minorHAnsi"/>
          <w:szCs w:val="26"/>
        </w:rPr>
        <w:t>We</w:t>
      </w:r>
      <w:r w:rsidRPr="009C6CB3" w:rsidR="00C127E9">
        <w:rPr>
          <w:rFonts w:cstheme="minorHAnsi"/>
          <w:szCs w:val="26"/>
        </w:rPr>
        <w:t xml:space="preserve"> </w:t>
      </w:r>
      <w:r w:rsidRPr="009C6CB3" w:rsidR="005403DE">
        <w:rPr>
          <w:rFonts w:cstheme="minorHAnsi"/>
          <w:szCs w:val="26"/>
        </w:rPr>
        <w:t>are not persuaded</w:t>
      </w:r>
      <w:r w:rsidRPr="009C6CB3" w:rsidR="00C127E9">
        <w:rPr>
          <w:rFonts w:cstheme="minorHAnsi"/>
          <w:szCs w:val="26"/>
        </w:rPr>
        <w:t xml:space="preserve"> that the Legislature intend</w:t>
      </w:r>
      <w:r w:rsidRPr="009C6CB3" w:rsidR="005403DE">
        <w:rPr>
          <w:rFonts w:cstheme="minorHAnsi"/>
          <w:szCs w:val="26"/>
        </w:rPr>
        <w:t>ed</w:t>
      </w:r>
      <w:r w:rsidRPr="009C6CB3" w:rsidR="00C127E9">
        <w:rPr>
          <w:rFonts w:cstheme="minorHAnsi"/>
          <w:szCs w:val="26"/>
        </w:rPr>
        <w:t xml:space="preserve"> to </w:t>
      </w:r>
      <w:r w:rsidR="001B6692">
        <w:rPr>
          <w:rFonts w:cstheme="minorHAnsi"/>
          <w:szCs w:val="26"/>
        </w:rPr>
        <w:t>preserve</w:t>
      </w:r>
      <w:r w:rsidRPr="009C6CB3" w:rsidR="001B6692">
        <w:rPr>
          <w:rFonts w:cstheme="minorHAnsi"/>
          <w:szCs w:val="26"/>
        </w:rPr>
        <w:t xml:space="preserve"> </w:t>
      </w:r>
      <w:r w:rsidRPr="009C6CB3" w:rsidR="00C127E9">
        <w:rPr>
          <w:rFonts w:cstheme="minorHAnsi"/>
          <w:szCs w:val="26"/>
        </w:rPr>
        <w:t xml:space="preserve">natural and probable consequences liability </w:t>
      </w:r>
      <w:r w:rsidRPr="009C6CB3" w:rsidR="005403DE">
        <w:rPr>
          <w:rFonts w:cstheme="minorHAnsi"/>
          <w:szCs w:val="26"/>
        </w:rPr>
        <w:t xml:space="preserve">for murder </w:t>
      </w:r>
      <w:r w:rsidRPr="009C6CB3" w:rsidR="00C127E9">
        <w:rPr>
          <w:rFonts w:cstheme="minorHAnsi"/>
          <w:szCs w:val="26"/>
        </w:rPr>
        <w:t xml:space="preserve">through a “hybrid doctrine” </w:t>
      </w:r>
      <w:r w:rsidRPr="009C6CB3" w:rsidR="005403DE">
        <w:rPr>
          <w:rFonts w:cstheme="minorHAnsi"/>
          <w:szCs w:val="26"/>
        </w:rPr>
        <w:t xml:space="preserve">that would apply </w:t>
      </w:r>
      <w:r w:rsidRPr="009C6CB3" w:rsidR="00C127E9">
        <w:rPr>
          <w:rFonts w:cstheme="minorHAnsi"/>
          <w:szCs w:val="26"/>
        </w:rPr>
        <w:t xml:space="preserve">to </w:t>
      </w:r>
      <w:r w:rsidRPr="009C6CB3" w:rsidR="005403DE">
        <w:rPr>
          <w:rFonts w:cstheme="minorHAnsi"/>
          <w:szCs w:val="26"/>
        </w:rPr>
        <w:t xml:space="preserve">a vague and, in all likelihood, very small set </w:t>
      </w:r>
      <w:r w:rsidRPr="009C6CB3" w:rsidR="00C127E9">
        <w:rPr>
          <w:rFonts w:cstheme="minorHAnsi"/>
          <w:szCs w:val="26"/>
        </w:rPr>
        <w:t>of cases.</w:t>
      </w:r>
      <w:r w:rsidRPr="009C6CB3" w:rsidR="003815B7">
        <w:rPr>
          <w:rFonts w:cstheme="minorHAnsi"/>
          <w:szCs w:val="26"/>
        </w:rPr>
        <w:t xml:space="preserve">  In addition, t</w:t>
      </w:r>
      <w:r w:rsidRPr="009C6CB3" w:rsidR="00C127E9">
        <w:rPr>
          <w:rFonts w:cstheme="minorHAnsi"/>
          <w:szCs w:val="26"/>
        </w:rPr>
        <w:t xml:space="preserve">he District Attorney’s proposed jury instructions for the “hybrid doctrine” would unnecessarily complicate an already complicated body of law.  As the Attorney General explains, the </w:t>
      </w:r>
      <w:r w:rsidRPr="009C6CB3" w:rsidR="003815B7">
        <w:rPr>
          <w:rFonts w:cstheme="minorHAnsi"/>
          <w:szCs w:val="26"/>
        </w:rPr>
        <w:t>core feature</w:t>
      </w:r>
      <w:r w:rsidRPr="009C6CB3" w:rsidR="00C127E9">
        <w:rPr>
          <w:rFonts w:cstheme="minorHAnsi"/>
          <w:szCs w:val="26"/>
        </w:rPr>
        <w:t xml:space="preserve"> of the natural and probable consequences doctrine is that it eliminates the mental state requirement for the nontarget crime</w:t>
      </w:r>
      <w:r w:rsidRPr="009C6CB3" w:rsidR="003815B7">
        <w:rPr>
          <w:rFonts w:cstheme="minorHAnsi"/>
          <w:szCs w:val="26"/>
        </w:rPr>
        <w:t xml:space="preserve"> — here,</w:t>
      </w:r>
      <w:r w:rsidRPr="009C6CB3" w:rsidR="00C127E9">
        <w:rPr>
          <w:rFonts w:cstheme="minorHAnsi"/>
          <w:szCs w:val="26"/>
        </w:rPr>
        <w:t xml:space="preserve"> eliminating the malice requirement for murder.  To instruct </w:t>
      </w:r>
      <w:r w:rsidRPr="009C6CB3" w:rsidR="003815B7">
        <w:rPr>
          <w:rFonts w:cstheme="minorHAnsi"/>
          <w:szCs w:val="26"/>
        </w:rPr>
        <w:t xml:space="preserve">a </w:t>
      </w:r>
      <w:r w:rsidRPr="009C6CB3" w:rsidR="00C127E9">
        <w:rPr>
          <w:rFonts w:cstheme="minorHAnsi"/>
          <w:szCs w:val="26"/>
        </w:rPr>
        <w:t xml:space="preserve">jury on </w:t>
      </w:r>
      <w:r w:rsidRPr="009C6CB3" w:rsidR="003815B7">
        <w:rPr>
          <w:rFonts w:cstheme="minorHAnsi"/>
          <w:szCs w:val="26"/>
        </w:rPr>
        <w:t xml:space="preserve">the </w:t>
      </w:r>
      <w:r w:rsidRPr="009C6CB3" w:rsidR="00C127E9">
        <w:rPr>
          <w:rFonts w:cstheme="minorHAnsi"/>
          <w:szCs w:val="26"/>
        </w:rPr>
        <w:t>natural and probable consequences doctrine, the essence of which is that malice is not required, and then ask the jury to assess whether the defendant acted with malice</w:t>
      </w:r>
      <w:r w:rsidR="0022762D">
        <w:rPr>
          <w:rFonts w:cstheme="minorHAnsi"/>
          <w:szCs w:val="26"/>
        </w:rPr>
        <w:t>,</w:t>
      </w:r>
      <w:r w:rsidRPr="009C6CB3" w:rsidR="00C127E9">
        <w:rPr>
          <w:rFonts w:cstheme="minorHAnsi"/>
          <w:szCs w:val="26"/>
        </w:rPr>
        <w:t xml:space="preserve"> </w:t>
      </w:r>
      <w:r w:rsidRPr="009C6CB3" w:rsidR="003815B7">
        <w:rPr>
          <w:rFonts w:cstheme="minorHAnsi"/>
          <w:szCs w:val="26"/>
        </w:rPr>
        <w:t xml:space="preserve">would pose a substantial risk of </w:t>
      </w:r>
      <w:r w:rsidRPr="009C6CB3" w:rsidR="00EB78A5">
        <w:rPr>
          <w:rFonts w:cstheme="minorHAnsi"/>
          <w:szCs w:val="26"/>
        </w:rPr>
        <w:t xml:space="preserve">confusion. </w:t>
      </w:r>
      <w:r w:rsidRPr="009C6CB3" w:rsidR="00D70CD8">
        <w:rPr>
          <w:rFonts w:cstheme="minorHAnsi"/>
          <w:szCs w:val="26"/>
        </w:rPr>
        <w:t xml:space="preserve"> </w:t>
      </w:r>
      <w:r w:rsidRPr="009C6CB3" w:rsidR="00AD3D06">
        <w:rPr>
          <w:rFonts w:cstheme="minorHAnsi"/>
          <w:szCs w:val="26"/>
        </w:rPr>
        <w:t>This</w:t>
      </w:r>
      <w:r w:rsidRPr="009C6CB3" w:rsidR="003815B7">
        <w:rPr>
          <w:rFonts w:cstheme="minorHAnsi"/>
          <w:szCs w:val="26"/>
        </w:rPr>
        <w:t xml:space="preserve"> further</w:t>
      </w:r>
      <w:r w:rsidRPr="009C6CB3" w:rsidR="00AD3D06">
        <w:rPr>
          <w:rFonts w:cstheme="minorHAnsi"/>
          <w:szCs w:val="26"/>
        </w:rPr>
        <w:t xml:space="preserve"> </w:t>
      </w:r>
      <w:r w:rsidRPr="009C6CB3" w:rsidR="003815B7">
        <w:rPr>
          <w:rFonts w:cstheme="minorHAnsi"/>
          <w:szCs w:val="26"/>
        </w:rPr>
        <w:t xml:space="preserve">suggests </w:t>
      </w:r>
      <w:r w:rsidRPr="009C6CB3" w:rsidR="00AD3D06">
        <w:rPr>
          <w:rFonts w:cstheme="minorHAnsi"/>
          <w:szCs w:val="26"/>
        </w:rPr>
        <w:t xml:space="preserve">that the Legislature did not intend to </w:t>
      </w:r>
      <w:r w:rsidRPr="009C6CB3" w:rsidR="003815B7">
        <w:rPr>
          <w:rFonts w:cstheme="minorHAnsi"/>
          <w:szCs w:val="26"/>
        </w:rPr>
        <w:t xml:space="preserve">adopt </w:t>
      </w:r>
      <w:r w:rsidRPr="009C6CB3" w:rsidR="00AD3D06">
        <w:rPr>
          <w:rFonts w:cstheme="minorHAnsi"/>
          <w:szCs w:val="26"/>
        </w:rPr>
        <w:t>a “hybrid doctrine</w:t>
      </w:r>
      <w:r w:rsidR="004F09D3">
        <w:rPr>
          <w:rFonts w:cstheme="minorHAnsi"/>
          <w:szCs w:val="26"/>
        </w:rPr>
        <w:t>,” and we decline to do so judicially</w:t>
      </w:r>
      <w:r w:rsidRPr="009C6CB3" w:rsidR="00B85DCF">
        <w:rPr>
          <w:rFonts w:cstheme="minorHAnsi"/>
          <w:szCs w:val="26"/>
        </w:rPr>
        <w:t>.</w:t>
      </w:r>
      <w:r w:rsidRPr="009C6CB3" w:rsidR="004F09D3">
        <w:rPr>
          <w:rFonts w:cstheme="minorHAnsi"/>
          <w:szCs w:val="26"/>
        </w:rPr>
        <w:t xml:space="preserve"> </w:t>
      </w:r>
    </w:p>
    <w:p w:rsidR="0057439C" w:rsidRPr="009C6CB3" w:rsidP="009C6CB3">
      <w:pPr>
        <w:autoSpaceDE w:val="0"/>
        <w:autoSpaceDN w:val="0"/>
        <w:adjustRightInd w:val="0"/>
        <w:ind w:firstLine="720"/>
        <w:rPr>
          <w:rFonts w:cstheme="minorHAnsi"/>
          <w:szCs w:val="26"/>
        </w:rPr>
      </w:pPr>
      <w:r w:rsidRPr="009C6CB3">
        <w:rPr>
          <w:rFonts w:cstheme="minorHAnsi"/>
          <w:szCs w:val="26"/>
        </w:rPr>
        <w:t>In sum,</w:t>
      </w:r>
      <w:r w:rsidRPr="009C6CB3">
        <w:rPr>
          <w:rFonts w:cstheme="minorHAnsi"/>
          <w:szCs w:val="26"/>
        </w:rPr>
        <w:t xml:space="preserve"> we hold that </w:t>
      </w:r>
      <w:bookmarkStart w:id="98" w:name="Psych_Cite_87"/>
      <w:r w:rsidRPr="009C6CB3">
        <w:rPr>
          <w:rFonts w:cstheme="minorHAnsi"/>
          <w:szCs w:val="26"/>
        </w:rPr>
        <w:t>section 188(a)(3)</w:t>
      </w:r>
      <w:bookmarkEnd w:id="98"/>
      <w:r w:rsidRPr="009C6CB3">
        <w:rPr>
          <w:rFonts w:cstheme="minorHAnsi"/>
          <w:szCs w:val="26"/>
        </w:rPr>
        <w:t xml:space="preserve"> bars conviction for </w:t>
      </w:r>
      <w:r w:rsidRPr="009C6CB3" w:rsidR="009223D5">
        <w:rPr>
          <w:rFonts w:cstheme="minorHAnsi"/>
          <w:szCs w:val="26"/>
        </w:rPr>
        <w:t xml:space="preserve">second degree </w:t>
      </w:r>
      <w:r w:rsidRPr="009C6CB3">
        <w:rPr>
          <w:rFonts w:cstheme="minorHAnsi"/>
          <w:szCs w:val="26"/>
        </w:rPr>
        <w:t>murder under a natural and probable consequences theory</w:t>
      </w:r>
      <w:r w:rsidRPr="009C6CB3" w:rsidR="005C467A">
        <w:rPr>
          <w:rFonts w:cstheme="minorHAnsi"/>
          <w:szCs w:val="26"/>
        </w:rPr>
        <w:t>.</w:t>
      </w:r>
    </w:p>
    <w:p w:rsidR="0057439C" w:rsidRPr="009C6CB3" w:rsidP="002806BA">
      <w:pPr>
        <w:autoSpaceDE w:val="0"/>
        <w:autoSpaceDN w:val="0"/>
        <w:adjustRightInd w:val="0"/>
        <w:jc w:val="center"/>
        <w:rPr>
          <w:rFonts w:cstheme="minorHAnsi"/>
          <w:b/>
          <w:szCs w:val="26"/>
        </w:rPr>
      </w:pPr>
      <w:r w:rsidRPr="009C6CB3">
        <w:rPr>
          <w:rFonts w:cstheme="minorHAnsi"/>
          <w:b/>
          <w:szCs w:val="26"/>
        </w:rPr>
        <w:t>III.</w:t>
      </w:r>
    </w:p>
    <w:p w:rsidR="007407A2" w:rsidRPr="009C6CB3" w:rsidP="009C6CB3">
      <w:pPr>
        <w:ind w:firstLine="720"/>
        <w:rPr>
          <w:rFonts w:cstheme="minorHAnsi"/>
          <w:szCs w:val="26"/>
        </w:rPr>
      </w:pPr>
      <w:r w:rsidRPr="009C6CB3">
        <w:rPr>
          <w:rFonts w:cstheme="minorHAnsi"/>
          <w:color w:val="000000"/>
          <w:szCs w:val="26"/>
        </w:rPr>
        <w:t xml:space="preserve">When a trial court instructs the jury on alternative theories of guilt and at least one of those theories is legally erroneous at the time it was given, we normally assess whether the error was harmless beyond a reasonable doubt under </w:t>
      </w:r>
      <w:bookmarkStart w:id="99" w:name="Psych_Cite_89"/>
      <w:r w:rsidRPr="009C6CB3">
        <w:rPr>
          <w:rFonts w:cstheme="minorHAnsi"/>
          <w:i/>
          <w:color w:val="000000"/>
          <w:szCs w:val="26"/>
        </w:rPr>
        <w:t>Chapman v. California</w:t>
      </w:r>
      <w:r w:rsidRPr="009C6CB3">
        <w:rPr>
          <w:rFonts w:cstheme="minorHAnsi"/>
          <w:color w:val="000000"/>
          <w:szCs w:val="26"/>
        </w:rPr>
        <w:t xml:space="preserve"> (1967) 386 U.S. 18, 24.  (</w:t>
      </w:r>
      <w:r w:rsidRPr="009C6CB3">
        <w:rPr>
          <w:rFonts w:cstheme="minorHAnsi"/>
          <w:i/>
          <w:color w:val="000000"/>
          <w:szCs w:val="26"/>
        </w:rPr>
        <w:t>People v. Aledamat</w:t>
      </w:r>
      <w:r w:rsidRPr="009C6CB3">
        <w:rPr>
          <w:rFonts w:cstheme="minorHAnsi"/>
          <w:color w:val="000000"/>
          <w:szCs w:val="26"/>
        </w:rPr>
        <w:t xml:space="preserve"> (2019) 8</w:t>
      </w:r>
      <w:r w:rsidR="007C1D10">
        <w:rPr>
          <w:rFonts w:cstheme="minorHAnsi"/>
          <w:color w:val="000000"/>
          <w:szCs w:val="26"/>
        </w:rPr>
        <w:t xml:space="preserve"> </w:t>
      </w:r>
      <w:r w:rsidRPr="009C6CB3">
        <w:rPr>
          <w:rFonts w:cstheme="minorHAnsi"/>
          <w:color w:val="000000"/>
          <w:szCs w:val="26"/>
        </w:rPr>
        <w:t>Cal.5th 1, 3.)</w:t>
      </w:r>
      <w:bookmarkEnd w:id="99"/>
      <w:r w:rsidRPr="009C6CB3">
        <w:rPr>
          <w:rFonts w:cstheme="minorHAnsi"/>
          <w:szCs w:val="26"/>
        </w:rPr>
        <w:t xml:space="preserve">  </w:t>
      </w:r>
      <w:r w:rsidRPr="009C6CB3">
        <w:rPr>
          <w:rFonts w:cstheme="minorHAnsi"/>
          <w:color w:val="000000"/>
          <w:szCs w:val="26"/>
        </w:rPr>
        <w:t>We “must reverse the conviction unless, after examining the entire cause, including the evidence, and considering all relevant circumstances, [we] determine[] the error was harmless beyond a reasonable doubt.”  (</w:t>
      </w:r>
      <w:bookmarkStart w:id="100" w:name="Psych_Cite_88"/>
      <w:r w:rsidRPr="009C6CB3">
        <w:rPr>
          <w:rFonts w:cstheme="minorHAnsi"/>
          <w:i/>
          <w:color w:val="000000"/>
          <w:szCs w:val="26"/>
        </w:rPr>
        <w:t>Ibid</w:t>
      </w:r>
      <w:r w:rsidRPr="009C6CB3">
        <w:rPr>
          <w:rFonts w:cstheme="minorHAnsi"/>
          <w:color w:val="000000"/>
          <w:szCs w:val="26"/>
        </w:rPr>
        <w:t>.</w:t>
      </w:r>
      <w:bookmarkEnd w:id="100"/>
      <w:r w:rsidRPr="009C6CB3">
        <w:rPr>
          <w:rFonts w:cstheme="minorHAnsi"/>
          <w:color w:val="000000"/>
          <w:szCs w:val="26"/>
        </w:rPr>
        <w:t>)</w:t>
      </w:r>
    </w:p>
    <w:p w:rsidR="007407A2" w:rsidRPr="009C6CB3" w:rsidP="009C6CB3">
      <w:pPr>
        <w:ind w:firstLine="720"/>
        <w:rPr>
          <w:rFonts w:cstheme="minorHAnsi"/>
          <w:szCs w:val="26"/>
        </w:rPr>
      </w:pPr>
      <w:r>
        <w:rPr>
          <w:rFonts w:cstheme="minorHAnsi"/>
          <w:color w:val="000000"/>
          <w:szCs w:val="26"/>
        </w:rPr>
        <w:t>Here, Senate Bill 1437</w:t>
      </w:r>
      <w:r w:rsidRPr="009C6CB3" w:rsidR="0057439C">
        <w:rPr>
          <w:rFonts w:cstheme="minorHAnsi"/>
          <w:color w:val="000000"/>
          <w:szCs w:val="26"/>
        </w:rPr>
        <w:t xml:space="preserve"> did not become effective until after </w:t>
      </w:r>
      <w:r>
        <w:rPr>
          <w:rFonts w:cstheme="minorHAnsi"/>
          <w:color w:val="000000"/>
          <w:szCs w:val="26"/>
        </w:rPr>
        <w:t>Gentile’s</w:t>
      </w:r>
      <w:r w:rsidRPr="009C6CB3">
        <w:rPr>
          <w:rFonts w:cstheme="minorHAnsi"/>
          <w:color w:val="000000"/>
          <w:szCs w:val="26"/>
        </w:rPr>
        <w:t xml:space="preserve"> </w:t>
      </w:r>
      <w:r w:rsidRPr="009C6CB3" w:rsidR="0057439C">
        <w:rPr>
          <w:rFonts w:cstheme="minorHAnsi"/>
          <w:color w:val="000000"/>
          <w:szCs w:val="26"/>
        </w:rPr>
        <w:t>conviction.</w:t>
      </w:r>
      <w:r w:rsidRPr="009C6CB3">
        <w:rPr>
          <w:rFonts w:cstheme="minorHAnsi"/>
          <w:szCs w:val="26"/>
        </w:rPr>
        <w:t xml:space="preserve">  </w:t>
      </w:r>
      <w:r w:rsidRPr="009C6CB3" w:rsidR="00F830D9">
        <w:rPr>
          <w:rFonts w:cstheme="minorHAnsi"/>
          <w:szCs w:val="26"/>
        </w:rPr>
        <w:t>(§ 1170.95</w:t>
      </w:r>
      <w:r w:rsidRPr="009C6CB3" w:rsidR="00D45ABD">
        <w:rPr>
          <w:rFonts w:cstheme="minorHAnsi"/>
          <w:szCs w:val="26"/>
        </w:rPr>
        <w:t>, subd. </w:t>
      </w:r>
      <w:r w:rsidRPr="009C6CB3" w:rsidR="00F830D9">
        <w:rPr>
          <w:rFonts w:cstheme="minorHAnsi"/>
          <w:szCs w:val="26"/>
        </w:rPr>
        <w:t>(a)(3)</w:t>
      </w:r>
      <w:r w:rsidR="003F294D">
        <w:rPr>
          <w:rFonts w:cstheme="minorHAnsi"/>
          <w:szCs w:val="26"/>
        </w:rPr>
        <w:t xml:space="preserve"> [“changes to </w:t>
      </w:r>
      <w:r w:rsidR="00443F7D">
        <w:rPr>
          <w:rFonts w:cstheme="minorHAnsi"/>
          <w:szCs w:val="26"/>
        </w:rPr>
        <w:t>Section</w:t>
      </w:r>
      <w:r w:rsidR="003F294D">
        <w:rPr>
          <w:rFonts w:cstheme="minorHAnsi"/>
          <w:szCs w:val="26"/>
        </w:rPr>
        <w:t xml:space="preserve"> 188 </w:t>
      </w:r>
      <w:r w:rsidR="007A1387">
        <w:rPr>
          <w:rFonts w:cstheme="minorHAnsi"/>
          <w:szCs w:val="26"/>
        </w:rPr>
        <w:t>[and]</w:t>
      </w:r>
      <w:r w:rsidR="003F294D">
        <w:rPr>
          <w:rFonts w:cstheme="minorHAnsi"/>
          <w:szCs w:val="26"/>
        </w:rPr>
        <w:t xml:space="preserve"> 189 [are] made effective January 1, 2019”]</w:t>
      </w:r>
      <w:r w:rsidRPr="009C6CB3" w:rsidR="00F830D9">
        <w:rPr>
          <w:rFonts w:cstheme="minorHAnsi"/>
          <w:szCs w:val="26"/>
        </w:rPr>
        <w:t xml:space="preserve">.)  </w:t>
      </w:r>
      <w:r w:rsidRPr="009C6CB3" w:rsidR="00C44878">
        <w:rPr>
          <w:rFonts w:cstheme="minorHAnsi"/>
          <w:szCs w:val="26"/>
        </w:rPr>
        <w:t>As a result, w</w:t>
      </w:r>
      <w:r w:rsidRPr="009C6CB3" w:rsidR="000F675C">
        <w:rPr>
          <w:rFonts w:cstheme="minorHAnsi"/>
          <w:szCs w:val="26"/>
        </w:rPr>
        <w:t xml:space="preserve">hether </w:t>
      </w:r>
      <w:r w:rsidR="007C1D10">
        <w:rPr>
          <w:rFonts w:cstheme="minorHAnsi"/>
          <w:szCs w:val="26"/>
        </w:rPr>
        <w:t xml:space="preserve">Gentile may obtain relief in this direct appeal </w:t>
      </w:r>
      <w:r w:rsidRPr="009C6CB3" w:rsidR="00C44878">
        <w:rPr>
          <w:rFonts w:cstheme="minorHAnsi"/>
          <w:szCs w:val="26"/>
        </w:rPr>
        <w:t>depends on whether the ameliorative provisions of Senate Bill 1437 apply retroactively to cases not yet final on appeal.</w:t>
      </w:r>
      <w:r w:rsidRPr="009C6CB3" w:rsidR="001D266F">
        <w:rPr>
          <w:rFonts w:cstheme="minorHAnsi"/>
          <w:szCs w:val="26"/>
        </w:rPr>
        <w:t xml:space="preserve">  </w:t>
      </w:r>
      <w:r w:rsidRPr="009C6CB3" w:rsidR="008145EC">
        <w:rPr>
          <w:rFonts w:cstheme="minorHAnsi"/>
          <w:szCs w:val="26"/>
        </w:rPr>
        <w:t>Gentile argues that</w:t>
      </w:r>
      <w:r w:rsidRPr="009C6CB3" w:rsidR="00A03D75">
        <w:rPr>
          <w:rFonts w:cstheme="minorHAnsi"/>
          <w:szCs w:val="26"/>
        </w:rPr>
        <w:t xml:space="preserve"> under</w:t>
      </w:r>
      <w:r w:rsidRPr="009C6CB3" w:rsidR="00F71DF7">
        <w:rPr>
          <w:rFonts w:cstheme="minorHAnsi"/>
          <w:szCs w:val="26"/>
        </w:rPr>
        <w:t xml:space="preserve"> </w:t>
      </w:r>
      <w:bookmarkStart w:id="101" w:name="Psych_Cite_91"/>
      <w:r w:rsidRPr="009C6CB3" w:rsidR="00F71DF7">
        <w:rPr>
          <w:rFonts w:cstheme="minorHAnsi"/>
          <w:i/>
          <w:iCs/>
          <w:szCs w:val="26"/>
        </w:rPr>
        <w:t>In re Estrada</w:t>
      </w:r>
      <w:r w:rsidRPr="009C6CB3" w:rsidR="00F71DF7">
        <w:rPr>
          <w:rFonts w:cstheme="minorHAnsi"/>
          <w:szCs w:val="26"/>
        </w:rPr>
        <w:t xml:space="preserve"> (1965) 63 Cal.2d 740 (</w:t>
      </w:r>
      <w:r w:rsidRPr="009C6CB3" w:rsidR="00F71DF7">
        <w:rPr>
          <w:rFonts w:cstheme="minorHAnsi"/>
          <w:i/>
          <w:iCs/>
          <w:szCs w:val="26"/>
        </w:rPr>
        <w:t>Estrada</w:t>
      </w:r>
      <w:r w:rsidRPr="009C6CB3" w:rsidR="00F71DF7">
        <w:rPr>
          <w:rFonts w:cstheme="minorHAnsi"/>
          <w:szCs w:val="26"/>
        </w:rPr>
        <w:t>)</w:t>
      </w:r>
      <w:bookmarkEnd w:id="101"/>
      <w:r w:rsidRPr="009C6CB3" w:rsidR="00F71DF7">
        <w:rPr>
          <w:rFonts w:cstheme="minorHAnsi"/>
          <w:szCs w:val="26"/>
        </w:rPr>
        <w:t>,</w:t>
      </w:r>
      <w:r w:rsidRPr="009C6CB3" w:rsidR="008145EC">
        <w:rPr>
          <w:rFonts w:cstheme="minorHAnsi"/>
          <w:szCs w:val="26"/>
        </w:rPr>
        <w:t xml:space="preserve"> the </w:t>
      </w:r>
      <w:r w:rsidRPr="009C6CB3" w:rsidR="003D2C12">
        <w:rPr>
          <w:rFonts w:cstheme="minorHAnsi"/>
          <w:szCs w:val="26"/>
        </w:rPr>
        <w:t>amendments Senate Bill 1437 made to sections</w:t>
      </w:r>
      <w:r w:rsidR="003A7EC5">
        <w:rPr>
          <w:rFonts w:cstheme="minorHAnsi"/>
          <w:szCs w:val="26"/>
        </w:rPr>
        <w:t> </w:t>
      </w:r>
      <w:r w:rsidRPr="009C6CB3" w:rsidR="003D2C12">
        <w:rPr>
          <w:rFonts w:cstheme="minorHAnsi"/>
          <w:szCs w:val="26"/>
        </w:rPr>
        <w:t xml:space="preserve">188 and 189 should apply retroactively </w:t>
      </w:r>
      <w:r w:rsidRPr="009C6CB3" w:rsidR="001D266F">
        <w:rPr>
          <w:rFonts w:cstheme="minorHAnsi"/>
          <w:szCs w:val="26"/>
        </w:rPr>
        <w:t>to</w:t>
      </w:r>
      <w:r w:rsidRPr="009C6CB3" w:rsidR="003D2C12">
        <w:rPr>
          <w:rFonts w:cstheme="minorHAnsi"/>
          <w:szCs w:val="26"/>
        </w:rPr>
        <w:t xml:space="preserve"> cases</w:t>
      </w:r>
      <w:r w:rsidRPr="009C6CB3" w:rsidR="00E55639">
        <w:rPr>
          <w:rFonts w:cstheme="minorHAnsi"/>
          <w:szCs w:val="26"/>
        </w:rPr>
        <w:t xml:space="preserve"> on direct review</w:t>
      </w:r>
      <w:r w:rsidRPr="009C6CB3" w:rsidR="00685FD2">
        <w:rPr>
          <w:rFonts w:cstheme="minorHAnsi"/>
          <w:szCs w:val="26"/>
        </w:rPr>
        <w:t xml:space="preserve">.  </w:t>
      </w:r>
      <w:r w:rsidRPr="009C6CB3" w:rsidR="00A03D75">
        <w:rPr>
          <w:rFonts w:cstheme="minorHAnsi"/>
          <w:szCs w:val="26"/>
        </w:rPr>
        <w:t>T</w:t>
      </w:r>
      <w:r w:rsidRPr="009C6CB3" w:rsidR="00685FD2">
        <w:rPr>
          <w:rFonts w:cstheme="minorHAnsi"/>
          <w:szCs w:val="26"/>
        </w:rPr>
        <w:t xml:space="preserve">he Attorney General contends that </w:t>
      </w:r>
      <w:r w:rsidRPr="009C6CB3" w:rsidR="007618E1">
        <w:rPr>
          <w:rFonts w:cstheme="minorHAnsi"/>
          <w:szCs w:val="26"/>
        </w:rPr>
        <w:t>the text and structure of Senate Bill 1437</w:t>
      </w:r>
      <w:r w:rsidRPr="009C6CB3" w:rsidR="002A6531">
        <w:rPr>
          <w:rFonts w:cstheme="minorHAnsi"/>
          <w:szCs w:val="26"/>
        </w:rPr>
        <w:t xml:space="preserve"> </w:t>
      </w:r>
      <w:r w:rsidRPr="009C6CB3" w:rsidR="006006A1">
        <w:rPr>
          <w:rFonts w:cstheme="minorHAnsi"/>
          <w:szCs w:val="26"/>
        </w:rPr>
        <w:t>make clear that while its ameliorative provisions apply retroactive</w:t>
      </w:r>
      <w:r w:rsidRPr="009C6CB3" w:rsidR="004212E5">
        <w:rPr>
          <w:rFonts w:cstheme="minorHAnsi"/>
          <w:szCs w:val="26"/>
        </w:rPr>
        <w:t>ly</w:t>
      </w:r>
      <w:r w:rsidRPr="009C6CB3" w:rsidR="006006A1">
        <w:rPr>
          <w:rFonts w:cstheme="minorHAnsi"/>
          <w:szCs w:val="26"/>
        </w:rPr>
        <w:t>, defendants m</w:t>
      </w:r>
      <w:r w:rsidRPr="009C6CB3" w:rsidR="007A4447">
        <w:rPr>
          <w:rFonts w:cstheme="minorHAnsi"/>
          <w:szCs w:val="26"/>
        </w:rPr>
        <w:t xml:space="preserve">ay </w:t>
      </w:r>
      <w:r w:rsidRPr="009C6CB3" w:rsidR="006006A1">
        <w:rPr>
          <w:rFonts w:cstheme="minorHAnsi"/>
          <w:szCs w:val="26"/>
        </w:rPr>
        <w:t xml:space="preserve">seek relief </w:t>
      </w:r>
      <w:r w:rsidRPr="009C6CB3" w:rsidR="00A03D75">
        <w:rPr>
          <w:rFonts w:cstheme="minorHAnsi"/>
          <w:szCs w:val="26"/>
        </w:rPr>
        <w:t xml:space="preserve">only </w:t>
      </w:r>
      <w:r w:rsidRPr="009C6CB3" w:rsidR="006006A1">
        <w:rPr>
          <w:rFonts w:cstheme="minorHAnsi"/>
          <w:szCs w:val="26"/>
        </w:rPr>
        <w:t xml:space="preserve">by filing a </w:t>
      </w:r>
      <w:bookmarkStart w:id="102" w:name="Psych_Cite_98"/>
      <w:r w:rsidRPr="009C6CB3" w:rsidR="00A03D75">
        <w:rPr>
          <w:rFonts w:cstheme="minorHAnsi"/>
          <w:szCs w:val="26"/>
        </w:rPr>
        <w:t>section 1170.95</w:t>
      </w:r>
      <w:bookmarkEnd w:id="102"/>
      <w:r w:rsidRPr="009C6CB3" w:rsidR="00A03D75">
        <w:rPr>
          <w:rFonts w:cstheme="minorHAnsi"/>
          <w:szCs w:val="26"/>
        </w:rPr>
        <w:t xml:space="preserve"> </w:t>
      </w:r>
      <w:r w:rsidRPr="009C6CB3" w:rsidR="006006A1">
        <w:rPr>
          <w:rFonts w:cstheme="minorHAnsi"/>
          <w:szCs w:val="26"/>
        </w:rPr>
        <w:t>petition in superior court</w:t>
      </w:r>
      <w:r w:rsidRPr="009C6CB3" w:rsidR="000D7F3E">
        <w:rPr>
          <w:rFonts w:cstheme="minorHAnsi"/>
          <w:szCs w:val="26"/>
        </w:rPr>
        <w:t xml:space="preserve">. </w:t>
      </w:r>
      <w:r w:rsidRPr="009C6CB3" w:rsidR="00A03D75">
        <w:rPr>
          <w:rFonts w:cstheme="minorHAnsi"/>
          <w:szCs w:val="26"/>
        </w:rPr>
        <w:t xml:space="preserve"> </w:t>
      </w:r>
      <w:r w:rsidRPr="009C6CB3" w:rsidR="0057439C">
        <w:rPr>
          <w:rFonts w:cstheme="minorHAnsi"/>
          <w:color w:val="000000"/>
          <w:szCs w:val="26"/>
        </w:rPr>
        <w:t xml:space="preserve">The Courts of Appeal have </w:t>
      </w:r>
      <w:r w:rsidRPr="009C6CB3" w:rsidR="0040625F">
        <w:rPr>
          <w:rFonts w:cstheme="minorHAnsi"/>
          <w:color w:val="000000"/>
          <w:szCs w:val="26"/>
        </w:rPr>
        <w:t xml:space="preserve">uniformly </w:t>
      </w:r>
      <w:r w:rsidRPr="009C6CB3" w:rsidR="00A03D75">
        <w:rPr>
          <w:rFonts w:cstheme="minorHAnsi"/>
          <w:color w:val="000000"/>
          <w:szCs w:val="26"/>
        </w:rPr>
        <w:t>agreed with the Attorney General’s view</w:t>
      </w:r>
      <w:r w:rsidRPr="009C6CB3" w:rsidR="000348DC">
        <w:rPr>
          <w:rFonts w:cstheme="minorHAnsi"/>
          <w:color w:val="000000"/>
          <w:szCs w:val="26"/>
        </w:rPr>
        <w:t>.</w:t>
      </w:r>
      <w:r w:rsidRPr="009C6CB3" w:rsidR="0057439C">
        <w:rPr>
          <w:rFonts w:cstheme="minorHAnsi"/>
          <w:color w:val="000000"/>
          <w:szCs w:val="26"/>
        </w:rPr>
        <w:t xml:space="preserve"> </w:t>
      </w:r>
      <w:r w:rsidRPr="009C6CB3">
        <w:rPr>
          <w:rFonts w:cstheme="minorHAnsi"/>
          <w:szCs w:val="26"/>
        </w:rPr>
        <w:t xml:space="preserve"> </w:t>
      </w:r>
      <w:r w:rsidRPr="009C6CB3">
        <w:rPr>
          <w:rFonts w:cstheme="minorHAnsi"/>
          <w:iCs/>
          <w:szCs w:val="26"/>
        </w:rPr>
        <w:t>(</w:t>
      </w:r>
      <w:bookmarkStart w:id="103" w:name="Psych_Cite_92"/>
      <w:r w:rsidRPr="009C6CB3" w:rsidR="00F830D9">
        <w:rPr>
          <w:rFonts w:cstheme="minorHAnsi"/>
          <w:i/>
          <w:iCs/>
          <w:szCs w:val="26"/>
        </w:rPr>
        <w:t>Lopez</w:t>
      </w:r>
      <w:r w:rsidRPr="009C6CB3" w:rsidR="00F830D9">
        <w:rPr>
          <w:rFonts w:cstheme="minorHAnsi"/>
          <w:iCs/>
          <w:szCs w:val="26"/>
        </w:rPr>
        <w:t xml:space="preserve">, </w:t>
      </w:r>
      <w:r w:rsidRPr="009C6CB3" w:rsidR="00F830D9">
        <w:rPr>
          <w:rFonts w:cstheme="minorHAnsi"/>
          <w:i/>
          <w:iCs/>
          <w:szCs w:val="26"/>
        </w:rPr>
        <w:t>supra</w:t>
      </w:r>
      <w:r w:rsidRPr="009C6CB3" w:rsidR="00F830D9">
        <w:rPr>
          <w:rFonts w:cstheme="minorHAnsi"/>
          <w:iCs/>
          <w:szCs w:val="26"/>
        </w:rPr>
        <w:t>,</w:t>
      </w:r>
      <w:r w:rsidRPr="009C6CB3" w:rsidR="00F830D9">
        <w:rPr>
          <w:rFonts w:cstheme="minorHAnsi"/>
          <w:szCs w:val="26"/>
        </w:rPr>
        <w:t xml:space="preserve"> 38 Cal.App.5th at pp. 1113–1114</w:t>
      </w:r>
      <w:bookmarkEnd w:id="103"/>
      <w:r w:rsidR="00B54505">
        <w:rPr>
          <w:rFonts w:cstheme="minorHAnsi"/>
          <w:szCs w:val="26"/>
        </w:rPr>
        <w:t>, rev.</w:t>
      </w:r>
      <w:r w:rsidR="001B6692">
        <w:rPr>
          <w:rFonts w:cstheme="minorHAnsi"/>
          <w:szCs w:val="26"/>
        </w:rPr>
        <w:t xml:space="preserve"> </w:t>
      </w:r>
      <w:r w:rsidR="00B54505">
        <w:rPr>
          <w:rFonts w:cstheme="minorHAnsi"/>
          <w:szCs w:val="26"/>
        </w:rPr>
        <w:t>gr</w:t>
      </w:r>
      <w:r w:rsidR="001B6692">
        <w:rPr>
          <w:rFonts w:cstheme="minorHAnsi"/>
          <w:szCs w:val="26"/>
        </w:rPr>
        <w:t>anted</w:t>
      </w:r>
      <w:r w:rsidR="00CF7372">
        <w:rPr>
          <w:rFonts w:cstheme="minorHAnsi"/>
          <w:szCs w:val="26"/>
        </w:rPr>
        <w:t xml:space="preserve"> </w:t>
      </w:r>
      <w:r w:rsidR="00B54505">
        <w:rPr>
          <w:rFonts w:cstheme="minorHAnsi"/>
          <w:szCs w:val="26"/>
        </w:rPr>
        <w:t>on another issue</w:t>
      </w:r>
      <w:r w:rsidRPr="009C6CB3" w:rsidR="0057439C">
        <w:rPr>
          <w:rFonts w:cstheme="minorHAnsi"/>
          <w:szCs w:val="26"/>
        </w:rPr>
        <w:t xml:space="preserve">; </w:t>
      </w:r>
      <w:bookmarkStart w:id="104" w:name="Psych_Cite_93"/>
      <w:r w:rsidRPr="009C6CB3" w:rsidR="0057439C">
        <w:rPr>
          <w:rFonts w:cstheme="minorHAnsi"/>
          <w:i/>
          <w:iCs/>
          <w:szCs w:val="26"/>
        </w:rPr>
        <w:t>People v. Munoz</w:t>
      </w:r>
      <w:r w:rsidRPr="009C6CB3" w:rsidR="0057439C">
        <w:rPr>
          <w:rFonts w:cstheme="minorHAnsi"/>
          <w:szCs w:val="26"/>
        </w:rPr>
        <w:t> (2019) 39</w:t>
      </w:r>
      <w:r w:rsidRPr="009C6CB3" w:rsidR="008143E9">
        <w:rPr>
          <w:rFonts w:cstheme="minorHAnsi"/>
          <w:szCs w:val="26"/>
        </w:rPr>
        <w:t> </w:t>
      </w:r>
      <w:r w:rsidRPr="009C6CB3" w:rsidR="0057439C">
        <w:rPr>
          <w:rFonts w:cstheme="minorHAnsi"/>
          <w:szCs w:val="26"/>
        </w:rPr>
        <w:t>Cal.App.5th 738, 751</w:t>
      </w:r>
      <w:r w:rsidR="004753EF">
        <w:rPr>
          <w:rFonts w:cstheme="minorHAnsi"/>
          <w:szCs w:val="26"/>
        </w:rPr>
        <w:t>–753</w:t>
      </w:r>
      <w:bookmarkEnd w:id="104"/>
      <w:r w:rsidRPr="009C6CB3" w:rsidR="0057439C">
        <w:rPr>
          <w:rFonts w:cstheme="minorHAnsi"/>
          <w:szCs w:val="26"/>
        </w:rPr>
        <w:t>, </w:t>
      </w:r>
      <w:r w:rsidRPr="009C6CB3" w:rsidR="0057439C">
        <w:rPr>
          <w:rFonts w:cstheme="minorHAnsi"/>
          <w:iCs/>
          <w:szCs w:val="26"/>
        </w:rPr>
        <w:t>review granted on another issue</w:t>
      </w:r>
      <w:r w:rsidRPr="009C6CB3" w:rsidR="0057439C">
        <w:rPr>
          <w:rFonts w:cstheme="minorHAnsi"/>
          <w:i/>
          <w:iCs/>
          <w:szCs w:val="26"/>
        </w:rPr>
        <w:t xml:space="preserve"> </w:t>
      </w:r>
      <w:r w:rsidR="00AE25ED">
        <w:rPr>
          <w:rFonts w:cstheme="minorHAnsi"/>
          <w:szCs w:val="26"/>
        </w:rPr>
        <w:t xml:space="preserve">Nov. 26, 2019, </w:t>
      </w:r>
      <w:r w:rsidRPr="009C6CB3" w:rsidR="0057439C">
        <w:rPr>
          <w:rFonts w:cstheme="minorHAnsi"/>
          <w:szCs w:val="26"/>
        </w:rPr>
        <w:t xml:space="preserve">S258234; </w:t>
      </w:r>
      <w:bookmarkStart w:id="105" w:name="Psych_Cite_94"/>
      <w:r w:rsidRPr="009C6CB3" w:rsidR="0057439C">
        <w:rPr>
          <w:rFonts w:cstheme="minorHAnsi"/>
          <w:i/>
          <w:color w:val="000000"/>
          <w:szCs w:val="26"/>
        </w:rPr>
        <w:t>People v. Martinez</w:t>
      </w:r>
      <w:r w:rsidRPr="009C6CB3" w:rsidR="0057439C">
        <w:rPr>
          <w:rFonts w:cstheme="minorHAnsi"/>
          <w:color w:val="000000"/>
          <w:szCs w:val="26"/>
        </w:rPr>
        <w:t xml:space="preserve"> (2019) 31 Cal.App.5th 719, 727</w:t>
      </w:r>
      <w:r w:rsidR="00650165">
        <w:rPr>
          <w:rFonts w:cstheme="minorHAnsi"/>
          <w:color w:val="000000"/>
          <w:szCs w:val="26"/>
        </w:rPr>
        <w:t>–</w:t>
      </w:r>
      <w:r w:rsidR="00AD77CF">
        <w:rPr>
          <w:rFonts w:cstheme="minorHAnsi"/>
          <w:color w:val="000000"/>
          <w:szCs w:val="26"/>
        </w:rPr>
        <w:t>729</w:t>
      </w:r>
      <w:r w:rsidR="00EE7E86">
        <w:rPr>
          <w:rFonts w:cstheme="minorHAnsi"/>
          <w:color w:val="000000"/>
          <w:szCs w:val="26"/>
        </w:rPr>
        <w:t xml:space="preserve"> (</w:t>
      </w:r>
      <w:r w:rsidR="00EE7E86">
        <w:rPr>
          <w:rFonts w:cstheme="minorHAnsi"/>
          <w:i/>
          <w:iCs/>
          <w:color w:val="000000"/>
          <w:szCs w:val="26"/>
        </w:rPr>
        <w:t>Martinez</w:t>
      </w:r>
      <w:r w:rsidR="00EE7E86">
        <w:rPr>
          <w:rFonts w:cstheme="minorHAnsi"/>
          <w:color w:val="000000"/>
          <w:szCs w:val="26"/>
        </w:rPr>
        <w:t>)</w:t>
      </w:r>
      <w:bookmarkEnd w:id="105"/>
      <w:r w:rsidRPr="009C6CB3" w:rsidR="0057439C">
        <w:rPr>
          <w:rFonts w:cstheme="minorHAnsi"/>
          <w:color w:val="000000"/>
          <w:szCs w:val="26"/>
        </w:rPr>
        <w:t xml:space="preserve">; </w:t>
      </w:r>
      <w:bookmarkStart w:id="106" w:name="Psych_Cite_95"/>
      <w:r w:rsidRPr="009C6CB3" w:rsidR="0057439C">
        <w:rPr>
          <w:rFonts w:cstheme="minorHAnsi"/>
          <w:i/>
          <w:szCs w:val="26"/>
        </w:rPr>
        <w:t>People v. Cervantes</w:t>
      </w:r>
      <w:r w:rsidRPr="009C6CB3" w:rsidR="0057439C">
        <w:rPr>
          <w:rFonts w:cstheme="minorHAnsi"/>
          <w:szCs w:val="26"/>
        </w:rPr>
        <w:t xml:space="preserve"> (2020) 46 Cal.App.5th 213, 220</w:t>
      </w:r>
      <w:r w:rsidR="00CD5F12">
        <w:rPr>
          <w:rFonts w:cstheme="minorHAnsi"/>
          <w:szCs w:val="26"/>
        </w:rPr>
        <w:t>–221</w:t>
      </w:r>
      <w:r w:rsidR="00EE7E86">
        <w:rPr>
          <w:rFonts w:cstheme="minorHAnsi"/>
          <w:szCs w:val="26"/>
        </w:rPr>
        <w:t xml:space="preserve"> (</w:t>
      </w:r>
      <w:r w:rsidR="00EE7E86">
        <w:rPr>
          <w:rFonts w:cstheme="minorHAnsi"/>
          <w:i/>
          <w:iCs/>
          <w:szCs w:val="26"/>
        </w:rPr>
        <w:t>Cervantes</w:t>
      </w:r>
      <w:r w:rsidR="00EE7E86">
        <w:rPr>
          <w:rFonts w:cstheme="minorHAnsi"/>
          <w:szCs w:val="26"/>
        </w:rPr>
        <w:t>)</w:t>
      </w:r>
      <w:bookmarkEnd w:id="106"/>
      <w:r w:rsidRPr="009C6CB3" w:rsidR="0057439C">
        <w:rPr>
          <w:rFonts w:cstheme="minorHAnsi"/>
          <w:szCs w:val="26"/>
        </w:rPr>
        <w:t xml:space="preserve">; </w:t>
      </w:r>
      <w:bookmarkStart w:id="107" w:name="Psych_Cite_96"/>
      <w:r w:rsidRPr="009C6CB3" w:rsidR="0057439C">
        <w:rPr>
          <w:rFonts w:cstheme="minorHAnsi"/>
          <w:i/>
          <w:szCs w:val="26"/>
        </w:rPr>
        <w:t xml:space="preserve">People v. Anthony </w:t>
      </w:r>
      <w:r w:rsidRPr="009C6CB3" w:rsidR="0057439C">
        <w:rPr>
          <w:rFonts w:cstheme="minorHAnsi"/>
          <w:szCs w:val="26"/>
        </w:rPr>
        <w:t>(2019) 32 Cal.App.5th 1102, 1147–1158</w:t>
      </w:r>
      <w:bookmarkEnd w:id="107"/>
      <w:r w:rsidRPr="009C6CB3" w:rsidR="0057439C">
        <w:rPr>
          <w:rFonts w:cstheme="minorHAnsi"/>
          <w:szCs w:val="26"/>
        </w:rPr>
        <w:t xml:space="preserve">; </w:t>
      </w:r>
      <w:bookmarkStart w:id="108" w:name="Psych_Cite_97"/>
      <w:r w:rsidRPr="009C6CB3" w:rsidR="0057439C">
        <w:rPr>
          <w:rFonts w:cstheme="minorHAnsi"/>
          <w:i/>
          <w:szCs w:val="26"/>
        </w:rPr>
        <w:t>People v. Bell</w:t>
      </w:r>
      <w:r w:rsidRPr="009C6CB3" w:rsidR="0057439C">
        <w:rPr>
          <w:rFonts w:cstheme="minorHAnsi"/>
          <w:szCs w:val="26"/>
        </w:rPr>
        <w:t xml:space="preserve"> (2020) 48 Cal.App.5th 1, 10</w:t>
      </w:r>
      <w:r w:rsidR="00740C08">
        <w:rPr>
          <w:rFonts w:cstheme="minorHAnsi"/>
          <w:szCs w:val="26"/>
        </w:rPr>
        <w:t>–1</w:t>
      </w:r>
      <w:bookmarkEnd w:id="108"/>
      <w:r w:rsidR="00740C08">
        <w:rPr>
          <w:rFonts w:cstheme="minorHAnsi"/>
          <w:szCs w:val="26"/>
        </w:rPr>
        <w:t>1</w:t>
      </w:r>
      <w:r w:rsidRPr="009C6CB3" w:rsidR="0057439C">
        <w:rPr>
          <w:rFonts w:cstheme="minorHAnsi"/>
          <w:szCs w:val="26"/>
        </w:rPr>
        <w:t>.)</w:t>
      </w:r>
      <w:r w:rsidRPr="009C6CB3" w:rsidR="00A5056B">
        <w:rPr>
          <w:rFonts w:cstheme="minorHAnsi"/>
          <w:szCs w:val="26"/>
        </w:rPr>
        <w:t xml:space="preserve">  </w:t>
      </w:r>
      <w:r w:rsidRPr="009C6CB3" w:rsidR="00A03D75">
        <w:rPr>
          <w:rFonts w:cstheme="minorHAnsi"/>
          <w:szCs w:val="26"/>
        </w:rPr>
        <w:t xml:space="preserve">We do as well:  </w:t>
      </w:r>
      <w:r w:rsidRPr="009C6CB3" w:rsidR="00A03D75">
        <w:rPr>
          <w:rFonts w:cstheme="minorHAnsi"/>
          <w:color w:val="000000"/>
          <w:szCs w:val="26"/>
        </w:rPr>
        <w:t>The ameliorative provisions of Senate Bill 1437 do not apply on direct appeal to nonfinal convictions obtained before the law became effective.  S</w:t>
      </w:r>
      <w:r w:rsidRPr="009C6CB3" w:rsidR="000348DC">
        <w:rPr>
          <w:rFonts w:cstheme="minorHAnsi"/>
          <w:color w:val="000000"/>
          <w:szCs w:val="26"/>
        </w:rPr>
        <w:t xml:space="preserve">uch convictions </w:t>
      </w:r>
      <w:r w:rsidRPr="009C6CB3" w:rsidR="00B55001">
        <w:rPr>
          <w:rFonts w:cstheme="minorHAnsi"/>
          <w:color w:val="000000"/>
          <w:szCs w:val="26"/>
        </w:rPr>
        <w:t xml:space="preserve">may be challenged </w:t>
      </w:r>
      <w:r w:rsidR="00562A45">
        <w:rPr>
          <w:rFonts w:cstheme="minorHAnsi"/>
          <w:color w:val="000000"/>
          <w:szCs w:val="26"/>
        </w:rPr>
        <w:t xml:space="preserve">on Senate Bill 1437 grounds </w:t>
      </w:r>
      <w:r w:rsidRPr="009C6CB3" w:rsidR="00A03D75">
        <w:rPr>
          <w:rFonts w:cstheme="minorHAnsi"/>
          <w:color w:val="000000"/>
          <w:szCs w:val="26"/>
        </w:rPr>
        <w:t xml:space="preserve">only </w:t>
      </w:r>
      <w:r w:rsidRPr="009C6CB3" w:rsidR="000348DC">
        <w:rPr>
          <w:rFonts w:cstheme="minorHAnsi"/>
          <w:color w:val="000000"/>
          <w:szCs w:val="26"/>
        </w:rPr>
        <w:t xml:space="preserve">through a petition </w:t>
      </w:r>
      <w:r w:rsidRPr="009C6CB3" w:rsidR="00D26820">
        <w:rPr>
          <w:rFonts w:cstheme="minorHAnsi"/>
          <w:color w:val="000000"/>
          <w:szCs w:val="26"/>
        </w:rPr>
        <w:t xml:space="preserve">filed </w:t>
      </w:r>
      <w:r w:rsidRPr="009C6CB3" w:rsidR="00CC5D00">
        <w:rPr>
          <w:rFonts w:cstheme="minorHAnsi"/>
          <w:color w:val="000000"/>
          <w:szCs w:val="26"/>
        </w:rPr>
        <w:t>in</w:t>
      </w:r>
      <w:r w:rsidRPr="009C6CB3" w:rsidR="000348DC">
        <w:rPr>
          <w:rFonts w:cstheme="minorHAnsi"/>
          <w:color w:val="000000"/>
          <w:szCs w:val="26"/>
        </w:rPr>
        <w:t xml:space="preserve"> the </w:t>
      </w:r>
      <w:r w:rsidRPr="009C6CB3" w:rsidR="0044128E">
        <w:rPr>
          <w:rFonts w:cstheme="minorHAnsi"/>
          <w:color w:val="000000"/>
          <w:szCs w:val="26"/>
        </w:rPr>
        <w:t>sentencing</w:t>
      </w:r>
      <w:r w:rsidRPr="009C6CB3" w:rsidR="000348DC">
        <w:rPr>
          <w:rFonts w:cstheme="minorHAnsi"/>
          <w:color w:val="000000"/>
          <w:szCs w:val="26"/>
        </w:rPr>
        <w:t xml:space="preserve"> court </w:t>
      </w:r>
      <w:r w:rsidRPr="009C6CB3" w:rsidR="00A03D75">
        <w:rPr>
          <w:rFonts w:cstheme="minorHAnsi"/>
          <w:color w:val="000000"/>
          <w:szCs w:val="26"/>
        </w:rPr>
        <w:t>under</w:t>
      </w:r>
      <w:r w:rsidRPr="009C6CB3" w:rsidR="000348DC">
        <w:rPr>
          <w:rFonts w:cstheme="minorHAnsi"/>
          <w:color w:val="000000"/>
          <w:szCs w:val="26"/>
        </w:rPr>
        <w:t xml:space="preserve"> section</w:t>
      </w:r>
      <w:r w:rsidRPr="009C6CB3" w:rsidR="00083D9B">
        <w:rPr>
          <w:rFonts w:cstheme="minorHAnsi"/>
          <w:color w:val="000000"/>
          <w:szCs w:val="26"/>
        </w:rPr>
        <w:t> </w:t>
      </w:r>
      <w:r w:rsidRPr="009C6CB3" w:rsidR="000348DC">
        <w:rPr>
          <w:rFonts w:cstheme="minorHAnsi"/>
          <w:color w:val="000000"/>
          <w:szCs w:val="26"/>
        </w:rPr>
        <w:t>1170.95.</w:t>
      </w:r>
    </w:p>
    <w:p w:rsidR="0035407F" w:rsidRPr="009C6CB3" w:rsidP="009C6CB3">
      <w:pPr>
        <w:ind w:firstLine="720"/>
        <w:rPr>
          <w:rFonts w:cstheme="minorHAnsi"/>
          <w:szCs w:val="26"/>
        </w:rPr>
      </w:pPr>
      <w:r w:rsidRPr="009C6CB3">
        <w:rPr>
          <w:rFonts w:cstheme="minorHAnsi"/>
          <w:szCs w:val="26"/>
        </w:rPr>
        <w:t>N</w:t>
      </w:r>
      <w:r w:rsidRPr="009C6CB3" w:rsidR="00E90E09">
        <w:rPr>
          <w:rFonts w:cstheme="minorHAnsi"/>
          <w:szCs w:val="26"/>
        </w:rPr>
        <w:t>ewly enacted legislation lessening criminal punishment or reducing criminal liability presumptively applies to all cases not yet final on appeal at the time of the legislation’s effective date.  (</w:t>
      </w:r>
      <w:bookmarkStart w:id="109" w:name="Psych_Cite_99"/>
      <w:r w:rsidR="00FE709C">
        <w:rPr>
          <w:rFonts w:cstheme="minorHAnsi"/>
          <w:szCs w:val="26"/>
        </w:rPr>
        <w:t xml:space="preserve">See </w:t>
      </w:r>
      <w:r w:rsidRPr="009C6CB3" w:rsidR="00685FD2">
        <w:rPr>
          <w:rFonts w:cstheme="minorHAnsi"/>
          <w:i/>
          <w:iCs/>
          <w:szCs w:val="26"/>
        </w:rPr>
        <w:t>Estrada</w:t>
      </w:r>
      <w:r w:rsidRPr="009C6CB3" w:rsidR="00685FD2">
        <w:rPr>
          <w:rFonts w:cstheme="minorHAnsi"/>
          <w:szCs w:val="26"/>
        </w:rPr>
        <w:t xml:space="preserve">, </w:t>
      </w:r>
      <w:r w:rsidRPr="009C6CB3" w:rsidR="00685FD2">
        <w:rPr>
          <w:rFonts w:cstheme="minorHAnsi"/>
          <w:i/>
          <w:iCs/>
          <w:szCs w:val="26"/>
        </w:rPr>
        <w:t>supra</w:t>
      </w:r>
      <w:r w:rsidRPr="009C6CB3" w:rsidR="00685FD2">
        <w:rPr>
          <w:rFonts w:cstheme="minorHAnsi"/>
          <w:szCs w:val="26"/>
        </w:rPr>
        <w:t>, 63 Cal.2d</w:t>
      </w:r>
      <w:r w:rsidRPr="009C6CB3" w:rsidR="00685FD2">
        <w:rPr>
          <w:rFonts w:cstheme="minorHAnsi"/>
          <w:i/>
          <w:iCs/>
          <w:szCs w:val="26"/>
        </w:rPr>
        <w:t xml:space="preserve"> </w:t>
      </w:r>
      <w:r w:rsidRPr="009C6CB3" w:rsidR="00E90E09">
        <w:rPr>
          <w:rFonts w:cstheme="minorHAnsi"/>
          <w:szCs w:val="26"/>
        </w:rPr>
        <w:t>at p</w:t>
      </w:r>
      <w:r w:rsidR="009B70CC">
        <w:rPr>
          <w:rFonts w:cstheme="minorHAnsi"/>
          <w:szCs w:val="26"/>
        </w:rPr>
        <w:t>p</w:t>
      </w:r>
      <w:r w:rsidRPr="009C6CB3" w:rsidR="00E90E09">
        <w:rPr>
          <w:rFonts w:cstheme="minorHAnsi"/>
          <w:szCs w:val="26"/>
        </w:rPr>
        <w:t>. 744</w:t>
      </w:r>
      <w:r w:rsidR="002A0D17">
        <w:rPr>
          <w:rFonts w:cstheme="minorHAnsi"/>
          <w:szCs w:val="26"/>
        </w:rPr>
        <w:t>–745</w:t>
      </w:r>
      <w:bookmarkEnd w:id="109"/>
      <w:r w:rsidRPr="009C6CB3" w:rsidR="00E90E09">
        <w:rPr>
          <w:rFonts w:cstheme="minorHAnsi"/>
          <w:szCs w:val="26"/>
        </w:rPr>
        <w:t xml:space="preserve">.)  This presumption “rests on </w:t>
      </w:r>
      <w:r w:rsidR="009D1543">
        <w:rPr>
          <w:rFonts w:cstheme="minorHAnsi"/>
          <w:szCs w:val="26"/>
        </w:rPr>
        <w:t>an</w:t>
      </w:r>
      <w:r w:rsidRPr="009C6CB3" w:rsidR="00E90E09">
        <w:rPr>
          <w:rFonts w:cstheme="minorHAnsi"/>
          <w:szCs w:val="26"/>
        </w:rPr>
        <w:t xml:space="preserve"> inference that, in the absence of contrary indications, a legislative body ordinarily intends for ameliorative changes to the criminal law to extend as broadly as possible, distinguishing only as necessary between sentences that are final and sentences that are not.”  (</w:t>
      </w:r>
      <w:bookmarkStart w:id="110" w:name="Psych_Cite_100"/>
      <w:r w:rsidRPr="009C6CB3" w:rsidR="00E90E09">
        <w:rPr>
          <w:rFonts w:cstheme="minorHAnsi"/>
          <w:i/>
          <w:iCs/>
          <w:szCs w:val="26"/>
        </w:rPr>
        <w:t>People v. Conley</w:t>
      </w:r>
      <w:r w:rsidRPr="009C6CB3" w:rsidR="00E90E09">
        <w:rPr>
          <w:rFonts w:cstheme="minorHAnsi"/>
          <w:szCs w:val="26"/>
        </w:rPr>
        <w:t xml:space="preserve"> (2016) 63 Cal.4</w:t>
      </w:r>
      <w:r w:rsidRPr="009C6CB3">
        <w:rPr>
          <w:rFonts w:cstheme="minorHAnsi"/>
          <w:szCs w:val="26"/>
        </w:rPr>
        <w:t>th</w:t>
      </w:r>
      <w:r w:rsidRPr="009C6CB3" w:rsidR="00E90E09">
        <w:rPr>
          <w:rFonts w:cstheme="minorHAnsi"/>
          <w:szCs w:val="26"/>
        </w:rPr>
        <w:t xml:space="preserve"> 646, 657</w:t>
      </w:r>
      <w:r w:rsidR="00044D74">
        <w:rPr>
          <w:rFonts w:cstheme="minorHAnsi"/>
          <w:szCs w:val="26"/>
        </w:rPr>
        <w:t xml:space="preserve"> (</w:t>
      </w:r>
      <w:r w:rsidR="00044D74">
        <w:rPr>
          <w:rFonts w:cstheme="minorHAnsi"/>
          <w:i/>
          <w:iCs/>
          <w:szCs w:val="26"/>
        </w:rPr>
        <w:t>Conley</w:t>
      </w:r>
      <w:r w:rsidR="00044D74">
        <w:rPr>
          <w:rFonts w:cstheme="minorHAnsi"/>
          <w:szCs w:val="26"/>
        </w:rPr>
        <w:t>)</w:t>
      </w:r>
      <w:bookmarkEnd w:id="110"/>
      <w:r w:rsidRPr="009C6CB3" w:rsidR="00E90E09">
        <w:rPr>
          <w:rFonts w:cstheme="minorHAnsi"/>
          <w:szCs w:val="26"/>
        </w:rPr>
        <w:t xml:space="preserve">; </w:t>
      </w:r>
      <w:bookmarkStart w:id="111" w:name="Psych_Cite_101"/>
      <w:r w:rsidRPr="009C6CB3" w:rsidR="00E90E09">
        <w:rPr>
          <w:rFonts w:cstheme="minorHAnsi"/>
          <w:szCs w:val="26"/>
        </w:rPr>
        <w:t xml:space="preserve">see </w:t>
      </w:r>
      <w:r w:rsidRPr="009C6CB3">
        <w:rPr>
          <w:rFonts w:cstheme="minorHAnsi"/>
          <w:i/>
          <w:iCs/>
          <w:szCs w:val="26"/>
        </w:rPr>
        <w:t>People v. Frahs</w:t>
      </w:r>
      <w:r w:rsidRPr="009C6CB3">
        <w:rPr>
          <w:rFonts w:cstheme="minorHAnsi"/>
          <w:szCs w:val="26"/>
        </w:rPr>
        <w:t xml:space="preserve"> (2020) 9</w:t>
      </w:r>
      <w:r w:rsidR="006054A4">
        <w:rPr>
          <w:rFonts w:cstheme="minorHAnsi"/>
          <w:szCs w:val="26"/>
        </w:rPr>
        <w:t> </w:t>
      </w:r>
      <w:r w:rsidRPr="009C6CB3">
        <w:rPr>
          <w:rFonts w:cstheme="minorHAnsi"/>
          <w:szCs w:val="26"/>
        </w:rPr>
        <w:t>Cal.5th 618, 628–629</w:t>
      </w:r>
      <w:bookmarkEnd w:id="111"/>
      <w:r w:rsidRPr="009C6CB3">
        <w:rPr>
          <w:rFonts w:cstheme="minorHAnsi"/>
          <w:szCs w:val="26"/>
        </w:rPr>
        <w:t xml:space="preserve">; </w:t>
      </w:r>
      <w:bookmarkStart w:id="112" w:name="Psych_Cite_102"/>
      <w:r w:rsidRPr="009C6CB3" w:rsidR="00C9671A">
        <w:rPr>
          <w:rFonts w:cstheme="minorHAnsi"/>
          <w:i/>
          <w:iCs/>
          <w:szCs w:val="26"/>
        </w:rPr>
        <w:t>Estrada</w:t>
      </w:r>
      <w:r w:rsidRPr="009C6CB3" w:rsidR="00C9671A">
        <w:rPr>
          <w:rFonts w:cstheme="minorHAnsi"/>
          <w:szCs w:val="26"/>
        </w:rPr>
        <w:t>, at p.</w:t>
      </w:r>
      <w:r w:rsidRPr="009C6CB3" w:rsidR="00151EB8">
        <w:rPr>
          <w:rFonts w:cstheme="minorHAnsi"/>
          <w:szCs w:val="26"/>
        </w:rPr>
        <w:t> </w:t>
      </w:r>
      <w:r w:rsidRPr="009C6CB3" w:rsidR="003C52DF">
        <w:rPr>
          <w:rFonts w:cstheme="minorHAnsi"/>
          <w:szCs w:val="26"/>
        </w:rPr>
        <w:t>745</w:t>
      </w:r>
      <w:bookmarkEnd w:id="112"/>
      <w:r w:rsidRPr="009C6CB3">
        <w:rPr>
          <w:rFonts w:cstheme="minorHAnsi"/>
          <w:szCs w:val="26"/>
        </w:rPr>
        <w:t>.)</w:t>
      </w:r>
      <w:r w:rsidRPr="009C6CB3" w:rsidR="00186354">
        <w:rPr>
          <w:rFonts w:cstheme="minorHAnsi"/>
          <w:szCs w:val="26"/>
        </w:rPr>
        <w:t xml:space="preserve"> </w:t>
      </w:r>
    </w:p>
    <w:p w:rsidR="00A5056B" w:rsidRPr="009C6CB3" w:rsidP="009C6CB3">
      <w:pPr>
        <w:ind w:firstLine="720"/>
        <w:rPr>
          <w:rFonts w:cstheme="minorHAnsi"/>
          <w:szCs w:val="26"/>
        </w:rPr>
      </w:pPr>
      <w:r w:rsidRPr="009C6CB3">
        <w:rPr>
          <w:rFonts w:cstheme="minorHAnsi"/>
          <w:szCs w:val="26"/>
        </w:rPr>
        <w:t>However,</w:t>
      </w:r>
      <w:r w:rsidRPr="009C6CB3" w:rsidR="00774BB3">
        <w:rPr>
          <w:rFonts w:cstheme="minorHAnsi"/>
          <w:szCs w:val="26"/>
        </w:rPr>
        <w:t xml:space="preserve"> </w:t>
      </w:r>
      <w:r w:rsidRPr="009C6CB3" w:rsidR="00413C89">
        <w:rPr>
          <w:rFonts w:cstheme="minorHAnsi"/>
          <w:szCs w:val="26"/>
        </w:rPr>
        <w:t xml:space="preserve">when </w:t>
      </w:r>
      <w:r w:rsidRPr="009C6CB3" w:rsidR="00BB51BE">
        <w:rPr>
          <w:rFonts w:cstheme="minorHAnsi"/>
          <w:szCs w:val="26"/>
        </w:rPr>
        <w:t xml:space="preserve">ameliorative </w:t>
      </w:r>
      <w:r w:rsidRPr="009C6CB3" w:rsidR="00413C89">
        <w:rPr>
          <w:rFonts w:cstheme="minorHAnsi"/>
          <w:szCs w:val="26"/>
        </w:rPr>
        <w:t>legislation sets out a specific mechanism</w:t>
      </w:r>
      <w:r w:rsidRPr="009C6CB3" w:rsidR="00BB51BE">
        <w:rPr>
          <w:rFonts w:cstheme="minorHAnsi"/>
          <w:szCs w:val="26"/>
        </w:rPr>
        <w:t xml:space="preserve"> as the exclusive avenue for retroactive relief, we have held </w:t>
      </w:r>
      <w:r w:rsidR="00B40245">
        <w:rPr>
          <w:rFonts w:cstheme="minorHAnsi"/>
          <w:szCs w:val="26"/>
        </w:rPr>
        <w:t xml:space="preserve">that </w:t>
      </w:r>
      <w:r w:rsidRPr="009C6CB3" w:rsidR="00BB51BE">
        <w:rPr>
          <w:rFonts w:cstheme="minorHAnsi"/>
          <w:szCs w:val="26"/>
        </w:rPr>
        <w:t xml:space="preserve">such legislation </w:t>
      </w:r>
      <w:r w:rsidR="00B40245">
        <w:rPr>
          <w:rFonts w:cstheme="minorHAnsi"/>
          <w:szCs w:val="26"/>
        </w:rPr>
        <w:t xml:space="preserve">does </w:t>
      </w:r>
      <w:r w:rsidRPr="009C6CB3" w:rsidR="00BB51BE">
        <w:rPr>
          <w:rFonts w:cstheme="minorHAnsi"/>
          <w:szCs w:val="26"/>
        </w:rPr>
        <w:t>not apply retroactively to nonfinal judgments on direct appeal</w:t>
      </w:r>
      <w:r w:rsidRPr="009C6CB3">
        <w:rPr>
          <w:rFonts w:cstheme="minorHAnsi"/>
          <w:szCs w:val="26"/>
        </w:rPr>
        <w:t>.  (</w:t>
      </w:r>
      <w:bookmarkStart w:id="113" w:name="Psych_Cite_107"/>
      <w:r w:rsidRPr="009C6CB3" w:rsidR="00BB51BE">
        <w:rPr>
          <w:rFonts w:cstheme="minorHAnsi"/>
          <w:szCs w:val="26"/>
        </w:rPr>
        <w:t xml:space="preserve">See </w:t>
      </w:r>
      <w:r w:rsidRPr="009C6CB3">
        <w:rPr>
          <w:rFonts w:cstheme="minorHAnsi"/>
          <w:i/>
          <w:iCs/>
          <w:szCs w:val="26"/>
        </w:rPr>
        <w:t>Conley</w:t>
      </w:r>
      <w:r w:rsidRPr="009C6CB3">
        <w:rPr>
          <w:rFonts w:cstheme="minorHAnsi"/>
          <w:szCs w:val="26"/>
        </w:rPr>
        <w:t xml:space="preserve">, </w:t>
      </w:r>
      <w:r w:rsidRPr="009C6CB3">
        <w:rPr>
          <w:rFonts w:cstheme="minorHAnsi"/>
          <w:i/>
          <w:iCs/>
          <w:szCs w:val="26"/>
        </w:rPr>
        <w:t>supra</w:t>
      </w:r>
      <w:r w:rsidRPr="009C6CB3">
        <w:rPr>
          <w:rFonts w:cstheme="minorHAnsi"/>
          <w:szCs w:val="26"/>
        </w:rPr>
        <w:t>, 63</w:t>
      </w:r>
      <w:r w:rsidRPr="009C6CB3" w:rsidR="00FA0C13">
        <w:rPr>
          <w:rFonts w:cstheme="minorHAnsi"/>
          <w:szCs w:val="26"/>
        </w:rPr>
        <w:t> </w:t>
      </w:r>
      <w:r w:rsidRPr="009C6CB3">
        <w:rPr>
          <w:rFonts w:cstheme="minorHAnsi"/>
          <w:szCs w:val="26"/>
        </w:rPr>
        <w:t>Cal.4</w:t>
      </w:r>
      <w:r w:rsidRPr="009C6CB3" w:rsidR="00BB51BE">
        <w:rPr>
          <w:rFonts w:cstheme="minorHAnsi"/>
          <w:szCs w:val="26"/>
        </w:rPr>
        <w:t>th</w:t>
      </w:r>
      <w:r w:rsidRPr="009C6CB3">
        <w:rPr>
          <w:rFonts w:cstheme="minorHAnsi"/>
          <w:szCs w:val="26"/>
        </w:rPr>
        <w:t xml:space="preserve"> at pp. 65</w:t>
      </w:r>
      <w:r w:rsidR="00B36583">
        <w:rPr>
          <w:rFonts w:cstheme="minorHAnsi"/>
          <w:szCs w:val="26"/>
        </w:rPr>
        <w:t>6</w:t>
      </w:r>
      <w:r w:rsidRPr="009C6CB3">
        <w:rPr>
          <w:rFonts w:cstheme="minorHAnsi"/>
          <w:szCs w:val="26"/>
        </w:rPr>
        <w:t>–659</w:t>
      </w:r>
      <w:bookmarkEnd w:id="113"/>
      <w:r w:rsidRPr="009C6CB3">
        <w:rPr>
          <w:rFonts w:cstheme="minorHAnsi"/>
          <w:szCs w:val="26"/>
        </w:rPr>
        <w:t xml:space="preserve">; </w:t>
      </w:r>
      <w:bookmarkStart w:id="114" w:name="Psych_Cite_108"/>
      <w:r w:rsidRPr="009C6CB3">
        <w:rPr>
          <w:rFonts w:cstheme="minorHAnsi"/>
          <w:i/>
          <w:iCs/>
          <w:szCs w:val="26"/>
        </w:rPr>
        <w:t>People v. DeHoyos</w:t>
      </w:r>
      <w:r w:rsidRPr="009C6CB3">
        <w:rPr>
          <w:rFonts w:cstheme="minorHAnsi"/>
          <w:szCs w:val="26"/>
        </w:rPr>
        <w:t xml:space="preserve"> (2018) 4 Cal.5</w:t>
      </w:r>
      <w:r w:rsidRPr="009C6CB3" w:rsidR="00BB51BE">
        <w:rPr>
          <w:rFonts w:cstheme="minorHAnsi"/>
          <w:szCs w:val="26"/>
        </w:rPr>
        <w:t>th</w:t>
      </w:r>
      <w:r w:rsidRPr="009C6CB3">
        <w:rPr>
          <w:rFonts w:cstheme="minorHAnsi"/>
          <w:szCs w:val="26"/>
        </w:rPr>
        <w:t xml:space="preserve"> 594, 602–603 (</w:t>
      </w:r>
      <w:r w:rsidRPr="009C6CB3">
        <w:rPr>
          <w:rFonts w:cstheme="minorHAnsi"/>
          <w:i/>
          <w:iCs/>
          <w:szCs w:val="26"/>
        </w:rPr>
        <w:t>DeHoyos</w:t>
      </w:r>
      <w:r w:rsidRPr="009C6CB3">
        <w:rPr>
          <w:rFonts w:cstheme="minorHAnsi"/>
          <w:szCs w:val="26"/>
        </w:rPr>
        <w:t>)</w:t>
      </w:r>
      <w:bookmarkEnd w:id="114"/>
      <w:r w:rsidRPr="009C6CB3">
        <w:rPr>
          <w:rFonts w:cstheme="minorHAnsi"/>
          <w:szCs w:val="26"/>
        </w:rPr>
        <w:t xml:space="preserve">.)  </w:t>
      </w:r>
      <w:r w:rsidRPr="009C6CB3" w:rsidR="0028530A">
        <w:rPr>
          <w:rFonts w:cstheme="minorHAnsi"/>
          <w:szCs w:val="26"/>
        </w:rPr>
        <w:t xml:space="preserve">In </w:t>
      </w:r>
      <w:r w:rsidRPr="009C6CB3" w:rsidR="0028530A">
        <w:rPr>
          <w:rFonts w:cstheme="minorHAnsi"/>
          <w:i/>
          <w:iCs/>
          <w:szCs w:val="26"/>
        </w:rPr>
        <w:t>Conley</w:t>
      </w:r>
      <w:r w:rsidRPr="009C6CB3" w:rsidR="0028530A">
        <w:rPr>
          <w:rFonts w:cstheme="minorHAnsi"/>
          <w:szCs w:val="26"/>
        </w:rPr>
        <w:t xml:space="preserve">, we </w:t>
      </w:r>
      <w:r w:rsidRPr="009C6CB3" w:rsidR="00BB51BE">
        <w:rPr>
          <w:rFonts w:cstheme="minorHAnsi"/>
          <w:szCs w:val="26"/>
        </w:rPr>
        <w:t xml:space="preserve">concluded that </w:t>
      </w:r>
      <w:r w:rsidRPr="009C6CB3" w:rsidR="0028530A">
        <w:rPr>
          <w:rFonts w:cstheme="minorHAnsi"/>
          <w:szCs w:val="26"/>
        </w:rPr>
        <w:t xml:space="preserve">Proposition 36, the Three Strikes Reform Act of 2012, </w:t>
      </w:r>
      <w:r w:rsidRPr="009C6CB3" w:rsidR="00BB51BE">
        <w:rPr>
          <w:rFonts w:cstheme="minorHAnsi"/>
          <w:szCs w:val="26"/>
        </w:rPr>
        <w:t xml:space="preserve">did not apply </w:t>
      </w:r>
      <w:r w:rsidRPr="009C6CB3" w:rsidR="00690354">
        <w:rPr>
          <w:rFonts w:cstheme="minorHAnsi"/>
          <w:szCs w:val="26"/>
        </w:rPr>
        <w:t>retroactively to defendants whose convictions were not yet final on appeal</w:t>
      </w:r>
      <w:r w:rsidRPr="009C6CB3" w:rsidR="00CA0755">
        <w:rPr>
          <w:rFonts w:cstheme="minorHAnsi"/>
          <w:szCs w:val="26"/>
        </w:rPr>
        <w:t xml:space="preserve"> based on three “interpretive considerations.”  </w:t>
      </w:r>
      <w:r w:rsidRPr="009C6CB3" w:rsidR="00E8705B">
        <w:rPr>
          <w:rFonts w:cstheme="minorHAnsi"/>
          <w:szCs w:val="26"/>
        </w:rPr>
        <w:t>(</w:t>
      </w:r>
      <w:bookmarkStart w:id="115" w:name="Psych_Cite_109"/>
      <w:r w:rsidRPr="009C6CB3" w:rsidR="00E8705B">
        <w:rPr>
          <w:rFonts w:cstheme="minorHAnsi"/>
          <w:i/>
          <w:iCs/>
          <w:szCs w:val="26"/>
        </w:rPr>
        <w:t>Conley</w:t>
      </w:r>
      <w:r w:rsidRPr="009C6CB3" w:rsidR="00E8705B">
        <w:rPr>
          <w:rFonts w:cstheme="minorHAnsi"/>
          <w:szCs w:val="26"/>
        </w:rPr>
        <w:t>, at p.</w:t>
      </w:r>
      <w:r w:rsidRPr="009C6CB3" w:rsidR="00725955">
        <w:rPr>
          <w:rFonts w:cstheme="minorHAnsi"/>
          <w:szCs w:val="26"/>
        </w:rPr>
        <w:t> </w:t>
      </w:r>
      <w:r w:rsidRPr="009C6CB3" w:rsidR="00E8705B">
        <w:rPr>
          <w:rFonts w:cstheme="minorHAnsi"/>
          <w:szCs w:val="26"/>
        </w:rPr>
        <w:t>65</w:t>
      </w:r>
      <w:r w:rsidRPr="009C6CB3" w:rsidR="00725955">
        <w:rPr>
          <w:rFonts w:cstheme="minorHAnsi"/>
          <w:szCs w:val="26"/>
        </w:rPr>
        <w:t>7</w:t>
      </w:r>
      <w:bookmarkEnd w:id="115"/>
      <w:r w:rsidRPr="009C6CB3" w:rsidR="00E8705B">
        <w:rPr>
          <w:rFonts w:cstheme="minorHAnsi"/>
          <w:szCs w:val="26"/>
        </w:rPr>
        <w:t xml:space="preserve">.) </w:t>
      </w:r>
      <w:r w:rsidRPr="009C6CB3" w:rsidR="00B31C3E">
        <w:rPr>
          <w:rFonts w:cstheme="minorHAnsi"/>
          <w:szCs w:val="26"/>
        </w:rPr>
        <w:t xml:space="preserve"> </w:t>
      </w:r>
      <w:r w:rsidRPr="009C6CB3" w:rsidR="00A9490F">
        <w:rPr>
          <w:rFonts w:cstheme="minorHAnsi"/>
          <w:szCs w:val="26"/>
        </w:rPr>
        <w:t xml:space="preserve">First, Proposition 36 </w:t>
      </w:r>
      <w:r w:rsidRPr="009C6CB3" w:rsidR="00C36C98">
        <w:rPr>
          <w:rFonts w:cstheme="minorHAnsi"/>
          <w:szCs w:val="26"/>
        </w:rPr>
        <w:t xml:space="preserve">established a </w:t>
      </w:r>
      <w:r w:rsidRPr="009C6CB3" w:rsidR="00810692">
        <w:rPr>
          <w:rFonts w:cstheme="minorHAnsi"/>
          <w:szCs w:val="26"/>
        </w:rPr>
        <w:t xml:space="preserve">specific mechanism </w:t>
      </w:r>
      <w:r w:rsidRPr="009C6CB3" w:rsidR="00C36C98">
        <w:rPr>
          <w:rFonts w:cstheme="minorHAnsi"/>
          <w:szCs w:val="26"/>
        </w:rPr>
        <w:t xml:space="preserve">for defendants </w:t>
      </w:r>
      <w:r w:rsidRPr="009C6CB3" w:rsidR="00810692">
        <w:rPr>
          <w:rFonts w:cstheme="minorHAnsi"/>
          <w:szCs w:val="26"/>
        </w:rPr>
        <w:t>to seek resentencing</w:t>
      </w:r>
      <w:r w:rsidRPr="009C6CB3" w:rsidR="00CC500C">
        <w:rPr>
          <w:rFonts w:cstheme="minorHAnsi"/>
          <w:szCs w:val="26"/>
        </w:rPr>
        <w:t xml:space="preserve"> </w:t>
      </w:r>
      <w:r w:rsidRPr="009C6CB3" w:rsidR="00F01AEE">
        <w:rPr>
          <w:rFonts w:cstheme="minorHAnsi"/>
          <w:szCs w:val="26"/>
        </w:rPr>
        <w:t>in light of</w:t>
      </w:r>
      <w:r w:rsidRPr="009C6CB3" w:rsidR="00CC500C">
        <w:rPr>
          <w:rFonts w:cstheme="minorHAnsi"/>
          <w:szCs w:val="26"/>
        </w:rPr>
        <w:t xml:space="preserve"> its</w:t>
      </w:r>
      <w:r w:rsidRPr="009C6CB3" w:rsidR="00331927">
        <w:rPr>
          <w:rFonts w:cstheme="minorHAnsi"/>
          <w:szCs w:val="26"/>
        </w:rPr>
        <w:t xml:space="preserve"> </w:t>
      </w:r>
      <w:r w:rsidRPr="009C6CB3" w:rsidR="00CC500C">
        <w:rPr>
          <w:rFonts w:cstheme="minorHAnsi"/>
          <w:szCs w:val="26"/>
        </w:rPr>
        <w:t>ameliorative provisions</w:t>
      </w:r>
      <w:r w:rsidRPr="009C6CB3" w:rsidR="0037750E">
        <w:rPr>
          <w:rFonts w:cstheme="minorHAnsi"/>
          <w:szCs w:val="26"/>
        </w:rPr>
        <w:t>, and that mechanism “</w:t>
      </w:r>
      <w:r w:rsidRPr="009C6CB3" w:rsidR="00331927">
        <w:rPr>
          <w:rFonts w:cstheme="minorHAnsi"/>
          <w:szCs w:val="26"/>
        </w:rPr>
        <w:t>dr[ew] no distinction between persons serving final sentences and those serving nonfinal sentences</w:t>
      </w:r>
      <w:r w:rsidRPr="009C6CB3" w:rsidR="0037750E">
        <w:rPr>
          <w:rFonts w:cstheme="minorHAnsi"/>
          <w:szCs w:val="26"/>
        </w:rPr>
        <w:t>.</w:t>
      </w:r>
      <w:r w:rsidRPr="009C6CB3" w:rsidR="00331927">
        <w:rPr>
          <w:rFonts w:cstheme="minorHAnsi"/>
          <w:szCs w:val="26"/>
        </w:rPr>
        <w:t>”</w:t>
      </w:r>
      <w:r w:rsidRPr="009C6CB3" w:rsidR="0037750E">
        <w:rPr>
          <w:rFonts w:cstheme="minorHAnsi"/>
          <w:szCs w:val="26"/>
        </w:rPr>
        <w:t xml:space="preserve">  (</w:t>
      </w:r>
      <w:bookmarkStart w:id="116" w:name="Psych_Cite_103"/>
      <w:r w:rsidRPr="009C6CB3" w:rsidR="0037750E">
        <w:rPr>
          <w:rFonts w:cstheme="minorHAnsi"/>
          <w:i/>
          <w:iCs/>
          <w:szCs w:val="26"/>
        </w:rPr>
        <w:t>I</w:t>
      </w:r>
      <w:r w:rsidRPr="009C6CB3" w:rsidR="00725955">
        <w:rPr>
          <w:rFonts w:cstheme="minorHAnsi"/>
          <w:i/>
          <w:iCs/>
          <w:szCs w:val="26"/>
        </w:rPr>
        <w:t>bi</w:t>
      </w:r>
      <w:r w:rsidRPr="009C6CB3" w:rsidR="0037750E">
        <w:rPr>
          <w:rFonts w:cstheme="minorHAnsi"/>
          <w:i/>
          <w:iCs/>
          <w:szCs w:val="26"/>
        </w:rPr>
        <w:t>d.</w:t>
      </w:r>
      <w:bookmarkEnd w:id="116"/>
      <w:r w:rsidRPr="009C6CB3" w:rsidR="00B21677">
        <w:rPr>
          <w:rFonts w:cstheme="minorHAnsi"/>
          <w:szCs w:val="26"/>
        </w:rPr>
        <w:t xml:space="preserve">)  </w:t>
      </w:r>
      <w:r w:rsidRPr="009C6CB3" w:rsidR="001D6A12">
        <w:rPr>
          <w:rFonts w:cstheme="minorHAnsi"/>
          <w:szCs w:val="26"/>
        </w:rPr>
        <w:t>Second, Proposition 36</w:t>
      </w:r>
      <w:r w:rsidRPr="009C6CB3" w:rsidR="004D20B9">
        <w:rPr>
          <w:rFonts w:cstheme="minorHAnsi"/>
          <w:szCs w:val="26"/>
        </w:rPr>
        <w:t xml:space="preserve"> </w:t>
      </w:r>
      <w:r w:rsidRPr="009C6CB3" w:rsidR="00901194">
        <w:rPr>
          <w:rFonts w:cstheme="minorHAnsi"/>
          <w:szCs w:val="26"/>
        </w:rPr>
        <w:t>did not make resentencing automatic</w:t>
      </w:r>
      <w:r w:rsidRPr="009C6CB3" w:rsidR="00CA0755">
        <w:rPr>
          <w:rFonts w:cstheme="minorHAnsi"/>
          <w:szCs w:val="26"/>
        </w:rPr>
        <w:t>;</w:t>
      </w:r>
      <w:r w:rsidRPr="009C6CB3" w:rsidR="00901194">
        <w:rPr>
          <w:rFonts w:cstheme="minorHAnsi"/>
          <w:szCs w:val="26"/>
        </w:rPr>
        <w:t xml:space="preserve"> its provisions directed the trial court to evaluate </w:t>
      </w:r>
      <w:r w:rsidRPr="009C6CB3" w:rsidR="001831D2">
        <w:rPr>
          <w:rFonts w:cstheme="minorHAnsi"/>
          <w:szCs w:val="26"/>
        </w:rPr>
        <w:t>whether early release would pos</w:t>
      </w:r>
      <w:r w:rsidR="008F72B8">
        <w:rPr>
          <w:rFonts w:cstheme="minorHAnsi"/>
          <w:szCs w:val="26"/>
        </w:rPr>
        <w:t>e</w:t>
      </w:r>
      <w:r w:rsidRPr="009C6CB3" w:rsidR="001831D2">
        <w:rPr>
          <w:rFonts w:cstheme="minorHAnsi"/>
          <w:szCs w:val="26"/>
        </w:rPr>
        <w:t xml:space="preserve"> “</w:t>
      </w:r>
      <w:bookmarkStart w:id="117" w:name="QUOTE_BOOKMARK_IS_CONFIRMED_15"/>
      <w:r w:rsidR="00F82825">
        <w:rPr>
          <w:rFonts w:cstheme="minorHAnsi"/>
          <w:szCs w:val="26"/>
        </w:rPr>
        <w:t>an ‘unreasonable risk of danger to public safety’</w:t>
      </w:r>
      <w:bookmarkEnd w:id="117"/>
      <w:r w:rsidR="000F245B">
        <w:rPr>
          <w:rFonts w:cstheme="minorHAnsi"/>
          <w:szCs w:val="26"/>
        </w:rPr>
        <w:t> </w:t>
      </w:r>
      <w:r w:rsidRPr="009C6CB3" w:rsidR="001831D2">
        <w:rPr>
          <w:rFonts w:cstheme="minorHAnsi"/>
          <w:szCs w:val="26"/>
        </w:rPr>
        <w:t xml:space="preserve">” based on </w:t>
      </w:r>
      <w:r w:rsidRPr="009C6CB3" w:rsidR="00CA0755">
        <w:rPr>
          <w:rFonts w:cstheme="minorHAnsi"/>
          <w:szCs w:val="26"/>
        </w:rPr>
        <w:t xml:space="preserve">the </w:t>
      </w:r>
      <w:r w:rsidRPr="009C6CB3" w:rsidR="001831D2">
        <w:rPr>
          <w:rFonts w:cstheme="minorHAnsi"/>
          <w:szCs w:val="26"/>
        </w:rPr>
        <w:t>defendant’s criminal history and other</w:t>
      </w:r>
      <w:r w:rsidRPr="009C6CB3" w:rsidR="0039287C">
        <w:rPr>
          <w:rFonts w:cstheme="minorHAnsi"/>
          <w:szCs w:val="26"/>
        </w:rPr>
        <w:t xml:space="preserve"> factors</w:t>
      </w:r>
      <w:r w:rsidRPr="009C6CB3" w:rsidR="001831D2">
        <w:rPr>
          <w:rFonts w:cstheme="minorHAnsi"/>
          <w:szCs w:val="26"/>
        </w:rPr>
        <w:t>.  (</w:t>
      </w:r>
      <w:bookmarkStart w:id="118" w:name="Psych_Cite_104"/>
      <w:r w:rsidRPr="009C6CB3" w:rsidR="001831D2">
        <w:rPr>
          <w:rFonts w:cstheme="minorHAnsi"/>
          <w:i/>
          <w:iCs/>
          <w:szCs w:val="26"/>
        </w:rPr>
        <w:t>Id.</w:t>
      </w:r>
      <w:r w:rsidRPr="009C6CB3" w:rsidR="001831D2">
        <w:rPr>
          <w:rFonts w:cstheme="minorHAnsi"/>
          <w:szCs w:val="26"/>
        </w:rPr>
        <w:t xml:space="preserve"> at p. 658.) </w:t>
      </w:r>
      <w:r w:rsidRPr="009C6CB3" w:rsidR="00051ABA">
        <w:rPr>
          <w:rFonts w:cstheme="minorHAnsi"/>
          <w:szCs w:val="26"/>
        </w:rPr>
        <w:t xml:space="preserve"> </w:t>
      </w:r>
      <w:r w:rsidRPr="009C6CB3" w:rsidR="001831D2">
        <w:rPr>
          <w:rFonts w:cstheme="minorHAnsi"/>
          <w:szCs w:val="26"/>
        </w:rPr>
        <w:t>Third</w:t>
      </w:r>
      <w:bookmarkEnd w:id="118"/>
      <w:r w:rsidRPr="009C6CB3" w:rsidR="001831D2">
        <w:rPr>
          <w:rFonts w:cstheme="minorHAnsi"/>
          <w:szCs w:val="26"/>
        </w:rPr>
        <w:t xml:space="preserve">, </w:t>
      </w:r>
      <w:r w:rsidRPr="009C6CB3" w:rsidR="00C12053">
        <w:rPr>
          <w:rFonts w:cstheme="minorHAnsi"/>
          <w:szCs w:val="26"/>
        </w:rPr>
        <w:t xml:space="preserve">we explained that </w:t>
      </w:r>
      <w:r w:rsidRPr="009C6CB3" w:rsidR="00B23293">
        <w:rPr>
          <w:rFonts w:cstheme="minorHAnsi"/>
          <w:szCs w:val="26"/>
        </w:rPr>
        <w:t xml:space="preserve">other complexities in the law — including </w:t>
      </w:r>
      <w:r w:rsidRPr="009C6CB3" w:rsidR="00BB51BE">
        <w:rPr>
          <w:rFonts w:cstheme="minorHAnsi"/>
          <w:szCs w:val="26"/>
        </w:rPr>
        <w:t xml:space="preserve">the fact </w:t>
      </w:r>
      <w:r w:rsidRPr="009C6CB3" w:rsidR="00B23293">
        <w:rPr>
          <w:rFonts w:cstheme="minorHAnsi"/>
          <w:szCs w:val="26"/>
        </w:rPr>
        <w:t xml:space="preserve">that </w:t>
      </w:r>
      <w:r w:rsidRPr="009C6CB3" w:rsidR="00B94CA8">
        <w:rPr>
          <w:rFonts w:cstheme="minorHAnsi"/>
          <w:szCs w:val="26"/>
        </w:rPr>
        <w:t>it</w:t>
      </w:r>
      <w:r w:rsidRPr="009C6CB3" w:rsidR="001C216D">
        <w:rPr>
          <w:rFonts w:cstheme="minorHAnsi"/>
          <w:szCs w:val="26"/>
        </w:rPr>
        <w:t xml:space="preserve"> created a new set of</w:t>
      </w:r>
      <w:r w:rsidRPr="009C6CB3" w:rsidR="005E2E7A">
        <w:rPr>
          <w:rFonts w:cstheme="minorHAnsi"/>
          <w:szCs w:val="26"/>
        </w:rPr>
        <w:t xml:space="preserve"> sentencing</w:t>
      </w:r>
      <w:r w:rsidRPr="009C6CB3" w:rsidR="001C216D">
        <w:rPr>
          <w:rFonts w:cstheme="minorHAnsi"/>
          <w:szCs w:val="26"/>
        </w:rPr>
        <w:t xml:space="preserve"> factors that must be pleaded and proved by the prosecution and did not specify how the prosecution </w:t>
      </w:r>
      <w:r w:rsidRPr="009C6CB3" w:rsidR="005E2E7A">
        <w:rPr>
          <w:rFonts w:cstheme="minorHAnsi"/>
          <w:szCs w:val="26"/>
        </w:rPr>
        <w:t>would</w:t>
      </w:r>
      <w:r w:rsidRPr="009C6CB3" w:rsidR="001C216D">
        <w:rPr>
          <w:rFonts w:cstheme="minorHAnsi"/>
          <w:szCs w:val="26"/>
        </w:rPr>
        <w:t xml:space="preserve"> </w:t>
      </w:r>
      <w:r w:rsidRPr="009C6CB3" w:rsidR="009A134E">
        <w:rPr>
          <w:rFonts w:cstheme="minorHAnsi"/>
          <w:szCs w:val="26"/>
        </w:rPr>
        <w:t xml:space="preserve">meet that </w:t>
      </w:r>
      <w:r w:rsidRPr="009C6CB3" w:rsidR="003D703B">
        <w:rPr>
          <w:rFonts w:cstheme="minorHAnsi"/>
          <w:szCs w:val="26"/>
        </w:rPr>
        <w:t>burden</w:t>
      </w:r>
      <w:r w:rsidRPr="009C6CB3" w:rsidR="009A134E">
        <w:rPr>
          <w:rFonts w:cstheme="minorHAnsi"/>
          <w:szCs w:val="26"/>
        </w:rPr>
        <w:t xml:space="preserve"> </w:t>
      </w:r>
      <w:r w:rsidRPr="009C6CB3" w:rsidR="001C216D">
        <w:rPr>
          <w:rFonts w:cstheme="minorHAnsi"/>
          <w:szCs w:val="26"/>
        </w:rPr>
        <w:t xml:space="preserve">in a case where the defendant was already sentenced — </w:t>
      </w:r>
      <w:r w:rsidRPr="009C6CB3" w:rsidR="00B94CA8">
        <w:rPr>
          <w:rFonts w:cstheme="minorHAnsi"/>
          <w:szCs w:val="26"/>
        </w:rPr>
        <w:t xml:space="preserve">indicated </w:t>
      </w:r>
      <w:r w:rsidRPr="009C6CB3" w:rsidR="00380CDE">
        <w:rPr>
          <w:rFonts w:cstheme="minorHAnsi"/>
          <w:szCs w:val="26"/>
        </w:rPr>
        <w:t xml:space="preserve">that “voters intended for previously sentenced defendants to seek relief” solely through </w:t>
      </w:r>
      <w:r w:rsidRPr="009C6CB3" w:rsidR="00BB51BE">
        <w:rPr>
          <w:rFonts w:cstheme="minorHAnsi"/>
          <w:szCs w:val="26"/>
        </w:rPr>
        <w:t>a resentencing</w:t>
      </w:r>
      <w:r w:rsidRPr="009C6CB3" w:rsidR="003A0056">
        <w:rPr>
          <w:rFonts w:cstheme="minorHAnsi"/>
          <w:szCs w:val="26"/>
        </w:rPr>
        <w:t xml:space="preserve"> </w:t>
      </w:r>
      <w:r w:rsidRPr="009C6CB3" w:rsidR="009479FE">
        <w:rPr>
          <w:rFonts w:cstheme="minorHAnsi"/>
          <w:szCs w:val="26"/>
        </w:rPr>
        <w:t xml:space="preserve">petition </w:t>
      </w:r>
      <w:r w:rsidRPr="009C6CB3" w:rsidR="00BB51BE">
        <w:rPr>
          <w:rFonts w:cstheme="minorHAnsi"/>
          <w:szCs w:val="26"/>
        </w:rPr>
        <w:t>as provided by the initiative</w:t>
      </w:r>
      <w:r w:rsidRPr="009C6CB3" w:rsidR="009479FE">
        <w:rPr>
          <w:rFonts w:cstheme="minorHAnsi"/>
          <w:szCs w:val="26"/>
        </w:rPr>
        <w:t>.  (</w:t>
      </w:r>
      <w:r w:rsidRPr="009C6CB3" w:rsidR="009479FE">
        <w:rPr>
          <w:rFonts w:cstheme="minorHAnsi"/>
          <w:i/>
          <w:iCs/>
          <w:szCs w:val="26"/>
        </w:rPr>
        <w:t>I</w:t>
      </w:r>
      <w:bookmarkStart w:id="119" w:name="Psych_Cite_105"/>
      <w:r w:rsidRPr="009C6CB3" w:rsidR="009479FE">
        <w:rPr>
          <w:rFonts w:cstheme="minorHAnsi"/>
          <w:i/>
          <w:iCs/>
          <w:szCs w:val="26"/>
        </w:rPr>
        <w:t>d.</w:t>
      </w:r>
      <w:r w:rsidRPr="009C6CB3" w:rsidR="009479FE">
        <w:rPr>
          <w:rFonts w:cstheme="minorHAnsi"/>
          <w:szCs w:val="26"/>
        </w:rPr>
        <w:t xml:space="preserve"> at p.</w:t>
      </w:r>
      <w:r w:rsidR="003B4176">
        <w:rPr>
          <w:rFonts w:cstheme="minorHAnsi"/>
          <w:szCs w:val="26"/>
        </w:rPr>
        <w:t> </w:t>
      </w:r>
      <w:r w:rsidRPr="009C6CB3" w:rsidR="009479FE">
        <w:rPr>
          <w:rFonts w:cstheme="minorHAnsi"/>
          <w:szCs w:val="26"/>
        </w:rPr>
        <w:t>661</w:t>
      </w:r>
      <w:bookmarkEnd w:id="119"/>
      <w:r w:rsidR="007709CE">
        <w:rPr>
          <w:rFonts w:cstheme="minorHAnsi"/>
          <w:szCs w:val="26"/>
        </w:rPr>
        <w:t xml:space="preserve">; </w:t>
      </w:r>
      <w:r w:rsidR="007709CE">
        <w:rPr>
          <w:rFonts w:cstheme="minorHAnsi"/>
          <w:i/>
          <w:iCs/>
          <w:szCs w:val="26"/>
        </w:rPr>
        <w:t>i</w:t>
      </w:r>
      <w:bookmarkStart w:id="120" w:name="Psych_Cite_106"/>
      <w:r w:rsidR="007709CE">
        <w:rPr>
          <w:rFonts w:cstheme="minorHAnsi"/>
          <w:i/>
          <w:iCs/>
          <w:szCs w:val="26"/>
        </w:rPr>
        <w:t>d</w:t>
      </w:r>
      <w:r w:rsidR="007709CE">
        <w:rPr>
          <w:rFonts w:cstheme="minorHAnsi"/>
          <w:szCs w:val="26"/>
        </w:rPr>
        <w:t>. at pp. 659–660</w:t>
      </w:r>
      <w:bookmarkEnd w:id="120"/>
      <w:r w:rsidRPr="009C6CB3" w:rsidR="009479FE">
        <w:rPr>
          <w:rFonts w:cstheme="minorHAnsi"/>
          <w:szCs w:val="26"/>
        </w:rPr>
        <w:t>.)</w:t>
      </w:r>
    </w:p>
    <w:p w:rsidR="009F7F72" w:rsidRPr="009C6CB3" w:rsidP="009C6CB3">
      <w:pPr>
        <w:ind w:firstLine="720"/>
        <w:rPr>
          <w:rFonts w:cstheme="minorHAnsi"/>
          <w:szCs w:val="26"/>
        </w:rPr>
      </w:pPr>
      <w:r w:rsidRPr="009C6CB3">
        <w:rPr>
          <w:rFonts w:cstheme="minorHAnsi"/>
          <w:szCs w:val="26"/>
        </w:rPr>
        <w:t>I</w:t>
      </w:r>
      <w:r w:rsidRPr="009C6CB3" w:rsidR="00F3376D">
        <w:rPr>
          <w:rFonts w:cstheme="minorHAnsi"/>
          <w:szCs w:val="26"/>
        </w:rPr>
        <w:t xml:space="preserve">n </w:t>
      </w:r>
      <w:r w:rsidRPr="009C6CB3" w:rsidR="00F3376D">
        <w:rPr>
          <w:rFonts w:cstheme="minorHAnsi"/>
          <w:i/>
          <w:iCs/>
          <w:szCs w:val="26"/>
        </w:rPr>
        <w:t>DeHoy</w:t>
      </w:r>
      <w:r w:rsidRPr="009C6CB3" w:rsidR="005C2F1A">
        <w:rPr>
          <w:rFonts w:cstheme="minorHAnsi"/>
          <w:i/>
          <w:iCs/>
          <w:szCs w:val="26"/>
        </w:rPr>
        <w:t>os</w:t>
      </w:r>
      <w:r w:rsidRPr="009C6CB3" w:rsidR="005C2F1A">
        <w:rPr>
          <w:rFonts w:cstheme="minorHAnsi"/>
          <w:szCs w:val="26"/>
        </w:rPr>
        <w:t>, we held</w:t>
      </w:r>
      <w:r w:rsidRPr="009C6CB3" w:rsidR="00E83BC2">
        <w:rPr>
          <w:rFonts w:cstheme="minorHAnsi"/>
          <w:szCs w:val="26"/>
        </w:rPr>
        <w:t xml:space="preserve"> </w:t>
      </w:r>
      <w:r w:rsidRPr="009C6CB3" w:rsidR="00055D04">
        <w:rPr>
          <w:rFonts w:cstheme="minorHAnsi"/>
          <w:szCs w:val="26"/>
        </w:rPr>
        <w:t>that</w:t>
      </w:r>
      <w:r w:rsidRPr="009C6CB3" w:rsidR="00FC5B5D">
        <w:rPr>
          <w:rFonts w:cstheme="minorHAnsi"/>
          <w:szCs w:val="26"/>
        </w:rPr>
        <w:t xml:space="preserve"> Proposition 47, the Safe Neighborhoods and Schools Act, did not apply retroactively to cases on direct review</w:t>
      </w:r>
      <w:r w:rsidRPr="009C6CB3" w:rsidR="00BB17DF">
        <w:rPr>
          <w:rFonts w:cstheme="minorHAnsi"/>
          <w:szCs w:val="26"/>
        </w:rPr>
        <w:t>.  (</w:t>
      </w:r>
      <w:bookmarkStart w:id="121" w:name="Psych_Cite_113"/>
      <w:r w:rsidRPr="009C6CB3" w:rsidR="00BB17DF">
        <w:rPr>
          <w:rFonts w:cstheme="minorHAnsi"/>
          <w:i/>
          <w:iCs/>
          <w:szCs w:val="26"/>
        </w:rPr>
        <w:t>De</w:t>
      </w:r>
      <w:r w:rsidRPr="009C6CB3" w:rsidR="00C65DA3">
        <w:rPr>
          <w:rFonts w:cstheme="minorHAnsi"/>
          <w:i/>
          <w:iCs/>
          <w:szCs w:val="26"/>
        </w:rPr>
        <w:t>H</w:t>
      </w:r>
      <w:r w:rsidRPr="009C6CB3" w:rsidR="00BB17DF">
        <w:rPr>
          <w:rFonts w:cstheme="minorHAnsi"/>
          <w:i/>
          <w:iCs/>
          <w:szCs w:val="26"/>
        </w:rPr>
        <w:t>oyos</w:t>
      </w:r>
      <w:r w:rsidRPr="009C6CB3" w:rsidR="00BB17DF">
        <w:rPr>
          <w:rFonts w:cstheme="minorHAnsi"/>
          <w:szCs w:val="26"/>
        </w:rPr>
        <w:t xml:space="preserve">, </w:t>
      </w:r>
      <w:r w:rsidRPr="009C6CB3" w:rsidR="00BB17DF">
        <w:rPr>
          <w:rFonts w:cstheme="minorHAnsi"/>
          <w:i/>
          <w:iCs/>
          <w:szCs w:val="26"/>
        </w:rPr>
        <w:t>supra</w:t>
      </w:r>
      <w:r w:rsidRPr="009C6CB3" w:rsidR="00BB17DF">
        <w:rPr>
          <w:rFonts w:cstheme="minorHAnsi"/>
          <w:szCs w:val="26"/>
        </w:rPr>
        <w:t xml:space="preserve">, </w:t>
      </w:r>
      <w:r w:rsidRPr="009C6CB3" w:rsidR="00184C6D">
        <w:rPr>
          <w:rFonts w:cstheme="minorHAnsi"/>
          <w:szCs w:val="26"/>
        </w:rPr>
        <w:t>4 Cal.5th at p. </w:t>
      </w:r>
      <w:r w:rsidRPr="009C6CB3" w:rsidR="00FC5B5D">
        <w:rPr>
          <w:rFonts w:cstheme="minorHAnsi"/>
          <w:szCs w:val="26"/>
        </w:rPr>
        <w:t>603</w:t>
      </w:r>
      <w:bookmarkEnd w:id="121"/>
      <w:r w:rsidRPr="009C6CB3" w:rsidR="00FC5B5D">
        <w:rPr>
          <w:rFonts w:cstheme="minorHAnsi"/>
          <w:szCs w:val="26"/>
        </w:rPr>
        <w:t xml:space="preserve">.)  </w:t>
      </w:r>
      <w:r w:rsidRPr="009C6CB3" w:rsidR="00055D04">
        <w:rPr>
          <w:rFonts w:cstheme="minorHAnsi"/>
          <w:szCs w:val="26"/>
        </w:rPr>
        <w:t>Proposition 47</w:t>
      </w:r>
      <w:r w:rsidRPr="009C6CB3" w:rsidR="00940765">
        <w:rPr>
          <w:rFonts w:cstheme="minorHAnsi"/>
          <w:szCs w:val="26"/>
        </w:rPr>
        <w:t xml:space="preserve"> </w:t>
      </w:r>
      <w:r w:rsidRPr="009C6CB3" w:rsidR="00055D04">
        <w:rPr>
          <w:rFonts w:cstheme="minorHAnsi"/>
          <w:szCs w:val="26"/>
        </w:rPr>
        <w:t xml:space="preserve">contained a specific mechanism for resentencing that </w:t>
      </w:r>
      <w:r w:rsidRPr="009C6CB3" w:rsidR="00BF65EB">
        <w:rPr>
          <w:rFonts w:cstheme="minorHAnsi"/>
          <w:szCs w:val="26"/>
        </w:rPr>
        <w:t xml:space="preserve">did not draw a distinction between persons serving final </w:t>
      </w:r>
      <w:r w:rsidRPr="009C6CB3" w:rsidR="007729BB">
        <w:rPr>
          <w:rFonts w:cstheme="minorHAnsi"/>
          <w:szCs w:val="26"/>
        </w:rPr>
        <w:t>and</w:t>
      </w:r>
      <w:r w:rsidRPr="009C6CB3" w:rsidR="00BF65EB">
        <w:rPr>
          <w:rFonts w:cstheme="minorHAnsi"/>
          <w:szCs w:val="26"/>
        </w:rPr>
        <w:t xml:space="preserve"> nonfinal sentences.  (</w:t>
      </w:r>
      <w:bookmarkStart w:id="122" w:name="Psych_Cite_110"/>
      <w:r w:rsidRPr="009C6CB3" w:rsidR="00BF65EB">
        <w:rPr>
          <w:rFonts w:cstheme="minorHAnsi"/>
          <w:i/>
          <w:iCs/>
          <w:szCs w:val="26"/>
        </w:rPr>
        <w:t>Ibid.</w:t>
      </w:r>
      <w:bookmarkEnd w:id="122"/>
      <w:r w:rsidRPr="009C6CB3" w:rsidR="00BF65EB">
        <w:rPr>
          <w:rFonts w:cstheme="minorHAnsi"/>
          <w:szCs w:val="26"/>
        </w:rPr>
        <w:t xml:space="preserve">) </w:t>
      </w:r>
      <w:r w:rsidRPr="009C6CB3" w:rsidR="00125988">
        <w:rPr>
          <w:rFonts w:cstheme="minorHAnsi"/>
          <w:szCs w:val="26"/>
        </w:rPr>
        <w:t xml:space="preserve"> </w:t>
      </w:r>
      <w:r w:rsidRPr="009C6CB3" w:rsidR="00BB51BE">
        <w:rPr>
          <w:rFonts w:cstheme="minorHAnsi"/>
          <w:szCs w:val="26"/>
        </w:rPr>
        <w:t xml:space="preserve">And </w:t>
      </w:r>
      <w:r w:rsidRPr="009C6CB3" w:rsidR="00885EB4">
        <w:rPr>
          <w:rFonts w:cstheme="minorHAnsi"/>
          <w:szCs w:val="26"/>
        </w:rPr>
        <w:t xml:space="preserve">Proposition 47 </w:t>
      </w:r>
      <w:r w:rsidRPr="009C6CB3" w:rsidR="00675E3D">
        <w:rPr>
          <w:rFonts w:cstheme="minorHAnsi"/>
          <w:szCs w:val="26"/>
        </w:rPr>
        <w:t>did not automatically entitle defendants to relief</w:t>
      </w:r>
      <w:r w:rsidRPr="009C6CB3">
        <w:rPr>
          <w:rFonts w:cstheme="minorHAnsi"/>
          <w:szCs w:val="26"/>
        </w:rPr>
        <w:t>;</w:t>
      </w:r>
      <w:r w:rsidRPr="009C6CB3" w:rsidR="00675E3D">
        <w:rPr>
          <w:rFonts w:cstheme="minorHAnsi"/>
          <w:szCs w:val="26"/>
        </w:rPr>
        <w:t xml:space="preserve"> it</w:t>
      </w:r>
      <w:r w:rsidRPr="009C6CB3" w:rsidR="00125988">
        <w:rPr>
          <w:rFonts w:cstheme="minorHAnsi"/>
          <w:szCs w:val="26"/>
        </w:rPr>
        <w:t xml:space="preserve"> </w:t>
      </w:r>
      <w:r w:rsidRPr="009C6CB3" w:rsidR="00994E3E">
        <w:rPr>
          <w:rFonts w:cstheme="minorHAnsi"/>
          <w:szCs w:val="26"/>
        </w:rPr>
        <w:t>required</w:t>
      </w:r>
      <w:r w:rsidRPr="009C6CB3" w:rsidR="00125988">
        <w:rPr>
          <w:rFonts w:cstheme="minorHAnsi"/>
          <w:szCs w:val="26"/>
        </w:rPr>
        <w:t xml:space="preserve"> the trial court to assess whether early release would pos</w:t>
      </w:r>
      <w:r w:rsidRPr="009C6CB3" w:rsidR="008027D1">
        <w:rPr>
          <w:rFonts w:cstheme="minorHAnsi"/>
          <w:szCs w:val="26"/>
        </w:rPr>
        <w:t>e</w:t>
      </w:r>
      <w:r w:rsidRPr="009C6CB3" w:rsidR="00125988">
        <w:rPr>
          <w:rFonts w:cstheme="minorHAnsi"/>
          <w:szCs w:val="26"/>
        </w:rPr>
        <w:t xml:space="preserve"> a risk to public safety.  (</w:t>
      </w:r>
      <w:bookmarkStart w:id="123" w:name="Psych_Cite_111"/>
      <w:r w:rsidRPr="009C6CB3" w:rsidR="00125988">
        <w:rPr>
          <w:rFonts w:cstheme="minorHAnsi"/>
          <w:i/>
          <w:iCs/>
          <w:szCs w:val="26"/>
        </w:rPr>
        <w:t>Ibid.</w:t>
      </w:r>
      <w:bookmarkEnd w:id="123"/>
      <w:r w:rsidRPr="009C6CB3" w:rsidR="00125988">
        <w:rPr>
          <w:rFonts w:cstheme="minorHAnsi"/>
          <w:szCs w:val="26"/>
        </w:rPr>
        <w:t xml:space="preserve">)  </w:t>
      </w:r>
      <w:r w:rsidRPr="009C6CB3" w:rsidR="00943B57">
        <w:rPr>
          <w:rFonts w:cstheme="minorHAnsi"/>
          <w:szCs w:val="26"/>
        </w:rPr>
        <w:t xml:space="preserve">Finally, </w:t>
      </w:r>
      <w:r w:rsidRPr="009C6CB3">
        <w:rPr>
          <w:rFonts w:cstheme="minorHAnsi"/>
          <w:szCs w:val="26"/>
        </w:rPr>
        <w:t xml:space="preserve">although </w:t>
      </w:r>
      <w:r w:rsidRPr="009C6CB3" w:rsidR="00943B57">
        <w:rPr>
          <w:rFonts w:cstheme="minorHAnsi"/>
          <w:szCs w:val="26"/>
        </w:rPr>
        <w:t>Proposition 47</w:t>
      </w:r>
      <w:r w:rsidRPr="009C6CB3" w:rsidR="00125988">
        <w:rPr>
          <w:rFonts w:cstheme="minorHAnsi"/>
          <w:szCs w:val="26"/>
        </w:rPr>
        <w:t xml:space="preserve"> did </w:t>
      </w:r>
      <w:r w:rsidRPr="009C6CB3" w:rsidR="00BD301B">
        <w:rPr>
          <w:rFonts w:cstheme="minorHAnsi"/>
          <w:szCs w:val="26"/>
        </w:rPr>
        <w:t>not create new sentencing factors that must be ple</w:t>
      </w:r>
      <w:r w:rsidRPr="009C6CB3" w:rsidR="008027D1">
        <w:rPr>
          <w:rFonts w:cstheme="minorHAnsi"/>
          <w:szCs w:val="26"/>
        </w:rPr>
        <w:t xml:space="preserve">aded </w:t>
      </w:r>
      <w:r w:rsidRPr="009C6CB3" w:rsidR="00BD301B">
        <w:rPr>
          <w:rFonts w:cstheme="minorHAnsi"/>
          <w:szCs w:val="26"/>
        </w:rPr>
        <w:t xml:space="preserve">and proved by the prosecution, “other </w:t>
      </w:r>
      <w:r w:rsidRPr="009C6CB3" w:rsidR="00943B57">
        <w:rPr>
          <w:rFonts w:cstheme="minorHAnsi"/>
          <w:szCs w:val="26"/>
        </w:rPr>
        <w:t>indicia</w:t>
      </w:r>
      <w:r w:rsidRPr="009C6CB3" w:rsidR="00BD301B">
        <w:rPr>
          <w:rFonts w:cstheme="minorHAnsi"/>
          <w:szCs w:val="26"/>
        </w:rPr>
        <w:t xml:space="preserve"> of legislative intent” </w:t>
      </w:r>
      <w:r w:rsidRPr="009C6CB3" w:rsidR="006D49BB">
        <w:rPr>
          <w:rFonts w:cstheme="minorHAnsi"/>
          <w:szCs w:val="26"/>
        </w:rPr>
        <w:t xml:space="preserve">— including the breadth of the statement of purpose in the Voter Information Guide — </w:t>
      </w:r>
      <w:r w:rsidRPr="009C6CB3" w:rsidR="00BD301B">
        <w:rPr>
          <w:rFonts w:cstheme="minorHAnsi"/>
          <w:szCs w:val="26"/>
        </w:rPr>
        <w:t>indicated that the voters intended</w:t>
      </w:r>
      <w:r w:rsidRPr="009C6CB3" w:rsidR="008027D1">
        <w:rPr>
          <w:rFonts w:cstheme="minorHAnsi"/>
          <w:szCs w:val="26"/>
        </w:rPr>
        <w:t xml:space="preserve"> to extend relief to all defendants</w:t>
      </w:r>
      <w:r w:rsidRPr="009C6CB3" w:rsidR="00800BB6">
        <w:rPr>
          <w:rFonts w:cstheme="minorHAnsi"/>
          <w:szCs w:val="26"/>
        </w:rPr>
        <w:t xml:space="preserve"> </w:t>
      </w:r>
      <w:r w:rsidRPr="009C6CB3" w:rsidR="008E6BAE">
        <w:rPr>
          <w:rFonts w:cstheme="minorHAnsi"/>
          <w:szCs w:val="26"/>
        </w:rPr>
        <w:t>who had not yet completed their sentences</w:t>
      </w:r>
      <w:r w:rsidRPr="009C6CB3" w:rsidR="000B7977">
        <w:rPr>
          <w:rFonts w:cstheme="minorHAnsi"/>
          <w:szCs w:val="26"/>
        </w:rPr>
        <w:t xml:space="preserve">, </w:t>
      </w:r>
      <w:r w:rsidRPr="009C6CB3" w:rsidR="00FB6095">
        <w:rPr>
          <w:rFonts w:cstheme="minorHAnsi"/>
          <w:szCs w:val="26"/>
        </w:rPr>
        <w:t>subject to the</w:t>
      </w:r>
      <w:r w:rsidRPr="009C6CB3" w:rsidR="00783536">
        <w:rPr>
          <w:rFonts w:cstheme="minorHAnsi"/>
          <w:szCs w:val="26"/>
        </w:rPr>
        <w:t xml:space="preserve"> law’s </w:t>
      </w:r>
      <w:r w:rsidRPr="009C6CB3" w:rsidR="00BD301B">
        <w:rPr>
          <w:rFonts w:cstheme="minorHAnsi"/>
          <w:szCs w:val="26"/>
        </w:rPr>
        <w:t>resentencing mechanism.  (</w:t>
      </w:r>
      <w:bookmarkStart w:id="124" w:name="Psych_Cite_112"/>
      <w:r w:rsidRPr="009C6CB3" w:rsidR="00BD301B">
        <w:rPr>
          <w:rFonts w:cstheme="minorHAnsi"/>
          <w:i/>
          <w:iCs/>
          <w:szCs w:val="26"/>
        </w:rPr>
        <w:t>Ibid.</w:t>
      </w:r>
      <w:bookmarkEnd w:id="124"/>
      <w:r w:rsidRPr="009C6CB3" w:rsidR="00BD301B">
        <w:rPr>
          <w:rFonts w:cstheme="minorHAnsi"/>
          <w:szCs w:val="26"/>
        </w:rPr>
        <w:t>)</w:t>
      </w:r>
    </w:p>
    <w:p w:rsidR="007407A2" w:rsidRPr="00942CA0" w:rsidP="009C6CB3">
      <w:pPr>
        <w:ind w:firstLine="720"/>
        <w:rPr>
          <w:rFonts w:cstheme="minorHAnsi"/>
          <w:color w:val="000000"/>
          <w:szCs w:val="26"/>
        </w:rPr>
      </w:pPr>
      <w:r w:rsidRPr="009C6CB3">
        <w:rPr>
          <w:rFonts w:cstheme="minorHAnsi"/>
          <w:szCs w:val="26"/>
        </w:rPr>
        <w:t>Similarly h</w:t>
      </w:r>
      <w:r w:rsidRPr="009C6CB3" w:rsidR="006D49BB">
        <w:rPr>
          <w:rFonts w:cstheme="minorHAnsi"/>
          <w:szCs w:val="26"/>
        </w:rPr>
        <w:t>ere,</w:t>
      </w:r>
      <w:r w:rsidRPr="009C6CB3" w:rsidR="00C04C3D">
        <w:rPr>
          <w:rFonts w:cstheme="minorHAnsi"/>
          <w:szCs w:val="26"/>
        </w:rPr>
        <w:t xml:space="preserve"> </w:t>
      </w:r>
      <w:r w:rsidRPr="009C6CB3" w:rsidR="00C04C3D">
        <w:rPr>
          <w:rFonts w:cstheme="minorHAnsi"/>
          <w:color w:val="000000"/>
          <w:szCs w:val="26"/>
        </w:rPr>
        <w:t>Senate Bill 1437</w:t>
      </w:r>
      <w:r w:rsidRPr="009C6CB3" w:rsidR="0057439C">
        <w:rPr>
          <w:rFonts w:cstheme="minorHAnsi"/>
          <w:color w:val="000000"/>
          <w:szCs w:val="26"/>
        </w:rPr>
        <w:t xml:space="preserve"> </w:t>
      </w:r>
      <w:r w:rsidRPr="009C6CB3" w:rsidR="00C04C3D">
        <w:rPr>
          <w:rFonts w:cstheme="minorHAnsi"/>
          <w:color w:val="000000"/>
          <w:szCs w:val="26"/>
        </w:rPr>
        <w:t xml:space="preserve">creates a specific mechanism for retroactive application of its ameliorative provisions.  Section 1170.95 </w:t>
      </w:r>
      <w:r w:rsidRPr="009C6CB3" w:rsidR="0057439C">
        <w:rPr>
          <w:rFonts w:cstheme="minorHAnsi"/>
          <w:color w:val="000000"/>
          <w:szCs w:val="26"/>
        </w:rPr>
        <w:t xml:space="preserve">lays out a process for a person convicted of felony murder or murder under a natural and probable consequences theory to seek vacatur of his </w:t>
      </w:r>
      <w:r w:rsidRPr="009C6CB3" w:rsidR="00FE4250">
        <w:rPr>
          <w:rFonts w:cstheme="minorHAnsi"/>
          <w:color w:val="000000"/>
          <w:szCs w:val="26"/>
        </w:rPr>
        <w:t xml:space="preserve">or her </w:t>
      </w:r>
      <w:r w:rsidRPr="009C6CB3" w:rsidR="0057439C">
        <w:rPr>
          <w:rFonts w:cstheme="minorHAnsi"/>
          <w:color w:val="000000"/>
          <w:szCs w:val="26"/>
        </w:rPr>
        <w:t>conviction</w:t>
      </w:r>
      <w:r w:rsidRPr="009C6CB3" w:rsidR="008D7AAF">
        <w:rPr>
          <w:rFonts w:cstheme="minorHAnsi"/>
          <w:color w:val="000000"/>
          <w:szCs w:val="26"/>
        </w:rPr>
        <w:t xml:space="preserve"> </w:t>
      </w:r>
      <w:r w:rsidRPr="009C6CB3" w:rsidR="00FB6AC0">
        <w:rPr>
          <w:rFonts w:cstheme="minorHAnsi"/>
          <w:color w:val="000000"/>
          <w:szCs w:val="26"/>
        </w:rPr>
        <w:t xml:space="preserve">and </w:t>
      </w:r>
      <w:r w:rsidRPr="009C6CB3" w:rsidR="008D7AAF">
        <w:rPr>
          <w:rFonts w:cstheme="minorHAnsi"/>
          <w:color w:val="000000"/>
          <w:szCs w:val="26"/>
        </w:rPr>
        <w:t>resentencing</w:t>
      </w:r>
      <w:r w:rsidRPr="009C6CB3" w:rsidR="0057439C">
        <w:rPr>
          <w:rFonts w:cstheme="minorHAnsi"/>
          <w:color w:val="000000"/>
          <w:szCs w:val="26"/>
        </w:rPr>
        <w:t>.</w:t>
      </w:r>
      <w:r w:rsidRPr="009C6CB3">
        <w:rPr>
          <w:rFonts w:cstheme="minorHAnsi"/>
          <w:szCs w:val="26"/>
        </w:rPr>
        <w:t xml:space="preserve">  </w:t>
      </w:r>
      <w:r w:rsidRPr="009C6CB3" w:rsidR="0057439C">
        <w:rPr>
          <w:rFonts w:cstheme="minorHAnsi"/>
          <w:szCs w:val="26"/>
        </w:rPr>
        <w:t xml:space="preserve">First, </w:t>
      </w:r>
      <w:r w:rsidRPr="009C6CB3" w:rsidR="00FE4250">
        <w:rPr>
          <w:rFonts w:cstheme="minorHAnsi"/>
          <w:szCs w:val="26"/>
        </w:rPr>
        <w:t>the</w:t>
      </w:r>
      <w:r w:rsidRPr="009C6CB3" w:rsidR="0057439C">
        <w:rPr>
          <w:rFonts w:cstheme="minorHAnsi"/>
          <w:szCs w:val="26"/>
        </w:rPr>
        <w:t xml:space="preserve"> person must file a petition with the trial court that sentenced the petitioner declaring, among other things, that the petitioner “could not be convicted of first or second degree murder because of changes to S</w:t>
      </w:r>
      <w:bookmarkStart w:id="125" w:name="Psych_Cite_115"/>
      <w:r w:rsidRPr="009C6CB3" w:rsidR="0057439C">
        <w:rPr>
          <w:rFonts w:cstheme="minorHAnsi"/>
          <w:szCs w:val="26"/>
        </w:rPr>
        <w:t>ection 188</w:t>
      </w:r>
      <w:bookmarkEnd w:id="125"/>
      <w:r w:rsidRPr="009C6CB3" w:rsidR="0057439C">
        <w:rPr>
          <w:rFonts w:cstheme="minorHAnsi"/>
          <w:szCs w:val="26"/>
        </w:rPr>
        <w:t xml:space="preserve"> or 189</w:t>
      </w:r>
      <w:r w:rsidR="00226EA2">
        <w:rPr>
          <w:rFonts w:cstheme="minorHAnsi"/>
          <w:szCs w:val="26"/>
        </w:rPr>
        <w:t>.</w:t>
      </w:r>
      <w:r w:rsidRPr="009C6CB3" w:rsidR="0057439C">
        <w:rPr>
          <w:rFonts w:cstheme="minorHAnsi"/>
          <w:szCs w:val="26"/>
        </w:rPr>
        <w:t xml:space="preserve">” </w:t>
      </w:r>
      <w:r w:rsidR="00226EA2">
        <w:rPr>
          <w:rFonts w:cstheme="minorHAnsi"/>
          <w:szCs w:val="26"/>
        </w:rPr>
        <w:t xml:space="preserve"> </w:t>
      </w:r>
      <w:r w:rsidRPr="009C6CB3" w:rsidR="0057439C">
        <w:rPr>
          <w:rFonts w:cstheme="minorHAnsi"/>
          <w:szCs w:val="26"/>
        </w:rPr>
        <w:t>(§ 1170.95</w:t>
      </w:r>
      <w:r w:rsidRPr="009C6CB3" w:rsidR="00D45ABD">
        <w:rPr>
          <w:rFonts w:cstheme="minorHAnsi"/>
          <w:szCs w:val="26"/>
        </w:rPr>
        <w:t>, subd. </w:t>
      </w:r>
      <w:r w:rsidRPr="009C6CB3" w:rsidR="0057439C">
        <w:rPr>
          <w:rFonts w:cstheme="minorHAnsi"/>
          <w:szCs w:val="26"/>
        </w:rPr>
        <w:t>(a)(3)</w:t>
      </w:r>
      <w:r w:rsidR="00226EA2">
        <w:rPr>
          <w:rFonts w:cstheme="minorHAnsi"/>
          <w:szCs w:val="26"/>
        </w:rPr>
        <w:t xml:space="preserve">; see </w:t>
      </w:r>
      <w:r w:rsidR="00607090">
        <w:rPr>
          <w:rFonts w:cstheme="minorHAnsi"/>
          <w:szCs w:val="26"/>
        </w:rPr>
        <w:t>§ 1170.95, subd.</w:t>
      </w:r>
      <w:r w:rsidR="002B7A1D">
        <w:rPr>
          <w:rFonts w:cstheme="minorHAnsi"/>
          <w:szCs w:val="26"/>
        </w:rPr>
        <w:t> </w:t>
      </w:r>
      <w:r w:rsidR="00607090">
        <w:rPr>
          <w:rFonts w:cstheme="minorHAnsi"/>
          <w:szCs w:val="26"/>
        </w:rPr>
        <w:t>(b)(1)(A).)</w:t>
      </w:r>
      <w:r w:rsidRPr="009C6CB3" w:rsidR="0057439C">
        <w:rPr>
          <w:rFonts w:cstheme="minorHAnsi"/>
          <w:szCs w:val="26"/>
        </w:rPr>
        <w:t xml:space="preserve">  </w:t>
      </w:r>
      <w:r w:rsidR="00400B5B">
        <w:rPr>
          <w:rFonts w:cstheme="minorHAnsi"/>
          <w:szCs w:val="26"/>
        </w:rPr>
        <w:t>Then</w:t>
      </w:r>
      <w:r w:rsidRPr="009C6CB3" w:rsidR="0057439C">
        <w:rPr>
          <w:rFonts w:cstheme="minorHAnsi"/>
          <w:szCs w:val="26"/>
        </w:rPr>
        <w:t>, the trial court must “review the petition and determine if the petitioner has made a prima facie showing that the petitioner falls within the provisions of th[e] section.”  (§ 1170.95</w:t>
      </w:r>
      <w:r w:rsidRPr="009C6CB3" w:rsidR="00D45ABD">
        <w:rPr>
          <w:rFonts w:cstheme="minorHAnsi"/>
          <w:szCs w:val="26"/>
        </w:rPr>
        <w:t>, subd. </w:t>
      </w:r>
      <w:r w:rsidRPr="009C6CB3" w:rsidR="0057439C">
        <w:rPr>
          <w:rFonts w:cstheme="minorHAnsi"/>
          <w:szCs w:val="26"/>
        </w:rPr>
        <w:t>(c).)  If so, the trial court must issue an order to show cause and hold a hearing to determine whether to vacate the murder conviction and to resentence the petitioner on any remaining counts.  (§ 1170.95</w:t>
      </w:r>
      <w:r w:rsidRPr="009C6CB3" w:rsidR="00D45ABD">
        <w:rPr>
          <w:rFonts w:cstheme="minorHAnsi"/>
          <w:szCs w:val="26"/>
        </w:rPr>
        <w:t>, subds. </w:t>
      </w:r>
      <w:r w:rsidRPr="009C6CB3" w:rsidR="0057439C">
        <w:rPr>
          <w:rFonts w:cstheme="minorHAnsi"/>
          <w:szCs w:val="26"/>
        </w:rPr>
        <w:t>(c), (d)(1).)</w:t>
      </w:r>
      <w:r w:rsidRPr="009C6CB3">
        <w:rPr>
          <w:rFonts w:cstheme="minorHAnsi"/>
          <w:szCs w:val="26"/>
        </w:rPr>
        <w:t xml:space="preserve">  </w:t>
      </w:r>
      <w:r w:rsidRPr="009C6CB3" w:rsidR="0057439C">
        <w:rPr>
          <w:rFonts w:cstheme="minorHAnsi"/>
          <w:szCs w:val="26"/>
        </w:rPr>
        <w:t>At the hearing, the prosecution must “prove, beyond a reasonable doubt, that the petitioner is ineligible for resentencing.”  (§ 1170.95</w:t>
      </w:r>
      <w:r w:rsidRPr="009C6CB3" w:rsidR="00D45ABD">
        <w:rPr>
          <w:rFonts w:cstheme="minorHAnsi"/>
          <w:szCs w:val="26"/>
        </w:rPr>
        <w:t>, subd. </w:t>
      </w:r>
      <w:r w:rsidRPr="009C6CB3" w:rsidR="0057439C">
        <w:rPr>
          <w:rFonts w:cstheme="minorHAnsi"/>
          <w:szCs w:val="26"/>
        </w:rPr>
        <w:t>(d)(3).)  “The prosecutor and the petitioner may rely on the record of conviction or offer new or additional evidence to meet their respective burdens.”  (</w:t>
      </w:r>
      <w:bookmarkStart w:id="126" w:name="Psych_Cite_114"/>
      <w:r w:rsidRPr="009C6CB3" w:rsidR="0057439C">
        <w:rPr>
          <w:rFonts w:cstheme="minorHAnsi"/>
          <w:i/>
          <w:szCs w:val="26"/>
        </w:rPr>
        <w:t>Ibid.</w:t>
      </w:r>
      <w:bookmarkEnd w:id="126"/>
      <w:r w:rsidR="000F4D60">
        <w:rPr>
          <w:rFonts w:cstheme="minorHAnsi"/>
          <w:szCs w:val="26"/>
        </w:rPr>
        <w:t xml:space="preserve">)  </w:t>
      </w:r>
      <w:r w:rsidR="000F4D60">
        <w:rPr>
          <w:rFonts w:cstheme="minorHAnsi"/>
          <w:iCs/>
          <w:szCs w:val="26"/>
        </w:rPr>
        <w:t>W</w:t>
      </w:r>
      <w:r w:rsidR="00905662">
        <w:rPr>
          <w:rFonts w:cstheme="minorHAnsi"/>
          <w:szCs w:val="26"/>
        </w:rPr>
        <w:t xml:space="preserve">e express no view here on the questions regarding the section 1170.95 process that are before us in </w:t>
      </w:r>
      <w:r w:rsidR="00905662">
        <w:rPr>
          <w:rFonts w:cstheme="minorHAnsi"/>
          <w:i/>
          <w:iCs/>
          <w:szCs w:val="26"/>
        </w:rPr>
        <w:t>People v. Lewis</w:t>
      </w:r>
      <w:r w:rsidR="00905662">
        <w:rPr>
          <w:rFonts w:cstheme="minorHAnsi"/>
          <w:szCs w:val="26"/>
        </w:rPr>
        <w:t xml:space="preserve"> </w:t>
      </w:r>
      <w:r w:rsidRPr="006378D1" w:rsidR="00905662">
        <w:rPr>
          <w:rFonts w:cstheme="minorHAnsi"/>
          <w:szCs w:val="26"/>
        </w:rPr>
        <w:t>(2020) 43 Cal. App. 5th 1128, review granted Mar. 18, 2020, S260598</w:t>
      </w:r>
      <w:r w:rsidR="00905662">
        <w:rPr>
          <w:rFonts w:cstheme="minorHAnsi"/>
          <w:szCs w:val="26"/>
        </w:rPr>
        <w:t>.</w:t>
      </w:r>
    </w:p>
    <w:p w:rsidR="00FB6AC0" w:rsidRPr="009C6CB3" w:rsidP="009C6CB3">
      <w:pPr>
        <w:ind w:firstLine="720"/>
        <w:rPr>
          <w:rFonts w:cstheme="minorHAnsi"/>
          <w:szCs w:val="26"/>
        </w:rPr>
      </w:pPr>
      <w:r w:rsidRPr="009C6CB3">
        <w:rPr>
          <w:rFonts w:cstheme="minorHAnsi"/>
          <w:szCs w:val="26"/>
        </w:rPr>
        <w:t>T</w:t>
      </w:r>
      <w:r w:rsidRPr="009C6CB3" w:rsidR="00933235">
        <w:rPr>
          <w:rFonts w:cstheme="minorHAnsi"/>
          <w:szCs w:val="26"/>
        </w:rPr>
        <w:t>wo</w:t>
      </w:r>
      <w:r w:rsidRPr="009C6CB3">
        <w:rPr>
          <w:rFonts w:cstheme="minorHAnsi"/>
          <w:szCs w:val="26"/>
        </w:rPr>
        <w:t xml:space="preserve"> considerations lead us to conclude that the Legislature intended </w:t>
      </w:r>
      <w:bookmarkStart w:id="127" w:name="Psych_Cite_117"/>
      <w:r w:rsidRPr="009C6CB3">
        <w:rPr>
          <w:rFonts w:cstheme="minorHAnsi"/>
          <w:szCs w:val="26"/>
        </w:rPr>
        <w:t>section 1170.95</w:t>
      </w:r>
      <w:bookmarkEnd w:id="127"/>
      <w:r w:rsidRPr="009C6CB3">
        <w:rPr>
          <w:rFonts w:cstheme="minorHAnsi"/>
          <w:szCs w:val="26"/>
        </w:rPr>
        <w:t xml:space="preserve"> to be the exclusive avenue </w:t>
      </w:r>
      <w:r w:rsidR="00317223">
        <w:rPr>
          <w:rFonts w:cstheme="minorHAnsi"/>
          <w:szCs w:val="26"/>
        </w:rPr>
        <w:t>for</w:t>
      </w:r>
      <w:r w:rsidRPr="009C6CB3" w:rsidR="004243EB">
        <w:rPr>
          <w:rFonts w:cstheme="minorHAnsi"/>
          <w:szCs w:val="26"/>
        </w:rPr>
        <w:t xml:space="preserve"> </w:t>
      </w:r>
      <w:r w:rsidRPr="009C6CB3">
        <w:rPr>
          <w:rFonts w:cstheme="minorHAnsi"/>
          <w:szCs w:val="26"/>
        </w:rPr>
        <w:t>retroactive relief</w:t>
      </w:r>
      <w:r w:rsidRPr="009C6CB3" w:rsidR="008B6DBF">
        <w:rPr>
          <w:rFonts w:cstheme="minorHAnsi"/>
          <w:szCs w:val="26"/>
        </w:rPr>
        <w:t xml:space="preserve"> under Senate Bill 1437</w:t>
      </w:r>
      <w:r w:rsidRPr="009C6CB3">
        <w:rPr>
          <w:rFonts w:cstheme="minorHAnsi"/>
          <w:szCs w:val="26"/>
        </w:rPr>
        <w:t xml:space="preserve">.  First, </w:t>
      </w:r>
      <w:r w:rsidRPr="009C6CB3" w:rsidR="00031BCF">
        <w:rPr>
          <w:rFonts w:cstheme="minorHAnsi"/>
          <w:szCs w:val="26"/>
        </w:rPr>
        <w:t xml:space="preserve">the </w:t>
      </w:r>
      <w:r w:rsidRPr="009C6CB3" w:rsidR="00AC44FC">
        <w:rPr>
          <w:rFonts w:cstheme="minorHAnsi"/>
          <w:szCs w:val="26"/>
        </w:rPr>
        <w:t>L</w:t>
      </w:r>
      <w:r w:rsidRPr="009C6CB3" w:rsidR="00031BCF">
        <w:rPr>
          <w:rFonts w:cstheme="minorHAnsi"/>
          <w:szCs w:val="26"/>
        </w:rPr>
        <w:t xml:space="preserve">egislature crafted a specific mechanism for seeking retroactive relief, and that mechanism </w:t>
      </w:r>
      <w:r w:rsidRPr="009C6CB3">
        <w:rPr>
          <w:rFonts w:cstheme="minorHAnsi"/>
          <w:szCs w:val="26"/>
        </w:rPr>
        <w:t xml:space="preserve">does not distinguish between persons whose sentences are final and those whose sentences are not.  </w:t>
      </w:r>
      <w:r w:rsidRPr="009C6CB3" w:rsidR="008B1DDF">
        <w:rPr>
          <w:rFonts w:cstheme="minorHAnsi"/>
          <w:szCs w:val="26"/>
        </w:rPr>
        <w:t>“</w:t>
      </w:r>
      <w:bookmarkStart w:id="128" w:name="QUOTE_BOOKMARK_IS_CONFIRMED_16"/>
      <w:r w:rsidR="00F82825">
        <w:rPr>
          <w:rFonts w:cstheme="minorHAnsi"/>
          <w:szCs w:val="26"/>
        </w:rPr>
        <w:t>That the Legislature specifically created this mechanism, which facially applies to both final and nonfinal convictions, is a significant indication that Senate Bill 1437 should not be applied retroactively to nonfinal convictions on direct appeal.</w:t>
      </w:r>
      <w:bookmarkEnd w:id="128"/>
      <w:r w:rsidRPr="009C6CB3" w:rsidR="008B1DDF">
        <w:rPr>
          <w:rFonts w:cstheme="minorHAnsi"/>
          <w:szCs w:val="26"/>
        </w:rPr>
        <w:t>”</w:t>
      </w:r>
      <w:r w:rsidRPr="009C6CB3" w:rsidR="00597B69">
        <w:rPr>
          <w:rFonts w:cstheme="minorHAnsi"/>
          <w:szCs w:val="26"/>
        </w:rPr>
        <w:t xml:space="preserve">  </w:t>
      </w:r>
      <w:r w:rsidRPr="009C6CB3" w:rsidR="004243EB">
        <w:rPr>
          <w:rFonts w:cstheme="minorHAnsi"/>
          <w:szCs w:val="26"/>
        </w:rPr>
        <w:t>(</w:t>
      </w:r>
      <w:bookmarkStart w:id="129" w:name="Psych_Cite_116"/>
      <w:r w:rsidRPr="009C6CB3" w:rsidR="004243EB">
        <w:rPr>
          <w:rFonts w:cstheme="minorHAnsi"/>
          <w:i/>
          <w:iCs/>
          <w:szCs w:val="26"/>
        </w:rPr>
        <w:t>Martinez</w:t>
      </w:r>
      <w:r w:rsidR="00AC301F">
        <w:rPr>
          <w:rFonts w:cstheme="minorHAnsi"/>
          <w:szCs w:val="26"/>
        </w:rPr>
        <w:t xml:space="preserve">, </w:t>
      </w:r>
      <w:r w:rsidR="00AC301F">
        <w:rPr>
          <w:rFonts w:cstheme="minorHAnsi"/>
          <w:i/>
          <w:iCs/>
          <w:szCs w:val="26"/>
        </w:rPr>
        <w:t>supra</w:t>
      </w:r>
      <w:r w:rsidR="00AC301F">
        <w:rPr>
          <w:rFonts w:cstheme="minorHAnsi"/>
          <w:szCs w:val="26"/>
        </w:rPr>
        <w:t>,</w:t>
      </w:r>
      <w:r w:rsidRPr="009C6CB3" w:rsidR="004243EB">
        <w:rPr>
          <w:rFonts w:cstheme="minorHAnsi"/>
          <w:szCs w:val="26"/>
        </w:rPr>
        <w:t xml:space="preserve"> 31 Cal.App.5th </w:t>
      </w:r>
      <w:r w:rsidR="00AC301F">
        <w:rPr>
          <w:rFonts w:cstheme="minorHAnsi"/>
          <w:szCs w:val="26"/>
        </w:rPr>
        <w:t xml:space="preserve">at p. </w:t>
      </w:r>
      <w:r w:rsidRPr="009C6CB3" w:rsidR="004243EB">
        <w:rPr>
          <w:rFonts w:cstheme="minorHAnsi"/>
          <w:szCs w:val="26"/>
        </w:rPr>
        <w:t>727</w:t>
      </w:r>
      <w:bookmarkEnd w:id="129"/>
      <w:r w:rsidRPr="009C6CB3" w:rsidR="004243EB">
        <w:rPr>
          <w:rFonts w:cstheme="minorHAnsi"/>
          <w:szCs w:val="26"/>
        </w:rPr>
        <w:t>.)</w:t>
      </w:r>
    </w:p>
    <w:p w:rsidR="00C51BA2" w:rsidRPr="009C6CB3" w:rsidP="009C6CB3">
      <w:pPr>
        <w:ind w:firstLine="720"/>
        <w:rPr>
          <w:rFonts w:cstheme="minorHAnsi"/>
          <w:szCs w:val="26"/>
        </w:rPr>
      </w:pPr>
      <w:r w:rsidRPr="009C6CB3">
        <w:rPr>
          <w:rFonts w:cstheme="minorHAnsi"/>
          <w:szCs w:val="26"/>
        </w:rPr>
        <w:t xml:space="preserve">Second, </w:t>
      </w:r>
      <w:bookmarkStart w:id="130" w:name="Psych_Cite_120"/>
      <w:r w:rsidRPr="009C6CB3">
        <w:rPr>
          <w:rFonts w:cstheme="minorHAnsi"/>
          <w:szCs w:val="26"/>
        </w:rPr>
        <w:t>section 1170.95</w:t>
      </w:r>
      <w:bookmarkEnd w:id="130"/>
      <w:r w:rsidRPr="009C6CB3">
        <w:rPr>
          <w:rFonts w:cstheme="minorHAnsi"/>
          <w:szCs w:val="26"/>
        </w:rPr>
        <w:t xml:space="preserve"> </w:t>
      </w:r>
      <w:r w:rsidRPr="009C6CB3" w:rsidR="004243EB">
        <w:rPr>
          <w:rFonts w:cstheme="minorHAnsi"/>
          <w:szCs w:val="26"/>
        </w:rPr>
        <w:t xml:space="preserve">by its terms </w:t>
      </w:r>
      <w:r w:rsidRPr="009C6CB3">
        <w:rPr>
          <w:rFonts w:cstheme="minorHAnsi"/>
          <w:szCs w:val="26"/>
        </w:rPr>
        <w:t xml:space="preserve">does not </w:t>
      </w:r>
      <w:r w:rsidRPr="009C6CB3" w:rsidR="0055647B">
        <w:rPr>
          <w:rFonts w:cstheme="minorHAnsi"/>
          <w:szCs w:val="26"/>
        </w:rPr>
        <w:t>automatically</w:t>
      </w:r>
      <w:r w:rsidRPr="009C6CB3">
        <w:rPr>
          <w:rFonts w:cstheme="minorHAnsi"/>
          <w:szCs w:val="26"/>
        </w:rPr>
        <w:t xml:space="preserve"> </w:t>
      </w:r>
      <w:r w:rsidRPr="009C6CB3" w:rsidR="00BF73E8">
        <w:rPr>
          <w:rFonts w:cstheme="minorHAnsi"/>
          <w:szCs w:val="26"/>
        </w:rPr>
        <w:t xml:space="preserve">provide </w:t>
      </w:r>
      <w:r w:rsidRPr="009C6CB3" w:rsidR="006A5CE5">
        <w:rPr>
          <w:rFonts w:cstheme="minorHAnsi"/>
          <w:szCs w:val="26"/>
        </w:rPr>
        <w:t xml:space="preserve">all </w:t>
      </w:r>
      <w:r w:rsidRPr="009C6CB3">
        <w:rPr>
          <w:rFonts w:cstheme="minorHAnsi"/>
          <w:szCs w:val="26"/>
        </w:rPr>
        <w:t xml:space="preserve">defendants </w:t>
      </w:r>
      <w:r w:rsidRPr="009C6CB3" w:rsidR="00BF73E8">
        <w:rPr>
          <w:rFonts w:cstheme="minorHAnsi"/>
          <w:szCs w:val="26"/>
        </w:rPr>
        <w:t xml:space="preserve">with </w:t>
      </w:r>
      <w:r w:rsidRPr="009C6CB3">
        <w:rPr>
          <w:rFonts w:cstheme="minorHAnsi"/>
          <w:szCs w:val="26"/>
        </w:rPr>
        <w:t>a right to relief.</w:t>
      </w:r>
      <w:r w:rsidRPr="009C6CB3" w:rsidR="00DF1D5D">
        <w:rPr>
          <w:rFonts w:cstheme="minorHAnsi"/>
          <w:szCs w:val="26"/>
        </w:rPr>
        <w:t xml:space="preserve">  </w:t>
      </w:r>
      <w:r w:rsidRPr="009C6CB3" w:rsidR="00F00765">
        <w:rPr>
          <w:rFonts w:cstheme="minorHAnsi"/>
          <w:szCs w:val="26"/>
        </w:rPr>
        <w:t>Instead</w:t>
      </w:r>
      <w:r w:rsidRPr="009C6CB3" w:rsidR="00202A18">
        <w:rPr>
          <w:rFonts w:cstheme="minorHAnsi"/>
          <w:szCs w:val="26"/>
        </w:rPr>
        <w:t xml:space="preserve">, </w:t>
      </w:r>
      <w:r w:rsidRPr="009C6CB3" w:rsidR="00D43B42">
        <w:rPr>
          <w:rFonts w:cstheme="minorHAnsi"/>
          <w:szCs w:val="26"/>
        </w:rPr>
        <w:t xml:space="preserve">it requires the sentencing court to </w:t>
      </w:r>
      <w:r w:rsidRPr="009C6CB3" w:rsidR="004243EB">
        <w:rPr>
          <w:rFonts w:cstheme="minorHAnsi"/>
          <w:szCs w:val="26"/>
        </w:rPr>
        <w:t>assess</w:t>
      </w:r>
      <w:r w:rsidRPr="009C6CB3" w:rsidR="00D43B42">
        <w:rPr>
          <w:rFonts w:cstheme="minorHAnsi"/>
          <w:szCs w:val="26"/>
        </w:rPr>
        <w:t xml:space="preserve"> the defendant’s eligibility</w:t>
      </w:r>
      <w:r w:rsidR="00DA2246">
        <w:rPr>
          <w:rFonts w:cstheme="minorHAnsi"/>
          <w:szCs w:val="26"/>
        </w:rPr>
        <w:t xml:space="preserve"> for and entitlement</w:t>
      </w:r>
      <w:r w:rsidRPr="009C6CB3" w:rsidR="00D43B42">
        <w:rPr>
          <w:rFonts w:cstheme="minorHAnsi"/>
          <w:szCs w:val="26"/>
        </w:rPr>
        <w:t xml:space="preserve"> </w:t>
      </w:r>
      <w:r w:rsidR="00DA2246">
        <w:rPr>
          <w:rFonts w:cstheme="minorHAnsi"/>
          <w:szCs w:val="26"/>
        </w:rPr>
        <w:t>to</w:t>
      </w:r>
      <w:r w:rsidRPr="009C6CB3" w:rsidR="00D43B42">
        <w:rPr>
          <w:rFonts w:cstheme="minorHAnsi"/>
          <w:szCs w:val="26"/>
        </w:rPr>
        <w:t xml:space="preserve"> relief </w:t>
      </w:r>
      <w:r w:rsidRPr="009C6CB3" w:rsidR="004243EB">
        <w:rPr>
          <w:rFonts w:cstheme="minorHAnsi"/>
          <w:szCs w:val="26"/>
        </w:rPr>
        <w:t>through a</w:t>
      </w:r>
      <w:r w:rsidRPr="009C6CB3" w:rsidR="007C1108">
        <w:rPr>
          <w:rFonts w:cstheme="minorHAnsi"/>
          <w:szCs w:val="26"/>
        </w:rPr>
        <w:t xml:space="preserve"> </w:t>
      </w:r>
      <w:r w:rsidR="00C4759E">
        <w:rPr>
          <w:rFonts w:cstheme="minorHAnsi"/>
          <w:szCs w:val="26"/>
        </w:rPr>
        <w:t xml:space="preserve">petition and </w:t>
      </w:r>
      <w:r w:rsidRPr="009C6CB3" w:rsidR="007C1108">
        <w:rPr>
          <w:rFonts w:cstheme="minorHAnsi"/>
          <w:szCs w:val="26"/>
        </w:rPr>
        <w:t xml:space="preserve">hearing process </w:t>
      </w:r>
      <w:r w:rsidRPr="009C6CB3" w:rsidR="004243EB">
        <w:rPr>
          <w:rFonts w:cstheme="minorHAnsi"/>
          <w:szCs w:val="26"/>
        </w:rPr>
        <w:t>in which</w:t>
      </w:r>
      <w:r w:rsidRPr="009C6CB3" w:rsidR="00D43B42">
        <w:rPr>
          <w:rFonts w:cstheme="minorHAnsi"/>
          <w:szCs w:val="26"/>
        </w:rPr>
        <w:t xml:space="preserve"> the prosecution and the</w:t>
      </w:r>
      <w:r w:rsidRPr="009C6CB3" w:rsidR="00CD41E7">
        <w:rPr>
          <w:rFonts w:cstheme="minorHAnsi"/>
          <w:szCs w:val="26"/>
        </w:rPr>
        <w:t xml:space="preserve"> petitioner </w:t>
      </w:r>
      <w:r w:rsidRPr="009C6CB3" w:rsidR="004243EB">
        <w:rPr>
          <w:rFonts w:cstheme="minorHAnsi"/>
          <w:szCs w:val="26"/>
        </w:rPr>
        <w:t>“</w:t>
      </w:r>
      <w:r w:rsidRPr="009C6CB3" w:rsidR="0055647B">
        <w:rPr>
          <w:rFonts w:cstheme="minorHAnsi"/>
          <w:szCs w:val="26"/>
        </w:rPr>
        <w:t xml:space="preserve">may rely on the record of conviction </w:t>
      </w:r>
      <w:r w:rsidRPr="009C6CB3" w:rsidR="0055647B">
        <w:rPr>
          <w:rFonts w:cstheme="minorHAnsi"/>
          <w:i/>
          <w:szCs w:val="26"/>
        </w:rPr>
        <w:t xml:space="preserve">or </w:t>
      </w:r>
      <w:r w:rsidRPr="009C6CB3" w:rsidR="004243EB">
        <w:rPr>
          <w:rFonts w:cstheme="minorHAnsi"/>
          <w:i/>
          <w:szCs w:val="26"/>
        </w:rPr>
        <w:t>offer new or additional evidence</w:t>
      </w:r>
      <w:r w:rsidRPr="009C6CB3" w:rsidR="004243EB">
        <w:rPr>
          <w:rFonts w:cstheme="minorHAnsi"/>
          <w:szCs w:val="26"/>
        </w:rPr>
        <w:t xml:space="preserve"> to meet their respective burdens.”  </w:t>
      </w:r>
      <w:r w:rsidRPr="009C6CB3" w:rsidR="00CD41E7">
        <w:rPr>
          <w:rFonts w:cstheme="minorHAnsi"/>
          <w:szCs w:val="26"/>
        </w:rPr>
        <w:t xml:space="preserve">(§ 1170.95, </w:t>
      </w:r>
      <w:r w:rsidRPr="009C6CB3" w:rsidR="001D3A34">
        <w:rPr>
          <w:rFonts w:cstheme="minorHAnsi"/>
          <w:szCs w:val="26"/>
        </w:rPr>
        <w:t>subd</w:t>
      </w:r>
      <w:r w:rsidRPr="009C6CB3" w:rsidR="004243EB">
        <w:rPr>
          <w:rFonts w:cstheme="minorHAnsi"/>
          <w:szCs w:val="26"/>
        </w:rPr>
        <w:t>. (d)(3)</w:t>
      </w:r>
      <w:r w:rsidRPr="009C6CB3" w:rsidR="0055647B">
        <w:rPr>
          <w:rFonts w:cstheme="minorHAnsi"/>
          <w:szCs w:val="26"/>
        </w:rPr>
        <w:t>, italics added</w:t>
      </w:r>
      <w:r w:rsidRPr="009C6CB3" w:rsidR="004243EB">
        <w:rPr>
          <w:rFonts w:cstheme="minorHAnsi"/>
          <w:szCs w:val="26"/>
        </w:rPr>
        <w:t xml:space="preserve">; </w:t>
      </w:r>
      <w:bookmarkStart w:id="131" w:name="Psych_Cite_118"/>
      <w:r w:rsidRPr="009C6CB3" w:rsidR="004243EB">
        <w:rPr>
          <w:rFonts w:cstheme="minorHAnsi"/>
          <w:szCs w:val="26"/>
        </w:rPr>
        <w:t xml:space="preserve">see </w:t>
      </w:r>
      <w:r w:rsidR="00AE45B3">
        <w:rPr>
          <w:rFonts w:cstheme="minorHAnsi"/>
          <w:szCs w:val="26"/>
        </w:rPr>
        <w:t>§ 1170.95</w:t>
      </w:r>
      <w:r w:rsidRPr="009C6CB3" w:rsidR="004243EB">
        <w:rPr>
          <w:rFonts w:cstheme="minorHAnsi"/>
          <w:szCs w:val="26"/>
        </w:rPr>
        <w:t>, subd</w:t>
      </w:r>
      <w:bookmarkEnd w:id="131"/>
      <w:r w:rsidRPr="009C6CB3" w:rsidR="001D3A34">
        <w:rPr>
          <w:rFonts w:cstheme="minorHAnsi"/>
          <w:szCs w:val="26"/>
        </w:rPr>
        <w:t xml:space="preserve">s. (a), </w:t>
      </w:r>
      <w:r w:rsidRPr="009C6CB3" w:rsidR="003F5E73">
        <w:rPr>
          <w:rFonts w:cstheme="minorHAnsi"/>
          <w:szCs w:val="26"/>
        </w:rPr>
        <w:t>(c)</w:t>
      </w:r>
      <w:r w:rsidRPr="009C6CB3" w:rsidR="006A078C">
        <w:rPr>
          <w:rFonts w:cstheme="minorHAnsi"/>
          <w:szCs w:val="26"/>
        </w:rPr>
        <w:t xml:space="preserve">.)  </w:t>
      </w:r>
      <w:r w:rsidRPr="009C6CB3" w:rsidR="00534B7E">
        <w:rPr>
          <w:rFonts w:cstheme="minorHAnsi"/>
          <w:szCs w:val="26"/>
        </w:rPr>
        <w:t>T</w:t>
      </w:r>
      <w:r w:rsidRPr="009C6CB3" w:rsidR="004243EB">
        <w:rPr>
          <w:rFonts w:cstheme="minorHAnsi"/>
          <w:szCs w:val="26"/>
        </w:rPr>
        <w:t>he fact t</w:t>
      </w:r>
      <w:r w:rsidRPr="009C6CB3" w:rsidR="00534B7E">
        <w:rPr>
          <w:rFonts w:cstheme="minorHAnsi"/>
          <w:szCs w:val="26"/>
        </w:rPr>
        <w:t>hat</w:t>
      </w:r>
      <w:r w:rsidRPr="009C6CB3" w:rsidR="005C5E33">
        <w:rPr>
          <w:rFonts w:cstheme="minorHAnsi"/>
          <w:szCs w:val="26"/>
        </w:rPr>
        <w:t xml:space="preserve"> </w:t>
      </w:r>
      <w:r w:rsidRPr="009C6CB3" w:rsidR="00534B7E">
        <w:rPr>
          <w:rFonts w:cstheme="minorHAnsi"/>
          <w:szCs w:val="26"/>
        </w:rPr>
        <w:t>Senate Bill 1437 provides the parties “</w:t>
      </w:r>
      <w:bookmarkStart w:id="132" w:name="QUOTE_BOOKMARK_IS_CONFIRMED_17"/>
      <w:r w:rsidR="00F82825">
        <w:rPr>
          <w:rFonts w:cstheme="minorHAnsi"/>
          <w:szCs w:val="26"/>
        </w:rPr>
        <w:t>with the opportunity to go beyond the original record in the petition process, a step unavailable on direct appeal, is strong evidence the Legislature intended for persons seeking the ameliorative benefits of Senate Bill 1437 to proceed via the petitioning procedure.</w:t>
      </w:r>
      <w:bookmarkEnd w:id="132"/>
      <w:r w:rsidRPr="009C6CB3" w:rsidR="00760C08">
        <w:rPr>
          <w:rFonts w:cstheme="minorHAnsi"/>
          <w:szCs w:val="26"/>
        </w:rPr>
        <w:t>”  (</w:t>
      </w:r>
      <w:bookmarkStart w:id="133" w:name="Psych_Cite_119"/>
      <w:r w:rsidRPr="009C6CB3" w:rsidR="00760C08">
        <w:rPr>
          <w:rFonts w:cstheme="minorHAnsi"/>
          <w:i/>
          <w:iCs/>
          <w:szCs w:val="26"/>
        </w:rPr>
        <w:t>Martinez</w:t>
      </w:r>
      <w:r w:rsidRPr="009C6CB3" w:rsidR="00760C08">
        <w:rPr>
          <w:rFonts w:cstheme="minorHAnsi"/>
          <w:szCs w:val="26"/>
        </w:rPr>
        <w:t xml:space="preserve">, </w:t>
      </w:r>
      <w:r w:rsidRPr="009C6CB3" w:rsidR="00760C08">
        <w:rPr>
          <w:rFonts w:cstheme="minorHAnsi"/>
          <w:i/>
          <w:iCs/>
          <w:szCs w:val="26"/>
        </w:rPr>
        <w:t>supra</w:t>
      </w:r>
      <w:r w:rsidRPr="009C6CB3" w:rsidR="00760C08">
        <w:rPr>
          <w:rFonts w:cstheme="minorHAnsi"/>
          <w:szCs w:val="26"/>
        </w:rPr>
        <w:t>, 31 Cal.App.5th at</w:t>
      </w:r>
      <w:r w:rsidRPr="009C6CB3" w:rsidR="00760C08">
        <w:rPr>
          <w:rFonts w:cstheme="minorHAnsi"/>
          <w:i/>
          <w:iCs/>
          <w:szCs w:val="26"/>
        </w:rPr>
        <w:t xml:space="preserve"> </w:t>
      </w:r>
      <w:r w:rsidRPr="009C6CB3" w:rsidR="00760C08">
        <w:rPr>
          <w:rFonts w:cstheme="minorHAnsi"/>
          <w:szCs w:val="26"/>
        </w:rPr>
        <w:t>p. 72</w:t>
      </w:r>
      <w:r w:rsidR="00024391">
        <w:rPr>
          <w:rFonts w:cstheme="minorHAnsi"/>
          <w:szCs w:val="26"/>
        </w:rPr>
        <w:t>8</w:t>
      </w:r>
      <w:bookmarkEnd w:id="133"/>
      <w:r w:rsidRPr="009C6CB3" w:rsidR="00760C08">
        <w:rPr>
          <w:rFonts w:cstheme="minorHAnsi"/>
          <w:szCs w:val="26"/>
        </w:rPr>
        <w:t>.)</w:t>
      </w:r>
      <w:r w:rsidRPr="009C6CB3" w:rsidR="0055647B">
        <w:rPr>
          <w:rFonts w:cstheme="minorHAnsi"/>
          <w:szCs w:val="26"/>
        </w:rPr>
        <w:t xml:space="preserve">  We express no view on the circumstances in which new or additional evidence may result in the denial of relief to a defendant who has made a prima facie </w:t>
      </w:r>
      <w:r w:rsidRPr="009C6CB3" w:rsidR="00ED7B8D">
        <w:rPr>
          <w:rFonts w:cstheme="minorHAnsi"/>
          <w:szCs w:val="26"/>
        </w:rPr>
        <w:t>showing</w:t>
      </w:r>
      <w:r w:rsidRPr="009C6CB3" w:rsidR="0055647B">
        <w:rPr>
          <w:rFonts w:cstheme="minorHAnsi"/>
          <w:szCs w:val="26"/>
        </w:rPr>
        <w:t xml:space="preserve"> under section</w:t>
      </w:r>
      <w:r w:rsidR="004F664C">
        <w:rPr>
          <w:rFonts w:cstheme="minorHAnsi"/>
          <w:szCs w:val="26"/>
        </w:rPr>
        <w:t> </w:t>
      </w:r>
      <w:r w:rsidRPr="009C6CB3" w:rsidR="0055647B">
        <w:rPr>
          <w:rFonts w:cstheme="minorHAnsi"/>
          <w:szCs w:val="26"/>
        </w:rPr>
        <w:t>1170.95.  We simply observe that</w:t>
      </w:r>
      <w:r w:rsidRPr="009C6CB3" w:rsidR="00221918">
        <w:rPr>
          <w:rFonts w:cstheme="minorHAnsi"/>
          <w:szCs w:val="26"/>
        </w:rPr>
        <w:t xml:space="preserve"> </w:t>
      </w:r>
      <w:r w:rsidRPr="009C6CB3" w:rsidR="0055647B">
        <w:rPr>
          <w:rFonts w:cstheme="minorHAnsi"/>
          <w:szCs w:val="26"/>
        </w:rPr>
        <w:t>the</w:t>
      </w:r>
      <w:r w:rsidRPr="009C6CB3" w:rsidR="00DD7941">
        <w:rPr>
          <w:rFonts w:cstheme="minorHAnsi"/>
          <w:szCs w:val="26"/>
        </w:rPr>
        <w:t xml:space="preserve"> Legislature</w:t>
      </w:r>
      <w:r w:rsidRPr="009C6CB3" w:rsidR="00ED7B8D">
        <w:rPr>
          <w:rFonts w:cstheme="minorHAnsi"/>
          <w:szCs w:val="26"/>
        </w:rPr>
        <w:t xml:space="preserve">, while intending to provide </w:t>
      </w:r>
      <w:r w:rsidRPr="009C6CB3" w:rsidR="00AE1C3F">
        <w:rPr>
          <w:rFonts w:cstheme="minorHAnsi"/>
          <w:szCs w:val="26"/>
        </w:rPr>
        <w:t xml:space="preserve">relief to defendants whose </w:t>
      </w:r>
      <w:r w:rsidRPr="009C6CB3" w:rsidR="00DD7941">
        <w:rPr>
          <w:rFonts w:cstheme="minorHAnsi"/>
          <w:szCs w:val="26"/>
        </w:rPr>
        <w:t>convictions</w:t>
      </w:r>
      <w:r w:rsidRPr="009C6CB3" w:rsidR="00AE1C3F">
        <w:rPr>
          <w:rFonts w:cstheme="minorHAnsi"/>
          <w:szCs w:val="26"/>
        </w:rPr>
        <w:t xml:space="preserve"> d</w:t>
      </w:r>
      <w:r w:rsidRPr="009C6CB3" w:rsidR="000B566C">
        <w:rPr>
          <w:rFonts w:cstheme="minorHAnsi"/>
          <w:szCs w:val="26"/>
        </w:rPr>
        <w:t>o</w:t>
      </w:r>
      <w:r w:rsidRPr="009C6CB3" w:rsidR="00AE1C3F">
        <w:rPr>
          <w:rFonts w:cstheme="minorHAnsi"/>
          <w:szCs w:val="26"/>
        </w:rPr>
        <w:t xml:space="preserve"> not reflect their </w:t>
      </w:r>
      <w:r w:rsidRPr="009C6CB3" w:rsidR="0006554C">
        <w:rPr>
          <w:rFonts w:cstheme="minorHAnsi"/>
          <w:szCs w:val="26"/>
        </w:rPr>
        <w:t xml:space="preserve">individual </w:t>
      </w:r>
      <w:r w:rsidRPr="009C6CB3" w:rsidR="00AE1C3F">
        <w:rPr>
          <w:rFonts w:cstheme="minorHAnsi"/>
          <w:szCs w:val="26"/>
        </w:rPr>
        <w:t xml:space="preserve">culpability, </w:t>
      </w:r>
      <w:r w:rsidRPr="009C6CB3" w:rsidR="00ED7B8D">
        <w:rPr>
          <w:rFonts w:cstheme="minorHAnsi"/>
          <w:szCs w:val="26"/>
        </w:rPr>
        <w:t xml:space="preserve">also </w:t>
      </w:r>
      <w:r w:rsidR="00895728">
        <w:rPr>
          <w:rFonts w:cstheme="minorHAnsi"/>
          <w:szCs w:val="26"/>
        </w:rPr>
        <w:t>allowed for the possibility</w:t>
      </w:r>
      <w:r w:rsidRPr="009C6CB3" w:rsidR="00895728">
        <w:rPr>
          <w:rFonts w:cstheme="minorHAnsi"/>
          <w:szCs w:val="26"/>
        </w:rPr>
        <w:t xml:space="preserve"> </w:t>
      </w:r>
      <w:r w:rsidRPr="009C6CB3" w:rsidR="00CA6B0F">
        <w:rPr>
          <w:rFonts w:cstheme="minorHAnsi"/>
          <w:szCs w:val="26"/>
        </w:rPr>
        <w:t xml:space="preserve">that </w:t>
      </w:r>
      <w:r w:rsidRPr="009C6CB3" w:rsidR="00ED7B8D">
        <w:rPr>
          <w:rFonts w:cstheme="minorHAnsi"/>
          <w:szCs w:val="26"/>
        </w:rPr>
        <w:t xml:space="preserve">some </w:t>
      </w:r>
      <w:r w:rsidRPr="009C6CB3" w:rsidR="00DD7941">
        <w:rPr>
          <w:rFonts w:cstheme="minorHAnsi"/>
          <w:szCs w:val="26"/>
        </w:rPr>
        <w:t>convictions</w:t>
      </w:r>
      <w:r w:rsidRPr="009C6CB3" w:rsidR="00420BAE">
        <w:rPr>
          <w:rFonts w:cstheme="minorHAnsi"/>
          <w:szCs w:val="26"/>
        </w:rPr>
        <w:t xml:space="preserve"> </w:t>
      </w:r>
      <w:r w:rsidRPr="009C6CB3" w:rsidR="00ED7B8D">
        <w:rPr>
          <w:rFonts w:cstheme="minorHAnsi"/>
          <w:szCs w:val="26"/>
        </w:rPr>
        <w:t xml:space="preserve">that implicate the ameliorative provisions of </w:t>
      </w:r>
      <w:r w:rsidRPr="009C6CB3" w:rsidR="006A5CE5">
        <w:rPr>
          <w:rFonts w:cstheme="minorHAnsi"/>
          <w:szCs w:val="26"/>
        </w:rPr>
        <w:t>Senate Bill</w:t>
      </w:r>
      <w:r w:rsidRPr="009C6CB3" w:rsidR="00EA23D1">
        <w:rPr>
          <w:rFonts w:cstheme="minorHAnsi"/>
          <w:szCs w:val="26"/>
        </w:rPr>
        <w:t> </w:t>
      </w:r>
      <w:r w:rsidRPr="009C6CB3" w:rsidR="006A5CE5">
        <w:rPr>
          <w:rFonts w:cstheme="minorHAnsi"/>
          <w:szCs w:val="26"/>
        </w:rPr>
        <w:t>1437</w:t>
      </w:r>
      <w:r w:rsidRPr="009C6CB3" w:rsidR="00ED7B8D">
        <w:rPr>
          <w:rFonts w:cstheme="minorHAnsi"/>
          <w:szCs w:val="26"/>
        </w:rPr>
        <w:t xml:space="preserve"> may nonetheless remain valid</w:t>
      </w:r>
      <w:r w:rsidRPr="009C6CB3" w:rsidR="00AE1C3F">
        <w:rPr>
          <w:rFonts w:cstheme="minorHAnsi"/>
          <w:szCs w:val="26"/>
        </w:rPr>
        <w:t>.</w:t>
      </w:r>
    </w:p>
    <w:p w:rsidR="00ED7B8D" w:rsidP="009C6CB3">
      <w:pPr>
        <w:ind w:firstLine="720"/>
        <w:rPr>
          <w:szCs w:val="26"/>
        </w:rPr>
      </w:pPr>
      <w:r w:rsidRPr="009C6CB3">
        <w:rPr>
          <w:rFonts w:cstheme="minorHAnsi"/>
          <w:szCs w:val="26"/>
        </w:rPr>
        <w:t>The Office of the State Public Defender as amicus curiae</w:t>
      </w:r>
      <w:r w:rsidRPr="009C6CB3">
        <w:rPr>
          <w:szCs w:val="26"/>
        </w:rPr>
        <w:t xml:space="preserve"> contends that because Senate Bill 1437 completely abolished murder liability on a natural and probable consequences theory, the applicable precedent on retroactivity is not </w:t>
      </w:r>
      <w:r w:rsidRPr="009C6CB3">
        <w:rPr>
          <w:i/>
          <w:szCs w:val="26"/>
        </w:rPr>
        <w:t>Conley</w:t>
      </w:r>
      <w:r w:rsidRPr="009C6CB3">
        <w:rPr>
          <w:szCs w:val="26"/>
        </w:rPr>
        <w:t xml:space="preserve"> or </w:t>
      </w:r>
      <w:r w:rsidRPr="009C6CB3">
        <w:rPr>
          <w:i/>
          <w:szCs w:val="26"/>
        </w:rPr>
        <w:t>DeHoyos</w:t>
      </w:r>
      <w:r w:rsidRPr="009C6CB3">
        <w:rPr>
          <w:szCs w:val="26"/>
        </w:rPr>
        <w:t xml:space="preserve"> </w:t>
      </w:r>
      <w:bookmarkStart w:id="134" w:name="Psych_Cite_121"/>
      <w:r w:rsidRPr="009C6CB3">
        <w:rPr>
          <w:szCs w:val="26"/>
        </w:rPr>
        <w:t xml:space="preserve">but </w:t>
      </w:r>
      <w:r w:rsidRPr="009C6CB3">
        <w:rPr>
          <w:i/>
          <w:iCs/>
          <w:szCs w:val="26"/>
        </w:rPr>
        <w:t>People v. Rossi</w:t>
      </w:r>
      <w:r w:rsidRPr="009C6CB3">
        <w:rPr>
          <w:szCs w:val="26"/>
        </w:rPr>
        <w:t xml:space="preserve"> (1976) 18 Cal.3d 295. </w:t>
      </w:r>
      <w:bookmarkEnd w:id="134"/>
      <w:r w:rsidRPr="009C6CB3">
        <w:rPr>
          <w:szCs w:val="26"/>
        </w:rPr>
        <w:t xml:space="preserve"> Rossi was convicted of violating former </w:t>
      </w:r>
      <w:bookmarkStart w:id="135" w:name="Psych_Cite_123"/>
      <w:r w:rsidRPr="009C6CB3">
        <w:rPr>
          <w:szCs w:val="26"/>
        </w:rPr>
        <w:t>section 288a</w:t>
      </w:r>
      <w:bookmarkEnd w:id="135"/>
      <w:r w:rsidRPr="009C6CB3">
        <w:rPr>
          <w:szCs w:val="26"/>
        </w:rPr>
        <w:t xml:space="preserve">, which criminalized all acts of oral copulation.  Before her conviction became final, the Legislature amended </w:t>
      </w:r>
      <w:bookmarkStart w:id="136" w:name="Psych_Cite_124"/>
      <w:r w:rsidRPr="009C6CB3">
        <w:rPr>
          <w:szCs w:val="26"/>
        </w:rPr>
        <w:t>section 288a</w:t>
      </w:r>
      <w:bookmarkEnd w:id="136"/>
      <w:r w:rsidRPr="009C6CB3">
        <w:rPr>
          <w:szCs w:val="26"/>
        </w:rPr>
        <w:t xml:space="preserve"> in a manner that legalized her conduct.  We </w:t>
      </w:r>
      <w:r w:rsidRPr="009C6CB3" w:rsidR="001B31DC">
        <w:rPr>
          <w:szCs w:val="26"/>
        </w:rPr>
        <w:t xml:space="preserve">reversed the </w:t>
      </w:r>
      <w:r w:rsidRPr="009C6CB3">
        <w:rPr>
          <w:szCs w:val="26"/>
        </w:rPr>
        <w:t xml:space="preserve">conviction, stating that </w:t>
      </w:r>
      <w:r w:rsidRPr="009C6CB3" w:rsidR="001B31DC">
        <w:rPr>
          <w:szCs w:val="26"/>
        </w:rPr>
        <w:t xml:space="preserve">the </w:t>
      </w:r>
      <w:r w:rsidRPr="009C6CB3">
        <w:rPr>
          <w:i/>
          <w:iCs/>
          <w:szCs w:val="26"/>
        </w:rPr>
        <w:t>Estrada</w:t>
      </w:r>
      <w:r w:rsidRPr="009C6CB3" w:rsidR="001B31DC">
        <w:rPr>
          <w:iCs/>
          <w:szCs w:val="26"/>
        </w:rPr>
        <w:t xml:space="preserve"> rule applies not only when new legislation reduces punishment for a crime, but also </w:t>
      </w:r>
      <w:r w:rsidRPr="009C6CB3">
        <w:rPr>
          <w:szCs w:val="26"/>
        </w:rPr>
        <w:t>“when criminal sanctions have been completely repealed before a criminal conviction becomes final</w:t>
      </w:r>
      <w:r w:rsidRPr="009C6CB3" w:rsidR="001B31DC">
        <w:rPr>
          <w:szCs w:val="26"/>
        </w:rPr>
        <w:t>.</w:t>
      </w:r>
      <w:r w:rsidRPr="009C6CB3">
        <w:rPr>
          <w:szCs w:val="26"/>
        </w:rPr>
        <w:t>”</w:t>
      </w:r>
      <w:r w:rsidRPr="009C6CB3" w:rsidR="001B31DC">
        <w:rPr>
          <w:szCs w:val="26"/>
        </w:rPr>
        <w:t xml:space="preserve">  (</w:t>
      </w:r>
      <w:bookmarkStart w:id="137" w:name="Psych_Cite_122"/>
      <w:r w:rsidRPr="009C6CB3" w:rsidR="001B31DC">
        <w:rPr>
          <w:i/>
          <w:szCs w:val="26"/>
        </w:rPr>
        <w:t>Rossi</w:t>
      </w:r>
      <w:r w:rsidRPr="009C6CB3" w:rsidR="001B31DC">
        <w:rPr>
          <w:szCs w:val="26"/>
        </w:rPr>
        <w:t>, at p. 301</w:t>
      </w:r>
      <w:bookmarkEnd w:id="137"/>
      <w:r w:rsidRPr="009C6CB3" w:rsidR="001B31DC">
        <w:rPr>
          <w:szCs w:val="26"/>
        </w:rPr>
        <w:t xml:space="preserve">.)  But </w:t>
      </w:r>
      <w:r w:rsidRPr="009C6CB3" w:rsidR="001B31DC">
        <w:rPr>
          <w:i/>
          <w:szCs w:val="26"/>
        </w:rPr>
        <w:t>Rossi</w:t>
      </w:r>
      <w:r w:rsidRPr="009C6CB3" w:rsidR="00D56DEF">
        <w:rPr>
          <w:szCs w:val="26"/>
        </w:rPr>
        <w:t xml:space="preserve"> </w:t>
      </w:r>
      <w:r w:rsidRPr="009C6CB3" w:rsidR="001B31DC">
        <w:rPr>
          <w:szCs w:val="26"/>
        </w:rPr>
        <w:t>did not involve ameliorative legislation that contained express provisions for obtaining retroactive relief.</w:t>
      </w:r>
      <w:r w:rsidRPr="009C6CB3" w:rsidR="00D56DEF">
        <w:rPr>
          <w:szCs w:val="26"/>
        </w:rPr>
        <w:t xml:space="preserve">  It is true that Senate Bill 1437, unlike the statutes considered in </w:t>
      </w:r>
      <w:r w:rsidRPr="009C6CB3" w:rsidR="00D56DEF">
        <w:rPr>
          <w:i/>
          <w:szCs w:val="26"/>
        </w:rPr>
        <w:t>Conley</w:t>
      </w:r>
      <w:r w:rsidRPr="009C6CB3" w:rsidR="00D56DEF">
        <w:rPr>
          <w:szCs w:val="26"/>
        </w:rPr>
        <w:t xml:space="preserve"> and </w:t>
      </w:r>
      <w:r w:rsidRPr="009C6CB3" w:rsidR="00D56DEF">
        <w:rPr>
          <w:i/>
          <w:szCs w:val="26"/>
        </w:rPr>
        <w:t>DeHoyos</w:t>
      </w:r>
      <w:r w:rsidRPr="009C6CB3" w:rsidR="00D56DEF">
        <w:rPr>
          <w:szCs w:val="26"/>
        </w:rPr>
        <w:t xml:space="preserve">, went beyond reducing punishment for particular crimes and altogether eliminated a theory of liability for murder.  But it did so in a manner that expressly provides </w:t>
      </w:r>
      <w:r w:rsidRPr="009C6CB3" w:rsidR="002876AC">
        <w:rPr>
          <w:szCs w:val="26"/>
        </w:rPr>
        <w:t xml:space="preserve">a mechanism for retroactive relief.  In light of this feature, </w:t>
      </w:r>
      <w:r w:rsidRPr="009C6CB3" w:rsidR="002876AC">
        <w:rPr>
          <w:i/>
          <w:szCs w:val="26"/>
        </w:rPr>
        <w:t>Rossi</w:t>
      </w:r>
      <w:r w:rsidRPr="009C6CB3" w:rsidR="002876AC">
        <w:rPr>
          <w:szCs w:val="26"/>
        </w:rPr>
        <w:t xml:space="preserve"> is inapt, and </w:t>
      </w:r>
      <w:r w:rsidRPr="009C6CB3" w:rsidR="002876AC">
        <w:rPr>
          <w:i/>
          <w:szCs w:val="26"/>
        </w:rPr>
        <w:t>Conley</w:t>
      </w:r>
      <w:r w:rsidRPr="009C6CB3" w:rsidR="002876AC">
        <w:rPr>
          <w:szCs w:val="26"/>
        </w:rPr>
        <w:t xml:space="preserve"> and </w:t>
      </w:r>
      <w:r w:rsidRPr="009C6CB3" w:rsidR="002876AC">
        <w:rPr>
          <w:i/>
          <w:szCs w:val="26"/>
        </w:rPr>
        <w:t>DeHoyos</w:t>
      </w:r>
      <w:r w:rsidRPr="009C6CB3" w:rsidR="002876AC">
        <w:rPr>
          <w:szCs w:val="26"/>
        </w:rPr>
        <w:t xml:space="preserve"> are more analogous to this case.</w:t>
      </w:r>
    </w:p>
    <w:p w:rsidR="00E15016" w:rsidRPr="00620980" w:rsidP="00E15016">
      <w:pPr>
        <w:ind w:firstLine="720"/>
        <w:rPr>
          <w:rFonts w:ascii="Calibri" w:hAnsi="Calibri"/>
          <w:sz w:val="22"/>
        </w:rPr>
      </w:pPr>
      <w:r>
        <w:t>The Office of the State Public Defender also contends that the word “may” instead of “shall” in the first sentence of section</w:t>
      </w:r>
      <w:r w:rsidR="00BC244D">
        <w:t> </w:t>
      </w:r>
      <w:r>
        <w:t xml:space="preserve">1170.95 indicates that the Legislature did not intend the </w:t>
      </w:r>
      <w:bookmarkStart w:id="138" w:name="Psych_Cite_127"/>
      <w:r>
        <w:t>section 1170.95</w:t>
      </w:r>
      <w:bookmarkEnd w:id="138"/>
      <w:r>
        <w:t xml:space="preserve"> petition process to be an exclusive remedy.  But the resentencing schemes we considered in </w:t>
      </w:r>
      <w:r>
        <w:rPr>
          <w:i/>
          <w:iCs/>
        </w:rPr>
        <w:t>Conley</w:t>
      </w:r>
      <w:r>
        <w:t xml:space="preserve"> and </w:t>
      </w:r>
      <w:r>
        <w:rPr>
          <w:i/>
          <w:iCs/>
        </w:rPr>
        <w:t>DeHoyos</w:t>
      </w:r>
      <w:r>
        <w:t xml:space="preserve"> also used “may” instead of “shall.”  (</w:t>
      </w:r>
      <w:bookmarkStart w:id="139" w:name="Psych_Cite_125"/>
      <w:r>
        <w:t xml:space="preserve">See </w:t>
      </w:r>
      <w:r>
        <w:rPr>
          <w:i/>
          <w:iCs/>
        </w:rPr>
        <w:t>Conley</w:t>
      </w:r>
      <w:r>
        <w:t xml:space="preserve">, </w:t>
      </w:r>
      <w:r>
        <w:rPr>
          <w:i/>
          <w:iCs/>
        </w:rPr>
        <w:t>supra</w:t>
      </w:r>
      <w:r>
        <w:t>, 63</w:t>
      </w:r>
      <w:r w:rsidR="00BC244D">
        <w:t> </w:t>
      </w:r>
      <w:r>
        <w:t>Cal.4th at p. 655</w:t>
      </w:r>
      <w:bookmarkEnd w:id="139"/>
      <w:r>
        <w:t xml:space="preserve">; </w:t>
      </w:r>
      <w:bookmarkStart w:id="140" w:name="Psych_Cite_126"/>
      <w:r>
        <w:rPr>
          <w:i/>
          <w:iCs/>
        </w:rPr>
        <w:t>DeHoyos</w:t>
      </w:r>
      <w:r>
        <w:t xml:space="preserve">, </w:t>
      </w:r>
      <w:r>
        <w:rPr>
          <w:i/>
          <w:iCs/>
        </w:rPr>
        <w:t>supra</w:t>
      </w:r>
      <w:r>
        <w:t>, 4 Cal.5th at p. 598</w:t>
      </w:r>
      <w:bookmarkEnd w:id="140"/>
      <w:r>
        <w:t xml:space="preserve">.)  By authorizing defendants to petition for relief, the word “may” in </w:t>
      </w:r>
      <w:bookmarkStart w:id="141" w:name="Psych_Cite_128"/>
      <w:r>
        <w:t>section 1170.95</w:t>
      </w:r>
      <w:bookmarkEnd w:id="141"/>
      <w:r>
        <w:t xml:space="preserve"> does not suggest that relief on direct review is also available.</w:t>
      </w:r>
    </w:p>
    <w:p w:rsidR="00525CF1" w:rsidRPr="009C6CB3" w:rsidP="009C6CB3">
      <w:pPr>
        <w:ind w:firstLine="720"/>
        <w:rPr>
          <w:rFonts w:cstheme="minorHAnsi"/>
          <w:szCs w:val="26"/>
        </w:rPr>
      </w:pPr>
      <w:r w:rsidRPr="009C6CB3">
        <w:rPr>
          <w:rFonts w:cstheme="minorHAnsi"/>
          <w:szCs w:val="26"/>
        </w:rPr>
        <w:t>Gentile</w:t>
      </w:r>
      <w:r w:rsidRPr="009C6CB3" w:rsidR="0033648A">
        <w:rPr>
          <w:rFonts w:cstheme="minorHAnsi"/>
          <w:szCs w:val="26"/>
        </w:rPr>
        <w:t xml:space="preserve"> </w:t>
      </w:r>
      <w:r w:rsidRPr="009C6CB3" w:rsidR="002876AC">
        <w:rPr>
          <w:rFonts w:cstheme="minorHAnsi"/>
          <w:szCs w:val="26"/>
        </w:rPr>
        <w:t>make</w:t>
      </w:r>
      <w:r w:rsidR="005D640F">
        <w:rPr>
          <w:rFonts w:cstheme="minorHAnsi"/>
          <w:szCs w:val="26"/>
        </w:rPr>
        <w:t>s</w:t>
      </w:r>
      <w:r w:rsidRPr="009C6CB3" w:rsidR="002876AC">
        <w:rPr>
          <w:rFonts w:cstheme="minorHAnsi"/>
          <w:szCs w:val="26"/>
        </w:rPr>
        <w:t xml:space="preserve"> </w:t>
      </w:r>
      <w:r w:rsidRPr="009C6CB3" w:rsidR="00C65DA3">
        <w:rPr>
          <w:rFonts w:cstheme="minorHAnsi"/>
          <w:szCs w:val="26"/>
        </w:rPr>
        <w:t>several arguments</w:t>
      </w:r>
      <w:r w:rsidRPr="009C6CB3" w:rsidR="002876AC">
        <w:rPr>
          <w:rFonts w:cstheme="minorHAnsi"/>
          <w:szCs w:val="26"/>
        </w:rPr>
        <w:t xml:space="preserve"> for the availability of relief on direct appeal</w:t>
      </w:r>
      <w:r w:rsidRPr="009C6CB3" w:rsidR="00C65DA3">
        <w:rPr>
          <w:rFonts w:cstheme="minorHAnsi"/>
          <w:szCs w:val="26"/>
        </w:rPr>
        <w:t xml:space="preserve">, but none is persuasive.  First, </w:t>
      </w:r>
      <w:r w:rsidRPr="009C6CB3" w:rsidR="002876AC">
        <w:rPr>
          <w:rFonts w:cstheme="minorHAnsi"/>
          <w:szCs w:val="26"/>
        </w:rPr>
        <w:t xml:space="preserve">he </w:t>
      </w:r>
      <w:r w:rsidRPr="009C6CB3">
        <w:rPr>
          <w:rFonts w:cstheme="minorHAnsi"/>
          <w:szCs w:val="26"/>
        </w:rPr>
        <w:t xml:space="preserve">argues that </w:t>
      </w:r>
      <w:r w:rsidRPr="009C6CB3">
        <w:rPr>
          <w:rFonts w:cstheme="minorHAnsi"/>
          <w:i/>
          <w:iCs/>
          <w:szCs w:val="26"/>
        </w:rPr>
        <w:t xml:space="preserve">Conley </w:t>
      </w:r>
      <w:r w:rsidRPr="009C6CB3">
        <w:rPr>
          <w:rFonts w:cstheme="minorHAnsi"/>
          <w:szCs w:val="26"/>
        </w:rPr>
        <w:t xml:space="preserve">and </w:t>
      </w:r>
      <w:r w:rsidRPr="009C6CB3">
        <w:rPr>
          <w:rFonts w:cstheme="minorHAnsi"/>
          <w:i/>
          <w:iCs/>
          <w:szCs w:val="26"/>
        </w:rPr>
        <w:t xml:space="preserve">DeHoyos </w:t>
      </w:r>
      <w:r w:rsidRPr="009C6CB3">
        <w:rPr>
          <w:rFonts w:cstheme="minorHAnsi"/>
          <w:szCs w:val="26"/>
        </w:rPr>
        <w:t xml:space="preserve">are distinguishable </w:t>
      </w:r>
      <w:r w:rsidRPr="009C6CB3" w:rsidR="00F20DE5">
        <w:rPr>
          <w:rFonts w:cstheme="minorHAnsi"/>
          <w:szCs w:val="26"/>
        </w:rPr>
        <w:t>because Senate Bill 1437</w:t>
      </w:r>
      <w:r w:rsidRPr="009C6CB3" w:rsidR="00DD7941">
        <w:rPr>
          <w:rFonts w:cstheme="minorHAnsi"/>
          <w:szCs w:val="26"/>
        </w:rPr>
        <w:t>, unlike Proposition 36 and Proposition 47,</w:t>
      </w:r>
      <w:r w:rsidRPr="009C6CB3" w:rsidR="00F20DE5">
        <w:rPr>
          <w:rFonts w:cstheme="minorHAnsi"/>
          <w:szCs w:val="26"/>
        </w:rPr>
        <w:t xml:space="preserve"> does not mandate a separate inquiry into dangerousness or impose any</w:t>
      </w:r>
      <w:r w:rsidRPr="009C6CB3" w:rsidR="006A368D">
        <w:rPr>
          <w:rFonts w:cstheme="minorHAnsi"/>
          <w:szCs w:val="26"/>
        </w:rPr>
        <w:t xml:space="preserve"> other discretionary requirement for retroactive relief</w:t>
      </w:r>
      <w:r w:rsidRPr="009C6CB3" w:rsidR="00F20DE5">
        <w:rPr>
          <w:rFonts w:cstheme="minorHAnsi"/>
          <w:szCs w:val="26"/>
        </w:rPr>
        <w:t xml:space="preserve">.  </w:t>
      </w:r>
      <w:r w:rsidRPr="009C6CB3" w:rsidR="00C65DA3">
        <w:rPr>
          <w:rFonts w:cstheme="minorHAnsi"/>
          <w:szCs w:val="26"/>
        </w:rPr>
        <w:t xml:space="preserve">That is true, </w:t>
      </w:r>
      <w:bookmarkStart w:id="142" w:name="Psych_Cite_129"/>
      <w:r w:rsidRPr="009C6CB3" w:rsidR="00C65DA3">
        <w:rPr>
          <w:rFonts w:cstheme="minorHAnsi"/>
          <w:szCs w:val="26"/>
        </w:rPr>
        <w:t>b</w:t>
      </w:r>
      <w:r w:rsidRPr="009C6CB3" w:rsidR="00DD7941">
        <w:rPr>
          <w:rFonts w:cstheme="minorHAnsi"/>
          <w:szCs w:val="26"/>
        </w:rPr>
        <w:t>ut</w:t>
      </w:r>
      <w:r w:rsidRPr="009C6CB3" w:rsidR="009239E8">
        <w:rPr>
          <w:rFonts w:cstheme="minorHAnsi"/>
          <w:szCs w:val="26"/>
        </w:rPr>
        <w:t xml:space="preserve"> </w:t>
      </w:r>
      <w:r w:rsidRPr="009C6CB3" w:rsidR="00DD7941">
        <w:rPr>
          <w:rFonts w:cstheme="minorHAnsi"/>
          <w:szCs w:val="26"/>
        </w:rPr>
        <w:t>section 1170.95</w:t>
      </w:r>
      <w:bookmarkEnd w:id="142"/>
      <w:r w:rsidRPr="009C6CB3" w:rsidR="00DD7941">
        <w:rPr>
          <w:rFonts w:cstheme="minorHAnsi"/>
          <w:szCs w:val="26"/>
        </w:rPr>
        <w:t xml:space="preserve"> requires </w:t>
      </w:r>
      <w:r w:rsidRPr="009C6CB3" w:rsidR="00A30512">
        <w:rPr>
          <w:rFonts w:cstheme="minorHAnsi"/>
          <w:szCs w:val="26"/>
        </w:rPr>
        <w:t xml:space="preserve">the superior court </w:t>
      </w:r>
      <w:r w:rsidRPr="009C6CB3" w:rsidR="00DD7941">
        <w:rPr>
          <w:rFonts w:cstheme="minorHAnsi"/>
          <w:szCs w:val="26"/>
        </w:rPr>
        <w:t xml:space="preserve">to </w:t>
      </w:r>
      <w:r w:rsidRPr="009C6CB3" w:rsidR="00A30512">
        <w:rPr>
          <w:rFonts w:cstheme="minorHAnsi"/>
          <w:szCs w:val="26"/>
        </w:rPr>
        <w:t>determine on an individualized basis</w:t>
      </w:r>
      <w:r w:rsidRPr="009C6CB3" w:rsidR="00DD7941">
        <w:rPr>
          <w:rFonts w:cstheme="minorHAnsi"/>
          <w:szCs w:val="26"/>
        </w:rPr>
        <w:t>,</w:t>
      </w:r>
      <w:r w:rsidRPr="009C6CB3" w:rsidR="00A30512">
        <w:rPr>
          <w:rFonts w:cstheme="minorHAnsi"/>
          <w:szCs w:val="26"/>
        </w:rPr>
        <w:t xml:space="preserve"> </w:t>
      </w:r>
      <w:r w:rsidRPr="009C6CB3" w:rsidR="00DD7941">
        <w:rPr>
          <w:rFonts w:cstheme="minorHAnsi"/>
          <w:szCs w:val="26"/>
        </w:rPr>
        <w:t xml:space="preserve">after considering any </w:t>
      </w:r>
      <w:r w:rsidRPr="009C6CB3" w:rsidR="00A30512">
        <w:rPr>
          <w:rFonts w:cstheme="minorHAnsi"/>
          <w:szCs w:val="26"/>
        </w:rPr>
        <w:t xml:space="preserve">new </w:t>
      </w:r>
      <w:r w:rsidRPr="009C6CB3" w:rsidR="00DD7941">
        <w:rPr>
          <w:rFonts w:cstheme="minorHAnsi"/>
          <w:szCs w:val="26"/>
        </w:rPr>
        <w:t>or</w:t>
      </w:r>
      <w:r w:rsidRPr="009C6CB3" w:rsidR="00A30512">
        <w:rPr>
          <w:rFonts w:cstheme="minorHAnsi"/>
          <w:szCs w:val="26"/>
        </w:rPr>
        <w:t xml:space="preserve"> additional evidence</w:t>
      </w:r>
      <w:r w:rsidRPr="009C6CB3" w:rsidR="00DD7941">
        <w:rPr>
          <w:rFonts w:cstheme="minorHAnsi"/>
          <w:szCs w:val="26"/>
        </w:rPr>
        <w:t xml:space="preserve"> offered by the parties,</w:t>
      </w:r>
      <w:r w:rsidRPr="009C6CB3" w:rsidR="00A30512">
        <w:rPr>
          <w:rFonts w:cstheme="minorHAnsi"/>
          <w:szCs w:val="26"/>
        </w:rPr>
        <w:t xml:space="preserve"> whether </w:t>
      </w:r>
      <w:r w:rsidRPr="009C6CB3" w:rsidR="00DD7941">
        <w:rPr>
          <w:rFonts w:cstheme="minorHAnsi"/>
          <w:szCs w:val="26"/>
        </w:rPr>
        <w:t>the</w:t>
      </w:r>
      <w:r w:rsidRPr="009C6CB3" w:rsidR="00A30512">
        <w:rPr>
          <w:rFonts w:cstheme="minorHAnsi"/>
          <w:szCs w:val="26"/>
        </w:rPr>
        <w:t xml:space="preserve"> defendant is entitled to relief.  </w:t>
      </w:r>
      <w:r w:rsidRPr="009C6CB3" w:rsidR="00DD7941">
        <w:rPr>
          <w:rFonts w:cstheme="minorHAnsi"/>
          <w:szCs w:val="26"/>
        </w:rPr>
        <w:t>T</w:t>
      </w:r>
      <w:r w:rsidRPr="009C6CB3" w:rsidR="008A4C04">
        <w:rPr>
          <w:rFonts w:cstheme="minorHAnsi"/>
          <w:szCs w:val="26"/>
        </w:rPr>
        <w:t xml:space="preserve">his </w:t>
      </w:r>
      <w:r w:rsidRPr="009C6CB3" w:rsidR="00C65DA3">
        <w:rPr>
          <w:rFonts w:cstheme="minorHAnsi"/>
          <w:szCs w:val="26"/>
        </w:rPr>
        <w:t xml:space="preserve">suggests the </w:t>
      </w:r>
      <w:r w:rsidRPr="009C6CB3" w:rsidR="00DD7941">
        <w:rPr>
          <w:rFonts w:cstheme="minorHAnsi"/>
          <w:szCs w:val="26"/>
        </w:rPr>
        <w:t>Legislature</w:t>
      </w:r>
      <w:r w:rsidRPr="009C6CB3" w:rsidR="00C65DA3">
        <w:rPr>
          <w:rFonts w:cstheme="minorHAnsi"/>
          <w:szCs w:val="26"/>
        </w:rPr>
        <w:t>’s</w:t>
      </w:r>
      <w:r w:rsidRPr="009C6CB3" w:rsidR="00DD7941">
        <w:rPr>
          <w:rFonts w:cstheme="minorHAnsi"/>
          <w:szCs w:val="26"/>
        </w:rPr>
        <w:t xml:space="preserve"> intent to limit retroactive relief to the procedures in section</w:t>
      </w:r>
      <w:r w:rsidR="0009715F">
        <w:rPr>
          <w:rFonts w:cstheme="minorHAnsi"/>
          <w:szCs w:val="26"/>
        </w:rPr>
        <w:t> </w:t>
      </w:r>
      <w:r w:rsidRPr="009C6CB3" w:rsidR="00DD7941">
        <w:rPr>
          <w:rFonts w:cstheme="minorHAnsi"/>
          <w:szCs w:val="26"/>
        </w:rPr>
        <w:t>1170.95.</w:t>
      </w:r>
    </w:p>
    <w:p w:rsidR="0065754C" w:rsidRPr="009C6CB3" w:rsidP="009C6CB3">
      <w:pPr>
        <w:ind w:firstLine="720"/>
        <w:rPr>
          <w:rFonts w:cstheme="minorHAnsi"/>
          <w:szCs w:val="26"/>
        </w:rPr>
      </w:pPr>
      <w:r w:rsidRPr="009C6CB3">
        <w:rPr>
          <w:rFonts w:cstheme="minorHAnsi"/>
          <w:szCs w:val="26"/>
        </w:rPr>
        <w:t xml:space="preserve">Second, </w:t>
      </w:r>
      <w:r w:rsidRPr="009C6CB3" w:rsidR="006C2223">
        <w:rPr>
          <w:rFonts w:cstheme="minorHAnsi"/>
          <w:szCs w:val="26"/>
        </w:rPr>
        <w:t xml:space="preserve">Gentile contends </w:t>
      </w:r>
      <w:r w:rsidRPr="009C6CB3" w:rsidR="00444394">
        <w:rPr>
          <w:rFonts w:cstheme="minorHAnsi"/>
          <w:szCs w:val="26"/>
        </w:rPr>
        <w:t>that the Legislature include</w:t>
      </w:r>
      <w:r w:rsidRPr="009C6CB3" w:rsidR="0011228F">
        <w:rPr>
          <w:rFonts w:cstheme="minorHAnsi"/>
          <w:szCs w:val="26"/>
        </w:rPr>
        <w:t>d</w:t>
      </w:r>
      <w:r w:rsidRPr="009C6CB3" w:rsidR="00444394">
        <w:rPr>
          <w:rFonts w:cstheme="minorHAnsi"/>
          <w:szCs w:val="26"/>
        </w:rPr>
        <w:t xml:space="preserve"> </w:t>
      </w:r>
      <w:bookmarkStart w:id="143" w:name="Psych_Cite_132"/>
      <w:r w:rsidRPr="009C6CB3" w:rsidR="00444394">
        <w:rPr>
          <w:rFonts w:cstheme="minorHAnsi"/>
          <w:szCs w:val="26"/>
        </w:rPr>
        <w:t>section 1170.95</w:t>
      </w:r>
      <w:bookmarkEnd w:id="143"/>
      <w:r w:rsidRPr="009C6CB3" w:rsidR="00444394">
        <w:rPr>
          <w:rFonts w:cstheme="minorHAnsi"/>
          <w:szCs w:val="26"/>
        </w:rPr>
        <w:t xml:space="preserve"> in order to “grant a form of super-retroactivity, over and above the retroactivity that the law would ordinarily provide, in order to extend the benefit of </w:t>
      </w:r>
      <w:r w:rsidRPr="009C6CB3" w:rsidR="00444394">
        <w:rPr>
          <w:rFonts w:cstheme="minorHAnsi"/>
          <w:i/>
          <w:iCs/>
          <w:szCs w:val="26"/>
        </w:rPr>
        <w:t xml:space="preserve">Estrada </w:t>
      </w:r>
      <w:r w:rsidRPr="009C6CB3" w:rsidR="00444394">
        <w:rPr>
          <w:rFonts w:cstheme="minorHAnsi"/>
          <w:szCs w:val="26"/>
        </w:rPr>
        <w:t xml:space="preserve">to those with </w:t>
      </w:r>
      <w:r w:rsidRPr="009C6CB3" w:rsidR="00111A45">
        <w:rPr>
          <w:rFonts w:cstheme="minorHAnsi"/>
          <w:szCs w:val="26"/>
        </w:rPr>
        <w:t xml:space="preserve">final judgments” </w:t>
      </w:r>
      <w:r w:rsidRPr="009C6CB3" w:rsidR="0011228F">
        <w:rPr>
          <w:rFonts w:cstheme="minorHAnsi"/>
          <w:szCs w:val="26"/>
        </w:rPr>
        <w:t xml:space="preserve">rather </w:t>
      </w:r>
      <w:r w:rsidRPr="009C6CB3" w:rsidR="006238E1">
        <w:rPr>
          <w:rFonts w:cstheme="minorHAnsi"/>
          <w:szCs w:val="26"/>
        </w:rPr>
        <w:t>than seeking to</w:t>
      </w:r>
      <w:r w:rsidRPr="009C6CB3" w:rsidR="00111A45">
        <w:rPr>
          <w:rFonts w:cstheme="minorHAnsi"/>
          <w:szCs w:val="26"/>
        </w:rPr>
        <w:t xml:space="preserve"> “deny the benefit of </w:t>
      </w:r>
      <w:r w:rsidRPr="009C6CB3" w:rsidR="00111A45">
        <w:rPr>
          <w:rFonts w:cstheme="minorHAnsi"/>
          <w:i/>
          <w:iCs/>
          <w:szCs w:val="26"/>
        </w:rPr>
        <w:t xml:space="preserve">Estrada </w:t>
      </w:r>
      <w:r w:rsidRPr="009C6CB3" w:rsidR="00111A45">
        <w:rPr>
          <w:rFonts w:cstheme="minorHAnsi"/>
          <w:szCs w:val="26"/>
        </w:rPr>
        <w:t>to those with nonfinal judgments.</w:t>
      </w:r>
      <w:r w:rsidRPr="009C6CB3" w:rsidR="00B1164B">
        <w:rPr>
          <w:rFonts w:cstheme="minorHAnsi"/>
          <w:szCs w:val="26"/>
        </w:rPr>
        <w:t>”</w:t>
      </w:r>
      <w:r w:rsidRPr="009C6CB3" w:rsidR="00D47E26">
        <w:rPr>
          <w:rFonts w:cstheme="minorHAnsi"/>
          <w:szCs w:val="26"/>
        </w:rPr>
        <w:t xml:space="preserve">  </w:t>
      </w:r>
      <w:r w:rsidRPr="009C6CB3" w:rsidR="00F33CB3">
        <w:rPr>
          <w:rFonts w:cstheme="minorHAnsi"/>
          <w:szCs w:val="26"/>
        </w:rPr>
        <w:t xml:space="preserve">But nothing in the </w:t>
      </w:r>
      <w:r w:rsidRPr="009C6CB3" w:rsidR="00987A58">
        <w:rPr>
          <w:rFonts w:cstheme="minorHAnsi"/>
          <w:szCs w:val="26"/>
        </w:rPr>
        <w:t xml:space="preserve">statute’s </w:t>
      </w:r>
      <w:r w:rsidRPr="009C6CB3" w:rsidR="00F33CB3">
        <w:rPr>
          <w:rFonts w:cstheme="minorHAnsi"/>
          <w:szCs w:val="26"/>
        </w:rPr>
        <w:t>text or legislative history</w:t>
      </w:r>
      <w:r w:rsidRPr="009C6CB3" w:rsidR="00027D1C">
        <w:rPr>
          <w:rFonts w:cstheme="minorHAnsi"/>
          <w:szCs w:val="26"/>
        </w:rPr>
        <w:t xml:space="preserve"> supports this assertion</w:t>
      </w:r>
      <w:r w:rsidRPr="009C6CB3" w:rsidR="00F33CB3">
        <w:rPr>
          <w:rFonts w:cstheme="minorHAnsi"/>
          <w:szCs w:val="26"/>
        </w:rPr>
        <w:t xml:space="preserve">. </w:t>
      </w:r>
      <w:r w:rsidRPr="009C6CB3" w:rsidR="00B6367C">
        <w:rPr>
          <w:rFonts w:cstheme="minorHAnsi"/>
          <w:szCs w:val="26"/>
        </w:rPr>
        <w:t xml:space="preserve"> </w:t>
      </w:r>
      <w:r w:rsidRPr="009C6CB3">
        <w:rPr>
          <w:rFonts w:cstheme="minorHAnsi"/>
          <w:szCs w:val="26"/>
        </w:rPr>
        <w:t xml:space="preserve">The Legislature enacted Senate Bill 1437 several months after our decision in </w:t>
      </w:r>
      <w:r w:rsidRPr="009C6CB3">
        <w:rPr>
          <w:rFonts w:cstheme="minorHAnsi"/>
          <w:i/>
          <w:szCs w:val="26"/>
        </w:rPr>
        <w:t>DeHoyos</w:t>
      </w:r>
      <w:r w:rsidRPr="009C6CB3">
        <w:rPr>
          <w:rFonts w:cstheme="minorHAnsi"/>
          <w:szCs w:val="26"/>
        </w:rPr>
        <w:t xml:space="preserve"> and more than two years after </w:t>
      </w:r>
      <w:r w:rsidRPr="009C6CB3">
        <w:rPr>
          <w:rFonts w:cstheme="minorHAnsi"/>
          <w:i/>
          <w:szCs w:val="26"/>
        </w:rPr>
        <w:t>Conley</w:t>
      </w:r>
      <w:r w:rsidRPr="009C6CB3">
        <w:rPr>
          <w:rFonts w:cstheme="minorHAnsi"/>
          <w:szCs w:val="26"/>
        </w:rPr>
        <w:t>.  Both cases had construed a resentencing mechanism that “dr[ew] no distinction between persons serving final sentences and those serving nonfinal sentences” to apply to both categories of persons.  (</w:t>
      </w:r>
      <w:bookmarkStart w:id="144" w:name="Psych_Cite_130"/>
      <w:r w:rsidRPr="009C6CB3">
        <w:rPr>
          <w:rFonts w:cstheme="minorHAnsi"/>
          <w:i/>
          <w:szCs w:val="26"/>
        </w:rPr>
        <w:t>Conley</w:t>
      </w:r>
      <w:r w:rsidRPr="009C6CB3">
        <w:rPr>
          <w:rFonts w:cstheme="minorHAnsi"/>
          <w:szCs w:val="26"/>
        </w:rPr>
        <w:t xml:space="preserve">, </w:t>
      </w:r>
      <w:r w:rsidRPr="009C6CB3">
        <w:rPr>
          <w:rFonts w:cstheme="minorHAnsi"/>
          <w:i/>
          <w:szCs w:val="26"/>
        </w:rPr>
        <w:t>supra</w:t>
      </w:r>
      <w:r w:rsidRPr="009C6CB3">
        <w:rPr>
          <w:rFonts w:cstheme="minorHAnsi"/>
          <w:szCs w:val="26"/>
        </w:rPr>
        <w:t>, 63 Cal.4th at p. 657</w:t>
      </w:r>
      <w:bookmarkEnd w:id="144"/>
      <w:r w:rsidRPr="009C6CB3">
        <w:rPr>
          <w:rFonts w:cstheme="minorHAnsi"/>
          <w:szCs w:val="26"/>
        </w:rPr>
        <w:t xml:space="preserve">; </w:t>
      </w:r>
      <w:bookmarkStart w:id="145" w:name="Psych_Cite_131"/>
      <w:r w:rsidRPr="009C6CB3">
        <w:rPr>
          <w:rFonts w:cstheme="minorHAnsi"/>
          <w:szCs w:val="26"/>
        </w:rPr>
        <w:t xml:space="preserve">see </w:t>
      </w:r>
      <w:r w:rsidRPr="009C6CB3">
        <w:rPr>
          <w:rFonts w:cstheme="minorHAnsi"/>
          <w:i/>
          <w:szCs w:val="26"/>
        </w:rPr>
        <w:t>DeHoyos</w:t>
      </w:r>
      <w:r w:rsidRPr="009C6CB3">
        <w:rPr>
          <w:rFonts w:cstheme="minorHAnsi"/>
          <w:szCs w:val="26"/>
        </w:rPr>
        <w:t xml:space="preserve">, </w:t>
      </w:r>
      <w:r w:rsidRPr="009C6CB3">
        <w:rPr>
          <w:rFonts w:cstheme="minorHAnsi"/>
          <w:i/>
          <w:iCs/>
          <w:szCs w:val="26"/>
        </w:rPr>
        <w:t>supra</w:t>
      </w:r>
      <w:r w:rsidRPr="009C6CB3">
        <w:rPr>
          <w:rFonts w:cstheme="minorHAnsi"/>
          <w:szCs w:val="26"/>
        </w:rPr>
        <w:t>, 4 Cal.5th at p. 603</w:t>
      </w:r>
      <w:bookmarkEnd w:id="145"/>
      <w:r w:rsidRPr="009C6CB3">
        <w:rPr>
          <w:rFonts w:cstheme="minorHAnsi"/>
          <w:szCs w:val="26"/>
        </w:rPr>
        <w:t xml:space="preserve">.)  </w:t>
      </w:r>
      <w:r w:rsidRPr="009C6CB3" w:rsidR="00987A58">
        <w:rPr>
          <w:rFonts w:cstheme="minorHAnsi"/>
          <w:szCs w:val="26"/>
        </w:rPr>
        <w:t>Against this backdrop, i</w:t>
      </w:r>
      <w:r w:rsidRPr="009C6CB3" w:rsidR="00FD06E5">
        <w:rPr>
          <w:rFonts w:cstheme="minorHAnsi"/>
          <w:szCs w:val="26"/>
        </w:rPr>
        <w:t xml:space="preserve">f the Legislature </w:t>
      </w:r>
      <w:r w:rsidRPr="009C6CB3" w:rsidR="00987A58">
        <w:rPr>
          <w:rFonts w:cstheme="minorHAnsi"/>
          <w:szCs w:val="26"/>
        </w:rPr>
        <w:t xml:space="preserve">had </w:t>
      </w:r>
      <w:r w:rsidRPr="009C6CB3" w:rsidR="00FD06E5">
        <w:rPr>
          <w:rFonts w:cstheme="minorHAnsi"/>
          <w:szCs w:val="26"/>
        </w:rPr>
        <w:t xml:space="preserve">intended </w:t>
      </w:r>
      <w:bookmarkStart w:id="146" w:name="Psych_Cite_133"/>
      <w:r w:rsidRPr="009C6CB3" w:rsidR="00987A58">
        <w:rPr>
          <w:rFonts w:cstheme="minorHAnsi"/>
          <w:szCs w:val="26"/>
        </w:rPr>
        <w:t>section 1170.95</w:t>
      </w:r>
      <w:bookmarkEnd w:id="146"/>
      <w:r w:rsidRPr="009C6CB3" w:rsidR="00987A58">
        <w:rPr>
          <w:rFonts w:cstheme="minorHAnsi"/>
          <w:szCs w:val="26"/>
        </w:rPr>
        <w:t xml:space="preserve"> </w:t>
      </w:r>
      <w:r w:rsidRPr="009C6CB3">
        <w:rPr>
          <w:rFonts w:cstheme="minorHAnsi"/>
          <w:szCs w:val="26"/>
        </w:rPr>
        <w:t xml:space="preserve">to </w:t>
      </w:r>
      <w:r w:rsidRPr="009C6CB3" w:rsidR="009B39A2">
        <w:rPr>
          <w:rFonts w:cstheme="minorHAnsi"/>
          <w:szCs w:val="26"/>
        </w:rPr>
        <w:t xml:space="preserve">apply </w:t>
      </w:r>
      <w:r w:rsidRPr="009C6CB3" w:rsidR="00987A58">
        <w:rPr>
          <w:rFonts w:cstheme="minorHAnsi"/>
          <w:szCs w:val="26"/>
        </w:rPr>
        <w:t xml:space="preserve">only </w:t>
      </w:r>
      <w:r w:rsidRPr="009C6CB3" w:rsidR="009B39A2">
        <w:rPr>
          <w:rFonts w:cstheme="minorHAnsi"/>
          <w:szCs w:val="26"/>
        </w:rPr>
        <w:t xml:space="preserve">to </w:t>
      </w:r>
      <w:r w:rsidRPr="009C6CB3" w:rsidR="00987A58">
        <w:rPr>
          <w:rFonts w:cstheme="minorHAnsi"/>
          <w:szCs w:val="26"/>
        </w:rPr>
        <w:t>defendants whose convictions had become final, we would expect the Legislature to have clearly said so.</w:t>
      </w:r>
    </w:p>
    <w:p w:rsidR="00C51BA2" w:rsidRPr="009C6CB3" w:rsidP="009C6CB3">
      <w:pPr>
        <w:ind w:firstLine="720"/>
        <w:rPr>
          <w:rFonts w:cstheme="minorHAnsi"/>
          <w:i/>
          <w:iCs/>
          <w:szCs w:val="26"/>
        </w:rPr>
      </w:pPr>
      <w:r w:rsidRPr="009C6CB3">
        <w:rPr>
          <w:rFonts w:cstheme="minorHAnsi"/>
          <w:szCs w:val="26"/>
        </w:rPr>
        <w:t xml:space="preserve">Third, </w:t>
      </w:r>
      <w:r w:rsidRPr="009C6CB3" w:rsidR="00E00876">
        <w:rPr>
          <w:rFonts w:cstheme="minorHAnsi"/>
          <w:szCs w:val="26"/>
        </w:rPr>
        <w:t>Gentile</w:t>
      </w:r>
      <w:r w:rsidRPr="009C6CB3" w:rsidR="00547C0C">
        <w:rPr>
          <w:rFonts w:cstheme="minorHAnsi"/>
          <w:szCs w:val="26"/>
        </w:rPr>
        <w:t xml:space="preserve"> </w:t>
      </w:r>
      <w:r w:rsidRPr="009C6CB3" w:rsidR="003D497A">
        <w:rPr>
          <w:rFonts w:cstheme="minorHAnsi"/>
          <w:szCs w:val="26"/>
        </w:rPr>
        <w:t xml:space="preserve">argues that </w:t>
      </w:r>
      <w:bookmarkStart w:id="147" w:name="Psych_Cite_139"/>
      <w:r w:rsidRPr="009C6CB3">
        <w:rPr>
          <w:rFonts w:cstheme="minorHAnsi"/>
          <w:szCs w:val="26"/>
        </w:rPr>
        <w:t>section 1170.95, subdivision (f)</w:t>
      </w:r>
      <w:bookmarkEnd w:id="147"/>
      <w:r w:rsidRPr="009C6CB3">
        <w:rPr>
          <w:rFonts w:cstheme="minorHAnsi"/>
          <w:szCs w:val="26"/>
        </w:rPr>
        <w:t xml:space="preserve"> </w:t>
      </w:r>
      <w:r w:rsidRPr="009C6CB3" w:rsidR="009B39A2">
        <w:rPr>
          <w:rFonts w:cstheme="minorHAnsi"/>
          <w:szCs w:val="26"/>
        </w:rPr>
        <w:t xml:space="preserve">— which says, “This section does not diminish or abrogate any rights or remedies otherwise available to the petitioner” — </w:t>
      </w:r>
      <w:r w:rsidRPr="009C6CB3">
        <w:rPr>
          <w:rFonts w:cstheme="minorHAnsi"/>
          <w:szCs w:val="26"/>
        </w:rPr>
        <w:t>suggests</w:t>
      </w:r>
      <w:r w:rsidRPr="009C6CB3" w:rsidR="003D497A">
        <w:rPr>
          <w:rFonts w:cstheme="minorHAnsi"/>
          <w:szCs w:val="26"/>
        </w:rPr>
        <w:t xml:space="preserve"> </w:t>
      </w:r>
      <w:r w:rsidRPr="009C6CB3" w:rsidR="007D0779">
        <w:rPr>
          <w:rFonts w:cstheme="minorHAnsi"/>
          <w:szCs w:val="26"/>
        </w:rPr>
        <w:t xml:space="preserve">the </w:t>
      </w:r>
      <w:r w:rsidRPr="009C6CB3" w:rsidR="002449F5">
        <w:rPr>
          <w:rFonts w:cstheme="minorHAnsi"/>
          <w:szCs w:val="26"/>
        </w:rPr>
        <w:t>petition</w:t>
      </w:r>
      <w:r w:rsidRPr="009C6CB3" w:rsidR="005E336F">
        <w:rPr>
          <w:rFonts w:cstheme="minorHAnsi"/>
          <w:szCs w:val="26"/>
        </w:rPr>
        <w:t xml:space="preserve"> process</w:t>
      </w:r>
      <w:r w:rsidRPr="009C6CB3" w:rsidR="00290244">
        <w:rPr>
          <w:rFonts w:cstheme="minorHAnsi"/>
          <w:szCs w:val="26"/>
        </w:rPr>
        <w:t xml:space="preserve"> was not intended to be an exclusive mechanism for relief.  </w:t>
      </w:r>
      <w:r w:rsidRPr="009C6CB3" w:rsidR="008E472E">
        <w:rPr>
          <w:rFonts w:cstheme="minorHAnsi"/>
          <w:szCs w:val="26"/>
        </w:rPr>
        <w:t>But there is “no indication that reversal of a defendant’s sentence on direct appeal without compliance with the procedures outlined in section</w:t>
      </w:r>
      <w:r w:rsidRPr="009C6CB3" w:rsidR="00F75854">
        <w:rPr>
          <w:rFonts w:cstheme="minorHAnsi"/>
          <w:szCs w:val="26"/>
        </w:rPr>
        <w:t> </w:t>
      </w:r>
      <w:r w:rsidRPr="009C6CB3" w:rsidR="008E472E">
        <w:rPr>
          <w:rFonts w:cstheme="minorHAnsi"/>
          <w:szCs w:val="26"/>
        </w:rPr>
        <w:t>1170.95 was among the ‘rights’ the Legislature sought to preserve in enacting Senate Bill 1437.”  (</w:t>
      </w:r>
      <w:bookmarkStart w:id="148" w:name="Psych_Cite_135"/>
      <w:r w:rsidRPr="009C6CB3" w:rsidR="008E472E">
        <w:rPr>
          <w:rFonts w:cstheme="minorHAnsi"/>
          <w:i/>
          <w:iCs/>
          <w:szCs w:val="26"/>
        </w:rPr>
        <w:t>Martinez</w:t>
      </w:r>
      <w:r w:rsidRPr="009C6CB3" w:rsidR="008E472E">
        <w:rPr>
          <w:rFonts w:cstheme="minorHAnsi"/>
          <w:szCs w:val="26"/>
        </w:rPr>
        <w:t xml:space="preserve">, </w:t>
      </w:r>
      <w:r w:rsidRPr="009C6CB3" w:rsidR="008E472E">
        <w:rPr>
          <w:rFonts w:cstheme="minorHAnsi"/>
          <w:i/>
          <w:iCs/>
          <w:szCs w:val="26"/>
        </w:rPr>
        <w:t>supra</w:t>
      </w:r>
      <w:r w:rsidRPr="009C6CB3" w:rsidR="008E472E">
        <w:rPr>
          <w:rFonts w:cstheme="minorHAnsi"/>
          <w:szCs w:val="26"/>
        </w:rPr>
        <w:t xml:space="preserve">, 31 Cal.App.5th at p. </w:t>
      </w:r>
      <w:r w:rsidRPr="009C6CB3" w:rsidR="00013376">
        <w:rPr>
          <w:rFonts w:cstheme="minorHAnsi"/>
          <w:szCs w:val="26"/>
        </w:rPr>
        <w:t>729</w:t>
      </w:r>
      <w:r w:rsidRPr="009C6CB3">
        <w:rPr>
          <w:rFonts w:cstheme="minorHAnsi"/>
          <w:szCs w:val="26"/>
        </w:rPr>
        <w:t xml:space="preserve">; </w:t>
      </w:r>
      <w:bookmarkStart w:id="149" w:name="Psych_Cite_136"/>
      <w:bookmarkEnd w:id="148"/>
      <w:r w:rsidRPr="009C6CB3">
        <w:rPr>
          <w:rFonts w:cstheme="minorHAnsi"/>
          <w:szCs w:val="26"/>
        </w:rPr>
        <w:t xml:space="preserve">see </w:t>
      </w:r>
      <w:r w:rsidRPr="009C6CB3" w:rsidR="00EA23D1">
        <w:rPr>
          <w:rFonts w:cstheme="minorHAnsi"/>
          <w:i/>
          <w:iCs/>
          <w:szCs w:val="26"/>
        </w:rPr>
        <w:t>Cervantes</w:t>
      </w:r>
      <w:r w:rsidRPr="009C6CB3" w:rsidR="00EA23D1">
        <w:rPr>
          <w:rFonts w:cstheme="minorHAnsi"/>
          <w:szCs w:val="26"/>
        </w:rPr>
        <w:t xml:space="preserve">, </w:t>
      </w:r>
      <w:r w:rsidRPr="009C6CB3" w:rsidR="00EA23D1">
        <w:rPr>
          <w:rFonts w:cstheme="minorHAnsi"/>
          <w:i/>
          <w:iCs/>
          <w:szCs w:val="26"/>
        </w:rPr>
        <w:t>supra</w:t>
      </w:r>
      <w:r w:rsidRPr="009C6CB3" w:rsidR="00EA23D1">
        <w:rPr>
          <w:rFonts w:cstheme="minorHAnsi"/>
          <w:szCs w:val="26"/>
        </w:rPr>
        <w:t>, 46 Cal.App.5th at p</w:t>
      </w:r>
      <w:r w:rsidR="00E66DAD">
        <w:rPr>
          <w:rFonts w:cstheme="minorHAnsi"/>
          <w:szCs w:val="26"/>
        </w:rPr>
        <w:t>p</w:t>
      </w:r>
      <w:r w:rsidRPr="009C6CB3" w:rsidR="00EA23D1">
        <w:rPr>
          <w:rFonts w:cstheme="minorHAnsi"/>
          <w:szCs w:val="26"/>
        </w:rPr>
        <w:t>.</w:t>
      </w:r>
      <w:r w:rsidRPr="009C6CB3">
        <w:rPr>
          <w:rFonts w:cstheme="minorHAnsi"/>
          <w:szCs w:val="26"/>
        </w:rPr>
        <w:t> </w:t>
      </w:r>
      <w:r w:rsidR="00E66DAD">
        <w:rPr>
          <w:rFonts w:cstheme="minorHAnsi"/>
          <w:szCs w:val="26"/>
        </w:rPr>
        <w:t>224–</w:t>
      </w:r>
      <w:r w:rsidRPr="009C6CB3" w:rsidR="00EA23D1">
        <w:rPr>
          <w:rFonts w:cstheme="minorHAnsi"/>
          <w:szCs w:val="26"/>
        </w:rPr>
        <w:t>225</w:t>
      </w:r>
      <w:bookmarkEnd w:id="149"/>
      <w:r w:rsidRPr="009C6CB3" w:rsidR="00EA23D1">
        <w:rPr>
          <w:rFonts w:cstheme="minorHAnsi"/>
          <w:szCs w:val="26"/>
        </w:rPr>
        <w:t xml:space="preserve">.) </w:t>
      </w:r>
      <w:r w:rsidRPr="009C6CB3" w:rsidR="00672E6B">
        <w:rPr>
          <w:rFonts w:cstheme="minorHAnsi"/>
          <w:i/>
          <w:iCs/>
          <w:szCs w:val="26"/>
        </w:rPr>
        <w:t xml:space="preserve"> </w:t>
      </w:r>
      <w:r w:rsidRPr="009C6CB3">
        <w:rPr>
          <w:rFonts w:cstheme="minorHAnsi"/>
          <w:szCs w:val="26"/>
        </w:rPr>
        <w:t>We</w:t>
      </w:r>
      <w:r w:rsidRPr="009C6CB3" w:rsidR="00013376">
        <w:rPr>
          <w:rFonts w:cstheme="minorHAnsi"/>
          <w:szCs w:val="26"/>
        </w:rPr>
        <w:t xml:space="preserve"> rejected </w:t>
      </w:r>
      <w:r w:rsidRPr="009C6CB3">
        <w:rPr>
          <w:rFonts w:cstheme="minorHAnsi"/>
          <w:szCs w:val="26"/>
        </w:rPr>
        <w:t>similar</w:t>
      </w:r>
      <w:r w:rsidRPr="009C6CB3" w:rsidR="00013376">
        <w:rPr>
          <w:rFonts w:cstheme="minorHAnsi"/>
          <w:szCs w:val="26"/>
        </w:rPr>
        <w:t xml:space="preserve"> argument</w:t>
      </w:r>
      <w:r w:rsidRPr="009C6CB3" w:rsidR="00590418">
        <w:rPr>
          <w:rFonts w:cstheme="minorHAnsi"/>
          <w:szCs w:val="26"/>
        </w:rPr>
        <w:t>s</w:t>
      </w:r>
      <w:r w:rsidRPr="009C6CB3" w:rsidR="00013376">
        <w:rPr>
          <w:rFonts w:cstheme="minorHAnsi"/>
          <w:szCs w:val="26"/>
        </w:rPr>
        <w:t xml:space="preserve"> </w:t>
      </w:r>
      <w:r w:rsidRPr="009C6CB3">
        <w:rPr>
          <w:rFonts w:cstheme="minorHAnsi"/>
          <w:szCs w:val="26"/>
        </w:rPr>
        <w:t>with regard to Proposition 36 (</w:t>
      </w:r>
      <w:bookmarkStart w:id="150" w:name="Psych_Cite_137"/>
      <w:r w:rsidRPr="009C6CB3">
        <w:rPr>
          <w:rFonts w:cstheme="minorHAnsi"/>
          <w:szCs w:val="26"/>
        </w:rPr>
        <w:t xml:space="preserve">see </w:t>
      </w:r>
      <w:r w:rsidRPr="009C6CB3">
        <w:rPr>
          <w:rFonts w:cstheme="minorHAnsi"/>
          <w:i/>
          <w:iCs/>
          <w:szCs w:val="26"/>
        </w:rPr>
        <w:t>Conley</w:t>
      </w:r>
      <w:r w:rsidRPr="009C6CB3">
        <w:rPr>
          <w:rFonts w:cstheme="minorHAnsi"/>
          <w:szCs w:val="26"/>
        </w:rPr>
        <w:t xml:space="preserve">, </w:t>
      </w:r>
      <w:r w:rsidRPr="009C6CB3">
        <w:rPr>
          <w:rFonts w:cstheme="minorHAnsi"/>
          <w:i/>
          <w:iCs/>
          <w:szCs w:val="26"/>
        </w:rPr>
        <w:t>supra</w:t>
      </w:r>
      <w:r w:rsidRPr="009C6CB3">
        <w:rPr>
          <w:rFonts w:cstheme="minorHAnsi"/>
          <w:szCs w:val="26"/>
        </w:rPr>
        <w:t>, 63 Cal.4th at pp. 661–662</w:t>
      </w:r>
      <w:bookmarkEnd w:id="150"/>
      <w:r w:rsidRPr="009C6CB3">
        <w:rPr>
          <w:rFonts w:cstheme="minorHAnsi"/>
          <w:szCs w:val="26"/>
        </w:rPr>
        <w:t>) and Proposition 47 (</w:t>
      </w:r>
      <w:bookmarkStart w:id="151" w:name="Psych_Cite_138"/>
      <w:r w:rsidRPr="009C6CB3">
        <w:rPr>
          <w:rFonts w:cstheme="minorHAnsi"/>
          <w:szCs w:val="26"/>
        </w:rPr>
        <w:t xml:space="preserve">see </w:t>
      </w:r>
      <w:r w:rsidRPr="009C6CB3" w:rsidR="0075511C">
        <w:rPr>
          <w:rFonts w:cstheme="minorHAnsi"/>
          <w:i/>
          <w:iCs/>
          <w:szCs w:val="26"/>
        </w:rPr>
        <w:t>DeHoyos</w:t>
      </w:r>
      <w:r w:rsidRPr="009C6CB3" w:rsidR="0075511C">
        <w:rPr>
          <w:rFonts w:cstheme="minorHAnsi"/>
          <w:szCs w:val="26"/>
        </w:rPr>
        <w:t xml:space="preserve">, </w:t>
      </w:r>
      <w:r w:rsidRPr="009C6CB3" w:rsidR="0075511C">
        <w:rPr>
          <w:rFonts w:cstheme="minorHAnsi"/>
          <w:i/>
          <w:iCs/>
          <w:szCs w:val="26"/>
        </w:rPr>
        <w:t>supra</w:t>
      </w:r>
      <w:r w:rsidRPr="009C6CB3" w:rsidR="0075511C">
        <w:rPr>
          <w:rFonts w:cstheme="minorHAnsi"/>
          <w:szCs w:val="26"/>
        </w:rPr>
        <w:t>, 4 Cal.5th at pp. 605–606</w:t>
      </w:r>
      <w:bookmarkEnd w:id="151"/>
      <w:r w:rsidRPr="009C6CB3">
        <w:rPr>
          <w:rFonts w:cstheme="minorHAnsi"/>
          <w:szCs w:val="26"/>
        </w:rPr>
        <w:t>), and we reject Gentile’s argument here as well.</w:t>
      </w:r>
    </w:p>
    <w:p w:rsidR="00A160B1" w:rsidRPr="009C6CB3" w:rsidP="009C6CB3">
      <w:pPr>
        <w:ind w:firstLine="720"/>
        <w:rPr>
          <w:rFonts w:cstheme="minorHAnsi"/>
          <w:szCs w:val="26"/>
        </w:rPr>
      </w:pPr>
      <w:r w:rsidRPr="009C6CB3">
        <w:rPr>
          <w:rFonts w:cstheme="minorHAnsi"/>
          <w:szCs w:val="26"/>
        </w:rPr>
        <w:t xml:space="preserve">Fourth, </w:t>
      </w:r>
      <w:r w:rsidRPr="009C6CB3" w:rsidR="00CD488E">
        <w:rPr>
          <w:rFonts w:cstheme="minorHAnsi"/>
          <w:szCs w:val="26"/>
        </w:rPr>
        <w:t xml:space="preserve">Gentile </w:t>
      </w:r>
      <w:r w:rsidRPr="009C6CB3">
        <w:rPr>
          <w:rFonts w:cstheme="minorHAnsi"/>
          <w:szCs w:val="26"/>
        </w:rPr>
        <w:t xml:space="preserve">says </w:t>
      </w:r>
      <w:r w:rsidRPr="009C6CB3" w:rsidR="004905B8">
        <w:rPr>
          <w:rFonts w:cstheme="minorHAnsi"/>
          <w:szCs w:val="26"/>
        </w:rPr>
        <w:t>the Legislature included section</w:t>
      </w:r>
      <w:r w:rsidRPr="009C6CB3" w:rsidR="008F4E33">
        <w:rPr>
          <w:rFonts w:cstheme="minorHAnsi"/>
          <w:szCs w:val="26"/>
        </w:rPr>
        <w:t> </w:t>
      </w:r>
      <w:r w:rsidRPr="009C6CB3" w:rsidR="004905B8">
        <w:rPr>
          <w:rFonts w:cstheme="minorHAnsi"/>
          <w:szCs w:val="26"/>
        </w:rPr>
        <w:t xml:space="preserve">1170.95 in order to </w:t>
      </w:r>
      <w:r w:rsidRPr="009C6CB3" w:rsidR="004B21A8">
        <w:rPr>
          <w:rFonts w:cstheme="minorHAnsi"/>
          <w:szCs w:val="26"/>
        </w:rPr>
        <w:t>level</w:t>
      </w:r>
      <w:r w:rsidRPr="009C6CB3" w:rsidR="004905B8">
        <w:rPr>
          <w:rFonts w:cstheme="minorHAnsi"/>
          <w:szCs w:val="26"/>
        </w:rPr>
        <w:t xml:space="preserve"> the playing field for defendants with final convictions, since the </w:t>
      </w:r>
      <w:r w:rsidRPr="009C6CB3" w:rsidR="00EB7FB7">
        <w:rPr>
          <w:rFonts w:cstheme="minorHAnsi"/>
          <w:szCs w:val="26"/>
        </w:rPr>
        <w:t xml:space="preserve">typical </w:t>
      </w:r>
      <w:r w:rsidRPr="009C6CB3" w:rsidR="004905B8">
        <w:rPr>
          <w:rFonts w:cstheme="minorHAnsi"/>
          <w:szCs w:val="26"/>
        </w:rPr>
        <w:t>remedy for a defendant with a nonfinal conviction would be reversal and remand for a new trial</w:t>
      </w:r>
      <w:r w:rsidRPr="009C6CB3" w:rsidR="004B21A8">
        <w:rPr>
          <w:rFonts w:cstheme="minorHAnsi"/>
          <w:szCs w:val="26"/>
        </w:rPr>
        <w:t xml:space="preserve"> where new or additional evidence can be offered</w:t>
      </w:r>
      <w:r w:rsidRPr="009C6CB3" w:rsidR="004905B8">
        <w:rPr>
          <w:rFonts w:cstheme="minorHAnsi"/>
          <w:szCs w:val="26"/>
        </w:rPr>
        <w:t>.</w:t>
      </w:r>
      <w:r w:rsidRPr="009C6CB3" w:rsidR="008F4E33">
        <w:rPr>
          <w:rFonts w:cstheme="minorHAnsi"/>
          <w:szCs w:val="26"/>
        </w:rPr>
        <w:t xml:space="preserve">  </w:t>
      </w:r>
      <w:r w:rsidRPr="009C6CB3" w:rsidR="004B21A8">
        <w:rPr>
          <w:rFonts w:cstheme="minorHAnsi"/>
          <w:szCs w:val="26"/>
        </w:rPr>
        <w:t xml:space="preserve">This argument also finds no support in the statute’s </w:t>
      </w:r>
      <w:r w:rsidRPr="009C6CB3" w:rsidR="00627957">
        <w:rPr>
          <w:rFonts w:cstheme="minorHAnsi"/>
          <w:szCs w:val="26"/>
        </w:rPr>
        <w:t xml:space="preserve">text </w:t>
      </w:r>
      <w:r w:rsidRPr="009C6CB3" w:rsidR="004B21A8">
        <w:rPr>
          <w:rFonts w:cstheme="minorHAnsi"/>
          <w:szCs w:val="26"/>
        </w:rPr>
        <w:t xml:space="preserve">or </w:t>
      </w:r>
      <w:r w:rsidRPr="009C6CB3" w:rsidR="00627957">
        <w:rPr>
          <w:rFonts w:cstheme="minorHAnsi"/>
          <w:szCs w:val="26"/>
        </w:rPr>
        <w:t>legislative history</w:t>
      </w:r>
      <w:r w:rsidRPr="009C6CB3" w:rsidR="009A0083">
        <w:rPr>
          <w:rFonts w:cstheme="minorHAnsi"/>
          <w:szCs w:val="26"/>
        </w:rPr>
        <w:t>.</w:t>
      </w:r>
      <w:r w:rsidRPr="009C6CB3" w:rsidR="00627957">
        <w:rPr>
          <w:rFonts w:cstheme="minorHAnsi"/>
          <w:szCs w:val="26"/>
        </w:rPr>
        <w:t xml:space="preserve">  </w:t>
      </w:r>
      <w:r w:rsidRPr="009C6CB3" w:rsidR="004B21A8">
        <w:rPr>
          <w:rFonts w:cstheme="minorHAnsi"/>
          <w:szCs w:val="26"/>
        </w:rPr>
        <w:t>A</w:t>
      </w:r>
      <w:r w:rsidRPr="009C6CB3" w:rsidR="00A000F5">
        <w:rPr>
          <w:rFonts w:cstheme="minorHAnsi"/>
          <w:szCs w:val="26"/>
        </w:rPr>
        <w:t xml:space="preserve">s the Attorney General observes, </w:t>
      </w:r>
      <w:r w:rsidRPr="009C6CB3" w:rsidR="004B21A8">
        <w:rPr>
          <w:rFonts w:cstheme="minorHAnsi"/>
          <w:szCs w:val="26"/>
        </w:rPr>
        <w:t xml:space="preserve">Gentile’s argument cannot be reconciled with the fact that </w:t>
      </w:r>
      <w:r w:rsidRPr="009C6CB3" w:rsidR="002275E4">
        <w:rPr>
          <w:rFonts w:cstheme="minorHAnsi"/>
          <w:szCs w:val="26"/>
        </w:rPr>
        <w:t xml:space="preserve">allowing defendants to obtain </w:t>
      </w:r>
      <w:r w:rsidRPr="009C6CB3" w:rsidR="004B21A8">
        <w:rPr>
          <w:rFonts w:cstheme="minorHAnsi"/>
          <w:szCs w:val="26"/>
        </w:rPr>
        <w:t xml:space="preserve">automatic </w:t>
      </w:r>
      <w:r w:rsidRPr="009C6CB3" w:rsidR="002275E4">
        <w:rPr>
          <w:rFonts w:cstheme="minorHAnsi"/>
          <w:szCs w:val="26"/>
        </w:rPr>
        <w:t>relief on direct appeal would “strip the prosecution of its statutorily granted right to introduce new or additional evidence to defend the continuing validity of the conviction”</w:t>
      </w:r>
      <w:r w:rsidR="00A46845">
        <w:rPr>
          <w:rFonts w:cstheme="minorHAnsi"/>
          <w:szCs w:val="26"/>
        </w:rPr>
        <w:t xml:space="preserve"> during the section 1170.95 process</w:t>
      </w:r>
      <w:r w:rsidR="00DE0B38">
        <w:rPr>
          <w:rFonts w:cstheme="minorHAnsi"/>
          <w:szCs w:val="26"/>
        </w:rPr>
        <w:t xml:space="preserve">.  </w:t>
      </w:r>
    </w:p>
    <w:p w:rsidR="001F01EA" w:rsidRPr="009C6CB3" w:rsidP="009C6CB3">
      <w:pPr>
        <w:ind w:firstLine="720"/>
        <w:rPr>
          <w:rFonts w:cstheme="minorHAnsi"/>
          <w:szCs w:val="26"/>
        </w:rPr>
      </w:pPr>
      <w:r w:rsidRPr="009C6CB3">
        <w:rPr>
          <w:rFonts w:cstheme="minorHAnsi"/>
          <w:szCs w:val="26"/>
        </w:rPr>
        <w:t xml:space="preserve">Fifth, </w:t>
      </w:r>
      <w:r w:rsidRPr="009C6CB3" w:rsidR="00A01D9F">
        <w:rPr>
          <w:rFonts w:cstheme="minorHAnsi"/>
          <w:szCs w:val="26"/>
        </w:rPr>
        <w:t xml:space="preserve">Gentile contends that the Legislature crafted the </w:t>
      </w:r>
      <w:bookmarkStart w:id="152" w:name="Psych_Cite_140"/>
      <w:r w:rsidRPr="009C6CB3" w:rsidR="00A01D9F">
        <w:rPr>
          <w:rFonts w:cstheme="minorHAnsi"/>
          <w:szCs w:val="26"/>
        </w:rPr>
        <w:t>section 1170.95</w:t>
      </w:r>
      <w:bookmarkEnd w:id="152"/>
      <w:r w:rsidRPr="009C6CB3" w:rsidR="00A01D9F">
        <w:rPr>
          <w:rFonts w:cstheme="minorHAnsi"/>
          <w:szCs w:val="26"/>
        </w:rPr>
        <w:t xml:space="preserve"> petition process to “avoid unfairness . . . to parties who may not have previously litiga</w:t>
      </w:r>
      <w:r w:rsidRPr="009C6CB3" w:rsidR="008C3E36">
        <w:rPr>
          <w:rFonts w:cstheme="minorHAnsi"/>
          <w:szCs w:val="26"/>
        </w:rPr>
        <w:t>ted</w:t>
      </w:r>
      <w:r w:rsidRPr="009C6CB3" w:rsidR="00A01D9F">
        <w:rPr>
          <w:rFonts w:cstheme="minorHAnsi"/>
          <w:szCs w:val="26"/>
        </w:rPr>
        <w:t xml:space="preserve"> an issue that was not relevant but now is.”  </w:t>
      </w:r>
      <w:r w:rsidRPr="009C6CB3" w:rsidR="000C3855">
        <w:rPr>
          <w:rFonts w:cstheme="minorHAnsi"/>
          <w:szCs w:val="26"/>
        </w:rPr>
        <w:t>He</w:t>
      </w:r>
      <w:r w:rsidRPr="009C6CB3" w:rsidR="00A01D9F">
        <w:rPr>
          <w:rFonts w:cstheme="minorHAnsi"/>
          <w:szCs w:val="26"/>
        </w:rPr>
        <w:t xml:space="preserve"> </w:t>
      </w:r>
      <w:r w:rsidRPr="009C6CB3">
        <w:rPr>
          <w:rFonts w:cstheme="minorHAnsi"/>
          <w:szCs w:val="26"/>
        </w:rPr>
        <w:t>gives</w:t>
      </w:r>
      <w:r w:rsidRPr="009C6CB3" w:rsidR="00A01D9F">
        <w:rPr>
          <w:rFonts w:cstheme="minorHAnsi"/>
          <w:szCs w:val="26"/>
        </w:rPr>
        <w:t xml:space="preserve"> the example of a prosecutor who opted not to introduce evidence that </w:t>
      </w:r>
      <w:r w:rsidRPr="009C6CB3">
        <w:rPr>
          <w:rFonts w:cstheme="minorHAnsi"/>
          <w:szCs w:val="26"/>
        </w:rPr>
        <w:t xml:space="preserve">the </w:t>
      </w:r>
      <w:r w:rsidRPr="009C6CB3" w:rsidR="00A01D9F">
        <w:rPr>
          <w:rFonts w:cstheme="minorHAnsi"/>
          <w:szCs w:val="26"/>
        </w:rPr>
        <w:t xml:space="preserve">defendant acted with implied malice </w:t>
      </w:r>
      <w:r w:rsidRPr="009C6CB3" w:rsidR="009F4F09">
        <w:rPr>
          <w:rFonts w:cstheme="minorHAnsi"/>
          <w:szCs w:val="26"/>
        </w:rPr>
        <w:t>and was guilty of second degree murder</w:t>
      </w:r>
      <w:r w:rsidR="00754B3D">
        <w:rPr>
          <w:rFonts w:cstheme="minorHAnsi"/>
          <w:szCs w:val="26"/>
        </w:rPr>
        <w:t xml:space="preserve"> </w:t>
      </w:r>
      <w:r w:rsidRPr="009C6CB3" w:rsidR="009F4F09">
        <w:rPr>
          <w:rFonts w:cstheme="minorHAnsi"/>
          <w:szCs w:val="26"/>
        </w:rPr>
        <w:t xml:space="preserve">because </w:t>
      </w:r>
      <w:r w:rsidRPr="009C6CB3">
        <w:rPr>
          <w:rFonts w:cstheme="minorHAnsi"/>
          <w:szCs w:val="26"/>
        </w:rPr>
        <w:t>the prosecutor</w:t>
      </w:r>
      <w:r w:rsidRPr="009C6CB3" w:rsidR="009F4F09">
        <w:rPr>
          <w:rFonts w:cstheme="minorHAnsi"/>
          <w:szCs w:val="26"/>
        </w:rPr>
        <w:t xml:space="preserve"> was pursuing a felony murder theory that did not require a </w:t>
      </w:r>
      <w:r w:rsidRPr="009C6CB3" w:rsidR="0052654F">
        <w:rPr>
          <w:rFonts w:cstheme="minorHAnsi"/>
          <w:szCs w:val="26"/>
        </w:rPr>
        <w:t>showing</w:t>
      </w:r>
      <w:r w:rsidRPr="009C6CB3" w:rsidR="009F4F09">
        <w:rPr>
          <w:rFonts w:cstheme="minorHAnsi"/>
          <w:szCs w:val="26"/>
        </w:rPr>
        <w:t xml:space="preserve"> of malice aforethought.  </w:t>
      </w:r>
      <w:r w:rsidRPr="009C6CB3" w:rsidR="00BC3400">
        <w:rPr>
          <w:rFonts w:cstheme="minorHAnsi"/>
          <w:szCs w:val="26"/>
        </w:rPr>
        <w:t xml:space="preserve">We agree that the Legislature </w:t>
      </w:r>
      <w:r w:rsidRPr="009C6CB3" w:rsidR="00C312FF">
        <w:rPr>
          <w:rFonts w:cstheme="minorHAnsi"/>
          <w:szCs w:val="26"/>
        </w:rPr>
        <w:t xml:space="preserve">authorized the parties to offer </w:t>
      </w:r>
      <w:r w:rsidRPr="009C6CB3" w:rsidR="00BC3400">
        <w:rPr>
          <w:rFonts w:cstheme="minorHAnsi"/>
          <w:szCs w:val="26"/>
        </w:rPr>
        <w:t xml:space="preserve">new </w:t>
      </w:r>
      <w:r w:rsidRPr="009C6CB3" w:rsidR="00C312FF">
        <w:rPr>
          <w:rFonts w:cstheme="minorHAnsi"/>
          <w:szCs w:val="26"/>
        </w:rPr>
        <w:t xml:space="preserve">or </w:t>
      </w:r>
      <w:r w:rsidRPr="009C6CB3" w:rsidR="00BC3400">
        <w:rPr>
          <w:rFonts w:cstheme="minorHAnsi"/>
          <w:szCs w:val="26"/>
        </w:rPr>
        <w:t xml:space="preserve">additional evidence during the </w:t>
      </w:r>
      <w:bookmarkStart w:id="153" w:name="Psych_Cite_141"/>
      <w:r w:rsidRPr="009C6CB3" w:rsidR="00BC3400">
        <w:rPr>
          <w:rFonts w:cstheme="minorHAnsi"/>
          <w:szCs w:val="26"/>
        </w:rPr>
        <w:t>section 1170.95</w:t>
      </w:r>
      <w:bookmarkEnd w:id="153"/>
      <w:r w:rsidRPr="009C6CB3" w:rsidR="00BC3400">
        <w:rPr>
          <w:rFonts w:cstheme="minorHAnsi"/>
          <w:szCs w:val="26"/>
        </w:rPr>
        <w:t xml:space="preserve"> process</w:t>
      </w:r>
      <w:r w:rsidRPr="009C6CB3" w:rsidR="00976592">
        <w:rPr>
          <w:rFonts w:cstheme="minorHAnsi"/>
          <w:szCs w:val="26"/>
        </w:rPr>
        <w:t xml:space="preserve"> in order to allow the parties to explore issues they </w:t>
      </w:r>
      <w:r w:rsidRPr="009C6CB3" w:rsidR="0095715F">
        <w:rPr>
          <w:rFonts w:cstheme="minorHAnsi"/>
          <w:szCs w:val="26"/>
        </w:rPr>
        <w:t xml:space="preserve">did not explore </w:t>
      </w:r>
      <w:r w:rsidRPr="009C6CB3" w:rsidR="00C312FF">
        <w:rPr>
          <w:rFonts w:cstheme="minorHAnsi"/>
          <w:szCs w:val="26"/>
        </w:rPr>
        <w:t>under the prior state of the</w:t>
      </w:r>
      <w:r w:rsidRPr="009C6CB3" w:rsidR="0095715F">
        <w:rPr>
          <w:rFonts w:cstheme="minorHAnsi"/>
          <w:szCs w:val="26"/>
        </w:rPr>
        <w:t xml:space="preserve"> law</w:t>
      </w:r>
      <w:r w:rsidRPr="009C6CB3" w:rsidR="00E22332">
        <w:rPr>
          <w:rFonts w:cstheme="minorHAnsi"/>
          <w:szCs w:val="26"/>
        </w:rPr>
        <w:t xml:space="preserve">.  </w:t>
      </w:r>
      <w:r w:rsidRPr="009C6CB3" w:rsidR="00C312FF">
        <w:rPr>
          <w:rFonts w:cstheme="minorHAnsi"/>
          <w:szCs w:val="26"/>
        </w:rPr>
        <w:t xml:space="preserve">The statute contemplates that such evidence </w:t>
      </w:r>
      <w:r w:rsidRPr="009C6CB3" w:rsidR="002876AC">
        <w:rPr>
          <w:rFonts w:cstheme="minorHAnsi"/>
          <w:szCs w:val="26"/>
        </w:rPr>
        <w:t>may</w:t>
      </w:r>
      <w:r w:rsidRPr="009C6CB3" w:rsidR="00C312FF">
        <w:rPr>
          <w:rFonts w:cstheme="minorHAnsi"/>
          <w:szCs w:val="26"/>
        </w:rPr>
        <w:t xml:space="preserve"> inform whether a conviction remains valid </w:t>
      </w:r>
      <w:r w:rsidR="00895728">
        <w:rPr>
          <w:rFonts w:cstheme="minorHAnsi"/>
          <w:szCs w:val="26"/>
        </w:rPr>
        <w:t>despite</w:t>
      </w:r>
      <w:r w:rsidRPr="009C6CB3" w:rsidR="00895728">
        <w:rPr>
          <w:rFonts w:cstheme="minorHAnsi"/>
          <w:szCs w:val="26"/>
        </w:rPr>
        <w:t xml:space="preserve"> </w:t>
      </w:r>
      <w:r w:rsidRPr="009C6CB3" w:rsidR="00C312FF">
        <w:rPr>
          <w:rFonts w:cstheme="minorHAnsi"/>
          <w:szCs w:val="26"/>
        </w:rPr>
        <w:t>the ameliorative provisions</w:t>
      </w:r>
      <w:r w:rsidRPr="009C6CB3" w:rsidR="001F6B2F">
        <w:rPr>
          <w:rFonts w:cstheme="minorHAnsi"/>
          <w:szCs w:val="26"/>
        </w:rPr>
        <w:t xml:space="preserve"> of Senate Bill</w:t>
      </w:r>
      <w:r w:rsidR="00D453B0">
        <w:rPr>
          <w:rFonts w:cstheme="minorHAnsi"/>
          <w:szCs w:val="26"/>
        </w:rPr>
        <w:t> </w:t>
      </w:r>
      <w:r w:rsidRPr="009C6CB3" w:rsidR="001F6B2F">
        <w:rPr>
          <w:rFonts w:cstheme="minorHAnsi"/>
          <w:szCs w:val="26"/>
        </w:rPr>
        <w:t xml:space="preserve">1437.  But </w:t>
      </w:r>
      <w:r w:rsidRPr="009C6CB3">
        <w:rPr>
          <w:rFonts w:cstheme="minorHAnsi"/>
          <w:szCs w:val="26"/>
        </w:rPr>
        <w:t xml:space="preserve">this aspect of the </w:t>
      </w:r>
      <w:r w:rsidRPr="009C6CB3" w:rsidR="00C312FF">
        <w:rPr>
          <w:rFonts w:cstheme="minorHAnsi"/>
          <w:szCs w:val="26"/>
        </w:rPr>
        <w:t xml:space="preserve">statute </w:t>
      </w:r>
      <w:r w:rsidRPr="009C6CB3" w:rsidR="009B39A2">
        <w:rPr>
          <w:rFonts w:cstheme="minorHAnsi"/>
          <w:szCs w:val="26"/>
        </w:rPr>
        <w:t xml:space="preserve">does not </w:t>
      </w:r>
      <w:r w:rsidRPr="009C6CB3" w:rsidR="00CE1D3A">
        <w:rPr>
          <w:rFonts w:cstheme="minorHAnsi"/>
          <w:szCs w:val="26"/>
        </w:rPr>
        <w:t xml:space="preserve">suggest </w:t>
      </w:r>
      <w:r w:rsidRPr="009C6CB3">
        <w:rPr>
          <w:rFonts w:cstheme="minorHAnsi"/>
          <w:szCs w:val="26"/>
        </w:rPr>
        <w:t xml:space="preserve">that the Legislature intended to </w:t>
      </w:r>
      <w:r w:rsidRPr="009C6CB3" w:rsidR="006F60C0">
        <w:rPr>
          <w:rFonts w:cstheme="minorHAnsi"/>
          <w:szCs w:val="26"/>
        </w:rPr>
        <w:t>allow defendants</w:t>
      </w:r>
      <w:r w:rsidRPr="009C6CB3" w:rsidR="00547F32">
        <w:rPr>
          <w:rFonts w:cstheme="minorHAnsi"/>
          <w:szCs w:val="26"/>
        </w:rPr>
        <w:t xml:space="preserve"> </w:t>
      </w:r>
      <w:r w:rsidRPr="009C6CB3" w:rsidR="006F60C0">
        <w:rPr>
          <w:rFonts w:cstheme="minorHAnsi"/>
          <w:szCs w:val="26"/>
        </w:rPr>
        <w:t xml:space="preserve">to </w:t>
      </w:r>
      <w:r w:rsidRPr="009C6CB3" w:rsidR="009B39A2">
        <w:rPr>
          <w:rFonts w:cstheme="minorHAnsi"/>
          <w:szCs w:val="26"/>
        </w:rPr>
        <w:t xml:space="preserve">obtain relief from nonfinal judgments </w:t>
      </w:r>
      <w:r w:rsidRPr="009C6CB3" w:rsidR="006F60C0">
        <w:rPr>
          <w:rFonts w:cstheme="minorHAnsi"/>
          <w:szCs w:val="26"/>
        </w:rPr>
        <w:t xml:space="preserve">on direct review.  </w:t>
      </w:r>
      <w:r w:rsidRPr="009C6CB3" w:rsidR="009B39A2">
        <w:rPr>
          <w:rFonts w:cstheme="minorHAnsi"/>
          <w:szCs w:val="26"/>
        </w:rPr>
        <w:t>Instead</w:t>
      </w:r>
      <w:r w:rsidRPr="009C6CB3" w:rsidR="00C312FF">
        <w:rPr>
          <w:rFonts w:cstheme="minorHAnsi"/>
          <w:szCs w:val="26"/>
        </w:rPr>
        <w:t xml:space="preserve">, </w:t>
      </w:r>
      <w:r w:rsidRPr="009C6CB3" w:rsidR="006F60C0">
        <w:rPr>
          <w:rFonts w:cstheme="minorHAnsi"/>
          <w:szCs w:val="26"/>
        </w:rPr>
        <w:t xml:space="preserve">it </w:t>
      </w:r>
      <w:r w:rsidRPr="009C6CB3" w:rsidR="00CE1D3A">
        <w:rPr>
          <w:rFonts w:cstheme="minorHAnsi"/>
          <w:szCs w:val="26"/>
        </w:rPr>
        <w:t xml:space="preserve">suggests </w:t>
      </w:r>
      <w:r w:rsidRPr="009C6CB3" w:rsidR="006F60C0">
        <w:rPr>
          <w:rFonts w:cstheme="minorHAnsi"/>
          <w:szCs w:val="26"/>
        </w:rPr>
        <w:t>the opposite</w:t>
      </w:r>
      <w:r w:rsidRPr="009C6CB3" w:rsidR="00547F32">
        <w:rPr>
          <w:rFonts w:cstheme="minorHAnsi"/>
          <w:szCs w:val="26"/>
        </w:rPr>
        <w:t>.</w:t>
      </w:r>
      <w:r w:rsidR="005A3C01">
        <w:rPr>
          <w:rFonts w:cstheme="minorHAnsi"/>
          <w:szCs w:val="26"/>
        </w:rPr>
        <w:t xml:space="preserve">  </w:t>
      </w:r>
    </w:p>
    <w:p w:rsidR="00E962EC" w:rsidRPr="009C6CB3" w:rsidP="009C6CB3">
      <w:pPr>
        <w:ind w:firstLine="720"/>
        <w:rPr>
          <w:rFonts w:cstheme="minorHAnsi"/>
          <w:szCs w:val="26"/>
        </w:rPr>
      </w:pPr>
      <w:r w:rsidRPr="009C6CB3">
        <w:rPr>
          <w:rFonts w:cstheme="minorHAnsi"/>
          <w:szCs w:val="26"/>
        </w:rPr>
        <w:t xml:space="preserve">Sixth, </w:t>
      </w:r>
      <w:r w:rsidRPr="009C6CB3" w:rsidR="007B7689">
        <w:rPr>
          <w:rFonts w:cstheme="minorHAnsi"/>
          <w:szCs w:val="26"/>
        </w:rPr>
        <w:t xml:space="preserve">Gentile argues that </w:t>
      </w:r>
      <w:r w:rsidRPr="009C6CB3" w:rsidR="00684B5E">
        <w:rPr>
          <w:rFonts w:cstheme="minorHAnsi"/>
          <w:szCs w:val="26"/>
        </w:rPr>
        <w:t xml:space="preserve">because </w:t>
      </w:r>
      <w:r w:rsidRPr="009C6CB3" w:rsidR="004212CB">
        <w:rPr>
          <w:rFonts w:cstheme="minorHAnsi"/>
          <w:szCs w:val="26"/>
        </w:rPr>
        <w:t>“</w:t>
      </w:r>
      <w:r w:rsidRPr="009C6CB3" w:rsidR="004212CB">
        <w:rPr>
          <w:rFonts w:cstheme="minorHAnsi"/>
          <w:i/>
          <w:iCs/>
          <w:szCs w:val="26"/>
        </w:rPr>
        <w:t xml:space="preserve">Chiu </w:t>
      </w:r>
      <w:r w:rsidRPr="009C6CB3" w:rsidR="004212CB">
        <w:rPr>
          <w:rFonts w:cstheme="minorHAnsi"/>
          <w:szCs w:val="26"/>
        </w:rPr>
        <w:t xml:space="preserve">applies to cases not yet final on direct appeal, it would be illogical to conclude the further and analogous change in the law effectuated by the amendment to </w:t>
      </w:r>
      <w:bookmarkStart w:id="154" w:name="Psych_Cite_142"/>
      <w:r w:rsidRPr="009C6CB3" w:rsidR="004212CB">
        <w:rPr>
          <w:rFonts w:cstheme="minorHAnsi"/>
          <w:szCs w:val="26"/>
        </w:rPr>
        <w:t>Penal Code section</w:t>
      </w:r>
      <w:r w:rsidRPr="009C6CB3" w:rsidR="008B626A">
        <w:rPr>
          <w:rFonts w:cstheme="minorHAnsi"/>
          <w:szCs w:val="26"/>
        </w:rPr>
        <w:t>s</w:t>
      </w:r>
      <w:r w:rsidRPr="009C6CB3" w:rsidR="004212CB">
        <w:rPr>
          <w:rFonts w:cstheme="minorHAnsi"/>
          <w:szCs w:val="26"/>
        </w:rPr>
        <w:t xml:space="preserve"> 188 and 189</w:t>
      </w:r>
      <w:bookmarkEnd w:id="154"/>
      <w:r w:rsidRPr="009C6CB3" w:rsidR="004212CB">
        <w:rPr>
          <w:rFonts w:cstheme="minorHAnsi"/>
          <w:szCs w:val="26"/>
        </w:rPr>
        <w:t xml:space="preserve"> does not.”  </w:t>
      </w:r>
      <w:r w:rsidRPr="009C6CB3">
        <w:rPr>
          <w:rFonts w:cstheme="minorHAnsi"/>
          <w:szCs w:val="26"/>
        </w:rPr>
        <w:t xml:space="preserve">We see nothing illogical here.  </w:t>
      </w:r>
      <w:r w:rsidRPr="009C6CB3">
        <w:rPr>
          <w:rFonts w:cstheme="minorHAnsi"/>
          <w:i/>
          <w:szCs w:val="26"/>
        </w:rPr>
        <w:t>Chiu</w:t>
      </w:r>
      <w:r w:rsidRPr="009C6CB3" w:rsidR="002A26C8">
        <w:rPr>
          <w:rFonts w:cstheme="minorHAnsi"/>
          <w:szCs w:val="26"/>
        </w:rPr>
        <w:t>’s</w:t>
      </w:r>
      <w:r w:rsidRPr="009C6CB3" w:rsidR="009B39A2">
        <w:rPr>
          <w:rFonts w:cstheme="minorHAnsi"/>
          <w:szCs w:val="26"/>
        </w:rPr>
        <w:t xml:space="preserve"> </w:t>
      </w:r>
      <w:r w:rsidRPr="009C6CB3">
        <w:rPr>
          <w:rFonts w:cstheme="minorHAnsi"/>
          <w:szCs w:val="26"/>
        </w:rPr>
        <w:t xml:space="preserve">applicability to nonfinal judgments does not </w:t>
      </w:r>
      <w:r w:rsidR="00895728">
        <w:rPr>
          <w:rFonts w:cstheme="minorHAnsi"/>
          <w:szCs w:val="26"/>
        </w:rPr>
        <w:t>make it unreasonable for</w:t>
      </w:r>
      <w:r w:rsidRPr="009C6CB3" w:rsidR="00895728">
        <w:rPr>
          <w:rFonts w:cstheme="minorHAnsi"/>
          <w:szCs w:val="26"/>
        </w:rPr>
        <w:t xml:space="preserve"> </w:t>
      </w:r>
      <w:r w:rsidRPr="009C6CB3">
        <w:rPr>
          <w:rFonts w:cstheme="minorHAnsi"/>
          <w:szCs w:val="26"/>
        </w:rPr>
        <w:t xml:space="preserve">the Legislature </w:t>
      </w:r>
      <w:r w:rsidR="00895728">
        <w:rPr>
          <w:rFonts w:cstheme="minorHAnsi"/>
          <w:szCs w:val="26"/>
        </w:rPr>
        <w:t>to</w:t>
      </w:r>
      <w:r w:rsidRPr="009C6CB3" w:rsidR="00895728">
        <w:rPr>
          <w:rFonts w:cstheme="minorHAnsi"/>
          <w:szCs w:val="26"/>
        </w:rPr>
        <w:t xml:space="preserve"> </w:t>
      </w:r>
      <w:r w:rsidRPr="009C6CB3" w:rsidR="002A26C8">
        <w:rPr>
          <w:rFonts w:cstheme="minorHAnsi"/>
          <w:szCs w:val="26"/>
        </w:rPr>
        <w:t>requir</w:t>
      </w:r>
      <w:r w:rsidR="00895728">
        <w:rPr>
          <w:rFonts w:cstheme="minorHAnsi"/>
          <w:szCs w:val="26"/>
        </w:rPr>
        <w:t>e</w:t>
      </w:r>
      <w:r w:rsidRPr="009C6CB3" w:rsidR="002A26C8">
        <w:rPr>
          <w:rFonts w:cstheme="minorHAnsi"/>
          <w:szCs w:val="26"/>
        </w:rPr>
        <w:t xml:space="preserve"> defendants to proceed under section</w:t>
      </w:r>
      <w:r w:rsidR="006B4C42">
        <w:rPr>
          <w:rFonts w:cstheme="minorHAnsi"/>
          <w:szCs w:val="26"/>
        </w:rPr>
        <w:t> </w:t>
      </w:r>
      <w:r w:rsidRPr="009C6CB3" w:rsidR="002A26C8">
        <w:rPr>
          <w:rFonts w:cstheme="minorHAnsi"/>
          <w:szCs w:val="26"/>
        </w:rPr>
        <w:t xml:space="preserve">1170.95 in order to obtain relief </w:t>
      </w:r>
      <w:r w:rsidRPr="009C6CB3" w:rsidR="00A2697A">
        <w:rPr>
          <w:rFonts w:cstheme="minorHAnsi"/>
          <w:szCs w:val="26"/>
        </w:rPr>
        <w:t xml:space="preserve">on a claim not governed by </w:t>
      </w:r>
      <w:r w:rsidRPr="009C6CB3" w:rsidR="00A2697A">
        <w:rPr>
          <w:rFonts w:cstheme="minorHAnsi"/>
          <w:i/>
          <w:szCs w:val="26"/>
        </w:rPr>
        <w:t>Chiu</w:t>
      </w:r>
      <w:r w:rsidRPr="009C6CB3" w:rsidR="002A26C8">
        <w:rPr>
          <w:rFonts w:cstheme="minorHAnsi"/>
          <w:szCs w:val="26"/>
        </w:rPr>
        <w:t>.</w:t>
      </w:r>
    </w:p>
    <w:p w:rsidR="00930124" w:rsidRPr="009C6CB3" w:rsidP="009C6CB3">
      <w:pPr>
        <w:ind w:firstLine="720"/>
        <w:rPr>
          <w:rFonts w:cstheme="minorHAnsi"/>
          <w:szCs w:val="26"/>
        </w:rPr>
      </w:pPr>
      <w:r w:rsidRPr="009C6CB3">
        <w:rPr>
          <w:rFonts w:cstheme="minorHAnsi"/>
          <w:szCs w:val="26"/>
        </w:rPr>
        <w:t>Apart from his statutory arguments</w:t>
      </w:r>
      <w:r w:rsidRPr="009C6CB3" w:rsidR="00AB3E32">
        <w:rPr>
          <w:rFonts w:cstheme="minorHAnsi"/>
          <w:szCs w:val="26"/>
        </w:rPr>
        <w:t xml:space="preserve">, </w:t>
      </w:r>
      <w:r w:rsidRPr="009C6CB3" w:rsidR="00AA5164">
        <w:rPr>
          <w:rFonts w:cstheme="minorHAnsi"/>
          <w:szCs w:val="26"/>
        </w:rPr>
        <w:t>Gentile</w:t>
      </w:r>
      <w:r w:rsidRPr="009C6CB3" w:rsidR="007B768A">
        <w:rPr>
          <w:rFonts w:cstheme="minorHAnsi"/>
          <w:szCs w:val="26"/>
        </w:rPr>
        <w:t xml:space="preserve"> </w:t>
      </w:r>
      <w:r w:rsidRPr="009C6CB3" w:rsidR="00AB3E32">
        <w:rPr>
          <w:rFonts w:cstheme="minorHAnsi"/>
          <w:szCs w:val="26"/>
        </w:rPr>
        <w:t xml:space="preserve">says </w:t>
      </w:r>
      <w:r w:rsidR="007100BC">
        <w:rPr>
          <w:rFonts w:cstheme="minorHAnsi"/>
          <w:szCs w:val="26"/>
        </w:rPr>
        <w:t>that</w:t>
      </w:r>
      <w:r w:rsidRPr="00400B5B" w:rsidR="00400B5B">
        <w:rPr>
          <w:rFonts w:cstheme="minorHAnsi"/>
          <w:szCs w:val="26"/>
        </w:rPr>
        <w:t xml:space="preserve"> </w:t>
      </w:r>
      <w:r w:rsidRPr="009C6CB3" w:rsidR="00400B5B">
        <w:rPr>
          <w:rFonts w:cstheme="minorHAnsi"/>
          <w:szCs w:val="26"/>
        </w:rPr>
        <w:t>section</w:t>
      </w:r>
      <w:r w:rsidR="00400B5B">
        <w:rPr>
          <w:rFonts w:cstheme="minorHAnsi"/>
          <w:szCs w:val="26"/>
        </w:rPr>
        <w:t> </w:t>
      </w:r>
      <w:r w:rsidRPr="009C6CB3" w:rsidR="00400B5B">
        <w:rPr>
          <w:rFonts w:cstheme="minorHAnsi"/>
          <w:szCs w:val="26"/>
        </w:rPr>
        <w:t>1170.95</w:t>
      </w:r>
      <w:r w:rsidR="007100BC">
        <w:rPr>
          <w:rFonts w:cstheme="minorHAnsi"/>
          <w:szCs w:val="26"/>
        </w:rPr>
        <w:t>, as applied to a nonfinal conviction,</w:t>
      </w:r>
      <w:r w:rsidRPr="009C6CB3" w:rsidR="00AA5164">
        <w:rPr>
          <w:rFonts w:cstheme="minorHAnsi"/>
          <w:szCs w:val="26"/>
        </w:rPr>
        <w:t xml:space="preserve"> violates </w:t>
      </w:r>
      <w:r w:rsidRPr="009C6CB3" w:rsidR="00AB3E32">
        <w:rPr>
          <w:rFonts w:cstheme="minorHAnsi"/>
          <w:szCs w:val="26"/>
        </w:rPr>
        <w:t xml:space="preserve">the </w:t>
      </w:r>
      <w:bookmarkStart w:id="155" w:name="Psych_Cite_149"/>
      <w:r w:rsidRPr="009C6CB3" w:rsidR="00AA5164">
        <w:rPr>
          <w:rFonts w:cstheme="minorHAnsi"/>
          <w:szCs w:val="26"/>
        </w:rPr>
        <w:t xml:space="preserve">Sixth Amendment </w:t>
      </w:r>
      <w:r w:rsidRPr="009C6CB3" w:rsidR="00AB3E32">
        <w:rPr>
          <w:rFonts w:cstheme="minorHAnsi"/>
          <w:szCs w:val="26"/>
        </w:rPr>
        <w:t>to the United States Constitution</w:t>
      </w:r>
      <w:bookmarkEnd w:id="155"/>
      <w:r w:rsidRPr="009C6CB3" w:rsidR="00AB3E32">
        <w:rPr>
          <w:rFonts w:cstheme="minorHAnsi"/>
          <w:szCs w:val="26"/>
        </w:rPr>
        <w:t xml:space="preserve"> </w:t>
      </w:r>
      <w:r w:rsidRPr="009C6CB3" w:rsidR="00E01050">
        <w:rPr>
          <w:rFonts w:cstheme="minorHAnsi"/>
          <w:szCs w:val="26"/>
        </w:rPr>
        <w:t xml:space="preserve">because it allows a judge rather than a jury to “redetermine an inmate’s guilt under the revised homicide statutes.”  </w:t>
      </w:r>
      <w:r w:rsidRPr="009C6CB3" w:rsidR="00BF1F60">
        <w:rPr>
          <w:rFonts w:cstheme="minorHAnsi"/>
          <w:szCs w:val="26"/>
        </w:rPr>
        <w:t xml:space="preserve">He </w:t>
      </w:r>
      <w:r w:rsidRPr="009C6CB3" w:rsidR="00C00729">
        <w:rPr>
          <w:rFonts w:cstheme="minorHAnsi"/>
          <w:szCs w:val="26"/>
        </w:rPr>
        <w:t>relies on</w:t>
      </w:r>
      <w:r w:rsidRPr="009C6CB3" w:rsidR="00BF1F60">
        <w:rPr>
          <w:rFonts w:cstheme="minorHAnsi"/>
          <w:szCs w:val="26"/>
        </w:rPr>
        <w:t xml:space="preserve"> </w:t>
      </w:r>
      <w:bookmarkStart w:id="156" w:name="Psych_Cite_148"/>
      <w:r w:rsidRPr="009C6CB3" w:rsidR="00BF1F60">
        <w:rPr>
          <w:rFonts w:cstheme="minorHAnsi"/>
          <w:i/>
          <w:iCs/>
          <w:szCs w:val="26"/>
        </w:rPr>
        <w:t>People v. Ramos</w:t>
      </w:r>
      <w:r w:rsidRPr="009C6CB3" w:rsidR="00BF1F60">
        <w:rPr>
          <w:rFonts w:cstheme="minorHAnsi"/>
          <w:szCs w:val="26"/>
        </w:rPr>
        <w:t xml:space="preserve"> (2016) 244</w:t>
      </w:r>
      <w:r w:rsidR="00DB1DE1">
        <w:rPr>
          <w:rFonts w:cstheme="minorHAnsi"/>
          <w:szCs w:val="26"/>
        </w:rPr>
        <w:t> </w:t>
      </w:r>
      <w:r w:rsidRPr="009C6CB3" w:rsidR="00BF1F60">
        <w:rPr>
          <w:rFonts w:cstheme="minorHAnsi"/>
          <w:szCs w:val="26"/>
        </w:rPr>
        <w:t xml:space="preserve">Cal.App.4th 99. </w:t>
      </w:r>
      <w:bookmarkEnd w:id="156"/>
      <w:r w:rsidRPr="009C6CB3" w:rsidR="00BF1F60">
        <w:rPr>
          <w:rFonts w:cstheme="minorHAnsi"/>
          <w:szCs w:val="26"/>
        </w:rPr>
        <w:t xml:space="preserve"> Ramos was convicted by a jury of unlawful transportation of heroin under a statute that prohibited any transportation of certain controlled substances.  (</w:t>
      </w:r>
      <w:bookmarkStart w:id="157" w:name="Psych_Cite_143"/>
      <w:r w:rsidRPr="009C6CB3" w:rsidR="00BF1F60">
        <w:rPr>
          <w:rFonts w:cstheme="minorHAnsi"/>
          <w:i/>
          <w:iCs/>
          <w:szCs w:val="26"/>
        </w:rPr>
        <w:t>Id.</w:t>
      </w:r>
      <w:r w:rsidRPr="009C6CB3" w:rsidR="00BF1F60">
        <w:rPr>
          <w:rFonts w:cstheme="minorHAnsi"/>
          <w:szCs w:val="26"/>
        </w:rPr>
        <w:t xml:space="preserve"> at pp. 100, 102</w:t>
      </w:r>
      <w:bookmarkEnd w:id="157"/>
      <w:r w:rsidRPr="009C6CB3" w:rsidR="00BF1F60">
        <w:rPr>
          <w:rFonts w:cstheme="minorHAnsi"/>
          <w:szCs w:val="26"/>
        </w:rPr>
        <w:t>.)  Before Ramos’</w:t>
      </w:r>
      <w:r w:rsidR="008317F6">
        <w:rPr>
          <w:rFonts w:cstheme="minorHAnsi"/>
          <w:szCs w:val="26"/>
        </w:rPr>
        <w:t>s</w:t>
      </w:r>
      <w:r w:rsidRPr="009C6CB3" w:rsidR="00BF1F60">
        <w:rPr>
          <w:rFonts w:cstheme="minorHAnsi"/>
          <w:szCs w:val="26"/>
        </w:rPr>
        <w:t xml:space="preserve"> conviction became final, </w:t>
      </w:r>
      <w:r w:rsidRPr="009C6CB3" w:rsidR="00AB3E32">
        <w:rPr>
          <w:rFonts w:cstheme="minorHAnsi"/>
          <w:szCs w:val="26"/>
        </w:rPr>
        <w:t>new</w:t>
      </w:r>
      <w:r w:rsidRPr="009C6CB3" w:rsidR="00BF1F60">
        <w:rPr>
          <w:rFonts w:cstheme="minorHAnsi"/>
          <w:szCs w:val="26"/>
        </w:rPr>
        <w:t xml:space="preserve"> legislation </w:t>
      </w:r>
      <w:r w:rsidRPr="009C6CB3" w:rsidR="00AB3E32">
        <w:rPr>
          <w:rFonts w:cstheme="minorHAnsi"/>
          <w:szCs w:val="26"/>
        </w:rPr>
        <w:t>limited</w:t>
      </w:r>
      <w:r w:rsidRPr="009C6CB3" w:rsidR="00BF1F60">
        <w:rPr>
          <w:rFonts w:cstheme="minorHAnsi"/>
          <w:szCs w:val="26"/>
        </w:rPr>
        <w:t xml:space="preserve"> criminal liability to transportation of </w:t>
      </w:r>
      <w:r w:rsidRPr="009C6CB3" w:rsidR="009343AC">
        <w:rPr>
          <w:rFonts w:cstheme="minorHAnsi"/>
          <w:szCs w:val="26"/>
        </w:rPr>
        <w:t xml:space="preserve">the enumerated </w:t>
      </w:r>
      <w:r w:rsidRPr="009C6CB3" w:rsidR="00BF1F60">
        <w:rPr>
          <w:rFonts w:cstheme="minorHAnsi"/>
          <w:szCs w:val="26"/>
        </w:rPr>
        <w:t xml:space="preserve">controlled substances </w:t>
      </w:r>
      <w:r w:rsidRPr="009C6CB3" w:rsidR="00AB3E32">
        <w:rPr>
          <w:rFonts w:cstheme="minorHAnsi"/>
          <w:szCs w:val="26"/>
        </w:rPr>
        <w:t>“</w:t>
      </w:r>
      <w:r w:rsidRPr="009C6CB3" w:rsidR="00BF1F60">
        <w:rPr>
          <w:rFonts w:cstheme="minorHAnsi"/>
          <w:szCs w:val="26"/>
        </w:rPr>
        <w:t>for sale.</w:t>
      </w:r>
      <w:r w:rsidRPr="009C6CB3" w:rsidR="00AB3E32">
        <w:rPr>
          <w:rFonts w:cstheme="minorHAnsi"/>
          <w:szCs w:val="26"/>
        </w:rPr>
        <w:t>”</w:t>
      </w:r>
      <w:r w:rsidRPr="009C6CB3" w:rsidR="00BF1F60">
        <w:rPr>
          <w:rFonts w:cstheme="minorHAnsi"/>
          <w:szCs w:val="26"/>
        </w:rPr>
        <w:t xml:space="preserve">  (</w:t>
      </w:r>
      <w:bookmarkStart w:id="158" w:name="Psych_Cite_144"/>
      <w:r w:rsidRPr="009C6CB3" w:rsidR="00BF1F60">
        <w:rPr>
          <w:rFonts w:cstheme="minorHAnsi"/>
          <w:i/>
          <w:iCs/>
          <w:szCs w:val="26"/>
        </w:rPr>
        <w:t>Id.</w:t>
      </w:r>
      <w:r w:rsidRPr="009C6CB3" w:rsidR="00BF1F60">
        <w:rPr>
          <w:rFonts w:cstheme="minorHAnsi"/>
          <w:szCs w:val="26"/>
        </w:rPr>
        <w:t xml:space="preserve"> at pp. 102–103</w:t>
      </w:r>
      <w:bookmarkEnd w:id="158"/>
      <w:r w:rsidRPr="009C6CB3" w:rsidR="00BF1F60">
        <w:rPr>
          <w:rFonts w:cstheme="minorHAnsi"/>
          <w:szCs w:val="26"/>
        </w:rPr>
        <w:t xml:space="preserve">.)  The Court of Appeal held that because these changes were “retroactive” and applied to Ramos, </w:t>
      </w:r>
      <w:r w:rsidRPr="009C6CB3" w:rsidR="00AB3E32">
        <w:rPr>
          <w:rFonts w:cstheme="minorHAnsi"/>
          <w:szCs w:val="26"/>
        </w:rPr>
        <w:t xml:space="preserve">and because </w:t>
      </w:r>
      <w:r w:rsidRPr="009C6CB3" w:rsidR="00F5520D">
        <w:rPr>
          <w:rFonts w:cstheme="minorHAnsi"/>
          <w:szCs w:val="26"/>
        </w:rPr>
        <w:t>a jury</w:t>
      </w:r>
      <w:r w:rsidRPr="009C6CB3" w:rsidR="00B512D8">
        <w:rPr>
          <w:rFonts w:cstheme="minorHAnsi"/>
          <w:szCs w:val="26"/>
        </w:rPr>
        <w:t xml:space="preserve"> </w:t>
      </w:r>
      <w:r w:rsidRPr="009C6CB3" w:rsidR="00B95DE7">
        <w:rPr>
          <w:rFonts w:cstheme="minorHAnsi"/>
          <w:szCs w:val="26"/>
        </w:rPr>
        <w:t>“did not determine whether the heroin she transported was for sale rather than personal use</w:t>
      </w:r>
      <w:r w:rsidRPr="009C6CB3" w:rsidR="00AB3E32">
        <w:rPr>
          <w:rFonts w:cstheme="minorHAnsi"/>
          <w:szCs w:val="26"/>
        </w:rPr>
        <w:t>,</w:t>
      </w:r>
      <w:r w:rsidRPr="009C6CB3" w:rsidR="00B95DE7">
        <w:rPr>
          <w:rFonts w:cstheme="minorHAnsi"/>
          <w:szCs w:val="26"/>
        </w:rPr>
        <w:t>”</w:t>
      </w:r>
      <w:r w:rsidRPr="009C6CB3" w:rsidR="00AB3E32">
        <w:rPr>
          <w:rFonts w:cstheme="minorHAnsi"/>
          <w:szCs w:val="26"/>
        </w:rPr>
        <w:t xml:space="preserve"> her conviction had to be reversed.</w:t>
      </w:r>
      <w:r w:rsidRPr="009C6CB3" w:rsidR="00BF1F60">
        <w:rPr>
          <w:rFonts w:cstheme="minorHAnsi"/>
          <w:szCs w:val="26"/>
        </w:rPr>
        <w:t xml:space="preserve">  (</w:t>
      </w:r>
      <w:r w:rsidRPr="009C6CB3" w:rsidR="00BF1F60">
        <w:rPr>
          <w:rFonts w:cstheme="minorHAnsi"/>
          <w:i/>
          <w:iCs/>
          <w:szCs w:val="26"/>
        </w:rPr>
        <w:t>I</w:t>
      </w:r>
      <w:bookmarkStart w:id="159" w:name="Psych_Cite_145"/>
      <w:r w:rsidRPr="009C6CB3" w:rsidR="00BF1F60">
        <w:rPr>
          <w:rFonts w:cstheme="minorHAnsi"/>
          <w:i/>
          <w:iCs/>
          <w:szCs w:val="26"/>
        </w:rPr>
        <w:t>d.</w:t>
      </w:r>
      <w:r w:rsidRPr="009C6CB3" w:rsidR="00BF1F60">
        <w:rPr>
          <w:rFonts w:cstheme="minorHAnsi"/>
          <w:szCs w:val="26"/>
        </w:rPr>
        <w:t xml:space="preserve"> at p. 103</w:t>
      </w:r>
      <w:bookmarkEnd w:id="159"/>
      <w:r w:rsidRPr="009C6CB3" w:rsidR="00BF1F60">
        <w:rPr>
          <w:rFonts w:cstheme="minorHAnsi"/>
          <w:szCs w:val="26"/>
        </w:rPr>
        <w:t xml:space="preserve">.)  </w:t>
      </w:r>
      <w:r w:rsidRPr="009C6CB3" w:rsidR="00AB3E32">
        <w:rPr>
          <w:rFonts w:cstheme="minorHAnsi"/>
          <w:szCs w:val="26"/>
        </w:rPr>
        <w:t xml:space="preserve">But </w:t>
      </w:r>
      <w:r w:rsidRPr="009C6CB3" w:rsidR="00DC6BE1">
        <w:rPr>
          <w:rFonts w:cstheme="minorHAnsi"/>
          <w:i/>
          <w:iCs/>
          <w:szCs w:val="26"/>
        </w:rPr>
        <w:t>Ramos</w:t>
      </w:r>
      <w:r w:rsidRPr="009C6CB3" w:rsidR="00AB3E32">
        <w:rPr>
          <w:rFonts w:cstheme="minorHAnsi"/>
          <w:szCs w:val="26"/>
        </w:rPr>
        <w:t xml:space="preserve"> </w:t>
      </w:r>
      <w:r w:rsidRPr="009C6CB3" w:rsidR="00C00729">
        <w:rPr>
          <w:rFonts w:cstheme="minorHAnsi"/>
          <w:szCs w:val="26"/>
        </w:rPr>
        <w:t xml:space="preserve">is </w:t>
      </w:r>
      <w:r w:rsidRPr="009C6CB3" w:rsidR="000F380E">
        <w:rPr>
          <w:rFonts w:cstheme="minorHAnsi"/>
          <w:szCs w:val="26"/>
        </w:rPr>
        <w:t>not squarely on point</w:t>
      </w:r>
      <w:r w:rsidRPr="009C6CB3" w:rsidR="00AB3E32">
        <w:rPr>
          <w:rFonts w:cstheme="minorHAnsi"/>
          <w:szCs w:val="26"/>
        </w:rPr>
        <w:t xml:space="preserve"> because </w:t>
      </w:r>
      <w:r w:rsidRPr="009C6CB3" w:rsidR="00285E1E">
        <w:rPr>
          <w:rFonts w:cstheme="minorHAnsi"/>
          <w:szCs w:val="26"/>
        </w:rPr>
        <w:t xml:space="preserve">the ameliorative change </w:t>
      </w:r>
      <w:r w:rsidRPr="009C6CB3" w:rsidR="00AB3E32">
        <w:rPr>
          <w:rFonts w:cstheme="minorHAnsi"/>
          <w:szCs w:val="26"/>
        </w:rPr>
        <w:t xml:space="preserve">was </w:t>
      </w:r>
      <w:r w:rsidRPr="009C6CB3" w:rsidR="009E645A">
        <w:rPr>
          <w:rFonts w:cstheme="minorHAnsi"/>
          <w:szCs w:val="26"/>
        </w:rPr>
        <w:t xml:space="preserve">retroactive </w:t>
      </w:r>
      <w:r w:rsidRPr="009C6CB3" w:rsidR="00AB3E32">
        <w:rPr>
          <w:rFonts w:cstheme="minorHAnsi"/>
          <w:szCs w:val="26"/>
        </w:rPr>
        <w:t xml:space="preserve">to </w:t>
      </w:r>
      <w:r w:rsidRPr="009C6CB3" w:rsidR="009E645A">
        <w:rPr>
          <w:rFonts w:cstheme="minorHAnsi"/>
          <w:szCs w:val="26"/>
        </w:rPr>
        <w:t>cases on direct review.  (</w:t>
      </w:r>
      <w:bookmarkStart w:id="160" w:name="Psych_Cite_147"/>
      <w:r w:rsidRPr="009C6CB3" w:rsidR="00C00729">
        <w:rPr>
          <w:rFonts w:cstheme="minorHAnsi"/>
          <w:i/>
          <w:iCs/>
          <w:szCs w:val="26"/>
        </w:rPr>
        <w:t>Id.</w:t>
      </w:r>
      <w:r w:rsidRPr="009C6CB3" w:rsidR="00412B73">
        <w:rPr>
          <w:rFonts w:cstheme="minorHAnsi"/>
          <w:i/>
          <w:iCs/>
          <w:szCs w:val="26"/>
        </w:rPr>
        <w:t xml:space="preserve"> </w:t>
      </w:r>
      <w:r w:rsidRPr="009C6CB3" w:rsidR="00412B73">
        <w:rPr>
          <w:rFonts w:cstheme="minorHAnsi"/>
          <w:szCs w:val="26"/>
        </w:rPr>
        <w:t>at p.</w:t>
      </w:r>
      <w:r w:rsidRPr="009C6CB3" w:rsidR="00AB3E32">
        <w:rPr>
          <w:rFonts w:cstheme="minorHAnsi"/>
          <w:szCs w:val="26"/>
        </w:rPr>
        <w:t> </w:t>
      </w:r>
      <w:r w:rsidRPr="009C6CB3" w:rsidR="00412B73">
        <w:rPr>
          <w:rFonts w:cstheme="minorHAnsi"/>
          <w:szCs w:val="26"/>
        </w:rPr>
        <w:t>103</w:t>
      </w:r>
      <w:r w:rsidRPr="009C6CB3" w:rsidR="00D02113">
        <w:rPr>
          <w:rFonts w:cstheme="minorHAnsi"/>
          <w:i/>
          <w:iCs/>
          <w:szCs w:val="26"/>
        </w:rPr>
        <w:t xml:space="preserve"> </w:t>
      </w:r>
      <w:r w:rsidRPr="009C6CB3" w:rsidR="00D02113">
        <w:rPr>
          <w:rFonts w:cstheme="minorHAnsi"/>
          <w:szCs w:val="26"/>
        </w:rPr>
        <w:t>[</w:t>
      </w:r>
      <w:r w:rsidRPr="009C6CB3" w:rsidR="00220E12">
        <w:rPr>
          <w:rFonts w:cstheme="minorHAnsi"/>
          <w:szCs w:val="26"/>
        </w:rPr>
        <w:t>“Defendant contends, the People concede, and we agree, the amendment is retroactive” on direct appeal and “applies to defendant</w:t>
      </w:r>
      <w:r w:rsidR="00B522E7">
        <w:rPr>
          <w:rFonts w:cstheme="minorHAnsi"/>
          <w:szCs w:val="26"/>
        </w:rPr>
        <w:t>.</w:t>
      </w:r>
      <w:r w:rsidRPr="009C6CB3" w:rsidR="00220E12">
        <w:rPr>
          <w:rFonts w:cstheme="minorHAnsi"/>
          <w:szCs w:val="26"/>
        </w:rPr>
        <w:t>”</w:t>
      </w:r>
      <w:bookmarkEnd w:id="160"/>
      <w:r w:rsidRPr="009C6CB3" w:rsidR="00220E12">
        <w:rPr>
          <w:rFonts w:cstheme="minorHAnsi"/>
          <w:szCs w:val="26"/>
        </w:rPr>
        <w:t>].</w:t>
      </w:r>
      <w:r w:rsidRPr="009C6CB3" w:rsidR="009E645A">
        <w:rPr>
          <w:rFonts w:cstheme="minorHAnsi"/>
          <w:szCs w:val="26"/>
        </w:rPr>
        <w:t xml:space="preserve">)  </w:t>
      </w:r>
      <w:r w:rsidRPr="009C6CB3" w:rsidR="00AB3E32">
        <w:rPr>
          <w:rFonts w:cstheme="minorHAnsi"/>
          <w:szCs w:val="26"/>
        </w:rPr>
        <w:t xml:space="preserve">Here, </w:t>
      </w:r>
      <w:r w:rsidRPr="009C6CB3" w:rsidR="00C00729">
        <w:rPr>
          <w:rFonts w:cstheme="minorHAnsi"/>
          <w:szCs w:val="26"/>
        </w:rPr>
        <w:t xml:space="preserve">we have determined that </w:t>
      </w:r>
      <w:r w:rsidRPr="009C6CB3" w:rsidR="00AB3E32">
        <w:rPr>
          <w:rFonts w:cstheme="minorHAnsi"/>
          <w:szCs w:val="26"/>
        </w:rPr>
        <w:t xml:space="preserve">Senate Bill 1437’s </w:t>
      </w:r>
      <w:r w:rsidRPr="009C6CB3" w:rsidR="009E645A">
        <w:rPr>
          <w:rFonts w:cstheme="minorHAnsi"/>
          <w:szCs w:val="26"/>
        </w:rPr>
        <w:t xml:space="preserve">ameliorative changes to </w:t>
      </w:r>
      <w:bookmarkStart w:id="161" w:name="Psych_Cite_150"/>
      <w:r w:rsidRPr="009C6CB3" w:rsidR="00A6341E">
        <w:rPr>
          <w:rFonts w:cstheme="minorHAnsi"/>
          <w:szCs w:val="26"/>
        </w:rPr>
        <w:t>section</w:t>
      </w:r>
      <w:r w:rsidRPr="009C6CB3" w:rsidR="00AB3E32">
        <w:rPr>
          <w:rFonts w:cstheme="minorHAnsi"/>
          <w:szCs w:val="26"/>
        </w:rPr>
        <w:t>s</w:t>
      </w:r>
      <w:r w:rsidRPr="009C6CB3" w:rsidR="00A6341E">
        <w:rPr>
          <w:rFonts w:cstheme="minorHAnsi"/>
          <w:szCs w:val="26"/>
        </w:rPr>
        <w:t xml:space="preserve"> 188 and 18</w:t>
      </w:r>
      <w:bookmarkEnd w:id="161"/>
      <w:r w:rsidRPr="009C6CB3" w:rsidR="00A6341E">
        <w:rPr>
          <w:rFonts w:cstheme="minorHAnsi"/>
          <w:szCs w:val="26"/>
        </w:rPr>
        <w:t xml:space="preserve">9 are </w:t>
      </w:r>
      <w:r w:rsidRPr="009C6CB3" w:rsidR="00A6341E">
        <w:rPr>
          <w:rFonts w:cstheme="minorHAnsi"/>
          <w:iCs/>
          <w:szCs w:val="26"/>
        </w:rPr>
        <w:t>not</w:t>
      </w:r>
      <w:r w:rsidRPr="009C6CB3" w:rsidR="00A6341E">
        <w:rPr>
          <w:rFonts w:cstheme="minorHAnsi"/>
          <w:i/>
          <w:iCs/>
          <w:szCs w:val="26"/>
        </w:rPr>
        <w:t xml:space="preserve"> </w:t>
      </w:r>
      <w:r w:rsidRPr="009C6CB3" w:rsidR="00A6341E">
        <w:rPr>
          <w:rFonts w:cstheme="minorHAnsi"/>
          <w:szCs w:val="26"/>
        </w:rPr>
        <w:t xml:space="preserve">retroactive </w:t>
      </w:r>
      <w:r w:rsidRPr="009C6CB3" w:rsidR="00AB3E32">
        <w:rPr>
          <w:rFonts w:cstheme="minorHAnsi"/>
          <w:szCs w:val="26"/>
        </w:rPr>
        <w:t xml:space="preserve">to cases </w:t>
      </w:r>
      <w:r w:rsidRPr="009C6CB3" w:rsidR="00A6341E">
        <w:rPr>
          <w:rFonts w:cstheme="minorHAnsi"/>
          <w:szCs w:val="26"/>
        </w:rPr>
        <w:t>on direct review.</w:t>
      </w:r>
      <w:r w:rsidR="00343355">
        <w:rPr>
          <w:rFonts w:cstheme="minorHAnsi"/>
          <w:szCs w:val="26"/>
        </w:rPr>
        <w:t xml:space="preserve">  This reasoning also rebuts the argument, raised by the California Attorneys for Criminal Justice, that Gentile’s instructional error argument must be addressed on direct review.  </w:t>
      </w:r>
    </w:p>
    <w:p w:rsidR="003E2DE1" w:rsidRPr="009C6CB3" w:rsidP="009C6CB3">
      <w:pPr>
        <w:ind w:firstLine="720"/>
        <w:rPr>
          <w:rFonts w:cstheme="minorHAnsi"/>
          <w:szCs w:val="26"/>
        </w:rPr>
      </w:pPr>
      <w:r w:rsidRPr="009C6CB3">
        <w:rPr>
          <w:rFonts w:cstheme="minorHAnsi"/>
          <w:szCs w:val="26"/>
        </w:rPr>
        <w:t xml:space="preserve">The crux of </w:t>
      </w:r>
      <w:r w:rsidRPr="009C6CB3" w:rsidR="00B67BDF">
        <w:rPr>
          <w:rFonts w:cstheme="minorHAnsi"/>
          <w:szCs w:val="26"/>
        </w:rPr>
        <w:t>Gentile</w:t>
      </w:r>
      <w:r w:rsidRPr="009C6CB3">
        <w:rPr>
          <w:rFonts w:cstheme="minorHAnsi"/>
          <w:szCs w:val="26"/>
        </w:rPr>
        <w:t xml:space="preserve">’s argument is that the </w:t>
      </w:r>
      <w:bookmarkStart w:id="162" w:name="Psych_Cite_157"/>
      <w:r w:rsidRPr="009C6CB3">
        <w:rPr>
          <w:rFonts w:cstheme="minorHAnsi"/>
          <w:szCs w:val="26"/>
        </w:rPr>
        <w:t>section 1170.95</w:t>
      </w:r>
      <w:bookmarkEnd w:id="162"/>
      <w:r w:rsidRPr="009C6CB3">
        <w:rPr>
          <w:rFonts w:cstheme="minorHAnsi"/>
          <w:szCs w:val="26"/>
        </w:rPr>
        <w:t xml:space="preserve"> process violates the principle </w:t>
      </w:r>
      <w:r w:rsidRPr="009C6CB3" w:rsidR="009F5CF7">
        <w:rPr>
          <w:rFonts w:cstheme="minorHAnsi"/>
          <w:szCs w:val="26"/>
        </w:rPr>
        <w:t xml:space="preserve">that </w:t>
      </w:r>
      <w:r w:rsidRPr="009C6CB3" w:rsidR="006174EA">
        <w:rPr>
          <w:rFonts w:cstheme="minorHAnsi"/>
          <w:szCs w:val="26"/>
        </w:rPr>
        <w:t>“</w:t>
      </w:r>
      <w:r w:rsidRPr="009C6CB3" w:rsidR="009F5CF7">
        <w:rPr>
          <w:rFonts w:cstheme="minorHAnsi"/>
          <w:szCs w:val="26"/>
        </w:rPr>
        <w:t>[o]</w:t>
      </w:r>
      <w:r w:rsidRPr="009C6CB3" w:rsidR="006174EA">
        <w:rPr>
          <w:rFonts w:cstheme="minorHAnsi"/>
          <w:szCs w:val="26"/>
        </w:rPr>
        <w:t>ther than the fact of a prior conviction, any fact that increases the penalty for a crime beyond the prescribed statutory maximum must be submitted to a jury, and proved beyond a reasonable doubt.”</w:t>
      </w:r>
      <w:r w:rsidRPr="009C6CB3" w:rsidR="009F5CF7">
        <w:rPr>
          <w:rFonts w:cstheme="minorHAnsi"/>
          <w:szCs w:val="26"/>
        </w:rPr>
        <w:t xml:space="preserve">  (</w:t>
      </w:r>
      <w:bookmarkStart w:id="163" w:name="Psych_Cite_153"/>
      <w:r w:rsidRPr="009C6CB3">
        <w:rPr>
          <w:rFonts w:cstheme="minorHAnsi"/>
          <w:i/>
          <w:iCs/>
          <w:szCs w:val="26"/>
        </w:rPr>
        <w:t>Apprendi v. New Jersey</w:t>
      </w:r>
      <w:r w:rsidRPr="009C6CB3">
        <w:rPr>
          <w:rFonts w:cstheme="minorHAnsi"/>
          <w:szCs w:val="26"/>
        </w:rPr>
        <w:t xml:space="preserve"> (2000) 530 U.S. 466, 490</w:t>
      </w:r>
      <w:r w:rsidRPr="009C6CB3" w:rsidR="009F5CF7">
        <w:rPr>
          <w:rFonts w:cstheme="minorHAnsi"/>
          <w:szCs w:val="26"/>
        </w:rPr>
        <w:t xml:space="preserve">; </w:t>
      </w:r>
      <w:bookmarkStart w:id="164" w:name="Psych_Cite_154"/>
      <w:bookmarkEnd w:id="163"/>
      <w:r w:rsidRPr="009C6CB3" w:rsidR="009F5CF7">
        <w:rPr>
          <w:rFonts w:cstheme="minorHAnsi"/>
          <w:szCs w:val="26"/>
        </w:rPr>
        <w:t xml:space="preserve">see </w:t>
      </w:r>
      <w:r w:rsidRPr="009C6CB3" w:rsidR="00D11C8B">
        <w:rPr>
          <w:rFonts w:cstheme="minorHAnsi"/>
          <w:i/>
          <w:iCs/>
          <w:szCs w:val="26"/>
        </w:rPr>
        <w:t xml:space="preserve">Alleyne v. United States </w:t>
      </w:r>
      <w:r w:rsidRPr="009C6CB3" w:rsidR="00D11C8B">
        <w:rPr>
          <w:rFonts w:cstheme="minorHAnsi"/>
          <w:szCs w:val="26"/>
        </w:rPr>
        <w:t>(2013)</w:t>
      </w:r>
      <w:r w:rsidRPr="009C6CB3" w:rsidR="00B91A2E">
        <w:rPr>
          <w:rFonts w:cstheme="minorHAnsi"/>
          <w:szCs w:val="26"/>
        </w:rPr>
        <w:t xml:space="preserve"> 570 U.S. 99, </w:t>
      </w:r>
      <w:r w:rsidRPr="009C6CB3" w:rsidR="002E4989">
        <w:rPr>
          <w:rFonts w:cstheme="minorHAnsi"/>
          <w:szCs w:val="26"/>
        </w:rPr>
        <w:t>103</w:t>
      </w:r>
      <w:bookmarkEnd w:id="164"/>
      <w:r w:rsidRPr="009C6CB3" w:rsidR="00765564">
        <w:rPr>
          <w:rFonts w:cstheme="minorHAnsi"/>
          <w:szCs w:val="26"/>
        </w:rPr>
        <w:t>.)</w:t>
      </w:r>
      <w:r w:rsidRPr="009C6CB3" w:rsidR="006174EA">
        <w:rPr>
          <w:rFonts w:cstheme="minorHAnsi"/>
          <w:szCs w:val="26"/>
        </w:rPr>
        <w:t xml:space="preserve">  </w:t>
      </w:r>
      <w:r w:rsidRPr="009C6CB3" w:rsidR="00C00729">
        <w:rPr>
          <w:rFonts w:cstheme="minorHAnsi"/>
          <w:szCs w:val="26"/>
        </w:rPr>
        <w:t>I</w:t>
      </w:r>
      <w:r w:rsidRPr="009C6CB3" w:rsidR="00712106">
        <w:rPr>
          <w:rFonts w:cstheme="minorHAnsi"/>
          <w:szCs w:val="26"/>
        </w:rPr>
        <w:t xml:space="preserve">n </w:t>
      </w:r>
      <w:bookmarkStart w:id="165" w:name="Psych_Cite_155"/>
      <w:r w:rsidRPr="009C6CB3" w:rsidR="00712106">
        <w:rPr>
          <w:rFonts w:cstheme="minorHAnsi"/>
          <w:i/>
          <w:iCs/>
          <w:szCs w:val="26"/>
        </w:rPr>
        <w:t>People v. Perez</w:t>
      </w:r>
      <w:r w:rsidRPr="009C6CB3" w:rsidR="00712106">
        <w:rPr>
          <w:rFonts w:cstheme="minorHAnsi"/>
          <w:szCs w:val="26"/>
        </w:rPr>
        <w:t xml:space="preserve"> (2018) 4</w:t>
      </w:r>
      <w:r w:rsidR="001C604C">
        <w:rPr>
          <w:rFonts w:cstheme="minorHAnsi"/>
          <w:szCs w:val="26"/>
        </w:rPr>
        <w:t xml:space="preserve"> </w:t>
      </w:r>
      <w:r w:rsidRPr="009C6CB3" w:rsidR="00712106">
        <w:rPr>
          <w:rFonts w:cstheme="minorHAnsi"/>
          <w:szCs w:val="26"/>
        </w:rPr>
        <w:t>Cal.</w:t>
      </w:r>
      <w:r w:rsidRPr="009C6CB3" w:rsidR="008162F9">
        <w:rPr>
          <w:rFonts w:cstheme="minorHAnsi"/>
          <w:szCs w:val="26"/>
        </w:rPr>
        <w:t>5th 1</w:t>
      </w:r>
      <w:r w:rsidRPr="009C6CB3" w:rsidR="00CB3F7C">
        <w:rPr>
          <w:rFonts w:cstheme="minorHAnsi"/>
          <w:szCs w:val="26"/>
        </w:rPr>
        <w:t>055</w:t>
      </w:r>
      <w:r w:rsidRPr="009C6CB3" w:rsidR="00DC3254">
        <w:rPr>
          <w:rFonts w:cstheme="minorHAnsi"/>
          <w:szCs w:val="26"/>
        </w:rPr>
        <w:t xml:space="preserve"> </w:t>
      </w:r>
      <w:r w:rsidRPr="009C6CB3" w:rsidR="007B4507">
        <w:rPr>
          <w:rFonts w:cstheme="minorHAnsi"/>
          <w:szCs w:val="26"/>
        </w:rPr>
        <w:t>(</w:t>
      </w:r>
      <w:r w:rsidRPr="009C6CB3" w:rsidR="007B4507">
        <w:rPr>
          <w:rFonts w:cstheme="minorHAnsi"/>
          <w:i/>
          <w:iCs/>
          <w:szCs w:val="26"/>
        </w:rPr>
        <w:t>Perez</w:t>
      </w:r>
      <w:r w:rsidRPr="009C6CB3" w:rsidR="007B4507">
        <w:rPr>
          <w:rFonts w:cstheme="minorHAnsi"/>
          <w:szCs w:val="26"/>
        </w:rPr>
        <w:t>)</w:t>
      </w:r>
      <w:bookmarkEnd w:id="165"/>
      <w:r w:rsidRPr="009C6CB3" w:rsidR="00C00729">
        <w:rPr>
          <w:rFonts w:cstheme="minorHAnsi"/>
          <w:szCs w:val="26"/>
        </w:rPr>
        <w:t>, the defendant similarly</w:t>
      </w:r>
      <w:r w:rsidRPr="009C6CB3" w:rsidR="008162F9">
        <w:rPr>
          <w:rFonts w:cstheme="minorHAnsi"/>
          <w:szCs w:val="26"/>
        </w:rPr>
        <w:t xml:space="preserve"> </w:t>
      </w:r>
      <w:r w:rsidRPr="009C6CB3" w:rsidR="009F5CF7">
        <w:rPr>
          <w:rFonts w:cstheme="minorHAnsi"/>
          <w:szCs w:val="26"/>
        </w:rPr>
        <w:t xml:space="preserve">argued </w:t>
      </w:r>
      <w:r w:rsidRPr="009C6CB3" w:rsidR="00D90770">
        <w:rPr>
          <w:rFonts w:cstheme="minorHAnsi"/>
          <w:szCs w:val="26"/>
        </w:rPr>
        <w:t xml:space="preserve">that Proposition 36 entitled </w:t>
      </w:r>
      <w:r w:rsidRPr="009C6CB3" w:rsidR="009F5CF7">
        <w:rPr>
          <w:rFonts w:cstheme="minorHAnsi"/>
          <w:szCs w:val="26"/>
        </w:rPr>
        <w:t xml:space="preserve">eligible </w:t>
      </w:r>
      <w:r w:rsidRPr="009C6CB3" w:rsidR="00D90770">
        <w:rPr>
          <w:rFonts w:cstheme="minorHAnsi"/>
          <w:szCs w:val="26"/>
        </w:rPr>
        <w:t xml:space="preserve">defendants to ameliorative relief and that any </w:t>
      </w:r>
      <w:r w:rsidRPr="009C6CB3" w:rsidR="00C00729">
        <w:rPr>
          <w:rFonts w:cstheme="minorHAnsi"/>
          <w:szCs w:val="26"/>
        </w:rPr>
        <w:t xml:space="preserve">factual </w:t>
      </w:r>
      <w:r w:rsidRPr="009C6CB3" w:rsidR="00D90770">
        <w:rPr>
          <w:rFonts w:cstheme="minorHAnsi"/>
          <w:szCs w:val="26"/>
        </w:rPr>
        <w:t xml:space="preserve">finding by the trial court </w:t>
      </w:r>
      <w:r w:rsidRPr="009C6CB3" w:rsidR="00C00729">
        <w:rPr>
          <w:rFonts w:cstheme="minorHAnsi"/>
          <w:szCs w:val="26"/>
        </w:rPr>
        <w:t>resulting in the denial of relief</w:t>
      </w:r>
      <w:r w:rsidRPr="009C6CB3" w:rsidR="00D90770">
        <w:rPr>
          <w:rFonts w:cstheme="minorHAnsi"/>
          <w:szCs w:val="26"/>
        </w:rPr>
        <w:t xml:space="preserve"> was a finding that effective</w:t>
      </w:r>
      <w:r w:rsidRPr="009C6CB3" w:rsidR="002407E9">
        <w:rPr>
          <w:rFonts w:cstheme="minorHAnsi"/>
          <w:szCs w:val="26"/>
        </w:rPr>
        <w:t xml:space="preserve">ly </w:t>
      </w:r>
      <w:r w:rsidRPr="009C6CB3" w:rsidR="00562CD4">
        <w:rPr>
          <w:rFonts w:cstheme="minorHAnsi"/>
          <w:szCs w:val="26"/>
        </w:rPr>
        <w:t>increased his sentence</w:t>
      </w:r>
      <w:r w:rsidRPr="009C6CB3" w:rsidR="00EB4738">
        <w:rPr>
          <w:rFonts w:cstheme="minorHAnsi"/>
          <w:szCs w:val="26"/>
        </w:rPr>
        <w:t xml:space="preserve"> in violation of </w:t>
      </w:r>
      <w:r w:rsidRPr="009C6CB3" w:rsidR="00EB4738">
        <w:rPr>
          <w:rFonts w:cstheme="minorHAnsi"/>
          <w:i/>
          <w:iCs/>
          <w:szCs w:val="26"/>
        </w:rPr>
        <w:t>Apprendi</w:t>
      </w:r>
      <w:r w:rsidRPr="009C6CB3" w:rsidR="00562CD4">
        <w:rPr>
          <w:rFonts w:cstheme="minorHAnsi"/>
          <w:szCs w:val="26"/>
        </w:rPr>
        <w:t xml:space="preserve">.  </w:t>
      </w:r>
      <w:r w:rsidR="00CA2288">
        <w:rPr>
          <w:rFonts w:cstheme="minorHAnsi"/>
          <w:szCs w:val="26"/>
        </w:rPr>
        <w:t>(</w:t>
      </w:r>
      <w:bookmarkStart w:id="166" w:name="Psych_Cite_156"/>
      <w:r w:rsidR="001C604C">
        <w:rPr>
          <w:rFonts w:cstheme="minorHAnsi"/>
          <w:i/>
          <w:iCs/>
          <w:szCs w:val="26"/>
        </w:rPr>
        <w:t>Perez</w:t>
      </w:r>
      <w:r w:rsidR="001C604C">
        <w:rPr>
          <w:rFonts w:cstheme="minorHAnsi"/>
          <w:iCs/>
          <w:szCs w:val="26"/>
        </w:rPr>
        <w:t>,</w:t>
      </w:r>
      <w:r w:rsidR="00CA2288">
        <w:rPr>
          <w:rFonts w:cstheme="minorHAnsi"/>
          <w:szCs w:val="26"/>
        </w:rPr>
        <w:t xml:space="preserve"> at p. </w:t>
      </w:r>
      <w:r w:rsidR="00BC2DE3">
        <w:rPr>
          <w:rFonts w:cstheme="minorHAnsi"/>
          <w:szCs w:val="26"/>
        </w:rPr>
        <w:t>1064</w:t>
      </w:r>
      <w:bookmarkEnd w:id="166"/>
      <w:r w:rsidR="00BC2DE3">
        <w:rPr>
          <w:rFonts w:cstheme="minorHAnsi"/>
          <w:szCs w:val="26"/>
        </w:rPr>
        <w:t>.</w:t>
      </w:r>
      <w:r w:rsidR="00CA2288">
        <w:rPr>
          <w:rFonts w:cstheme="minorHAnsi"/>
          <w:szCs w:val="26"/>
        </w:rPr>
        <w:t xml:space="preserve">)  </w:t>
      </w:r>
      <w:r w:rsidRPr="009C6CB3" w:rsidR="00414585">
        <w:rPr>
          <w:rFonts w:cstheme="minorHAnsi"/>
          <w:szCs w:val="26"/>
        </w:rPr>
        <w:t>W</w:t>
      </w:r>
      <w:r w:rsidRPr="009C6CB3" w:rsidR="00562CD4">
        <w:rPr>
          <w:rFonts w:cstheme="minorHAnsi"/>
          <w:szCs w:val="26"/>
        </w:rPr>
        <w:t>e</w:t>
      </w:r>
      <w:r w:rsidRPr="009C6CB3" w:rsidR="009F5CF7">
        <w:rPr>
          <w:rFonts w:cstheme="minorHAnsi"/>
          <w:szCs w:val="26"/>
        </w:rPr>
        <w:t xml:space="preserve"> </w:t>
      </w:r>
      <w:r w:rsidRPr="009C6CB3" w:rsidR="00AF4921">
        <w:rPr>
          <w:rFonts w:cstheme="minorHAnsi"/>
          <w:szCs w:val="26"/>
        </w:rPr>
        <w:t>disagreed</w:t>
      </w:r>
      <w:r w:rsidRPr="009C6CB3" w:rsidR="00414585">
        <w:rPr>
          <w:rFonts w:cstheme="minorHAnsi"/>
          <w:szCs w:val="26"/>
        </w:rPr>
        <w:t xml:space="preserve">, </w:t>
      </w:r>
      <w:r w:rsidRPr="009C6CB3" w:rsidR="00562CD4">
        <w:rPr>
          <w:rFonts w:cstheme="minorHAnsi"/>
          <w:szCs w:val="26"/>
        </w:rPr>
        <w:t>explain</w:t>
      </w:r>
      <w:r w:rsidRPr="009C6CB3" w:rsidR="00414585">
        <w:rPr>
          <w:rFonts w:cstheme="minorHAnsi"/>
          <w:szCs w:val="26"/>
        </w:rPr>
        <w:t>ing</w:t>
      </w:r>
      <w:r w:rsidRPr="009C6CB3" w:rsidR="00562CD4">
        <w:rPr>
          <w:rFonts w:cstheme="minorHAnsi"/>
          <w:szCs w:val="26"/>
        </w:rPr>
        <w:t xml:space="preserve"> that </w:t>
      </w:r>
      <w:r w:rsidR="001C604C">
        <w:rPr>
          <w:rFonts w:cstheme="minorHAnsi"/>
          <w:szCs w:val="26"/>
        </w:rPr>
        <w:t>“</w:t>
      </w:r>
      <w:r w:rsidRPr="009C6CB3" w:rsidR="00562CD4">
        <w:rPr>
          <w:rFonts w:cstheme="minorHAnsi"/>
          <w:szCs w:val="26"/>
        </w:rPr>
        <w:t xml:space="preserve">Proposition 36 </w:t>
      </w:r>
      <w:r w:rsidR="001C604C">
        <w:rPr>
          <w:rFonts w:cstheme="minorHAnsi"/>
          <w:szCs w:val="26"/>
        </w:rPr>
        <w:t xml:space="preserve">does </w:t>
      </w:r>
      <w:r w:rsidRPr="009C6CB3" w:rsidR="00277C4E">
        <w:rPr>
          <w:rFonts w:cstheme="minorHAnsi"/>
          <w:szCs w:val="26"/>
        </w:rPr>
        <w:t>not automatically reduce, recall, or vacate any sentence by operation of law.”  (</w:t>
      </w:r>
      <w:bookmarkStart w:id="167" w:name="Psych_Cite_151"/>
      <w:r w:rsidR="001C604C">
        <w:rPr>
          <w:rFonts w:cstheme="minorHAnsi"/>
          <w:i/>
          <w:iCs/>
          <w:szCs w:val="26"/>
        </w:rPr>
        <w:t>Ibid.</w:t>
      </w:r>
      <w:bookmarkEnd w:id="167"/>
      <w:r w:rsidRPr="009C6CB3" w:rsidR="00277C4E">
        <w:rPr>
          <w:rFonts w:cstheme="minorHAnsi"/>
          <w:szCs w:val="26"/>
        </w:rPr>
        <w:t xml:space="preserve">)  </w:t>
      </w:r>
      <w:r w:rsidR="001C604C">
        <w:rPr>
          <w:rFonts w:cstheme="minorHAnsi"/>
          <w:szCs w:val="26"/>
        </w:rPr>
        <w:t>“I</w:t>
      </w:r>
      <w:r w:rsidRPr="009C6CB3" w:rsidR="00277C4E">
        <w:rPr>
          <w:rFonts w:cstheme="minorHAnsi"/>
          <w:szCs w:val="26"/>
        </w:rPr>
        <w:t xml:space="preserve">t </w:t>
      </w:r>
      <w:r w:rsidR="001C604C">
        <w:rPr>
          <w:rFonts w:cstheme="minorHAnsi"/>
          <w:szCs w:val="26"/>
        </w:rPr>
        <w:t xml:space="preserve">is </w:t>
      </w:r>
      <w:r w:rsidRPr="009C6CB3" w:rsidR="00277C4E">
        <w:rPr>
          <w:rFonts w:cstheme="minorHAnsi"/>
          <w:szCs w:val="26"/>
        </w:rPr>
        <w:t>up to the inmate to petition for recall of the sentence, and at all times prior to the trial court’s resentencing determination, the petitioner’s original</w:t>
      </w:r>
      <w:r w:rsidR="009F1549">
        <w:rPr>
          <w:rFonts w:cstheme="minorHAnsi"/>
          <w:szCs w:val="26"/>
        </w:rPr>
        <w:t xml:space="preserve"> </w:t>
      </w:r>
      <w:r w:rsidRPr="009C6CB3" w:rsidR="00277C4E">
        <w:rPr>
          <w:rFonts w:cstheme="minorHAnsi"/>
          <w:szCs w:val="26"/>
        </w:rPr>
        <w:t xml:space="preserve">. . . sentence </w:t>
      </w:r>
      <w:r w:rsidRPr="009C6CB3" w:rsidR="00FA2C93">
        <w:rPr>
          <w:rFonts w:cstheme="minorHAnsi"/>
          <w:szCs w:val="26"/>
        </w:rPr>
        <w:t>remain</w:t>
      </w:r>
      <w:r w:rsidR="001C604C">
        <w:rPr>
          <w:rFonts w:cstheme="minorHAnsi"/>
          <w:szCs w:val="26"/>
        </w:rPr>
        <w:t>s</w:t>
      </w:r>
      <w:r w:rsidRPr="009C6CB3" w:rsidR="00FA2C93">
        <w:rPr>
          <w:rFonts w:cstheme="minorHAnsi"/>
          <w:szCs w:val="26"/>
        </w:rPr>
        <w:t xml:space="preserve"> in effect</w:t>
      </w:r>
      <w:r w:rsidRPr="009C6CB3" w:rsidR="00FA2C93">
        <w:rPr>
          <w:szCs w:val="26"/>
        </w:rPr>
        <w:t>.</w:t>
      </w:r>
      <w:r w:rsidRPr="009C6CB3" w:rsidR="009F5CF7">
        <w:rPr>
          <w:szCs w:val="26"/>
        </w:rPr>
        <w:t xml:space="preserve">  </w:t>
      </w:r>
      <w:r w:rsidRPr="009C6CB3" w:rsidR="009F5CF7">
        <w:rPr>
          <w:shd w:val="clear" w:color="auto" w:fill="FFFFFF"/>
        </w:rPr>
        <w:t>Under this scheme, a factual finding that results in resentencing ineligibility does not increase the petitioner’s sentence; it simply leaves the original sentence intact.</w:t>
      </w:r>
      <w:r w:rsidRPr="009C6CB3" w:rsidR="00FA2C93">
        <w:rPr>
          <w:rFonts w:cstheme="minorHAnsi"/>
          <w:szCs w:val="26"/>
        </w:rPr>
        <w:t>”  (</w:t>
      </w:r>
      <w:bookmarkStart w:id="168" w:name="Psych_Cite_152"/>
      <w:r w:rsidRPr="009C6CB3" w:rsidR="00FA2C93">
        <w:rPr>
          <w:rFonts w:cstheme="minorHAnsi"/>
          <w:i/>
          <w:iCs/>
          <w:szCs w:val="26"/>
        </w:rPr>
        <w:t>Ibid.</w:t>
      </w:r>
      <w:bookmarkEnd w:id="168"/>
      <w:r w:rsidRPr="009C6CB3" w:rsidR="00FA2C93">
        <w:rPr>
          <w:rFonts w:cstheme="minorHAnsi"/>
          <w:szCs w:val="26"/>
        </w:rPr>
        <w:t>)</w:t>
      </w:r>
    </w:p>
    <w:p w:rsidR="003F32C5" w:rsidRPr="009C6CB3" w:rsidP="00975362">
      <w:pPr>
        <w:ind w:firstLine="720"/>
        <w:rPr>
          <w:rFonts w:cstheme="minorHAnsi"/>
          <w:szCs w:val="26"/>
        </w:rPr>
      </w:pPr>
      <w:r>
        <w:rPr>
          <w:rFonts w:cstheme="minorHAnsi"/>
          <w:iCs/>
          <w:szCs w:val="26"/>
        </w:rPr>
        <w:t xml:space="preserve">Gentile argues </w:t>
      </w:r>
      <w:r w:rsidRPr="009C6CB3" w:rsidR="00EA16E4">
        <w:rPr>
          <w:rFonts w:cstheme="minorHAnsi"/>
          <w:i/>
          <w:szCs w:val="26"/>
        </w:rPr>
        <w:t>Perez</w:t>
      </w:r>
      <w:r w:rsidRPr="009C6CB3" w:rsidR="00EA16E4">
        <w:rPr>
          <w:rFonts w:cstheme="minorHAnsi"/>
          <w:szCs w:val="26"/>
        </w:rPr>
        <w:t xml:space="preserve"> </w:t>
      </w:r>
      <w:r>
        <w:rPr>
          <w:rFonts w:cstheme="minorHAnsi"/>
          <w:szCs w:val="26"/>
        </w:rPr>
        <w:t xml:space="preserve">is distinguishable on two grounds:  it involved a final conviction, not a nonfinal one as here; and the finding at issue in </w:t>
      </w:r>
      <w:r>
        <w:rPr>
          <w:rFonts w:cstheme="minorHAnsi"/>
          <w:i/>
          <w:iCs/>
          <w:szCs w:val="26"/>
        </w:rPr>
        <w:t xml:space="preserve">Perez </w:t>
      </w:r>
      <w:r>
        <w:rPr>
          <w:rFonts w:cstheme="minorHAnsi"/>
          <w:szCs w:val="26"/>
        </w:rPr>
        <w:t xml:space="preserve">did not concern a fact </w:t>
      </w:r>
      <w:r w:rsidRPr="009C6CB3">
        <w:rPr>
          <w:szCs w:val="26"/>
          <w:shd w:val="clear" w:color="auto" w:fill="FFFFFF"/>
        </w:rPr>
        <w:t xml:space="preserve">essential to </w:t>
      </w:r>
      <w:r w:rsidRPr="009C6CB3" w:rsidR="00EA16E4">
        <w:rPr>
          <w:szCs w:val="26"/>
          <w:shd w:val="clear" w:color="auto" w:fill="FFFFFF"/>
        </w:rPr>
        <w:t>the validity of the underlying conviction</w:t>
      </w:r>
      <w:r w:rsidRPr="009C6CB3">
        <w:rPr>
          <w:szCs w:val="26"/>
          <w:shd w:val="clear" w:color="auto" w:fill="FFFFFF"/>
        </w:rPr>
        <w:t xml:space="preserve"> or the original sentence when imposed</w:t>
      </w:r>
      <w:r w:rsidR="00B87CC9">
        <w:rPr>
          <w:szCs w:val="26"/>
          <w:shd w:val="clear" w:color="auto" w:fill="FFFFFF"/>
        </w:rPr>
        <w:t>, insofar as</w:t>
      </w:r>
      <w:r w:rsidRPr="009C6CB3" w:rsidR="00414585">
        <w:rPr>
          <w:szCs w:val="26"/>
          <w:shd w:val="clear" w:color="auto" w:fill="FFFFFF"/>
        </w:rPr>
        <w:t xml:space="preserve"> Proposition 36 </w:t>
      </w:r>
      <w:r w:rsidR="00B87CC9">
        <w:rPr>
          <w:szCs w:val="26"/>
          <w:shd w:val="clear" w:color="auto" w:fill="FFFFFF"/>
        </w:rPr>
        <w:t xml:space="preserve">merely reduced the punishment for particular third strike convictions without disturbing the validity of those convictions.  </w:t>
      </w:r>
      <w:r w:rsidRPr="009C6CB3" w:rsidR="00414585">
        <w:rPr>
          <w:szCs w:val="26"/>
          <w:shd w:val="clear" w:color="auto" w:fill="FFFFFF"/>
        </w:rPr>
        <w:t>(</w:t>
      </w:r>
      <w:bookmarkStart w:id="169" w:name="Psych_Cite_160"/>
      <w:r w:rsidRPr="001C604C" w:rsidR="001C604C">
        <w:rPr>
          <w:i/>
          <w:iCs/>
          <w:szCs w:val="26"/>
          <w:shd w:val="clear" w:color="auto" w:fill="FFFFFF"/>
        </w:rPr>
        <w:t>Perez</w:t>
      </w:r>
      <w:r w:rsidR="001C604C">
        <w:rPr>
          <w:iCs/>
          <w:szCs w:val="26"/>
          <w:shd w:val="clear" w:color="auto" w:fill="FFFFFF"/>
        </w:rPr>
        <w:t>,</w:t>
      </w:r>
      <w:r w:rsidRPr="009C6CB3" w:rsidR="00414585">
        <w:rPr>
          <w:szCs w:val="26"/>
          <w:shd w:val="clear" w:color="auto" w:fill="FFFFFF"/>
        </w:rPr>
        <w:t xml:space="preserve"> </w:t>
      </w:r>
      <w:r w:rsidR="00B87CC9">
        <w:rPr>
          <w:i/>
          <w:iCs/>
          <w:szCs w:val="26"/>
          <w:shd w:val="clear" w:color="auto" w:fill="FFFFFF"/>
        </w:rPr>
        <w:t>supra</w:t>
      </w:r>
      <w:r w:rsidR="00975362">
        <w:rPr>
          <w:szCs w:val="26"/>
          <w:shd w:val="clear" w:color="auto" w:fill="FFFFFF"/>
        </w:rPr>
        <w:t>, 4</w:t>
      </w:r>
      <w:r w:rsidR="00F05E28">
        <w:rPr>
          <w:szCs w:val="26"/>
          <w:shd w:val="clear" w:color="auto" w:fill="FFFFFF"/>
        </w:rPr>
        <w:t> </w:t>
      </w:r>
      <w:r w:rsidR="00975362">
        <w:rPr>
          <w:szCs w:val="26"/>
          <w:shd w:val="clear" w:color="auto" w:fill="FFFFFF"/>
        </w:rPr>
        <w:t>Cal.5th</w:t>
      </w:r>
      <w:r w:rsidR="00B87CC9">
        <w:rPr>
          <w:i/>
          <w:iCs/>
          <w:szCs w:val="26"/>
          <w:shd w:val="clear" w:color="auto" w:fill="FFFFFF"/>
        </w:rPr>
        <w:t xml:space="preserve"> </w:t>
      </w:r>
      <w:r w:rsidRPr="009C6CB3" w:rsidR="00414585">
        <w:rPr>
          <w:szCs w:val="26"/>
          <w:shd w:val="clear" w:color="auto" w:fill="FFFFFF"/>
        </w:rPr>
        <w:t>at p. 106</w:t>
      </w:r>
      <w:bookmarkEnd w:id="169"/>
      <w:r w:rsidRPr="009C6CB3" w:rsidR="00414585">
        <w:rPr>
          <w:szCs w:val="26"/>
          <w:shd w:val="clear" w:color="auto" w:fill="FFFFFF"/>
        </w:rPr>
        <w:t>4.)</w:t>
      </w:r>
      <w:r w:rsidR="000C1AF4">
        <w:rPr>
          <w:szCs w:val="26"/>
          <w:shd w:val="clear" w:color="auto" w:fill="FFFFFF"/>
        </w:rPr>
        <w:t xml:space="preserve">  </w:t>
      </w:r>
      <w:r w:rsidRPr="009C6CB3" w:rsidR="00414585">
        <w:rPr>
          <w:szCs w:val="26"/>
          <w:shd w:val="clear" w:color="auto" w:fill="FFFFFF"/>
        </w:rPr>
        <w:t>But</w:t>
      </w:r>
      <w:r w:rsidRPr="009C6CB3" w:rsidR="00AF4921">
        <w:rPr>
          <w:szCs w:val="26"/>
          <w:shd w:val="clear" w:color="auto" w:fill="FFFFFF"/>
        </w:rPr>
        <w:t xml:space="preserve"> this issue is not presented </w:t>
      </w:r>
      <w:r w:rsidRPr="009C6CB3" w:rsidR="00CA6B0F">
        <w:rPr>
          <w:szCs w:val="26"/>
          <w:shd w:val="clear" w:color="auto" w:fill="FFFFFF"/>
        </w:rPr>
        <w:t>in this direct appeal</w:t>
      </w:r>
      <w:r w:rsidRPr="009C6CB3" w:rsidR="00AF4921">
        <w:rPr>
          <w:szCs w:val="26"/>
          <w:shd w:val="clear" w:color="auto" w:fill="FFFFFF"/>
        </w:rPr>
        <w:t>.</w:t>
      </w:r>
      <w:r w:rsidRPr="009C6CB3" w:rsidR="00414585">
        <w:rPr>
          <w:szCs w:val="26"/>
          <w:shd w:val="clear" w:color="auto" w:fill="FFFFFF"/>
        </w:rPr>
        <w:t xml:space="preserve"> </w:t>
      </w:r>
      <w:r w:rsidRPr="009C6CB3" w:rsidR="00AF4921">
        <w:rPr>
          <w:szCs w:val="26"/>
          <w:shd w:val="clear" w:color="auto" w:fill="FFFFFF"/>
        </w:rPr>
        <w:t xml:space="preserve"> </w:t>
      </w:r>
      <w:r w:rsidRPr="009C6CB3" w:rsidR="00414585">
        <w:rPr>
          <w:szCs w:val="26"/>
          <w:shd w:val="clear" w:color="auto" w:fill="FFFFFF"/>
        </w:rPr>
        <w:t xml:space="preserve">Gentile has not filed a petition for resentencing under </w:t>
      </w:r>
      <w:bookmarkStart w:id="170" w:name="Psych_Cite_163"/>
      <w:r w:rsidRPr="009C6CB3" w:rsidR="00414585">
        <w:rPr>
          <w:szCs w:val="26"/>
          <w:shd w:val="clear" w:color="auto" w:fill="FFFFFF"/>
        </w:rPr>
        <w:t>section 1170.95</w:t>
      </w:r>
      <w:bookmarkEnd w:id="170"/>
      <w:r w:rsidRPr="009C6CB3" w:rsidR="00AF4921">
        <w:rPr>
          <w:szCs w:val="26"/>
          <w:shd w:val="clear" w:color="auto" w:fill="FFFFFF"/>
        </w:rPr>
        <w:t xml:space="preserve">, </w:t>
      </w:r>
      <w:r w:rsidR="000F4D60">
        <w:rPr>
          <w:szCs w:val="26"/>
          <w:shd w:val="clear" w:color="auto" w:fill="FFFFFF"/>
        </w:rPr>
        <w:t>nor</w:t>
      </w:r>
      <w:r w:rsidRPr="009C6CB3" w:rsidR="000F4D60">
        <w:rPr>
          <w:szCs w:val="26"/>
          <w:shd w:val="clear" w:color="auto" w:fill="FFFFFF"/>
        </w:rPr>
        <w:t xml:space="preserve"> </w:t>
      </w:r>
      <w:r w:rsidR="007F7AD8">
        <w:rPr>
          <w:szCs w:val="26"/>
          <w:shd w:val="clear" w:color="auto" w:fill="FFFFFF"/>
        </w:rPr>
        <w:t xml:space="preserve">do </w:t>
      </w:r>
      <w:r w:rsidRPr="009C6CB3" w:rsidR="00AF4921">
        <w:rPr>
          <w:szCs w:val="26"/>
          <w:shd w:val="clear" w:color="auto" w:fill="FFFFFF"/>
        </w:rPr>
        <w:t>w</w:t>
      </w:r>
      <w:r w:rsidRPr="009C6CB3" w:rsidR="00414585">
        <w:rPr>
          <w:szCs w:val="26"/>
          <w:shd w:val="clear" w:color="auto" w:fill="FFFFFF"/>
        </w:rPr>
        <w:t>e have before us a section</w:t>
      </w:r>
      <w:r w:rsidRPr="009C6CB3" w:rsidR="000C065D">
        <w:rPr>
          <w:szCs w:val="26"/>
          <w:shd w:val="clear" w:color="auto" w:fill="FFFFFF"/>
        </w:rPr>
        <w:t> </w:t>
      </w:r>
      <w:r w:rsidRPr="009C6CB3" w:rsidR="00414585">
        <w:rPr>
          <w:szCs w:val="26"/>
          <w:shd w:val="clear" w:color="auto" w:fill="FFFFFF"/>
        </w:rPr>
        <w:t>1170.95 proceeding in which the trial court relied on facts</w:t>
      </w:r>
      <w:r w:rsidR="00D0217C">
        <w:rPr>
          <w:szCs w:val="26"/>
          <w:shd w:val="clear" w:color="auto" w:fill="FFFFFF"/>
        </w:rPr>
        <w:t xml:space="preserve"> not found by a jury</w:t>
      </w:r>
      <w:r w:rsidRPr="009C6CB3" w:rsidR="00414585">
        <w:rPr>
          <w:szCs w:val="26"/>
          <w:shd w:val="clear" w:color="auto" w:fill="FFFFFF"/>
        </w:rPr>
        <w:t xml:space="preserve"> to sustain an otherwise invalid conviction.  </w:t>
      </w:r>
      <w:r w:rsidRPr="009C6CB3" w:rsidR="00AF4921">
        <w:rPr>
          <w:szCs w:val="26"/>
          <w:shd w:val="clear" w:color="auto" w:fill="FFFFFF"/>
        </w:rPr>
        <w:t xml:space="preserve">Accordingly, we </w:t>
      </w:r>
      <w:r w:rsidRPr="009C6CB3" w:rsidR="00A2697A">
        <w:rPr>
          <w:szCs w:val="26"/>
          <w:shd w:val="clear" w:color="auto" w:fill="FFFFFF"/>
        </w:rPr>
        <w:t xml:space="preserve">have no occasion </w:t>
      </w:r>
      <w:r w:rsidRPr="009C6CB3" w:rsidR="00CA6B0F">
        <w:rPr>
          <w:szCs w:val="26"/>
          <w:shd w:val="clear" w:color="auto" w:fill="FFFFFF"/>
        </w:rPr>
        <w:t xml:space="preserve">here </w:t>
      </w:r>
      <w:r w:rsidRPr="009C6CB3" w:rsidR="00A2697A">
        <w:rPr>
          <w:szCs w:val="26"/>
          <w:shd w:val="clear" w:color="auto" w:fill="FFFFFF"/>
        </w:rPr>
        <w:t xml:space="preserve">to opine </w:t>
      </w:r>
      <w:r w:rsidRPr="009C6CB3" w:rsidR="00AF4921">
        <w:rPr>
          <w:szCs w:val="26"/>
          <w:shd w:val="clear" w:color="auto" w:fill="FFFFFF"/>
        </w:rPr>
        <w:t xml:space="preserve">on whether </w:t>
      </w:r>
      <w:bookmarkStart w:id="171" w:name="Psych_Cite_164"/>
      <w:r w:rsidR="000764F7">
        <w:rPr>
          <w:szCs w:val="26"/>
          <w:shd w:val="clear" w:color="auto" w:fill="FFFFFF"/>
        </w:rPr>
        <w:t xml:space="preserve">denial of a </w:t>
      </w:r>
      <w:r w:rsidRPr="009C6CB3" w:rsidR="00AF4921">
        <w:rPr>
          <w:szCs w:val="26"/>
          <w:shd w:val="clear" w:color="auto" w:fill="FFFFFF"/>
        </w:rPr>
        <w:t>section 1170.95</w:t>
      </w:r>
      <w:bookmarkEnd w:id="171"/>
      <w:r w:rsidRPr="009C6CB3" w:rsidR="00AF4921">
        <w:rPr>
          <w:szCs w:val="26"/>
          <w:shd w:val="clear" w:color="auto" w:fill="FFFFFF"/>
        </w:rPr>
        <w:t xml:space="preserve"> </w:t>
      </w:r>
      <w:r w:rsidR="000764F7">
        <w:rPr>
          <w:szCs w:val="26"/>
          <w:shd w:val="clear" w:color="auto" w:fill="FFFFFF"/>
        </w:rPr>
        <w:t xml:space="preserve">petition on the basis of </w:t>
      </w:r>
      <w:r w:rsidR="00D30CD1">
        <w:rPr>
          <w:szCs w:val="26"/>
          <w:shd w:val="clear" w:color="auto" w:fill="FFFFFF"/>
        </w:rPr>
        <w:t>such</w:t>
      </w:r>
      <w:r w:rsidR="000764F7">
        <w:rPr>
          <w:szCs w:val="26"/>
          <w:shd w:val="clear" w:color="auto" w:fill="FFFFFF"/>
        </w:rPr>
        <w:t xml:space="preserve"> factual findings would </w:t>
      </w:r>
      <w:r w:rsidRPr="009C6CB3" w:rsidR="00AF4921">
        <w:rPr>
          <w:szCs w:val="26"/>
          <w:shd w:val="clear" w:color="auto" w:fill="FFFFFF"/>
        </w:rPr>
        <w:t xml:space="preserve">run afoul of </w:t>
      </w:r>
      <w:r w:rsidRPr="009C6CB3" w:rsidR="00AF4921">
        <w:rPr>
          <w:i/>
          <w:szCs w:val="26"/>
          <w:shd w:val="clear" w:color="auto" w:fill="FFFFFF"/>
        </w:rPr>
        <w:t>Apprendi</w:t>
      </w:r>
      <w:r w:rsidRPr="009C6CB3" w:rsidR="00AF4921">
        <w:rPr>
          <w:szCs w:val="26"/>
          <w:shd w:val="clear" w:color="auto" w:fill="FFFFFF"/>
        </w:rPr>
        <w:t>.</w:t>
      </w:r>
    </w:p>
    <w:p w:rsidR="00430C1A" w:rsidRPr="009C6CB3" w:rsidP="009C6CB3">
      <w:pPr>
        <w:rPr>
          <w:rFonts w:cstheme="minorHAnsi"/>
          <w:szCs w:val="26"/>
        </w:rPr>
      </w:pPr>
      <w:r w:rsidRPr="009C6CB3">
        <w:rPr>
          <w:rFonts w:cstheme="minorHAnsi"/>
          <w:szCs w:val="26"/>
        </w:rPr>
        <w:tab/>
      </w:r>
      <w:r w:rsidRPr="009C6CB3" w:rsidR="002876AC">
        <w:rPr>
          <w:rFonts w:cstheme="minorHAnsi"/>
          <w:szCs w:val="26"/>
        </w:rPr>
        <w:t>Further</w:t>
      </w:r>
      <w:r w:rsidRPr="009C6CB3">
        <w:rPr>
          <w:rFonts w:cstheme="minorHAnsi"/>
          <w:szCs w:val="26"/>
        </w:rPr>
        <w:t xml:space="preserve">, </w:t>
      </w:r>
      <w:r w:rsidRPr="009C6CB3" w:rsidR="00075865">
        <w:rPr>
          <w:rFonts w:cstheme="minorHAnsi"/>
          <w:szCs w:val="26"/>
        </w:rPr>
        <w:t xml:space="preserve">Gentile </w:t>
      </w:r>
      <w:r w:rsidRPr="009C6CB3" w:rsidR="00AF4921">
        <w:rPr>
          <w:rFonts w:cstheme="minorHAnsi"/>
          <w:szCs w:val="26"/>
        </w:rPr>
        <w:t>contends</w:t>
      </w:r>
      <w:r w:rsidRPr="009C6CB3" w:rsidR="00075865">
        <w:rPr>
          <w:rFonts w:cstheme="minorHAnsi"/>
          <w:szCs w:val="26"/>
        </w:rPr>
        <w:t xml:space="preserve"> that requiring defendants to pursue </w:t>
      </w:r>
      <w:r w:rsidRPr="009C6CB3" w:rsidR="005846FA">
        <w:rPr>
          <w:rFonts w:cstheme="minorHAnsi"/>
          <w:szCs w:val="26"/>
        </w:rPr>
        <w:t xml:space="preserve">relief </w:t>
      </w:r>
      <w:r w:rsidRPr="009C6CB3" w:rsidR="00075865">
        <w:rPr>
          <w:rFonts w:cstheme="minorHAnsi"/>
          <w:szCs w:val="26"/>
        </w:rPr>
        <w:t>exclusive</w:t>
      </w:r>
      <w:r w:rsidRPr="009C6CB3" w:rsidR="00D54988">
        <w:rPr>
          <w:rFonts w:cstheme="minorHAnsi"/>
          <w:szCs w:val="26"/>
        </w:rPr>
        <w:t xml:space="preserve">ly </w:t>
      </w:r>
      <w:r w:rsidRPr="009C6CB3" w:rsidR="00075865">
        <w:rPr>
          <w:rFonts w:cstheme="minorHAnsi"/>
          <w:szCs w:val="26"/>
        </w:rPr>
        <w:t>through</w:t>
      </w:r>
      <w:r w:rsidRPr="009C6CB3" w:rsidR="005846FA">
        <w:rPr>
          <w:rFonts w:cstheme="minorHAnsi"/>
          <w:szCs w:val="26"/>
        </w:rPr>
        <w:t xml:space="preserve"> </w:t>
      </w:r>
      <w:bookmarkStart w:id="172" w:name="Psych_Cite_166"/>
      <w:r w:rsidRPr="009C6CB3" w:rsidR="00075865">
        <w:rPr>
          <w:rFonts w:cstheme="minorHAnsi"/>
          <w:szCs w:val="26"/>
        </w:rPr>
        <w:t>section 1170.95</w:t>
      </w:r>
      <w:bookmarkEnd w:id="172"/>
      <w:r w:rsidRPr="009C6CB3" w:rsidR="00075865">
        <w:rPr>
          <w:rFonts w:cstheme="minorHAnsi"/>
          <w:szCs w:val="26"/>
        </w:rPr>
        <w:t xml:space="preserve"> violates the appellate jurisdiction clause of the California Constitution</w:t>
      </w:r>
      <w:r w:rsidRPr="009C6CB3" w:rsidR="003D4B27">
        <w:rPr>
          <w:rFonts w:cstheme="minorHAnsi"/>
          <w:szCs w:val="26"/>
        </w:rPr>
        <w:t xml:space="preserve"> by </w:t>
      </w:r>
      <w:r w:rsidRPr="009C6CB3" w:rsidR="00B90CDB">
        <w:rPr>
          <w:rFonts w:cstheme="minorHAnsi"/>
          <w:szCs w:val="26"/>
        </w:rPr>
        <w:t>“cut[ting] off a significant limb of the Court of Appeal and this Court’s appellate jurisdiction and be</w:t>
      </w:r>
      <w:r w:rsidRPr="009C6CB3" w:rsidR="003E2DE1">
        <w:rPr>
          <w:rFonts w:cstheme="minorHAnsi"/>
          <w:szCs w:val="26"/>
        </w:rPr>
        <w:t>s</w:t>
      </w:r>
      <w:r w:rsidRPr="009C6CB3" w:rsidR="00B90CDB">
        <w:rPr>
          <w:rFonts w:cstheme="minorHAnsi"/>
          <w:szCs w:val="26"/>
        </w:rPr>
        <w:t>tow[ing] it onto the superior court</w:t>
      </w:r>
      <w:r w:rsidRPr="009C6CB3" w:rsidR="00075865">
        <w:rPr>
          <w:rFonts w:cstheme="minorHAnsi"/>
          <w:szCs w:val="26"/>
        </w:rPr>
        <w:t>.</w:t>
      </w:r>
      <w:r w:rsidRPr="009C6CB3" w:rsidR="00B90CDB">
        <w:rPr>
          <w:rFonts w:cstheme="minorHAnsi"/>
          <w:szCs w:val="26"/>
        </w:rPr>
        <w:t>”</w:t>
      </w:r>
      <w:r w:rsidRPr="009C6CB3" w:rsidR="00CD664B">
        <w:rPr>
          <w:rFonts w:cstheme="minorHAnsi"/>
          <w:szCs w:val="26"/>
        </w:rPr>
        <w:t xml:space="preserve">  </w:t>
      </w:r>
      <w:r w:rsidRPr="009C6CB3" w:rsidR="00F504F7">
        <w:rPr>
          <w:rFonts w:cstheme="minorHAnsi"/>
          <w:szCs w:val="26"/>
        </w:rPr>
        <w:t xml:space="preserve">(See </w:t>
      </w:r>
      <w:bookmarkStart w:id="173" w:name="Psych_Cite_165"/>
      <w:r w:rsidRPr="009C6CB3" w:rsidR="00F504F7">
        <w:rPr>
          <w:rFonts w:cstheme="minorHAnsi"/>
          <w:szCs w:val="26"/>
        </w:rPr>
        <w:t>Cal. Const., art.</w:t>
      </w:r>
      <w:r w:rsidRPr="009C6CB3" w:rsidR="00741873">
        <w:rPr>
          <w:rFonts w:cstheme="minorHAnsi"/>
          <w:szCs w:val="26"/>
        </w:rPr>
        <w:t> </w:t>
      </w:r>
      <w:r w:rsidRPr="009C6CB3" w:rsidR="00F504F7">
        <w:rPr>
          <w:rFonts w:cstheme="minorHAnsi"/>
          <w:szCs w:val="26"/>
        </w:rPr>
        <w:t>VI, § 11, subd. (a)</w:t>
      </w:r>
      <w:r w:rsidRPr="009C6CB3" w:rsidR="00F17CB8">
        <w:rPr>
          <w:rFonts w:cstheme="minorHAnsi"/>
          <w:szCs w:val="26"/>
        </w:rPr>
        <w:t xml:space="preserve"> </w:t>
      </w:r>
      <w:r w:rsidRPr="009C6CB3" w:rsidR="0031669F">
        <w:rPr>
          <w:rFonts w:cstheme="minorHAnsi"/>
          <w:szCs w:val="26"/>
        </w:rPr>
        <w:t xml:space="preserve">[with the exception of death penalty cases, the Courts of Appeal </w:t>
      </w:r>
      <w:r w:rsidRPr="009C6CB3" w:rsidR="00351AA6">
        <w:rPr>
          <w:rFonts w:cstheme="minorHAnsi"/>
          <w:szCs w:val="26"/>
        </w:rPr>
        <w:t>have appellate jurisdiction in virtually all cases where the superior courts had original jurisdiction</w:t>
      </w:r>
      <w:r w:rsidRPr="009C6CB3" w:rsidR="00FC7ED8">
        <w:rPr>
          <w:rFonts w:cstheme="minorHAnsi"/>
          <w:szCs w:val="26"/>
        </w:rPr>
        <w:t>, as well as in other cases when prescribed by statute</w:t>
      </w:r>
      <w:bookmarkEnd w:id="173"/>
      <w:r w:rsidRPr="009C6CB3" w:rsidR="00A547EF">
        <w:rPr>
          <w:rFonts w:cstheme="minorHAnsi"/>
          <w:szCs w:val="26"/>
        </w:rPr>
        <w:t xml:space="preserve">].) </w:t>
      </w:r>
      <w:r w:rsidRPr="009C6CB3" w:rsidR="00F504F7">
        <w:rPr>
          <w:rFonts w:cstheme="minorHAnsi"/>
          <w:szCs w:val="26"/>
        </w:rPr>
        <w:t xml:space="preserve"> </w:t>
      </w:r>
      <w:r w:rsidR="001C604C">
        <w:rPr>
          <w:rFonts w:cstheme="minorHAnsi"/>
          <w:szCs w:val="26"/>
        </w:rPr>
        <w:t>A</w:t>
      </w:r>
      <w:r w:rsidRPr="009C6CB3" w:rsidR="007D3F80">
        <w:rPr>
          <w:rFonts w:cstheme="minorHAnsi"/>
          <w:szCs w:val="26"/>
        </w:rPr>
        <w:t xml:space="preserve">s a matter of constitutional avoidance, </w:t>
      </w:r>
      <w:r w:rsidR="001C604C">
        <w:rPr>
          <w:rFonts w:cstheme="minorHAnsi"/>
          <w:szCs w:val="26"/>
        </w:rPr>
        <w:t xml:space="preserve">he says, </w:t>
      </w:r>
      <w:r w:rsidRPr="009C6CB3" w:rsidR="007D3F80">
        <w:rPr>
          <w:rFonts w:cstheme="minorHAnsi"/>
          <w:szCs w:val="26"/>
        </w:rPr>
        <w:t>we should</w:t>
      </w:r>
      <w:r w:rsidRPr="009C6CB3" w:rsidR="00AC5454">
        <w:rPr>
          <w:rFonts w:cstheme="minorHAnsi"/>
          <w:szCs w:val="26"/>
        </w:rPr>
        <w:t xml:space="preserve"> </w:t>
      </w:r>
      <w:r w:rsidRPr="009C6CB3" w:rsidR="007D3F80">
        <w:rPr>
          <w:rFonts w:cstheme="minorHAnsi"/>
          <w:szCs w:val="26"/>
        </w:rPr>
        <w:t xml:space="preserve">construe the </w:t>
      </w:r>
      <w:r w:rsidRPr="009C6CB3" w:rsidR="00B15EF4">
        <w:rPr>
          <w:rFonts w:cstheme="minorHAnsi"/>
          <w:szCs w:val="26"/>
        </w:rPr>
        <w:t xml:space="preserve">revisions to </w:t>
      </w:r>
      <w:bookmarkStart w:id="174" w:name="Psych_Cite_167"/>
      <w:r w:rsidRPr="009C6CB3" w:rsidR="00B15EF4">
        <w:rPr>
          <w:rFonts w:cstheme="minorHAnsi"/>
          <w:szCs w:val="26"/>
        </w:rPr>
        <w:t>section</w:t>
      </w:r>
      <w:r w:rsidR="00394DF1">
        <w:rPr>
          <w:rFonts w:cstheme="minorHAnsi"/>
          <w:szCs w:val="26"/>
        </w:rPr>
        <w:t>s</w:t>
      </w:r>
      <w:r w:rsidRPr="009C6CB3" w:rsidR="00B15EF4">
        <w:rPr>
          <w:rFonts w:cstheme="minorHAnsi"/>
          <w:szCs w:val="26"/>
        </w:rPr>
        <w:t xml:space="preserve"> 188 and 189</w:t>
      </w:r>
      <w:bookmarkEnd w:id="174"/>
      <w:r w:rsidRPr="009C6CB3" w:rsidR="00B15EF4">
        <w:rPr>
          <w:rFonts w:cstheme="minorHAnsi"/>
          <w:szCs w:val="26"/>
        </w:rPr>
        <w:t xml:space="preserve"> </w:t>
      </w:r>
      <w:r w:rsidRPr="009C6CB3" w:rsidR="007D3F80">
        <w:rPr>
          <w:rFonts w:cstheme="minorHAnsi"/>
          <w:szCs w:val="26"/>
        </w:rPr>
        <w:t xml:space="preserve">as </w:t>
      </w:r>
      <w:r w:rsidRPr="009C6CB3" w:rsidR="00B15EF4">
        <w:rPr>
          <w:rFonts w:cstheme="minorHAnsi"/>
          <w:szCs w:val="26"/>
        </w:rPr>
        <w:t>apply</w:t>
      </w:r>
      <w:r w:rsidRPr="009C6CB3" w:rsidR="007D3F80">
        <w:rPr>
          <w:rFonts w:cstheme="minorHAnsi"/>
          <w:szCs w:val="26"/>
        </w:rPr>
        <w:t>ing</w:t>
      </w:r>
      <w:r w:rsidRPr="009C6CB3" w:rsidR="00B15EF4">
        <w:rPr>
          <w:rFonts w:cstheme="minorHAnsi"/>
          <w:szCs w:val="26"/>
        </w:rPr>
        <w:t xml:space="preserve"> retroactively to cases not yet final </w:t>
      </w:r>
      <w:r w:rsidRPr="009C6CB3" w:rsidR="00644534">
        <w:rPr>
          <w:rFonts w:cstheme="minorHAnsi"/>
          <w:szCs w:val="26"/>
        </w:rPr>
        <w:t xml:space="preserve">on </w:t>
      </w:r>
      <w:r w:rsidRPr="009C6CB3" w:rsidR="00B15EF4">
        <w:rPr>
          <w:rFonts w:cstheme="minorHAnsi"/>
          <w:szCs w:val="26"/>
        </w:rPr>
        <w:t>appeal.</w:t>
      </w:r>
      <w:r w:rsidRPr="009C6CB3" w:rsidR="009317E8">
        <w:rPr>
          <w:rFonts w:cstheme="minorHAnsi"/>
          <w:szCs w:val="26"/>
        </w:rPr>
        <w:t xml:space="preserve"> </w:t>
      </w:r>
      <w:r w:rsidR="00A76A06">
        <w:rPr>
          <w:rFonts w:cstheme="minorHAnsi"/>
          <w:szCs w:val="26"/>
        </w:rPr>
        <w:t xml:space="preserve"> The </w:t>
      </w:r>
      <w:r w:rsidR="00AE45B3">
        <w:rPr>
          <w:rFonts w:cstheme="minorHAnsi"/>
          <w:szCs w:val="26"/>
        </w:rPr>
        <w:t xml:space="preserve">amicus brief of the </w:t>
      </w:r>
      <w:r w:rsidR="00A76A06">
        <w:rPr>
          <w:rFonts w:cstheme="minorHAnsi"/>
          <w:szCs w:val="26"/>
        </w:rPr>
        <w:t xml:space="preserve">California Attorneys for Criminal Justice echoes this argument.  </w:t>
      </w:r>
    </w:p>
    <w:p w:rsidR="002876AC" w:rsidRPr="009C6CB3" w:rsidP="009C6CB3">
      <w:pPr>
        <w:ind w:firstLine="720"/>
        <w:rPr>
          <w:rFonts w:cstheme="minorHAnsi"/>
          <w:szCs w:val="26"/>
        </w:rPr>
      </w:pPr>
      <w:r w:rsidRPr="009C6CB3">
        <w:rPr>
          <w:rFonts w:cstheme="minorHAnsi"/>
          <w:szCs w:val="26"/>
        </w:rPr>
        <w:t xml:space="preserve">But </w:t>
      </w:r>
      <w:r w:rsidRPr="009C6CB3" w:rsidR="00133256">
        <w:rPr>
          <w:rFonts w:cstheme="minorHAnsi"/>
          <w:szCs w:val="26"/>
        </w:rPr>
        <w:t>nothing in the language of the appellate jurisdiction clause “conveys an intention to grant litigants a right of direct appeal from judgments in proceedings within the superior courts’ original jurisdiction.”</w:t>
      </w:r>
      <w:r w:rsidRPr="009C6CB3" w:rsidR="000F10EF">
        <w:rPr>
          <w:rFonts w:cstheme="minorHAnsi"/>
          <w:szCs w:val="26"/>
        </w:rPr>
        <w:t xml:space="preserve">  </w:t>
      </w:r>
      <w:r w:rsidRPr="009C6CB3">
        <w:rPr>
          <w:rFonts w:cstheme="minorHAnsi"/>
          <w:szCs w:val="26"/>
        </w:rPr>
        <w:t>(</w:t>
      </w:r>
      <w:r w:rsidRPr="009C6CB3">
        <w:rPr>
          <w:rFonts w:cstheme="minorHAnsi"/>
          <w:i/>
          <w:iCs/>
          <w:szCs w:val="26"/>
        </w:rPr>
        <w:t>L</w:t>
      </w:r>
      <w:bookmarkStart w:id="175" w:name="Psych_Cite_170"/>
      <w:r w:rsidRPr="009C6CB3">
        <w:rPr>
          <w:rFonts w:cstheme="minorHAnsi"/>
          <w:i/>
          <w:iCs/>
          <w:szCs w:val="26"/>
        </w:rPr>
        <w:t>eone v. Medical B</w:t>
      </w:r>
      <w:r w:rsidR="00A51D4F">
        <w:rPr>
          <w:rFonts w:cstheme="minorHAnsi"/>
          <w:i/>
          <w:iCs/>
          <w:szCs w:val="26"/>
        </w:rPr>
        <w:t>oar</w:t>
      </w:r>
      <w:r w:rsidRPr="009C6CB3">
        <w:rPr>
          <w:rFonts w:cstheme="minorHAnsi"/>
          <w:i/>
          <w:iCs/>
          <w:szCs w:val="26"/>
        </w:rPr>
        <w:t>d</w:t>
      </w:r>
      <w:r w:rsidRPr="009C6CB3">
        <w:rPr>
          <w:rFonts w:cstheme="minorHAnsi"/>
          <w:szCs w:val="26"/>
        </w:rPr>
        <w:t xml:space="preserve"> (2000) 22</w:t>
      </w:r>
      <w:r w:rsidR="00607638">
        <w:rPr>
          <w:rFonts w:cstheme="minorHAnsi"/>
          <w:szCs w:val="26"/>
        </w:rPr>
        <w:t> </w:t>
      </w:r>
      <w:r w:rsidRPr="009C6CB3">
        <w:rPr>
          <w:rFonts w:cstheme="minorHAnsi"/>
          <w:szCs w:val="26"/>
        </w:rPr>
        <w:t>Cal.4th 660, 666</w:t>
      </w:r>
      <w:bookmarkEnd w:id="175"/>
      <w:r w:rsidRPr="009C6CB3">
        <w:rPr>
          <w:rFonts w:cstheme="minorHAnsi"/>
          <w:szCs w:val="26"/>
        </w:rPr>
        <w:t xml:space="preserve">.)  </w:t>
      </w:r>
      <w:r w:rsidRPr="009C6CB3" w:rsidR="000F10EF">
        <w:rPr>
          <w:rFonts w:cstheme="minorHAnsi"/>
          <w:szCs w:val="26"/>
        </w:rPr>
        <w:t>“</w:t>
      </w:r>
      <w:bookmarkStart w:id="176" w:name="QUOTE_BOOKMARK_IS_CONFIRMED_19"/>
      <w:r w:rsidR="00270F3A">
        <w:rPr>
          <w:rFonts w:cstheme="minorHAnsi"/>
          <w:szCs w:val="26"/>
        </w:rPr>
        <w:t> </w:t>
      </w:r>
      <w:r w:rsidR="00F82825">
        <w:rPr>
          <w:rFonts w:cstheme="minorHAnsi"/>
          <w:szCs w:val="26"/>
        </w:rPr>
        <w:t>‘Giving the words their ordinary meaning, the provision serves to establish and allocate judicial authority, not to define or guarantee the rights of litigants.  Indeed, the provision nowhere mentions direct appeals or a “right of appeal.”</w:t>
      </w:r>
      <w:r w:rsidR="00270F3A">
        <w:rPr>
          <w:rFonts w:cstheme="minorHAnsi"/>
          <w:szCs w:val="26"/>
        </w:rPr>
        <w:t> </w:t>
      </w:r>
      <w:r w:rsidR="00F82825">
        <w:rPr>
          <w:rFonts w:cstheme="minorHAnsi"/>
          <w:szCs w:val="26"/>
        </w:rPr>
        <w:t>’</w:t>
      </w:r>
      <w:bookmarkEnd w:id="176"/>
      <w:r w:rsidR="00270F3A">
        <w:rPr>
          <w:rFonts w:cstheme="minorHAnsi"/>
          <w:szCs w:val="26"/>
        </w:rPr>
        <w:t> </w:t>
      </w:r>
      <w:r w:rsidRPr="009C6CB3" w:rsidR="00A031C0">
        <w:rPr>
          <w:rFonts w:cstheme="minorHAnsi"/>
          <w:szCs w:val="26"/>
        </w:rPr>
        <w:t>”  (</w:t>
      </w:r>
      <w:bookmarkStart w:id="177" w:name="Psych_Cite_168"/>
      <w:r w:rsidRPr="009C6CB3" w:rsidR="00A031C0">
        <w:rPr>
          <w:rFonts w:cstheme="minorHAnsi"/>
          <w:i/>
          <w:iCs/>
          <w:szCs w:val="26"/>
        </w:rPr>
        <w:t>Ibid</w:t>
      </w:r>
      <w:r w:rsidRPr="009C6CB3" w:rsidR="00A031C0">
        <w:rPr>
          <w:rFonts w:cstheme="minorHAnsi"/>
          <w:szCs w:val="26"/>
        </w:rPr>
        <w:t>.</w:t>
      </w:r>
      <w:bookmarkEnd w:id="177"/>
      <w:r w:rsidRPr="009C6CB3" w:rsidR="00EB1355">
        <w:rPr>
          <w:rFonts w:cstheme="minorHAnsi"/>
          <w:szCs w:val="26"/>
        </w:rPr>
        <w:t>)</w:t>
      </w:r>
      <w:r w:rsidRPr="009C6CB3" w:rsidR="00F91339">
        <w:rPr>
          <w:rFonts w:cstheme="minorHAnsi"/>
          <w:szCs w:val="26"/>
        </w:rPr>
        <w:t xml:space="preserve"> </w:t>
      </w:r>
      <w:r w:rsidRPr="009C6CB3">
        <w:rPr>
          <w:rFonts w:cstheme="minorHAnsi"/>
          <w:szCs w:val="26"/>
        </w:rPr>
        <w:t xml:space="preserve">  It is true that </w:t>
      </w:r>
      <w:r w:rsidRPr="009C6CB3" w:rsidR="0060553B">
        <w:rPr>
          <w:rFonts w:cstheme="minorHAnsi"/>
          <w:szCs w:val="26"/>
        </w:rPr>
        <w:t>“</w:t>
      </w:r>
      <w:bookmarkStart w:id="178" w:name="QUOTE_BOOKMARK_IS_CONFIRMED_20"/>
      <w:r w:rsidR="00F82825">
        <w:rPr>
          <w:rFonts w:cstheme="minorHAnsi"/>
          <w:szCs w:val="26"/>
        </w:rPr>
        <w:t>[b]ecause the appellate jurisdiction clause is a grant of judicial authority, the Legislature may not restrict appellate review in a manner that would ‘</w:t>
      </w:r>
      <w:r w:rsidR="00270F3A">
        <w:rPr>
          <w:rFonts w:cstheme="minorHAnsi"/>
          <w:szCs w:val="26"/>
        </w:rPr>
        <w:t> </w:t>
      </w:r>
      <w:r w:rsidR="00F82825">
        <w:rPr>
          <w:rFonts w:cstheme="minorHAnsi"/>
          <w:szCs w:val="26"/>
        </w:rPr>
        <w:t>“substantially impair the constitutional powers of the courts, or practically defeat their exercise.”</w:t>
      </w:r>
      <w:r w:rsidR="00270F3A">
        <w:rPr>
          <w:rFonts w:cstheme="minorHAnsi"/>
          <w:szCs w:val="26"/>
        </w:rPr>
        <w:t> </w:t>
      </w:r>
      <w:r w:rsidR="00F82825">
        <w:rPr>
          <w:rFonts w:cstheme="minorHAnsi"/>
          <w:szCs w:val="26"/>
        </w:rPr>
        <w:t>’</w:t>
      </w:r>
      <w:bookmarkEnd w:id="178"/>
      <w:r w:rsidR="00270F3A">
        <w:rPr>
          <w:rFonts w:cstheme="minorHAnsi"/>
          <w:szCs w:val="26"/>
        </w:rPr>
        <w:t> </w:t>
      </w:r>
      <w:r w:rsidRPr="009C6CB3" w:rsidR="00671CFB">
        <w:rPr>
          <w:rFonts w:cstheme="minorHAnsi"/>
          <w:szCs w:val="26"/>
        </w:rPr>
        <w:t xml:space="preserve">” </w:t>
      </w:r>
      <w:r w:rsidRPr="009C6CB3">
        <w:rPr>
          <w:rFonts w:cstheme="minorHAnsi"/>
          <w:szCs w:val="26"/>
        </w:rPr>
        <w:t xml:space="preserve"> </w:t>
      </w:r>
      <w:r w:rsidRPr="009C6CB3" w:rsidR="009E1D11">
        <w:rPr>
          <w:rFonts w:cstheme="minorHAnsi"/>
          <w:szCs w:val="26"/>
        </w:rPr>
        <w:t>(</w:t>
      </w:r>
      <w:bookmarkStart w:id="179" w:name="Psych_Cite_169"/>
      <w:r w:rsidRPr="009C6CB3" w:rsidR="00D57ACF">
        <w:rPr>
          <w:rFonts w:cstheme="minorHAnsi"/>
          <w:i/>
          <w:iCs/>
          <w:szCs w:val="26"/>
        </w:rPr>
        <w:t>I</w:t>
      </w:r>
      <w:r w:rsidR="00966AFA">
        <w:rPr>
          <w:rFonts w:cstheme="minorHAnsi"/>
          <w:i/>
          <w:iCs/>
          <w:szCs w:val="26"/>
        </w:rPr>
        <w:t>d</w:t>
      </w:r>
      <w:r w:rsidRPr="009C6CB3" w:rsidR="00D57ACF">
        <w:rPr>
          <w:rFonts w:cstheme="minorHAnsi"/>
          <w:i/>
          <w:iCs/>
          <w:szCs w:val="26"/>
        </w:rPr>
        <w:t>.</w:t>
      </w:r>
      <w:r w:rsidR="00966AFA">
        <w:rPr>
          <w:rFonts w:cstheme="minorHAnsi"/>
          <w:i/>
          <w:iCs/>
          <w:szCs w:val="26"/>
        </w:rPr>
        <w:t xml:space="preserve"> </w:t>
      </w:r>
      <w:r w:rsidR="00966AFA">
        <w:rPr>
          <w:rFonts w:cstheme="minorHAnsi"/>
          <w:szCs w:val="26"/>
        </w:rPr>
        <w:t>at p. 668</w:t>
      </w:r>
      <w:bookmarkEnd w:id="179"/>
      <w:r w:rsidR="00966AFA">
        <w:rPr>
          <w:rFonts w:cstheme="minorHAnsi"/>
          <w:szCs w:val="26"/>
        </w:rPr>
        <w:t>.</w:t>
      </w:r>
      <w:r w:rsidRPr="009C6CB3">
        <w:rPr>
          <w:rFonts w:cstheme="minorHAnsi"/>
          <w:iCs/>
          <w:szCs w:val="26"/>
        </w:rPr>
        <w:t>)</w:t>
      </w:r>
      <w:r w:rsidRPr="009C6CB3" w:rsidR="00DF1BAA">
        <w:rPr>
          <w:rFonts w:cstheme="minorHAnsi"/>
          <w:szCs w:val="26"/>
        </w:rPr>
        <w:t xml:space="preserve">  </w:t>
      </w:r>
      <w:r w:rsidRPr="009C6CB3">
        <w:rPr>
          <w:rFonts w:cstheme="minorHAnsi"/>
          <w:szCs w:val="26"/>
        </w:rPr>
        <w:t xml:space="preserve">But </w:t>
      </w:r>
      <w:r w:rsidRPr="009C6CB3" w:rsidR="00DF1BAA">
        <w:rPr>
          <w:rFonts w:cstheme="minorHAnsi"/>
          <w:szCs w:val="26"/>
        </w:rPr>
        <w:t>S</w:t>
      </w:r>
      <w:r w:rsidRPr="009C6CB3" w:rsidR="007B72E8">
        <w:rPr>
          <w:rFonts w:cstheme="minorHAnsi"/>
          <w:szCs w:val="26"/>
        </w:rPr>
        <w:t xml:space="preserve">enate Bill 1437 does not </w:t>
      </w:r>
      <w:r w:rsidRPr="009C6CB3">
        <w:rPr>
          <w:rFonts w:cstheme="minorHAnsi"/>
          <w:szCs w:val="26"/>
        </w:rPr>
        <w:t xml:space="preserve">cause </w:t>
      </w:r>
      <w:r w:rsidRPr="009C6CB3" w:rsidR="007D56AA">
        <w:rPr>
          <w:rFonts w:cstheme="minorHAnsi"/>
          <w:szCs w:val="26"/>
        </w:rPr>
        <w:t xml:space="preserve">any such impairment.  </w:t>
      </w:r>
      <w:r w:rsidRPr="009C6CB3">
        <w:rPr>
          <w:rFonts w:cstheme="minorHAnsi"/>
          <w:szCs w:val="26"/>
        </w:rPr>
        <w:t xml:space="preserve">Although </w:t>
      </w:r>
      <w:r w:rsidRPr="009C6CB3" w:rsidR="00387C44">
        <w:rPr>
          <w:rFonts w:cstheme="minorHAnsi"/>
          <w:szCs w:val="26"/>
        </w:rPr>
        <w:t xml:space="preserve">Gentile may not </w:t>
      </w:r>
      <w:r w:rsidRPr="009C6CB3">
        <w:rPr>
          <w:rFonts w:cstheme="minorHAnsi"/>
          <w:szCs w:val="26"/>
        </w:rPr>
        <w:t xml:space="preserve">obtain relief from </w:t>
      </w:r>
      <w:r w:rsidRPr="009C6CB3" w:rsidR="00387C44">
        <w:rPr>
          <w:rFonts w:cstheme="minorHAnsi"/>
          <w:szCs w:val="26"/>
        </w:rPr>
        <w:t xml:space="preserve">his sentence </w:t>
      </w:r>
      <w:r w:rsidRPr="009C6CB3">
        <w:rPr>
          <w:rFonts w:cstheme="minorHAnsi"/>
          <w:szCs w:val="26"/>
        </w:rPr>
        <w:t xml:space="preserve">under </w:t>
      </w:r>
      <w:r w:rsidRPr="009C6CB3" w:rsidR="00387C44">
        <w:rPr>
          <w:rFonts w:cstheme="minorHAnsi"/>
          <w:szCs w:val="26"/>
        </w:rPr>
        <w:t>the ameliorative provisions of Senate Bill</w:t>
      </w:r>
      <w:r w:rsidRPr="009C6CB3" w:rsidR="00523F76">
        <w:rPr>
          <w:rFonts w:cstheme="minorHAnsi"/>
          <w:szCs w:val="26"/>
        </w:rPr>
        <w:t> </w:t>
      </w:r>
      <w:r w:rsidRPr="009C6CB3" w:rsidR="00387C44">
        <w:rPr>
          <w:rFonts w:cstheme="minorHAnsi"/>
          <w:szCs w:val="26"/>
        </w:rPr>
        <w:t xml:space="preserve">1437 on direct review, he may still exercise his right under </w:t>
      </w:r>
      <w:bookmarkStart w:id="180" w:name="Psych_Cite_171"/>
      <w:r w:rsidRPr="009C6CB3" w:rsidR="00387C44">
        <w:rPr>
          <w:rFonts w:cstheme="minorHAnsi"/>
          <w:szCs w:val="26"/>
        </w:rPr>
        <w:t>section 1237</w:t>
      </w:r>
      <w:bookmarkEnd w:id="180"/>
      <w:r w:rsidRPr="009C6CB3" w:rsidR="00387C44">
        <w:rPr>
          <w:rFonts w:cstheme="minorHAnsi"/>
          <w:szCs w:val="26"/>
        </w:rPr>
        <w:t xml:space="preserve"> to appeal his felony conviction on other </w:t>
      </w:r>
      <w:r w:rsidRPr="009C6CB3" w:rsidR="00570684">
        <w:rPr>
          <w:rFonts w:cstheme="minorHAnsi"/>
          <w:szCs w:val="26"/>
        </w:rPr>
        <w:t xml:space="preserve">available </w:t>
      </w:r>
      <w:r w:rsidRPr="009C6CB3" w:rsidR="00387C44">
        <w:rPr>
          <w:rFonts w:cstheme="minorHAnsi"/>
          <w:szCs w:val="26"/>
        </w:rPr>
        <w:t xml:space="preserve">grounds.  </w:t>
      </w:r>
      <w:r w:rsidRPr="009C6CB3" w:rsidR="001724BF">
        <w:rPr>
          <w:rFonts w:cstheme="minorHAnsi"/>
          <w:szCs w:val="26"/>
        </w:rPr>
        <w:t xml:space="preserve">And if the superior court holds that Gentile is not entitled to relief </w:t>
      </w:r>
      <w:r w:rsidRPr="009C6CB3">
        <w:rPr>
          <w:rFonts w:cstheme="minorHAnsi"/>
          <w:szCs w:val="26"/>
        </w:rPr>
        <w:t xml:space="preserve">under </w:t>
      </w:r>
      <w:bookmarkStart w:id="181" w:name="Psych_Cite_172"/>
      <w:r w:rsidRPr="009C6CB3" w:rsidR="001724BF">
        <w:rPr>
          <w:rFonts w:cstheme="minorHAnsi"/>
          <w:szCs w:val="26"/>
        </w:rPr>
        <w:t>section</w:t>
      </w:r>
      <w:r w:rsidR="00774FD1">
        <w:rPr>
          <w:rFonts w:cstheme="minorHAnsi"/>
          <w:szCs w:val="26"/>
        </w:rPr>
        <w:t> </w:t>
      </w:r>
      <w:r w:rsidRPr="009C6CB3" w:rsidR="001724BF">
        <w:rPr>
          <w:rFonts w:cstheme="minorHAnsi"/>
          <w:szCs w:val="26"/>
        </w:rPr>
        <w:t>1170.95</w:t>
      </w:r>
      <w:bookmarkEnd w:id="181"/>
      <w:r w:rsidRPr="009C6CB3" w:rsidR="001724BF">
        <w:rPr>
          <w:rFonts w:cstheme="minorHAnsi"/>
          <w:szCs w:val="26"/>
        </w:rPr>
        <w:t xml:space="preserve">, </w:t>
      </w:r>
      <w:r w:rsidRPr="009C6CB3" w:rsidR="00844556">
        <w:rPr>
          <w:rFonts w:cstheme="minorHAnsi"/>
          <w:szCs w:val="26"/>
        </w:rPr>
        <w:t xml:space="preserve">he </w:t>
      </w:r>
      <w:r w:rsidRPr="009C6CB3">
        <w:rPr>
          <w:rFonts w:cstheme="minorHAnsi"/>
          <w:szCs w:val="26"/>
        </w:rPr>
        <w:t>may</w:t>
      </w:r>
      <w:r w:rsidRPr="009C6CB3" w:rsidR="00844556">
        <w:rPr>
          <w:rFonts w:cstheme="minorHAnsi"/>
          <w:szCs w:val="26"/>
        </w:rPr>
        <w:t xml:space="preserve"> appeal that ruling.  </w:t>
      </w:r>
      <w:r w:rsidRPr="009C6CB3">
        <w:rPr>
          <w:rFonts w:cstheme="minorHAnsi"/>
          <w:szCs w:val="26"/>
        </w:rPr>
        <w:t xml:space="preserve">Because </w:t>
      </w:r>
      <w:r w:rsidRPr="009C6CB3" w:rsidR="00BE0EB0">
        <w:rPr>
          <w:rFonts w:cstheme="minorHAnsi"/>
          <w:szCs w:val="26"/>
        </w:rPr>
        <w:t>S</w:t>
      </w:r>
      <w:r w:rsidRPr="009C6CB3" w:rsidR="001E724C">
        <w:rPr>
          <w:rFonts w:cstheme="minorHAnsi"/>
          <w:szCs w:val="26"/>
        </w:rPr>
        <w:t>enate Bill 1437</w:t>
      </w:r>
      <w:r w:rsidRPr="009C6CB3" w:rsidR="00BE0EB0">
        <w:rPr>
          <w:rFonts w:cstheme="minorHAnsi"/>
          <w:szCs w:val="26"/>
        </w:rPr>
        <w:t xml:space="preserve"> does not </w:t>
      </w:r>
      <w:r w:rsidRPr="009C6CB3">
        <w:rPr>
          <w:rFonts w:cstheme="minorHAnsi"/>
          <w:szCs w:val="26"/>
        </w:rPr>
        <w:t xml:space="preserve">bar </w:t>
      </w:r>
      <w:r w:rsidRPr="009C6CB3" w:rsidR="00BE0EB0">
        <w:rPr>
          <w:rFonts w:cstheme="minorHAnsi"/>
          <w:szCs w:val="26"/>
        </w:rPr>
        <w:t>appellate review of Gentile’s</w:t>
      </w:r>
      <w:r w:rsidRPr="009C6CB3" w:rsidR="0022328F">
        <w:rPr>
          <w:rFonts w:cstheme="minorHAnsi"/>
          <w:szCs w:val="26"/>
        </w:rPr>
        <w:t xml:space="preserve"> </w:t>
      </w:r>
      <w:r w:rsidRPr="009C6CB3">
        <w:rPr>
          <w:rFonts w:cstheme="minorHAnsi"/>
          <w:szCs w:val="26"/>
        </w:rPr>
        <w:t>claim for relief,</w:t>
      </w:r>
      <w:r w:rsidRPr="009C6CB3" w:rsidR="00841445">
        <w:rPr>
          <w:rFonts w:cstheme="minorHAnsi"/>
          <w:szCs w:val="26"/>
        </w:rPr>
        <w:t xml:space="preserve"> it</w:t>
      </w:r>
      <w:r w:rsidRPr="009C6CB3">
        <w:rPr>
          <w:rFonts w:cstheme="minorHAnsi"/>
          <w:szCs w:val="26"/>
        </w:rPr>
        <w:t xml:space="preserve"> </w:t>
      </w:r>
      <w:r w:rsidRPr="009C6CB3" w:rsidR="0022328F">
        <w:rPr>
          <w:rFonts w:cstheme="minorHAnsi"/>
          <w:szCs w:val="26"/>
        </w:rPr>
        <w:t xml:space="preserve">does not </w:t>
      </w:r>
      <w:r w:rsidRPr="009C6CB3" w:rsidR="001E724C">
        <w:rPr>
          <w:rFonts w:cstheme="minorHAnsi"/>
          <w:szCs w:val="26"/>
        </w:rPr>
        <w:t>violate the appellate jurisdiction clause of the California Constitution</w:t>
      </w:r>
      <w:r w:rsidRPr="009C6CB3" w:rsidR="0022328F">
        <w:rPr>
          <w:rFonts w:cstheme="minorHAnsi"/>
          <w:szCs w:val="26"/>
        </w:rPr>
        <w:t>.</w:t>
      </w:r>
    </w:p>
    <w:p w:rsidR="002876AC" w:rsidRPr="009C6CB3" w:rsidP="009C6CB3">
      <w:pPr>
        <w:ind w:firstLine="720"/>
        <w:rPr>
          <w:rFonts w:cstheme="minorHAnsi"/>
          <w:szCs w:val="26"/>
        </w:rPr>
      </w:pPr>
      <w:r w:rsidRPr="009C6CB3">
        <w:rPr>
          <w:rFonts w:cstheme="minorHAnsi"/>
          <w:szCs w:val="26"/>
        </w:rPr>
        <w:t xml:space="preserve">Finally, </w:t>
      </w:r>
      <w:r w:rsidRPr="009C6CB3" w:rsidR="00F42682">
        <w:rPr>
          <w:szCs w:val="26"/>
        </w:rPr>
        <w:t>the Office of the State Public Defender argues that our reading of Senate Bill 1437 will lead to unnecessary delay</w:t>
      </w:r>
      <w:r w:rsidRPr="009C6CB3" w:rsidR="00C04DE5">
        <w:rPr>
          <w:szCs w:val="26"/>
        </w:rPr>
        <w:t xml:space="preserve"> </w:t>
      </w:r>
      <w:r w:rsidRPr="009C6CB3" w:rsidR="00F42682">
        <w:rPr>
          <w:szCs w:val="26"/>
        </w:rPr>
        <w:t>if defendant</w:t>
      </w:r>
      <w:r w:rsidRPr="009C6CB3" w:rsidR="002C57A2">
        <w:rPr>
          <w:szCs w:val="26"/>
        </w:rPr>
        <w:t>s</w:t>
      </w:r>
      <w:r w:rsidRPr="009C6CB3" w:rsidR="00F42682">
        <w:rPr>
          <w:szCs w:val="26"/>
        </w:rPr>
        <w:t xml:space="preserve"> </w:t>
      </w:r>
      <w:r w:rsidRPr="009C6CB3" w:rsidR="002C57A2">
        <w:rPr>
          <w:szCs w:val="26"/>
        </w:rPr>
        <w:t>a</w:t>
      </w:r>
      <w:r w:rsidRPr="009C6CB3" w:rsidR="00F42682">
        <w:rPr>
          <w:szCs w:val="26"/>
        </w:rPr>
        <w:t xml:space="preserve">wait </w:t>
      </w:r>
      <w:r w:rsidRPr="009C6CB3" w:rsidR="002C57A2">
        <w:rPr>
          <w:szCs w:val="26"/>
        </w:rPr>
        <w:t xml:space="preserve">resolution of their direct appeals before filing a </w:t>
      </w:r>
      <w:bookmarkStart w:id="182" w:name="Psych_Cite_178"/>
      <w:r w:rsidRPr="009C6CB3" w:rsidR="00F42682">
        <w:rPr>
          <w:szCs w:val="26"/>
        </w:rPr>
        <w:t>section 1170.95</w:t>
      </w:r>
      <w:bookmarkEnd w:id="182"/>
      <w:r w:rsidRPr="009C6CB3" w:rsidR="00F42682">
        <w:rPr>
          <w:szCs w:val="26"/>
        </w:rPr>
        <w:t xml:space="preserve"> </w:t>
      </w:r>
      <w:r w:rsidRPr="009C6CB3" w:rsidR="002C57A2">
        <w:rPr>
          <w:szCs w:val="26"/>
        </w:rPr>
        <w:t>petition.  But nothing prevents defendants from seeking to stay their direct appeals in order to pursue relief under Senate Bill 1437.  While a notice of appeal vests exclusive jurisdiction in the appellate court “until determination of the appeal and issuance of the remittitur” (</w:t>
      </w:r>
      <w:bookmarkStart w:id="183" w:name="Psych_Cite_173"/>
      <w:r w:rsidRPr="009C6CB3" w:rsidR="002C57A2">
        <w:rPr>
          <w:i/>
          <w:iCs/>
          <w:szCs w:val="26"/>
        </w:rPr>
        <w:t>People v. Perez</w:t>
      </w:r>
      <w:r w:rsidRPr="009C6CB3" w:rsidR="002C57A2">
        <w:rPr>
          <w:szCs w:val="26"/>
        </w:rPr>
        <w:t xml:space="preserve"> (1979) 23 Cal.3d 545, 554</w:t>
      </w:r>
      <w:bookmarkEnd w:id="183"/>
      <w:r w:rsidRPr="009C6CB3" w:rsidR="002C57A2">
        <w:rPr>
          <w:szCs w:val="26"/>
        </w:rPr>
        <w:t xml:space="preserve">), a defendant may nevertheless file a motion in the appellate court requesting a stay of the appeal and a limited remand for the purpose of pursuing </w:t>
      </w:r>
      <w:bookmarkStart w:id="184" w:name="Psych_Cite_179"/>
      <w:r w:rsidRPr="009C6CB3" w:rsidR="002C57A2">
        <w:rPr>
          <w:szCs w:val="26"/>
        </w:rPr>
        <w:t>section 1170.95</w:t>
      </w:r>
      <w:bookmarkEnd w:id="184"/>
      <w:r w:rsidRPr="009C6CB3" w:rsidR="002C57A2">
        <w:rPr>
          <w:szCs w:val="26"/>
        </w:rPr>
        <w:t xml:space="preserve"> relief.  An appellate court may grant such a stay and limited remand where good cause supports the motion.  (</w:t>
      </w:r>
      <w:bookmarkStart w:id="185" w:name="Psych_Cite_174"/>
      <w:r w:rsidRPr="009C6CB3" w:rsidR="002C57A2">
        <w:rPr>
          <w:szCs w:val="26"/>
        </w:rPr>
        <w:t xml:space="preserve">See </w:t>
      </w:r>
      <w:r w:rsidRPr="009C6CB3" w:rsidR="002C57A2">
        <w:rPr>
          <w:i/>
          <w:iCs/>
          <w:szCs w:val="26"/>
        </w:rPr>
        <w:t>Martinez</w:t>
      </w:r>
      <w:r w:rsidRPr="009C6CB3" w:rsidR="002C57A2">
        <w:rPr>
          <w:szCs w:val="26"/>
        </w:rPr>
        <w:t xml:space="preserve">, </w:t>
      </w:r>
      <w:r w:rsidRPr="009C6CB3" w:rsidR="002C57A2">
        <w:rPr>
          <w:i/>
          <w:iCs/>
          <w:szCs w:val="26"/>
        </w:rPr>
        <w:t>supra</w:t>
      </w:r>
      <w:r w:rsidRPr="009C6CB3" w:rsidR="002C57A2">
        <w:rPr>
          <w:szCs w:val="26"/>
        </w:rPr>
        <w:t>, 31 Cal.App.5th at p. 729</w:t>
      </w:r>
      <w:bookmarkEnd w:id="185"/>
      <w:r w:rsidRPr="009C6CB3" w:rsidR="002C57A2">
        <w:rPr>
          <w:szCs w:val="26"/>
        </w:rPr>
        <w:t xml:space="preserve">; </w:t>
      </w:r>
      <w:bookmarkStart w:id="186" w:name="Psych_Cite_175"/>
      <w:r w:rsidRPr="009C6CB3" w:rsidR="002C57A2">
        <w:rPr>
          <w:i/>
          <w:iCs/>
          <w:szCs w:val="26"/>
        </w:rPr>
        <w:t>Cervantes</w:t>
      </w:r>
      <w:r w:rsidRPr="009C6CB3" w:rsidR="002C57A2">
        <w:rPr>
          <w:szCs w:val="26"/>
        </w:rPr>
        <w:t>,</w:t>
      </w:r>
      <w:r w:rsidRPr="009C6CB3" w:rsidR="00C04DE5">
        <w:rPr>
          <w:szCs w:val="26"/>
        </w:rPr>
        <w:t xml:space="preserve"> </w:t>
      </w:r>
      <w:r w:rsidRPr="009C6CB3" w:rsidR="00C04DE5">
        <w:rPr>
          <w:i/>
          <w:szCs w:val="26"/>
        </w:rPr>
        <w:t>supra</w:t>
      </w:r>
      <w:r w:rsidRPr="009C6CB3" w:rsidR="00C04DE5">
        <w:rPr>
          <w:szCs w:val="26"/>
        </w:rPr>
        <w:t>,</w:t>
      </w:r>
      <w:r w:rsidRPr="009C6CB3" w:rsidR="002C57A2">
        <w:rPr>
          <w:szCs w:val="26"/>
        </w:rPr>
        <w:t xml:space="preserve"> 46 Cal.App.5th at p.</w:t>
      </w:r>
      <w:r w:rsidRPr="009C6CB3" w:rsidR="00C04DE5">
        <w:rPr>
          <w:szCs w:val="26"/>
        </w:rPr>
        <w:t> </w:t>
      </w:r>
      <w:r w:rsidRPr="009C6CB3" w:rsidR="002C57A2">
        <w:rPr>
          <w:szCs w:val="26"/>
        </w:rPr>
        <w:t>226</w:t>
      </w:r>
      <w:bookmarkEnd w:id="186"/>
      <w:r w:rsidRPr="009C6CB3" w:rsidR="002C57A2">
        <w:rPr>
          <w:szCs w:val="26"/>
        </w:rPr>
        <w:t xml:space="preserve">; </w:t>
      </w:r>
      <w:bookmarkStart w:id="187" w:name="Psych_Cite_176"/>
      <w:r w:rsidRPr="009C6CB3" w:rsidR="002C57A2">
        <w:rPr>
          <w:szCs w:val="26"/>
        </w:rPr>
        <w:t xml:space="preserve">see also </w:t>
      </w:r>
      <w:r w:rsidRPr="009C6CB3" w:rsidR="002C57A2">
        <w:rPr>
          <w:i/>
          <w:iCs/>
          <w:szCs w:val="26"/>
        </w:rPr>
        <w:t xml:space="preserve">People v. Awad </w:t>
      </w:r>
      <w:r w:rsidRPr="009C6CB3" w:rsidR="002C57A2">
        <w:rPr>
          <w:szCs w:val="26"/>
        </w:rPr>
        <w:t>(2015) 238 Cal.App.4th 215, 220 [appellate courts may “issue a limited remand to the trial court, before reaching the merits of the appeal, for the specific purpose of allowing the lower court to entertain a</w:t>
      </w:r>
      <w:r w:rsidRPr="009C6CB3" w:rsidR="009E1D5F">
        <w:rPr>
          <w:szCs w:val="26"/>
        </w:rPr>
        <w:t> </w:t>
      </w:r>
      <w:r w:rsidRPr="009C6CB3" w:rsidR="002C57A2">
        <w:rPr>
          <w:szCs w:val="26"/>
        </w:rPr>
        <w:t>.</w:t>
      </w:r>
      <w:r w:rsidRPr="009C6CB3" w:rsidR="009E1D5F">
        <w:rPr>
          <w:szCs w:val="26"/>
        </w:rPr>
        <w:t> </w:t>
      </w:r>
      <w:r w:rsidRPr="009C6CB3" w:rsidR="002C57A2">
        <w:rPr>
          <w:szCs w:val="26"/>
        </w:rPr>
        <w:t>.</w:t>
      </w:r>
      <w:r w:rsidRPr="009C6CB3" w:rsidR="009E1D5F">
        <w:rPr>
          <w:szCs w:val="26"/>
        </w:rPr>
        <w:t> </w:t>
      </w:r>
      <w:r w:rsidRPr="009C6CB3" w:rsidR="002C57A2">
        <w:rPr>
          <w:szCs w:val="26"/>
        </w:rPr>
        <w:t>.</w:t>
      </w:r>
      <w:r w:rsidRPr="009C6CB3" w:rsidR="009E1D5F">
        <w:rPr>
          <w:szCs w:val="26"/>
        </w:rPr>
        <w:t> </w:t>
      </w:r>
      <w:r w:rsidRPr="009C6CB3" w:rsidR="002C57A2">
        <w:rPr>
          <w:szCs w:val="26"/>
        </w:rPr>
        <w:t>petition to recall a sentence” under Proposition 47]</w:t>
      </w:r>
      <w:bookmarkEnd w:id="187"/>
      <w:r w:rsidRPr="009C6CB3" w:rsidR="002C57A2">
        <w:rPr>
          <w:szCs w:val="26"/>
        </w:rPr>
        <w:t xml:space="preserve">.)  </w:t>
      </w:r>
      <w:r w:rsidRPr="009C6CB3" w:rsidR="00C04DE5">
        <w:rPr>
          <w:szCs w:val="26"/>
        </w:rPr>
        <w:t>“</w:t>
      </w:r>
      <w:r w:rsidRPr="009C6CB3" w:rsidR="00C04DE5">
        <w:t xml:space="preserve">In those cases where a stay is granted and a </w:t>
      </w:r>
      <w:bookmarkStart w:id="188" w:name="Psych_Cite_180"/>
      <w:r w:rsidRPr="009C6CB3" w:rsidR="00C04DE5">
        <w:t>section 1170.95</w:t>
      </w:r>
      <w:bookmarkEnd w:id="188"/>
      <w:r w:rsidRPr="009C6CB3" w:rsidR="00C04DE5">
        <w:t xml:space="preserve"> petition is successful, the direct appeal may either be fully or partially moot.  If the petition is unsuccessful, a defendant may seek to augment the appellate record, as necessary, to proceed with any issues that remain for decision.”  (</w:t>
      </w:r>
      <w:bookmarkStart w:id="189" w:name="Psych_Cite_177"/>
      <w:r w:rsidRPr="009C6CB3" w:rsidR="00C04DE5">
        <w:rPr>
          <w:i/>
          <w:iCs/>
        </w:rPr>
        <w:t>Martinez</w:t>
      </w:r>
      <w:r w:rsidRPr="009C6CB3" w:rsidR="00C04DE5">
        <w:t>, at p. 729</w:t>
      </w:r>
      <w:bookmarkEnd w:id="189"/>
      <w:r w:rsidRPr="009C6CB3" w:rsidR="00C04DE5">
        <w:t>.)</w:t>
      </w:r>
    </w:p>
    <w:p w:rsidR="008968D2" w:rsidRPr="009C6CB3" w:rsidP="009C6CB3">
      <w:pPr>
        <w:ind w:firstLine="720"/>
        <w:rPr>
          <w:rFonts w:cstheme="minorHAnsi"/>
          <w:szCs w:val="26"/>
        </w:rPr>
      </w:pPr>
      <w:r w:rsidRPr="009C6CB3">
        <w:rPr>
          <w:rFonts w:cstheme="minorHAnsi"/>
          <w:szCs w:val="26"/>
        </w:rPr>
        <w:t>In sum, we</w:t>
      </w:r>
      <w:r w:rsidRPr="009C6CB3" w:rsidR="00284260">
        <w:rPr>
          <w:rFonts w:cstheme="minorHAnsi"/>
          <w:szCs w:val="26"/>
        </w:rPr>
        <w:t xml:space="preserve"> conclude that </w:t>
      </w:r>
      <w:r w:rsidRPr="009C6CB3" w:rsidR="00460514">
        <w:rPr>
          <w:rFonts w:cstheme="minorHAnsi"/>
          <w:szCs w:val="26"/>
        </w:rPr>
        <w:t xml:space="preserve">the ameliorative provisions of Senate Bill 1437 do not </w:t>
      </w:r>
      <w:r w:rsidRPr="009C6CB3" w:rsidR="00C04DE5">
        <w:rPr>
          <w:rFonts w:cstheme="minorHAnsi"/>
          <w:szCs w:val="26"/>
        </w:rPr>
        <w:t xml:space="preserve">automatically </w:t>
      </w:r>
      <w:r w:rsidRPr="009C6CB3" w:rsidR="00460514">
        <w:rPr>
          <w:rFonts w:cstheme="minorHAnsi"/>
          <w:szCs w:val="26"/>
        </w:rPr>
        <w:t>apply to nonfinal judgments on direct appeal.  Gentile must proceed under section</w:t>
      </w:r>
      <w:r w:rsidR="004B218F">
        <w:rPr>
          <w:rFonts w:cstheme="minorHAnsi"/>
          <w:szCs w:val="26"/>
        </w:rPr>
        <w:t> </w:t>
      </w:r>
      <w:r w:rsidRPr="009C6CB3" w:rsidR="00460514">
        <w:rPr>
          <w:rFonts w:cstheme="minorHAnsi"/>
          <w:szCs w:val="26"/>
        </w:rPr>
        <w:t>1170.95 in order to obtain relief from his second degree murder conviction.</w:t>
      </w:r>
      <w:r w:rsidRPr="009C6CB3" w:rsidR="005A0D77">
        <w:rPr>
          <w:rFonts w:cstheme="minorHAnsi"/>
          <w:iCs/>
          <w:color w:val="000000"/>
          <w:szCs w:val="26"/>
        </w:rPr>
        <w:t xml:space="preserve">  </w:t>
      </w:r>
    </w:p>
    <w:p w:rsidR="008968D2" w:rsidRPr="009C6CB3" w:rsidP="002806BA">
      <w:pPr>
        <w:keepNext/>
        <w:autoSpaceDE w:val="0"/>
        <w:autoSpaceDN w:val="0"/>
        <w:adjustRightInd w:val="0"/>
        <w:jc w:val="center"/>
        <w:rPr>
          <w:rFonts w:cstheme="minorHAnsi"/>
          <w:b/>
          <w:szCs w:val="26"/>
        </w:rPr>
      </w:pPr>
      <w:r w:rsidRPr="009C6CB3">
        <w:rPr>
          <w:rFonts w:cstheme="minorHAnsi"/>
          <w:b/>
          <w:szCs w:val="26"/>
        </w:rPr>
        <w:t>IV.</w:t>
      </w:r>
    </w:p>
    <w:p w:rsidR="0060039A" w:rsidRPr="0025149F" w:rsidP="009C6CB3">
      <w:pPr>
        <w:ind w:firstLine="720"/>
        <w:rPr>
          <w:rFonts w:cstheme="minorHAnsi"/>
          <w:iCs/>
          <w:color w:val="000000"/>
          <w:szCs w:val="26"/>
        </w:rPr>
      </w:pPr>
      <w:r w:rsidRPr="009C6CB3">
        <w:rPr>
          <w:rFonts w:cstheme="minorHAnsi"/>
          <w:iCs/>
          <w:color w:val="000000"/>
          <w:szCs w:val="26"/>
        </w:rPr>
        <w:t xml:space="preserve">In </w:t>
      </w:r>
      <w:r w:rsidRPr="009C6CB3">
        <w:rPr>
          <w:rFonts w:cstheme="minorHAnsi"/>
          <w:i/>
          <w:color w:val="000000"/>
          <w:szCs w:val="26"/>
        </w:rPr>
        <w:t>Gentile I</w:t>
      </w:r>
      <w:r w:rsidRPr="009C6CB3">
        <w:rPr>
          <w:rFonts w:cstheme="minorHAnsi"/>
          <w:iCs/>
          <w:color w:val="000000"/>
          <w:szCs w:val="26"/>
        </w:rPr>
        <w:t xml:space="preserve">, </w:t>
      </w:r>
      <w:r w:rsidRPr="009C6CB3" w:rsidR="003F041B">
        <w:rPr>
          <w:rFonts w:cstheme="minorHAnsi"/>
          <w:iCs/>
          <w:color w:val="000000"/>
          <w:szCs w:val="26"/>
        </w:rPr>
        <w:t xml:space="preserve">the Court of Appeal </w:t>
      </w:r>
      <w:r w:rsidRPr="009C6CB3" w:rsidR="00377AB3">
        <w:rPr>
          <w:rFonts w:cstheme="minorHAnsi"/>
          <w:iCs/>
          <w:color w:val="000000"/>
          <w:szCs w:val="26"/>
        </w:rPr>
        <w:t xml:space="preserve">observed that the superior court </w:t>
      </w:r>
      <w:r w:rsidRPr="009C6CB3" w:rsidR="00421793">
        <w:rPr>
          <w:rFonts w:cstheme="minorHAnsi"/>
          <w:iCs/>
          <w:color w:val="000000"/>
          <w:szCs w:val="26"/>
        </w:rPr>
        <w:t xml:space="preserve">“instructed the jury at length that it could convict defendant of first degree murder” under a natural and probable consequences theory.  </w:t>
      </w:r>
      <w:r w:rsidR="00F01285">
        <w:rPr>
          <w:rFonts w:cstheme="minorHAnsi"/>
          <w:iCs/>
          <w:color w:val="000000"/>
          <w:szCs w:val="26"/>
        </w:rPr>
        <w:t>(</w:t>
      </w:r>
      <w:r w:rsidR="00F01285">
        <w:rPr>
          <w:rFonts w:cstheme="minorHAnsi"/>
          <w:i/>
          <w:color w:val="000000"/>
          <w:szCs w:val="26"/>
        </w:rPr>
        <w:t>G</w:t>
      </w:r>
      <w:bookmarkStart w:id="190" w:name="Psych_Cite_183"/>
      <w:r w:rsidR="00F01285">
        <w:rPr>
          <w:rFonts w:cstheme="minorHAnsi"/>
          <w:i/>
          <w:color w:val="000000"/>
          <w:szCs w:val="26"/>
        </w:rPr>
        <w:t>entile I</w:t>
      </w:r>
      <w:r w:rsidR="00F01285">
        <w:rPr>
          <w:rFonts w:cstheme="minorHAnsi"/>
          <w:iCs/>
          <w:color w:val="000000"/>
          <w:szCs w:val="26"/>
        </w:rPr>
        <w:t xml:space="preserve">, </w:t>
      </w:r>
      <w:r w:rsidR="00F01285">
        <w:rPr>
          <w:rFonts w:cstheme="minorHAnsi"/>
          <w:i/>
          <w:color w:val="000000"/>
          <w:szCs w:val="26"/>
        </w:rPr>
        <w:t>supra</w:t>
      </w:r>
      <w:bookmarkEnd w:id="190"/>
      <w:r w:rsidR="00366E9F">
        <w:rPr>
          <w:rFonts w:cstheme="minorHAnsi"/>
          <w:iCs/>
          <w:color w:val="000000"/>
          <w:szCs w:val="26"/>
        </w:rPr>
        <w:t>,</w:t>
      </w:r>
      <w:r w:rsidR="00F01285">
        <w:rPr>
          <w:rFonts w:cstheme="minorHAnsi"/>
          <w:iCs/>
          <w:color w:val="000000"/>
          <w:szCs w:val="26"/>
        </w:rPr>
        <w:t xml:space="preserve"> </w:t>
      </w:r>
      <w:r w:rsidRPr="009C6CB3" w:rsidR="00366E9F">
        <w:rPr>
          <w:color w:val="000000"/>
          <w:szCs w:val="26"/>
        </w:rPr>
        <w:t>E064822</w:t>
      </w:r>
      <w:r w:rsidR="00F01285">
        <w:rPr>
          <w:rFonts w:cstheme="minorHAnsi"/>
          <w:iCs/>
          <w:color w:val="000000"/>
          <w:szCs w:val="26"/>
        </w:rPr>
        <w:t>.)</w:t>
      </w:r>
      <w:r w:rsidR="00F01285">
        <w:rPr>
          <w:rFonts w:cstheme="minorHAnsi"/>
          <w:i/>
          <w:color w:val="000000"/>
          <w:szCs w:val="26"/>
        </w:rPr>
        <w:t xml:space="preserve">  </w:t>
      </w:r>
      <w:r w:rsidRPr="00F01285" w:rsidR="00F52889">
        <w:rPr>
          <w:rFonts w:cstheme="minorHAnsi"/>
          <w:iCs/>
          <w:color w:val="000000"/>
          <w:szCs w:val="26"/>
        </w:rPr>
        <w:t>The</w:t>
      </w:r>
      <w:r w:rsidRPr="009C6CB3" w:rsidR="00F52889">
        <w:rPr>
          <w:rFonts w:cstheme="minorHAnsi"/>
          <w:iCs/>
          <w:color w:val="000000"/>
          <w:szCs w:val="26"/>
        </w:rPr>
        <w:t xml:space="preserve"> court said</w:t>
      </w:r>
      <w:r w:rsidRPr="009C6CB3">
        <w:rPr>
          <w:rFonts w:cstheme="minorHAnsi"/>
          <w:iCs/>
          <w:color w:val="000000"/>
          <w:szCs w:val="26"/>
        </w:rPr>
        <w:t xml:space="preserve"> “[t]</w:t>
      </w:r>
      <w:r w:rsidRPr="009C6CB3" w:rsidR="00377AB3">
        <w:rPr>
          <w:rFonts w:cstheme="minorHAnsi"/>
          <w:iCs/>
          <w:color w:val="000000"/>
          <w:szCs w:val="26"/>
        </w:rPr>
        <w:t xml:space="preserve">he fact the jury did not find that the defendant used a deadly or dangerous weapon in the commission of the offense supports an inference that the jury convicted him on </w:t>
      </w:r>
      <w:r w:rsidRPr="009C6CB3" w:rsidR="00DA1730">
        <w:rPr>
          <w:rFonts w:cstheme="minorHAnsi"/>
          <w:iCs/>
          <w:color w:val="000000"/>
          <w:szCs w:val="26"/>
        </w:rPr>
        <w:t>[a natural and probable consequences]</w:t>
      </w:r>
      <w:r w:rsidRPr="009C6CB3" w:rsidR="00377AB3">
        <w:rPr>
          <w:rFonts w:cstheme="minorHAnsi"/>
          <w:iCs/>
          <w:color w:val="000000"/>
          <w:szCs w:val="26"/>
        </w:rPr>
        <w:t xml:space="preserve"> theory</w:t>
      </w:r>
      <w:r w:rsidRPr="009C6CB3" w:rsidR="00A75F68">
        <w:rPr>
          <w:rFonts w:cstheme="minorHAnsi"/>
          <w:iCs/>
          <w:color w:val="000000"/>
          <w:szCs w:val="26"/>
        </w:rPr>
        <w:t xml:space="preserve">” </w:t>
      </w:r>
      <w:r w:rsidRPr="009C6CB3" w:rsidR="00F52889">
        <w:rPr>
          <w:rFonts w:cstheme="minorHAnsi"/>
          <w:iCs/>
          <w:color w:val="000000"/>
          <w:szCs w:val="26"/>
        </w:rPr>
        <w:t>instead of viewing him</w:t>
      </w:r>
      <w:r w:rsidRPr="009C6CB3" w:rsidR="00A75F68">
        <w:rPr>
          <w:rFonts w:cstheme="minorHAnsi"/>
          <w:iCs/>
          <w:color w:val="000000"/>
          <w:szCs w:val="26"/>
        </w:rPr>
        <w:t xml:space="preserve"> as the direct perpetrator of the crime</w:t>
      </w:r>
      <w:r w:rsidRPr="009C6CB3" w:rsidR="002F00F6">
        <w:rPr>
          <w:rFonts w:cstheme="minorHAnsi"/>
          <w:iCs/>
          <w:color w:val="000000"/>
          <w:szCs w:val="26"/>
        </w:rPr>
        <w:t xml:space="preserve">.  </w:t>
      </w:r>
      <w:r w:rsidR="0025149F">
        <w:rPr>
          <w:rFonts w:cstheme="minorHAnsi"/>
          <w:iCs/>
          <w:color w:val="000000"/>
          <w:szCs w:val="26"/>
        </w:rPr>
        <w:t>(</w:t>
      </w:r>
      <w:bookmarkStart w:id="191" w:name="Psych_Cite_181"/>
      <w:r w:rsidR="0025149F">
        <w:rPr>
          <w:rFonts w:cstheme="minorHAnsi"/>
          <w:i/>
          <w:color w:val="000000"/>
          <w:szCs w:val="26"/>
        </w:rPr>
        <w:t>Ibid.</w:t>
      </w:r>
      <w:bookmarkEnd w:id="191"/>
      <w:r w:rsidR="0025149F">
        <w:rPr>
          <w:rFonts w:cstheme="minorHAnsi"/>
          <w:iCs/>
          <w:color w:val="000000"/>
          <w:szCs w:val="26"/>
        </w:rPr>
        <w:t xml:space="preserve">)  </w:t>
      </w:r>
      <w:r w:rsidR="00465D82">
        <w:rPr>
          <w:rFonts w:cstheme="minorHAnsi"/>
          <w:iCs/>
          <w:color w:val="000000"/>
          <w:szCs w:val="26"/>
        </w:rPr>
        <w:t>Indee</w:t>
      </w:r>
      <w:r w:rsidR="00133C3A">
        <w:rPr>
          <w:rFonts w:cstheme="minorHAnsi"/>
          <w:iCs/>
          <w:color w:val="000000"/>
          <w:szCs w:val="26"/>
        </w:rPr>
        <w:t xml:space="preserve">d, the Attorney General’s briefing in </w:t>
      </w:r>
      <w:r w:rsidR="00133C3A">
        <w:rPr>
          <w:rFonts w:cstheme="minorHAnsi"/>
          <w:i/>
          <w:color w:val="000000"/>
          <w:szCs w:val="26"/>
        </w:rPr>
        <w:t xml:space="preserve">Gentile I </w:t>
      </w:r>
      <w:r w:rsidR="00133C3A">
        <w:rPr>
          <w:rFonts w:cstheme="minorHAnsi"/>
          <w:iCs/>
          <w:color w:val="000000"/>
          <w:szCs w:val="26"/>
        </w:rPr>
        <w:t xml:space="preserve">conceded that there was “no basis in th[e] record to conclude beyond a reasonable doubt that the jury ultimately rested its verdict on the theory that [Gentile] directly aided and abetted” the murder.  </w:t>
      </w:r>
      <w:r w:rsidRPr="009C6CB3" w:rsidR="00DA1730">
        <w:rPr>
          <w:rFonts w:cstheme="minorHAnsi"/>
          <w:iCs/>
          <w:color w:val="000000"/>
          <w:szCs w:val="26"/>
        </w:rPr>
        <w:t xml:space="preserve">Noting </w:t>
      </w:r>
      <w:r w:rsidRPr="009C6CB3" w:rsidR="00A75F68">
        <w:rPr>
          <w:rFonts w:cstheme="minorHAnsi"/>
          <w:iCs/>
          <w:color w:val="000000"/>
          <w:szCs w:val="26"/>
        </w:rPr>
        <w:t>“</w:t>
      </w:r>
      <w:r w:rsidRPr="009C6CB3" w:rsidR="00377AB3">
        <w:rPr>
          <w:rFonts w:cstheme="minorHAnsi"/>
          <w:iCs/>
          <w:color w:val="000000"/>
          <w:szCs w:val="26"/>
        </w:rPr>
        <w:t>the pathologist’s determination that it would be difficult to cause the victim’s fractured clavicle and the rib below it with the fists alone</w:t>
      </w:r>
      <w:r w:rsidRPr="009C6CB3" w:rsidR="00DA1730">
        <w:rPr>
          <w:rFonts w:cstheme="minorHAnsi"/>
          <w:iCs/>
          <w:color w:val="000000"/>
          <w:szCs w:val="26"/>
        </w:rPr>
        <w:t>,</w:t>
      </w:r>
      <w:r w:rsidRPr="009C6CB3">
        <w:rPr>
          <w:rFonts w:cstheme="minorHAnsi"/>
          <w:iCs/>
          <w:color w:val="000000"/>
          <w:szCs w:val="26"/>
        </w:rPr>
        <w:t>”</w:t>
      </w:r>
      <w:r w:rsidRPr="009C6CB3" w:rsidR="00DA1730">
        <w:rPr>
          <w:rFonts w:cstheme="minorHAnsi"/>
          <w:iCs/>
          <w:color w:val="000000"/>
          <w:szCs w:val="26"/>
        </w:rPr>
        <w:t xml:space="preserve"> and relying on the Attorney General</w:t>
      </w:r>
      <w:r w:rsidR="004121BE">
        <w:rPr>
          <w:rFonts w:cstheme="minorHAnsi"/>
          <w:iCs/>
          <w:color w:val="000000"/>
          <w:szCs w:val="26"/>
        </w:rPr>
        <w:t>’s concession</w:t>
      </w:r>
      <w:r w:rsidRPr="009C6CB3" w:rsidR="00DA1730">
        <w:rPr>
          <w:rFonts w:cstheme="minorHAnsi"/>
          <w:iCs/>
          <w:color w:val="000000"/>
          <w:szCs w:val="26"/>
        </w:rPr>
        <w:t xml:space="preserve"> that the record does not permit a conclusion that the jury’s first degree murder verdict was based on a valid ground, the Court of Appeal</w:t>
      </w:r>
      <w:r w:rsidRPr="009C6CB3" w:rsidR="002F00F6">
        <w:rPr>
          <w:rFonts w:cstheme="minorHAnsi"/>
          <w:iCs/>
          <w:color w:val="000000"/>
          <w:szCs w:val="26"/>
        </w:rPr>
        <w:t xml:space="preserve"> concluded it </w:t>
      </w:r>
      <w:r w:rsidRPr="009C6CB3" w:rsidR="00DC2B80">
        <w:rPr>
          <w:rFonts w:cstheme="minorHAnsi"/>
          <w:iCs/>
          <w:color w:val="000000"/>
          <w:szCs w:val="26"/>
        </w:rPr>
        <w:t>was “probable that the jury convicted defendant on an unauthorized legal theory</w:t>
      </w:r>
      <w:r w:rsidRPr="009C6CB3" w:rsidR="003E2D4C">
        <w:rPr>
          <w:rFonts w:cstheme="minorHAnsi"/>
          <w:iCs/>
          <w:color w:val="000000"/>
          <w:szCs w:val="26"/>
        </w:rPr>
        <w:t>.</w:t>
      </w:r>
      <w:r w:rsidRPr="009C6CB3" w:rsidR="002F00F6">
        <w:rPr>
          <w:rFonts w:cstheme="minorHAnsi"/>
          <w:iCs/>
          <w:color w:val="000000"/>
          <w:szCs w:val="26"/>
        </w:rPr>
        <w:t>”</w:t>
      </w:r>
      <w:r w:rsidR="0025149F">
        <w:rPr>
          <w:rFonts w:cstheme="minorHAnsi"/>
          <w:iCs/>
          <w:color w:val="000000"/>
          <w:szCs w:val="26"/>
        </w:rPr>
        <w:t xml:space="preserve">  (</w:t>
      </w:r>
      <w:bookmarkStart w:id="192" w:name="Psych_Cite_182"/>
      <w:r w:rsidR="0025149F">
        <w:rPr>
          <w:rFonts w:cstheme="minorHAnsi"/>
          <w:i/>
          <w:color w:val="000000"/>
          <w:szCs w:val="26"/>
        </w:rPr>
        <w:t>Ibid.</w:t>
      </w:r>
      <w:bookmarkEnd w:id="192"/>
      <w:r w:rsidR="0025149F">
        <w:rPr>
          <w:rFonts w:cstheme="minorHAnsi"/>
          <w:iCs/>
          <w:color w:val="000000"/>
          <w:szCs w:val="26"/>
        </w:rPr>
        <w:t xml:space="preserve">)  </w:t>
      </w:r>
    </w:p>
    <w:p w:rsidR="000C4727" w:rsidRPr="009C6CB3" w:rsidP="009C6CB3">
      <w:pPr>
        <w:ind w:firstLine="720"/>
        <w:rPr>
          <w:szCs w:val="26"/>
          <w:shd w:val="clear" w:color="auto" w:fill="FFFFFF"/>
        </w:rPr>
      </w:pPr>
      <w:r w:rsidRPr="009C6CB3">
        <w:rPr>
          <w:iCs/>
          <w:szCs w:val="26"/>
        </w:rPr>
        <w:t>Yet</w:t>
      </w:r>
      <w:r w:rsidRPr="009C6CB3" w:rsidR="000A051C">
        <w:rPr>
          <w:iCs/>
          <w:szCs w:val="26"/>
        </w:rPr>
        <w:t xml:space="preserve"> in </w:t>
      </w:r>
      <w:r w:rsidRPr="009C6CB3" w:rsidR="00DA1730">
        <w:rPr>
          <w:iCs/>
          <w:szCs w:val="26"/>
        </w:rPr>
        <w:t xml:space="preserve">the </w:t>
      </w:r>
      <w:r w:rsidRPr="009C6CB3" w:rsidR="000A051C">
        <w:rPr>
          <w:iCs/>
          <w:szCs w:val="26"/>
        </w:rPr>
        <w:t xml:space="preserve">decision below, </w:t>
      </w:r>
      <w:r w:rsidRPr="009C6CB3" w:rsidR="000205A3">
        <w:rPr>
          <w:szCs w:val="26"/>
        </w:rPr>
        <w:t>t</w:t>
      </w:r>
      <w:r w:rsidRPr="009C6CB3" w:rsidR="00A464B2">
        <w:rPr>
          <w:szCs w:val="26"/>
        </w:rPr>
        <w:t xml:space="preserve">he Court of Appeal </w:t>
      </w:r>
      <w:r w:rsidRPr="009C6CB3" w:rsidR="00DA1730">
        <w:rPr>
          <w:szCs w:val="26"/>
        </w:rPr>
        <w:t xml:space="preserve">reached </w:t>
      </w:r>
      <w:r w:rsidRPr="009C6CB3" w:rsidR="003E2D4C">
        <w:rPr>
          <w:szCs w:val="26"/>
        </w:rPr>
        <w:t xml:space="preserve">a </w:t>
      </w:r>
      <w:r w:rsidRPr="009C6CB3" w:rsidR="00DA1730">
        <w:rPr>
          <w:szCs w:val="26"/>
        </w:rPr>
        <w:t xml:space="preserve">different </w:t>
      </w:r>
      <w:r w:rsidRPr="009C6CB3" w:rsidR="000F388B">
        <w:rPr>
          <w:szCs w:val="26"/>
        </w:rPr>
        <w:t xml:space="preserve">conclusion.  </w:t>
      </w:r>
      <w:r w:rsidRPr="009C6CB3" w:rsidR="00A464B2">
        <w:rPr>
          <w:szCs w:val="26"/>
        </w:rPr>
        <w:t>“</w:t>
      </w:r>
      <w:r w:rsidR="004121BE">
        <w:rPr>
          <w:szCs w:val="26"/>
        </w:rPr>
        <w:t>[A]</w:t>
      </w:r>
      <w:r w:rsidRPr="009C6CB3" w:rsidR="00A464B2">
        <w:rPr>
          <w:szCs w:val="26"/>
        </w:rPr>
        <w:t>fter reviewing the record</w:t>
      </w:r>
      <w:r w:rsidR="00215A67">
        <w:rPr>
          <w:szCs w:val="26"/>
        </w:rPr>
        <w:t>,” it concluded that Gentile</w:t>
      </w:r>
      <w:r w:rsidR="00326C6F">
        <w:rPr>
          <w:szCs w:val="26"/>
        </w:rPr>
        <w:t> </w:t>
      </w:r>
      <w:r w:rsidR="00215A67">
        <w:rPr>
          <w:szCs w:val="26"/>
        </w:rPr>
        <w:t>“</w:t>
      </w:r>
      <w:r w:rsidRPr="009C6CB3" w:rsidR="00A464B2">
        <w:rPr>
          <w:szCs w:val="26"/>
        </w:rPr>
        <w:t>was a direct or active aider and abettor” of murder</w:t>
      </w:r>
      <w:r w:rsidR="00215A67">
        <w:rPr>
          <w:szCs w:val="26"/>
        </w:rPr>
        <w:t>,</w:t>
      </w:r>
      <w:r w:rsidRPr="009C6CB3" w:rsidR="00A464B2">
        <w:rPr>
          <w:szCs w:val="26"/>
        </w:rPr>
        <w:t xml:space="preserve"> and that “no resort to the natural and probable consequences theory applie</w:t>
      </w:r>
      <w:r w:rsidR="009031FD">
        <w:rPr>
          <w:szCs w:val="26"/>
        </w:rPr>
        <w:t>s</w:t>
      </w:r>
      <w:r w:rsidRPr="009C6CB3" w:rsidR="006A0CCE">
        <w:rPr>
          <w:szCs w:val="26"/>
        </w:rPr>
        <w:t>.</w:t>
      </w:r>
      <w:r w:rsidRPr="009C6CB3" w:rsidR="00A464B2">
        <w:rPr>
          <w:szCs w:val="26"/>
        </w:rPr>
        <w:t xml:space="preserve">” </w:t>
      </w:r>
      <w:r w:rsidRPr="009C6CB3" w:rsidR="006A0CCE">
        <w:rPr>
          <w:szCs w:val="26"/>
        </w:rPr>
        <w:t xml:space="preserve"> </w:t>
      </w:r>
      <w:r w:rsidRPr="009C6CB3" w:rsidR="00A464B2">
        <w:rPr>
          <w:szCs w:val="26"/>
        </w:rPr>
        <w:t>(</w:t>
      </w:r>
      <w:r w:rsidRPr="009C6CB3" w:rsidR="00A464B2">
        <w:rPr>
          <w:i/>
          <w:szCs w:val="26"/>
        </w:rPr>
        <w:t>G</w:t>
      </w:r>
      <w:bookmarkStart w:id="193" w:name="Psych_Cite_184"/>
      <w:r w:rsidRPr="009C6CB3" w:rsidR="00A464B2">
        <w:rPr>
          <w:i/>
          <w:szCs w:val="26"/>
        </w:rPr>
        <w:t>entile III</w:t>
      </w:r>
      <w:r w:rsidRPr="009C6CB3" w:rsidR="00A464B2">
        <w:rPr>
          <w:szCs w:val="26"/>
        </w:rPr>
        <w:t xml:space="preserve">, </w:t>
      </w:r>
      <w:r w:rsidRPr="009C6CB3" w:rsidR="00A464B2">
        <w:rPr>
          <w:i/>
          <w:szCs w:val="26"/>
        </w:rPr>
        <w:t>supra</w:t>
      </w:r>
      <w:bookmarkEnd w:id="193"/>
      <w:r w:rsidRPr="00366E9F" w:rsidR="00366E9F">
        <w:rPr>
          <w:iCs/>
          <w:szCs w:val="26"/>
        </w:rPr>
        <w:t>,</w:t>
      </w:r>
      <w:r w:rsidR="00366E9F">
        <w:rPr>
          <w:iCs/>
          <w:szCs w:val="26"/>
        </w:rPr>
        <w:t xml:space="preserve"> </w:t>
      </w:r>
      <w:r w:rsidRPr="009C6CB3" w:rsidR="00366E9F">
        <w:rPr>
          <w:rFonts w:cstheme="minorHAnsi"/>
          <w:color w:val="000000"/>
          <w:szCs w:val="26"/>
        </w:rPr>
        <w:t>E069088</w:t>
      </w:r>
      <w:r w:rsidR="00961422">
        <w:rPr>
          <w:szCs w:val="26"/>
        </w:rPr>
        <w:t>.</w:t>
      </w:r>
      <w:r w:rsidRPr="009C6CB3" w:rsidR="00A464B2">
        <w:rPr>
          <w:szCs w:val="26"/>
        </w:rPr>
        <w:t xml:space="preserve">)  </w:t>
      </w:r>
      <w:r w:rsidRPr="009C6CB3" w:rsidR="005E5129">
        <w:rPr>
          <w:szCs w:val="26"/>
        </w:rPr>
        <w:t xml:space="preserve">Given </w:t>
      </w:r>
      <w:r w:rsidRPr="009C6CB3" w:rsidR="00103324">
        <w:rPr>
          <w:szCs w:val="26"/>
        </w:rPr>
        <w:t xml:space="preserve">the </w:t>
      </w:r>
      <w:r w:rsidRPr="009C6CB3">
        <w:rPr>
          <w:szCs w:val="26"/>
        </w:rPr>
        <w:t xml:space="preserve">Attorney General’s prior concessions and the </w:t>
      </w:r>
      <w:r w:rsidRPr="009C6CB3" w:rsidR="00103324">
        <w:rPr>
          <w:szCs w:val="26"/>
        </w:rPr>
        <w:t>fact that</w:t>
      </w:r>
      <w:r w:rsidRPr="009C6CB3">
        <w:rPr>
          <w:szCs w:val="26"/>
        </w:rPr>
        <w:t xml:space="preserve"> </w:t>
      </w:r>
      <w:r w:rsidRPr="009C6CB3" w:rsidR="00103324">
        <w:rPr>
          <w:szCs w:val="26"/>
        </w:rPr>
        <w:t xml:space="preserve">section 1170.95 </w:t>
      </w:r>
      <w:r w:rsidRPr="009C6CB3">
        <w:rPr>
          <w:szCs w:val="26"/>
        </w:rPr>
        <w:t xml:space="preserve">permits the parties to offer “new or additional evidence” in a resentencing proceeding, </w:t>
      </w:r>
      <w:r w:rsidRPr="009C6CB3" w:rsidR="00103324">
        <w:rPr>
          <w:szCs w:val="26"/>
        </w:rPr>
        <w:t xml:space="preserve">the Court of Appeal was </w:t>
      </w:r>
      <w:r w:rsidRPr="009C6CB3">
        <w:rPr>
          <w:szCs w:val="26"/>
        </w:rPr>
        <w:t xml:space="preserve">poorly positioned </w:t>
      </w:r>
      <w:r w:rsidRPr="009C6CB3" w:rsidR="00103324">
        <w:rPr>
          <w:szCs w:val="26"/>
        </w:rPr>
        <w:t xml:space="preserve">on direct review to </w:t>
      </w:r>
      <w:r w:rsidRPr="009C6CB3">
        <w:rPr>
          <w:szCs w:val="26"/>
        </w:rPr>
        <w:t>conclude that “</w:t>
      </w:r>
      <w:r w:rsidRPr="009C6CB3">
        <w:rPr>
          <w:szCs w:val="26"/>
          <w:shd w:val="clear" w:color="auto" w:fill="FFFFFF"/>
        </w:rPr>
        <w:t>defendant was, at a minimum, an active aider-abettor who is not entitled to vacation of his murder conviction</w:t>
      </w:r>
      <w:r w:rsidRPr="009C6CB3" w:rsidR="000A4A8C">
        <w:rPr>
          <w:szCs w:val="26"/>
          <w:shd w:val="clear" w:color="auto" w:fill="FFFFFF"/>
        </w:rPr>
        <w:t>.</w:t>
      </w:r>
      <w:r w:rsidRPr="009C6CB3">
        <w:rPr>
          <w:szCs w:val="26"/>
          <w:shd w:val="clear" w:color="auto" w:fill="FFFFFF"/>
        </w:rPr>
        <w:t>”</w:t>
      </w:r>
      <w:r w:rsidRPr="009C6CB3" w:rsidR="000A4A8C">
        <w:rPr>
          <w:szCs w:val="26"/>
          <w:shd w:val="clear" w:color="auto" w:fill="FFFFFF"/>
        </w:rPr>
        <w:t xml:space="preserve"> </w:t>
      </w:r>
      <w:r w:rsidRPr="009C6CB3">
        <w:rPr>
          <w:szCs w:val="26"/>
          <w:shd w:val="clear" w:color="auto" w:fill="FFFFFF"/>
        </w:rPr>
        <w:t xml:space="preserve"> </w:t>
      </w:r>
      <w:r w:rsidR="00CC5926">
        <w:rPr>
          <w:szCs w:val="26"/>
          <w:shd w:val="clear" w:color="auto" w:fill="FFFFFF"/>
        </w:rPr>
        <w:t>(</w:t>
      </w:r>
      <w:r w:rsidRPr="009C6CB3" w:rsidR="00CC5926">
        <w:rPr>
          <w:i/>
          <w:szCs w:val="26"/>
        </w:rPr>
        <w:t>G</w:t>
      </w:r>
      <w:bookmarkStart w:id="194" w:name="Psych_Cite_185"/>
      <w:r w:rsidRPr="009C6CB3" w:rsidR="00CC5926">
        <w:rPr>
          <w:i/>
          <w:szCs w:val="26"/>
        </w:rPr>
        <w:t>entile III</w:t>
      </w:r>
      <w:r w:rsidRPr="009C6CB3" w:rsidR="00CC5926">
        <w:rPr>
          <w:szCs w:val="26"/>
        </w:rPr>
        <w:t xml:space="preserve">, </w:t>
      </w:r>
      <w:r w:rsidRPr="009C6CB3" w:rsidR="00CC5926">
        <w:rPr>
          <w:i/>
          <w:szCs w:val="26"/>
        </w:rPr>
        <w:t>supra</w:t>
      </w:r>
      <w:bookmarkEnd w:id="194"/>
      <w:r w:rsidRPr="00366E9F" w:rsidR="00CC5926">
        <w:rPr>
          <w:iCs/>
          <w:szCs w:val="26"/>
        </w:rPr>
        <w:t>,</w:t>
      </w:r>
      <w:r w:rsidR="00CC5926">
        <w:rPr>
          <w:iCs/>
          <w:szCs w:val="26"/>
        </w:rPr>
        <w:t xml:space="preserve"> </w:t>
      </w:r>
      <w:r w:rsidRPr="009C6CB3" w:rsidR="00CC5926">
        <w:rPr>
          <w:rFonts w:cstheme="minorHAnsi"/>
          <w:color w:val="000000"/>
          <w:szCs w:val="26"/>
        </w:rPr>
        <w:t>E069088</w:t>
      </w:r>
      <w:r w:rsidR="00CC5926">
        <w:rPr>
          <w:rFonts w:cstheme="minorHAnsi"/>
          <w:color w:val="000000"/>
          <w:szCs w:val="26"/>
        </w:rPr>
        <w:t xml:space="preserve">.)  </w:t>
      </w:r>
      <w:r w:rsidR="00270F3A">
        <w:rPr>
          <w:szCs w:val="26"/>
          <w:shd w:val="clear" w:color="auto" w:fill="FFFFFF"/>
        </w:rPr>
        <w:t>In light of these considerations, t</w:t>
      </w:r>
      <w:r w:rsidRPr="009C6CB3" w:rsidR="00270F3A">
        <w:rPr>
          <w:szCs w:val="26"/>
          <w:shd w:val="clear" w:color="auto" w:fill="FFFFFF"/>
        </w:rPr>
        <w:t xml:space="preserve">hat </w:t>
      </w:r>
      <w:r w:rsidR="00270F3A">
        <w:rPr>
          <w:szCs w:val="26"/>
          <w:shd w:val="clear" w:color="auto" w:fill="FFFFFF"/>
        </w:rPr>
        <w:t xml:space="preserve">conclusion </w:t>
      </w:r>
      <w:r w:rsidRPr="009C6CB3" w:rsidR="000A4A8C">
        <w:rPr>
          <w:szCs w:val="26"/>
          <w:shd w:val="clear" w:color="auto" w:fill="FFFFFF"/>
        </w:rPr>
        <w:t xml:space="preserve">has no preclusive effect </w:t>
      </w:r>
      <w:r w:rsidRPr="009C6CB3" w:rsidR="002846A1">
        <w:rPr>
          <w:szCs w:val="26"/>
          <w:shd w:val="clear" w:color="auto" w:fill="FFFFFF"/>
        </w:rPr>
        <w:t xml:space="preserve">if Gentile files a </w:t>
      </w:r>
      <w:r w:rsidRPr="009C6CB3" w:rsidR="00AE2C78">
        <w:rPr>
          <w:szCs w:val="26"/>
          <w:shd w:val="clear" w:color="auto" w:fill="FFFFFF"/>
        </w:rPr>
        <w:t>petition</w:t>
      </w:r>
      <w:r w:rsidRPr="009C6CB3" w:rsidR="000A4A8C">
        <w:rPr>
          <w:szCs w:val="26"/>
          <w:shd w:val="clear" w:color="auto" w:fill="FFFFFF"/>
        </w:rPr>
        <w:t xml:space="preserve"> </w:t>
      </w:r>
      <w:r w:rsidRPr="009C6CB3" w:rsidR="002846A1">
        <w:rPr>
          <w:szCs w:val="26"/>
          <w:shd w:val="clear" w:color="auto" w:fill="FFFFFF"/>
        </w:rPr>
        <w:t xml:space="preserve">for relief from his murder conviction under </w:t>
      </w:r>
      <w:bookmarkStart w:id="195" w:name="Psych_Cite_186"/>
      <w:r w:rsidRPr="009C6CB3" w:rsidR="002846A1">
        <w:rPr>
          <w:szCs w:val="26"/>
          <w:shd w:val="clear" w:color="auto" w:fill="FFFFFF"/>
        </w:rPr>
        <w:t>section 1170.9</w:t>
      </w:r>
      <w:bookmarkEnd w:id="195"/>
      <w:r w:rsidRPr="009C6CB3" w:rsidR="002846A1">
        <w:rPr>
          <w:szCs w:val="26"/>
          <w:shd w:val="clear" w:color="auto" w:fill="FFFFFF"/>
        </w:rPr>
        <w:t>5.</w:t>
      </w:r>
    </w:p>
    <w:p w:rsidR="00AD7FD7" w:rsidRPr="009C6CB3" w:rsidP="009C6CB3">
      <w:pPr>
        <w:ind w:firstLine="720"/>
        <w:rPr>
          <w:szCs w:val="26"/>
        </w:rPr>
      </w:pPr>
      <w:r w:rsidRPr="009C6CB3">
        <w:rPr>
          <w:szCs w:val="26"/>
          <w:shd w:val="clear" w:color="auto" w:fill="FFFFFF"/>
        </w:rPr>
        <w:t xml:space="preserve">Going forward, </w:t>
      </w:r>
      <w:r w:rsidRPr="009C6CB3" w:rsidR="000A4A8C">
        <w:rPr>
          <w:szCs w:val="26"/>
          <w:shd w:val="clear" w:color="auto" w:fill="FFFFFF"/>
        </w:rPr>
        <w:t xml:space="preserve">the parties agree that Gentile has made “a prima facie showing that he . . . is entitled to relief” (§ 1170.95, subd. (c)) </w:t>
      </w:r>
      <w:r w:rsidRPr="009C6CB3" w:rsidR="005E5129">
        <w:rPr>
          <w:szCs w:val="26"/>
          <w:shd w:val="clear" w:color="auto" w:fill="FFFFFF"/>
        </w:rPr>
        <w:t xml:space="preserve">in light of </w:t>
      </w:r>
      <w:r w:rsidRPr="009C6CB3" w:rsidR="00974436">
        <w:rPr>
          <w:szCs w:val="26"/>
        </w:rPr>
        <w:t>the Attorney General’s concession</w:t>
      </w:r>
      <w:r w:rsidRPr="009C6CB3" w:rsidR="00484B46">
        <w:rPr>
          <w:szCs w:val="26"/>
        </w:rPr>
        <w:t>s</w:t>
      </w:r>
      <w:r w:rsidRPr="009C6CB3" w:rsidR="00974436">
        <w:rPr>
          <w:szCs w:val="26"/>
        </w:rPr>
        <w:t xml:space="preserve"> and the Court of Appeal’s </w:t>
      </w:r>
      <w:r w:rsidRPr="009C6CB3" w:rsidR="00460514">
        <w:rPr>
          <w:szCs w:val="26"/>
        </w:rPr>
        <w:t>determination</w:t>
      </w:r>
      <w:r w:rsidRPr="009C6CB3" w:rsidR="005E5129">
        <w:rPr>
          <w:szCs w:val="26"/>
        </w:rPr>
        <w:t xml:space="preserve"> in </w:t>
      </w:r>
      <w:r w:rsidRPr="009C6CB3" w:rsidR="005E5129">
        <w:rPr>
          <w:i/>
          <w:szCs w:val="26"/>
        </w:rPr>
        <w:t>Gentile</w:t>
      </w:r>
      <w:r w:rsidR="009F4DA5">
        <w:rPr>
          <w:i/>
          <w:szCs w:val="26"/>
        </w:rPr>
        <w:t> </w:t>
      </w:r>
      <w:r w:rsidRPr="009C6CB3" w:rsidR="005E5129">
        <w:rPr>
          <w:i/>
          <w:szCs w:val="26"/>
        </w:rPr>
        <w:t>I</w:t>
      </w:r>
      <w:r w:rsidRPr="009C6CB3" w:rsidR="00974436">
        <w:rPr>
          <w:szCs w:val="26"/>
        </w:rPr>
        <w:t xml:space="preserve"> that it </w:t>
      </w:r>
      <w:r w:rsidRPr="009C6CB3" w:rsidR="001B1E07">
        <w:rPr>
          <w:szCs w:val="26"/>
        </w:rPr>
        <w:t>i</w:t>
      </w:r>
      <w:r w:rsidRPr="009C6CB3" w:rsidR="00974436">
        <w:rPr>
          <w:szCs w:val="26"/>
        </w:rPr>
        <w:t>s “probable” the jury relie</w:t>
      </w:r>
      <w:r w:rsidRPr="009C6CB3" w:rsidR="005E5129">
        <w:rPr>
          <w:szCs w:val="26"/>
        </w:rPr>
        <w:t>d</w:t>
      </w:r>
      <w:r w:rsidRPr="009C6CB3" w:rsidR="00974436">
        <w:rPr>
          <w:szCs w:val="26"/>
        </w:rPr>
        <w:t xml:space="preserve"> on a natural and probable consequences theory</w:t>
      </w:r>
      <w:r w:rsidRPr="009C6CB3" w:rsidR="00242FF1">
        <w:rPr>
          <w:szCs w:val="26"/>
        </w:rPr>
        <w:t xml:space="preserve"> </w:t>
      </w:r>
      <w:r w:rsidRPr="009C6CB3" w:rsidR="005E5129">
        <w:rPr>
          <w:szCs w:val="26"/>
        </w:rPr>
        <w:t>in</w:t>
      </w:r>
      <w:r w:rsidRPr="009C6CB3" w:rsidR="00484B46">
        <w:rPr>
          <w:szCs w:val="26"/>
        </w:rPr>
        <w:t xml:space="preserve"> </w:t>
      </w:r>
      <w:r w:rsidRPr="009C6CB3" w:rsidR="005E5129">
        <w:rPr>
          <w:szCs w:val="26"/>
        </w:rPr>
        <w:t xml:space="preserve">finding </w:t>
      </w:r>
      <w:r w:rsidRPr="009C6CB3" w:rsidR="000A4A8C">
        <w:rPr>
          <w:szCs w:val="26"/>
        </w:rPr>
        <w:t xml:space="preserve">him </w:t>
      </w:r>
      <w:r w:rsidRPr="009C6CB3" w:rsidR="00484B46">
        <w:rPr>
          <w:szCs w:val="26"/>
        </w:rPr>
        <w:t>guilty of murder</w:t>
      </w:r>
      <w:r w:rsidRPr="009C6CB3" w:rsidR="000A4A8C">
        <w:rPr>
          <w:szCs w:val="26"/>
        </w:rPr>
        <w:t xml:space="preserve">.  </w:t>
      </w:r>
      <w:r w:rsidR="000F4D60">
        <w:rPr>
          <w:szCs w:val="26"/>
        </w:rPr>
        <w:t>I</w:t>
      </w:r>
      <w:r w:rsidRPr="009C6CB3" w:rsidR="000A4A8C">
        <w:rPr>
          <w:szCs w:val="26"/>
        </w:rPr>
        <w:t xml:space="preserve">n </w:t>
      </w:r>
      <w:r w:rsidR="00BA5123">
        <w:rPr>
          <w:szCs w:val="26"/>
        </w:rPr>
        <w:t>their</w:t>
      </w:r>
      <w:r w:rsidRPr="009C6CB3" w:rsidR="000A4A8C">
        <w:rPr>
          <w:szCs w:val="26"/>
        </w:rPr>
        <w:t xml:space="preserve"> section</w:t>
      </w:r>
      <w:r w:rsidRPr="009C6CB3" w:rsidR="00A5350F">
        <w:rPr>
          <w:szCs w:val="26"/>
        </w:rPr>
        <w:t> </w:t>
      </w:r>
      <w:r w:rsidRPr="009C6CB3" w:rsidR="000A4A8C">
        <w:rPr>
          <w:szCs w:val="26"/>
        </w:rPr>
        <w:t xml:space="preserve">1170.95 </w:t>
      </w:r>
      <w:r w:rsidR="00BA5123">
        <w:rPr>
          <w:szCs w:val="26"/>
        </w:rPr>
        <w:t>briefing</w:t>
      </w:r>
      <w:r w:rsidRPr="009C6CB3" w:rsidR="000A4A8C">
        <w:rPr>
          <w:szCs w:val="26"/>
        </w:rPr>
        <w:t xml:space="preserve">, the parties are free to litigate what </w:t>
      </w:r>
      <w:r w:rsidRPr="009C6CB3" w:rsidR="00460514">
        <w:rPr>
          <w:szCs w:val="26"/>
        </w:rPr>
        <w:t>bearing, if any, doctrines of estoppel or preclusion may have in light of those prior concessions and</w:t>
      </w:r>
      <w:r w:rsidR="00B37B2F">
        <w:rPr>
          <w:szCs w:val="26"/>
        </w:rPr>
        <w:t xml:space="preserve"> the </w:t>
      </w:r>
      <w:r w:rsidR="000F4D60">
        <w:rPr>
          <w:szCs w:val="26"/>
        </w:rPr>
        <w:t>Court of Appeal’s</w:t>
      </w:r>
      <w:r w:rsidRPr="009C6CB3" w:rsidR="000F4D60">
        <w:rPr>
          <w:szCs w:val="26"/>
        </w:rPr>
        <w:t xml:space="preserve"> </w:t>
      </w:r>
      <w:r w:rsidRPr="009C6CB3" w:rsidR="00460514">
        <w:rPr>
          <w:szCs w:val="26"/>
        </w:rPr>
        <w:t>determination</w:t>
      </w:r>
      <w:r w:rsidR="00270F3A">
        <w:rPr>
          <w:szCs w:val="26"/>
        </w:rPr>
        <w:t xml:space="preserve"> in </w:t>
      </w:r>
      <w:r w:rsidR="00270F3A">
        <w:rPr>
          <w:i/>
          <w:szCs w:val="26"/>
        </w:rPr>
        <w:t>Gentile I</w:t>
      </w:r>
      <w:r w:rsidR="00270F3A">
        <w:rPr>
          <w:szCs w:val="26"/>
        </w:rPr>
        <w:t>.</w:t>
      </w:r>
    </w:p>
    <w:p w:rsidR="0057439C" w:rsidRPr="009C6CB3" w:rsidP="002806BA">
      <w:pPr>
        <w:keepNext/>
        <w:jc w:val="center"/>
        <w:rPr>
          <w:rFonts w:cstheme="minorHAnsi"/>
          <w:b/>
          <w:szCs w:val="26"/>
        </w:rPr>
      </w:pPr>
      <w:r w:rsidRPr="009C6CB3">
        <w:rPr>
          <w:rFonts w:cstheme="minorHAnsi"/>
          <w:b/>
          <w:szCs w:val="26"/>
        </w:rPr>
        <w:t>CONCLUSION</w:t>
      </w:r>
    </w:p>
    <w:p w:rsidR="00813FF3" w:rsidRPr="009C6CB3" w:rsidP="009C6CB3">
      <w:pPr>
        <w:tabs>
          <w:tab w:val="left" w:pos="720"/>
        </w:tabs>
        <w:rPr>
          <w:rFonts w:cstheme="minorHAnsi"/>
          <w:szCs w:val="26"/>
        </w:rPr>
      </w:pPr>
      <w:r w:rsidRPr="009C6CB3">
        <w:rPr>
          <w:rFonts w:cstheme="minorHAnsi"/>
          <w:szCs w:val="26"/>
        </w:rPr>
        <w:tab/>
      </w:r>
      <w:r w:rsidRPr="00BE35E9" w:rsidR="00C5390C">
        <w:rPr>
          <w:rFonts w:cstheme="minorHAnsi"/>
          <w:szCs w:val="26"/>
        </w:rPr>
        <w:t xml:space="preserve">The judgment of the Court of Appeal is reversed.  The matter is remanded to that court to affirm </w:t>
      </w:r>
      <w:r w:rsidR="00565018">
        <w:rPr>
          <w:rFonts w:cstheme="minorHAnsi"/>
          <w:szCs w:val="26"/>
        </w:rPr>
        <w:t>Gentile’s</w:t>
      </w:r>
      <w:r w:rsidRPr="00BE35E9" w:rsidR="00C5390C">
        <w:rPr>
          <w:rFonts w:cstheme="minorHAnsi"/>
          <w:szCs w:val="26"/>
        </w:rPr>
        <w:t xml:space="preserve"> second degree murder conviction without prejudice</w:t>
      </w:r>
      <w:r w:rsidRPr="009C6CB3" w:rsidR="00AE2C78">
        <w:rPr>
          <w:rFonts w:cstheme="minorHAnsi"/>
          <w:szCs w:val="26"/>
        </w:rPr>
        <w:t xml:space="preserve"> to any petition for relief that </w:t>
      </w:r>
      <w:r w:rsidRPr="009C6CB3" w:rsidR="00E061F9">
        <w:rPr>
          <w:rFonts w:cstheme="minorHAnsi"/>
          <w:szCs w:val="26"/>
        </w:rPr>
        <w:t xml:space="preserve">Gentile </w:t>
      </w:r>
      <w:r w:rsidRPr="009C6CB3" w:rsidR="00AE2C78">
        <w:rPr>
          <w:rFonts w:cstheme="minorHAnsi"/>
          <w:szCs w:val="26"/>
        </w:rPr>
        <w:t xml:space="preserve">may file </w:t>
      </w:r>
      <w:r w:rsidRPr="009C6CB3" w:rsidR="00E061F9">
        <w:rPr>
          <w:rFonts w:cstheme="minorHAnsi"/>
          <w:szCs w:val="26"/>
        </w:rPr>
        <w:t xml:space="preserve">under </w:t>
      </w:r>
      <w:bookmarkStart w:id="196" w:name="Psych_Cite_187"/>
      <w:r w:rsidRPr="009C6CB3" w:rsidR="00E061F9">
        <w:rPr>
          <w:rFonts w:cstheme="minorHAnsi"/>
          <w:szCs w:val="26"/>
        </w:rPr>
        <w:t>section 1170.95</w:t>
      </w:r>
      <w:bookmarkEnd w:id="196"/>
      <w:r w:rsidRPr="009C6CB3" w:rsidR="00E061F9">
        <w:rPr>
          <w:rFonts w:cstheme="minorHAnsi"/>
          <w:szCs w:val="26"/>
        </w:rPr>
        <w:t>.</w:t>
      </w:r>
    </w:p>
    <w:p w:rsidR="00AE2C78" w:rsidRPr="009C6CB3" w:rsidP="009C6CB3">
      <w:pPr>
        <w:tabs>
          <w:tab w:val="left" w:pos="720"/>
        </w:tabs>
        <w:rPr>
          <w:b/>
        </w:rPr>
      </w:pPr>
    </w:p>
    <w:p w:rsidR="00AE2C78" w:rsidP="009C6CB3">
      <w:pPr>
        <w:tabs>
          <w:tab w:val="left" w:pos="720"/>
        </w:tabs>
      </w:pPr>
      <w:r w:rsidRPr="009C6CB3">
        <w:rPr>
          <w:b/>
        </w:rPr>
        <w:tab/>
      </w:r>
      <w:r w:rsidRPr="009C6CB3">
        <w:rPr>
          <w:b/>
        </w:rPr>
        <w:tab/>
      </w:r>
      <w:r w:rsidRPr="009C6CB3">
        <w:rPr>
          <w:b/>
        </w:rPr>
        <w:tab/>
      </w:r>
      <w:r w:rsidRPr="009C6CB3">
        <w:rPr>
          <w:b/>
        </w:rPr>
        <w:tab/>
      </w:r>
      <w:r w:rsidRPr="009C6CB3">
        <w:rPr>
          <w:b/>
        </w:rPr>
        <w:tab/>
      </w:r>
      <w:r w:rsidRPr="009C6CB3">
        <w:rPr>
          <w:b/>
        </w:rPr>
        <w:tab/>
      </w:r>
      <w:r w:rsidRPr="009C6CB3">
        <w:rPr>
          <w:b/>
        </w:rPr>
        <w:tab/>
        <w:t>LIU, J</w:t>
      </w:r>
      <w:r w:rsidRPr="009C6CB3">
        <w:t>.</w:t>
      </w:r>
    </w:p>
    <w:p w:rsidR="00CE2030" w:rsidP="009C6CB3">
      <w:pPr>
        <w:tabs>
          <w:tab w:val="left" w:pos="720"/>
        </w:tabs>
      </w:pPr>
    </w:p>
    <w:p w:rsidR="00EC3B11" w:rsidP="009C6CB3">
      <w:pPr>
        <w:tabs>
          <w:tab w:val="left" w:pos="720"/>
        </w:tabs>
        <w:rPr>
          <w:b/>
          <w:bCs/>
        </w:rPr>
      </w:pPr>
      <w:r w:rsidRPr="00DB3670">
        <w:rPr>
          <w:b/>
          <w:bCs/>
        </w:rPr>
        <w:t>We Concur:</w:t>
      </w:r>
    </w:p>
    <w:p w:rsidR="00F55FC1" w:rsidRPr="00F55FC1" w:rsidP="00F55FC1">
      <w:pPr>
        <w:spacing w:after="0" w:line="240" w:lineRule="auto"/>
        <w:rPr>
          <w:b/>
        </w:rPr>
      </w:pPr>
      <w:r w:rsidRPr="00F55FC1">
        <w:rPr>
          <w:b/>
        </w:rPr>
        <w:t>CANTIL-SAKAUYE, C. J.</w:t>
      </w:r>
    </w:p>
    <w:p w:rsidR="00F55FC1" w:rsidRPr="00F55FC1" w:rsidP="00F55FC1">
      <w:pPr>
        <w:spacing w:after="0" w:line="240" w:lineRule="auto"/>
        <w:rPr>
          <w:b/>
        </w:rPr>
      </w:pPr>
      <w:r w:rsidRPr="00F55FC1">
        <w:rPr>
          <w:b/>
        </w:rPr>
        <w:t>CORRIGAN, J.</w:t>
      </w:r>
    </w:p>
    <w:p w:rsidR="00F55FC1" w:rsidRPr="00F55FC1" w:rsidP="00F55FC1">
      <w:pPr>
        <w:spacing w:after="0" w:line="240" w:lineRule="auto"/>
        <w:rPr>
          <w:b/>
        </w:rPr>
      </w:pPr>
      <w:r w:rsidRPr="00F55FC1">
        <w:rPr>
          <w:b/>
        </w:rPr>
        <w:t>CUÉLLAR, J.</w:t>
      </w:r>
    </w:p>
    <w:p w:rsidR="00F55FC1" w:rsidP="00F55FC1">
      <w:pPr>
        <w:spacing w:after="0" w:line="240" w:lineRule="auto"/>
        <w:rPr>
          <w:b/>
        </w:rPr>
      </w:pPr>
      <w:r w:rsidRPr="00F55FC1">
        <w:rPr>
          <w:b/>
        </w:rPr>
        <w:t>KRUGER, J.</w:t>
      </w:r>
    </w:p>
    <w:p w:rsidR="00F55FC1" w:rsidRPr="00F55FC1" w:rsidP="00F55FC1">
      <w:pPr>
        <w:spacing w:after="0" w:line="240" w:lineRule="auto"/>
        <w:rPr>
          <w:b/>
        </w:rPr>
      </w:pPr>
      <w:r>
        <w:rPr>
          <w:b/>
        </w:rPr>
        <w:t>GROBAN, J.</w:t>
      </w:r>
    </w:p>
    <w:p w:rsidR="00F55FC1" w:rsidRPr="00F55FC1" w:rsidP="00F55FC1">
      <w:pPr>
        <w:spacing w:after="0" w:line="240" w:lineRule="auto"/>
        <w:rPr>
          <w:b/>
        </w:rPr>
      </w:pPr>
      <w:r>
        <w:rPr>
          <w:b/>
        </w:rPr>
        <w:t>GRIMES</w:t>
      </w:r>
      <w:r w:rsidRPr="00F55FC1">
        <w:rPr>
          <w:b/>
        </w:rPr>
        <w:t>, J.</w:t>
      </w:r>
      <w:r>
        <w:rPr>
          <w:b/>
          <w:position w:val="4"/>
          <w:vertAlign w:val="superscript"/>
        </w:rPr>
        <w:footnoteReference w:customMarkFollows="1" w:id="4"/>
        <w:t xml:space="preserve">*</w:t>
      </w:r>
    </w:p>
    <w:p w:rsidR="00D80941" w:rsidP="00F55FC1">
      <w:pPr>
        <w:spacing w:after="0" w:line="240" w:lineRule="auto"/>
        <w:jc w:val="left"/>
        <w:rPr>
          <w:b/>
          <w:bCs/>
        </w:rPr>
        <w:sectPr w:rsidSect="009C6CB3">
          <w:footerReference w:type="first" r:id="rId11"/>
          <w:pgSz w:w="12240" w:h="15840"/>
          <w:pgMar w:top="1800" w:right="2160" w:bottom="1440" w:left="2160" w:header="720" w:footer="720" w:gutter="0"/>
          <w:pgNumType w:start="1"/>
          <w:cols w:space="720"/>
          <w:titlePg/>
          <w:docGrid w:linePitch="367"/>
        </w:sectPr>
      </w:pPr>
    </w:p>
    <w:p w:rsidR="000C3352" w:rsidRPr="000C3352" w:rsidP="000C3352">
      <w:pPr>
        <w:spacing w:after="0" w:line="240" w:lineRule="auto"/>
        <w:jc w:val="left"/>
        <w:rPr>
          <w:rFonts w:ascii="Times New Roman" w:hAnsi="Times New Roman"/>
          <w:i/>
          <w:sz w:val="20"/>
        </w:rPr>
      </w:pPr>
      <w:r w:rsidRPr="000C3352">
        <w:rPr>
          <w:rFonts w:ascii="Times New Roman" w:hAnsi="Times New Roman"/>
          <w:i/>
          <w:sz w:val="20"/>
        </w:rPr>
        <w:t>See next page for addresses and telephone numbers for counsel who argued in Supreme Court.</w:t>
      </w:r>
    </w:p>
    <w:p w:rsidR="000C3352" w:rsidRPr="000C3352" w:rsidP="000C3352">
      <w:pPr>
        <w:spacing w:after="0" w:line="240" w:lineRule="auto"/>
        <w:jc w:val="left"/>
        <w:rPr>
          <w:rFonts w:ascii="Times New Roman" w:hAnsi="Times New Roman"/>
          <w:i/>
          <w:sz w:val="20"/>
        </w:rPr>
      </w:pPr>
    </w:p>
    <w:p w:rsidR="000C3352" w:rsidRPr="000C3352" w:rsidP="000C3352">
      <w:pPr>
        <w:spacing w:after="0" w:line="240" w:lineRule="auto"/>
        <w:jc w:val="left"/>
        <w:rPr>
          <w:rFonts w:ascii="Times New Roman" w:hAnsi="Times New Roman"/>
          <w:b/>
          <w:sz w:val="20"/>
        </w:rPr>
      </w:pPr>
      <w:r w:rsidRPr="000C3352">
        <w:rPr>
          <w:rFonts w:ascii="Times New Roman" w:hAnsi="Times New Roman"/>
          <w:b/>
          <w:sz w:val="20"/>
        </w:rPr>
        <w:t xml:space="preserve">Name of Opinion </w:t>
      </w:r>
      <w:r w:rsidRPr="000C3352">
        <w:rPr>
          <w:rFonts w:ascii="Times New Roman" w:hAnsi="Times New Roman"/>
          <w:bCs/>
          <w:sz w:val="20"/>
        </w:rPr>
        <w:t xml:space="preserve"> People v. Gentile</w:t>
      </w:r>
    </w:p>
    <w:p w:rsidR="000C3352" w:rsidRPr="000C3352" w:rsidP="000C3352">
      <w:pPr>
        <w:spacing w:after="0" w:line="240" w:lineRule="auto"/>
        <w:jc w:val="left"/>
        <w:rPr>
          <w:rFonts w:ascii="Times New Roman" w:hAnsi="Times New Roman"/>
          <w:b/>
          <w:sz w:val="20"/>
        </w:rPr>
      </w:pPr>
      <w:r w:rsidRPr="000C3352">
        <w:rPr>
          <w:rFonts w:ascii="Times New Roman" w:hAnsi="Times New Roman"/>
          <w:b/>
          <w:sz w:val="20"/>
        </w:rPr>
        <w:t>__________________________________________________________________________________</w:t>
      </w:r>
    </w:p>
    <w:p w:rsidR="000C3352" w:rsidRPr="000C3352" w:rsidP="000C3352">
      <w:pPr>
        <w:spacing w:after="0" w:line="240" w:lineRule="auto"/>
        <w:jc w:val="left"/>
        <w:rPr>
          <w:rFonts w:ascii="Times New Roman" w:hAnsi="Times New Roman"/>
          <w:b/>
          <w:sz w:val="20"/>
        </w:rPr>
      </w:pPr>
    </w:p>
    <w:p w:rsidR="000C3352" w:rsidRPr="000C3352" w:rsidP="000C3352">
      <w:pPr>
        <w:spacing w:after="0" w:line="240" w:lineRule="auto"/>
        <w:jc w:val="left"/>
        <w:rPr>
          <w:rFonts w:ascii="Times New Roman" w:hAnsi="Times New Roman"/>
          <w:bCs/>
          <w:sz w:val="20"/>
        </w:rPr>
      </w:pPr>
      <w:r w:rsidRPr="000C3352">
        <w:rPr>
          <w:rFonts w:ascii="Times New Roman" w:hAnsi="Times New Roman"/>
          <w:b/>
          <w:sz w:val="20"/>
        </w:rPr>
        <w:t xml:space="preserve">Unpublished Opinion </w:t>
      </w:r>
    </w:p>
    <w:p w:rsidR="000C3352" w:rsidRPr="000C3352" w:rsidP="000C3352">
      <w:pPr>
        <w:spacing w:after="0" w:line="240" w:lineRule="auto"/>
        <w:jc w:val="left"/>
        <w:rPr>
          <w:rFonts w:ascii="Times New Roman" w:hAnsi="Times New Roman"/>
          <w:sz w:val="20"/>
        </w:rPr>
      </w:pPr>
      <w:r w:rsidRPr="000C3352">
        <w:rPr>
          <w:rFonts w:ascii="Times New Roman" w:hAnsi="Times New Roman"/>
          <w:b/>
          <w:sz w:val="20"/>
        </w:rPr>
        <w:t xml:space="preserve">Original Appeal  </w:t>
      </w:r>
    </w:p>
    <w:p w:rsidR="000C3352" w:rsidRPr="000C3352" w:rsidP="000C3352">
      <w:pPr>
        <w:spacing w:after="0" w:line="240" w:lineRule="auto"/>
        <w:jc w:val="left"/>
        <w:rPr>
          <w:rFonts w:ascii="Times New Roman" w:hAnsi="Times New Roman"/>
          <w:b/>
          <w:sz w:val="20"/>
        </w:rPr>
      </w:pPr>
      <w:r w:rsidRPr="000C3352">
        <w:rPr>
          <w:rFonts w:ascii="Times New Roman" w:hAnsi="Times New Roman"/>
          <w:b/>
          <w:sz w:val="20"/>
        </w:rPr>
        <w:t xml:space="preserve">Original Proceeding </w:t>
      </w:r>
    </w:p>
    <w:p w:rsidR="000C3352" w:rsidRPr="000C3352" w:rsidP="000C3352">
      <w:pPr>
        <w:spacing w:after="0" w:line="240" w:lineRule="auto"/>
        <w:jc w:val="left"/>
        <w:rPr>
          <w:rFonts w:ascii="Times New Roman" w:hAnsi="Times New Roman"/>
          <w:bCs/>
          <w:sz w:val="20"/>
        </w:rPr>
      </w:pPr>
      <w:r w:rsidRPr="000C3352">
        <w:rPr>
          <w:rFonts w:ascii="Times New Roman" w:hAnsi="Times New Roman"/>
          <w:b/>
          <w:sz w:val="20"/>
        </w:rPr>
        <w:t xml:space="preserve">Review Granted </w:t>
      </w:r>
      <w:r w:rsidRPr="000C3352">
        <w:rPr>
          <w:rFonts w:ascii="Times New Roman" w:hAnsi="Times New Roman"/>
          <w:bCs/>
          <w:sz w:val="20"/>
        </w:rPr>
        <w:t>XXX 35 Cal.App.5th 932</w:t>
      </w:r>
    </w:p>
    <w:p w:rsidR="000C3352" w:rsidRPr="000C3352" w:rsidP="000C3352">
      <w:pPr>
        <w:spacing w:after="0" w:line="240" w:lineRule="auto"/>
        <w:jc w:val="left"/>
        <w:rPr>
          <w:rFonts w:ascii="Times New Roman" w:hAnsi="Times New Roman"/>
          <w:b/>
          <w:sz w:val="20"/>
        </w:rPr>
      </w:pPr>
      <w:r w:rsidRPr="000C3352">
        <w:rPr>
          <w:rFonts w:ascii="Times New Roman" w:hAnsi="Times New Roman"/>
          <w:b/>
          <w:sz w:val="20"/>
        </w:rPr>
        <w:t>Rehearing Granted</w:t>
      </w:r>
    </w:p>
    <w:p w:rsidR="000C3352" w:rsidRPr="000C3352" w:rsidP="000C3352">
      <w:pPr>
        <w:spacing w:after="0" w:line="240" w:lineRule="auto"/>
        <w:jc w:val="left"/>
        <w:rPr>
          <w:rFonts w:ascii="Times New Roman" w:hAnsi="Times New Roman"/>
          <w:b/>
          <w:sz w:val="20"/>
        </w:rPr>
      </w:pPr>
    </w:p>
    <w:p w:rsidR="000C3352" w:rsidRPr="000C3352" w:rsidP="000C3352">
      <w:pPr>
        <w:spacing w:after="0" w:line="240" w:lineRule="auto"/>
        <w:jc w:val="left"/>
        <w:rPr>
          <w:rFonts w:ascii="Times New Roman" w:hAnsi="Times New Roman"/>
          <w:b/>
          <w:sz w:val="20"/>
        </w:rPr>
      </w:pPr>
      <w:r w:rsidRPr="000C3352">
        <w:rPr>
          <w:rFonts w:ascii="Times New Roman" w:hAnsi="Times New Roman"/>
          <w:b/>
          <w:sz w:val="20"/>
        </w:rPr>
        <w:t>__________________________________________________________________________________</w:t>
      </w:r>
    </w:p>
    <w:p w:rsidR="000C3352" w:rsidRPr="000C3352" w:rsidP="000C3352">
      <w:pPr>
        <w:spacing w:after="0" w:line="240" w:lineRule="auto"/>
        <w:jc w:val="left"/>
        <w:rPr>
          <w:rFonts w:ascii="Times New Roman" w:hAnsi="Times New Roman"/>
          <w:b/>
          <w:sz w:val="20"/>
        </w:rPr>
      </w:pPr>
    </w:p>
    <w:p w:rsidR="000C3352" w:rsidRPr="000C3352" w:rsidP="000C3352">
      <w:pPr>
        <w:spacing w:after="0" w:line="240" w:lineRule="auto"/>
        <w:jc w:val="left"/>
        <w:rPr>
          <w:rFonts w:ascii="Times New Roman" w:hAnsi="Times New Roman"/>
          <w:bCs/>
          <w:sz w:val="20"/>
        </w:rPr>
      </w:pPr>
      <w:r w:rsidRPr="000C3352">
        <w:rPr>
          <w:rFonts w:ascii="Times New Roman" w:hAnsi="Times New Roman"/>
          <w:b/>
          <w:sz w:val="20"/>
        </w:rPr>
        <w:t>Opinion No.</w:t>
      </w:r>
      <w:r w:rsidRPr="000C3352">
        <w:rPr>
          <w:rFonts w:ascii="Times New Roman" w:hAnsi="Times New Roman"/>
          <w:sz w:val="20"/>
        </w:rPr>
        <w:t xml:space="preserve"> S256698</w:t>
      </w:r>
    </w:p>
    <w:p w:rsidR="000C3352" w:rsidRPr="000C3352" w:rsidP="000C3352">
      <w:pPr>
        <w:spacing w:after="0" w:line="240" w:lineRule="auto"/>
        <w:jc w:val="left"/>
        <w:rPr>
          <w:rFonts w:ascii="Times New Roman" w:hAnsi="Times New Roman"/>
          <w:sz w:val="20"/>
        </w:rPr>
      </w:pPr>
      <w:r w:rsidRPr="000C3352">
        <w:rPr>
          <w:rFonts w:ascii="Times New Roman" w:hAnsi="Times New Roman"/>
          <w:b/>
          <w:sz w:val="20"/>
        </w:rPr>
        <w:t>Date Filed:</w:t>
      </w:r>
      <w:r w:rsidRPr="000C3352">
        <w:rPr>
          <w:rFonts w:ascii="Times New Roman" w:hAnsi="Times New Roman"/>
          <w:sz w:val="20"/>
        </w:rPr>
        <w:t xml:space="preserve">  December 17, 2020</w:t>
      </w:r>
    </w:p>
    <w:p w:rsidR="000C3352" w:rsidRPr="000C3352" w:rsidP="000C3352">
      <w:pPr>
        <w:spacing w:after="0" w:line="240" w:lineRule="auto"/>
        <w:jc w:val="left"/>
        <w:rPr>
          <w:rFonts w:ascii="Times New Roman" w:hAnsi="Times New Roman"/>
          <w:bCs/>
          <w:sz w:val="20"/>
        </w:rPr>
      </w:pPr>
    </w:p>
    <w:p w:rsidR="000C3352" w:rsidRPr="000C3352" w:rsidP="000C3352">
      <w:pPr>
        <w:spacing w:after="0" w:line="240" w:lineRule="auto"/>
        <w:jc w:val="left"/>
        <w:rPr>
          <w:rFonts w:ascii="Times New Roman" w:hAnsi="Times New Roman"/>
          <w:b/>
          <w:sz w:val="20"/>
        </w:rPr>
      </w:pPr>
      <w:r w:rsidRPr="000C3352">
        <w:rPr>
          <w:rFonts w:ascii="Times New Roman" w:hAnsi="Times New Roman"/>
          <w:b/>
          <w:sz w:val="20"/>
        </w:rPr>
        <w:t>__________________________________________________________________________________</w:t>
      </w:r>
    </w:p>
    <w:p w:rsidR="000C3352" w:rsidRPr="000C3352" w:rsidP="000C3352">
      <w:pPr>
        <w:spacing w:after="0" w:line="240" w:lineRule="auto"/>
        <w:jc w:val="left"/>
        <w:rPr>
          <w:rFonts w:ascii="Times New Roman" w:hAnsi="Times New Roman"/>
          <w:b/>
          <w:sz w:val="20"/>
        </w:rPr>
      </w:pPr>
    </w:p>
    <w:p w:rsidR="000C3352" w:rsidRPr="000C3352" w:rsidP="000C3352">
      <w:pPr>
        <w:spacing w:after="0" w:line="240" w:lineRule="auto"/>
        <w:jc w:val="left"/>
        <w:rPr>
          <w:rFonts w:ascii="Times New Roman" w:hAnsi="Times New Roman"/>
          <w:bCs/>
          <w:sz w:val="20"/>
        </w:rPr>
      </w:pPr>
      <w:r w:rsidRPr="000C3352">
        <w:rPr>
          <w:rFonts w:ascii="Times New Roman" w:hAnsi="Times New Roman"/>
          <w:b/>
          <w:sz w:val="20"/>
        </w:rPr>
        <w:t xml:space="preserve">Court:  </w:t>
      </w:r>
      <w:r w:rsidRPr="000C3352">
        <w:rPr>
          <w:rFonts w:ascii="Times New Roman" w:hAnsi="Times New Roman"/>
          <w:bCs/>
          <w:sz w:val="20"/>
        </w:rPr>
        <w:t>Superior</w:t>
      </w:r>
    </w:p>
    <w:p w:rsidR="000C3352" w:rsidRPr="000C3352" w:rsidP="000C3352">
      <w:pPr>
        <w:spacing w:after="0" w:line="240" w:lineRule="auto"/>
        <w:jc w:val="left"/>
        <w:rPr>
          <w:rFonts w:ascii="Times New Roman" w:hAnsi="Times New Roman"/>
          <w:bCs/>
          <w:sz w:val="20"/>
        </w:rPr>
      </w:pPr>
      <w:r w:rsidRPr="000C3352">
        <w:rPr>
          <w:rFonts w:ascii="Times New Roman" w:hAnsi="Times New Roman"/>
          <w:b/>
          <w:sz w:val="20"/>
        </w:rPr>
        <w:t xml:space="preserve">County:  </w:t>
      </w:r>
      <w:r w:rsidRPr="000C3352">
        <w:rPr>
          <w:rFonts w:ascii="Times New Roman" w:hAnsi="Times New Roman"/>
          <w:bCs/>
          <w:sz w:val="20"/>
        </w:rPr>
        <w:t>Riverside</w:t>
      </w:r>
    </w:p>
    <w:p w:rsidR="000C3352" w:rsidRPr="000C3352" w:rsidP="000C3352">
      <w:pPr>
        <w:spacing w:after="0" w:line="240" w:lineRule="auto"/>
        <w:ind w:left="720" w:hanging="720"/>
        <w:jc w:val="left"/>
        <w:rPr>
          <w:rFonts w:ascii="Times New Roman" w:hAnsi="Times New Roman"/>
          <w:bCs/>
          <w:sz w:val="20"/>
        </w:rPr>
      </w:pPr>
      <w:r w:rsidRPr="000C3352">
        <w:rPr>
          <w:rFonts w:ascii="Times New Roman" w:hAnsi="Times New Roman"/>
          <w:b/>
          <w:sz w:val="20"/>
        </w:rPr>
        <w:t xml:space="preserve">Judge: </w:t>
      </w:r>
      <w:r w:rsidRPr="000C3352">
        <w:rPr>
          <w:rFonts w:ascii="Times New Roman" w:hAnsi="Times New Roman"/>
          <w:bCs/>
          <w:sz w:val="20"/>
        </w:rPr>
        <w:t xml:space="preserve"> Graham A. Cribbs</w:t>
      </w:r>
    </w:p>
    <w:p w:rsidR="000C3352" w:rsidRPr="000C3352" w:rsidP="000C3352">
      <w:pPr>
        <w:spacing w:after="0" w:line="240" w:lineRule="auto"/>
        <w:jc w:val="left"/>
        <w:rPr>
          <w:rFonts w:ascii="Times New Roman" w:hAnsi="Times New Roman"/>
          <w:b/>
          <w:sz w:val="20"/>
        </w:rPr>
      </w:pPr>
    </w:p>
    <w:p w:rsidR="000C3352" w:rsidRPr="000C3352" w:rsidP="000C3352">
      <w:pPr>
        <w:spacing w:after="0" w:line="240" w:lineRule="auto"/>
        <w:jc w:val="left"/>
        <w:rPr>
          <w:rFonts w:ascii="Times New Roman" w:hAnsi="Times New Roman"/>
          <w:b/>
          <w:sz w:val="20"/>
        </w:rPr>
      </w:pPr>
      <w:r w:rsidRPr="000C3352">
        <w:rPr>
          <w:rFonts w:ascii="Times New Roman" w:hAnsi="Times New Roman"/>
          <w:b/>
          <w:sz w:val="20"/>
        </w:rPr>
        <w:t>__________________________________________________________________________________</w:t>
      </w:r>
    </w:p>
    <w:p w:rsidR="000C3352" w:rsidRPr="000C3352" w:rsidP="000C3352">
      <w:pPr>
        <w:spacing w:after="0" w:line="240" w:lineRule="auto"/>
        <w:jc w:val="left"/>
        <w:rPr>
          <w:rFonts w:ascii="Times New Roman" w:hAnsi="Times New Roman"/>
          <w:b/>
          <w:sz w:val="20"/>
        </w:rPr>
      </w:pPr>
    </w:p>
    <w:p w:rsidR="000C3352" w:rsidRPr="000C3352" w:rsidP="000C3352">
      <w:pPr>
        <w:spacing w:after="0" w:line="240" w:lineRule="auto"/>
        <w:jc w:val="left"/>
        <w:rPr>
          <w:rFonts w:ascii="Times New Roman" w:hAnsi="Times New Roman"/>
          <w:b/>
          <w:sz w:val="20"/>
        </w:rPr>
      </w:pPr>
      <w:r w:rsidRPr="000C3352">
        <w:rPr>
          <w:rFonts w:ascii="Times New Roman" w:hAnsi="Times New Roman"/>
          <w:b/>
          <w:sz w:val="20"/>
        </w:rPr>
        <w:t>Counsel:</w:t>
      </w:r>
    </w:p>
    <w:p w:rsidR="000C3352" w:rsidRPr="000C3352" w:rsidP="000C3352">
      <w:pPr>
        <w:spacing w:after="0" w:line="240" w:lineRule="auto"/>
        <w:jc w:val="left"/>
        <w:rPr>
          <w:rFonts w:ascii="Times New Roman" w:hAnsi="Times New Roman"/>
          <w:b/>
          <w:sz w:val="20"/>
        </w:rPr>
      </w:pPr>
    </w:p>
    <w:p w:rsidR="000C3352" w:rsidRPr="000C3352" w:rsidP="000C3352">
      <w:pPr>
        <w:spacing w:after="0" w:line="240" w:lineRule="auto"/>
        <w:jc w:val="left"/>
        <w:rPr>
          <w:rFonts w:ascii="Times New Roman" w:hAnsi="Times New Roman"/>
          <w:color w:val="373739"/>
          <w:sz w:val="20"/>
          <w:specVanish/>
        </w:rPr>
      </w:pPr>
      <w:r w:rsidRPr="000C3352">
        <w:rPr>
          <w:rFonts w:ascii="Times New Roman" w:hAnsi="Times New Roman"/>
          <w:color w:val="373739"/>
          <w:sz w:val="20"/>
        </w:rPr>
        <w:t>Eric R. Larson, under appointment by the Supreme Court, for Defendant and Appellant.</w:t>
      </w:r>
      <w:r w:rsidRPr="000C3352">
        <w:rPr>
          <w:rFonts w:ascii="Times New Roman" w:hAnsi="Times New Roman"/>
          <w:color w:val="373739"/>
          <w:sz w:val="20"/>
        </w:rPr>
        <w:br/>
      </w:r>
      <w:r w:rsidRPr="000C3352">
        <w:rPr>
          <w:rFonts w:ascii="Times New Roman" w:hAnsi="Times New Roman"/>
          <w:color w:val="373739"/>
          <w:sz w:val="20"/>
        </w:rPr>
        <w:br/>
        <w:t>Xavier Becerra, Attorney General, Gerald A. Engler and Lance E. Winters, Chief Assistant Attorneys General, Julie L. Garland, Assistant Attorney General, Charles Ragland, Lynne McGinnis, James H. Flaherty III, A. Natasha Cortina, Meredith S. White and Alan L. Amann, Deputy Attorneys General, for Plaintiff and Respondent.</w:t>
      </w:r>
    </w:p>
    <w:p w:rsidR="000C3352" w:rsidRPr="000C3352" w:rsidP="000C3352">
      <w:pPr>
        <w:spacing w:after="0" w:line="240" w:lineRule="auto"/>
        <w:jc w:val="left"/>
        <w:rPr>
          <w:rFonts w:ascii="Times New Roman" w:hAnsi="Times New Roman"/>
          <w:color w:val="373739"/>
          <w:sz w:val="20"/>
          <w:specVanish/>
        </w:rPr>
      </w:pPr>
    </w:p>
    <w:p w:rsidR="000C3352" w:rsidRPr="000C3352" w:rsidP="000C3352">
      <w:pPr>
        <w:spacing w:after="0" w:line="240" w:lineRule="auto"/>
        <w:jc w:val="left"/>
        <w:rPr>
          <w:rFonts w:ascii="Times New Roman" w:hAnsi="Times New Roman"/>
          <w:color w:val="373739"/>
          <w:sz w:val="20"/>
          <w:specVanish/>
        </w:rPr>
      </w:pPr>
      <w:r w:rsidRPr="000C3352">
        <w:rPr>
          <w:rFonts w:ascii="Times New Roman" w:hAnsi="Times New Roman"/>
          <w:color w:val="373739"/>
          <w:sz w:val="20"/>
        </w:rPr>
        <w:t>Mitchell Keiter for Amicus Populi as Amicus Curiae.</w:t>
      </w:r>
    </w:p>
    <w:p w:rsidR="000C3352" w:rsidRPr="000C3352" w:rsidP="000C3352">
      <w:pPr>
        <w:spacing w:after="0" w:line="240" w:lineRule="auto"/>
        <w:jc w:val="left"/>
        <w:rPr>
          <w:rFonts w:ascii="Times New Roman" w:hAnsi="Times New Roman"/>
          <w:color w:val="373739"/>
          <w:sz w:val="20"/>
          <w:specVanish/>
        </w:rPr>
      </w:pPr>
    </w:p>
    <w:p w:rsidR="000C3352" w:rsidRPr="000C3352" w:rsidP="000C3352">
      <w:pPr>
        <w:spacing w:after="0" w:line="240" w:lineRule="auto"/>
        <w:jc w:val="left"/>
        <w:rPr>
          <w:rFonts w:ascii="Times New Roman" w:hAnsi="Times New Roman"/>
          <w:color w:val="373739"/>
          <w:sz w:val="20"/>
          <w:specVanish/>
        </w:rPr>
      </w:pPr>
      <w:r w:rsidRPr="000C3352">
        <w:rPr>
          <w:rFonts w:ascii="Times New Roman" w:hAnsi="Times New Roman"/>
          <w:color w:val="373739"/>
          <w:sz w:val="20"/>
        </w:rPr>
        <w:t>Summer Stephan, District Attorney (San Diego), Mark A. Amador, Linh Lam and Michael Runyon, Deputy District Attorneys for San Diego Country District Attorney as Amicus Curiae.</w:t>
      </w:r>
    </w:p>
    <w:p w:rsidR="000C3352" w:rsidRPr="000C3352" w:rsidP="000C3352">
      <w:pPr>
        <w:spacing w:after="0" w:line="240" w:lineRule="auto"/>
        <w:jc w:val="left"/>
        <w:rPr>
          <w:rFonts w:ascii="Lato" w:hAnsi="Lato"/>
          <w:color w:val="7030A0"/>
          <w:sz w:val="21"/>
          <w:szCs w:val="21"/>
          <w:specVanish/>
        </w:rPr>
      </w:pPr>
    </w:p>
    <w:p w:rsidR="000C3352" w:rsidRPr="000C3352" w:rsidP="000C3352">
      <w:pPr>
        <w:spacing w:after="0" w:line="240" w:lineRule="auto"/>
        <w:jc w:val="left"/>
        <w:rPr>
          <w:rFonts w:ascii="Lato" w:hAnsi="Lato"/>
          <w:color w:val="373739"/>
          <w:sz w:val="21"/>
          <w:szCs w:val="21"/>
          <w:specVanish/>
        </w:rPr>
      </w:pPr>
      <w:r w:rsidRPr="000C3352">
        <w:rPr>
          <w:rFonts w:ascii="Lato" w:hAnsi="Lato"/>
          <w:color w:val="373739"/>
          <w:sz w:val="21"/>
          <w:szCs w:val="21"/>
        </w:rPr>
        <w:br w:type="page"/>
      </w:r>
    </w:p>
    <w:p w:rsidR="000C3352" w:rsidRPr="000C3352" w:rsidP="000C3352">
      <w:pPr>
        <w:spacing w:after="0" w:line="240" w:lineRule="auto"/>
        <w:jc w:val="left"/>
        <w:rPr>
          <w:rFonts w:ascii="Times New Roman" w:hAnsi="Times New Roman"/>
          <w:b/>
          <w:sz w:val="20"/>
        </w:rPr>
      </w:pPr>
    </w:p>
    <w:p w:rsidR="000C3352" w:rsidRPr="000C3352" w:rsidP="000C3352">
      <w:pPr>
        <w:spacing w:after="0" w:line="240" w:lineRule="auto"/>
        <w:jc w:val="left"/>
        <w:rPr>
          <w:rFonts w:ascii="Times New Roman" w:hAnsi="Times New Roman"/>
          <w:b/>
          <w:sz w:val="20"/>
        </w:rPr>
      </w:pPr>
    </w:p>
    <w:p w:rsidR="000C3352" w:rsidRPr="000C3352" w:rsidP="000C3352">
      <w:pPr>
        <w:spacing w:after="0" w:line="240" w:lineRule="auto"/>
        <w:jc w:val="left"/>
        <w:rPr>
          <w:rFonts w:ascii="Times New Roman" w:hAnsi="Times New Roman"/>
          <w:b/>
          <w:sz w:val="20"/>
        </w:rPr>
      </w:pPr>
    </w:p>
    <w:p w:rsidR="000C3352" w:rsidRPr="000C3352" w:rsidP="000C3352">
      <w:pPr>
        <w:spacing w:after="0" w:line="240" w:lineRule="auto"/>
        <w:jc w:val="left"/>
        <w:rPr>
          <w:rFonts w:ascii="Times New Roman" w:hAnsi="Times New Roman"/>
          <w:b/>
          <w:sz w:val="20"/>
        </w:rPr>
      </w:pPr>
      <w:r w:rsidRPr="000C3352">
        <w:rPr>
          <w:rFonts w:ascii="Times New Roman" w:hAnsi="Times New Roman"/>
          <w:b/>
          <w:sz w:val="20"/>
        </w:rPr>
        <w:t>Counsel who argued in Supreme Court (not intended for publication with opinion):</w:t>
      </w:r>
    </w:p>
    <w:p w:rsidR="000C3352" w:rsidRPr="000C3352" w:rsidP="000C3352">
      <w:pPr>
        <w:spacing w:after="0" w:line="240" w:lineRule="auto"/>
        <w:jc w:val="left"/>
        <w:rPr>
          <w:rFonts w:ascii="Times New Roman" w:hAnsi="Times New Roman"/>
          <w:b/>
          <w:sz w:val="20"/>
        </w:rPr>
      </w:pPr>
    </w:p>
    <w:p w:rsidR="000C3352" w:rsidRPr="000C3352" w:rsidP="000C3352">
      <w:pPr>
        <w:spacing w:after="0" w:line="240" w:lineRule="auto"/>
        <w:jc w:val="left"/>
        <w:rPr>
          <w:rFonts w:ascii="Times New Roman" w:hAnsi="Times New Roman"/>
          <w:sz w:val="20"/>
        </w:rPr>
      </w:pPr>
      <w:r w:rsidRPr="000C3352">
        <w:rPr>
          <w:rFonts w:ascii="Times New Roman" w:hAnsi="Times New Roman"/>
          <w:sz w:val="20"/>
        </w:rPr>
        <w:t>Eric R. Larson</w:t>
      </w:r>
    </w:p>
    <w:p w:rsidR="000C3352" w:rsidRPr="000C3352" w:rsidP="000C3352">
      <w:pPr>
        <w:spacing w:after="0" w:line="240" w:lineRule="auto"/>
        <w:jc w:val="left"/>
        <w:rPr>
          <w:rFonts w:ascii="Times New Roman" w:hAnsi="Times New Roman"/>
          <w:sz w:val="20"/>
        </w:rPr>
      </w:pPr>
      <w:r w:rsidRPr="000C3352">
        <w:rPr>
          <w:rFonts w:ascii="Times New Roman" w:hAnsi="Times New Roman"/>
          <w:sz w:val="20"/>
        </w:rPr>
        <w:t>330 J Street, #609</w:t>
      </w:r>
    </w:p>
    <w:p w:rsidR="000C3352" w:rsidRPr="000C3352" w:rsidP="000C3352">
      <w:pPr>
        <w:spacing w:after="0" w:line="240" w:lineRule="auto"/>
        <w:jc w:val="left"/>
        <w:rPr>
          <w:rFonts w:ascii="Times New Roman" w:hAnsi="Times New Roman"/>
          <w:sz w:val="20"/>
        </w:rPr>
      </w:pPr>
      <w:r w:rsidRPr="000C3352">
        <w:rPr>
          <w:rFonts w:ascii="Times New Roman" w:hAnsi="Times New Roman"/>
          <w:sz w:val="20"/>
        </w:rPr>
        <w:t>San Diego, CA 92101</w:t>
      </w:r>
    </w:p>
    <w:p w:rsidR="000C3352" w:rsidRPr="000C3352" w:rsidP="000C3352">
      <w:pPr>
        <w:spacing w:after="0" w:line="240" w:lineRule="auto"/>
        <w:jc w:val="left"/>
        <w:rPr>
          <w:rFonts w:ascii="Times New Roman" w:hAnsi="Times New Roman"/>
          <w:sz w:val="20"/>
        </w:rPr>
      </w:pPr>
      <w:r w:rsidRPr="000C3352">
        <w:rPr>
          <w:rFonts w:ascii="Times New Roman" w:hAnsi="Times New Roman"/>
          <w:sz w:val="20"/>
        </w:rPr>
        <w:t>(619) 238-5575</w:t>
      </w:r>
    </w:p>
    <w:p w:rsidR="000C3352" w:rsidRPr="000C3352" w:rsidP="000C3352">
      <w:pPr>
        <w:spacing w:after="0" w:line="240" w:lineRule="auto"/>
        <w:jc w:val="left"/>
        <w:rPr>
          <w:rFonts w:ascii="Times New Roman" w:hAnsi="Times New Roman"/>
          <w:sz w:val="20"/>
        </w:rPr>
      </w:pPr>
    </w:p>
    <w:p w:rsidR="000C3352" w:rsidRPr="000C3352" w:rsidP="000C3352">
      <w:pPr>
        <w:spacing w:after="0" w:line="240" w:lineRule="auto"/>
        <w:jc w:val="left"/>
        <w:rPr>
          <w:rFonts w:ascii="Times New Roman" w:hAnsi="Times New Roman"/>
          <w:sz w:val="20"/>
        </w:rPr>
      </w:pPr>
      <w:r w:rsidRPr="000C3352">
        <w:rPr>
          <w:rFonts w:ascii="Times New Roman" w:hAnsi="Times New Roman"/>
          <w:sz w:val="20"/>
        </w:rPr>
        <w:t>Alan L. Amann</w:t>
      </w:r>
    </w:p>
    <w:p w:rsidR="000C3352" w:rsidRPr="000C3352" w:rsidP="000C3352">
      <w:pPr>
        <w:spacing w:after="0" w:line="240" w:lineRule="auto"/>
        <w:jc w:val="left"/>
        <w:rPr>
          <w:rFonts w:ascii="Times New Roman" w:hAnsi="Times New Roman"/>
          <w:sz w:val="20"/>
        </w:rPr>
      </w:pPr>
      <w:r w:rsidRPr="000C3352">
        <w:rPr>
          <w:rFonts w:ascii="Times New Roman" w:hAnsi="Times New Roman"/>
          <w:sz w:val="20"/>
        </w:rPr>
        <w:t>Deputy Attorney General</w:t>
      </w:r>
    </w:p>
    <w:p w:rsidR="000C3352" w:rsidRPr="000C3352" w:rsidP="000C3352">
      <w:pPr>
        <w:spacing w:after="0" w:line="240" w:lineRule="auto"/>
        <w:jc w:val="left"/>
        <w:rPr>
          <w:rFonts w:ascii="Times New Roman" w:hAnsi="Times New Roman"/>
          <w:sz w:val="20"/>
        </w:rPr>
      </w:pPr>
      <w:r w:rsidRPr="000C3352">
        <w:rPr>
          <w:rFonts w:ascii="Times New Roman" w:hAnsi="Times New Roman"/>
          <w:sz w:val="20"/>
        </w:rPr>
        <w:t>600 West Broadway, Suite 1800</w:t>
      </w:r>
    </w:p>
    <w:p w:rsidR="000C3352" w:rsidRPr="000C3352" w:rsidP="000C3352">
      <w:pPr>
        <w:spacing w:after="0" w:line="240" w:lineRule="auto"/>
        <w:jc w:val="left"/>
        <w:rPr>
          <w:rFonts w:ascii="Times New Roman" w:hAnsi="Times New Roman"/>
          <w:sz w:val="20"/>
        </w:rPr>
      </w:pPr>
      <w:r w:rsidRPr="000C3352">
        <w:rPr>
          <w:rFonts w:ascii="Times New Roman" w:hAnsi="Times New Roman"/>
          <w:sz w:val="20"/>
        </w:rPr>
        <w:t>San Diego, CA 92101</w:t>
      </w:r>
    </w:p>
    <w:p w:rsidR="000C3352" w:rsidRPr="000C3352" w:rsidP="000C3352">
      <w:pPr>
        <w:spacing w:after="0" w:line="240" w:lineRule="auto"/>
        <w:jc w:val="left"/>
        <w:rPr>
          <w:rFonts w:ascii="Times New Roman" w:hAnsi="Times New Roman"/>
          <w:sz w:val="20"/>
        </w:rPr>
      </w:pPr>
      <w:r w:rsidRPr="000C3352">
        <w:rPr>
          <w:rFonts w:ascii="Times New Roman" w:hAnsi="Times New Roman"/>
          <w:sz w:val="20"/>
        </w:rPr>
        <w:t>(619) 645-2277</w:t>
      </w:r>
    </w:p>
    <w:p w:rsidR="000C3352" w:rsidRPr="000C3352" w:rsidP="000C3352">
      <w:pPr>
        <w:spacing w:after="0" w:line="240" w:lineRule="auto"/>
        <w:jc w:val="left"/>
        <w:rPr>
          <w:rFonts w:ascii="Times New Roman" w:hAnsi="Times New Roman"/>
          <w:sz w:val="20"/>
        </w:rPr>
      </w:pPr>
    </w:p>
    <w:p w:rsidR="00CE2030" w:rsidRPr="00DB3670" w:rsidP="00F55FC1">
      <w:pPr>
        <w:spacing w:after="0" w:line="240" w:lineRule="auto"/>
        <w:jc w:val="left"/>
        <w:rPr>
          <w:b/>
          <w:bCs/>
        </w:rPr>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7A2">
    <w:pPr>
      <w:pStyle w:val="Footer"/>
    </w:pPr>
    <w:r>
      <w:t xml:space="preserve"> </w:t>
    </w: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9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CB3">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3A5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3A5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3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4066">
      <w:r>
        <w:separator/>
      </w:r>
    </w:p>
  </w:footnote>
  <w:footnote w:type="continuationSeparator" w:id="1">
    <w:p w:rsidR="00A54066">
      <w:pPr>
        <w:rPr>
          <w:sz w:val="22"/>
        </w:rPr>
      </w:pPr>
      <w:r>
        <w:rPr>
          <w:sz w:val="22"/>
        </w:rPr>
        <w:continuationSeparator/>
      </w:r>
    </w:p>
    <w:p w:rsidR="00A54066">
      <w:pPr>
        <w:rPr>
          <w:sz w:val="22"/>
        </w:rPr>
      </w:pPr>
    </w:p>
    <w:p w:rsidR="00A54066">
      <w:pPr>
        <w:rPr>
          <w:i/>
          <w:sz w:val="20"/>
        </w:rPr>
      </w:pPr>
      <w:r>
        <w:rPr>
          <w:i/>
          <w:sz w:val="20"/>
        </w:rPr>
        <w:t>(footnote continued from previous page)</w:t>
      </w:r>
    </w:p>
    <w:p w:rsidR="00A54066">
      <w:pPr>
        <w:rPr>
          <w:sz w:val="22"/>
        </w:rPr>
      </w:pPr>
    </w:p>
  </w:footnote>
  <w:footnote w:type="continuationNotice" w:id="2">
    <w:p w:rsidR="00A54066">
      <w:pPr>
        <w:rPr>
          <w:i/>
          <w:sz w:val="22"/>
        </w:rPr>
      </w:pPr>
    </w:p>
    <w:p w:rsidR="00A54066">
      <w:pPr>
        <w:jc w:val="right"/>
        <w:rPr>
          <w:i/>
          <w:sz w:val="20"/>
        </w:rPr>
      </w:pPr>
      <w:r>
        <w:rPr>
          <w:i/>
          <w:sz w:val="20"/>
        </w:rPr>
        <w:t>(footnote continued on next page)</w:t>
      </w:r>
    </w:p>
  </w:footnote>
  <w:footnote w:id="3">
    <w:p w:rsidR="00F55FC1" w:rsidP="00F55FC1">
      <w:pPr>
        <w:pStyle w:val="FootnoteText"/>
      </w:pPr>
      <w:r>
        <w:rPr>
          <w:rStyle w:val="FootnoteReference"/>
        </w:rPr>
        <w:t>*</w:t>
      </w:r>
      <w:r>
        <w:tab/>
      </w:r>
      <w:r w:rsidRPr="00662BA9" w:rsidR="00662BA9">
        <w:rPr>
          <w:szCs w:val="27"/>
        </w:rPr>
        <w:t>Associate Justice of the Court of Appeal, Second Appellate District, Division Eight, assigned by the Chief Justice pursuant to article VI, section 6 of the California Constitution.</w:t>
      </w:r>
    </w:p>
  </w:footnote>
  <w:footnote w:id="4">
    <w:p w:rsidR="00F55FC1" w:rsidP="00F55FC1">
      <w:pPr>
        <w:pStyle w:val="FootnoteText"/>
      </w:pPr>
      <w:r>
        <w:rPr>
          <w:rStyle w:val="FootnoteReference"/>
        </w:rPr>
        <w:t>*</w:t>
      </w:r>
      <w:r>
        <w:t xml:space="preserve"> </w:t>
      </w:r>
      <w:r>
        <w:tab/>
      </w:r>
      <w:r w:rsidRPr="00662BA9" w:rsidR="00662BA9">
        <w:rPr>
          <w:szCs w:val="27"/>
        </w:rPr>
        <w:t>Associate Justice of the Court of Appeal, Second Appellate District, Division Eight,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CB3">
    <w:pPr>
      <w:pStyle w:val="Header"/>
    </w:pPr>
    <w:r>
      <w:t xml:space="preserve">PEOPLE v. </w:t>
    </w:r>
    <w:r w:rsidR="00DB5105">
      <w:t>GENTILE</w:t>
    </w:r>
  </w:p>
  <w:p w:rsidR="009C6CB3">
    <w:pPr>
      <w:pStyle w:val="Header"/>
    </w:pPr>
    <w:r>
      <w:t xml:space="preserve">Opinion of the Court by </w:t>
    </w:r>
    <w:r w:rsidR="00DB5105">
      <w:t>Liu, J.</w:t>
    </w:r>
  </w:p>
  <w:p w:rsidR="009C6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9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3A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3A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3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00742"/>
    <w:multiLevelType w:val="hybridMultilevel"/>
    <w:tmpl w:val="5B3EB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56C51A9"/>
    <w:multiLevelType w:val="hybridMultilevel"/>
    <w:tmpl w:val="E8DE2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A9A21D7"/>
    <w:multiLevelType w:val="hybridMultilevel"/>
    <w:tmpl w:val="E8B4CE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53B5986"/>
    <w:multiLevelType w:val="hybridMultilevel"/>
    <w:tmpl w:val="CE647E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7AC724A"/>
    <w:multiLevelType w:val="hybridMultilevel"/>
    <w:tmpl w:val="97B0DB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C6A499E"/>
    <w:multiLevelType w:val="hybridMultilevel"/>
    <w:tmpl w:val="C764C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1572CC3"/>
    <w:multiLevelType w:val="hybridMultilevel"/>
    <w:tmpl w:val="BD5870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EDF53B2"/>
    <w:multiLevelType w:val="hybridMultilevel"/>
    <w:tmpl w:val="1BB67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91C31CC"/>
    <w:multiLevelType w:val="hybridMultilevel"/>
    <w:tmpl w:val="1D9A0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313727E"/>
    <w:multiLevelType w:val="hybridMultilevel"/>
    <w:tmpl w:val="4858DC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CCA2AB4"/>
    <w:multiLevelType w:val="hybridMultilevel"/>
    <w:tmpl w:val="039E39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7"/>
  </w:num>
  <w:num w:numId="8">
    <w:abstractNumId w:val="1"/>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B3"/>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9C6CB3"/>
    <w:pPr>
      <w:keepNext/>
      <w:spacing w:before="140" w:line="240" w:lineRule="atLeast"/>
      <w:jc w:val="center"/>
      <w:outlineLvl w:val="0"/>
    </w:pPr>
    <w:rPr>
      <w:b/>
      <w:smallCaps/>
    </w:rPr>
  </w:style>
  <w:style w:type="paragraph" w:styleId="Heading2">
    <w:name w:val="heading 2"/>
    <w:basedOn w:val="Normal"/>
    <w:next w:val="Normal"/>
    <w:link w:val="Heading2Char"/>
    <w:qFormat/>
    <w:rsid w:val="009C6CB3"/>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9C6CB3"/>
    <w:pPr>
      <w:keepNext/>
      <w:tabs>
        <w:tab w:val="left" w:pos="1584"/>
      </w:tabs>
      <w:spacing w:before="140" w:line="240" w:lineRule="atLeast"/>
      <w:ind w:left="1584" w:hanging="432"/>
      <w:jc w:val="left"/>
      <w:outlineLvl w:val="2"/>
    </w:pPr>
    <w:rPr>
      <w:i/>
    </w:rPr>
  </w:style>
  <w:style w:type="paragraph" w:styleId="Heading4">
    <w:name w:val="heading 4"/>
    <w:basedOn w:val="Normal"/>
    <w:rsid w:val="009C6CB3"/>
    <w:pPr>
      <w:keepNext/>
      <w:tabs>
        <w:tab w:val="left" w:pos="2016"/>
      </w:tabs>
      <w:spacing w:before="140" w:line="240" w:lineRule="atLeast"/>
      <w:ind w:left="2016" w:hanging="432"/>
      <w:jc w:val="left"/>
      <w:outlineLvl w:val="3"/>
    </w:pPr>
    <w:rPr>
      <w:i/>
    </w:rPr>
  </w:style>
  <w:style w:type="paragraph" w:styleId="Heading5">
    <w:name w:val="heading 5"/>
    <w:basedOn w:val="Normal"/>
    <w:rsid w:val="009C6CB3"/>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57439C"/>
    <w:pPr>
      <w:spacing w:before="240" w:after="60"/>
      <w:outlineLvl w:val="5"/>
    </w:pPr>
    <w:rPr>
      <w:rFonts w:asciiTheme="minorHAnsi" w:eastAsiaTheme="minorHAnsi" w:hAnsiTheme="minorHAnsi"/>
      <w:b/>
      <w:bCs/>
      <w:szCs w:val="26"/>
    </w:rPr>
  </w:style>
  <w:style w:type="paragraph" w:styleId="Heading7">
    <w:name w:val="heading 7"/>
    <w:basedOn w:val="Normal"/>
    <w:next w:val="Normal"/>
    <w:link w:val="Heading7Char"/>
    <w:uiPriority w:val="9"/>
    <w:semiHidden/>
    <w:unhideWhenUsed/>
    <w:qFormat/>
    <w:rsid w:val="0057439C"/>
    <w:pPr>
      <w:spacing w:before="240" w:after="60"/>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57439C"/>
    <w:pPr>
      <w:spacing w:before="240" w:after="60"/>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57439C"/>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C6CB3"/>
    <w:pPr>
      <w:ind w:left="720"/>
    </w:pPr>
  </w:style>
  <w:style w:type="paragraph" w:styleId="Footer">
    <w:name w:val="footer"/>
    <w:basedOn w:val="Normal"/>
    <w:link w:val="FooterChar"/>
    <w:qFormat/>
    <w:rsid w:val="009C6CB3"/>
    <w:pPr>
      <w:tabs>
        <w:tab w:val="center" w:pos="3960"/>
        <w:tab w:val="right" w:pos="10080"/>
      </w:tabs>
      <w:spacing w:after="0" w:line="240" w:lineRule="auto"/>
      <w:jc w:val="center"/>
    </w:pPr>
    <w:rPr>
      <w:sz w:val="22"/>
    </w:rPr>
  </w:style>
  <w:style w:type="paragraph" w:styleId="Header">
    <w:name w:val="header"/>
    <w:basedOn w:val="Normal"/>
    <w:link w:val="HeaderChar"/>
    <w:qFormat/>
    <w:rsid w:val="009C6CB3"/>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9C6CB3"/>
    <w:rPr>
      <w:rFonts w:ascii="Century Schoolbook" w:hAnsi="Century Schoolbook"/>
      <w:b/>
      <w:i w:val="0"/>
      <w:position w:val="4"/>
      <w:sz w:val="27"/>
      <w:vertAlign w:val="superscript"/>
    </w:rPr>
  </w:style>
  <w:style w:type="paragraph" w:styleId="FootnoteText">
    <w:name w:val="footnote text"/>
    <w:basedOn w:val="Normal"/>
    <w:link w:val="FootnoteTextChar"/>
    <w:rsid w:val="009C6CB3"/>
    <w:pPr>
      <w:spacing w:line="300" w:lineRule="exact"/>
    </w:pPr>
  </w:style>
  <w:style w:type="paragraph" w:customStyle="1" w:styleId="Title1">
    <w:name w:val="Title1"/>
    <w:basedOn w:val="Normal"/>
    <w:rsid w:val="009C6CB3"/>
    <w:pPr>
      <w:tabs>
        <w:tab w:val="left" w:pos="5760"/>
        <w:tab w:val="left" w:pos="6480"/>
      </w:tabs>
      <w:spacing w:line="240" w:lineRule="atLeast"/>
    </w:pPr>
  </w:style>
  <w:style w:type="paragraph" w:customStyle="1" w:styleId="Recommend">
    <w:name w:val="Recommend"/>
    <w:basedOn w:val="Normal"/>
    <w:rsid w:val="009C6CB3"/>
  </w:style>
  <w:style w:type="paragraph" w:customStyle="1" w:styleId="Summary">
    <w:name w:val="Summary"/>
    <w:basedOn w:val="Normal"/>
    <w:rsid w:val="009C6CB3"/>
    <w:pPr>
      <w:ind w:left="2160" w:hanging="2160"/>
    </w:pPr>
  </w:style>
  <w:style w:type="paragraph" w:customStyle="1" w:styleId="Text">
    <w:name w:val="Text"/>
    <w:basedOn w:val="Normal"/>
    <w:rsid w:val="009C6CB3"/>
    <w:pPr>
      <w:tabs>
        <w:tab w:val="left" w:pos="720"/>
        <w:tab w:val="left" w:pos="1440"/>
        <w:tab w:val="left" w:pos="2160"/>
        <w:tab w:val="center" w:pos="4320"/>
      </w:tabs>
      <w:spacing w:line="480" w:lineRule="atLeast"/>
      <w:ind w:firstLine="540"/>
    </w:pPr>
  </w:style>
  <w:style w:type="paragraph" w:styleId="Date">
    <w:name w:val="Date"/>
    <w:basedOn w:val="Normal"/>
    <w:semiHidden/>
    <w:rsid w:val="009C6CB3"/>
    <w:pPr>
      <w:jc w:val="right"/>
    </w:pPr>
  </w:style>
  <w:style w:type="character" w:styleId="PageNumber">
    <w:name w:val="page number"/>
    <w:basedOn w:val="DefaultParagraphFont"/>
    <w:rsid w:val="009C6CB3"/>
  </w:style>
  <w:style w:type="paragraph" w:customStyle="1" w:styleId="subject">
    <w:name w:val="subject"/>
    <w:basedOn w:val="Normal"/>
    <w:rsid w:val="009C6CB3"/>
    <w:pPr>
      <w:tabs>
        <w:tab w:val="left" w:pos="1008"/>
      </w:tabs>
      <w:ind w:left="990" w:hanging="990"/>
    </w:pPr>
    <w:rPr>
      <w:b/>
    </w:rPr>
  </w:style>
  <w:style w:type="paragraph" w:customStyle="1" w:styleId="Titles">
    <w:name w:val="Titles"/>
    <w:basedOn w:val="Normal"/>
    <w:rsid w:val="009C6CB3"/>
    <w:pPr>
      <w:tabs>
        <w:tab w:val="left" w:pos="2160"/>
      </w:tabs>
      <w:ind w:left="2160" w:hanging="2160"/>
    </w:pPr>
    <w:rPr>
      <w:b/>
    </w:rPr>
  </w:style>
  <w:style w:type="paragraph" w:styleId="TOAHeading">
    <w:name w:val="toa heading"/>
    <w:basedOn w:val="Normal"/>
    <w:next w:val="Normal"/>
    <w:semiHidden/>
    <w:rsid w:val="009C6CB3"/>
    <w:pPr>
      <w:spacing w:before="120"/>
    </w:pPr>
    <w:rPr>
      <w:b/>
    </w:rPr>
  </w:style>
  <w:style w:type="paragraph" w:styleId="TOC1">
    <w:name w:val="toc 1"/>
    <w:basedOn w:val="Normal"/>
    <w:next w:val="Normal"/>
    <w:autoRedefine/>
    <w:semiHidden/>
    <w:rsid w:val="009C6CB3"/>
  </w:style>
  <w:style w:type="paragraph" w:styleId="TOC2">
    <w:name w:val="toc 2"/>
    <w:basedOn w:val="Normal"/>
    <w:next w:val="Normal"/>
    <w:autoRedefine/>
    <w:semiHidden/>
    <w:rsid w:val="009C6CB3"/>
    <w:pPr>
      <w:ind w:left="259"/>
    </w:pPr>
  </w:style>
  <w:style w:type="paragraph" w:styleId="TOC3">
    <w:name w:val="toc 3"/>
    <w:basedOn w:val="Normal"/>
    <w:next w:val="Normal"/>
    <w:autoRedefine/>
    <w:semiHidden/>
    <w:rsid w:val="009C6CB3"/>
    <w:pPr>
      <w:ind w:left="520"/>
    </w:pPr>
  </w:style>
  <w:style w:type="paragraph" w:styleId="TOC4">
    <w:name w:val="toc 4"/>
    <w:basedOn w:val="Normal"/>
    <w:next w:val="Normal"/>
    <w:autoRedefine/>
    <w:semiHidden/>
    <w:rsid w:val="009C6CB3"/>
    <w:pPr>
      <w:ind w:left="780"/>
    </w:pPr>
  </w:style>
  <w:style w:type="paragraph" w:styleId="TOC5">
    <w:name w:val="toc 5"/>
    <w:basedOn w:val="Normal"/>
    <w:next w:val="Normal"/>
    <w:autoRedefine/>
    <w:semiHidden/>
    <w:rsid w:val="009C6CB3"/>
    <w:pPr>
      <w:ind w:left="1040"/>
    </w:pPr>
  </w:style>
  <w:style w:type="paragraph" w:styleId="TOC6">
    <w:name w:val="toc 6"/>
    <w:basedOn w:val="Normal"/>
    <w:next w:val="Normal"/>
    <w:autoRedefine/>
    <w:semiHidden/>
    <w:rsid w:val="009C6CB3"/>
    <w:pPr>
      <w:ind w:left="1300"/>
    </w:pPr>
  </w:style>
  <w:style w:type="paragraph" w:styleId="TOC7">
    <w:name w:val="toc 7"/>
    <w:basedOn w:val="Normal"/>
    <w:next w:val="Normal"/>
    <w:autoRedefine/>
    <w:semiHidden/>
    <w:rsid w:val="009C6CB3"/>
    <w:pPr>
      <w:ind w:left="1560"/>
    </w:pPr>
  </w:style>
  <w:style w:type="paragraph" w:styleId="TOC8">
    <w:name w:val="toc 8"/>
    <w:basedOn w:val="Normal"/>
    <w:next w:val="Normal"/>
    <w:autoRedefine/>
    <w:semiHidden/>
    <w:rsid w:val="009C6CB3"/>
    <w:pPr>
      <w:ind w:left="1820"/>
    </w:pPr>
  </w:style>
  <w:style w:type="paragraph" w:styleId="TOC9">
    <w:name w:val="toc 9"/>
    <w:basedOn w:val="Normal"/>
    <w:next w:val="Normal"/>
    <w:autoRedefine/>
    <w:semiHidden/>
    <w:rsid w:val="009C6CB3"/>
    <w:pPr>
      <w:ind w:left="2080"/>
    </w:pPr>
  </w:style>
  <w:style w:type="paragraph" w:customStyle="1" w:styleId="Contents">
    <w:name w:val="Contents"/>
    <w:basedOn w:val="Normal"/>
    <w:rsid w:val="009C6CB3"/>
    <w:pPr>
      <w:jc w:val="center"/>
    </w:pPr>
    <w:rPr>
      <w:b/>
      <w:spacing w:val="100"/>
    </w:rPr>
  </w:style>
  <w:style w:type="paragraph" w:styleId="ListParagraph">
    <w:name w:val="List Paragraph"/>
    <w:basedOn w:val="Normal"/>
    <w:uiPriority w:val="34"/>
    <w:rsid w:val="0057439C"/>
    <w:pPr>
      <w:ind w:left="720"/>
      <w:contextualSpacing/>
    </w:pPr>
    <w:rPr>
      <w:szCs w:val="24"/>
    </w:rPr>
  </w:style>
  <w:style w:type="character" w:customStyle="1" w:styleId="Heading6Char">
    <w:name w:val="Heading 6 Char"/>
    <w:basedOn w:val="DefaultParagraphFont"/>
    <w:link w:val="Heading6"/>
    <w:uiPriority w:val="9"/>
    <w:semiHidden/>
    <w:rsid w:val="0057439C"/>
    <w:rPr>
      <w:rFonts w:asciiTheme="minorHAnsi" w:eastAsiaTheme="minorHAnsi" w:hAnsiTheme="minorHAnsi"/>
      <w:b/>
      <w:bCs/>
      <w:sz w:val="26"/>
      <w:szCs w:val="26"/>
    </w:rPr>
  </w:style>
  <w:style w:type="character" w:customStyle="1" w:styleId="Heading7Char">
    <w:name w:val="Heading 7 Char"/>
    <w:basedOn w:val="DefaultParagraphFont"/>
    <w:link w:val="Heading7"/>
    <w:uiPriority w:val="9"/>
    <w:semiHidden/>
    <w:rsid w:val="0057439C"/>
    <w:rPr>
      <w:rFonts w:asciiTheme="minorHAnsi" w:eastAsiaTheme="minorHAnsi" w:hAnsiTheme="minorHAnsi"/>
      <w:sz w:val="24"/>
      <w:szCs w:val="24"/>
    </w:rPr>
  </w:style>
  <w:style w:type="character" w:customStyle="1" w:styleId="Heading8Char">
    <w:name w:val="Heading 8 Char"/>
    <w:basedOn w:val="DefaultParagraphFont"/>
    <w:link w:val="Heading8"/>
    <w:uiPriority w:val="9"/>
    <w:semiHidden/>
    <w:rsid w:val="0057439C"/>
    <w:rPr>
      <w:rFonts w:asciiTheme="minorHAnsi" w:eastAsiaTheme="minorHAnsi" w:hAnsiTheme="minorHAnsi"/>
      <w:i/>
      <w:iCs/>
      <w:sz w:val="24"/>
      <w:szCs w:val="24"/>
    </w:rPr>
  </w:style>
  <w:style w:type="character" w:customStyle="1" w:styleId="Heading9Char">
    <w:name w:val="Heading 9 Char"/>
    <w:basedOn w:val="DefaultParagraphFont"/>
    <w:link w:val="Heading9"/>
    <w:uiPriority w:val="9"/>
    <w:semiHidden/>
    <w:rsid w:val="0057439C"/>
    <w:rPr>
      <w:rFonts w:asciiTheme="majorHAnsi" w:eastAsiaTheme="majorEastAsia" w:hAnsiTheme="majorHAnsi"/>
      <w:sz w:val="26"/>
      <w:szCs w:val="26"/>
    </w:rPr>
  </w:style>
  <w:style w:type="character" w:customStyle="1" w:styleId="Heading1Char">
    <w:name w:val="Heading 1 Char"/>
    <w:basedOn w:val="DefaultParagraphFont"/>
    <w:link w:val="Heading1"/>
    <w:rsid w:val="0057439C"/>
    <w:rPr>
      <w:rFonts w:ascii="Century Schoolbook" w:hAnsi="Century Schoolbook"/>
      <w:b/>
      <w:smallCaps/>
      <w:sz w:val="27"/>
    </w:rPr>
  </w:style>
  <w:style w:type="character" w:customStyle="1" w:styleId="Heading2Char">
    <w:name w:val="Heading 2 Char"/>
    <w:basedOn w:val="DefaultParagraphFont"/>
    <w:link w:val="Heading2"/>
    <w:rsid w:val="0057439C"/>
    <w:rPr>
      <w:rFonts w:ascii="Century Schoolbook" w:hAnsi="Century Schoolbook"/>
      <w:b/>
      <w:sz w:val="27"/>
    </w:rPr>
  </w:style>
  <w:style w:type="character" w:customStyle="1" w:styleId="Heading3Char">
    <w:name w:val="Heading 3 Char"/>
    <w:basedOn w:val="DefaultParagraphFont"/>
    <w:link w:val="Heading3"/>
    <w:rsid w:val="0057439C"/>
    <w:rPr>
      <w:rFonts w:ascii="Century Schoolbook" w:hAnsi="Century Schoolbook"/>
      <w:i/>
      <w:sz w:val="27"/>
    </w:rPr>
  </w:style>
  <w:style w:type="paragraph" w:styleId="Title">
    <w:name w:val="Title"/>
    <w:basedOn w:val="Normal"/>
    <w:next w:val="Normal"/>
    <w:link w:val="TitleChar"/>
    <w:uiPriority w:val="10"/>
    <w:qFormat/>
    <w:rsid w:val="005743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43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439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57439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57439C"/>
    <w:pPr>
      <w:spacing w:before="240" w:after="60" w:line="240" w:lineRule="auto"/>
      <w:jc w:val="left"/>
      <w:outlineLvl w:val="9"/>
    </w:pPr>
    <w:rPr>
      <w:rFonts w:asciiTheme="majorHAnsi" w:eastAsiaTheme="majorEastAsia" w:hAnsiTheme="majorHAnsi"/>
      <w:bCs/>
      <w:smallCaps w:val="0"/>
      <w:kern w:val="32"/>
      <w:sz w:val="32"/>
      <w:szCs w:val="32"/>
    </w:rPr>
  </w:style>
  <w:style w:type="character" w:customStyle="1" w:styleId="HeaderChar">
    <w:name w:val="Header Char"/>
    <w:basedOn w:val="DefaultParagraphFont"/>
    <w:link w:val="Header"/>
    <w:rsid w:val="0057439C"/>
    <w:rPr>
      <w:rFonts w:ascii="Century Schoolbook" w:hAnsi="Century Schoolbook"/>
      <w:sz w:val="22"/>
    </w:rPr>
  </w:style>
  <w:style w:type="character" w:customStyle="1" w:styleId="FooterChar">
    <w:name w:val="Footer Char"/>
    <w:basedOn w:val="DefaultParagraphFont"/>
    <w:link w:val="Footer"/>
    <w:rsid w:val="0057439C"/>
    <w:rPr>
      <w:rFonts w:ascii="Century Schoolbook" w:hAnsi="Century Schoolbook"/>
      <w:sz w:val="22"/>
    </w:rPr>
  </w:style>
  <w:style w:type="paragraph" w:styleId="BalloonText">
    <w:name w:val="Balloon Text"/>
    <w:basedOn w:val="Normal"/>
    <w:link w:val="BalloonTextChar"/>
    <w:uiPriority w:val="99"/>
    <w:semiHidden/>
    <w:unhideWhenUsed/>
    <w:rsid w:val="00983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79"/>
    <w:rPr>
      <w:rFonts w:ascii="Segoe UI" w:hAnsi="Segoe UI" w:cs="Segoe UI"/>
      <w:sz w:val="18"/>
      <w:szCs w:val="18"/>
    </w:rPr>
  </w:style>
  <w:style w:type="character" w:styleId="CommentReference">
    <w:name w:val="annotation reference"/>
    <w:basedOn w:val="DefaultParagraphFont"/>
    <w:uiPriority w:val="99"/>
    <w:semiHidden/>
    <w:unhideWhenUsed/>
    <w:rsid w:val="00467679"/>
    <w:rPr>
      <w:sz w:val="16"/>
      <w:szCs w:val="16"/>
    </w:rPr>
  </w:style>
  <w:style w:type="paragraph" w:styleId="CommentText">
    <w:name w:val="annotation text"/>
    <w:basedOn w:val="Normal"/>
    <w:link w:val="CommentTextChar"/>
    <w:uiPriority w:val="99"/>
    <w:unhideWhenUsed/>
    <w:rsid w:val="00467679"/>
    <w:rPr>
      <w:sz w:val="20"/>
    </w:rPr>
  </w:style>
  <w:style w:type="character" w:customStyle="1" w:styleId="CommentTextChar">
    <w:name w:val="Comment Text Char"/>
    <w:basedOn w:val="DefaultParagraphFont"/>
    <w:link w:val="CommentText"/>
    <w:uiPriority w:val="99"/>
    <w:rsid w:val="00467679"/>
  </w:style>
  <w:style w:type="paragraph" w:styleId="CommentSubject">
    <w:name w:val="annotation subject"/>
    <w:basedOn w:val="CommentText"/>
    <w:next w:val="CommentText"/>
    <w:link w:val="CommentSubjectChar"/>
    <w:uiPriority w:val="99"/>
    <w:semiHidden/>
    <w:unhideWhenUsed/>
    <w:rsid w:val="00467679"/>
    <w:rPr>
      <w:b/>
      <w:bCs/>
    </w:rPr>
  </w:style>
  <w:style w:type="character" w:customStyle="1" w:styleId="CommentSubjectChar">
    <w:name w:val="Comment Subject Char"/>
    <w:basedOn w:val="CommentTextChar"/>
    <w:link w:val="CommentSubject"/>
    <w:uiPriority w:val="99"/>
    <w:semiHidden/>
    <w:rsid w:val="00467679"/>
    <w:rPr>
      <w:b/>
      <w:bCs/>
    </w:rPr>
  </w:style>
  <w:style w:type="paragraph" w:styleId="Revision">
    <w:name w:val="Revision"/>
    <w:hidden/>
    <w:uiPriority w:val="99"/>
    <w:semiHidden/>
    <w:rsid w:val="003211EA"/>
    <w:rPr>
      <w:sz w:val="26"/>
    </w:rPr>
  </w:style>
  <w:style w:type="paragraph" w:styleId="BodyText">
    <w:name w:val="Body Text"/>
    <w:basedOn w:val="Normal"/>
    <w:link w:val="BodyTextChar"/>
    <w:qFormat/>
    <w:rsid w:val="009C6CB3"/>
  </w:style>
  <w:style w:type="character" w:customStyle="1" w:styleId="BodyTextChar">
    <w:name w:val="Body Text Char"/>
    <w:basedOn w:val="DefaultParagraphFont"/>
    <w:link w:val="BodyText"/>
    <w:rsid w:val="009C6CB3"/>
    <w:rPr>
      <w:rFonts w:ascii="Century Schoolbook" w:hAnsi="Century Schoolbook"/>
      <w:sz w:val="27"/>
    </w:rPr>
  </w:style>
  <w:style w:type="character" w:customStyle="1" w:styleId="FootnoteTextChar">
    <w:name w:val="Footnote Text Char"/>
    <w:basedOn w:val="DefaultParagraphFont"/>
    <w:link w:val="FootnoteText"/>
    <w:rsid w:val="00F55FC1"/>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9616</Words>
  <Characters>54815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2020-12-17T16:55:38Z</dcterms:created>
  <dcterms:modified xsi:type="dcterms:W3CDTF">2020-12-17T16:55:38Z</dcterms:modified>
</cp:coreProperties>
</file>