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7B6D67" w:rsidP="007B6D67" w14:paraId="00CAB6D8" w14:textId="77777777">
      <w:pPr>
        <w:jc w:val="center"/>
        <w:rPr>
          <w:sz w:val="36"/>
        </w:rPr>
      </w:pPr>
      <w:r>
        <w:rPr>
          <w:b/>
          <w:sz w:val="36"/>
        </w:rPr>
        <w:t>IN THE SUPREME COURT OF CALIFORNIA</w:t>
      </w:r>
    </w:p>
    <w:p w:rsidR="007B6D67" w:rsidP="007B6D67" w14:paraId="7BD52A06" w14:textId="77777777">
      <w:pPr>
        <w:jc w:val="center"/>
      </w:pPr>
    </w:p>
    <w:p w:rsidR="007B6D67" w:rsidP="007B6D67" w14:paraId="3BBA12CE" w14:textId="77777777">
      <w:pPr>
        <w:jc w:val="center"/>
      </w:pPr>
      <w:r>
        <w:t>In re JACK WAYNE FRIEND</w:t>
      </w:r>
    </w:p>
    <w:p w:rsidR="007B6D67" w:rsidP="007B6D67" w14:paraId="6C703A21" w14:textId="77777777">
      <w:pPr>
        <w:jc w:val="center"/>
      </w:pPr>
      <w:r>
        <w:t>on Habeas Corpus.</w:t>
      </w:r>
    </w:p>
    <w:p w:rsidR="007B6D67" w:rsidP="007B6D67" w14:paraId="28730744" w14:textId="77777777">
      <w:pPr>
        <w:jc w:val="center"/>
      </w:pPr>
      <w:r>
        <w:t>S256914</w:t>
      </w:r>
    </w:p>
    <w:p w:rsidR="007B6D67" w:rsidP="007B6D67" w14:paraId="5FEA782B" w14:textId="77777777">
      <w:pPr>
        <w:jc w:val="center"/>
      </w:pPr>
    </w:p>
    <w:p w:rsidR="007B6D67" w:rsidP="007B6D67" w14:paraId="4110F9DD" w14:textId="77777777">
      <w:pPr>
        <w:jc w:val="center"/>
      </w:pPr>
      <w:r>
        <w:t>First Appellate District, Division Three</w:t>
      </w:r>
    </w:p>
    <w:p w:rsidR="007B6D67" w:rsidP="007B6D67" w14:paraId="434E70DF" w14:textId="77777777">
      <w:pPr>
        <w:jc w:val="center"/>
      </w:pPr>
      <w:r>
        <w:t>A155955</w:t>
      </w:r>
    </w:p>
    <w:p w:rsidR="007B6D67" w:rsidP="007B6D67" w14:paraId="334CEFD5" w14:textId="77777777">
      <w:pPr>
        <w:jc w:val="center"/>
      </w:pPr>
    </w:p>
    <w:p w:rsidR="007B6D67" w:rsidP="007B6D67" w14:paraId="29998989" w14:textId="77777777">
      <w:pPr>
        <w:jc w:val="center"/>
      </w:pPr>
      <w:r>
        <w:t>Alameda County Superior Court</w:t>
      </w:r>
    </w:p>
    <w:p w:rsidR="007B6D67" w:rsidP="007B6D67" w14:paraId="023E075E" w14:textId="77777777">
      <w:pPr>
        <w:jc w:val="center"/>
      </w:pPr>
      <w:r>
        <w:t>81254A</w:t>
      </w:r>
    </w:p>
    <w:p w:rsidR="007B6D67" w:rsidP="00D445E3" w14:paraId="20AD5646" w14:textId="77777777">
      <w:pPr>
        <w:spacing w:after="0"/>
        <w:jc w:val="left"/>
      </w:pPr>
      <w:r>
        <w:t>__________________________________________________________</w:t>
      </w:r>
    </w:p>
    <w:p w:rsidR="007B6D67" w:rsidP="009B7B92" w14:paraId="34D38CF4" w14:textId="77777777">
      <w:pPr>
        <w:spacing w:after="0"/>
        <w:jc w:val="left"/>
      </w:pPr>
    </w:p>
    <w:p w:rsidR="007B6D67" w:rsidP="009B7B92" w14:paraId="32D34F19" w14:textId="1A81DAD7">
      <w:pPr>
        <w:spacing w:after="0"/>
        <w:jc w:val="center"/>
      </w:pPr>
      <w:r>
        <w:t xml:space="preserve">June 28, </w:t>
      </w:r>
      <w:r>
        <w:t>2021</w:t>
      </w:r>
    </w:p>
    <w:p w:rsidR="007B6D67" w:rsidP="009B7B92" w14:paraId="6F8E3F7B" w14:textId="77777777">
      <w:pPr>
        <w:spacing w:after="0"/>
        <w:jc w:val="center"/>
      </w:pPr>
    </w:p>
    <w:p w:rsidR="007B6D67" w:rsidP="009B7B92" w14:paraId="3F2643E0" w14:textId="3ABED5BF">
      <w:pPr>
        <w:spacing w:after="0"/>
        <w:jc w:val="left"/>
      </w:pPr>
      <w:r>
        <w:t xml:space="preserve">Justice Kruger authored the opinion of the Court, in which </w:t>
      </w:r>
      <w:r w:rsidR="002E0468">
        <w:t xml:space="preserve">Chief Justice Cantil-Sakauye and Justices </w:t>
      </w:r>
      <w:r w:rsidR="00CD7841">
        <w:t>Corrigan,</w:t>
      </w:r>
      <w:r w:rsidR="00AC77A1">
        <w:t xml:space="preserve"> </w:t>
      </w:r>
      <w:r w:rsidR="00702D4B">
        <w:t xml:space="preserve">Liu, Cuéllar, Groban, and Jenkins </w:t>
      </w:r>
      <w:r>
        <w:t>concurred.</w:t>
      </w:r>
    </w:p>
    <w:p w:rsidR="000D6FEB" w:rsidP="009B7B92" w14:paraId="27327921" w14:textId="77777777">
      <w:pPr>
        <w:spacing w:after="0"/>
        <w:jc w:val="left"/>
      </w:pPr>
      <w:r>
        <w:t>__________________________________________________________</w:t>
      </w:r>
    </w:p>
    <w:p w:rsidR="007B6D67" w:rsidP="007B6D67" w14:paraId="3A06BB52" w14:textId="2FC9B739">
      <w:pPr>
        <w:tabs>
          <w:tab w:val="left" w:pos="1440"/>
          <w:tab w:val="left" w:pos="4680"/>
          <w:tab w:val="center" w:pos="7200"/>
        </w:tabs>
        <w:spacing w:line="240" w:lineRule="atLeast"/>
      </w:pPr>
    </w:p>
    <w:p w:rsidR="007B6D67" w:rsidP="007B6D67" w14:paraId="2F4D158D" w14:textId="77777777">
      <w:pPr>
        <w:tabs>
          <w:tab w:val="left" w:pos="1440"/>
          <w:tab w:val="left" w:pos="4680"/>
          <w:tab w:val="center" w:pos="7200"/>
        </w:tabs>
        <w:spacing w:line="480" w:lineRule="atLeast"/>
        <w:sectPr w:rsidSect="006D75B1">
          <w:headerReference w:type="default" r:id="rId7"/>
          <w:footerReference w:type="default" r:id="rId8"/>
          <w:footerReference w:type="first" r:id="rId9"/>
          <w:pgSz w:w="12240" w:h="15840"/>
          <w:pgMar w:top="1800" w:right="2160" w:bottom="1440" w:left="2160" w:header="720" w:footer="720" w:gutter="0"/>
          <w:pgNumType w:start="1"/>
          <w:cols w:space="720"/>
          <w:titlePg/>
          <w:docGrid w:linePitch="367"/>
        </w:sectPr>
      </w:pPr>
    </w:p>
    <w:p w:rsidR="007B6D67" w:rsidP="007B6D67" w14:paraId="3B40971E" w14:textId="77777777">
      <w:pPr>
        <w:tabs>
          <w:tab w:val="left" w:pos="1440"/>
          <w:tab w:val="left" w:pos="4680"/>
          <w:tab w:val="center" w:pos="7200"/>
        </w:tabs>
        <w:jc w:val="center"/>
      </w:pPr>
      <w:r>
        <w:t>In re FRIEND</w:t>
      </w:r>
    </w:p>
    <w:p w:rsidR="007B6D67" w:rsidP="007B6D67" w14:paraId="37F22C05" w14:textId="77777777">
      <w:pPr>
        <w:tabs>
          <w:tab w:val="left" w:pos="1440"/>
          <w:tab w:val="left" w:pos="4680"/>
          <w:tab w:val="center" w:pos="7200"/>
        </w:tabs>
        <w:jc w:val="center"/>
      </w:pPr>
      <w:r>
        <w:t>S256914</w:t>
      </w:r>
    </w:p>
    <w:p w:rsidR="007B6D67" w:rsidP="007B6D67" w14:paraId="608F98A7" w14:textId="77777777">
      <w:pPr>
        <w:tabs>
          <w:tab w:val="left" w:pos="1440"/>
          <w:tab w:val="left" w:pos="4680"/>
          <w:tab w:val="center" w:pos="7200"/>
        </w:tabs>
        <w:jc w:val="center"/>
      </w:pPr>
    </w:p>
    <w:p w:rsidR="007B6D67" w:rsidP="007B6D67" w14:paraId="7FE01A87" w14:textId="77777777">
      <w:pPr>
        <w:tabs>
          <w:tab w:val="left" w:pos="1440"/>
          <w:tab w:val="left" w:pos="4680"/>
          <w:tab w:val="center" w:pos="7200"/>
        </w:tabs>
        <w:jc w:val="center"/>
      </w:pPr>
      <w:r>
        <w:t>Opinion of the Court by Kruger, J.</w:t>
      </w:r>
    </w:p>
    <w:p w:rsidR="00242808" w:rsidRPr="007B6D67" w:rsidP="007B6D67" w14:paraId="1874E403" w14:textId="77777777">
      <w:pPr>
        <w:tabs>
          <w:tab w:val="left" w:pos="1440"/>
          <w:tab w:val="left" w:pos="4680"/>
          <w:tab w:val="center" w:pos="7200"/>
        </w:tabs>
      </w:pPr>
    </w:p>
    <w:p w:rsidR="00AE6BA0" w:rsidRPr="007B6D67" w:rsidP="007B6D67" w14:paraId="55E8AEAC" w14:textId="1D68F7D9">
      <w:pPr>
        <w:tabs>
          <w:tab w:val="left" w:pos="1440"/>
        </w:tabs>
        <w:ind w:firstLine="720"/>
      </w:pPr>
      <w:bookmarkStart w:id="2" w:name="mainstory"/>
      <w:bookmarkEnd w:id="2"/>
      <w:r w:rsidRPr="007B6D67">
        <w:t>Proposition 66,</w:t>
      </w:r>
      <w:r w:rsidRPr="007B6D67" w:rsidR="00F12F58">
        <w:t xml:space="preserve"> </w:t>
      </w:r>
      <w:r w:rsidRPr="007B6D67" w:rsidR="003D417B">
        <w:t>the Death Penalty Reform and Savings Act of 2016 (</w:t>
      </w:r>
      <w:r w:rsidR="00784CFB">
        <w:t xml:space="preserve">as approved by voters, </w:t>
      </w:r>
      <w:r w:rsidRPr="007B6D67" w:rsidR="003D417B">
        <w:t>Gen. Elec. (Nov. 8, 2016) §</w:t>
      </w:r>
      <w:r w:rsidRPr="007B6D67" w:rsidR="00D62D14">
        <w:t> </w:t>
      </w:r>
      <w:r w:rsidRPr="007B6D67" w:rsidR="003D417B">
        <w:t xml:space="preserve">1), </w:t>
      </w:r>
      <w:r w:rsidRPr="007B6D67" w:rsidR="00E142D3">
        <w:t xml:space="preserve">made </w:t>
      </w:r>
      <w:r w:rsidRPr="007B6D67" w:rsidR="00F7473F">
        <w:t xml:space="preserve">wide-ranging </w:t>
      </w:r>
      <w:r w:rsidRPr="007B6D67" w:rsidR="00E142D3">
        <w:t xml:space="preserve">changes to </w:t>
      </w:r>
      <w:r w:rsidRPr="007B6D67" w:rsidR="00222819">
        <w:t xml:space="preserve">the </w:t>
      </w:r>
      <w:r w:rsidRPr="007B6D67" w:rsidR="00245D94">
        <w:t xml:space="preserve">procedures for challenging </w:t>
      </w:r>
      <w:r w:rsidRPr="007B6D67" w:rsidR="00BE6B7A">
        <w:t xml:space="preserve">convictions and sentences in capital cases.  </w:t>
      </w:r>
      <w:r w:rsidRPr="007B6D67" w:rsidR="00302CE3">
        <w:t xml:space="preserve">Among other things, Proposition 66 introduced </w:t>
      </w:r>
      <w:r w:rsidRPr="007B6D67" w:rsidR="00167562">
        <w:t xml:space="preserve">new </w:t>
      </w:r>
      <w:r w:rsidRPr="007B6D67" w:rsidR="007D4A5E">
        <w:t xml:space="preserve">restrictions on the presentation of </w:t>
      </w:r>
      <w:r w:rsidRPr="007B6D67" w:rsidR="009879A6">
        <w:t>habeas corpus claims in</w:t>
      </w:r>
      <w:r w:rsidRPr="007B6D67" w:rsidR="00A54A0C">
        <w:t xml:space="preserve"> </w:t>
      </w:r>
      <w:r w:rsidRPr="007B6D67" w:rsidR="00D06375">
        <w:t xml:space="preserve">what </w:t>
      </w:r>
      <w:r w:rsidRPr="007B6D67" w:rsidR="00F7473F">
        <w:t xml:space="preserve">the measure refers to as </w:t>
      </w:r>
      <w:r w:rsidRPr="007B6D67" w:rsidR="00D81069">
        <w:t>“</w:t>
      </w:r>
      <w:r w:rsidRPr="007B6D67" w:rsidR="009879A6">
        <w:t>successive</w:t>
      </w:r>
      <w:r w:rsidRPr="007B6D67" w:rsidR="00D81069">
        <w:t>”</w:t>
      </w:r>
      <w:r w:rsidRPr="007B6D67" w:rsidR="009879A6">
        <w:t xml:space="preserve"> petitions</w:t>
      </w:r>
      <w:r w:rsidRPr="007B6D67" w:rsidR="00315DD5">
        <w:t xml:space="preserve">:  </w:t>
      </w:r>
      <w:r w:rsidRPr="007B6D67" w:rsidR="005013A2">
        <w:t>I</w:t>
      </w:r>
      <w:r w:rsidRPr="007B6D67" w:rsidR="00437CFF">
        <w:t xml:space="preserve">ndividuals who file successive petitions </w:t>
      </w:r>
      <w:r w:rsidRPr="007B6D67" w:rsidR="00DE3598">
        <w:t xml:space="preserve">must </w:t>
      </w:r>
      <w:r w:rsidRPr="007B6D67" w:rsidR="00E142D3">
        <w:t xml:space="preserve">show </w:t>
      </w:r>
      <w:r w:rsidRPr="007B6D67" w:rsidR="00D3588F">
        <w:t xml:space="preserve">they are </w:t>
      </w:r>
      <w:r w:rsidRPr="007B6D67" w:rsidR="00D85339">
        <w:t>actually innocent or ineligible for the death penalty before court</w:t>
      </w:r>
      <w:r w:rsidRPr="007B6D67" w:rsidR="00455069">
        <w:t>s</w:t>
      </w:r>
      <w:r w:rsidRPr="007B6D67" w:rsidR="00D85339">
        <w:t xml:space="preserve"> may consider the merits of </w:t>
      </w:r>
      <w:r w:rsidRPr="007B6D67" w:rsidR="00455069">
        <w:t xml:space="preserve">their </w:t>
      </w:r>
      <w:r w:rsidRPr="007B6D67" w:rsidR="00D85339">
        <w:t>claims</w:t>
      </w:r>
      <w:r w:rsidRPr="007B6D67" w:rsidR="00315DD5">
        <w:t xml:space="preserve">.  (Pen. Code, §§ 1509, 1509.1.)  </w:t>
      </w:r>
      <w:r w:rsidRPr="007B6D67" w:rsidR="005735F0">
        <w:t xml:space="preserve">The question </w:t>
      </w:r>
      <w:r w:rsidRPr="007B6D67" w:rsidR="009649FC">
        <w:t xml:space="preserve">before us </w:t>
      </w:r>
      <w:r w:rsidRPr="007B6D67" w:rsidR="005735F0">
        <w:t>concerns the scope of these restrictions</w:t>
      </w:r>
      <w:r w:rsidRPr="007B6D67" w:rsidR="00117BD5">
        <w:t xml:space="preserve"> on successive petitions</w:t>
      </w:r>
      <w:r w:rsidRPr="007B6D67" w:rsidR="00E434F0">
        <w:t xml:space="preserve">. </w:t>
      </w:r>
      <w:r w:rsidRPr="007B6D67" w:rsidR="005735F0">
        <w:t xml:space="preserve"> Do</w:t>
      </w:r>
      <w:r w:rsidRPr="007B6D67" w:rsidR="00EF4F72">
        <w:t xml:space="preserve"> the</w:t>
      </w:r>
      <w:r w:rsidRPr="007B6D67" w:rsidR="00487906">
        <w:t xml:space="preserve"> restrictions</w:t>
      </w:r>
      <w:r w:rsidRPr="007B6D67" w:rsidR="00EF4F72">
        <w:t xml:space="preserve"> </w:t>
      </w:r>
      <w:r w:rsidRPr="007B6D67" w:rsidR="005735F0">
        <w:t xml:space="preserve">apply to all claims raised in </w:t>
      </w:r>
      <w:r w:rsidRPr="007B6D67" w:rsidR="00E66143">
        <w:t xml:space="preserve">a second or subsequent habeas petition, </w:t>
      </w:r>
      <w:r w:rsidRPr="007B6D67" w:rsidR="0076041A">
        <w:t xml:space="preserve">including </w:t>
      </w:r>
      <w:r w:rsidRPr="007B6D67" w:rsidR="00AD704E">
        <w:t xml:space="preserve">claims </w:t>
      </w:r>
      <w:r w:rsidRPr="007B6D67" w:rsidR="0076041A">
        <w:t xml:space="preserve">based on newly </w:t>
      </w:r>
      <w:r w:rsidRPr="007B6D67" w:rsidR="00487906">
        <w:t xml:space="preserve">available </w:t>
      </w:r>
      <w:r w:rsidRPr="007B6D67" w:rsidR="0076041A">
        <w:t>evidence</w:t>
      </w:r>
      <w:r w:rsidRPr="007B6D67" w:rsidR="008107CA">
        <w:t xml:space="preserve"> </w:t>
      </w:r>
      <w:r w:rsidRPr="007B6D67" w:rsidR="009469F0">
        <w:t xml:space="preserve">and </w:t>
      </w:r>
      <w:r w:rsidRPr="007B6D67" w:rsidR="00D518C2">
        <w:t>newly decided case law</w:t>
      </w:r>
      <w:r w:rsidRPr="007B6D67" w:rsidR="00EF4F72">
        <w:t xml:space="preserve">? </w:t>
      </w:r>
      <w:r w:rsidRPr="007B6D67" w:rsidR="006622F7">
        <w:t xml:space="preserve"> </w:t>
      </w:r>
      <w:r w:rsidRPr="007B6D67">
        <w:t>Or do the</w:t>
      </w:r>
      <w:r w:rsidRPr="007B6D67" w:rsidR="00487906">
        <w:t xml:space="preserve"> restrictions</w:t>
      </w:r>
      <w:r w:rsidRPr="007B6D67">
        <w:t xml:space="preserve"> apply only to those claims that </w:t>
      </w:r>
      <w:r w:rsidRPr="007B6D67" w:rsidR="00FE742D">
        <w:t xml:space="preserve">were or </w:t>
      </w:r>
      <w:r w:rsidRPr="007B6D67" w:rsidR="00943557">
        <w:t>c</w:t>
      </w:r>
      <w:r w:rsidRPr="007B6D67">
        <w:t>ould have been raised in an earlier petition?</w:t>
      </w:r>
    </w:p>
    <w:p w:rsidR="004C2D1F" w:rsidRPr="007B6D67" w:rsidP="007B6D67" w14:paraId="56F304EF" w14:textId="3577B4E7">
      <w:pPr>
        <w:tabs>
          <w:tab w:val="left" w:pos="1440"/>
        </w:tabs>
        <w:ind w:firstLine="720"/>
      </w:pPr>
      <w:r w:rsidRPr="007B6D67">
        <w:t>W</w:t>
      </w:r>
      <w:r w:rsidRPr="007B6D67" w:rsidR="003905CB">
        <w:t>e answer this question by reference to</w:t>
      </w:r>
      <w:r w:rsidRPr="007B6D67" w:rsidR="00612C4C">
        <w:t xml:space="preserve"> </w:t>
      </w:r>
      <w:r w:rsidRPr="007B6D67" w:rsidR="00F7473F">
        <w:t xml:space="preserve">background </w:t>
      </w:r>
      <w:r w:rsidRPr="007B6D67" w:rsidR="00487906">
        <w:t>principles of habeas corpus law</w:t>
      </w:r>
      <w:r w:rsidRPr="007B6D67" w:rsidR="00972A57">
        <w:t xml:space="preserve">.  The traditional </w:t>
      </w:r>
      <w:r w:rsidRPr="007B6D67" w:rsidR="00502F81">
        <w:t xml:space="preserve">rules governing </w:t>
      </w:r>
      <w:r w:rsidRPr="007B6D67" w:rsidR="00972A57">
        <w:t xml:space="preserve">the handling of </w:t>
      </w:r>
      <w:r w:rsidRPr="007B6D67" w:rsidR="00502F81">
        <w:t xml:space="preserve">successive petitions have long </w:t>
      </w:r>
      <w:r w:rsidRPr="007B6D67" w:rsidR="00C01120">
        <w:t xml:space="preserve">distinguished between the </w:t>
      </w:r>
      <w:r w:rsidRPr="007B6D67" w:rsidR="004548CA">
        <w:t>presentation of newly available claims</w:t>
      </w:r>
      <w:r w:rsidRPr="007B6D67" w:rsidR="00C34446">
        <w:t xml:space="preserve"> and the presentation </w:t>
      </w:r>
      <w:r w:rsidRPr="007B6D67" w:rsidR="00B667A3">
        <w:t xml:space="preserve">of </w:t>
      </w:r>
      <w:r w:rsidRPr="007B6D67" w:rsidR="00C34446">
        <w:t>claims</w:t>
      </w:r>
      <w:r w:rsidRPr="007B6D67" w:rsidR="00154B48">
        <w:t xml:space="preserve"> that could have been raised earlier</w:t>
      </w:r>
      <w:r w:rsidR="00DC262D">
        <w:t>; the law has traditionally limited only the latter, forbidding consideration of repetitive or pretermitted claims except in a few, narrowly defined circumstances</w:t>
      </w:r>
      <w:r w:rsidRPr="007B6D67" w:rsidR="001D314E">
        <w:t xml:space="preserve">.  Proposition 66 modified </w:t>
      </w:r>
      <w:r w:rsidRPr="007B6D67" w:rsidR="007E668E">
        <w:t>the</w:t>
      </w:r>
      <w:r w:rsidR="00DC262D">
        <w:t>se</w:t>
      </w:r>
      <w:r w:rsidRPr="007B6D67" w:rsidR="007E668E">
        <w:t xml:space="preserve"> rules </w:t>
      </w:r>
      <w:r w:rsidRPr="007B6D67" w:rsidR="001D314E">
        <w:t xml:space="preserve">by further </w:t>
      </w:r>
      <w:r w:rsidR="00D47AD3">
        <w:t>narrowing</w:t>
      </w:r>
      <w:r w:rsidRPr="007B6D67" w:rsidR="00D47AD3">
        <w:t xml:space="preserve"> </w:t>
      </w:r>
      <w:r w:rsidRPr="007B6D67" w:rsidR="001D314E">
        <w:t xml:space="preserve">the circumstances under which courts </w:t>
      </w:r>
      <w:r w:rsidRPr="007B6D67" w:rsidR="007E668E">
        <w:t xml:space="preserve">may </w:t>
      </w:r>
      <w:r w:rsidRPr="007B6D67" w:rsidR="00685817">
        <w:t xml:space="preserve">consider </w:t>
      </w:r>
      <w:r w:rsidRPr="007B6D67" w:rsidR="007E668E">
        <w:t xml:space="preserve">repetitive or </w:t>
      </w:r>
      <w:r w:rsidRPr="007B6D67" w:rsidR="00502F81">
        <w:t xml:space="preserve">pretermitted </w:t>
      </w:r>
      <w:r w:rsidRPr="007B6D67" w:rsidR="007E668E">
        <w:t>claims</w:t>
      </w:r>
      <w:r w:rsidR="00610E57">
        <w:t xml:space="preserve"> in capital cases</w:t>
      </w:r>
      <w:r w:rsidRPr="007B6D67" w:rsidR="007E668E">
        <w:t xml:space="preserve">.  But </w:t>
      </w:r>
      <w:r w:rsidRPr="007B6D67" w:rsidR="00B9694B">
        <w:t xml:space="preserve">properly understood, </w:t>
      </w:r>
      <w:r w:rsidRPr="007B6D67" w:rsidR="00B46C79">
        <w:t>Proposition 66</w:t>
      </w:r>
      <w:r w:rsidRPr="007B6D67" w:rsidR="00E8517E">
        <w:t xml:space="preserve">’s successiveness restrictions do not limit the </w:t>
      </w:r>
      <w:r w:rsidRPr="007B6D67" w:rsidR="00DA72CA">
        <w:t xml:space="preserve">consideration of </w:t>
      </w:r>
      <w:r w:rsidRPr="007B6D67" w:rsidR="008260CB">
        <w:t xml:space="preserve">claims </w:t>
      </w:r>
      <w:r w:rsidRPr="007B6D67" w:rsidR="00B16E4E">
        <w:t xml:space="preserve">that could not </w:t>
      </w:r>
      <w:r w:rsidRPr="007B6D67" w:rsidR="0023357D">
        <w:t xml:space="preserve">reasonably </w:t>
      </w:r>
      <w:r w:rsidRPr="007B6D67" w:rsidR="00B16E4E">
        <w:t xml:space="preserve">have been raised </w:t>
      </w:r>
      <w:r w:rsidRPr="007B6D67" w:rsidR="007B3ADA">
        <w:t>earlier</w:t>
      </w:r>
      <w:r w:rsidRPr="007B6D67" w:rsidR="0023357D">
        <w:t>, such as those</w:t>
      </w:r>
      <w:r w:rsidRPr="007B6D67" w:rsidR="00B16E4E">
        <w:t xml:space="preserve"> </w:t>
      </w:r>
      <w:r w:rsidRPr="007B6D67" w:rsidR="00334E8B">
        <w:t xml:space="preserve">based </w:t>
      </w:r>
      <w:r w:rsidRPr="007B6D67" w:rsidR="00750845">
        <w:t xml:space="preserve">on newly </w:t>
      </w:r>
      <w:r w:rsidRPr="007B6D67" w:rsidR="00334E8B">
        <w:t xml:space="preserve">available </w:t>
      </w:r>
      <w:r w:rsidRPr="007B6D67" w:rsidR="00750845">
        <w:t>evidence</w:t>
      </w:r>
      <w:r w:rsidRPr="007B6D67" w:rsidR="00E0014B">
        <w:t xml:space="preserve"> or on </w:t>
      </w:r>
      <w:r w:rsidRPr="007B6D67" w:rsidR="001921D3">
        <w:t xml:space="preserve">recent </w:t>
      </w:r>
      <w:r w:rsidRPr="007B6D67" w:rsidR="00E0014B">
        <w:t>changes in the law</w:t>
      </w:r>
      <w:r w:rsidR="00216DCC">
        <w:t> </w:t>
      </w:r>
      <w:r w:rsidRPr="007B6D67" w:rsidR="00B667D6">
        <w:t xml:space="preserve">— claims that </w:t>
      </w:r>
      <w:r w:rsidRPr="007B6D67" w:rsidR="006E5F9C">
        <w:t xml:space="preserve">have </w:t>
      </w:r>
      <w:r w:rsidR="00796C28">
        <w:t xml:space="preserve">not previously </w:t>
      </w:r>
      <w:r w:rsidRPr="007B6D67" w:rsidR="006E5F9C">
        <w:t xml:space="preserve">been </w:t>
      </w:r>
      <w:r w:rsidRPr="007B6D67" w:rsidR="006B1E95">
        <w:t xml:space="preserve">thought </w:t>
      </w:r>
      <w:r w:rsidRPr="007B6D67" w:rsidR="006E5F9C">
        <w:t xml:space="preserve">subject to </w:t>
      </w:r>
      <w:r w:rsidRPr="007B6D67" w:rsidR="00D2198D">
        <w:t>successiveness limit</w:t>
      </w:r>
      <w:r w:rsidRPr="007B6D67" w:rsidR="006E5F9C">
        <w:t>ations</w:t>
      </w:r>
      <w:r w:rsidRPr="007B6D67" w:rsidR="008260CB">
        <w:t>.</w:t>
      </w:r>
      <w:r w:rsidRPr="007B6D67" w:rsidR="008E76EE">
        <w:t xml:space="preserve">  </w:t>
      </w:r>
      <w:r w:rsidRPr="007B6D67" w:rsidR="00B56B7B">
        <w:t>Thus, u</w:t>
      </w:r>
      <w:r w:rsidRPr="007B6D67" w:rsidR="00AD6E4E">
        <w:t xml:space="preserve">nder </w:t>
      </w:r>
      <w:r w:rsidRPr="007B6D67" w:rsidR="008E76EE">
        <w:t xml:space="preserve">the law as amended by </w:t>
      </w:r>
      <w:r w:rsidRPr="007B6D67" w:rsidR="00AD6E4E">
        <w:t>Proposition 66, h</w:t>
      </w:r>
      <w:r w:rsidRPr="007B6D67" w:rsidR="00943557">
        <w:t xml:space="preserve">abeas </w:t>
      </w:r>
      <w:r w:rsidRPr="007B6D67" w:rsidR="00EB261D">
        <w:t xml:space="preserve">corpus </w:t>
      </w:r>
      <w:r w:rsidRPr="007B6D67" w:rsidR="00943557">
        <w:t>petitioner</w:t>
      </w:r>
      <w:r w:rsidRPr="007B6D67" w:rsidR="006F6728">
        <w:t>s</w:t>
      </w:r>
      <w:r w:rsidRPr="007B6D67" w:rsidR="00943557">
        <w:t xml:space="preserve"> must </w:t>
      </w:r>
      <w:r w:rsidRPr="007B6D67" w:rsidR="009335C9">
        <w:t xml:space="preserve">make a showing of </w:t>
      </w:r>
      <w:r w:rsidRPr="007B6D67" w:rsidR="00943557">
        <w:t xml:space="preserve">actual innocence or death ineligibility if </w:t>
      </w:r>
      <w:r w:rsidRPr="007B6D67" w:rsidR="00D30459">
        <w:t xml:space="preserve">they </w:t>
      </w:r>
      <w:r w:rsidRPr="007B6D67" w:rsidR="00F24647">
        <w:t xml:space="preserve">seek </w:t>
      </w:r>
      <w:r w:rsidRPr="007B6D67" w:rsidR="00943557">
        <w:t xml:space="preserve">a second chance to make an argument </w:t>
      </w:r>
      <w:r w:rsidRPr="007B6D67" w:rsidR="00140F4D">
        <w:t xml:space="preserve">they </w:t>
      </w:r>
      <w:r w:rsidRPr="007B6D67" w:rsidR="00E00B39">
        <w:t>could have made earlier</w:t>
      </w:r>
      <w:r w:rsidRPr="007B6D67" w:rsidR="00140F4D">
        <w:t xml:space="preserve">.  </w:t>
      </w:r>
      <w:r w:rsidRPr="007B6D67" w:rsidR="00F7473F">
        <w:t>N</w:t>
      </w:r>
      <w:r w:rsidRPr="007B6D67" w:rsidR="00E65199">
        <w:t>o such requirement applies to the habeas petitioner who raises a new</w:t>
      </w:r>
      <w:r w:rsidRPr="007B6D67" w:rsidR="003C1E38">
        <w:t>ly available</w:t>
      </w:r>
      <w:r w:rsidRPr="007B6D67" w:rsidR="00E65199">
        <w:t xml:space="preserve"> </w:t>
      </w:r>
      <w:r w:rsidRPr="007B6D67" w:rsidR="003C1E38">
        <w:t xml:space="preserve">claim </w:t>
      </w:r>
      <w:r w:rsidRPr="007B6D67" w:rsidR="00E65199">
        <w:t xml:space="preserve">at </w:t>
      </w:r>
      <w:r w:rsidRPr="007B6D67" w:rsidR="005672EA">
        <w:t xml:space="preserve">the </w:t>
      </w:r>
      <w:r w:rsidRPr="007B6D67" w:rsidR="00E65199">
        <w:t>first opportunity.</w:t>
      </w:r>
    </w:p>
    <w:p w:rsidR="00820DE5" w:rsidRPr="007B6D67" w:rsidP="007B6D67" w14:paraId="3912871E" w14:textId="49856D5C">
      <w:pPr>
        <w:pStyle w:val="Heading1"/>
      </w:pPr>
      <w:r w:rsidRPr="007B6D67">
        <w:t>I.</w:t>
      </w:r>
    </w:p>
    <w:p w:rsidR="00820DE5" w:rsidRPr="007B6D67" w:rsidP="007B6D67" w14:paraId="36927FCE" w14:textId="1260EF6E">
      <w:pPr>
        <w:tabs>
          <w:tab w:val="left" w:pos="1440"/>
        </w:tabs>
        <w:ind w:firstLine="720"/>
        <w:rPr>
          <w:b/>
          <w:bCs/>
        </w:rPr>
      </w:pPr>
      <w:r w:rsidRPr="007B6D67">
        <w:t>Petitioner Jack Wayne Friend was convicted of the 1984 robbery</w:t>
      </w:r>
      <w:r w:rsidR="00784CFB">
        <w:t xml:space="preserve"> </w:t>
      </w:r>
      <w:r w:rsidRPr="007B6D67">
        <w:t xml:space="preserve">murder of </w:t>
      </w:r>
      <w:r w:rsidRPr="007B6D67" w:rsidR="00E773CD">
        <w:t xml:space="preserve">Oakland bartender </w:t>
      </w:r>
      <w:r w:rsidRPr="007B6D67">
        <w:t xml:space="preserve">Herbert Pierucci and sentenced to death.  </w:t>
      </w:r>
      <w:r w:rsidRPr="007B6D67" w:rsidR="00E95546">
        <w:t>On automatic appeal, w</w:t>
      </w:r>
      <w:r w:rsidRPr="007B6D67">
        <w:t>e affirmed</w:t>
      </w:r>
      <w:r w:rsidRPr="007B6D67" w:rsidR="00E95546">
        <w:t xml:space="preserve"> the capital convictions and sentence.</w:t>
      </w:r>
      <w:r w:rsidRPr="007B6D67">
        <w:t xml:space="preserve">  (</w:t>
      </w:r>
      <w:r w:rsidRPr="007B6D67">
        <w:rPr>
          <w:i/>
          <w:iCs/>
        </w:rPr>
        <w:t>People v. Friend</w:t>
      </w:r>
      <w:r w:rsidRPr="007B6D67">
        <w:t xml:space="preserve"> (2009) 47 Cal.4th 1, 10.)  Friend filed </w:t>
      </w:r>
      <w:r w:rsidR="001676DF">
        <w:t xml:space="preserve">a </w:t>
      </w:r>
      <w:r w:rsidRPr="007B6D67">
        <w:t>habeas corpus petition</w:t>
      </w:r>
      <w:r w:rsidR="001676DF">
        <w:t xml:space="preserve"> in this court, which we denied in 2015.</w:t>
      </w:r>
      <w:r w:rsidRPr="007B6D67" w:rsidR="002C49B2">
        <w:t xml:space="preserve"> </w:t>
      </w:r>
      <w:r w:rsidR="001676DF">
        <w:t xml:space="preserve"> </w:t>
      </w:r>
      <w:r w:rsidRPr="007B6D67">
        <w:t xml:space="preserve">Friend then filed a </w:t>
      </w:r>
      <w:r w:rsidRPr="007B6D67" w:rsidR="005250F4">
        <w:t xml:space="preserve">federal habeas </w:t>
      </w:r>
      <w:r w:rsidRPr="007B6D67">
        <w:t xml:space="preserve">petition in </w:t>
      </w:r>
      <w:r w:rsidRPr="007B6D67" w:rsidR="00D11E4F">
        <w:t>the United States District Court for the Northe</w:t>
      </w:r>
      <w:r w:rsidRPr="007B6D67" w:rsidR="00727DF6">
        <w:t>rn District of California</w:t>
      </w:r>
      <w:r w:rsidRPr="007B6D67" w:rsidR="00040B12">
        <w:t xml:space="preserve">.  In </w:t>
      </w:r>
      <w:r w:rsidRPr="007B6D67">
        <w:t>2017</w:t>
      </w:r>
      <w:r w:rsidRPr="007B6D67" w:rsidR="00040B12">
        <w:t xml:space="preserve">, the federal court </w:t>
      </w:r>
      <w:r w:rsidRPr="007B6D67">
        <w:t xml:space="preserve">stayed proceedings to allow </w:t>
      </w:r>
      <w:r w:rsidRPr="007B6D67" w:rsidR="00040B12">
        <w:t xml:space="preserve">Friend </w:t>
      </w:r>
      <w:r w:rsidRPr="007B6D67">
        <w:t>to exhaust six claims in state court.</w:t>
      </w:r>
      <w:r w:rsidRPr="007B6D67" w:rsidR="008F2E14">
        <w:t xml:space="preserve">  </w:t>
      </w:r>
      <w:r w:rsidRPr="007B6D67" w:rsidR="007831DF">
        <w:t xml:space="preserve">The following year, </w:t>
      </w:r>
      <w:r w:rsidRPr="007B6D67" w:rsidR="008F2E14">
        <w:t xml:space="preserve">Friend </w:t>
      </w:r>
      <w:r w:rsidRPr="007B6D67" w:rsidR="007831DF">
        <w:t xml:space="preserve">filed </w:t>
      </w:r>
      <w:r w:rsidRPr="007B6D67" w:rsidR="00BE6CFA">
        <w:t xml:space="preserve">a </w:t>
      </w:r>
      <w:r w:rsidRPr="007B6D67" w:rsidR="00571C78">
        <w:t xml:space="preserve">second state </w:t>
      </w:r>
      <w:r w:rsidR="001676DF">
        <w:t xml:space="preserve">habeas </w:t>
      </w:r>
      <w:r w:rsidRPr="007B6D67" w:rsidR="007831DF">
        <w:t xml:space="preserve">petition </w:t>
      </w:r>
      <w:r w:rsidRPr="007B6D67" w:rsidR="00E21187">
        <w:t xml:space="preserve">raising the six unexhausted claims </w:t>
      </w:r>
      <w:r w:rsidRPr="007B6D67" w:rsidR="007831DF">
        <w:t>in Alameda County Superior Court.</w:t>
      </w:r>
      <w:r>
        <w:rPr>
          <w:rStyle w:val="FootnoteReference"/>
        </w:rPr>
        <w:footnoteReference w:id="3"/>
      </w:r>
      <w:r w:rsidRPr="007B6D67" w:rsidR="008F2E14">
        <w:t xml:space="preserve"> </w:t>
      </w:r>
    </w:p>
    <w:p w:rsidR="000524B7" w:rsidRPr="007B6D67" w:rsidP="007B6D67" w14:paraId="79E53DEB" w14:textId="62FA5842">
      <w:pPr>
        <w:tabs>
          <w:tab w:val="left" w:pos="1440"/>
        </w:tabs>
        <w:ind w:firstLine="720"/>
      </w:pPr>
      <w:r w:rsidRPr="007B6D67">
        <w:t xml:space="preserve">In the meantime, </w:t>
      </w:r>
      <w:r w:rsidRPr="007B6D67" w:rsidR="00E768CE">
        <w:t>before Friend filed his second state court petition</w:t>
      </w:r>
      <w:r w:rsidRPr="007B6D67" w:rsidR="00F301AB">
        <w:t xml:space="preserve">, </w:t>
      </w:r>
      <w:r w:rsidRPr="007B6D67" w:rsidR="00C13BC6">
        <w:t>Proposition 66</w:t>
      </w:r>
      <w:r w:rsidRPr="007B6D67" w:rsidR="00551332">
        <w:t xml:space="preserve"> </w:t>
      </w:r>
      <w:r w:rsidRPr="007B6D67" w:rsidR="00245BB7">
        <w:t xml:space="preserve">came into force; the measure </w:t>
      </w:r>
      <w:r w:rsidRPr="007B6D67" w:rsidR="00F600C9">
        <w:t xml:space="preserve">took </w:t>
      </w:r>
      <w:r w:rsidRPr="007B6D67" w:rsidR="00C13BC6">
        <w:t>effect</w:t>
      </w:r>
      <w:r w:rsidRPr="007B6D67" w:rsidR="005832FB">
        <w:t xml:space="preserve"> in October 2017</w:t>
      </w:r>
      <w:r w:rsidRPr="007B6D67" w:rsidR="007D2E0E">
        <w:t>,</w:t>
      </w:r>
      <w:r w:rsidRPr="007B6D67" w:rsidR="00042F8D">
        <w:t xml:space="preserve"> </w:t>
      </w:r>
      <w:r w:rsidRPr="007B6D67" w:rsidR="00245BB7">
        <w:t xml:space="preserve">after this court </w:t>
      </w:r>
      <w:r w:rsidRPr="007B6D67" w:rsidR="009209C2">
        <w:t xml:space="preserve">considered and decided a number </w:t>
      </w:r>
      <w:r w:rsidRPr="007B6D67" w:rsidR="00245BB7">
        <w:t xml:space="preserve">of facial challenges </w:t>
      </w:r>
      <w:r w:rsidRPr="007B6D67" w:rsidR="00AD544A">
        <w:t>to its constitutionality</w:t>
      </w:r>
      <w:r w:rsidRPr="007B6D67" w:rsidR="00295612">
        <w:t>.  (</w:t>
      </w:r>
      <w:r w:rsidRPr="007B6D67" w:rsidR="00416F77">
        <w:t xml:space="preserve">See </w:t>
      </w:r>
      <w:r w:rsidRPr="007B6D67" w:rsidR="00887E88">
        <w:rPr>
          <w:i/>
          <w:iCs/>
        </w:rPr>
        <w:t>Briggs v. Brown</w:t>
      </w:r>
      <w:r w:rsidRPr="007B6D67" w:rsidR="00887E88">
        <w:t> (2017) 3 Cal.5th 808, 862 (</w:t>
      </w:r>
      <w:r w:rsidRPr="007B6D67" w:rsidR="00887E88">
        <w:rPr>
          <w:i/>
          <w:iCs/>
        </w:rPr>
        <w:t>Briggs</w:t>
      </w:r>
      <w:r w:rsidRPr="007B6D67" w:rsidR="00887E88">
        <w:t xml:space="preserve">).)  </w:t>
      </w:r>
      <w:r w:rsidRPr="007B6D67" w:rsidR="00BE6CFA">
        <w:t>Applying Penal Code section 1509</w:t>
      </w:r>
      <w:r w:rsidR="00897CD8">
        <w:t xml:space="preserve">, subdivision </w:t>
      </w:r>
      <w:r w:rsidRPr="007B6D67" w:rsidR="00BE6CFA">
        <w:t xml:space="preserve">(d), a provision </w:t>
      </w:r>
      <w:r w:rsidRPr="007B6D67" w:rsidR="00C25627">
        <w:t xml:space="preserve">newly </w:t>
      </w:r>
      <w:r w:rsidRPr="007B6D67" w:rsidR="00BE6CFA">
        <w:t xml:space="preserve">added by Proposition 66, the </w:t>
      </w:r>
      <w:r w:rsidRPr="007B6D67" w:rsidR="00764580">
        <w:t xml:space="preserve">Alameda County Superior Court </w:t>
      </w:r>
      <w:r w:rsidRPr="007B6D67" w:rsidR="00BE6CFA">
        <w:t xml:space="preserve">dismissed Friend’s recently filed habeas petition as successive.  It further denied </w:t>
      </w:r>
      <w:r w:rsidRPr="007B6D67" w:rsidR="00891FCB">
        <w:t xml:space="preserve">Friend’s request for a certificate of appealability under </w:t>
      </w:r>
      <w:r w:rsidRPr="007B6D67" w:rsidR="00C25627">
        <w:t xml:space="preserve">newly added </w:t>
      </w:r>
      <w:r w:rsidRPr="007B6D67" w:rsidR="00C362EE">
        <w:t xml:space="preserve">Penal Code </w:t>
      </w:r>
      <w:r w:rsidRPr="007B6D67" w:rsidR="00891FCB">
        <w:t>section 1509.1</w:t>
      </w:r>
      <w:r w:rsidRPr="007B6D67" w:rsidR="00F76269">
        <w:t>, subdivision (c)</w:t>
      </w:r>
      <w:r w:rsidRPr="007B6D67" w:rsidR="00891FCB">
        <w:t xml:space="preserve">.  </w:t>
      </w:r>
      <w:r w:rsidRPr="007B6D67" w:rsidR="00F94224">
        <w:t>Friend</w:t>
      </w:r>
      <w:r w:rsidRPr="007B6D67" w:rsidR="00483854">
        <w:t xml:space="preserve"> </w:t>
      </w:r>
      <w:r w:rsidRPr="007B6D67" w:rsidR="00F76269">
        <w:t xml:space="preserve">then </w:t>
      </w:r>
      <w:r w:rsidRPr="007B6D67" w:rsidR="00483854">
        <w:t xml:space="preserve">filed a notice of appeal </w:t>
      </w:r>
      <w:r w:rsidRPr="007B6D67" w:rsidR="00DE6C8A">
        <w:t>and</w:t>
      </w:r>
      <w:r w:rsidRPr="007B6D67" w:rsidR="00B379D5">
        <w:t xml:space="preserve"> </w:t>
      </w:r>
      <w:r w:rsidRPr="007B6D67" w:rsidR="00DE6C8A">
        <w:t>requested a certificate of appealability from the Court of Appeal</w:t>
      </w:r>
      <w:r w:rsidRPr="007B6D67" w:rsidR="006B0CB8">
        <w:t xml:space="preserve">.  That court </w:t>
      </w:r>
      <w:r w:rsidRPr="007B6D67" w:rsidR="005067F2">
        <w:t xml:space="preserve">denied </w:t>
      </w:r>
      <w:r w:rsidRPr="007B6D67" w:rsidR="00F94224">
        <w:t>Friend</w:t>
      </w:r>
      <w:r w:rsidRPr="007B6D67" w:rsidR="00E30270">
        <w:t xml:space="preserve">’s </w:t>
      </w:r>
      <w:r w:rsidRPr="007B6D67" w:rsidR="005067F2">
        <w:t>request for a certificate</w:t>
      </w:r>
      <w:r w:rsidRPr="007B6D67" w:rsidR="009679E9">
        <w:t xml:space="preserve"> and marked the notice of appeal inoperative</w:t>
      </w:r>
      <w:r w:rsidRPr="007B6D67" w:rsidR="005067F2">
        <w:t xml:space="preserve">.  </w:t>
      </w:r>
      <w:r w:rsidRPr="007B6D67" w:rsidR="00FD63B2">
        <w:t>(S</w:t>
      </w:r>
      <w:r w:rsidRPr="007B6D67" w:rsidR="005067F2">
        <w:t>ee Cal. Rules of Court, rule 8.392(b)(7).</w:t>
      </w:r>
      <w:r w:rsidRPr="007B6D67" w:rsidR="00FD63B2">
        <w:t>)</w:t>
      </w:r>
      <w:r w:rsidRPr="007B6D67" w:rsidR="005067F2">
        <w:t xml:space="preserve">  </w:t>
      </w:r>
    </w:p>
    <w:p w:rsidR="006108FB" w:rsidP="007B6D67" w14:paraId="6DCB377C" w14:textId="3F5F028C">
      <w:pPr>
        <w:tabs>
          <w:tab w:val="left" w:pos="1440"/>
        </w:tabs>
        <w:ind w:firstLine="720"/>
      </w:pPr>
      <w:r w:rsidRPr="007B6D67">
        <w:t>We granted Friend’s petition for review, specifying three issues for briefing</w:t>
      </w:r>
      <w:r w:rsidRPr="007B6D67" w:rsidR="003F335B">
        <w:t xml:space="preserve">:  </w:t>
      </w:r>
      <w:r w:rsidRPr="007B6D67" w:rsidR="000E3085">
        <w:t xml:space="preserve">the meaning of the term “successive” in Penal Code sections 1509 and 1509.1, </w:t>
      </w:r>
      <w:r w:rsidRPr="007B6D67" w:rsidR="000400BE">
        <w:t xml:space="preserve">the propriety of applying the provisions’ limits on successive petitions when the litigant’s first petition was filed before Proposition 66 took effect, and </w:t>
      </w:r>
      <w:r w:rsidRPr="007B6D67" w:rsidR="00660749">
        <w:t>the appeala</w:t>
      </w:r>
      <w:r w:rsidRPr="007B6D67" w:rsidR="0028438A">
        <w:t>bility of a dismissal for successiveness</w:t>
      </w:r>
      <w:r w:rsidRPr="007B6D67" w:rsidR="00AD516B">
        <w:t xml:space="preserve"> under Penal Code section</w:t>
      </w:r>
      <w:r w:rsidRPr="007B6D67" w:rsidR="00477BF5">
        <w:t>s</w:t>
      </w:r>
      <w:r w:rsidRPr="007B6D67" w:rsidR="00AD516B">
        <w:t xml:space="preserve"> 1509</w:t>
      </w:r>
      <w:r w:rsidRPr="007B6D67" w:rsidR="00477BF5">
        <w:t xml:space="preserve"> and 1509.1</w:t>
      </w:r>
      <w:r w:rsidRPr="007B6D67">
        <w:t>.</w:t>
      </w:r>
    </w:p>
    <w:p w:rsidR="006108FB" w14:paraId="3AF19CA3" w14:textId="77777777">
      <w:pPr>
        <w:spacing w:after="0" w:line="240" w:lineRule="auto"/>
        <w:jc w:val="left"/>
      </w:pPr>
      <w:r>
        <w:br w:type="page"/>
      </w:r>
    </w:p>
    <w:p w:rsidR="00424F41" w:rsidRPr="007B6D67" w:rsidP="007B6D67" w14:paraId="7EF60D1A" w14:textId="4BF3C283">
      <w:pPr>
        <w:pStyle w:val="Heading1"/>
      </w:pPr>
      <w:r w:rsidRPr="007B6D67">
        <w:t>II.</w:t>
      </w:r>
    </w:p>
    <w:p w:rsidR="00B162DD" w:rsidRPr="007B6D67" w:rsidP="007B6D67" w14:paraId="282BCB39" w14:textId="6F51ADF3">
      <w:pPr>
        <w:jc w:val="center"/>
        <w:rPr>
          <w:bCs/>
        </w:rPr>
      </w:pPr>
      <w:r w:rsidRPr="007B6D67">
        <w:rPr>
          <w:b/>
          <w:bCs/>
        </w:rPr>
        <w:t>A.</w:t>
      </w:r>
    </w:p>
    <w:p w:rsidR="00551332" w:rsidRPr="007B6D67" w:rsidP="007B6D67" w14:paraId="1DDCF2AA" w14:textId="500675BC">
      <w:pPr>
        <w:tabs>
          <w:tab w:val="left" w:pos="1440"/>
        </w:tabs>
        <w:ind w:firstLine="720"/>
      </w:pPr>
      <w:r w:rsidRPr="007B6D67">
        <w:t xml:space="preserve">Proposition 66 </w:t>
      </w:r>
      <w:r w:rsidRPr="007B6D67" w:rsidR="00E01F5F">
        <w:t xml:space="preserve">enacted a number of statutory reforms </w:t>
      </w:r>
      <w:r w:rsidRPr="007B6D67" w:rsidR="00D10587">
        <w:t xml:space="preserve">in an effort to </w:t>
      </w:r>
      <w:r w:rsidRPr="007B6D67" w:rsidR="00E01F5F">
        <w:t xml:space="preserve">make the system of capital punishment </w:t>
      </w:r>
      <w:r w:rsidRPr="007B6D67">
        <w:t>“more efficient, less expensive, and more responsive to the rights of victims.”  (</w:t>
      </w:r>
      <w:r w:rsidRPr="007B6D67">
        <w:rPr>
          <w:i/>
          <w:iCs/>
        </w:rPr>
        <w:t>Briggs</w:t>
      </w:r>
      <w:r w:rsidRPr="007B6D67">
        <w:t xml:space="preserve">, </w:t>
      </w:r>
      <w:r w:rsidRPr="007B6D67">
        <w:rPr>
          <w:i/>
          <w:iCs/>
        </w:rPr>
        <w:t>supra</w:t>
      </w:r>
      <w:r w:rsidRPr="007B6D67">
        <w:t xml:space="preserve">, 3 Cal.5th at p. 831.)  </w:t>
      </w:r>
      <w:r w:rsidRPr="007B6D67" w:rsidR="00715D26">
        <w:t xml:space="preserve">Among these reforms were </w:t>
      </w:r>
      <w:r w:rsidRPr="007B6D67" w:rsidR="00506298">
        <w:t xml:space="preserve">various </w:t>
      </w:r>
      <w:r w:rsidRPr="007B6D67" w:rsidR="00715D26">
        <w:t xml:space="preserve">changes </w:t>
      </w:r>
      <w:r w:rsidRPr="007B6D67" w:rsidR="00506298">
        <w:t xml:space="preserve">to </w:t>
      </w:r>
      <w:r w:rsidRPr="007B6D67" w:rsidR="00505FCB">
        <w:t xml:space="preserve">the procedures for </w:t>
      </w:r>
      <w:r w:rsidRPr="007B6D67" w:rsidR="007609E4">
        <w:t>handling and resolving habeas corpus petitions in capital cases</w:t>
      </w:r>
      <w:r w:rsidRPr="007B6D67">
        <w:t>.  (</w:t>
      </w:r>
      <w:r w:rsidRPr="007B6D67">
        <w:rPr>
          <w:i/>
          <w:iCs/>
        </w:rPr>
        <w:t>Id.</w:t>
      </w:r>
      <w:r w:rsidRPr="007B6D67">
        <w:t xml:space="preserve"> at </w:t>
      </w:r>
      <w:r w:rsidRPr="007B6D67" w:rsidR="00AC6D45">
        <w:t>pp. 823–825</w:t>
      </w:r>
      <w:r w:rsidRPr="007B6D67">
        <w:t>.)</w:t>
      </w:r>
      <w:r w:rsidRPr="007B6D67" w:rsidR="009E5DE3">
        <w:t xml:space="preserve">  The bulk of </w:t>
      </w:r>
      <w:r w:rsidRPr="007B6D67" w:rsidR="007609E4">
        <w:t xml:space="preserve">these changes are found in </w:t>
      </w:r>
      <w:r w:rsidRPr="007B6D67">
        <w:t>newly added Penal Code section 1509</w:t>
      </w:r>
      <w:r w:rsidRPr="007B6D67" w:rsidR="00D86BF0">
        <w:t>.</w:t>
      </w:r>
      <w:r>
        <w:rPr>
          <w:rStyle w:val="FootnoteReference"/>
        </w:rPr>
        <w:footnoteReference w:id="4"/>
      </w:r>
      <w:r w:rsidRPr="007B6D67" w:rsidR="00D86BF0">
        <w:t xml:space="preserve">  The mos</w:t>
      </w:r>
      <w:r w:rsidRPr="007B6D67" w:rsidR="00433DD9">
        <w:t xml:space="preserve">t </w:t>
      </w:r>
      <w:r w:rsidRPr="007B6D67" w:rsidR="005C6E62">
        <w:t xml:space="preserve">prominent </w:t>
      </w:r>
      <w:r w:rsidR="00C90D0F">
        <w:t>change</w:t>
      </w:r>
      <w:r w:rsidRPr="007B6D67" w:rsidR="001E1BE8">
        <w:t xml:space="preserve"> is </w:t>
      </w:r>
      <w:r w:rsidRPr="007B6D67" w:rsidR="003D2E68">
        <w:t xml:space="preserve">a new one-year </w:t>
      </w:r>
      <w:r w:rsidRPr="007B6D67" w:rsidR="00824BEE">
        <w:t xml:space="preserve">deadline </w:t>
      </w:r>
      <w:r w:rsidRPr="007B6D67" w:rsidR="00433DD9">
        <w:t xml:space="preserve">for </w:t>
      </w:r>
      <w:r w:rsidRPr="007B6D67" w:rsidR="00981F26">
        <w:t>filing an “initial” habeas petition after the appointment of counsel (Pen. Code, §</w:t>
      </w:r>
      <w:r w:rsidRPr="007B6D67" w:rsidR="00BE2B18">
        <w:t> </w:t>
      </w:r>
      <w:r w:rsidRPr="007B6D67" w:rsidR="00981F26">
        <w:t>1509, subd. (c))</w:t>
      </w:r>
      <w:r w:rsidRPr="007B6D67" w:rsidR="00824BEE">
        <w:t xml:space="preserve">; </w:t>
      </w:r>
      <w:r w:rsidRPr="007B6D67" w:rsidR="00631272">
        <w:t xml:space="preserve">this represents a </w:t>
      </w:r>
      <w:r w:rsidR="00723D14">
        <w:t>departure</w:t>
      </w:r>
      <w:r w:rsidRPr="007B6D67" w:rsidR="00723D14">
        <w:t xml:space="preserve"> </w:t>
      </w:r>
      <w:r w:rsidRPr="007B6D67" w:rsidR="00631272">
        <w:t>from traditional habeas law</w:t>
      </w:r>
      <w:r w:rsidR="00A836C6">
        <w:t xml:space="preserve"> in capital as well as noncapital cases</w:t>
      </w:r>
      <w:r w:rsidRPr="007B6D67" w:rsidR="00631272">
        <w:t xml:space="preserve">, which ordinarily considers the timeliness of habeas petitions without </w:t>
      </w:r>
      <w:r w:rsidRPr="007B6D67" w:rsidR="00650DAA">
        <w:t xml:space="preserve">imposing </w:t>
      </w:r>
      <w:r w:rsidRPr="007B6D67" w:rsidR="008107C2">
        <w:t>“fixed, determinate deadlines.”</w:t>
      </w:r>
      <w:r w:rsidRPr="007B6D67" w:rsidR="001B2AE6">
        <w:t xml:space="preserve">  (</w:t>
      </w:r>
      <w:r w:rsidRPr="007B6D67" w:rsidR="00D10587">
        <w:rPr>
          <w:i/>
          <w:iCs/>
        </w:rPr>
        <w:t>Robinson v. Lewis</w:t>
      </w:r>
      <w:r w:rsidRPr="007B6D67" w:rsidR="001B693A">
        <w:t xml:space="preserve"> (2020)</w:t>
      </w:r>
      <w:r w:rsidRPr="007B6D67" w:rsidR="00D10587">
        <w:t xml:space="preserve"> 9 Cal.5th 883, 890</w:t>
      </w:r>
      <w:r w:rsidR="003702CB">
        <w:t>;</w:t>
      </w:r>
      <w:r w:rsidR="004435FA">
        <w:t xml:space="preserve"> </w:t>
      </w:r>
      <w:r w:rsidR="000B1125">
        <w:t xml:space="preserve">see </w:t>
      </w:r>
      <w:r w:rsidRPr="004435FA" w:rsidR="004435FA">
        <w:rPr>
          <w:i/>
          <w:iCs/>
        </w:rPr>
        <w:t>In re Robbins</w:t>
      </w:r>
      <w:r w:rsidRPr="004435FA" w:rsidR="004435FA">
        <w:t> (1998) 18 Cal.4th 770, 780</w:t>
      </w:r>
      <w:r w:rsidR="00481A1C">
        <w:t xml:space="preserve"> </w:t>
      </w:r>
      <w:r w:rsidR="001C4FEB">
        <w:t>(</w:t>
      </w:r>
      <w:r w:rsidR="001C4FEB">
        <w:rPr>
          <w:i/>
          <w:iCs/>
        </w:rPr>
        <w:t>Robbins</w:t>
      </w:r>
      <w:r w:rsidR="001C4FEB">
        <w:t xml:space="preserve">) </w:t>
      </w:r>
      <w:r w:rsidR="00481A1C">
        <w:t xml:space="preserve">[outlining </w:t>
      </w:r>
      <w:r w:rsidR="00C90D0F">
        <w:t xml:space="preserve">pre-Proposition 66 </w:t>
      </w:r>
      <w:r w:rsidR="00481A1C">
        <w:t xml:space="preserve">timeliness rules </w:t>
      </w:r>
      <w:r w:rsidR="00402A76">
        <w:t>for</w:t>
      </w:r>
      <w:r w:rsidR="00481A1C">
        <w:t xml:space="preserve"> capital </w:t>
      </w:r>
      <w:r w:rsidR="00402A76">
        <w:t>habeas]</w:t>
      </w:r>
      <w:r w:rsidRPr="007B6D67" w:rsidR="001B2AE6">
        <w:t xml:space="preserve">.)  </w:t>
      </w:r>
      <w:r w:rsidR="001B08CE">
        <w:t xml:space="preserve">But </w:t>
      </w:r>
      <w:r w:rsidRPr="007B6D67" w:rsidR="00B5504C">
        <w:t xml:space="preserve">Proposition 66 changes habeas procedure in other ways as well.  </w:t>
      </w:r>
      <w:r w:rsidRPr="007B6D67">
        <w:t xml:space="preserve">Whereas the approved practice was </w:t>
      </w:r>
      <w:r w:rsidRPr="007B6D67" w:rsidR="007E6C06">
        <w:t xml:space="preserve">for </w:t>
      </w:r>
      <w:r w:rsidRPr="007B6D67">
        <w:t>all capital habeas petitioners to file directly in this court, section 1509 now</w:t>
      </w:r>
      <w:r w:rsidRPr="007B6D67" w:rsidR="00A435D8">
        <w:t xml:space="preserve"> calls for</w:t>
      </w:r>
      <w:r w:rsidRPr="007B6D67">
        <w:t xml:space="preserve"> </w:t>
      </w:r>
      <w:r w:rsidRPr="007B6D67" w:rsidR="00091B17">
        <w:t xml:space="preserve">most </w:t>
      </w:r>
      <w:r w:rsidRPr="007B6D67">
        <w:t xml:space="preserve">capital petitions </w:t>
      </w:r>
      <w:r w:rsidRPr="007B6D67" w:rsidR="00A435D8">
        <w:t xml:space="preserve">to be </w:t>
      </w:r>
      <w:r w:rsidRPr="007B6D67">
        <w:t xml:space="preserve">heard initially in the sentencing court.  (Pen. Code, § 1509, subd. (a).)  And </w:t>
      </w:r>
      <w:r w:rsidRPr="007B6D67" w:rsidR="00BE1EEC">
        <w:t xml:space="preserve">whereas the law </w:t>
      </w:r>
      <w:r w:rsidRPr="007B6D67" w:rsidR="0050313D">
        <w:t xml:space="preserve">generally requires </w:t>
      </w:r>
      <w:r w:rsidRPr="007B6D67">
        <w:t xml:space="preserve">unsuccessful habeas petitioners to seek review by filing a new habeas petition in a higher court (see </w:t>
      </w:r>
      <w:r w:rsidRPr="007B6D67">
        <w:rPr>
          <w:i/>
          <w:iCs/>
        </w:rPr>
        <w:t>Robinson</w:t>
      </w:r>
      <w:r w:rsidR="00897CD8">
        <w:t>,</w:t>
      </w:r>
      <w:r w:rsidRPr="00897CD8">
        <w:t xml:space="preserve"> </w:t>
      </w:r>
      <w:r w:rsidRPr="00897CD8" w:rsidR="00897CD8">
        <w:t>at</w:t>
      </w:r>
      <w:r w:rsidRPr="00897CD8" w:rsidR="00FA746C">
        <w:t xml:space="preserve"> </w:t>
      </w:r>
      <w:r w:rsidRPr="007B6D67" w:rsidR="00FA746C">
        <w:t>p.</w:t>
      </w:r>
      <w:r w:rsidR="00897CD8">
        <w:t> </w:t>
      </w:r>
      <w:r w:rsidRPr="007B6D67">
        <w:t xml:space="preserve">895), newly added </w:t>
      </w:r>
      <w:r w:rsidR="00784CFB">
        <w:t xml:space="preserve">Penal Code </w:t>
      </w:r>
      <w:r w:rsidRPr="007B6D67">
        <w:t>section 1509.1 requires capital petitioners to seek review by way of appeal instead.  (Pen. Code, § 1509.1, subd. (a).)</w:t>
      </w:r>
      <w:r>
        <w:rPr>
          <w:rStyle w:val="FootnoteReference"/>
        </w:rPr>
        <w:footnoteReference w:id="5"/>
      </w:r>
    </w:p>
    <w:p w:rsidR="00683907" w:rsidRPr="007B6D67" w:rsidP="007B6D67" w14:paraId="2927ECC8" w14:textId="7CE27530">
      <w:pPr>
        <w:tabs>
          <w:tab w:val="left" w:pos="1440"/>
        </w:tabs>
        <w:ind w:firstLine="720"/>
        <w:rPr>
          <w:szCs w:val="26"/>
        </w:rPr>
      </w:pPr>
      <w:r>
        <w:t>Th</w:t>
      </w:r>
      <w:r w:rsidR="00DA65A7">
        <w:t xml:space="preserve">e provisions at issue in this case set out </w:t>
      </w:r>
      <w:r>
        <w:t xml:space="preserve">instructions for handling successive petitions.  </w:t>
      </w:r>
      <w:r w:rsidRPr="007B6D67" w:rsidR="00E163B1">
        <w:t>Penal Code section 1509, subdivision (d)</w:t>
      </w:r>
      <w:r w:rsidR="0029033E">
        <w:t xml:space="preserve"> (section 1509(d))</w:t>
      </w:r>
      <w:r w:rsidRPr="007B6D67" w:rsidR="00B162DD">
        <w:t xml:space="preserve">, </w:t>
      </w:r>
      <w:r w:rsidRPr="007B6D67" w:rsidR="00EC7DB1">
        <w:t>provides</w:t>
      </w:r>
      <w:r w:rsidRPr="007B6D67" w:rsidR="00365339">
        <w:t xml:space="preserve">, as relevant here:  </w:t>
      </w:r>
      <w:r w:rsidRPr="007B6D67" w:rsidR="00E163B1">
        <w:t xml:space="preserve">“An initial petition which is untimely under subdivision (c) or a successive petition whenever filed shall be dismissed unless the court finds, by </w:t>
      </w:r>
      <w:r w:rsidRPr="007B6D67" w:rsidR="00E163B1">
        <w:rPr>
          <w:szCs w:val="26"/>
        </w:rPr>
        <w:t>the preponderance of all available evidence, whether or not admissible at trial, that the defendant is actually innocent of the crime of which he or she was convicted or is ineligible for the sentence.”  Penal Code section 1509.1 then imposes a related procedural hurdle for litigants seeking to appeal the denial of a successive petition.  It provides that such litigants “may appeal the decision of the superior court denying relief on a successive petition only if the superior court or the court of appeal grants a certificate of appealability.”  (Pen. Code, § 1509.1, subd. (c) (</w:t>
      </w:r>
      <w:r w:rsidR="008A2594">
        <w:rPr>
          <w:szCs w:val="26"/>
        </w:rPr>
        <w:t xml:space="preserve">section </w:t>
      </w:r>
      <w:r w:rsidRPr="007B6D67" w:rsidR="00E163B1">
        <w:rPr>
          <w:szCs w:val="26"/>
        </w:rPr>
        <w:t xml:space="preserve">1509.1(c)).)  Section 1509.1(c) further specifies that “[a] certificate of appealability may issue under this subdivision only if the petitioner has shown both a substantial claim for relief, which shall be indicated in the certificate, and a substantial claim that the requirements of subdivision (d) of Section 1509 have been met.”  </w:t>
      </w:r>
      <w:r w:rsidRPr="007B6D67" w:rsidR="002E0A1D">
        <w:rPr>
          <w:szCs w:val="26"/>
        </w:rPr>
        <w:t xml:space="preserve">The overall effect of these </w:t>
      </w:r>
      <w:r w:rsidRPr="007B6D67" w:rsidR="000A6170">
        <w:rPr>
          <w:szCs w:val="26"/>
        </w:rPr>
        <w:t xml:space="preserve">restrictions </w:t>
      </w:r>
      <w:r w:rsidRPr="007B6D67" w:rsidR="002E0A1D">
        <w:rPr>
          <w:szCs w:val="26"/>
        </w:rPr>
        <w:t>is to forbid courts from considering successive petitions, or appeals from the denial of such petitions, that are unaccompanied by a showing of innocence or ineligibility for the death penalty</w:t>
      </w:r>
      <w:r w:rsidRPr="007B6D67" w:rsidR="006A047D">
        <w:rPr>
          <w:szCs w:val="26"/>
        </w:rPr>
        <w:t>.</w:t>
      </w:r>
    </w:p>
    <w:p w:rsidR="007D3495" w:rsidRPr="007B6D67" w:rsidP="007B6D67" w14:paraId="6D956929" w14:textId="790526A9">
      <w:pPr>
        <w:tabs>
          <w:tab w:val="left" w:pos="1440"/>
        </w:tabs>
        <w:ind w:firstLine="720"/>
        <w:rPr>
          <w:szCs w:val="26"/>
        </w:rPr>
      </w:pPr>
      <w:r w:rsidRPr="007B6D67">
        <w:rPr>
          <w:szCs w:val="26"/>
        </w:rPr>
        <w:t xml:space="preserve">To put this set of reforms in context, we briefly describe the law as it existed </w:t>
      </w:r>
      <w:r w:rsidRPr="007B6D67" w:rsidR="006E6B16">
        <w:rPr>
          <w:szCs w:val="26"/>
        </w:rPr>
        <w:t xml:space="preserve">before Proposition 66 (and as it continues to exist </w:t>
      </w:r>
      <w:r w:rsidRPr="007B6D67" w:rsidR="00CF1544">
        <w:rPr>
          <w:szCs w:val="26"/>
        </w:rPr>
        <w:t xml:space="preserve">in noncapital cases).  </w:t>
      </w:r>
      <w:r w:rsidRPr="007B6D67" w:rsidR="008858D1">
        <w:rPr>
          <w:szCs w:val="26"/>
        </w:rPr>
        <w:t xml:space="preserve">Restrictions on the consideration of successive </w:t>
      </w:r>
      <w:r w:rsidRPr="007B6D67" w:rsidR="00641C93">
        <w:rPr>
          <w:szCs w:val="26"/>
        </w:rPr>
        <w:t>habeas petitions are not new</w:t>
      </w:r>
      <w:r w:rsidRPr="007B6D67" w:rsidR="000F285E">
        <w:rPr>
          <w:szCs w:val="26"/>
        </w:rPr>
        <w:t xml:space="preserve">.  Several decades ago, </w:t>
      </w:r>
      <w:r w:rsidRPr="007B6D67" w:rsidR="007E58E9">
        <w:t xml:space="preserve">California courts identified </w:t>
      </w:r>
      <w:r w:rsidRPr="007B6D67" w:rsidR="007E58E9">
        <w:rPr>
          <w:szCs w:val="26"/>
        </w:rPr>
        <w:t>presentation of claims in a “ ‘piecemeal [manner] by successive proceedings’ ” as an abuse of the writ process.  (</w:t>
      </w:r>
      <w:r w:rsidRPr="007B6D67" w:rsidR="007E58E9">
        <w:rPr>
          <w:i/>
          <w:iCs/>
          <w:szCs w:val="26"/>
        </w:rPr>
        <w:t>In re Horowitz</w:t>
      </w:r>
      <w:r w:rsidRPr="007B6D67" w:rsidR="007E58E9">
        <w:rPr>
          <w:szCs w:val="26"/>
        </w:rPr>
        <w:t xml:space="preserve"> (1949) 33 Cal.2d 534, 547, quoting </w:t>
      </w:r>
      <w:r w:rsidRPr="007B6D67" w:rsidR="007E58E9">
        <w:rPr>
          <w:i/>
          <w:iCs/>
        </w:rPr>
        <w:t>In re Drew</w:t>
      </w:r>
      <w:r w:rsidRPr="007B6D67" w:rsidR="007E58E9">
        <w:t xml:space="preserve"> (1922) 188 Cal. 717, 722.</w:t>
      </w:r>
      <w:r w:rsidRPr="007B6D67" w:rsidR="007E58E9">
        <w:rPr>
          <w:szCs w:val="26"/>
        </w:rPr>
        <w:t>)  The solution was the development of the so-called successiveness bar, a set of limits that applied in all habeas cases before Proposition 66 and that continues to apply to noncapital cases today.</w:t>
      </w:r>
      <w:r w:rsidRPr="007B6D67" w:rsidR="006A7B37">
        <w:rPr>
          <w:szCs w:val="26"/>
        </w:rPr>
        <w:t xml:space="preserve">  </w:t>
      </w:r>
      <w:r w:rsidRPr="007B6D67" w:rsidR="0000032C">
        <w:rPr>
          <w:szCs w:val="26"/>
        </w:rPr>
        <w:t xml:space="preserve">Like other procedural bars developed in the case law, the successiveness bar </w:t>
      </w:r>
      <w:r w:rsidRPr="007B6D67" w:rsidR="0028545D">
        <w:rPr>
          <w:szCs w:val="26"/>
        </w:rPr>
        <w:t>was</w:t>
      </w:r>
      <w:r w:rsidRPr="007B6D67" w:rsidR="0000032C">
        <w:rPr>
          <w:szCs w:val="26"/>
        </w:rPr>
        <w:t xml:space="preserve"> </w:t>
      </w:r>
      <w:r w:rsidRPr="007B6D67" w:rsidR="007E58E9">
        <w:rPr>
          <w:szCs w:val="26"/>
        </w:rPr>
        <w:t>“designed to ensure legitimate claims are pressed early in the legal process</w:t>
      </w:r>
      <w:r w:rsidRPr="007B6D67" w:rsidR="008E0B6A">
        <w:rPr>
          <w:szCs w:val="26"/>
        </w:rPr>
        <w:t>.”  (</w:t>
      </w:r>
      <w:r w:rsidRPr="007B6D67" w:rsidR="008E0B6A">
        <w:rPr>
          <w:i/>
          <w:iCs/>
          <w:szCs w:val="26"/>
        </w:rPr>
        <w:t>In re Reno</w:t>
      </w:r>
      <w:r w:rsidRPr="007B6D67" w:rsidR="008E0B6A">
        <w:rPr>
          <w:szCs w:val="26"/>
        </w:rPr>
        <w:t xml:space="preserve"> (2012) 55 Cal.4th 428, 452 (</w:t>
      </w:r>
      <w:r w:rsidRPr="007B6D67" w:rsidR="008E0B6A">
        <w:rPr>
          <w:i/>
          <w:iCs/>
          <w:szCs w:val="26"/>
        </w:rPr>
        <w:t>Reno</w:t>
      </w:r>
      <w:r w:rsidRPr="007B6D67" w:rsidR="008E0B6A">
        <w:rPr>
          <w:szCs w:val="26"/>
        </w:rPr>
        <w:t xml:space="preserve">).)  </w:t>
      </w:r>
      <w:r w:rsidR="00DA65A7">
        <w:rPr>
          <w:szCs w:val="26"/>
        </w:rPr>
        <w:t xml:space="preserve">The bar therefore </w:t>
      </w:r>
      <w:r w:rsidRPr="007B6D67" w:rsidR="00F971D7">
        <w:rPr>
          <w:szCs w:val="26"/>
        </w:rPr>
        <w:t>limits consideration of claims that were unjustifiably omitted from earlier petitions</w:t>
      </w:r>
      <w:r w:rsidR="00DA65A7">
        <w:rPr>
          <w:szCs w:val="26"/>
        </w:rPr>
        <w:t xml:space="preserve">.  But importantly, it does so </w:t>
      </w:r>
      <w:r w:rsidRPr="007B6D67" w:rsidR="008E0B6A">
        <w:rPr>
          <w:szCs w:val="26"/>
        </w:rPr>
        <w:t>“</w:t>
      </w:r>
      <w:r w:rsidRPr="007B6D67" w:rsidR="007E58E9">
        <w:rPr>
          <w:szCs w:val="26"/>
        </w:rPr>
        <w:t>while leaving open a ‘safety valve’ for those rare or unusual claims that could not reasonably have been raised at an earlier time.”  (</w:t>
      </w:r>
      <w:r w:rsidRPr="007B6D67" w:rsidR="007E58E9">
        <w:rPr>
          <w:i/>
          <w:iCs/>
          <w:szCs w:val="26"/>
        </w:rPr>
        <w:t>I</w:t>
      </w:r>
      <w:r w:rsidRPr="007B6D67" w:rsidR="008D6F5B">
        <w:rPr>
          <w:i/>
          <w:iCs/>
          <w:szCs w:val="26"/>
        </w:rPr>
        <w:t>bid.</w:t>
      </w:r>
      <w:r w:rsidRPr="007B6D67" w:rsidR="008D6F5B">
        <w:rPr>
          <w:szCs w:val="26"/>
        </w:rPr>
        <w:t>)</w:t>
      </w:r>
    </w:p>
    <w:p w:rsidR="007E58E9" w:rsidRPr="007B6D67" w:rsidP="007B6D67" w14:paraId="754AE73A" w14:textId="3AC4FA7C">
      <w:pPr>
        <w:tabs>
          <w:tab w:val="left" w:pos="1440"/>
        </w:tabs>
        <w:ind w:firstLine="720"/>
        <w:rPr>
          <w:szCs w:val="26"/>
        </w:rPr>
      </w:pPr>
      <w:r w:rsidRPr="007B6D67">
        <w:rPr>
          <w:szCs w:val="26"/>
        </w:rPr>
        <w:t>To determine whether the successiveness bar applies</w:t>
      </w:r>
      <w:r w:rsidRPr="007B6D67" w:rsidR="003663FA">
        <w:rPr>
          <w:szCs w:val="26"/>
        </w:rPr>
        <w:t xml:space="preserve"> under traditional habeas principles,</w:t>
      </w:r>
      <w:r w:rsidRPr="007B6D67">
        <w:rPr>
          <w:szCs w:val="26"/>
        </w:rPr>
        <w:t xml:space="preserve"> a court conducts a two-step analysis.  (</w:t>
      </w:r>
      <w:r w:rsidRPr="007B6D67">
        <w:rPr>
          <w:i/>
          <w:iCs/>
          <w:szCs w:val="26"/>
        </w:rPr>
        <w:t>In re Clark</w:t>
      </w:r>
      <w:r w:rsidRPr="007B6D67">
        <w:rPr>
          <w:szCs w:val="26"/>
        </w:rPr>
        <w:t xml:space="preserve"> (1993) 5 Cal.4th 750 (</w:t>
      </w:r>
      <w:r w:rsidRPr="007B6D67">
        <w:rPr>
          <w:i/>
          <w:iCs/>
          <w:szCs w:val="26"/>
        </w:rPr>
        <w:t>Clark</w:t>
      </w:r>
      <w:r w:rsidRPr="007B6D67">
        <w:rPr>
          <w:szCs w:val="26"/>
        </w:rPr>
        <w:t>).)  First, the court asks whether the habeas petitioner who files a second or subsequent petition has adequately justified his or her failure to present his or her claims in an earlier petition.  (</w:t>
      </w:r>
      <w:r w:rsidRPr="007B6D67">
        <w:rPr>
          <w:i/>
          <w:iCs/>
          <w:szCs w:val="26"/>
        </w:rPr>
        <w:t>Id.</w:t>
      </w:r>
      <w:r w:rsidRPr="007B6D67">
        <w:rPr>
          <w:szCs w:val="26"/>
        </w:rPr>
        <w:t xml:space="preserve"> at pp. 774–775.)  Adequate justifications include the inability to bring the claim earlier, as where the claim depends on newly available evidence or </w:t>
      </w:r>
      <w:r w:rsidRPr="007B6D67" w:rsidR="0072217B">
        <w:rPr>
          <w:szCs w:val="26"/>
        </w:rPr>
        <w:t xml:space="preserve">on </w:t>
      </w:r>
      <w:r w:rsidRPr="007B6D67">
        <w:rPr>
          <w:szCs w:val="26"/>
        </w:rPr>
        <w:t xml:space="preserve">a </w:t>
      </w:r>
      <w:r w:rsidRPr="007B6D67" w:rsidR="00F97C0B">
        <w:rPr>
          <w:szCs w:val="26"/>
        </w:rPr>
        <w:t xml:space="preserve">change in the law that has been </w:t>
      </w:r>
      <w:r w:rsidRPr="007B6D67">
        <w:rPr>
          <w:szCs w:val="26"/>
        </w:rPr>
        <w:t xml:space="preserve">made retroactively applicable to </w:t>
      </w:r>
      <w:r w:rsidRPr="007B6D67" w:rsidR="00F97C0B">
        <w:rPr>
          <w:szCs w:val="26"/>
        </w:rPr>
        <w:t xml:space="preserve">final </w:t>
      </w:r>
      <w:r w:rsidRPr="007B6D67">
        <w:rPr>
          <w:szCs w:val="26"/>
        </w:rPr>
        <w:t>judgments.  (</w:t>
      </w:r>
      <w:r w:rsidRPr="007B6D67">
        <w:rPr>
          <w:i/>
          <w:iCs/>
          <w:szCs w:val="26"/>
        </w:rPr>
        <w:t>Id.</w:t>
      </w:r>
      <w:r w:rsidRPr="007B6D67">
        <w:rPr>
          <w:szCs w:val="26"/>
        </w:rPr>
        <w:t xml:space="preserve"> at p. 775.)  In the rare instance in which the petitioner is able to adequately justify not having raised the claim earlier, the successiveness bar does not apply.</w:t>
      </w:r>
      <w:r w:rsidRPr="007B6D67" w:rsidR="006E288D">
        <w:rPr>
          <w:szCs w:val="26"/>
        </w:rPr>
        <w:t xml:space="preserve">  (</w:t>
      </w:r>
      <w:r w:rsidRPr="007B6D67" w:rsidR="006E288D">
        <w:rPr>
          <w:i/>
          <w:iCs/>
          <w:szCs w:val="26"/>
        </w:rPr>
        <w:t>Ibid.</w:t>
      </w:r>
      <w:r w:rsidRPr="007B6D67" w:rsidR="006E288D">
        <w:rPr>
          <w:szCs w:val="26"/>
        </w:rPr>
        <w:t>)</w:t>
      </w:r>
    </w:p>
    <w:p w:rsidR="007E58E9" w:rsidRPr="007B6D67" w:rsidP="007B6D67" w14:paraId="559586FE" w14:textId="7264C97C">
      <w:pPr>
        <w:tabs>
          <w:tab w:val="left" w:pos="1440"/>
        </w:tabs>
        <w:ind w:firstLine="720"/>
      </w:pPr>
      <w:r w:rsidRPr="007B6D67">
        <w:rPr>
          <w:szCs w:val="26"/>
        </w:rPr>
        <w:t>If there is no adequate justification for the petitioner’s failure to raise the claim earlier, the court proceeds to the second step of the analysis.  At that step, the court must generally apply the successiveness bar to preclude consideration of the claim.  But there is narrow exception for claims alleging “facts demonstrating that a fundamental miscarriage of justice has occurred.”  (</w:t>
      </w:r>
      <w:r w:rsidRPr="007B6D67">
        <w:rPr>
          <w:i/>
          <w:iCs/>
          <w:szCs w:val="26"/>
        </w:rPr>
        <w:t>Clark</w:t>
      </w:r>
      <w:r w:rsidRPr="007B6D67">
        <w:rPr>
          <w:szCs w:val="26"/>
        </w:rPr>
        <w:t xml:space="preserve">, </w:t>
      </w:r>
      <w:r w:rsidRPr="007B6D67">
        <w:rPr>
          <w:i/>
          <w:iCs/>
          <w:szCs w:val="26"/>
        </w:rPr>
        <w:t>supra</w:t>
      </w:r>
      <w:r w:rsidRPr="007B6D67">
        <w:rPr>
          <w:szCs w:val="26"/>
        </w:rPr>
        <w:t>, 5 Cal.4th at p. 775</w:t>
      </w:r>
      <w:r w:rsidRPr="007B6D67">
        <w:rPr>
          <w:i/>
          <w:iCs/>
          <w:szCs w:val="26"/>
        </w:rPr>
        <w:t>.</w:t>
      </w:r>
      <w:r w:rsidRPr="007B6D67">
        <w:rPr>
          <w:szCs w:val="26"/>
        </w:rPr>
        <w:t xml:space="preserve">)  In </w:t>
      </w:r>
      <w:r w:rsidRPr="007B6D67">
        <w:rPr>
          <w:i/>
          <w:iCs/>
          <w:szCs w:val="26"/>
        </w:rPr>
        <w:t>Clark</w:t>
      </w:r>
      <w:r w:rsidRPr="007B6D67">
        <w:rPr>
          <w:szCs w:val="26"/>
        </w:rPr>
        <w:t xml:space="preserve">, we identified four situations in which the fundamental miscarriage exception is satisfied:  </w:t>
      </w:r>
      <w:r w:rsidRPr="007B6D67">
        <w:t>(1) a highly prejudicial error of constitutional magnitude; (2) the petitioner’s actual innocence; (3) presentation in a capital trial of a grossly misleading and highly prejudicial profile of the petitioner; or (4) conviction or sentencing under an invalid statute.  (</w:t>
      </w:r>
      <w:r w:rsidRPr="007B6D67">
        <w:rPr>
          <w:i/>
          <w:iCs/>
        </w:rPr>
        <w:t>Id.</w:t>
      </w:r>
      <w:r w:rsidRPr="007B6D67">
        <w:t xml:space="preserve"> at pp. 797–798; accord, </w:t>
      </w:r>
      <w:r w:rsidRPr="007B6D67">
        <w:rPr>
          <w:i/>
          <w:iCs/>
          <w:szCs w:val="26"/>
        </w:rPr>
        <w:t>Reno</w:t>
      </w:r>
      <w:r w:rsidRPr="007B6D67">
        <w:rPr>
          <w:szCs w:val="26"/>
        </w:rPr>
        <w:t>, 55 Cal.4th at pp.</w:t>
      </w:r>
      <w:r w:rsidRPr="007B6D67" w:rsidR="00BE2B18">
        <w:rPr>
          <w:szCs w:val="26"/>
        </w:rPr>
        <w:t> </w:t>
      </w:r>
      <w:r w:rsidRPr="007B6D67">
        <w:rPr>
          <w:szCs w:val="26"/>
        </w:rPr>
        <w:t>455</w:t>
      </w:r>
      <w:r w:rsidRPr="007B6D67">
        <w:t>–</w:t>
      </w:r>
      <w:r w:rsidRPr="007B6D67">
        <w:rPr>
          <w:szCs w:val="26"/>
        </w:rPr>
        <w:t xml:space="preserve">456, 472; </w:t>
      </w:r>
      <w:r w:rsidRPr="007B6D67">
        <w:rPr>
          <w:i/>
          <w:iCs/>
          <w:szCs w:val="26"/>
        </w:rPr>
        <w:t>Robbins</w:t>
      </w:r>
      <w:r w:rsidR="008F7245">
        <w:rPr>
          <w:szCs w:val="26"/>
        </w:rPr>
        <w:t xml:space="preserve">, </w:t>
      </w:r>
      <w:r w:rsidR="008F7245">
        <w:rPr>
          <w:i/>
          <w:iCs/>
          <w:szCs w:val="26"/>
        </w:rPr>
        <w:t>supra</w:t>
      </w:r>
      <w:r w:rsidR="008F7245">
        <w:rPr>
          <w:szCs w:val="26"/>
        </w:rPr>
        <w:t xml:space="preserve">, </w:t>
      </w:r>
      <w:r w:rsidRPr="007B6D67">
        <w:rPr>
          <w:szCs w:val="26"/>
        </w:rPr>
        <w:t xml:space="preserve">18 Cal.4th </w:t>
      </w:r>
      <w:r w:rsidR="008F7245">
        <w:rPr>
          <w:szCs w:val="26"/>
        </w:rPr>
        <w:t>at pp.</w:t>
      </w:r>
      <w:r w:rsidRPr="007B6D67">
        <w:rPr>
          <w:szCs w:val="26"/>
        </w:rPr>
        <w:t xml:space="preserve"> 788, fn. 9, 811.</w:t>
      </w:r>
      <w:r w:rsidRPr="007B6D67">
        <w:t xml:space="preserve">) </w:t>
      </w:r>
      <w:r w:rsidRPr="007B6D67" w:rsidR="00830033">
        <w:t xml:space="preserve"> To determine whether a habeas petitioner should be given a second chance to make a claim that could have been made earlier, a court considers whether the petitioner has made a showing that would bring the claim within this four-part fundamental miscarriage exception.  If so, the court proceeds to consider the merits; if not, then not.</w:t>
      </w:r>
    </w:p>
    <w:p w:rsidR="00493C23" w:rsidRPr="007B6D67" w:rsidP="007B6D67" w14:paraId="509D1988" w14:textId="5333ECFF">
      <w:pPr>
        <w:tabs>
          <w:tab w:val="left" w:pos="1440"/>
        </w:tabs>
        <w:jc w:val="center"/>
        <w:rPr>
          <w:b/>
          <w:bCs/>
        </w:rPr>
      </w:pPr>
      <w:r w:rsidRPr="007B6D67">
        <w:rPr>
          <w:b/>
          <w:bCs/>
        </w:rPr>
        <w:t>B.</w:t>
      </w:r>
    </w:p>
    <w:p w:rsidR="002C7F9F" w:rsidRPr="007B6D67" w:rsidP="007B6D67" w14:paraId="1E982F1C" w14:textId="677ADC97">
      <w:pPr>
        <w:tabs>
          <w:tab w:val="left" w:pos="1440"/>
        </w:tabs>
        <w:ind w:firstLine="720"/>
        <w:rPr>
          <w:szCs w:val="26"/>
        </w:rPr>
      </w:pPr>
      <w:r>
        <w:t xml:space="preserve">The successiveness provisions of </w:t>
      </w:r>
      <w:r w:rsidRPr="007B6D67" w:rsidR="00425DC3">
        <w:t xml:space="preserve">Proposition 66 changed existing law by </w:t>
      </w:r>
      <w:r w:rsidRPr="007B6D67" w:rsidR="00E70C17">
        <w:t xml:space="preserve">forbidding courts from considering successive petitions that are unaccompanied by a showing of actual innocence or ineligibility for the death penalty.  </w:t>
      </w:r>
      <w:r w:rsidRPr="007B6D67" w:rsidR="00437A2C">
        <w:rPr>
          <w:szCs w:val="26"/>
        </w:rPr>
        <w:t xml:space="preserve">This is a </w:t>
      </w:r>
      <w:r w:rsidRPr="007B6D67" w:rsidR="0052741C">
        <w:rPr>
          <w:szCs w:val="26"/>
        </w:rPr>
        <w:t xml:space="preserve">more </w:t>
      </w:r>
      <w:r w:rsidRPr="007B6D67" w:rsidR="00981AC3">
        <w:rPr>
          <w:szCs w:val="26"/>
        </w:rPr>
        <w:t>stringent standar</w:t>
      </w:r>
      <w:r w:rsidRPr="007B6D67" w:rsidR="007F7393">
        <w:rPr>
          <w:szCs w:val="26"/>
        </w:rPr>
        <w:t>d</w:t>
      </w:r>
      <w:r w:rsidRPr="007B6D67" w:rsidR="0052741C">
        <w:rPr>
          <w:szCs w:val="26"/>
        </w:rPr>
        <w:t xml:space="preserve"> than any standard applicable under </w:t>
      </w:r>
      <w:r w:rsidRPr="007B6D67" w:rsidR="0093285A">
        <w:rPr>
          <w:szCs w:val="26"/>
        </w:rPr>
        <w:t xml:space="preserve">traditional </w:t>
      </w:r>
      <w:r w:rsidRPr="007B6D67" w:rsidR="0052741C">
        <w:rPr>
          <w:szCs w:val="26"/>
        </w:rPr>
        <w:t xml:space="preserve">habeas corpus law.  The </w:t>
      </w:r>
      <w:r w:rsidRPr="007B6D67" w:rsidR="00910EBD">
        <w:rPr>
          <w:szCs w:val="26"/>
        </w:rPr>
        <w:t>issue before us concerns the scope of the change</w:t>
      </w:r>
      <w:r w:rsidRPr="007B6D67" w:rsidR="00BF1E5F">
        <w:rPr>
          <w:szCs w:val="26"/>
        </w:rPr>
        <w:t>.</w:t>
      </w:r>
      <w:r w:rsidRPr="007B6D67" w:rsidR="00493C23">
        <w:rPr>
          <w:szCs w:val="26"/>
        </w:rPr>
        <w:t xml:space="preserve">  </w:t>
      </w:r>
      <w:r w:rsidRPr="007B6D67" w:rsidR="00E11C00">
        <w:rPr>
          <w:szCs w:val="26"/>
        </w:rPr>
        <w:t xml:space="preserve">A broad reading </w:t>
      </w:r>
      <w:r w:rsidRPr="007B6D67" w:rsidR="007A4111">
        <w:rPr>
          <w:szCs w:val="26"/>
        </w:rPr>
        <w:t xml:space="preserve">of Proposition 66 </w:t>
      </w:r>
      <w:r w:rsidRPr="007B6D67" w:rsidR="00E11C00">
        <w:rPr>
          <w:szCs w:val="26"/>
        </w:rPr>
        <w:t xml:space="preserve">would apply </w:t>
      </w:r>
      <w:r w:rsidRPr="007B6D67" w:rsidR="00C16773">
        <w:rPr>
          <w:szCs w:val="26"/>
        </w:rPr>
        <w:t xml:space="preserve">its </w:t>
      </w:r>
      <w:r w:rsidRPr="007B6D67" w:rsidR="00521035">
        <w:rPr>
          <w:szCs w:val="26"/>
        </w:rPr>
        <w:t xml:space="preserve">stringent </w:t>
      </w:r>
      <w:r w:rsidRPr="007B6D67" w:rsidR="005205BF">
        <w:rPr>
          <w:szCs w:val="26"/>
        </w:rPr>
        <w:t xml:space="preserve">successiveness </w:t>
      </w:r>
      <w:r w:rsidRPr="007B6D67" w:rsidR="00521035">
        <w:rPr>
          <w:szCs w:val="26"/>
        </w:rPr>
        <w:t xml:space="preserve">standard to </w:t>
      </w:r>
      <w:r w:rsidRPr="007B6D67">
        <w:rPr>
          <w:i/>
          <w:iCs/>
          <w:szCs w:val="26"/>
        </w:rPr>
        <w:t>all</w:t>
      </w:r>
      <w:r w:rsidRPr="007B6D67">
        <w:rPr>
          <w:szCs w:val="26"/>
        </w:rPr>
        <w:t xml:space="preserve"> second or subsequent capital habeas petitions</w:t>
      </w:r>
      <w:r w:rsidRPr="007B6D67" w:rsidR="003628C4">
        <w:rPr>
          <w:szCs w:val="26"/>
        </w:rPr>
        <w:t xml:space="preserve">, thereby eliminating the </w:t>
      </w:r>
      <w:r w:rsidRPr="007B6D67" w:rsidR="00912248">
        <w:rPr>
          <w:szCs w:val="26"/>
        </w:rPr>
        <w:t>traditional</w:t>
      </w:r>
      <w:r w:rsidRPr="007B6D67" w:rsidR="00AD64FD">
        <w:rPr>
          <w:szCs w:val="26"/>
        </w:rPr>
        <w:t xml:space="preserve"> </w:t>
      </w:r>
      <w:r w:rsidRPr="007B6D67" w:rsidR="00145049">
        <w:rPr>
          <w:szCs w:val="26"/>
        </w:rPr>
        <w:t xml:space="preserve">carveout </w:t>
      </w:r>
      <w:r w:rsidRPr="007B6D67" w:rsidR="00862FD4">
        <w:rPr>
          <w:szCs w:val="26"/>
        </w:rPr>
        <w:t>for claims based on newly available evidence</w:t>
      </w:r>
      <w:r w:rsidRPr="007B6D67" w:rsidR="00A12C14">
        <w:rPr>
          <w:szCs w:val="26"/>
        </w:rPr>
        <w:t xml:space="preserve"> and other claims that could not have been raised earlier</w:t>
      </w:r>
      <w:r w:rsidRPr="007B6D67" w:rsidR="003628C4">
        <w:rPr>
          <w:szCs w:val="26"/>
        </w:rPr>
        <w:t xml:space="preserve">.  </w:t>
      </w:r>
      <w:r w:rsidRPr="007B6D67" w:rsidR="00252DD4">
        <w:rPr>
          <w:szCs w:val="26"/>
        </w:rPr>
        <w:t xml:space="preserve">A narrower, alternative reading </w:t>
      </w:r>
      <w:r w:rsidRPr="007B6D67" w:rsidR="004F6264">
        <w:rPr>
          <w:szCs w:val="26"/>
        </w:rPr>
        <w:t xml:space="preserve">of Proposition 66 </w:t>
      </w:r>
      <w:r w:rsidRPr="007B6D67" w:rsidR="00252DD4">
        <w:rPr>
          <w:szCs w:val="26"/>
        </w:rPr>
        <w:t xml:space="preserve">would </w:t>
      </w:r>
      <w:r w:rsidRPr="007B6D67" w:rsidR="00883E79">
        <w:rPr>
          <w:szCs w:val="26"/>
        </w:rPr>
        <w:t xml:space="preserve">apply this </w:t>
      </w:r>
      <w:r w:rsidRPr="007B6D67" w:rsidR="004F6264">
        <w:rPr>
          <w:szCs w:val="26"/>
        </w:rPr>
        <w:t xml:space="preserve">successiveness </w:t>
      </w:r>
      <w:r w:rsidRPr="007B6D67" w:rsidR="00883E79">
        <w:rPr>
          <w:szCs w:val="26"/>
        </w:rPr>
        <w:t xml:space="preserve">standard only to those </w:t>
      </w:r>
      <w:r w:rsidRPr="007B6D67" w:rsidR="00CE4330">
        <w:rPr>
          <w:szCs w:val="26"/>
        </w:rPr>
        <w:t xml:space="preserve">petitions </w:t>
      </w:r>
      <w:r w:rsidRPr="007B6D67" w:rsidR="00294C76">
        <w:rPr>
          <w:szCs w:val="26"/>
        </w:rPr>
        <w:t xml:space="preserve">raising </w:t>
      </w:r>
      <w:r w:rsidRPr="007B6D67" w:rsidR="001C507A">
        <w:rPr>
          <w:szCs w:val="26"/>
        </w:rPr>
        <w:t>repetitive or pretermitted claims</w:t>
      </w:r>
      <w:r w:rsidR="00CD5B47">
        <w:rPr>
          <w:szCs w:val="26"/>
        </w:rPr>
        <w:t> </w:t>
      </w:r>
      <w:r w:rsidRPr="007B6D67" w:rsidR="001C507A">
        <w:rPr>
          <w:szCs w:val="26"/>
        </w:rPr>
        <w:t xml:space="preserve">— that is, those claims that are </w:t>
      </w:r>
      <w:r w:rsidRPr="007B6D67" w:rsidR="00294C76">
        <w:rPr>
          <w:szCs w:val="26"/>
        </w:rPr>
        <w:t xml:space="preserve">generally subject to the traditional </w:t>
      </w:r>
      <w:r w:rsidRPr="007B6D67" w:rsidR="00F05D98">
        <w:rPr>
          <w:szCs w:val="26"/>
        </w:rPr>
        <w:t>successiveness bar</w:t>
      </w:r>
      <w:r w:rsidRPr="007B6D67" w:rsidR="00130186">
        <w:rPr>
          <w:szCs w:val="26"/>
        </w:rPr>
        <w:t xml:space="preserve">.  Under this narrower reading, Proposition 66 </w:t>
      </w:r>
      <w:r w:rsidRPr="007B6D67" w:rsidR="003628C4">
        <w:rPr>
          <w:szCs w:val="26"/>
        </w:rPr>
        <w:t>preserves the traditional two-step inquiry</w:t>
      </w:r>
      <w:r w:rsidRPr="007B6D67" w:rsidR="00F03055">
        <w:rPr>
          <w:szCs w:val="26"/>
        </w:rPr>
        <w:t xml:space="preserve"> described in case law</w:t>
      </w:r>
      <w:r w:rsidRPr="007B6D67" w:rsidR="003628C4">
        <w:rPr>
          <w:szCs w:val="26"/>
        </w:rPr>
        <w:t xml:space="preserve">, but at the second step it </w:t>
      </w:r>
      <w:r w:rsidRPr="007B6D67" w:rsidR="00130186">
        <w:rPr>
          <w:szCs w:val="26"/>
        </w:rPr>
        <w:t xml:space="preserve">replaces </w:t>
      </w:r>
      <w:r w:rsidRPr="007B6D67" w:rsidR="00A12C14">
        <w:rPr>
          <w:szCs w:val="26"/>
        </w:rPr>
        <w:t>the four-part fundamental miscarriage of justice exception with just two grounds</w:t>
      </w:r>
      <w:r w:rsidR="00CD5B47">
        <w:rPr>
          <w:szCs w:val="26"/>
        </w:rPr>
        <w:t> </w:t>
      </w:r>
      <w:r w:rsidRPr="007B6D67" w:rsidR="00A12C14">
        <w:rPr>
          <w:szCs w:val="26"/>
        </w:rPr>
        <w:t>— actual innocence or death ineligibility</w:t>
      </w:r>
      <w:r w:rsidR="00CD5B47">
        <w:rPr>
          <w:szCs w:val="26"/>
        </w:rPr>
        <w:t> </w:t>
      </w:r>
      <w:r w:rsidRPr="007B6D67" w:rsidR="00A12C14">
        <w:rPr>
          <w:szCs w:val="26"/>
        </w:rPr>
        <w:t xml:space="preserve">— that will justify giving a habeas petitioner a second </w:t>
      </w:r>
      <w:r w:rsidR="00A34D73">
        <w:rPr>
          <w:szCs w:val="26"/>
        </w:rPr>
        <w:t xml:space="preserve">chance to raise </w:t>
      </w:r>
      <w:r w:rsidRPr="007B6D67" w:rsidR="00A12C14">
        <w:rPr>
          <w:szCs w:val="26"/>
        </w:rPr>
        <w:t>a claim that was unjustifiably omitted from a prior petition</w:t>
      </w:r>
      <w:r w:rsidRPr="007B6D67" w:rsidR="007829F2">
        <w:rPr>
          <w:szCs w:val="26"/>
        </w:rPr>
        <w:t>.</w:t>
      </w:r>
    </w:p>
    <w:p w:rsidR="00EA1642" w:rsidRPr="007B6D67" w:rsidP="007B6D67" w14:paraId="70B3224B" w14:textId="5985D7C1">
      <w:pPr>
        <w:tabs>
          <w:tab w:val="left" w:pos="1440"/>
        </w:tabs>
        <w:ind w:firstLine="720"/>
        <w:rPr>
          <w:szCs w:val="26"/>
        </w:rPr>
      </w:pPr>
      <w:r w:rsidRPr="007B6D67">
        <w:rPr>
          <w:szCs w:val="26"/>
        </w:rPr>
        <w:t>On this question, the parties are in agreement</w:t>
      </w:r>
      <w:r w:rsidRPr="007B6D67" w:rsidR="003628C4">
        <w:rPr>
          <w:szCs w:val="26"/>
        </w:rPr>
        <w:t xml:space="preserve">; each maintains </w:t>
      </w:r>
      <w:r w:rsidRPr="007B6D67">
        <w:rPr>
          <w:szCs w:val="26"/>
        </w:rPr>
        <w:t xml:space="preserve">that </w:t>
      </w:r>
      <w:r w:rsidRPr="007B6D67" w:rsidR="00796EA3">
        <w:rPr>
          <w:szCs w:val="26"/>
        </w:rPr>
        <w:t>Proposition 66</w:t>
      </w:r>
      <w:r w:rsidRPr="007B6D67" w:rsidR="00D5763B">
        <w:rPr>
          <w:szCs w:val="26"/>
        </w:rPr>
        <w:t>’s stringent successiveness standard</w:t>
      </w:r>
      <w:r w:rsidRPr="007B6D67" w:rsidR="00DD16E1">
        <w:rPr>
          <w:szCs w:val="26"/>
        </w:rPr>
        <w:t xml:space="preserve"> do</w:t>
      </w:r>
      <w:r w:rsidRPr="007B6D67">
        <w:rPr>
          <w:szCs w:val="26"/>
        </w:rPr>
        <w:t>es</w:t>
      </w:r>
      <w:r w:rsidRPr="007B6D67" w:rsidR="00DD16E1">
        <w:rPr>
          <w:szCs w:val="26"/>
        </w:rPr>
        <w:t xml:space="preserve"> not </w:t>
      </w:r>
      <w:r w:rsidRPr="007B6D67" w:rsidR="00D5763B">
        <w:rPr>
          <w:szCs w:val="26"/>
        </w:rPr>
        <w:t xml:space="preserve">apply to </w:t>
      </w:r>
      <w:r w:rsidRPr="007B6D67" w:rsidR="00D93137">
        <w:rPr>
          <w:szCs w:val="26"/>
        </w:rPr>
        <w:t>claims that could not have been raised in earlier petitions.</w:t>
      </w:r>
      <w:r w:rsidRPr="007B6D67" w:rsidR="008A7516">
        <w:rPr>
          <w:szCs w:val="26"/>
        </w:rPr>
        <w:t xml:space="preserve">  </w:t>
      </w:r>
      <w:r w:rsidRPr="007B6D67" w:rsidR="002E337C">
        <w:rPr>
          <w:szCs w:val="26"/>
        </w:rPr>
        <w:t xml:space="preserve">Friend </w:t>
      </w:r>
      <w:r w:rsidRPr="007B6D67" w:rsidR="00CC7B41">
        <w:rPr>
          <w:szCs w:val="26"/>
        </w:rPr>
        <w:t xml:space="preserve">contends </w:t>
      </w:r>
      <w:r w:rsidRPr="007B6D67" w:rsidR="002E337C">
        <w:rPr>
          <w:szCs w:val="26"/>
        </w:rPr>
        <w:t xml:space="preserve">that this narrower reading of Proposition 66 </w:t>
      </w:r>
      <w:r w:rsidRPr="007B6D67" w:rsidR="00D90F8D">
        <w:rPr>
          <w:szCs w:val="26"/>
        </w:rPr>
        <w:t xml:space="preserve">is </w:t>
      </w:r>
      <w:r w:rsidRPr="007B6D67" w:rsidR="00E11B57">
        <w:rPr>
          <w:szCs w:val="26"/>
        </w:rPr>
        <w:t xml:space="preserve">not only </w:t>
      </w:r>
      <w:r w:rsidRPr="007B6D67" w:rsidR="00AD52BB">
        <w:rPr>
          <w:szCs w:val="26"/>
        </w:rPr>
        <w:t xml:space="preserve">consistent with </w:t>
      </w:r>
      <w:r w:rsidRPr="007B6D67" w:rsidR="00CE57F7">
        <w:rPr>
          <w:szCs w:val="26"/>
        </w:rPr>
        <w:t xml:space="preserve">the usual </w:t>
      </w:r>
      <w:r w:rsidRPr="007B6D67" w:rsidR="00AD52BB">
        <w:rPr>
          <w:szCs w:val="26"/>
        </w:rPr>
        <w:t>use of the term “successive”</w:t>
      </w:r>
      <w:r w:rsidRPr="007B6D67" w:rsidR="00632831">
        <w:rPr>
          <w:szCs w:val="26"/>
        </w:rPr>
        <w:t xml:space="preserve"> in habeas co</w:t>
      </w:r>
      <w:r w:rsidRPr="007B6D67" w:rsidR="007C6EE9">
        <w:rPr>
          <w:szCs w:val="26"/>
        </w:rPr>
        <w:t xml:space="preserve">rpus </w:t>
      </w:r>
      <w:r w:rsidRPr="007B6D67" w:rsidR="00CE57F7">
        <w:rPr>
          <w:szCs w:val="26"/>
        </w:rPr>
        <w:t>law</w:t>
      </w:r>
      <w:r w:rsidRPr="007B6D67" w:rsidR="0093285A">
        <w:rPr>
          <w:szCs w:val="26"/>
        </w:rPr>
        <w:t xml:space="preserve">, </w:t>
      </w:r>
      <w:r w:rsidRPr="007B6D67" w:rsidR="00E11B57">
        <w:rPr>
          <w:szCs w:val="26"/>
        </w:rPr>
        <w:t xml:space="preserve">but </w:t>
      </w:r>
      <w:r w:rsidRPr="007B6D67" w:rsidR="00D90F8D">
        <w:rPr>
          <w:szCs w:val="26"/>
        </w:rPr>
        <w:t xml:space="preserve">also </w:t>
      </w:r>
      <w:r w:rsidRPr="007B6D67" w:rsidR="00E11B57">
        <w:rPr>
          <w:szCs w:val="26"/>
        </w:rPr>
        <w:t>avoids</w:t>
      </w:r>
      <w:r w:rsidRPr="007B6D67" w:rsidR="00334BEA">
        <w:rPr>
          <w:szCs w:val="26"/>
        </w:rPr>
        <w:t xml:space="preserve"> </w:t>
      </w:r>
      <w:r w:rsidRPr="007B6D67" w:rsidR="00DC7143">
        <w:rPr>
          <w:szCs w:val="26"/>
        </w:rPr>
        <w:t xml:space="preserve">serious </w:t>
      </w:r>
      <w:r w:rsidRPr="007B6D67" w:rsidR="00AD52BB">
        <w:rPr>
          <w:szCs w:val="26"/>
        </w:rPr>
        <w:t xml:space="preserve">questions about the constitutionality of </w:t>
      </w:r>
      <w:r w:rsidRPr="007B6D67" w:rsidR="00C5602A">
        <w:rPr>
          <w:szCs w:val="26"/>
        </w:rPr>
        <w:t xml:space="preserve">a law that would </w:t>
      </w:r>
      <w:r w:rsidRPr="007B6D67" w:rsidR="007F43B2">
        <w:rPr>
          <w:szCs w:val="26"/>
        </w:rPr>
        <w:t xml:space="preserve">bar </w:t>
      </w:r>
      <w:r w:rsidRPr="007B6D67" w:rsidR="00AD52BB">
        <w:rPr>
          <w:szCs w:val="26"/>
        </w:rPr>
        <w:t xml:space="preserve">potentially meritorious </w:t>
      </w:r>
      <w:r w:rsidRPr="007B6D67" w:rsidR="005F416A">
        <w:rPr>
          <w:szCs w:val="26"/>
        </w:rPr>
        <w:t xml:space="preserve">habeas </w:t>
      </w:r>
      <w:r w:rsidRPr="007B6D67" w:rsidR="00AD52BB">
        <w:rPr>
          <w:szCs w:val="26"/>
        </w:rPr>
        <w:t xml:space="preserve">claims that </w:t>
      </w:r>
      <w:r w:rsidRPr="007B6D67" w:rsidR="00691CC5">
        <w:rPr>
          <w:szCs w:val="26"/>
        </w:rPr>
        <w:t>could not have been raised in prior petitions</w:t>
      </w:r>
      <w:r w:rsidRPr="007B6D67" w:rsidR="00AD52BB">
        <w:rPr>
          <w:szCs w:val="26"/>
        </w:rPr>
        <w:t xml:space="preserve">.  The Attorney General </w:t>
      </w:r>
      <w:r w:rsidRPr="007B6D67" w:rsidR="003628C4">
        <w:rPr>
          <w:szCs w:val="26"/>
        </w:rPr>
        <w:t>concurs</w:t>
      </w:r>
      <w:r w:rsidRPr="007B6D67" w:rsidR="00366B21">
        <w:rPr>
          <w:szCs w:val="26"/>
        </w:rPr>
        <w:t xml:space="preserve">.  He observes </w:t>
      </w:r>
      <w:r w:rsidRPr="007B6D67" w:rsidR="00AD52BB">
        <w:rPr>
          <w:szCs w:val="26"/>
        </w:rPr>
        <w:t xml:space="preserve">that though the </w:t>
      </w:r>
      <w:r w:rsidRPr="007B6D67">
        <w:rPr>
          <w:szCs w:val="26"/>
        </w:rPr>
        <w:t xml:space="preserve">term “successive” might naturally be read in </w:t>
      </w:r>
      <w:r w:rsidRPr="007B6D67" w:rsidR="00B36798">
        <w:rPr>
          <w:szCs w:val="26"/>
        </w:rPr>
        <w:t xml:space="preserve">a </w:t>
      </w:r>
      <w:r w:rsidRPr="007B6D67" w:rsidR="00C4433D">
        <w:rPr>
          <w:szCs w:val="26"/>
        </w:rPr>
        <w:t>colloquia</w:t>
      </w:r>
      <w:r w:rsidRPr="007B6D67" w:rsidR="00A1090F">
        <w:rPr>
          <w:szCs w:val="26"/>
        </w:rPr>
        <w:t xml:space="preserve">l sense to encompass </w:t>
      </w:r>
      <w:r w:rsidRPr="007B6D67" w:rsidR="00AD52BB">
        <w:rPr>
          <w:szCs w:val="26"/>
        </w:rPr>
        <w:t xml:space="preserve">all petitions subsequent to the first, </w:t>
      </w:r>
      <w:r w:rsidRPr="007B6D67" w:rsidR="00BB4C92">
        <w:rPr>
          <w:szCs w:val="26"/>
        </w:rPr>
        <w:t xml:space="preserve">Friend’s </w:t>
      </w:r>
      <w:r w:rsidRPr="007B6D67" w:rsidR="0064758A">
        <w:rPr>
          <w:szCs w:val="26"/>
        </w:rPr>
        <w:t xml:space="preserve">narrower </w:t>
      </w:r>
      <w:r w:rsidRPr="007B6D67" w:rsidR="00BB4C92">
        <w:rPr>
          <w:szCs w:val="26"/>
        </w:rPr>
        <w:t xml:space="preserve">reading </w:t>
      </w:r>
      <w:r w:rsidRPr="007B6D67" w:rsidR="00D55282">
        <w:rPr>
          <w:szCs w:val="26"/>
        </w:rPr>
        <w:t>is the better one</w:t>
      </w:r>
      <w:r w:rsidRPr="007B6D67" w:rsidR="0069441E">
        <w:rPr>
          <w:szCs w:val="26"/>
        </w:rPr>
        <w:t xml:space="preserve"> because it avoids serious constitutional doubts.  </w:t>
      </w:r>
    </w:p>
    <w:p w:rsidR="00AD52BB" w:rsidRPr="007B6D67" w:rsidP="007B6D67" w14:paraId="684C186C" w14:textId="04B64220">
      <w:pPr>
        <w:tabs>
          <w:tab w:val="left" w:pos="1440"/>
        </w:tabs>
        <w:ind w:firstLine="720"/>
        <w:rPr>
          <w:szCs w:val="26"/>
        </w:rPr>
      </w:pPr>
      <w:r w:rsidRPr="007B6D67">
        <w:rPr>
          <w:szCs w:val="26"/>
        </w:rPr>
        <w:t xml:space="preserve">By contrast, </w:t>
      </w:r>
      <w:r w:rsidRPr="007B6D67" w:rsidR="00256037">
        <w:rPr>
          <w:szCs w:val="26"/>
        </w:rPr>
        <w:t xml:space="preserve">two </w:t>
      </w:r>
      <w:r w:rsidRPr="007B6D67">
        <w:rPr>
          <w:szCs w:val="26"/>
        </w:rPr>
        <w:t>a</w:t>
      </w:r>
      <w:r w:rsidRPr="007B6D67" w:rsidR="002235DF">
        <w:rPr>
          <w:szCs w:val="26"/>
        </w:rPr>
        <w:t>mici curiae</w:t>
      </w:r>
      <w:r w:rsidR="00CD5B47">
        <w:rPr>
          <w:szCs w:val="26"/>
        </w:rPr>
        <w:t> </w:t>
      </w:r>
      <w:r w:rsidRPr="007B6D67" w:rsidR="002235DF">
        <w:rPr>
          <w:szCs w:val="26"/>
        </w:rPr>
        <w:t xml:space="preserve">— </w:t>
      </w:r>
      <w:r w:rsidRPr="007B6D67" w:rsidR="00A24A8C">
        <w:rPr>
          <w:szCs w:val="26"/>
        </w:rPr>
        <w:t>the Criminal Justice Legal Foundation</w:t>
      </w:r>
      <w:r w:rsidRPr="007B6D67" w:rsidR="009B506C">
        <w:rPr>
          <w:szCs w:val="26"/>
        </w:rPr>
        <w:t xml:space="preserve"> (CJLF) </w:t>
      </w:r>
      <w:r w:rsidRPr="007B6D67" w:rsidR="00D26E2F">
        <w:rPr>
          <w:szCs w:val="26"/>
        </w:rPr>
        <w:t xml:space="preserve">and a </w:t>
      </w:r>
      <w:r w:rsidRPr="007B6D67" w:rsidR="00190A39">
        <w:rPr>
          <w:szCs w:val="26"/>
        </w:rPr>
        <w:t xml:space="preserve">group of legal scholars </w:t>
      </w:r>
      <w:r w:rsidRPr="007B6D67" w:rsidR="002C7942">
        <w:rPr>
          <w:szCs w:val="26"/>
        </w:rPr>
        <w:t>(</w:t>
      </w:r>
      <w:r w:rsidRPr="007B6D67" w:rsidR="006A4A23">
        <w:rPr>
          <w:szCs w:val="26"/>
        </w:rPr>
        <w:t xml:space="preserve">the </w:t>
      </w:r>
      <w:r w:rsidRPr="007B6D67" w:rsidR="00636657">
        <w:rPr>
          <w:szCs w:val="26"/>
        </w:rPr>
        <w:t>C</w:t>
      </w:r>
      <w:r w:rsidRPr="007B6D67" w:rsidR="002C7942">
        <w:rPr>
          <w:szCs w:val="26"/>
        </w:rPr>
        <w:t>onst</w:t>
      </w:r>
      <w:r w:rsidRPr="007B6D67" w:rsidR="00636657">
        <w:rPr>
          <w:szCs w:val="26"/>
        </w:rPr>
        <w:t>itutional</w:t>
      </w:r>
      <w:r w:rsidRPr="007B6D67" w:rsidR="002C7942">
        <w:rPr>
          <w:szCs w:val="26"/>
        </w:rPr>
        <w:t xml:space="preserve"> </w:t>
      </w:r>
      <w:r w:rsidRPr="007B6D67" w:rsidR="00636657">
        <w:rPr>
          <w:szCs w:val="26"/>
        </w:rPr>
        <w:t>L</w:t>
      </w:r>
      <w:r w:rsidRPr="007B6D67" w:rsidR="002C7942">
        <w:rPr>
          <w:szCs w:val="26"/>
        </w:rPr>
        <w:t xml:space="preserve">aw </w:t>
      </w:r>
      <w:r w:rsidRPr="007B6D67" w:rsidR="00AA0F1F">
        <w:rPr>
          <w:szCs w:val="26"/>
        </w:rPr>
        <w:t>A</w:t>
      </w:r>
      <w:r w:rsidRPr="007B6D67" w:rsidR="002C7942">
        <w:rPr>
          <w:szCs w:val="26"/>
        </w:rPr>
        <w:t>mici</w:t>
      </w:r>
      <w:r w:rsidRPr="007B6D67" w:rsidR="00636657">
        <w:rPr>
          <w:szCs w:val="26"/>
        </w:rPr>
        <w:t>)</w:t>
      </w:r>
      <w:r w:rsidR="00CD5B47">
        <w:rPr>
          <w:szCs w:val="26"/>
        </w:rPr>
        <w:t> </w:t>
      </w:r>
      <w:r w:rsidRPr="007B6D67" w:rsidR="00A24A8C">
        <w:rPr>
          <w:szCs w:val="26"/>
        </w:rPr>
        <w:t xml:space="preserve">— </w:t>
      </w:r>
      <w:r w:rsidRPr="007B6D67" w:rsidR="00217AA7">
        <w:rPr>
          <w:szCs w:val="26"/>
        </w:rPr>
        <w:t xml:space="preserve">argue that the term </w:t>
      </w:r>
      <w:r w:rsidRPr="007B6D67" w:rsidR="00795A2E">
        <w:rPr>
          <w:szCs w:val="26"/>
        </w:rPr>
        <w:t>“successive</w:t>
      </w:r>
      <w:r w:rsidRPr="007B6D67" w:rsidR="0064758A">
        <w:rPr>
          <w:szCs w:val="26"/>
        </w:rPr>
        <w:t>”</w:t>
      </w:r>
      <w:r w:rsidRPr="007B6D67" w:rsidR="00795A2E">
        <w:rPr>
          <w:szCs w:val="26"/>
        </w:rPr>
        <w:t xml:space="preserve"> </w:t>
      </w:r>
      <w:r w:rsidRPr="007B6D67" w:rsidR="00217AA7">
        <w:rPr>
          <w:szCs w:val="26"/>
        </w:rPr>
        <w:t xml:space="preserve">in Proposition 66 should be broadly construed to </w:t>
      </w:r>
      <w:r w:rsidRPr="007B6D67" w:rsidR="0064758A">
        <w:rPr>
          <w:szCs w:val="26"/>
        </w:rPr>
        <w:t xml:space="preserve">refer to </w:t>
      </w:r>
      <w:r w:rsidRPr="007B6D67" w:rsidR="00AA1029">
        <w:rPr>
          <w:szCs w:val="26"/>
        </w:rPr>
        <w:t>any petition after the petitioner’s first</w:t>
      </w:r>
      <w:r w:rsidRPr="007B6D67" w:rsidR="00306DDD">
        <w:rPr>
          <w:szCs w:val="26"/>
        </w:rPr>
        <w:t>.</w:t>
      </w:r>
      <w:r>
        <w:rPr>
          <w:rStyle w:val="FootnoteReference"/>
          <w:szCs w:val="26"/>
        </w:rPr>
        <w:footnoteReference w:id="6"/>
      </w:r>
      <w:r w:rsidRPr="007B6D67" w:rsidR="00306DDD">
        <w:rPr>
          <w:szCs w:val="26"/>
        </w:rPr>
        <w:t xml:space="preserve">  </w:t>
      </w:r>
      <w:r w:rsidRPr="007B6D67" w:rsidR="002E1162">
        <w:rPr>
          <w:szCs w:val="26"/>
        </w:rPr>
        <w:t xml:space="preserve">These amici </w:t>
      </w:r>
      <w:r w:rsidRPr="007B6D67" w:rsidR="00F8187F">
        <w:rPr>
          <w:szCs w:val="26"/>
        </w:rPr>
        <w:t>divide, though,</w:t>
      </w:r>
      <w:r w:rsidRPr="007B6D67" w:rsidR="002E1162">
        <w:rPr>
          <w:szCs w:val="26"/>
        </w:rPr>
        <w:t xml:space="preserve"> on the constitutionality of </w:t>
      </w:r>
      <w:r w:rsidRPr="007B6D67" w:rsidR="00F8187F">
        <w:rPr>
          <w:szCs w:val="26"/>
        </w:rPr>
        <w:t>sections 1509(d) and 1509.1(c)</w:t>
      </w:r>
      <w:r w:rsidRPr="007B6D67" w:rsidR="0081684F">
        <w:rPr>
          <w:szCs w:val="26"/>
        </w:rPr>
        <w:t xml:space="preserve"> so </w:t>
      </w:r>
      <w:r w:rsidRPr="007B6D67" w:rsidR="005D66DF">
        <w:rPr>
          <w:szCs w:val="26"/>
        </w:rPr>
        <w:t>construed</w:t>
      </w:r>
      <w:r w:rsidRPr="007B6D67" w:rsidR="002D2362">
        <w:rPr>
          <w:szCs w:val="26"/>
        </w:rPr>
        <w:t xml:space="preserve">.  </w:t>
      </w:r>
      <w:r w:rsidRPr="007B6D67" w:rsidR="00D17E84">
        <w:rPr>
          <w:szCs w:val="26"/>
        </w:rPr>
        <w:t>T</w:t>
      </w:r>
      <w:r w:rsidRPr="007B6D67" w:rsidR="00DF09BC">
        <w:rPr>
          <w:szCs w:val="26"/>
        </w:rPr>
        <w:t xml:space="preserve">he Constitutional Law </w:t>
      </w:r>
      <w:r w:rsidRPr="007B6D67" w:rsidR="00AA0F1F">
        <w:rPr>
          <w:szCs w:val="26"/>
        </w:rPr>
        <w:t>A</w:t>
      </w:r>
      <w:r w:rsidRPr="007B6D67" w:rsidR="00DF09BC">
        <w:rPr>
          <w:szCs w:val="26"/>
        </w:rPr>
        <w:t xml:space="preserve">mici </w:t>
      </w:r>
      <w:r w:rsidRPr="007B6D67" w:rsidR="006808AF">
        <w:rPr>
          <w:szCs w:val="26"/>
        </w:rPr>
        <w:t xml:space="preserve">argue </w:t>
      </w:r>
      <w:r w:rsidRPr="007B6D67" w:rsidR="002D2362">
        <w:rPr>
          <w:szCs w:val="26"/>
        </w:rPr>
        <w:t xml:space="preserve">that insofar as Proposition 66 eliminates the traditional </w:t>
      </w:r>
      <w:r w:rsidRPr="007B6D67" w:rsidR="001A0AE9">
        <w:rPr>
          <w:szCs w:val="26"/>
        </w:rPr>
        <w:t xml:space="preserve">safety valve </w:t>
      </w:r>
      <w:r w:rsidRPr="007B6D67" w:rsidR="002D2362">
        <w:rPr>
          <w:szCs w:val="26"/>
        </w:rPr>
        <w:t xml:space="preserve">for </w:t>
      </w:r>
      <w:r w:rsidRPr="007B6D67" w:rsidR="00035AA0">
        <w:rPr>
          <w:szCs w:val="26"/>
        </w:rPr>
        <w:t>claims that could not have reasonably been raised earlier, the measure v</w:t>
      </w:r>
      <w:r w:rsidRPr="007B6D67" w:rsidR="00CE0EBC">
        <w:rPr>
          <w:szCs w:val="26"/>
        </w:rPr>
        <w:t xml:space="preserve">iolates </w:t>
      </w:r>
      <w:r w:rsidRPr="007B6D67" w:rsidR="005515EA">
        <w:rPr>
          <w:szCs w:val="26"/>
        </w:rPr>
        <w:t xml:space="preserve">habeas petitioners’ </w:t>
      </w:r>
      <w:r w:rsidRPr="007B6D67" w:rsidR="00CE0EBC">
        <w:rPr>
          <w:szCs w:val="26"/>
        </w:rPr>
        <w:t xml:space="preserve">federal </w:t>
      </w:r>
      <w:r w:rsidRPr="007B6D67" w:rsidR="005515EA">
        <w:rPr>
          <w:szCs w:val="26"/>
        </w:rPr>
        <w:t xml:space="preserve">and state </w:t>
      </w:r>
      <w:r w:rsidRPr="007B6D67" w:rsidR="00CE0EBC">
        <w:rPr>
          <w:szCs w:val="26"/>
        </w:rPr>
        <w:t>due process rights</w:t>
      </w:r>
      <w:r w:rsidRPr="007B6D67" w:rsidR="005515EA">
        <w:rPr>
          <w:szCs w:val="26"/>
        </w:rPr>
        <w:t>, as well as</w:t>
      </w:r>
      <w:r w:rsidRPr="007B6D67" w:rsidR="00CE0EBC">
        <w:rPr>
          <w:szCs w:val="26"/>
        </w:rPr>
        <w:t xml:space="preserve"> the California Constitution’s proh</w:t>
      </w:r>
      <w:r w:rsidRPr="007B6D67" w:rsidR="00953F28">
        <w:rPr>
          <w:szCs w:val="26"/>
        </w:rPr>
        <w:t>ibition on suspension of the writ of habeas corpus</w:t>
      </w:r>
      <w:r w:rsidRPr="007B6D67" w:rsidR="0070480C">
        <w:rPr>
          <w:szCs w:val="26"/>
        </w:rPr>
        <w:t xml:space="preserve"> (</w:t>
      </w:r>
      <w:r w:rsidRPr="007B6D67" w:rsidR="00E9628B">
        <w:rPr>
          <w:szCs w:val="26"/>
        </w:rPr>
        <w:t>Cal. Const., art I, §</w:t>
      </w:r>
      <w:r w:rsidRPr="007B6D67" w:rsidR="00096E10">
        <w:rPr>
          <w:szCs w:val="26"/>
        </w:rPr>
        <w:t> </w:t>
      </w:r>
      <w:r w:rsidRPr="007B6D67" w:rsidR="00E9628B">
        <w:rPr>
          <w:szCs w:val="26"/>
        </w:rPr>
        <w:t>11)</w:t>
      </w:r>
      <w:r w:rsidRPr="007B6D67" w:rsidR="00035AA0">
        <w:rPr>
          <w:szCs w:val="26"/>
        </w:rPr>
        <w:t xml:space="preserve">.  CJLF, by contrast, urges that </w:t>
      </w:r>
      <w:r w:rsidRPr="007B6D67" w:rsidR="00E97B58">
        <w:rPr>
          <w:szCs w:val="26"/>
        </w:rPr>
        <w:t xml:space="preserve">Proposition 66’s limitations on successive </w:t>
      </w:r>
      <w:r w:rsidRPr="007B6D67" w:rsidR="00F20FC9">
        <w:rPr>
          <w:szCs w:val="26"/>
        </w:rPr>
        <w:t>petitions</w:t>
      </w:r>
      <w:r w:rsidRPr="007B6D67" w:rsidR="002975F2">
        <w:rPr>
          <w:szCs w:val="26"/>
        </w:rPr>
        <w:t>, broadly construed,</w:t>
      </w:r>
      <w:r w:rsidRPr="007B6D67" w:rsidR="00F20FC9">
        <w:rPr>
          <w:szCs w:val="26"/>
        </w:rPr>
        <w:t xml:space="preserve"> </w:t>
      </w:r>
      <w:r w:rsidRPr="007B6D67" w:rsidR="002975F2">
        <w:rPr>
          <w:szCs w:val="26"/>
        </w:rPr>
        <w:t xml:space="preserve">are </w:t>
      </w:r>
      <w:r w:rsidRPr="007B6D67" w:rsidR="00F20FC9">
        <w:rPr>
          <w:szCs w:val="26"/>
        </w:rPr>
        <w:t>“clearly constitutional.”</w:t>
      </w:r>
    </w:p>
    <w:p w:rsidR="00B80874" w:rsidRPr="007B6D67" w:rsidP="007B6D67" w14:paraId="33E3BCA9" w14:textId="3AD41D6D">
      <w:pPr>
        <w:tabs>
          <w:tab w:val="left" w:pos="1440"/>
        </w:tabs>
        <w:ind w:firstLine="720"/>
      </w:pPr>
      <w:r w:rsidRPr="007B6D67">
        <w:rPr>
          <w:szCs w:val="26"/>
        </w:rPr>
        <w:t xml:space="preserve">When we </w:t>
      </w:r>
      <w:r w:rsidRPr="007B6D67" w:rsidR="002965E5">
        <w:t xml:space="preserve">interpret statutes, we </w:t>
      </w:r>
      <w:r w:rsidRPr="007B6D67" w:rsidR="00BF0731">
        <w:t xml:space="preserve">usually </w:t>
      </w:r>
      <w:r w:rsidRPr="007B6D67" w:rsidR="002965E5">
        <w:t xml:space="preserve">begin by </w:t>
      </w:r>
      <w:r w:rsidRPr="007B6D67" w:rsidR="00D90703">
        <w:t xml:space="preserve">considering </w:t>
      </w:r>
      <w:r w:rsidRPr="007B6D67" w:rsidR="009C0DDD">
        <w:t>the ordinary and usual meaning</w:t>
      </w:r>
      <w:r w:rsidRPr="007B6D67" w:rsidR="00D90703">
        <w:t xml:space="preserve"> of the </w:t>
      </w:r>
      <w:r w:rsidRPr="007B6D67" w:rsidR="00894F2E">
        <w:t>law’s</w:t>
      </w:r>
      <w:r w:rsidRPr="007B6D67" w:rsidR="00D90703">
        <w:t xml:space="preserve"> terms, viewing them </w:t>
      </w:r>
      <w:r w:rsidRPr="007B6D67" w:rsidR="0075615D">
        <w:t>in their context</w:t>
      </w:r>
      <w:r w:rsidRPr="007B6D67" w:rsidR="00894F2E">
        <w:t xml:space="preserve"> within the statute</w:t>
      </w:r>
      <w:r w:rsidRPr="007B6D67" w:rsidR="0075615D">
        <w:t xml:space="preserve">. </w:t>
      </w:r>
      <w:r w:rsidRPr="007B6D67" w:rsidR="009368DE">
        <w:t xml:space="preserve"> (</w:t>
      </w:r>
      <w:r w:rsidRPr="007B6D67" w:rsidR="009C0DDD">
        <w:rPr>
          <w:i/>
          <w:iCs/>
        </w:rPr>
        <w:t>People v. Colbert</w:t>
      </w:r>
      <w:r w:rsidRPr="007B6D67" w:rsidR="00096E10">
        <w:t xml:space="preserve"> </w:t>
      </w:r>
      <w:r w:rsidRPr="007B6D67" w:rsidR="009C0DDD">
        <w:t>(2019) 6 Cal.5th 596, 603</w:t>
      </w:r>
      <w:r w:rsidRPr="007B6D67">
        <w:t>.</w:t>
      </w:r>
      <w:r w:rsidRPr="007B6D67" w:rsidR="002C02CD">
        <w:t>)</w:t>
      </w:r>
      <w:r w:rsidRPr="007B6D67" w:rsidR="001E7AD6">
        <w:t xml:space="preserve"> </w:t>
      </w:r>
      <w:r w:rsidRPr="007B6D67" w:rsidR="00571163">
        <w:t xml:space="preserve"> </w:t>
      </w:r>
      <w:r w:rsidRPr="007B6D67" w:rsidR="00551E02">
        <w:t xml:space="preserve">Here, as </w:t>
      </w:r>
      <w:r w:rsidRPr="007B6D67" w:rsidR="00266101">
        <w:t xml:space="preserve">both </w:t>
      </w:r>
      <w:r w:rsidRPr="007B6D67" w:rsidR="001E7AD6">
        <w:t xml:space="preserve">the Attorney General and </w:t>
      </w:r>
      <w:r w:rsidRPr="007B6D67" w:rsidR="00677B94">
        <w:t xml:space="preserve">amici </w:t>
      </w:r>
      <w:r w:rsidR="00254026">
        <w:t xml:space="preserve">curiae </w:t>
      </w:r>
      <w:r w:rsidRPr="007B6D67" w:rsidR="00677B94">
        <w:t>note,</w:t>
      </w:r>
      <w:r w:rsidRPr="007B6D67" w:rsidR="0093436C">
        <w:t xml:space="preserve"> </w:t>
      </w:r>
      <w:r w:rsidRPr="007B6D67" w:rsidR="00972D39">
        <w:t xml:space="preserve">dictionaries define </w:t>
      </w:r>
      <w:r w:rsidRPr="007B6D67" w:rsidR="0093436C">
        <w:t xml:space="preserve">the </w:t>
      </w:r>
      <w:r w:rsidRPr="007B6D67" w:rsidR="00266101">
        <w:t xml:space="preserve">term </w:t>
      </w:r>
      <w:r w:rsidRPr="007B6D67" w:rsidR="00677B94">
        <w:t xml:space="preserve">“successive” </w:t>
      </w:r>
      <w:r w:rsidRPr="007B6D67" w:rsidR="00266101">
        <w:t xml:space="preserve">to mean </w:t>
      </w:r>
      <w:r w:rsidRPr="007B6D67" w:rsidR="009F3ED1">
        <w:t>“</w:t>
      </w:r>
      <w:r w:rsidRPr="007B6D67" w:rsidR="003A2151">
        <w:t>[</w:t>
      </w:r>
      <w:r w:rsidRPr="007B6D67" w:rsidR="005E2940">
        <w:t>f</w:t>
      </w:r>
      <w:r w:rsidRPr="007B6D67" w:rsidR="003A2151">
        <w:t>]</w:t>
      </w:r>
      <w:r w:rsidRPr="007B6D67" w:rsidR="005E2940">
        <w:t>ollowing in uninterrupted order; consecutive</w:t>
      </w:r>
      <w:r w:rsidRPr="007B6D67" w:rsidR="00060252">
        <w:t>.</w:t>
      </w:r>
      <w:r w:rsidRPr="007B6D67" w:rsidR="005E2940">
        <w:t xml:space="preserve">” </w:t>
      </w:r>
      <w:r w:rsidRPr="007B6D67" w:rsidR="00060252">
        <w:t xml:space="preserve"> </w:t>
      </w:r>
      <w:r w:rsidRPr="007B6D67" w:rsidR="005E2940">
        <w:t>(American Heritage Dict. (4th ed</w:t>
      </w:r>
      <w:r w:rsidRPr="007B6D67" w:rsidR="005024B7">
        <w:t>.</w:t>
      </w:r>
      <w:r w:rsidRPr="007B6D67" w:rsidR="005E2940">
        <w:t xml:space="preserve"> 200</w:t>
      </w:r>
      <w:r w:rsidRPr="007B6D67" w:rsidR="005024B7">
        <w:t>0</w:t>
      </w:r>
      <w:r w:rsidRPr="007B6D67" w:rsidR="005E2940">
        <w:t>) p.</w:t>
      </w:r>
      <w:r w:rsidRPr="007B6D67" w:rsidR="00096E10">
        <w:t> </w:t>
      </w:r>
      <w:r w:rsidRPr="007B6D67" w:rsidR="005E2940">
        <w:t>1</w:t>
      </w:r>
      <w:r w:rsidRPr="007B6D67" w:rsidR="005024B7">
        <w:t>728.</w:t>
      </w:r>
      <w:r w:rsidRPr="007B6D67" w:rsidR="001D09EA">
        <w:t>)</w:t>
      </w:r>
      <w:r w:rsidRPr="007B6D67" w:rsidR="00165B22">
        <w:t xml:space="preserve">  </w:t>
      </w:r>
      <w:r w:rsidRPr="007B6D67" w:rsidR="00FB15A4">
        <w:rPr>
          <w:szCs w:val="26"/>
        </w:rPr>
        <w:t>If th</w:t>
      </w:r>
      <w:r w:rsidRPr="007B6D67" w:rsidR="001E038C">
        <w:rPr>
          <w:szCs w:val="26"/>
        </w:rPr>
        <w:t>is</w:t>
      </w:r>
      <w:r w:rsidRPr="007B6D67" w:rsidR="00FB15A4">
        <w:rPr>
          <w:szCs w:val="26"/>
        </w:rPr>
        <w:t xml:space="preserve"> dictionary definition controls, then Proposition 66’s restrictions on successive petitions </w:t>
      </w:r>
      <w:r w:rsidRPr="007B6D67" w:rsidR="005F046B">
        <w:rPr>
          <w:szCs w:val="26"/>
        </w:rPr>
        <w:t xml:space="preserve">would </w:t>
      </w:r>
      <w:r w:rsidRPr="007B6D67" w:rsidR="00FB15A4">
        <w:rPr>
          <w:szCs w:val="26"/>
        </w:rPr>
        <w:t xml:space="preserve">apply without exception to </w:t>
      </w:r>
      <w:r w:rsidRPr="007B6D67" w:rsidR="006A184E">
        <w:rPr>
          <w:szCs w:val="26"/>
        </w:rPr>
        <w:t xml:space="preserve">any habeas </w:t>
      </w:r>
      <w:r w:rsidRPr="007B6D67" w:rsidR="00FB15A4">
        <w:rPr>
          <w:szCs w:val="26"/>
        </w:rPr>
        <w:t xml:space="preserve">petition </w:t>
      </w:r>
      <w:r w:rsidRPr="007B6D67" w:rsidR="006A184E">
        <w:rPr>
          <w:szCs w:val="26"/>
        </w:rPr>
        <w:t xml:space="preserve">that follows </w:t>
      </w:r>
      <w:r w:rsidRPr="007B6D67" w:rsidR="00F0215F">
        <w:rPr>
          <w:szCs w:val="26"/>
        </w:rPr>
        <w:t xml:space="preserve">the </w:t>
      </w:r>
      <w:r w:rsidRPr="007B6D67" w:rsidR="001E038C">
        <w:rPr>
          <w:szCs w:val="26"/>
        </w:rPr>
        <w:t>initial habeas petition.</w:t>
      </w:r>
    </w:p>
    <w:p w:rsidR="00E8611C" w:rsidRPr="007B6D67" w:rsidP="007B6D67" w14:paraId="328682C5" w14:textId="67AE5709">
      <w:pPr>
        <w:tabs>
          <w:tab w:val="left" w:pos="1440"/>
        </w:tabs>
        <w:ind w:firstLine="720"/>
      </w:pPr>
      <w:r w:rsidRPr="007B6D67">
        <w:t>W</w:t>
      </w:r>
      <w:r w:rsidRPr="007B6D67" w:rsidR="0062540F">
        <w:t>hen</w:t>
      </w:r>
      <w:r w:rsidRPr="007B6D67">
        <w:t xml:space="preserve">, however, </w:t>
      </w:r>
      <w:r w:rsidRPr="007B6D67" w:rsidR="0062540F">
        <w:t>a term has developed</w:t>
      </w:r>
      <w:r w:rsidRPr="007B6D67" w:rsidR="00127EB6">
        <w:t xml:space="preserve"> a </w:t>
      </w:r>
      <w:r w:rsidRPr="007B6D67" w:rsidR="00AB4906">
        <w:t xml:space="preserve">particular </w:t>
      </w:r>
      <w:r w:rsidRPr="007B6D67" w:rsidR="005B60E3">
        <w:t xml:space="preserve">meaning in the law, </w:t>
      </w:r>
      <w:r w:rsidRPr="007B6D67" w:rsidR="00A11AF1">
        <w:t xml:space="preserve">we </w:t>
      </w:r>
      <w:r w:rsidRPr="007B6D67" w:rsidR="0054675C">
        <w:t>generally</w:t>
      </w:r>
      <w:r w:rsidRPr="007B6D67">
        <w:t xml:space="preserve"> </w:t>
      </w:r>
      <w:r w:rsidRPr="007B6D67" w:rsidR="00A11AF1">
        <w:t xml:space="preserve">presume </w:t>
      </w:r>
      <w:r w:rsidRPr="007B6D67" w:rsidR="001C388C">
        <w:t xml:space="preserve">the </w:t>
      </w:r>
      <w:r w:rsidRPr="007B6D67" w:rsidR="002C02CD">
        <w:t>legi</w:t>
      </w:r>
      <w:r w:rsidRPr="007B6D67" w:rsidR="006D448A">
        <w:t xml:space="preserve">slative body </w:t>
      </w:r>
      <w:r w:rsidRPr="007B6D67" w:rsidR="00676AE1">
        <w:t xml:space="preserve">used </w:t>
      </w:r>
      <w:r w:rsidRPr="007B6D67" w:rsidR="00A11AF1">
        <w:t xml:space="preserve">the term </w:t>
      </w:r>
      <w:r w:rsidRPr="007B6D67" w:rsidR="00676AE1">
        <w:t>in that sense</w:t>
      </w:r>
      <w:r w:rsidRPr="007B6D67" w:rsidR="00F3753D">
        <w:t xml:space="preserve"> </w:t>
      </w:r>
      <w:r w:rsidRPr="007B6D67" w:rsidR="005B6A51">
        <w:t xml:space="preserve">rather than </w:t>
      </w:r>
      <w:r w:rsidRPr="007B6D67" w:rsidR="00F3753D">
        <w:t xml:space="preserve">relying on ordinary </w:t>
      </w:r>
      <w:r w:rsidRPr="007B6D67" w:rsidR="005B6A51">
        <w:t>usage</w:t>
      </w:r>
      <w:r w:rsidRPr="007B6D67" w:rsidR="00100C0C">
        <w:t xml:space="preserve">.  “It is a well-recognized rule of construction that </w:t>
      </w:r>
      <w:r w:rsidRPr="007B6D67" w:rsidR="0062540F">
        <w:t>after the courts have construed the meaning of any particular word, or expression, and the legislature subsequently undertakes to use these exact words in the same connection, the presumption is almost irresistible that it used them in the precise and technical sense which had been placed upon them by the courts.</w:t>
      </w:r>
      <w:r w:rsidRPr="007B6D67" w:rsidR="0094316F">
        <w:t>”  (</w:t>
      </w:r>
      <w:r w:rsidRPr="007B6D67" w:rsidR="0062540F">
        <w:rPr>
          <w:i/>
          <w:iCs/>
        </w:rPr>
        <w:t>City of Long Beach v. Payne</w:t>
      </w:r>
      <w:r w:rsidRPr="007B6D67" w:rsidR="0062540F">
        <w:t> (1935) 3 Cal.2d 184, 191</w:t>
      </w:r>
      <w:r w:rsidRPr="007B6D67" w:rsidR="0094316F">
        <w:t xml:space="preserve">; </w:t>
      </w:r>
      <w:r w:rsidRPr="007B6D67" w:rsidR="00AF272E">
        <w:t>accord,</w:t>
      </w:r>
      <w:r w:rsidRPr="007B6D67" w:rsidR="00113193">
        <w:t xml:space="preserve"> </w:t>
      </w:r>
      <w:r w:rsidRPr="007B6D67" w:rsidR="00113193">
        <w:rPr>
          <w:i/>
          <w:iCs/>
        </w:rPr>
        <w:t>In re Derrick B.</w:t>
      </w:r>
      <w:r w:rsidRPr="007B6D67" w:rsidR="00113193">
        <w:t> (2006) 39 Cal.4th 535, 540</w:t>
      </w:r>
      <w:r w:rsidRPr="007B6D67" w:rsidR="00332624">
        <w:t>;</w:t>
      </w:r>
      <w:r w:rsidRPr="007B6D67" w:rsidR="00332624">
        <w:rPr>
          <w:i/>
          <w:iCs/>
        </w:rPr>
        <w:t xml:space="preserve"> People v. Lawrence</w:t>
      </w:r>
      <w:r w:rsidRPr="007B6D67" w:rsidR="00332624">
        <w:t xml:space="preserve"> (2000) 24 Cal.4th 219, 231 [principle applies to </w:t>
      </w:r>
      <w:r w:rsidRPr="007B6D67" w:rsidR="00792E9D">
        <w:t>statutes</w:t>
      </w:r>
      <w:r w:rsidRPr="007B6D67" w:rsidR="00332624">
        <w:t xml:space="preserve"> adopted through initiative]</w:t>
      </w:r>
      <w:r w:rsidRPr="007B6D67" w:rsidR="003D02FA">
        <w:t>; s</w:t>
      </w:r>
      <w:r w:rsidRPr="007B6D67" w:rsidR="0094316F">
        <w:t>ee Pen. Code, §</w:t>
      </w:r>
      <w:r w:rsidRPr="007B6D67" w:rsidR="0055534D">
        <w:t> </w:t>
      </w:r>
      <w:r w:rsidRPr="007B6D67" w:rsidR="0094316F">
        <w:t>7</w:t>
      </w:r>
      <w:r w:rsidRPr="007B6D67" w:rsidR="003A2151">
        <w:t>, subd. (16)</w:t>
      </w:r>
      <w:r w:rsidRPr="007B6D67" w:rsidR="0094316F">
        <w:t xml:space="preserve"> [“Words and phrases .</w:t>
      </w:r>
      <w:r w:rsidRPr="007B6D67" w:rsidR="0055534D">
        <w:t> </w:t>
      </w:r>
      <w:r w:rsidRPr="007B6D67" w:rsidR="0094316F">
        <w:t>.</w:t>
      </w:r>
      <w:r w:rsidRPr="007B6D67" w:rsidR="0055534D">
        <w:t> </w:t>
      </w:r>
      <w:r w:rsidRPr="007B6D67" w:rsidR="0094316F">
        <w:t>. as may have acquired a peculiar and appropriate meaning in law, must be construed according to such peculiar and appropriate meaning.”].)</w:t>
      </w:r>
    </w:p>
    <w:p w:rsidR="0051079C" w:rsidRPr="007B6D67" w:rsidP="007B6D67" w14:paraId="6B5C046B" w14:textId="2ABB48EB">
      <w:pPr>
        <w:tabs>
          <w:tab w:val="left" w:pos="1440"/>
        </w:tabs>
        <w:ind w:firstLine="720"/>
        <w:rPr>
          <w:szCs w:val="26"/>
        </w:rPr>
      </w:pPr>
      <w:r w:rsidRPr="007B6D67">
        <w:t xml:space="preserve">As explained above, </w:t>
      </w:r>
      <w:r w:rsidRPr="007B6D67" w:rsidR="0023094E">
        <w:t xml:space="preserve">successiveness restrictions have </w:t>
      </w:r>
      <w:r w:rsidRPr="007B6D67">
        <w:t>a long history in habeas corpus law</w:t>
      </w:r>
      <w:r w:rsidR="00A34D73">
        <w:t>, and the concept of successiveness has acquired a particular meaning in that context.</w:t>
      </w:r>
      <w:r w:rsidR="001A7AC3">
        <w:t xml:space="preserve">  </w:t>
      </w:r>
      <w:r w:rsidRPr="007B6D67" w:rsidR="0085167E">
        <w:t xml:space="preserve">We consider </w:t>
      </w:r>
      <w:r w:rsidRPr="007B6D67" w:rsidR="00603042">
        <w:t xml:space="preserve">that legal background in discerning the meaning of the restrictions on successive petitions in Proposition 66.  (Cf.  </w:t>
      </w:r>
      <w:r w:rsidRPr="007B6D67" w:rsidR="00570015">
        <w:rPr>
          <w:i/>
          <w:iCs/>
          <w:szCs w:val="26"/>
        </w:rPr>
        <w:t>Panetti v. Quarterman</w:t>
      </w:r>
      <w:r w:rsidRPr="007B6D67" w:rsidR="00570015">
        <w:rPr>
          <w:szCs w:val="26"/>
        </w:rPr>
        <w:t xml:space="preserve"> (2007) 551 U.S. 930, 943</w:t>
      </w:r>
      <w:r w:rsidRPr="007B6D67" w:rsidR="00603042">
        <w:rPr>
          <w:szCs w:val="26"/>
        </w:rPr>
        <w:t xml:space="preserve"> [the term “second or successive” as used in a federal habeas statute “is not self-defining,</w:t>
      </w:r>
      <w:r w:rsidR="00130442">
        <w:rPr>
          <w:szCs w:val="26"/>
        </w:rPr>
        <w:t>”</w:t>
      </w:r>
      <w:r w:rsidRPr="007B6D67" w:rsidR="00603042">
        <w:rPr>
          <w:szCs w:val="26"/>
        </w:rPr>
        <w:t xml:space="preserve"> but </w:t>
      </w:r>
      <w:r w:rsidR="00130442">
        <w:rPr>
          <w:szCs w:val="26"/>
        </w:rPr>
        <w:t>“</w:t>
      </w:r>
      <w:r w:rsidRPr="007B6D67" w:rsidR="00603042">
        <w:rPr>
          <w:szCs w:val="26"/>
        </w:rPr>
        <w:t>takes its full meaning from our case law” applying general habeas corpus principles].</w:t>
      </w:r>
      <w:r w:rsidRPr="007B6D67" w:rsidR="00570015">
        <w:rPr>
          <w:szCs w:val="26"/>
        </w:rPr>
        <w:t>)</w:t>
      </w:r>
    </w:p>
    <w:p w:rsidR="00B97164" w:rsidRPr="007B6D67" w:rsidP="007B6D67" w14:paraId="64534892" w14:textId="1F6773E0">
      <w:pPr>
        <w:pStyle w:val="Text"/>
        <w:spacing w:line="400" w:lineRule="exact"/>
        <w:ind w:firstLine="720"/>
        <w:rPr>
          <w:szCs w:val="26"/>
        </w:rPr>
      </w:pPr>
      <w:r w:rsidRPr="007B6D67">
        <w:rPr>
          <w:szCs w:val="26"/>
        </w:rPr>
        <w:t xml:space="preserve">California </w:t>
      </w:r>
      <w:r w:rsidRPr="007B6D67" w:rsidR="00E37CA4">
        <w:rPr>
          <w:szCs w:val="26"/>
        </w:rPr>
        <w:t xml:space="preserve">habeas </w:t>
      </w:r>
      <w:r w:rsidRPr="007B6D67" w:rsidR="004E2F5C">
        <w:rPr>
          <w:szCs w:val="26"/>
        </w:rPr>
        <w:t xml:space="preserve">law </w:t>
      </w:r>
      <w:r w:rsidRPr="007B6D67">
        <w:rPr>
          <w:szCs w:val="26"/>
        </w:rPr>
        <w:t xml:space="preserve">traditionally </w:t>
      </w:r>
      <w:r w:rsidRPr="007B6D67" w:rsidR="004E2F5C">
        <w:rPr>
          <w:szCs w:val="26"/>
        </w:rPr>
        <w:t xml:space="preserve">has </w:t>
      </w:r>
      <w:r w:rsidRPr="007B6D67" w:rsidR="0007275F">
        <w:rPr>
          <w:szCs w:val="26"/>
        </w:rPr>
        <w:t xml:space="preserve">not </w:t>
      </w:r>
      <w:r w:rsidRPr="007B6D67" w:rsidR="004E2F5C">
        <w:rPr>
          <w:szCs w:val="26"/>
        </w:rPr>
        <w:t xml:space="preserve">imposed blanket restrictions on the consideration of </w:t>
      </w:r>
      <w:r w:rsidRPr="007B6D67" w:rsidR="00B43C81">
        <w:rPr>
          <w:szCs w:val="26"/>
        </w:rPr>
        <w:t xml:space="preserve">every </w:t>
      </w:r>
      <w:r w:rsidRPr="007B6D67" w:rsidR="00C37083">
        <w:rPr>
          <w:szCs w:val="26"/>
        </w:rPr>
        <w:t>petition filed after an initial petition, as the dictionary definition of the t</w:t>
      </w:r>
      <w:r w:rsidRPr="007B6D67" w:rsidR="00292B97">
        <w:rPr>
          <w:szCs w:val="26"/>
        </w:rPr>
        <w:t xml:space="preserve">erm </w:t>
      </w:r>
      <w:r w:rsidRPr="007B6D67" w:rsidR="006B29D7">
        <w:rPr>
          <w:szCs w:val="26"/>
        </w:rPr>
        <w:t xml:space="preserve">“successive” </w:t>
      </w:r>
      <w:r w:rsidRPr="007B6D67" w:rsidR="00292B97">
        <w:rPr>
          <w:szCs w:val="26"/>
        </w:rPr>
        <w:t>might suggest</w:t>
      </w:r>
      <w:r w:rsidRPr="007B6D67" w:rsidR="001A59D0">
        <w:rPr>
          <w:szCs w:val="26"/>
        </w:rPr>
        <w:t>.  T</w:t>
      </w:r>
      <w:r w:rsidRPr="007B6D67" w:rsidR="00292B97">
        <w:rPr>
          <w:szCs w:val="26"/>
        </w:rPr>
        <w:t xml:space="preserve">he </w:t>
      </w:r>
      <w:r w:rsidRPr="007B6D67" w:rsidR="00244F0B">
        <w:rPr>
          <w:szCs w:val="26"/>
        </w:rPr>
        <w:t xml:space="preserve">traditional </w:t>
      </w:r>
      <w:r w:rsidRPr="007B6D67" w:rsidR="00292B97">
        <w:rPr>
          <w:szCs w:val="26"/>
        </w:rPr>
        <w:t xml:space="preserve">successiveness bar </w:t>
      </w:r>
      <w:r w:rsidRPr="007B6D67" w:rsidR="00406878">
        <w:rPr>
          <w:szCs w:val="26"/>
        </w:rPr>
        <w:t xml:space="preserve">instead </w:t>
      </w:r>
      <w:r w:rsidRPr="007B6D67" w:rsidR="00292B97">
        <w:rPr>
          <w:szCs w:val="26"/>
        </w:rPr>
        <w:t xml:space="preserve">prevents a habeas </w:t>
      </w:r>
      <w:r w:rsidRPr="007B6D67" w:rsidR="007B0108">
        <w:rPr>
          <w:szCs w:val="26"/>
        </w:rPr>
        <w:t xml:space="preserve">corpus </w:t>
      </w:r>
      <w:r w:rsidRPr="007B6D67" w:rsidR="00292B97">
        <w:rPr>
          <w:szCs w:val="26"/>
        </w:rPr>
        <w:t xml:space="preserve">petitioner from abusing the writ process by </w:t>
      </w:r>
      <w:r w:rsidRPr="007B6D67" w:rsidR="00F74FCA">
        <w:rPr>
          <w:szCs w:val="26"/>
        </w:rPr>
        <w:t xml:space="preserve">presenting claims in a repetitive or piecemeal manner.  </w:t>
      </w:r>
      <w:r w:rsidRPr="007B6D67" w:rsidR="00880534">
        <w:rPr>
          <w:szCs w:val="26"/>
        </w:rPr>
        <w:t>(</w:t>
      </w:r>
      <w:r w:rsidRPr="007B6D67" w:rsidR="00880534">
        <w:rPr>
          <w:i/>
          <w:iCs/>
          <w:szCs w:val="26"/>
        </w:rPr>
        <w:t>Briggs</w:t>
      </w:r>
      <w:r w:rsidRPr="007B6D67" w:rsidR="00880534">
        <w:rPr>
          <w:szCs w:val="26"/>
        </w:rPr>
        <w:t xml:space="preserve">, </w:t>
      </w:r>
      <w:r w:rsidRPr="007B6D67" w:rsidR="00693D67">
        <w:rPr>
          <w:i/>
          <w:iCs/>
          <w:szCs w:val="26"/>
        </w:rPr>
        <w:t>supra</w:t>
      </w:r>
      <w:r w:rsidRPr="007B6D67" w:rsidR="00693D67">
        <w:rPr>
          <w:szCs w:val="26"/>
        </w:rPr>
        <w:t xml:space="preserve">, </w:t>
      </w:r>
      <w:r w:rsidRPr="007B6D67" w:rsidR="00880534">
        <w:rPr>
          <w:szCs w:val="26"/>
        </w:rPr>
        <w:t xml:space="preserve">3 Cal.5th </w:t>
      </w:r>
      <w:r w:rsidRPr="007B6D67" w:rsidR="00693D67">
        <w:rPr>
          <w:szCs w:val="26"/>
        </w:rPr>
        <w:t>at p.</w:t>
      </w:r>
      <w:r w:rsidRPr="007B6D67" w:rsidR="0055534D">
        <w:rPr>
          <w:szCs w:val="26"/>
        </w:rPr>
        <w:t> </w:t>
      </w:r>
      <w:r w:rsidRPr="007B6D67" w:rsidR="00880534">
        <w:rPr>
          <w:szCs w:val="26"/>
        </w:rPr>
        <w:t>836</w:t>
      </w:r>
      <w:r w:rsidRPr="007B6D67" w:rsidR="003C4EA6">
        <w:rPr>
          <w:szCs w:val="26"/>
        </w:rPr>
        <w:t>, fn.</w:t>
      </w:r>
      <w:r w:rsidRPr="007B6D67" w:rsidR="0055534D">
        <w:rPr>
          <w:szCs w:val="26"/>
        </w:rPr>
        <w:t> </w:t>
      </w:r>
      <w:r w:rsidRPr="007B6D67" w:rsidR="003C4EA6">
        <w:rPr>
          <w:szCs w:val="26"/>
        </w:rPr>
        <w:t>14</w:t>
      </w:r>
      <w:r w:rsidRPr="007B6D67" w:rsidR="00B06798">
        <w:rPr>
          <w:szCs w:val="26"/>
        </w:rPr>
        <w:t>.</w:t>
      </w:r>
      <w:r w:rsidRPr="007B6D67" w:rsidR="00693D67">
        <w:rPr>
          <w:szCs w:val="26"/>
        </w:rPr>
        <w:t>)</w:t>
      </w:r>
      <w:r w:rsidRPr="007B6D67" w:rsidR="00EB7E7A">
        <w:rPr>
          <w:szCs w:val="26"/>
        </w:rPr>
        <w:t xml:space="preserve">  </w:t>
      </w:r>
      <w:r w:rsidRPr="007B6D67" w:rsidR="0015236B">
        <w:rPr>
          <w:szCs w:val="26"/>
        </w:rPr>
        <w:t>T</w:t>
      </w:r>
      <w:r w:rsidRPr="007B6D67" w:rsidR="00D75C14">
        <w:rPr>
          <w:szCs w:val="26"/>
        </w:rPr>
        <w:t>h</w:t>
      </w:r>
      <w:r w:rsidRPr="007B6D67" w:rsidR="009E5340">
        <w:rPr>
          <w:szCs w:val="26"/>
        </w:rPr>
        <w:t>is means</w:t>
      </w:r>
      <w:r w:rsidRPr="007B6D67" w:rsidR="00D87618">
        <w:rPr>
          <w:szCs w:val="26"/>
        </w:rPr>
        <w:t xml:space="preserve"> </w:t>
      </w:r>
      <w:r w:rsidRPr="007B6D67" w:rsidR="00D75C14">
        <w:rPr>
          <w:szCs w:val="26"/>
        </w:rPr>
        <w:t xml:space="preserve">that </w:t>
      </w:r>
      <w:r w:rsidRPr="007B6D67" w:rsidR="00BA7FC4">
        <w:rPr>
          <w:szCs w:val="26"/>
        </w:rPr>
        <w:t xml:space="preserve">a claim will not be barred as successive, even though it may be presented in a second or subsequent habeas petition, </w:t>
      </w:r>
      <w:r w:rsidRPr="007B6D67" w:rsidR="00C52E17">
        <w:rPr>
          <w:szCs w:val="26"/>
        </w:rPr>
        <w:t xml:space="preserve">if </w:t>
      </w:r>
      <w:r w:rsidRPr="007B6D67" w:rsidR="00A171EE">
        <w:rPr>
          <w:szCs w:val="26"/>
        </w:rPr>
        <w:t xml:space="preserve">the petitioner </w:t>
      </w:r>
      <w:r w:rsidRPr="007B6D67" w:rsidR="007943EE">
        <w:rPr>
          <w:szCs w:val="26"/>
        </w:rPr>
        <w:t xml:space="preserve">offers adequate justification for </w:t>
      </w:r>
      <w:r w:rsidRPr="007B6D67" w:rsidR="00A171EE">
        <w:rPr>
          <w:szCs w:val="26"/>
        </w:rPr>
        <w:t xml:space="preserve">the </w:t>
      </w:r>
      <w:r w:rsidRPr="007B6D67" w:rsidR="0051625D">
        <w:rPr>
          <w:szCs w:val="26"/>
        </w:rPr>
        <w:t xml:space="preserve">failure to </w:t>
      </w:r>
      <w:r w:rsidRPr="007B6D67" w:rsidR="00344522">
        <w:rPr>
          <w:szCs w:val="26"/>
        </w:rPr>
        <w:t xml:space="preserve">present </w:t>
      </w:r>
      <w:r w:rsidRPr="007B6D67" w:rsidR="005B4E3A">
        <w:rPr>
          <w:szCs w:val="26"/>
        </w:rPr>
        <w:t xml:space="preserve">a particular </w:t>
      </w:r>
      <w:r w:rsidRPr="007B6D67" w:rsidR="00344522">
        <w:rPr>
          <w:szCs w:val="26"/>
        </w:rPr>
        <w:t xml:space="preserve">claim in an earlier </w:t>
      </w:r>
      <w:r w:rsidRPr="007B6D67" w:rsidR="000D537E">
        <w:rPr>
          <w:szCs w:val="26"/>
        </w:rPr>
        <w:t>petition</w:t>
      </w:r>
      <w:r w:rsidRPr="007B6D67" w:rsidR="004312AA">
        <w:rPr>
          <w:szCs w:val="26"/>
        </w:rPr>
        <w:t>.  (</w:t>
      </w:r>
      <w:r w:rsidRPr="007B6D67" w:rsidR="004312AA">
        <w:rPr>
          <w:i/>
          <w:iCs/>
          <w:szCs w:val="26"/>
        </w:rPr>
        <w:t>Clark</w:t>
      </w:r>
      <w:r w:rsidRPr="007B6D67" w:rsidR="001C7600">
        <w:rPr>
          <w:szCs w:val="26"/>
        </w:rPr>
        <w:t xml:space="preserve">, </w:t>
      </w:r>
      <w:r w:rsidRPr="007B6D67" w:rsidR="001C7600">
        <w:rPr>
          <w:i/>
          <w:iCs/>
          <w:szCs w:val="26"/>
        </w:rPr>
        <w:t>supra</w:t>
      </w:r>
      <w:r w:rsidRPr="007B6D67" w:rsidR="001C7600">
        <w:rPr>
          <w:szCs w:val="26"/>
        </w:rPr>
        <w:t>,</w:t>
      </w:r>
      <w:r w:rsidRPr="007B6D67" w:rsidR="00DA16AE">
        <w:rPr>
          <w:szCs w:val="26"/>
        </w:rPr>
        <w:t xml:space="preserve"> </w:t>
      </w:r>
      <w:r w:rsidRPr="007B6D67" w:rsidR="004312AA">
        <w:rPr>
          <w:szCs w:val="26"/>
        </w:rPr>
        <w:t xml:space="preserve">5 Cal.4th </w:t>
      </w:r>
      <w:r w:rsidRPr="007B6D67" w:rsidR="001C7600">
        <w:rPr>
          <w:szCs w:val="26"/>
        </w:rPr>
        <w:t>at p.</w:t>
      </w:r>
      <w:r w:rsidRPr="007B6D67" w:rsidR="0055534D">
        <w:rPr>
          <w:szCs w:val="26"/>
        </w:rPr>
        <w:t> </w:t>
      </w:r>
      <w:r w:rsidRPr="007B6D67" w:rsidR="008E2BA9">
        <w:rPr>
          <w:szCs w:val="26"/>
        </w:rPr>
        <w:t>77</w:t>
      </w:r>
      <w:r w:rsidRPr="007B6D67" w:rsidR="00521BA0">
        <w:rPr>
          <w:szCs w:val="26"/>
        </w:rPr>
        <w:t>4</w:t>
      </w:r>
      <w:r w:rsidRPr="007B6D67" w:rsidR="008E2BA9">
        <w:rPr>
          <w:szCs w:val="26"/>
        </w:rPr>
        <w:t>.)</w:t>
      </w:r>
      <w:r w:rsidRPr="007B6D67" w:rsidR="006D2E13">
        <w:rPr>
          <w:szCs w:val="26"/>
        </w:rPr>
        <w:t xml:space="preserve">  </w:t>
      </w:r>
      <w:r w:rsidRPr="007B6D67" w:rsidR="00BA7FC4">
        <w:rPr>
          <w:szCs w:val="26"/>
        </w:rPr>
        <w:t xml:space="preserve">Though it is unusual for a petitioner to make the required showing, </w:t>
      </w:r>
      <w:r w:rsidRPr="007B6D67" w:rsidR="00DC2B98">
        <w:rPr>
          <w:szCs w:val="26"/>
        </w:rPr>
        <w:t xml:space="preserve">we have said </w:t>
      </w:r>
      <w:r w:rsidRPr="007B6D67" w:rsidR="00925C03">
        <w:rPr>
          <w:szCs w:val="26"/>
        </w:rPr>
        <w:t xml:space="preserve">consideration of such a claim is ordinarily warranted </w:t>
      </w:r>
      <w:r w:rsidRPr="007B6D67" w:rsidR="00CE47C8">
        <w:rPr>
          <w:szCs w:val="26"/>
        </w:rPr>
        <w:t>“</w:t>
      </w:r>
      <w:r w:rsidRPr="007B6D67" w:rsidR="00010DCA">
        <w:rPr>
          <w:szCs w:val="26"/>
        </w:rPr>
        <w:t>where the factual basis for a claim was unknown to the petitioner and he had no reason to believe that the claim might be made</w:t>
      </w:r>
      <w:r w:rsidRPr="007B6D67" w:rsidR="0059194A">
        <w:rPr>
          <w:szCs w:val="26"/>
        </w:rPr>
        <w:t>” and the claim is “</w:t>
      </w:r>
      <w:r w:rsidRPr="007B6D67" w:rsidR="00010DCA">
        <w:rPr>
          <w:szCs w:val="26"/>
        </w:rPr>
        <w:t>asserted as promptly as reasonably possible.</w:t>
      </w:r>
      <w:r w:rsidRPr="007B6D67" w:rsidR="0058096E">
        <w:rPr>
          <w:szCs w:val="26"/>
        </w:rPr>
        <w:t>”  (</w:t>
      </w:r>
      <w:r w:rsidRPr="007B6D67" w:rsidR="006A771B">
        <w:rPr>
          <w:i/>
          <w:iCs/>
          <w:szCs w:val="26"/>
        </w:rPr>
        <w:t>Id.</w:t>
      </w:r>
      <w:r w:rsidRPr="007B6D67" w:rsidR="006A771B">
        <w:rPr>
          <w:szCs w:val="26"/>
        </w:rPr>
        <w:t xml:space="preserve"> </w:t>
      </w:r>
      <w:r w:rsidRPr="007B6D67" w:rsidR="00521BA0">
        <w:rPr>
          <w:szCs w:val="26"/>
        </w:rPr>
        <w:t>at p.</w:t>
      </w:r>
      <w:r w:rsidRPr="007B6D67" w:rsidR="0055534D">
        <w:rPr>
          <w:szCs w:val="26"/>
        </w:rPr>
        <w:t> </w:t>
      </w:r>
      <w:r w:rsidRPr="007B6D67" w:rsidR="00521BA0">
        <w:rPr>
          <w:szCs w:val="26"/>
        </w:rPr>
        <w:t>775.)</w:t>
      </w:r>
      <w:r w:rsidRPr="007B6D67" w:rsidR="006D2E13">
        <w:rPr>
          <w:szCs w:val="26"/>
        </w:rPr>
        <w:t xml:space="preserve">  </w:t>
      </w:r>
      <w:r w:rsidRPr="007B6D67" w:rsidR="004A1B71">
        <w:rPr>
          <w:szCs w:val="26"/>
        </w:rPr>
        <w:t xml:space="preserve">In addition, </w:t>
      </w:r>
      <w:r w:rsidRPr="007B6D67" w:rsidR="00FB3735">
        <w:rPr>
          <w:szCs w:val="26"/>
        </w:rPr>
        <w:t xml:space="preserve">claims based on a change in the law </w:t>
      </w:r>
      <w:r w:rsidRPr="007B6D67" w:rsidR="006E60CF">
        <w:rPr>
          <w:szCs w:val="26"/>
        </w:rPr>
        <w:t xml:space="preserve">that </w:t>
      </w:r>
      <w:r w:rsidRPr="007B6D67" w:rsidR="00FB3735">
        <w:rPr>
          <w:szCs w:val="26"/>
        </w:rPr>
        <w:t>is retroactively applicable to final judgments will be considered if promptly asserted and if application of the former rule is shown to have been prejudicial.</w:t>
      </w:r>
      <w:r w:rsidRPr="007B6D67" w:rsidR="002A0B83">
        <w:rPr>
          <w:szCs w:val="26"/>
        </w:rPr>
        <w:t xml:space="preserve">  (</w:t>
      </w:r>
      <w:r w:rsidRPr="007B6D67" w:rsidR="002A0B83">
        <w:rPr>
          <w:i/>
          <w:iCs/>
          <w:szCs w:val="26"/>
        </w:rPr>
        <w:t>Ibid.</w:t>
      </w:r>
      <w:r w:rsidRPr="007B6D67" w:rsidR="002A0B83">
        <w:rPr>
          <w:szCs w:val="26"/>
        </w:rPr>
        <w:t>)</w:t>
      </w:r>
      <w:r w:rsidRPr="007B6D67" w:rsidR="00D87618">
        <w:rPr>
          <w:szCs w:val="26"/>
        </w:rPr>
        <w:t xml:space="preserve">  And finally, the</w:t>
      </w:r>
      <w:r w:rsidRPr="007B6D67" w:rsidR="00A94A4A">
        <w:rPr>
          <w:szCs w:val="26"/>
        </w:rPr>
        <w:t xml:space="preserve"> ineffective assistance of </w:t>
      </w:r>
      <w:r w:rsidRPr="007B6D67" w:rsidR="00D87618">
        <w:rPr>
          <w:szCs w:val="26"/>
        </w:rPr>
        <w:t xml:space="preserve">prior counsel may justify raising a claim in a subsequent petition.  </w:t>
      </w:r>
      <w:r w:rsidRPr="007B6D67" w:rsidR="00FA5C50">
        <w:rPr>
          <w:szCs w:val="26"/>
        </w:rPr>
        <w:t>(</w:t>
      </w:r>
      <w:r w:rsidRPr="007B6D67" w:rsidR="001367B4">
        <w:rPr>
          <w:i/>
          <w:iCs/>
          <w:szCs w:val="26"/>
        </w:rPr>
        <w:t>Id.</w:t>
      </w:r>
      <w:r w:rsidRPr="007B6D67" w:rsidR="001367B4">
        <w:rPr>
          <w:szCs w:val="26"/>
        </w:rPr>
        <w:t xml:space="preserve"> </w:t>
      </w:r>
      <w:r w:rsidRPr="007B6D67" w:rsidR="00FA5C50">
        <w:rPr>
          <w:szCs w:val="26"/>
        </w:rPr>
        <w:t>at p.</w:t>
      </w:r>
      <w:r w:rsidRPr="007B6D67" w:rsidR="0055534D">
        <w:rPr>
          <w:szCs w:val="26"/>
        </w:rPr>
        <w:t> </w:t>
      </w:r>
      <w:r w:rsidRPr="007B6D67" w:rsidR="004A1B71">
        <w:rPr>
          <w:szCs w:val="26"/>
        </w:rPr>
        <w:t>780</w:t>
      </w:r>
      <w:r w:rsidRPr="007B6D67" w:rsidR="00FA5C50">
        <w:rPr>
          <w:szCs w:val="26"/>
        </w:rPr>
        <w:t>.)</w:t>
      </w:r>
      <w:r>
        <w:rPr>
          <w:rStyle w:val="FootnoteReference"/>
          <w:szCs w:val="26"/>
        </w:rPr>
        <w:footnoteReference w:id="7"/>
      </w:r>
      <w:r w:rsidRPr="007B6D67" w:rsidR="0094264B">
        <w:rPr>
          <w:szCs w:val="26"/>
        </w:rPr>
        <w:t xml:space="preserve">  </w:t>
      </w:r>
    </w:p>
    <w:p w:rsidR="00D24D4D" w:rsidRPr="007B6D67" w:rsidP="007B6D67" w14:paraId="4B2A1260" w14:textId="148C1030">
      <w:pPr>
        <w:pStyle w:val="Text"/>
        <w:spacing w:line="400" w:lineRule="exact"/>
        <w:ind w:firstLine="720"/>
      </w:pPr>
      <w:r w:rsidRPr="007B6D67">
        <w:t xml:space="preserve">We </w:t>
      </w:r>
      <w:r w:rsidRPr="007B6D67" w:rsidR="003F5674">
        <w:t xml:space="preserve">have </w:t>
      </w:r>
      <w:r w:rsidRPr="007B6D67" w:rsidR="00F4764B">
        <w:t xml:space="preserve">mainly </w:t>
      </w:r>
      <w:r w:rsidRPr="007B6D67" w:rsidR="00AD0BDD">
        <w:t>used the term “successive petition</w:t>
      </w:r>
      <w:r w:rsidRPr="007B6D67" w:rsidR="006C7B51">
        <w:t>”</w:t>
      </w:r>
      <w:r w:rsidRPr="007B6D67" w:rsidR="00AD0BDD">
        <w:t xml:space="preserve"> </w:t>
      </w:r>
      <w:r w:rsidRPr="007B6D67" w:rsidR="00F00BA0">
        <w:t xml:space="preserve">to refer </w:t>
      </w:r>
      <w:r w:rsidRPr="007B6D67" w:rsidR="00F10363">
        <w:t xml:space="preserve">specifically </w:t>
      </w:r>
      <w:r w:rsidRPr="007B6D67" w:rsidR="00F00BA0">
        <w:t xml:space="preserve">to </w:t>
      </w:r>
      <w:r w:rsidRPr="007B6D67" w:rsidR="005419F1">
        <w:t xml:space="preserve">a petition </w:t>
      </w:r>
      <w:r w:rsidRPr="007B6D67" w:rsidR="00B4477D">
        <w:t>subject to the successiveness bar</w:t>
      </w:r>
      <w:r w:rsidR="001E6815">
        <w:t> </w:t>
      </w:r>
      <w:r w:rsidRPr="007B6D67" w:rsidR="00B4477D">
        <w:t xml:space="preserve">— that is, one </w:t>
      </w:r>
      <w:r w:rsidRPr="007B6D67" w:rsidR="00F00BA0">
        <w:t>raising claims that could have been presented in a previous petition.</w:t>
      </w:r>
      <w:r w:rsidRPr="007B6D67" w:rsidR="005B4961">
        <w:t xml:space="preserve">  (</w:t>
      </w:r>
      <w:r w:rsidRPr="007B6D67" w:rsidR="005B4961">
        <w:rPr>
          <w:i/>
          <w:iCs/>
        </w:rPr>
        <w:t>Briggs</w:t>
      </w:r>
      <w:r w:rsidRPr="007B6D67" w:rsidR="005B4961">
        <w:t xml:space="preserve">, </w:t>
      </w:r>
      <w:r w:rsidRPr="007B6D67" w:rsidR="005B4961">
        <w:rPr>
          <w:i/>
          <w:iCs/>
        </w:rPr>
        <w:t>supra</w:t>
      </w:r>
      <w:r w:rsidRPr="007B6D67" w:rsidR="005B4961">
        <w:t>,</w:t>
      </w:r>
      <w:r w:rsidRPr="007B6D67" w:rsidR="005B4961">
        <w:rPr>
          <w:b/>
          <w:bCs/>
        </w:rPr>
        <w:t xml:space="preserve"> </w:t>
      </w:r>
      <w:r w:rsidRPr="007B6D67" w:rsidR="005B4961">
        <w:rPr>
          <w:szCs w:val="26"/>
        </w:rPr>
        <w:t>3 Cal.5th at p.</w:t>
      </w:r>
      <w:r w:rsidRPr="007B6D67" w:rsidR="0055534D">
        <w:rPr>
          <w:szCs w:val="26"/>
        </w:rPr>
        <w:t> </w:t>
      </w:r>
      <w:r w:rsidRPr="007B6D67" w:rsidR="005B4961">
        <w:rPr>
          <w:szCs w:val="26"/>
        </w:rPr>
        <w:t>836, fn.</w:t>
      </w:r>
      <w:r w:rsidRPr="007B6D67" w:rsidR="0055534D">
        <w:rPr>
          <w:szCs w:val="26"/>
        </w:rPr>
        <w:t> </w:t>
      </w:r>
      <w:r w:rsidRPr="007B6D67" w:rsidR="005B4961">
        <w:rPr>
          <w:szCs w:val="26"/>
        </w:rPr>
        <w:t>14.)</w:t>
      </w:r>
      <w:r w:rsidRPr="007B6D67" w:rsidR="00AD0BDD">
        <w:rPr>
          <w:szCs w:val="26"/>
        </w:rPr>
        <w:t xml:space="preserve">  </w:t>
      </w:r>
      <w:r w:rsidRPr="007B6D67" w:rsidR="00795E12">
        <w:rPr>
          <w:szCs w:val="26"/>
        </w:rPr>
        <w:t>I</w:t>
      </w:r>
      <w:r w:rsidRPr="007B6D67" w:rsidR="00AD0BDD">
        <w:rPr>
          <w:szCs w:val="26"/>
        </w:rPr>
        <w:t xml:space="preserve">n </w:t>
      </w:r>
      <w:r w:rsidRPr="007B6D67" w:rsidR="003E3658">
        <w:rPr>
          <w:i/>
          <w:iCs/>
          <w:szCs w:val="26"/>
        </w:rPr>
        <w:t>Clark</w:t>
      </w:r>
      <w:r w:rsidRPr="007B6D67" w:rsidR="001B7EFB">
        <w:rPr>
          <w:szCs w:val="26"/>
        </w:rPr>
        <w:t xml:space="preserve">, </w:t>
      </w:r>
      <w:r w:rsidRPr="007B6D67" w:rsidR="00795E12">
        <w:rPr>
          <w:szCs w:val="26"/>
        </w:rPr>
        <w:t xml:space="preserve">for example, </w:t>
      </w:r>
      <w:r w:rsidRPr="007B6D67" w:rsidR="004A0E75">
        <w:rPr>
          <w:szCs w:val="26"/>
        </w:rPr>
        <w:t xml:space="preserve">we </w:t>
      </w:r>
      <w:r w:rsidRPr="007B6D67" w:rsidR="00CF35AA">
        <w:rPr>
          <w:szCs w:val="26"/>
        </w:rPr>
        <w:t>used the term “successive petitions” as a shorthand</w:t>
      </w:r>
      <w:r w:rsidRPr="007B6D67" w:rsidR="00E52097">
        <w:rPr>
          <w:szCs w:val="26"/>
        </w:rPr>
        <w:t xml:space="preserve"> for </w:t>
      </w:r>
      <w:r w:rsidRPr="007B6D67" w:rsidR="00526759">
        <w:rPr>
          <w:szCs w:val="26"/>
        </w:rPr>
        <w:t>subsequent</w:t>
      </w:r>
      <w:r w:rsidRPr="007B6D67" w:rsidR="00E52097">
        <w:rPr>
          <w:szCs w:val="26"/>
        </w:rPr>
        <w:t xml:space="preserve"> petitions </w:t>
      </w:r>
      <w:r w:rsidRPr="007B6D67" w:rsidR="00526759">
        <w:rPr>
          <w:szCs w:val="26"/>
        </w:rPr>
        <w:t>“</w:t>
      </w:r>
      <w:r w:rsidRPr="007B6D67" w:rsidR="00E52097">
        <w:rPr>
          <w:szCs w:val="26"/>
        </w:rPr>
        <w:t>seeking relief on the basis of the same set of facts” or “raising claims that could have been raised in a prior petition.”  (</w:t>
      </w:r>
      <w:r w:rsidRPr="007B6D67" w:rsidR="00B901CC">
        <w:rPr>
          <w:i/>
          <w:iCs/>
          <w:szCs w:val="26"/>
        </w:rPr>
        <w:t>Clark</w:t>
      </w:r>
      <w:r w:rsidRPr="007B6D67" w:rsidR="00BC1910">
        <w:rPr>
          <w:szCs w:val="26"/>
        </w:rPr>
        <w:t xml:space="preserve">, </w:t>
      </w:r>
      <w:r w:rsidRPr="007B6D67" w:rsidR="00BC1910">
        <w:rPr>
          <w:i/>
          <w:iCs/>
          <w:szCs w:val="26"/>
        </w:rPr>
        <w:t>supra</w:t>
      </w:r>
      <w:r w:rsidRPr="007B6D67" w:rsidR="00BC1910">
        <w:rPr>
          <w:szCs w:val="26"/>
        </w:rPr>
        <w:t>,</w:t>
      </w:r>
      <w:r w:rsidRPr="007B6D67" w:rsidR="00BC1910">
        <w:rPr>
          <w:i/>
          <w:iCs/>
          <w:szCs w:val="26"/>
        </w:rPr>
        <w:t xml:space="preserve"> </w:t>
      </w:r>
      <w:r w:rsidRPr="007B6D67" w:rsidR="00BC1910">
        <w:rPr>
          <w:szCs w:val="26"/>
        </w:rPr>
        <w:t>5 Cal.4th</w:t>
      </w:r>
      <w:r w:rsidRPr="007B6D67" w:rsidR="00E52097">
        <w:rPr>
          <w:szCs w:val="26"/>
        </w:rPr>
        <w:t xml:space="preserve"> at p.</w:t>
      </w:r>
      <w:r w:rsidRPr="007B6D67" w:rsidR="0055534D">
        <w:rPr>
          <w:szCs w:val="26"/>
        </w:rPr>
        <w:t> </w:t>
      </w:r>
      <w:r w:rsidRPr="007B6D67" w:rsidR="00E52097">
        <w:rPr>
          <w:szCs w:val="26"/>
        </w:rPr>
        <w:t>770.)  We explained that “</w:t>
      </w:r>
      <w:r w:rsidRPr="007B6D67" w:rsidR="00292BC0">
        <w:rPr>
          <w:szCs w:val="26"/>
        </w:rPr>
        <w:t>[e]</w:t>
      </w:r>
      <w:r w:rsidRPr="007B6D67" w:rsidR="00754A52">
        <w:t>ntertaining the merits of successive petitions is inconsistent with our recognition that delayed and repetitious presentation of claims is an abuse of the writ</w:t>
      </w:r>
      <w:r w:rsidRPr="007B6D67" w:rsidR="00C12E68">
        <w:t>”</w:t>
      </w:r>
      <w:r w:rsidRPr="007B6D67" w:rsidR="00E52097">
        <w:t xml:space="preserve"> (</w:t>
      </w:r>
      <w:r w:rsidRPr="007B6D67" w:rsidR="00E52097">
        <w:rPr>
          <w:i/>
          <w:iCs/>
        </w:rPr>
        <w:t>id.</w:t>
      </w:r>
      <w:r w:rsidRPr="007B6D67" w:rsidR="00E52097">
        <w:t xml:space="preserve"> at p.</w:t>
      </w:r>
      <w:r w:rsidRPr="007B6D67" w:rsidR="0055534D">
        <w:t> </w:t>
      </w:r>
      <w:r w:rsidRPr="007B6D67" w:rsidR="00E52097">
        <w:t xml:space="preserve">769), and that the consideration of such petitions </w:t>
      </w:r>
      <w:r w:rsidRPr="007B6D67" w:rsidR="00DE16F7">
        <w:rPr>
          <w:szCs w:val="26"/>
        </w:rPr>
        <w:t>“</w:t>
      </w:r>
      <w:r w:rsidRPr="007B6D67" w:rsidR="000C681F">
        <w:rPr>
          <w:szCs w:val="26"/>
        </w:rPr>
        <w:t>u</w:t>
      </w:r>
      <w:r w:rsidRPr="007B6D67" w:rsidR="00DE16F7">
        <w:rPr>
          <w:szCs w:val="26"/>
        </w:rPr>
        <w:t>nreasonably delays execution of judgment</w:t>
      </w:r>
      <w:r w:rsidRPr="007B6D67" w:rsidR="000C681F">
        <w:rPr>
          <w:szCs w:val="26"/>
        </w:rPr>
        <w:t>” and</w:t>
      </w:r>
      <w:r w:rsidRPr="007B6D67" w:rsidR="00DE16F7">
        <w:rPr>
          <w:szCs w:val="26"/>
        </w:rPr>
        <w:t xml:space="preserve"> </w:t>
      </w:r>
      <w:r w:rsidRPr="007B6D67" w:rsidR="001F3BF1">
        <w:rPr>
          <w:szCs w:val="26"/>
        </w:rPr>
        <w:t>“</w:t>
      </w:r>
      <w:r w:rsidRPr="007B6D67" w:rsidR="000C4561">
        <w:rPr>
          <w:szCs w:val="26"/>
        </w:rPr>
        <w:t>waste</w:t>
      </w:r>
      <w:r w:rsidRPr="007B6D67" w:rsidR="001F3BF1">
        <w:rPr>
          <w:szCs w:val="26"/>
        </w:rPr>
        <w:t>[s]</w:t>
      </w:r>
      <w:r w:rsidRPr="007B6D67" w:rsidR="000C4561">
        <w:rPr>
          <w:szCs w:val="26"/>
        </w:rPr>
        <w:t xml:space="preserve"> scarce judicial resources</w:t>
      </w:r>
      <w:r w:rsidRPr="007B6D67" w:rsidR="001F3BF1">
        <w:rPr>
          <w:szCs w:val="26"/>
        </w:rPr>
        <w:t>”</w:t>
      </w:r>
      <w:r w:rsidRPr="007B6D67" w:rsidR="000C4561">
        <w:rPr>
          <w:szCs w:val="26"/>
        </w:rPr>
        <w:t xml:space="preserve"> </w:t>
      </w:r>
      <w:r w:rsidRPr="007B6D67" w:rsidR="000C681F">
        <w:rPr>
          <w:szCs w:val="26"/>
        </w:rPr>
        <w:t>(</w:t>
      </w:r>
      <w:r w:rsidRPr="007B6D67" w:rsidR="00E52097">
        <w:rPr>
          <w:i/>
          <w:iCs/>
          <w:szCs w:val="26"/>
        </w:rPr>
        <w:t>i</w:t>
      </w:r>
      <w:r w:rsidRPr="007B6D67" w:rsidR="000C681F">
        <w:rPr>
          <w:i/>
          <w:iCs/>
          <w:szCs w:val="26"/>
        </w:rPr>
        <w:t>d.</w:t>
      </w:r>
      <w:r w:rsidRPr="007B6D67" w:rsidR="000C681F">
        <w:rPr>
          <w:szCs w:val="26"/>
        </w:rPr>
        <w:t xml:space="preserve"> at p.</w:t>
      </w:r>
      <w:r w:rsidRPr="007B6D67" w:rsidR="0055534D">
        <w:rPr>
          <w:szCs w:val="26"/>
        </w:rPr>
        <w:t> </w:t>
      </w:r>
      <w:r w:rsidRPr="007B6D67" w:rsidR="000C681F">
        <w:rPr>
          <w:szCs w:val="26"/>
        </w:rPr>
        <w:t>770)</w:t>
      </w:r>
      <w:r w:rsidRPr="007B6D67" w:rsidR="00B4477D">
        <w:rPr>
          <w:szCs w:val="26"/>
        </w:rPr>
        <w:t xml:space="preserve">.  We went on to explain that the same is not </w:t>
      </w:r>
      <w:r w:rsidRPr="007B6D67" w:rsidR="007C69E4">
        <w:rPr>
          <w:szCs w:val="26"/>
        </w:rPr>
        <w:t xml:space="preserve">true of second </w:t>
      </w:r>
      <w:r w:rsidRPr="007B6D67" w:rsidR="00795E12">
        <w:rPr>
          <w:szCs w:val="26"/>
        </w:rPr>
        <w:t xml:space="preserve">or </w:t>
      </w:r>
      <w:r w:rsidRPr="007B6D67" w:rsidR="006F2BDA">
        <w:rPr>
          <w:szCs w:val="26"/>
        </w:rPr>
        <w:t xml:space="preserve">subsequent </w:t>
      </w:r>
      <w:r w:rsidRPr="007B6D67" w:rsidR="007C69E4">
        <w:rPr>
          <w:szCs w:val="26"/>
        </w:rPr>
        <w:t xml:space="preserve">petitions raising claims that could </w:t>
      </w:r>
      <w:r w:rsidRPr="007B6D67" w:rsidR="00CF3D84">
        <w:rPr>
          <w:szCs w:val="26"/>
        </w:rPr>
        <w:t xml:space="preserve">not reasonably </w:t>
      </w:r>
      <w:r w:rsidRPr="007B6D67" w:rsidR="007C69E4">
        <w:rPr>
          <w:szCs w:val="26"/>
        </w:rPr>
        <w:t>have been raised before</w:t>
      </w:r>
      <w:r w:rsidRPr="007B6D67" w:rsidR="00B4477D">
        <w:rPr>
          <w:szCs w:val="26"/>
        </w:rPr>
        <w:t xml:space="preserve">. </w:t>
      </w:r>
      <w:r w:rsidRPr="007B6D67" w:rsidR="00694FD0">
        <w:rPr>
          <w:szCs w:val="26"/>
        </w:rPr>
        <w:t xml:space="preserve"> (</w:t>
      </w:r>
      <w:r w:rsidRPr="007B6D67" w:rsidR="00B4477D">
        <w:rPr>
          <w:i/>
          <w:iCs/>
          <w:szCs w:val="26"/>
        </w:rPr>
        <w:t>I</w:t>
      </w:r>
      <w:r w:rsidRPr="007B6D67" w:rsidR="002905B0">
        <w:rPr>
          <w:i/>
          <w:iCs/>
          <w:szCs w:val="26"/>
        </w:rPr>
        <w:t>d.</w:t>
      </w:r>
      <w:r w:rsidRPr="007B6D67" w:rsidR="002905B0">
        <w:rPr>
          <w:szCs w:val="26"/>
        </w:rPr>
        <w:t xml:space="preserve"> at pp.</w:t>
      </w:r>
      <w:r w:rsidRPr="007B6D67" w:rsidR="0055534D">
        <w:rPr>
          <w:szCs w:val="26"/>
        </w:rPr>
        <w:t> </w:t>
      </w:r>
      <w:r w:rsidRPr="007B6D67" w:rsidR="002905B0">
        <w:rPr>
          <w:szCs w:val="26"/>
        </w:rPr>
        <w:t>774</w:t>
      </w:r>
      <w:r w:rsidRPr="007B6D67" w:rsidR="0055534D">
        <w:t>–</w:t>
      </w:r>
      <w:r w:rsidRPr="007B6D67" w:rsidR="002905B0">
        <w:rPr>
          <w:szCs w:val="26"/>
        </w:rPr>
        <w:t>775</w:t>
      </w:r>
      <w:r w:rsidRPr="007B6D67" w:rsidR="0038570A">
        <w:rPr>
          <w:szCs w:val="26"/>
        </w:rPr>
        <w:t>.</w:t>
      </w:r>
      <w:r w:rsidRPr="007B6D67" w:rsidR="002905B0">
        <w:rPr>
          <w:szCs w:val="26"/>
        </w:rPr>
        <w:t>)</w:t>
      </w:r>
      <w:r>
        <w:rPr>
          <w:rStyle w:val="FootnoteReference"/>
          <w:szCs w:val="26"/>
        </w:rPr>
        <w:footnoteReference w:id="8"/>
      </w:r>
      <w:r w:rsidRPr="007B6D67" w:rsidR="00CF3D84">
        <w:rPr>
          <w:szCs w:val="26"/>
        </w:rPr>
        <w:t xml:space="preserve"> </w:t>
      </w:r>
      <w:r w:rsidRPr="007B6D67" w:rsidR="00DD4C12">
        <w:rPr>
          <w:szCs w:val="26"/>
        </w:rPr>
        <w:t xml:space="preserve"> Echoing this point in </w:t>
      </w:r>
      <w:r w:rsidRPr="007B6D67" w:rsidR="00DD4C12">
        <w:rPr>
          <w:i/>
          <w:iCs/>
        </w:rPr>
        <w:t>Reno</w:t>
      </w:r>
      <w:r w:rsidRPr="007B6D67" w:rsidR="00DD4C12">
        <w:t>, we observed that “ ‘[e]ntertaining the merits of successive petitions is inconsistent with our recognition that delayed and repetitious presentation of claims is an abuse of the writ.’ ”  (</w:t>
      </w:r>
      <w:r w:rsidRPr="007B6D67" w:rsidR="00DD4C12">
        <w:rPr>
          <w:i/>
          <w:iCs/>
        </w:rPr>
        <w:t>Reno</w:t>
      </w:r>
      <w:r w:rsidRPr="007B6D67" w:rsidR="00DD4C12">
        <w:t xml:space="preserve">, </w:t>
      </w:r>
      <w:r w:rsidRPr="007B6D67" w:rsidR="00DD4C12">
        <w:rPr>
          <w:i/>
          <w:iCs/>
        </w:rPr>
        <w:t>supra</w:t>
      </w:r>
      <w:r w:rsidRPr="007B6D67" w:rsidR="00DD4C12">
        <w:t>, 55 Cal.4th at p. 455.)</w:t>
      </w:r>
      <w:r w:rsidRPr="007B6D67" w:rsidR="00547308">
        <w:t xml:space="preserve">  And w</w:t>
      </w:r>
      <w:r w:rsidRPr="007B6D67" w:rsidR="00FE30A4">
        <w:t xml:space="preserve">e </w:t>
      </w:r>
      <w:r w:rsidRPr="007B6D67" w:rsidR="00FE5CEE">
        <w:t xml:space="preserve">used the term </w:t>
      </w:r>
      <w:r w:rsidRPr="007B6D67" w:rsidR="00FE30A4">
        <w:t xml:space="preserve">“successive” in </w:t>
      </w:r>
      <w:r w:rsidRPr="007B6D67" w:rsidR="00FE5CEE">
        <w:t xml:space="preserve">the same way in </w:t>
      </w:r>
      <w:r w:rsidRPr="007B6D67" w:rsidR="00F00BA0">
        <w:rPr>
          <w:i/>
          <w:iCs/>
        </w:rPr>
        <w:t>Robbins</w:t>
      </w:r>
      <w:r w:rsidRPr="007B6D67" w:rsidR="004744CF">
        <w:t xml:space="preserve">, </w:t>
      </w:r>
      <w:r w:rsidRPr="007B6D67" w:rsidR="00F51DE2">
        <w:t>whe</w:t>
      </w:r>
      <w:r w:rsidRPr="007B6D67" w:rsidR="004E468D">
        <w:t>re</w:t>
      </w:r>
      <w:r w:rsidRPr="007B6D67" w:rsidR="008633F5">
        <w:t xml:space="preserve"> </w:t>
      </w:r>
      <w:r w:rsidRPr="007B6D67" w:rsidR="008A00C4">
        <w:t xml:space="preserve">we </w:t>
      </w:r>
      <w:r w:rsidRPr="007B6D67" w:rsidR="00B16286">
        <w:t xml:space="preserve">drew a distinction </w:t>
      </w:r>
      <w:r w:rsidRPr="007B6D67" w:rsidR="00B8762B">
        <w:t>between “</w:t>
      </w:r>
      <w:r w:rsidRPr="007B6D67" w:rsidR="003A2151">
        <w:t> ‘</w:t>
      </w:r>
      <w:r w:rsidRPr="007B6D67" w:rsidR="00B8762B">
        <w:t>subsequent</w:t>
      </w:r>
      <w:r w:rsidRPr="007B6D67" w:rsidR="003A2151">
        <w:t>’ </w:t>
      </w:r>
      <w:r w:rsidRPr="007B6D67" w:rsidR="00B8762B">
        <w:t>” petitions and “</w:t>
      </w:r>
      <w:r w:rsidRPr="007B6D67" w:rsidR="003A2151">
        <w:t> ‘</w:t>
      </w:r>
      <w:r w:rsidRPr="007B6D67" w:rsidR="00B8762B">
        <w:t>successive</w:t>
      </w:r>
      <w:r w:rsidRPr="007B6D67" w:rsidR="003A2151">
        <w:t>’ </w:t>
      </w:r>
      <w:r w:rsidRPr="007B6D67" w:rsidR="00B8762B">
        <w:t>” one</w:t>
      </w:r>
      <w:r w:rsidRPr="007B6D67" w:rsidR="00134BFA">
        <w:t xml:space="preserve">s:  </w:t>
      </w:r>
      <w:r w:rsidRPr="007B6D67" w:rsidR="008A00C4">
        <w:t>“</w:t>
      </w:r>
      <w:r w:rsidRPr="007B6D67" w:rsidR="00134BFA">
        <w:t>[C]</w:t>
      </w:r>
      <w:r w:rsidRPr="007B6D67" w:rsidR="00FE30A4">
        <w:t xml:space="preserve">laims presented in a </w:t>
      </w:r>
      <w:r w:rsidRPr="007B6D67" w:rsidR="008A00C4">
        <w:t>‘</w:t>
      </w:r>
      <w:r w:rsidRPr="007B6D67" w:rsidR="00FE30A4">
        <w:t>subsequent</w:t>
      </w:r>
      <w:r w:rsidRPr="007B6D67" w:rsidR="008A00C4">
        <w:t>’</w:t>
      </w:r>
      <w:r w:rsidRPr="007B6D67" w:rsidR="00FE30A4">
        <w:t xml:space="preserve"> petition that</w:t>
      </w:r>
      <w:r w:rsidRPr="007B6D67" w:rsidR="00C17050">
        <w:t xml:space="preserve"> </w:t>
      </w:r>
      <w:r w:rsidRPr="007B6D67" w:rsidR="00FE30A4">
        <w:rPr>
          <w:i/>
          <w:iCs/>
        </w:rPr>
        <w:t>should have been</w:t>
      </w:r>
      <w:r w:rsidRPr="007B6D67" w:rsidR="00C17050">
        <w:rPr>
          <w:i/>
          <w:iCs/>
        </w:rPr>
        <w:t xml:space="preserve"> </w:t>
      </w:r>
      <w:r w:rsidRPr="007B6D67" w:rsidR="00FE30A4">
        <w:t xml:space="preserve">presented in an earlier filed petition will be barred as </w:t>
      </w:r>
      <w:r w:rsidRPr="007B6D67" w:rsidR="008A00C4">
        <w:t>‘</w:t>
      </w:r>
      <w:r w:rsidRPr="007B6D67" w:rsidR="00FE30A4">
        <w:t>successive</w:t>
      </w:r>
      <w:r w:rsidRPr="007B6D67" w:rsidR="008A00C4">
        <w:t>’</w:t>
      </w:r>
      <w:r w:rsidRPr="007B6D67" w:rsidR="00FE30A4">
        <w:t xml:space="preserve"> unless the petitioner </w:t>
      </w:r>
      <w:r w:rsidRPr="007B6D67" w:rsidR="008A00C4">
        <w:t>‘</w:t>
      </w:r>
      <w:r w:rsidRPr="007B6D67" w:rsidR="00FE30A4">
        <w:t>adequately explains</w:t>
      </w:r>
      <w:r w:rsidRPr="007B6D67" w:rsidR="001A6EDC">
        <w:t>’</w:t>
      </w:r>
      <w:r w:rsidRPr="007B6D67" w:rsidR="00FE30A4">
        <w:t xml:space="preserve"> his or her failure to present</w:t>
      </w:r>
      <w:r w:rsidRPr="007B6D67" w:rsidR="0055534D">
        <w:t xml:space="preserve"> </w:t>
      </w:r>
      <w:r w:rsidRPr="007B6D67" w:rsidR="00FE30A4">
        <w:rPr>
          <w:i/>
          <w:iCs/>
        </w:rPr>
        <w:t>all</w:t>
      </w:r>
      <w:r w:rsidRPr="007B6D67" w:rsidR="0055534D">
        <w:rPr>
          <w:i/>
          <w:iCs/>
        </w:rPr>
        <w:t xml:space="preserve"> </w:t>
      </w:r>
      <w:r w:rsidRPr="007B6D67" w:rsidR="00FE30A4">
        <w:t>claims in the earlier filed petition</w:t>
      </w:r>
      <w:r w:rsidRPr="007B6D67" w:rsidR="00B73900">
        <w:t>.</w:t>
      </w:r>
      <w:r w:rsidRPr="007B6D67" w:rsidR="007824BC">
        <w:t>”</w:t>
      </w:r>
      <w:r w:rsidRPr="007B6D67" w:rsidR="00B73900">
        <w:t xml:space="preserve">  </w:t>
      </w:r>
      <w:r w:rsidRPr="007B6D67" w:rsidR="0029750D">
        <w:t>(</w:t>
      </w:r>
      <w:r w:rsidRPr="007B6D67" w:rsidR="00B73900">
        <w:rPr>
          <w:i/>
          <w:iCs/>
        </w:rPr>
        <w:t>Robbins</w:t>
      </w:r>
      <w:r w:rsidRPr="007B6D67" w:rsidR="00B73900">
        <w:t>,</w:t>
      </w:r>
      <w:r w:rsidRPr="007B6D67" w:rsidR="00B73900">
        <w:rPr>
          <w:i/>
          <w:iCs/>
        </w:rPr>
        <w:t xml:space="preserve"> supra</w:t>
      </w:r>
      <w:r w:rsidRPr="007B6D67" w:rsidR="00B73900">
        <w:t xml:space="preserve">, </w:t>
      </w:r>
      <w:r w:rsidRPr="007B6D67" w:rsidR="00F00BA0">
        <w:t xml:space="preserve">18 Cal.4th </w:t>
      </w:r>
      <w:r w:rsidRPr="007B6D67" w:rsidR="00B73900">
        <w:t>at p.</w:t>
      </w:r>
      <w:r w:rsidRPr="007B6D67" w:rsidR="0055534D">
        <w:t> </w:t>
      </w:r>
      <w:r w:rsidRPr="007B6D67" w:rsidR="00F00BA0">
        <w:t>788, fn.</w:t>
      </w:r>
      <w:r w:rsidRPr="007B6D67" w:rsidR="0055534D">
        <w:t> </w:t>
      </w:r>
      <w:r w:rsidRPr="007B6D67" w:rsidR="00F00BA0">
        <w:t>9</w:t>
      </w:r>
      <w:r w:rsidRPr="007B6D67" w:rsidR="00B73900">
        <w:t>.)</w:t>
      </w:r>
      <w:r w:rsidRPr="007B6D67" w:rsidR="00523B86">
        <w:t xml:space="preserve"> </w:t>
      </w:r>
    </w:p>
    <w:p w:rsidR="00D161B0" w:rsidRPr="007B6D67" w:rsidP="007B6D67" w14:paraId="18BBA15E" w14:textId="6DAF4B78">
      <w:pPr>
        <w:pStyle w:val="Text"/>
        <w:spacing w:line="400" w:lineRule="exact"/>
        <w:ind w:firstLine="720"/>
      </w:pPr>
      <w:r w:rsidRPr="007B6D67">
        <w:t xml:space="preserve">True, </w:t>
      </w:r>
      <w:r w:rsidRPr="007B6D67" w:rsidR="00D920EE">
        <w:t>our cases have not always been consistent in their use of terminology.  A</w:t>
      </w:r>
      <w:r w:rsidRPr="007B6D67" w:rsidR="00987FB0">
        <w:t xml:space="preserve">s </w:t>
      </w:r>
      <w:r w:rsidRPr="007B6D67" w:rsidR="004511E3">
        <w:t xml:space="preserve">the Attorney General and amici </w:t>
      </w:r>
      <w:r w:rsidR="00254026">
        <w:t xml:space="preserve">curiae </w:t>
      </w:r>
      <w:r w:rsidRPr="007B6D67" w:rsidR="004511E3">
        <w:t xml:space="preserve">point out, </w:t>
      </w:r>
      <w:r w:rsidRPr="007B6D67">
        <w:t xml:space="preserve">we have also sometimes </w:t>
      </w:r>
      <w:r w:rsidRPr="007B6D67" w:rsidR="00547308">
        <w:t>use</w:t>
      </w:r>
      <w:r w:rsidRPr="007B6D67" w:rsidR="00644A70">
        <w:t>d</w:t>
      </w:r>
      <w:r w:rsidRPr="007B6D67" w:rsidR="00547308">
        <w:t xml:space="preserve"> </w:t>
      </w:r>
      <w:r w:rsidRPr="007B6D67" w:rsidR="004511E3">
        <w:t xml:space="preserve">the </w:t>
      </w:r>
      <w:r w:rsidRPr="007B6D67" w:rsidR="00F02929">
        <w:t xml:space="preserve">term “successive” to refer to </w:t>
      </w:r>
      <w:r w:rsidRPr="007B6D67" w:rsidR="00777EC9">
        <w:t>any</w:t>
      </w:r>
      <w:r w:rsidRPr="007B6D67" w:rsidR="006B1501">
        <w:t xml:space="preserve"> second or subsequent petition</w:t>
      </w:r>
      <w:r w:rsidRPr="007B6D67" w:rsidR="00107DA8">
        <w:t xml:space="preserve">, </w:t>
      </w:r>
      <w:r w:rsidRPr="007B6D67" w:rsidR="002E78BC">
        <w:t xml:space="preserve">while referring </w:t>
      </w:r>
      <w:r w:rsidRPr="007B6D67" w:rsidR="00816524">
        <w:t xml:space="preserve">to those petitions subject to the successiveness bar as </w:t>
      </w:r>
      <w:r w:rsidRPr="007B6D67" w:rsidR="00816524">
        <w:rPr>
          <w:i/>
          <w:iCs/>
        </w:rPr>
        <w:t>both</w:t>
      </w:r>
      <w:r w:rsidRPr="007B6D67" w:rsidR="00816524">
        <w:t xml:space="preserve"> </w:t>
      </w:r>
      <w:r w:rsidRPr="007B6D67" w:rsidR="006F0EE2">
        <w:t xml:space="preserve">successive </w:t>
      </w:r>
      <w:r w:rsidRPr="007B6D67" w:rsidR="006F0EE2">
        <w:rPr>
          <w:i/>
          <w:iCs/>
        </w:rPr>
        <w:t>and</w:t>
      </w:r>
      <w:r w:rsidRPr="007B6D67" w:rsidR="006F0EE2">
        <w:t xml:space="preserve"> unjustified.</w:t>
      </w:r>
      <w:r w:rsidRPr="007B6D67">
        <w:t xml:space="preserve">  (E.g., </w:t>
      </w:r>
      <w:r w:rsidRPr="007B6D67">
        <w:rPr>
          <w:i/>
          <w:iCs/>
        </w:rPr>
        <w:t>Clark</w:t>
      </w:r>
      <w:r w:rsidRPr="007B6D67">
        <w:t xml:space="preserve">, </w:t>
      </w:r>
      <w:r w:rsidRPr="007B6D67">
        <w:rPr>
          <w:i/>
          <w:iCs/>
        </w:rPr>
        <w:t>supra</w:t>
      </w:r>
      <w:r w:rsidRPr="007B6D67">
        <w:t xml:space="preserve">, </w:t>
      </w:r>
      <w:r w:rsidR="00130442">
        <w:t>5</w:t>
      </w:r>
      <w:r w:rsidRPr="007B6D67">
        <w:t xml:space="preserve"> Cal.4th at p.</w:t>
      </w:r>
      <w:r w:rsidRPr="007B6D67" w:rsidR="00BE2B18">
        <w:t> </w:t>
      </w:r>
      <w:r w:rsidRPr="007B6D67">
        <w:t xml:space="preserve">774 </w:t>
      </w:r>
      <w:r w:rsidRPr="007B6D67" w:rsidR="00025EE5">
        <w:t>[“[b]</w:t>
      </w:r>
      <w:r w:rsidRPr="007B6D67" w:rsidR="00025EE5">
        <w:rPr>
          <w:szCs w:val="26"/>
        </w:rPr>
        <w:t>efore considering the merits of a second or successive petition, a California court will first ask whether the failure to present the claims underlying the new petition in a prior petition has been adequately explained, and whether that explanation justifies the piecemeal presentation of the petitioner’s claims”]</w:t>
      </w:r>
      <w:r w:rsidRPr="007B6D67" w:rsidR="005C46C0">
        <w:rPr>
          <w:szCs w:val="26"/>
        </w:rPr>
        <w:t xml:space="preserve">; </w:t>
      </w:r>
      <w:r w:rsidRPr="007B6D67" w:rsidR="00025EE5">
        <w:rPr>
          <w:i/>
          <w:iCs/>
          <w:szCs w:val="26"/>
        </w:rPr>
        <w:t>Reno</w:t>
      </w:r>
      <w:r w:rsidRPr="007B6D67" w:rsidR="00025EE5">
        <w:rPr>
          <w:szCs w:val="26"/>
        </w:rPr>
        <w:t xml:space="preserve">, </w:t>
      </w:r>
      <w:r w:rsidRPr="007B6D67" w:rsidR="00025EE5">
        <w:rPr>
          <w:i/>
          <w:iCs/>
          <w:szCs w:val="26"/>
        </w:rPr>
        <w:t>supra</w:t>
      </w:r>
      <w:r w:rsidRPr="007B6D67" w:rsidR="00025EE5">
        <w:rPr>
          <w:szCs w:val="26"/>
        </w:rPr>
        <w:t xml:space="preserve">, </w:t>
      </w:r>
      <w:r w:rsidRPr="007B6D67" w:rsidR="00025EE5">
        <w:t>55 Cal.4th at p. </w:t>
      </w:r>
      <w:r w:rsidRPr="007B6D67" w:rsidR="00025EE5">
        <w:rPr>
          <w:szCs w:val="26"/>
        </w:rPr>
        <w:t>517 [referring to the court’s “proposed limit of 50 pages for successive petitions”].)</w:t>
      </w:r>
    </w:p>
    <w:p w:rsidR="0041273C" w:rsidRPr="007B6D67" w:rsidP="007B6D67" w14:paraId="2BF75812" w14:textId="6531D6F5">
      <w:pPr>
        <w:pStyle w:val="Text"/>
        <w:spacing w:line="400" w:lineRule="exact"/>
        <w:ind w:firstLine="720"/>
      </w:pPr>
      <w:r w:rsidRPr="007B6D67">
        <w:t xml:space="preserve">Despite these </w:t>
      </w:r>
      <w:r w:rsidRPr="007B6D67" w:rsidR="0035439A">
        <w:t xml:space="preserve">variations in our terminology, </w:t>
      </w:r>
      <w:r w:rsidR="00C5626A">
        <w:t xml:space="preserve">however, </w:t>
      </w:r>
      <w:r w:rsidRPr="007B6D67" w:rsidR="0035439A">
        <w:t xml:space="preserve">the substantive principle has remained constant: </w:t>
      </w:r>
      <w:r w:rsidRPr="007B6D67" w:rsidR="002D1947">
        <w:t xml:space="preserve"> </w:t>
      </w:r>
      <w:r w:rsidRPr="007B6D67" w:rsidR="002D6890">
        <w:t xml:space="preserve">When </w:t>
      </w:r>
      <w:r w:rsidRPr="007B6D67" w:rsidR="000500F9">
        <w:t xml:space="preserve">we have barred </w:t>
      </w:r>
      <w:r w:rsidRPr="007B6D67" w:rsidR="008B0A4D">
        <w:t xml:space="preserve">a claim as </w:t>
      </w:r>
      <w:r w:rsidRPr="007B6D67" w:rsidR="00CF520E">
        <w:t>“</w:t>
      </w:r>
      <w:r w:rsidRPr="007B6D67" w:rsidR="002D6890">
        <w:t>successive</w:t>
      </w:r>
      <w:r w:rsidRPr="007B6D67" w:rsidR="00B81D5F">
        <w:t>,</w:t>
      </w:r>
      <w:r w:rsidRPr="007B6D67" w:rsidR="00CF520E">
        <w:t>”</w:t>
      </w:r>
      <w:r w:rsidRPr="007B6D67" w:rsidR="002D6890">
        <w:t xml:space="preserve"> </w:t>
      </w:r>
      <w:r w:rsidRPr="007B6D67" w:rsidR="00920CD8">
        <w:t xml:space="preserve">it is because we have concluded that the </w:t>
      </w:r>
      <w:r w:rsidRPr="007B6D67" w:rsidR="00404DDF">
        <w:t xml:space="preserve">claim </w:t>
      </w:r>
      <w:r w:rsidRPr="007B6D67" w:rsidR="00DD30ED">
        <w:t xml:space="preserve">was </w:t>
      </w:r>
      <w:r w:rsidRPr="007B6D67" w:rsidR="00404DDF">
        <w:t xml:space="preserve">omitted from an earlier petition </w:t>
      </w:r>
      <w:r w:rsidRPr="007B6D67" w:rsidR="00A618B2">
        <w:t>without justification</w:t>
      </w:r>
      <w:r w:rsidRPr="007B6D67" w:rsidR="00E2421F">
        <w:t xml:space="preserve">, and </w:t>
      </w:r>
      <w:r w:rsidRPr="007B6D67" w:rsidR="00E95B59">
        <w:t xml:space="preserve">its presentation </w:t>
      </w:r>
      <w:r w:rsidRPr="007B6D67" w:rsidR="00E2421F">
        <w:t>therefore constitutes abuse of the writ process.</w:t>
      </w:r>
      <w:r w:rsidRPr="007B6D67">
        <w:t xml:space="preserve">  </w:t>
      </w:r>
      <w:r w:rsidRPr="007B6D67">
        <w:t xml:space="preserve">We have </w:t>
      </w:r>
      <w:r w:rsidRPr="007B6D67">
        <w:t>not, by contrast, considered the filing of a claim that could not have reasonably been raised in an earlier petition to be an abuse of the writ</w:t>
      </w:r>
      <w:r w:rsidRPr="007B6D67" w:rsidR="001B3415">
        <w:t xml:space="preserve"> </w:t>
      </w:r>
      <w:r w:rsidRPr="007B6D67" w:rsidR="0070729B">
        <w:t xml:space="preserve">subject to the </w:t>
      </w:r>
      <w:r w:rsidRPr="007B6D67" w:rsidR="008F4D29">
        <w:t xml:space="preserve">bar on </w:t>
      </w:r>
      <w:r w:rsidRPr="007B6D67" w:rsidR="00F52295">
        <w:t xml:space="preserve">successive </w:t>
      </w:r>
      <w:r w:rsidRPr="007B6D67" w:rsidR="008F4D29">
        <w:t>petitions</w:t>
      </w:r>
      <w:r w:rsidRPr="007B6D67" w:rsidR="005B0199">
        <w:t>.</w:t>
      </w:r>
    </w:p>
    <w:p w:rsidR="009D556D" w:rsidRPr="007B6D67" w:rsidP="007B6D67" w14:paraId="2DEDD06C" w14:textId="5218190D">
      <w:pPr>
        <w:pStyle w:val="Text"/>
        <w:spacing w:line="400" w:lineRule="exact"/>
        <w:ind w:firstLine="720"/>
      </w:pPr>
      <w:r w:rsidRPr="007B6D67">
        <w:t>A</w:t>
      </w:r>
      <w:r w:rsidRPr="007B6D67" w:rsidR="00F7258F">
        <w:t xml:space="preserve">mici </w:t>
      </w:r>
      <w:r w:rsidR="00254026">
        <w:t xml:space="preserve">curiae </w:t>
      </w:r>
      <w:r w:rsidRPr="007B6D67">
        <w:t xml:space="preserve">acknowledge the </w:t>
      </w:r>
      <w:r w:rsidRPr="007B6D67" w:rsidR="001A59D0">
        <w:t xml:space="preserve">scope of the </w:t>
      </w:r>
      <w:r w:rsidRPr="007B6D67">
        <w:t xml:space="preserve">successiveness bar in California habeas jurisprudence, but contend that statutory context </w:t>
      </w:r>
      <w:r w:rsidRPr="007B6D67" w:rsidR="003178C6">
        <w:t xml:space="preserve">makes clear Proposition 66 voters </w:t>
      </w:r>
      <w:r w:rsidRPr="007B6D67" w:rsidR="00813C4C">
        <w:t xml:space="preserve">intended a </w:t>
      </w:r>
      <w:r w:rsidR="00D61BED">
        <w:t xml:space="preserve">distinctly </w:t>
      </w:r>
      <w:r w:rsidRPr="007B6D67" w:rsidR="00813C4C">
        <w:t xml:space="preserve">different approach.  </w:t>
      </w:r>
      <w:r w:rsidRPr="007B6D67" w:rsidR="00E41C9B">
        <w:t xml:space="preserve">Amici </w:t>
      </w:r>
      <w:r w:rsidRPr="007B6D67">
        <w:t xml:space="preserve">emphasize </w:t>
      </w:r>
      <w:r w:rsidRPr="007B6D67" w:rsidR="007B30EB">
        <w:t xml:space="preserve">that </w:t>
      </w:r>
      <w:r w:rsidRPr="007B6D67" w:rsidR="00027DCD">
        <w:t>Penal Code sections 1509</w:t>
      </w:r>
      <w:r w:rsidRPr="007B6D67" w:rsidR="00A73E03">
        <w:t xml:space="preserve"> and 1509.1 refer </w:t>
      </w:r>
      <w:r w:rsidRPr="007B6D67" w:rsidR="00BC45B4">
        <w:t xml:space="preserve">only </w:t>
      </w:r>
      <w:r w:rsidRPr="007B6D67" w:rsidR="00A73E03">
        <w:t xml:space="preserve">to “initial” and “successive” </w:t>
      </w:r>
      <w:r w:rsidRPr="007B6D67" w:rsidR="009632CE">
        <w:t>petitions</w:t>
      </w:r>
      <w:r w:rsidRPr="007B6D67" w:rsidR="00D26E1C">
        <w:t xml:space="preserve">.  </w:t>
      </w:r>
      <w:r w:rsidRPr="007B6D67" w:rsidR="006E5BFD">
        <w:t>I</w:t>
      </w:r>
      <w:r w:rsidRPr="007B6D67" w:rsidR="00D26E1C">
        <w:t>nterpreting “successive” narrowly</w:t>
      </w:r>
      <w:r w:rsidRPr="007B6D67" w:rsidR="00EE673C">
        <w:t xml:space="preserve"> </w:t>
      </w:r>
      <w:r w:rsidRPr="007B6D67" w:rsidR="005B36E6">
        <w:t xml:space="preserve">to preserve the traditional </w:t>
      </w:r>
      <w:r w:rsidRPr="007B6D67" w:rsidR="00C56D81">
        <w:t>carveout for nonabusive claims</w:t>
      </w:r>
      <w:r w:rsidRPr="007B6D67" w:rsidR="00241AAF">
        <w:t>, they say,</w:t>
      </w:r>
      <w:r w:rsidRPr="007B6D67" w:rsidR="00D74B44">
        <w:t xml:space="preserve"> </w:t>
      </w:r>
      <w:r w:rsidRPr="007B6D67" w:rsidR="00665F03">
        <w:t xml:space="preserve">would require </w:t>
      </w:r>
      <w:r w:rsidRPr="007B6D67" w:rsidR="00241AAF">
        <w:t xml:space="preserve">us to </w:t>
      </w:r>
      <w:r w:rsidRPr="007B6D67" w:rsidR="000A1638">
        <w:t>recogniz</w:t>
      </w:r>
      <w:r w:rsidRPr="007B6D67" w:rsidR="00241AAF">
        <w:t>e</w:t>
      </w:r>
      <w:r w:rsidRPr="007B6D67" w:rsidR="000A1638">
        <w:t xml:space="preserve"> </w:t>
      </w:r>
      <w:r w:rsidRPr="007B6D67" w:rsidR="00665F03">
        <w:t>a</w:t>
      </w:r>
      <w:r w:rsidRPr="007B6D67" w:rsidR="009E56AB">
        <w:t xml:space="preserve"> third category</w:t>
      </w:r>
      <w:r w:rsidRPr="007B6D67" w:rsidR="000A1638">
        <w:t xml:space="preserve"> </w:t>
      </w:r>
      <w:r w:rsidRPr="007B6D67" w:rsidR="007726E1">
        <w:t xml:space="preserve">consisting of </w:t>
      </w:r>
      <w:r w:rsidRPr="007B6D67" w:rsidR="00C81F84">
        <w:t xml:space="preserve">second or subsequent habeas </w:t>
      </w:r>
      <w:r w:rsidRPr="007B6D67" w:rsidR="007726E1">
        <w:t xml:space="preserve">petitions that are </w:t>
      </w:r>
      <w:r w:rsidRPr="007B6D67" w:rsidR="00C81F84">
        <w:t>treated as nonsuccessive</w:t>
      </w:r>
      <w:r w:rsidRPr="007B6D67" w:rsidR="002622E1">
        <w:t xml:space="preserve">.  </w:t>
      </w:r>
      <w:r w:rsidR="008A2594">
        <w:t>A</w:t>
      </w:r>
      <w:r w:rsidRPr="007B6D67" w:rsidR="002622E1">
        <w:t xml:space="preserve">mici </w:t>
      </w:r>
      <w:r w:rsidRPr="007B6D67" w:rsidR="009C195D">
        <w:t xml:space="preserve">observe that </w:t>
      </w:r>
      <w:r w:rsidRPr="007B6D67" w:rsidR="00D931FC">
        <w:t xml:space="preserve">while </w:t>
      </w:r>
      <w:r w:rsidRPr="007B6D67" w:rsidR="009C195D">
        <w:t>Proposition 66</w:t>
      </w:r>
      <w:r w:rsidRPr="007B6D67" w:rsidR="00D931FC">
        <w:t xml:space="preserve"> contains </w:t>
      </w:r>
      <w:r w:rsidRPr="007B6D67" w:rsidR="008B6888">
        <w:t xml:space="preserve">certain </w:t>
      </w:r>
      <w:r w:rsidRPr="007B6D67" w:rsidR="00D931FC">
        <w:t xml:space="preserve">provisions </w:t>
      </w:r>
      <w:r w:rsidRPr="007B6D67" w:rsidR="00FD1C5A">
        <w:t xml:space="preserve">regarding </w:t>
      </w:r>
      <w:r w:rsidRPr="007B6D67" w:rsidR="008B6888">
        <w:t xml:space="preserve">the </w:t>
      </w:r>
      <w:r w:rsidRPr="007B6D67" w:rsidR="009813D8">
        <w:t xml:space="preserve">timeliness </w:t>
      </w:r>
      <w:r w:rsidRPr="007B6D67" w:rsidR="008B6888">
        <w:t xml:space="preserve">of </w:t>
      </w:r>
      <w:r w:rsidRPr="007B6D67" w:rsidR="001A0AE9">
        <w:t>“</w:t>
      </w:r>
      <w:r w:rsidRPr="007B6D67" w:rsidR="008B6888">
        <w:t>initial</w:t>
      </w:r>
      <w:r w:rsidRPr="007B6D67" w:rsidR="001A0AE9">
        <w:t>”</w:t>
      </w:r>
      <w:r w:rsidRPr="007B6D67" w:rsidR="008B6888">
        <w:t xml:space="preserve"> petitions and </w:t>
      </w:r>
      <w:r w:rsidRPr="007B6D67" w:rsidR="00AF6A76">
        <w:t xml:space="preserve">procedures for </w:t>
      </w:r>
      <w:r w:rsidRPr="007B6D67" w:rsidR="009C3A00">
        <w:t>appealing</w:t>
      </w:r>
      <w:r w:rsidRPr="007B6D67" w:rsidR="00AD22B7">
        <w:t xml:space="preserve"> both </w:t>
      </w:r>
      <w:r w:rsidRPr="007B6D67" w:rsidR="001A0AE9">
        <w:t>“</w:t>
      </w:r>
      <w:r w:rsidRPr="007B6D67" w:rsidR="00AD22B7">
        <w:t>initial</w:t>
      </w:r>
      <w:r w:rsidRPr="007B6D67" w:rsidR="001A0AE9">
        <w:t>”</w:t>
      </w:r>
      <w:r w:rsidRPr="007B6D67" w:rsidR="00AD22B7">
        <w:t xml:space="preserve"> and </w:t>
      </w:r>
      <w:r w:rsidRPr="007B6D67" w:rsidR="001A0AE9">
        <w:t>“</w:t>
      </w:r>
      <w:r w:rsidRPr="007B6D67" w:rsidR="00B27D1F">
        <w:t>successive</w:t>
      </w:r>
      <w:r w:rsidRPr="007B6D67" w:rsidR="001A0AE9">
        <w:t>”</w:t>
      </w:r>
      <w:r w:rsidRPr="007B6D67" w:rsidR="00B27D1F">
        <w:t xml:space="preserve"> </w:t>
      </w:r>
      <w:r w:rsidRPr="007B6D67" w:rsidR="001F7C31">
        <w:t>petitions</w:t>
      </w:r>
      <w:r w:rsidRPr="007B6D67" w:rsidR="00AF6A76">
        <w:t xml:space="preserve">, it </w:t>
      </w:r>
      <w:r w:rsidRPr="007B6D67" w:rsidR="00275310">
        <w:t xml:space="preserve">contains no similar provisions </w:t>
      </w:r>
      <w:r w:rsidRPr="007B6D67" w:rsidR="000A1E7D">
        <w:t xml:space="preserve">pertaining to </w:t>
      </w:r>
      <w:r w:rsidRPr="007B6D67" w:rsidR="00275310">
        <w:t xml:space="preserve">cases </w:t>
      </w:r>
      <w:r w:rsidRPr="007B6D67" w:rsidR="003F3F67">
        <w:t>in this third category.  From this, amici deduce that no such third category was intended.</w:t>
      </w:r>
    </w:p>
    <w:p w:rsidR="00D61BED" w:rsidP="007B6D67" w14:paraId="56406F2E" w14:textId="600CFB0A">
      <w:pPr>
        <w:pStyle w:val="Text"/>
        <w:spacing w:line="400" w:lineRule="exact"/>
        <w:ind w:firstLine="720"/>
      </w:pPr>
      <w:r w:rsidRPr="007B6D67">
        <w:t>It is possible</w:t>
      </w:r>
      <w:r w:rsidRPr="007B6D67" w:rsidR="006E5BFD">
        <w:t xml:space="preserve">, as amici </w:t>
      </w:r>
      <w:r w:rsidR="00254026">
        <w:t xml:space="preserve">curiae </w:t>
      </w:r>
      <w:r w:rsidRPr="007B6D67" w:rsidR="006E5BFD">
        <w:t xml:space="preserve">say, </w:t>
      </w:r>
      <w:r w:rsidRPr="007B6D67">
        <w:t>that Proposition 66 refers only to “</w:t>
      </w:r>
      <w:r w:rsidRPr="007B6D67" w:rsidR="004823A6">
        <w:t xml:space="preserve">initial” and “successive” habeas corpus </w:t>
      </w:r>
      <w:r w:rsidRPr="007B6D67" w:rsidR="00150328">
        <w:t xml:space="preserve">petitions </w:t>
      </w:r>
      <w:r w:rsidRPr="007B6D67">
        <w:t>becaus</w:t>
      </w:r>
      <w:r w:rsidRPr="007B6D67" w:rsidR="00622F1F">
        <w:t xml:space="preserve">e </w:t>
      </w:r>
      <w:r w:rsidRPr="007B6D67" w:rsidR="006E5BFD">
        <w:t xml:space="preserve">voters </w:t>
      </w:r>
      <w:r w:rsidRPr="007B6D67" w:rsidR="003455B2">
        <w:t xml:space="preserve">believed that all second or subsequent petitions </w:t>
      </w:r>
      <w:r w:rsidRPr="007B6D67" w:rsidR="00E85A92">
        <w:t>should be treated as “successive”</w:t>
      </w:r>
      <w:r w:rsidR="001E6815">
        <w:t> </w:t>
      </w:r>
      <w:r w:rsidRPr="007B6D67" w:rsidR="00E01618">
        <w:t xml:space="preserve">— </w:t>
      </w:r>
      <w:r w:rsidRPr="007B6D67" w:rsidR="00E85A92">
        <w:t xml:space="preserve">and therefore barred unless the </w:t>
      </w:r>
      <w:r w:rsidRPr="007B6D67" w:rsidR="00622F1F">
        <w:t xml:space="preserve">petitioner </w:t>
      </w:r>
      <w:r w:rsidRPr="007B6D67" w:rsidR="00E85A92">
        <w:t>is able to show actual innocence or ineligibility for death</w:t>
      </w:r>
      <w:r w:rsidRPr="007B6D67" w:rsidR="00622F1F">
        <w:t>, regardless of whether the petitioner could have raised the claim earlier</w:t>
      </w:r>
      <w:r w:rsidRPr="007B6D67" w:rsidR="00E85A92">
        <w:t xml:space="preserve">.  But it </w:t>
      </w:r>
      <w:r w:rsidR="00254026">
        <w:t xml:space="preserve">is </w:t>
      </w:r>
      <w:r w:rsidRPr="007B6D67" w:rsidR="00BC60F7">
        <w:t xml:space="preserve">equally possible </w:t>
      </w:r>
      <w:r w:rsidRPr="007B6D67" w:rsidR="00E85A92">
        <w:t>that</w:t>
      </w:r>
      <w:r w:rsidRPr="007B6D67" w:rsidR="00EA3E6A">
        <w:t xml:space="preserve"> the </w:t>
      </w:r>
      <w:r w:rsidRPr="007B6D67" w:rsidR="00B61EC2">
        <w:t>voters</w:t>
      </w:r>
      <w:r w:rsidRPr="007B6D67" w:rsidR="00B078E1">
        <w:t xml:space="preserve"> </w:t>
      </w:r>
      <w:r w:rsidRPr="007B6D67" w:rsidR="00A94773">
        <w:t xml:space="preserve">simply </w:t>
      </w:r>
      <w:r w:rsidRPr="007B6D67" w:rsidR="007B76E8">
        <w:t>thought it unnecessary</w:t>
      </w:r>
      <w:r w:rsidRPr="007B6D67" w:rsidR="00EA3E6A">
        <w:t xml:space="preserve"> </w:t>
      </w:r>
      <w:r w:rsidRPr="007B6D67" w:rsidR="00007070">
        <w:t xml:space="preserve">to </w:t>
      </w:r>
      <w:r w:rsidRPr="007B6D67" w:rsidR="00A94773">
        <w:t xml:space="preserve">set out special provisions to govern the </w:t>
      </w:r>
      <w:r w:rsidRPr="007B6D67" w:rsidR="00813E9C">
        <w:t xml:space="preserve">relatively </w:t>
      </w:r>
      <w:r w:rsidRPr="007B6D67" w:rsidR="0039294D">
        <w:t xml:space="preserve">rare </w:t>
      </w:r>
      <w:r w:rsidRPr="007B6D67" w:rsidR="00A94773">
        <w:t xml:space="preserve">situation in which </w:t>
      </w:r>
      <w:r w:rsidRPr="007B6D67" w:rsidR="00813E9C">
        <w:t xml:space="preserve">a </w:t>
      </w:r>
      <w:r w:rsidRPr="007B6D67" w:rsidR="0039294D">
        <w:t>second or subsequent habeas corpus petition rais</w:t>
      </w:r>
      <w:r w:rsidRPr="007B6D67" w:rsidR="00A94773">
        <w:t>es</w:t>
      </w:r>
      <w:r w:rsidRPr="007B6D67" w:rsidR="0039294D">
        <w:t xml:space="preserve"> </w:t>
      </w:r>
      <w:r w:rsidRPr="007B6D67" w:rsidR="005D0AF4">
        <w:t xml:space="preserve">claims that could not reasonably have been presented in </w:t>
      </w:r>
      <w:r w:rsidRPr="007B6D67" w:rsidR="00813E9C">
        <w:t>an earlier petition.</w:t>
      </w:r>
    </w:p>
    <w:p w:rsidR="000C715A" w:rsidRPr="007B6D67" w:rsidP="007B6D67" w14:paraId="73431544" w14:textId="0185F93E">
      <w:pPr>
        <w:pStyle w:val="Text"/>
        <w:spacing w:line="400" w:lineRule="exact"/>
        <w:ind w:firstLine="720"/>
      </w:pPr>
      <w:r w:rsidRPr="007B6D67">
        <w:t>Amici</w:t>
      </w:r>
      <w:r w:rsidR="00254026">
        <w:t xml:space="preserve"> curiae’</w:t>
      </w:r>
      <w:r w:rsidRPr="007B6D67">
        <w:t>s argument would have more force if we were convinced that voters intended Proposition 66 to supply comprehensive instructions for the handling of capital habeas petitions, but we are not so convinced</w:t>
      </w:r>
      <w:r w:rsidRPr="007B6D67" w:rsidR="00A85534">
        <w:t>.</w:t>
      </w:r>
      <w:r w:rsidR="00D61BED">
        <w:t xml:space="preserve">  </w:t>
      </w:r>
      <w:r w:rsidRPr="007B6D67" w:rsidR="00A94773">
        <w:t>T</w:t>
      </w:r>
      <w:r w:rsidRPr="007B6D67" w:rsidR="00E96240">
        <w:t xml:space="preserve">he question of how timeliness of a </w:t>
      </w:r>
      <w:r w:rsidRPr="007B6D67" w:rsidR="00D55D08">
        <w:t xml:space="preserve">subsequent </w:t>
      </w:r>
      <w:r w:rsidRPr="007B6D67" w:rsidR="0000603D">
        <w:t xml:space="preserve">but </w:t>
      </w:r>
      <w:r w:rsidRPr="007B6D67" w:rsidR="00FB324F">
        <w:t xml:space="preserve">nonsuccessive </w:t>
      </w:r>
      <w:r w:rsidRPr="007B6D67" w:rsidR="00D55D08">
        <w:t xml:space="preserve">petition may be determined </w:t>
      </w:r>
      <w:r w:rsidRPr="007B6D67" w:rsidR="0004650E">
        <w:t>is beyond the scope of this case</w:t>
      </w:r>
      <w:r w:rsidRPr="007B6D67" w:rsidR="00613A6D">
        <w:t xml:space="preserve">, but </w:t>
      </w:r>
      <w:r w:rsidRPr="007B6D67" w:rsidR="005F10B4">
        <w:t xml:space="preserve">suffice it to say that </w:t>
      </w:r>
      <w:r w:rsidRPr="007B6D67" w:rsidR="00241E8E">
        <w:t xml:space="preserve">Proposition 66 did not provide a new timeliness rule </w:t>
      </w:r>
      <w:r w:rsidRPr="007B6D67" w:rsidR="00BE71B4">
        <w:t xml:space="preserve">for </w:t>
      </w:r>
      <w:r w:rsidRPr="007B6D67" w:rsidR="00BE71B4">
        <w:rPr>
          <w:i/>
          <w:iCs/>
        </w:rPr>
        <w:t>any</w:t>
      </w:r>
      <w:r w:rsidRPr="007B6D67" w:rsidR="00BE71B4">
        <w:t xml:space="preserve"> </w:t>
      </w:r>
      <w:r w:rsidRPr="007B6D67" w:rsidR="00830181">
        <w:t xml:space="preserve">kind of </w:t>
      </w:r>
      <w:r w:rsidRPr="007B6D67" w:rsidR="00BE71B4">
        <w:t>petition</w:t>
      </w:r>
      <w:r w:rsidRPr="007B6D67" w:rsidR="00B7057C">
        <w:t xml:space="preserve"> other than initial petitions</w:t>
      </w:r>
      <w:r w:rsidRPr="007B6D67" w:rsidR="00135BB3">
        <w:t xml:space="preserve"> </w:t>
      </w:r>
      <w:r w:rsidRPr="007B6D67" w:rsidR="008B6888">
        <w:t>(</w:t>
      </w:r>
      <w:r w:rsidRPr="007B6D67" w:rsidR="00BE71B4">
        <w:t xml:space="preserve">and nothing in the </w:t>
      </w:r>
      <w:r w:rsidRPr="007B6D67" w:rsidR="0074382E">
        <w:t>measure</w:t>
      </w:r>
      <w:r w:rsidRPr="007B6D67" w:rsidR="00135BB3">
        <w:t xml:space="preserve"> </w:t>
      </w:r>
      <w:r w:rsidRPr="007B6D67" w:rsidR="0074382E">
        <w:t xml:space="preserve">appears to preclude continued application of the </w:t>
      </w:r>
      <w:r w:rsidRPr="007B6D67" w:rsidR="00382E9F">
        <w:t xml:space="preserve">traditional </w:t>
      </w:r>
      <w:r w:rsidRPr="007B6D67" w:rsidR="0074382E">
        <w:t xml:space="preserve">timeliness </w:t>
      </w:r>
      <w:r w:rsidRPr="007B6D67" w:rsidR="00D8595B">
        <w:t xml:space="preserve">standards </w:t>
      </w:r>
      <w:r w:rsidRPr="007B6D67" w:rsidR="00382E9F">
        <w:t xml:space="preserve">that have been </w:t>
      </w:r>
      <w:r w:rsidRPr="007B6D67" w:rsidR="00FF2AD8">
        <w:t xml:space="preserve">developed </w:t>
      </w:r>
      <w:r w:rsidRPr="007B6D67" w:rsidR="00382E9F">
        <w:t>and applied in this court’s habeas cases</w:t>
      </w:r>
      <w:r w:rsidRPr="007B6D67" w:rsidR="00B91B9D">
        <w:t xml:space="preserve"> </w:t>
      </w:r>
      <w:r w:rsidRPr="007B6D67" w:rsidR="00FF2AD8">
        <w:t>(</w:t>
      </w:r>
      <w:r w:rsidRPr="007B6D67" w:rsidR="008B6888">
        <w:t>s</w:t>
      </w:r>
      <w:r w:rsidRPr="007B6D67" w:rsidR="00FF2AD8">
        <w:t xml:space="preserve">ee </w:t>
      </w:r>
      <w:r w:rsidRPr="007B6D67" w:rsidR="00FF2AD8">
        <w:rPr>
          <w:i/>
          <w:iCs/>
        </w:rPr>
        <w:t>Robbins</w:t>
      </w:r>
      <w:r w:rsidRPr="007B6D67" w:rsidR="00FF2AD8">
        <w:t xml:space="preserve">, </w:t>
      </w:r>
      <w:r w:rsidRPr="007B6D67" w:rsidR="00FF2AD8">
        <w:rPr>
          <w:i/>
          <w:iCs/>
        </w:rPr>
        <w:t>supra</w:t>
      </w:r>
      <w:r w:rsidRPr="007B6D67" w:rsidR="00FF2AD8">
        <w:t xml:space="preserve">, </w:t>
      </w:r>
      <w:r w:rsidRPr="007B6D67" w:rsidR="00421783">
        <w:t>18 Cal.4th at p.</w:t>
      </w:r>
      <w:r w:rsidRPr="007B6D67" w:rsidR="000439DC">
        <w:t> </w:t>
      </w:r>
      <w:r w:rsidRPr="007B6D67" w:rsidR="00421783">
        <w:t>78</w:t>
      </w:r>
      <w:r w:rsidRPr="007B6D67" w:rsidR="00596CBA">
        <w:t>0</w:t>
      </w:r>
      <w:r w:rsidRPr="007B6D67" w:rsidR="00FF2AD8">
        <w:t>)</w:t>
      </w:r>
      <w:r w:rsidRPr="007B6D67" w:rsidR="003D75AE">
        <w:t>)</w:t>
      </w:r>
      <w:r w:rsidRPr="007B6D67" w:rsidR="008B6888">
        <w:t>.</w:t>
      </w:r>
      <w:r w:rsidRPr="007B6D67" w:rsidR="00436F74">
        <w:t xml:space="preserve"> </w:t>
      </w:r>
      <w:r w:rsidRPr="007B6D67" w:rsidR="001D5D7A">
        <w:t xml:space="preserve"> </w:t>
      </w:r>
      <w:r w:rsidRPr="007B6D67" w:rsidR="009C3A00">
        <w:t xml:space="preserve">And although Proposition 66 may not speak </w:t>
      </w:r>
      <w:r w:rsidRPr="007B6D67" w:rsidR="00690E04">
        <w:t>specifically to procedures for appealing rulings on subsequent but nonsuccessive petitions,</w:t>
      </w:r>
      <w:r w:rsidRPr="007B6D67" w:rsidR="00A94773">
        <w:t xml:space="preserve"> its appellate provisions </w:t>
      </w:r>
      <w:r w:rsidRPr="007B6D67" w:rsidR="00B57965">
        <w:t>appear</w:t>
      </w:r>
      <w:r w:rsidRPr="007B6D67" w:rsidR="00EB5468">
        <w:t xml:space="preserve"> capable of being applied to such petitions, as explained in greater detail below.  (</w:t>
      </w:r>
      <w:r w:rsidRPr="007B6D67" w:rsidR="00200FA2">
        <w:t>See p</w:t>
      </w:r>
      <w:r w:rsidRPr="007B6D67" w:rsidR="00CA25CC">
        <w:t>t.</w:t>
      </w:r>
      <w:r w:rsidRPr="007B6D67" w:rsidR="00200FA2">
        <w:t xml:space="preserve"> IV</w:t>
      </w:r>
      <w:r w:rsidR="008A2594">
        <w:t>.</w:t>
      </w:r>
      <w:r w:rsidRPr="007B6D67" w:rsidR="00200FA2">
        <w:t xml:space="preserve">, </w:t>
      </w:r>
      <w:r w:rsidRPr="007B6D67" w:rsidR="00200FA2">
        <w:rPr>
          <w:i/>
          <w:iCs/>
        </w:rPr>
        <w:t>post.</w:t>
      </w:r>
      <w:r w:rsidRPr="007B6D67" w:rsidR="00200FA2">
        <w:t xml:space="preserve">)  </w:t>
      </w:r>
      <w:r w:rsidR="00375BB1">
        <w:t>Simply put</w:t>
      </w:r>
      <w:r w:rsidRPr="007B6D67" w:rsidR="00382E9F">
        <w:t>, t</w:t>
      </w:r>
      <w:r w:rsidRPr="007B6D67" w:rsidR="00A94773">
        <w:t xml:space="preserve">he fact that Proposition 66 </w:t>
      </w:r>
      <w:r w:rsidRPr="007B6D67" w:rsidR="0097760C">
        <w:t xml:space="preserve">does </w:t>
      </w:r>
      <w:r w:rsidRPr="007B6D67" w:rsidR="00A94773">
        <w:t xml:space="preserve">not </w:t>
      </w:r>
      <w:r w:rsidRPr="007B6D67" w:rsidR="00606E01">
        <w:t xml:space="preserve">contain explicit instructions for the handling of </w:t>
      </w:r>
      <w:r w:rsidRPr="007B6D67" w:rsidR="00A94773">
        <w:t xml:space="preserve">subsequent nonsuccessive petitions </w:t>
      </w:r>
      <w:r w:rsidRPr="007B6D67" w:rsidR="007F2D11">
        <w:t xml:space="preserve">does not mean </w:t>
      </w:r>
      <w:r w:rsidRPr="007B6D67" w:rsidR="00382E9F">
        <w:t xml:space="preserve">that </w:t>
      </w:r>
      <w:r w:rsidRPr="007B6D67" w:rsidR="00A94773">
        <w:t xml:space="preserve">no such category </w:t>
      </w:r>
      <w:r w:rsidRPr="007B6D67" w:rsidR="00606E01">
        <w:t xml:space="preserve">of petitions </w:t>
      </w:r>
      <w:r w:rsidRPr="007B6D67" w:rsidR="00A94773">
        <w:t xml:space="preserve">exists.  </w:t>
      </w:r>
    </w:p>
    <w:p w:rsidR="00F0150B" w:rsidRPr="007B6D67" w:rsidP="007B6D67" w14:paraId="1603EEB1" w14:textId="4DE495FA">
      <w:pPr>
        <w:pStyle w:val="Text"/>
        <w:spacing w:line="400" w:lineRule="exact"/>
        <w:ind w:firstLine="720"/>
      </w:pPr>
      <w:r w:rsidRPr="007B6D67">
        <w:t>A</w:t>
      </w:r>
      <w:r w:rsidRPr="007B6D67" w:rsidR="004D0823">
        <w:t xml:space="preserve">mici </w:t>
      </w:r>
      <w:r w:rsidR="00254026">
        <w:t xml:space="preserve">curiae </w:t>
      </w:r>
      <w:r w:rsidRPr="007B6D67" w:rsidR="00622F1F">
        <w:t xml:space="preserve">also </w:t>
      </w:r>
      <w:r w:rsidRPr="007B6D67">
        <w:t>point to the us</w:t>
      </w:r>
      <w:r w:rsidRPr="007B6D67" w:rsidR="00DB6407">
        <w:t>e</w:t>
      </w:r>
      <w:r w:rsidRPr="007B6D67">
        <w:t xml:space="preserve"> of the term “successive” </w:t>
      </w:r>
      <w:r w:rsidRPr="007B6D67" w:rsidR="0041073B">
        <w:t xml:space="preserve">in a different subdivision of </w:t>
      </w:r>
      <w:r w:rsidRPr="007B6D67" w:rsidR="00BB0869">
        <w:t xml:space="preserve">Penal Code </w:t>
      </w:r>
      <w:r w:rsidRPr="007B6D67" w:rsidR="0041073B">
        <w:t xml:space="preserve">section 1509.1 </w:t>
      </w:r>
      <w:r w:rsidRPr="007B6D67">
        <w:t xml:space="preserve">as </w:t>
      </w:r>
      <w:r w:rsidRPr="007B6D67" w:rsidR="0041073B">
        <w:t xml:space="preserve">evidence </w:t>
      </w:r>
      <w:r w:rsidRPr="007B6D67">
        <w:t xml:space="preserve">that the term was meant to refer to any </w:t>
      </w:r>
      <w:r w:rsidRPr="007B6D67" w:rsidR="007D65FE">
        <w:t xml:space="preserve">and all </w:t>
      </w:r>
      <w:r w:rsidRPr="007B6D67">
        <w:t>petition</w:t>
      </w:r>
      <w:r w:rsidRPr="007B6D67" w:rsidR="007D65FE">
        <w:t>s</w:t>
      </w:r>
      <w:r w:rsidRPr="007B6D67">
        <w:t xml:space="preserve"> following the first.  </w:t>
      </w:r>
      <w:r w:rsidRPr="007B6D67" w:rsidR="00BC29B7">
        <w:t>Subdivisio</w:t>
      </w:r>
      <w:r w:rsidRPr="007B6D67" w:rsidR="004A600C">
        <w:t>n (a) of section 1509.1</w:t>
      </w:r>
      <w:r w:rsidRPr="007B6D67">
        <w:t xml:space="preserve">, which </w:t>
      </w:r>
      <w:r w:rsidRPr="007B6D67" w:rsidR="00705FFD">
        <w:t xml:space="preserve">addresses </w:t>
      </w:r>
      <w:r w:rsidRPr="007B6D67" w:rsidR="0033661D">
        <w:t xml:space="preserve">appeals from </w:t>
      </w:r>
      <w:r w:rsidRPr="007B6D67" w:rsidR="00DA465A">
        <w:t xml:space="preserve">rulings on initial </w:t>
      </w:r>
      <w:r w:rsidRPr="007B6D67" w:rsidR="008B31AA">
        <w:t>petitions, specif</w:t>
      </w:r>
      <w:r w:rsidRPr="007B6D67">
        <w:t>ies</w:t>
      </w:r>
      <w:r w:rsidRPr="007B6D67" w:rsidR="008B31AA">
        <w:t xml:space="preserve"> that “[a] successive petition shall not be used as a means of reviewing a denial of habeas relief.”</w:t>
      </w:r>
      <w:r w:rsidRPr="007B6D67">
        <w:t xml:space="preserve">  Amici </w:t>
      </w:r>
      <w:r w:rsidRPr="007B6D67" w:rsidR="00874D5D">
        <w:t xml:space="preserve">contend </w:t>
      </w:r>
      <w:r w:rsidRPr="007B6D67">
        <w:t>th</w:t>
      </w:r>
      <w:r w:rsidRPr="007B6D67" w:rsidR="00F8270C">
        <w:t xml:space="preserve">at here, “successive” </w:t>
      </w:r>
      <w:r w:rsidRPr="007B6D67" w:rsidR="00E06F86">
        <w:t xml:space="preserve">is used to </w:t>
      </w:r>
      <w:r w:rsidRPr="007B6D67" w:rsidR="00F8270C">
        <w:t xml:space="preserve">mean </w:t>
      </w:r>
      <w:r w:rsidRPr="007B6D67">
        <w:t xml:space="preserve">any petition following </w:t>
      </w:r>
      <w:r w:rsidRPr="007B6D67" w:rsidR="00F8270C">
        <w:t>the</w:t>
      </w:r>
      <w:r w:rsidRPr="007B6D67">
        <w:t xml:space="preserve"> initial petition</w:t>
      </w:r>
      <w:r w:rsidRPr="007B6D67" w:rsidR="007D65FE">
        <w:t xml:space="preserve">.  </w:t>
      </w:r>
      <w:r w:rsidRPr="007B6D67" w:rsidR="00183FCF">
        <w:t xml:space="preserve">Amici contend </w:t>
      </w:r>
      <w:r w:rsidRPr="007B6D67" w:rsidR="007D65FE">
        <w:t>the term</w:t>
      </w:r>
      <w:r w:rsidRPr="007B6D67">
        <w:t xml:space="preserve"> </w:t>
      </w:r>
      <w:r w:rsidRPr="007B6D67" w:rsidR="00F8270C">
        <w:t>must</w:t>
      </w:r>
      <w:r w:rsidRPr="007B6D67">
        <w:t xml:space="preserve"> mean the same thing everywhere else it appears</w:t>
      </w:r>
      <w:r w:rsidRPr="007B6D67" w:rsidR="00874D5D">
        <w:t xml:space="preserve"> in the statute</w:t>
      </w:r>
      <w:r w:rsidRPr="007B6D67">
        <w:t>, including sections 1509(d) and 1509.1(c).</w:t>
      </w:r>
    </w:p>
    <w:p w:rsidR="00375BB1" w:rsidP="007B6D67" w14:paraId="1CFF1B35" w14:textId="56E2C66B">
      <w:pPr>
        <w:pStyle w:val="Text"/>
        <w:spacing w:line="400" w:lineRule="exact"/>
        <w:ind w:firstLine="720"/>
      </w:pPr>
      <w:r w:rsidRPr="007B6D67">
        <w:t>We are unpersuaded.</w:t>
      </w:r>
      <w:r w:rsidRPr="007B6D67" w:rsidR="00AF0AEA">
        <w:t xml:space="preserve">  </w:t>
      </w:r>
      <w:r w:rsidRPr="007B6D67" w:rsidR="00FD3FA8">
        <w:t xml:space="preserve">As we explained in </w:t>
      </w:r>
      <w:r w:rsidRPr="007B6D67" w:rsidR="00FD3FA8">
        <w:rPr>
          <w:i/>
          <w:iCs/>
        </w:rPr>
        <w:t>Briggs</w:t>
      </w:r>
      <w:r w:rsidRPr="007B6D67" w:rsidR="00FD3FA8">
        <w:t xml:space="preserve">, </w:t>
      </w:r>
      <w:r w:rsidRPr="007B6D67" w:rsidR="00CE6657">
        <w:t>Pen</w:t>
      </w:r>
      <w:r w:rsidRPr="007B6D67" w:rsidR="008A1E50">
        <w:t>a</w:t>
      </w:r>
      <w:r w:rsidRPr="007B6D67" w:rsidR="00CE6657">
        <w:t xml:space="preserve">l Code </w:t>
      </w:r>
      <w:r w:rsidRPr="007B6D67" w:rsidR="008A1E50">
        <w:t>s</w:t>
      </w:r>
      <w:r w:rsidRPr="007B6D67" w:rsidR="00F8270C">
        <w:t>ection 1509.1, subdivision (a)</w:t>
      </w:r>
      <w:r w:rsidRPr="007B6D67" w:rsidR="00A63287">
        <w:t>,</w:t>
      </w:r>
      <w:r w:rsidRPr="007B6D67" w:rsidR="00F8270C">
        <w:t xml:space="preserve"> </w:t>
      </w:r>
      <w:r w:rsidRPr="007B6D67" w:rsidR="00A63287">
        <w:t xml:space="preserve">is </w:t>
      </w:r>
      <w:r w:rsidRPr="007B6D67" w:rsidR="00470384">
        <w:t xml:space="preserve">designed </w:t>
      </w:r>
      <w:r w:rsidRPr="007B6D67" w:rsidR="00944C1F">
        <w:t xml:space="preserve">to </w:t>
      </w:r>
      <w:r w:rsidRPr="007B6D67" w:rsidR="0011243C">
        <w:t>substitute</w:t>
      </w:r>
      <w:r w:rsidRPr="007B6D67" w:rsidR="00812481">
        <w:t xml:space="preserve"> </w:t>
      </w:r>
      <w:r w:rsidRPr="007B6D67" w:rsidR="0011243C">
        <w:t>an appellate procedure</w:t>
      </w:r>
      <w:r w:rsidRPr="007B6D67" w:rsidR="00944C1F">
        <w:t xml:space="preserve"> for </w:t>
      </w:r>
      <w:r w:rsidRPr="007B6D67" w:rsidR="00B6646B">
        <w:t xml:space="preserve">the </w:t>
      </w:r>
      <w:r w:rsidRPr="007B6D67" w:rsidR="000F3790">
        <w:t xml:space="preserve">usual </w:t>
      </w:r>
      <w:r w:rsidRPr="007B6D67" w:rsidR="00B77A3B">
        <w:t>means</w:t>
      </w:r>
      <w:r w:rsidRPr="007B6D67" w:rsidR="00B6646B">
        <w:t xml:space="preserve"> for obtaining review of habeas corpus denials</w:t>
      </w:r>
      <w:r w:rsidR="001E6815">
        <w:t> </w:t>
      </w:r>
      <w:r w:rsidRPr="007B6D67" w:rsidR="000F3790">
        <w:t xml:space="preserve">— </w:t>
      </w:r>
      <w:r w:rsidRPr="007B6D67" w:rsidR="00A50466">
        <w:t xml:space="preserve">namely, </w:t>
      </w:r>
      <w:r w:rsidRPr="007B6D67" w:rsidR="00944C1F">
        <w:t>“filing a new habeas corpus petition in a higher court”</w:t>
      </w:r>
      <w:r w:rsidRPr="007B6D67" w:rsidR="000345F1">
        <w:rPr>
          <w:i/>
          <w:iCs/>
        </w:rPr>
        <w:t xml:space="preserve"> </w:t>
      </w:r>
      <w:r w:rsidRPr="007B6D67" w:rsidR="00FC0604">
        <w:t>(</w:t>
      </w:r>
      <w:r w:rsidRPr="007B6D67" w:rsidR="000345F1">
        <w:rPr>
          <w:i/>
          <w:iCs/>
        </w:rPr>
        <w:t>Briggs</w:t>
      </w:r>
      <w:r w:rsidRPr="007B6D67" w:rsidR="000345F1">
        <w:t xml:space="preserve">, </w:t>
      </w:r>
      <w:r w:rsidRPr="007B6D67" w:rsidR="000345F1">
        <w:rPr>
          <w:i/>
          <w:iCs/>
        </w:rPr>
        <w:t>supra</w:t>
      </w:r>
      <w:r w:rsidRPr="007B6D67" w:rsidR="000345F1">
        <w:t>, 3 Cal.5th at p.</w:t>
      </w:r>
      <w:r w:rsidRPr="007B6D67" w:rsidR="000439DC">
        <w:t> </w:t>
      </w:r>
      <w:r w:rsidRPr="007B6D67" w:rsidR="000345F1">
        <w:t>836</w:t>
      </w:r>
      <w:r w:rsidRPr="007B6D67" w:rsidR="00FC0604">
        <w:t>)</w:t>
      </w:r>
      <w:r w:rsidRPr="007B6D67" w:rsidR="00A63287">
        <w:t xml:space="preserve">.  </w:t>
      </w:r>
      <w:r w:rsidRPr="007B6D67" w:rsidR="00FD3FA8">
        <w:t>F</w:t>
      </w:r>
      <w:r w:rsidRPr="007B6D67" w:rsidR="000F3790">
        <w:t xml:space="preserve">or this limited purpose the statute uses </w:t>
      </w:r>
      <w:r w:rsidRPr="007B6D67" w:rsidR="00A63287">
        <w:t xml:space="preserve">the term </w:t>
      </w:r>
      <w:r w:rsidRPr="007B6D67" w:rsidR="00DD573B">
        <w:t>“successive</w:t>
      </w:r>
      <w:r w:rsidRPr="007B6D67" w:rsidR="00211D20">
        <w:t xml:space="preserve"> petition</w:t>
      </w:r>
      <w:r w:rsidRPr="007B6D67" w:rsidR="00DD573B">
        <w:t xml:space="preserve">” to </w:t>
      </w:r>
      <w:r w:rsidRPr="007B6D67" w:rsidR="00D25FFF">
        <w:t xml:space="preserve">refer to </w:t>
      </w:r>
      <w:r w:rsidRPr="007B6D67" w:rsidR="00A63287">
        <w:t xml:space="preserve">what </w:t>
      </w:r>
      <w:r w:rsidRPr="007B6D67" w:rsidR="00470384">
        <w:t xml:space="preserve">our cases would </w:t>
      </w:r>
      <w:r w:rsidRPr="007B6D67" w:rsidR="00211D20">
        <w:t xml:space="preserve">typically </w:t>
      </w:r>
      <w:r w:rsidRPr="007B6D67" w:rsidR="00470384">
        <w:t xml:space="preserve">call </w:t>
      </w:r>
      <w:r w:rsidRPr="007B6D67" w:rsidR="00A63287">
        <w:t>a “</w:t>
      </w:r>
      <w:r w:rsidRPr="007B6D67" w:rsidR="000439DC">
        <w:t> </w:t>
      </w:r>
      <w:r w:rsidRPr="007B6D67" w:rsidR="00470384">
        <w:t>‘</w:t>
      </w:r>
      <w:r w:rsidRPr="007B6D67" w:rsidR="00A63287">
        <w:t>new petition</w:t>
      </w:r>
      <w:r w:rsidRPr="007B6D67" w:rsidR="00470384">
        <w:t>’ .</w:t>
      </w:r>
      <w:r w:rsidRPr="007B6D67" w:rsidR="000439DC">
        <w:t> </w:t>
      </w:r>
      <w:r w:rsidRPr="007B6D67" w:rsidR="00470384">
        <w:t>.</w:t>
      </w:r>
      <w:r w:rsidRPr="007B6D67" w:rsidR="000439DC">
        <w:t> </w:t>
      </w:r>
      <w:r w:rsidRPr="007B6D67" w:rsidR="00470384">
        <w:t>. seeking review of a lower court’s ruling.</w:t>
      </w:r>
      <w:r w:rsidRPr="007B6D67" w:rsidR="008621B3">
        <w:t xml:space="preserve">” </w:t>
      </w:r>
      <w:r w:rsidRPr="007B6D67" w:rsidR="00A63287">
        <w:t xml:space="preserve"> </w:t>
      </w:r>
      <w:r w:rsidRPr="007B6D67" w:rsidR="00442AB8">
        <w:t>(</w:t>
      </w:r>
      <w:r w:rsidRPr="007B6D67" w:rsidR="00FC0604">
        <w:rPr>
          <w:i/>
          <w:iCs/>
        </w:rPr>
        <w:t xml:space="preserve">Id. </w:t>
      </w:r>
      <w:r w:rsidRPr="007B6D67" w:rsidR="00FC0604">
        <w:t>at</w:t>
      </w:r>
      <w:r w:rsidRPr="007B6D67" w:rsidR="008B31AA">
        <w:t xml:space="preserve"> </w:t>
      </w:r>
      <w:r w:rsidRPr="007B6D67" w:rsidR="00FC0604">
        <w:t>p.</w:t>
      </w:r>
      <w:r w:rsidRPr="007B6D67" w:rsidR="000439DC">
        <w:t> </w:t>
      </w:r>
      <w:r w:rsidRPr="007B6D67" w:rsidR="00FC0604">
        <w:t xml:space="preserve">836, </w:t>
      </w:r>
      <w:r w:rsidRPr="007B6D67" w:rsidR="008B31AA">
        <w:t>fn.</w:t>
      </w:r>
      <w:r w:rsidRPr="007B6D67" w:rsidR="00FC0604">
        <w:t> </w:t>
      </w:r>
      <w:r w:rsidRPr="007B6D67" w:rsidR="008B31AA">
        <w:t>14</w:t>
      </w:r>
      <w:r w:rsidRPr="007B6D67" w:rsidR="00442AB8">
        <w:t>.)</w:t>
      </w:r>
      <w:r w:rsidRPr="007B6D67">
        <w:t xml:space="preserve">  Th</w:t>
      </w:r>
      <w:r>
        <w:t>is</w:t>
      </w:r>
      <w:r w:rsidRPr="007B6D67">
        <w:t xml:space="preserve"> </w:t>
      </w:r>
      <w:r w:rsidR="0027264E">
        <w:t xml:space="preserve">distinctive </w:t>
      </w:r>
      <w:r w:rsidRPr="007B6D67">
        <w:t xml:space="preserve">usage of </w:t>
      </w:r>
      <w:r w:rsidRPr="007B6D67" w:rsidR="00B40BD5">
        <w:t xml:space="preserve">the term </w:t>
      </w:r>
      <w:r w:rsidRPr="007B6D67">
        <w:t>“successive petition”</w:t>
      </w:r>
      <w:r w:rsidRPr="007B6D67" w:rsidR="000A5ADF">
        <w:t xml:space="preserve"> </w:t>
      </w:r>
      <w:r w:rsidRPr="007B6D67" w:rsidR="003149FE">
        <w:t xml:space="preserve">does not compel any particular conclusion </w:t>
      </w:r>
      <w:r w:rsidRPr="007B6D67" w:rsidR="000A5ADF">
        <w:t>abou</w:t>
      </w:r>
      <w:r w:rsidRPr="007B6D67" w:rsidR="00C63656">
        <w:t xml:space="preserve">t </w:t>
      </w:r>
      <w:r w:rsidRPr="007B6D67" w:rsidR="00B72E70">
        <w:t>the</w:t>
      </w:r>
      <w:r w:rsidRPr="007B6D67" w:rsidR="003D0341">
        <w:t xml:space="preserve"> </w:t>
      </w:r>
      <w:r w:rsidRPr="007B6D67" w:rsidR="00AF0AEA">
        <w:t xml:space="preserve">meaning of the term as it appears in </w:t>
      </w:r>
      <w:r>
        <w:t>the context of substantive restrictions on lower courts’ ability to issue rulings in the first instance</w:t>
      </w:r>
      <w:r w:rsidRPr="007B6D67" w:rsidR="0095489E">
        <w:t xml:space="preserve">.  </w:t>
      </w:r>
    </w:p>
    <w:p w:rsidR="000C41F8" w:rsidRPr="007B6D67" w:rsidP="007B6D67" w14:paraId="07F95558" w14:textId="2CA41573">
      <w:pPr>
        <w:pStyle w:val="Text"/>
        <w:spacing w:line="400" w:lineRule="exact"/>
        <w:ind w:firstLine="720"/>
      </w:pPr>
      <w:r w:rsidRPr="007B6D67">
        <w:t xml:space="preserve">Finally, </w:t>
      </w:r>
      <w:r w:rsidRPr="007B6D67" w:rsidR="009C56E1">
        <w:t xml:space="preserve">CJLF argues </w:t>
      </w:r>
      <w:r w:rsidRPr="007B6D67" w:rsidR="000F76B8">
        <w:t xml:space="preserve">that </w:t>
      </w:r>
      <w:r w:rsidRPr="007B6D67">
        <w:t xml:space="preserve">voters could not have intended to preserve the overall structure of the traditional successiveness bar because </w:t>
      </w:r>
      <w:r w:rsidRPr="007B6D67" w:rsidR="00CD40FA">
        <w:t>sections 1509</w:t>
      </w:r>
      <w:r w:rsidRPr="007B6D67" w:rsidR="00F6712A">
        <w:t>(d)</w:t>
      </w:r>
      <w:r w:rsidRPr="007B6D67" w:rsidR="00CD40FA">
        <w:t xml:space="preserve"> and</w:t>
      </w:r>
      <w:r w:rsidRPr="007B6D67" w:rsidR="00C172E6">
        <w:t xml:space="preserve"> 1509.1</w:t>
      </w:r>
      <w:r w:rsidRPr="007B6D67" w:rsidR="00F6712A">
        <w:t>(c)</w:t>
      </w:r>
      <w:r w:rsidRPr="007B6D67" w:rsidR="00C172E6">
        <w:t xml:space="preserve"> </w:t>
      </w:r>
      <w:r w:rsidRPr="007B6D67" w:rsidR="001A7F1C">
        <w:t xml:space="preserve">refer to successive “petitions,” while our precedents have applied the successiveness bar </w:t>
      </w:r>
      <w:r w:rsidRPr="007B6D67" w:rsidR="002577DF">
        <w:t>on a claim-by-claim basis</w:t>
      </w:r>
      <w:r w:rsidRPr="007B6D67" w:rsidR="00D80DEF">
        <w:t xml:space="preserve">. </w:t>
      </w:r>
      <w:r w:rsidRPr="007B6D67" w:rsidR="00F743DF">
        <w:t xml:space="preserve"> </w:t>
      </w:r>
      <w:r w:rsidRPr="007B6D67" w:rsidR="00513491">
        <w:t xml:space="preserve">That is to say, under </w:t>
      </w:r>
      <w:r w:rsidRPr="007B6D67" w:rsidR="00F15FA3">
        <w:t xml:space="preserve">our case law, courts may consider </w:t>
      </w:r>
      <w:r w:rsidRPr="007B6D67" w:rsidR="00B07F45">
        <w:t xml:space="preserve">the merits of </w:t>
      </w:r>
      <w:r w:rsidRPr="007B6D67">
        <w:t>one or more claims in a subsequent petition</w:t>
      </w:r>
      <w:r w:rsidRPr="007B6D67" w:rsidR="002577DF">
        <w:t xml:space="preserve"> </w:t>
      </w:r>
      <w:r w:rsidRPr="007B6D67">
        <w:t>even if other claims in the same petition are procedurally barred as successive.  (</w:t>
      </w:r>
      <w:r w:rsidRPr="007B6D67">
        <w:rPr>
          <w:i/>
          <w:iCs/>
        </w:rPr>
        <w:t>Reno</w:t>
      </w:r>
      <w:r w:rsidRPr="007B6D67">
        <w:t>,</w:t>
      </w:r>
      <w:r w:rsidRPr="007B6D67">
        <w:rPr>
          <w:i/>
          <w:iCs/>
        </w:rPr>
        <w:t xml:space="preserve"> supra</w:t>
      </w:r>
      <w:r w:rsidRPr="007B6D67">
        <w:t>, 55 Cal.4th at p.</w:t>
      </w:r>
      <w:r w:rsidRPr="007B6D67" w:rsidR="000439DC">
        <w:t> </w:t>
      </w:r>
      <w:r w:rsidRPr="007B6D67">
        <w:t xml:space="preserve">452; </w:t>
      </w:r>
      <w:r w:rsidRPr="007B6D67">
        <w:rPr>
          <w:i/>
          <w:iCs/>
        </w:rPr>
        <w:t>Robbins</w:t>
      </w:r>
      <w:r w:rsidRPr="007B6D67">
        <w:t xml:space="preserve">, </w:t>
      </w:r>
      <w:r w:rsidRPr="007B6D67">
        <w:rPr>
          <w:i/>
          <w:iCs/>
        </w:rPr>
        <w:t>supra</w:t>
      </w:r>
      <w:r w:rsidRPr="007B6D67">
        <w:t>, 18 Cal.4th at p.</w:t>
      </w:r>
      <w:r w:rsidRPr="007B6D67" w:rsidR="000439DC">
        <w:t> </w:t>
      </w:r>
      <w:r w:rsidRPr="007B6D67">
        <w:t>788, fn.</w:t>
      </w:r>
      <w:r w:rsidRPr="007B6D67" w:rsidR="000439DC">
        <w:t> </w:t>
      </w:r>
      <w:r w:rsidRPr="007B6D67">
        <w:t xml:space="preserve">9; </w:t>
      </w:r>
      <w:r w:rsidRPr="007B6D67">
        <w:rPr>
          <w:i/>
          <w:iCs/>
        </w:rPr>
        <w:t>Clark</w:t>
      </w:r>
      <w:r w:rsidRPr="007B6D67">
        <w:t>,</w:t>
      </w:r>
      <w:r w:rsidRPr="007B6D67">
        <w:rPr>
          <w:i/>
          <w:iCs/>
        </w:rPr>
        <w:t xml:space="preserve"> supra</w:t>
      </w:r>
      <w:r w:rsidRPr="007B6D67">
        <w:t>,</w:t>
      </w:r>
      <w:r w:rsidRPr="007B6D67" w:rsidR="003A2151">
        <w:t xml:space="preserve"> </w:t>
      </w:r>
      <w:r w:rsidRPr="007B6D67">
        <w:t>5 Cal.4th at pp.</w:t>
      </w:r>
      <w:r w:rsidRPr="007B6D67" w:rsidR="000439DC">
        <w:t> </w:t>
      </w:r>
      <w:r w:rsidRPr="007B6D67">
        <w:t>768, 780</w:t>
      </w:r>
      <w:r w:rsidRPr="007B6D67" w:rsidR="002213BA">
        <w:t>–</w:t>
      </w:r>
      <w:r w:rsidRPr="007B6D67">
        <w:t xml:space="preserve">782.)  </w:t>
      </w:r>
      <w:r w:rsidRPr="007B6D67" w:rsidR="006318B2">
        <w:t xml:space="preserve">But </w:t>
      </w:r>
      <w:r w:rsidRPr="007B6D67" w:rsidR="00646652">
        <w:t xml:space="preserve">context makes clear that </w:t>
      </w:r>
      <w:r w:rsidRPr="007B6D67" w:rsidR="00852FCC">
        <w:t>Proposition 66’s</w:t>
      </w:r>
      <w:r w:rsidRPr="007B6D67" w:rsidR="00554EEF">
        <w:t xml:space="preserve"> restrictions </w:t>
      </w:r>
      <w:r w:rsidRPr="007B6D67" w:rsidR="002577DF">
        <w:t xml:space="preserve">operate in much the same </w:t>
      </w:r>
      <w:r w:rsidRPr="007B6D67" w:rsidR="0086339C">
        <w:t>way</w:t>
      </w:r>
      <w:r w:rsidRPr="007B6D67" w:rsidR="00646652">
        <w:t xml:space="preserve">.  </w:t>
      </w:r>
      <w:r w:rsidRPr="007B6D67" w:rsidR="00FF239A">
        <w:t>When a petitioner files a “successive” petition, s</w:t>
      </w:r>
      <w:r w:rsidRPr="007B6D67" w:rsidR="00D101CB">
        <w:t>ection 1509(d) calls for a determination whether “</w:t>
      </w:r>
      <w:r w:rsidRPr="007B6D67" w:rsidR="00D101CB">
        <w:rPr>
          <w:szCs w:val="26"/>
        </w:rPr>
        <w:t xml:space="preserve">the petitioner has a substantial </w:t>
      </w:r>
      <w:r w:rsidRPr="007B6D67" w:rsidR="00D101CB">
        <w:rPr>
          <w:i/>
          <w:iCs/>
          <w:szCs w:val="26"/>
        </w:rPr>
        <w:t>claim</w:t>
      </w:r>
      <w:r w:rsidRPr="007B6D67" w:rsidR="00D101CB">
        <w:rPr>
          <w:szCs w:val="26"/>
        </w:rPr>
        <w:t xml:space="preserve"> of actual innocence or ineligibility</w:t>
      </w:r>
      <w:r w:rsidRPr="007B6D67" w:rsidR="00FF239A">
        <w:rPr>
          <w:szCs w:val="26"/>
        </w:rPr>
        <w:t>.”  (§</w:t>
      </w:r>
      <w:r w:rsidRPr="007B6D67" w:rsidR="000439DC">
        <w:rPr>
          <w:szCs w:val="26"/>
        </w:rPr>
        <w:t> </w:t>
      </w:r>
      <w:r w:rsidRPr="007B6D67" w:rsidR="00FF239A">
        <w:rPr>
          <w:szCs w:val="26"/>
        </w:rPr>
        <w:t>1509(d)</w:t>
      </w:r>
      <w:r w:rsidRPr="007B6D67" w:rsidR="00EA5345">
        <w:rPr>
          <w:szCs w:val="26"/>
        </w:rPr>
        <w:t>, italics added.</w:t>
      </w:r>
      <w:r w:rsidRPr="007B6D67" w:rsidR="00FF239A">
        <w:rPr>
          <w:szCs w:val="26"/>
        </w:rPr>
        <w:t xml:space="preserve">)  And </w:t>
      </w:r>
      <w:r w:rsidRPr="007B6D67" w:rsidR="00EA5345">
        <w:rPr>
          <w:szCs w:val="26"/>
        </w:rPr>
        <w:t xml:space="preserve">when the petitioner seeks to appeal the denial of relief, section 1509.1(c) </w:t>
      </w:r>
      <w:r w:rsidRPr="007B6D67">
        <w:t xml:space="preserve">provides for a certificate of appealability only where the petition states “a substantial </w:t>
      </w:r>
      <w:r w:rsidRPr="007B6D67">
        <w:rPr>
          <w:i/>
          <w:iCs/>
        </w:rPr>
        <w:t>claim</w:t>
      </w:r>
      <w:r w:rsidRPr="007B6D67">
        <w:t xml:space="preserve"> for relief, which shall be indicated in the certificate,” and limits appellate jurisdiction to “the </w:t>
      </w:r>
      <w:r w:rsidRPr="007B6D67">
        <w:rPr>
          <w:i/>
          <w:iCs/>
        </w:rPr>
        <w:t>claims</w:t>
      </w:r>
      <w:r w:rsidRPr="007B6D67">
        <w:t xml:space="preserve"> identified in the certificate and any additional </w:t>
      </w:r>
      <w:r w:rsidRPr="007B6D67">
        <w:rPr>
          <w:i/>
          <w:iCs/>
        </w:rPr>
        <w:t>claims</w:t>
      </w:r>
      <w:r w:rsidRPr="007B6D67">
        <w:t xml:space="preserve"> added by the court of appeal within 60 days of the notice of appeal.”  </w:t>
      </w:r>
      <w:r w:rsidRPr="007B6D67" w:rsidR="009F602C">
        <w:t>(§</w:t>
      </w:r>
      <w:r w:rsidRPr="007B6D67" w:rsidR="000439DC">
        <w:t> </w:t>
      </w:r>
      <w:r w:rsidRPr="007B6D67" w:rsidR="009F602C">
        <w:t xml:space="preserve">1509.1(c), italics added.)  </w:t>
      </w:r>
      <w:r w:rsidRPr="007B6D67" w:rsidR="008253FC">
        <w:t xml:space="preserve">The statutes </w:t>
      </w:r>
      <w:r w:rsidRPr="007B6D67" w:rsidR="006318B2">
        <w:t xml:space="preserve">thus </w:t>
      </w:r>
      <w:r w:rsidRPr="007B6D67" w:rsidR="008253FC">
        <w:t>mark no fundamental departure from traditional habeas law in this regard.</w:t>
      </w:r>
    </w:p>
    <w:p w:rsidR="006526AC" w:rsidRPr="007B6D67" w:rsidP="007B6D67" w14:paraId="4B5EBB14" w14:textId="1E958EF6">
      <w:pPr>
        <w:pStyle w:val="Text"/>
        <w:spacing w:line="400" w:lineRule="exact"/>
        <w:ind w:firstLine="720"/>
      </w:pPr>
      <w:r w:rsidRPr="007B6D67">
        <w:t xml:space="preserve">In short, the text of the statute contains no </w:t>
      </w:r>
      <w:r w:rsidRPr="007B6D67" w:rsidR="00BD40F4">
        <w:t>definitive</w:t>
      </w:r>
      <w:r w:rsidRPr="007B6D67" w:rsidR="006216CB">
        <w:t xml:space="preserve"> </w:t>
      </w:r>
      <w:r w:rsidRPr="007B6D67" w:rsidR="006318B2">
        <w:t xml:space="preserve">indication </w:t>
      </w:r>
      <w:r w:rsidRPr="007B6D67">
        <w:t xml:space="preserve">that </w:t>
      </w:r>
      <w:r w:rsidRPr="007B6D67" w:rsidR="00143AE3">
        <w:t xml:space="preserve">by introducing a new stringent standard for the presentation of claims in “successive” petitions, voters intended to eliminate the traditional carveout for claims that could </w:t>
      </w:r>
      <w:r w:rsidRPr="007B6D67" w:rsidR="00567C44">
        <w:t xml:space="preserve">not feasibly have been presented earlier.  </w:t>
      </w:r>
      <w:r w:rsidR="0027264E">
        <w:t xml:space="preserve">Given the legal backdrop against which voters enacted Proposition 66, it is entirely plausible </w:t>
      </w:r>
      <w:r w:rsidR="000E1616">
        <w:t xml:space="preserve">that </w:t>
      </w:r>
      <w:r w:rsidR="0027264E">
        <w:t xml:space="preserve">voters </w:t>
      </w:r>
      <w:r w:rsidRPr="007B6D67" w:rsidR="00D1727C">
        <w:t xml:space="preserve">intended Proposition 66’s stringent standard for considering successive petitions to </w:t>
      </w:r>
      <w:r w:rsidRPr="007B6D67">
        <w:t xml:space="preserve">capture only petitions raising claims that would have traditionally been </w:t>
      </w:r>
      <w:r w:rsidRPr="007B6D67" w:rsidR="00FC54EE">
        <w:t xml:space="preserve">considered abusive and therefore </w:t>
      </w:r>
      <w:r w:rsidRPr="007B6D67">
        <w:t>subject to the successiveness bar</w:t>
      </w:r>
      <w:r w:rsidR="001E6815">
        <w:t> </w:t>
      </w:r>
      <w:r w:rsidRPr="007B6D67">
        <w:t xml:space="preserve">— that is, claims that </w:t>
      </w:r>
      <w:r w:rsidRPr="007B6D67" w:rsidR="00DF2BFB">
        <w:t>were omitted from prior habeas petitions</w:t>
      </w:r>
      <w:r w:rsidR="0027264E">
        <w:t xml:space="preserve"> without justification</w:t>
      </w:r>
      <w:r w:rsidRPr="007B6D67" w:rsidR="00DF2BFB">
        <w:t>.</w:t>
      </w:r>
      <w:r w:rsidRPr="007B6D67">
        <w:t xml:space="preserve"> </w:t>
      </w:r>
    </w:p>
    <w:p w:rsidR="00F70A4D" w:rsidRPr="007B6D67" w:rsidP="007B6D67" w14:paraId="2021883C" w14:textId="7ECB419B">
      <w:pPr>
        <w:pStyle w:val="Text"/>
        <w:spacing w:line="400" w:lineRule="exact"/>
        <w:ind w:firstLine="720"/>
      </w:pPr>
      <w:r w:rsidRPr="007B6D67">
        <w:t xml:space="preserve">Friend, joined by the Attorney General, argues that this </w:t>
      </w:r>
      <w:r w:rsidRPr="007B6D67" w:rsidR="00802263">
        <w:t xml:space="preserve">narrower </w:t>
      </w:r>
      <w:r w:rsidR="006661FA">
        <w:t xml:space="preserve">understanding of Proposition 66’s successiveness provisions </w:t>
      </w:r>
      <w:r w:rsidRPr="007B6D67">
        <w:t xml:space="preserve">is not only </w:t>
      </w:r>
      <w:r w:rsidRPr="007B6D67" w:rsidR="006661FA">
        <w:t>p</w:t>
      </w:r>
      <w:r w:rsidR="006661FA">
        <w:t>lausible</w:t>
      </w:r>
      <w:r w:rsidRPr="007B6D67">
        <w:t xml:space="preserve">, but compelled by </w:t>
      </w:r>
      <w:r w:rsidRPr="007B6D67" w:rsidR="00AF7E0C">
        <w:t xml:space="preserve">the canon of </w:t>
      </w:r>
      <w:r w:rsidRPr="007B6D67" w:rsidR="00C90DC0">
        <w:t xml:space="preserve">constitutional </w:t>
      </w:r>
      <w:r w:rsidRPr="007B6D67" w:rsidR="00AF7E0C">
        <w:t>avoidance</w:t>
      </w:r>
      <w:r w:rsidRPr="007B6D67" w:rsidR="00C90DC0">
        <w:t>.</w:t>
      </w:r>
      <w:r w:rsidRPr="007B6D67" w:rsidR="00AF7E0C">
        <w:t xml:space="preserve">  This rule of interpretation instructs that </w:t>
      </w:r>
      <w:r w:rsidRPr="007B6D67">
        <w:t>“</w:t>
      </w:r>
      <w:r w:rsidRPr="007B6D67" w:rsidR="00AF7E0C">
        <w:t>[i]</w:t>
      </w:r>
      <w:r w:rsidRPr="007B6D67">
        <w:t xml:space="preserve">f a statute is susceptible of two constructions, one of which will render it constitutional and the other unconstitutional in whole or in part, or raise serious and doubtful constitutional questions, the court will adopt the construction which, without doing violence to the reasonable meaning of the language used, will render it valid in its entirety, or free from doubt as to its constitutionality, even though the other construction is equally reasonable. </w:t>
      </w:r>
      <w:r w:rsidRPr="007B6D67" w:rsidR="000439DC">
        <w:t xml:space="preserve"> </w:t>
      </w:r>
      <w:r w:rsidRPr="007B6D67">
        <w:t xml:space="preserve">[Citations.] </w:t>
      </w:r>
      <w:r w:rsidRPr="007B6D67" w:rsidR="00A041DE">
        <w:t xml:space="preserve"> </w:t>
      </w:r>
      <w:r w:rsidRPr="007B6D67">
        <w:t>The basis of this rule is the presumption that the Legislature intended, not to violate the Constitution, but to enact a valid statute within the scope of its constitutional powers.</w:t>
      </w:r>
      <w:r w:rsidRPr="007B6D67" w:rsidR="00B0284C">
        <w:t>”</w:t>
      </w:r>
      <w:r w:rsidRPr="007B6D67" w:rsidR="003F439D">
        <w:t xml:space="preserve">  (</w:t>
      </w:r>
      <w:r w:rsidRPr="007B6D67" w:rsidR="003F439D">
        <w:rPr>
          <w:i/>
          <w:iCs/>
        </w:rPr>
        <w:t>Miller v. Municipal Court</w:t>
      </w:r>
      <w:r w:rsidRPr="007B6D67" w:rsidR="003A2151">
        <w:t xml:space="preserve"> </w:t>
      </w:r>
      <w:r w:rsidRPr="007B6D67" w:rsidR="003F439D">
        <w:t>(1943) 22 Cal.2d 818, 828</w:t>
      </w:r>
      <w:r w:rsidRPr="007B6D67" w:rsidR="00017179">
        <w:t xml:space="preserve">; accord, </w:t>
      </w:r>
      <w:r w:rsidRPr="007B6D67" w:rsidR="000624E3">
        <w:rPr>
          <w:i/>
          <w:iCs/>
        </w:rPr>
        <w:t>People v. Lopez</w:t>
      </w:r>
      <w:r w:rsidRPr="007B6D67" w:rsidR="00082205">
        <w:rPr>
          <w:i/>
          <w:iCs/>
        </w:rPr>
        <w:t xml:space="preserve"> </w:t>
      </w:r>
      <w:r w:rsidRPr="007B6D67" w:rsidR="000624E3">
        <w:t>(2020) 9 Cal.5th 254, 276</w:t>
      </w:r>
      <w:r w:rsidRPr="007B6D67" w:rsidR="00A50BF2">
        <w:t xml:space="preserve"> [applying canon to interpretation of </w:t>
      </w:r>
      <w:r w:rsidRPr="007B6D67" w:rsidR="00F07828">
        <w:t>initiative measure]</w:t>
      </w:r>
      <w:r w:rsidRPr="007B6D67" w:rsidR="000624E3">
        <w:t xml:space="preserve">; </w:t>
      </w:r>
      <w:r w:rsidRPr="007B6D67" w:rsidR="000624E3">
        <w:rPr>
          <w:i/>
          <w:iCs/>
        </w:rPr>
        <w:t>People v. Engram</w:t>
      </w:r>
      <w:r w:rsidRPr="007B6D67" w:rsidR="00082205">
        <w:rPr>
          <w:i/>
          <w:iCs/>
        </w:rPr>
        <w:t xml:space="preserve"> </w:t>
      </w:r>
      <w:r w:rsidRPr="007B6D67" w:rsidR="000624E3">
        <w:t>(2010) 50 Cal.4th 1131, 1161</w:t>
      </w:r>
      <w:r w:rsidRPr="007B6D67" w:rsidR="00F44561">
        <w:t xml:space="preserve">; </w:t>
      </w:r>
      <w:r w:rsidRPr="007B6D67">
        <w:rPr>
          <w:i/>
          <w:iCs/>
        </w:rPr>
        <w:t>People v. Superior Court (Romero)</w:t>
      </w:r>
      <w:r w:rsidRPr="007B6D67">
        <w:t> (1996) 13 Cal.4th 497, 509</w:t>
      </w:r>
      <w:r w:rsidRPr="007B6D67" w:rsidR="000F44B6">
        <w:t>.)</w:t>
      </w:r>
      <w:r w:rsidRPr="007B6D67" w:rsidR="00ED5E1D">
        <w:t xml:space="preserve">  </w:t>
      </w:r>
    </w:p>
    <w:p w:rsidR="00FC3CBF" w:rsidRPr="007B6D67" w:rsidP="007B6D67" w14:paraId="01677772" w14:textId="64EE6E82">
      <w:pPr>
        <w:pStyle w:val="Text"/>
        <w:spacing w:line="400" w:lineRule="exact"/>
        <w:ind w:firstLine="720"/>
      </w:pPr>
      <w:r w:rsidRPr="007B6D67">
        <w:t xml:space="preserve">Friend </w:t>
      </w:r>
      <w:r w:rsidRPr="007B6D67" w:rsidR="007C6589">
        <w:t>contends</w:t>
      </w:r>
      <w:r w:rsidRPr="007B6D67" w:rsidR="009F2E62">
        <w:t xml:space="preserve"> that reading </w:t>
      </w:r>
      <w:r w:rsidRPr="007B6D67">
        <w:t>“</w:t>
      </w:r>
      <w:r w:rsidRPr="007B6D67" w:rsidR="009F2E62">
        <w:t>successive</w:t>
      </w:r>
      <w:r w:rsidRPr="007B6D67">
        <w:t>”</w:t>
      </w:r>
      <w:r w:rsidRPr="007B6D67" w:rsidR="00433BAA">
        <w:t xml:space="preserve"> petition</w:t>
      </w:r>
      <w:r w:rsidRPr="007B6D67" w:rsidR="009F2E62">
        <w:t xml:space="preserve"> in </w:t>
      </w:r>
      <w:r w:rsidRPr="007B6D67" w:rsidR="00433BAA">
        <w:t xml:space="preserve">section 1509(d) as referring </w:t>
      </w:r>
      <w:r w:rsidRPr="007B6D67">
        <w:t xml:space="preserve">broadly </w:t>
      </w:r>
      <w:r w:rsidRPr="007B6D67" w:rsidR="00433BAA">
        <w:t xml:space="preserve">to any </w:t>
      </w:r>
      <w:r w:rsidRPr="007B6D67" w:rsidR="0014266B">
        <w:t xml:space="preserve">second or subsequent petition would </w:t>
      </w:r>
      <w:r w:rsidR="0095022D">
        <w:t xml:space="preserve">raise significant constitutional concerns insofar as it would bar </w:t>
      </w:r>
      <w:r w:rsidRPr="007B6D67" w:rsidR="00670BE5">
        <w:t xml:space="preserve">relief </w:t>
      </w:r>
      <w:r w:rsidRPr="007B6D67" w:rsidR="00AF7E0C">
        <w:t xml:space="preserve">for </w:t>
      </w:r>
      <w:r w:rsidRPr="007B6D67" w:rsidR="00403063">
        <w:t>serious consti</w:t>
      </w:r>
      <w:r w:rsidRPr="007B6D67" w:rsidR="00670BE5">
        <w:t>tutional violations</w:t>
      </w:r>
      <w:r w:rsidRPr="007B6D67" w:rsidR="00326757">
        <w:t xml:space="preserve"> even </w:t>
      </w:r>
      <w:r w:rsidRPr="007B6D67" w:rsidR="003A2151">
        <w:t>“</w:t>
      </w:r>
      <w:r w:rsidRPr="007B6D67" w:rsidR="00326757">
        <w:t>where the petitioner did not discover the basis of a constitutional violation despite acting diligently.”</w:t>
      </w:r>
      <w:r w:rsidRPr="007B6D67" w:rsidR="006E6236">
        <w:t xml:space="preserve">  </w:t>
      </w:r>
      <w:r w:rsidRPr="007B6D67">
        <w:t xml:space="preserve">This </w:t>
      </w:r>
      <w:r w:rsidRPr="007B6D67" w:rsidR="0007094E">
        <w:t>broad reading would, for</w:t>
      </w:r>
      <w:r w:rsidRPr="007B6D67" w:rsidR="00B62E14">
        <w:t xml:space="preserve"> </w:t>
      </w:r>
      <w:r w:rsidRPr="007B6D67" w:rsidR="006D5D59">
        <w:t xml:space="preserve">example, </w:t>
      </w:r>
      <w:r w:rsidRPr="007B6D67" w:rsidR="00123BAE">
        <w:t xml:space="preserve">foreclose a </w:t>
      </w:r>
      <w:r w:rsidRPr="007B6D67" w:rsidR="00470707">
        <w:t xml:space="preserve">claim </w:t>
      </w:r>
      <w:r w:rsidRPr="007B6D67" w:rsidR="007E3E4A">
        <w:t xml:space="preserve">based on </w:t>
      </w:r>
      <w:r w:rsidRPr="007B6D67" w:rsidR="00237CD0">
        <w:t>revelations</w:t>
      </w:r>
      <w:r w:rsidRPr="007B6D67" w:rsidR="00227566">
        <w:t xml:space="preserve"> </w:t>
      </w:r>
      <w:r w:rsidRPr="007B6D67" w:rsidR="007E3E4A">
        <w:t xml:space="preserve">that </w:t>
      </w:r>
      <w:r w:rsidRPr="007B6D67" w:rsidR="00470707">
        <w:t xml:space="preserve">the </w:t>
      </w:r>
      <w:r w:rsidRPr="007B6D67" w:rsidR="00D6760A">
        <w:t>prose</w:t>
      </w:r>
      <w:r w:rsidRPr="007B6D67" w:rsidR="00123BAE">
        <w:t xml:space="preserve">cutor failed to disclose </w:t>
      </w:r>
      <w:r w:rsidRPr="007B6D67" w:rsidR="00DA0C34">
        <w:t xml:space="preserve">evidence that </w:t>
      </w:r>
      <w:r w:rsidRPr="007B6D67" w:rsidR="00601C47">
        <w:t>would have strongly supported the defendant’s case in mitigation at the penalty phase</w:t>
      </w:r>
      <w:r w:rsidRPr="007B6D67" w:rsidR="00B62E14">
        <w:t>.</w:t>
      </w:r>
      <w:r w:rsidRPr="007B6D67" w:rsidR="00DB6EA1">
        <w:t xml:space="preserve">  </w:t>
      </w:r>
      <w:r w:rsidRPr="007B6D67" w:rsidR="00601C47">
        <w:t xml:space="preserve">Under </w:t>
      </w:r>
      <w:r w:rsidRPr="007B6D67">
        <w:t xml:space="preserve">traditional </w:t>
      </w:r>
      <w:r w:rsidRPr="007B6D67" w:rsidR="00601C47">
        <w:t xml:space="preserve">standards, </w:t>
      </w:r>
      <w:r w:rsidRPr="007B6D67">
        <w:t>we would order a new penalty phase</w:t>
      </w:r>
      <w:r w:rsidRPr="007B6D67" w:rsidR="00856978">
        <w:t xml:space="preserve"> if the withholding of the evidence could be said to undermine confidence in the death verdict</w:t>
      </w:r>
      <w:r w:rsidRPr="007B6D67">
        <w:t>.</w:t>
      </w:r>
      <w:r>
        <w:rPr>
          <w:rStyle w:val="FootnoteReference"/>
        </w:rPr>
        <w:footnoteReference w:id="9"/>
      </w:r>
      <w:r w:rsidRPr="007B6D67">
        <w:t xml:space="preserve">  But under the broad reading of </w:t>
      </w:r>
      <w:r w:rsidRPr="007B6D67" w:rsidR="002E2511">
        <w:t>section 1509(d), the claim would be barred because it neither establishes the petitioner’s actual innocence nor ineligibility for the death penalty.</w:t>
      </w:r>
    </w:p>
    <w:p w:rsidR="00F12A3F" w:rsidRPr="007B6D67" w:rsidP="007B6D67" w14:paraId="6C0E2791" w14:textId="060722E3">
      <w:pPr>
        <w:pStyle w:val="Text"/>
        <w:spacing w:line="400" w:lineRule="exact"/>
        <w:ind w:firstLine="720"/>
      </w:pPr>
      <w:r w:rsidRPr="007B6D67">
        <w:t xml:space="preserve">The broad reading of section 1509(d) </w:t>
      </w:r>
      <w:r w:rsidRPr="007B6D67" w:rsidR="00B15D31">
        <w:t xml:space="preserve">would </w:t>
      </w:r>
      <w:r w:rsidRPr="007B6D67" w:rsidR="001F114F">
        <w:t xml:space="preserve">likewise </w:t>
      </w:r>
      <w:r w:rsidRPr="007B6D67" w:rsidR="00B15D31">
        <w:t xml:space="preserve">foreclose </w:t>
      </w:r>
      <w:r w:rsidRPr="007B6D67" w:rsidR="00BE2361">
        <w:t>a</w:t>
      </w:r>
      <w:r w:rsidRPr="007B6D67" w:rsidR="00370D55">
        <w:t xml:space="preserve"> </w:t>
      </w:r>
      <w:r w:rsidRPr="007B6D67" w:rsidR="008B0ECF">
        <w:t xml:space="preserve">claim </w:t>
      </w:r>
      <w:r w:rsidRPr="007B6D67" w:rsidR="001F114F">
        <w:t xml:space="preserve">based on newly </w:t>
      </w:r>
      <w:r w:rsidRPr="007B6D67" w:rsidR="00E91E3A">
        <w:t>available</w:t>
      </w:r>
      <w:r w:rsidRPr="007B6D67" w:rsidR="001F114F">
        <w:t xml:space="preserve"> evidence </w:t>
      </w:r>
      <w:r w:rsidRPr="007B6D67" w:rsidR="008B0ECF">
        <w:t xml:space="preserve">of </w:t>
      </w:r>
      <w:r w:rsidRPr="007B6D67" w:rsidR="00546BEA">
        <w:t xml:space="preserve">trial </w:t>
      </w:r>
      <w:r w:rsidRPr="007B6D67" w:rsidR="008B0ECF">
        <w:t xml:space="preserve">misconduct </w:t>
      </w:r>
      <w:r w:rsidRPr="007B6D67" w:rsidR="00546BEA">
        <w:t>by jurors</w:t>
      </w:r>
      <w:r w:rsidRPr="007B6D67" w:rsidR="008C11F9">
        <w:t xml:space="preserve">, </w:t>
      </w:r>
      <w:r w:rsidRPr="007B6D67" w:rsidR="00546BEA">
        <w:t>the prosecutor</w:t>
      </w:r>
      <w:r w:rsidRPr="007B6D67" w:rsidR="001F114F">
        <w:t>,</w:t>
      </w:r>
      <w:r w:rsidRPr="007B6D67" w:rsidR="008C11F9">
        <w:t xml:space="preserve"> </w:t>
      </w:r>
      <w:r w:rsidRPr="007B6D67" w:rsidR="0076203A">
        <w:t>defense counsel</w:t>
      </w:r>
      <w:r w:rsidRPr="007B6D67" w:rsidR="00CF3A15">
        <w:t>,</w:t>
      </w:r>
      <w:r w:rsidRPr="007B6D67" w:rsidR="0076203A">
        <w:t xml:space="preserve"> </w:t>
      </w:r>
      <w:r w:rsidRPr="007B6D67" w:rsidR="008C11F9">
        <w:t>or the trial judge</w:t>
      </w:r>
      <w:r w:rsidRPr="007B6D67" w:rsidR="00546695">
        <w:t>.</w:t>
      </w:r>
      <w:r w:rsidRPr="007B6D67" w:rsidR="00130C41">
        <w:t xml:space="preserve"> </w:t>
      </w:r>
      <w:r w:rsidRPr="007B6D67" w:rsidR="00546695">
        <w:t xml:space="preserve"> </w:t>
      </w:r>
      <w:r w:rsidRPr="007B6D67" w:rsidR="00237FCD">
        <w:t>Such</w:t>
      </w:r>
      <w:r w:rsidRPr="007B6D67" w:rsidR="00467050">
        <w:t xml:space="preserve"> </w:t>
      </w:r>
      <w:r w:rsidRPr="007B6D67" w:rsidR="004749BC">
        <w:t xml:space="preserve">misconduct </w:t>
      </w:r>
      <w:r w:rsidRPr="007B6D67" w:rsidR="00D56EFC">
        <w:t>might be serious enough to call into question the validity of the judgment</w:t>
      </w:r>
      <w:r w:rsidRPr="007B6D67" w:rsidR="00275A7D">
        <w:t>,</w:t>
      </w:r>
      <w:r w:rsidRPr="007B6D67" w:rsidR="00C95897">
        <w:t xml:space="preserve"> </w:t>
      </w:r>
      <w:r w:rsidRPr="007B6D67" w:rsidR="00B30E44">
        <w:t xml:space="preserve">yet fail to meet </w:t>
      </w:r>
      <w:r w:rsidRPr="007B6D67" w:rsidR="00C95897">
        <w:t>section 1509(d)’s innocence or ineligibility standard.</w:t>
      </w:r>
      <w:r>
        <w:rPr>
          <w:rStyle w:val="FootnoteReference"/>
        </w:rPr>
        <w:footnoteReference w:id="10"/>
      </w:r>
      <w:r w:rsidRPr="007B6D67" w:rsidR="00130C41">
        <w:t xml:space="preserve"> </w:t>
      </w:r>
      <w:r w:rsidRPr="007B6D67" w:rsidR="00AE1CBE">
        <w:t xml:space="preserve"> </w:t>
      </w:r>
      <w:r w:rsidRPr="007B6D67" w:rsidR="00546695">
        <w:t xml:space="preserve">Similarly, </w:t>
      </w:r>
      <w:r w:rsidRPr="007B6D67" w:rsidR="00BE1ACB">
        <w:t>posttrial</w:t>
      </w:r>
      <w:r w:rsidRPr="007B6D67" w:rsidR="005C6F02">
        <w:t xml:space="preserve"> scientific developments might yield</w:t>
      </w:r>
      <w:r w:rsidRPr="007B6D67" w:rsidR="00BE1ACB">
        <w:t xml:space="preserve"> evidence</w:t>
      </w:r>
      <w:r w:rsidRPr="007B6D67" w:rsidR="005C6F02">
        <w:t xml:space="preserve"> that </w:t>
      </w:r>
      <w:r w:rsidRPr="007B6D67" w:rsidR="00112C7C">
        <w:t xml:space="preserve">critically </w:t>
      </w:r>
      <w:r w:rsidRPr="007B6D67" w:rsidR="00C26570">
        <w:t xml:space="preserve">undermines confidence in the jury verdict without </w:t>
      </w:r>
      <w:r w:rsidRPr="007B6D67" w:rsidR="00112C7C">
        <w:t xml:space="preserve">establishing </w:t>
      </w:r>
      <w:r w:rsidRPr="007B6D67" w:rsidR="00691FB8">
        <w:t>innocence</w:t>
      </w:r>
      <w:r w:rsidRPr="007B6D67" w:rsidR="005912B3">
        <w:t xml:space="preserve"> or death ineligibility</w:t>
      </w:r>
      <w:r w:rsidRPr="007B6D67" w:rsidR="005C6F02">
        <w:t>.</w:t>
      </w:r>
      <w:r>
        <w:rPr>
          <w:rStyle w:val="FootnoteReference"/>
        </w:rPr>
        <w:footnoteReference w:id="11"/>
      </w:r>
    </w:p>
    <w:p w:rsidR="002D329D" w:rsidRPr="007B6D67" w:rsidP="007B6D67" w14:paraId="53E2DDCB" w14:textId="63030388">
      <w:pPr>
        <w:pStyle w:val="Text"/>
        <w:spacing w:line="400" w:lineRule="exact"/>
        <w:ind w:firstLine="720"/>
      </w:pPr>
      <w:r w:rsidRPr="007B6D67">
        <w:t xml:space="preserve">Friend </w:t>
      </w:r>
      <w:r w:rsidRPr="007B6D67" w:rsidR="00F376E8">
        <w:t xml:space="preserve">further </w:t>
      </w:r>
      <w:r w:rsidRPr="007B6D67" w:rsidR="00D24D19">
        <w:t xml:space="preserve">maintains </w:t>
      </w:r>
      <w:r w:rsidRPr="007B6D67" w:rsidR="00F675A6">
        <w:t xml:space="preserve">the broad reading of </w:t>
      </w:r>
      <w:r w:rsidRPr="007B6D67" w:rsidR="00047569">
        <w:t xml:space="preserve">“successive” would encompass potentially meritorious claims that </w:t>
      </w:r>
      <w:r w:rsidRPr="007B6D67" w:rsidR="00F90EE9">
        <w:t>could not have been brought in the initial petition for procedural reasons</w:t>
      </w:r>
      <w:r w:rsidR="001E6815">
        <w:t> </w:t>
      </w:r>
      <w:r w:rsidRPr="007B6D67" w:rsidR="0078647F">
        <w:t>—</w:t>
      </w:r>
      <w:r w:rsidRPr="007B6D67" w:rsidR="00F90EE9">
        <w:t xml:space="preserve"> such as </w:t>
      </w:r>
      <w:r w:rsidRPr="007B6D67" w:rsidR="00892323">
        <w:t xml:space="preserve">a petition challenging </w:t>
      </w:r>
      <w:r w:rsidRPr="007B6D67" w:rsidR="00822DBB">
        <w:t xml:space="preserve">an execution method, which would have been deemed premature </w:t>
      </w:r>
      <w:r w:rsidRPr="007B6D67" w:rsidR="00832E99">
        <w:t>at the time of the first petition</w:t>
      </w:r>
      <w:r>
        <w:rPr>
          <w:rStyle w:val="FootnoteReference"/>
        </w:rPr>
        <w:footnoteReference w:id="12"/>
      </w:r>
      <w:r w:rsidR="001E6815">
        <w:t> </w:t>
      </w:r>
      <w:r w:rsidRPr="007B6D67" w:rsidR="00EC12D4">
        <w:t>— or because they arise from a change in applicable law</w:t>
      </w:r>
      <w:r w:rsidRPr="007B6D67" w:rsidR="00130E59">
        <w:t>.</w:t>
      </w:r>
      <w:r>
        <w:rPr>
          <w:rStyle w:val="FootnoteReference"/>
        </w:rPr>
        <w:footnoteReference w:id="13"/>
      </w:r>
      <w:r w:rsidRPr="007B6D67" w:rsidR="00B62A4D">
        <w:t xml:space="preserve"> </w:t>
      </w:r>
      <w:r w:rsidRPr="007B6D67" w:rsidR="00F70CED">
        <w:t xml:space="preserve"> </w:t>
      </w:r>
      <w:r w:rsidRPr="007B6D67" w:rsidR="00D3783B">
        <w:t xml:space="preserve">Finally, </w:t>
      </w:r>
      <w:r w:rsidRPr="007B6D67" w:rsidR="00092B21">
        <w:t xml:space="preserve">Friend </w:t>
      </w:r>
      <w:r w:rsidRPr="007B6D67" w:rsidR="00D3783B">
        <w:t xml:space="preserve">points to the possibility of </w:t>
      </w:r>
      <w:r w:rsidRPr="007B6D67" w:rsidR="009419F7">
        <w:t xml:space="preserve">meritorious claims of error, not going to innocence or ineligibility, that </w:t>
      </w:r>
      <w:r w:rsidRPr="007B6D67" w:rsidR="00C90DD1">
        <w:t>counsel for the petitioner</w:t>
      </w:r>
      <w:r w:rsidRPr="007B6D67" w:rsidR="002569A6">
        <w:t xml:space="preserve"> incompetently </w:t>
      </w:r>
      <w:r w:rsidRPr="007B6D67" w:rsidR="00C90DD1">
        <w:t>failed to include in the first petition</w:t>
      </w:r>
      <w:r w:rsidRPr="007B6D67" w:rsidR="005F2E77">
        <w:t xml:space="preserve">. </w:t>
      </w:r>
      <w:r w:rsidRPr="007B6D67" w:rsidR="000439DC">
        <w:t xml:space="preserve"> </w:t>
      </w:r>
      <w:r w:rsidRPr="007B6D67" w:rsidR="00267B76">
        <w:t xml:space="preserve">As explained earlier, </w:t>
      </w:r>
      <w:r w:rsidRPr="007B6D67" w:rsidR="00DE49BA">
        <w:rPr>
          <w:i/>
          <w:iCs/>
        </w:rPr>
        <w:t>Clark</w:t>
      </w:r>
      <w:r w:rsidRPr="007B6D67" w:rsidR="00DE49BA">
        <w:t xml:space="preserve">’s successiveness rule </w:t>
      </w:r>
      <w:r w:rsidRPr="007B6D67" w:rsidR="005168E9">
        <w:t xml:space="preserve">treats </w:t>
      </w:r>
      <w:r w:rsidRPr="007B6D67" w:rsidR="00B155F8">
        <w:t xml:space="preserve">counsel’s ineffective assistance, if established, as good cause for </w:t>
      </w:r>
      <w:r w:rsidRPr="007B6D67" w:rsidR="000B48FF">
        <w:t xml:space="preserve">raising the issue in a subsequent petition. </w:t>
      </w:r>
      <w:r w:rsidRPr="007B6D67" w:rsidR="00114852">
        <w:t xml:space="preserve"> (See </w:t>
      </w:r>
      <w:r w:rsidRPr="007B6D67" w:rsidR="00114852">
        <w:rPr>
          <w:i/>
          <w:iCs/>
        </w:rPr>
        <w:t>ante</w:t>
      </w:r>
      <w:r w:rsidRPr="007B6D67" w:rsidR="00114852">
        <w:t xml:space="preserve">, </w:t>
      </w:r>
      <w:r w:rsidRPr="007B6D67" w:rsidR="00A33B94">
        <w:t xml:space="preserve">at </w:t>
      </w:r>
      <w:r w:rsidRPr="007B6D67" w:rsidR="00114852">
        <w:t>p.</w:t>
      </w:r>
      <w:r w:rsidRPr="007B6D67" w:rsidR="000439DC">
        <w:t> </w:t>
      </w:r>
      <w:r w:rsidR="00254026">
        <w:t>13</w:t>
      </w:r>
      <w:r w:rsidRPr="007B6D67" w:rsidR="00114852">
        <w:t>.)</w:t>
      </w:r>
      <w:r w:rsidRPr="007B6D67" w:rsidR="002569A6">
        <w:t xml:space="preserve">  The broad reading of section 1509(d), by contrast, would bar the petitioner from ever raising the issue.</w:t>
      </w:r>
    </w:p>
    <w:p w:rsidR="001D68C9" w:rsidRPr="007B6D67" w:rsidP="007B6D67" w14:paraId="4D1FE86A" w14:textId="228B14AB">
      <w:pPr>
        <w:pStyle w:val="Text"/>
        <w:spacing w:line="400" w:lineRule="exact"/>
        <w:ind w:firstLine="720"/>
      </w:pPr>
      <w:r w:rsidRPr="007B6D67">
        <w:t xml:space="preserve">In </w:t>
      </w:r>
      <w:r w:rsidRPr="007B6D67" w:rsidR="00743DF4">
        <w:t>Friend</w:t>
      </w:r>
      <w:r w:rsidRPr="007B6D67">
        <w:t xml:space="preserve">’s view, </w:t>
      </w:r>
      <w:r w:rsidRPr="007B6D67" w:rsidR="00111872">
        <w:t xml:space="preserve">interpreting section 1509(d) to preclude all these categories of claims would </w:t>
      </w:r>
      <w:r w:rsidRPr="007B6D67" w:rsidR="00EE4F13">
        <w:t xml:space="preserve">raise serious questions as to whether Proposition 66 deprives </w:t>
      </w:r>
      <w:r w:rsidRPr="007B6D67" w:rsidR="00796743">
        <w:t>condemned prisoners of due process</w:t>
      </w:r>
      <w:r w:rsidRPr="007B6D67" w:rsidR="00923D77">
        <w:t xml:space="preserve"> and </w:t>
      </w:r>
      <w:r w:rsidRPr="007B6D67" w:rsidR="00796743">
        <w:t>equal protection of the laws</w:t>
      </w:r>
      <w:r w:rsidRPr="007B6D67" w:rsidR="00923D77">
        <w:t xml:space="preserve"> </w:t>
      </w:r>
      <w:r w:rsidRPr="007B6D67" w:rsidR="00C1468E">
        <w:t>and constitutes an imp</w:t>
      </w:r>
      <w:r w:rsidRPr="007B6D67" w:rsidR="00CB7F0C">
        <w:t>ermissible</w:t>
      </w:r>
      <w:r w:rsidRPr="007B6D67" w:rsidR="00C1468E">
        <w:t xml:space="preserve"> suspension of the writ of habeas corpus</w:t>
      </w:r>
      <w:r w:rsidRPr="007B6D67" w:rsidR="00743DF4">
        <w:t xml:space="preserve"> under the state </w:t>
      </w:r>
      <w:r w:rsidRPr="007B6D67" w:rsidR="00952441">
        <w:t xml:space="preserve">and federal </w:t>
      </w:r>
      <w:r w:rsidRPr="007B6D67" w:rsidR="00B06B29">
        <w:t>C</w:t>
      </w:r>
      <w:r w:rsidRPr="007B6D67" w:rsidR="00743DF4">
        <w:t>onstitution</w:t>
      </w:r>
      <w:r w:rsidRPr="007B6D67" w:rsidR="00952441">
        <w:t>s</w:t>
      </w:r>
      <w:r w:rsidRPr="007B6D67" w:rsidR="00C1468E">
        <w:t xml:space="preserve">.  </w:t>
      </w:r>
      <w:r w:rsidRPr="007B6D67" w:rsidR="002D329D">
        <w:t>The Attorney General agrees</w:t>
      </w:r>
      <w:r w:rsidRPr="007B6D67" w:rsidR="005E0068">
        <w:t xml:space="preserve"> that the broad reading of section 1509(d) would raise serious constitutional questions, and for that reason is to be avoided</w:t>
      </w:r>
      <w:r w:rsidRPr="007B6D67" w:rsidR="002D329D">
        <w:t xml:space="preserve">.  </w:t>
      </w:r>
      <w:r w:rsidRPr="007B6D67" w:rsidR="00092B21">
        <w:t xml:space="preserve">Although the </w:t>
      </w:r>
      <w:r w:rsidRPr="007B6D67" w:rsidR="00F513CD">
        <w:t xml:space="preserve">Constitutional Law </w:t>
      </w:r>
      <w:r w:rsidR="00254026">
        <w:t>Amici</w:t>
      </w:r>
      <w:r w:rsidRPr="007B6D67" w:rsidR="00092B21">
        <w:t xml:space="preserve"> agree with CJLF that section 1509(d) should be interpreted broadly, they contend that the statute, so interpreted, is </w:t>
      </w:r>
      <w:r w:rsidRPr="007B6D67" w:rsidR="005E0068">
        <w:t xml:space="preserve">in fact </w:t>
      </w:r>
      <w:r w:rsidRPr="007B6D67" w:rsidR="00092B21">
        <w:t>unconstitutional</w:t>
      </w:r>
      <w:r w:rsidRPr="007B6D67" w:rsidR="001C6FEF">
        <w:t xml:space="preserve"> </w:t>
      </w:r>
      <w:r w:rsidRPr="007B6D67" w:rsidR="00007FBE">
        <w:t xml:space="preserve">because it screens out meritorious claims that could not have been raised </w:t>
      </w:r>
      <w:r w:rsidRPr="007B6D67" w:rsidR="00833F69">
        <w:t>in the earlier petition</w:t>
      </w:r>
      <w:r w:rsidRPr="007B6D67" w:rsidR="00092B21">
        <w:t>.</w:t>
      </w:r>
      <w:r w:rsidRPr="007B6D67" w:rsidR="00377541">
        <w:t xml:space="preserve">  </w:t>
      </w:r>
      <w:r w:rsidRPr="007B6D67">
        <w:t xml:space="preserve">Amicus curiae CJLF, on the other hand, takes the view that the broad reading of section 1509(d) raises no serious constitutional </w:t>
      </w:r>
      <w:r w:rsidRPr="007B6D67" w:rsidR="0066669C">
        <w:t>doubts</w:t>
      </w:r>
      <w:r w:rsidRPr="007B6D67">
        <w:t xml:space="preserve">.  </w:t>
      </w:r>
    </w:p>
    <w:p w:rsidR="00AA43A2" w:rsidRPr="007B6D67" w:rsidP="007B6D67" w14:paraId="4F6A6554" w14:textId="3386FF2C">
      <w:pPr>
        <w:pStyle w:val="Text"/>
        <w:spacing w:line="400" w:lineRule="exact"/>
        <w:ind w:firstLine="720"/>
        <w:rPr>
          <w:szCs w:val="26"/>
        </w:rPr>
      </w:pPr>
      <w:r w:rsidRPr="007B6D67">
        <w:t>W</w:t>
      </w:r>
      <w:r w:rsidRPr="007B6D67" w:rsidR="009A73DD">
        <w:t>e need not definitively resolve th</w:t>
      </w:r>
      <w:r w:rsidR="000F461F">
        <w:t>e</w:t>
      </w:r>
      <w:r w:rsidRPr="007B6D67" w:rsidR="009A73DD">
        <w:t xml:space="preserve"> constitutional </w:t>
      </w:r>
      <w:r w:rsidRPr="007B6D67" w:rsidR="004505BD">
        <w:t xml:space="preserve">debate </w:t>
      </w:r>
      <w:r w:rsidRPr="007B6D67" w:rsidR="009A73DD">
        <w:t>here</w:t>
      </w:r>
      <w:r w:rsidRPr="007B6D67" w:rsidR="004505BD">
        <w:t xml:space="preserve">.  For present purposes </w:t>
      </w:r>
      <w:r w:rsidRPr="007B6D67">
        <w:t>it is enough to observe that</w:t>
      </w:r>
      <w:r w:rsidR="000F461F">
        <w:t xml:space="preserve"> the constitutional questions Friend raises are both novel and serious.  </w:t>
      </w:r>
      <w:r w:rsidRPr="007B6D67" w:rsidR="00B75F05">
        <w:t xml:space="preserve">The </w:t>
      </w:r>
      <w:r w:rsidRPr="007B6D67" w:rsidR="005578A8">
        <w:t>California</w:t>
      </w:r>
      <w:r w:rsidRPr="007B6D67" w:rsidR="00FD3999">
        <w:t xml:space="preserve"> </w:t>
      </w:r>
      <w:r w:rsidRPr="007B6D67" w:rsidR="00B75F05">
        <w:t xml:space="preserve">Constitution </w:t>
      </w:r>
      <w:r w:rsidRPr="007B6D67" w:rsidR="005578A8">
        <w:t xml:space="preserve">has protected </w:t>
      </w:r>
      <w:r w:rsidRPr="007B6D67" w:rsidR="00FD3999">
        <w:t>the right to seek relief by habeas corpus since our state’s founding</w:t>
      </w:r>
      <w:r w:rsidRPr="007B6D67" w:rsidR="00A22B50">
        <w:t>.  (</w:t>
      </w:r>
      <w:r w:rsidRPr="007B6D67" w:rsidR="001154C5">
        <w:t>Cal. Const. of 1849, art. I, §</w:t>
      </w:r>
      <w:r w:rsidRPr="007B6D67" w:rsidR="000439DC">
        <w:t> </w:t>
      </w:r>
      <w:r w:rsidRPr="007B6D67" w:rsidR="001154C5">
        <w:t xml:space="preserve">5; </w:t>
      </w:r>
      <w:r w:rsidRPr="007B6D67" w:rsidR="008A553E">
        <w:t>s</w:t>
      </w:r>
      <w:r w:rsidRPr="007B6D67" w:rsidR="00A22B50">
        <w:t xml:space="preserve">ee </w:t>
      </w:r>
      <w:r w:rsidRPr="007B6D67" w:rsidR="00A22B50">
        <w:rPr>
          <w:i/>
          <w:iCs/>
        </w:rPr>
        <w:t>Clark</w:t>
      </w:r>
      <w:r w:rsidRPr="007B6D67" w:rsidR="00A22B50">
        <w:t xml:space="preserve">, </w:t>
      </w:r>
      <w:r w:rsidRPr="007B6D67" w:rsidR="00A22B50">
        <w:rPr>
          <w:i/>
          <w:iCs/>
        </w:rPr>
        <w:t>supra</w:t>
      </w:r>
      <w:r w:rsidRPr="007B6D67" w:rsidR="00A22B50">
        <w:t>, 5 Cal.4th at p.</w:t>
      </w:r>
      <w:r w:rsidRPr="007B6D67" w:rsidR="000439DC">
        <w:t> </w:t>
      </w:r>
      <w:r w:rsidRPr="007B6D67" w:rsidR="00A22B50">
        <w:t>764</w:t>
      </w:r>
      <w:r w:rsidRPr="007B6D67" w:rsidR="001154C5">
        <w:t>.</w:t>
      </w:r>
      <w:r w:rsidRPr="007B6D67" w:rsidR="00A22B50">
        <w:t>)</w:t>
      </w:r>
      <w:r w:rsidRPr="007B6D67" w:rsidR="00BA7488">
        <w:t xml:space="preserve">  </w:t>
      </w:r>
      <w:r w:rsidRPr="007B6D67" w:rsidR="00D87784">
        <w:t>Habeas, we have explained, “</w:t>
      </w:r>
      <w:r w:rsidRPr="007B6D67" w:rsidR="007503CE">
        <w:t>often represents a prisoner’s last chance to obtain judicial review”</w:t>
      </w:r>
      <w:r w:rsidRPr="007B6D67" w:rsidR="00D87784">
        <w:t xml:space="preserve"> of a criminal conviction.</w:t>
      </w:r>
      <w:r w:rsidRPr="007B6D67" w:rsidR="007503CE">
        <w:t xml:space="preserve">  (</w:t>
      </w:r>
      <w:r w:rsidRPr="007B6D67" w:rsidR="007503CE">
        <w:rPr>
          <w:i/>
          <w:iCs/>
        </w:rPr>
        <w:t>Reno</w:t>
      </w:r>
      <w:r w:rsidRPr="007B6D67" w:rsidR="007503CE">
        <w:t xml:space="preserve">, </w:t>
      </w:r>
      <w:r w:rsidRPr="007B6D67" w:rsidR="007503CE">
        <w:rPr>
          <w:i/>
          <w:iCs/>
        </w:rPr>
        <w:t>supra</w:t>
      </w:r>
      <w:r w:rsidRPr="007B6D67" w:rsidR="007503CE">
        <w:t>, 55 Cal.4th at p.</w:t>
      </w:r>
      <w:r w:rsidRPr="007B6D67" w:rsidR="000439DC">
        <w:t> </w:t>
      </w:r>
      <w:r w:rsidRPr="007B6D67" w:rsidR="007503CE">
        <w:t>450.)  The law preserves this avenue to relief in service of principles of substantial justice:  “</w:t>
      </w:r>
      <w:r w:rsidRPr="007B6D67" w:rsidR="000439DC">
        <w:t> </w:t>
      </w:r>
      <w:r w:rsidRPr="007B6D67" w:rsidR="007503CE">
        <w:t>‘Despite the substantive and procedural protections afforded those accused of committing crimes, the basic charters governing our society wisely hold open a final possibility for prisoners to prove their convictions were obtained unjustly.’</w:t>
      </w:r>
      <w:r w:rsidRPr="007B6D67" w:rsidR="000439DC">
        <w:t> </w:t>
      </w:r>
      <w:r w:rsidRPr="007B6D67" w:rsidR="007503CE">
        <w:t>”  (</w:t>
      </w:r>
      <w:r w:rsidRPr="007B6D67" w:rsidR="007503CE">
        <w:rPr>
          <w:i/>
          <w:iCs/>
        </w:rPr>
        <w:t>I</w:t>
      </w:r>
      <w:r w:rsidR="008A2594">
        <w:rPr>
          <w:i/>
          <w:iCs/>
        </w:rPr>
        <w:t>bi</w:t>
      </w:r>
      <w:r w:rsidRPr="007B6D67" w:rsidR="007503CE">
        <w:rPr>
          <w:i/>
          <w:iCs/>
        </w:rPr>
        <w:t>d.</w:t>
      </w:r>
      <w:r w:rsidRPr="007B6D67" w:rsidR="007503CE">
        <w:t>)</w:t>
      </w:r>
      <w:r w:rsidRPr="007B6D67" w:rsidR="00D87784">
        <w:t xml:space="preserve">  And although we have long limited piecemeal and repetitive claims as an abuse of the writ, the same principles of substantial justice have led us to leave “</w:t>
      </w:r>
      <w:r w:rsidRPr="007B6D67" w:rsidR="00E87ADF">
        <w:t>open</w:t>
      </w:r>
      <w:r w:rsidRPr="007B6D67" w:rsidR="009B3AC0">
        <w:t xml:space="preserve"> </w:t>
      </w:r>
      <w:r w:rsidRPr="007B6D67" w:rsidR="009B3AC0">
        <w:rPr>
          <w:szCs w:val="26"/>
        </w:rPr>
        <w:t>a ‘safety valve’ for those rare or unusual claims that could not reasonably have been raised at an earlier time.”  (</w:t>
      </w:r>
      <w:r w:rsidRPr="00254026" w:rsidR="00254026">
        <w:rPr>
          <w:i/>
          <w:iCs/>
          <w:szCs w:val="26"/>
        </w:rPr>
        <w:t>Id.</w:t>
      </w:r>
      <w:r w:rsidR="002D7DC2">
        <w:rPr>
          <w:i/>
          <w:iCs/>
          <w:szCs w:val="26"/>
        </w:rPr>
        <w:t xml:space="preserve"> </w:t>
      </w:r>
      <w:r w:rsidR="002D7DC2">
        <w:rPr>
          <w:szCs w:val="26"/>
        </w:rPr>
        <w:t>at</w:t>
      </w:r>
      <w:r w:rsidR="00254026">
        <w:rPr>
          <w:szCs w:val="26"/>
        </w:rPr>
        <w:t xml:space="preserve"> </w:t>
      </w:r>
      <w:r w:rsidRPr="007B6D67" w:rsidR="009B3AC0">
        <w:rPr>
          <w:szCs w:val="26"/>
        </w:rPr>
        <w:t>p.</w:t>
      </w:r>
      <w:r w:rsidRPr="007B6D67" w:rsidR="000439DC">
        <w:rPr>
          <w:szCs w:val="26"/>
        </w:rPr>
        <w:t> </w:t>
      </w:r>
      <w:r w:rsidRPr="007B6D67" w:rsidR="009B3AC0">
        <w:rPr>
          <w:szCs w:val="26"/>
        </w:rPr>
        <w:t>452</w:t>
      </w:r>
      <w:r w:rsidRPr="007B6D67" w:rsidR="00A12D6E">
        <w:rPr>
          <w:szCs w:val="26"/>
        </w:rPr>
        <w:t>.)</w:t>
      </w:r>
      <w:r w:rsidRPr="007B6D67" w:rsidR="008B41E7">
        <w:rPr>
          <w:szCs w:val="26"/>
        </w:rPr>
        <w:t xml:space="preserve">  Our rules have </w:t>
      </w:r>
      <w:r w:rsidRPr="007B6D67" w:rsidR="00D87784">
        <w:rPr>
          <w:szCs w:val="26"/>
        </w:rPr>
        <w:t xml:space="preserve">thus </w:t>
      </w:r>
      <w:r w:rsidRPr="007B6D67" w:rsidR="008B41E7">
        <w:rPr>
          <w:szCs w:val="26"/>
        </w:rPr>
        <w:t>sought to “permit the resolution of legitimate claims in the fairest and most efficacious manner possible,” without barring legitimate claims raised belatedly through no fault of the petitioner.  (</w:t>
      </w:r>
      <w:r w:rsidRPr="007B6D67" w:rsidR="008B41E7">
        <w:rPr>
          <w:i/>
          <w:iCs/>
          <w:szCs w:val="26"/>
        </w:rPr>
        <w:t>Ibid.</w:t>
      </w:r>
      <w:r w:rsidRPr="007B6D67" w:rsidR="008B41E7">
        <w:rPr>
          <w:szCs w:val="26"/>
        </w:rPr>
        <w:t>)</w:t>
      </w:r>
    </w:p>
    <w:p w:rsidR="00E14391" w:rsidRPr="007B6D67" w:rsidP="007B6D67" w14:paraId="5AE69AA8" w14:textId="413224AC">
      <w:pPr>
        <w:pStyle w:val="Text"/>
        <w:spacing w:line="400" w:lineRule="exact"/>
        <w:ind w:firstLine="720"/>
        <w:rPr>
          <w:szCs w:val="26"/>
        </w:rPr>
      </w:pPr>
      <w:r w:rsidRPr="007B6D67">
        <w:rPr>
          <w:szCs w:val="26"/>
        </w:rPr>
        <w:t xml:space="preserve">If </w:t>
      </w:r>
      <w:r w:rsidR="000F461F">
        <w:rPr>
          <w:szCs w:val="26"/>
        </w:rPr>
        <w:t xml:space="preserve">Proposition 66 were </w:t>
      </w:r>
      <w:r w:rsidRPr="007B6D67">
        <w:rPr>
          <w:szCs w:val="26"/>
        </w:rPr>
        <w:t>c</w:t>
      </w:r>
      <w:r w:rsidRPr="007B6D67" w:rsidR="00A12D6E">
        <w:rPr>
          <w:szCs w:val="26"/>
        </w:rPr>
        <w:t xml:space="preserve">onstrued to preclude </w:t>
      </w:r>
      <w:r w:rsidRPr="007B6D67" w:rsidR="00BD05C9">
        <w:rPr>
          <w:szCs w:val="26"/>
        </w:rPr>
        <w:t xml:space="preserve">even </w:t>
      </w:r>
      <w:r w:rsidRPr="007B6D67" w:rsidR="002B2AC9">
        <w:rPr>
          <w:szCs w:val="26"/>
        </w:rPr>
        <w:t xml:space="preserve">claims of constitutional error that </w:t>
      </w:r>
      <w:r w:rsidRPr="007B6D67" w:rsidR="00BD05C9">
        <w:rPr>
          <w:szCs w:val="26"/>
        </w:rPr>
        <w:t xml:space="preserve">could not have been raised earlier with reasonable diligence, </w:t>
      </w:r>
      <w:r w:rsidR="000F461F">
        <w:rPr>
          <w:szCs w:val="26"/>
        </w:rPr>
        <w:t>it would mark the first time that the law has closed that long</w:t>
      </w:r>
      <w:r w:rsidR="00200D32">
        <w:rPr>
          <w:szCs w:val="26"/>
        </w:rPr>
        <w:t>-</w:t>
      </w:r>
      <w:r w:rsidR="000F461F">
        <w:rPr>
          <w:szCs w:val="26"/>
        </w:rPr>
        <w:t xml:space="preserve">standing safety valve </w:t>
      </w:r>
      <w:r w:rsidRPr="007B6D67" w:rsidR="003F432B">
        <w:rPr>
          <w:szCs w:val="26"/>
        </w:rPr>
        <w:t>for newly available claims</w:t>
      </w:r>
      <w:r w:rsidRPr="007B6D67" w:rsidR="00A32A98">
        <w:rPr>
          <w:szCs w:val="26"/>
        </w:rPr>
        <w:t xml:space="preserve">.  </w:t>
      </w:r>
      <w:r w:rsidR="000F461F">
        <w:rPr>
          <w:szCs w:val="26"/>
        </w:rPr>
        <w:t>The statute</w:t>
      </w:r>
      <w:r w:rsidRPr="007B6D67" w:rsidR="00A32A98">
        <w:rPr>
          <w:szCs w:val="26"/>
        </w:rPr>
        <w:t xml:space="preserve"> would instead apply the same exacting innocence or ineligibility standard to all claims raised in a second or successive petition, whether justifiably or not.  It is a significant question w</w:t>
      </w:r>
      <w:r w:rsidRPr="007B6D67" w:rsidR="00631942">
        <w:rPr>
          <w:szCs w:val="26"/>
        </w:rPr>
        <w:t xml:space="preserve">hether such a drastic restriction </w:t>
      </w:r>
      <w:r w:rsidRPr="007B6D67" w:rsidR="000A5E7F">
        <w:rPr>
          <w:szCs w:val="26"/>
        </w:rPr>
        <w:t>on the effectiveness of the habeas corpus remedy</w:t>
      </w:r>
      <w:r w:rsidRPr="007B6D67" w:rsidR="00EB0E91">
        <w:rPr>
          <w:szCs w:val="26"/>
        </w:rPr>
        <w:t xml:space="preserve"> </w:t>
      </w:r>
      <w:r w:rsidRPr="007B6D67" w:rsidR="00DB7E31">
        <w:rPr>
          <w:szCs w:val="26"/>
        </w:rPr>
        <w:t xml:space="preserve">would </w:t>
      </w:r>
      <w:r w:rsidRPr="007B6D67" w:rsidR="00EB0E91">
        <w:rPr>
          <w:szCs w:val="26"/>
        </w:rPr>
        <w:t xml:space="preserve">comport </w:t>
      </w:r>
      <w:r w:rsidRPr="007B6D67" w:rsidR="00980306">
        <w:rPr>
          <w:szCs w:val="26"/>
        </w:rPr>
        <w:t xml:space="preserve">with </w:t>
      </w:r>
      <w:r w:rsidRPr="007B6D67" w:rsidR="00BF3E7C">
        <w:rPr>
          <w:szCs w:val="26"/>
        </w:rPr>
        <w:t xml:space="preserve">the </w:t>
      </w:r>
      <w:r w:rsidRPr="007B6D67" w:rsidR="00EB0E91">
        <w:rPr>
          <w:szCs w:val="26"/>
        </w:rPr>
        <w:t>principles of substantial justice</w:t>
      </w:r>
      <w:r w:rsidRPr="007B6D67" w:rsidR="00BF3E7C">
        <w:rPr>
          <w:szCs w:val="26"/>
        </w:rPr>
        <w:t xml:space="preserve"> that </w:t>
      </w:r>
      <w:r w:rsidRPr="007B6D67" w:rsidR="00930FC1">
        <w:rPr>
          <w:szCs w:val="26"/>
        </w:rPr>
        <w:t xml:space="preserve">lie at the core of our </w:t>
      </w:r>
      <w:r w:rsidR="00897CD8">
        <w:rPr>
          <w:szCs w:val="26"/>
        </w:rPr>
        <w:t xml:space="preserve">state </w:t>
      </w:r>
      <w:r w:rsidRPr="007B6D67" w:rsidR="00B4063D">
        <w:rPr>
          <w:szCs w:val="26"/>
        </w:rPr>
        <w:t>C</w:t>
      </w:r>
      <w:r w:rsidRPr="007B6D67" w:rsidR="00930FC1">
        <w:rPr>
          <w:szCs w:val="26"/>
        </w:rPr>
        <w:t xml:space="preserve">onstitution’s </w:t>
      </w:r>
      <w:r w:rsidRPr="007B6D67" w:rsidR="00BF3E7C">
        <w:rPr>
          <w:szCs w:val="26"/>
        </w:rPr>
        <w:t xml:space="preserve">habeas </w:t>
      </w:r>
      <w:r w:rsidRPr="007B6D67" w:rsidR="00930FC1">
        <w:rPr>
          <w:szCs w:val="26"/>
        </w:rPr>
        <w:t>protection</w:t>
      </w:r>
      <w:r w:rsidRPr="007B6D67" w:rsidR="00ED7DD2">
        <w:rPr>
          <w:szCs w:val="26"/>
        </w:rPr>
        <w:t>s</w:t>
      </w:r>
      <w:r w:rsidRPr="007B6D67" w:rsidR="00930FC1">
        <w:rPr>
          <w:szCs w:val="26"/>
        </w:rPr>
        <w:t>.</w:t>
      </w:r>
    </w:p>
    <w:p w:rsidR="006930D1" w:rsidRPr="007B6D67" w:rsidP="007B6D67" w14:paraId="45E5FBAC" w14:textId="6C704764">
      <w:pPr>
        <w:pStyle w:val="Text"/>
        <w:spacing w:line="400" w:lineRule="exact"/>
        <w:ind w:firstLine="720"/>
        <w:rPr>
          <w:szCs w:val="26"/>
        </w:rPr>
      </w:pPr>
      <w:r w:rsidRPr="007B6D67">
        <w:rPr>
          <w:szCs w:val="26"/>
        </w:rPr>
        <w:t>The due process implications of this approach are likewise substantial.  Under the broad reading of section 1509(d), a</w:t>
      </w:r>
      <w:r w:rsidRPr="007B6D67" w:rsidR="00DB7E31">
        <w:rPr>
          <w:szCs w:val="26"/>
        </w:rPr>
        <w:t xml:space="preserve"> capital prisoner who discovers that the prosecution has suppressed material mitigation evidence, or that one of the convicting jurors repeatedly expressed racial or other bias against him</w:t>
      </w:r>
      <w:r w:rsidR="008A2594">
        <w:rPr>
          <w:szCs w:val="26"/>
        </w:rPr>
        <w:t xml:space="preserve"> or her</w:t>
      </w:r>
      <w:r w:rsidRPr="007B6D67" w:rsidR="00DB7E31">
        <w:rPr>
          <w:szCs w:val="26"/>
        </w:rPr>
        <w:t xml:space="preserve">, would have no recourse if the persons involved managed to </w:t>
      </w:r>
      <w:r w:rsidRPr="007B6D67" w:rsidR="00767BEB">
        <w:rPr>
          <w:szCs w:val="26"/>
        </w:rPr>
        <w:t xml:space="preserve">conceal </w:t>
      </w:r>
      <w:r w:rsidRPr="007B6D67" w:rsidR="00DB7E31">
        <w:rPr>
          <w:szCs w:val="26"/>
        </w:rPr>
        <w:t xml:space="preserve">the information </w:t>
      </w:r>
      <w:r w:rsidRPr="007B6D67" w:rsidR="00642F35">
        <w:rPr>
          <w:szCs w:val="26"/>
        </w:rPr>
        <w:t>long enough</w:t>
      </w:r>
      <w:r w:rsidRPr="007B6D67" w:rsidR="00DB7E31">
        <w:rPr>
          <w:szCs w:val="26"/>
        </w:rPr>
        <w:t>.</w:t>
      </w:r>
      <w:r w:rsidRPr="007B6D67" w:rsidR="00642F35">
        <w:rPr>
          <w:szCs w:val="26"/>
        </w:rPr>
        <w:t xml:space="preserve">  </w:t>
      </w:r>
      <w:r w:rsidRPr="007B6D67" w:rsidR="00746062">
        <w:rPr>
          <w:szCs w:val="26"/>
        </w:rPr>
        <w:t xml:space="preserve">To foreclose such claims by capital prisoners raises substantial questions of procedural fairness.  </w:t>
      </w:r>
    </w:p>
    <w:p w:rsidR="00C20F12" w:rsidRPr="007B6D67" w:rsidP="007B6D67" w14:paraId="05BF55C6" w14:textId="4FA770A6">
      <w:pPr>
        <w:pStyle w:val="Text"/>
        <w:spacing w:line="400" w:lineRule="exact"/>
        <w:ind w:firstLine="720"/>
        <w:rPr>
          <w:szCs w:val="26"/>
        </w:rPr>
      </w:pPr>
      <w:r w:rsidRPr="007B6D67">
        <w:rPr>
          <w:szCs w:val="26"/>
        </w:rPr>
        <w:t xml:space="preserve">When we consider </w:t>
      </w:r>
      <w:r w:rsidRPr="007B6D67">
        <w:rPr>
          <w:szCs w:val="26"/>
        </w:rPr>
        <w:t xml:space="preserve">procedural due process claims under the California Constitution, </w:t>
      </w:r>
      <w:r w:rsidRPr="007B6D67" w:rsidR="00DB7D43">
        <w:rPr>
          <w:szCs w:val="26"/>
        </w:rPr>
        <w:t xml:space="preserve">we weigh </w:t>
      </w:r>
      <w:r w:rsidRPr="007B6D67" w:rsidR="003F432B">
        <w:rPr>
          <w:szCs w:val="26"/>
        </w:rPr>
        <w:t xml:space="preserve">four factors:  </w:t>
      </w:r>
      <w:r w:rsidRPr="007B6D67">
        <w:rPr>
          <w:szCs w:val="26"/>
        </w:rPr>
        <w:t>“ ‘(1)</w:t>
      </w:r>
      <w:r w:rsidRPr="007B6D67" w:rsidR="000439DC">
        <w:rPr>
          <w:szCs w:val="26"/>
        </w:rPr>
        <w:t> </w:t>
      </w:r>
      <w:r w:rsidRPr="007B6D67">
        <w:rPr>
          <w:szCs w:val="26"/>
        </w:rPr>
        <w:t>the private interest that will be affected by the official action; (2)</w:t>
      </w:r>
      <w:r w:rsidRPr="007B6D67" w:rsidR="000439DC">
        <w:rPr>
          <w:szCs w:val="26"/>
        </w:rPr>
        <w:t> </w:t>
      </w:r>
      <w:r w:rsidRPr="007B6D67">
        <w:rPr>
          <w:szCs w:val="26"/>
        </w:rPr>
        <w:t>the risk of an erroneous deprivation of such interest through the procedures used, and the probable value, if any, of additional or substitute procedural safeguards; (3)</w:t>
      </w:r>
      <w:r w:rsidRPr="007B6D67" w:rsidR="000439DC">
        <w:rPr>
          <w:szCs w:val="26"/>
        </w:rPr>
        <w:t> </w:t>
      </w:r>
      <w:r w:rsidRPr="007B6D67">
        <w:rPr>
          <w:szCs w:val="26"/>
        </w:rPr>
        <w:t>the government</w:t>
      </w:r>
      <w:r w:rsidRPr="007B6D67" w:rsidR="00BF3E7C">
        <w:rPr>
          <w:szCs w:val="26"/>
        </w:rPr>
        <w:t>’</w:t>
      </w:r>
      <w:r w:rsidRPr="007B6D67">
        <w:rPr>
          <w:szCs w:val="26"/>
        </w:rPr>
        <w:t>s interest, including the function involved and the fiscal and administrative burdens that the additional or substitute procedural requirement would entail; and (4)</w:t>
      </w:r>
      <w:r w:rsidRPr="007B6D67" w:rsidR="000439DC">
        <w:rPr>
          <w:szCs w:val="26"/>
        </w:rPr>
        <w:t> </w:t>
      </w:r>
      <w:r w:rsidRPr="007B6D67">
        <w:rPr>
          <w:szCs w:val="26"/>
        </w:rPr>
        <w:t>the dignitary interest in informing individuals of the nature, grounds, and consequences of the action and in enabling them to present their side of the story before a responsible government official.’ ”  (</w:t>
      </w:r>
      <w:r w:rsidRPr="007B6D67">
        <w:rPr>
          <w:i/>
          <w:iCs/>
          <w:szCs w:val="26"/>
        </w:rPr>
        <w:t>People v. Allen</w:t>
      </w:r>
      <w:r w:rsidRPr="007B6D67">
        <w:rPr>
          <w:szCs w:val="26"/>
        </w:rPr>
        <w:t xml:space="preserve"> (2008) 44 Cal.4th 843, 862–863.)  Considering the weighty private interest at stake in a capital habeas corpus proceeding, the risk of error created when potentially meritorious claims are barred even if presented as promptly as reasonably possible upon discovery, </w:t>
      </w:r>
      <w:r w:rsidRPr="007B6D67" w:rsidR="003B7917">
        <w:rPr>
          <w:szCs w:val="26"/>
        </w:rPr>
        <w:t>and the dignitary significance of ensuring the validity of death judgments before execution, it is at least questionable whether governmental interests in finality of judgments and conservation of judicial resources can justify a rule barring all but a very narrow class of claims presented in second or subsequent petitions regardless of whether barred claims could have been presented earlier.</w:t>
      </w:r>
      <w:r>
        <w:rPr>
          <w:rStyle w:val="FootnoteReference"/>
          <w:szCs w:val="26"/>
        </w:rPr>
        <w:footnoteReference w:id="14"/>
      </w:r>
    </w:p>
    <w:p w:rsidR="00DB7E31" w:rsidRPr="007B6D67" w:rsidP="007B6D67" w14:paraId="319F5CBA" w14:textId="71FBEBB5">
      <w:pPr>
        <w:pStyle w:val="Text"/>
        <w:spacing w:line="400" w:lineRule="exact"/>
        <w:ind w:firstLine="720"/>
        <w:rPr>
          <w:szCs w:val="26"/>
        </w:rPr>
      </w:pPr>
      <w:r w:rsidRPr="007B6D67">
        <w:t xml:space="preserve">Other </w:t>
      </w:r>
      <w:r w:rsidRPr="007B6D67">
        <w:t xml:space="preserve">state courts </w:t>
      </w:r>
      <w:r w:rsidRPr="007B6D67">
        <w:t>have</w:t>
      </w:r>
      <w:r w:rsidRPr="007B6D67" w:rsidR="00220309">
        <w:t xml:space="preserve"> </w:t>
      </w:r>
      <w:r w:rsidRPr="007B6D67" w:rsidR="00D74D97">
        <w:t xml:space="preserve">concluded that </w:t>
      </w:r>
      <w:r w:rsidRPr="007B6D67" w:rsidR="0059552E">
        <w:t xml:space="preserve">similar </w:t>
      </w:r>
      <w:r w:rsidRPr="007B6D67" w:rsidR="00FD66A8">
        <w:t>constitutional principles</w:t>
      </w:r>
      <w:r w:rsidRPr="007B6D67" w:rsidR="00D74D97">
        <w:t xml:space="preserve"> forbid </w:t>
      </w:r>
      <w:r w:rsidRPr="007B6D67">
        <w:t>categorical restrictions on the presentation of habeas claims that could not reasonably have been raised earlier.</w:t>
      </w:r>
      <w:r w:rsidRPr="007B6D67">
        <w:t xml:space="preserve">  (</w:t>
      </w:r>
      <w:r w:rsidRPr="007B6D67">
        <w:rPr>
          <w:i/>
          <w:iCs/>
          <w:szCs w:val="26"/>
        </w:rPr>
        <w:t>People v. Germany</w:t>
      </w:r>
      <w:r w:rsidRPr="007B6D67" w:rsidR="000439DC">
        <w:rPr>
          <w:i/>
          <w:iCs/>
          <w:szCs w:val="26"/>
        </w:rPr>
        <w:t xml:space="preserve"> </w:t>
      </w:r>
      <w:r w:rsidRPr="007B6D67">
        <w:rPr>
          <w:szCs w:val="26"/>
        </w:rPr>
        <w:t>(Colo.</w:t>
      </w:r>
      <w:r w:rsidRPr="007B6D67" w:rsidR="000439DC">
        <w:rPr>
          <w:szCs w:val="26"/>
        </w:rPr>
        <w:t> </w:t>
      </w:r>
      <w:r w:rsidRPr="007B6D67">
        <w:rPr>
          <w:szCs w:val="26"/>
        </w:rPr>
        <w:t xml:space="preserve">1983) 674 P.2d 345, 353 [statute barring all collateral challenges commenced after a period of limitation violates state and federal due process in that it “makes no attempt to distinguish between those constitutional challenges which could and should have been asserted in a timely manner and those which, due to special circumstances or causes, could not have been raised within the applicable period of limitation”]; </w:t>
      </w:r>
      <w:r w:rsidRPr="007B6D67">
        <w:rPr>
          <w:i/>
          <w:iCs/>
          <w:szCs w:val="26"/>
        </w:rPr>
        <w:t>Lott v. State</w:t>
      </w:r>
      <w:r w:rsidRPr="007B6D67">
        <w:rPr>
          <w:szCs w:val="26"/>
        </w:rPr>
        <w:t xml:space="preserve"> (2006) 334 Mont. 270, 278</w:t>
      </w:r>
      <w:r w:rsidRPr="007B6D67" w:rsidR="003B614B">
        <w:t>–</w:t>
      </w:r>
      <w:r w:rsidRPr="007B6D67">
        <w:rPr>
          <w:szCs w:val="26"/>
        </w:rPr>
        <w:t>279 [precluding invalid</w:t>
      </w:r>
      <w:r w:rsidRPr="007B6D67">
        <w:rPr>
          <w:szCs w:val="26"/>
        </w:rPr>
        <w:noBreakHyphen/>
        <w:t xml:space="preserve">conviction claim that is based on an intervening statutory interpretation would violate the state </w:t>
      </w:r>
      <w:r w:rsidRPr="007B6D67" w:rsidR="00B06B29">
        <w:rPr>
          <w:szCs w:val="26"/>
        </w:rPr>
        <w:t>C</w:t>
      </w:r>
      <w:r w:rsidRPr="007B6D67">
        <w:rPr>
          <w:szCs w:val="26"/>
        </w:rPr>
        <w:t>onstitution’s suspension clause].)</w:t>
      </w:r>
      <w:r w:rsidRPr="007B6D67">
        <w:rPr>
          <w:szCs w:val="26"/>
        </w:rPr>
        <w:t xml:space="preserve">  </w:t>
      </w:r>
      <w:r w:rsidRPr="007B6D67" w:rsidR="00965542">
        <w:rPr>
          <w:szCs w:val="26"/>
        </w:rPr>
        <w:t>W</w:t>
      </w:r>
      <w:r w:rsidRPr="007B6D67">
        <w:rPr>
          <w:szCs w:val="26"/>
        </w:rPr>
        <w:t xml:space="preserve">e need not </w:t>
      </w:r>
      <w:r w:rsidRPr="007B6D67" w:rsidR="00AB3542">
        <w:rPr>
          <w:szCs w:val="26"/>
        </w:rPr>
        <w:t xml:space="preserve">decide </w:t>
      </w:r>
      <w:r w:rsidRPr="007B6D67" w:rsidR="00965542">
        <w:rPr>
          <w:szCs w:val="26"/>
        </w:rPr>
        <w:t xml:space="preserve">here </w:t>
      </w:r>
      <w:r w:rsidRPr="007B6D67">
        <w:rPr>
          <w:szCs w:val="26"/>
        </w:rPr>
        <w:t xml:space="preserve">whether </w:t>
      </w:r>
      <w:r w:rsidR="00E657C6">
        <w:rPr>
          <w:szCs w:val="26"/>
        </w:rPr>
        <w:t>we would follow these cases in applying the California Constitution</w:t>
      </w:r>
      <w:r w:rsidRPr="007B6D67" w:rsidR="00965542">
        <w:rPr>
          <w:szCs w:val="26"/>
        </w:rPr>
        <w:t>;</w:t>
      </w:r>
      <w:r w:rsidRPr="007B6D67" w:rsidR="002B0404">
        <w:rPr>
          <w:szCs w:val="26"/>
        </w:rPr>
        <w:t xml:space="preserve"> </w:t>
      </w:r>
      <w:r w:rsidRPr="007B6D67" w:rsidR="00513471">
        <w:rPr>
          <w:szCs w:val="26"/>
        </w:rPr>
        <w:t xml:space="preserve">in either event, </w:t>
      </w:r>
      <w:r w:rsidRPr="007B6D67" w:rsidR="002B0404">
        <w:rPr>
          <w:szCs w:val="26"/>
        </w:rPr>
        <w:t xml:space="preserve">the </w:t>
      </w:r>
      <w:r w:rsidRPr="007B6D67" w:rsidR="00285FAE">
        <w:rPr>
          <w:szCs w:val="26"/>
        </w:rPr>
        <w:t xml:space="preserve">decisions underscore the point that </w:t>
      </w:r>
      <w:r w:rsidRPr="007B6D67" w:rsidR="00965542">
        <w:rPr>
          <w:szCs w:val="26"/>
        </w:rPr>
        <w:t xml:space="preserve">the constitutional questions at stake are </w:t>
      </w:r>
      <w:r w:rsidRPr="007B6D67" w:rsidR="00AB3542">
        <w:rPr>
          <w:szCs w:val="26"/>
        </w:rPr>
        <w:t>substantial.</w:t>
      </w:r>
    </w:p>
    <w:p w:rsidR="0034061E" w:rsidRPr="007B6D67" w:rsidP="007B6D67" w14:paraId="44976D4F" w14:textId="62497B9A">
      <w:pPr>
        <w:pStyle w:val="Text"/>
        <w:spacing w:line="400" w:lineRule="exact"/>
        <w:ind w:firstLine="720"/>
      </w:pPr>
      <w:r w:rsidRPr="007B6D67">
        <w:t>Amicus curiae C</w:t>
      </w:r>
      <w:r w:rsidRPr="007B6D67" w:rsidR="00B03F90">
        <w:t>JLF</w:t>
      </w:r>
      <w:r w:rsidRPr="007B6D67" w:rsidR="008D265D">
        <w:t xml:space="preserve"> </w:t>
      </w:r>
      <w:r w:rsidRPr="007B6D67" w:rsidR="009B50B2">
        <w:t xml:space="preserve">argues </w:t>
      </w:r>
      <w:r w:rsidRPr="007B6D67" w:rsidR="005622F2">
        <w:t xml:space="preserve">that </w:t>
      </w:r>
      <w:r w:rsidRPr="007B6D67" w:rsidR="009B50B2">
        <w:t xml:space="preserve">the </w:t>
      </w:r>
      <w:r w:rsidRPr="007B6D67" w:rsidR="00391F5F">
        <w:t>U</w:t>
      </w:r>
      <w:r w:rsidRPr="007B6D67" w:rsidR="00B4063D">
        <w:t>nited States</w:t>
      </w:r>
      <w:r w:rsidRPr="007B6D67" w:rsidR="00391F5F">
        <w:t xml:space="preserve"> </w:t>
      </w:r>
      <w:r w:rsidRPr="007B6D67" w:rsidR="009B50B2">
        <w:t xml:space="preserve">Supreme Court’s decision in </w:t>
      </w:r>
      <w:r w:rsidRPr="007B6D67" w:rsidR="009B50B2">
        <w:rPr>
          <w:i/>
          <w:iCs/>
        </w:rPr>
        <w:t>Felker v. Turpin</w:t>
      </w:r>
      <w:r w:rsidRPr="007B6D67" w:rsidR="009B50B2">
        <w:t> (1996) 518 U.S. 651</w:t>
      </w:r>
      <w:r w:rsidRPr="007B6D67" w:rsidR="00284E1C">
        <w:t xml:space="preserve"> </w:t>
      </w:r>
      <w:r w:rsidRPr="007B6D67" w:rsidR="0001330D">
        <w:t>(</w:t>
      </w:r>
      <w:r w:rsidRPr="007B6D67" w:rsidR="0001330D">
        <w:rPr>
          <w:i/>
          <w:iCs/>
        </w:rPr>
        <w:t>Felk</w:t>
      </w:r>
      <w:r w:rsidRPr="007B6D67" w:rsidR="00513A2F">
        <w:rPr>
          <w:i/>
          <w:iCs/>
        </w:rPr>
        <w:t>er</w:t>
      </w:r>
      <w:r w:rsidRPr="007B6D67" w:rsidR="0001330D">
        <w:t xml:space="preserve">) </w:t>
      </w:r>
      <w:r w:rsidRPr="007B6D67" w:rsidR="00284E1C">
        <w:t xml:space="preserve">disposes of </w:t>
      </w:r>
      <w:r w:rsidRPr="007B6D67" w:rsidR="00513BC8">
        <w:t>any questions that might arise about the scope of Proposition 66’s successiveness provisions</w:t>
      </w:r>
      <w:r w:rsidRPr="007B6D67" w:rsidR="0001330D">
        <w:t xml:space="preserve">.  </w:t>
      </w:r>
      <w:r w:rsidRPr="007B6D67" w:rsidR="002F70F3">
        <w:t xml:space="preserve">The high court </w:t>
      </w:r>
      <w:r w:rsidRPr="007B6D67" w:rsidR="00513BC8">
        <w:t xml:space="preserve">in </w:t>
      </w:r>
      <w:r w:rsidRPr="007B6D67" w:rsidR="00513BC8">
        <w:rPr>
          <w:i/>
          <w:iCs/>
        </w:rPr>
        <w:t>Felker</w:t>
      </w:r>
      <w:r w:rsidRPr="007B6D67" w:rsidR="00513BC8">
        <w:t xml:space="preserve"> </w:t>
      </w:r>
      <w:r w:rsidRPr="007B6D67" w:rsidR="00B8609E">
        <w:t>considered</w:t>
      </w:r>
      <w:r w:rsidRPr="007B6D67" w:rsidR="00BE3011">
        <w:t xml:space="preserve"> </w:t>
      </w:r>
      <w:r w:rsidRPr="007B6D67" w:rsidR="00BB144F">
        <w:t xml:space="preserve">the constitutionality </w:t>
      </w:r>
      <w:r w:rsidRPr="007B6D67" w:rsidR="007F42A0">
        <w:t>of a provision of</w:t>
      </w:r>
      <w:r w:rsidRPr="007B6D67" w:rsidR="00D16F2D">
        <w:t xml:space="preserve"> </w:t>
      </w:r>
      <w:r w:rsidRPr="007B6D67" w:rsidR="00BA6E96">
        <w:t>the Antiterrorism and Effective Death Penalty Act of 1996 (AEDPA</w:t>
      </w:r>
      <w:r w:rsidR="00E53C98">
        <w:t>; Pub.L. No. 104-132 (Apr. 24, 1996) 110 Stat. 1214</w:t>
      </w:r>
      <w:r w:rsidRPr="007B6D67" w:rsidR="00BA6E96">
        <w:t xml:space="preserve">) </w:t>
      </w:r>
      <w:r w:rsidRPr="007B6D67" w:rsidR="00B91C1F">
        <w:t xml:space="preserve">that </w:t>
      </w:r>
      <w:r w:rsidRPr="007B6D67" w:rsidR="00BA6E96">
        <w:t xml:space="preserve">generally requires </w:t>
      </w:r>
      <w:r w:rsidRPr="007B6D67" w:rsidR="00990C89">
        <w:t xml:space="preserve">dismissal of </w:t>
      </w:r>
      <w:r w:rsidRPr="007B6D67" w:rsidR="004A68F5">
        <w:t xml:space="preserve">“second or successive” </w:t>
      </w:r>
      <w:r w:rsidRPr="007B6D67" w:rsidR="00BA6E96">
        <w:t xml:space="preserve">habeas </w:t>
      </w:r>
      <w:r w:rsidRPr="007B6D67" w:rsidR="003175AA">
        <w:t xml:space="preserve">applications </w:t>
      </w:r>
      <w:r w:rsidRPr="007B6D67" w:rsidR="00990C89">
        <w:t xml:space="preserve">raising claims </w:t>
      </w:r>
      <w:r w:rsidRPr="007B6D67" w:rsidR="00E06365">
        <w:t xml:space="preserve">based on newly discovered evidence </w:t>
      </w:r>
      <w:r w:rsidRPr="007B6D67" w:rsidR="00990C89">
        <w:t xml:space="preserve">except </w:t>
      </w:r>
      <w:r w:rsidRPr="007B6D67" w:rsidR="006C3CED">
        <w:t>where “</w:t>
      </w:r>
      <w:r w:rsidRPr="007B6D67" w:rsidR="00924F89">
        <w:t>(i) the factual predicate for the claim could not have been discovered previously through the exercise of due diligence; and</w:t>
      </w:r>
      <w:r w:rsidRPr="007B6D67" w:rsidR="006C3CED">
        <w:t xml:space="preserve"> </w:t>
      </w:r>
      <w:r w:rsidRPr="007B6D67" w:rsidR="00B4063D">
        <w:t xml:space="preserve">[¶] </w:t>
      </w:r>
      <w:r w:rsidRPr="007B6D67" w:rsidR="00924F89">
        <w:t>(ii) the facts underlying the claim, if proven and viewed in light of the evidence as a whole, would be sufficient to establish by clear and convincing evidence that, but for constitutional error, no reasonable factfinder would have found the applicant guilty of the underlying offense.</w:t>
      </w:r>
      <w:r w:rsidRPr="007B6D67" w:rsidR="00E76FF2">
        <w:t>”</w:t>
      </w:r>
      <w:r w:rsidRPr="007B6D67" w:rsidR="004C7763">
        <w:t xml:space="preserve">  (28 U.S.C. §</w:t>
      </w:r>
      <w:r w:rsidRPr="007B6D67" w:rsidR="00EF1CA1">
        <w:t> </w:t>
      </w:r>
      <w:r w:rsidRPr="007B6D67" w:rsidR="004C7763">
        <w:t>2244(b)(2)</w:t>
      </w:r>
      <w:r w:rsidRPr="007B6D67" w:rsidR="00BE738F">
        <w:t>(B).)</w:t>
      </w:r>
      <w:r w:rsidRPr="007B6D67" w:rsidR="00A15661">
        <w:t xml:space="preserve">  </w:t>
      </w:r>
      <w:r w:rsidRPr="007B6D67" w:rsidR="002C3EBD">
        <w:t xml:space="preserve">The court rejected </w:t>
      </w:r>
      <w:r w:rsidRPr="007B6D67" w:rsidR="008B2941">
        <w:t xml:space="preserve">challengers’ argument that </w:t>
      </w:r>
      <w:r w:rsidRPr="007B6D67">
        <w:t xml:space="preserve">applying this standard to newly available claims </w:t>
      </w:r>
      <w:r w:rsidRPr="007B6D67" w:rsidR="007F42A0">
        <w:t xml:space="preserve">constituted an impermissible suspension of the writ of habeas corpus.  (U.S. </w:t>
      </w:r>
      <w:r w:rsidRPr="007B6D67" w:rsidR="00CA25CC">
        <w:t>C</w:t>
      </w:r>
      <w:r w:rsidRPr="007B6D67" w:rsidR="007F42A0">
        <w:t>onst., art. I, §</w:t>
      </w:r>
      <w:r w:rsidRPr="007B6D67" w:rsidR="003B614B">
        <w:t> </w:t>
      </w:r>
      <w:r w:rsidRPr="007B6D67" w:rsidR="007F42A0">
        <w:t>9.)  The court r</w:t>
      </w:r>
      <w:r w:rsidRPr="007B6D67" w:rsidR="0020097E">
        <w:t>eason</w:t>
      </w:r>
      <w:r w:rsidRPr="007B6D67" w:rsidR="007F42A0">
        <w:t>ed</w:t>
      </w:r>
      <w:r w:rsidRPr="007B6D67" w:rsidR="0020097E">
        <w:t xml:space="preserve"> that </w:t>
      </w:r>
      <w:r w:rsidRPr="007B6D67" w:rsidR="00D00C7F">
        <w:t>the new restrictions</w:t>
      </w:r>
      <w:r w:rsidRPr="007B6D67" w:rsidR="00F200C0">
        <w:t xml:space="preserve"> constitute </w:t>
      </w:r>
      <w:r w:rsidRPr="007B6D67" w:rsidR="007B796E">
        <w:t>“</w:t>
      </w:r>
      <w:r w:rsidRPr="007B6D67" w:rsidR="00CD0513">
        <w:t xml:space="preserve">a restraint on what is called in habeas corpus practice </w:t>
      </w:r>
      <w:r w:rsidRPr="007B6D67" w:rsidR="00F200C0">
        <w:t>‘</w:t>
      </w:r>
      <w:r w:rsidRPr="007B6D67" w:rsidR="00CD0513">
        <w:t>abuse of the writ</w:t>
      </w:r>
      <w:r w:rsidRPr="007B6D67" w:rsidR="004D2AFD">
        <w:t>,’ ”</w:t>
      </w:r>
      <w:r w:rsidRPr="007B6D67" w:rsidR="00CD0513">
        <w:t xml:space="preserve"> </w:t>
      </w:r>
      <w:r w:rsidRPr="007B6D67" w:rsidR="004C5F16">
        <w:t xml:space="preserve">a doctrine subject to both judicial and legislative evolution, </w:t>
      </w:r>
      <w:r w:rsidRPr="007B6D67" w:rsidR="009A6890">
        <w:t>and that “[t]</w:t>
      </w:r>
      <w:r w:rsidRPr="007B6D67" w:rsidR="00CD0513">
        <w:t>he added restrictions which the Act places on second habeas petitions are well within the compass of this evolutionary process</w:t>
      </w:r>
      <w:r w:rsidRPr="007B6D67" w:rsidR="007F42A0">
        <w:t xml:space="preserve">.”  </w:t>
      </w:r>
      <w:r w:rsidRPr="007B6D67" w:rsidR="009B50B2">
        <w:t>(</w:t>
      </w:r>
      <w:r w:rsidRPr="007B6D67" w:rsidR="009B50B2">
        <w:rPr>
          <w:i/>
          <w:iCs/>
        </w:rPr>
        <w:t>Felk</w:t>
      </w:r>
      <w:r w:rsidRPr="007B6D67" w:rsidR="00513A2F">
        <w:rPr>
          <w:i/>
          <w:iCs/>
        </w:rPr>
        <w:t>er</w:t>
      </w:r>
      <w:r w:rsidRPr="007B6D67" w:rsidR="009B50B2">
        <w:t xml:space="preserve">, </w:t>
      </w:r>
      <w:r w:rsidRPr="007B6D67" w:rsidR="004E621E">
        <w:t>at p.</w:t>
      </w:r>
      <w:r w:rsidRPr="007B6D67" w:rsidR="003B614B">
        <w:t> </w:t>
      </w:r>
      <w:r w:rsidRPr="007B6D67" w:rsidR="009B50B2">
        <w:t>664</w:t>
      </w:r>
      <w:r w:rsidRPr="007B6D67" w:rsidR="004E621E">
        <w:t>.)</w:t>
      </w:r>
    </w:p>
    <w:p w:rsidR="00744658" w:rsidRPr="007B6D67" w:rsidP="007B6D67" w14:paraId="4007B004" w14:textId="37F5A8D3">
      <w:pPr>
        <w:pStyle w:val="Text"/>
        <w:spacing w:line="400" w:lineRule="exact"/>
        <w:ind w:firstLine="720"/>
      </w:pPr>
      <w:r w:rsidRPr="007B6D67">
        <w:t>We are</w:t>
      </w:r>
      <w:r w:rsidRPr="007B6D67" w:rsidR="005F4E6B">
        <w:t xml:space="preserve"> unpersuaded</w:t>
      </w:r>
      <w:r w:rsidRPr="007B6D67" w:rsidR="00C36C18">
        <w:t xml:space="preserve"> </w:t>
      </w:r>
      <w:r w:rsidRPr="007B6D67" w:rsidR="008C77DA">
        <w:t xml:space="preserve">that </w:t>
      </w:r>
      <w:r w:rsidRPr="007B6D67" w:rsidR="008C77DA">
        <w:rPr>
          <w:i/>
          <w:iCs/>
        </w:rPr>
        <w:t>Felker</w:t>
      </w:r>
      <w:r w:rsidRPr="007B6D67" w:rsidR="008C77DA">
        <w:t xml:space="preserve"> disposes of the constitutional questions surrounding section 1509(d).  </w:t>
      </w:r>
      <w:r w:rsidR="001F73E2">
        <w:t xml:space="preserve">For one thing, </w:t>
      </w:r>
      <w:r w:rsidR="002200D0">
        <w:t xml:space="preserve">section 1509(d) differs in certain respects from the </w:t>
      </w:r>
      <w:r w:rsidR="005D287F">
        <w:t xml:space="preserve">federal </w:t>
      </w:r>
      <w:r w:rsidR="002200D0">
        <w:t>statute on review in</w:t>
      </w:r>
      <w:r w:rsidR="00DB7897">
        <w:t xml:space="preserve"> </w:t>
      </w:r>
      <w:r w:rsidR="00DB7897">
        <w:rPr>
          <w:i/>
          <w:iCs/>
        </w:rPr>
        <w:t>Felker</w:t>
      </w:r>
      <w:r w:rsidR="002200D0">
        <w:t xml:space="preserve">, and the high court in </w:t>
      </w:r>
      <w:r w:rsidR="002200D0">
        <w:rPr>
          <w:i/>
          <w:iCs/>
        </w:rPr>
        <w:t>Felker</w:t>
      </w:r>
      <w:r w:rsidR="002200D0">
        <w:t xml:space="preserve"> had no occasion to opine on </w:t>
      </w:r>
      <w:r w:rsidR="008617BD">
        <w:t xml:space="preserve">the </w:t>
      </w:r>
      <w:r w:rsidR="005D287F">
        <w:t xml:space="preserve">full </w:t>
      </w:r>
      <w:r w:rsidR="008617BD">
        <w:t xml:space="preserve">range of questions </w:t>
      </w:r>
      <w:r w:rsidR="006D400C">
        <w:t>section 1509(d) raises.</w:t>
      </w:r>
      <w:r>
        <w:rPr>
          <w:rStyle w:val="FootnoteReference"/>
        </w:rPr>
        <w:footnoteReference w:id="15"/>
      </w:r>
      <w:r w:rsidR="006D400C">
        <w:t xml:space="preserve">  </w:t>
      </w:r>
      <w:r w:rsidR="002200D0">
        <w:t xml:space="preserve">But more fundamentally, </w:t>
      </w:r>
      <w:r w:rsidRPr="007B6D67" w:rsidR="00F137B9">
        <w:rPr>
          <w:i/>
          <w:iCs/>
        </w:rPr>
        <w:t>Felker</w:t>
      </w:r>
      <w:r w:rsidRPr="007B6D67" w:rsidR="00F137B9">
        <w:t xml:space="preserve"> addressed only the suspension clause of the United States Constitution.  It </w:t>
      </w:r>
      <w:r w:rsidR="00AD5E58">
        <w:t>did not</w:t>
      </w:r>
      <w:r w:rsidR="001E6815">
        <w:t> </w:t>
      </w:r>
      <w:r w:rsidR="00AD5E58">
        <w:t>— indeed, could not</w:t>
      </w:r>
      <w:r w:rsidR="001E6815">
        <w:t> </w:t>
      </w:r>
      <w:r w:rsidR="00AD5E58">
        <w:t xml:space="preserve">— </w:t>
      </w:r>
      <w:r w:rsidRPr="007B6D67" w:rsidR="00F137B9">
        <w:t xml:space="preserve">provide definitive guidance on </w:t>
      </w:r>
      <w:r w:rsidRPr="007B6D67" w:rsidR="00F430F7">
        <w:t xml:space="preserve">questions arising under the </w:t>
      </w:r>
      <w:r w:rsidRPr="007B6D67" w:rsidR="0088619D">
        <w:t xml:space="preserve">habeas corpus </w:t>
      </w:r>
      <w:r w:rsidRPr="007B6D67" w:rsidR="00F430F7">
        <w:t xml:space="preserve">or due process </w:t>
      </w:r>
      <w:r w:rsidRPr="007B6D67" w:rsidR="00F137B9">
        <w:t>provisions of the California Constitution.</w:t>
      </w:r>
    </w:p>
    <w:p w:rsidR="00990130" w:rsidRPr="007B6D67" w:rsidP="007B6D67" w14:paraId="41602943" w14:textId="5BE1F747">
      <w:pPr>
        <w:pStyle w:val="Text"/>
        <w:spacing w:line="400" w:lineRule="exact"/>
        <w:ind w:right="-180" w:firstLine="720"/>
      </w:pPr>
      <w:r>
        <w:t>In California law, p</w:t>
      </w:r>
      <w:r w:rsidRPr="007B6D67" w:rsidR="009961C4">
        <w:t xml:space="preserve">rocedural bars to habeas corpus </w:t>
      </w:r>
      <w:r w:rsidRPr="007B6D67" w:rsidR="00402004">
        <w:t xml:space="preserve">claims serve </w:t>
      </w:r>
      <w:r w:rsidR="00A87108">
        <w:t xml:space="preserve">an </w:t>
      </w:r>
      <w:r w:rsidRPr="007B6D67" w:rsidR="00402004">
        <w:t>important interest in finality of judgments</w:t>
      </w:r>
      <w:r w:rsidRPr="007B6D67">
        <w:t xml:space="preserve">.  But </w:t>
      </w:r>
      <w:r>
        <w:t>these</w:t>
      </w:r>
      <w:r w:rsidRPr="007B6D67" w:rsidR="00CA71F7">
        <w:t xml:space="preserve"> </w:t>
      </w:r>
      <w:r w:rsidRPr="007B6D67" w:rsidR="00853095">
        <w:t>procedural bars</w:t>
      </w:r>
      <w:r w:rsidRPr="007B6D67">
        <w:t xml:space="preserve"> have always been subject to exceptions </w:t>
      </w:r>
      <w:r w:rsidRPr="007B6D67" w:rsidR="00956683">
        <w:t>“</w:t>
      </w:r>
      <w:r w:rsidRPr="007B6D67">
        <w:t>designed to ensure fairness and orderly access to the courts</w:t>
      </w:r>
      <w:r w:rsidRPr="007B6D67" w:rsidR="00956683">
        <w:t>.”  (</w:t>
      </w:r>
      <w:r w:rsidRPr="007B6D67">
        <w:rPr>
          <w:i/>
          <w:iCs/>
        </w:rPr>
        <w:t>Reno</w:t>
      </w:r>
      <w:r w:rsidRPr="007B6D67" w:rsidR="00956683">
        <w:t xml:space="preserve">, </w:t>
      </w:r>
      <w:r w:rsidRPr="007B6D67" w:rsidR="00956683">
        <w:rPr>
          <w:i/>
          <w:iCs/>
        </w:rPr>
        <w:t>supra</w:t>
      </w:r>
      <w:r w:rsidRPr="007B6D67" w:rsidR="00956683">
        <w:t xml:space="preserve">, </w:t>
      </w:r>
      <w:r w:rsidRPr="007B6D67">
        <w:t xml:space="preserve">55 Cal.4th </w:t>
      </w:r>
      <w:r w:rsidRPr="007B6D67" w:rsidR="00956683">
        <w:t>at p.</w:t>
      </w:r>
      <w:r w:rsidRPr="007B6D67" w:rsidR="0010406E">
        <w:t> </w:t>
      </w:r>
      <w:r w:rsidRPr="007B6D67">
        <w:t>452</w:t>
      </w:r>
      <w:r w:rsidRPr="007B6D67" w:rsidR="0010406E">
        <w:t xml:space="preserve">.)  A successiveness bar </w:t>
      </w:r>
      <w:r w:rsidRPr="007B6D67" w:rsidR="0057017B">
        <w:t xml:space="preserve">lacking </w:t>
      </w:r>
      <w:r w:rsidRPr="007B6D67" w:rsidR="0010406E">
        <w:t xml:space="preserve">an exception for </w:t>
      </w:r>
      <w:r w:rsidRPr="007B6D67" w:rsidR="00D85FD3">
        <w:t xml:space="preserve">claims that could not with reasonable diligence have been presented in an earlier petition </w:t>
      </w:r>
      <w:r w:rsidRPr="007B6D67" w:rsidR="00F321C6">
        <w:t xml:space="preserve">threatens </w:t>
      </w:r>
      <w:r w:rsidRPr="007B6D67" w:rsidR="00A73297">
        <w:t>the</w:t>
      </w:r>
      <w:r w:rsidRPr="007B6D67" w:rsidR="00F321C6">
        <w:t xml:space="preserve"> </w:t>
      </w:r>
      <w:r w:rsidRPr="007B6D67" w:rsidR="00FB6492">
        <w:t xml:space="preserve">guarantee of </w:t>
      </w:r>
      <w:r w:rsidRPr="007B6D67" w:rsidR="00F321C6">
        <w:t xml:space="preserve">fair access to courts that has </w:t>
      </w:r>
      <w:r w:rsidRPr="007B6D67" w:rsidR="00FB6492">
        <w:t>traditionally been central to habeas corpus procedure</w:t>
      </w:r>
      <w:r w:rsidRPr="007B6D67" w:rsidR="003A6485">
        <w:t xml:space="preserve"> in this state, and in so doing raises significant questions under the California Constitution</w:t>
      </w:r>
      <w:r w:rsidRPr="007B6D67" w:rsidR="00FB6492">
        <w:t>.</w:t>
      </w:r>
      <w:r w:rsidRPr="007B6D67" w:rsidR="001C417D">
        <w:t xml:space="preserve">  </w:t>
      </w:r>
      <w:r w:rsidRPr="007B6D67" w:rsidR="008A170A">
        <w:t>A</w:t>
      </w:r>
      <w:r w:rsidRPr="007B6D67" w:rsidR="001C417D">
        <w:t xml:space="preserve">s between the two possible </w:t>
      </w:r>
      <w:r w:rsidRPr="007B6D67" w:rsidR="00D36972">
        <w:t xml:space="preserve">readings </w:t>
      </w:r>
      <w:r w:rsidRPr="007B6D67" w:rsidR="001C417D">
        <w:t xml:space="preserve">of section 1509(d), we presume voters did not intend the </w:t>
      </w:r>
      <w:r w:rsidRPr="007B6D67" w:rsidR="005B114E">
        <w:t xml:space="preserve">interpretation </w:t>
      </w:r>
      <w:r w:rsidRPr="007B6D67" w:rsidR="001C417D">
        <w:t>that raises substantial constitutional doubts.</w:t>
      </w:r>
    </w:p>
    <w:p w:rsidR="000A6264" w:rsidRPr="007B6D67" w:rsidP="007B6D67" w14:paraId="31590AFB" w14:textId="5B8B81DA">
      <w:pPr>
        <w:pStyle w:val="Text"/>
        <w:spacing w:line="400" w:lineRule="exact"/>
        <w:ind w:firstLine="720"/>
      </w:pPr>
      <w:r w:rsidRPr="007B6D67">
        <w:t xml:space="preserve">As amici </w:t>
      </w:r>
      <w:r w:rsidR="00254026">
        <w:t xml:space="preserve">curiae </w:t>
      </w:r>
      <w:r w:rsidRPr="007B6D67" w:rsidR="006E2984">
        <w:t xml:space="preserve">CJLF and </w:t>
      </w:r>
      <w:r w:rsidRPr="007B6D67" w:rsidR="00EC7634">
        <w:t>t</w:t>
      </w:r>
      <w:r w:rsidRPr="007B6D67" w:rsidR="008E5F62">
        <w:t xml:space="preserve">he Constitutional Law </w:t>
      </w:r>
      <w:r w:rsidR="00254026">
        <w:t>Amici</w:t>
      </w:r>
      <w:r w:rsidRPr="007B6D67" w:rsidR="006E2984">
        <w:t xml:space="preserve"> both </w:t>
      </w:r>
      <w:r w:rsidRPr="007B6D67" w:rsidR="00025A13">
        <w:t>argue</w:t>
      </w:r>
      <w:r w:rsidRPr="007B6D67">
        <w:t>, it is clear that voters did intend to expedite habeas corpus proceedings in capital cases.</w:t>
      </w:r>
      <w:r w:rsidRPr="007B6D67" w:rsidR="009D49BA">
        <w:t xml:space="preserve">  </w:t>
      </w:r>
      <w:r w:rsidRPr="007B6D67" w:rsidR="00610160">
        <w:t>(</w:t>
      </w:r>
      <w:r w:rsidRPr="007B6D67" w:rsidR="00F70956">
        <w:rPr>
          <w:i/>
          <w:iCs/>
        </w:rPr>
        <w:t>Briggs</w:t>
      </w:r>
      <w:r w:rsidRPr="007B6D67" w:rsidR="00F70956">
        <w:t xml:space="preserve">, </w:t>
      </w:r>
      <w:r w:rsidRPr="007B6D67" w:rsidR="00F70956">
        <w:rPr>
          <w:i/>
          <w:iCs/>
        </w:rPr>
        <w:t>supra</w:t>
      </w:r>
      <w:r w:rsidRPr="007B6D67" w:rsidR="00F70956">
        <w:t>, 3 Cal.5th at pp.</w:t>
      </w:r>
      <w:r w:rsidRPr="007B6D67" w:rsidR="003B614B">
        <w:t> </w:t>
      </w:r>
      <w:r w:rsidRPr="007B6D67" w:rsidR="00F70956">
        <w:t>823</w:t>
      </w:r>
      <w:r w:rsidRPr="007B6D67" w:rsidR="003B614B">
        <w:t>–</w:t>
      </w:r>
      <w:r w:rsidRPr="007B6D67" w:rsidR="00F70956">
        <w:t>825</w:t>
      </w:r>
      <w:r w:rsidRPr="007B6D67" w:rsidR="00610160">
        <w:t xml:space="preserve">.)  </w:t>
      </w:r>
      <w:r w:rsidRPr="007B6D67">
        <w:t>But while it may be true that</w:t>
      </w:r>
      <w:r w:rsidRPr="007B6D67" w:rsidR="00025A13">
        <w:t xml:space="preserve"> </w:t>
      </w:r>
      <w:r w:rsidRPr="007B6D67" w:rsidR="003E7E81">
        <w:t>a broad reading of section 1509(d)</w:t>
      </w:r>
      <w:r w:rsidRPr="007B6D67" w:rsidR="0047664E">
        <w:t xml:space="preserve"> </w:t>
      </w:r>
      <w:r w:rsidRPr="007B6D67" w:rsidR="00EE19D6">
        <w:t xml:space="preserve">would </w:t>
      </w:r>
      <w:r w:rsidRPr="007B6D67" w:rsidR="0047664E">
        <w:t xml:space="preserve">serve </w:t>
      </w:r>
      <w:r w:rsidRPr="007B6D67">
        <w:t xml:space="preserve">this purpose by barring more claims, that is not </w:t>
      </w:r>
      <w:r w:rsidRPr="007B6D67" w:rsidR="008A170A">
        <w:t>sufficient reason to adopt the reading</w:t>
      </w:r>
      <w:r w:rsidRPr="007B6D67">
        <w:t>.</w:t>
      </w:r>
      <w:r w:rsidRPr="007B6D67" w:rsidR="00244F1A">
        <w:t xml:space="preserve">  </w:t>
      </w:r>
      <w:r w:rsidRPr="007B6D67" w:rsidR="009042E7">
        <w:t xml:space="preserve">The narrower, alternative reading also serves voters’ purposes.  </w:t>
      </w:r>
      <w:r w:rsidRPr="007B6D67" w:rsidR="00C51632">
        <w:t>E</w:t>
      </w:r>
      <w:r w:rsidRPr="007B6D67" w:rsidR="00FF4F0A">
        <w:t>ve</w:t>
      </w:r>
      <w:r w:rsidRPr="007B6D67" w:rsidR="00C51632">
        <w:t xml:space="preserve">n </w:t>
      </w:r>
      <w:r w:rsidRPr="007B6D67" w:rsidR="009042E7">
        <w:t xml:space="preserve">if </w:t>
      </w:r>
      <w:r w:rsidRPr="007B6D67" w:rsidR="00C51632">
        <w:t xml:space="preserve">construed </w:t>
      </w:r>
      <w:r w:rsidRPr="007B6D67" w:rsidR="00FF4F0A">
        <w:t xml:space="preserve">as </w:t>
      </w:r>
      <w:r w:rsidRPr="007B6D67" w:rsidR="0017362C">
        <w:t>incorporating the meaning of “successive” developed in our case law,</w:t>
      </w:r>
      <w:r w:rsidRPr="007B6D67" w:rsidR="00C51632">
        <w:t xml:space="preserve"> section 1509(d) </w:t>
      </w:r>
      <w:r w:rsidRPr="007B6D67" w:rsidR="002B0231">
        <w:t xml:space="preserve">will </w:t>
      </w:r>
      <w:r w:rsidRPr="007B6D67" w:rsidR="0058768C">
        <w:t xml:space="preserve">limit </w:t>
      </w:r>
      <w:r w:rsidRPr="007B6D67" w:rsidR="00D7683B">
        <w:t>subsequent</w:t>
      </w:r>
      <w:r w:rsidRPr="007B6D67" w:rsidR="002B0231">
        <w:t xml:space="preserve"> habeas corpus </w:t>
      </w:r>
      <w:r w:rsidRPr="007B6D67" w:rsidR="00D7683B">
        <w:t>petitions</w:t>
      </w:r>
      <w:r w:rsidRPr="007B6D67" w:rsidR="002B0231">
        <w:t xml:space="preserve"> through its </w:t>
      </w:r>
      <w:r w:rsidRPr="007B6D67" w:rsidR="00D7683B">
        <w:t>replacement</w:t>
      </w:r>
      <w:r w:rsidRPr="007B6D67" w:rsidR="002B0231">
        <w:t xml:space="preserve"> of </w:t>
      </w:r>
      <w:r w:rsidRPr="007B6D67" w:rsidR="002B0231">
        <w:rPr>
          <w:i/>
          <w:iCs/>
        </w:rPr>
        <w:t>Clark</w:t>
      </w:r>
      <w:r w:rsidRPr="007B6D67" w:rsidR="002B0231">
        <w:t xml:space="preserve">’s </w:t>
      </w:r>
      <w:r w:rsidRPr="007B6D67" w:rsidR="005E1E0D">
        <w:t xml:space="preserve">substantive exception for fundamental miscarriages of justice </w:t>
      </w:r>
      <w:r w:rsidRPr="007B6D67" w:rsidR="001153E1">
        <w:t>with a narrower</w:t>
      </w:r>
      <w:r w:rsidRPr="007B6D67" w:rsidR="00984C18">
        <w:t xml:space="preserve"> exception limited to claims of innocence </w:t>
      </w:r>
      <w:r w:rsidRPr="007B6D67" w:rsidR="0058768C">
        <w:t>or ineligibility.</w:t>
      </w:r>
      <w:r>
        <w:rPr>
          <w:rStyle w:val="FootnoteReference"/>
        </w:rPr>
        <w:footnoteReference w:id="16"/>
      </w:r>
      <w:r w:rsidRPr="007B6D67" w:rsidR="001153E1">
        <w:t xml:space="preserve">  </w:t>
      </w:r>
      <w:r w:rsidRPr="007B6D67" w:rsidR="00B047E9">
        <w:t>Section 1509.1</w:t>
      </w:r>
      <w:r w:rsidRPr="007B6D67" w:rsidR="00430578">
        <w:t>(c)</w:t>
      </w:r>
      <w:r w:rsidRPr="007B6D67" w:rsidR="00B047E9">
        <w:t xml:space="preserve">’s </w:t>
      </w:r>
      <w:r w:rsidRPr="007B6D67" w:rsidR="00430578">
        <w:t xml:space="preserve">certificate requirement </w:t>
      </w:r>
      <w:r w:rsidRPr="007B6D67" w:rsidR="009E3DED">
        <w:t xml:space="preserve">for successive claims will </w:t>
      </w:r>
      <w:r w:rsidRPr="007B6D67" w:rsidR="00343F19">
        <w:t xml:space="preserve">also </w:t>
      </w:r>
      <w:r w:rsidRPr="007B6D67" w:rsidR="009E3DED">
        <w:t xml:space="preserve">operate </w:t>
      </w:r>
      <w:r w:rsidRPr="007B6D67" w:rsidR="00637AC7">
        <w:t xml:space="preserve">as an additional procedural check on potentially abusive petitions, even if </w:t>
      </w:r>
      <w:r w:rsidRPr="007B6D67" w:rsidR="009E3DED">
        <w:t xml:space="preserve">its scope </w:t>
      </w:r>
      <w:r w:rsidRPr="007B6D67" w:rsidR="00AB6E1D">
        <w:t xml:space="preserve">is not as broad as possible.  </w:t>
      </w:r>
      <w:r w:rsidRPr="007B6D67" w:rsidR="001153E1">
        <w:t>And</w:t>
      </w:r>
      <w:r w:rsidRPr="007B6D67" w:rsidR="00637AC7">
        <w:t xml:space="preserve"> of course</w:t>
      </w:r>
      <w:r w:rsidRPr="007B6D67" w:rsidR="001153E1">
        <w:t xml:space="preserve"> other provisions of Penal Code sections 1509 and </w:t>
      </w:r>
      <w:r w:rsidRPr="007B6D67" w:rsidR="00B6182B">
        <w:t>1509.1</w:t>
      </w:r>
      <w:r w:rsidRPr="007B6D67" w:rsidR="00F81375">
        <w:t xml:space="preserve"> </w:t>
      </w:r>
      <w:r w:rsidRPr="007B6D67" w:rsidR="00B6182B">
        <w:t xml:space="preserve">also tend to speed up the </w:t>
      </w:r>
      <w:r w:rsidRPr="007B6D67" w:rsidR="00C446D3">
        <w:t xml:space="preserve">process of </w:t>
      </w:r>
      <w:r w:rsidRPr="007B6D67" w:rsidR="00867903">
        <w:t xml:space="preserve">capital </w:t>
      </w:r>
      <w:r w:rsidRPr="007B6D67" w:rsidR="00C446D3">
        <w:t>habeas corpus review.  (See Pen. Code</w:t>
      </w:r>
      <w:r w:rsidRPr="007B6D67" w:rsidR="00EA55AB">
        <w:t>, §</w:t>
      </w:r>
      <w:r w:rsidRPr="007B6D67" w:rsidR="003B614B">
        <w:t> </w:t>
      </w:r>
      <w:r w:rsidRPr="007B6D67" w:rsidR="00EA55AB">
        <w:t>1509, subds. (a) [</w:t>
      </w:r>
      <w:r w:rsidRPr="007B6D67" w:rsidR="00155BA3">
        <w:t>section provides exclusive procedure for collateral attack</w:t>
      </w:r>
      <w:r w:rsidRPr="007B6D67" w:rsidR="004178C2">
        <w:t xml:space="preserve">; petitions </w:t>
      </w:r>
      <w:r w:rsidRPr="007B6D67" w:rsidR="00CB053B">
        <w:t xml:space="preserve">generally </w:t>
      </w:r>
      <w:r w:rsidRPr="007B6D67" w:rsidR="004178C2">
        <w:t xml:space="preserve">to be </w:t>
      </w:r>
      <w:r w:rsidRPr="007B6D67" w:rsidR="00CB053B">
        <w:t xml:space="preserve">first adjudicated </w:t>
      </w:r>
      <w:r w:rsidRPr="007B6D67" w:rsidR="004178C2">
        <w:t>in sentencing court</w:t>
      </w:r>
      <w:r w:rsidRPr="007B6D67" w:rsidR="00155BA3">
        <w:t>]</w:t>
      </w:r>
      <w:r w:rsidRPr="007B6D67" w:rsidR="002A3A39">
        <w:t>, (c) [time limit for filing initial petition</w:t>
      </w:r>
      <w:r w:rsidRPr="007B6D67" w:rsidR="00A2653C">
        <w:t>]</w:t>
      </w:r>
      <w:r w:rsidR="00E53C98">
        <w:t xml:space="preserve"> &amp;</w:t>
      </w:r>
      <w:r w:rsidRPr="007B6D67" w:rsidR="0057710A">
        <w:t xml:space="preserve"> </w:t>
      </w:r>
      <w:r w:rsidRPr="007B6D67" w:rsidR="00A2653C">
        <w:t>(f) [calling for expedition in deciding and setting two</w:t>
      </w:r>
      <w:r w:rsidRPr="007B6D67" w:rsidR="0059536A">
        <w:t>-</w:t>
      </w:r>
      <w:r w:rsidRPr="007B6D67" w:rsidR="00A2653C">
        <w:t xml:space="preserve">year </w:t>
      </w:r>
      <w:r w:rsidRPr="007B6D67" w:rsidR="0059536A">
        <w:t>goal]</w:t>
      </w:r>
      <w:r w:rsidRPr="007B6D67" w:rsidR="00651334">
        <w:t xml:space="preserve">; </w:t>
      </w:r>
      <w:r w:rsidRPr="007B6D67" w:rsidR="00651334">
        <w:rPr>
          <w:i/>
          <w:iCs/>
        </w:rPr>
        <w:t>id.</w:t>
      </w:r>
      <w:r w:rsidRPr="007B6D67" w:rsidR="00651334">
        <w:t xml:space="preserve">, </w:t>
      </w:r>
      <w:r w:rsidRPr="007B6D67" w:rsidR="00184597">
        <w:t>§</w:t>
      </w:r>
      <w:r w:rsidRPr="007B6D67" w:rsidR="003B614B">
        <w:t> </w:t>
      </w:r>
      <w:r w:rsidRPr="007B6D67" w:rsidR="00184597">
        <w:t xml:space="preserve">1509.1, subds. (a) </w:t>
      </w:r>
      <w:r w:rsidRPr="007B6D67" w:rsidR="0036262D">
        <w:t>[</w:t>
      </w:r>
      <w:r w:rsidRPr="007B6D67" w:rsidR="00184597">
        <w:t>pro</w:t>
      </w:r>
      <w:r w:rsidRPr="007B6D67" w:rsidR="0036262D">
        <w:t>v</w:t>
      </w:r>
      <w:r w:rsidRPr="007B6D67" w:rsidR="00184597">
        <w:t>iding for review by appeal filed within 30 days of decision</w:t>
      </w:r>
      <w:r w:rsidRPr="007B6D67" w:rsidR="0036262D">
        <w:t>]</w:t>
      </w:r>
      <w:r w:rsidR="00E53C98">
        <w:t xml:space="preserve"> &amp;</w:t>
      </w:r>
      <w:r w:rsidRPr="007B6D67" w:rsidR="00AB6E1D">
        <w:t xml:space="preserve"> </w:t>
      </w:r>
      <w:r w:rsidRPr="007B6D67" w:rsidR="0036262D">
        <w:t>(b) [limiting issues to be addressed on appeal]</w:t>
      </w:r>
      <w:r w:rsidRPr="007B6D67" w:rsidR="000B6640">
        <w:t>.)</w:t>
      </w:r>
      <w:r w:rsidRPr="007B6D67" w:rsidR="00D75098">
        <w:t xml:space="preserve">  </w:t>
      </w:r>
    </w:p>
    <w:p w:rsidR="00B855E5" w:rsidRPr="007B6D67" w:rsidP="007B6D67" w14:paraId="0FF133BF" w14:textId="356E1C92">
      <w:pPr>
        <w:pStyle w:val="Text"/>
        <w:spacing w:line="400" w:lineRule="exact"/>
        <w:ind w:firstLine="720"/>
      </w:pPr>
      <w:r w:rsidRPr="007B6D67">
        <w:t>In any event, “no legislation</w:t>
      </w:r>
      <w:r w:rsidR="005D287F">
        <w:t xml:space="preserve"> </w:t>
      </w:r>
      <w:r w:rsidRPr="007B6D67">
        <w:t>pursues</w:t>
      </w:r>
      <w:r w:rsidR="00200D32">
        <w:t xml:space="preserve"> </w:t>
      </w:r>
      <w:r w:rsidRPr="007B6D67">
        <w:t>its purposes at all costs.  Deciding what competing values will or will not be sacrificed to the achievement of a particular objective is the very essence of legislative choice</w:t>
      </w:r>
      <w:r w:rsidR="001E6815">
        <w:t> </w:t>
      </w:r>
      <w:r w:rsidRPr="007B6D67">
        <w:t>— and it frustrates rather than effectuates legislative intent simplistically to assume that </w:t>
      </w:r>
      <w:r w:rsidRPr="007B6D67">
        <w:rPr>
          <w:i/>
          <w:iCs/>
        </w:rPr>
        <w:t>whatever</w:t>
      </w:r>
      <w:r w:rsidRPr="007B6D67">
        <w:t> furthers the statute’s primary objective must be the law.”  (</w:t>
      </w:r>
      <w:r w:rsidRPr="007B6D67">
        <w:rPr>
          <w:i/>
          <w:iCs/>
        </w:rPr>
        <w:t xml:space="preserve">Rodriguez v. United States </w:t>
      </w:r>
      <w:r w:rsidRPr="007B6D67">
        <w:t>(1987) 480 U.S. 522, 525–526; accord,</w:t>
      </w:r>
      <w:r w:rsidRPr="007B6D67" w:rsidR="00D155F5">
        <w:t xml:space="preserve"> e.g.,</w:t>
      </w:r>
      <w:r w:rsidRPr="007B6D67">
        <w:t xml:space="preserve"> </w:t>
      </w:r>
      <w:r w:rsidRPr="007B6D67">
        <w:rPr>
          <w:i/>
          <w:iCs/>
        </w:rPr>
        <w:t>Sonic</w:t>
      </w:r>
      <w:r w:rsidRPr="007B6D67">
        <w:rPr>
          <w:i/>
          <w:iCs/>
        </w:rPr>
        <w:noBreakHyphen/>
        <w:t>Calabasas A, Inc. v. Moreno</w:t>
      </w:r>
      <w:r w:rsidRPr="007B6D67">
        <w:t xml:space="preserve"> (2013) 57 Cal.4th 1109, 1167.)  </w:t>
      </w:r>
      <w:r w:rsidRPr="007B6D67" w:rsidR="00E22435">
        <w:t xml:space="preserve">We see </w:t>
      </w:r>
      <w:r w:rsidRPr="007B6D67" w:rsidR="009B6BAE">
        <w:t xml:space="preserve">no evidence that </w:t>
      </w:r>
      <w:r w:rsidRPr="007B6D67" w:rsidR="00FE17E4">
        <w:t>Proposition 66</w:t>
      </w:r>
      <w:r w:rsidRPr="007B6D67" w:rsidR="00E22435">
        <w:t xml:space="preserve"> </w:t>
      </w:r>
      <w:r w:rsidRPr="007B6D67" w:rsidR="009B6BAE">
        <w:t xml:space="preserve">was intended to </w:t>
      </w:r>
      <w:r w:rsidRPr="007B6D67" w:rsidR="00FE17E4">
        <w:t>speed up the process of review</w:t>
      </w:r>
      <w:r w:rsidRPr="007B6D67" w:rsidR="00E22435">
        <w:t xml:space="preserve"> to the maximum extent possible, no matter the costs to the principles of substantial justice that lie at the core of the </w:t>
      </w:r>
      <w:r w:rsidR="00897CD8">
        <w:t>C</w:t>
      </w:r>
      <w:r w:rsidRPr="007B6D67" w:rsidR="00896F6A">
        <w:t xml:space="preserve">onstitution’s </w:t>
      </w:r>
      <w:r w:rsidRPr="007B6D67" w:rsidR="00E22435">
        <w:t xml:space="preserve">habeas </w:t>
      </w:r>
      <w:r w:rsidRPr="007B6D67" w:rsidR="007D362C">
        <w:t xml:space="preserve">corpus </w:t>
      </w:r>
      <w:r w:rsidRPr="007B6D67" w:rsidR="00E22435">
        <w:t>and due process guarantees</w:t>
      </w:r>
      <w:r w:rsidRPr="007B6D67" w:rsidR="00FE17E4">
        <w:t xml:space="preserve">.  Rather, </w:t>
      </w:r>
      <w:r w:rsidRPr="007B6D67" w:rsidR="006A238A">
        <w:t>s</w:t>
      </w:r>
      <w:r w:rsidRPr="007B6D67" w:rsidR="00E64807">
        <w:t xml:space="preserve">tating its purposes in </w:t>
      </w:r>
      <w:r w:rsidRPr="007B6D67" w:rsidR="00F3467E">
        <w:t xml:space="preserve">uncodified </w:t>
      </w:r>
      <w:r w:rsidRPr="007B6D67" w:rsidR="005A16F0">
        <w:t xml:space="preserve">findings </w:t>
      </w:r>
      <w:r w:rsidRPr="007B6D67" w:rsidR="00616B6C">
        <w:t>and declarations</w:t>
      </w:r>
      <w:r w:rsidRPr="007B6D67" w:rsidR="002A2D5F">
        <w:t xml:space="preserve">, </w:t>
      </w:r>
      <w:r w:rsidRPr="007B6D67" w:rsidR="00E64807">
        <w:t xml:space="preserve">Proposition 66 </w:t>
      </w:r>
      <w:r w:rsidRPr="007B6D67" w:rsidR="006A238A">
        <w:t xml:space="preserve">was </w:t>
      </w:r>
      <w:r w:rsidRPr="007B6D67" w:rsidR="000B3E65">
        <w:t xml:space="preserve">specifically </w:t>
      </w:r>
      <w:r w:rsidRPr="007B6D67" w:rsidR="002A2D5F">
        <w:t>focu</w:t>
      </w:r>
      <w:r w:rsidRPr="007B6D67" w:rsidR="00E64807">
        <w:t>sed</w:t>
      </w:r>
      <w:r w:rsidRPr="007B6D67" w:rsidR="00616B6C">
        <w:t xml:space="preserve"> </w:t>
      </w:r>
      <w:r w:rsidRPr="007B6D67" w:rsidR="002A2D5F">
        <w:t xml:space="preserve">on curbing </w:t>
      </w:r>
      <w:r w:rsidRPr="007B6D67" w:rsidR="006F4A31">
        <w:t>“frivolous and un</w:t>
      </w:r>
      <w:r w:rsidRPr="007B6D67" w:rsidR="00EF479E">
        <w:t>necessary claims” that have “wasted taxpayer</w:t>
      </w:r>
      <w:r w:rsidRPr="007B6D67" w:rsidR="00700D9B">
        <w:t xml:space="preserve"> dollars and delayed justice.”  (Voter Information Guide</w:t>
      </w:r>
      <w:r w:rsidRPr="007B6D67" w:rsidR="00501346">
        <w:t xml:space="preserve">, </w:t>
      </w:r>
      <w:r w:rsidRPr="007B6D67" w:rsidR="00700D9B">
        <w:t>Gen. Elec</w:t>
      </w:r>
      <w:r w:rsidR="00E53C98">
        <w:t>.</w:t>
      </w:r>
      <w:r w:rsidRPr="007B6D67" w:rsidR="00501346">
        <w:t xml:space="preserve"> (</w:t>
      </w:r>
      <w:r w:rsidRPr="007B6D67" w:rsidR="00700D9B">
        <w:t xml:space="preserve">Nov. 8, 2016) text of Prop. 66, </w:t>
      </w:r>
      <w:r w:rsidRPr="007B6D67" w:rsidR="009871BA">
        <w:t>§</w:t>
      </w:r>
      <w:r w:rsidRPr="007B6D67" w:rsidR="003B614B">
        <w:t> </w:t>
      </w:r>
      <w:r w:rsidRPr="007B6D67" w:rsidR="009871BA">
        <w:t xml:space="preserve">2, subd. </w:t>
      </w:r>
      <w:r w:rsidRPr="007B6D67" w:rsidR="004147BD">
        <w:t xml:space="preserve">7, </w:t>
      </w:r>
      <w:r w:rsidRPr="007B6D67" w:rsidR="00700D9B">
        <w:t>p.</w:t>
      </w:r>
      <w:r w:rsidRPr="007B6D67" w:rsidR="003B614B">
        <w:t> </w:t>
      </w:r>
      <w:r w:rsidRPr="007B6D67" w:rsidR="004147BD">
        <w:t>213</w:t>
      </w:r>
      <w:r w:rsidRPr="007B6D67" w:rsidR="00501346">
        <w:t xml:space="preserve"> (Voter Information Guide)</w:t>
      </w:r>
      <w:r w:rsidRPr="007B6D67" w:rsidR="00700D9B">
        <w:t xml:space="preserve">.)  </w:t>
      </w:r>
      <w:r w:rsidRPr="007B6D67" w:rsidR="00E2234A">
        <w:t>Making a c</w:t>
      </w:r>
      <w:r w:rsidRPr="007B6D67" w:rsidR="00925E37">
        <w:t xml:space="preserve">laim of constitutional violation that </w:t>
      </w:r>
      <w:r w:rsidRPr="007B6D67" w:rsidR="008C25F2">
        <w:t xml:space="preserve">could not </w:t>
      </w:r>
      <w:r w:rsidRPr="007B6D67" w:rsidR="008834A4">
        <w:t xml:space="preserve">reasonably </w:t>
      </w:r>
      <w:r w:rsidRPr="007B6D67" w:rsidR="008C25F2">
        <w:t xml:space="preserve">have been made in an earlier petition </w:t>
      </w:r>
      <w:r w:rsidRPr="007B6D67" w:rsidR="00E2234A">
        <w:t>is not by its nature a frivolous, unneces</w:t>
      </w:r>
      <w:r w:rsidRPr="007B6D67" w:rsidR="008834A4">
        <w:t>s</w:t>
      </w:r>
      <w:r w:rsidRPr="007B6D67" w:rsidR="00E2234A">
        <w:t>ary</w:t>
      </w:r>
      <w:r w:rsidRPr="007B6D67" w:rsidR="001C417D">
        <w:t>,</w:t>
      </w:r>
      <w:r w:rsidRPr="007B6D67" w:rsidR="00E2234A">
        <w:t xml:space="preserve"> or wasteful </w:t>
      </w:r>
      <w:r w:rsidRPr="007B6D67" w:rsidR="00372D15">
        <w:t xml:space="preserve">act. </w:t>
      </w:r>
      <w:r w:rsidRPr="007B6D67" w:rsidR="008C25F2">
        <w:t xml:space="preserve"> </w:t>
      </w:r>
      <w:r w:rsidRPr="007B6D67" w:rsidR="00D75098">
        <w:t xml:space="preserve">We cannot assume the voters </w:t>
      </w:r>
      <w:r w:rsidRPr="007B6D67" w:rsidR="003A61EA">
        <w:t xml:space="preserve">were so </w:t>
      </w:r>
      <w:r w:rsidRPr="007B6D67" w:rsidR="00372D15">
        <w:t>single</w:t>
      </w:r>
      <w:r w:rsidRPr="007B6D67" w:rsidR="00501346">
        <w:t>-</w:t>
      </w:r>
      <w:r w:rsidRPr="007B6D67" w:rsidR="00372D15">
        <w:t xml:space="preserve">handedly </w:t>
      </w:r>
      <w:r w:rsidRPr="007B6D67" w:rsidR="003A61EA">
        <w:t xml:space="preserve">determined to expedite </w:t>
      </w:r>
      <w:r w:rsidRPr="007B6D67" w:rsidR="001B230C">
        <w:t>capital habeas corpus proceedings that they would pass a statu</w:t>
      </w:r>
      <w:r w:rsidRPr="007B6D67" w:rsidR="002047BD">
        <w:t xml:space="preserve">te </w:t>
      </w:r>
      <w:r w:rsidRPr="007B6D67" w:rsidR="00E617B5">
        <w:t>system</w:t>
      </w:r>
      <w:r w:rsidRPr="007B6D67" w:rsidR="005B4667">
        <w:t>ati</w:t>
      </w:r>
      <w:r w:rsidRPr="007B6D67" w:rsidR="00E617B5">
        <w:t>cally precluding many such claims and thereby</w:t>
      </w:r>
      <w:r w:rsidRPr="007B6D67" w:rsidR="002047BD">
        <w:t xml:space="preserve"> rais</w:t>
      </w:r>
      <w:r w:rsidRPr="007B6D67" w:rsidR="00E617B5">
        <w:t>ing</w:t>
      </w:r>
      <w:r w:rsidRPr="007B6D67" w:rsidR="002047BD">
        <w:t xml:space="preserve"> serious doubts about </w:t>
      </w:r>
      <w:r w:rsidRPr="007B6D67" w:rsidR="00E617B5">
        <w:t>the measure’s</w:t>
      </w:r>
      <w:r w:rsidRPr="007B6D67" w:rsidR="002047BD">
        <w:t xml:space="preserve"> constitutionality.</w:t>
      </w:r>
      <w:r>
        <w:rPr>
          <w:rStyle w:val="FootnoteReference"/>
        </w:rPr>
        <w:footnoteReference w:id="17"/>
      </w:r>
    </w:p>
    <w:p w:rsidR="002F0B14" w:rsidRPr="007B6D67" w:rsidP="007B6D67" w14:paraId="7DD92BA9" w14:textId="50F31C0E">
      <w:pPr>
        <w:pStyle w:val="Text"/>
        <w:spacing w:line="400" w:lineRule="exact"/>
        <w:ind w:firstLine="720"/>
      </w:pPr>
      <w:r>
        <w:t>A</w:t>
      </w:r>
      <w:r w:rsidRPr="007B6D67" w:rsidR="000618BB">
        <w:t xml:space="preserve">mici </w:t>
      </w:r>
      <w:r w:rsidR="00254026">
        <w:t xml:space="preserve">curiae </w:t>
      </w:r>
      <w:r w:rsidRPr="007B6D67" w:rsidR="003B27C3">
        <w:t xml:space="preserve">turn to the ballot materials to support their view.  </w:t>
      </w:r>
      <w:r w:rsidRPr="007B6D67" w:rsidR="00482082">
        <w:t xml:space="preserve">But </w:t>
      </w:r>
      <w:r w:rsidRPr="007B6D67" w:rsidR="00F31231">
        <w:t xml:space="preserve">Proposition 66’s </w:t>
      </w:r>
      <w:r w:rsidRPr="007B6D67" w:rsidR="004051EE">
        <w:t xml:space="preserve">effects on habeas corpus litigation did not figure heavily in the </w:t>
      </w:r>
      <w:r w:rsidRPr="007B6D67" w:rsidR="004437E2">
        <w:t>ballot materials</w:t>
      </w:r>
      <w:r w:rsidRPr="007B6D67" w:rsidR="0099498F">
        <w:t xml:space="preserve">, and </w:t>
      </w:r>
      <w:r w:rsidRPr="007B6D67" w:rsidR="00131AD3">
        <w:t xml:space="preserve">nothing in the </w:t>
      </w:r>
      <w:r w:rsidRPr="007B6D67" w:rsidR="00053356">
        <w:t xml:space="preserve">ballot </w:t>
      </w:r>
      <w:r w:rsidRPr="007B6D67" w:rsidR="00131AD3">
        <w:t>arguments for and against</w:t>
      </w:r>
      <w:r w:rsidRPr="007B6D67" w:rsidR="00FA7E73">
        <w:t xml:space="preserve"> the measure</w:t>
      </w:r>
      <w:r w:rsidRPr="007B6D67" w:rsidR="001F6146">
        <w:t xml:space="preserve"> sheds light on the question here.  </w:t>
      </w:r>
    </w:p>
    <w:p w:rsidR="006879D2" w:rsidRPr="007B6D67" w:rsidP="007B6D67" w14:paraId="7EB52241" w14:textId="39AEB16B">
      <w:pPr>
        <w:pStyle w:val="Text"/>
        <w:spacing w:line="400" w:lineRule="exact"/>
        <w:ind w:firstLine="720"/>
      </w:pPr>
      <w:r w:rsidRPr="007B6D67">
        <w:t>The analysis provided by the Legislative Analyst</w:t>
      </w:r>
      <w:r w:rsidRPr="007B6D67" w:rsidR="004437E2">
        <w:t xml:space="preserve"> did </w:t>
      </w:r>
      <w:r w:rsidRPr="007B6D67" w:rsidR="005508B6">
        <w:t>touch on the topic</w:t>
      </w:r>
      <w:r w:rsidRPr="007B6D67" w:rsidR="003F18EB">
        <w:t xml:space="preserve"> of limits </w:t>
      </w:r>
      <w:r w:rsidRPr="007B6D67" w:rsidR="00E03AC4">
        <w:t>on successive petitions</w:t>
      </w:r>
      <w:r w:rsidRPr="007B6D67" w:rsidR="004437E2">
        <w:t xml:space="preserve"> (</w:t>
      </w:r>
      <w:r w:rsidRPr="007B6D67" w:rsidR="00E03AC4">
        <w:t xml:space="preserve">though </w:t>
      </w:r>
      <w:r w:rsidRPr="007B6D67" w:rsidR="0099498F">
        <w:t>without</w:t>
      </w:r>
      <w:r w:rsidRPr="007B6D67" w:rsidR="00E03AC4">
        <w:t xml:space="preserve"> using that </w:t>
      </w:r>
      <w:r w:rsidRPr="007B6D67" w:rsidR="004437E2">
        <w:t xml:space="preserve">particular </w:t>
      </w:r>
      <w:r w:rsidRPr="007B6D67" w:rsidR="00E03AC4">
        <w:t>term</w:t>
      </w:r>
      <w:r w:rsidRPr="007B6D67" w:rsidR="004437E2">
        <w:t>)</w:t>
      </w:r>
      <w:r w:rsidRPr="007B6D67" w:rsidR="00D441A6">
        <w:t xml:space="preserve">.  Discussing </w:t>
      </w:r>
      <w:r w:rsidRPr="007B6D67" w:rsidR="0099498F">
        <w:t>re</w:t>
      </w:r>
      <w:r w:rsidRPr="007B6D67" w:rsidR="00234AF7">
        <w:t>s</w:t>
      </w:r>
      <w:r w:rsidRPr="007B6D67" w:rsidR="0099498F">
        <w:t>trictions</w:t>
      </w:r>
      <w:r w:rsidRPr="007B6D67" w:rsidR="00D441A6">
        <w:t xml:space="preserve"> on habeas corpus </w:t>
      </w:r>
      <w:r w:rsidRPr="007B6D67" w:rsidR="00DF0B8C">
        <w:t>in light of Proposition 66’s newly introduced time limits</w:t>
      </w:r>
      <w:r w:rsidRPr="007B6D67" w:rsidR="00D441A6">
        <w:t>, the analysis state</w:t>
      </w:r>
      <w:r w:rsidRPr="007B6D67" w:rsidR="00CE2B44">
        <w:t>d</w:t>
      </w:r>
      <w:r w:rsidRPr="007B6D67" w:rsidR="0025558E">
        <w:t>:</w:t>
      </w:r>
      <w:r w:rsidRPr="007B6D67" w:rsidR="005508B6">
        <w:t xml:space="preserve">  “In order to help meet the above time frames, the measure places other limits on legal challenges to death sentences.  For example, the measure does not allow additional habeas corpus petitions to be filed after the first petition is filed, except in those cases where the court finds that the defendant is likely either innocent or not eligible for the death sentence.”  (</w:t>
      </w:r>
      <w:r w:rsidRPr="007B6D67" w:rsidR="00C77133">
        <w:t>Voter Information Guide</w:t>
      </w:r>
      <w:r w:rsidRPr="007B6D67" w:rsidR="00234AF7">
        <w:t>,</w:t>
      </w:r>
      <w:r w:rsidRPr="007B6D67" w:rsidR="00C77133">
        <w:t xml:space="preserve"> </w:t>
      </w:r>
      <w:r w:rsidRPr="007B6D67" w:rsidR="00234AF7">
        <w:rPr>
          <w:i/>
          <w:iCs/>
        </w:rPr>
        <w:t>supra</w:t>
      </w:r>
      <w:r w:rsidRPr="007B6D67" w:rsidR="00C77133">
        <w:t xml:space="preserve">, </w:t>
      </w:r>
      <w:r w:rsidRPr="007B6D67" w:rsidR="00F3504C">
        <w:t>analysis of Prop. 66</w:t>
      </w:r>
      <w:r w:rsidRPr="007B6D67" w:rsidR="00CC2222">
        <w:t xml:space="preserve"> by Legis. Analyst</w:t>
      </w:r>
      <w:r w:rsidRPr="007B6D67" w:rsidR="00C77133">
        <w:t>,</w:t>
      </w:r>
      <w:r w:rsidRPr="007B6D67" w:rsidR="005508B6">
        <w:t xml:space="preserve"> p.</w:t>
      </w:r>
      <w:r w:rsidRPr="007B6D67" w:rsidR="003B614B">
        <w:t> </w:t>
      </w:r>
      <w:r w:rsidRPr="007B6D67" w:rsidR="005508B6">
        <w:t>106.)</w:t>
      </w:r>
      <w:r w:rsidRPr="007B6D67" w:rsidR="0079040F">
        <w:t xml:space="preserve">  </w:t>
      </w:r>
      <w:r w:rsidRPr="007B6D67" w:rsidR="00524EED">
        <w:t xml:space="preserve">And in </w:t>
      </w:r>
      <w:r w:rsidRPr="007B6D67" w:rsidR="001E39E8">
        <w:t xml:space="preserve">its discussion of fiscal effects, the analysis </w:t>
      </w:r>
      <w:r w:rsidRPr="007B6D67" w:rsidR="00F061E4">
        <w:t>observed that “</w:t>
      </w:r>
      <w:r w:rsidRPr="007B6D67" w:rsidR="0079040F">
        <w:t>the limits on the number of habeas corpus petitions that can be filed</w:t>
      </w:r>
      <w:r w:rsidRPr="007B6D67" w:rsidR="008F30EE">
        <w:t xml:space="preserve">” </w:t>
      </w:r>
      <w:r w:rsidRPr="007B6D67" w:rsidR="00AB310B">
        <w:t xml:space="preserve">could reduce the </w:t>
      </w:r>
      <w:r w:rsidRPr="007B6D67" w:rsidR="0077432F">
        <w:t xml:space="preserve">time and resources </w:t>
      </w:r>
      <w:r w:rsidRPr="007B6D67" w:rsidR="00006F04">
        <w:t>spent on postconviction proceedings in capital cases.  (</w:t>
      </w:r>
      <w:r w:rsidRPr="007B6D67" w:rsidR="00006F04">
        <w:rPr>
          <w:i/>
          <w:iCs/>
        </w:rPr>
        <w:t>Id.</w:t>
      </w:r>
      <w:r w:rsidRPr="007B6D67" w:rsidR="0090357B">
        <w:t xml:space="preserve"> </w:t>
      </w:r>
      <w:r w:rsidRPr="007B6D67" w:rsidR="0023762C">
        <w:t xml:space="preserve">at </w:t>
      </w:r>
      <w:r w:rsidRPr="007B6D67" w:rsidR="00006F04">
        <w:t>p</w:t>
      </w:r>
      <w:r w:rsidRPr="007B6D67">
        <w:t>.</w:t>
      </w:r>
      <w:r w:rsidRPr="007B6D67" w:rsidR="003B614B">
        <w:t> </w:t>
      </w:r>
      <w:r w:rsidRPr="007B6D67">
        <w:t>107.)</w:t>
      </w:r>
      <w:r w:rsidRPr="007B6D67" w:rsidR="00F71408">
        <w:t xml:space="preserve">  </w:t>
      </w:r>
      <w:r w:rsidRPr="007B6D67" w:rsidR="006061A7">
        <w:t xml:space="preserve">Neither of these passages, however, brought to voters’ attention </w:t>
      </w:r>
      <w:r w:rsidRPr="007B6D67" w:rsidR="00083739">
        <w:t>the specific problem of</w:t>
      </w:r>
      <w:r w:rsidRPr="007B6D67" w:rsidR="00E613EE">
        <w:t xml:space="preserve"> </w:t>
      </w:r>
      <w:r w:rsidRPr="007B6D67" w:rsidR="00173CED">
        <w:t xml:space="preserve">claims that could not reasonably have been brought in a prior petition.  </w:t>
      </w:r>
      <w:r w:rsidRPr="007B6D67" w:rsidR="00DB69B3">
        <w:t xml:space="preserve">Though the analysis suggests the </w:t>
      </w:r>
      <w:r w:rsidRPr="007B6D67" w:rsidR="00B04E65">
        <w:t>proposed statutes would</w:t>
      </w:r>
      <w:r w:rsidRPr="007B6D67" w:rsidR="008D6803">
        <w:t xml:space="preserve"> place limits on the number of habeas </w:t>
      </w:r>
      <w:r w:rsidRPr="007B6D67" w:rsidR="00C97BF3">
        <w:t xml:space="preserve">corpus </w:t>
      </w:r>
      <w:r w:rsidRPr="007B6D67" w:rsidR="008D6803">
        <w:t xml:space="preserve">petitions </w:t>
      </w:r>
      <w:r w:rsidRPr="007B6D67" w:rsidR="001E389C">
        <w:t xml:space="preserve">that a condemned </w:t>
      </w:r>
      <w:r w:rsidRPr="007B6D67" w:rsidR="00C97BF3">
        <w:t>person</w:t>
      </w:r>
      <w:r w:rsidRPr="007B6D67" w:rsidR="001E389C">
        <w:t xml:space="preserve"> could file</w:t>
      </w:r>
      <w:r w:rsidRPr="007B6D67" w:rsidR="00C97BF3">
        <w:t xml:space="preserve">, it does not establish </w:t>
      </w:r>
      <w:r w:rsidRPr="007B6D67" w:rsidR="00B04E65">
        <w:t>the voters intended</w:t>
      </w:r>
      <w:r w:rsidRPr="007B6D67" w:rsidR="00595FEF">
        <w:t xml:space="preserve"> the measure as </w:t>
      </w:r>
      <w:r w:rsidRPr="007B6D67" w:rsidR="00186C35">
        <w:t xml:space="preserve">operating so strictly as to </w:t>
      </w:r>
      <w:r w:rsidRPr="007B6D67" w:rsidR="00595FEF">
        <w:t>preclud</w:t>
      </w:r>
      <w:r w:rsidRPr="007B6D67" w:rsidR="00186C35">
        <w:t>e</w:t>
      </w:r>
      <w:r w:rsidRPr="007B6D67" w:rsidR="00AF1BCE">
        <w:t xml:space="preserve"> </w:t>
      </w:r>
      <w:r w:rsidRPr="007B6D67" w:rsidR="00595FEF">
        <w:t xml:space="preserve">a </w:t>
      </w:r>
      <w:r w:rsidRPr="007B6D67" w:rsidR="00186C35">
        <w:t xml:space="preserve">condemned </w:t>
      </w:r>
      <w:r w:rsidRPr="007B6D67" w:rsidR="00595FEF">
        <w:t xml:space="preserve">prisoner from </w:t>
      </w:r>
      <w:r w:rsidRPr="007B6D67" w:rsidR="00AF1BCE">
        <w:t xml:space="preserve">seeking relief on grounds of </w:t>
      </w:r>
      <w:r w:rsidRPr="007B6D67" w:rsidR="007E47FC">
        <w:t xml:space="preserve">a </w:t>
      </w:r>
      <w:r w:rsidRPr="007B6D67" w:rsidR="00115940">
        <w:t xml:space="preserve">prejudicial </w:t>
      </w:r>
      <w:r w:rsidRPr="007B6D67" w:rsidR="00AF1BCE">
        <w:t>constitutional error that, even with reasonable diligence, could not have been discovered and presented earlier.</w:t>
      </w:r>
      <w:r w:rsidRPr="007B6D67" w:rsidR="007571BF">
        <w:t xml:space="preserve">  </w:t>
      </w:r>
      <w:r w:rsidRPr="007B6D67" w:rsidR="00F43B3C">
        <w:t>Again, g</w:t>
      </w:r>
      <w:r w:rsidRPr="007B6D67" w:rsidR="007571BF">
        <w:t xml:space="preserve">iven the significant constitutional doubts that would be raised by such a reading, </w:t>
      </w:r>
      <w:r w:rsidRPr="007B6D67" w:rsidR="00F43B3C">
        <w:t xml:space="preserve">and in the absence of any substantial evidence to the contrary, </w:t>
      </w:r>
      <w:r w:rsidRPr="007B6D67" w:rsidR="007571BF">
        <w:t>we presume this was not the voters’ intent.</w:t>
      </w:r>
    </w:p>
    <w:p w:rsidR="00F43B3C" w:rsidRPr="007B6D67" w:rsidP="007B6D67" w14:paraId="6DA3B3EC" w14:textId="2E272EE6">
      <w:pPr>
        <w:pStyle w:val="Text"/>
        <w:spacing w:line="400" w:lineRule="exact"/>
        <w:ind w:firstLine="720"/>
      </w:pPr>
      <w:r w:rsidRPr="007B6D67">
        <w:t>We</w:t>
      </w:r>
      <w:r w:rsidRPr="007B6D67" w:rsidR="00D224AA">
        <w:t xml:space="preserve"> instead</w:t>
      </w:r>
      <w:r w:rsidRPr="007B6D67">
        <w:t xml:space="preserve"> conclude that the </w:t>
      </w:r>
      <w:r w:rsidRPr="007B6D67" w:rsidR="0046472C">
        <w:t>voters’ intent in using the term “successive” in section 1509(d)</w:t>
      </w:r>
      <w:r w:rsidRPr="007B6D67" w:rsidR="007C65ED">
        <w:t xml:space="preserve"> was to build on, rather than fundamentally reconfigure, the concept of “successiveness” as it has developed in the case law. </w:t>
      </w:r>
      <w:r w:rsidRPr="007B6D67" w:rsidR="00CB7F65">
        <w:t xml:space="preserve"> </w:t>
      </w:r>
      <w:r w:rsidRPr="007B6D67">
        <w:t>Rather than presume the voters intended a sea change in habeas law that would, for the first time, eliminate the established safety valve for claims that could not have reasonably been raised earlier, we instead conclude they</w:t>
      </w:r>
      <w:r w:rsidRPr="007B6D67" w:rsidR="007C65ED">
        <w:t xml:space="preserve"> determined to tighten the standards courts have developed to deter abuse of the writ of habeas corpus by </w:t>
      </w:r>
      <w:r w:rsidRPr="007B6D67">
        <w:t>mak</w:t>
      </w:r>
      <w:r w:rsidRPr="007B6D67" w:rsidR="007C65ED">
        <w:t>ing</w:t>
      </w:r>
      <w:r w:rsidRPr="007B6D67">
        <w:t xml:space="preserve"> it harder for capital petitioners to earn a second chance to raise claims they could, and should, have raised earlier.</w:t>
      </w:r>
    </w:p>
    <w:p w:rsidR="00355DA9" w:rsidRPr="007B6D67" w:rsidP="007B6D67" w14:paraId="016C3F64" w14:textId="0FB795F3">
      <w:pPr>
        <w:pStyle w:val="Heading1"/>
      </w:pPr>
      <w:r w:rsidRPr="007B6D67">
        <w:t>III.</w:t>
      </w:r>
    </w:p>
    <w:p w:rsidR="003651C1" w:rsidRPr="007B6D67" w:rsidP="007B6D67" w14:paraId="4EA47732" w14:textId="57B8786C">
      <w:pPr>
        <w:pStyle w:val="Text"/>
        <w:spacing w:line="400" w:lineRule="exact"/>
        <w:ind w:firstLine="720"/>
      </w:pPr>
      <w:r w:rsidRPr="007B6D67">
        <w:t xml:space="preserve">We turn </w:t>
      </w:r>
      <w:r w:rsidRPr="007B6D67" w:rsidR="00C57B66">
        <w:t xml:space="preserve">next </w:t>
      </w:r>
      <w:r w:rsidRPr="007B6D67">
        <w:t xml:space="preserve">to </w:t>
      </w:r>
      <w:r w:rsidRPr="007B6D67" w:rsidR="00B04445">
        <w:t xml:space="preserve">the question of whether Proposition 66’s </w:t>
      </w:r>
      <w:r w:rsidRPr="007B6D67" w:rsidR="00346304">
        <w:t xml:space="preserve">limits on successive petitions </w:t>
      </w:r>
      <w:r w:rsidRPr="007B6D67" w:rsidR="0003685B">
        <w:t>are applicable</w:t>
      </w:r>
      <w:r w:rsidRPr="007B6D67" w:rsidR="00A2693E">
        <w:t xml:space="preserve"> </w:t>
      </w:r>
      <w:r w:rsidRPr="007B6D67" w:rsidR="00346304">
        <w:t>where</w:t>
      </w:r>
      <w:r w:rsidRPr="007B6D67" w:rsidR="00A2693E">
        <w:t xml:space="preserve">, as here, </w:t>
      </w:r>
      <w:r w:rsidRPr="007B6D67" w:rsidR="00346304">
        <w:t xml:space="preserve">the petitioner’s </w:t>
      </w:r>
      <w:r w:rsidRPr="007B6D67" w:rsidR="004E44D7">
        <w:t>previous</w:t>
      </w:r>
      <w:r w:rsidRPr="007B6D67" w:rsidR="00346304">
        <w:t xml:space="preserve"> </w:t>
      </w:r>
      <w:r w:rsidRPr="007B6D67" w:rsidR="00F34A87">
        <w:t xml:space="preserve">habeas corpus </w:t>
      </w:r>
      <w:r w:rsidRPr="007B6D67" w:rsidR="00346304">
        <w:t>petition was filed before Proposition 66 took effect.</w:t>
      </w:r>
      <w:r w:rsidRPr="007B6D67" w:rsidR="00F34A87">
        <w:t xml:space="preserve">  </w:t>
      </w:r>
      <w:r w:rsidRPr="007B6D67" w:rsidR="004F53D0">
        <w:t>We</w:t>
      </w:r>
      <w:r w:rsidRPr="007B6D67" w:rsidR="00F34A87">
        <w:t xml:space="preserve"> conclude they </w:t>
      </w:r>
      <w:r w:rsidRPr="007B6D67" w:rsidR="005D4D5D">
        <w:t>are</w:t>
      </w:r>
      <w:r w:rsidRPr="007B6D67" w:rsidR="005C61D7">
        <w:t>.</w:t>
      </w:r>
    </w:p>
    <w:p w:rsidR="0046167B" w:rsidRPr="007B6D67" w:rsidP="007B6D67" w14:paraId="5CAE8F66" w14:textId="648B7629">
      <w:pPr>
        <w:pStyle w:val="Text"/>
        <w:spacing w:line="400" w:lineRule="exact"/>
        <w:ind w:firstLine="720"/>
      </w:pPr>
      <w:r w:rsidRPr="007B6D67">
        <w:t>As a</w:t>
      </w:r>
      <w:r w:rsidRPr="007B6D67" w:rsidR="007F689F">
        <w:t xml:space="preserve"> rule</w:t>
      </w:r>
      <w:r w:rsidRPr="007B6D67" w:rsidR="00C55E6C">
        <w:t>,</w:t>
      </w:r>
      <w:r w:rsidRPr="007B6D67" w:rsidR="007F689F">
        <w:t xml:space="preserve"> </w:t>
      </w:r>
      <w:r w:rsidRPr="007B6D67" w:rsidR="00AD095A">
        <w:t xml:space="preserve">courts presume </w:t>
      </w:r>
      <w:r w:rsidRPr="007B6D67" w:rsidR="0010044C">
        <w:t xml:space="preserve">that </w:t>
      </w:r>
      <w:r w:rsidRPr="007B6D67" w:rsidR="00AD095A">
        <w:t xml:space="preserve">newly enacted </w:t>
      </w:r>
      <w:r w:rsidRPr="007B6D67" w:rsidR="007F689F">
        <w:t xml:space="preserve">legislation </w:t>
      </w:r>
      <w:r w:rsidRPr="007B6D67" w:rsidR="00AD095A">
        <w:t xml:space="preserve">is </w:t>
      </w:r>
      <w:r w:rsidRPr="007B6D67" w:rsidR="0010044C">
        <w:t xml:space="preserve">intended </w:t>
      </w:r>
      <w:r w:rsidRPr="007B6D67" w:rsidR="007F689F">
        <w:t>to operate prospectively</w:t>
      </w:r>
      <w:r w:rsidRPr="007B6D67" w:rsidR="007D4A99">
        <w:t xml:space="preserve"> and not retroactively</w:t>
      </w:r>
      <w:r w:rsidRPr="007B6D67" w:rsidR="007F689F">
        <w:t xml:space="preserve">.  (See, e.g., </w:t>
      </w:r>
      <w:r w:rsidRPr="007B6D67" w:rsidR="007F689F">
        <w:rPr>
          <w:i/>
          <w:iCs/>
        </w:rPr>
        <w:t>Californians for Disability Rights v. Mervyn</w:t>
      </w:r>
      <w:r w:rsidRPr="007B6D67" w:rsidR="00853095">
        <w:rPr>
          <w:i/>
          <w:iCs/>
        </w:rPr>
        <w:t>’</w:t>
      </w:r>
      <w:r w:rsidRPr="007B6D67" w:rsidR="007F689F">
        <w:rPr>
          <w:i/>
          <w:iCs/>
        </w:rPr>
        <w:t>s, LLC</w:t>
      </w:r>
      <w:r w:rsidRPr="007B6D67" w:rsidR="007F689F">
        <w:t xml:space="preserve"> (2006) 39 Cal.4th 223, 230; </w:t>
      </w:r>
      <w:r w:rsidRPr="007B6D67" w:rsidR="007F689F">
        <w:rPr>
          <w:i/>
          <w:iCs/>
        </w:rPr>
        <w:t>Evangelatos v. Superior Court</w:t>
      </w:r>
      <w:r w:rsidRPr="007B6D67" w:rsidR="007F689F">
        <w:t> (1988) 44 Cal.3d 1188, 1208</w:t>
      </w:r>
      <w:r w:rsidRPr="007B6D67" w:rsidR="003B614B">
        <w:t>–</w:t>
      </w:r>
      <w:r w:rsidRPr="007B6D67" w:rsidR="007F689F">
        <w:t xml:space="preserve">1209.)  </w:t>
      </w:r>
      <w:r w:rsidRPr="007B6D67" w:rsidR="00047918">
        <w:t>Friend</w:t>
      </w:r>
      <w:r w:rsidRPr="007B6D67" w:rsidR="007F689F">
        <w:t xml:space="preserve"> contends </w:t>
      </w:r>
      <w:r w:rsidRPr="007B6D67" w:rsidR="00DE4A5B">
        <w:t xml:space="preserve">that </w:t>
      </w:r>
      <w:r w:rsidRPr="007B6D67" w:rsidR="003D30F0">
        <w:t xml:space="preserve">in cases where the first petition was filed before Proposition 66, </w:t>
      </w:r>
      <w:r w:rsidRPr="007B6D67" w:rsidR="007F689F">
        <w:t xml:space="preserve">applying </w:t>
      </w:r>
      <w:r w:rsidRPr="007B6D67">
        <w:t xml:space="preserve">section </w:t>
      </w:r>
      <w:r w:rsidRPr="007B6D67" w:rsidR="007F689F">
        <w:t xml:space="preserve">1509(d) </w:t>
      </w:r>
      <w:r w:rsidRPr="007B6D67" w:rsidR="00D27798">
        <w:t xml:space="preserve">to </w:t>
      </w:r>
      <w:r w:rsidRPr="007B6D67" w:rsidR="003D30F0">
        <w:t xml:space="preserve">a </w:t>
      </w:r>
      <w:r w:rsidRPr="007B6D67" w:rsidR="00D27798">
        <w:t xml:space="preserve">subsequent petition </w:t>
      </w:r>
      <w:r w:rsidRPr="007B6D67" w:rsidR="007F689F">
        <w:t>would</w:t>
      </w:r>
      <w:r w:rsidRPr="007B6D67" w:rsidR="002425E2">
        <w:t xml:space="preserve"> </w:t>
      </w:r>
      <w:r w:rsidRPr="007B6D67" w:rsidR="00DE4A5B">
        <w:t>constitute</w:t>
      </w:r>
      <w:r w:rsidRPr="007B6D67" w:rsidR="007F689F">
        <w:t xml:space="preserve"> retroactive </w:t>
      </w:r>
      <w:r w:rsidRPr="007B6D67" w:rsidR="009557E3">
        <w:t xml:space="preserve">application </w:t>
      </w:r>
      <w:r w:rsidRPr="007B6D67" w:rsidR="007F689F">
        <w:t>because it would attach new consequence</w:t>
      </w:r>
      <w:r w:rsidRPr="007B6D67" w:rsidR="00A64A8C">
        <w:t>s</w:t>
      </w:r>
      <w:r w:rsidRPr="007B6D67" w:rsidR="007F689F">
        <w:t xml:space="preserve"> to </w:t>
      </w:r>
      <w:r w:rsidRPr="007B6D67" w:rsidR="009557E3">
        <w:t>the</w:t>
      </w:r>
      <w:r w:rsidRPr="007B6D67" w:rsidR="007F689F">
        <w:t xml:space="preserve"> </w:t>
      </w:r>
      <w:r w:rsidRPr="007B6D67" w:rsidR="009557E3">
        <w:t>pr</w:t>
      </w:r>
      <w:r w:rsidRPr="007B6D67" w:rsidR="006A3DCE">
        <w:t>eenactment</w:t>
      </w:r>
      <w:r w:rsidRPr="007B6D67" w:rsidR="007F689F">
        <w:t xml:space="preserve"> act of filing the first petition</w:t>
      </w:r>
      <w:r w:rsidRPr="007B6D67" w:rsidR="008D330C">
        <w:t xml:space="preserve">. </w:t>
      </w:r>
      <w:r w:rsidRPr="007B6D67" w:rsidR="001A1F40">
        <w:t xml:space="preserve"> (</w:t>
      </w:r>
      <w:r w:rsidRPr="007B6D67" w:rsidR="00EF7806">
        <w:t xml:space="preserve">See </w:t>
      </w:r>
      <w:r w:rsidRPr="007B6D67" w:rsidR="001A1F40">
        <w:rPr>
          <w:i/>
          <w:iCs/>
        </w:rPr>
        <w:t>Landgraf v. USI Film Products</w:t>
      </w:r>
      <w:r w:rsidR="00897CD8">
        <w:t xml:space="preserve"> (1994)</w:t>
      </w:r>
      <w:r w:rsidRPr="007B6D67" w:rsidR="001A1F40">
        <w:t xml:space="preserve"> 511 U.S.</w:t>
      </w:r>
      <w:r w:rsidRPr="007B6D67" w:rsidR="00501346">
        <w:t xml:space="preserve"> </w:t>
      </w:r>
      <w:r w:rsidR="00897CD8">
        <w:t>244,</w:t>
      </w:r>
      <w:r w:rsidRPr="007B6D67" w:rsidR="00501346">
        <w:t> </w:t>
      </w:r>
      <w:r w:rsidRPr="007B6D67" w:rsidR="001A1F40">
        <w:t>270</w:t>
      </w:r>
      <w:r w:rsidRPr="007B6D67" w:rsidR="0049560F">
        <w:t xml:space="preserve"> (</w:t>
      </w:r>
      <w:r w:rsidRPr="007B6D67" w:rsidR="0049560F">
        <w:rPr>
          <w:i/>
          <w:iCs/>
        </w:rPr>
        <w:t>Landgraf</w:t>
      </w:r>
      <w:r w:rsidRPr="007B6D67" w:rsidR="0049560F">
        <w:t>)</w:t>
      </w:r>
      <w:r w:rsidRPr="007B6D67" w:rsidR="0044774F">
        <w:t xml:space="preserve"> [</w:t>
      </w:r>
      <w:r w:rsidRPr="007B6D67" w:rsidR="005C7A3B">
        <w:t xml:space="preserve">a statute operates </w:t>
      </w:r>
      <w:r w:rsidRPr="007B6D67" w:rsidR="00177865">
        <w:t>retroactively when it “attaches new legal consequences to events completed before its enactment”]</w:t>
      </w:r>
      <w:r w:rsidRPr="007B6D67" w:rsidR="008D330C">
        <w:t>.</w:t>
      </w:r>
      <w:r w:rsidRPr="007B6D67" w:rsidR="001A1F40">
        <w:t>)</w:t>
      </w:r>
      <w:r w:rsidRPr="007B6D67" w:rsidR="008D330C">
        <w:t xml:space="preserve"> </w:t>
      </w:r>
      <w:r w:rsidRPr="007B6D67" w:rsidR="00A64A8C">
        <w:t xml:space="preserve"> </w:t>
      </w:r>
      <w:r w:rsidRPr="007B6D67" w:rsidR="00047918">
        <w:t xml:space="preserve">Friend </w:t>
      </w:r>
      <w:r w:rsidRPr="007B6D67" w:rsidR="008D330C">
        <w:t xml:space="preserve">further </w:t>
      </w:r>
      <w:r w:rsidRPr="007B6D67" w:rsidR="00A64A8C">
        <w:t xml:space="preserve">argues </w:t>
      </w:r>
      <w:r w:rsidRPr="007B6D67" w:rsidR="00F00324">
        <w:t xml:space="preserve">that </w:t>
      </w:r>
      <w:r w:rsidRPr="007B6D67" w:rsidR="0084787A">
        <w:t xml:space="preserve">section 1509(d) does not </w:t>
      </w:r>
      <w:r w:rsidRPr="007B6D67" w:rsidR="008D330C">
        <w:t>manifest</w:t>
      </w:r>
      <w:r w:rsidRPr="007B6D67" w:rsidR="0084787A">
        <w:t xml:space="preserve"> a</w:t>
      </w:r>
      <w:r w:rsidRPr="007B6D67" w:rsidR="005A4C03">
        <w:t>n</w:t>
      </w:r>
      <w:r w:rsidRPr="007B6D67" w:rsidR="0084787A">
        <w:t xml:space="preserve"> intent</w:t>
      </w:r>
      <w:r w:rsidRPr="007B6D67" w:rsidR="005A4C03">
        <w:t xml:space="preserve"> for retroactive application sufficient to overcome the </w:t>
      </w:r>
      <w:r w:rsidRPr="007B6D67" w:rsidR="00FB1829">
        <w:t xml:space="preserve">presumption </w:t>
      </w:r>
      <w:r w:rsidRPr="007B6D67" w:rsidR="00232AEC">
        <w:t>against retroactiv</w:t>
      </w:r>
      <w:r w:rsidRPr="007B6D67" w:rsidR="001B7F04">
        <w:t>e statutory changes</w:t>
      </w:r>
      <w:r w:rsidRPr="007B6D67" w:rsidR="00EA687B">
        <w:t>.</w:t>
      </w:r>
      <w:r w:rsidRPr="007B6D67" w:rsidR="007F689F">
        <w:t xml:space="preserve"> </w:t>
      </w:r>
      <w:r w:rsidRPr="007B6D67" w:rsidR="00412E81">
        <w:t xml:space="preserve"> </w:t>
      </w:r>
      <w:r w:rsidRPr="007B6D67" w:rsidR="003651C1">
        <w:t xml:space="preserve">The Attorney General </w:t>
      </w:r>
      <w:r w:rsidRPr="007B6D67" w:rsidR="009C3641">
        <w:t>disagrees</w:t>
      </w:r>
      <w:r w:rsidRPr="007B6D67" w:rsidR="008C01F2">
        <w:t xml:space="preserve">.  He argues that </w:t>
      </w:r>
      <w:r w:rsidRPr="007B6D67" w:rsidR="00DB45A4">
        <w:t xml:space="preserve">there is no question of retroactive application when </w:t>
      </w:r>
      <w:r w:rsidRPr="007B6D67" w:rsidR="002F4C97">
        <w:t>section 1509(d)</w:t>
      </w:r>
      <w:r w:rsidRPr="007B6D67" w:rsidR="00DB45A4">
        <w:t xml:space="preserve"> is applied to petitions filed after Proposition 66’s effective date.  But in any event, </w:t>
      </w:r>
      <w:r w:rsidRPr="007B6D67" w:rsidR="00F60803">
        <w:t xml:space="preserve">the text of Proposition 66 </w:t>
      </w:r>
      <w:r w:rsidRPr="007B6D67" w:rsidR="00C62A0D">
        <w:t xml:space="preserve">manifests the voters’ intent </w:t>
      </w:r>
      <w:r w:rsidRPr="007B6D67" w:rsidR="00AE56FE">
        <w:t>to limit all successive capital petitions, regardless of when the first petition was filed</w:t>
      </w:r>
      <w:r w:rsidRPr="007B6D67" w:rsidR="00C62A0D">
        <w:t>.</w:t>
      </w:r>
      <w:r w:rsidRPr="007B6D67" w:rsidR="005D7DE9">
        <w:t xml:space="preserve">  </w:t>
      </w:r>
    </w:p>
    <w:p w:rsidR="007F689F" w:rsidRPr="007B6D67" w:rsidP="007B6D67" w14:paraId="45B755C4" w14:textId="3BF6F252">
      <w:pPr>
        <w:pStyle w:val="Text"/>
        <w:spacing w:line="400" w:lineRule="exact"/>
        <w:ind w:firstLine="720"/>
      </w:pPr>
      <w:r w:rsidRPr="007B6D67">
        <w:t xml:space="preserve">The parties have briefed this issue </w:t>
      </w:r>
      <w:r w:rsidRPr="007B6D67" w:rsidR="00B8276B">
        <w:t xml:space="preserve">as arising principally </w:t>
      </w:r>
      <w:r w:rsidRPr="007B6D67" w:rsidR="004C1833">
        <w:t>if section 1509(d) is understood to categorize all subsequent petitions as successive.  Under that interpretation</w:t>
      </w:r>
      <w:r w:rsidRPr="007B6D67" w:rsidR="00BD77A0">
        <w:t xml:space="preserve">, the statute would </w:t>
      </w:r>
      <w:r w:rsidRPr="007B6D67" w:rsidR="00EC1E49">
        <w:t xml:space="preserve">treat claims in subsequent petitions quite differently </w:t>
      </w:r>
      <w:r w:rsidRPr="007B6D67" w:rsidR="0090459E">
        <w:t>than under prior law</w:t>
      </w:r>
      <w:r w:rsidRPr="007B6D67" w:rsidR="00411852">
        <w:t xml:space="preserve">, since it would eliminate the successiveness bar’s traditional carveout for claims that could not reasonably have been presented earlier.  </w:t>
      </w:r>
      <w:r w:rsidRPr="007B6D67" w:rsidR="00EF505C">
        <w:t>In part II</w:t>
      </w:r>
      <w:r w:rsidR="00E53C98">
        <w:t>.</w:t>
      </w:r>
      <w:r w:rsidRPr="007B6D67" w:rsidR="00EF505C">
        <w:t xml:space="preserve">, </w:t>
      </w:r>
      <w:r w:rsidRPr="00897CD8" w:rsidR="00897CD8">
        <w:rPr>
          <w:i/>
          <w:iCs/>
        </w:rPr>
        <w:t>ante</w:t>
      </w:r>
      <w:r w:rsidRPr="007B6D67" w:rsidR="004C4EA4">
        <w:t>, we</w:t>
      </w:r>
      <w:r w:rsidRPr="007B6D67" w:rsidR="00441E89">
        <w:t xml:space="preserve"> adopt</w:t>
      </w:r>
      <w:r w:rsidRPr="007B6D67" w:rsidR="00EF505C">
        <w:t xml:space="preserve"> </w:t>
      </w:r>
      <w:r w:rsidRPr="007B6D67" w:rsidR="007507C1">
        <w:t xml:space="preserve">a different reading of section 1509(d), under which </w:t>
      </w:r>
      <w:r w:rsidRPr="007B6D67" w:rsidR="008E363D">
        <w:t xml:space="preserve">it applies </w:t>
      </w:r>
      <w:r w:rsidRPr="007B6D67" w:rsidR="007507C1">
        <w:t xml:space="preserve">only </w:t>
      </w:r>
      <w:r w:rsidRPr="007B6D67" w:rsidR="008E363D">
        <w:t xml:space="preserve">to </w:t>
      </w:r>
      <w:r w:rsidRPr="007B6D67" w:rsidR="007507C1">
        <w:t xml:space="preserve">claims that would have been deemed successive </w:t>
      </w:r>
      <w:r w:rsidRPr="007B6D67" w:rsidR="008E363D">
        <w:t>under prior law</w:t>
      </w:r>
      <w:r w:rsidRPr="007B6D67" w:rsidR="00447103">
        <w:t xml:space="preserve">.  </w:t>
      </w:r>
      <w:r w:rsidRPr="007B6D67" w:rsidR="00302B40">
        <w:t xml:space="preserve">But </w:t>
      </w:r>
      <w:r w:rsidRPr="007B6D67" w:rsidR="00047918">
        <w:t xml:space="preserve">Friend </w:t>
      </w:r>
      <w:r w:rsidRPr="007B6D67" w:rsidR="00245325">
        <w:t xml:space="preserve">argues that even so </w:t>
      </w:r>
      <w:r w:rsidRPr="007B6D67" w:rsidR="00543D20">
        <w:t>construed</w:t>
      </w:r>
      <w:r w:rsidRPr="007B6D67" w:rsidR="00856977">
        <w:t>,</w:t>
      </w:r>
      <w:r w:rsidRPr="007B6D67" w:rsidR="00543D20">
        <w:t xml:space="preserve"> section 1509(d) operates retroactively when </w:t>
      </w:r>
      <w:r w:rsidRPr="007B6D67" w:rsidR="005A5CE9">
        <w:t xml:space="preserve">the </w:t>
      </w:r>
      <w:r w:rsidRPr="007B6D67" w:rsidR="001F3972">
        <w:t>prior</w:t>
      </w:r>
      <w:r w:rsidRPr="007B6D67" w:rsidR="005A5CE9">
        <w:t xml:space="preserve"> petition predated Proposition 66, </w:t>
      </w:r>
      <w:r w:rsidRPr="007B6D67" w:rsidR="00614D03">
        <w:t>because</w:t>
      </w:r>
      <w:r w:rsidRPr="007B6D67" w:rsidR="005A5CE9">
        <w:t xml:space="preserve"> </w:t>
      </w:r>
      <w:r w:rsidRPr="007B6D67" w:rsidR="00281360">
        <w:t xml:space="preserve">section 1509(d) </w:t>
      </w:r>
      <w:r w:rsidRPr="007B6D67" w:rsidR="00D71A33">
        <w:t>restricts</w:t>
      </w:r>
      <w:r w:rsidRPr="007B6D67" w:rsidR="002264D0">
        <w:t xml:space="preserve"> the</w:t>
      </w:r>
      <w:r w:rsidRPr="007B6D67" w:rsidR="005C077A">
        <w:t xml:space="preserve"> types of</w:t>
      </w:r>
      <w:r w:rsidRPr="007B6D67" w:rsidR="002264D0">
        <w:t xml:space="preserve"> </w:t>
      </w:r>
      <w:r w:rsidRPr="007B6D67" w:rsidR="003A26B1">
        <w:t xml:space="preserve">claims that may be entertained </w:t>
      </w:r>
      <w:r w:rsidRPr="007B6D67" w:rsidR="005C077A">
        <w:t>in a successive petition</w:t>
      </w:r>
      <w:r w:rsidRPr="007B6D67" w:rsidR="00BE3F76">
        <w:t xml:space="preserve">, replacing </w:t>
      </w:r>
      <w:r w:rsidRPr="007B6D67" w:rsidR="00BE3F76">
        <w:rPr>
          <w:i/>
          <w:iCs/>
        </w:rPr>
        <w:t>Clark</w:t>
      </w:r>
      <w:r w:rsidRPr="007B6D67" w:rsidR="00BE3F76">
        <w:t>’s fundamental</w:t>
      </w:r>
      <w:r w:rsidRPr="007B6D67" w:rsidR="00D71A33">
        <w:noBreakHyphen/>
      </w:r>
      <w:r w:rsidRPr="007B6D67" w:rsidR="00BE3F76">
        <w:t>miscarriage-of-justice exception with a narrower one limited to claims of innocence or ineligibility</w:t>
      </w:r>
      <w:r w:rsidRPr="007B6D67" w:rsidR="005C077A">
        <w:t>.</w:t>
      </w:r>
      <w:r>
        <w:rPr>
          <w:rStyle w:val="FootnoteReference"/>
        </w:rPr>
        <w:footnoteReference w:id="18"/>
      </w:r>
      <w:r w:rsidRPr="007B6D67" w:rsidR="00302B40">
        <w:t xml:space="preserve">  </w:t>
      </w:r>
    </w:p>
    <w:p w:rsidR="000E2401" w:rsidRPr="007B6D67" w:rsidP="007B6D67" w14:paraId="09D5B01C" w14:textId="7A1E5567">
      <w:pPr>
        <w:pStyle w:val="Text"/>
        <w:spacing w:line="400" w:lineRule="exact"/>
        <w:ind w:firstLine="720"/>
        <w:rPr>
          <w:szCs w:val="26"/>
        </w:rPr>
      </w:pPr>
      <w:r w:rsidRPr="007B6D67">
        <w:t>Employing current statutory procedures in current litigation is not ordinarily considered a retroactive application of the statute, even where the litigation arises from events antedating the statute’s effectiveness.  (</w:t>
      </w:r>
      <w:r w:rsidRPr="007B6D67">
        <w:rPr>
          <w:i/>
          <w:iCs/>
        </w:rPr>
        <w:t>Californians for Disability Rights v. Mervyn’s, LLC</w:t>
      </w:r>
      <w:r w:rsidRPr="007B6D67">
        <w:t xml:space="preserve">, </w:t>
      </w:r>
      <w:r w:rsidRPr="007B6D67">
        <w:rPr>
          <w:i/>
          <w:iCs/>
        </w:rPr>
        <w:t>supra</w:t>
      </w:r>
      <w:r w:rsidRPr="007B6D67">
        <w:t xml:space="preserve">, 39 Cal.4th at p. 231.)  But </w:t>
      </w:r>
      <w:r w:rsidRPr="007B6D67" w:rsidR="001937AD">
        <w:t>in some</w:t>
      </w:r>
      <w:r w:rsidRPr="007B6D67">
        <w:t xml:space="preserve"> circumstances </w:t>
      </w:r>
      <w:r w:rsidRPr="007B6D67" w:rsidR="00534DA8">
        <w:t xml:space="preserve">a formally procedural rule may operate to </w:t>
      </w:r>
      <w:r w:rsidRPr="007B6D67">
        <w:t>retroactively</w:t>
      </w:r>
      <w:r w:rsidRPr="007B6D67" w:rsidR="000C6D12">
        <w:t xml:space="preserve"> affect substantive </w:t>
      </w:r>
      <w:r w:rsidRPr="007B6D67" w:rsidR="002C71B1">
        <w:t>rights and expectations</w:t>
      </w:r>
      <w:r w:rsidRPr="007B6D67">
        <w:t>.</w:t>
      </w:r>
      <w:r w:rsidRPr="007B6D67" w:rsidR="00F80E0C">
        <w:t xml:space="preserve">  </w:t>
      </w:r>
      <w:r w:rsidRPr="007B6D67" w:rsidR="00725A56">
        <w:t>Broadly speaking, whether a statute operates retroactively</w:t>
      </w:r>
      <w:r w:rsidR="001E6815">
        <w:t> </w:t>
      </w:r>
      <w:r w:rsidRPr="007B6D67" w:rsidR="00725A56">
        <w:t>— and therefore impermissibly, absent express legislative intent</w:t>
      </w:r>
      <w:r w:rsidR="001E6815">
        <w:t> </w:t>
      </w:r>
      <w:r w:rsidRPr="007B6D67" w:rsidR="00725A56">
        <w:t xml:space="preserve">— is a </w:t>
      </w:r>
      <w:r w:rsidRPr="007B6D67" w:rsidR="007F689F">
        <w:t>judgment guided by “considerations of fair notice, reasonable reliance, and settled expectations.”  (</w:t>
      </w:r>
      <w:r w:rsidRPr="007B6D67" w:rsidR="007F689F">
        <w:rPr>
          <w:i/>
          <w:iCs/>
        </w:rPr>
        <w:t>Landgraf</w:t>
      </w:r>
      <w:r w:rsidRPr="007B6D67" w:rsidR="00345446">
        <w:t xml:space="preserve">, </w:t>
      </w:r>
      <w:r w:rsidRPr="007B6D67" w:rsidR="00345446">
        <w:rPr>
          <w:i/>
          <w:iCs/>
        </w:rPr>
        <w:t>supra</w:t>
      </w:r>
      <w:r w:rsidRPr="007B6D67" w:rsidR="00345446">
        <w:t>,</w:t>
      </w:r>
      <w:r w:rsidRPr="007B6D67" w:rsidR="007F689F">
        <w:t xml:space="preserve"> 511 U.S. </w:t>
      </w:r>
      <w:r w:rsidRPr="007B6D67" w:rsidR="00E32DA1">
        <w:t>at p.</w:t>
      </w:r>
      <w:r w:rsidRPr="007B6D67" w:rsidR="00EB40CA">
        <w:t> </w:t>
      </w:r>
      <w:r w:rsidRPr="007B6D67" w:rsidR="007F689F">
        <w:t>270</w:t>
      </w:r>
      <w:r w:rsidRPr="007B6D67" w:rsidR="002C015A">
        <w:t>.</w:t>
      </w:r>
      <w:r w:rsidRPr="007B6D67" w:rsidR="007F689F">
        <w:t xml:space="preserve">)  </w:t>
      </w:r>
      <w:r w:rsidRPr="007B6D67" w:rsidR="006B55BC">
        <w:rPr>
          <w:szCs w:val="26"/>
        </w:rPr>
        <w:t>“In deciding whether the application of a law is prospective or retroactive, we look to function, not form.</w:t>
      </w:r>
      <w:r w:rsidRPr="007B6D67" w:rsidR="00EB40CA">
        <w:rPr>
          <w:szCs w:val="26"/>
        </w:rPr>
        <w:t xml:space="preserve"> </w:t>
      </w:r>
      <w:r w:rsidRPr="007B6D67" w:rsidR="006B55BC">
        <w:rPr>
          <w:szCs w:val="26"/>
        </w:rPr>
        <w:t xml:space="preserve"> [Citations.]  We consider the effect of a law on a party</w:t>
      </w:r>
      <w:r w:rsidRPr="007B6D67" w:rsidR="00127135">
        <w:rPr>
          <w:szCs w:val="26"/>
        </w:rPr>
        <w:t>’</w:t>
      </w:r>
      <w:r w:rsidRPr="007B6D67" w:rsidR="006B55BC">
        <w:rPr>
          <w:szCs w:val="26"/>
        </w:rPr>
        <w:t>s rights and liabilities, not whether a procedural or substantive label best applies.  Does the law ‘change[] the legal consequences of past conduct by imposing</w:t>
      </w:r>
      <w:r w:rsidRPr="007B6D67" w:rsidR="00F2474E">
        <w:rPr>
          <w:szCs w:val="26"/>
        </w:rPr>
        <w:t xml:space="preserve"> </w:t>
      </w:r>
      <w:r w:rsidRPr="007B6D67" w:rsidR="006B55BC">
        <w:rPr>
          <w:szCs w:val="26"/>
        </w:rPr>
        <w:t>new or different liabilities based upon such conduct</w:t>
      </w:r>
      <w:r w:rsidRPr="007B6D67" w:rsidR="00501346">
        <w:rPr>
          <w:szCs w:val="26"/>
        </w:rPr>
        <w:t>[</w:t>
      </w:r>
      <w:r w:rsidRPr="007B6D67" w:rsidR="006B55BC">
        <w:rPr>
          <w:szCs w:val="26"/>
        </w:rPr>
        <w:t>?</w:t>
      </w:r>
      <w:r w:rsidRPr="007B6D67" w:rsidR="00501346">
        <w:rPr>
          <w:szCs w:val="26"/>
        </w:rPr>
        <w:t>]</w:t>
      </w:r>
      <w:r w:rsidRPr="007B6D67" w:rsidR="006B55BC">
        <w:rPr>
          <w:szCs w:val="26"/>
        </w:rPr>
        <w:t>’</w:t>
      </w:r>
      <w:r w:rsidRPr="007B6D67" w:rsidR="00B14FD2">
        <w:rPr>
          <w:szCs w:val="26"/>
        </w:rPr>
        <w:t xml:space="preserve">  </w:t>
      </w:r>
      <w:r w:rsidRPr="007B6D67" w:rsidR="006B55BC">
        <w:rPr>
          <w:szCs w:val="26"/>
        </w:rPr>
        <w:t>[Citation.]  Does it ‘substantially affect[] existing rights and obligations</w:t>
      </w:r>
      <w:r w:rsidRPr="007B6D67" w:rsidR="00501346">
        <w:rPr>
          <w:szCs w:val="26"/>
        </w:rPr>
        <w:t>[</w:t>
      </w:r>
      <w:r w:rsidRPr="007B6D67" w:rsidR="006B55BC">
        <w:rPr>
          <w:szCs w:val="26"/>
        </w:rPr>
        <w:t>?</w:t>
      </w:r>
      <w:r w:rsidRPr="007B6D67" w:rsidR="00501346">
        <w:rPr>
          <w:szCs w:val="26"/>
        </w:rPr>
        <w:t>]</w:t>
      </w:r>
      <w:r w:rsidRPr="007B6D67" w:rsidR="006B55BC">
        <w:rPr>
          <w:szCs w:val="26"/>
        </w:rPr>
        <w:t>’</w:t>
      </w:r>
      <w:r w:rsidRPr="007B6D67" w:rsidR="00EB40CA">
        <w:rPr>
          <w:szCs w:val="26"/>
        </w:rPr>
        <w:t xml:space="preserve"> </w:t>
      </w:r>
      <w:r w:rsidRPr="007B6D67" w:rsidR="006B55BC">
        <w:rPr>
          <w:szCs w:val="26"/>
        </w:rPr>
        <w:t xml:space="preserve"> [Citation.]  If so, then application to a trial of preenactment conduct is forbidden, absent an express legislative intent to permit such retroactive application.  If not, then application to a trial of preenactment conduct is permitted, because the application is prospective.”</w:t>
      </w:r>
      <w:r w:rsidRPr="007B6D67" w:rsidR="006B55BC">
        <w:rPr>
          <w:i/>
          <w:iCs/>
          <w:szCs w:val="26"/>
        </w:rPr>
        <w:t xml:space="preserve">  </w:t>
      </w:r>
      <w:r w:rsidRPr="007B6D67" w:rsidR="006B55BC">
        <w:rPr>
          <w:szCs w:val="26"/>
        </w:rPr>
        <w:t>(</w:t>
      </w:r>
      <w:r w:rsidRPr="007B6D67" w:rsidR="006B55BC">
        <w:rPr>
          <w:i/>
          <w:iCs/>
          <w:szCs w:val="26"/>
        </w:rPr>
        <w:t>Elsner v. Uveges</w:t>
      </w:r>
      <w:r w:rsidRPr="007B6D67" w:rsidR="00EB40CA">
        <w:rPr>
          <w:i/>
          <w:iCs/>
          <w:szCs w:val="26"/>
        </w:rPr>
        <w:t xml:space="preserve"> </w:t>
      </w:r>
      <w:r w:rsidRPr="007B6D67" w:rsidR="006B55BC">
        <w:rPr>
          <w:szCs w:val="26"/>
        </w:rPr>
        <w:t xml:space="preserve">(2004) 34 Cal.4th 915, 936–937; see also </w:t>
      </w:r>
      <w:r w:rsidRPr="007B6D67" w:rsidR="006B55BC">
        <w:rPr>
          <w:i/>
          <w:iCs/>
          <w:szCs w:val="26"/>
        </w:rPr>
        <w:t>Strauss v. Horton</w:t>
      </w:r>
      <w:r w:rsidRPr="007B6D67" w:rsidR="006B55BC">
        <w:rPr>
          <w:szCs w:val="26"/>
        </w:rPr>
        <w:t> (2009) 46 Cal.4th 364, 472 [focu</w:t>
      </w:r>
      <w:r w:rsidRPr="007B6D67" w:rsidR="00097F7D">
        <w:rPr>
          <w:szCs w:val="26"/>
        </w:rPr>
        <w:t>s</w:t>
      </w:r>
      <w:r w:rsidRPr="007B6D67" w:rsidR="006B55BC">
        <w:rPr>
          <w:szCs w:val="26"/>
        </w:rPr>
        <w:t xml:space="preserve"> </w:t>
      </w:r>
      <w:r w:rsidRPr="007B6D67" w:rsidR="00E738DC">
        <w:rPr>
          <w:szCs w:val="26"/>
        </w:rPr>
        <w:t xml:space="preserve">is </w:t>
      </w:r>
      <w:r w:rsidRPr="007B6D67" w:rsidR="006B55BC">
        <w:rPr>
          <w:szCs w:val="26"/>
        </w:rPr>
        <w:t>on whether application of the new law would “impair vested rights acquired under the prior state of the law”].) </w:t>
      </w:r>
    </w:p>
    <w:p w:rsidR="00C812EB" w:rsidRPr="007B6D67" w:rsidP="007B6D67" w14:paraId="10857784" w14:textId="5CAA30A8">
      <w:pPr>
        <w:pStyle w:val="Text"/>
        <w:spacing w:line="400" w:lineRule="exact"/>
        <w:ind w:firstLine="720"/>
      </w:pPr>
      <w:r w:rsidRPr="007B6D67">
        <w:t xml:space="preserve">Applying these principles, </w:t>
      </w:r>
      <w:r w:rsidRPr="007B6D67" w:rsidR="00BD08FD">
        <w:t>we</w:t>
      </w:r>
      <w:r w:rsidRPr="007B6D67" w:rsidR="00090DDF">
        <w:t xml:space="preserve"> conclude that</w:t>
      </w:r>
      <w:r w:rsidRPr="007B6D67" w:rsidR="007F689F">
        <w:t xml:space="preserve"> when section 1509</w:t>
      </w:r>
      <w:r w:rsidRPr="007B6D67" w:rsidR="00090DDF">
        <w:t>(d)</w:t>
      </w:r>
      <w:r w:rsidRPr="007B6D67" w:rsidR="007F689F">
        <w:t xml:space="preserve"> is applied to a </w:t>
      </w:r>
      <w:r w:rsidRPr="007B6D67">
        <w:t>post-Prop</w:t>
      </w:r>
      <w:r w:rsidRPr="007B6D67" w:rsidR="003E762F">
        <w:t xml:space="preserve">osition 66 </w:t>
      </w:r>
      <w:r w:rsidRPr="007B6D67" w:rsidR="007F689F">
        <w:t xml:space="preserve">petition </w:t>
      </w:r>
      <w:r w:rsidRPr="007B6D67" w:rsidR="00043686">
        <w:t>subsequent to</w:t>
      </w:r>
      <w:r w:rsidRPr="007B6D67" w:rsidR="007F689F">
        <w:t xml:space="preserve"> a</w:t>
      </w:r>
      <w:r w:rsidRPr="007B6D67" w:rsidR="003E762F">
        <w:t>n initial</w:t>
      </w:r>
      <w:r w:rsidRPr="007B6D67" w:rsidR="007F689F">
        <w:t xml:space="preserve"> pre</w:t>
      </w:r>
      <w:r w:rsidRPr="007B6D67" w:rsidR="003E762F">
        <w:noBreakHyphen/>
      </w:r>
      <w:r w:rsidRPr="007B6D67" w:rsidR="007F689F">
        <w:t>Prop</w:t>
      </w:r>
      <w:r w:rsidRPr="007B6D67" w:rsidR="003E762F">
        <w:t>osition</w:t>
      </w:r>
      <w:r w:rsidRPr="007B6D67" w:rsidR="007F689F">
        <w:t xml:space="preserve"> 66</w:t>
      </w:r>
      <w:r w:rsidRPr="007B6D67" w:rsidR="00B548D5">
        <w:t xml:space="preserve">, </w:t>
      </w:r>
      <w:r w:rsidRPr="007B6D67" w:rsidR="00E82EBE">
        <w:t>post-</w:t>
      </w:r>
      <w:r w:rsidRPr="007B6D67" w:rsidR="00E82EBE">
        <w:rPr>
          <w:i/>
          <w:iCs/>
        </w:rPr>
        <w:t>Clark</w:t>
      </w:r>
      <w:r w:rsidRPr="007B6D67" w:rsidR="007F689F">
        <w:t xml:space="preserve"> petition, </w:t>
      </w:r>
      <w:r w:rsidRPr="007B6D67" w:rsidR="007F4FA7">
        <w:t xml:space="preserve">the statute is not </w:t>
      </w:r>
      <w:r w:rsidRPr="007B6D67" w:rsidR="00097F7D">
        <w:t>operating</w:t>
      </w:r>
      <w:r w:rsidRPr="007B6D67" w:rsidR="007F4FA7">
        <w:t xml:space="preserve"> retroactively.  </w:t>
      </w:r>
      <w:r w:rsidRPr="007B6D67" w:rsidR="00BE7684">
        <w:t>Application of section 1509(d) in these circumstances</w:t>
      </w:r>
      <w:r w:rsidRPr="007B6D67" w:rsidR="008F7D5D">
        <w:t xml:space="preserve"> </w:t>
      </w:r>
      <w:r w:rsidRPr="007B6D67" w:rsidR="004E0417">
        <w:t>alters no established rights or liabilities, and</w:t>
      </w:r>
      <w:r w:rsidRPr="007B6D67" w:rsidR="00A209F6">
        <w:t xml:space="preserve"> </w:t>
      </w:r>
      <w:r w:rsidRPr="007B6D67" w:rsidR="008F7D5D">
        <w:t>defeats no reasonable, settled expectations</w:t>
      </w:r>
      <w:r w:rsidRPr="007B6D67" w:rsidR="00A67746">
        <w:t xml:space="preserve">.  Proposition 66 underscores the importance of presenting available claims in the first petition, but raises no retroactivity concerns </w:t>
      </w:r>
      <w:r w:rsidRPr="007B6D67" w:rsidR="007F689F">
        <w:t xml:space="preserve">because prior law already required counsel undertake all reasonable efforts to investigate and present </w:t>
      </w:r>
      <w:r w:rsidRPr="007B6D67" w:rsidR="00A67746">
        <w:t xml:space="preserve">available </w:t>
      </w:r>
      <w:r w:rsidRPr="007B6D67" w:rsidR="007F689F">
        <w:t>habeas claims</w:t>
      </w:r>
      <w:r w:rsidRPr="007B6D67" w:rsidR="00A67746">
        <w:t xml:space="preserve"> rather than withholding them for presentation in a later petition</w:t>
      </w:r>
      <w:r w:rsidRPr="007B6D67" w:rsidR="007F689F">
        <w:t>.</w:t>
      </w:r>
    </w:p>
    <w:p w:rsidR="00846FA1" w:rsidRPr="007B6D67" w:rsidP="007B6D67" w14:paraId="11399213" w14:textId="7F90C72A">
      <w:pPr>
        <w:pStyle w:val="Text"/>
        <w:spacing w:line="400" w:lineRule="exact"/>
        <w:ind w:firstLine="720"/>
      </w:pPr>
      <w:r w:rsidRPr="007B6D67">
        <w:t xml:space="preserve">Under </w:t>
      </w:r>
      <w:r w:rsidRPr="007B6D67">
        <w:rPr>
          <w:i/>
          <w:iCs/>
        </w:rPr>
        <w:t xml:space="preserve">Clark </w:t>
      </w:r>
      <w:r w:rsidRPr="007B6D67">
        <w:t xml:space="preserve">and </w:t>
      </w:r>
      <w:r w:rsidRPr="007B6D67">
        <w:rPr>
          <w:i/>
          <w:iCs/>
        </w:rPr>
        <w:t>Reno</w:t>
      </w:r>
      <w:r w:rsidRPr="007B6D67">
        <w:t xml:space="preserve">, counsel </w:t>
      </w:r>
      <w:r w:rsidRPr="007B6D67" w:rsidR="008056BD">
        <w:t>has</w:t>
      </w:r>
      <w:r w:rsidRPr="007B6D67">
        <w:t xml:space="preserve"> the duty, in the initial petition, of investigating and presenting all claims that could be </w:t>
      </w:r>
      <w:r w:rsidRPr="007B6D67" w:rsidR="00B17153">
        <w:t xml:space="preserve">discovered and </w:t>
      </w:r>
      <w:r w:rsidRPr="007B6D67">
        <w:t>presented at that time</w:t>
      </w:r>
      <w:r w:rsidRPr="007B6D67" w:rsidR="00A92758">
        <w:t xml:space="preserve"> through due diligence</w:t>
      </w:r>
      <w:r w:rsidRPr="007B6D67">
        <w:t>.  (</w:t>
      </w:r>
      <w:r w:rsidRPr="007B6D67">
        <w:rPr>
          <w:i/>
          <w:iCs/>
        </w:rPr>
        <w:t>Reno</w:t>
      </w:r>
      <w:r w:rsidRPr="007B6D67">
        <w:t xml:space="preserve">, </w:t>
      </w:r>
      <w:r w:rsidRPr="007B6D67">
        <w:rPr>
          <w:i/>
          <w:iCs/>
        </w:rPr>
        <w:t>supra</w:t>
      </w:r>
      <w:r w:rsidRPr="007B6D67">
        <w:t>, 55 Cal.4th at p.</w:t>
      </w:r>
      <w:r w:rsidRPr="007B6D67" w:rsidR="00EB40CA">
        <w:t> </w:t>
      </w:r>
      <w:r w:rsidRPr="007B6D67">
        <w:t xml:space="preserve">452; </w:t>
      </w:r>
      <w:r w:rsidRPr="007B6D67" w:rsidR="001A3037">
        <w:t xml:space="preserve">see </w:t>
      </w:r>
      <w:r w:rsidRPr="007B6D67">
        <w:rPr>
          <w:i/>
          <w:iCs/>
        </w:rPr>
        <w:t>Clark</w:t>
      </w:r>
      <w:r w:rsidRPr="007B6D67" w:rsidR="001A3037">
        <w:t xml:space="preserve">, </w:t>
      </w:r>
      <w:r w:rsidRPr="007B6D67" w:rsidR="001A3037">
        <w:rPr>
          <w:i/>
          <w:iCs/>
        </w:rPr>
        <w:t>supra</w:t>
      </w:r>
      <w:r w:rsidRPr="007B6D67" w:rsidR="001A3037">
        <w:t>,</w:t>
      </w:r>
      <w:r w:rsidRPr="007B6D67">
        <w:t> </w:t>
      </w:r>
      <w:r w:rsidRPr="007B6D67" w:rsidR="00B14FD2">
        <w:t xml:space="preserve">5 Cal.4th </w:t>
      </w:r>
      <w:r w:rsidRPr="007B6D67">
        <w:t>at p.</w:t>
      </w:r>
      <w:r w:rsidRPr="007B6D67" w:rsidR="00EB40CA">
        <w:t> </w:t>
      </w:r>
      <w:r w:rsidRPr="007B6D67">
        <w:t xml:space="preserve">775 [“A petitioner will be expected to demonstrate due diligence in pursuing potential claims.  If a petitioner had reason to suspect that a basis for habeas corpus relief was available, but did nothing to promptly confirm those suspicions, that failure must be justified.”].) </w:t>
      </w:r>
      <w:r w:rsidRPr="007B6D67" w:rsidR="001A3037">
        <w:t xml:space="preserve"> </w:t>
      </w:r>
      <w:r w:rsidRPr="007B6D67" w:rsidR="00B01679">
        <w:t>O</w:t>
      </w:r>
      <w:r w:rsidRPr="007B6D67" w:rsidR="00A6774D">
        <w:t xml:space="preserve">n the other hand, </w:t>
      </w:r>
      <w:r w:rsidRPr="007B6D67" w:rsidR="00B01679">
        <w:t>o</w:t>
      </w:r>
      <w:r w:rsidRPr="007B6D67" w:rsidR="00BC6A80">
        <w:t xml:space="preserve">ur established law </w:t>
      </w:r>
      <w:r w:rsidRPr="007B6D67" w:rsidR="00A6774D">
        <w:t xml:space="preserve">does not call for habeas counsel to follow every possibility in the remote hope of finding some unknown claim.  (See </w:t>
      </w:r>
      <w:r w:rsidRPr="007B6D67" w:rsidR="00A6774D">
        <w:rPr>
          <w:i/>
          <w:iCs/>
        </w:rPr>
        <w:t>Robbins</w:t>
      </w:r>
      <w:r w:rsidRPr="007B6D67" w:rsidR="00A6774D">
        <w:t xml:space="preserve">, </w:t>
      </w:r>
      <w:r w:rsidRPr="007B6D67" w:rsidR="00A6774D">
        <w:rPr>
          <w:i/>
          <w:iCs/>
        </w:rPr>
        <w:t>supra</w:t>
      </w:r>
      <w:r w:rsidRPr="007B6D67" w:rsidR="00A6774D">
        <w:t>, 18</w:t>
      </w:r>
      <w:r w:rsidRPr="007B6D67" w:rsidR="00616717">
        <w:t> </w:t>
      </w:r>
      <w:r w:rsidRPr="007B6D67" w:rsidR="00A6774D">
        <w:t>Cal.4th at p.</w:t>
      </w:r>
      <w:r w:rsidRPr="007B6D67" w:rsidR="00EB40CA">
        <w:t> </w:t>
      </w:r>
      <w:r w:rsidRPr="007B6D67" w:rsidR="00A6774D">
        <w:t>781 [</w:t>
      </w:r>
      <w:r w:rsidRPr="007B6D67" w:rsidR="00616717">
        <w:t>“</w:t>
      </w:r>
      <w:r w:rsidRPr="007B6D67" w:rsidR="00A6774D">
        <w:t xml:space="preserve">Counsel is not expected to conduct an unfocused investigation grounded on mere speculation or hunch, without any basis in triggering fact.”].) </w:t>
      </w:r>
      <w:r w:rsidRPr="007B6D67" w:rsidR="00616717">
        <w:t xml:space="preserve"> </w:t>
      </w:r>
      <w:r w:rsidRPr="007B6D67" w:rsidR="004971A4">
        <w:t xml:space="preserve">If habeas corpus counsel preparing an initial petition before Proposition 66 was aware of a potentially meritorious claim of fundamental miscarriage of justice, counsel had an obligation to investigate and present that claim; he or she could not reasonably refrain from presenting it because it might fall within </w:t>
      </w:r>
      <w:r w:rsidRPr="007B6D67" w:rsidR="004971A4">
        <w:rPr>
          <w:i/>
          <w:iCs/>
        </w:rPr>
        <w:t>Clark</w:t>
      </w:r>
      <w:r w:rsidRPr="007B6D67" w:rsidR="004971A4">
        <w:t xml:space="preserve">’s substantive exception and be permissibly presented in a future successive petition. </w:t>
      </w:r>
      <w:r w:rsidRPr="007B6D67" w:rsidR="00FA5009">
        <w:t xml:space="preserve"> </w:t>
      </w:r>
      <w:r w:rsidRPr="007B6D67" w:rsidR="00D311E2">
        <w:t xml:space="preserve">Nothing in Proposition 66 changes </w:t>
      </w:r>
      <w:r w:rsidRPr="007B6D67" w:rsidR="00926F23">
        <w:t xml:space="preserve">the scope of counsel’s </w:t>
      </w:r>
      <w:r w:rsidRPr="007B6D67" w:rsidR="00B2654F">
        <w:t>obligations</w:t>
      </w:r>
      <w:r w:rsidRPr="007B6D67" w:rsidR="00926F23">
        <w:t xml:space="preserve"> on an initial habeas corpus petition</w:t>
      </w:r>
      <w:r w:rsidRPr="007B6D67" w:rsidR="00B2654F">
        <w:t xml:space="preserve">:  </w:t>
      </w:r>
      <w:r w:rsidRPr="007B6D67" w:rsidR="00B14FD2">
        <w:t>C</w:t>
      </w:r>
      <w:r w:rsidRPr="007B6D67" w:rsidR="00093C36">
        <w:t xml:space="preserve">ounsel’s duty </w:t>
      </w:r>
      <w:r w:rsidRPr="007B6D67" w:rsidR="00B2654F">
        <w:t>remains</w:t>
      </w:r>
      <w:r w:rsidRPr="007B6D67" w:rsidR="00093C36">
        <w:t xml:space="preserve"> one of reasonable diligence in investigation and presentation of claims</w:t>
      </w:r>
      <w:r w:rsidRPr="007B6D67" w:rsidR="00F44E0E">
        <w:t xml:space="preserve">, and counsel </w:t>
      </w:r>
      <w:r w:rsidRPr="007B6D67" w:rsidR="0061726A">
        <w:t xml:space="preserve">is still not </w:t>
      </w:r>
      <w:r w:rsidRPr="007B6D67" w:rsidR="004B4FB4">
        <w:t>called on to</w:t>
      </w:r>
      <w:r w:rsidRPr="007B6D67" w:rsidR="003223FE">
        <w:t xml:space="preserve"> pursue purely speculative lines of investigation or to include unfounded claims in </w:t>
      </w:r>
      <w:r w:rsidRPr="007B6D67" w:rsidR="00EF37E9">
        <w:t>an initial petition</w:t>
      </w:r>
      <w:r w:rsidRPr="007B6D67" w:rsidR="006C19BD">
        <w:t xml:space="preserve">, even if those claims </w:t>
      </w:r>
      <w:r w:rsidRPr="007B6D67" w:rsidR="00EC4869">
        <w:t>fall outside section 1509(d)’s exception for innocence or</w:t>
      </w:r>
      <w:r w:rsidRPr="007B6D67" w:rsidR="0094467F">
        <w:t xml:space="preserve"> ineligibility</w:t>
      </w:r>
      <w:r w:rsidRPr="007B6D67" w:rsidR="00093C36">
        <w:t>.  T</w:t>
      </w:r>
      <w:r w:rsidRPr="007B6D67" w:rsidR="00D77D9C">
        <w:t xml:space="preserve">he measure’s </w:t>
      </w:r>
      <w:r w:rsidRPr="007B6D67" w:rsidR="005A4DFC">
        <w:t xml:space="preserve">narrowing of the substantive exception to successiveness </w:t>
      </w:r>
      <w:r w:rsidRPr="007B6D67" w:rsidR="00093C36">
        <w:t xml:space="preserve">thus </w:t>
      </w:r>
      <w:r w:rsidRPr="007B6D67" w:rsidR="005A4DFC">
        <w:t>does not make its application retroactive.</w:t>
      </w:r>
      <w:r w:rsidRPr="007B6D67" w:rsidR="00550D1F">
        <w:t xml:space="preserve"> </w:t>
      </w:r>
    </w:p>
    <w:p w:rsidR="00282A3D" w:rsidRPr="007B6D67" w:rsidP="007B6D67" w14:paraId="02DCF97C" w14:textId="43F8FD81">
      <w:pPr>
        <w:pStyle w:val="Text"/>
        <w:spacing w:line="400" w:lineRule="exact"/>
        <w:ind w:firstLine="720"/>
      </w:pPr>
      <w:r w:rsidRPr="007B6D67">
        <w:t xml:space="preserve">Analogizing to </w:t>
      </w:r>
      <w:r w:rsidRPr="007B6D67" w:rsidR="006701DD">
        <w:t xml:space="preserve">federal law, </w:t>
      </w:r>
      <w:r w:rsidRPr="007B6D67" w:rsidR="00A57051">
        <w:t xml:space="preserve">Friend </w:t>
      </w:r>
      <w:r w:rsidRPr="007B6D67" w:rsidR="006701DD">
        <w:t xml:space="preserve">relies on </w:t>
      </w:r>
      <w:r w:rsidRPr="007B6D67" w:rsidR="00421FBC">
        <w:t xml:space="preserve">a federal </w:t>
      </w:r>
      <w:r w:rsidRPr="007B6D67" w:rsidR="00992E6E">
        <w:t>decision</w:t>
      </w:r>
      <w:r w:rsidRPr="007B6D67" w:rsidR="006701DD">
        <w:t xml:space="preserve"> holding that AEDPA</w:t>
      </w:r>
      <w:r w:rsidRPr="007B6D67" w:rsidR="00992E6E">
        <w:t xml:space="preserve">’s limits on </w:t>
      </w:r>
      <w:r w:rsidRPr="007B6D67" w:rsidR="00AA38FD">
        <w:t xml:space="preserve">second or successive </w:t>
      </w:r>
      <w:r w:rsidRPr="007B6D67" w:rsidR="00992E6E">
        <w:t>petitions</w:t>
      </w:r>
      <w:r w:rsidRPr="007B6D67" w:rsidR="006701DD">
        <w:t xml:space="preserve"> </w:t>
      </w:r>
      <w:r w:rsidRPr="007B6D67" w:rsidR="00F85A0E">
        <w:t>(28 U.S.C. §</w:t>
      </w:r>
      <w:r w:rsidRPr="007B6D67" w:rsidR="00EF1CA1">
        <w:t> </w:t>
      </w:r>
      <w:r w:rsidRPr="007B6D67" w:rsidR="00F85A0E">
        <w:t xml:space="preserve">2244(b)(2)) </w:t>
      </w:r>
      <w:r w:rsidRPr="007B6D67" w:rsidR="00B57CD8">
        <w:t>h</w:t>
      </w:r>
      <w:r w:rsidRPr="007B6D67" w:rsidR="00A12190">
        <w:t>ave</w:t>
      </w:r>
      <w:r w:rsidRPr="007B6D67" w:rsidR="00AB7B36">
        <w:t xml:space="preserve"> a retroactive </w:t>
      </w:r>
      <w:r w:rsidRPr="007B6D67" w:rsidR="002B41C4">
        <w:t xml:space="preserve">effect </w:t>
      </w:r>
      <w:r w:rsidRPr="007B6D67" w:rsidR="00B57CD8">
        <w:t>where</w:t>
      </w:r>
      <w:r w:rsidRPr="007B6D67" w:rsidR="00783A9A">
        <w:t xml:space="preserve"> the initial </w:t>
      </w:r>
      <w:r w:rsidRPr="007B6D67" w:rsidR="00D67E25">
        <w:t xml:space="preserve">application for relief </w:t>
      </w:r>
      <w:r w:rsidRPr="007B6D67" w:rsidR="00783A9A">
        <w:t>was filed before AEDPA</w:t>
      </w:r>
      <w:r w:rsidRPr="007B6D67" w:rsidR="0047375E">
        <w:t xml:space="preserve">, if the subsequent petition would not have been </w:t>
      </w:r>
      <w:r w:rsidRPr="007B6D67" w:rsidR="002B41C4">
        <w:t xml:space="preserve">procedurally </w:t>
      </w:r>
      <w:r w:rsidRPr="007B6D67" w:rsidR="0047375E">
        <w:t>barred under pre</w:t>
      </w:r>
      <w:r w:rsidRPr="007B6D67" w:rsidR="00A45704">
        <w:noBreakHyphen/>
      </w:r>
      <w:r w:rsidRPr="007B6D67" w:rsidR="0047375E">
        <w:t>AEDPA law</w:t>
      </w:r>
      <w:r w:rsidRPr="007B6D67" w:rsidR="00992E6E">
        <w:t xml:space="preserve">.  </w:t>
      </w:r>
      <w:r w:rsidRPr="007B6D67" w:rsidR="002B41C4">
        <w:t>(</w:t>
      </w:r>
      <w:r w:rsidRPr="007B6D67" w:rsidR="00D5232C">
        <w:rPr>
          <w:i/>
          <w:iCs/>
        </w:rPr>
        <w:t>In re Hanserd</w:t>
      </w:r>
      <w:r w:rsidRPr="007B6D67" w:rsidR="00D5232C">
        <w:t xml:space="preserve"> (6th Cir. 1997) 123 F.3d 922</w:t>
      </w:r>
      <w:r w:rsidRPr="007B6D67" w:rsidR="00421FBC">
        <w:t xml:space="preserve">; see </w:t>
      </w:r>
      <w:r w:rsidRPr="007B6D67" w:rsidR="00421FBC">
        <w:rPr>
          <w:i/>
          <w:iCs/>
        </w:rPr>
        <w:t xml:space="preserve">In re Minarik </w:t>
      </w:r>
      <w:r w:rsidRPr="007B6D67" w:rsidR="00421FBC">
        <w:t xml:space="preserve">(3d Cir. 1999) 166 F.3d 591 </w:t>
      </w:r>
      <w:r w:rsidR="00E53C98">
        <w:t>[</w:t>
      </w:r>
      <w:r w:rsidRPr="007B6D67" w:rsidR="00421FBC">
        <w:t xml:space="preserve">discussing </w:t>
      </w:r>
      <w:r w:rsidRPr="007B6D67" w:rsidR="00421FBC">
        <w:rPr>
          <w:i/>
          <w:iCs/>
        </w:rPr>
        <w:t>In re Hanserd</w:t>
      </w:r>
      <w:r w:rsidR="006108FB">
        <w:t>]</w:t>
      </w:r>
      <w:r w:rsidRPr="007B6D67" w:rsidR="00421FBC">
        <w:t>.)</w:t>
      </w:r>
      <w:r w:rsidRPr="007B6D67" w:rsidR="00DC2CD0">
        <w:t xml:space="preserve">  W</w:t>
      </w:r>
      <w:r w:rsidRPr="007B6D67" w:rsidR="007D15D5">
        <w:t xml:space="preserve">hatever the merits of </w:t>
      </w:r>
      <w:r w:rsidRPr="007B6D67" w:rsidR="007D15D5">
        <w:rPr>
          <w:i/>
          <w:iCs/>
        </w:rPr>
        <w:t>Hanserd</w:t>
      </w:r>
      <w:r w:rsidRPr="007B6D67" w:rsidR="007D15D5">
        <w:t xml:space="preserve">’s retroactivity reasoning, </w:t>
      </w:r>
      <w:r w:rsidRPr="007B6D67" w:rsidR="00DC2CD0">
        <w:rPr>
          <w:i/>
          <w:iCs/>
        </w:rPr>
        <w:t>Hanserd</w:t>
      </w:r>
      <w:r w:rsidRPr="007B6D67" w:rsidR="00DC2CD0">
        <w:t xml:space="preserve"> </w:t>
      </w:r>
      <w:r w:rsidRPr="007B6D67" w:rsidR="007D15D5">
        <w:t xml:space="preserve">is distinguishable in that it </w:t>
      </w:r>
      <w:r w:rsidRPr="007B6D67" w:rsidR="00421FBC">
        <w:t xml:space="preserve">addressed </w:t>
      </w:r>
      <w:r w:rsidRPr="007B6D67" w:rsidR="00CB5EA0">
        <w:t>a</w:t>
      </w:r>
      <w:r w:rsidRPr="007B6D67" w:rsidR="00C95004">
        <w:t>n</w:t>
      </w:r>
      <w:r w:rsidRPr="007B6D67" w:rsidR="00CB5EA0">
        <w:t xml:space="preserve"> </w:t>
      </w:r>
      <w:r w:rsidRPr="007B6D67" w:rsidR="00083BAF">
        <w:t xml:space="preserve">application of AEDPA </w:t>
      </w:r>
      <w:r w:rsidRPr="007B6D67" w:rsidR="00C95004">
        <w:t xml:space="preserve">that </w:t>
      </w:r>
      <w:r w:rsidRPr="007B6D67" w:rsidR="00083BAF">
        <w:t xml:space="preserve">would have </w:t>
      </w:r>
      <w:r w:rsidRPr="007B6D67" w:rsidR="00FA2E25">
        <w:t xml:space="preserve">foreclosed consideration of a claim </w:t>
      </w:r>
      <w:r w:rsidRPr="007B6D67" w:rsidR="00F25675">
        <w:t>based on intervening case law</w:t>
      </w:r>
      <w:r w:rsidRPr="007B6D67" w:rsidR="00760EC5">
        <w:t xml:space="preserve">, </w:t>
      </w:r>
      <w:r w:rsidRPr="007B6D67" w:rsidR="005C2FE5">
        <w:t xml:space="preserve">law </w:t>
      </w:r>
      <w:r w:rsidRPr="007B6D67" w:rsidR="00760EC5">
        <w:t xml:space="preserve">upon which </w:t>
      </w:r>
      <w:r w:rsidRPr="007B6D67" w:rsidR="005C2FE5">
        <w:t xml:space="preserve">Hanserd could not </w:t>
      </w:r>
      <w:r w:rsidRPr="007B6D67" w:rsidR="00673A30">
        <w:t xml:space="preserve">realistically </w:t>
      </w:r>
      <w:r w:rsidRPr="007B6D67" w:rsidR="005C2FE5">
        <w:t xml:space="preserve">have relied in his earlier </w:t>
      </w:r>
      <w:r w:rsidRPr="007B6D67" w:rsidR="00673A30">
        <w:t>application for relief</w:t>
      </w:r>
      <w:r w:rsidRPr="007B6D67">
        <w:t>.</w:t>
      </w:r>
      <w:r w:rsidRPr="007B6D67" w:rsidR="00FA2E25">
        <w:t xml:space="preserve">  </w:t>
      </w:r>
      <w:r w:rsidRPr="007B6D67" w:rsidR="007D15D5">
        <w:t xml:space="preserve">(See </w:t>
      </w:r>
      <w:r w:rsidRPr="007B6D67" w:rsidR="007D15D5">
        <w:rPr>
          <w:i/>
          <w:iCs/>
        </w:rPr>
        <w:t>Hanserd</w:t>
      </w:r>
      <w:r w:rsidRPr="007B6D67" w:rsidR="0028229D">
        <w:t>, at p.</w:t>
      </w:r>
      <w:r w:rsidRPr="007B6D67" w:rsidR="001E73E9">
        <w:t> </w:t>
      </w:r>
      <w:r w:rsidRPr="007B6D67" w:rsidR="0028229D">
        <w:t>924</w:t>
      </w:r>
      <w:r w:rsidRPr="007B6D67" w:rsidR="00805BED">
        <w:t>.)</w:t>
      </w:r>
      <w:r w:rsidRPr="007B6D67" w:rsidR="00805BED">
        <w:rPr>
          <w:i/>
          <w:iCs/>
        </w:rPr>
        <w:t xml:space="preserve"> </w:t>
      </w:r>
      <w:r w:rsidRPr="007B6D67" w:rsidR="00117F9B">
        <w:rPr>
          <w:i/>
          <w:iCs/>
        </w:rPr>
        <w:t xml:space="preserve"> </w:t>
      </w:r>
      <w:r w:rsidRPr="007B6D67" w:rsidR="00904ABA">
        <w:t xml:space="preserve">Regardless of when </w:t>
      </w:r>
      <w:r w:rsidRPr="007B6D67" w:rsidR="008704C5">
        <w:t xml:space="preserve">in relation to AEDPA </w:t>
      </w:r>
      <w:r w:rsidRPr="007B6D67" w:rsidR="00904ABA">
        <w:t xml:space="preserve">Hanserd’s </w:t>
      </w:r>
      <w:r w:rsidRPr="007B6D67" w:rsidR="0090184D">
        <w:t xml:space="preserve">earlier petition was filed, </w:t>
      </w:r>
      <w:r w:rsidRPr="007B6D67" w:rsidR="00126F82">
        <w:t xml:space="preserve">then, </w:t>
      </w:r>
      <w:r w:rsidRPr="007B6D67" w:rsidR="0090184D">
        <w:t>a</w:t>
      </w:r>
      <w:r w:rsidRPr="007B6D67" w:rsidR="00DE7F63">
        <w:t xml:space="preserve">pplication of AEDPA’s successiveness bar worked a severe, and in some ways unique, unfairness in </w:t>
      </w:r>
      <w:r w:rsidRPr="007B6D67" w:rsidR="00117F9B">
        <w:t>Hanserd’s</w:t>
      </w:r>
      <w:r w:rsidRPr="007B6D67" w:rsidR="00DE7F63">
        <w:t xml:space="preserve"> case</w:t>
      </w:r>
      <w:r w:rsidRPr="007B6D67" w:rsidR="00117F9B">
        <w:t>.</w:t>
      </w:r>
      <w:r w:rsidRPr="007B6D67" w:rsidR="00DE7F63">
        <w:rPr>
          <w:i/>
          <w:iCs/>
        </w:rPr>
        <w:t xml:space="preserve"> </w:t>
      </w:r>
      <w:r w:rsidRPr="007B6D67" w:rsidR="00805BED">
        <w:rPr>
          <w:i/>
          <w:iCs/>
        </w:rPr>
        <w:t xml:space="preserve"> </w:t>
      </w:r>
      <w:r w:rsidRPr="007B6D67" w:rsidR="007D15D5">
        <w:t>For reasons explained in part II</w:t>
      </w:r>
      <w:r w:rsidR="00200D32">
        <w:t>.</w:t>
      </w:r>
      <w:r w:rsidRPr="007B6D67" w:rsidR="007D15D5">
        <w:t xml:space="preserve">, </w:t>
      </w:r>
      <w:r w:rsidRPr="007B6D67" w:rsidR="007D15D5">
        <w:rPr>
          <w:i/>
          <w:iCs/>
        </w:rPr>
        <w:t>ante</w:t>
      </w:r>
      <w:r w:rsidRPr="007B6D67" w:rsidR="007D15D5">
        <w:t xml:space="preserve">, </w:t>
      </w:r>
      <w:r w:rsidRPr="007B6D67" w:rsidR="00F25675">
        <w:t>our construction of Proposition 66 raises no similar concerns.</w:t>
      </w:r>
      <w:r w:rsidRPr="007B6D67" w:rsidR="001D2929">
        <w:rPr>
          <w:i/>
          <w:iCs/>
        </w:rPr>
        <w:t xml:space="preserve">  </w:t>
      </w:r>
      <w:r w:rsidRPr="007B6D67" w:rsidR="00DE7F63">
        <w:rPr>
          <w:i/>
          <w:iCs/>
        </w:rPr>
        <w:t xml:space="preserve"> </w:t>
      </w:r>
    </w:p>
    <w:p w:rsidR="007F689F" w:rsidRPr="007B6D67" w:rsidP="007B6D67" w14:paraId="715AE711" w14:textId="07A55918">
      <w:pPr>
        <w:pStyle w:val="Text"/>
        <w:spacing w:line="400" w:lineRule="exact"/>
        <w:ind w:firstLine="720"/>
      </w:pPr>
      <w:r w:rsidRPr="007B6D67">
        <w:t xml:space="preserve">In other cases, federal appellate courts have </w:t>
      </w:r>
      <w:r w:rsidRPr="007B6D67" w:rsidR="00B463D1">
        <w:t>discern</w:t>
      </w:r>
      <w:r w:rsidRPr="007B6D67" w:rsidR="00CC42C9">
        <w:t>ed</w:t>
      </w:r>
      <w:r w:rsidRPr="007B6D67" w:rsidR="009B48AB">
        <w:t xml:space="preserve"> no retroactive effect</w:t>
      </w:r>
      <w:r w:rsidRPr="007B6D67" w:rsidR="002C7E32">
        <w:t xml:space="preserve"> in application of AEDPA’s provisions</w:t>
      </w:r>
      <w:r w:rsidRPr="007B6D67" w:rsidR="009B48AB">
        <w:t xml:space="preserve">.  </w:t>
      </w:r>
      <w:r w:rsidRPr="007B6D67" w:rsidR="00883C5F">
        <w:t>(</w:t>
      </w:r>
      <w:r w:rsidRPr="007B6D67" w:rsidR="00883C5F">
        <w:rPr>
          <w:i/>
          <w:iCs/>
        </w:rPr>
        <w:t>U.S. v. Villa-Gonzalez</w:t>
      </w:r>
      <w:r w:rsidRPr="007B6D67" w:rsidR="00EB40CA">
        <w:t xml:space="preserve"> </w:t>
      </w:r>
      <w:r w:rsidRPr="007B6D67" w:rsidR="00883C5F">
        <w:t>(9th Cir. 2000) 208 F.3d 1160, 1163</w:t>
      </w:r>
      <w:r w:rsidRPr="007B6D67" w:rsidR="00FA02F0">
        <w:t xml:space="preserve">; </w:t>
      </w:r>
      <w:r w:rsidRPr="007B6D67" w:rsidR="00FA02F0">
        <w:rPr>
          <w:i/>
          <w:iCs/>
        </w:rPr>
        <w:t>Mancuso v. Herbert</w:t>
      </w:r>
      <w:r w:rsidRPr="007B6D67" w:rsidR="00FA02F0">
        <w:t> (2d Cir. 1999) 166 F.3d 97, 101.)</w:t>
      </w:r>
      <w:r w:rsidRPr="007B6D67" w:rsidR="00883AE1">
        <w:t xml:space="preserve">  And still others have </w:t>
      </w:r>
      <w:r w:rsidRPr="007B6D67">
        <w:t>rejected</w:t>
      </w:r>
      <w:r w:rsidRPr="007B6D67" w:rsidR="00CA18CD">
        <w:t xml:space="preserve"> AEDPA</w:t>
      </w:r>
      <w:r w:rsidRPr="007B6D67">
        <w:t xml:space="preserve"> retroactivity claims </w:t>
      </w:r>
      <w:r w:rsidRPr="007B6D67" w:rsidR="00BE1AEE">
        <w:t xml:space="preserve">in particular cases </w:t>
      </w:r>
      <w:r w:rsidRPr="007B6D67" w:rsidR="00262892">
        <w:t xml:space="preserve">because </w:t>
      </w:r>
      <w:r w:rsidRPr="007B6D67">
        <w:t xml:space="preserve">the petitioner did not show </w:t>
      </w:r>
      <w:r w:rsidRPr="007B6D67" w:rsidR="00CA18CD">
        <w:t xml:space="preserve">objectively </w:t>
      </w:r>
      <w:r w:rsidRPr="007B6D67" w:rsidR="00262892">
        <w:t xml:space="preserve">reasonable </w:t>
      </w:r>
      <w:r w:rsidRPr="007B6D67">
        <w:t>reliance in omitting claims from the first petition</w:t>
      </w:r>
      <w:r w:rsidRPr="007B6D67" w:rsidR="00330932">
        <w:t xml:space="preserve">. </w:t>
      </w:r>
      <w:r w:rsidRPr="007B6D67" w:rsidR="00330932">
        <w:rPr>
          <w:i/>
          <w:iCs/>
        </w:rPr>
        <w:t xml:space="preserve"> </w:t>
      </w:r>
      <w:r w:rsidRPr="007B6D67" w:rsidR="00330932">
        <w:t xml:space="preserve">(See </w:t>
      </w:r>
      <w:r w:rsidRPr="007B6D67" w:rsidR="00330932">
        <w:rPr>
          <w:i/>
          <w:iCs/>
        </w:rPr>
        <w:t>Pratt v. U.S.</w:t>
      </w:r>
      <w:r w:rsidRPr="007B6D67" w:rsidR="00F2474E">
        <w:rPr>
          <w:i/>
          <w:iCs/>
        </w:rPr>
        <w:t xml:space="preserve"> </w:t>
      </w:r>
      <w:r w:rsidRPr="007B6D67" w:rsidR="00330932">
        <w:t>(1st Cir. 1997) 129 F.3d 54</w:t>
      </w:r>
      <w:r w:rsidRPr="007B6D67" w:rsidR="00E86382">
        <w:t>, 59</w:t>
      </w:r>
      <w:r w:rsidRPr="007B6D67" w:rsidR="00AB1E54">
        <w:t xml:space="preserve">; </w:t>
      </w:r>
      <w:r w:rsidRPr="007B6D67" w:rsidR="00F46834">
        <w:rPr>
          <w:i/>
          <w:iCs/>
        </w:rPr>
        <w:t>Graham v. Johnson</w:t>
      </w:r>
      <w:r w:rsidRPr="007B6D67" w:rsidR="00F2474E">
        <w:rPr>
          <w:i/>
          <w:iCs/>
        </w:rPr>
        <w:t xml:space="preserve"> </w:t>
      </w:r>
      <w:r w:rsidRPr="007B6D67" w:rsidR="00F46834">
        <w:t>(5th Cir. 1999) 168 F.3d 762, 786</w:t>
      </w:r>
      <w:r w:rsidRPr="007B6D67" w:rsidR="00707822">
        <w:t>;</w:t>
      </w:r>
      <w:r w:rsidRPr="007B6D67" w:rsidR="00F46834">
        <w:t xml:space="preserve"> </w:t>
      </w:r>
      <w:r w:rsidRPr="007B6D67">
        <w:rPr>
          <w:i/>
          <w:iCs/>
        </w:rPr>
        <w:t>Alexander v. U.S.</w:t>
      </w:r>
      <w:r w:rsidRPr="007B6D67">
        <w:t> (7th Cir. 1997) 121 F.3d 312, 314</w:t>
      </w:r>
      <w:r w:rsidRPr="007B6D67" w:rsidR="00F46834">
        <w:t xml:space="preserve">.)  </w:t>
      </w:r>
    </w:p>
    <w:p w:rsidR="008465DC" w:rsidRPr="007B6D67" w:rsidP="007B6D67" w14:paraId="14C184B9" w14:textId="434EC077">
      <w:pPr>
        <w:pStyle w:val="Text"/>
        <w:spacing w:line="400" w:lineRule="exact"/>
        <w:ind w:firstLine="720"/>
      </w:pPr>
      <w:r w:rsidRPr="007B6D67">
        <w:t xml:space="preserve">Here, </w:t>
      </w:r>
      <w:r w:rsidRPr="007B6D67" w:rsidR="00D214DB">
        <w:t xml:space="preserve">if counsel on the </w:t>
      </w:r>
      <w:r w:rsidRPr="007B6D67" w:rsidR="008E046B">
        <w:t>prior</w:t>
      </w:r>
      <w:r w:rsidRPr="007B6D67" w:rsidR="00D214DB">
        <w:t>, pre</w:t>
      </w:r>
      <w:r w:rsidRPr="007B6D67" w:rsidR="004D6B1D">
        <w:noBreakHyphen/>
      </w:r>
      <w:r w:rsidRPr="007B6D67" w:rsidR="00D214DB">
        <w:t xml:space="preserve">Proposition 66 petition knew of an error or violation amounting to a fundamental miscarriage of justice, counsel’s duty under </w:t>
      </w:r>
      <w:r w:rsidRPr="007B6D67" w:rsidR="00D214DB">
        <w:rPr>
          <w:i/>
          <w:iCs/>
        </w:rPr>
        <w:t>Clark</w:t>
      </w:r>
      <w:r w:rsidRPr="007B6D67" w:rsidR="00D214DB">
        <w:t xml:space="preserve">, </w:t>
      </w:r>
      <w:r w:rsidRPr="007B6D67" w:rsidR="00D214DB">
        <w:rPr>
          <w:i/>
          <w:iCs/>
        </w:rPr>
        <w:t>Robbins</w:t>
      </w:r>
      <w:r w:rsidRPr="007B6D67" w:rsidR="00D214DB">
        <w:t xml:space="preserve"> and </w:t>
      </w:r>
      <w:r w:rsidRPr="007B6D67" w:rsidR="00D214DB">
        <w:rPr>
          <w:i/>
          <w:iCs/>
        </w:rPr>
        <w:t>Reno</w:t>
      </w:r>
      <w:r w:rsidRPr="007B6D67" w:rsidR="00D214DB">
        <w:t xml:space="preserve"> was to fully investigate and present that claim in the </w:t>
      </w:r>
      <w:r w:rsidRPr="007B6D67" w:rsidR="008E046B">
        <w:t>earlier</w:t>
      </w:r>
      <w:r w:rsidRPr="007B6D67" w:rsidR="00D214DB">
        <w:t xml:space="preserve"> petition.  It would not have been reasonable to ignore that duty in the hope that the claim could later be presented in a successive petition under </w:t>
      </w:r>
      <w:r w:rsidRPr="007B6D67" w:rsidR="00D214DB">
        <w:rPr>
          <w:i/>
          <w:iCs/>
        </w:rPr>
        <w:t>Clark</w:t>
      </w:r>
      <w:r w:rsidRPr="007B6D67" w:rsidR="00D214DB">
        <w:t>’s substantive exception.</w:t>
      </w:r>
      <w:r w:rsidRPr="007B6D67" w:rsidR="0072420C">
        <w:t xml:space="preserve">  </w:t>
      </w:r>
    </w:p>
    <w:p w:rsidR="00037A38" w:rsidRPr="007B6D67" w:rsidP="007B6D67" w14:paraId="2B0A1597" w14:textId="33C03616">
      <w:pPr>
        <w:pStyle w:val="Text"/>
        <w:spacing w:line="400" w:lineRule="exact"/>
        <w:ind w:firstLine="720"/>
      </w:pPr>
      <w:r w:rsidRPr="007B6D67">
        <w:t xml:space="preserve">We </w:t>
      </w:r>
      <w:r w:rsidRPr="007B6D67" w:rsidR="00682125">
        <w:t xml:space="preserve">therefore </w:t>
      </w:r>
      <w:r w:rsidRPr="007B6D67">
        <w:t xml:space="preserve">conclude that </w:t>
      </w:r>
      <w:r w:rsidRPr="007B6D67" w:rsidR="001D2929">
        <w:t xml:space="preserve">applying section 1509(d) to </w:t>
      </w:r>
      <w:r w:rsidRPr="007B6D67" w:rsidR="0092706B">
        <w:t xml:space="preserve">a </w:t>
      </w:r>
      <w:r w:rsidRPr="007B6D67" w:rsidR="00A8535F">
        <w:t xml:space="preserve">post-Proposition 66 </w:t>
      </w:r>
      <w:r w:rsidRPr="007B6D67" w:rsidR="0092706B">
        <w:t>successive petition</w:t>
      </w:r>
      <w:r w:rsidRPr="007B6D67" w:rsidR="00387949">
        <w:t xml:space="preserve"> (</w:t>
      </w:r>
      <w:r w:rsidRPr="007B6D67" w:rsidR="0092706B">
        <w:t>following an initial pre-Proposition 66</w:t>
      </w:r>
      <w:r w:rsidRPr="007B6D67" w:rsidR="00223067">
        <w:t>, post-</w:t>
      </w:r>
      <w:r w:rsidRPr="007B6D67" w:rsidR="00223067">
        <w:rPr>
          <w:i/>
          <w:iCs/>
        </w:rPr>
        <w:t>Clark</w:t>
      </w:r>
      <w:r w:rsidRPr="007B6D67" w:rsidR="0092706B">
        <w:t xml:space="preserve"> </w:t>
      </w:r>
      <w:r w:rsidRPr="007B6D67" w:rsidR="00A8535F">
        <w:t>petition</w:t>
      </w:r>
      <w:r w:rsidRPr="007B6D67" w:rsidR="00387949">
        <w:t>) raises no retroactivity concerns</w:t>
      </w:r>
      <w:r w:rsidRPr="007B6D67" w:rsidR="00A8535F">
        <w:t xml:space="preserve">.  </w:t>
      </w:r>
      <w:r w:rsidRPr="007B6D67" w:rsidR="000A7E26">
        <w:t xml:space="preserve">While </w:t>
      </w:r>
      <w:r w:rsidRPr="007B6D67" w:rsidR="00E41E6F">
        <w:t xml:space="preserve">the new statutory rule </w:t>
      </w:r>
      <w:r w:rsidRPr="007B6D67" w:rsidR="00845FCD">
        <w:t xml:space="preserve">relates in part to a preenactment event, the filing of the initial petition, it does not </w:t>
      </w:r>
      <w:r w:rsidRPr="007B6D67" w:rsidR="005105D0">
        <w:t xml:space="preserve">meaningfully change the legal ramifications of that event.  </w:t>
      </w:r>
      <w:r w:rsidRPr="007B6D67" w:rsidR="002519B0">
        <w:t xml:space="preserve">In light of </w:t>
      </w:r>
      <w:r w:rsidRPr="007B6D67" w:rsidR="008F77F0">
        <w:t xml:space="preserve">the </w:t>
      </w:r>
      <w:r w:rsidRPr="007B6D67" w:rsidR="00646A19">
        <w:t>“considerations of fair notice, reasonable reliance, and settled expectations</w:t>
      </w:r>
      <w:r w:rsidRPr="007B6D67" w:rsidR="00F83841">
        <w:t>” that govern this determination</w:t>
      </w:r>
      <w:r w:rsidRPr="007B6D67" w:rsidR="00646A19">
        <w:t xml:space="preserve">  (</w:t>
      </w:r>
      <w:r w:rsidRPr="007B6D67" w:rsidR="00646A19">
        <w:rPr>
          <w:i/>
          <w:iCs/>
        </w:rPr>
        <w:t>Landgraf</w:t>
      </w:r>
      <w:r w:rsidRPr="007B6D67" w:rsidR="00F83841">
        <w:t xml:space="preserve">, </w:t>
      </w:r>
      <w:r w:rsidRPr="007B6D67" w:rsidR="00F83841">
        <w:rPr>
          <w:i/>
          <w:iCs/>
        </w:rPr>
        <w:t>supra</w:t>
      </w:r>
      <w:r w:rsidRPr="007B6D67" w:rsidR="00F83841">
        <w:t xml:space="preserve">, </w:t>
      </w:r>
      <w:r w:rsidRPr="007B6D67" w:rsidR="00646A19">
        <w:t xml:space="preserve">511 U.S. </w:t>
      </w:r>
      <w:r w:rsidRPr="007B6D67" w:rsidR="00462B4E">
        <w:t>at p.</w:t>
      </w:r>
      <w:r w:rsidRPr="007B6D67" w:rsidR="00C25C46">
        <w:t> </w:t>
      </w:r>
      <w:r w:rsidRPr="007B6D67" w:rsidR="00646A19">
        <w:t>270)</w:t>
      </w:r>
      <w:r w:rsidRPr="007B6D67" w:rsidR="00462B4E">
        <w:t xml:space="preserve">, </w:t>
      </w:r>
      <w:r w:rsidRPr="007B6D67" w:rsidR="00C41D8F">
        <w:t xml:space="preserve">application of section 1509(d) to a petition filed after the statute’s effectiveness </w:t>
      </w:r>
      <w:r w:rsidRPr="007B6D67" w:rsidR="003D2FCD">
        <w:t xml:space="preserve">should not be deemed retroactive, whenever the </w:t>
      </w:r>
      <w:r w:rsidRPr="007B6D67" w:rsidR="00C12F5E">
        <w:t>ea</w:t>
      </w:r>
      <w:r w:rsidRPr="007B6D67" w:rsidR="00DE489A">
        <w:t>r</w:t>
      </w:r>
      <w:r w:rsidRPr="007B6D67" w:rsidR="00C12F5E">
        <w:t xml:space="preserve">lier </w:t>
      </w:r>
      <w:r w:rsidRPr="007B6D67" w:rsidR="003D2FCD">
        <w:t>petition was filed.</w:t>
      </w:r>
    </w:p>
    <w:p w:rsidR="007F689F" w:rsidRPr="007B6D67" w:rsidP="007B6D67" w14:paraId="7D4F1B8E" w14:textId="062857E8">
      <w:pPr>
        <w:pStyle w:val="Text"/>
        <w:spacing w:line="400" w:lineRule="exact"/>
        <w:ind w:firstLine="720"/>
      </w:pPr>
      <w:r w:rsidRPr="007B6D67">
        <w:t xml:space="preserve">On its face, </w:t>
      </w:r>
      <w:r w:rsidRPr="007B6D67" w:rsidR="006162B6">
        <w:t>Penal Code section 1509</w:t>
      </w:r>
      <w:r w:rsidRPr="007B6D67">
        <w:t xml:space="preserve"> applies to “</w:t>
      </w:r>
      <w:r w:rsidRPr="007B6D67">
        <w:rPr>
          <w:szCs w:val="26"/>
        </w:rPr>
        <w:t>any petition for writ of habeas corpus filed by a person in custody pursuant to a judgment of death</w:t>
      </w:r>
      <w:r w:rsidRPr="007B6D67" w:rsidR="00603407">
        <w:rPr>
          <w:szCs w:val="26"/>
        </w:rPr>
        <w:t>” (</w:t>
      </w:r>
      <w:r w:rsidRPr="007B6D67" w:rsidR="003E757F">
        <w:rPr>
          <w:i/>
          <w:iCs/>
          <w:szCs w:val="26"/>
        </w:rPr>
        <w:t>id.</w:t>
      </w:r>
      <w:r w:rsidRPr="007B6D67" w:rsidR="00603407">
        <w:rPr>
          <w:szCs w:val="26"/>
        </w:rPr>
        <w:t>, subd. (</w:t>
      </w:r>
      <w:r w:rsidRPr="007B6D67" w:rsidR="00C72783">
        <w:rPr>
          <w:szCs w:val="26"/>
        </w:rPr>
        <w:t>a</w:t>
      </w:r>
      <w:r w:rsidRPr="007B6D67" w:rsidR="00603407">
        <w:rPr>
          <w:szCs w:val="26"/>
        </w:rPr>
        <w:t xml:space="preserve">)), </w:t>
      </w:r>
      <w:r w:rsidRPr="007B6D67" w:rsidR="006448F4">
        <w:rPr>
          <w:szCs w:val="26"/>
        </w:rPr>
        <w:t>and subdivision</w:t>
      </w:r>
      <w:r w:rsidRPr="007B6D67" w:rsidR="009966F1">
        <w:rPr>
          <w:szCs w:val="26"/>
        </w:rPr>
        <w:t xml:space="preserve"> </w:t>
      </w:r>
      <w:r w:rsidRPr="007B6D67" w:rsidR="006448F4">
        <w:rPr>
          <w:szCs w:val="26"/>
        </w:rPr>
        <w:t>(d)’s restrictions apply to “a successive petition whenever filed</w:t>
      </w:r>
      <w:r w:rsidRPr="007B6D67">
        <w:rPr>
          <w:szCs w:val="26"/>
        </w:rPr>
        <w:t>.</w:t>
      </w:r>
      <w:r w:rsidRPr="007B6D67" w:rsidR="006448F4">
        <w:rPr>
          <w:szCs w:val="26"/>
        </w:rPr>
        <w:t xml:space="preserve">”  Nothing in the text or the accompanying ballot materials </w:t>
      </w:r>
      <w:r w:rsidRPr="007B6D67" w:rsidR="0023399C">
        <w:rPr>
          <w:szCs w:val="26"/>
        </w:rPr>
        <w:t xml:space="preserve">indicates an intent to limit these provisions to cases in which both the </w:t>
      </w:r>
      <w:r w:rsidRPr="007B6D67" w:rsidR="00D23759">
        <w:rPr>
          <w:szCs w:val="26"/>
        </w:rPr>
        <w:t xml:space="preserve">initial and successive petitions are filed after the measure’s effective date.  </w:t>
      </w:r>
      <w:r w:rsidRPr="007B6D67" w:rsidR="002A5F36">
        <w:rPr>
          <w:szCs w:val="26"/>
        </w:rPr>
        <w:t>We</w:t>
      </w:r>
      <w:r w:rsidRPr="007B6D67" w:rsidR="00C42E6A">
        <w:rPr>
          <w:szCs w:val="26"/>
        </w:rPr>
        <w:t xml:space="preserve"> conclude there is no such limit on section 1509(d)’s application.</w:t>
      </w:r>
    </w:p>
    <w:p w:rsidR="00355DA9" w:rsidRPr="007B6D67" w:rsidP="007B6D67" w14:paraId="72277A6F" w14:textId="666DF949">
      <w:pPr>
        <w:pStyle w:val="Heading1"/>
      </w:pPr>
      <w:r w:rsidRPr="007B6D67">
        <w:t>IV.</w:t>
      </w:r>
    </w:p>
    <w:p w:rsidR="00D96794" w:rsidRPr="007B6D67" w:rsidP="007B6D67" w14:paraId="4027AB96" w14:textId="35E17141">
      <w:pPr>
        <w:pStyle w:val="Text"/>
        <w:spacing w:line="400" w:lineRule="exact"/>
        <w:ind w:firstLine="720"/>
      </w:pPr>
      <w:r w:rsidRPr="007B6D67">
        <w:t xml:space="preserve">Finally, we consider </w:t>
      </w:r>
      <w:r w:rsidRPr="007B6D67" w:rsidR="00BA1AD5">
        <w:t xml:space="preserve">the procedures for appellate review of </w:t>
      </w:r>
      <w:r w:rsidRPr="007B6D67" w:rsidR="006D2324">
        <w:t>a</w:t>
      </w:r>
      <w:r w:rsidRPr="007B6D67" w:rsidR="00BA1AD5">
        <w:t xml:space="preserve"> trial court’s </w:t>
      </w:r>
      <w:r w:rsidRPr="007B6D67" w:rsidR="006D2324">
        <w:t xml:space="preserve">determination that </w:t>
      </w:r>
      <w:r w:rsidRPr="007B6D67" w:rsidR="005F081A">
        <w:t xml:space="preserve">one or more claims in </w:t>
      </w:r>
      <w:r w:rsidRPr="007B6D67" w:rsidR="006D2324">
        <w:t xml:space="preserve">a </w:t>
      </w:r>
      <w:r w:rsidRPr="007B6D67" w:rsidR="005F081A">
        <w:t xml:space="preserve">subsequent petition are successive </w:t>
      </w:r>
      <w:r w:rsidRPr="007B6D67" w:rsidR="00A6153E">
        <w:t xml:space="preserve">within the meaning of </w:t>
      </w:r>
      <w:r w:rsidRPr="007B6D67" w:rsidR="005F081A">
        <w:t>section 1509(d)</w:t>
      </w:r>
      <w:r w:rsidRPr="007B6D67" w:rsidR="00912C33">
        <w:t xml:space="preserve">. </w:t>
      </w:r>
    </w:p>
    <w:p w:rsidR="0036580D" w:rsidRPr="007B6D67" w:rsidP="007B6D67" w14:paraId="1455ABB8" w14:textId="5AB8A179">
      <w:pPr>
        <w:pStyle w:val="Text"/>
        <w:spacing w:line="400" w:lineRule="exact"/>
        <w:ind w:firstLine="720"/>
      </w:pPr>
      <w:r w:rsidRPr="007B6D67">
        <w:t xml:space="preserve">As noted above, </w:t>
      </w:r>
      <w:r w:rsidRPr="007B6D67" w:rsidR="00912C33">
        <w:t>Proposition 66 did not</w:t>
      </w:r>
      <w:r w:rsidRPr="007B6D67" w:rsidR="00174AE2">
        <w:t xml:space="preserve"> explicitly address</w:t>
      </w:r>
      <w:r w:rsidRPr="007B6D67" w:rsidR="00912C33">
        <w:t xml:space="preserve"> this point</w:t>
      </w:r>
      <w:r w:rsidRPr="007B6D67" w:rsidR="00D02932">
        <w:t xml:space="preserve">. </w:t>
      </w:r>
      <w:r w:rsidRPr="007B6D67" w:rsidR="00B14FD2">
        <w:t xml:space="preserve"> </w:t>
      </w:r>
      <w:r w:rsidRPr="007B6D67">
        <w:t xml:space="preserve">Section 1509.1(c) requires a certificate of appealability for appeal from </w:t>
      </w:r>
      <w:r w:rsidRPr="007B6D67" w:rsidR="00D8398C">
        <w:t xml:space="preserve">the dismissal of a </w:t>
      </w:r>
      <w:r w:rsidRPr="007B6D67" w:rsidR="005C6E47">
        <w:t xml:space="preserve">successive </w:t>
      </w:r>
      <w:r w:rsidRPr="007B6D67" w:rsidR="00D8398C">
        <w:t>petition</w:t>
      </w:r>
      <w:r w:rsidRPr="007B6D67" w:rsidR="005A57F5">
        <w:t xml:space="preserve">, and </w:t>
      </w:r>
      <w:r w:rsidRPr="007B6D67">
        <w:t xml:space="preserve">a certificate may issue (from either the superior court or </w:t>
      </w:r>
      <w:r w:rsidRPr="007B6D67" w:rsidR="005A57F5">
        <w:t xml:space="preserve">the </w:t>
      </w:r>
      <w:r w:rsidRPr="007B6D67">
        <w:t xml:space="preserve">Court of Appeal) only when there is “a substantial claim that the requirements of subdivision (d) of Section 1509 have been met.”  The statute does not </w:t>
      </w:r>
      <w:r w:rsidRPr="007B6D67" w:rsidR="00623EDE">
        <w:t>expressly</w:t>
      </w:r>
      <w:r w:rsidRPr="007B6D67">
        <w:t xml:space="preserve"> provide for issuance of a certificate upon a showing that the petition is not successive because one or more of its claims could not have been raised in </w:t>
      </w:r>
      <w:r w:rsidRPr="007B6D67" w:rsidR="0029522F">
        <w:t xml:space="preserve">an </w:t>
      </w:r>
      <w:r w:rsidRPr="007B6D67">
        <w:t>earlier petition</w:t>
      </w:r>
      <w:r w:rsidRPr="007B6D67" w:rsidR="00A6502C">
        <w:t xml:space="preserve"> or were omitted </w:t>
      </w:r>
      <w:r w:rsidRPr="007B6D67" w:rsidR="001E179F">
        <w:t>through ine</w:t>
      </w:r>
      <w:r w:rsidRPr="007B6D67" w:rsidR="00386C45">
        <w:t>f</w:t>
      </w:r>
      <w:r w:rsidRPr="007B6D67" w:rsidR="001E179F">
        <w:t>fective assistance of counsel on the prior petition</w:t>
      </w:r>
      <w:r w:rsidRPr="007B6D67">
        <w:t>.</w:t>
      </w:r>
      <w:r w:rsidRPr="007B6D67" w:rsidR="002C0B09">
        <w:t xml:space="preserve">  </w:t>
      </w:r>
      <w:r w:rsidRPr="007B6D67" w:rsidR="00A6093E">
        <w:t xml:space="preserve">Nor does the statute explicitly </w:t>
      </w:r>
      <w:r w:rsidRPr="007B6D67" w:rsidR="00A6093E">
        <w:rPr>
          <w:i/>
          <w:iCs/>
        </w:rPr>
        <w:t>preclude</w:t>
      </w:r>
      <w:r w:rsidRPr="007B6D67" w:rsidR="00A6093E">
        <w:t xml:space="preserve"> issuance of a certificate on such a </w:t>
      </w:r>
      <w:r w:rsidRPr="007B6D67" w:rsidR="00760EB5">
        <w:t>showing.</w:t>
      </w:r>
      <w:r>
        <w:rPr>
          <w:rStyle w:val="FootnoteReference"/>
          <w:szCs w:val="26"/>
        </w:rPr>
        <w:footnoteReference w:id="19"/>
      </w:r>
      <w:r w:rsidRPr="007B6D67">
        <w:t xml:space="preserve"> </w:t>
      </w:r>
    </w:p>
    <w:p w:rsidR="0036580D" w:rsidRPr="007B6D67" w:rsidP="007B6D67" w14:paraId="41F0C64F" w14:textId="39C52CC8">
      <w:pPr>
        <w:pStyle w:val="Text"/>
        <w:spacing w:line="400" w:lineRule="exact"/>
        <w:ind w:firstLine="720"/>
        <w:rPr>
          <w:iCs/>
        </w:rPr>
      </w:pPr>
      <w:r w:rsidRPr="007B6D67">
        <w:rPr>
          <w:iCs/>
        </w:rPr>
        <w:t xml:space="preserve">Friend </w:t>
      </w:r>
      <w:r w:rsidRPr="007B6D67">
        <w:rPr>
          <w:iCs/>
        </w:rPr>
        <w:t>contends</w:t>
      </w:r>
      <w:r w:rsidRPr="007B6D67" w:rsidR="000B7389">
        <w:rPr>
          <w:iCs/>
        </w:rPr>
        <w:t xml:space="preserve"> first</w:t>
      </w:r>
      <w:r w:rsidRPr="007B6D67">
        <w:rPr>
          <w:iCs/>
        </w:rPr>
        <w:t xml:space="preserve"> that a dismissal for successiveness should be appealable under </w:t>
      </w:r>
      <w:r w:rsidRPr="007B6D67" w:rsidR="00203C81">
        <w:rPr>
          <w:iCs/>
        </w:rPr>
        <w:t>the</w:t>
      </w:r>
      <w:r w:rsidRPr="007B6D67" w:rsidR="00090518">
        <w:rPr>
          <w:iCs/>
        </w:rPr>
        <w:t xml:space="preserve"> provision</w:t>
      </w:r>
      <w:r w:rsidRPr="007B6D67" w:rsidR="00A5109D">
        <w:rPr>
          <w:iCs/>
        </w:rPr>
        <w:t>s</w:t>
      </w:r>
      <w:r w:rsidRPr="007B6D67" w:rsidR="00090518">
        <w:rPr>
          <w:iCs/>
        </w:rPr>
        <w:t xml:space="preserve"> of</w:t>
      </w:r>
      <w:r w:rsidRPr="007B6D67" w:rsidR="000B7389">
        <w:rPr>
          <w:iCs/>
        </w:rPr>
        <w:t xml:space="preserve"> Penal Code section 1509.1, subdivision (a)</w:t>
      </w:r>
      <w:r w:rsidRPr="007B6D67" w:rsidR="00090518">
        <w:rPr>
          <w:iCs/>
        </w:rPr>
        <w:t xml:space="preserve">. </w:t>
      </w:r>
      <w:r w:rsidRPr="007B6D67">
        <w:rPr>
          <w:iCs/>
        </w:rPr>
        <w:t xml:space="preserve"> He acknowledges that </w:t>
      </w:r>
      <w:r w:rsidRPr="007B6D67" w:rsidR="008F5950">
        <w:rPr>
          <w:iCs/>
        </w:rPr>
        <w:t>this subdi</w:t>
      </w:r>
      <w:r w:rsidRPr="007B6D67" w:rsidR="00414AEA">
        <w:rPr>
          <w:iCs/>
        </w:rPr>
        <w:t>v</w:t>
      </w:r>
      <w:r w:rsidRPr="007B6D67" w:rsidR="008F5950">
        <w:rPr>
          <w:iCs/>
        </w:rPr>
        <w:t>is</w:t>
      </w:r>
      <w:r w:rsidRPr="007B6D67" w:rsidR="008C55F6">
        <w:rPr>
          <w:iCs/>
        </w:rPr>
        <w:t>i</w:t>
      </w:r>
      <w:r w:rsidRPr="007B6D67" w:rsidR="008F5950">
        <w:rPr>
          <w:iCs/>
        </w:rPr>
        <w:t>on, by its terms</w:t>
      </w:r>
      <w:r w:rsidRPr="007B6D67" w:rsidR="00236892">
        <w:rPr>
          <w:iCs/>
        </w:rPr>
        <w:t>,</w:t>
      </w:r>
      <w:r w:rsidRPr="007B6D67" w:rsidR="008F5950">
        <w:rPr>
          <w:iCs/>
        </w:rPr>
        <w:t xml:space="preserve"> applies only to initial petitions</w:t>
      </w:r>
      <w:r w:rsidRPr="007B6D67" w:rsidR="002E77D3">
        <w:rPr>
          <w:iCs/>
        </w:rPr>
        <w:t>, but a</w:t>
      </w:r>
      <w:r w:rsidRPr="007B6D67">
        <w:rPr>
          <w:iCs/>
        </w:rPr>
        <w:t xml:space="preserve">rgues that </w:t>
      </w:r>
      <w:r w:rsidRPr="007B6D67" w:rsidR="001C21F1">
        <w:rPr>
          <w:iCs/>
        </w:rPr>
        <w:t xml:space="preserve">that </w:t>
      </w:r>
      <w:r w:rsidRPr="007B6D67" w:rsidR="002E77D3">
        <w:rPr>
          <w:iCs/>
        </w:rPr>
        <w:t>term</w:t>
      </w:r>
      <w:r w:rsidRPr="007B6D67">
        <w:rPr>
          <w:iCs/>
        </w:rPr>
        <w:t xml:space="preserve"> could be read to include “any petition that is not properly deemed successive</w:t>
      </w:r>
      <w:r w:rsidRPr="007B6D67" w:rsidR="00193B08">
        <w:rPr>
          <w:iCs/>
        </w:rPr>
        <w:t>,</w:t>
      </w:r>
      <w:r w:rsidRPr="007B6D67" w:rsidR="00470E68">
        <w:rPr>
          <w:iCs/>
        </w:rPr>
        <w:t>”</w:t>
      </w:r>
      <w:r w:rsidRPr="007B6D67">
        <w:rPr>
          <w:iCs/>
        </w:rPr>
        <w:t xml:space="preserve"> and that we should so interpret</w:t>
      </w:r>
      <w:r w:rsidR="001E6815">
        <w:rPr>
          <w:iCs/>
        </w:rPr>
        <w:t> </w:t>
      </w:r>
      <w:r w:rsidRPr="007B6D67" w:rsidR="00914DE6">
        <w:rPr>
          <w:iCs/>
        </w:rPr>
        <w:t>—</w:t>
      </w:r>
      <w:r w:rsidRPr="007B6D67">
        <w:rPr>
          <w:iCs/>
        </w:rPr>
        <w:t xml:space="preserve"> or </w:t>
      </w:r>
      <w:r w:rsidRPr="007B6D67" w:rsidR="00A5109D">
        <w:rPr>
          <w:iCs/>
        </w:rPr>
        <w:t xml:space="preserve">so </w:t>
      </w:r>
      <w:r w:rsidRPr="007B6D67">
        <w:rPr>
          <w:iCs/>
        </w:rPr>
        <w:t>reform</w:t>
      </w:r>
      <w:r w:rsidR="001E6815">
        <w:rPr>
          <w:iCs/>
        </w:rPr>
        <w:t> </w:t>
      </w:r>
      <w:r w:rsidRPr="007B6D67" w:rsidR="00914DE6">
        <w:rPr>
          <w:iCs/>
        </w:rPr>
        <w:t>—</w:t>
      </w:r>
      <w:r w:rsidRPr="007B6D67">
        <w:rPr>
          <w:iCs/>
        </w:rPr>
        <w:t xml:space="preserve"> the statute in order to avoid the absurd and unconstitutional result that a petitioner would have no appellate recourse from the superior court’s successiveness determination.</w:t>
      </w:r>
    </w:p>
    <w:p w:rsidR="0036580D" w:rsidRPr="007B6D67" w:rsidP="007B6D67" w14:paraId="4CF4AA00" w14:textId="4CCC195C">
      <w:pPr>
        <w:pStyle w:val="Text"/>
        <w:spacing w:line="400" w:lineRule="exact"/>
        <w:ind w:firstLine="720"/>
        <w:rPr>
          <w:iCs/>
        </w:rPr>
      </w:pPr>
      <w:r w:rsidRPr="007B6D67">
        <w:rPr>
          <w:iCs/>
        </w:rPr>
        <w:t>Alternatively, if a successiveness dismissal is appealable only under subdivision (c) of section 1509.1</w:t>
      </w:r>
      <w:r w:rsidR="001E6815">
        <w:rPr>
          <w:iCs/>
        </w:rPr>
        <w:t> </w:t>
      </w:r>
      <w:r w:rsidRPr="007B6D67" w:rsidR="009047ED">
        <w:rPr>
          <w:iCs/>
        </w:rPr>
        <w:t xml:space="preserve">— </w:t>
      </w:r>
      <w:r w:rsidRPr="007B6D67">
        <w:rPr>
          <w:iCs/>
        </w:rPr>
        <w:t>as the statutory text provides</w:t>
      </w:r>
      <w:r w:rsidR="001E6815">
        <w:rPr>
          <w:iCs/>
        </w:rPr>
        <w:t> </w:t>
      </w:r>
      <w:r w:rsidRPr="007B6D67" w:rsidR="009047ED">
        <w:rPr>
          <w:iCs/>
        </w:rPr>
        <w:t>—</w:t>
      </w:r>
      <w:r w:rsidRPr="007B6D67">
        <w:rPr>
          <w:iCs/>
        </w:rPr>
        <w:t xml:space="preserve"> </w:t>
      </w:r>
      <w:r w:rsidRPr="007B6D67" w:rsidR="007061CA">
        <w:rPr>
          <w:iCs/>
        </w:rPr>
        <w:t>Friend</w:t>
      </w:r>
      <w:r w:rsidRPr="007B6D67">
        <w:rPr>
          <w:iCs/>
        </w:rPr>
        <w:t xml:space="preserve"> </w:t>
      </w:r>
      <w:r w:rsidRPr="007B6D67" w:rsidR="00147D46">
        <w:rPr>
          <w:iCs/>
        </w:rPr>
        <w:t>maintains</w:t>
      </w:r>
      <w:r w:rsidRPr="007B6D67">
        <w:rPr>
          <w:iCs/>
        </w:rPr>
        <w:t xml:space="preserve"> that a certificate should issue “when the petitioner makes a substantial showing that his petition is not successive and presents a substantial claim for relief.”  </w:t>
      </w:r>
      <w:r w:rsidRPr="007B6D67" w:rsidR="00001C65">
        <w:rPr>
          <w:iCs/>
        </w:rPr>
        <w:t>S</w:t>
      </w:r>
      <w:r w:rsidRPr="007B6D67">
        <w:rPr>
          <w:iCs/>
        </w:rPr>
        <w:t>ection 1509.1(c)</w:t>
      </w:r>
      <w:r w:rsidRPr="007B6D67" w:rsidR="00001C65">
        <w:rPr>
          <w:iCs/>
        </w:rPr>
        <w:t>, he argues, may</w:t>
      </w:r>
      <w:r w:rsidRPr="007B6D67">
        <w:rPr>
          <w:iCs/>
        </w:rPr>
        <w:t xml:space="preserve"> be read to permit a certificate “to issue when the petitioner has set forth a substantial argument that section 1509(d) does not apply at all</w:t>
      </w:r>
      <w:r w:rsidR="001E6815">
        <w:rPr>
          <w:iCs/>
        </w:rPr>
        <w:t> </w:t>
      </w:r>
      <w:r w:rsidRPr="007B6D67" w:rsidR="00787278">
        <w:rPr>
          <w:iCs/>
        </w:rPr>
        <w:t>—</w:t>
      </w:r>
      <w:r w:rsidRPr="007B6D67">
        <w:rPr>
          <w:iCs/>
        </w:rPr>
        <w:t xml:space="preserve"> not only that the exceptions in section 1509(d) are satisfied.”</w:t>
      </w:r>
      <w:r>
        <w:rPr>
          <w:b/>
          <w:iCs/>
          <w:position w:val="6"/>
          <w:vertAlign w:val="superscript"/>
        </w:rPr>
        <w:footnoteReference w:id="20"/>
      </w:r>
    </w:p>
    <w:p w:rsidR="0036580D" w:rsidRPr="007B6D67" w:rsidP="007B6D67" w14:paraId="612AB204" w14:textId="5500EF78">
      <w:pPr>
        <w:pStyle w:val="Text"/>
        <w:spacing w:line="400" w:lineRule="exact"/>
        <w:ind w:firstLine="720"/>
        <w:rPr>
          <w:iCs/>
        </w:rPr>
      </w:pPr>
      <w:r w:rsidRPr="007B6D67">
        <w:rPr>
          <w:iCs/>
        </w:rPr>
        <w:t xml:space="preserve">The Attorney General embraces </w:t>
      </w:r>
      <w:r w:rsidRPr="007B6D67" w:rsidR="007061CA">
        <w:rPr>
          <w:iCs/>
        </w:rPr>
        <w:t>Friend</w:t>
      </w:r>
      <w:r w:rsidRPr="007B6D67" w:rsidR="003C051C">
        <w:rPr>
          <w:iCs/>
        </w:rPr>
        <w:t xml:space="preserve">’s </w:t>
      </w:r>
      <w:r w:rsidRPr="007B6D67" w:rsidR="00887922">
        <w:rPr>
          <w:iCs/>
        </w:rPr>
        <w:t>alternative</w:t>
      </w:r>
      <w:r w:rsidRPr="007B6D67">
        <w:rPr>
          <w:iCs/>
        </w:rPr>
        <w:t xml:space="preserve"> suggestion</w:t>
      </w:r>
      <w:r w:rsidR="001E6815">
        <w:rPr>
          <w:iCs/>
        </w:rPr>
        <w:t> </w:t>
      </w:r>
      <w:r w:rsidRPr="007B6D67" w:rsidR="00860D2A">
        <w:rPr>
          <w:iCs/>
        </w:rPr>
        <w:t>—</w:t>
      </w:r>
      <w:r w:rsidRPr="007B6D67">
        <w:rPr>
          <w:iCs/>
        </w:rPr>
        <w:t xml:space="preserve"> that a certificate may issue on the successiveness question itself</w:t>
      </w:r>
      <w:r w:rsidR="001E6815">
        <w:rPr>
          <w:iCs/>
        </w:rPr>
        <w:t> </w:t>
      </w:r>
      <w:r w:rsidRPr="007B6D67" w:rsidR="00860D2A">
        <w:rPr>
          <w:iCs/>
        </w:rPr>
        <w:t>—</w:t>
      </w:r>
      <w:r w:rsidRPr="007B6D67">
        <w:rPr>
          <w:iCs/>
        </w:rPr>
        <w:t xml:space="preserve"> as “giv[ing] force to the certificate of appealability requirement, while at the same time assuring review of a superior court’s determination that a petition is successive.” </w:t>
      </w:r>
      <w:r w:rsidRPr="007B6D67" w:rsidR="00913703">
        <w:rPr>
          <w:iCs/>
        </w:rPr>
        <w:t xml:space="preserve"> </w:t>
      </w:r>
      <w:r w:rsidRPr="007B6D67" w:rsidR="004476FC">
        <w:rPr>
          <w:iCs/>
        </w:rPr>
        <w:t>At the same time, t</w:t>
      </w:r>
      <w:r w:rsidRPr="007B6D67">
        <w:rPr>
          <w:iCs/>
        </w:rPr>
        <w:t xml:space="preserve">he </w:t>
      </w:r>
      <w:r w:rsidRPr="007B6D67" w:rsidR="000627D4">
        <w:rPr>
          <w:iCs/>
        </w:rPr>
        <w:t xml:space="preserve">Attorney General </w:t>
      </w:r>
      <w:r w:rsidRPr="007B6D67">
        <w:rPr>
          <w:iCs/>
        </w:rPr>
        <w:t xml:space="preserve">urges </w:t>
      </w:r>
      <w:r w:rsidRPr="007B6D67" w:rsidR="00547276">
        <w:rPr>
          <w:iCs/>
        </w:rPr>
        <w:t xml:space="preserve">us </w:t>
      </w:r>
      <w:r w:rsidRPr="007B6D67" w:rsidR="0012028D">
        <w:rPr>
          <w:iCs/>
        </w:rPr>
        <w:t>to</w:t>
      </w:r>
      <w:r w:rsidRPr="007B6D67">
        <w:rPr>
          <w:iCs/>
        </w:rPr>
        <w:t xml:space="preserve"> reject </w:t>
      </w:r>
      <w:r w:rsidRPr="007B6D67" w:rsidR="003C051C">
        <w:rPr>
          <w:iCs/>
        </w:rPr>
        <w:t xml:space="preserve">Friend’s </w:t>
      </w:r>
      <w:r w:rsidRPr="007B6D67" w:rsidR="00272262">
        <w:rPr>
          <w:iCs/>
        </w:rPr>
        <w:t>primary argument</w:t>
      </w:r>
      <w:r w:rsidR="00216DCC">
        <w:rPr>
          <w:iCs/>
        </w:rPr>
        <w:t> </w:t>
      </w:r>
      <w:r w:rsidRPr="007B6D67" w:rsidR="00EE0810">
        <w:rPr>
          <w:iCs/>
        </w:rPr>
        <w:t xml:space="preserve">— </w:t>
      </w:r>
      <w:r w:rsidRPr="007B6D67">
        <w:rPr>
          <w:iCs/>
        </w:rPr>
        <w:t xml:space="preserve">that the certificate requirement can be avoided through application of </w:t>
      </w:r>
      <w:r w:rsidRPr="007B6D67" w:rsidR="006C2D5B">
        <w:rPr>
          <w:iCs/>
        </w:rPr>
        <w:t xml:space="preserve">Penal Code </w:t>
      </w:r>
      <w:r w:rsidRPr="007B6D67">
        <w:rPr>
          <w:iCs/>
        </w:rPr>
        <w:t>section 1509.1</w:t>
      </w:r>
      <w:r w:rsidRPr="007B6D67" w:rsidR="006C2D5B">
        <w:rPr>
          <w:iCs/>
        </w:rPr>
        <w:t xml:space="preserve">, subdivision </w:t>
      </w:r>
      <w:r w:rsidRPr="007B6D67">
        <w:rPr>
          <w:iCs/>
        </w:rPr>
        <w:t>(a)</w:t>
      </w:r>
      <w:r w:rsidRPr="007B6D67" w:rsidR="006C2D5B">
        <w:rPr>
          <w:iCs/>
        </w:rPr>
        <w:t xml:space="preserve">, to a petition </w:t>
      </w:r>
      <w:r w:rsidRPr="007B6D67" w:rsidR="00B9786F">
        <w:rPr>
          <w:iCs/>
        </w:rPr>
        <w:t>f</w:t>
      </w:r>
      <w:r w:rsidRPr="007B6D67" w:rsidR="006C2D5B">
        <w:rPr>
          <w:iCs/>
        </w:rPr>
        <w:t>ound successive in the trial court</w:t>
      </w:r>
      <w:r w:rsidR="00216DCC">
        <w:rPr>
          <w:iCs/>
        </w:rPr>
        <w:t> </w:t>
      </w:r>
      <w:r w:rsidRPr="007B6D67" w:rsidR="00B9786F">
        <w:rPr>
          <w:iCs/>
        </w:rPr>
        <w:t>—</w:t>
      </w:r>
      <w:r w:rsidRPr="007B6D67" w:rsidR="00EE0810">
        <w:rPr>
          <w:iCs/>
        </w:rPr>
        <w:t xml:space="preserve"> </w:t>
      </w:r>
      <w:r w:rsidRPr="007B6D67">
        <w:rPr>
          <w:iCs/>
        </w:rPr>
        <w:t xml:space="preserve">as contrary to both statutory text and purpose.  </w:t>
      </w:r>
    </w:p>
    <w:p w:rsidR="0036580D" w:rsidRPr="007B6D67" w:rsidP="007B6D67" w14:paraId="3DFC327F" w14:textId="4A484309">
      <w:pPr>
        <w:pStyle w:val="Text"/>
        <w:spacing w:line="400" w:lineRule="exact"/>
        <w:ind w:firstLine="720"/>
        <w:rPr>
          <w:iCs/>
        </w:rPr>
      </w:pPr>
      <w:r w:rsidRPr="007B6D67">
        <w:rPr>
          <w:iCs/>
        </w:rPr>
        <w:t xml:space="preserve">We </w:t>
      </w:r>
      <w:r w:rsidRPr="007B6D67">
        <w:rPr>
          <w:iCs/>
        </w:rPr>
        <w:t xml:space="preserve">agree with both parties that </w:t>
      </w:r>
      <w:r w:rsidRPr="007B6D67">
        <w:rPr>
          <w:iCs/>
        </w:rPr>
        <w:t xml:space="preserve">Proposition 66 </w:t>
      </w:r>
      <w:r w:rsidRPr="007B6D67" w:rsidR="00511473">
        <w:rPr>
          <w:iCs/>
        </w:rPr>
        <w:t>can and should be read</w:t>
      </w:r>
      <w:r w:rsidRPr="007B6D67">
        <w:rPr>
          <w:iCs/>
        </w:rPr>
        <w:t xml:space="preserve"> to provide </w:t>
      </w:r>
      <w:r w:rsidRPr="007B6D67" w:rsidR="00511473">
        <w:rPr>
          <w:iCs/>
        </w:rPr>
        <w:t>a</w:t>
      </w:r>
      <w:r w:rsidRPr="007B6D67">
        <w:rPr>
          <w:iCs/>
        </w:rPr>
        <w:t xml:space="preserve"> means for appealing the superior court’s determination that a subsequent petition is successive.  A</w:t>
      </w:r>
      <w:r w:rsidRPr="007B6D67" w:rsidR="001C4AC6">
        <w:rPr>
          <w:iCs/>
        </w:rPr>
        <w:t xml:space="preserve">n interpretation </w:t>
      </w:r>
      <w:r w:rsidRPr="007B6D67" w:rsidR="00787B88">
        <w:rPr>
          <w:iCs/>
        </w:rPr>
        <w:t xml:space="preserve">leaving </w:t>
      </w:r>
      <w:r w:rsidRPr="007B6D67" w:rsidR="00CC0EE0">
        <w:rPr>
          <w:iCs/>
        </w:rPr>
        <w:t xml:space="preserve">unsuccessful </w:t>
      </w:r>
      <w:r w:rsidRPr="007B6D67" w:rsidR="00787B88">
        <w:rPr>
          <w:iCs/>
        </w:rPr>
        <w:t>petit</w:t>
      </w:r>
      <w:r w:rsidRPr="007B6D67" w:rsidR="000D0BF4">
        <w:rPr>
          <w:iCs/>
        </w:rPr>
        <w:t>i</w:t>
      </w:r>
      <w:r w:rsidRPr="007B6D67" w:rsidR="00787B88">
        <w:rPr>
          <w:iCs/>
        </w:rPr>
        <w:t>oners with</w:t>
      </w:r>
      <w:r w:rsidRPr="007B6D67" w:rsidR="007B4114">
        <w:rPr>
          <w:iCs/>
        </w:rPr>
        <w:t xml:space="preserve"> </w:t>
      </w:r>
      <w:r w:rsidRPr="007B6D67" w:rsidR="00DC5076">
        <w:rPr>
          <w:iCs/>
        </w:rPr>
        <w:t xml:space="preserve">no </w:t>
      </w:r>
      <w:r w:rsidRPr="007B6D67" w:rsidR="007B4114">
        <w:rPr>
          <w:iCs/>
        </w:rPr>
        <w:t xml:space="preserve">opportunity for </w:t>
      </w:r>
      <w:r w:rsidRPr="007B6D67" w:rsidR="00DC5076">
        <w:rPr>
          <w:iCs/>
        </w:rPr>
        <w:t>appe</w:t>
      </w:r>
      <w:r w:rsidRPr="007B6D67" w:rsidR="007B4114">
        <w:rPr>
          <w:iCs/>
        </w:rPr>
        <w:t>llate review</w:t>
      </w:r>
      <w:r w:rsidRPr="007B6D67" w:rsidR="00DC5076">
        <w:rPr>
          <w:iCs/>
        </w:rPr>
        <w:t xml:space="preserve"> </w:t>
      </w:r>
      <w:r w:rsidRPr="007B6D67" w:rsidR="00E6125D">
        <w:rPr>
          <w:iCs/>
        </w:rPr>
        <w:t xml:space="preserve">at all </w:t>
      </w:r>
      <w:r w:rsidRPr="007B6D67">
        <w:rPr>
          <w:iCs/>
        </w:rPr>
        <w:t xml:space="preserve">would </w:t>
      </w:r>
      <w:r w:rsidRPr="007B6D67" w:rsidR="00DC5076">
        <w:rPr>
          <w:iCs/>
        </w:rPr>
        <w:t xml:space="preserve">be contrary to the </w:t>
      </w:r>
      <w:r w:rsidRPr="007B6D67" w:rsidR="00314BE2">
        <w:rPr>
          <w:iCs/>
        </w:rPr>
        <w:t xml:space="preserve">voters’ </w:t>
      </w:r>
      <w:r w:rsidRPr="007B6D67" w:rsidR="00DC5076">
        <w:rPr>
          <w:iCs/>
        </w:rPr>
        <w:t xml:space="preserve">evident </w:t>
      </w:r>
      <w:r w:rsidRPr="007B6D67">
        <w:rPr>
          <w:iCs/>
        </w:rPr>
        <w:t xml:space="preserve">intent </w:t>
      </w:r>
      <w:r w:rsidRPr="007B6D67" w:rsidR="00314BE2">
        <w:rPr>
          <w:iCs/>
        </w:rPr>
        <w:t xml:space="preserve">to provide </w:t>
      </w:r>
      <w:r w:rsidRPr="007B6D67" w:rsidR="00C65F72">
        <w:rPr>
          <w:iCs/>
        </w:rPr>
        <w:t xml:space="preserve">a </w:t>
      </w:r>
      <w:r w:rsidRPr="007B6D67">
        <w:rPr>
          <w:iCs/>
        </w:rPr>
        <w:t>statutory right of appeal</w:t>
      </w:r>
      <w:r w:rsidRPr="007B6D67" w:rsidR="00C65F72">
        <w:rPr>
          <w:iCs/>
        </w:rPr>
        <w:t xml:space="preserve">, albeit a limited one, </w:t>
      </w:r>
      <w:r w:rsidRPr="007B6D67">
        <w:rPr>
          <w:iCs/>
        </w:rPr>
        <w:t xml:space="preserve">from denial of </w:t>
      </w:r>
      <w:r w:rsidRPr="007B6D67" w:rsidR="00FB2136">
        <w:rPr>
          <w:iCs/>
        </w:rPr>
        <w:t xml:space="preserve">petitions deemed </w:t>
      </w:r>
      <w:r w:rsidRPr="007B6D67">
        <w:rPr>
          <w:iCs/>
        </w:rPr>
        <w:t>successive as well as initial petitions</w:t>
      </w:r>
      <w:r w:rsidRPr="007B6D67" w:rsidR="004220AD">
        <w:rPr>
          <w:iCs/>
        </w:rPr>
        <w:t xml:space="preserve">.  Moreover, </w:t>
      </w:r>
      <w:r w:rsidRPr="007B6D67">
        <w:rPr>
          <w:iCs/>
        </w:rPr>
        <w:t xml:space="preserve">when combined with </w:t>
      </w:r>
      <w:r w:rsidRPr="007B6D67" w:rsidR="00C65F72">
        <w:rPr>
          <w:iCs/>
        </w:rPr>
        <w:t>the measure’s prohibition</w:t>
      </w:r>
      <w:r w:rsidRPr="007B6D67">
        <w:rPr>
          <w:iCs/>
        </w:rPr>
        <w:t xml:space="preserve"> on review by writ</w:t>
      </w:r>
      <w:r w:rsidRPr="007B6D67" w:rsidR="00C65F72">
        <w:rPr>
          <w:iCs/>
        </w:rPr>
        <w:t xml:space="preserve"> </w:t>
      </w:r>
      <w:r w:rsidRPr="007B6D67" w:rsidR="002D78A1">
        <w:rPr>
          <w:iCs/>
        </w:rPr>
        <w:t>(Pen. Code, §</w:t>
      </w:r>
      <w:r w:rsidRPr="007B6D67" w:rsidR="00C25C46">
        <w:rPr>
          <w:iCs/>
        </w:rPr>
        <w:t> </w:t>
      </w:r>
      <w:r w:rsidRPr="007B6D67" w:rsidR="002D78A1">
        <w:rPr>
          <w:iCs/>
        </w:rPr>
        <w:t>1</w:t>
      </w:r>
      <w:r w:rsidRPr="007B6D67" w:rsidR="00C65F72">
        <w:rPr>
          <w:iCs/>
        </w:rPr>
        <w:t>509.1</w:t>
      </w:r>
      <w:r w:rsidRPr="007B6D67" w:rsidR="002D78A1">
        <w:rPr>
          <w:iCs/>
        </w:rPr>
        <w:t xml:space="preserve">, subd. </w:t>
      </w:r>
      <w:r w:rsidRPr="007B6D67" w:rsidR="00C65F72">
        <w:rPr>
          <w:iCs/>
        </w:rPr>
        <w:t>(a)</w:t>
      </w:r>
      <w:r w:rsidRPr="007B6D67" w:rsidR="002D78A1">
        <w:rPr>
          <w:iCs/>
        </w:rPr>
        <w:t>)</w:t>
      </w:r>
      <w:r w:rsidRPr="007B6D67">
        <w:rPr>
          <w:iCs/>
        </w:rPr>
        <w:t xml:space="preserve">, </w:t>
      </w:r>
      <w:r w:rsidRPr="007B6D67" w:rsidR="004220AD">
        <w:rPr>
          <w:iCs/>
        </w:rPr>
        <w:t xml:space="preserve">such an interpretation </w:t>
      </w:r>
      <w:r w:rsidRPr="007B6D67" w:rsidR="00511ECB">
        <w:rPr>
          <w:iCs/>
        </w:rPr>
        <w:t xml:space="preserve">would </w:t>
      </w:r>
      <w:r w:rsidRPr="007B6D67" w:rsidR="004220AD">
        <w:rPr>
          <w:iCs/>
        </w:rPr>
        <w:t xml:space="preserve">effectively eliminate </w:t>
      </w:r>
      <w:r w:rsidRPr="007B6D67">
        <w:rPr>
          <w:iCs/>
        </w:rPr>
        <w:t xml:space="preserve">appellate court jurisdiction over </w:t>
      </w:r>
      <w:r w:rsidRPr="007B6D67" w:rsidR="005D373B">
        <w:rPr>
          <w:iCs/>
        </w:rPr>
        <w:t>a</w:t>
      </w:r>
      <w:r w:rsidRPr="007B6D67" w:rsidR="00D0164E">
        <w:rPr>
          <w:iCs/>
        </w:rPr>
        <w:t xml:space="preserve"> substantial </w:t>
      </w:r>
      <w:r w:rsidRPr="007B6D67" w:rsidR="005D373B">
        <w:rPr>
          <w:iCs/>
        </w:rPr>
        <w:t xml:space="preserve">class of </w:t>
      </w:r>
      <w:r w:rsidRPr="007B6D67">
        <w:rPr>
          <w:iCs/>
        </w:rPr>
        <w:t>habeas corpus petitions</w:t>
      </w:r>
      <w:r w:rsidR="00216DCC">
        <w:rPr>
          <w:iCs/>
        </w:rPr>
        <w:t> </w:t>
      </w:r>
      <w:r w:rsidRPr="007B6D67" w:rsidR="00EE1EBA">
        <w:rPr>
          <w:iCs/>
        </w:rPr>
        <w:t>— a result that would raise significant constitutional questions</w:t>
      </w:r>
      <w:r w:rsidRPr="007B6D67">
        <w:rPr>
          <w:iCs/>
        </w:rPr>
        <w:t xml:space="preserve">.  </w:t>
      </w:r>
      <w:r w:rsidRPr="007B6D67" w:rsidR="00CC0EE0">
        <w:rPr>
          <w:iCs/>
        </w:rPr>
        <w:t xml:space="preserve">(See </w:t>
      </w:r>
      <w:r w:rsidRPr="007B6D67" w:rsidR="00D77008">
        <w:rPr>
          <w:i/>
        </w:rPr>
        <w:t>Briggs</w:t>
      </w:r>
      <w:r w:rsidRPr="007B6D67" w:rsidR="00D77008">
        <w:t>,</w:t>
      </w:r>
      <w:r w:rsidRPr="007B6D67" w:rsidR="00D77008">
        <w:rPr>
          <w:i/>
          <w:iCs/>
        </w:rPr>
        <w:t xml:space="preserve"> </w:t>
      </w:r>
      <w:r w:rsidRPr="007B6D67" w:rsidR="00D77008">
        <w:rPr>
          <w:i/>
        </w:rPr>
        <w:t>supra</w:t>
      </w:r>
      <w:r w:rsidRPr="007B6D67" w:rsidR="00D77008">
        <w:t>,</w:t>
      </w:r>
      <w:r w:rsidRPr="007B6D67" w:rsidR="00D77008">
        <w:rPr>
          <w:i/>
          <w:iCs/>
        </w:rPr>
        <w:t xml:space="preserve"> </w:t>
      </w:r>
      <w:r w:rsidRPr="007B6D67" w:rsidR="005D0C51">
        <w:t>3 Cal.5th at pp.</w:t>
      </w:r>
      <w:r w:rsidRPr="007B6D67" w:rsidR="00C25C46">
        <w:t> </w:t>
      </w:r>
      <w:r w:rsidRPr="007B6D67" w:rsidR="005D0C51">
        <w:t>833, 841</w:t>
      </w:r>
      <w:r w:rsidRPr="007B6D67" w:rsidR="00A4219F">
        <w:rPr>
          <w:iCs/>
        </w:rPr>
        <w:t>.)</w:t>
      </w:r>
    </w:p>
    <w:p w:rsidR="0036580D" w:rsidRPr="007B6D67" w:rsidP="007B6D67" w14:paraId="0F2A1352" w14:textId="7B4D28CE">
      <w:pPr>
        <w:pStyle w:val="Text"/>
        <w:spacing w:line="400" w:lineRule="exact"/>
        <w:ind w:firstLine="720"/>
        <w:rPr>
          <w:iCs/>
        </w:rPr>
      </w:pPr>
      <w:r w:rsidRPr="007B6D67">
        <w:rPr>
          <w:iCs/>
        </w:rPr>
        <w:t>We further agree</w:t>
      </w:r>
      <w:r w:rsidRPr="007B6D67" w:rsidR="00F53AD6">
        <w:rPr>
          <w:iCs/>
        </w:rPr>
        <w:t xml:space="preserve"> with the Attorney General </w:t>
      </w:r>
      <w:r w:rsidRPr="007B6D67">
        <w:rPr>
          <w:iCs/>
        </w:rPr>
        <w:t xml:space="preserve">that section 1509.1(c) is </w:t>
      </w:r>
      <w:r w:rsidRPr="007B6D67" w:rsidR="008E3F61">
        <w:rPr>
          <w:iCs/>
        </w:rPr>
        <w:t xml:space="preserve">best read as </w:t>
      </w:r>
      <w:r w:rsidRPr="007B6D67">
        <w:rPr>
          <w:iCs/>
        </w:rPr>
        <w:t>allowing a certificate</w:t>
      </w:r>
      <w:r w:rsidRPr="007B6D67" w:rsidR="0022742F">
        <w:rPr>
          <w:iCs/>
        </w:rPr>
        <w:t xml:space="preserve"> of appealability</w:t>
      </w:r>
      <w:r w:rsidRPr="007B6D67">
        <w:rPr>
          <w:iCs/>
        </w:rPr>
        <w:t xml:space="preserve"> to issue on the successiveness question</w:t>
      </w:r>
      <w:r w:rsidRPr="007B6D67" w:rsidR="008061B1">
        <w:rPr>
          <w:iCs/>
        </w:rPr>
        <w:t xml:space="preserve"> itself</w:t>
      </w:r>
      <w:r w:rsidRPr="007B6D67">
        <w:rPr>
          <w:iCs/>
        </w:rPr>
        <w:t xml:space="preserve">.  </w:t>
      </w:r>
      <w:r w:rsidRPr="007B6D67" w:rsidR="002329C8">
        <w:rPr>
          <w:iCs/>
        </w:rPr>
        <w:t xml:space="preserve">In context, and with the understanding </w:t>
      </w:r>
      <w:r w:rsidRPr="007B6D67" w:rsidR="002A1295">
        <w:rPr>
          <w:iCs/>
        </w:rPr>
        <w:t xml:space="preserve">that section 1509(d)’s </w:t>
      </w:r>
      <w:r w:rsidRPr="007B6D67" w:rsidR="00A50097">
        <w:rPr>
          <w:iCs/>
        </w:rPr>
        <w:t xml:space="preserve">limits on successive petitions incorporate the parameters of </w:t>
      </w:r>
      <w:r w:rsidRPr="007B6D67" w:rsidR="00A50097">
        <w:rPr>
          <w:i/>
        </w:rPr>
        <w:t>Clark</w:t>
      </w:r>
      <w:r w:rsidRPr="007B6D67" w:rsidR="00A50097">
        <w:rPr>
          <w:iCs/>
        </w:rPr>
        <w:t>’s successiveness bar</w:t>
      </w:r>
      <w:r w:rsidRPr="007B6D67" w:rsidR="006E0302">
        <w:rPr>
          <w:iCs/>
        </w:rPr>
        <w:t xml:space="preserve"> (see p</w:t>
      </w:r>
      <w:r w:rsidRPr="007B6D67" w:rsidR="00C25C46">
        <w:rPr>
          <w:iCs/>
        </w:rPr>
        <w:t>t.</w:t>
      </w:r>
      <w:r w:rsidRPr="007B6D67" w:rsidR="006E0302">
        <w:rPr>
          <w:iCs/>
        </w:rPr>
        <w:t xml:space="preserve"> II</w:t>
      </w:r>
      <w:r w:rsidR="00784CFB">
        <w:rPr>
          <w:iCs/>
        </w:rPr>
        <w:t>.</w:t>
      </w:r>
      <w:r w:rsidRPr="007B6D67" w:rsidR="006E0302">
        <w:rPr>
          <w:iCs/>
        </w:rPr>
        <w:t xml:space="preserve">, </w:t>
      </w:r>
      <w:r w:rsidRPr="007B6D67" w:rsidR="006E0302">
        <w:rPr>
          <w:i/>
        </w:rPr>
        <w:t>ante</w:t>
      </w:r>
      <w:r w:rsidRPr="007B6D67" w:rsidR="006E0302">
        <w:rPr>
          <w:iCs/>
        </w:rPr>
        <w:t>)</w:t>
      </w:r>
      <w:r w:rsidRPr="007B6D67" w:rsidR="00A50097">
        <w:rPr>
          <w:iCs/>
        </w:rPr>
        <w:t xml:space="preserve">, </w:t>
      </w:r>
      <w:r w:rsidRPr="007B6D67">
        <w:rPr>
          <w:iCs/>
        </w:rPr>
        <w:t xml:space="preserve">section 1509.1(c)’s </w:t>
      </w:r>
      <w:r w:rsidRPr="007B6D67" w:rsidR="00E6311D">
        <w:rPr>
          <w:iCs/>
        </w:rPr>
        <w:t>demand</w:t>
      </w:r>
      <w:r w:rsidRPr="007B6D67">
        <w:rPr>
          <w:iCs/>
        </w:rPr>
        <w:t xml:space="preserve"> for “a substantial claim that the requirements of subdivision (d) of Section 1509 have been met” </w:t>
      </w:r>
      <w:r w:rsidRPr="007B6D67" w:rsidR="00E6311D">
        <w:rPr>
          <w:iCs/>
        </w:rPr>
        <w:t xml:space="preserve">is reasonably understood </w:t>
      </w:r>
      <w:r w:rsidRPr="007B6D67">
        <w:rPr>
          <w:iCs/>
        </w:rPr>
        <w:t xml:space="preserve">to include a substantial claim that the requirements of section 1509(d) </w:t>
      </w:r>
      <w:r w:rsidRPr="007B6D67">
        <w:rPr>
          <w:i/>
        </w:rPr>
        <w:t>do not apply</w:t>
      </w:r>
      <w:r w:rsidRPr="007B6D67" w:rsidR="00E72F3E">
        <w:rPr>
          <w:iCs/>
        </w:rPr>
        <w:t xml:space="preserve"> because the claim </w:t>
      </w:r>
      <w:r w:rsidRPr="007B6D67" w:rsidR="00536BF6">
        <w:rPr>
          <w:iCs/>
        </w:rPr>
        <w:t>or claims are not successive</w:t>
      </w:r>
      <w:r w:rsidRPr="007B6D67" w:rsidR="00E6311D">
        <w:rPr>
          <w:iCs/>
        </w:rPr>
        <w:t xml:space="preserve">.  </w:t>
      </w:r>
      <w:r w:rsidRPr="007B6D67" w:rsidR="00DE1FF9">
        <w:rPr>
          <w:iCs/>
        </w:rPr>
        <w:t xml:space="preserve">Under </w:t>
      </w:r>
      <w:r w:rsidRPr="007B6D67">
        <w:rPr>
          <w:iCs/>
        </w:rPr>
        <w:t xml:space="preserve">this </w:t>
      </w:r>
      <w:r w:rsidRPr="007B6D67" w:rsidR="00536BF6">
        <w:rPr>
          <w:iCs/>
        </w:rPr>
        <w:t>reading</w:t>
      </w:r>
      <w:r w:rsidRPr="007B6D67" w:rsidR="00DE1FF9">
        <w:rPr>
          <w:iCs/>
        </w:rPr>
        <w:t>, as the Attorney General observes, section 1509.1</w:t>
      </w:r>
      <w:r w:rsidRPr="007B6D67" w:rsidR="005D2D2F">
        <w:rPr>
          <w:iCs/>
        </w:rPr>
        <w:t xml:space="preserve">(c)’s </w:t>
      </w:r>
      <w:r w:rsidRPr="007B6D67">
        <w:rPr>
          <w:iCs/>
        </w:rPr>
        <w:t xml:space="preserve">certificate requirement </w:t>
      </w:r>
      <w:r w:rsidRPr="007B6D67" w:rsidR="003F772A">
        <w:rPr>
          <w:iCs/>
        </w:rPr>
        <w:t>pla</w:t>
      </w:r>
      <w:r w:rsidRPr="007B6D67" w:rsidR="0037470D">
        <w:rPr>
          <w:iCs/>
        </w:rPr>
        <w:t>ys its intended</w:t>
      </w:r>
      <w:r w:rsidRPr="007B6D67">
        <w:rPr>
          <w:iCs/>
        </w:rPr>
        <w:t xml:space="preserve"> screening role</w:t>
      </w:r>
      <w:r w:rsidRPr="007B6D67" w:rsidR="007E73D8">
        <w:rPr>
          <w:iCs/>
        </w:rPr>
        <w:t xml:space="preserve">:  </w:t>
      </w:r>
      <w:r w:rsidRPr="007B6D67" w:rsidR="00B14FD2">
        <w:rPr>
          <w:iCs/>
        </w:rPr>
        <w:t>T</w:t>
      </w:r>
      <w:r w:rsidRPr="007B6D67">
        <w:rPr>
          <w:iCs/>
        </w:rPr>
        <w:t xml:space="preserve">he appeal </w:t>
      </w:r>
      <w:r w:rsidRPr="007B6D67" w:rsidR="007E73D8">
        <w:rPr>
          <w:iCs/>
        </w:rPr>
        <w:t>is</w:t>
      </w:r>
      <w:r w:rsidRPr="007B6D67">
        <w:rPr>
          <w:iCs/>
        </w:rPr>
        <w:t xml:space="preserve"> permitted to proceed</w:t>
      </w:r>
      <w:r w:rsidRPr="007B6D67" w:rsidR="007E73D8">
        <w:rPr>
          <w:iCs/>
        </w:rPr>
        <w:t xml:space="preserve"> as to a disputed claim</w:t>
      </w:r>
      <w:r w:rsidRPr="007B6D67">
        <w:rPr>
          <w:iCs/>
        </w:rPr>
        <w:t xml:space="preserve"> only if the petitioner </w:t>
      </w:r>
      <w:r w:rsidRPr="007B6D67" w:rsidR="00B50D53">
        <w:rPr>
          <w:iCs/>
        </w:rPr>
        <w:t>is</w:t>
      </w:r>
      <w:r w:rsidRPr="007B6D67">
        <w:rPr>
          <w:iCs/>
        </w:rPr>
        <w:t xml:space="preserve"> able to </w:t>
      </w:r>
      <w:r w:rsidRPr="007B6D67" w:rsidR="00B50D53">
        <w:rPr>
          <w:iCs/>
        </w:rPr>
        <w:t xml:space="preserve">make a </w:t>
      </w:r>
      <w:r w:rsidRPr="007B6D67">
        <w:rPr>
          <w:iCs/>
        </w:rPr>
        <w:t xml:space="preserve">substantial </w:t>
      </w:r>
      <w:r w:rsidRPr="007B6D67" w:rsidR="00B50D53">
        <w:rPr>
          <w:iCs/>
        </w:rPr>
        <w:t xml:space="preserve">showing </w:t>
      </w:r>
      <w:r w:rsidRPr="007B6D67">
        <w:rPr>
          <w:iCs/>
        </w:rPr>
        <w:t xml:space="preserve">that the </w:t>
      </w:r>
      <w:r w:rsidRPr="007B6D67" w:rsidR="00B50D53">
        <w:rPr>
          <w:iCs/>
        </w:rPr>
        <w:t>claim</w:t>
      </w:r>
      <w:r w:rsidRPr="007B6D67">
        <w:rPr>
          <w:iCs/>
        </w:rPr>
        <w:t xml:space="preserve">, </w:t>
      </w:r>
      <w:r w:rsidRPr="007B6D67" w:rsidR="00FC1BC0">
        <w:rPr>
          <w:iCs/>
        </w:rPr>
        <w:t>although</w:t>
      </w:r>
      <w:r w:rsidRPr="007B6D67">
        <w:rPr>
          <w:iCs/>
        </w:rPr>
        <w:t xml:space="preserve"> </w:t>
      </w:r>
      <w:r w:rsidRPr="007B6D67" w:rsidR="00B50D53">
        <w:rPr>
          <w:iCs/>
        </w:rPr>
        <w:t xml:space="preserve">presented in a </w:t>
      </w:r>
      <w:r w:rsidRPr="007B6D67">
        <w:rPr>
          <w:iCs/>
        </w:rPr>
        <w:t>subsequent</w:t>
      </w:r>
      <w:r w:rsidRPr="007B6D67" w:rsidR="00B50D53">
        <w:rPr>
          <w:iCs/>
        </w:rPr>
        <w:t xml:space="preserve"> petition</w:t>
      </w:r>
      <w:r w:rsidRPr="007B6D67">
        <w:rPr>
          <w:iCs/>
        </w:rPr>
        <w:t>, was not successive</w:t>
      </w:r>
      <w:r w:rsidRPr="007B6D67" w:rsidR="00A86D70">
        <w:rPr>
          <w:iCs/>
        </w:rPr>
        <w:t xml:space="preserve"> within the meaning of </w:t>
      </w:r>
      <w:r w:rsidRPr="007B6D67" w:rsidR="00A86D70">
        <w:rPr>
          <w:i/>
        </w:rPr>
        <w:t>Clark</w:t>
      </w:r>
      <w:r w:rsidRPr="007B6D67" w:rsidR="00A86D70">
        <w:rPr>
          <w:iCs/>
        </w:rPr>
        <w:t>’s rule</w:t>
      </w:r>
      <w:r w:rsidRPr="007B6D67">
        <w:rPr>
          <w:iCs/>
        </w:rPr>
        <w:t>.</w:t>
      </w:r>
    </w:p>
    <w:p w:rsidR="00355DA9" w:rsidRPr="007B6D67" w:rsidP="007B6D67" w14:paraId="24513FBA" w14:textId="74E9F580">
      <w:pPr>
        <w:pStyle w:val="Text"/>
        <w:spacing w:line="400" w:lineRule="exact"/>
        <w:ind w:firstLine="720"/>
      </w:pPr>
      <w:r w:rsidRPr="007B6D67">
        <w:t xml:space="preserve">As a procedure for appellate review of a superior court’s determination that a subsequent petition’s claim or claims are successive within the meaning of section 1509(d), </w:t>
      </w:r>
      <w:r w:rsidRPr="007B6D67" w:rsidR="0000074C">
        <w:t>an appeal under</w:t>
      </w:r>
      <w:r w:rsidRPr="007B6D67" w:rsidR="00AB5DDB">
        <w:t xml:space="preserve"> section 1509</w:t>
      </w:r>
      <w:r w:rsidRPr="007B6D67" w:rsidR="00006684">
        <w:t>.1</w:t>
      </w:r>
      <w:r w:rsidRPr="007B6D67" w:rsidR="00AB5DDB">
        <w:t>(c)</w:t>
      </w:r>
      <w:r w:rsidRPr="007B6D67" w:rsidR="006B15C5">
        <w:t>,</w:t>
      </w:r>
      <w:r w:rsidRPr="007B6D67" w:rsidR="00E72F3E">
        <w:t xml:space="preserve"> as we interpret it</w:t>
      </w:r>
      <w:r w:rsidRPr="007B6D67" w:rsidR="006B15C5">
        <w:t>,</w:t>
      </w:r>
      <w:r w:rsidRPr="007B6D67" w:rsidR="00536BF6">
        <w:t xml:space="preserve"> </w:t>
      </w:r>
      <w:r w:rsidRPr="007B6D67" w:rsidR="0000074C">
        <w:t>is superior to one under</w:t>
      </w:r>
      <w:r w:rsidRPr="007B6D67" w:rsidR="00106706">
        <w:t xml:space="preserve"> </w:t>
      </w:r>
      <w:r w:rsidRPr="007B6D67" w:rsidR="00196B97">
        <w:t xml:space="preserve">Penal Code section 1509.1, </w:t>
      </w:r>
      <w:r w:rsidRPr="007B6D67" w:rsidR="00106706">
        <w:t>subdivision (a)</w:t>
      </w:r>
      <w:r w:rsidRPr="007B6D67" w:rsidR="00196B97">
        <w:t>,</w:t>
      </w:r>
      <w:r w:rsidRPr="007B6D67" w:rsidR="00106706">
        <w:t xml:space="preserve"> </w:t>
      </w:r>
      <w:r w:rsidRPr="007B6D67" w:rsidR="0000074C">
        <w:t xml:space="preserve">in terms </w:t>
      </w:r>
      <w:r w:rsidRPr="007B6D67" w:rsidR="00C907C6">
        <w:t xml:space="preserve">of </w:t>
      </w:r>
      <w:r w:rsidRPr="007B6D67" w:rsidR="008838E9">
        <w:t>implementing the statutory p</w:t>
      </w:r>
      <w:r w:rsidRPr="007B6D67" w:rsidR="002035A4">
        <w:t>ur</w:t>
      </w:r>
      <w:r w:rsidRPr="007B6D67" w:rsidR="008838E9">
        <w:t>poses</w:t>
      </w:r>
      <w:r w:rsidRPr="007B6D67" w:rsidR="0000074C">
        <w:t xml:space="preserve">.  </w:t>
      </w:r>
      <w:r w:rsidRPr="007B6D67" w:rsidR="0084352C">
        <w:t xml:space="preserve">Allowing an appeal as of right under </w:t>
      </w:r>
      <w:r w:rsidRPr="007B6D67" w:rsidR="00DE77AA">
        <w:t>Penal Code section 1509</w:t>
      </w:r>
      <w:r w:rsidRPr="007B6D67" w:rsidR="00591B5E">
        <w:t>.1</w:t>
      </w:r>
      <w:r w:rsidRPr="007B6D67" w:rsidR="002F24B0">
        <w:t>,</w:t>
      </w:r>
      <w:r w:rsidRPr="007B6D67" w:rsidR="00106706">
        <w:t xml:space="preserve"> </w:t>
      </w:r>
      <w:r w:rsidRPr="007B6D67" w:rsidR="002F24B0">
        <w:t xml:space="preserve">subdivision (a) </w:t>
      </w:r>
      <w:r w:rsidRPr="007B6D67" w:rsidR="00204382">
        <w:t>would unnecessa</w:t>
      </w:r>
      <w:r w:rsidRPr="007B6D67" w:rsidR="001C5427">
        <w:t xml:space="preserve">rily </w:t>
      </w:r>
      <w:r w:rsidRPr="007B6D67" w:rsidR="00204382">
        <w:t>vitiate</w:t>
      </w:r>
      <w:r w:rsidRPr="007B6D67" w:rsidR="001C5427">
        <w:t xml:space="preserve"> the screening mechanism provided in </w:t>
      </w:r>
      <w:r w:rsidRPr="007B6D67" w:rsidR="007F5FAC">
        <w:t>section 1509.1(c)</w:t>
      </w:r>
      <w:r w:rsidRPr="007B6D67" w:rsidR="00006684">
        <w:t>.</w:t>
      </w:r>
      <w:r w:rsidRPr="007B6D67" w:rsidR="00B5396C">
        <w:t xml:space="preserve"> </w:t>
      </w:r>
      <w:r w:rsidRPr="007B6D67" w:rsidR="00B44C03">
        <w:t xml:space="preserve"> </w:t>
      </w:r>
      <w:r w:rsidRPr="007B6D67" w:rsidR="002035A4">
        <w:t xml:space="preserve">When the superior court has </w:t>
      </w:r>
      <w:r w:rsidRPr="007B6D67" w:rsidR="0084352C">
        <w:t xml:space="preserve">determined that a subsequent petition </w:t>
      </w:r>
      <w:r w:rsidRPr="007B6D67" w:rsidR="00941893">
        <w:t xml:space="preserve">is </w:t>
      </w:r>
      <w:r w:rsidRPr="007B6D67" w:rsidR="00941893">
        <w:rPr>
          <w:i/>
          <w:iCs/>
        </w:rPr>
        <w:t>not</w:t>
      </w:r>
      <w:r w:rsidRPr="007B6D67" w:rsidR="00941893">
        <w:t xml:space="preserve"> successive, however, but has denied the petition on its merits, </w:t>
      </w:r>
      <w:r w:rsidRPr="007B6D67" w:rsidR="002F24B0">
        <w:t xml:space="preserve">allowing an appeal under </w:t>
      </w:r>
      <w:r w:rsidRPr="007B6D67" w:rsidR="00137886">
        <w:t>Penal Code section 1509.1, subdivision (a) would result in no evasion of the statute’s screening mechanism, since no such screening is called for</w:t>
      </w:r>
      <w:r w:rsidRPr="007B6D67" w:rsidR="00BD0E3A">
        <w:t xml:space="preserve"> as to a nonsuccessive petition.</w:t>
      </w:r>
    </w:p>
    <w:p w:rsidR="00A22262" w:rsidRPr="007B6D67" w:rsidP="007B6D67" w14:paraId="43A2948E" w14:textId="1662462F">
      <w:pPr>
        <w:pStyle w:val="Heading1"/>
      </w:pPr>
      <w:r w:rsidRPr="007B6D67">
        <w:t>V.</w:t>
      </w:r>
    </w:p>
    <w:p w:rsidR="00941631" w:rsidP="007B6D67" w14:paraId="4FB01974" w14:textId="77777777">
      <w:pPr>
        <w:pStyle w:val="Text"/>
        <w:spacing w:line="400" w:lineRule="exact"/>
        <w:ind w:firstLine="720"/>
      </w:pPr>
      <w:r w:rsidRPr="007B6D67">
        <w:t>T</w:t>
      </w:r>
      <w:r w:rsidRPr="007B6D67" w:rsidR="0067111C">
        <w:t xml:space="preserve">he Court of Appeal’s order denying a certificate of appealability </w:t>
      </w:r>
      <w:r w:rsidRPr="007B6D67">
        <w:t>is reversed</w:t>
      </w:r>
      <w:r w:rsidRPr="007B6D67" w:rsidR="007B5D05">
        <w:t xml:space="preserve">, </w:t>
      </w:r>
      <w:r w:rsidRPr="007B6D67" w:rsidR="0067111C">
        <w:t xml:space="preserve">and </w:t>
      </w:r>
      <w:r w:rsidRPr="007B6D67" w:rsidR="007B5D05">
        <w:t xml:space="preserve">the matter is </w:t>
      </w:r>
      <w:r w:rsidRPr="007B6D67" w:rsidR="0067111C">
        <w:t>remand</w:t>
      </w:r>
      <w:r w:rsidRPr="007B6D67" w:rsidR="007B5D05">
        <w:t>ed</w:t>
      </w:r>
      <w:r w:rsidRPr="007B6D67" w:rsidR="0067111C">
        <w:t xml:space="preserve"> to that court for it to address the successiveness question under the standard and procedures we have </w:t>
      </w:r>
      <w:r w:rsidRPr="007B6D67" w:rsidR="00B71CD4">
        <w:t>de</w:t>
      </w:r>
      <w:r w:rsidRPr="007B6D67" w:rsidR="0067111C">
        <w:t>scribed.</w:t>
      </w:r>
      <w:r w:rsidRPr="007B6D67" w:rsidR="00857EDD">
        <w:t xml:space="preserve">  </w:t>
      </w:r>
      <w:r w:rsidRPr="007B6D67" w:rsidR="004347E6">
        <w:t>For each claim</w:t>
      </w:r>
      <w:r w:rsidRPr="007B6D67" w:rsidR="00CD5DA8">
        <w:t xml:space="preserve"> of the petition, the </w:t>
      </w:r>
      <w:r w:rsidRPr="007B6D67" w:rsidR="0070717E">
        <w:t>C</w:t>
      </w:r>
      <w:r w:rsidRPr="007B6D67" w:rsidR="008C6A90">
        <w:t xml:space="preserve">ourt of Appeal is to determine whether petitioner has </w:t>
      </w:r>
      <w:r w:rsidRPr="007B6D67" w:rsidR="00350AEF">
        <w:t>made</w:t>
      </w:r>
      <w:r w:rsidRPr="007B6D67" w:rsidR="0070717E">
        <w:t xml:space="preserve"> a substantial </w:t>
      </w:r>
      <w:r w:rsidRPr="007B6D67" w:rsidR="00350AEF">
        <w:t xml:space="preserve">showing </w:t>
      </w:r>
      <w:r w:rsidRPr="007B6D67" w:rsidR="0070717E">
        <w:t xml:space="preserve">that </w:t>
      </w:r>
      <w:r w:rsidRPr="007B6D67" w:rsidR="00350AEF">
        <w:t xml:space="preserve">the claim is </w:t>
      </w:r>
      <w:r w:rsidRPr="007B6D67" w:rsidR="00D52C59">
        <w:t>not successive within the meaning of section 1509(d), as we have construed it here (see p</w:t>
      </w:r>
      <w:r w:rsidRPr="007B6D67" w:rsidR="00EF1CA1">
        <w:t>t.</w:t>
      </w:r>
      <w:r w:rsidRPr="007B6D67" w:rsidR="00D52C59">
        <w:t xml:space="preserve"> II</w:t>
      </w:r>
      <w:r w:rsidR="00784CFB">
        <w:t>.</w:t>
      </w:r>
      <w:r w:rsidRPr="007B6D67" w:rsidR="00D52C59">
        <w:t xml:space="preserve">, </w:t>
      </w:r>
      <w:r w:rsidRPr="007B6D67" w:rsidR="00D52C59">
        <w:rPr>
          <w:i/>
          <w:iCs/>
        </w:rPr>
        <w:t>ante</w:t>
      </w:r>
      <w:r w:rsidRPr="007B6D67" w:rsidR="00D52C59">
        <w:t>)</w:t>
      </w:r>
      <w:r w:rsidRPr="007B6D67" w:rsidR="00A2479C">
        <w:t xml:space="preserve">, and is to issue a certificate of </w:t>
      </w:r>
    </w:p>
    <w:p w:rsidR="00941631" w14:paraId="2B63AD79" w14:textId="77777777">
      <w:pPr>
        <w:spacing w:after="0" w:line="240" w:lineRule="auto"/>
        <w:jc w:val="left"/>
      </w:pPr>
      <w:r>
        <w:br w:type="page"/>
      </w:r>
    </w:p>
    <w:p w:rsidR="0070717E" w:rsidRPr="007B6D67" w:rsidP="00941631" w14:paraId="1156C886" w14:textId="31CD4884">
      <w:pPr>
        <w:pStyle w:val="Text"/>
        <w:spacing w:line="400" w:lineRule="exact"/>
        <w:ind w:firstLine="0"/>
      </w:pPr>
      <w:r w:rsidRPr="007B6D67">
        <w:t xml:space="preserve">appealability </w:t>
      </w:r>
      <w:r w:rsidRPr="007B6D67" w:rsidR="00D55EC6">
        <w:t>on any claim or claims as to which that showing has been made.</w:t>
      </w:r>
    </w:p>
    <w:p w:rsidR="00793B4C" w:rsidRPr="007B6D67" w:rsidP="007B6D67" w14:paraId="3869EBAE" w14:textId="7253F392">
      <w:pPr>
        <w:pStyle w:val="Text"/>
        <w:spacing w:line="400" w:lineRule="exact"/>
        <w:rPr>
          <w:b/>
          <w:bCs/>
        </w:rPr>
      </w:pPr>
      <w:r w:rsidRPr="007B6D67">
        <w:tab/>
      </w:r>
      <w:r w:rsidRPr="007B6D67" w:rsidR="00415F13">
        <w:tab/>
      </w:r>
      <w:r w:rsidRPr="007B6D67">
        <w:tab/>
      </w:r>
      <w:r w:rsidRPr="007B6D67">
        <w:tab/>
      </w:r>
      <w:r w:rsidRPr="007B6D67" w:rsidR="001E73E9">
        <w:tab/>
      </w:r>
      <w:r w:rsidRPr="007B6D67" w:rsidR="001E73E9">
        <w:tab/>
        <w:t xml:space="preserve">     </w:t>
      </w:r>
      <w:r w:rsidRPr="007B6D67" w:rsidR="00415F13">
        <w:rPr>
          <w:b/>
          <w:bCs/>
        </w:rPr>
        <w:t>KRUGER, J.</w:t>
      </w:r>
    </w:p>
    <w:p w:rsidR="00415F13" w:rsidP="007B6D67" w14:paraId="38B058F6" w14:textId="6C90F4BA">
      <w:pPr>
        <w:pStyle w:val="Text"/>
        <w:spacing w:line="400" w:lineRule="exact"/>
        <w:ind w:firstLine="0"/>
        <w:rPr>
          <w:b/>
          <w:bCs/>
        </w:rPr>
      </w:pPr>
      <w:r w:rsidRPr="007B6D67">
        <w:rPr>
          <w:b/>
          <w:bCs/>
        </w:rPr>
        <w:t>We Concur:</w:t>
      </w:r>
    </w:p>
    <w:p w:rsidR="002E0468" w:rsidP="002E0468" w14:paraId="1009789D" w14:textId="03C5B4FC">
      <w:pPr>
        <w:pStyle w:val="Text"/>
        <w:spacing w:after="0" w:line="240" w:lineRule="auto"/>
        <w:ind w:firstLine="0"/>
        <w:rPr>
          <w:b/>
          <w:bCs/>
        </w:rPr>
      </w:pPr>
      <w:r>
        <w:rPr>
          <w:b/>
          <w:bCs/>
        </w:rPr>
        <w:t>CANTIL-SAKAUYE, C. J.</w:t>
      </w:r>
    </w:p>
    <w:p w:rsidR="002E0468" w:rsidP="002E0468" w14:paraId="52BCD33B" w14:textId="1A7EE327">
      <w:pPr>
        <w:pStyle w:val="Text"/>
        <w:spacing w:after="0" w:line="240" w:lineRule="auto"/>
        <w:ind w:firstLine="0"/>
        <w:rPr>
          <w:b/>
          <w:bCs/>
        </w:rPr>
      </w:pPr>
      <w:r>
        <w:rPr>
          <w:b/>
          <w:bCs/>
        </w:rPr>
        <w:t>CORRIGAN, J.</w:t>
      </w:r>
    </w:p>
    <w:p w:rsidR="002E0468" w:rsidP="002E0468" w14:paraId="10DD1322" w14:textId="597721B7">
      <w:pPr>
        <w:pStyle w:val="Text"/>
        <w:spacing w:after="0" w:line="240" w:lineRule="auto"/>
        <w:ind w:firstLine="0"/>
        <w:rPr>
          <w:b/>
          <w:bCs/>
        </w:rPr>
      </w:pPr>
      <w:r>
        <w:rPr>
          <w:b/>
          <w:bCs/>
        </w:rPr>
        <w:t>LIU, J.</w:t>
      </w:r>
    </w:p>
    <w:p w:rsidR="002E0468" w:rsidP="002E0468" w14:paraId="4A554FD5" w14:textId="1BB9DDC3">
      <w:pPr>
        <w:pStyle w:val="Text"/>
        <w:spacing w:after="0" w:line="240" w:lineRule="auto"/>
        <w:ind w:firstLine="0"/>
        <w:rPr>
          <w:b/>
          <w:bCs/>
        </w:rPr>
      </w:pPr>
      <w:r>
        <w:rPr>
          <w:b/>
          <w:bCs/>
        </w:rPr>
        <w:t>CUÉLLAR, J.</w:t>
      </w:r>
    </w:p>
    <w:p w:rsidR="002E0468" w:rsidP="002E0468" w14:paraId="3740DCC7" w14:textId="23D2F590">
      <w:pPr>
        <w:pStyle w:val="Text"/>
        <w:spacing w:after="0" w:line="240" w:lineRule="auto"/>
        <w:ind w:firstLine="0"/>
        <w:rPr>
          <w:b/>
          <w:bCs/>
        </w:rPr>
      </w:pPr>
      <w:r>
        <w:rPr>
          <w:b/>
          <w:bCs/>
        </w:rPr>
        <w:t>GROBAN, J.</w:t>
      </w:r>
    </w:p>
    <w:p w:rsidR="002E0468" w:rsidP="002E0468" w14:paraId="6F236974" w14:textId="6984E50C">
      <w:pPr>
        <w:pStyle w:val="Text"/>
        <w:spacing w:after="0" w:line="240" w:lineRule="auto"/>
        <w:ind w:firstLine="0"/>
        <w:rPr>
          <w:b/>
          <w:bCs/>
        </w:rPr>
      </w:pPr>
      <w:r>
        <w:rPr>
          <w:b/>
          <w:bCs/>
        </w:rPr>
        <w:t>JENKINS, J.</w:t>
      </w:r>
    </w:p>
    <w:p w:rsidR="00E06A5E" w:rsidP="002E0468" w14:paraId="016360E0" w14:textId="77777777">
      <w:pPr>
        <w:pStyle w:val="Text"/>
        <w:spacing w:after="0" w:line="240" w:lineRule="auto"/>
        <w:ind w:firstLine="0"/>
        <w:rPr>
          <w:b/>
          <w:bCs/>
        </w:rPr>
        <w:sectPr w:rsidSect="007B6D67">
          <w:footerReference w:type="first" r:id="rId10"/>
          <w:pgSz w:w="12240" w:h="15840"/>
          <w:pgMar w:top="1800" w:right="2160" w:bottom="1440" w:left="2160" w:header="720" w:footer="720" w:gutter="0"/>
          <w:pgNumType w:start="1"/>
          <w:cols w:space="720"/>
          <w:titlePg/>
          <w:docGrid w:linePitch="367"/>
        </w:sectPr>
      </w:pPr>
    </w:p>
    <w:p w:rsidR="00E06A5E" w:rsidRPr="00E06A5E" w:rsidP="00E06A5E" w14:paraId="094C375C" w14:textId="77777777">
      <w:pPr>
        <w:spacing w:after="0" w:line="240" w:lineRule="auto"/>
        <w:jc w:val="left"/>
        <w:rPr>
          <w:i/>
          <w:sz w:val="24"/>
          <w:szCs w:val="24"/>
        </w:rPr>
      </w:pPr>
      <w:r w:rsidRPr="00E06A5E">
        <w:rPr>
          <w:i/>
          <w:sz w:val="24"/>
          <w:szCs w:val="24"/>
        </w:rPr>
        <w:t xml:space="preserve">See next page for addresses and telephone numbers for counsel who argued in Supreme Court. </w:t>
      </w:r>
    </w:p>
    <w:p w:rsidR="00E06A5E" w:rsidRPr="00E06A5E" w:rsidP="00E06A5E" w14:paraId="4BF47B32" w14:textId="77777777">
      <w:pPr>
        <w:spacing w:after="0" w:line="240" w:lineRule="auto"/>
        <w:jc w:val="left"/>
        <w:rPr>
          <w:i/>
          <w:sz w:val="24"/>
          <w:szCs w:val="24"/>
        </w:rPr>
      </w:pPr>
    </w:p>
    <w:p w:rsidR="00E06A5E" w:rsidRPr="00E06A5E" w:rsidP="00E06A5E" w14:paraId="7D26FE88" w14:textId="77777777">
      <w:pPr>
        <w:spacing w:after="0" w:line="240" w:lineRule="auto"/>
        <w:jc w:val="left"/>
        <w:rPr>
          <w:b/>
          <w:sz w:val="24"/>
          <w:szCs w:val="24"/>
        </w:rPr>
      </w:pPr>
      <w:r w:rsidRPr="00E06A5E">
        <w:rPr>
          <w:b/>
          <w:sz w:val="24"/>
          <w:szCs w:val="24"/>
        </w:rPr>
        <w:t xml:space="preserve">Name of Opinion  </w:t>
      </w:r>
      <w:r w:rsidRPr="00E06A5E">
        <w:rPr>
          <w:bCs/>
          <w:sz w:val="24"/>
          <w:szCs w:val="24"/>
        </w:rPr>
        <w:t xml:space="preserve">In re Friend </w:t>
      </w:r>
      <w:r w:rsidRPr="00E06A5E">
        <w:rPr>
          <w:b/>
          <w:sz w:val="24"/>
          <w:szCs w:val="24"/>
        </w:rPr>
        <w:t xml:space="preserve">__________________________________________________________________ </w:t>
      </w:r>
    </w:p>
    <w:p w:rsidR="00E06A5E" w:rsidRPr="00E06A5E" w:rsidP="00E06A5E" w14:paraId="5BFFB1A6" w14:textId="77777777">
      <w:pPr>
        <w:spacing w:after="0" w:line="240" w:lineRule="auto"/>
        <w:jc w:val="left"/>
        <w:rPr>
          <w:b/>
          <w:sz w:val="24"/>
          <w:szCs w:val="24"/>
        </w:rPr>
      </w:pPr>
    </w:p>
    <w:p w:rsidR="00E06A5E" w:rsidRPr="00E06A5E" w:rsidP="00E06A5E" w14:paraId="7B4F0C16" w14:textId="77777777">
      <w:pPr>
        <w:spacing w:after="0" w:line="240" w:lineRule="auto"/>
        <w:jc w:val="left"/>
        <w:rPr>
          <w:sz w:val="24"/>
          <w:szCs w:val="24"/>
        </w:rPr>
      </w:pPr>
      <w:r w:rsidRPr="00E06A5E">
        <w:rPr>
          <w:b/>
          <w:bCs/>
          <w:sz w:val="24"/>
          <w:szCs w:val="24"/>
          <w:u w:val="single"/>
        </w:rPr>
        <w:t>Procedural Posture</w:t>
      </w:r>
      <w:r w:rsidRPr="00E06A5E">
        <w:rPr>
          <w:b/>
          <w:bCs/>
          <w:sz w:val="24"/>
          <w:szCs w:val="24"/>
        </w:rPr>
        <w:t xml:space="preserve"> </w:t>
      </w:r>
      <w:r w:rsidRPr="00E06A5E">
        <w:rPr>
          <w:sz w:val="24"/>
          <w:szCs w:val="24"/>
        </w:rPr>
        <w:t>(see XX below)</w:t>
      </w:r>
    </w:p>
    <w:p w:rsidR="00E06A5E" w:rsidRPr="00E06A5E" w:rsidP="00E06A5E" w14:paraId="228F9F94" w14:textId="77777777">
      <w:pPr>
        <w:spacing w:after="0" w:line="240" w:lineRule="auto"/>
        <w:jc w:val="left"/>
        <w:rPr>
          <w:b/>
          <w:bCs/>
          <w:sz w:val="24"/>
          <w:szCs w:val="24"/>
        </w:rPr>
      </w:pPr>
      <w:r w:rsidRPr="00E06A5E">
        <w:rPr>
          <w:b/>
          <w:bCs/>
          <w:sz w:val="24"/>
          <w:szCs w:val="24"/>
        </w:rPr>
        <w:t xml:space="preserve">Original Appeal  </w:t>
      </w:r>
    </w:p>
    <w:p w:rsidR="00E06A5E" w:rsidRPr="00E06A5E" w:rsidP="00E06A5E" w14:paraId="7AE9C6B5" w14:textId="77777777">
      <w:pPr>
        <w:spacing w:after="0" w:line="240" w:lineRule="auto"/>
        <w:jc w:val="left"/>
        <w:rPr>
          <w:b/>
          <w:bCs/>
          <w:sz w:val="24"/>
          <w:szCs w:val="24"/>
        </w:rPr>
      </w:pPr>
      <w:r w:rsidRPr="00E06A5E">
        <w:rPr>
          <w:b/>
          <w:bCs/>
          <w:sz w:val="24"/>
          <w:szCs w:val="24"/>
        </w:rPr>
        <w:t xml:space="preserve">Original Proceeding  </w:t>
      </w:r>
    </w:p>
    <w:p w:rsidR="00E06A5E" w:rsidRPr="00E06A5E" w:rsidP="00E06A5E" w14:paraId="7578F4B4" w14:textId="77777777">
      <w:pPr>
        <w:spacing w:after="0" w:line="240" w:lineRule="auto"/>
        <w:jc w:val="left"/>
        <w:rPr>
          <w:sz w:val="24"/>
          <w:szCs w:val="24"/>
        </w:rPr>
      </w:pPr>
      <w:r w:rsidRPr="00E06A5E">
        <w:rPr>
          <w:b/>
          <w:bCs/>
          <w:sz w:val="24"/>
          <w:szCs w:val="24"/>
        </w:rPr>
        <w:t>Review Granted</w:t>
      </w:r>
      <w:r w:rsidRPr="00E06A5E">
        <w:rPr>
          <w:sz w:val="24"/>
          <w:szCs w:val="24"/>
        </w:rPr>
        <w:t xml:space="preserve"> </w:t>
      </w:r>
      <w:r w:rsidRPr="00E06A5E">
        <w:rPr>
          <w:b/>
          <w:bCs/>
          <w:sz w:val="24"/>
          <w:szCs w:val="24"/>
        </w:rPr>
        <w:t xml:space="preserve">(published) </w:t>
      </w:r>
    </w:p>
    <w:p w:rsidR="00E06A5E" w:rsidRPr="00E06A5E" w:rsidP="00E06A5E" w14:paraId="3C508D69" w14:textId="77777777">
      <w:pPr>
        <w:spacing w:after="0" w:line="240" w:lineRule="auto"/>
        <w:jc w:val="left"/>
        <w:rPr>
          <w:bCs/>
          <w:sz w:val="24"/>
          <w:szCs w:val="24"/>
        </w:rPr>
      </w:pPr>
      <w:r w:rsidRPr="00E06A5E">
        <w:rPr>
          <w:b/>
          <w:bCs/>
          <w:sz w:val="24"/>
          <w:szCs w:val="24"/>
        </w:rPr>
        <w:t xml:space="preserve">Review Granted (unpublished) </w:t>
      </w:r>
      <w:r w:rsidRPr="00E06A5E">
        <w:rPr>
          <w:color w:val="000000"/>
          <w:sz w:val="24"/>
          <w:szCs w:val="24"/>
        </w:rPr>
        <w:t xml:space="preserve">XX NP order filed 7/15/19 – 1st  Dist., Div. 3 </w:t>
      </w:r>
    </w:p>
    <w:p w:rsidR="00E06A5E" w:rsidRPr="00E06A5E" w:rsidP="00E06A5E" w14:paraId="794DBDE6" w14:textId="77777777">
      <w:pPr>
        <w:spacing w:after="0" w:line="240" w:lineRule="auto"/>
        <w:jc w:val="left"/>
        <w:rPr>
          <w:bCs/>
          <w:sz w:val="24"/>
          <w:szCs w:val="24"/>
        </w:rPr>
      </w:pPr>
      <w:r w:rsidRPr="00E06A5E">
        <w:rPr>
          <w:b/>
          <w:bCs/>
          <w:sz w:val="24"/>
          <w:szCs w:val="24"/>
        </w:rPr>
        <w:t>Rehearing Granted</w:t>
      </w:r>
    </w:p>
    <w:p w:rsidR="00E06A5E" w:rsidRPr="00E06A5E" w:rsidP="00E06A5E" w14:paraId="367B08B5" w14:textId="77777777">
      <w:pPr>
        <w:spacing w:after="0" w:line="240" w:lineRule="auto"/>
        <w:jc w:val="left"/>
        <w:rPr>
          <w:b/>
          <w:sz w:val="24"/>
          <w:szCs w:val="24"/>
        </w:rPr>
      </w:pPr>
      <w:r w:rsidRPr="00E06A5E">
        <w:rPr>
          <w:b/>
          <w:sz w:val="24"/>
          <w:szCs w:val="24"/>
        </w:rPr>
        <w:t xml:space="preserve">__________________________________________________________________ </w:t>
      </w:r>
    </w:p>
    <w:p w:rsidR="00E06A5E" w:rsidRPr="00E06A5E" w:rsidP="00E06A5E" w14:paraId="2909CDD0" w14:textId="77777777">
      <w:pPr>
        <w:spacing w:after="0" w:line="240" w:lineRule="auto"/>
        <w:jc w:val="left"/>
        <w:rPr>
          <w:b/>
          <w:sz w:val="24"/>
          <w:szCs w:val="24"/>
        </w:rPr>
      </w:pPr>
    </w:p>
    <w:p w:rsidR="00E06A5E" w:rsidRPr="00E06A5E" w:rsidP="00E06A5E" w14:paraId="78297808" w14:textId="77777777">
      <w:pPr>
        <w:spacing w:after="0" w:line="240" w:lineRule="auto"/>
        <w:jc w:val="left"/>
        <w:rPr>
          <w:bCs/>
          <w:sz w:val="24"/>
          <w:szCs w:val="24"/>
        </w:rPr>
      </w:pPr>
      <w:r w:rsidRPr="00E06A5E">
        <w:rPr>
          <w:b/>
          <w:sz w:val="24"/>
          <w:szCs w:val="24"/>
        </w:rPr>
        <w:t>Opinion No.</w:t>
      </w:r>
      <w:r w:rsidRPr="00E06A5E">
        <w:rPr>
          <w:sz w:val="24"/>
          <w:szCs w:val="24"/>
        </w:rPr>
        <w:t xml:space="preserve"> S256914 </w:t>
      </w:r>
    </w:p>
    <w:p w:rsidR="00E06A5E" w:rsidRPr="00E06A5E" w:rsidP="00E06A5E" w14:paraId="69EEB215" w14:textId="77777777">
      <w:pPr>
        <w:spacing w:after="0" w:line="240" w:lineRule="auto"/>
        <w:jc w:val="left"/>
        <w:rPr>
          <w:bCs/>
          <w:sz w:val="24"/>
          <w:szCs w:val="24"/>
        </w:rPr>
      </w:pPr>
      <w:r w:rsidRPr="00E06A5E">
        <w:rPr>
          <w:b/>
          <w:sz w:val="24"/>
          <w:szCs w:val="24"/>
        </w:rPr>
        <w:t>Date Filed:</w:t>
      </w:r>
      <w:r w:rsidRPr="00E06A5E">
        <w:rPr>
          <w:sz w:val="24"/>
          <w:szCs w:val="24"/>
        </w:rPr>
        <w:t xml:space="preserve"> June 28, 2021</w:t>
      </w:r>
    </w:p>
    <w:p w:rsidR="00E06A5E" w:rsidRPr="00E06A5E" w:rsidP="00E06A5E" w14:paraId="0532AE1E" w14:textId="77777777">
      <w:pPr>
        <w:spacing w:after="0" w:line="240" w:lineRule="auto"/>
        <w:jc w:val="left"/>
        <w:rPr>
          <w:b/>
          <w:sz w:val="24"/>
          <w:szCs w:val="24"/>
        </w:rPr>
      </w:pPr>
      <w:r w:rsidRPr="00E06A5E">
        <w:rPr>
          <w:b/>
          <w:sz w:val="24"/>
          <w:szCs w:val="24"/>
        </w:rPr>
        <w:t xml:space="preserve">__________________________________________________________________ </w:t>
      </w:r>
    </w:p>
    <w:p w:rsidR="00E06A5E" w:rsidRPr="00E06A5E" w:rsidP="00E06A5E" w14:paraId="044E6A40" w14:textId="77777777">
      <w:pPr>
        <w:spacing w:after="0" w:line="240" w:lineRule="auto"/>
        <w:jc w:val="left"/>
        <w:rPr>
          <w:b/>
          <w:sz w:val="24"/>
          <w:szCs w:val="24"/>
        </w:rPr>
      </w:pPr>
    </w:p>
    <w:p w:rsidR="00E06A5E" w:rsidRPr="00E06A5E" w:rsidP="00E06A5E" w14:paraId="4F4ED950" w14:textId="77777777">
      <w:pPr>
        <w:spacing w:after="0" w:line="240" w:lineRule="auto"/>
        <w:jc w:val="left"/>
        <w:rPr>
          <w:bCs/>
          <w:sz w:val="24"/>
          <w:szCs w:val="24"/>
        </w:rPr>
      </w:pPr>
      <w:r w:rsidRPr="00E06A5E">
        <w:rPr>
          <w:b/>
          <w:sz w:val="24"/>
          <w:szCs w:val="24"/>
        </w:rPr>
        <w:t xml:space="preserve">Court:  </w:t>
      </w:r>
      <w:r w:rsidRPr="00E06A5E">
        <w:rPr>
          <w:bCs/>
          <w:sz w:val="24"/>
          <w:szCs w:val="24"/>
        </w:rPr>
        <w:t>Superior</w:t>
      </w:r>
      <w:r w:rsidRPr="00E06A5E">
        <w:rPr>
          <w:b/>
          <w:sz w:val="24"/>
          <w:szCs w:val="24"/>
        </w:rPr>
        <w:t xml:space="preserve">   </w:t>
      </w:r>
    </w:p>
    <w:p w:rsidR="00E06A5E" w:rsidRPr="00E06A5E" w:rsidP="00E06A5E" w14:paraId="1EF3B785" w14:textId="77777777">
      <w:pPr>
        <w:spacing w:after="0" w:line="240" w:lineRule="auto"/>
        <w:jc w:val="left"/>
        <w:rPr>
          <w:bCs/>
          <w:sz w:val="24"/>
          <w:szCs w:val="24"/>
        </w:rPr>
      </w:pPr>
      <w:r w:rsidRPr="00E06A5E">
        <w:rPr>
          <w:b/>
          <w:sz w:val="24"/>
          <w:szCs w:val="24"/>
        </w:rPr>
        <w:t xml:space="preserve">County:  </w:t>
      </w:r>
      <w:r w:rsidRPr="00E06A5E">
        <w:rPr>
          <w:bCs/>
          <w:sz w:val="24"/>
          <w:szCs w:val="24"/>
        </w:rPr>
        <w:t>Alameda</w:t>
      </w:r>
      <w:r w:rsidRPr="00E06A5E">
        <w:rPr>
          <w:b/>
          <w:sz w:val="24"/>
          <w:szCs w:val="24"/>
        </w:rPr>
        <w:t xml:space="preserve">  </w:t>
      </w:r>
      <w:r w:rsidRPr="00E06A5E">
        <w:rPr>
          <w:bCs/>
          <w:sz w:val="24"/>
          <w:szCs w:val="24"/>
        </w:rPr>
        <w:t xml:space="preserve"> </w:t>
      </w:r>
    </w:p>
    <w:p w:rsidR="00E06A5E" w:rsidRPr="00E06A5E" w:rsidP="00E06A5E" w14:paraId="06D41A8C" w14:textId="77777777">
      <w:pPr>
        <w:spacing w:after="0" w:line="240" w:lineRule="auto"/>
        <w:ind w:left="720" w:hanging="720"/>
        <w:jc w:val="left"/>
        <w:rPr>
          <w:bCs/>
          <w:sz w:val="24"/>
          <w:szCs w:val="24"/>
        </w:rPr>
      </w:pPr>
      <w:r w:rsidRPr="00E06A5E">
        <w:rPr>
          <w:b/>
          <w:sz w:val="24"/>
          <w:szCs w:val="24"/>
        </w:rPr>
        <w:t xml:space="preserve">Judge:  </w:t>
      </w:r>
      <w:r w:rsidRPr="00E06A5E">
        <w:rPr>
          <w:bCs/>
          <w:sz w:val="24"/>
          <w:szCs w:val="24"/>
        </w:rPr>
        <w:t>C. Don Clay</w:t>
      </w:r>
      <w:r w:rsidRPr="00E06A5E">
        <w:rPr>
          <w:b/>
          <w:sz w:val="24"/>
          <w:szCs w:val="24"/>
        </w:rPr>
        <w:t xml:space="preserve">  </w:t>
      </w:r>
      <w:r w:rsidRPr="00E06A5E">
        <w:rPr>
          <w:bCs/>
          <w:sz w:val="24"/>
          <w:szCs w:val="24"/>
        </w:rPr>
        <w:t xml:space="preserve"> </w:t>
      </w:r>
    </w:p>
    <w:p w:rsidR="00E06A5E" w:rsidRPr="00E06A5E" w:rsidP="00E06A5E" w14:paraId="120B2D4D" w14:textId="77777777">
      <w:pPr>
        <w:spacing w:after="0" w:line="240" w:lineRule="auto"/>
        <w:jc w:val="left"/>
        <w:rPr>
          <w:b/>
          <w:sz w:val="24"/>
          <w:szCs w:val="24"/>
        </w:rPr>
      </w:pPr>
      <w:r w:rsidRPr="00E06A5E">
        <w:rPr>
          <w:b/>
          <w:sz w:val="24"/>
          <w:szCs w:val="24"/>
        </w:rPr>
        <w:t xml:space="preserve">__________________________________________________________________ </w:t>
      </w:r>
    </w:p>
    <w:p w:rsidR="00E06A5E" w:rsidRPr="00E06A5E" w:rsidP="00E06A5E" w14:paraId="51D59E8A" w14:textId="77777777">
      <w:pPr>
        <w:spacing w:after="0" w:line="240" w:lineRule="auto"/>
        <w:jc w:val="left"/>
        <w:rPr>
          <w:b/>
          <w:sz w:val="24"/>
          <w:szCs w:val="24"/>
        </w:rPr>
      </w:pPr>
    </w:p>
    <w:p w:rsidR="00E06A5E" w:rsidRPr="00E06A5E" w:rsidP="00E06A5E" w14:paraId="0B2FFD7C" w14:textId="77777777">
      <w:pPr>
        <w:spacing w:after="0" w:line="240" w:lineRule="auto"/>
        <w:jc w:val="left"/>
        <w:rPr>
          <w:b/>
          <w:sz w:val="24"/>
          <w:szCs w:val="24"/>
        </w:rPr>
      </w:pPr>
      <w:r w:rsidRPr="00E06A5E">
        <w:rPr>
          <w:b/>
          <w:sz w:val="24"/>
          <w:szCs w:val="24"/>
        </w:rPr>
        <w:t>Counsel:</w:t>
      </w:r>
    </w:p>
    <w:p w:rsidR="00E06A5E" w:rsidRPr="00E06A5E" w:rsidP="00E06A5E" w14:paraId="4B1C405C" w14:textId="77777777">
      <w:pPr>
        <w:spacing w:after="0" w:line="240" w:lineRule="auto"/>
        <w:jc w:val="left"/>
        <w:rPr>
          <w:b/>
          <w:sz w:val="24"/>
          <w:szCs w:val="24"/>
        </w:rPr>
      </w:pPr>
    </w:p>
    <w:p w:rsidR="00E06A5E" w:rsidRPr="00E06A5E" w:rsidP="00E06A5E" w14:paraId="15DDD9BF" w14:textId="77777777">
      <w:pPr>
        <w:spacing w:after="0" w:line="240" w:lineRule="auto"/>
        <w:jc w:val="left"/>
        <w:rPr>
          <w:bCs/>
          <w:sz w:val="24"/>
          <w:szCs w:val="24"/>
        </w:rPr>
      </w:pPr>
      <w:r w:rsidRPr="00E06A5E">
        <w:rPr>
          <w:bCs/>
          <w:sz w:val="24"/>
          <w:szCs w:val="24"/>
        </w:rPr>
        <w:t>Jon M. Sands, Federal Public Defender, Lindsey Layer and Stanley Molever, Assistant Federal Public Defenders, for Petitioner Jack Wayne Friend.</w:t>
      </w:r>
    </w:p>
    <w:p w:rsidR="00E06A5E" w:rsidRPr="00E06A5E" w:rsidP="00E06A5E" w14:paraId="7AF7436F" w14:textId="77777777">
      <w:pPr>
        <w:spacing w:after="0" w:line="240" w:lineRule="auto"/>
        <w:jc w:val="left"/>
        <w:rPr>
          <w:bCs/>
          <w:sz w:val="24"/>
          <w:szCs w:val="24"/>
        </w:rPr>
      </w:pPr>
    </w:p>
    <w:p w:rsidR="00E06A5E" w:rsidRPr="00E06A5E" w:rsidP="00E06A5E" w14:paraId="7AE2EB5D" w14:textId="77777777">
      <w:pPr>
        <w:spacing w:after="0" w:line="240" w:lineRule="auto"/>
        <w:jc w:val="left"/>
        <w:rPr>
          <w:bCs/>
          <w:sz w:val="24"/>
          <w:szCs w:val="24"/>
        </w:rPr>
      </w:pPr>
      <w:r w:rsidRPr="00E06A5E">
        <w:rPr>
          <w:bCs/>
          <w:sz w:val="24"/>
          <w:szCs w:val="24"/>
        </w:rPr>
        <w:t>Cuauhtemoc Ortega</w:t>
      </w:r>
      <w:r w:rsidRPr="00E06A5E">
        <w:rPr>
          <w:bCs/>
          <w:color w:val="000000"/>
          <w:sz w:val="24"/>
          <w:szCs w:val="24"/>
        </w:rPr>
        <w:t>, Interim Federal Public Defender (Central Dist. of Cal.),</w:t>
      </w:r>
      <w:r w:rsidRPr="00E06A5E">
        <w:rPr>
          <w:bCs/>
          <w:color w:val="FF0000"/>
          <w:sz w:val="24"/>
          <w:szCs w:val="24"/>
        </w:rPr>
        <w:t xml:space="preserve"> </w:t>
      </w:r>
      <w:r w:rsidRPr="00E06A5E">
        <w:rPr>
          <w:bCs/>
          <w:sz w:val="24"/>
          <w:szCs w:val="24"/>
        </w:rPr>
        <w:t xml:space="preserve">and Heather Williams, </w:t>
      </w:r>
      <w:r w:rsidRPr="00E06A5E">
        <w:rPr>
          <w:bCs/>
          <w:color w:val="000000"/>
          <w:sz w:val="24"/>
          <w:szCs w:val="24"/>
        </w:rPr>
        <w:t>Federal Public Defender (Eastern Dist. of Cal.),</w:t>
      </w:r>
      <w:r w:rsidRPr="00E06A5E">
        <w:rPr>
          <w:bCs/>
          <w:color w:val="FF0000"/>
          <w:sz w:val="24"/>
          <w:szCs w:val="24"/>
        </w:rPr>
        <w:t xml:space="preserve"> </w:t>
      </w:r>
      <w:r w:rsidRPr="00E06A5E">
        <w:rPr>
          <w:bCs/>
          <w:sz w:val="24"/>
          <w:szCs w:val="24"/>
        </w:rPr>
        <w:t xml:space="preserve">as Amici Curiae on behalf of Petitioner Jack Wayne Friend. </w:t>
      </w:r>
    </w:p>
    <w:p w:rsidR="00E06A5E" w:rsidRPr="00E06A5E" w:rsidP="00E06A5E" w14:paraId="6E6C3A4E" w14:textId="77777777">
      <w:pPr>
        <w:spacing w:after="0" w:line="240" w:lineRule="auto"/>
        <w:jc w:val="left"/>
        <w:rPr>
          <w:bCs/>
          <w:sz w:val="24"/>
          <w:szCs w:val="24"/>
        </w:rPr>
      </w:pPr>
    </w:p>
    <w:p w:rsidR="00E06A5E" w:rsidRPr="00E06A5E" w:rsidP="00E06A5E" w14:paraId="4905B55A" w14:textId="77777777">
      <w:pPr>
        <w:spacing w:after="0" w:line="240" w:lineRule="auto"/>
        <w:jc w:val="left"/>
        <w:rPr>
          <w:bCs/>
          <w:sz w:val="24"/>
          <w:szCs w:val="24"/>
        </w:rPr>
      </w:pPr>
      <w:r w:rsidRPr="00E06A5E">
        <w:rPr>
          <w:bCs/>
          <w:sz w:val="24"/>
          <w:szCs w:val="24"/>
        </w:rPr>
        <w:t>Gibson, Dunn &amp; Crutcher, Kelsey John Helland, Viola H. Li, Zhen He Tan, Theane Evangelis, Ilissa Samplin, Michael Holecek and Shaun Mathur for Attorneys for Constitutional Law as Amici Curiae on behalf of Petitioner Jack Wayne Friend.</w:t>
      </w:r>
    </w:p>
    <w:p w:rsidR="00E06A5E" w:rsidRPr="00E06A5E" w:rsidP="00E06A5E" w14:paraId="7B0B10A3" w14:textId="77777777">
      <w:pPr>
        <w:spacing w:after="0" w:line="240" w:lineRule="auto"/>
        <w:jc w:val="left"/>
        <w:rPr>
          <w:bCs/>
          <w:sz w:val="24"/>
          <w:szCs w:val="24"/>
        </w:rPr>
      </w:pPr>
    </w:p>
    <w:p w:rsidR="00E06A5E" w:rsidRPr="00E06A5E" w:rsidP="00E06A5E" w14:paraId="728A4056" w14:textId="77777777">
      <w:pPr>
        <w:spacing w:after="0" w:line="240" w:lineRule="auto"/>
        <w:jc w:val="left"/>
        <w:rPr>
          <w:bCs/>
          <w:sz w:val="24"/>
          <w:szCs w:val="24"/>
        </w:rPr>
      </w:pPr>
      <w:r w:rsidRPr="00E06A5E">
        <w:rPr>
          <w:bCs/>
          <w:sz w:val="24"/>
          <w:szCs w:val="24"/>
        </w:rPr>
        <w:t>Xavier Becerra, Attorney General, Michael J. Mongan, State Solicitor General, Lance Winters, Chief Assistant Attorney General, James William Bilderback II, Assistant Attorney General, Helen H. Hong, Deputy State Solicitor General, and Alice B. Lustre, Deputy Attorney General, for Respondent California Department of Corrections and Rehabilitation.</w:t>
      </w:r>
    </w:p>
    <w:p w:rsidR="00E06A5E" w:rsidRPr="00E06A5E" w:rsidP="00E06A5E" w14:paraId="3CD31EA6" w14:textId="77777777">
      <w:pPr>
        <w:spacing w:after="0" w:line="240" w:lineRule="auto"/>
        <w:jc w:val="left"/>
        <w:rPr>
          <w:bCs/>
          <w:sz w:val="24"/>
          <w:szCs w:val="24"/>
        </w:rPr>
      </w:pPr>
    </w:p>
    <w:p w:rsidR="00E06A5E" w:rsidRPr="00E06A5E" w:rsidP="00E06A5E" w14:paraId="0A4BA671" w14:textId="77777777">
      <w:pPr>
        <w:spacing w:after="0" w:line="240" w:lineRule="auto"/>
        <w:jc w:val="left"/>
        <w:rPr>
          <w:bCs/>
          <w:sz w:val="24"/>
          <w:szCs w:val="24"/>
        </w:rPr>
      </w:pPr>
      <w:r w:rsidRPr="00E06A5E">
        <w:rPr>
          <w:bCs/>
          <w:sz w:val="24"/>
          <w:szCs w:val="24"/>
        </w:rPr>
        <w:t>Kent S. Scheidegger and Kymberlee C. Stapleton for Criminal Justice Legal Foundation as Amicus Curiae.</w:t>
      </w:r>
    </w:p>
    <w:p w:rsidR="00E06A5E" w:rsidRPr="00E06A5E" w:rsidP="00E06A5E" w14:paraId="133CF241" w14:textId="77777777">
      <w:pPr>
        <w:spacing w:after="0" w:line="240" w:lineRule="auto"/>
        <w:jc w:val="left"/>
        <w:rPr>
          <w:b/>
          <w:sz w:val="24"/>
          <w:szCs w:val="24"/>
        </w:rPr>
      </w:pPr>
      <w:r w:rsidRPr="00E06A5E">
        <w:rPr>
          <w:b/>
          <w:sz w:val="24"/>
          <w:szCs w:val="24"/>
        </w:rPr>
        <w:br w:type="page"/>
      </w:r>
    </w:p>
    <w:p w:rsidR="00E06A5E" w:rsidRPr="00E06A5E" w:rsidP="00E06A5E" w14:paraId="242659BE" w14:textId="77777777">
      <w:pPr>
        <w:spacing w:after="0" w:line="240" w:lineRule="auto"/>
        <w:jc w:val="left"/>
        <w:rPr>
          <w:b/>
          <w:sz w:val="24"/>
          <w:szCs w:val="24"/>
        </w:rPr>
      </w:pPr>
      <w:r w:rsidRPr="00E06A5E">
        <w:rPr>
          <w:b/>
          <w:sz w:val="24"/>
          <w:szCs w:val="24"/>
        </w:rPr>
        <w:t>Counsel who argued in Supreme Court (not intended for publication with opinion):</w:t>
      </w:r>
    </w:p>
    <w:p w:rsidR="00E06A5E" w:rsidRPr="00E06A5E" w:rsidP="00E06A5E" w14:paraId="6E4D955A" w14:textId="77777777">
      <w:pPr>
        <w:spacing w:after="0" w:line="240" w:lineRule="auto"/>
        <w:jc w:val="left"/>
        <w:rPr>
          <w:b/>
          <w:sz w:val="24"/>
          <w:szCs w:val="24"/>
        </w:rPr>
      </w:pPr>
    </w:p>
    <w:p w:rsidR="00E06A5E" w:rsidRPr="00E06A5E" w:rsidP="00E06A5E" w14:paraId="31679AE7" w14:textId="77777777">
      <w:pPr>
        <w:spacing w:after="0" w:line="240" w:lineRule="auto"/>
        <w:jc w:val="left"/>
        <w:rPr>
          <w:sz w:val="24"/>
          <w:szCs w:val="24"/>
        </w:rPr>
      </w:pPr>
      <w:r w:rsidRPr="00E06A5E">
        <w:rPr>
          <w:sz w:val="24"/>
          <w:szCs w:val="24"/>
        </w:rPr>
        <w:t>Lindsey Layer</w:t>
      </w:r>
    </w:p>
    <w:p w:rsidR="00E06A5E" w:rsidRPr="00E06A5E" w:rsidP="00E06A5E" w14:paraId="6EAE5779" w14:textId="77777777">
      <w:pPr>
        <w:spacing w:after="0" w:line="240" w:lineRule="auto"/>
        <w:jc w:val="left"/>
        <w:rPr>
          <w:sz w:val="24"/>
          <w:szCs w:val="24"/>
        </w:rPr>
      </w:pPr>
      <w:r w:rsidRPr="00E06A5E">
        <w:rPr>
          <w:sz w:val="24"/>
          <w:szCs w:val="24"/>
        </w:rPr>
        <w:t>Federal Public Defender</w:t>
      </w:r>
    </w:p>
    <w:p w:rsidR="00E06A5E" w:rsidRPr="00E06A5E" w:rsidP="00E06A5E" w14:paraId="315EA8B5" w14:textId="77777777">
      <w:pPr>
        <w:spacing w:after="0" w:line="240" w:lineRule="auto"/>
        <w:jc w:val="left"/>
        <w:rPr>
          <w:sz w:val="24"/>
          <w:szCs w:val="24"/>
        </w:rPr>
      </w:pPr>
      <w:r w:rsidRPr="00E06A5E">
        <w:rPr>
          <w:sz w:val="24"/>
          <w:szCs w:val="24"/>
        </w:rPr>
        <w:t>850 West Adams St,, Suite 201</w:t>
      </w:r>
    </w:p>
    <w:p w:rsidR="00E06A5E" w:rsidRPr="00E06A5E" w:rsidP="00E06A5E" w14:paraId="177AE306" w14:textId="77777777">
      <w:pPr>
        <w:spacing w:after="0" w:line="240" w:lineRule="auto"/>
        <w:jc w:val="left"/>
        <w:rPr>
          <w:sz w:val="24"/>
          <w:szCs w:val="24"/>
        </w:rPr>
      </w:pPr>
      <w:r w:rsidRPr="00E06A5E">
        <w:rPr>
          <w:sz w:val="24"/>
          <w:szCs w:val="24"/>
        </w:rPr>
        <w:t>Phoenix, AZ 85007</w:t>
      </w:r>
    </w:p>
    <w:p w:rsidR="00E06A5E" w:rsidRPr="00E06A5E" w:rsidP="00E06A5E" w14:paraId="60642AA7" w14:textId="77777777">
      <w:pPr>
        <w:spacing w:after="0" w:line="240" w:lineRule="auto"/>
        <w:jc w:val="left"/>
        <w:rPr>
          <w:sz w:val="24"/>
          <w:szCs w:val="24"/>
        </w:rPr>
      </w:pPr>
      <w:r w:rsidRPr="00E06A5E">
        <w:rPr>
          <w:sz w:val="24"/>
          <w:szCs w:val="24"/>
        </w:rPr>
        <w:t>(602) 390-3125</w:t>
      </w:r>
    </w:p>
    <w:p w:rsidR="00E06A5E" w:rsidRPr="00E06A5E" w:rsidP="00E06A5E" w14:paraId="7DC541D3" w14:textId="77777777">
      <w:pPr>
        <w:spacing w:after="0" w:line="240" w:lineRule="auto"/>
        <w:jc w:val="left"/>
        <w:rPr>
          <w:sz w:val="24"/>
          <w:szCs w:val="24"/>
        </w:rPr>
      </w:pPr>
    </w:p>
    <w:p w:rsidR="00E06A5E" w:rsidRPr="00E06A5E" w:rsidP="00E06A5E" w14:paraId="137B30D8" w14:textId="77777777">
      <w:pPr>
        <w:spacing w:after="0" w:line="240" w:lineRule="auto"/>
        <w:jc w:val="left"/>
        <w:rPr>
          <w:sz w:val="24"/>
          <w:szCs w:val="24"/>
        </w:rPr>
      </w:pPr>
      <w:r w:rsidRPr="00E06A5E">
        <w:rPr>
          <w:sz w:val="24"/>
          <w:szCs w:val="24"/>
        </w:rPr>
        <w:t>Helen H. Hong</w:t>
      </w:r>
    </w:p>
    <w:p w:rsidR="00E06A5E" w:rsidRPr="00E06A5E" w:rsidP="00E06A5E" w14:paraId="780D853D" w14:textId="77777777">
      <w:pPr>
        <w:spacing w:after="0" w:line="240" w:lineRule="auto"/>
        <w:jc w:val="left"/>
        <w:rPr>
          <w:sz w:val="24"/>
          <w:szCs w:val="24"/>
        </w:rPr>
      </w:pPr>
      <w:r w:rsidRPr="00E06A5E">
        <w:rPr>
          <w:bCs/>
          <w:sz w:val="24"/>
          <w:szCs w:val="24"/>
        </w:rPr>
        <w:t>Deputy State Solicitor General</w:t>
      </w:r>
    </w:p>
    <w:p w:rsidR="00E06A5E" w:rsidRPr="00E06A5E" w:rsidP="00E06A5E" w14:paraId="39BD6CE5" w14:textId="77777777">
      <w:pPr>
        <w:spacing w:after="0" w:line="240" w:lineRule="auto"/>
        <w:jc w:val="left"/>
        <w:rPr>
          <w:sz w:val="24"/>
          <w:szCs w:val="24"/>
        </w:rPr>
      </w:pPr>
      <w:r w:rsidRPr="00E06A5E">
        <w:rPr>
          <w:sz w:val="24"/>
          <w:szCs w:val="24"/>
        </w:rPr>
        <w:t>600 West Broadway St.</w:t>
      </w:r>
    </w:p>
    <w:p w:rsidR="00E06A5E" w:rsidRPr="00E06A5E" w:rsidP="00E06A5E" w14:paraId="33077139" w14:textId="77777777">
      <w:pPr>
        <w:spacing w:after="0" w:line="240" w:lineRule="auto"/>
        <w:jc w:val="left"/>
        <w:rPr>
          <w:sz w:val="24"/>
          <w:szCs w:val="24"/>
        </w:rPr>
      </w:pPr>
      <w:r w:rsidRPr="00E06A5E">
        <w:rPr>
          <w:sz w:val="24"/>
          <w:szCs w:val="24"/>
        </w:rPr>
        <w:t>San Diego, CA 92101</w:t>
      </w:r>
    </w:p>
    <w:p w:rsidR="00E06A5E" w:rsidRPr="00E06A5E" w:rsidP="00E06A5E" w14:paraId="3F8F5DFD" w14:textId="77777777">
      <w:pPr>
        <w:spacing w:after="0" w:line="240" w:lineRule="auto"/>
        <w:jc w:val="left"/>
        <w:rPr>
          <w:sz w:val="24"/>
          <w:szCs w:val="24"/>
        </w:rPr>
      </w:pPr>
      <w:r w:rsidRPr="00E06A5E">
        <w:rPr>
          <w:sz w:val="24"/>
          <w:szCs w:val="24"/>
        </w:rPr>
        <w:t>(619) 783-9693</w:t>
      </w:r>
    </w:p>
    <w:p w:rsidR="00E06A5E" w:rsidRPr="00E06A5E" w:rsidP="00E06A5E" w14:paraId="7A159B48" w14:textId="77777777">
      <w:pPr>
        <w:spacing w:after="0" w:line="240" w:lineRule="auto"/>
        <w:jc w:val="left"/>
        <w:rPr>
          <w:sz w:val="24"/>
          <w:szCs w:val="24"/>
        </w:rPr>
      </w:pPr>
    </w:p>
    <w:p w:rsidR="00E06A5E" w:rsidRPr="00E06A5E" w:rsidP="00E06A5E" w14:paraId="29F31A56" w14:textId="77777777">
      <w:pPr>
        <w:spacing w:after="0" w:line="240" w:lineRule="auto"/>
        <w:jc w:val="left"/>
        <w:rPr>
          <w:sz w:val="24"/>
          <w:szCs w:val="24"/>
        </w:rPr>
      </w:pPr>
      <w:r w:rsidRPr="00E06A5E">
        <w:rPr>
          <w:sz w:val="24"/>
          <w:szCs w:val="24"/>
        </w:rPr>
        <w:t>Kent S. Scheidegger</w:t>
      </w:r>
    </w:p>
    <w:p w:rsidR="00E06A5E" w:rsidRPr="00E06A5E" w:rsidP="00E06A5E" w14:paraId="6E460E69" w14:textId="77777777">
      <w:pPr>
        <w:spacing w:after="0" w:line="240" w:lineRule="auto"/>
        <w:jc w:val="left"/>
        <w:rPr>
          <w:sz w:val="24"/>
          <w:szCs w:val="24"/>
        </w:rPr>
      </w:pPr>
      <w:r w:rsidRPr="00E06A5E">
        <w:rPr>
          <w:sz w:val="24"/>
          <w:szCs w:val="24"/>
        </w:rPr>
        <w:t>Criminal Justice Legal Foundation</w:t>
      </w:r>
    </w:p>
    <w:p w:rsidR="00E06A5E" w:rsidRPr="00E06A5E" w:rsidP="00E06A5E" w14:paraId="10A3C2B1" w14:textId="77777777">
      <w:pPr>
        <w:spacing w:after="0" w:line="240" w:lineRule="auto"/>
        <w:jc w:val="left"/>
        <w:rPr>
          <w:sz w:val="24"/>
          <w:szCs w:val="24"/>
        </w:rPr>
      </w:pPr>
      <w:r w:rsidRPr="00E06A5E">
        <w:rPr>
          <w:sz w:val="24"/>
          <w:szCs w:val="24"/>
        </w:rPr>
        <w:t>2131 L. Street</w:t>
      </w:r>
    </w:p>
    <w:p w:rsidR="00E06A5E" w:rsidRPr="00E06A5E" w:rsidP="00E06A5E" w14:paraId="7570AD2E" w14:textId="77777777">
      <w:pPr>
        <w:spacing w:after="0" w:line="240" w:lineRule="auto"/>
        <w:jc w:val="left"/>
        <w:rPr>
          <w:sz w:val="24"/>
          <w:szCs w:val="24"/>
        </w:rPr>
      </w:pPr>
      <w:r w:rsidRPr="00E06A5E">
        <w:rPr>
          <w:sz w:val="24"/>
          <w:szCs w:val="24"/>
        </w:rPr>
        <w:t>Sacramento, CA 95816</w:t>
      </w:r>
    </w:p>
    <w:p w:rsidR="00E06A5E" w:rsidRPr="00E06A5E" w:rsidP="00E06A5E" w14:paraId="7EB0B658" w14:textId="77777777">
      <w:pPr>
        <w:spacing w:after="0" w:line="240" w:lineRule="auto"/>
        <w:jc w:val="left"/>
        <w:rPr>
          <w:sz w:val="24"/>
          <w:szCs w:val="24"/>
        </w:rPr>
      </w:pPr>
      <w:r w:rsidRPr="00E06A5E">
        <w:rPr>
          <w:sz w:val="24"/>
          <w:szCs w:val="24"/>
        </w:rPr>
        <w:t xml:space="preserve">(916) 446-0345  </w:t>
      </w:r>
    </w:p>
    <w:p w:rsidR="00E06A5E" w:rsidRPr="007B6D67" w:rsidP="002E0468" w14:paraId="2A53DA92" w14:textId="67F6C7FF">
      <w:pPr>
        <w:pStyle w:val="Text"/>
        <w:spacing w:after="0" w:line="240" w:lineRule="auto"/>
        <w:ind w:firstLine="0"/>
        <w:rPr>
          <w:b/>
          <w:bCs/>
        </w:rPr>
      </w:pPr>
    </w:p>
    <w:sectPr w:rsidSect="00FD2AA6">
      <w:headerReference w:type="even" r:id="rId11"/>
      <w:headerReference w:type="default" r:id="rId12"/>
      <w:footerReference w:type="even" r:id="rId13"/>
      <w:footerReference w:type="default" r:id="rId14"/>
      <w:headerReference w:type="first" r:id="rId15"/>
      <w:footerReference w:type="first" r:id="rId16"/>
      <w:pgSz w:w="12240" w:h="15840"/>
      <w:pgMar w:top="1800" w:right="216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1029919"/>
      <w:docPartObj>
        <w:docPartGallery w:val="Page Numbers (Bottom of Page)"/>
        <w:docPartUnique/>
      </w:docPartObj>
    </w:sdtPr>
    <w:sdtEndPr>
      <w:rPr>
        <w:noProof/>
      </w:rPr>
    </w:sdtEndPr>
    <w:sdtContent>
      <w:p w:rsidR="007B6D67" w14:paraId="22437C09" w14:textId="77777777">
        <w:pPr>
          <w:pStyle w:val="Footer"/>
        </w:pPr>
        <w:r>
          <w:fldChar w:fldCharType="begin"/>
        </w:r>
        <w:r>
          <w:instrText xml:space="preserve"> PAGE   \* MERGEFORMAT </w:instrText>
        </w:r>
        <w:r>
          <w:fldChar w:fldCharType="separate"/>
        </w:r>
        <w:r>
          <w:rPr>
            <w:noProof/>
          </w:rPr>
          <w:t>2</w:t>
        </w:r>
        <w:r>
          <w:rPr>
            <w:noProof/>
          </w:rPr>
          <w:fldChar w:fldCharType="end"/>
        </w:r>
      </w:p>
    </w:sdtContent>
  </w:sdt>
  <w:p w:rsidR="007B6D67" w14:paraId="11FA28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D67" w14:paraId="3EBADAE1" w14:textId="77777777">
    <w:pPr>
      <w:pStyle w:val="Footer"/>
    </w:pPr>
  </w:p>
  <w:p w:rsidR="007B6D67" w14:paraId="216BB9E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D67" w14:paraId="54B7A74B" w14:textId="77777777">
    <w:pPr>
      <w:pStyle w:val="Footer"/>
    </w:pPr>
    <w: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6D25" w14:paraId="71B5381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6D25" w14:paraId="47B1EB79"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6D25" w14:paraId="73E0EDC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694D" w14:paraId="7AD97987" w14:textId="77777777">
      <w:r>
        <w:separator/>
      </w:r>
    </w:p>
  </w:footnote>
  <w:footnote w:type="continuationSeparator" w:id="1">
    <w:p w:rsidR="0046694D" w14:paraId="2F8F6C2B" w14:textId="77777777">
      <w:pPr>
        <w:rPr>
          <w:sz w:val="22"/>
        </w:rPr>
      </w:pPr>
      <w:r>
        <w:continuationSeparator/>
      </w:r>
    </w:p>
  </w:footnote>
  <w:footnote w:type="continuationNotice" w:id="2">
    <w:p w:rsidR="0046694D" w14:paraId="1B7278DD" w14:textId="77777777">
      <w:pPr>
        <w:jc w:val="right"/>
        <w:rPr>
          <w:i/>
          <w:sz w:val="20"/>
        </w:rPr>
      </w:pPr>
    </w:p>
  </w:footnote>
  <w:footnote w:id="3">
    <w:p w:rsidR="006E6B16" w:rsidP="007B6D67" w14:paraId="5AB373FD" w14:textId="4DC084A7">
      <w:pPr>
        <w:pStyle w:val="FootnoteText"/>
      </w:pPr>
      <w:r w:rsidRPr="00C50609">
        <w:rPr>
          <w:rStyle w:val="FootnoteReference"/>
          <w:rFonts w:ascii="Times New Roman Bold" w:hAnsi="Times New Roman Bold"/>
        </w:rPr>
        <w:footnoteRef/>
      </w:r>
      <w:r>
        <w:t xml:space="preserve"> </w:t>
      </w:r>
      <w:r>
        <w:tab/>
      </w:r>
      <w:r>
        <w:rPr>
          <w:szCs w:val="26"/>
        </w:rPr>
        <w:t xml:space="preserve">As identified in Friend’s present habeas petition, the six unexhausted claims concern:  1.  Discriminatory use of peremptory challenges by the prosecutor; 2.  Ineffective assistance of trial counsel in jury selection and investigation of evidence for trial; 3.  Unconstitutionality of imposing the death penalty due to petitioner’s organic brain damage; 4.  Denial of due process in the participation of Justices Chin and Corrigan in prior proceedings in this court; 5.  Introduction of statements taken by police in violation of </w:t>
      </w:r>
      <w:r>
        <w:rPr>
          <w:i/>
          <w:iCs/>
          <w:szCs w:val="26"/>
        </w:rPr>
        <w:t>Miranda</w:t>
      </w:r>
      <w:r>
        <w:rPr>
          <w:szCs w:val="26"/>
        </w:rPr>
        <w:t xml:space="preserve"> </w:t>
      </w:r>
      <w:r>
        <w:rPr>
          <w:i/>
          <w:iCs/>
          <w:szCs w:val="26"/>
        </w:rPr>
        <w:t xml:space="preserve">v. </w:t>
      </w:r>
      <w:r w:rsidRPr="00C30F1F">
        <w:rPr>
          <w:i/>
          <w:iCs/>
          <w:szCs w:val="26"/>
        </w:rPr>
        <w:t>Arizona</w:t>
      </w:r>
      <w:r>
        <w:rPr>
          <w:szCs w:val="26"/>
        </w:rPr>
        <w:t xml:space="preserve"> (1966) 384 U.S. 436; and 6.  Ineffective assistance of appellate counsel in failing to raise the </w:t>
      </w:r>
      <w:r>
        <w:rPr>
          <w:i/>
          <w:iCs/>
          <w:szCs w:val="26"/>
        </w:rPr>
        <w:t>Miranda</w:t>
      </w:r>
      <w:r>
        <w:rPr>
          <w:szCs w:val="26"/>
        </w:rPr>
        <w:t xml:space="preserve"> claim on direct appeal.  </w:t>
      </w:r>
    </w:p>
  </w:footnote>
  <w:footnote w:id="4">
    <w:p w:rsidR="006E6B16" w:rsidP="007B6D67" w14:paraId="0E2A824C" w14:textId="77777777">
      <w:pPr>
        <w:pStyle w:val="FootnoteText"/>
      </w:pPr>
      <w:r>
        <w:rPr>
          <w:rStyle w:val="FootnoteReference"/>
        </w:rPr>
        <w:footnoteRef/>
      </w:r>
      <w:r>
        <w:t xml:space="preserve"> </w:t>
      </w:r>
      <w:r>
        <w:tab/>
        <w:t xml:space="preserve">Penal Code section 1509 provides in full:  </w:t>
      </w:r>
    </w:p>
    <w:p w:rsidR="006E6B16" w:rsidRPr="00055C83" w:rsidP="007B6D67" w14:paraId="0FD559B5" w14:textId="77777777">
      <w:pPr>
        <w:pStyle w:val="FootnoteText"/>
        <w:ind w:firstLine="720"/>
        <w:rPr>
          <w:szCs w:val="26"/>
        </w:rPr>
      </w:pPr>
      <w:r>
        <w:rPr>
          <w:szCs w:val="26"/>
        </w:rPr>
        <w:t>“</w:t>
      </w:r>
      <w:r w:rsidRPr="00055C83">
        <w:rPr>
          <w:szCs w:val="26"/>
        </w:rPr>
        <w:t>(a) This section applies to any petition for writ of habeas corpus filed by a person in custody pursuant to a judgment of death.</w:t>
      </w:r>
      <w:r>
        <w:rPr>
          <w:szCs w:val="26"/>
        </w:rPr>
        <w:t xml:space="preserve"> </w:t>
      </w:r>
      <w:r w:rsidRPr="00055C83">
        <w:rPr>
          <w:szCs w:val="26"/>
        </w:rPr>
        <w:t xml:space="preserve"> A writ of habeas corpus pursuant to this section is the exclusive procedure for collateral attack on a judgment of death.</w:t>
      </w:r>
      <w:r>
        <w:rPr>
          <w:szCs w:val="26"/>
        </w:rPr>
        <w:t xml:space="preserve"> </w:t>
      </w:r>
      <w:r w:rsidRPr="00055C83">
        <w:rPr>
          <w:szCs w:val="26"/>
        </w:rPr>
        <w:t xml:space="preserve"> A petition filed in any court other than the court which imposed the sentence should be promptly transferred to that court unless good cause is shown for the petition to be heard by another court. </w:t>
      </w:r>
      <w:r>
        <w:rPr>
          <w:szCs w:val="26"/>
        </w:rPr>
        <w:t xml:space="preserve"> </w:t>
      </w:r>
      <w:r w:rsidRPr="00055C83">
        <w:rPr>
          <w:szCs w:val="26"/>
        </w:rPr>
        <w:t>A petition filed in or transferred to the court which imposed the sentence shall be assigned to the original trial judge unless that judge is unavailable or there is other good cause to assign the case to a different judge.</w:t>
      </w:r>
    </w:p>
    <w:p w:rsidR="006E6B16" w:rsidRPr="00055C83" w:rsidP="007B6D67" w14:paraId="06DF1BCC" w14:textId="77777777">
      <w:pPr>
        <w:spacing w:line="300" w:lineRule="exact"/>
        <w:ind w:firstLine="720"/>
        <w:rPr>
          <w:szCs w:val="26"/>
        </w:rPr>
      </w:pPr>
      <w:r>
        <w:rPr>
          <w:szCs w:val="26"/>
        </w:rPr>
        <w:t>“</w:t>
      </w:r>
      <w:r w:rsidRPr="00055C83">
        <w:rPr>
          <w:szCs w:val="26"/>
        </w:rPr>
        <w:t>(b) After the entry of a judgment of death in the trial court, that court shall offer counsel to the prisoner as provided in Section 68662 of the Government Code.</w:t>
      </w:r>
    </w:p>
    <w:p w:rsidR="006E6B16" w:rsidRPr="00055C83" w:rsidP="007B6D67" w14:paraId="383A0693" w14:textId="77777777">
      <w:pPr>
        <w:spacing w:line="300" w:lineRule="exact"/>
        <w:ind w:firstLine="720"/>
        <w:rPr>
          <w:szCs w:val="26"/>
        </w:rPr>
      </w:pPr>
      <w:r>
        <w:rPr>
          <w:szCs w:val="26"/>
        </w:rPr>
        <w:t>“</w:t>
      </w:r>
      <w:r w:rsidRPr="00055C83">
        <w:rPr>
          <w:szCs w:val="26"/>
        </w:rPr>
        <w:t>(c) Except as provided in subdivisions (d) and (g), the initial petition must be filed within one year of the order entered under Section 68662 of the Government Code.</w:t>
      </w:r>
    </w:p>
    <w:p w:rsidR="006E6B16" w:rsidRPr="00055C83" w:rsidP="007B6D67" w14:paraId="251B085A" w14:textId="77777777">
      <w:pPr>
        <w:spacing w:line="300" w:lineRule="exact"/>
        <w:ind w:firstLine="720"/>
        <w:rPr>
          <w:szCs w:val="26"/>
        </w:rPr>
      </w:pPr>
      <w:r>
        <w:rPr>
          <w:szCs w:val="26"/>
        </w:rPr>
        <w:t>“</w:t>
      </w:r>
      <w:r w:rsidRPr="00055C83">
        <w:rPr>
          <w:szCs w:val="26"/>
        </w:rPr>
        <w:t>(d) An initial petition which is untimely under subdivision (c) or</w:t>
      </w:r>
      <w:r>
        <w:rPr>
          <w:szCs w:val="26"/>
        </w:rPr>
        <w:t xml:space="preserve"> </w:t>
      </w:r>
      <w:r w:rsidRPr="00055C83">
        <w:rPr>
          <w:szCs w:val="26"/>
        </w:rPr>
        <w:t>a successive petition whenever filed shall be dismissed unless the court finds, by the preponderance of all available evidence, whether or not admissible at trial, that the defendant is actually innocent of the crime of which he or she was convicted or is ineligible for the sentence.</w:t>
      </w:r>
      <w:r>
        <w:rPr>
          <w:szCs w:val="26"/>
        </w:rPr>
        <w:t xml:space="preserve">  </w:t>
      </w:r>
      <w:r w:rsidRPr="00055C83">
        <w:rPr>
          <w:szCs w:val="26"/>
        </w:rPr>
        <w:t xml:space="preserve">A stay of execution shall not be granted for the purpose of considering a successive or untimely petition unless the court finds that the petitioner has a substantial claim of actual innocence or ineligibility. </w:t>
      </w:r>
      <w:r>
        <w:rPr>
          <w:szCs w:val="26"/>
        </w:rPr>
        <w:t xml:space="preserve"> ‘</w:t>
      </w:r>
      <w:r w:rsidRPr="00055C83">
        <w:rPr>
          <w:szCs w:val="26"/>
        </w:rPr>
        <w:t>Ineligible for the sentence of death</w:t>
      </w:r>
      <w:r>
        <w:rPr>
          <w:szCs w:val="26"/>
        </w:rPr>
        <w:t>’</w:t>
      </w:r>
      <w:r w:rsidRPr="00055C83">
        <w:rPr>
          <w:szCs w:val="26"/>
        </w:rPr>
        <w:t xml:space="preserve"> means that circumstances exist placing that sentence outside the range of the sentencer</w:t>
      </w:r>
      <w:r>
        <w:rPr>
          <w:szCs w:val="26"/>
        </w:rPr>
        <w:t>’</w:t>
      </w:r>
      <w:r w:rsidRPr="00055C83">
        <w:rPr>
          <w:szCs w:val="26"/>
        </w:rPr>
        <w:t xml:space="preserve">s discretion. </w:t>
      </w:r>
      <w:r>
        <w:rPr>
          <w:szCs w:val="26"/>
        </w:rPr>
        <w:t xml:space="preserve"> </w:t>
      </w:r>
      <w:r w:rsidRPr="00055C83">
        <w:rPr>
          <w:szCs w:val="26"/>
        </w:rPr>
        <w:t xml:space="preserve">Claims of ineligibility include a claim that none of the special circumstances in subdivision (a) of Section 190.2 is true, a claim that the defendant was under the age of 18 at the time of the crime, or a claim that the defendant has an intellectual disability, as defined in Section 1376. </w:t>
      </w:r>
      <w:r>
        <w:rPr>
          <w:szCs w:val="26"/>
        </w:rPr>
        <w:t xml:space="preserve"> </w:t>
      </w:r>
      <w:r w:rsidRPr="00055C83">
        <w:rPr>
          <w:szCs w:val="26"/>
        </w:rPr>
        <w:t>A claim relating to the sentencing decision under Section 190.3 is not a claim of actual innocence or ineligibility for the purpose of this section.</w:t>
      </w:r>
    </w:p>
    <w:p w:rsidR="006E6B16" w:rsidRPr="00055C83" w:rsidP="007B6D67" w14:paraId="191C1B19" w14:textId="77777777">
      <w:pPr>
        <w:spacing w:line="300" w:lineRule="exact"/>
        <w:ind w:firstLine="720"/>
        <w:rPr>
          <w:szCs w:val="26"/>
        </w:rPr>
      </w:pPr>
      <w:r>
        <w:rPr>
          <w:szCs w:val="26"/>
        </w:rPr>
        <w:t>“</w:t>
      </w:r>
      <w:r w:rsidRPr="00055C83">
        <w:rPr>
          <w:szCs w:val="26"/>
        </w:rPr>
        <w:t xml:space="preserve">(e) A petitioner claiming innocence or ineligibility under subdivision (d) shall disclose all material information relating to guilt or eligibility in the possession of the petitioner or present or former counsel for petitioner. </w:t>
      </w:r>
      <w:r>
        <w:rPr>
          <w:szCs w:val="26"/>
        </w:rPr>
        <w:t xml:space="preserve"> </w:t>
      </w:r>
      <w:r w:rsidRPr="00055C83">
        <w:rPr>
          <w:szCs w:val="26"/>
        </w:rPr>
        <w:t>If the petitioner willfully fails to make the disclosure required by this subdivision and authorize disclosure by counsel, the petition may be dismissed.</w:t>
      </w:r>
    </w:p>
    <w:p w:rsidR="006E6B16" w:rsidRPr="00055C83" w:rsidP="007B6D67" w14:paraId="66483C9C" w14:textId="77777777">
      <w:pPr>
        <w:spacing w:line="300" w:lineRule="exact"/>
        <w:ind w:firstLine="720"/>
        <w:rPr>
          <w:szCs w:val="26"/>
        </w:rPr>
      </w:pPr>
      <w:r>
        <w:rPr>
          <w:szCs w:val="26"/>
        </w:rPr>
        <w:t>“</w:t>
      </w:r>
      <w:r w:rsidRPr="00055C83">
        <w:rPr>
          <w:szCs w:val="26"/>
        </w:rPr>
        <w:t>(f) Proceedings under this section shall be conducted as expeditiously as possible, consistent with a fair adjudication.</w:t>
      </w:r>
      <w:r>
        <w:rPr>
          <w:szCs w:val="26"/>
        </w:rPr>
        <w:t xml:space="preserve"> </w:t>
      </w:r>
      <w:r w:rsidRPr="00055C83">
        <w:rPr>
          <w:szCs w:val="26"/>
        </w:rPr>
        <w:t xml:space="preserve"> The superior court shall resolve the initial petition within one year of filing unless the court finds that a delay is necessary to resolve a substantial claim of actual innocence, but in no instance shall the court take longer than two years to resolve the petition.</w:t>
      </w:r>
      <w:r>
        <w:rPr>
          <w:szCs w:val="26"/>
        </w:rPr>
        <w:t xml:space="preserve"> </w:t>
      </w:r>
      <w:r w:rsidRPr="00055C83">
        <w:rPr>
          <w:szCs w:val="26"/>
        </w:rPr>
        <w:t xml:space="preserve"> On decision of an initial petition, the court shall issue a statement of decision explaining the factual and legal basis for its decision.</w:t>
      </w:r>
    </w:p>
    <w:p w:rsidR="006E6B16" w:rsidRPr="00FC1D77" w:rsidP="007B6D67" w14:paraId="7C4A2527" w14:textId="77777777">
      <w:pPr>
        <w:spacing w:line="300" w:lineRule="exact"/>
        <w:ind w:firstLine="720"/>
        <w:rPr>
          <w:szCs w:val="26"/>
        </w:rPr>
      </w:pPr>
      <w:r>
        <w:rPr>
          <w:szCs w:val="26"/>
        </w:rPr>
        <w:t>“</w:t>
      </w:r>
      <w:r w:rsidRPr="00055C83">
        <w:rPr>
          <w:szCs w:val="26"/>
        </w:rPr>
        <w:t xml:space="preserve">(g) If a habeas corpus petition is pending on the effective date of this section, the court may transfer the petition to the court which imposed the sentence. </w:t>
      </w:r>
      <w:r>
        <w:rPr>
          <w:szCs w:val="26"/>
        </w:rPr>
        <w:t xml:space="preserve"> </w:t>
      </w:r>
      <w:r w:rsidRPr="00055C83">
        <w:rPr>
          <w:szCs w:val="26"/>
        </w:rPr>
        <w:t>In a case where a judgment of death was imposed prior to the effective date of this section, but no habeas corpus petition has been filed prior to the effective date of this section, a petition that would otherwise be barred by subdivision (c) may be filed within one year of the effective date of this section or within the time allowed under prior law, whichever is earlier.</w:t>
      </w:r>
      <w:r>
        <w:rPr>
          <w:szCs w:val="26"/>
        </w:rPr>
        <w:t>”</w:t>
      </w:r>
    </w:p>
  </w:footnote>
  <w:footnote w:id="5">
    <w:p w:rsidR="006E6B16" w:rsidP="007B6D67" w14:paraId="77DAFE44" w14:textId="77777777">
      <w:pPr>
        <w:spacing w:line="300" w:lineRule="exact"/>
      </w:pPr>
      <w:r>
        <w:rPr>
          <w:rStyle w:val="FootnoteReference"/>
        </w:rPr>
        <w:footnoteRef/>
      </w:r>
      <w:r>
        <w:tab/>
      </w:r>
      <w:r w:rsidRPr="00AF49AF">
        <w:t xml:space="preserve">Penal Code section 1509.1 provides in full:  </w:t>
      </w:r>
    </w:p>
    <w:p w:rsidR="006E6B16" w:rsidRPr="00AF49AF" w:rsidP="007B6D67" w14:paraId="275980CC" w14:textId="77777777">
      <w:pPr>
        <w:spacing w:line="300" w:lineRule="exact"/>
        <w:ind w:firstLine="720"/>
        <w:rPr>
          <w:szCs w:val="26"/>
        </w:rPr>
      </w:pPr>
      <w:r w:rsidRPr="00AF49AF">
        <w:t>“</w:t>
      </w:r>
      <w:r w:rsidRPr="00AF49AF">
        <w:rPr>
          <w:szCs w:val="26"/>
        </w:rPr>
        <w:t>(a) Either party may appeal the decision of a superior court on an initial petition under Section 1509 to the court of appeal.</w:t>
      </w:r>
      <w:r>
        <w:rPr>
          <w:szCs w:val="26"/>
        </w:rPr>
        <w:t xml:space="preserve"> </w:t>
      </w:r>
      <w:r w:rsidRPr="00AF49AF">
        <w:rPr>
          <w:szCs w:val="26"/>
        </w:rPr>
        <w:t xml:space="preserve"> An appeal shall be taken by filing a notice of appeal in the superior court within 30 days of the court</w:t>
      </w:r>
      <w:r>
        <w:rPr>
          <w:szCs w:val="26"/>
        </w:rPr>
        <w:t>’</w:t>
      </w:r>
      <w:r w:rsidRPr="00AF49AF">
        <w:rPr>
          <w:szCs w:val="26"/>
        </w:rPr>
        <w:t>s decision granting or denying the habeas petition.</w:t>
      </w:r>
      <w:r>
        <w:rPr>
          <w:szCs w:val="26"/>
        </w:rPr>
        <w:t xml:space="preserve">  </w:t>
      </w:r>
      <w:r w:rsidRPr="00AF49AF">
        <w:rPr>
          <w:szCs w:val="26"/>
        </w:rPr>
        <w:t>A successive petition shall not be used as a means of reviewing a denial of habeas relief.</w:t>
      </w:r>
    </w:p>
    <w:p w:rsidR="006E6B16" w:rsidRPr="00AF49AF" w:rsidP="007B6D67" w14:paraId="2FAEE2F5" w14:textId="77777777">
      <w:pPr>
        <w:spacing w:line="300" w:lineRule="exact"/>
        <w:ind w:firstLine="720"/>
        <w:rPr>
          <w:szCs w:val="26"/>
        </w:rPr>
      </w:pPr>
      <w:r>
        <w:rPr>
          <w:szCs w:val="26"/>
        </w:rPr>
        <w:t>“</w:t>
      </w:r>
      <w:r w:rsidRPr="00AF49AF">
        <w:rPr>
          <w:szCs w:val="26"/>
        </w:rPr>
        <w:t xml:space="preserve">(b) The issues considered on an appeal under subdivision (a) shall be limited to the claims raised in the superior court, except that the court of appeal may also consider a claim of ineffective assistance of trial counsel if the failure of habeas counsel to present that claim to the superior court constituted ineffective assistance. </w:t>
      </w:r>
      <w:r>
        <w:rPr>
          <w:szCs w:val="26"/>
        </w:rPr>
        <w:t xml:space="preserve"> </w:t>
      </w:r>
      <w:r w:rsidRPr="00AF49AF">
        <w:rPr>
          <w:szCs w:val="26"/>
        </w:rPr>
        <w:t>The court of appeal may, if additional findings of fact are required, make a limited remand to the superior court to consider the claim.</w:t>
      </w:r>
    </w:p>
    <w:p w:rsidR="006E6B16" w:rsidP="007B6D67" w14:paraId="6345AA77" w14:textId="77777777">
      <w:pPr>
        <w:pStyle w:val="FootnoteText"/>
        <w:ind w:firstLine="720"/>
      </w:pPr>
      <w:r>
        <w:rPr>
          <w:szCs w:val="26"/>
        </w:rPr>
        <w:t>“</w:t>
      </w:r>
      <w:r w:rsidRPr="00AF49AF">
        <w:rPr>
          <w:szCs w:val="26"/>
        </w:rPr>
        <w:t>(c)</w:t>
      </w:r>
      <w:r>
        <w:rPr>
          <w:szCs w:val="26"/>
        </w:rPr>
        <w:t xml:space="preserve"> </w:t>
      </w:r>
      <w:r w:rsidRPr="00AF49AF">
        <w:rPr>
          <w:szCs w:val="26"/>
        </w:rPr>
        <w:t xml:space="preserve">The people may appeal the decision of the superior court granting relief on a successive petition. </w:t>
      </w:r>
      <w:r>
        <w:rPr>
          <w:szCs w:val="26"/>
        </w:rPr>
        <w:t xml:space="preserve"> </w:t>
      </w:r>
      <w:r w:rsidRPr="00AF49AF">
        <w:rPr>
          <w:szCs w:val="26"/>
        </w:rPr>
        <w:t>The petitioner may appeal the decision of the superior court denying relief on a successive petition only if the superior court or the court of appeal grants a certificate of appealability.</w:t>
      </w:r>
      <w:r>
        <w:rPr>
          <w:szCs w:val="26"/>
        </w:rPr>
        <w:t xml:space="preserve">  </w:t>
      </w:r>
      <w:r w:rsidRPr="00AF49AF">
        <w:rPr>
          <w:szCs w:val="26"/>
        </w:rPr>
        <w:t xml:space="preserve">A certificate of appealability may issue under this subdivision only if the petitioner has shown both a substantial claim for relief, which shall be indicated in the certificate, and a substantial claim that the requirements of subdivision (d) of Section 1509 have been met. </w:t>
      </w:r>
      <w:r>
        <w:rPr>
          <w:szCs w:val="26"/>
        </w:rPr>
        <w:t xml:space="preserve"> </w:t>
      </w:r>
      <w:r w:rsidRPr="00AF49AF">
        <w:rPr>
          <w:szCs w:val="26"/>
        </w:rPr>
        <w:t>An appeal under this subdivision shall be taken by filing a notice of appeal in the superior court within 30 days of the court</w:t>
      </w:r>
      <w:r>
        <w:rPr>
          <w:szCs w:val="26"/>
        </w:rPr>
        <w:t>’</w:t>
      </w:r>
      <w:r w:rsidRPr="00AF49AF">
        <w:rPr>
          <w:szCs w:val="26"/>
        </w:rPr>
        <w:t>s decision.</w:t>
      </w:r>
      <w:r>
        <w:rPr>
          <w:szCs w:val="26"/>
        </w:rPr>
        <w:t xml:space="preserve"> </w:t>
      </w:r>
      <w:r w:rsidRPr="00AF49AF">
        <w:rPr>
          <w:szCs w:val="26"/>
        </w:rPr>
        <w:t xml:space="preserve"> The superior court shall grant or deny a certificate of appealability concurrently with a decision denying relief on the petition. </w:t>
      </w:r>
      <w:r>
        <w:rPr>
          <w:szCs w:val="26"/>
        </w:rPr>
        <w:t xml:space="preserve"> </w:t>
      </w:r>
      <w:r w:rsidRPr="00AF49AF">
        <w:rPr>
          <w:szCs w:val="26"/>
        </w:rPr>
        <w:t xml:space="preserve">The court of appeal shall grant or deny a request for a certificate of appealability within 10 days of an application for a certificate. </w:t>
      </w:r>
      <w:r>
        <w:rPr>
          <w:szCs w:val="26"/>
        </w:rPr>
        <w:t xml:space="preserve"> </w:t>
      </w:r>
      <w:r w:rsidRPr="00AF49AF">
        <w:rPr>
          <w:szCs w:val="26"/>
        </w:rPr>
        <w:t xml:space="preserve">The jurisdiction of the court of appeal is limited to the claims identified in the certificate and any additional claims added by the court of appeal within 60 days of the notice of appeal. </w:t>
      </w:r>
      <w:r>
        <w:rPr>
          <w:szCs w:val="26"/>
        </w:rPr>
        <w:t xml:space="preserve"> </w:t>
      </w:r>
      <w:r w:rsidRPr="00AF49AF">
        <w:rPr>
          <w:szCs w:val="26"/>
        </w:rPr>
        <w:t>An appeal under this subdivision shall have priority over all other matters and be decided as expeditiously as possible.</w:t>
      </w:r>
      <w:r>
        <w:rPr>
          <w:szCs w:val="26"/>
        </w:rPr>
        <w:t>”</w:t>
      </w:r>
    </w:p>
  </w:footnote>
  <w:footnote w:id="6">
    <w:p w:rsidR="006E6B16" w:rsidP="007B6D67" w14:paraId="36CF040A" w14:textId="21231D39">
      <w:pPr>
        <w:pStyle w:val="FootnoteText"/>
      </w:pPr>
      <w:r>
        <w:rPr>
          <w:rStyle w:val="FootnoteReference"/>
        </w:rPr>
        <w:footnoteRef/>
      </w:r>
      <w:r w:rsidR="00BE2B18">
        <w:tab/>
      </w:r>
      <w:r>
        <w:t xml:space="preserve">A third amicus curiae brief, filed on behalf of the Offices of the Federal Public Defenders for the Central and Eastern Districts of California, takes the same interpretive position as the parties. </w:t>
      </w:r>
    </w:p>
  </w:footnote>
  <w:footnote w:id="7">
    <w:p w:rsidR="006E6B16" w:rsidRPr="00F2232D" w:rsidP="007B6D67" w14:paraId="5F71CE74" w14:textId="346DDF9A">
      <w:pPr>
        <w:tabs>
          <w:tab w:val="left" w:pos="720"/>
          <w:tab w:val="left" w:pos="1530"/>
        </w:tabs>
        <w:spacing w:line="300" w:lineRule="exact"/>
        <w:rPr>
          <w:szCs w:val="26"/>
        </w:rPr>
      </w:pPr>
      <w:r>
        <w:rPr>
          <w:rStyle w:val="FootnoteReference"/>
        </w:rPr>
        <w:footnoteRef/>
      </w:r>
      <w:r>
        <w:tab/>
        <w:t>To justify a second or subsequent filing based on prior ineffective assistance of counsel, the petitioner must “</w:t>
      </w:r>
      <w:r w:rsidRPr="004A1B71">
        <w:rPr>
          <w:szCs w:val="26"/>
        </w:rPr>
        <w:t>allege with specificity the facts underlying the claim that the inadequate presentation of an issue or omission of any issue reflects incompetence of counsel</w:t>
      </w:r>
      <w:r>
        <w:rPr>
          <w:szCs w:val="26"/>
        </w:rPr>
        <w:t xml:space="preserve"> . . . </w:t>
      </w:r>
      <w:r w:rsidRPr="004A1B71">
        <w:rPr>
          <w:szCs w:val="26"/>
        </w:rPr>
        <w:t>.</w:t>
      </w:r>
      <w:r>
        <w:rPr>
          <w:szCs w:val="26"/>
        </w:rPr>
        <w:t xml:space="preserve">  </w:t>
      </w:r>
      <w:r w:rsidRPr="004A1B71">
        <w:rPr>
          <w:szCs w:val="26"/>
        </w:rPr>
        <w:t xml:space="preserve">Moreover, mere omission of a claim </w:t>
      </w:r>
      <w:r>
        <w:rPr>
          <w:szCs w:val="26"/>
        </w:rPr>
        <w:t>‘</w:t>
      </w:r>
      <w:r w:rsidRPr="004A1B71">
        <w:rPr>
          <w:szCs w:val="26"/>
        </w:rPr>
        <w:t>developed</w:t>
      </w:r>
      <w:r>
        <w:rPr>
          <w:szCs w:val="26"/>
        </w:rPr>
        <w:t>’</w:t>
      </w:r>
      <w:r w:rsidRPr="004A1B71">
        <w:rPr>
          <w:szCs w:val="26"/>
        </w:rPr>
        <w:t xml:space="preserve"> by new counsel does not raise a presumption that prior habeas corpus counsel was incompetent, or warrant consideration of the merits of a successive petition.</w:t>
      </w:r>
      <w:r>
        <w:rPr>
          <w:szCs w:val="26"/>
        </w:rPr>
        <w:t>”  (</w:t>
      </w:r>
      <w:r>
        <w:rPr>
          <w:i/>
          <w:iCs/>
          <w:szCs w:val="26"/>
        </w:rPr>
        <w:t>Clark</w:t>
      </w:r>
      <w:r>
        <w:rPr>
          <w:szCs w:val="26"/>
        </w:rPr>
        <w:t xml:space="preserve">, </w:t>
      </w:r>
      <w:r w:rsidRPr="00D17E84">
        <w:rPr>
          <w:i/>
          <w:iCs/>
          <w:szCs w:val="26"/>
        </w:rPr>
        <w:t>supra</w:t>
      </w:r>
      <w:r>
        <w:rPr>
          <w:szCs w:val="26"/>
        </w:rPr>
        <w:t>, 5 Cal.4th at p. 780.)</w:t>
      </w:r>
    </w:p>
  </w:footnote>
  <w:footnote w:id="8">
    <w:p w:rsidR="006E6B16" w:rsidP="007B6D67" w14:paraId="172BDCFF" w14:textId="1C71B4D9">
      <w:pPr>
        <w:pStyle w:val="FootnoteText"/>
      </w:pPr>
      <w:r>
        <w:rPr>
          <w:rStyle w:val="FootnoteReference"/>
        </w:rPr>
        <w:footnoteRef/>
      </w:r>
      <w:r>
        <w:t xml:space="preserve"> </w:t>
      </w:r>
      <w:r>
        <w:tab/>
      </w:r>
      <w:r>
        <w:rPr>
          <w:szCs w:val="26"/>
        </w:rPr>
        <w:t xml:space="preserve">In connection with </w:t>
      </w:r>
      <w:r>
        <w:rPr>
          <w:i/>
          <w:iCs/>
          <w:szCs w:val="26"/>
        </w:rPr>
        <w:t>Clark</w:t>
      </w:r>
      <w:r>
        <w:rPr>
          <w:szCs w:val="26"/>
        </w:rPr>
        <w:t>’s substantive exception for fundamental miscarriages of justice, we also explained that “[t]</w:t>
      </w:r>
      <w:r w:rsidRPr="00E67071">
        <w:rPr>
          <w:szCs w:val="26"/>
        </w:rPr>
        <w:t>hese claims will be considered on their merits even though presented for the first time in a successive petition</w:t>
      </w:r>
      <w:r>
        <w:rPr>
          <w:szCs w:val="26"/>
        </w:rPr>
        <w:t xml:space="preserve"> </w:t>
      </w:r>
      <w:r w:rsidRPr="00335D63">
        <w:rPr>
          <w:szCs w:val="26"/>
        </w:rPr>
        <w:t>or one in which the delay has not been justified</w:t>
      </w:r>
      <w:r>
        <w:rPr>
          <w:szCs w:val="26"/>
        </w:rPr>
        <w:t>” (</w:t>
      </w:r>
      <w:r>
        <w:rPr>
          <w:i/>
          <w:iCs/>
          <w:szCs w:val="26"/>
        </w:rPr>
        <w:t>Clark</w:t>
      </w:r>
      <w:r>
        <w:rPr>
          <w:szCs w:val="26"/>
        </w:rPr>
        <w:t xml:space="preserve">, </w:t>
      </w:r>
      <w:r w:rsidRPr="00C12E68">
        <w:rPr>
          <w:i/>
          <w:iCs/>
          <w:szCs w:val="26"/>
        </w:rPr>
        <w:t>supra</w:t>
      </w:r>
      <w:r>
        <w:rPr>
          <w:szCs w:val="26"/>
        </w:rPr>
        <w:t xml:space="preserve">, </w:t>
      </w:r>
      <w:r w:rsidRPr="001B7EFB">
        <w:t>5</w:t>
      </w:r>
      <w:r w:rsidRPr="00A6010D">
        <w:t xml:space="preserve"> Cal.4th </w:t>
      </w:r>
      <w:r>
        <w:t xml:space="preserve">at p. 798), apparently using “successive” to refer to claims whose omission from a prior petition has not been justified.  </w:t>
      </w:r>
    </w:p>
  </w:footnote>
  <w:footnote w:id="9">
    <w:p w:rsidR="006E6B16" w:rsidP="007B6D67" w14:paraId="6B8E006E" w14:textId="7AAF51D9">
      <w:pPr>
        <w:pStyle w:val="FootnoteText"/>
      </w:pPr>
      <w:r>
        <w:rPr>
          <w:rStyle w:val="FootnoteReference"/>
        </w:rPr>
        <w:footnoteRef/>
      </w:r>
      <w:r>
        <w:t xml:space="preserve"> </w:t>
      </w:r>
      <w:r>
        <w:tab/>
        <w:t xml:space="preserve">See, e.g., </w:t>
      </w:r>
      <w:r w:rsidRPr="00833BC0">
        <w:rPr>
          <w:i/>
          <w:iCs/>
        </w:rPr>
        <w:t>In re Bacigalupo</w:t>
      </w:r>
      <w:r w:rsidRPr="00833BC0">
        <w:t> (2012) 55 Cal.4th 312, 31</w:t>
      </w:r>
      <w:r>
        <w:t xml:space="preserve">5–317 (ordering relief from judgment of death based on claim in second state habeas corpus petition that prosecution suppressed evidence that petitioner had committed his crime under duress, which would have supported petitioner’s </w:t>
      </w:r>
      <w:r w:rsidRPr="00833BC0">
        <w:t>penalty phase case in mitigation</w:t>
      </w:r>
      <w:r>
        <w:t>).</w:t>
      </w:r>
    </w:p>
  </w:footnote>
  <w:footnote w:id="10">
    <w:p w:rsidR="006E6B16" w:rsidP="007B6D67" w14:paraId="5AEAA066" w14:textId="682491DB">
      <w:pPr>
        <w:pStyle w:val="FootnoteText"/>
      </w:pPr>
      <w:r>
        <w:rPr>
          <w:rStyle w:val="FootnoteReference"/>
        </w:rPr>
        <w:footnoteRef/>
      </w:r>
      <w:r>
        <w:t xml:space="preserve"> </w:t>
      </w:r>
      <w:r>
        <w:tab/>
        <w:t xml:space="preserve">See, e.g., </w:t>
      </w:r>
      <w:r w:rsidRPr="00244D31">
        <w:rPr>
          <w:i/>
          <w:iCs/>
        </w:rPr>
        <w:t>Tharpe v. Sellers</w:t>
      </w:r>
      <w:r w:rsidRPr="00244D31">
        <w:t xml:space="preserve"> (2018) </w:t>
      </w:r>
      <w:r>
        <w:t>___ U.S. ___, ___ [</w:t>
      </w:r>
      <w:r w:rsidRPr="00244D31">
        <w:t>138 S.Ct. 545, 548</w:t>
      </w:r>
      <w:r>
        <w:t>] (juror’s racist view of defendant discovered m</w:t>
      </w:r>
      <w:r w:rsidRPr="00244D31">
        <w:t>ore than seven years after trial</w:t>
      </w:r>
      <w:r>
        <w:t xml:space="preserve">); </w:t>
      </w:r>
      <w:r w:rsidRPr="00BF17E6">
        <w:rPr>
          <w:i/>
          <w:iCs/>
        </w:rPr>
        <w:t>Foster v. Chatman</w:t>
      </w:r>
      <w:r w:rsidRPr="00BF17E6">
        <w:t xml:space="preserve"> (2016) </w:t>
      </w:r>
      <w:r>
        <w:t>578 U.S. ___, ___–___ [</w:t>
      </w:r>
      <w:r w:rsidRPr="00BF17E6">
        <w:t>136 S.Ct. 1737, 1743</w:t>
      </w:r>
      <w:r>
        <w:t xml:space="preserve">–1744] (evidence of prosecutor’s discriminatory use of peremptory challenges discovered through public records request); </w:t>
      </w:r>
      <w:r w:rsidRPr="001D41C0">
        <w:rPr>
          <w:i/>
          <w:iCs/>
        </w:rPr>
        <w:t>Bracy v. Gramley</w:t>
      </w:r>
      <w:r w:rsidRPr="001D41C0">
        <w:t xml:space="preserve"> (1997) 520 U.S. 899, </w:t>
      </w:r>
      <w:r>
        <w:t>906–</w:t>
      </w:r>
      <w:r w:rsidRPr="001D41C0">
        <w:t>907</w:t>
      </w:r>
      <w:r>
        <w:t xml:space="preserve"> (trial judge indicted for bribery about 10 years after the petitioner’s trial); </w:t>
      </w:r>
      <w:r w:rsidRPr="00F7053D">
        <w:rPr>
          <w:i/>
          <w:iCs/>
        </w:rPr>
        <w:t>In re Gay</w:t>
      </w:r>
      <w:r w:rsidRPr="00F7053D">
        <w:t> (2020) 8 Cal.5th 1059, 1084</w:t>
      </w:r>
      <w:r>
        <w:t xml:space="preserve"> (relief granted on second petition in part because attorney-client relationship was “</w:t>
      </w:r>
      <w:r w:rsidRPr="00F7053D">
        <w:t>poisoned at its root by fraud</w:t>
      </w:r>
      <w:r>
        <w:t>”).</w:t>
      </w:r>
    </w:p>
  </w:footnote>
  <w:footnote w:id="11">
    <w:p w:rsidR="006E6B16" w:rsidRPr="008B6718" w:rsidP="007B6D67" w14:paraId="470F69DC" w14:textId="172D3BBD">
      <w:pPr>
        <w:pStyle w:val="FootnoteText"/>
      </w:pPr>
      <w:r>
        <w:rPr>
          <w:rStyle w:val="FootnoteReference"/>
        </w:rPr>
        <w:footnoteRef/>
      </w:r>
      <w:r>
        <w:t xml:space="preserve"> </w:t>
      </w:r>
      <w:r>
        <w:tab/>
        <w:t xml:space="preserve">See, e.g., </w:t>
      </w:r>
      <w:r w:rsidRPr="0065222D">
        <w:rPr>
          <w:i/>
          <w:iCs/>
        </w:rPr>
        <w:t>In re Richards</w:t>
      </w:r>
      <w:r w:rsidRPr="0065222D">
        <w:t> (2016) 63 Cal.4th 291, 305</w:t>
      </w:r>
      <w:r>
        <w:t xml:space="preserve"> (10 years after trial, prosecution expert recanted his trial testimony identifying the mark on the victim’s arm as resulting from a bite by defendant).</w:t>
      </w:r>
    </w:p>
  </w:footnote>
  <w:footnote w:id="12">
    <w:p w:rsidR="006E6B16" w:rsidP="007B6D67" w14:paraId="42065A8A" w14:textId="1AC018E3">
      <w:pPr>
        <w:pStyle w:val="FootnoteText"/>
      </w:pPr>
      <w:r>
        <w:rPr>
          <w:rStyle w:val="FootnoteReference"/>
        </w:rPr>
        <w:footnoteRef/>
      </w:r>
      <w:r>
        <w:t xml:space="preserve"> </w:t>
      </w:r>
      <w:r>
        <w:tab/>
        <w:t xml:space="preserve">See </w:t>
      </w:r>
      <w:r w:rsidRPr="004243E4">
        <w:rPr>
          <w:i/>
          <w:iCs/>
        </w:rPr>
        <w:t>People v. DePriest</w:t>
      </w:r>
      <w:r w:rsidRPr="004243E4">
        <w:t> (2007) 42 Cal.4th 1, 61</w:t>
      </w:r>
      <w:r>
        <w:t xml:space="preserve"> (on appeal, claims of “[a]</w:t>
      </w:r>
      <w:r w:rsidRPr="004243E4">
        <w:t xml:space="preserve">lleged imperfections and illegalities in the execution process that may or may not exist when </w:t>
      </w:r>
      <w:r>
        <w:t>[defendant’s]</w:t>
      </w:r>
      <w:r w:rsidRPr="004243E4">
        <w:t xml:space="preserve"> death sentence is implemented are premature</w:t>
      </w:r>
      <w:r>
        <w:t>”).</w:t>
      </w:r>
    </w:p>
  </w:footnote>
  <w:footnote w:id="13">
    <w:p w:rsidR="006E6B16" w:rsidP="007B6D67" w14:paraId="1D20C012" w14:textId="2E94C218">
      <w:pPr>
        <w:pStyle w:val="FootnoteText"/>
      </w:pPr>
      <w:r>
        <w:rPr>
          <w:rStyle w:val="FootnoteReference"/>
        </w:rPr>
        <w:footnoteRef/>
      </w:r>
      <w:r>
        <w:t xml:space="preserve"> </w:t>
      </w:r>
      <w:r>
        <w:tab/>
        <w:t xml:space="preserve">See, e.g., </w:t>
      </w:r>
      <w:r w:rsidRPr="004F05E6">
        <w:rPr>
          <w:i/>
          <w:iCs/>
        </w:rPr>
        <w:t>In re Richards</w:t>
      </w:r>
      <w:r>
        <w:t xml:space="preserve">, </w:t>
      </w:r>
      <w:r>
        <w:rPr>
          <w:i/>
          <w:iCs/>
        </w:rPr>
        <w:t>supra</w:t>
      </w:r>
      <w:r>
        <w:t xml:space="preserve">, </w:t>
      </w:r>
      <w:r w:rsidRPr="004F05E6">
        <w:t xml:space="preserve">63 Cal.4th </w:t>
      </w:r>
      <w:r>
        <w:t>at page</w:t>
      </w:r>
      <w:r w:rsidRPr="004F05E6">
        <w:t xml:space="preserve"> 294</w:t>
      </w:r>
      <w:r>
        <w:t>, footnote 2 (“</w:t>
      </w:r>
      <w:r w:rsidRPr="004F05E6">
        <w:t>Because of the change in the applicable law concerning the definition of false evidence, the petition is not subject to the procedural bar of successiveness</w:t>
      </w:r>
      <w:r>
        <w:t xml:space="preserve">.”); see </w:t>
      </w:r>
      <w:r w:rsidRPr="00585C61">
        <w:rPr>
          <w:i/>
          <w:iCs/>
        </w:rPr>
        <w:t>Reno</w:t>
      </w:r>
      <w:r>
        <w:t xml:space="preserve">, </w:t>
      </w:r>
      <w:r>
        <w:rPr>
          <w:i/>
          <w:iCs/>
        </w:rPr>
        <w:t>supra</w:t>
      </w:r>
      <w:r>
        <w:t>,</w:t>
      </w:r>
      <w:r w:rsidRPr="00585C61">
        <w:t xml:space="preserve"> 55 Cal.4th </w:t>
      </w:r>
      <w:r>
        <w:t>at page </w:t>
      </w:r>
      <w:r w:rsidRPr="00585C61">
        <w:t>466</w:t>
      </w:r>
      <w:r>
        <w:t xml:space="preserve"> (“</w:t>
      </w:r>
      <w:r w:rsidRPr="00585C61">
        <w:t>A change in the law will also excuse a successive or repetitive habeas corpus petition.</w:t>
      </w:r>
      <w:r>
        <w:t>”).</w:t>
      </w:r>
    </w:p>
  </w:footnote>
  <w:footnote w:id="14">
    <w:p w:rsidR="006E6B16" w:rsidP="007B6D67" w14:paraId="1A6452FC" w14:textId="5E2D17C2">
      <w:pPr>
        <w:pStyle w:val="FootnoteText"/>
      </w:pPr>
      <w:r>
        <w:rPr>
          <w:rStyle w:val="FootnoteReference"/>
        </w:rPr>
        <w:footnoteRef/>
      </w:r>
      <w:r>
        <w:t xml:space="preserve"> </w:t>
      </w:r>
      <w:r>
        <w:tab/>
        <w:t>While California’s constitutional due process clause has generally been understood as requiring much the same process as the federal Constitution, we retain authority to construe the state charter independently.  (</w:t>
      </w:r>
      <w:r w:rsidRPr="00B14FD2">
        <w:rPr>
          <w:i/>
          <w:iCs/>
        </w:rPr>
        <w:t xml:space="preserve">People v. </w:t>
      </w:r>
      <w:r w:rsidRPr="00C20F12">
        <w:rPr>
          <w:i/>
          <w:iCs/>
          <w:szCs w:val="26"/>
        </w:rPr>
        <w:t>Allen</w:t>
      </w:r>
      <w:r>
        <w:rPr>
          <w:szCs w:val="26"/>
        </w:rPr>
        <w:t xml:space="preserve">, </w:t>
      </w:r>
      <w:r w:rsidRPr="00B14FD2">
        <w:rPr>
          <w:i/>
          <w:iCs/>
          <w:szCs w:val="26"/>
        </w:rPr>
        <w:t>supra</w:t>
      </w:r>
      <w:r>
        <w:rPr>
          <w:szCs w:val="26"/>
        </w:rPr>
        <w:t>, 44 Cal.4th at p. </w:t>
      </w:r>
      <w:r w:rsidRPr="00C20F12">
        <w:rPr>
          <w:szCs w:val="26"/>
        </w:rPr>
        <w:t>863</w:t>
      </w:r>
      <w:r>
        <w:t xml:space="preserve">, fn. 14.) </w:t>
      </w:r>
    </w:p>
  </w:footnote>
  <w:footnote w:id="15">
    <w:p w:rsidR="009F73FF" w:rsidP="009F73FF" w14:paraId="2B381730" w14:textId="77777777">
      <w:pPr>
        <w:pStyle w:val="FootnoteText"/>
      </w:pPr>
      <w:r>
        <w:rPr>
          <w:rStyle w:val="FootnoteReference"/>
        </w:rPr>
        <w:footnoteRef/>
      </w:r>
      <w:r>
        <w:t xml:space="preserve"> </w:t>
      </w:r>
      <w:r>
        <w:tab/>
        <w:t>For instance, the broad reading of section 1509(d) would ordinarily mandate dismissal of any subsequent petition raising claims based on intervening changes in the law</w:t>
      </w:r>
      <w:r>
        <w:t xml:space="preserve">.  </w:t>
      </w:r>
      <w:r>
        <w:rPr>
          <w:i/>
          <w:iCs/>
        </w:rPr>
        <w:t>Felker</w:t>
      </w:r>
      <w:r>
        <w:t xml:space="preserve"> had no occasion to consider the implications of such a limitation, since </w:t>
      </w:r>
      <w:r>
        <w:t xml:space="preserve">AEDPA makes an explicit exception for claims based on new rules of constitutional law made retroactive on collateral review.  </w:t>
      </w:r>
      <w:r w:rsidRPr="007B6D67">
        <w:t>(28 U.S.C. § 2244(b)(2)(A).)</w:t>
      </w:r>
    </w:p>
    <w:p w:rsidR="00D824D4" w:rsidP="00D824D4" w14:paraId="6DF26E62" w14:textId="2660BB11">
      <w:pPr>
        <w:pStyle w:val="FootnoteText"/>
      </w:pPr>
      <w:r>
        <w:rPr>
          <w:i/>
          <w:iCs/>
        </w:rPr>
        <w:tab/>
      </w:r>
      <w:r w:rsidRPr="007B6D67">
        <w:rPr>
          <w:i/>
          <w:iCs/>
        </w:rPr>
        <w:t>Felker</w:t>
      </w:r>
      <w:r w:rsidRPr="007B6D67">
        <w:t xml:space="preserve"> </w:t>
      </w:r>
      <w:r>
        <w:t xml:space="preserve">also concerned </w:t>
      </w:r>
      <w:r w:rsidRPr="007B6D67">
        <w:t xml:space="preserve">claims that could, in fact, have been raised earlier.  (See </w:t>
      </w:r>
      <w:r w:rsidRPr="007B6D67">
        <w:rPr>
          <w:i/>
          <w:iCs/>
        </w:rPr>
        <w:t>Felker</w:t>
      </w:r>
      <w:r w:rsidRPr="007B6D67">
        <w:t xml:space="preserve">, </w:t>
      </w:r>
      <w:r w:rsidRPr="007B6D67">
        <w:rPr>
          <w:i/>
          <w:iCs/>
        </w:rPr>
        <w:t>supra</w:t>
      </w:r>
      <w:r w:rsidRPr="007B6D67">
        <w:t xml:space="preserve">, 518 U.S. at pp. 657–658; see also </w:t>
      </w:r>
      <w:r w:rsidRPr="007B6D67">
        <w:rPr>
          <w:i/>
          <w:iCs/>
        </w:rPr>
        <w:t>Felker v. Turpin</w:t>
      </w:r>
      <w:r w:rsidRPr="007B6D67">
        <w:t xml:space="preserve"> (11th Cir. 1996) 83 F.3d 1303, 1306 [“Felker does not contend that the factual predicate for this claim could not have been discovered previously through the exercise of due diligence.”].)  The high court in </w:t>
      </w:r>
      <w:r w:rsidRPr="007B6D67">
        <w:rPr>
          <w:i/>
          <w:iCs/>
        </w:rPr>
        <w:t xml:space="preserve">Felker </w:t>
      </w:r>
      <w:r w:rsidRPr="007B6D67">
        <w:t>had no reason to address the constitutional implications of preventing a habeas petitioner from raising a substantial constitutional claim at the first available opportunity, as the broad reading of section 1509(d) would do.</w:t>
      </w:r>
      <w:r>
        <w:t xml:space="preserve">  </w:t>
      </w:r>
      <w:r>
        <w:t xml:space="preserve">Subsequent federal cases have addressed various questions concerning the application of AEDPA’s </w:t>
      </w:r>
      <w:r w:rsidRPr="005A1593">
        <w:t>second-or-successive</w:t>
      </w:r>
      <w:r>
        <w:t xml:space="preserve"> rules </w:t>
      </w:r>
      <w:r w:rsidRPr="00914A66">
        <w:t>in circumstances</w:t>
      </w:r>
      <w:r>
        <w:t xml:space="preserve"> where</w:t>
      </w:r>
      <w:r w:rsidRPr="00914A66">
        <w:t xml:space="preserve"> the petitioner could not reasonably have raised </w:t>
      </w:r>
      <w:r>
        <w:t xml:space="preserve">a particular </w:t>
      </w:r>
      <w:r w:rsidRPr="00914A66">
        <w:t>claim earlier.</w:t>
      </w:r>
      <w:r>
        <w:t xml:space="preserve">  (See</w:t>
      </w:r>
      <w:r w:rsidR="00956BD8">
        <w:t>, e.g.,</w:t>
      </w:r>
      <w:r>
        <w:t xml:space="preserve"> </w:t>
      </w:r>
      <w:r w:rsidRPr="005A1593">
        <w:rPr>
          <w:i/>
          <w:iCs/>
        </w:rPr>
        <w:t>Panetti v. Quarterman</w:t>
      </w:r>
      <w:r>
        <w:t xml:space="preserve">, </w:t>
      </w:r>
      <w:r w:rsidRPr="00C4066E">
        <w:rPr>
          <w:i/>
          <w:iCs/>
        </w:rPr>
        <w:t>supra</w:t>
      </w:r>
      <w:r>
        <w:t xml:space="preserve">, </w:t>
      </w:r>
      <w:r w:rsidRPr="00C4066E">
        <w:t>551</w:t>
      </w:r>
      <w:r w:rsidRPr="005A1593">
        <w:t xml:space="preserve"> U.S. </w:t>
      </w:r>
      <w:r>
        <w:t xml:space="preserve">at </w:t>
      </w:r>
      <w:r w:rsidRPr="005A1593">
        <w:t>pp. 945–946</w:t>
      </w:r>
      <w:r>
        <w:t xml:space="preserve"> [holding </w:t>
      </w:r>
      <w:r w:rsidRPr="005A1593">
        <w:t>that AEDPA’s rules do not apply to claims of incompetence to be executed</w:t>
      </w:r>
      <w:r>
        <w:t xml:space="preserve">, which </w:t>
      </w:r>
      <w:r w:rsidRPr="005A1593">
        <w:t>are typically not ripe until well after the initial habeas petition is filed</w:t>
      </w:r>
      <w:r>
        <w:t xml:space="preserve">, noting that </w:t>
      </w:r>
      <w:r w:rsidRPr="005A1593">
        <w:t>applying the second-or-successive standards to such claims would mean “petitioners ‘run the risk’ . . . of ‘forever losing their opportunity for any federal review’ ”</w:t>
      </w:r>
      <w:r>
        <w:t xml:space="preserve">]; </w:t>
      </w:r>
      <w:r w:rsidRPr="005A1593">
        <w:rPr>
          <w:i/>
          <w:iCs/>
        </w:rPr>
        <w:t>Scott v. U.S.</w:t>
      </w:r>
      <w:r w:rsidRPr="005A1593">
        <w:t xml:space="preserve"> (11th Cir. 2018) 890 F.3d 1239</w:t>
      </w:r>
      <w:r>
        <w:t>, 1247</w:t>
      </w:r>
      <w:r w:rsidRPr="005A1593">
        <w:t>–</w:t>
      </w:r>
      <w:r>
        <w:t>1258 [</w:t>
      </w:r>
      <w:r w:rsidRPr="005A1593">
        <w:t>criticiz</w:t>
      </w:r>
      <w:r>
        <w:t>ing</w:t>
      </w:r>
      <w:r w:rsidRPr="005A1593">
        <w:t xml:space="preserve"> circuit precedent holding that claims</w:t>
      </w:r>
      <w:r>
        <w:t xml:space="preserve"> under </w:t>
      </w:r>
      <w:r w:rsidRPr="005A1593">
        <w:rPr>
          <w:i/>
          <w:iCs/>
        </w:rPr>
        <w:t>Brady v. Maryland</w:t>
      </w:r>
      <w:r w:rsidRPr="005A1593">
        <w:t xml:space="preserve"> (1963) 373 U.S. 83 are subject to AEDPA’s gatekeeping provisions</w:t>
      </w:r>
      <w:r>
        <w:t>]</w:t>
      </w:r>
      <w:r>
        <w:t>.)</w:t>
      </w:r>
      <w:r w:rsidR="00956BD8">
        <w:t xml:space="preserve">  </w:t>
      </w:r>
      <w:r w:rsidR="007D4397">
        <w:t>In the end, however, i</w:t>
      </w:r>
      <w:r w:rsidR="00956BD8">
        <w:t>t bears repeating</w:t>
      </w:r>
      <w:r w:rsidR="007D4397">
        <w:t xml:space="preserve"> that these cases do not bind us in our interpretation of state law</w:t>
      </w:r>
      <w:r w:rsidR="00956BD8">
        <w:t>.</w:t>
      </w:r>
    </w:p>
  </w:footnote>
  <w:footnote w:id="16">
    <w:p w:rsidR="006E6B16" w:rsidP="007B6D67" w14:paraId="0130034D" w14:textId="6F0501E9">
      <w:pPr>
        <w:pStyle w:val="FootnoteText"/>
      </w:pPr>
      <w:r>
        <w:rPr>
          <w:rStyle w:val="FootnoteReference"/>
        </w:rPr>
        <w:footnoteRef/>
      </w:r>
      <w:r w:rsidR="001E73E9">
        <w:tab/>
      </w:r>
      <w:r>
        <w:t>No issue regarding the constitutionality of this change is raised here, and we express no opinion on the matter.</w:t>
      </w:r>
    </w:p>
  </w:footnote>
  <w:footnote w:id="17">
    <w:p w:rsidR="006E6B16" w:rsidRPr="009239CE" w:rsidP="007B6D67" w14:paraId="56A8741D" w14:textId="46DA3383">
      <w:pPr>
        <w:pStyle w:val="FootnoteText"/>
      </w:pPr>
      <w:r>
        <w:rPr>
          <w:rStyle w:val="FootnoteReference"/>
        </w:rPr>
        <w:footnoteRef/>
      </w:r>
      <w:r>
        <w:t xml:space="preserve"> </w:t>
      </w:r>
      <w:r>
        <w:tab/>
        <w:t xml:space="preserve">CJLF also argues from the initiative’s purpose but focuses on how </w:t>
      </w:r>
      <w:r>
        <w:rPr>
          <w:i/>
          <w:iCs/>
        </w:rPr>
        <w:t xml:space="preserve">federal </w:t>
      </w:r>
      <w:r w:rsidRPr="009E29BA">
        <w:t>court</w:t>
      </w:r>
      <w:r>
        <w:t xml:space="preserve"> proceedings may be affected by the interpretive question here.  The gist of the argument is that a broad reading of section 1509(d)’s bar on successive petitions, by providing federal district courts with grounds for considering state prisoners’ petitions defaulted without issuing stays for exhaustion in state court, will tend to expedite postconviction proceedings overall.  We express no opinion as to whether </w:t>
      </w:r>
      <w:r w:rsidR="00E53C98">
        <w:t xml:space="preserve">section </w:t>
      </w:r>
      <w:r>
        <w:t>1509(d), however construed, will or would have this effect.  As an interpretive matter, the argument is unavailing because neither the text of section 1509(d) nor anything in the materials presented to the voters indicate Proposition 66 was intended to affect federal court proceedings in this manner.</w:t>
      </w:r>
    </w:p>
  </w:footnote>
  <w:footnote w:id="18">
    <w:p w:rsidR="006E6B16" w:rsidRPr="00AD57CB" w:rsidP="007B6D67" w14:paraId="57C65936" w14:textId="0D064B10">
      <w:pPr>
        <w:pStyle w:val="FootnoteText"/>
      </w:pPr>
      <w:r>
        <w:rPr>
          <w:rStyle w:val="FootnoteReference"/>
        </w:rPr>
        <w:footnoteRef/>
      </w:r>
      <w:r>
        <w:t xml:space="preserve"> </w:t>
      </w:r>
      <w:r>
        <w:tab/>
        <w:t xml:space="preserve">We consider only cases like this one, in which the prior petition predated Proposition 66 but </w:t>
      </w:r>
      <w:r w:rsidRPr="00AD57CB">
        <w:rPr>
          <w:i/>
          <w:iCs/>
        </w:rPr>
        <w:t>postdated</w:t>
      </w:r>
      <w:r>
        <w:t xml:space="preserve"> our decision in </w:t>
      </w:r>
      <w:r>
        <w:rPr>
          <w:i/>
          <w:iCs/>
        </w:rPr>
        <w:t>Clark</w:t>
      </w:r>
      <w:r>
        <w:t xml:space="preserve">.  </w:t>
      </w:r>
      <w:r w:rsidRPr="007F689F">
        <w:t xml:space="preserve">We have declined to apply our successiveness bar where the </w:t>
      </w:r>
      <w:r>
        <w:t>prior</w:t>
      </w:r>
      <w:r w:rsidRPr="007F689F">
        <w:t xml:space="preserve"> petition predated </w:t>
      </w:r>
      <w:r w:rsidRPr="007F689F">
        <w:rPr>
          <w:i/>
          <w:iCs/>
        </w:rPr>
        <w:t>Clark</w:t>
      </w:r>
      <w:r w:rsidRPr="007F689F">
        <w:t xml:space="preserve"> because, before that decision, we had not applied </w:t>
      </w:r>
      <w:r>
        <w:t>a</w:t>
      </w:r>
      <w:r w:rsidRPr="007F689F">
        <w:t xml:space="preserve"> consistent</w:t>
      </w:r>
      <w:r>
        <w:t xml:space="preserve"> preclusive rule</w:t>
      </w:r>
      <w:r w:rsidRPr="007F689F">
        <w:t>.</w:t>
      </w:r>
      <w:r>
        <w:t xml:space="preserve">  </w:t>
      </w:r>
      <w:r w:rsidRPr="007F689F">
        <w:t>“</w:t>
      </w:r>
      <w:r w:rsidRPr="007F689F">
        <w:rPr>
          <w:i/>
          <w:iCs/>
        </w:rPr>
        <w:t>Clark</w:t>
      </w:r>
      <w:r>
        <w:rPr>
          <w:i/>
          <w:iCs/>
        </w:rPr>
        <w:t xml:space="preserve"> </w:t>
      </w:r>
      <w:r w:rsidRPr="007F689F">
        <w:t>serves to notify habeas corpus litigants that we shall apply the successiveness rule when we are faced with a petitioner whose prior petition was filed after the date of finality of </w:t>
      </w:r>
      <w:r w:rsidRPr="007F689F">
        <w:rPr>
          <w:i/>
          <w:iCs/>
        </w:rPr>
        <w:t>Clark.</w:t>
      </w:r>
      <w:r w:rsidRPr="007F689F">
        <w:t>”  (</w:t>
      </w:r>
      <w:r w:rsidRPr="007F689F">
        <w:rPr>
          <w:i/>
          <w:iCs/>
        </w:rPr>
        <w:t>Robbins</w:t>
      </w:r>
      <w:r>
        <w:t xml:space="preserve">, </w:t>
      </w:r>
      <w:r w:rsidRPr="00540EA0">
        <w:rPr>
          <w:i/>
          <w:iCs/>
        </w:rPr>
        <w:t>supra</w:t>
      </w:r>
      <w:r>
        <w:t xml:space="preserve">, </w:t>
      </w:r>
      <w:r w:rsidRPr="0084589A">
        <w:t>18</w:t>
      </w:r>
      <w:r w:rsidRPr="007F689F">
        <w:t xml:space="preserve"> Cal.4th </w:t>
      </w:r>
      <w:r>
        <w:t>at p. </w:t>
      </w:r>
      <w:r w:rsidRPr="007F689F">
        <w:t>788</w:t>
      </w:r>
      <w:r>
        <w:t>, fn. 9</w:t>
      </w:r>
      <w:r w:rsidRPr="007F689F">
        <w:t xml:space="preserve">.)  </w:t>
      </w:r>
      <w:r>
        <w:t xml:space="preserve">Our analysis here </w:t>
      </w:r>
      <w:r w:rsidR="00302B40">
        <w:t xml:space="preserve">does </w:t>
      </w:r>
      <w:r>
        <w:t xml:space="preserve">not apply to a case where the prior petition was filed before </w:t>
      </w:r>
      <w:r>
        <w:rPr>
          <w:i/>
          <w:iCs/>
        </w:rPr>
        <w:t>Clark</w:t>
      </w:r>
      <w:r>
        <w:t xml:space="preserve"> and the subsequent one after Proposition 66.</w:t>
      </w:r>
    </w:p>
  </w:footnote>
  <w:footnote w:id="19">
    <w:p w:rsidR="006E6B16" w:rsidRPr="00DE3CCF" w:rsidP="007B6D67" w14:paraId="512A0F72" w14:textId="7E8F8010">
      <w:pPr>
        <w:pStyle w:val="FootnoteText"/>
        <w:rPr>
          <w:szCs w:val="26"/>
        </w:rPr>
      </w:pPr>
      <w:r w:rsidRPr="00DE3CCF">
        <w:rPr>
          <w:rStyle w:val="FootnoteReference"/>
          <w:szCs w:val="26"/>
        </w:rPr>
        <w:footnoteRef/>
      </w:r>
      <w:r w:rsidRPr="00DE3CCF">
        <w:rPr>
          <w:szCs w:val="26"/>
        </w:rPr>
        <w:t xml:space="preserve"> </w:t>
      </w:r>
      <w:r>
        <w:rPr>
          <w:szCs w:val="26"/>
        </w:rPr>
        <w:tab/>
        <w:t>T</w:t>
      </w:r>
      <w:r w:rsidRPr="00DE3CCF">
        <w:rPr>
          <w:szCs w:val="26"/>
        </w:rPr>
        <w:t xml:space="preserve">he </w:t>
      </w:r>
      <w:r>
        <w:rPr>
          <w:szCs w:val="26"/>
        </w:rPr>
        <w:t xml:space="preserve">California </w:t>
      </w:r>
      <w:r w:rsidRPr="00DE3CCF">
        <w:rPr>
          <w:szCs w:val="26"/>
        </w:rPr>
        <w:t>Rules of Court</w:t>
      </w:r>
      <w:r>
        <w:rPr>
          <w:szCs w:val="26"/>
        </w:rPr>
        <w:t xml:space="preserve"> are no clearer on this point</w:t>
      </w:r>
      <w:r w:rsidRPr="00DE3CCF">
        <w:rPr>
          <w:szCs w:val="26"/>
        </w:rPr>
        <w:t>.  Rule 8.392 provides that the notice of appeal must identify the appeal as from denial of relief on a successive petition</w:t>
      </w:r>
      <w:r>
        <w:rPr>
          <w:szCs w:val="26"/>
        </w:rPr>
        <w:t xml:space="preserve"> (</w:t>
      </w:r>
      <w:r w:rsidR="006108FB">
        <w:rPr>
          <w:szCs w:val="26"/>
        </w:rPr>
        <w:t>rule 8.392</w:t>
      </w:r>
      <w:r w:rsidRPr="00381B17">
        <w:rPr>
          <w:szCs w:val="26"/>
        </w:rPr>
        <w:t>(b)(2)</w:t>
      </w:r>
      <w:r>
        <w:rPr>
          <w:szCs w:val="26"/>
        </w:rPr>
        <w:t>), and if the superior court denied a certificate of appealability the notice must “</w:t>
      </w:r>
      <w:r w:rsidRPr="0061786F">
        <w:rPr>
          <w:szCs w:val="26"/>
        </w:rPr>
        <w:t>explain how the requirements of </w:t>
      </w:r>
      <w:r w:rsidRPr="00BB6A96">
        <w:rPr>
          <w:szCs w:val="26"/>
        </w:rPr>
        <w:t>Penal Code section 1509(d)</w:t>
      </w:r>
      <w:r w:rsidRPr="0061786F">
        <w:rPr>
          <w:szCs w:val="26"/>
        </w:rPr>
        <w:t> have been met</w:t>
      </w:r>
      <w:r>
        <w:rPr>
          <w:szCs w:val="26"/>
        </w:rPr>
        <w:t>” (</w:t>
      </w:r>
      <w:r w:rsidR="006108FB">
        <w:rPr>
          <w:szCs w:val="26"/>
        </w:rPr>
        <w:t>rule 8.392</w:t>
      </w:r>
      <w:r>
        <w:rPr>
          <w:szCs w:val="26"/>
        </w:rPr>
        <w:t xml:space="preserve">(b)(3)).  On its face, this rule appears to preclude a petitioner from </w:t>
      </w:r>
      <w:r w:rsidRPr="00DE3CCF">
        <w:rPr>
          <w:szCs w:val="26"/>
        </w:rPr>
        <w:t>fil</w:t>
      </w:r>
      <w:r>
        <w:rPr>
          <w:szCs w:val="26"/>
        </w:rPr>
        <w:t>ing</w:t>
      </w:r>
      <w:r w:rsidRPr="00DE3CCF">
        <w:rPr>
          <w:szCs w:val="26"/>
        </w:rPr>
        <w:t xml:space="preserve"> a noncertificate appeal and argu</w:t>
      </w:r>
      <w:r>
        <w:rPr>
          <w:szCs w:val="26"/>
        </w:rPr>
        <w:t>ing</w:t>
      </w:r>
      <w:r w:rsidRPr="00DE3CCF">
        <w:rPr>
          <w:szCs w:val="26"/>
        </w:rPr>
        <w:t xml:space="preserve"> in the briefing that the superior court erred in finding the petition successive.</w:t>
      </w:r>
      <w:r>
        <w:rPr>
          <w:szCs w:val="26"/>
        </w:rPr>
        <w:t xml:space="preserve">  Left unclear, though, is whether the petitioner may seek a certificate from the Court of Appeal on the basis of a substantial showing that the petition, or some of its claims, were erroneously deemed successive.  Similarly, rule 4.576(b) provides that in issuing a certificate of appealability on a successive petition the superior court “</w:t>
      </w:r>
      <w:r w:rsidRPr="009C4213">
        <w:rPr>
          <w:szCs w:val="26"/>
        </w:rPr>
        <w:t>must identify the substantial claim or claims for relief shown by the petitioner and the substantial claim that the requirements of</w:t>
      </w:r>
      <w:r w:rsidR="00254026">
        <w:rPr>
          <w:szCs w:val="26"/>
        </w:rPr>
        <w:t xml:space="preserve"> </w:t>
      </w:r>
      <w:r w:rsidRPr="00C74C80">
        <w:rPr>
          <w:szCs w:val="26"/>
        </w:rPr>
        <w:t>Penal Code section 1509(d)</w:t>
      </w:r>
      <w:r w:rsidR="00254026">
        <w:rPr>
          <w:szCs w:val="26"/>
        </w:rPr>
        <w:t xml:space="preserve"> </w:t>
      </w:r>
      <w:r w:rsidRPr="009C4213">
        <w:rPr>
          <w:szCs w:val="26"/>
        </w:rPr>
        <w:t>have been met.</w:t>
      </w:r>
      <w:r>
        <w:rPr>
          <w:szCs w:val="26"/>
        </w:rPr>
        <w:t>”  The rule neither allows nor disallows the issuance of a certificate on a substantial showing that the petition, or some of its claims, are not successive.</w:t>
      </w:r>
    </w:p>
  </w:footnote>
  <w:footnote w:id="20">
    <w:p w:rsidR="006E6B16" w:rsidP="007B6D67" w14:paraId="40B8F6E2" w14:textId="067ADF78">
      <w:pPr>
        <w:pStyle w:val="FootnoteText"/>
      </w:pPr>
      <w:r>
        <w:rPr>
          <w:rStyle w:val="FootnoteReference"/>
        </w:rPr>
        <w:footnoteRef/>
      </w:r>
      <w:r>
        <w:t xml:space="preserve"> </w:t>
      </w:r>
      <w:r>
        <w:tab/>
        <w:t xml:space="preserve">As a third option, </w:t>
      </w:r>
      <w:r w:rsidRPr="003C051C">
        <w:t xml:space="preserve">Friend </w:t>
      </w:r>
      <w:r>
        <w:t xml:space="preserve">suggests the certificate requirement might be excused for threshold issues such as successiveness while applying to the merits of the claim.  He points to no textual support for this reading, though, and explains that it would amount, in practice, to permitting an appeal under </w:t>
      </w:r>
      <w:r w:rsidR="006108FB">
        <w:t>Penal Code</w:t>
      </w:r>
      <w:r>
        <w:t xml:space="preserve"> section 1509.1, subdivision (a), as an initial petition.  We need not address this unsupported reading further.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D67" w14:paraId="234AF012" w14:textId="77777777">
    <w:pPr>
      <w:pStyle w:val="Header"/>
    </w:pPr>
    <w:bookmarkStart w:id="0" w:name="_Hlk72565857"/>
    <w:bookmarkStart w:id="1" w:name="_Hlk72565858"/>
    <w:r>
      <w:t>In re FRIEND</w:t>
    </w:r>
  </w:p>
  <w:p w:rsidR="007B6D67" w14:paraId="0CE89B7D" w14:textId="77777777">
    <w:pPr>
      <w:pStyle w:val="Header"/>
    </w:pPr>
    <w:r>
      <w:t>Opinion of the Court by Kruger, J.</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6D25" w14:paraId="5C5038E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6D25" w14:paraId="7351D057"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6D25" w14:paraId="0A6EA3C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A221BE5"/>
    <w:multiLevelType w:val="hybridMultilevel"/>
    <w:tmpl w:val="88025A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B5"/>
    <w:rsid w:val="0000032C"/>
    <w:rsid w:val="0000074C"/>
    <w:rsid w:val="00000836"/>
    <w:rsid w:val="00000C57"/>
    <w:rsid w:val="00001075"/>
    <w:rsid w:val="00001668"/>
    <w:rsid w:val="000019DC"/>
    <w:rsid w:val="00001C65"/>
    <w:rsid w:val="00001E7B"/>
    <w:rsid w:val="000033D8"/>
    <w:rsid w:val="00003DE1"/>
    <w:rsid w:val="000043C0"/>
    <w:rsid w:val="0000516C"/>
    <w:rsid w:val="000051EB"/>
    <w:rsid w:val="0000603D"/>
    <w:rsid w:val="00006684"/>
    <w:rsid w:val="00006F04"/>
    <w:rsid w:val="00007070"/>
    <w:rsid w:val="000071E2"/>
    <w:rsid w:val="00007489"/>
    <w:rsid w:val="00007FBE"/>
    <w:rsid w:val="0001028F"/>
    <w:rsid w:val="0001052E"/>
    <w:rsid w:val="00010935"/>
    <w:rsid w:val="00010AD8"/>
    <w:rsid w:val="00010C81"/>
    <w:rsid w:val="00010DCA"/>
    <w:rsid w:val="00010EDF"/>
    <w:rsid w:val="000122CC"/>
    <w:rsid w:val="00012584"/>
    <w:rsid w:val="000128CD"/>
    <w:rsid w:val="00012A5B"/>
    <w:rsid w:val="0001304C"/>
    <w:rsid w:val="000130EF"/>
    <w:rsid w:val="0001330D"/>
    <w:rsid w:val="00013F88"/>
    <w:rsid w:val="0001407F"/>
    <w:rsid w:val="000149C9"/>
    <w:rsid w:val="00016278"/>
    <w:rsid w:val="000168BF"/>
    <w:rsid w:val="00017179"/>
    <w:rsid w:val="000178A5"/>
    <w:rsid w:val="000202BA"/>
    <w:rsid w:val="00020ED2"/>
    <w:rsid w:val="00022135"/>
    <w:rsid w:val="00022651"/>
    <w:rsid w:val="00023D36"/>
    <w:rsid w:val="00024AEA"/>
    <w:rsid w:val="00024E7D"/>
    <w:rsid w:val="0002547C"/>
    <w:rsid w:val="00025662"/>
    <w:rsid w:val="00025A13"/>
    <w:rsid w:val="00025C60"/>
    <w:rsid w:val="00025D42"/>
    <w:rsid w:val="00025EE5"/>
    <w:rsid w:val="00025FEB"/>
    <w:rsid w:val="0002603D"/>
    <w:rsid w:val="00026301"/>
    <w:rsid w:val="000263C2"/>
    <w:rsid w:val="00026768"/>
    <w:rsid w:val="00026918"/>
    <w:rsid w:val="00026DD1"/>
    <w:rsid w:val="00027422"/>
    <w:rsid w:val="0002769A"/>
    <w:rsid w:val="00027D1F"/>
    <w:rsid w:val="00027DCD"/>
    <w:rsid w:val="00031359"/>
    <w:rsid w:val="000318CC"/>
    <w:rsid w:val="000323ED"/>
    <w:rsid w:val="0003273C"/>
    <w:rsid w:val="00032C3E"/>
    <w:rsid w:val="00032D41"/>
    <w:rsid w:val="0003358C"/>
    <w:rsid w:val="000337AE"/>
    <w:rsid w:val="00034591"/>
    <w:rsid w:val="000345F1"/>
    <w:rsid w:val="00034F65"/>
    <w:rsid w:val="00035522"/>
    <w:rsid w:val="00035598"/>
    <w:rsid w:val="00035AA0"/>
    <w:rsid w:val="0003643A"/>
    <w:rsid w:val="0003685B"/>
    <w:rsid w:val="000368FE"/>
    <w:rsid w:val="00037376"/>
    <w:rsid w:val="000375E9"/>
    <w:rsid w:val="0003780C"/>
    <w:rsid w:val="000378FB"/>
    <w:rsid w:val="00037A38"/>
    <w:rsid w:val="00037AEC"/>
    <w:rsid w:val="000400BE"/>
    <w:rsid w:val="0004080C"/>
    <w:rsid w:val="00040B12"/>
    <w:rsid w:val="000411B9"/>
    <w:rsid w:val="000413E7"/>
    <w:rsid w:val="00041991"/>
    <w:rsid w:val="00041A1E"/>
    <w:rsid w:val="000421DA"/>
    <w:rsid w:val="0004274A"/>
    <w:rsid w:val="00042A6B"/>
    <w:rsid w:val="00042F8D"/>
    <w:rsid w:val="00043067"/>
    <w:rsid w:val="00043686"/>
    <w:rsid w:val="00043823"/>
    <w:rsid w:val="000439DC"/>
    <w:rsid w:val="000439FF"/>
    <w:rsid w:val="00043A1C"/>
    <w:rsid w:val="000441FF"/>
    <w:rsid w:val="000442DA"/>
    <w:rsid w:val="0004539A"/>
    <w:rsid w:val="0004608D"/>
    <w:rsid w:val="0004650E"/>
    <w:rsid w:val="00047569"/>
    <w:rsid w:val="00047918"/>
    <w:rsid w:val="00047E1E"/>
    <w:rsid w:val="00047F09"/>
    <w:rsid w:val="000500F9"/>
    <w:rsid w:val="00050BD4"/>
    <w:rsid w:val="00050E63"/>
    <w:rsid w:val="00051614"/>
    <w:rsid w:val="000516E7"/>
    <w:rsid w:val="00051938"/>
    <w:rsid w:val="00051D0A"/>
    <w:rsid w:val="000524B7"/>
    <w:rsid w:val="00053056"/>
    <w:rsid w:val="00053356"/>
    <w:rsid w:val="000537A6"/>
    <w:rsid w:val="000547DB"/>
    <w:rsid w:val="00054CAF"/>
    <w:rsid w:val="00055584"/>
    <w:rsid w:val="00055A9D"/>
    <w:rsid w:val="00055C83"/>
    <w:rsid w:val="00055C85"/>
    <w:rsid w:val="000561FB"/>
    <w:rsid w:val="00056F51"/>
    <w:rsid w:val="00057257"/>
    <w:rsid w:val="00060252"/>
    <w:rsid w:val="00060275"/>
    <w:rsid w:val="000607B8"/>
    <w:rsid w:val="000609D3"/>
    <w:rsid w:val="00060FDF"/>
    <w:rsid w:val="000611F1"/>
    <w:rsid w:val="000614CE"/>
    <w:rsid w:val="000615FE"/>
    <w:rsid w:val="00061611"/>
    <w:rsid w:val="000618BB"/>
    <w:rsid w:val="000624E3"/>
    <w:rsid w:val="0006262D"/>
    <w:rsid w:val="000627D4"/>
    <w:rsid w:val="00062A2A"/>
    <w:rsid w:val="00062FC0"/>
    <w:rsid w:val="000632D5"/>
    <w:rsid w:val="000638BE"/>
    <w:rsid w:val="0006404D"/>
    <w:rsid w:val="00065765"/>
    <w:rsid w:val="000671D1"/>
    <w:rsid w:val="00067B54"/>
    <w:rsid w:val="000706D0"/>
    <w:rsid w:val="0007094E"/>
    <w:rsid w:val="00071094"/>
    <w:rsid w:val="0007208E"/>
    <w:rsid w:val="0007275F"/>
    <w:rsid w:val="00073A21"/>
    <w:rsid w:val="0007435C"/>
    <w:rsid w:val="00074E95"/>
    <w:rsid w:val="0007540E"/>
    <w:rsid w:val="0007567E"/>
    <w:rsid w:val="0007573F"/>
    <w:rsid w:val="00075931"/>
    <w:rsid w:val="00075ACF"/>
    <w:rsid w:val="00077C61"/>
    <w:rsid w:val="00080394"/>
    <w:rsid w:val="000808B1"/>
    <w:rsid w:val="00080A50"/>
    <w:rsid w:val="00080B5E"/>
    <w:rsid w:val="0008177F"/>
    <w:rsid w:val="0008188F"/>
    <w:rsid w:val="00081DEB"/>
    <w:rsid w:val="00082205"/>
    <w:rsid w:val="00082530"/>
    <w:rsid w:val="00082D95"/>
    <w:rsid w:val="00083739"/>
    <w:rsid w:val="00083BA3"/>
    <w:rsid w:val="00083BAF"/>
    <w:rsid w:val="000844A0"/>
    <w:rsid w:val="00084692"/>
    <w:rsid w:val="00084CA9"/>
    <w:rsid w:val="00085A73"/>
    <w:rsid w:val="000865B7"/>
    <w:rsid w:val="00086A1A"/>
    <w:rsid w:val="00087066"/>
    <w:rsid w:val="00087449"/>
    <w:rsid w:val="000876BC"/>
    <w:rsid w:val="00087AB9"/>
    <w:rsid w:val="00090518"/>
    <w:rsid w:val="00090DDF"/>
    <w:rsid w:val="0009119C"/>
    <w:rsid w:val="00091B17"/>
    <w:rsid w:val="00091E89"/>
    <w:rsid w:val="00092B21"/>
    <w:rsid w:val="00093234"/>
    <w:rsid w:val="00093A0D"/>
    <w:rsid w:val="00093C36"/>
    <w:rsid w:val="0009415D"/>
    <w:rsid w:val="000956DA"/>
    <w:rsid w:val="000958D7"/>
    <w:rsid w:val="00095E16"/>
    <w:rsid w:val="0009604E"/>
    <w:rsid w:val="00096B73"/>
    <w:rsid w:val="00096E10"/>
    <w:rsid w:val="00096EE4"/>
    <w:rsid w:val="00097EC5"/>
    <w:rsid w:val="00097F7D"/>
    <w:rsid w:val="000A0386"/>
    <w:rsid w:val="000A072B"/>
    <w:rsid w:val="000A0771"/>
    <w:rsid w:val="000A0E13"/>
    <w:rsid w:val="000A0ED0"/>
    <w:rsid w:val="000A1026"/>
    <w:rsid w:val="000A11F0"/>
    <w:rsid w:val="000A1638"/>
    <w:rsid w:val="000A18F5"/>
    <w:rsid w:val="000A1A5E"/>
    <w:rsid w:val="000A1E7D"/>
    <w:rsid w:val="000A2F42"/>
    <w:rsid w:val="000A3FA7"/>
    <w:rsid w:val="000A462D"/>
    <w:rsid w:val="000A48E7"/>
    <w:rsid w:val="000A535D"/>
    <w:rsid w:val="000A5ADF"/>
    <w:rsid w:val="000A5E7F"/>
    <w:rsid w:val="000A607F"/>
    <w:rsid w:val="000A6170"/>
    <w:rsid w:val="000A6264"/>
    <w:rsid w:val="000A6381"/>
    <w:rsid w:val="000A674E"/>
    <w:rsid w:val="000A6C60"/>
    <w:rsid w:val="000A70BB"/>
    <w:rsid w:val="000A76B8"/>
    <w:rsid w:val="000A7E26"/>
    <w:rsid w:val="000B01D4"/>
    <w:rsid w:val="000B0572"/>
    <w:rsid w:val="000B085F"/>
    <w:rsid w:val="000B088B"/>
    <w:rsid w:val="000B1125"/>
    <w:rsid w:val="000B177E"/>
    <w:rsid w:val="000B1EE6"/>
    <w:rsid w:val="000B2B1C"/>
    <w:rsid w:val="000B34B8"/>
    <w:rsid w:val="000B3743"/>
    <w:rsid w:val="000B3E65"/>
    <w:rsid w:val="000B4886"/>
    <w:rsid w:val="000B48FF"/>
    <w:rsid w:val="000B5554"/>
    <w:rsid w:val="000B5F77"/>
    <w:rsid w:val="000B6640"/>
    <w:rsid w:val="000B7389"/>
    <w:rsid w:val="000B73F6"/>
    <w:rsid w:val="000B7C81"/>
    <w:rsid w:val="000B7CAF"/>
    <w:rsid w:val="000B7D5E"/>
    <w:rsid w:val="000C1634"/>
    <w:rsid w:val="000C18A0"/>
    <w:rsid w:val="000C2339"/>
    <w:rsid w:val="000C306C"/>
    <w:rsid w:val="000C361E"/>
    <w:rsid w:val="000C3D45"/>
    <w:rsid w:val="000C41F8"/>
    <w:rsid w:val="000C4561"/>
    <w:rsid w:val="000C4836"/>
    <w:rsid w:val="000C4B85"/>
    <w:rsid w:val="000C5453"/>
    <w:rsid w:val="000C681F"/>
    <w:rsid w:val="000C6D12"/>
    <w:rsid w:val="000C6DA1"/>
    <w:rsid w:val="000C7078"/>
    <w:rsid w:val="000C715A"/>
    <w:rsid w:val="000C724F"/>
    <w:rsid w:val="000C7836"/>
    <w:rsid w:val="000C7C6D"/>
    <w:rsid w:val="000D0BF4"/>
    <w:rsid w:val="000D0F10"/>
    <w:rsid w:val="000D1267"/>
    <w:rsid w:val="000D258B"/>
    <w:rsid w:val="000D2DEF"/>
    <w:rsid w:val="000D3028"/>
    <w:rsid w:val="000D3622"/>
    <w:rsid w:val="000D4145"/>
    <w:rsid w:val="000D46AF"/>
    <w:rsid w:val="000D4F69"/>
    <w:rsid w:val="000D537E"/>
    <w:rsid w:val="000D54CC"/>
    <w:rsid w:val="000D5789"/>
    <w:rsid w:val="000D5A5A"/>
    <w:rsid w:val="000D5BEB"/>
    <w:rsid w:val="000D60F4"/>
    <w:rsid w:val="000D6674"/>
    <w:rsid w:val="000D6A52"/>
    <w:rsid w:val="000D6B05"/>
    <w:rsid w:val="000D6BEA"/>
    <w:rsid w:val="000D6FEB"/>
    <w:rsid w:val="000D7893"/>
    <w:rsid w:val="000E01CF"/>
    <w:rsid w:val="000E0843"/>
    <w:rsid w:val="000E0E1D"/>
    <w:rsid w:val="000E1616"/>
    <w:rsid w:val="000E166B"/>
    <w:rsid w:val="000E1EA5"/>
    <w:rsid w:val="000E20A6"/>
    <w:rsid w:val="000E2401"/>
    <w:rsid w:val="000E2A6D"/>
    <w:rsid w:val="000E2D18"/>
    <w:rsid w:val="000E3085"/>
    <w:rsid w:val="000E3308"/>
    <w:rsid w:val="000E3618"/>
    <w:rsid w:val="000E3860"/>
    <w:rsid w:val="000E4238"/>
    <w:rsid w:val="000E4637"/>
    <w:rsid w:val="000E4A18"/>
    <w:rsid w:val="000E54B1"/>
    <w:rsid w:val="000E5B36"/>
    <w:rsid w:val="000E676E"/>
    <w:rsid w:val="000E7094"/>
    <w:rsid w:val="000E713E"/>
    <w:rsid w:val="000E75D4"/>
    <w:rsid w:val="000E7722"/>
    <w:rsid w:val="000E7D10"/>
    <w:rsid w:val="000E7D39"/>
    <w:rsid w:val="000F0C81"/>
    <w:rsid w:val="000F1828"/>
    <w:rsid w:val="000F214C"/>
    <w:rsid w:val="000F285E"/>
    <w:rsid w:val="000F31CB"/>
    <w:rsid w:val="000F329E"/>
    <w:rsid w:val="000F3790"/>
    <w:rsid w:val="000F39BB"/>
    <w:rsid w:val="000F44B6"/>
    <w:rsid w:val="000F461F"/>
    <w:rsid w:val="000F4634"/>
    <w:rsid w:val="000F4923"/>
    <w:rsid w:val="000F528B"/>
    <w:rsid w:val="000F5D19"/>
    <w:rsid w:val="000F6D94"/>
    <w:rsid w:val="000F76B8"/>
    <w:rsid w:val="001002A2"/>
    <w:rsid w:val="0010044C"/>
    <w:rsid w:val="001007FA"/>
    <w:rsid w:val="00100C0C"/>
    <w:rsid w:val="00100E0C"/>
    <w:rsid w:val="00100E78"/>
    <w:rsid w:val="00101432"/>
    <w:rsid w:val="001016EF"/>
    <w:rsid w:val="001017AE"/>
    <w:rsid w:val="00103875"/>
    <w:rsid w:val="0010406E"/>
    <w:rsid w:val="00104517"/>
    <w:rsid w:val="0010544D"/>
    <w:rsid w:val="0010555C"/>
    <w:rsid w:val="00105915"/>
    <w:rsid w:val="00106706"/>
    <w:rsid w:val="001071A6"/>
    <w:rsid w:val="00107296"/>
    <w:rsid w:val="00107351"/>
    <w:rsid w:val="00107DA8"/>
    <w:rsid w:val="001108F9"/>
    <w:rsid w:val="00110CCB"/>
    <w:rsid w:val="00111872"/>
    <w:rsid w:val="00111B05"/>
    <w:rsid w:val="0011243C"/>
    <w:rsid w:val="00112913"/>
    <w:rsid w:val="00112C7C"/>
    <w:rsid w:val="00113193"/>
    <w:rsid w:val="00114852"/>
    <w:rsid w:val="001153E1"/>
    <w:rsid w:val="001154C5"/>
    <w:rsid w:val="001157B0"/>
    <w:rsid w:val="00115868"/>
    <w:rsid w:val="00115934"/>
    <w:rsid w:val="00115940"/>
    <w:rsid w:val="00115B45"/>
    <w:rsid w:val="00115B6A"/>
    <w:rsid w:val="00115F94"/>
    <w:rsid w:val="001166D0"/>
    <w:rsid w:val="00116C4A"/>
    <w:rsid w:val="0011748F"/>
    <w:rsid w:val="00117A25"/>
    <w:rsid w:val="00117BD5"/>
    <w:rsid w:val="00117F9B"/>
    <w:rsid w:val="0012028D"/>
    <w:rsid w:val="00121B75"/>
    <w:rsid w:val="00121D2F"/>
    <w:rsid w:val="00121F0F"/>
    <w:rsid w:val="00122575"/>
    <w:rsid w:val="00122BDC"/>
    <w:rsid w:val="00122F8B"/>
    <w:rsid w:val="00123540"/>
    <w:rsid w:val="00123BAE"/>
    <w:rsid w:val="00123F09"/>
    <w:rsid w:val="001242D6"/>
    <w:rsid w:val="001248E6"/>
    <w:rsid w:val="001249B4"/>
    <w:rsid w:val="00125555"/>
    <w:rsid w:val="00125CD8"/>
    <w:rsid w:val="00126167"/>
    <w:rsid w:val="00126723"/>
    <w:rsid w:val="00126F82"/>
    <w:rsid w:val="00127135"/>
    <w:rsid w:val="001277E8"/>
    <w:rsid w:val="00127CBB"/>
    <w:rsid w:val="00127EB6"/>
    <w:rsid w:val="00130186"/>
    <w:rsid w:val="00130347"/>
    <w:rsid w:val="00130442"/>
    <w:rsid w:val="00130C41"/>
    <w:rsid w:val="00130E59"/>
    <w:rsid w:val="0013108F"/>
    <w:rsid w:val="00131AD3"/>
    <w:rsid w:val="00131D7C"/>
    <w:rsid w:val="00132043"/>
    <w:rsid w:val="001325E0"/>
    <w:rsid w:val="00132E77"/>
    <w:rsid w:val="00133626"/>
    <w:rsid w:val="00133628"/>
    <w:rsid w:val="001338CE"/>
    <w:rsid w:val="0013397F"/>
    <w:rsid w:val="00133A86"/>
    <w:rsid w:val="00134BFA"/>
    <w:rsid w:val="00134E4F"/>
    <w:rsid w:val="001351F2"/>
    <w:rsid w:val="00135AF0"/>
    <w:rsid w:val="00135BB3"/>
    <w:rsid w:val="001367B4"/>
    <w:rsid w:val="00137886"/>
    <w:rsid w:val="001379C6"/>
    <w:rsid w:val="00140166"/>
    <w:rsid w:val="00140CAF"/>
    <w:rsid w:val="00140F4D"/>
    <w:rsid w:val="0014115F"/>
    <w:rsid w:val="001411C0"/>
    <w:rsid w:val="00141BB9"/>
    <w:rsid w:val="001422B8"/>
    <w:rsid w:val="0014266B"/>
    <w:rsid w:val="00142ADD"/>
    <w:rsid w:val="00142DE0"/>
    <w:rsid w:val="0014319B"/>
    <w:rsid w:val="00143391"/>
    <w:rsid w:val="00143640"/>
    <w:rsid w:val="00143AE3"/>
    <w:rsid w:val="00143F20"/>
    <w:rsid w:val="00144A20"/>
    <w:rsid w:val="00145049"/>
    <w:rsid w:val="001450A8"/>
    <w:rsid w:val="00145BF9"/>
    <w:rsid w:val="00145CA5"/>
    <w:rsid w:val="001460B3"/>
    <w:rsid w:val="00146739"/>
    <w:rsid w:val="001477C2"/>
    <w:rsid w:val="00147D46"/>
    <w:rsid w:val="00150328"/>
    <w:rsid w:val="001506AC"/>
    <w:rsid w:val="00150C15"/>
    <w:rsid w:val="0015236B"/>
    <w:rsid w:val="00152BF2"/>
    <w:rsid w:val="0015321B"/>
    <w:rsid w:val="00153D34"/>
    <w:rsid w:val="00154B48"/>
    <w:rsid w:val="00154E5D"/>
    <w:rsid w:val="00155498"/>
    <w:rsid w:val="00155820"/>
    <w:rsid w:val="00155BA3"/>
    <w:rsid w:val="0015637C"/>
    <w:rsid w:val="001569A3"/>
    <w:rsid w:val="0015762A"/>
    <w:rsid w:val="001577FA"/>
    <w:rsid w:val="001601DC"/>
    <w:rsid w:val="00160B6A"/>
    <w:rsid w:val="001611E0"/>
    <w:rsid w:val="00161C59"/>
    <w:rsid w:val="001627AE"/>
    <w:rsid w:val="001629B7"/>
    <w:rsid w:val="00162E1C"/>
    <w:rsid w:val="001649DC"/>
    <w:rsid w:val="00165B22"/>
    <w:rsid w:val="00167562"/>
    <w:rsid w:val="001676DF"/>
    <w:rsid w:val="00167AEC"/>
    <w:rsid w:val="00170059"/>
    <w:rsid w:val="00170762"/>
    <w:rsid w:val="00170869"/>
    <w:rsid w:val="00170920"/>
    <w:rsid w:val="00170DFD"/>
    <w:rsid w:val="00171641"/>
    <w:rsid w:val="00171B58"/>
    <w:rsid w:val="0017362C"/>
    <w:rsid w:val="001737E2"/>
    <w:rsid w:val="00173B05"/>
    <w:rsid w:val="00173CED"/>
    <w:rsid w:val="00173E76"/>
    <w:rsid w:val="00173EE7"/>
    <w:rsid w:val="001742D7"/>
    <w:rsid w:val="0017442A"/>
    <w:rsid w:val="001747AB"/>
    <w:rsid w:val="001748C7"/>
    <w:rsid w:val="00174939"/>
    <w:rsid w:val="00174AE2"/>
    <w:rsid w:val="001755EE"/>
    <w:rsid w:val="001756E9"/>
    <w:rsid w:val="00175E36"/>
    <w:rsid w:val="0017707E"/>
    <w:rsid w:val="00177132"/>
    <w:rsid w:val="00177476"/>
    <w:rsid w:val="00177865"/>
    <w:rsid w:val="00177891"/>
    <w:rsid w:val="001803B6"/>
    <w:rsid w:val="00181197"/>
    <w:rsid w:val="00181A37"/>
    <w:rsid w:val="00183D68"/>
    <w:rsid w:val="00183FCF"/>
    <w:rsid w:val="00184597"/>
    <w:rsid w:val="00184C75"/>
    <w:rsid w:val="00185DE3"/>
    <w:rsid w:val="001862EB"/>
    <w:rsid w:val="00186850"/>
    <w:rsid w:val="00186C35"/>
    <w:rsid w:val="00186E01"/>
    <w:rsid w:val="001871E2"/>
    <w:rsid w:val="00190555"/>
    <w:rsid w:val="00190A39"/>
    <w:rsid w:val="00190D6D"/>
    <w:rsid w:val="001916A0"/>
    <w:rsid w:val="00191DC4"/>
    <w:rsid w:val="001921D3"/>
    <w:rsid w:val="001937AD"/>
    <w:rsid w:val="0019386D"/>
    <w:rsid w:val="00193B08"/>
    <w:rsid w:val="00193BF1"/>
    <w:rsid w:val="001949F4"/>
    <w:rsid w:val="00195BCC"/>
    <w:rsid w:val="0019609F"/>
    <w:rsid w:val="00196B97"/>
    <w:rsid w:val="00196F61"/>
    <w:rsid w:val="001978B3"/>
    <w:rsid w:val="001A0AE9"/>
    <w:rsid w:val="001A145D"/>
    <w:rsid w:val="001A1531"/>
    <w:rsid w:val="001A1F40"/>
    <w:rsid w:val="001A2CBD"/>
    <w:rsid w:val="001A3037"/>
    <w:rsid w:val="001A3CB9"/>
    <w:rsid w:val="001A419C"/>
    <w:rsid w:val="001A4312"/>
    <w:rsid w:val="001A5547"/>
    <w:rsid w:val="001A55C0"/>
    <w:rsid w:val="001A59D0"/>
    <w:rsid w:val="001A5F32"/>
    <w:rsid w:val="001A68AF"/>
    <w:rsid w:val="001A6CAA"/>
    <w:rsid w:val="001A6EDC"/>
    <w:rsid w:val="001A72DA"/>
    <w:rsid w:val="001A7AC3"/>
    <w:rsid w:val="001A7AE8"/>
    <w:rsid w:val="001A7F1C"/>
    <w:rsid w:val="001B06CC"/>
    <w:rsid w:val="001B08CE"/>
    <w:rsid w:val="001B10BB"/>
    <w:rsid w:val="001B1195"/>
    <w:rsid w:val="001B18CE"/>
    <w:rsid w:val="001B1CA4"/>
    <w:rsid w:val="001B1D1A"/>
    <w:rsid w:val="001B230C"/>
    <w:rsid w:val="001B2AE6"/>
    <w:rsid w:val="001B2B7F"/>
    <w:rsid w:val="001B2F86"/>
    <w:rsid w:val="001B3415"/>
    <w:rsid w:val="001B3502"/>
    <w:rsid w:val="001B37BB"/>
    <w:rsid w:val="001B3D5C"/>
    <w:rsid w:val="001B3ED1"/>
    <w:rsid w:val="001B4BB6"/>
    <w:rsid w:val="001B593D"/>
    <w:rsid w:val="001B5AF1"/>
    <w:rsid w:val="001B5D5A"/>
    <w:rsid w:val="001B693A"/>
    <w:rsid w:val="001B6A12"/>
    <w:rsid w:val="001B6DD1"/>
    <w:rsid w:val="001B78A2"/>
    <w:rsid w:val="001B7EFB"/>
    <w:rsid w:val="001B7F04"/>
    <w:rsid w:val="001C00A5"/>
    <w:rsid w:val="001C0237"/>
    <w:rsid w:val="001C21F1"/>
    <w:rsid w:val="001C222F"/>
    <w:rsid w:val="001C2B3B"/>
    <w:rsid w:val="001C31D6"/>
    <w:rsid w:val="001C34CF"/>
    <w:rsid w:val="001C388C"/>
    <w:rsid w:val="001C3E32"/>
    <w:rsid w:val="001C417D"/>
    <w:rsid w:val="001C4882"/>
    <w:rsid w:val="001C4AC6"/>
    <w:rsid w:val="001C4FEB"/>
    <w:rsid w:val="001C507A"/>
    <w:rsid w:val="001C5427"/>
    <w:rsid w:val="001C58F5"/>
    <w:rsid w:val="001C5CB8"/>
    <w:rsid w:val="001C5E36"/>
    <w:rsid w:val="001C638C"/>
    <w:rsid w:val="001C659F"/>
    <w:rsid w:val="001C6FEF"/>
    <w:rsid w:val="001C7600"/>
    <w:rsid w:val="001C799A"/>
    <w:rsid w:val="001C7B4F"/>
    <w:rsid w:val="001D021F"/>
    <w:rsid w:val="001D0388"/>
    <w:rsid w:val="001D045B"/>
    <w:rsid w:val="001D09EA"/>
    <w:rsid w:val="001D1575"/>
    <w:rsid w:val="001D21A0"/>
    <w:rsid w:val="001D2929"/>
    <w:rsid w:val="001D2E6C"/>
    <w:rsid w:val="001D2F12"/>
    <w:rsid w:val="001D314E"/>
    <w:rsid w:val="001D33E2"/>
    <w:rsid w:val="001D3469"/>
    <w:rsid w:val="001D3ECE"/>
    <w:rsid w:val="001D41C0"/>
    <w:rsid w:val="001D4701"/>
    <w:rsid w:val="001D4763"/>
    <w:rsid w:val="001D5D7A"/>
    <w:rsid w:val="001D6494"/>
    <w:rsid w:val="001D64CA"/>
    <w:rsid w:val="001D68C9"/>
    <w:rsid w:val="001D7205"/>
    <w:rsid w:val="001D74AE"/>
    <w:rsid w:val="001D77CD"/>
    <w:rsid w:val="001D7BD5"/>
    <w:rsid w:val="001E038C"/>
    <w:rsid w:val="001E03C1"/>
    <w:rsid w:val="001E047E"/>
    <w:rsid w:val="001E0DEC"/>
    <w:rsid w:val="001E0EE5"/>
    <w:rsid w:val="001E16DC"/>
    <w:rsid w:val="001E179F"/>
    <w:rsid w:val="001E1BE8"/>
    <w:rsid w:val="001E1C3B"/>
    <w:rsid w:val="001E1D72"/>
    <w:rsid w:val="001E2016"/>
    <w:rsid w:val="001E28C5"/>
    <w:rsid w:val="001E2F3C"/>
    <w:rsid w:val="001E389C"/>
    <w:rsid w:val="001E3964"/>
    <w:rsid w:val="001E39E8"/>
    <w:rsid w:val="001E5113"/>
    <w:rsid w:val="001E517C"/>
    <w:rsid w:val="001E55F0"/>
    <w:rsid w:val="001E5716"/>
    <w:rsid w:val="001E57C2"/>
    <w:rsid w:val="001E62F7"/>
    <w:rsid w:val="001E64F5"/>
    <w:rsid w:val="001E6815"/>
    <w:rsid w:val="001E73E9"/>
    <w:rsid w:val="001E74B1"/>
    <w:rsid w:val="001E7AD6"/>
    <w:rsid w:val="001E7C51"/>
    <w:rsid w:val="001F02C1"/>
    <w:rsid w:val="001F07D5"/>
    <w:rsid w:val="001F0D93"/>
    <w:rsid w:val="001F114F"/>
    <w:rsid w:val="001F1DF3"/>
    <w:rsid w:val="001F359E"/>
    <w:rsid w:val="001F3972"/>
    <w:rsid w:val="001F3BF1"/>
    <w:rsid w:val="001F3D8A"/>
    <w:rsid w:val="001F55A7"/>
    <w:rsid w:val="001F5CD9"/>
    <w:rsid w:val="001F6146"/>
    <w:rsid w:val="001F6310"/>
    <w:rsid w:val="001F6AA4"/>
    <w:rsid w:val="001F73E2"/>
    <w:rsid w:val="001F7799"/>
    <w:rsid w:val="001F7C31"/>
    <w:rsid w:val="001F7D2E"/>
    <w:rsid w:val="002003AF"/>
    <w:rsid w:val="00200561"/>
    <w:rsid w:val="00200623"/>
    <w:rsid w:val="0020089A"/>
    <w:rsid w:val="0020097E"/>
    <w:rsid w:val="00200D32"/>
    <w:rsid w:val="00200EAD"/>
    <w:rsid w:val="00200FA2"/>
    <w:rsid w:val="002010C6"/>
    <w:rsid w:val="00201211"/>
    <w:rsid w:val="0020178A"/>
    <w:rsid w:val="00201D9C"/>
    <w:rsid w:val="00202FE6"/>
    <w:rsid w:val="002035A4"/>
    <w:rsid w:val="00203C81"/>
    <w:rsid w:val="00204382"/>
    <w:rsid w:val="002047BD"/>
    <w:rsid w:val="002049CB"/>
    <w:rsid w:val="00205716"/>
    <w:rsid w:val="00205F66"/>
    <w:rsid w:val="00206327"/>
    <w:rsid w:val="00206441"/>
    <w:rsid w:val="00206EC6"/>
    <w:rsid w:val="00207229"/>
    <w:rsid w:val="00210BB6"/>
    <w:rsid w:val="00211D20"/>
    <w:rsid w:val="002132A5"/>
    <w:rsid w:val="002134B0"/>
    <w:rsid w:val="00213A67"/>
    <w:rsid w:val="00213C1B"/>
    <w:rsid w:val="00214305"/>
    <w:rsid w:val="00214485"/>
    <w:rsid w:val="0021587E"/>
    <w:rsid w:val="00215C36"/>
    <w:rsid w:val="00216DA0"/>
    <w:rsid w:val="00216DCC"/>
    <w:rsid w:val="00217618"/>
    <w:rsid w:val="00217AA7"/>
    <w:rsid w:val="002200D0"/>
    <w:rsid w:val="00220309"/>
    <w:rsid w:val="002204C3"/>
    <w:rsid w:val="0022083D"/>
    <w:rsid w:val="0022101F"/>
    <w:rsid w:val="002212B0"/>
    <w:rsid w:val="002213BA"/>
    <w:rsid w:val="00222819"/>
    <w:rsid w:val="002229D5"/>
    <w:rsid w:val="00223067"/>
    <w:rsid w:val="002234E8"/>
    <w:rsid w:val="002235DF"/>
    <w:rsid w:val="0022367E"/>
    <w:rsid w:val="0022386D"/>
    <w:rsid w:val="00223B73"/>
    <w:rsid w:val="002242D0"/>
    <w:rsid w:val="0022433A"/>
    <w:rsid w:val="002252AC"/>
    <w:rsid w:val="002255DC"/>
    <w:rsid w:val="002264D0"/>
    <w:rsid w:val="0022676E"/>
    <w:rsid w:val="00226BDC"/>
    <w:rsid w:val="00226E84"/>
    <w:rsid w:val="00226FB7"/>
    <w:rsid w:val="0022742F"/>
    <w:rsid w:val="00227566"/>
    <w:rsid w:val="00230012"/>
    <w:rsid w:val="002308E2"/>
    <w:rsid w:val="0023094E"/>
    <w:rsid w:val="002316F9"/>
    <w:rsid w:val="00231B70"/>
    <w:rsid w:val="00231EF0"/>
    <w:rsid w:val="00231F6A"/>
    <w:rsid w:val="00232468"/>
    <w:rsid w:val="002324FC"/>
    <w:rsid w:val="00232748"/>
    <w:rsid w:val="002329C8"/>
    <w:rsid w:val="00232AEC"/>
    <w:rsid w:val="00233316"/>
    <w:rsid w:val="0023357D"/>
    <w:rsid w:val="002336C8"/>
    <w:rsid w:val="0023399C"/>
    <w:rsid w:val="00233ABA"/>
    <w:rsid w:val="00233B21"/>
    <w:rsid w:val="00234642"/>
    <w:rsid w:val="00234A5A"/>
    <w:rsid w:val="00234AF7"/>
    <w:rsid w:val="00234D9C"/>
    <w:rsid w:val="00234F77"/>
    <w:rsid w:val="00234F8D"/>
    <w:rsid w:val="00236853"/>
    <w:rsid w:val="00236889"/>
    <w:rsid w:val="00236892"/>
    <w:rsid w:val="002371DD"/>
    <w:rsid w:val="00237372"/>
    <w:rsid w:val="0023762C"/>
    <w:rsid w:val="00237CD0"/>
    <w:rsid w:val="00237FCD"/>
    <w:rsid w:val="00240365"/>
    <w:rsid w:val="00240589"/>
    <w:rsid w:val="00240C45"/>
    <w:rsid w:val="00241512"/>
    <w:rsid w:val="00241AAF"/>
    <w:rsid w:val="00241D0B"/>
    <w:rsid w:val="00241E8E"/>
    <w:rsid w:val="00241F83"/>
    <w:rsid w:val="00242294"/>
    <w:rsid w:val="002425E2"/>
    <w:rsid w:val="00242808"/>
    <w:rsid w:val="0024417B"/>
    <w:rsid w:val="00244222"/>
    <w:rsid w:val="002448DF"/>
    <w:rsid w:val="00244D31"/>
    <w:rsid w:val="00244EDB"/>
    <w:rsid w:val="00244F0B"/>
    <w:rsid w:val="00244F1A"/>
    <w:rsid w:val="00245325"/>
    <w:rsid w:val="0024539A"/>
    <w:rsid w:val="0024569F"/>
    <w:rsid w:val="00245BB7"/>
    <w:rsid w:val="00245D94"/>
    <w:rsid w:val="00246EEF"/>
    <w:rsid w:val="00246FB5"/>
    <w:rsid w:val="0024702C"/>
    <w:rsid w:val="002476D8"/>
    <w:rsid w:val="0024789F"/>
    <w:rsid w:val="0025075B"/>
    <w:rsid w:val="00250DE9"/>
    <w:rsid w:val="002519B0"/>
    <w:rsid w:val="00251CD2"/>
    <w:rsid w:val="00252017"/>
    <w:rsid w:val="00252086"/>
    <w:rsid w:val="0025225D"/>
    <w:rsid w:val="00252DD4"/>
    <w:rsid w:val="00252E78"/>
    <w:rsid w:val="00253F3B"/>
    <w:rsid w:val="00254026"/>
    <w:rsid w:val="00254BB3"/>
    <w:rsid w:val="00254C4B"/>
    <w:rsid w:val="00254F5D"/>
    <w:rsid w:val="0025558E"/>
    <w:rsid w:val="002558DB"/>
    <w:rsid w:val="00256037"/>
    <w:rsid w:val="002569A6"/>
    <w:rsid w:val="002577DF"/>
    <w:rsid w:val="00257A89"/>
    <w:rsid w:val="00260B1C"/>
    <w:rsid w:val="00261C80"/>
    <w:rsid w:val="00261D40"/>
    <w:rsid w:val="00261F49"/>
    <w:rsid w:val="002622E1"/>
    <w:rsid w:val="00262892"/>
    <w:rsid w:val="0026353A"/>
    <w:rsid w:val="00263A62"/>
    <w:rsid w:val="00263AC4"/>
    <w:rsid w:val="002657C4"/>
    <w:rsid w:val="00266101"/>
    <w:rsid w:val="0026624C"/>
    <w:rsid w:val="002665BE"/>
    <w:rsid w:val="002678BB"/>
    <w:rsid w:val="00267B76"/>
    <w:rsid w:val="002701ED"/>
    <w:rsid w:val="002707A6"/>
    <w:rsid w:val="00270F68"/>
    <w:rsid w:val="00271A4E"/>
    <w:rsid w:val="00271EB9"/>
    <w:rsid w:val="00272262"/>
    <w:rsid w:val="0027264E"/>
    <w:rsid w:val="0027266F"/>
    <w:rsid w:val="00272968"/>
    <w:rsid w:val="00272BC9"/>
    <w:rsid w:val="00272D6B"/>
    <w:rsid w:val="00273BE4"/>
    <w:rsid w:val="0027466C"/>
    <w:rsid w:val="00274CFA"/>
    <w:rsid w:val="00274D13"/>
    <w:rsid w:val="00275019"/>
    <w:rsid w:val="00275310"/>
    <w:rsid w:val="0027574F"/>
    <w:rsid w:val="002757AD"/>
    <w:rsid w:val="00275990"/>
    <w:rsid w:val="00275A7D"/>
    <w:rsid w:val="002765D1"/>
    <w:rsid w:val="00276C1A"/>
    <w:rsid w:val="002775A9"/>
    <w:rsid w:val="00277633"/>
    <w:rsid w:val="00277F01"/>
    <w:rsid w:val="002805E3"/>
    <w:rsid w:val="002809C3"/>
    <w:rsid w:val="00281360"/>
    <w:rsid w:val="00281864"/>
    <w:rsid w:val="0028229D"/>
    <w:rsid w:val="00282A3D"/>
    <w:rsid w:val="00282E75"/>
    <w:rsid w:val="00284200"/>
    <w:rsid w:val="0028438A"/>
    <w:rsid w:val="002844EE"/>
    <w:rsid w:val="00284506"/>
    <w:rsid w:val="00284B40"/>
    <w:rsid w:val="00284E1C"/>
    <w:rsid w:val="00284F7D"/>
    <w:rsid w:val="0028545D"/>
    <w:rsid w:val="002856F7"/>
    <w:rsid w:val="00285C89"/>
    <w:rsid w:val="00285CB0"/>
    <w:rsid w:val="00285FAE"/>
    <w:rsid w:val="00286247"/>
    <w:rsid w:val="00286A82"/>
    <w:rsid w:val="0028735F"/>
    <w:rsid w:val="00287C4A"/>
    <w:rsid w:val="0029033E"/>
    <w:rsid w:val="002905B0"/>
    <w:rsid w:val="00290967"/>
    <w:rsid w:val="00290BDE"/>
    <w:rsid w:val="00290EE5"/>
    <w:rsid w:val="002911AD"/>
    <w:rsid w:val="00291415"/>
    <w:rsid w:val="002914ED"/>
    <w:rsid w:val="00291835"/>
    <w:rsid w:val="00292B16"/>
    <w:rsid w:val="00292B97"/>
    <w:rsid w:val="00292BC0"/>
    <w:rsid w:val="00292FA9"/>
    <w:rsid w:val="00293054"/>
    <w:rsid w:val="002931A5"/>
    <w:rsid w:val="002931AD"/>
    <w:rsid w:val="002940EC"/>
    <w:rsid w:val="00294C76"/>
    <w:rsid w:val="00294D98"/>
    <w:rsid w:val="0029522F"/>
    <w:rsid w:val="00295612"/>
    <w:rsid w:val="00295BE5"/>
    <w:rsid w:val="00295EEF"/>
    <w:rsid w:val="002962DC"/>
    <w:rsid w:val="002965E5"/>
    <w:rsid w:val="00296752"/>
    <w:rsid w:val="00296C2A"/>
    <w:rsid w:val="00296FC1"/>
    <w:rsid w:val="0029750D"/>
    <w:rsid w:val="002975F2"/>
    <w:rsid w:val="00297658"/>
    <w:rsid w:val="002977AB"/>
    <w:rsid w:val="00297D32"/>
    <w:rsid w:val="002A0B83"/>
    <w:rsid w:val="002A1295"/>
    <w:rsid w:val="002A151D"/>
    <w:rsid w:val="002A1967"/>
    <w:rsid w:val="002A1A83"/>
    <w:rsid w:val="002A1B95"/>
    <w:rsid w:val="002A1CCE"/>
    <w:rsid w:val="002A2D5F"/>
    <w:rsid w:val="002A3A39"/>
    <w:rsid w:val="002A3E75"/>
    <w:rsid w:val="002A4141"/>
    <w:rsid w:val="002A4E68"/>
    <w:rsid w:val="002A4EBB"/>
    <w:rsid w:val="002A529D"/>
    <w:rsid w:val="002A53E5"/>
    <w:rsid w:val="002A597E"/>
    <w:rsid w:val="002A5F36"/>
    <w:rsid w:val="002A609F"/>
    <w:rsid w:val="002A6C5E"/>
    <w:rsid w:val="002A75B5"/>
    <w:rsid w:val="002A796C"/>
    <w:rsid w:val="002A7D09"/>
    <w:rsid w:val="002A7E9F"/>
    <w:rsid w:val="002B00A2"/>
    <w:rsid w:val="002B0231"/>
    <w:rsid w:val="002B0404"/>
    <w:rsid w:val="002B0A25"/>
    <w:rsid w:val="002B0E38"/>
    <w:rsid w:val="002B1896"/>
    <w:rsid w:val="002B2090"/>
    <w:rsid w:val="002B23AB"/>
    <w:rsid w:val="002B2614"/>
    <w:rsid w:val="002B2AC9"/>
    <w:rsid w:val="002B3EFA"/>
    <w:rsid w:val="002B41C4"/>
    <w:rsid w:val="002B4810"/>
    <w:rsid w:val="002B5170"/>
    <w:rsid w:val="002B59A0"/>
    <w:rsid w:val="002B5A14"/>
    <w:rsid w:val="002B60E9"/>
    <w:rsid w:val="002B6B80"/>
    <w:rsid w:val="002B6BBD"/>
    <w:rsid w:val="002B6D62"/>
    <w:rsid w:val="002B70F5"/>
    <w:rsid w:val="002B7426"/>
    <w:rsid w:val="002C015A"/>
    <w:rsid w:val="002C02CD"/>
    <w:rsid w:val="002C0B09"/>
    <w:rsid w:val="002C1A62"/>
    <w:rsid w:val="002C1ACD"/>
    <w:rsid w:val="002C2146"/>
    <w:rsid w:val="002C23BC"/>
    <w:rsid w:val="002C252B"/>
    <w:rsid w:val="002C3048"/>
    <w:rsid w:val="002C3259"/>
    <w:rsid w:val="002C3C0F"/>
    <w:rsid w:val="002C3DA0"/>
    <w:rsid w:val="002C3EBD"/>
    <w:rsid w:val="002C4321"/>
    <w:rsid w:val="002C4713"/>
    <w:rsid w:val="002C4782"/>
    <w:rsid w:val="002C49B2"/>
    <w:rsid w:val="002C4D2B"/>
    <w:rsid w:val="002C5679"/>
    <w:rsid w:val="002C56E0"/>
    <w:rsid w:val="002C6716"/>
    <w:rsid w:val="002C6720"/>
    <w:rsid w:val="002C6AC3"/>
    <w:rsid w:val="002C6B9C"/>
    <w:rsid w:val="002C6D2E"/>
    <w:rsid w:val="002C6D44"/>
    <w:rsid w:val="002C71B1"/>
    <w:rsid w:val="002C7942"/>
    <w:rsid w:val="002C7E32"/>
    <w:rsid w:val="002C7F9F"/>
    <w:rsid w:val="002D0BD2"/>
    <w:rsid w:val="002D0F77"/>
    <w:rsid w:val="002D1947"/>
    <w:rsid w:val="002D2362"/>
    <w:rsid w:val="002D329D"/>
    <w:rsid w:val="002D3491"/>
    <w:rsid w:val="002D471A"/>
    <w:rsid w:val="002D48BD"/>
    <w:rsid w:val="002D4C56"/>
    <w:rsid w:val="002D528D"/>
    <w:rsid w:val="002D60C5"/>
    <w:rsid w:val="002D6890"/>
    <w:rsid w:val="002D78A1"/>
    <w:rsid w:val="002D7DC2"/>
    <w:rsid w:val="002E0139"/>
    <w:rsid w:val="002E0468"/>
    <w:rsid w:val="002E04FA"/>
    <w:rsid w:val="002E0A1D"/>
    <w:rsid w:val="002E1162"/>
    <w:rsid w:val="002E2511"/>
    <w:rsid w:val="002E3132"/>
    <w:rsid w:val="002E337C"/>
    <w:rsid w:val="002E34EE"/>
    <w:rsid w:val="002E3582"/>
    <w:rsid w:val="002E38DF"/>
    <w:rsid w:val="002E3957"/>
    <w:rsid w:val="002E481B"/>
    <w:rsid w:val="002E5054"/>
    <w:rsid w:val="002E527A"/>
    <w:rsid w:val="002E5BA8"/>
    <w:rsid w:val="002E6137"/>
    <w:rsid w:val="002E6547"/>
    <w:rsid w:val="002E65BC"/>
    <w:rsid w:val="002E6AF9"/>
    <w:rsid w:val="002E77D3"/>
    <w:rsid w:val="002E78BC"/>
    <w:rsid w:val="002E7A33"/>
    <w:rsid w:val="002F0216"/>
    <w:rsid w:val="002F0B14"/>
    <w:rsid w:val="002F24B0"/>
    <w:rsid w:val="002F26C9"/>
    <w:rsid w:val="002F35F7"/>
    <w:rsid w:val="002F38D3"/>
    <w:rsid w:val="002F432B"/>
    <w:rsid w:val="002F4C97"/>
    <w:rsid w:val="002F526D"/>
    <w:rsid w:val="002F54E9"/>
    <w:rsid w:val="002F55CD"/>
    <w:rsid w:val="002F561A"/>
    <w:rsid w:val="002F6287"/>
    <w:rsid w:val="002F6CC2"/>
    <w:rsid w:val="002F70F3"/>
    <w:rsid w:val="002F75A7"/>
    <w:rsid w:val="00300684"/>
    <w:rsid w:val="0030141F"/>
    <w:rsid w:val="00301491"/>
    <w:rsid w:val="00301588"/>
    <w:rsid w:val="00301624"/>
    <w:rsid w:val="00301DCE"/>
    <w:rsid w:val="00301FE8"/>
    <w:rsid w:val="0030223B"/>
    <w:rsid w:val="0030261E"/>
    <w:rsid w:val="00302832"/>
    <w:rsid w:val="00302AE8"/>
    <w:rsid w:val="00302B40"/>
    <w:rsid w:val="00302CE3"/>
    <w:rsid w:val="00303397"/>
    <w:rsid w:val="003035BB"/>
    <w:rsid w:val="003038C9"/>
    <w:rsid w:val="003038FA"/>
    <w:rsid w:val="00304E47"/>
    <w:rsid w:val="00305241"/>
    <w:rsid w:val="00306204"/>
    <w:rsid w:val="00306AF3"/>
    <w:rsid w:val="00306B94"/>
    <w:rsid w:val="00306CD8"/>
    <w:rsid w:val="00306DDD"/>
    <w:rsid w:val="00307B98"/>
    <w:rsid w:val="00310764"/>
    <w:rsid w:val="00310F40"/>
    <w:rsid w:val="0031153F"/>
    <w:rsid w:val="003116C2"/>
    <w:rsid w:val="00312B73"/>
    <w:rsid w:val="003133D4"/>
    <w:rsid w:val="00313C6F"/>
    <w:rsid w:val="00313C9F"/>
    <w:rsid w:val="00313E9D"/>
    <w:rsid w:val="003149FE"/>
    <w:rsid w:val="00314BE2"/>
    <w:rsid w:val="00314E06"/>
    <w:rsid w:val="00315CDF"/>
    <w:rsid w:val="00315D25"/>
    <w:rsid w:val="00315DD5"/>
    <w:rsid w:val="00315F7F"/>
    <w:rsid w:val="00316970"/>
    <w:rsid w:val="00316DCC"/>
    <w:rsid w:val="003175AA"/>
    <w:rsid w:val="003178C6"/>
    <w:rsid w:val="00320075"/>
    <w:rsid w:val="0032076C"/>
    <w:rsid w:val="003207DC"/>
    <w:rsid w:val="003212E7"/>
    <w:rsid w:val="0032155E"/>
    <w:rsid w:val="00322161"/>
    <w:rsid w:val="003223FE"/>
    <w:rsid w:val="00322B18"/>
    <w:rsid w:val="00322D76"/>
    <w:rsid w:val="0032303A"/>
    <w:rsid w:val="00323634"/>
    <w:rsid w:val="00323673"/>
    <w:rsid w:val="0032483A"/>
    <w:rsid w:val="00324BF3"/>
    <w:rsid w:val="00325C2B"/>
    <w:rsid w:val="003264EA"/>
    <w:rsid w:val="003266CC"/>
    <w:rsid w:val="00326757"/>
    <w:rsid w:val="003278C6"/>
    <w:rsid w:val="00327B24"/>
    <w:rsid w:val="00330932"/>
    <w:rsid w:val="00330B89"/>
    <w:rsid w:val="00330E2B"/>
    <w:rsid w:val="00331660"/>
    <w:rsid w:val="003317FB"/>
    <w:rsid w:val="003320F0"/>
    <w:rsid w:val="00332624"/>
    <w:rsid w:val="003329F5"/>
    <w:rsid w:val="0033341B"/>
    <w:rsid w:val="00333D17"/>
    <w:rsid w:val="003347EF"/>
    <w:rsid w:val="0033484C"/>
    <w:rsid w:val="00334B52"/>
    <w:rsid w:val="00334BEA"/>
    <w:rsid w:val="00334E8B"/>
    <w:rsid w:val="00335D63"/>
    <w:rsid w:val="0033661D"/>
    <w:rsid w:val="003405D0"/>
    <w:rsid w:val="0034061E"/>
    <w:rsid w:val="003423D3"/>
    <w:rsid w:val="00342564"/>
    <w:rsid w:val="003428BB"/>
    <w:rsid w:val="00343023"/>
    <w:rsid w:val="00343F19"/>
    <w:rsid w:val="00344522"/>
    <w:rsid w:val="00344DF0"/>
    <w:rsid w:val="003450B1"/>
    <w:rsid w:val="00345446"/>
    <w:rsid w:val="003455B2"/>
    <w:rsid w:val="00345E5A"/>
    <w:rsid w:val="00345F62"/>
    <w:rsid w:val="0034624A"/>
    <w:rsid w:val="00346304"/>
    <w:rsid w:val="003464A8"/>
    <w:rsid w:val="00346B90"/>
    <w:rsid w:val="00347843"/>
    <w:rsid w:val="00347887"/>
    <w:rsid w:val="00347C49"/>
    <w:rsid w:val="00350AEF"/>
    <w:rsid w:val="003510EE"/>
    <w:rsid w:val="00351208"/>
    <w:rsid w:val="00351394"/>
    <w:rsid w:val="00352026"/>
    <w:rsid w:val="0035276D"/>
    <w:rsid w:val="003533B5"/>
    <w:rsid w:val="00353E62"/>
    <w:rsid w:val="0035439A"/>
    <w:rsid w:val="003546FE"/>
    <w:rsid w:val="003549BF"/>
    <w:rsid w:val="00354FA8"/>
    <w:rsid w:val="00355173"/>
    <w:rsid w:val="0035544D"/>
    <w:rsid w:val="003554B5"/>
    <w:rsid w:val="00355DA9"/>
    <w:rsid w:val="00356D4D"/>
    <w:rsid w:val="003573DB"/>
    <w:rsid w:val="00357884"/>
    <w:rsid w:val="00360A0F"/>
    <w:rsid w:val="00360C25"/>
    <w:rsid w:val="00360F2A"/>
    <w:rsid w:val="00360F40"/>
    <w:rsid w:val="00360F8E"/>
    <w:rsid w:val="0036112E"/>
    <w:rsid w:val="00361CBE"/>
    <w:rsid w:val="0036262D"/>
    <w:rsid w:val="003628C4"/>
    <w:rsid w:val="00363D8A"/>
    <w:rsid w:val="00364AB8"/>
    <w:rsid w:val="00364AC5"/>
    <w:rsid w:val="003651C1"/>
    <w:rsid w:val="00365339"/>
    <w:rsid w:val="0036580D"/>
    <w:rsid w:val="00365B8F"/>
    <w:rsid w:val="00365CBE"/>
    <w:rsid w:val="00365CDC"/>
    <w:rsid w:val="00365E71"/>
    <w:rsid w:val="003663FA"/>
    <w:rsid w:val="003664AC"/>
    <w:rsid w:val="0036698E"/>
    <w:rsid w:val="00366B21"/>
    <w:rsid w:val="00366B90"/>
    <w:rsid w:val="003672A3"/>
    <w:rsid w:val="00367996"/>
    <w:rsid w:val="003702CB"/>
    <w:rsid w:val="0037035F"/>
    <w:rsid w:val="00370B0C"/>
    <w:rsid w:val="00370D55"/>
    <w:rsid w:val="003712C2"/>
    <w:rsid w:val="003715D2"/>
    <w:rsid w:val="00371765"/>
    <w:rsid w:val="00371994"/>
    <w:rsid w:val="00372228"/>
    <w:rsid w:val="00372D15"/>
    <w:rsid w:val="00373E3A"/>
    <w:rsid w:val="0037470D"/>
    <w:rsid w:val="00374F95"/>
    <w:rsid w:val="003755AF"/>
    <w:rsid w:val="00375BB1"/>
    <w:rsid w:val="00376BB7"/>
    <w:rsid w:val="00377434"/>
    <w:rsid w:val="00377541"/>
    <w:rsid w:val="003807A2"/>
    <w:rsid w:val="003816B5"/>
    <w:rsid w:val="00381B17"/>
    <w:rsid w:val="00382050"/>
    <w:rsid w:val="003824CE"/>
    <w:rsid w:val="00382C02"/>
    <w:rsid w:val="00382D04"/>
    <w:rsid w:val="00382E07"/>
    <w:rsid w:val="00382E54"/>
    <w:rsid w:val="00382E9F"/>
    <w:rsid w:val="00383079"/>
    <w:rsid w:val="00383987"/>
    <w:rsid w:val="0038506C"/>
    <w:rsid w:val="003855CA"/>
    <w:rsid w:val="0038570A"/>
    <w:rsid w:val="00385A39"/>
    <w:rsid w:val="003862D5"/>
    <w:rsid w:val="00386495"/>
    <w:rsid w:val="003866E8"/>
    <w:rsid w:val="003867C6"/>
    <w:rsid w:val="00386A27"/>
    <w:rsid w:val="00386BF5"/>
    <w:rsid w:val="00386C45"/>
    <w:rsid w:val="00387949"/>
    <w:rsid w:val="00387AA9"/>
    <w:rsid w:val="003905CB"/>
    <w:rsid w:val="003909DA"/>
    <w:rsid w:val="00390ADF"/>
    <w:rsid w:val="00390BFA"/>
    <w:rsid w:val="00390C10"/>
    <w:rsid w:val="00390E2C"/>
    <w:rsid w:val="003914C7"/>
    <w:rsid w:val="0039156A"/>
    <w:rsid w:val="00391A16"/>
    <w:rsid w:val="00391D70"/>
    <w:rsid w:val="00391F5F"/>
    <w:rsid w:val="003920D0"/>
    <w:rsid w:val="0039294D"/>
    <w:rsid w:val="00392AB4"/>
    <w:rsid w:val="0039342F"/>
    <w:rsid w:val="00393B8E"/>
    <w:rsid w:val="00393D27"/>
    <w:rsid w:val="0039403D"/>
    <w:rsid w:val="00394D02"/>
    <w:rsid w:val="0039562F"/>
    <w:rsid w:val="003959DD"/>
    <w:rsid w:val="00395AA6"/>
    <w:rsid w:val="00397226"/>
    <w:rsid w:val="003A07E9"/>
    <w:rsid w:val="003A0A0C"/>
    <w:rsid w:val="003A0ECB"/>
    <w:rsid w:val="003A18D4"/>
    <w:rsid w:val="003A1FCF"/>
    <w:rsid w:val="003A2151"/>
    <w:rsid w:val="003A2166"/>
    <w:rsid w:val="003A26B1"/>
    <w:rsid w:val="003A26C7"/>
    <w:rsid w:val="003A29DD"/>
    <w:rsid w:val="003A3A33"/>
    <w:rsid w:val="003A41C8"/>
    <w:rsid w:val="003A43DC"/>
    <w:rsid w:val="003A4517"/>
    <w:rsid w:val="003A49D0"/>
    <w:rsid w:val="003A4C86"/>
    <w:rsid w:val="003A4F9D"/>
    <w:rsid w:val="003A5573"/>
    <w:rsid w:val="003A61EA"/>
    <w:rsid w:val="003A6485"/>
    <w:rsid w:val="003A679F"/>
    <w:rsid w:val="003A6CD1"/>
    <w:rsid w:val="003A714D"/>
    <w:rsid w:val="003A7200"/>
    <w:rsid w:val="003A763A"/>
    <w:rsid w:val="003B0A0D"/>
    <w:rsid w:val="003B0BD3"/>
    <w:rsid w:val="003B113E"/>
    <w:rsid w:val="003B27C3"/>
    <w:rsid w:val="003B27CB"/>
    <w:rsid w:val="003B288F"/>
    <w:rsid w:val="003B29BA"/>
    <w:rsid w:val="003B29F3"/>
    <w:rsid w:val="003B353A"/>
    <w:rsid w:val="003B3B3E"/>
    <w:rsid w:val="003B4B0B"/>
    <w:rsid w:val="003B5C52"/>
    <w:rsid w:val="003B5CA5"/>
    <w:rsid w:val="003B614B"/>
    <w:rsid w:val="003B73AE"/>
    <w:rsid w:val="003B740F"/>
    <w:rsid w:val="003B74D9"/>
    <w:rsid w:val="003B7800"/>
    <w:rsid w:val="003B7917"/>
    <w:rsid w:val="003B7B0F"/>
    <w:rsid w:val="003C051C"/>
    <w:rsid w:val="003C0AF5"/>
    <w:rsid w:val="003C1E38"/>
    <w:rsid w:val="003C1E73"/>
    <w:rsid w:val="003C1FC5"/>
    <w:rsid w:val="003C27B9"/>
    <w:rsid w:val="003C280B"/>
    <w:rsid w:val="003C2914"/>
    <w:rsid w:val="003C2C18"/>
    <w:rsid w:val="003C32C5"/>
    <w:rsid w:val="003C3525"/>
    <w:rsid w:val="003C3941"/>
    <w:rsid w:val="003C3A70"/>
    <w:rsid w:val="003C3C45"/>
    <w:rsid w:val="003C3CCA"/>
    <w:rsid w:val="003C3E12"/>
    <w:rsid w:val="003C44CD"/>
    <w:rsid w:val="003C4E34"/>
    <w:rsid w:val="003C4EA6"/>
    <w:rsid w:val="003C52AA"/>
    <w:rsid w:val="003C5484"/>
    <w:rsid w:val="003C6608"/>
    <w:rsid w:val="003C706D"/>
    <w:rsid w:val="003C7133"/>
    <w:rsid w:val="003C765B"/>
    <w:rsid w:val="003D0252"/>
    <w:rsid w:val="003D02FA"/>
    <w:rsid w:val="003D0341"/>
    <w:rsid w:val="003D0481"/>
    <w:rsid w:val="003D0940"/>
    <w:rsid w:val="003D0BAA"/>
    <w:rsid w:val="003D0C55"/>
    <w:rsid w:val="003D2015"/>
    <w:rsid w:val="003D2495"/>
    <w:rsid w:val="003D2E68"/>
    <w:rsid w:val="003D2FCD"/>
    <w:rsid w:val="003D30F0"/>
    <w:rsid w:val="003D335C"/>
    <w:rsid w:val="003D3397"/>
    <w:rsid w:val="003D417B"/>
    <w:rsid w:val="003D5D69"/>
    <w:rsid w:val="003D5ECD"/>
    <w:rsid w:val="003D6F2A"/>
    <w:rsid w:val="003D75AE"/>
    <w:rsid w:val="003D7BC7"/>
    <w:rsid w:val="003E0406"/>
    <w:rsid w:val="003E0E43"/>
    <w:rsid w:val="003E12AB"/>
    <w:rsid w:val="003E1BA9"/>
    <w:rsid w:val="003E2163"/>
    <w:rsid w:val="003E2265"/>
    <w:rsid w:val="003E293C"/>
    <w:rsid w:val="003E2B05"/>
    <w:rsid w:val="003E2FE0"/>
    <w:rsid w:val="003E351B"/>
    <w:rsid w:val="003E3658"/>
    <w:rsid w:val="003E36B8"/>
    <w:rsid w:val="003E417D"/>
    <w:rsid w:val="003E5728"/>
    <w:rsid w:val="003E5F40"/>
    <w:rsid w:val="003E6AE2"/>
    <w:rsid w:val="003E6C61"/>
    <w:rsid w:val="003E6E5E"/>
    <w:rsid w:val="003E6F5E"/>
    <w:rsid w:val="003E73D7"/>
    <w:rsid w:val="003E757F"/>
    <w:rsid w:val="003E762F"/>
    <w:rsid w:val="003E7E81"/>
    <w:rsid w:val="003F0986"/>
    <w:rsid w:val="003F18EB"/>
    <w:rsid w:val="003F1F37"/>
    <w:rsid w:val="003F2820"/>
    <w:rsid w:val="003F2C51"/>
    <w:rsid w:val="003F2E4B"/>
    <w:rsid w:val="003F3156"/>
    <w:rsid w:val="003F335B"/>
    <w:rsid w:val="003F3F67"/>
    <w:rsid w:val="003F432B"/>
    <w:rsid w:val="003F439D"/>
    <w:rsid w:val="003F4667"/>
    <w:rsid w:val="003F5674"/>
    <w:rsid w:val="003F5753"/>
    <w:rsid w:val="003F658D"/>
    <w:rsid w:val="003F6745"/>
    <w:rsid w:val="003F6785"/>
    <w:rsid w:val="003F6C60"/>
    <w:rsid w:val="003F772A"/>
    <w:rsid w:val="003F7CFD"/>
    <w:rsid w:val="003F7ECE"/>
    <w:rsid w:val="0040075C"/>
    <w:rsid w:val="00400BB1"/>
    <w:rsid w:val="00400DF2"/>
    <w:rsid w:val="004013CF"/>
    <w:rsid w:val="00402004"/>
    <w:rsid w:val="004028BA"/>
    <w:rsid w:val="00402A76"/>
    <w:rsid w:val="00403063"/>
    <w:rsid w:val="0040332C"/>
    <w:rsid w:val="0040464C"/>
    <w:rsid w:val="00404DDF"/>
    <w:rsid w:val="004051EE"/>
    <w:rsid w:val="0040625D"/>
    <w:rsid w:val="00406878"/>
    <w:rsid w:val="00406944"/>
    <w:rsid w:val="00406DE9"/>
    <w:rsid w:val="00406E8C"/>
    <w:rsid w:val="0041073B"/>
    <w:rsid w:val="00411852"/>
    <w:rsid w:val="00411C17"/>
    <w:rsid w:val="004121CF"/>
    <w:rsid w:val="004124F0"/>
    <w:rsid w:val="0041273C"/>
    <w:rsid w:val="00412A8A"/>
    <w:rsid w:val="00412CB4"/>
    <w:rsid w:val="00412DF3"/>
    <w:rsid w:val="00412E05"/>
    <w:rsid w:val="00412E81"/>
    <w:rsid w:val="00413CA9"/>
    <w:rsid w:val="00414785"/>
    <w:rsid w:val="004147BD"/>
    <w:rsid w:val="004149AC"/>
    <w:rsid w:val="00414AC1"/>
    <w:rsid w:val="00414AEA"/>
    <w:rsid w:val="00414C52"/>
    <w:rsid w:val="00414E9B"/>
    <w:rsid w:val="00414F0C"/>
    <w:rsid w:val="004153B7"/>
    <w:rsid w:val="004154F8"/>
    <w:rsid w:val="00415526"/>
    <w:rsid w:val="004155CA"/>
    <w:rsid w:val="00415C4B"/>
    <w:rsid w:val="00415F13"/>
    <w:rsid w:val="00416EEE"/>
    <w:rsid w:val="00416F77"/>
    <w:rsid w:val="004178C2"/>
    <w:rsid w:val="00417AE1"/>
    <w:rsid w:val="00420108"/>
    <w:rsid w:val="00420939"/>
    <w:rsid w:val="00420C2F"/>
    <w:rsid w:val="00421469"/>
    <w:rsid w:val="00421783"/>
    <w:rsid w:val="00421FBC"/>
    <w:rsid w:val="004220AD"/>
    <w:rsid w:val="0042217A"/>
    <w:rsid w:val="00422A86"/>
    <w:rsid w:val="00423CC2"/>
    <w:rsid w:val="00423E3E"/>
    <w:rsid w:val="00424168"/>
    <w:rsid w:val="004243E4"/>
    <w:rsid w:val="00424F41"/>
    <w:rsid w:val="004253F5"/>
    <w:rsid w:val="0042565E"/>
    <w:rsid w:val="004259C3"/>
    <w:rsid w:val="00425DC3"/>
    <w:rsid w:val="00426058"/>
    <w:rsid w:val="00426889"/>
    <w:rsid w:val="00426968"/>
    <w:rsid w:val="00426EC8"/>
    <w:rsid w:val="0042723D"/>
    <w:rsid w:val="00427645"/>
    <w:rsid w:val="004278B9"/>
    <w:rsid w:val="0043019D"/>
    <w:rsid w:val="004303D2"/>
    <w:rsid w:val="00430578"/>
    <w:rsid w:val="00430615"/>
    <w:rsid w:val="0043082D"/>
    <w:rsid w:val="00430CC0"/>
    <w:rsid w:val="00431058"/>
    <w:rsid w:val="004312AA"/>
    <w:rsid w:val="004317AC"/>
    <w:rsid w:val="0043200D"/>
    <w:rsid w:val="00432119"/>
    <w:rsid w:val="00432822"/>
    <w:rsid w:val="00432CC1"/>
    <w:rsid w:val="0043310C"/>
    <w:rsid w:val="004339F3"/>
    <w:rsid w:val="00433BAA"/>
    <w:rsid w:val="00433DD9"/>
    <w:rsid w:val="004347E6"/>
    <w:rsid w:val="004359BC"/>
    <w:rsid w:val="00436600"/>
    <w:rsid w:val="004368E9"/>
    <w:rsid w:val="00436F74"/>
    <w:rsid w:val="004370EE"/>
    <w:rsid w:val="00437A2C"/>
    <w:rsid w:val="00437CFF"/>
    <w:rsid w:val="004403F2"/>
    <w:rsid w:val="00440D45"/>
    <w:rsid w:val="004413ED"/>
    <w:rsid w:val="00441E89"/>
    <w:rsid w:val="0044244A"/>
    <w:rsid w:val="004428BA"/>
    <w:rsid w:val="00442AB8"/>
    <w:rsid w:val="0044359D"/>
    <w:rsid w:val="004435FA"/>
    <w:rsid w:val="004437E2"/>
    <w:rsid w:val="004441FF"/>
    <w:rsid w:val="00444BA8"/>
    <w:rsid w:val="00444D11"/>
    <w:rsid w:val="004458BB"/>
    <w:rsid w:val="0044598A"/>
    <w:rsid w:val="00445E04"/>
    <w:rsid w:val="004460F7"/>
    <w:rsid w:val="0044685F"/>
    <w:rsid w:val="00447103"/>
    <w:rsid w:val="0044716F"/>
    <w:rsid w:val="00447492"/>
    <w:rsid w:val="004474C6"/>
    <w:rsid w:val="004476FC"/>
    <w:rsid w:val="0044774F"/>
    <w:rsid w:val="004477A2"/>
    <w:rsid w:val="004505BD"/>
    <w:rsid w:val="00450905"/>
    <w:rsid w:val="004511E3"/>
    <w:rsid w:val="0045132E"/>
    <w:rsid w:val="00451819"/>
    <w:rsid w:val="004520FA"/>
    <w:rsid w:val="00452340"/>
    <w:rsid w:val="00452530"/>
    <w:rsid w:val="00453530"/>
    <w:rsid w:val="004537F3"/>
    <w:rsid w:val="004538BB"/>
    <w:rsid w:val="004547D6"/>
    <w:rsid w:val="004548CA"/>
    <w:rsid w:val="00454E96"/>
    <w:rsid w:val="00455069"/>
    <w:rsid w:val="0045509D"/>
    <w:rsid w:val="00455FEE"/>
    <w:rsid w:val="0045700B"/>
    <w:rsid w:val="00457C89"/>
    <w:rsid w:val="004601C8"/>
    <w:rsid w:val="0046068A"/>
    <w:rsid w:val="004613EC"/>
    <w:rsid w:val="00461571"/>
    <w:rsid w:val="0046167B"/>
    <w:rsid w:val="00461990"/>
    <w:rsid w:val="004620A5"/>
    <w:rsid w:val="00462469"/>
    <w:rsid w:val="00462A48"/>
    <w:rsid w:val="00462B4E"/>
    <w:rsid w:val="00463566"/>
    <w:rsid w:val="004639B1"/>
    <w:rsid w:val="0046411F"/>
    <w:rsid w:val="004641C0"/>
    <w:rsid w:val="0046472C"/>
    <w:rsid w:val="00464EB9"/>
    <w:rsid w:val="004650E0"/>
    <w:rsid w:val="004653AB"/>
    <w:rsid w:val="00465567"/>
    <w:rsid w:val="0046694D"/>
    <w:rsid w:val="00467050"/>
    <w:rsid w:val="00467857"/>
    <w:rsid w:val="00467A70"/>
    <w:rsid w:val="00470384"/>
    <w:rsid w:val="00470707"/>
    <w:rsid w:val="00470BB7"/>
    <w:rsid w:val="00470D70"/>
    <w:rsid w:val="00470E68"/>
    <w:rsid w:val="00472FE4"/>
    <w:rsid w:val="0047358D"/>
    <w:rsid w:val="0047375E"/>
    <w:rsid w:val="004744CF"/>
    <w:rsid w:val="004749BC"/>
    <w:rsid w:val="00474C99"/>
    <w:rsid w:val="004758FE"/>
    <w:rsid w:val="00475B6A"/>
    <w:rsid w:val="0047664E"/>
    <w:rsid w:val="00476857"/>
    <w:rsid w:val="00476A1E"/>
    <w:rsid w:val="00476F5A"/>
    <w:rsid w:val="00477230"/>
    <w:rsid w:val="004773FE"/>
    <w:rsid w:val="00477BF5"/>
    <w:rsid w:val="004803C0"/>
    <w:rsid w:val="00481274"/>
    <w:rsid w:val="00481A1C"/>
    <w:rsid w:val="00482082"/>
    <w:rsid w:val="004823A6"/>
    <w:rsid w:val="00482543"/>
    <w:rsid w:val="00482A22"/>
    <w:rsid w:val="00482B0E"/>
    <w:rsid w:val="00482BAC"/>
    <w:rsid w:val="0048313E"/>
    <w:rsid w:val="0048362F"/>
    <w:rsid w:val="00483854"/>
    <w:rsid w:val="00483D5D"/>
    <w:rsid w:val="004843AC"/>
    <w:rsid w:val="004843DC"/>
    <w:rsid w:val="0048465E"/>
    <w:rsid w:val="0048468C"/>
    <w:rsid w:val="00484887"/>
    <w:rsid w:val="00484AF1"/>
    <w:rsid w:val="004858E7"/>
    <w:rsid w:val="00486BDF"/>
    <w:rsid w:val="00486C8D"/>
    <w:rsid w:val="00486CAE"/>
    <w:rsid w:val="00487906"/>
    <w:rsid w:val="00490567"/>
    <w:rsid w:val="00490964"/>
    <w:rsid w:val="0049147A"/>
    <w:rsid w:val="004917F1"/>
    <w:rsid w:val="00492505"/>
    <w:rsid w:val="00492B23"/>
    <w:rsid w:val="00492FB3"/>
    <w:rsid w:val="00493C23"/>
    <w:rsid w:val="004942A2"/>
    <w:rsid w:val="0049442B"/>
    <w:rsid w:val="0049485D"/>
    <w:rsid w:val="00494B78"/>
    <w:rsid w:val="00494F66"/>
    <w:rsid w:val="00495296"/>
    <w:rsid w:val="004953AD"/>
    <w:rsid w:val="004954C6"/>
    <w:rsid w:val="0049560F"/>
    <w:rsid w:val="0049617F"/>
    <w:rsid w:val="004964E7"/>
    <w:rsid w:val="00496D69"/>
    <w:rsid w:val="004971A4"/>
    <w:rsid w:val="00497702"/>
    <w:rsid w:val="004A04CB"/>
    <w:rsid w:val="004A0707"/>
    <w:rsid w:val="004A0E26"/>
    <w:rsid w:val="004A0E75"/>
    <w:rsid w:val="004A1013"/>
    <w:rsid w:val="004A1724"/>
    <w:rsid w:val="004A1931"/>
    <w:rsid w:val="004A1B71"/>
    <w:rsid w:val="004A2218"/>
    <w:rsid w:val="004A3504"/>
    <w:rsid w:val="004A36FC"/>
    <w:rsid w:val="004A51E4"/>
    <w:rsid w:val="004A600C"/>
    <w:rsid w:val="004A60E4"/>
    <w:rsid w:val="004A6116"/>
    <w:rsid w:val="004A6171"/>
    <w:rsid w:val="004A68F5"/>
    <w:rsid w:val="004A7104"/>
    <w:rsid w:val="004A72DA"/>
    <w:rsid w:val="004A77E3"/>
    <w:rsid w:val="004B0321"/>
    <w:rsid w:val="004B0C80"/>
    <w:rsid w:val="004B13AF"/>
    <w:rsid w:val="004B2F0B"/>
    <w:rsid w:val="004B3A70"/>
    <w:rsid w:val="004B3AC9"/>
    <w:rsid w:val="004B4053"/>
    <w:rsid w:val="004B4076"/>
    <w:rsid w:val="004B4FB4"/>
    <w:rsid w:val="004B63E0"/>
    <w:rsid w:val="004B6B05"/>
    <w:rsid w:val="004B6DAC"/>
    <w:rsid w:val="004B7FBC"/>
    <w:rsid w:val="004C1702"/>
    <w:rsid w:val="004C177B"/>
    <w:rsid w:val="004C1833"/>
    <w:rsid w:val="004C1CB2"/>
    <w:rsid w:val="004C1E3C"/>
    <w:rsid w:val="004C1F03"/>
    <w:rsid w:val="004C2066"/>
    <w:rsid w:val="004C2AE0"/>
    <w:rsid w:val="004C2D1F"/>
    <w:rsid w:val="004C2F17"/>
    <w:rsid w:val="004C302A"/>
    <w:rsid w:val="004C3502"/>
    <w:rsid w:val="004C36C2"/>
    <w:rsid w:val="004C4897"/>
    <w:rsid w:val="004C4EA4"/>
    <w:rsid w:val="004C5311"/>
    <w:rsid w:val="004C5F16"/>
    <w:rsid w:val="004C5FC6"/>
    <w:rsid w:val="004C7763"/>
    <w:rsid w:val="004C7B8E"/>
    <w:rsid w:val="004C7BEE"/>
    <w:rsid w:val="004D02A6"/>
    <w:rsid w:val="004D0823"/>
    <w:rsid w:val="004D0915"/>
    <w:rsid w:val="004D2AFD"/>
    <w:rsid w:val="004D3360"/>
    <w:rsid w:val="004D340B"/>
    <w:rsid w:val="004D354C"/>
    <w:rsid w:val="004D39EF"/>
    <w:rsid w:val="004D3C9C"/>
    <w:rsid w:val="004D4221"/>
    <w:rsid w:val="004D4833"/>
    <w:rsid w:val="004D4E57"/>
    <w:rsid w:val="004D54C1"/>
    <w:rsid w:val="004D6130"/>
    <w:rsid w:val="004D6B1D"/>
    <w:rsid w:val="004D6C17"/>
    <w:rsid w:val="004D762A"/>
    <w:rsid w:val="004E0417"/>
    <w:rsid w:val="004E0BFD"/>
    <w:rsid w:val="004E114C"/>
    <w:rsid w:val="004E1E7D"/>
    <w:rsid w:val="004E1F2E"/>
    <w:rsid w:val="004E25CA"/>
    <w:rsid w:val="004E25DD"/>
    <w:rsid w:val="004E26CB"/>
    <w:rsid w:val="004E29C7"/>
    <w:rsid w:val="004E2F5C"/>
    <w:rsid w:val="004E3349"/>
    <w:rsid w:val="004E34BD"/>
    <w:rsid w:val="004E37CF"/>
    <w:rsid w:val="004E37EA"/>
    <w:rsid w:val="004E3AAE"/>
    <w:rsid w:val="004E40B0"/>
    <w:rsid w:val="004E44D7"/>
    <w:rsid w:val="004E468D"/>
    <w:rsid w:val="004E5173"/>
    <w:rsid w:val="004E5AF4"/>
    <w:rsid w:val="004E621E"/>
    <w:rsid w:val="004E67ED"/>
    <w:rsid w:val="004E6948"/>
    <w:rsid w:val="004E6A2C"/>
    <w:rsid w:val="004E6FB5"/>
    <w:rsid w:val="004E713E"/>
    <w:rsid w:val="004E7205"/>
    <w:rsid w:val="004F05E6"/>
    <w:rsid w:val="004F1631"/>
    <w:rsid w:val="004F21BF"/>
    <w:rsid w:val="004F22F2"/>
    <w:rsid w:val="004F2603"/>
    <w:rsid w:val="004F2D42"/>
    <w:rsid w:val="004F2D87"/>
    <w:rsid w:val="004F2DC5"/>
    <w:rsid w:val="004F324F"/>
    <w:rsid w:val="004F3374"/>
    <w:rsid w:val="004F3ABB"/>
    <w:rsid w:val="004F3B57"/>
    <w:rsid w:val="004F3E56"/>
    <w:rsid w:val="004F4884"/>
    <w:rsid w:val="004F4A1D"/>
    <w:rsid w:val="004F4AFA"/>
    <w:rsid w:val="004F4E3C"/>
    <w:rsid w:val="004F53D0"/>
    <w:rsid w:val="004F5C06"/>
    <w:rsid w:val="004F5D6C"/>
    <w:rsid w:val="004F6264"/>
    <w:rsid w:val="004F65D8"/>
    <w:rsid w:val="004F6ABA"/>
    <w:rsid w:val="004F762C"/>
    <w:rsid w:val="004F78D8"/>
    <w:rsid w:val="00500122"/>
    <w:rsid w:val="00500CF7"/>
    <w:rsid w:val="00500F64"/>
    <w:rsid w:val="005012BD"/>
    <w:rsid w:val="00501346"/>
    <w:rsid w:val="005013A2"/>
    <w:rsid w:val="005014A4"/>
    <w:rsid w:val="0050198B"/>
    <w:rsid w:val="00501D9C"/>
    <w:rsid w:val="00501E57"/>
    <w:rsid w:val="00501ED2"/>
    <w:rsid w:val="00502107"/>
    <w:rsid w:val="00502202"/>
    <w:rsid w:val="005024B7"/>
    <w:rsid w:val="005027F8"/>
    <w:rsid w:val="00502914"/>
    <w:rsid w:val="00502F81"/>
    <w:rsid w:val="0050313D"/>
    <w:rsid w:val="0050366D"/>
    <w:rsid w:val="00503C2B"/>
    <w:rsid w:val="00504064"/>
    <w:rsid w:val="0050534E"/>
    <w:rsid w:val="0050585A"/>
    <w:rsid w:val="00505DF2"/>
    <w:rsid w:val="00505F50"/>
    <w:rsid w:val="00505FCB"/>
    <w:rsid w:val="00506298"/>
    <w:rsid w:val="00506585"/>
    <w:rsid w:val="005067F2"/>
    <w:rsid w:val="00506B60"/>
    <w:rsid w:val="00506CC8"/>
    <w:rsid w:val="00507EAE"/>
    <w:rsid w:val="0051004E"/>
    <w:rsid w:val="005105D0"/>
    <w:rsid w:val="0051079C"/>
    <w:rsid w:val="00511473"/>
    <w:rsid w:val="00511591"/>
    <w:rsid w:val="005118B4"/>
    <w:rsid w:val="005119D2"/>
    <w:rsid w:val="00511A08"/>
    <w:rsid w:val="00511CC9"/>
    <w:rsid w:val="00511ECB"/>
    <w:rsid w:val="00512B4B"/>
    <w:rsid w:val="00512B55"/>
    <w:rsid w:val="00513422"/>
    <w:rsid w:val="00513471"/>
    <w:rsid w:val="00513491"/>
    <w:rsid w:val="0051369F"/>
    <w:rsid w:val="00513A2F"/>
    <w:rsid w:val="00513BC8"/>
    <w:rsid w:val="00513E87"/>
    <w:rsid w:val="00514CA3"/>
    <w:rsid w:val="00515774"/>
    <w:rsid w:val="0051625D"/>
    <w:rsid w:val="005168E9"/>
    <w:rsid w:val="00516D25"/>
    <w:rsid w:val="00517879"/>
    <w:rsid w:val="00517908"/>
    <w:rsid w:val="00517E65"/>
    <w:rsid w:val="00520383"/>
    <w:rsid w:val="005205BF"/>
    <w:rsid w:val="0052071D"/>
    <w:rsid w:val="00521035"/>
    <w:rsid w:val="0052122D"/>
    <w:rsid w:val="00521BA0"/>
    <w:rsid w:val="00521C66"/>
    <w:rsid w:val="0052205E"/>
    <w:rsid w:val="0052277E"/>
    <w:rsid w:val="005231AB"/>
    <w:rsid w:val="0052387D"/>
    <w:rsid w:val="00523B86"/>
    <w:rsid w:val="00524D61"/>
    <w:rsid w:val="00524DA3"/>
    <w:rsid w:val="00524EED"/>
    <w:rsid w:val="005250F4"/>
    <w:rsid w:val="00525108"/>
    <w:rsid w:val="0052610C"/>
    <w:rsid w:val="00526759"/>
    <w:rsid w:val="00527378"/>
    <w:rsid w:val="0052741C"/>
    <w:rsid w:val="00527760"/>
    <w:rsid w:val="0052783C"/>
    <w:rsid w:val="00527D49"/>
    <w:rsid w:val="0053009E"/>
    <w:rsid w:val="00530312"/>
    <w:rsid w:val="00530E4B"/>
    <w:rsid w:val="00530F20"/>
    <w:rsid w:val="00531D81"/>
    <w:rsid w:val="00531DC9"/>
    <w:rsid w:val="005331BC"/>
    <w:rsid w:val="005336FF"/>
    <w:rsid w:val="00533AD7"/>
    <w:rsid w:val="00534DA8"/>
    <w:rsid w:val="00536704"/>
    <w:rsid w:val="00536AB7"/>
    <w:rsid w:val="00536BF6"/>
    <w:rsid w:val="00537222"/>
    <w:rsid w:val="00537A94"/>
    <w:rsid w:val="00537D05"/>
    <w:rsid w:val="00540EA0"/>
    <w:rsid w:val="005419F1"/>
    <w:rsid w:val="0054223E"/>
    <w:rsid w:val="005436B5"/>
    <w:rsid w:val="005438F1"/>
    <w:rsid w:val="00543967"/>
    <w:rsid w:val="00543B06"/>
    <w:rsid w:val="00543D20"/>
    <w:rsid w:val="005445E0"/>
    <w:rsid w:val="00545222"/>
    <w:rsid w:val="00545805"/>
    <w:rsid w:val="005464E7"/>
    <w:rsid w:val="00546695"/>
    <w:rsid w:val="0054675C"/>
    <w:rsid w:val="00546BEA"/>
    <w:rsid w:val="00547276"/>
    <w:rsid w:val="00547308"/>
    <w:rsid w:val="005508B6"/>
    <w:rsid w:val="00550D1F"/>
    <w:rsid w:val="00551332"/>
    <w:rsid w:val="005515EA"/>
    <w:rsid w:val="00551729"/>
    <w:rsid w:val="00551946"/>
    <w:rsid w:val="00551E02"/>
    <w:rsid w:val="00552349"/>
    <w:rsid w:val="00553892"/>
    <w:rsid w:val="00553BB2"/>
    <w:rsid w:val="00553C36"/>
    <w:rsid w:val="00554066"/>
    <w:rsid w:val="005540C9"/>
    <w:rsid w:val="0055417C"/>
    <w:rsid w:val="005541FA"/>
    <w:rsid w:val="00554274"/>
    <w:rsid w:val="005545A6"/>
    <w:rsid w:val="00554D7B"/>
    <w:rsid w:val="00554EEF"/>
    <w:rsid w:val="005551B6"/>
    <w:rsid w:val="0055534D"/>
    <w:rsid w:val="0055598B"/>
    <w:rsid w:val="00556817"/>
    <w:rsid w:val="00556C30"/>
    <w:rsid w:val="005578A8"/>
    <w:rsid w:val="005601A3"/>
    <w:rsid w:val="00560D85"/>
    <w:rsid w:val="00561E8C"/>
    <w:rsid w:val="00562268"/>
    <w:rsid w:val="005622C2"/>
    <w:rsid w:val="005622F2"/>
    <w:rsid w:val="00562391"/>
    <w:rsid w:val="00562B3C"/>
    <w:rsid w:val="005632EF"/>
    <w:rsid w:val="00563BAB"/>
    <w:rsid w:val="0056462A"/>
    <w:rsid w:val="00564D6A"/>
    <w:rsid w:val="00564DA5"/>
    <w:rsid w:val="0056534B"/>
    <w:rsid w:val="0056556E"/>
    <w:rsid w:val="00565627"/>
    <w:rsid w:val="00565D33"/>
    <w:rsid w:val="00566C34"/>
    <w:rsid w:val="00566E00"/>
    <w:rsid w:val="005672EA"/>
    <w:rsid w:val="005675C6"/>
    <w:rsid w:val="00567965"/>
    <w:rsid w:val="00567C44"/>
    <w:rsid w:val="00570015"/>
    <w:rsid w:val="0057017B"/>
    <w:rsid w:val="00571163"/>
    <w:rsid w:val="005719C6"/>
    <w:rsid w:val="00571A3C"/>
    <w:rsid w:val="00571ABE"/>
    <w:rsid w:val="00571C78"/>
    <w:rsid w:val="005723EA"/>
    <w:rsid w:val="0057267E"/>
    <w:rsid w:val="00572A35"/>
    <w:rsid w:val="00572FCB"/>
    <w:rsid w:val="00573554"/>
    <w:rsid w:val="005735EA"/>
    <w:rsid w:val="005735F0"/>
    <w:rsid w:val="005738FC"/>
    <w:rsid w:val="00574F39"/>
    <w:rsid w:val="00575F77"/>
    <w:rsid w:val="005763C2"/>
    <w:rsid w:val="00576532"/>
    <w:rsid w:val="005768AE"/>
    <w:rsid w:val="0057710A"/>
    <w:rsid w:val="005771C7"/>
    <w:rsid w:val="005775F9"/>
    <w:rsid w:val="0058096E"/>
    <w:rsid w:val="00580E52"/>
    <w:rsid w:val="005815FC"/>
    <w:rsid w:val="005832FB"/>
    <w:rsid w:val="005844A0"/>
    <w:rsid w:val="00584602"/>
    <w:rsid w:val="00584712"/>
    <w:rsid w:val="00585C61"/>
    <w:rsid w:val="005865F7"/>
    <w:rsid w:val="00586646"/>
    <w:rsid w:val="005866AD"/>
    <w:rsid w:val="00586A4B"/>
    <w:rsid w:val="0058768C"/>
    <w:rsid w:val="00587A77"/>
    <w:rsid w:val="005901FD"/>
    <w:rsid w:val="0059105B"/>
    <w:rsid w:val="005912B3"/>
    <w:rsid w:val="00591556"/>
    <w:rsid w:val="0059156A"/>
    <w:rsid w:val="0059194A"/>
    <w:rsid w:val="00591B5E"/>
    <w:rsid w:val="00591EE1"/>
    <w:rsid w:val="00592E02"/>
    <w:rsid w:val="00593BCB"/>
    <w:rsid w:val="0059536A"/>
    <w:rsid w:val="0059552E"/>
    <w:rsid w:val="00595818"/>
    <w:rsid w:val="00595CD1"/>
    <w:rsid w:val="00595FEF"/>
    <w:rsid w:val="00596CBA"/>
    <w:rsid w:val="005A099D"/>
    <w:rsid w:val="005A0D36"/>
    <w:rsid w:val="005A0E8C"/>
    <w:rsid w:val="005A12DA"/>
    <w:rsid w:val="005A1593"/>
    <w:rsid w:val="005A16F0"/>
    <w:rsid w:val="005A1B66"/>
    <w:rsid w:val="005A3F56"/>
    <w:rsid w:val="005A3FF0"/>
    <w:rsid w:val="005A491F"/>
    <w:rsid w:val="005A4C03"/>
    <w:rsid w:val="005A4DD3"/>
    <w:rsid w:val="005A4DFC"/>
    <w:rsid w:val="005A4FE4"/>
    <w:rsid w:val="005A57F5"/>
    <w:rsid w:val="005A5CE9"/>
    <w:rsid w:val="005A5D6C"/>
    <w:rsid w:val="005A68D8"/>
    <w:rsid w:val="005A72CF"/>
    <w:rsid w:val="005A7A48"/>
    <w:rsid w:val="005A7A7E"/>
    <w:rsid w:val="005A7D0F"/>
    <w:rsid w:val="005B0199"/>
    <w:rsid w:val="005B0DBD"/>
    <w:rsid w:val="005B114E"/>
    <w:rsid w:val="005B36E6"/>
    <w:rsid w:val="005B3742"/>
    <w:rsid w:val="005B3D87"/>
    <w:rsid w:val="005B3F62"/>
    <w:rsid w:val="005B43C1"/>
    <w:rsid w:val="005B444A"/>
    <w:rsid w:val="005B458B"/>
    <w:rsid w:val="005B4667"/>
    <w:rsid w:val="005B4961"/>
    <w:rsid w:val="005B4E3A"/>
    <w:rsid w:val="005B5405"/>
    <w:rsid w:val="005B5E4A"/>
    <w:rsid w:val="005B60E3"/>
    <w:rsid w:val="005B6A51"/>
    <w:rsid w:val="005B6C29"/>
    <w:rsid w:val="005B7D83"/>
    <w:rsid w:val="005C077A"/>
    <w:rsid w:val="005C083C"/>
    <w:rsid w:val="005C25D4"/>
    <w:rsid w:val="005C2FE5"/>
    <w:rsid w:val="005C333A"/>
    <w:rsid w:val="005C381F"/>
    <w:rsid w:val="005C3BC6"/>
    <w:rsid w:val="005C46C0"/>
    <w:rsid w:val="005C480A"/>
    <w:rsid w:val="005C54F1"/>
    <w:rsid w:val="005C56C4"/>
    <w:rsid w:val="005C5A9D"/>
    <w:rsid w:val="005C5CF7"/>
    <w:rsid w:val="005C61D7"/>
    <w:rsid w:val="005C636A"/>
    <w:rsid w:val="005C6797"/>
    <w:rsid w:val="005C6E47"/>
    <w:rsid w:val="005C6E62"/>
    <w:rsid w:val="005C6F02"/>
    <w:rsid w:val="005C7A3B"/>
    <w:rsid w:val="005C7B56"/>
    <w:rsid w:val="005D0AF4"/>
    <w:rsid w:val="005D0C51"/>
    <w:rsid w:val="005D131D"/>
    <w:rsid w:val="005D15AD"/>
    <w:rsid w:val="005D1769"/>
    <w:rsid w:val="005D1AF6"/>
    <w:rsid w:val="005D1BA8"/>
    <w:rsid w:val="005D21C0"/>
    <w:rsid w:val="005D287F"/>
    <w:rsid w:val="005D2D2F"/>
    <w:rsid w:val="005D373B"/>
    <w:rsid w:val="005D3A6A"/>
    <w:rsid w:val="005D40CD"/>
    <w:rsid w:val="005D492C"/>
    <w:rsid w:val="005D4D5D"/>
    <w:rsid w:val="005D4F8C"/>
    <w:rsid w:val="005D5CA1"/>
    <w:rsid w:val="005D66DF"/>
    <w:rsid w:val="005D6D89"/>
    <w:rsid w:val="005D7953"/>
    <w:rsid w:val="005D7BB6"/>
    <w:rsid w:val="005D7DE9"/>
    <w:rsid w:val="005E0068"/>
    <w:rsid w:val="005E0B8A"/>
    <w:rsid w:val="005E0DB3"/>
    <w:rsid w:val="005E11B0"/>
    <w:rsid w:val="005E13A2"/>
    <w:rsid w:val="005E1991"/>
    <w:rsid w:val="005E1AAA"/>
    <w:rsid w:val="005E1E0D"/>
    <w:rsid w:val="005E2195"/>
    <w:rsid w:val="005E2940"/>
    <w:rsid w:val="005E377F"/>
    <w:rsid w:val="005E3F7F"/>
    <w:rsid w:val="005E411F"/>
    <w:rsid w:val="005E4A27"/>
    <w:rsid w:val="005E4E8B"/>
    <w:rsid w:val="005E4FAC"/>
    <w:rsid w:val="005E51FA"/>
    <w:rsid w:val="005E5987"/>
    <w:rsid w:val="005E62D7"/>
    <w:rsid w:val="005E6E9D"/>
    <w:rsid w:val="005E7C09"/>
    <w:rsid w:val="005F0153"/>
    <w:rsid w:val="005F046B"/>
    <w:rsid w:val="005F081A"/>
    <w:rsid w:val="005F102F"/>
    <w:rsid w:val="005F10B4"/>
    <w:rsid w:val="005F1445"/>
    <w:rsid w:val="005F2E1C"/>
    <w:rsid w:val="005F2E77"/>
    <w:rsid w:val="005F35A7"/>
    <w:rsid w:val="005F3781"/>
    <w:rsid w:val="005F416A"/>
    <w:rsid w:val="005F441C"/>
    <w:rsid w:val="005F4606"/>
    <w:rsid w:val="005F4A45"/>
    <w:rsid w:val="005F4E6B"/>
    <w:rsid w:val="005F4FB9"/>
    <w:rsid w:val="005F514A"/>
    <w:rsid w:val="005F5708"/>
    <w:rsid w:val="005F5C49"/>
    <w:rsid w:val="005F60A7"/>
    <w:rsid w:val="005F60DC"/>
    <w:rsid w:val="005F65F1"/>
    <w:rsid w:val="005F735F"/>
    <w:rsid w:val="005F7FD8"/>
    <w:rsid w:val="0060040E"/>
    <w:rsid w:val="00600422"/>
    <w:rsid w:val="00600D9C"/>
    <w:rsid w:val="006017F3"/>
    <w:rsid w:val="00601C47"/>
    <w:rsid w:val="006021EC"/>
    <w:rsid w:val="00602B94"/>
    <w:rsid w:val="00602CFC"/>
    <w:rsid w:val="00603042"/>
    <w:rsid w:val="00603407"/>
    <w:rsid w:val="006036AA"/>
    <w:rsid w:val="00603C5E"/>
    <w:rsid w:val="00604954"/>
    <w:rsid w:val="006049BA"/>
    <w:rsid w:val="00604D06"/>
    <w:rsid w:val="00605328"/>
    <w:rsid w:val="0060581D"/>
    <w:rsid w:val="006061A7"/>
    <w:rsid w:val="0060666D"/>
    <w:rsid w:val="00606E01"/>
    <w:rsid w:val="006070B4"/>
    <w:rsid w:val="0061002D"/>
    <w:rsid w:val="00610160"/>
    <w:rsid w:val="0061037E"/>
    <w:rsid w:val="006108FB"/>
    <w:rsid w:val="00610E57"/>
    <w:rsid w:val="00611395"/>
    <w:rsid w:val="00611C2F"/>
    <w:rsid w:val="00611FD3"/>
    <w:rsid w:val="00612C4C"/>
    <w:rsid w:val="006132A6"/>
    <w:rsid w:val="006132B8"/>
    <w:rsid w:val="00613A6D"/>
    <w:rsid w:val="00613F4A"/>
    <w:rsid w:val="00614ABF"/>
    <w:rsid w:val="00614D03"/>
    <w:rsid w:val="00615737"/>
    <w:rsid w:val="006158FD"/>
    <w:rsid w:val="00615C7D"/>
    <w:rsid w:val="006162B6"/>
    <w:rsid w:val="006163E4"/>
    <w:rsid w:val="00616717"/>
    <w:rsid w:val="00616891"/>
    <w:rsid w:val="00616B6C"/>
    <w:rsid w:val="0061726A"/>
    <w:rsid w:val="00617474"/>
    <w:rsid w:val="0061786F"/>
    <w:rsid w:val="0062063C"/>
    <w:rsid w:val="00620902"/>
    <w:rsid w:val="006216CB"/>
    <w:rsid w:val="00621BFC"/>
    <w:rsid w:val="0062275F"/>
    <w:rsid w:val="006229CB"/>
    <w:rsid w:val="00622BB2"/>
    <w:rsid w:val="00622D9A"/>
    <w:rsid w:val="00622F1F"/>
    <w:rsid w:val="00623412"/>
    <w:rsid w:val="00623EDE"/>
    <w:rsid w:val="0062419C"/>
    <w:rsid w:val="00624956"/>
    <w:rsid w:val="0062540F"/>
    <w:rsid w:val="00625C60"/>
    <w:rsid w:val="00625D5F"/>
    <w:rsid w:val="0062637B"/>
    <w:rsid w:val="0062640F"/>
    <w:rsid w:val="0063029D"/>
    <w:rsid w:val="0063044D"/>
    <w:rsid w:val="00631272"/>
    <w:rsid w:val="006315F2"/>
    <w:rsid w:val="006318B2"/>
    <w:rsid w:val="00631942"/>
    <w:rsid w:val="00631959"/>
    <w:rsid w:val="00632831"/>
    <w:rsid w:val="00632B71"/>
    <w:rsid w:val="006338EF"/>
    <w:rsid w:val="00634DC1"/>
    <w:rsid w:val="0063571D"/>
    <w:rsid w:val="00636657"/>
    <w:rsid w:val="00636A62"/>
    <w:rsid w:val="006372EB"/>
    <w:rsid w:val="00637521"/>
    <w:rsid w:val="00637621"/>
    <w:rsid w:val="00637AC7"/>
    <w:rsid w:val="00637B78"/>
    <w:rsid w:val="00637EAE"/>
    <w:rsid w:val="00640239"/>
    <w:rsid w:val="00640324"/>
    <w:rsid w:val="006406BE"/>
    <w:rsid w:val="0064099E"/>
    <w:rsid w:val="006417CE"/>
    <w:rsid w:val="00641C50"/>
    <w:rsid w:val="00641C93"/>
    <w:rsid w:val="00642453"/>
    <w:rsid w:val="00642D99"/>
    <w:rsid w:val="00642F35"/>
    <w:rsid w:val="00643EA2"/>
    <w:rsid w:val="00643EFA"/>
    <w:rsid w:val="006448F4"/>
    <w:rsid w:val="00644A70"/>
    <w:rsid w:val="00644E3C"/>
    <w:rsid w:val="00645A45"/>
    <w:rsid w:val="006463CF"/>
    <w:rsid w:val="00646458"/>
    <w:rsid w:val="00646652"/>
    <w:rsid w:val="00646A19"/>
    <w:rsid w:val="00646F2A"/>
    <w:rsid w:val="00646F56"/>
    <w:rsid w:val="0064758A"/>
    <w:rsid w:val="00647731"/>
    <w:rsid w:val="006478A2"/>
    <w:rsid w:val="00647C53"/>
    <w:rsid w:val="00650485"/>
    <w:rsid w:val="0065085D"/>
    <w:rsid w:val="00650DAA"/>
    <w:rsid w:val="00651248"/>
    <w:rsid w:val="00651334"/>
    <w:rsid w:val="006516DE"/>
    <w:rsid w:val="00651D59"/>
    <w:rsid w:val="0065222D"/>
    <w:rsid w:val="00652396"/>
    <w:rsid w:val="006526AC"/>
    <w:rsid w:val="00652E42"/>
    <w:rsid w:val="00653829"/>
    <w:rsid w:val="00653863"/>
    <w:rsid w:val="006540F7"/>
    <w:rsid w:val="00654546"/>
    <w:rsid w:val="00654EEE"/>
    <w:rsid w:val="00655588"/>
    <w:rsid w:val="00655FC2"/>
    <w:rsid w:val="0065653B"/>
    <w:rsid w:val="0065676A"/>
    <w:rsid w:val="00656E27"/>
    <w:rsid w:val="00657514"/>
    <w:rsid w:val="00657858"/>
    <w:rsid w:val="0065790F"/>
    <w:rsid w:val="006603AF"/>
    <w:rsid w:val="00660749"/>
    <w:rsid w:val="00661C30"/>
    <w:rsid w:val="0066206E"/>
    <w:rsid w:val="006622F7"/>
    <w:rsid w:val="00662DE7"/>
    <w:rsid w:val="0066312B"/>
    <w:rsid w:val="0066345F"/>
    <w:rsid w:val="00663CA4"/>
    <w:rsid w:val="006651D9"/>
    <w:rsid w:val="006651EA"/>
    <w:rsid w:val="006659A0"/>
    <w:rsid w:val="00665B4E"/>
    <w:rsid w:val="00665F03"/>
    <w:rsid w:val="006661FA"/>
    <w:rsid w:val="0066669C"/>
    <w:rsid w:val="006669E2"/>
    <w:rsid w:val="006701DD"/>
    <w:rsid w:val="00670BA2"/>
    <w:rsid w:val="00670BE5"/>
    <w:rsid w:val="0067109B"/>
    <w:rsid w:val="0067111C"/>
    <w:rsid w:val="0067225E"/>
    <w:rsid w:val="00672594"/>
    <w:rsid w:val="00673A30"/>
    <w:rsid w:val="00673B96"/>
    <w:rsid w:val="00674863"/>
    <w:rsid w:val="00674900"/>
    <w:rsid w:val="00674C30"/>
    <w:rsid w:val="00674CBE"/>
    <w:rsid w:val="006750D2"/>
    <w:rsid w:val="00675FED"/>
    <w:rsid w:val="0067632B"/>
    <w:rsid w:val="0067634C"/>
    <w:rsid w:val="00676632"/>
    <w:rsid w:val="00676AE1"/>
    <w:rsid w:val="00677A3E"/>
    <w:rsid w:val="00677B94"/>
    <w:rsid w:val="006803D1"/>
    <w:rsid w:val="006808AF"/>
    <w:rsid w:val="00680E22"/>
    <w:rsid w:val="006810AE"/>
    <w:rsid w:val="00681320"/>
    <w:rsid w:val="00681A0F"/>
    <w:rsid w:val="00681ECF"/>
    <w:rsid w:val="00682125"/>
    <w:rsid w:val="00682848"/>
    <w:rsid w:val="00682C6E"/>
    <w:rsid w:val="00683907"/>
    <w:rsid w:val="00685005"/>
    <w:rsid w:val="006855A9"/>
    <w:rsid w:val="006855B3"/>
    <w:rsid w:val="0068564E"/>
    <w:rsid w:val="00685817"/>
    <w:rsid w:val="00686274"/>
    <w:rsid w:val="0068760D"/>
    <w:rsid w:val="006879D2"/>
    <w:rsid w:val="00687AD5"/>
    <w:rsid w:val="0069029C"/>
    <w:rsid w:val="0069034F"/>
    <w:rsid w:val="0069086E"/>
    <w:rsid w:val="00690E04"/>
    <w:rsid w:val="0069159C"/>
    <w:rsid w:val="006919ED"/>
    <w:rsid w:val="00691CC5"/>
    <w:rsid w:val="00691FB5"/>
    <w:rsid w:val="00691FB8"/>
    <w:rsid w:val="00692968"/>
    <w:rsid w:val="00692F49"/>
    <w:rsid w:val="00692FBD"/>
    <w:rsid w:val="006930D1"/>
    <w:rsid w:val="006931D8"/>
    <w:rsid w:val="0069320D"/>
    <w:rsid w:val="00693593"/>
    <w:rsid w:val="00693854"/>
    <w:rsid w:val="00693D67"/>
    <w:rsid w:val="0069441E"/>
    <w:rsid w:val="00694667"/>
    <w:rsid w:val="00694B6C"/>
    <w:rsid w:val="00694FD0"/>
    <w:rsid w:val="00695572"/>
    <w:rsid w:val="006977AF"/>
    <w:rsid w:val="00697C60"/>
    <w:rsid w:val="006A047D"/>
    <w:rsid w:val="006A1811"/>
    <w:rsid w:val="006A184E"/>
    <w:rsid w:val="006A1901"/>
    <w:rsid w:val="006A1DDD"/>
    <w:rsid w:val="006A238A"/>
    <w:rsid w:val="006A3B13"/>
    <w:rsid w:val="006A3DCE"/>
    <w:rsid w:val="006A4140"/>
    <w:rsid w:val="006A4A23"/>
    <w:rsid w:val="006A4F47"/>
    <w:rsid w:val="006A5341"/>
    <w:rsid w:val="006A5522"/>
    <w:rsid w:val="006A5861"/>
    <w:rsid w:val="006A5871"/>
    <w:rsid w:val="006A5DA5"/>
    <w:rsid w:val="006A5E80"/>
    <w:rsid w:val="006A605A"/>
    <w:rsid w:val="006A62EA"/>
    <w:rsid w:val="006A63B1"/>
    <w:rsid w:val="006A6703"/>
    <w:rsid w:val="006A69B1"/>
    <w:rsid w:val="006A771B"/>
    <w:rsid w:val="006A7B37"/>
    <w:rsid w:val="006B05CF"/>
    <w:rsid w:val="006B0999"/>
    <w:rsid w:val="006B0CB8"/>
    <w:rsid w:val="006B142B"/>
    <w:rsid w:val="006B1444"/>
    <w:rsid w:val="006B1501"/>
    <w:rsid w:val="006B15C5"/>
    <w:rsid w:val="006B1E95"/>
    <w:rsid w:val="006B29D7"/>
    <w:rsid w:val="006B34AA"/>
    <w:rsid w:val="006B3D08"/>
    <w:rsid w:val="006B45D2"/>
    <w:rsid w:val="006B4D6F"/>
    <w:rsid w:val="006B4D90"/>
    <w:rsid w:val="006B5381"/>
    <w:rsid w:val="006B55BC"/>
    <w:rsid w:val="006B57EC"/>
    <w:rsid w:val="006B624A"/>
    <w:rsid w:val="006B676A"/>
    <w:rsid w:val="006B6991"/>
    <w:rsid w:val="006C04EE"/>
    <w:rsid w:val="006C0C1D"/>
    <w:rsid w:val="006C19BD"/>
    <w:rsid w:val="006C2D5B"/>
    <w:rsid w:val="006C2DFC"/>
    <w:rsid w:val="006C35BB"/>
    <w:rsid w:val="006C3CED"/>
    <w:rsid w:val="006C47A9"/>
    <w:rsid w:val="006C495D"/>
    <w:rsid w:val="006C568A"/>
    <w:rsid w:val="006C57BF"/>
    <w:rsid w:val="006C592F"/>
    <w:rsid w:val="006C5A07"/>
    <w:rsid w:val="006C5BE1"/>
    <w:rsid w:val="006C69A1"/>
    <w:rsid w:val="006C6FE5"/>
    <w:rsid w:val="006C7B51"/>
    <w:rsid w:val="006D03D6"/>
    <w:rsid w:val="006D068B"/>
    <w:rsid w:val="006D0E0A"/>
    <w:rsid w:val="006D1207"/>
    <w:rsid w:val="006D14B6"/>
    <w:rsid w:val="006D19B8"/>
    <w:rsid w:val="006D2324"/>
    <w:rsid w:val="006D2AF1"/>
    <w:rsid w:val="006D2E13"/>
    <w:rsid w:val="006D2EEC"/>
    <w:rsid w:val="006D3A0F"/>
    <w:rsid w:val="006D400C"/>
    <w:rsid w:val="006D4375"/>
    <w:rsid w:val="006D448A"/>
    <w:rsid w:val="006D4857"/>
    <w:rsid w:val="006D4D96"/>
    <w:rsid w:val="006D5D59"/>
    <w:rsid w:val="006D695C"/>
    <w:rsid w:val="006D74C0"/>
    <w:rsid w:val="006D76BE"/>
    <w:rsid w:val="006E02FE"/>
    <w:rsid w:val="006E0302"/>
    <w:rsid w:val="006E081C"/>
    <w:rsid w:val="006E1393"/>
    <w:rsid w:val="006E1488"/>
    <w:rsid w:val="006E16CB"/>
    <w:rsid w:val="006E17BC"/>
    <w:rsid w:val="006E288D"/>
    <w:rsid w:val="006E2984"/>
    <w:rsid w:val="006E2F54"/>
    <w:rsid w:val="006E3A3E"/>
    <w:rsid w:val="006E3B5C"/>
    <w:rsid w:val="006E4413"/>
    <w:rsid w:val="006E49BF"/>
    <w:rsid w:val="006E4C37"/>
    <w:rsid w:val="006E4C99"/>
    <w:rsid w:val="006E5BFD"/>
    <w:rsid w:val="006E5F9C"/>
    <w:rsid w:val="006E60CF"/>
    <w:rsid w:val="006E6236"/>
    <w:rsid w:val="006E6487"/>
    <w:rsid w:val="006E687F"/>
    <w:rsid w:val="006E6B16"/>
    <w:rsid w:val="006F022A"/>
    <w:rsid w:val="006F0EE2"/>
    <w:rsid w:val="006F2BDA"/>
    <w:rsid w:val="006F2D36"/>
    <w:rsid w:val="006F2ECD"/>
    <w:rsid w:val="006F3A98"/>
    <w:rsid w:val="006F3CBA"/>
    <w:rsid w:val="006F4A31"/>
    <w:rsid w:val="006F4CC8"/>
    <w:rsid w:val="006F58E9"/>
    <w:rsid w:val="006F6728"/>
    <w:rsid w:val="006F76A2"/>
    <w:rsid w:val="007003D4"/>
    <w:rsid w:val="0070088C"/>
    <w:rsid w:val="00700D9B"/>
    <w:rsid w:val="007019C4"/>
    <w:rsid w:val="007022A8"/>
    <w:rsid w:val="00702699"/>
    <w:rsid w:val="00702D4B"/>
    <w:rsid w:val="00702E4D"/>
    <w:rsid w:val="007033F0"/>
    <w:rsid w:val="0070480C"/>
    <w:rsid w:val="00704894"/>
    <w:rsid w:val="00704A27"/>
    <w:rsid w:val="007054FC"/>
    <w:rsid w:val="00705FFD"/>
    <w:rsid w:val="007061CA"/>
    <w:rsid w:val="007067BD"/>
    <w:rsid w:val="00706E80"/>
    <w:rsid w:val="00706F1A"/>
    <w:rsid w:val="00707065"/>
    <w:rsid w:val="0070717E"/>
    <w:rsid w:val="0070729B"/>
    <w:rsid w:val="00707822"/>
    <w:rsid w:val="00707ED8"/>
    <w:rsid w:val="00710704"/>
    <w:rsid w:val="00710AD6"/>
    <w:rsid w:val="007111C3"/>
    <w:rsid w:val="00711A6F"/>
    <w:rsid w:val="00711C9D"/>
    <w:rsid w:val="00711E44"/>
    <w:rsid w:val="00711FC2"/>
    <w:rsid w:val="007136CB"/>
    <w:rsid w:val="00713A41"/>
    <w:rsid w:val="00713F1A"/>
    <w:rsid w:val="00715D26"/>
    <w:rsid w:val="00716156"/>
    <w:rsid w:val="0071747C"/>
    <w:rsid w:val="0071756B"/>
    <w:rsid w:val="0071793C"/>
    <w:rsid w:val="00720239"/>
    <w:rsid w:val="00720BD3"/>
    <w:rsid w:val="0072217B"/>
    <w:rsid w:val="00722BAF"/>
    <w:rsid w:val="0072319F"/>
    <w:rsid w:val="00723853"/>
    <w:rsid w:val="00723ABE"/>
    <w:rsid w:val="00723D14"/>
    <w:rsid w:val="00724188"/>
    <w:rsid w:val="007241E5"/>
    <w:rsid w:val="0072420C"/>
    <w:rsid w:val="0072459B"/>
    <w:rsid w:val="007246D5"/>
    <w:rsid w:val="00724CB5"/>
    <w:rsid w:val="00724D75"/>
    <w:rsid w:val="00725A56"/>
    <w:rsid w:val="0072665C"/>
    <w:rsid w:val="00727DF6"/>
    <w:rsid w:val="00727F61"/>
    <w:rsid w:val="00730079"/>
    <w:rsid w:val="00730992"/>
    <w:rsid w:val="007324B9"/>
    <w:rsid w:val="00732C0F"/>
    <w:rsid w:val="007331FC"/>
    <w:rsid w:val="00733630"/>
    <w:rsid w:val="007344D0"/>
    <w:rsid w:val="00734E9A"/>
    <w:rsid w:val="00734EFB"/>
    <w:rsid w:val="00735599"/>
    <w:rsid w:val="00735C07"/>
    <w:rsid w:val="00736280"/>
    <w:rsid w:val="00736423"/>
    <w:rsid w:val="007369AC"/>
    <w:rsid w:val="00736C46"/>
    <w:rsid w:val="007371FE"/>
    <w:rsid w:val="0073747A"/>
    <w:rsid w:val="00737A81"/>
    <w:rsid w:val="007406F9"/>
    <w:rsid w:val="0074078E"/>
    <w:rsid w:val="00740D78"/>
    <w:rsid w:val="0074115F"/>
    <w:rsid w:val="0074149A"/>
    <w:rsid w:val="0074161B"/>
    <w:rsid w:val="00741B87"/>
    <w:rsid w:val="00742A2F"/>
    <w:rsid w:val="0074382E"/>
    <w:rsid w:val="00743DF4"/>
    <w:rsid w:val="00744212"/>
    <w:rsid w:val="00744658"/>
    <w:rsid w:val="00745BD0"/>
    <w:rsid w:val="00745EC6"/>
    <w:rsid w:val="00745FDE"/>
    <w:rsid w:val="00746062"/>
    <w:rsid w:val="007462CB"/>
    <w:rsid w:val="007462F8"/>
    <w:rsid w:val="00746D49"/>
    <w:rsid w:val="00747013"/>
    <w:rsid w:val="007471F0"/>
    <w:rsid w:val="00747963"/>
    <w:rsid w:val="007479F6"/>
    <w:rsid w:val="00747BB5"/>
    <w:rsid w:val="007503CE"/>
    <w:rsid w:val="0075059F"/>
    <w:rsid w:val="007507C1"/>
    <w:rsid w:val="00750845"/>
    <w:rsid w:val="00750AF9"/>
    <w:rsid w:val="00751782"/>
    <w:rsid w:val="00751F5E"/>
    <w:rsid w:val="007523AA"/>
    <w:rsid w:val="00752D91"/>
    <w:rsid w:val="00753A90"/>
    <w:rsid w:val="00753D7E"/>
    <w:rsid w:val="00754347"/>
    <w:rsid w:val="00754581"/>
    <w:rsid w:val="0075471F"/>
    <w:rsid w:val="00754A52"/>
    <w:rsid w:val="00754AA8"/>
    <w:rsid w:val="00754C5D"/>
    <w:rsid w:val="00755A27"/>
    <w:rsid w:val="00755F59"/>
    <w:rsid w:val="0075615D"/>
    <w:rsid w:val="00756883"/>
    <w:rsid w:val="007571BF"/>
    <w:rsid w:val="007572D3"/>
    <w:rsid w:val="007577E3"/>
    <w:rsid w:val="00757BB2"/>
    <w:rsid w:val="0076021E"/>
    <w:rsid w:val="0076041A"/>
    <w:rsid w:val="00760747"/>
    <w:rsid w:val="007609E4"/>
    <w:rsid w:val="00760D29"/>
    <w:rsid w:val="00760DEE"/>
    <w:rsid w:val="00760EB5"/>
    <w:rsid w:val="00760EC5"/>
    <w:rsid w:val="00761A10"/>
    <w:rsid w:val="00762025"/>
    <w:rsid w:val="0076203A"/>
    <w:rsid w:val="00762DB7"/>
    <w:rsid w:val="00763830"/>
    <w:rsid w:val="007638DC"/>
    <w:rsid w:val="00763963"/>
    <w:rsid w:val="00764580"/>
    <w:rsid w:val="007653F3"/>
    <w:rsid w:val="0076556C"/>
    <w:rsid w:val="00765E6F"/>
    <w:rsid w:val="00766083"/>
    <w:rsid w:val="0076677F"/>
    <w:rsid w:val="007675C2"/>
    <w:rsid w:val="00767BEB"/>
    <w:rsid w:val="00767ECC"/>
    <w:rsid w:val="007700AA"/>
    <w:rsid w:val="0077047B"/>
    <w:rsid w:val="00770813"/>
    <w:rsid w:val="00770A90"/>
    <w:rsid w:val="00771979"/>
    <w:rsid w:val="007726E1"/>
    <w:rsid w:val="00772B1B"/>
    <w:rsid w:val="00772C1B"/>
    <w:rsid w:val="00772F87"/>
    <w:rsid w:val="00773515"/>
    <w:rsid w:val="007735C9"/>
    <w:rsid w:val="00773B5E"/>
    <w:rsid w:val="0077432F"/>
    <w:rsid w:val="0077480C"/>
    <w:rsid w:val="00774A85"/>
    <w:rsid w:val="0077525E"/>
    <w:rsid w:val="00775BC5"/>
    <w:rsid w:val="00775DE9"/>
    <w:rsid w:val="0077651C"/>
    <w:rsid w:val="00777545"/>
    <w:rsid w:val="00777C1B"/>
    <w:rsid w:val="00777DE7"/>
    <w:rsid w:val="00777EC9"/>
    <w:rsid w:val="00780016"/>
    <w:rsid w:val="00780141"/>
    <w:rsid w:val="007806C3"/>
    <w:rsid w:val="00780926"/>
    <w:rsid w:val="00781F97"/>
    <w:rsid w:val="007824BC"/>
    <w:rsid w:val="007826EF"/>
    <w:rsid w:val="007826F7"/>
    <w:rsid w:val="007829F2"/>
    <w:rsid w:val="007831DF"/>
    <w:rsid w:val="007838B1"/>
    <w:rsid w:val="00783A9A"/>
    <w:rsid w:val="00784AA0"/>
    <w:rsid w:val="00784CFB"/>
    <w:rsid w:val="007855D0"/>
    <w:rsid w:val="0078647F"/>
    <w:rsid w:val="00786BF2"/>
    <w:rsid w:val="00786CB2"/>
    <w:rsid w:val="0078720D"/>
    <w:rsid w:val="00787278"/>
    <w:rsid w:val="0078734C"/>
    <w:rsid w:val="00787B88"/>
    <w:rsid w:val="00787BC7"/>
    <w:rsid w:val="00787BFB"/>
    <w:rsid w:val="0079040F"/>
    <w:rsid w:val="0079067E"/>
    <w:rsid w:val="00790F10"/>
    <w:rsid w:val="0079140F"/>
    <w:rsid w:val="0079144E"/>
    <w:rsid w:val="00791BF1"/>
    <w:rsid w:val="00791C13"/>
    <w:rsid w:val="00791DF4"/>
    <w:rsid w:val="00792C2C"/>
    <w:rsid w:val="00792C79"/>
    <w:rsid w:val="00792E9D"/>
    <w:rsid w:val="00793B4C"/>
    <w:rsid w:val="007943EE"/>
    <w:rsid w:val="007945B6"/>
    <w:rsid w:val="00794910"/>
    <w:rsid w:val="00794CF2"/>
    <w:rsid w:val="00795011"/>
    <w:rsid w:val="00795A2E"/>
    <w:rsid w:val="00795CAC"/>
    <w:rsid w:val="00795E12"/>
    <w:rsid w:val="00795FC9"/>
    <w:rsid w:val="007960ED"/>
    <w:rsid w:val="00796743"/>
    <w:rsid w:val="00796C28"/>
    <w:rsid w:val="00796EA3"/>
    <w:rsid w:val="00797ED6"/>
    <w:rsid w:val="007A02F1"/>
    <w:rsid w:val="007A0816"/>
    <w:rsid w:val="007A0B40"/>
    <w:rsid w:val="007A1274"/>
    <w:rsid w:val="007A12EE"/>
    <w:rsid w:val="007A171E"/>
    <w:rsid w:val="007A1AF6"/>
    <w:rsid w:val="007A1FA8"/>
    <w:rsid w:val="007A213F"/>
    <w:rsid w:val="007A22FC"/>
    <w:rsid w:val="007A3249"/>
    <w:rsid w:val="007A3DA6"/>
    <w:rsid w:val="007A3E14"/>
    <w:rsid w:val="007A3EFE"/>
    <w:rsid w:val="007A4068"/>
    <w:rsid w:val="007A4111"/>
    <w:rsid w:val="007A4489"/>
    <w:rsid w:val="007A5177"/>
    <w:rsid w:val="007A5CC6"/>
    <w:rsid w:val="007A6331"/>
    <w:rsid w:val="007A6F22"/>
    <w:rsid w:val="007A7227"/>
    <w:rsid w:val="007A7D43"/>
    <w:rsid w:val="007A7F7D"/>
    <w:rsid w:val="007B0108"/>
    <w:rsid w:val="007B017D"/>
    <w:rsid w:val="007B0766"/>
    <w:rsid w:val="007B20C0"/>
    <w:rsid w:val="007B211F"/>
    <w:rsid w:val="007B21F6"/>
    <w:rsid w:val="007B23C2"/>
    <w:rsid w:val="007B2AD8"/>
    <w:rsid w:val="007B2CF4"/>
    <w:rsid w:val="007B30EB"/>
    <w:rsid w:val="007B3144"/>
    <w:rsid w:val="007B3ADA"/>
    <w:rsid w:val="007B3CA4"/>
    <w:rsid w:val="007B4114"/>
    <w:rsid w:val="007B4910"/>
    <w:rsid w:val="007B4A31"/>
    <w:rsid w:val="007B5039"/>
    <w:rsid w:val="007B5156"/>
    <w:rsid w:val="007B59E7"/>
    <w:rsid w:val="007B5B4C"/>
    <w:rsid w:val="007B5BFC"/>
    <w:rsid w:val="007B5C05"/>
    <w:rsid w:val="007B5D05"/>
    <w:rsid w:val="007B5FC6"/>
    <w:rsid w:val="007B6204"/>
    <w:rsid w:val="007B6980"/>
    <w:rsid w:val="007B6D67"/>
    <w:rsid w:val="007B761B"/>
    <w:rsid w:val="007B76E8"/>
    <w:rsid w:val="007B796E"/>
    <w:rsid w:val="007B7BE4"/>
    <w:rsid w:val="007C00BE"/>
    <w:rsid w:val="007C0A3F"/>
    <w:rsid w:val="007C14C2"/>
    <w:rsid w:val="007C1D9A"/>
    <w:rsid w:val="007C209D"/>
    <w:rsid w:val="007C2E01"/>
    <w:rsid w:val="007C3D1B"/>
    <w:rsid w:val="007C4628"/>
    <w:rsid w:val="007C469C"/>
    <w:rsid w:val="007C6589"/>
    <w:rsid w:val="007C65ED"/>
    <w:rsid w:val="007C69E4"/>
    <w:rsid w:val="007C6C6D"/>
    <w:rsid w:val="007C6DBA"/>
    <w:rsid w:val="007C6EE9"/>
    <w:rsid w:val="007C6F1E"/>
    <w:rsid w:val="007C776B"/>
    <w:rsid w:val="007C7781"/>
    <w:rsid w:val="007C7BCA"/>
    <w:rsid w:val="007D0C80"/>
    <w:rsid w:val="007D145A"/>
    <w:rsid w:val="007D155D"/>
    <w:rsid w:val="007D15D5"/>
    <w:rsid w:val="007D1D11"/>
    <w:rsid w:val="007D1D74"/>
    <w:rsid w:val="007D1FD1"/>
    <w:rsid w:val="007D2966"/>
    <w:rsid w:val="007D2B9F"/>
    <w:rsid w:val="007D2CDA"/>
    <w:rsid w:val="007D2E0E"/>
    <w:rsid w:val="007D320D"/>
    <w:rsid w:val="007D3495"/>
    <w:rsid w:val="007D34B4"/>
    <w:rsid w:val="007D362C"/>
    <w:rsid w:val="007D3666"/>
    <w:rsid w:val="007D3E08"/>
    <w:rsid w:val="007D4071"/>
    <w:rsid w:val="007D40F9"/>
    <w:rsid w:val="007D4397"/>
    <w:rsid w:val="007D4A5E"/>
    <w:rsid w:val="007D4A99"/>
    <w:rsid w:val="007D53D5"/>
    <w:rsid w:val="007D5C3F"/>
    <w:rsid w:val="007D5D65"/>
    <w:rsid w:val="007D60CD"/>
    <w:rsid w:val="007D6142"/>
    <w:rsid w:val="007D65FE"/>
    <w:rsid w:val="007D6BDE"/>
    <w:rsid w:val="007D6CEE"/>
    <w:rsid w:val="007D7225"/>
    <w:rsid w:val="007E00AA"/>
    <w:rsid w:val="007E0907"/>
    <w:rsid w:val="007E1432"/>
    <w:rsid w:val="007E2073"/>
    <w:rsid w:val="007E22AE"/>
    <w:rsid w:val="007E23A6"/>
    <w:rsid w:val="007E29CA"/>
    <w:rsid w:val="007E2E81"/>
    <w:rsid w:val="007E3241"/>
    <w:rsid w:val="007E3662"/>
    <w:rsid w:val="007E3E4A"/>
    <w:rsid w:val="007E3EC5"/>
    <w:rsid w:val="007E47BD"/>
    <w:rsid w:val="007E47FC"/>
    <w:rsid w:val="007E49BA"/>
    <w:rsid w:val="007E55BC"/>
    <w:rsid w:val="007E58E9"/>
    <w:rsid w:val="007E5AFB"/>
    <w:rsid w:val="007E5F50"/>
    <w:rsid w:val="007E6176"/>
    <w:rsid w:val="007E668E"/>
    <w:rsid w:val="007E6C06"/>
    <w:rsid w:val="007E6D48"/>
    <w:rsid w:val="007E73D8"/>
    <w:rsid w:val="007E7E4B"/>
    <w:rsid w:val="007F07B9"/>
    <w:rsid w:val="007F0B6E"/>
    <w:rsid w:val="007F2377"/>
    <w:rsid w:val="007F2426"/>
    <w:rsid w:val="007F2645"/>
    <w:rsid w:val="007F2D11"/>
    <w:rsid w:val="007F3F20"/>
    <w:rsid w:val="007F42A0"/>
    <w:rsid w:val="007F43B2"/>
    <w:rsid w:val="007F47EE"/>
    <w:rsid w:val="007F494D"/>
    <w:rsid w:val="007F4FA7"/>
    <w:rsid w:val="007F51AB"/>
    <w:rsid w:val="007F522A"/>
    <w:rsid w:val="007F5324"/>
    <w:rsid w:val="007F5BE9"/>
    <w:rsid w:val="007F5E88"/>
    <w:rsid w:val="007F5F32"/>
    <w:rsid w:val="007F5FAC"/>
    <w:rsid w:val="007F6210"/>
    <w:rsid w:val="007F689F"/>
    <w:rsid w:val="007F7393"/>
    <w:rsid w:val="007F78AE"/>
    <w:rsid w:val="007F78B4"/>
    <w:rsid w:val="007F7975"/>
    <w:rsid w:val="008007DD"/>
    <w:rsid w:val="00800FA3"/>
    <w:rsid w:val="00801190"/>
    <w:rsid w:val="0080128E"/>
    <w:rsid w:val="008021D2"/>
    <w:rsid w:val="00802263"/>
    <w:rsid w:val="0080355D"/>
    <w:rsid w:val="008035BA"/>
    <w:rsid w:val="00803AB2"/>
    <w:rsid w:val="0080495B"/>
    <w:rsid w:val="00804EB0"/>
    <w:rsid w:val="008051FF"/>
    <w:rsid w:val="00805367"/>
    <w:rsid w:val="008056BD"/>
    <w:rsid w:val="00805883"/>
    <w:rsid w:val="0080592C"/>
    <w:rsid w:val="008059F9"/>
    <w:rsid w:val="00805BED"/>
    <w:rsid w:val="00805C0D"/>
    <w:rsid w:val="00806072"/>
    <w:rsid w:val="008061B1"/>
    <w:rsid w:val="0080727F"/>
    <w:rsid w:val="0080791A"/>
    <w:rsid w:val="00807982"/>
    <w:rsid w:val="00807A99"/>
    <w:rsid w:val="00807CA8"/>
    <w:rsid w:val="00807DF0"/>
    <w:rsid w:val="008107C2"/>
    <w:rsid w:val="008107CA"/>
    <w:rsid w:val="00811D95"/>
    <w:rsid w:val="00811EB4"/>
    <w:rsid w:val="008121B9"/>
    <w:rsid w:val="00812481"/>
    <w:rsid w:val="00812AB4"/>
    <w:rsid w:val="00812C83"/>
    <w:rsid w:val="008130CA"/>
    <w:rsid w:val="00813174"/>
    <w:rsid w:val="0081378F"/>
    <w:rsid w:val="00813C4C"/>
    <w:rsid w:val="00813E9C"/>
    <w:rsid w:val="00813F7A"/>
    <w:rsid w:val="008145DB"/>
    <w:rsid w:val="00814824"/>
    <w:rsid w:val="0081570A"/>
    <w:rsid w:val="00815D17"/>
    <w:rsid w:val="00815F27"/>
    <w:rsid w:val="00816040"/>
    <w:rsid w:val="008162C5"/>
    <w:rsid w:val="00816524"/>
    <w:rsid w:val="008166FD"/>
    <w:rsid w:val="0081684F"/>
    <w:rsid w:val="00816955"/>
    <w:rsid w:val="00816BBE"/>
    <w:rsid w:val="00817248"/>
    <w:rsid w:val="008175A2"/>
    <w:rsid w:val="008178E9"/>
    <w:rsid w:val="00817CB6"/>
    <w:rsid w:val="00817FB5"/>
    <w:rsid w:val="008202D1"/>
    <w:rsid w:val="00820DE5"/>
    <w:rsid w:val="00820F58"/>
    <w:rsid w:val="008217BB"/>
    <w:rsid w:val="00821BFB"/>
    <w:rsid w:val="00821DBD"/>
    <w:rsid w:val="0082231E"/>
    <w:rsid w:val="00822DBB"/>
    <w:rsid w:val="0082302F"/>
    <w:rsid w:val="008231C5"/>
    <w:rsid w:val="008240C3"/>
    <w:rsid w:val="00824789"/>
    <w:rsid w:val="0082487F"/>
    <w:rsid w:val="00824BEE"/>
    <w:rsid w:val="00824C48"/>
    <w:rsid w:val="008253FC"/>
    <w:rsid w:val="008258BD"/>
    <w:rsid w:val="00825C69"/>
    <w:rsid w:val="00825E96"/>
    <w:rsid w:val="0082606D"/>
    <w:rsid w:val="008260CB"/>
    <w:rsid w:val="00826944"/>
    <w:rsid w:val="00826AB0"/>
    <w:rsid w:val="008274E3"/>
    <w:rsid w:val="008276B5"/>
    <w:rsid w:val="00830033"/>
    <w:rsid w:val="00830181"/>
    <w:rsid w:val="0083024E"/>
    <w:rsid w:val="00830A63"/>
    <w:rsid w:val="00830B26"/>
    <w:rsid w:val="008314F2"/>
    <w:rsid w:val="00831A98"/>
    <w:rsid w:val="00831D83"/>
    <w:rsid w:val="00832377"/>
    <w:rsid w:val="00832A80"/>
    <w:rsid w:val="00832E99"/>
    <w:rsid w:val="00833215"/>
    <w:rsid w:val="0083388B"/>
    <w:rsid w:val="00833AFB"/>
    <w:rsid w:val="00833B41"/>
    <w:rsid w:val="00833BC0"/>
    <w:rsid w:val="00833F69"/>
    <w:rsid w:val="008340F6"/>
    <w:rsid w:val="00834FC1"/>
    <w:rsid w:val="0083526F"/>
    <w:rsid w:val="008356BE"/>
    <w:rsid w:val="00835E30"/>
    <w:rsid w:val="00836602"/>
    <w:rsid w:val="00837725"/>
    <w:rsid w:val="00837938"/>
    <w:rsid w:val="008403D2"/>
    <w:rsid w:val="00840520"/>
    <w:rsid w:val="008407A8"/>
    <w:rsid w:val="00840930"/>
    <w:rsid w:val="00840B10"/>
    <w:rsid w:val="00841553"/>
    <w:rsid w:val="00841D4A"/>
    <w:rsid w:val="00842759"/>
    <w:rsid w:val="0084337F"/>
    <w:rsid w:val="008433D9"/>
    <w:rsid w:val="0084352C"/>
    <w:rsid w:val="00843A69"/>
    <w:rsid w:val="0084499B"/>
    <w:rsid w:val="0084589A"/>
    <w:rsid w:val="00845FCD"/>
    <w:rsid w:val="008465DC"/>
    <w:rsid w:val="008467B6"/>
    <w:rsid w:val="00846F9A"/>
    <w:rsid w:val="00846FA1"/>
    <w:rsid w:val="00847308"/>
    <w:rsid w:val="0084787A"/>
    <w:rsid w:val="00850BDC"/>
    <w:rsid w:val="00851172"/>
    <w:rsid w:val="0085167E"/>
    <w:rsid w:val="00851AF9"/>
    <w:rsid w:val="008521D4"/>
    <w:rsid w:val="00852330"/>
    <w:rsid w:val="00852DF0"/>
    <w:rsid w:val="00852FCC"/>
    <w:rsid w:val="00853095"/>
    <w:rsid w:val="00853332"/>
    <w:rsid w:val="00853EF0"/>
    <w:rsid w:val="008560D1"/>
    <w:rsid w:val="008560EF"/>
    <w:rsid w:val="00856977"/>
    <w:rsid w:val="00856978"/>
    <w:rsid w:val="00856EDA"/>
    <w:rsid w:val="00856F79"/>
    <w:rsid w:val="008575A3"/>
    <w:rsid w:val="00857EDD"/>
    <w:rsid w:val="00860A31"/>
    <w:rsid w:val="00860D2A"/>
    <w:rsid w:val="00860E51"/>
    <w:rsid w:val="00861714"/>
    <w:rsid w:val="008617BD"/>
    <w:rsid w:val="0086184B"/>
    <w:rsid w:val="0086206F"/>
    <w:rsid w:val="008621B3"/>
    <w:rsid w:val="0086247B"/>
    <w:rsid w:val="008625D7"/>
    <w:rsid w:val="00862B6B"/>
    <w:rsid w:val="00862FD4"/>
    <w:rsid w:val="00863060"/>
    <w:rsid w:val="0086339C"/>
    <w:rsid w:val="008633F5"/>
    <w:rsid w:val="00865A4F"/>
    <w:rsid w:val="0086677B"/>
    <w:rsid w:val="00866926"/>
    <w:rsid w:val="00867452"/>
    <w:rsid w:val="00867903"/>
    <w:rsid w:val="00867DFD"/>
    <w:rsid w:val="00870308"/>
    <w:rsid w:val="008704C5"/>
    <w:rsid w:val="00871036"/>
    <w:rsid w:val="00871A94"/>
    <w:rsid w:val="0087271B"/>
    <w:rsid w:val="00872ABC"/>
    <w:rsid w:val="00872FA3"/>
    <w:rsid w:val="00872FFD"/>
    <w:rsid w:val="00873869"/>
    <w:rsid w:val="00873A5D"/>
    <w:rsid w:val="00873B6D"/>
    <w:rsid w:val="00873CCF"/>
    <w:rsid w:val="00874D5D"/>
    <w:rsid w:val="00875197"/>
    <w:rsid w:val="0087534B"/>
    <w:rsid w:val="008753CA"/>
    <w:rsid w:val="00875400"/>
    <w:rsid w:val="00876733"/>
    <w:rsid w:val="00880534"/>
    <w:rsid w:val="00880564"/>
    <w:rsid w:val="00880B7F"/>
    <w:rsid w:val="0088103F"/>
    <w:rsid w:val="0088122D"/>
    <w:rsid w:val="0088277C"/>
    <w:rsid w:val="00882CD1"/>
    <w:rsid w:val="00882FD8"/>
    <w:rsid w:val="008830AB"/>
    <w:rsid w:val="008834A4"/>
    <w:rsid w:val="008838E9"/>
    <w:rsid w:val="00883AE1"/>
    <w:rsid w:val="00883C5F"/>
    <w:rsid w:val="00883E79"/>
    <w:rsid w:val="00884150"/>
    <w:rsid w:val="008841A3"/>
    <w:rsid w:val="008858D1"/>
    <w:rsid w:val="0088619D"/>
    <w:rsid w:val="008864FD"/>
    <w:rsid w:val="00887294"/>
    <w:rsid w:val="00887922"/>
    <w:rsid w:val="00887928"/>
    <w:rsid w:val="008879DA"/>
    <w:rsid w:val="00887A97"/>
    <w:rsid w:val="00887E88"/>
    <w:rsid w:val="0089016A"/>
    <w:rsid w:val="00890275"/>
    <w:rsid w:val="00890464"/>
    <w:rsid w:val="008913D1"/>
    <w:rsid w:val="00891B2D"/>
    <w:rsid w:val="00891FCB"/>
    <w:rsid w:val="00892323"/>
    <w:rsid w:val="00892AF5"/>
    <w:rsid w:val="00892D9B"/>
    <w:rsid w:val="008933EE"/>
    <w:rsid w:val="008940C9"/>
    <w:rsid w:val="008943F2"/>
    <w:rsid w:val="00894B3D"/>
    <w:rsid w:val="00894F2E"/>
    <w:rsid w:val="00894F71"/>
    <w:rsid w:val="0089563F"/>
    <w:rsid w:val="00896C23"/>
    <w:rsid w:val="00896F6A"/>
    <w:rsid w:val="00897CD8"/>
    <w:rsid w:val="008A00C4"/>
    <w:rsid w:val="008A0B58"/>
    <w:rsid w:val="008A13BD"/>
    <w:rsid w:val="008A1439"/>
    <w:rsid w:val="008A170A"/>
    <w:rsid w:val="008A1E50"/>
    <w:rsid w:val="008A1E8F"/>
    <w:rsid w:val="008A2118"/>
    <w:rsid w:val="008A2594"/>
    <w:rsid w:val="008A298F"/>
    <w:rsid w:val="008A2D19"/>
    <w:rsid w:val="008A3153"/>
    <w:rsid w:val="008A3A34"/>
    <w:rsid w:val="008A4E8F"/>
    <w:rsid w:val="008A553E"/>
    <w:rsid w:val="008A6FF5"/>
    <w:rsid w:val="008A7516"/>
    <w:rsid w:val="008B0200"/>
    <w:rsid w:val="008B0257"/>
    <w:rsid w:val="008B08D1"/>
    <w:rsid w:val="008B0A4D"/>
    <w:rsid w:val="008B0ECF"/>
    <w:rsid w:val="008B0EED"/>
    <w:rsid w:val="008B121F"/>
    <w:rsid w:val="008B1FAA"/>
    <w:rsid w:val="008B2028"/>
    <w:rsid w:val="008B2941"/>
    <w:rsid w:val="008B3000"/>
    <w:rsid w:val="008B3009"/>
    <w:rsid w:val="008B31AA"/>
    <w:rsid w:val="008B35A3"/>
    <w:rsid w:val="008B3BC5"/>
    <w:rsid w:val="008B404D"/>
    <w:rsid w:val="008B41E7"/>
    <w:rsid w:val="008B4D1D"/>
    <w:rsid w:val="008B5594"/>
    <w:rsid w:val="008B58ED"/>
    <w:rsid w:val="008B5C68"/>
    <w:rsid w:val="008B5E69"/>
    <w:rsid w:val="008B5F60"/>
    <w:rsid w:val="008B6718"/>
    <w:rsid w:val="008B6888"/>
    <w:rsid w:val="008B6C7B"/>
    <w:rsid w:val="008B73E1"/>
    <w:rsid w:val="008B741E"/>
    <w:rsid w:val="008B7978"/>
    <w:rsid w:val="008B7ACD"/>
    <w:rsid w:val="008B7FF8"/>
    <w:rsid w:val="008C01F2"/>
    <w:rsid w:val="008C0CAC"/>
    <w:rsid w:val="008C11F9"/>
    <w:rsid w:val="008C1AAB"/>
    <w:rsid w:val="008C1AB6"/>
    <w:rsid w:val="008C1BFA"/>
    <w:rsid w:val="008C20DB"/>
    <w:rsid w:val="008C2370"/>
    <w:rsid w:val="008C25F2"/>
    <w:rsid w:val="008C2973"/>
    <w:rsid w:val="008C2D05"/>
    <w:rsid w:val="008C3003"/>
    <w:rsid w:val="008C340B"/>
    <w:rsid w:val="008C39B5"/>
    <w:rsid w:val="008C4248"/>
    <w:rsid w:val="008C42C7"/>
    <w:rsid w:val="008C489D"/>
    <w:rsid w:val="008C540D"/>
    <w:rsid w:val="008C55F6"/>
    <w:rsid w:val="008C5AC4"/>
    <w:rsid w:val="008C5CC7"/>
    <w:rsid w:val="008C5CCB"/>
    <w:rsid w:val="008C5E2F"/>
    <w:rsid w:val="008C60F6"/>
    <w:rsid w:val="008C67A2"/>
    <w:rsid w:val="008C6862"/>
    <w:rsid w:val="008C6A90"/>
    <w:rsid w:val="008C77DA"/>
    <w:rsid w:val="008C7B79"/>
    <w:rsid w:val="008D0754"/>
    <w:rsid w:val="008D16A6"/>
    <w:rsid w:val="008D16C4"/>
    <w:rsid w:val="008D265D"/>
    <w:rsid w:val="008D30D7"/>
    <w:rsid w:val="008D330C"/>
    <w:rsid w:val="008D3CF7"/>
    <w:rsid w:val="008D3E7A"/>
    <w:rsid w:val="008D45F4"/>
    <w:rsid w:val="008D4793"/>
    <w:rsid w:val="008D50C9"/>
    <w:rsid w:val="008D5F63"/>
    <w:rsid w:val="008D60DC"/>
    <w:rsid w:val="008D6803"/>
    <w:rsid w:val="008D6B24"/>
    <w:rsid w:val="008D6F5B"/>
    <w:rsid w:val="008D70F0"/>
    <w:rsid w:val="008D7885"/>
    <w:rsid w:val="008D7949"/>
    <w:rsid w:val="008E046B"/>
    <w:rsid w:val="008E0B6A"/>
    <w:rsid w:val="008E19C7"/>
    <w:rsid w:val="008E1ABD"/>
    <w:rsid w:val="008E21C3"/>
    <w:rsid w:val="008E22B5"/>
    <w:rsid w:val="008E243E"/>
    <w:rsid w:val="008E2BA9"/>
    <w:rsid w:val="008E2C86"/>
    <w:rsid w:val="008E349D"/>
    <w:rsid w:val="008E363D"/>
    <w:rsid w:val="008E36D6"/>
    <w:rsid w:val="008E3F61"/>
    <w:rsid w:val="008E500A"/>
    <w:rsid w:val="008E50D8"/>
    <w:rsid w:val="008E59AA"/>
    <w:rsid w:val="008E5F62"/>
    <w:rsid w:val="008E74E8"/>
    <w:rsid w:val="008E76EE"/>
    <w:rsid w:val="008F036F"/>
    <w:rsid w:val="008F0DC8"/>
    <w:rsid w:val="008F294D"/>
    <w:rsid w:val="008F2E14"/>
    <w:rsid w:val="008F30EE"/>
    <w:rsid w:val="008F374C"/>
    <w:rsid w:val="008F4A70"/>
    <w:rsid w:val="008F4D29"/>
    <w:rsid w:val="008F5443"/>
    <w:rsid w:val="008F5950"/>
    <w:rsid w:val="008F5C97"/>
    <w:rsid w:val="008F6385"/>
    <w:rsid w:val="008F6A55"/>
    <w:rsid w:val="008F6D00"/>
    <w:rsid w:val="008F7245"/>
    <w:rsid w:val="008F77F0"/>
    <w:rsid w:val="008F7D35"/>
    <w:rsid w:val="008F7D5D"/>
    <w:rsid w:val="008F7DA9"/>
    <w:rsid w:val="0090002B"/>
    <w:rsid w:val="00900D84"/>
    <w:rsid w:val="0090179F"/>
    <w:rsid w:val="0090184D"/>
    <w:rsid w:val="009025F8"/>
    <w:rsid w:val="00902653"/>
    <w:rsid w:val="00902832"/>
    <w:rsid w:val="0090357B"/>
    <w:rsid w:val="00903D9A"/>
    <w:rsid w:val="0090419E"/>
    <w:rsid w:val="00904242"/>
    <w:rsid w:val="009042E7"/>
    <w:rsid w:val="0090459E"/>
    <w:rsid w:val="009047ED"/>
    <w:rsid w:val="00904ABA"/>
    <w:rsid w:val="00904BEF"/>
    <w:rsid w:val="00904D1F"/>
    <w:rsid w:val="00904E48"/>
    <w:rsid w:val="00905366"/>
    <w:rsid w:val="009058F7"/>
    <w:rsid w:val="009067A4"/>
    <w:rsid w:val="0090752F"/>
    <w:rsid w:val="00907581"/>
    <w:rsid w:val="00907A5D"/>
    <w:rsid w:val="00910EBD"/>
    <w:rsid w:val="00911CC1"/>
    <w:rsid w:val="0091205A"/>
    <w:rsid w:val="00912248"/>
    <w:rsid w:val="009125E7"/>
    <w:rsid w:val="00912C33"/>
    <w:rsid w:val="00913703"/>
    <w:rsid w:val="00914A66"/>
    <w:rsid w:val="00914A79"/>
    <w:rsid w:val="00914DE6"/>
    <w:rsid w:val="00915718"/>
    <w:rsid w:val="00915D3B"/>
    <w:rsid w:val="009163F0"/>
    <w:rsid w:val="0091705B"/>
    <w:rsid w:val="00917496"/>
    <w:rsid w:val="0091786E"/>
    <w:rsid w:val="00917BA5"/>
    <w:rsid w:val="0092045F"/>
    <w:rsid w:val="00920672"/>
    <w:rsid w:val="009209C2"/>
    <w:rsid w:val="00920B61"/>
    <w:rsid w:val="00920CD8"/>
    <w:rsid w:val="00922959"/>
    <w:rsid w:val="00922B4C"/>
    <w:rsid w:val="00922BEF"/>
    <w:rsid w:val="00922EF3"/>
    <w:rsid w:val="009237EC"/>
    <w:rsid w:val="009239CE"/>
    <w:rsid w:val="00923D77"/>
    <w:rsid w:val="009245F4"/>
    <w:rsid w:val="009247F0"/>
    <w:rsid w:val="00924891"/>
    <w:rsid w:val="00924D96"/>
    <w:rsid w:val="00924E24"/>
    <w:rsid w:val="00924F89"/>
    <w:rsid w:val="00925208"/>
    <w:rsid w:val="009257E8"/>
    <w:rsid w:val="00925C03"/>
    <w:rsid w:val="00925E37"/>
    <w:rsid w:val="009263EF"/>
    <w:rsid w:val="00926DB1"/>
    <w:rsid w:val="00926F23"/>
    <w:rsid w:val="0092706B"/>
    <w:rsid w:val="00927B28"/>
    <w:rsid w:val="009300DC"/>
    <w:rsid w:val="00930392"/>
    <w:rsid w:val="00930FC1"/>
    <w:rsid w:val="009319AF"/>
    <w:rsid w:val="00931C6C"/>
    <w:rsid w:val="0093285A"/>
    <w:rsid w:val="00932BC2"/>
    <w:rsid w:val="009330A7"/>
    <w:rsid w:val="009330B4"/>
    <w:rsid w:val="009335C9"/>
    <w:rsid w:val="0093374A"/>
    <w:rsid w:val="00934113"/>
    <w:rsid w:val="0093436C"/>
    <w:rsid w:val="0093597E"/>
    <w:rsid w:val="00936523"/>
    <w:rsid w:val="009368DE"/>
    <w:rsid w:val="00937024"/>
    <w:rsid w:val="0093709E"/>
    <w:rsid w:val="00937416"/>
    <w:rsid w:val="00937516"/>
    <w:rsid w:val="0094114D"/>
    <w:rsid w:val="00941631"/>
    <w:rsid w:val="00941705"/>
    <w:rsid w:val="00941893"/>
    <w:rsid w:val="009419F7"/>
    <w:rsid w:val="00941FFC"/>
    <w:rsid w:val="0094264B"/>
    <w:rsid w:val="0094316F"/>
    <w:rsid w:val="00943557"/>
    <w:rsid w:val="0094467F"/>
    <w:rsid w:val="00944C1F"/>
    <w:rsid w:val="00945541"/>
    <w:rsid w:val="00945A4E"/>
    <w:rsid w:val="00945A73"/>
    <w:rsid w:val="009462D6"/>
    <w:rsid w:val="009464AF"/>
    <w:rsid w:val="009469F0"/>
    <w:rsid w:val="00946CB7"/>
    <w:rsid w:val="00947464"/>
    <w:rsid w:val="00947C25"/>
    <w:rsid w:val="00950222"/>
    <w:rsid w:val="0095022D"/>
    <w:rsid w:val="009503DF"/>
    <w:rsid w:val="00951506"/>
    <w:rsid w:val="0095193C"/>
    <w:rsid w:val="00951B03"/>
    <w:rsid w:val="00952441"/>
    <w:rsid w:val="009530E3"/>
    <w:rsid w:val="00953723"/>
    <w:rsid w:val="00953F28"/>
    <w:rsid w:val="00954257"/>
    <w:rsid w:val="0095489E"/>
    <w:rsid w:val="009553D3"/>
    <w:rsid w:val="009557E3"/>
    <w:rsid w:val="00955DAE"/>
    <w:rsid w:val="00956111"/>
    <w:rsid w:val="00956683"/>
    <w:rsid w:val="00956733"/>
    <w:rsid w:val="00956BD8"/>
    <w:rsid w:val="00956D08"/>
    <w:rsid w:val="0095765C"/>
    <w:rsid w:val="00957BFE"/>
    <w:rsid w:val="00960436"/>
    <w:rsid w:val="00960601"/>
    <w:rsid w:val="009611FB"/>
    <w:rsid w:val="00961573"/>
    <w:rsid w:val="009615F9"/>
    <w:rsid w:val="00961777"/>
    <w:rsid w:val="00961FE5"/>
    <w:rsid w:val="0096323B"/>
    <w:rsid w:val="009632CE"/>
    <w:rsid w:val="00963EC3"/>
    <w:rsid w:val="0096482A"/>
    <w:rsid w:val="009649FC"/>
    <w:rsid w:val="0096536C"/>
    <w:rsid w:val="00965542"/>
    <w:rsid w:val="00965711"/>
    <w:rsid w:val="00966572"/>
    <w:rsid w:val="0096726C"/>
    <w:rsid w:val="009679E9"/>
    <w:rsid w:val="00967DBC"/>
    <w:rsid w:val="00970D64"/>
    <w:rsid w:val="00972A57"/>
    <w:rsid w:val="00972AC4"/>
    <w:rsid w:val="00972D39"/>
    <w:rsid w:val="00973BF1"/>
    <w:rsid w:val="009740BD"/>
    <w:rsid w:val="009749FE"/>
    <w:rsid w:val="00974B4E"/>
    <w:rsid w:val="00974C51"/>
    <w:rsid w:val="00974FB8"/>
    <w:rsid w:val="009752AA"/>
    <w:rsid w:val="00975386"/>
    <w:rsid w:val="00976482"/>
    <w:rsid w:val="00976E2B"/>
    <w:rsid w:val="00977362"/>
    <w:rsid w:val="0097760C"/>
    <w:rsid w:val="009776A9"/>
    <w:rsid w:val="00980306"/>
    <w:rsid w:val="00980884"/>
    <w:rsid w:val="009813A8"/>
    <w:rsid w:val="009813D8"/>
    <w:rsid w:val="00981AC3"/>
    <w:rsid w:val="00981DCD"/>
    <w:rsid w:val="00981E8E"/>
    <w:rsid w:val="00981F26"/>
    <w:rsid w:val="009826AB"/>
    <w:rsid w:val="009829E3"/>
    <w:rsid w:val="009830FF"/>
    <w:rsid w:val="00983531"/>
    <w:rsid w:val="00984892"/>
    <w:rsid w:val="00984C18"/>
    <w:rsid w:val="00984CFF"/>
    <w:rsid w:val="00985A88"/>
    <w:rsid w:val="00986A7C"/>
    <w:rsid w:val="009871BA"/>
    <w:rsid w:val="009873F9"/>
    <w:rsid w:val="009879A6"/>
    <w:rsid w:val="00987FB0"/>
    <w:rsid w:val="00990130"/>
    <w:rsid w:val="009905F7"/>
    <w:rsid w:val="00990945"/>
    <w:rsid w:val="00990C89"/>
    <w:rsid w:val="00990E5C"/>
    <w:rsid w:val="00990F5E"/>
    <w:rsid w:val="00991785"/>
    <w:rsid w:val="00991BC1"/>
    <w:rsid w:val="00991C0D"/>
    <w:rsid w:val="00992951"/>
    <w:rsid w:val="00992E6E"/>
    <w:rsid w:val="009936CD"/>
    <w:rsid w:val="00993D4B"/>
    <w:rsid w:val="00993E61"/>
    <w:rsid w:val="00994843"/>
    <w:rsid w:val="0099498F"/>
    <w:rsid w:val="00994993"/>
    <w:rsid w:val="00994AB0"/>
    <w:rsid w:val="009961C4"/>
    <w:rsid w:val="00996381"/>
    <w:rsid w:val="00996411"/>
    <w:rsid w:val="0099663A"/>
    <w:rsid w:val="009966F1"/>
    <w:rsid w:val="00996DDE"/>
    <w:rsid w:val="00996FD2"/>
    <w:rsid w:val="00997E4B"/>
    <w:rsid w:val="009A0B04"/>
    <w:rsid w:val="009A0E97"/>
    <w:rsid w:val="009A211C"/>
    <w:rsid w:val="009A2839"/>
    <w:rsid w:val="009A38B5"/>
    <w:rsid w:val="009A3B1E"/>
    <w:rsid w:val="009A3CC7"/>
    <w:rsid w:val="009A4029"/>
    <w:rsid w:val="009A4B4A"/>
    <w:rsid w:val="009A5524"/>
    <w:rsid w:val="009A60D5"/>
    <w:rsid w:val="009A624D"/>
    <w:rsid w:val="009A625B"/>
    <w:rsid w:val="009A67D1"/>
    <w:rsid w:val="009A6890"/>
    <w:rsid w:val="009A73DD"/>
    <w:rsid w:val="009A7CEF"/>
    <w:rsid w:val="009B06B7"/>
    <w:rsid w:val="009B1452"/>
    <w:rsid w:val="009B1C52"/>
    <w:rsid w:val="009B28F8"/>
    <w:rsid w:val="009B2EC4"/>
    <w:rsid w:val="009B3AC0"/>
    <w:rsid w:val="009B447B"/>
    <w:rsid w:val="009B4564"/>
    <w:rsid w:val="009B48AB"/>
    <w:rsid w:val="009B4C22"/>
    <w:rsid w:val="009B506C"/>
    <w:rsid w:val="009B50B2"/>
    <w:rsid w:val="009B6669"/>
    <w:rsid w:val="009B6BAE"/>
    <w:rsid w:val="009B7989"/>
    <w:rsid w:val="009B7B92"/>
    <w:rsid w:val="009C0DDD"/>
    <w:rsid w:val="009C10C5"/>
    <w:rsid w:val="009C1148"/>
    <w:rsid w:val="009C1499"/>
    <w:rsid w:val="009C1648"/>
    <w:rsid w:val="009C18EE"/>
    <w:rsid w:val="009C195D"/>
    <w:rsid w:val="009C1EDF"/>
    <w:rsid w:val="009C2C7B"/>
    <w:rsid w:val="009C2DF7"/>
    <w:rsid w:val="009C3641"/>
    <w:rsid w:val="009C3A00"/>
    <w:rsid w:val="009C4213"/>
    <w:rsid w:val="009C4DA9"/>
    <w:rsid w:val="009C5541"/>
    <w:rsid w:val="009C56E1"/>
    <w:rsid w:val="009C596A"/>
    <w:rsid w:val="009C5B4F"/>
    <w:rsid w:val="009C5D18"/>
    <w:rsid w:val="009C672A"/>
    <w:rsid w:val="009C6944"/>
    <w:rsid w:val="009C6F55"/>
    <w:rsid w:val="009C71C3"/>
    <w:rsid w:val="009C7377"/>
    <w:rsid w:val="009C7DD3"/>
    <w:rsid w:val="009D0022"/>
    <w:rsid w:val="009D0071"/>
    <w:rsid w:val="009D05FC"/>
    <w:rsid w:val="009D0DE0"/>
    <w:rsid w:val="009D120D"/>
    <w:rsid w:val="009D1E72"/>
    <w:rsid w:val="009D2165"/>
    <w:rsid w:val="009D3326"/>
    <w:rsid w:val="009D3900"/>
    <w:rsid w:val="009D4715"/>
    <w:rsid w:val="009D49BA"/>
    <w:rsid w:val="009D5493"/>
    <w:rsid w:val="009D556D"/>
    <w:rsid w:val="009D5D17"/>
    <w:rsid w:val="009D5D46"/>
    <w:rsid w:val="009D70D3"/>
    <w:rsid w:val="009D7995"/>
    <w:rsid w:val="009E077C"/>
    <w:rsid w:val="009E0B3A"/>
    <w:rsid w:val="009E0CAB"/>
    <w:rsid w:val="009E0FBF"/>
    <w:rsid w:val="009E1327"/>
    <w:rsid w:val="009E1377"/>
    <w:rsid w:val="009E18D7"/>
    <w:rsid w:val="009E233B"/>
    <w:rsid w:val="009E2369"/>
    <w:rsid w:val="009E29BA"/>
    <w:rsid w:val="009E30FC"/>
    <w:rsid w:val="009E370C"/>
    <w:rsid w:val="009E3D90"/>
    <w:rsid w:val="009E3DED"/>
    <w:rsid w:val="009E3E6F"/>
    <w:rsid w:val="009E4D0F"/>
    <w:rsid w:val="009E5340"/>
    <w:rsid w:val="009E56AB"/>
    <w:rsid w:val="009E5DE3"/>
    <w:rsid w:val="009E6288"/>
    <w:rsid w:val="009E62BF"/>
    <w:rsid w:val="009E6AC4"/>
    <w:rsid w:val="009E6CE8"/>
    <w:rsid w:val="009E7E2E"/>
    <w:rsid w:val="009F19D7"/>
    <w:rsid w:val="009F1E61"/>
    <w:rsid w:val="009F22AC"/>
    <w:rsid w:val="009F2E62"/>
    <w:rsid w:val="009F2EEF"/>
    <w:rsid w:val="009F3ED1"/>
    <w:rsid w:val="009F4396"/>
    <w:rsid w:val="009F4C2A"/>
    <w:rsid w:val="009F550F"/>
    <w:rsid w:val="009F5796"/>
    <w:rsid w:val="009F602C"/>
    <w:rsid w:val="009F623E"/>
    <w:rsid w:val="009F696F"/>
    <w:rsid w:val="009F69C3"/>
    <w:rsid w:val="009F6DF8"/>
    <w:rsid w:val="009F6EB2"/>
    <w:rsid w:val="009F6F03"/>
    <w:rsid w:val="009F73FF"/>
    <w:rsid w:val="009F7768"/>
    <w:rsid w:val="00A00407"/>
    <w:rsid w:val="00A0139D"/>
    <w:rsid w:val="00A016B7"/>
    <w:rsid w:val="00A01716"/>
    <w:rsid w:val="00A01779"/>
    <w:rsid w:val="00A0217E"/>
    <w:rsid w:val="00A030BB"/>
    <w:rsid w:val="00A0318B"/>
    <w:rsid w:val="00A03C38"/>
    <w:rsid w:val="00A03E21"/>
    <w:rsid w:val="00A041DE"/>
    <w:rsid w:val="00A042C0"/>
    <w:rsid w:val="00A05811"/>
    <w:rsid w:val="00A058AE"/>
    <w:rsid w:val="00A070AD"/>
    <w:rsid w:val="00A077BF"/>
    <w:rsid w:val="00A0788C"/>
    <w:rsid w:val="00A078CF"/>
    <w:rsid w:val="00A106B0"/>
    <w:rsid w:val="00A10777"/>
    <w:rsid w:val="00A1090F"/>
    <w:rsid w:val="00A11AF1"/>
    <w:rsid w:val="00A11C78"/>
    <w:rsid w:val="00A12190"/>
    <w:rsid w:val="00A12C14"/>
    <w:rsid w:val="00A12D6E"/>
    <w:rsid w:val="00A13BC7"/>
    <w:rsid w:val="00A13D9C"/>
    <w:rsid w:val="00A13EE6"/>
    <w:rsid w:val="00A1421A"/>
    <w:rsid w:val="00A144B7"/>
    <w:rsid w:val="00A145BC"/>
    <w:rsid w:val="00A1491C"/>
    <w:rsid w:val="00A14C64"/>
    <w:rsid w:val="00A14D72"/>
    <w:rsid w:val="00A153C6"/>
    <w:rsid w:val="00A15537"/>
    <w:rsid w:val="00A15575"/>
    <w:rsid w:val="00A15661"/>
    <w:rsid w:val="00A156E3"/>
    <w:rsid w:val="00A157CB"/>
    <w:rsid w:val="00A15D8B"/>
    <w:rsid w:val="00A15E8F"/>
    <w:rsid w:val="00A165AD"/>
    <w:rsid w:val="00A1716F"/>
    <w:rsid w:val="00A171EE"/>
    <w:rsid w:val="00A17942"/>
    <w:rsid w:val="00A17A2E"/>
    <w:rsid w:val="00A17BAF"/>
    <w:rsid w:val="00A20437"/>
    <w:rsid w:val="00A20688"/>
    <w:rsid w:val="00A209F6"/>
    <w:rsid w:val="00A21870"/>
    <w:rsid w:val="00A21925"/>
    <w:rsid w:val="00A2202C"/>
    <w:rsid w:val="00A22262"/>
    <w:rsid w:val="00A22409"/>
    <w:rsid w:val="00A226AF"/>
    <w:rsid w:val="00A22891"/>
    <w:rsid w:val="00A22AF0"/>
    <w:rsid w:val="00A22B50"/>
    <w:rsid w:val="00A22EEE"/>
    <w:rsid w:val="00A233B4"/>
    <w:rsid w:val="00A2362B"/>
    <w:rsid w:val="00A23663"/>
    <w:rsid w:val="00A23E56"/>
    <w:rsid w:val="00A2479C"/>
    <w:rsid w:val="00A24A47"/>
    <w:rsid w:val="00A24A8C"/>
    <w:rsid w:val="00A25C41"/>
    <w:rsid w:val="00A2653C"/>
    <w:rsid w:val="00A267AB"/>
    <w:rsid w:val="00A2693E"/>
    <w:rsid w:val="00A26A04"/>
    <w:rsid w:val="00A27013"/>
    <w:rsid w:val="00A2786C"/>
    <w:rsid w:val="00A300EB"/>
    <w:rsid w:val="00A307B2"/>
    <w:rsid w:val="00A30D73"/>
    <w:rsid w:val="00A3139C"/>
    <w:rsid w:val="00A313F6"/>
    <w:rsid w:val="00A31739"/>
    <w:rsid w:val="00A31968"/>
    <w:rsid w:val="00A32655"/>
    <w:rsid w:val="00A32A98"/>
    <w:rsid w:val="00A333DD"/>
    <w:rsid w:val="00A33B94"/>
    <w:rsid w:val="00A34AC9"/>
    <w:rsid w:val="00A34B88"/>
    <w:rsid w:val="00A34D73"/>
    <w:rsid w:val="00A34FB2"/>
    <w:rsid w:val="00A354C5"/>
    <w:rsid w:val="00A35B69"/>
    <w:rsid w:val="00A36970"/>
    <w:rsid w:val="00A36B6F"/>
    <w:rsid w:val="00A40170"/>
    <w:rsid w:val="00A4024C"/>
    <w:rsid w:val="00A40766"/>
    <w:rsid w:val="00A408C0"/>
    <w:rsid w:val="00A40D07"/>
    <w:rsid w:val="00A40D3D"/>
    <w:rsid w:val="00A40F95"/>
    <w:rsid w:val="00A41981"/>
    <w:rsid w:val="00A41E55"/>
    <w:rsid w:val="00A41E59"/>
    <w:rsid w:val="00A4219F"/>
    <w:rsid w:val="00A42264"/>
    <w:rsid w:val="00A428AD"/>
    <w:rsid w:val="00A431D6"/>
    <w:rsid w:val="00A434AC"/>
    <w:rsid w:val="00A435D8"/>
    <w:rsid w:val="00A437F1"/>
    <w:rsid w:val="00A45627"/>
    <w:rsid w:val="00A456F8"/>
    <w:rsid w:val="00A45704"/>
    <w:rsid w:val="00A45C34"/>
    <w:rsid w:val="00A46E2B"/>
    <w:rsid w:val="00A46E70"/>
    <w:rsid w:val="00A472D8"/>
    <w:rsid w:val="00A47315"/>
    <w:rsid w:val="00A47662"/>
    <w:rsid w:val="00A50064"/>
    <w:rsid w:val="00A50097"/>
    <w:rsid w:val="00A50204"/>
    <w:rsid w:val="00A50466"/>
    <w:rsid w:val="00A50BF2"/>
    <w:rsid w:val="00A50D9A"/>
    <w:rsid w:val="00A51085"/>
    <w:rsid w:val="00A5109D"/>
    <w:rsid w:val="00A5126C"/>
    <w:rsid w:val="00A518B9"/>
    <w:rsid w:val="00A51B5C"/>
    <w:rsid w:val="00A5267C"/>
    <w:rsid w:val="00A52BDE"/>
    <w:rsid w:val="00A54361"/>
    <w:rsid w:val="00A54A0C"/>
    <w:rsid w:val="00A57051"/>
    <w:rsid w:val="00A57CC5"/>
    <w:rsid w:val="00A6010D"/>
    <w:rsid w:val="00A60469"/>
    <w:rsid w:val="00A6093E"/>
    <w:rsid w:val="00A60AA1"/>
    <w:rsid w:val="00A6153E"/>
    <w:rsid w:val="00A618B2"/>
    <w:rsid w:val="00A6259C"/>
    <w:rsid w:val="00A62E26"/>
    <w:rsid w:val="00A631C7"/>
    <w:rsid w:val="00A63287"/>
    <w:rsid w:val="00A633ED"/>
    <w:rsid w:val="00A64A8C"/>
    <w:rsid w:val="00A6502C"/>
    <w:rsid w:val="00A655A0"/>
    <w:rsid w:val="00A65605"/>
    <w:rsid w:val="00A656A9"/>
    <w:rsid w:val="00A66EDD"/>
    <w:rsid w:val="00A66F23"/>
    <w:rsid w:val="00A67650"/>
    <w:rsid w:val="00A67746"/>
    <w:rsid w:val="00A6774D"/>
    <w:rsid w:val="00A6782E"/>
    <w:rsid w:val="00A70145"/>
    <w:rsid w:val="00A7081C"/>
    <w:rsid w:val="00A70831"/>
    <w:rsid w:val="00A7091F"/>
    <w:rsid w:val="00A70B55"/>
    <w:rsid w:val="00A7151C"/>
    <w:rsid w:val="00A72998"/>
    <w:rsid w:val="00A73297"/>
    <w:rsid w:val="00A73D09"/>
    <w:rsid w:val="00A73E03"/>
    <w:rsid w:val="00A74D9F"/>
    <w:rsid w:val="00A7546C"/>
    <w:rsid w:val="00A75945"/>
    <w:rsid w:val="00A75D3C"/>
    <w:rsid w:val="00A76571"/>
    <w:rsid w:val="00A76818"/>
    <w:rsid w:val="00A7705C"/>
    <w:rsid w:val="00A776B1"/>
    <w:rsid w:val="00A804C6"/>
    <w:rsid w:val="00A8069E"/>
    <w:rsid w:val="00A8146B"/>
    <w:rsid w:val="00A815FB"/>
    <w:rsid w:val="00A81FEE"/>
    <w:rsid w:val="00A82220"/>
    <w:rsid w:val="00A82543"/>
    <w:rsid w:val="00A82D49"/>
    <w:rsid w:val="00A830E8"/>
    <w:rsid w:val="00A836C6"/>
    <w:rsid w:val="00A84A1A"/>
    <w:rsid w:val="00A84EEB"/>
    <w:rsid w:val="00A8535F"/>
    <w:rsid w:val="00A85534"/>
    <w:rsid w:val="00A86398"/>
    <w:rsid w:val="00A86672"/>
    <w:rsid w:val="00A86707"/>
    <w:rsid w:val="00A869B9"/>
    <w:rsid w:val="00A86B7E"/>
    <w:rsid w:val="00A86D70"/>
    <w:rsid w:val="00A8702E"/>
    <w:rsid w:val="00A87108"/>
    <w:rsid w:val="00A87E4D"/>
    <w:rsid w:val="00A87FF1"/>
    <w:rsid w:val="00A90415"/>
    <w:rsid w:val="00A905FD"/>
    <w:rsid w:val="00A90625"/>
    <w:rsid w:val="00A90F21"/>
    <w:rsid w:val="00A91FAD"/>
    <w:rsid w:val="00A92758"/>
    <w:rsid w:val="00A928A9"/>
    <w:rsid w:val="00A92B7C"/>
    <w:rsid w:val="00A92F5B"/>
    <w:rsid w:val="00A92F68"/>
    <w:rsid w:val="00A931E0"/>
    <w:rsid w:val="00A93859"/>
    <w:rsid w:val="00A94362"/>
    <w:rsid w:val="00A94773"/>
    <w:rsid w:val="00A94A4A"/>
    <w:rsid w:val="00A96413"/>
    <w:rsid w:val="00A96F40"/>
    <w:rsid w:val="00A96FB8"/>
    <w:rsid w:val="00A970B0"/>
    <w:rsid w:val="00A97229"/>
    <w:rsid w:val="00A97270"/>
    <w:rsid w:val="00A9740C"/>
    <w:rsid w:val="00A97519"/>
    <w:rsid w:val="00A97777"/>
    <w:rsid w:val="00A97C8D"/>
    <w:rsid w:val="00A97CF8"/>
    <w:rsid w:val="00AA034A"/>
    <w:rsid w:val="00AA0F1F"/>
    <w:rsid w:val="00AA1029"/>
    <w:rsid w:val="00AA2D85"/>
    <w:rsid w:val="00AA30DD"/>
    <w:rsid w:val="00AA377A"/>
    <w:rsid w:val="00AA38FD"/>
    <w:rsid w:val="00AA3954"/>
    <w:rsid w:val="00AA3E5B"/>
    <w:rsid w:val="00AA403F"/>
    <w:rsid w:val="00AA4155"/>
    <w:rsid w:val="00AA43A2"/>
    <w:rsid w:val="00AA462F"/>
    <w:rsid w:val="00AA527E"/>
    <w:rsid w:val="00AA55D9"/>
    <w:rsid w:val="00AA5879"/>
    <w:rsid w:val="00AA5BC5"/>
    <w:rsid w:val="00AA5EC8"/>
    <w:rsid w:val="00AA6148"/>
    <w:rsid w:val="00AA6D0D"/>
    <w:rsid w:val="00AA722E"/>
    <w:rsid w:val="00AA7A24"/>
    <w:rsid w:val="00AA7B10"/>
    <w:rsid w:val="00AA7EA1"/>
    <w:rsid w:val="00AB02AF"/>
    <w:rsid w:val="00AB195B"/>
    <w:rsid w:val="00AB1E54"/>
    <w:rsid w:val="00AB2567"/>
    <w:rsid w:val="00AB29F3"/>
    <w:rsid w:val="00AB2F04"/>
    <w:rsid w:val="00AB310B"/>
    <w:rsid w:val="00AB3542"/>
    <w:rsid w:val="00AB4906"/>
    <w:rsid w:val="00AB4D3A"/>
    <w:rsid w:val="00AB565B"/>
    <w:rsid w:val="00AB5DDB"/>
    <w:rsid w:val="00AB5F8E"/>
    <w:rsid w:val="00AB66AC"/>
    <w:rsid w:val="00AB6E1D"/>
    <w:rsid w:val="00AB7401"/>
    <w:rsid w:val="00AB7B36"/>
    <w:rsid w:val="00AB7EB3"/>
    <w:rsid w:val="00AB7EC1"/>
    <w:rsid w:val="00AC00EE"/>
    <w:rsid w:val="00AC0A3A"/>
    <w:rsid w:val="00AC0CD2"/>
    <w:rsid w:val="00AC1029"/>
    <w:rsid w:val="00AC1DE2"/>
    <w:rsid w:val="00AC24AA"/>
    <w:rsid w:val="00AC2EBC"/>
    <w:rsid w:val="00AC4A84"/>
    <w:rsid w:val="00AC4D02"/>
    <w:rsid w:val="00AC6518"/>
    <w:rsid w:val="00AC65BD"/>
    <w:rsid w:val="00AC6D45"/>
    <w:rsid w:val="00AC77A1"/>
    <w:rsid w:val="00AC7BE5"/>
    <w:rsid w:val="00AD08CD"/>
    <w:rsid w:val="00AD095A"/>
    <w:rsid w:val="00AD0A38"/>
    <w:rsid w:val="00AD0BDD"/>
    <w:rsid w:val="00AD100E"/>
    <w:rsid w:val="00AD22B7"/>
    <w:rsid w:val="00AD26FE"/>
    <w:rsid w:val="00AD2D57"/>
    <w:rsid w:val="00AD2E57"/>
    <w:rsid w:val="00AD38D8"/>
    <w:rsid w:val="00AD390F"/>
    <w:rsid w:val="00AD4465"/>
    <w:rsid w:val="00AD4614"/>
    <w:rsid w:val="00AD48CB"/>
    <w:rsid w:val="00AD516B"/>
    <w:rsid w:val="00AD52BB"/>
    <w:rsid w:val="00AD544A"/>
    <w:rsid w:val="00AD55FC"/>
    <w:rsid w:val="00AD57CB"/>
    <w:rsid w:val="00AD5D68"/>
    <w:rsid w:val="00AD5E58"/>
    <w:rsid w:val="00AD64FD"/>
    <w:rsid w:val="00AD6E4E"/>
    <w:rsid w:val="00AD704E"/>
    <w:rsid w:val="00AE03FB"/>
    <w:rsid w:val="00AE0642"/>
    <w:rsid w:val="00AE0DF0"/>
    <w:rsid w:val="00AE101D"/>
    <w:rsid w:val="00AE10F6"/>
    <w:rsid w:val="00AE1438"/>
    <w:rsid w:val="00AE16EF"/>
    <w:rsid w:val="00AE1CBE"/>
    <w:rsid w:val="00AE2220"/>
    <w:rsid w:val="00AE22A8"/>
    <w:rsid w:val="00AE2436"/>
    <w:rsid w:val="00AE2AE2"/>
    <w:rsid w:val="00AE312C"/>
    <w:rsid w:val="00AE3615"/>
    <w:rsid w:val="00AE4398"/>
    <w:rsid w:val="00AE4D91"/>
    <w:rsid w:val="00AE56FE"/>
    <w:rsid w:val="00AE59BF"/>
    <w:rsid w:val="00AE67B1"/>
    <w:rsid w:val="00AE6BA0"/>
    <w:rsid w:val="00AE6EEC"/>
    <w:rsid w:val="00AE6FE1"/>
    <w:rsid w:val="00AE74EB"/>
    <w:rsid w:val="00AE77B0"/>
    <w:rsid w:val="00AE7B53"/>
    <w:rsid w:val="00AF0935"/>
    <w:rsid w:val="00AF0AEA"/>
    <w:rsid w:val="00AF11AC"/>
    <w:rsid w:val="00AF14D4"/>
    <w:rsid w:val="00AF1929"/>
    <w:rsid w:val="00AF1BCE"/>
    <w:rsid w:val="00AF1E5C"/>
    <w:rsid w:val="00AF272E"/>
    <w:rsid w:val="00AF3E51"/>
    <w:rsid w:val="00AF3E8A"/>
    <w:rsid w:val="00AF49AF"/>
    <w:rsid w:val="00AF6A76"/>
    <w:rsid w:val="00AF72C2"/>
    <w:rsid w:val="00AF7E0C"/>
    <w:rsid w:val="00B0009C"/>
    <w:rsid w:val="00B00D3E"/>
    <w:rsid w:val="00B01679"/>
    <w:rsid w:val="00B01916"/>
    <w:rsid w:val="00B0284C"/>
    <w:rsid w:val="00B03B3C"/>
    <w:rsid w:val="00B03F90"/>
    <w:rsid w:val="00B04445"/>
    <w:rsid w:val="00B047E9"/>
    <w:rsid w:val="00B04AC0"/>
    <w:rsid w:val="00B04E65"/>
    <w:rsid w:val="00B05E7E"/>
    <w:rsid w:val="00B05EC7"/>
    <w:rsid w:val="00B060E9"/>
    <w:rsid w:val="00B06332"/>
    <w:rsid w:val="00B064CE"/>
    <w:rsid w:val="00B06798"/>
    <w:rsid w:val="00B06B29"/>
    <w:rsid w:val="00B06B55"/>
    <w:rsid w:val="00B06E6C"/>
    <w:rsid w:val="00B078E1"/>
    <w:rsid w:val="00B07F45"/>
    <w:rsid w:val="00B1066E"/>
    <w:rsid w:val="00B112E5"/>
    <w:rsid w:val="00B1130C"/>
    <w:rsid w:val="00B1203D"/>
    <w:rsid w:val="00B12399"/>
    <w:rsid w:val="00B12722"/>
    <w:rsid w:val="00B129C0"/>
    <w:rsid w:val="00B13533"/>
    <w:rsid w:val="00B13CD1"/>
    <w:rsid w:val="00B14FD2"/>
    <w:rsid w:val="00B155F8"/>
    <w:rsid w:val="00B15D31"/>
    <w:rsid w:val="00B16286"/>
    <w:rsid w:val="00B162DD"/>
    <w:rsid w:val="00B16E4E"/>
    <w:rsid w:val="00B16F00"/>
    <w:rsid w:val="00B16FB9"/>
    <w:rsid w:val="00B17153"/>
    <w:rsid w:val="00B175B1"/>
    <w:rsid w:val="00B177BE"/>
    <w:rsid w:val="00B20C60"/>
    <w:rsid w:val="00B21799"/>
    <w:rsid w:val="00B2311D"/>
    <w:rsid w:val="00B2428E"/>
    <w:rsid w:val="00B25B98"/>
    <w:rsid w:val="00B2654F"/>
    <w:rsid w:val="00B26B91"/>
    <w:rsid w:val="00B27463"/>
    <w:rsid w:val="00B27D1F"/>
    <w:rsid w:val="00B3018B"/>
    <w:rsid w:val="00B301AE"/>
    <w:rsid w:val="00B30BCE"/>
    <w:rsid w:val="00B30E44"/>
    <w:rsid w:val="00B30F6F"/>
    <w:rsid w:val="00B312B2"/>
    <w:rsid w:val="00B3189E"/>
    <w:rsid w:val="00B31D3A"/>
    <w:rsid w:val="00B31D83"/>
    <w:rsid w:val="00B324DF"/>
    <w:rsid w:val="00B32E28"/>
    <w:rsid w:val="00B330E2"/>
    <w:rsid w:val="00B35708"/>
    <w:rsid w:val="00B35CD9"/>
    <w:rsid w:val="00B35D44"/>
    <w:rsid w:val="00B361F6"/>
    <w:rsid w:val="00B36798"/>
    <w:rsid w:val="00B37714"/>
    <w:rsid w:val="00B37842"/>
    <w:rsid w:val="00B37881"/>
    <w:rsid w:val="00B379D5"/>
    <w:rsid w:val="00B37BD4"/>
    <w:rsid w:val="00B40071"/>
    <w:rsid w:val="00B400E1"/>
    <w:rsid w:val="00B4063D"/>
    <w:rsid w:val="00B408FA"/>
    <w:rsid w:val="00B40B9A"/>
    <w:rsid w:val="00B40BD5"/>
    <w:rsid w:val="00B41C94"/>
    <w:rsid w:val="00B42E54"/>
    <w:rsid w:val="00B43000"/>
    <w:rsid w:val="00B43410"/>
    <w:rsid w:val="00B43C81"/>
    <w:rsid w:val="00B4429F"/>
    <w:rsid w:val="00B445B6"/>
    <w:rsid w:val="00B44632"/>
    <w:rsid w:val="00B4477D"/>
    <w:rsid w:val="00B44812"/>
    <w:rsid w:val="00B4492D"/>
    <w:rsid w:val="00B44C03"/>
    <w:rsid w:val="00B44F76"/>
    <w:rsid w:val="00B45523"/>
    <w:rsid w:val="00B458E6"/>
    <w:rsid w:val="00B46021"/>
    <w:rsid w:val="00B463D1"/>
    <w:rsid w:val="00B463EC"/>
    <w:rsid w:val="00B466B4"/>
    <w:rsid w:val="00B469C1"/>
    <w:rsid w:val="00B46C79"/>
    <w:rsid w:val="00B473EF"/>
    <w:rsid w:val="00B47D7E"/>
    <w:rsid w:val="00B505D8"/>
    <w:rsid w:val="00B50D53"/>
    <w:rsid w:val="00B51D1D"/>
    <w:rsid w:val="00B5252B"/>
    <w:rsid w:val="00B53113"/>
    <w:rsid w:val="00B5372A"/>
    <w:rsid w:val="00B538C8"/>
    <w:rsid w:val="00B5396C"/>
    <w:rsid w:val="00B539CE"/>
    <w:rsid w:val="00B54824"/>
    <w:rsid w:val="00B548D5"/>
    <w:rsid w:val="00B5504C"/>
    <w:rsid w:val="00B55066"/>
    <w:rsid w:val="00B55724"/>
    <w:rsid w:val="00B55797"/>
    <w:rsid w:val="00B55CA5"/>
    <w:rsid w:val="00B55FDB"/>
    <w:rsid w:val="00B56497"/>
    <w:rsid w:val="00B56A43"/>
    <w:rsid w:val="00B56AAA"/>
    <w:rsid w:val="00B56B7B"/>
    <w:rsid w:val="00B57436"/>
    <w:rsid w:val="00B576C7"/>
    <w:rsid w:val="00B57965"/>
    <w:rsid w:val="00B57CD8"/>
    <w:rsid w:val="00B60943"/>
    <w:rsid w:val="00B60AA0"/>
    <w:rsid w:val="00B6182B"/>
    <w:rsid w:val="00B61EC2"/>
    <w:rsid w:val="00B620FD"/>
    <w:rsid w:val="00B6218E"/>
    <w:rsid w:val="00B62425"/>
    <w:rsid w:val="00B62637"/>
    <w:rsid w:val="00B62A4D"/>
    <w:rsid w:val="00B62E14"/>
    <w:rsid w:val="00B645D4"/>
    <w:rsid w:val="00B64BBF"/>
    <w:rsid w:val="00B6596A"/>
    <w:rsid w:val="00B65F2A"/>
    <w:rsid w:val="00B6604B"/>
    <w:rsid w:val="00B6646B"/>
    <w:rsid w:val="00B66770"/>
    <w:rsid w:val="00B667A3"/>
    <w:rsid w:val="00B667D6"/>
    <w:rsid w:val="00B66FA5"/>
    <w:rsid w:val="00B6745A"/>
    <w:rsid w:val="00B67F03"/>
    <w:rsid w:val="00B7057C"/>
    <w:rsid w:val="00B70968"/>
    <w:rsid w:val="00B71530"/>
    <w:rsid w:val="00B71609"/>
    <w:rsid w:val="00B71617"/>
    <w:rsid w:val="00B71AB8"/>
    <w:rsid w:val="00B71CD4"/>
    <w:rsid w:val="00B72402"/>
    <w:rsid w:val="00B7283F"/>
    <w:rsid w:val="00B72E70"/>
    <w:rsid w:val="00B731BD"/>
    <w:rsid w:val="00B73347"/>
    <w:rsid w:val="00B73900"/>
    <w:rsid w:val="00B73A49"/>
    <w:rsid w:val="00B73E91"/>
    <w:rsid w:val="00B73F52"/>
    <w:rsid w:val="00B74407"/>
    <w:rsid w:val="00B74E1A"/>
    <w:rsid w:val="00B74F69"/>
    <w:rsid w:val="00B750B7"/>
    <w:rsid w:val="00B7538E"/>
    <w:rsid w:val="00B753F7"/>
    <w:rsid w:val="00B75810"/>
    <w:rsid w:val="00B759C2"/>
    <w:rsid w:val="00B75F05"/>
    <w:rsid w:val="00B76A1D"/>
    <w:rsid w:val="00B76CD4"/>
    <w:rsid w:val="00B76D95"/>
    <w:rsid w:val="00B76F25"/>
    <w:rsid w:val="00B76F5B"/>
    <w:rsid w:val="00B777D7"/>
    <w:rsid w:val="00B779F8"/>
    <w:rsid w:val="00B77A3B"/>
    <w:rsid w:val="00B77DD7"/>
    <w:rsid w:val="00B77F67"/>
    <w:rsid w:val="00B80874"/>
    <w:rsid w:val="00B808ED"/>
    <w:rsid w:val="00B812E1"/>
    <w:rsid w:val="00B8158B"/>
    <w:rsid w:val="00B81CCB"/>
    <w:rsid w:val="00B81D5F"/>
    <w:rsid w:val="00B81FE2"/>
    <w:rsid w:val="00B8276B"/>
    <w:rsid w:val="00B82838"/>
    <w:rsid w:val="00B82F64"/>
    <w:rsid w:val="00B836D0"/>
    <w:rsid w:val="00B847BA"/>
    <w:rsid w:val="00B847E7"/>
    <w:rsid w:val="00B84DD1"/>
    <w:rsid w:val="00B853E9"/>
    <w:rsid w:val="00B855E5"/>
    <w:rsid w:val="00B85BEF"/>
    <w:rsid w:val="00B8609E"/>
    <w:rsid w:val="00B860B4"/>
    <w:rsid w:val="00B861E2"/>
    <w:rsid w:val="00B8670C"/>
    <w:rsid w:val="00B86E83"/>
    <w:rsid w:val="00B8762B"/>
    <w:rsid w:val="00B87CCE"/>
    <w:rsid w:val="00B901CC"/>
    <w:rsid w:val="00B90C8A"/>
    <w:rsid w:val="00B919DD"/>
    <w:rsid w:val="00B91B9D"/>
    <w:rsid w:val="00B91C1F"/>
    <w:rsid w:val="00B9270F"/>
    <w:rsid w:val="00B92A69"/>
    <w:rsid w:val="00B92E60"/>
    <w:rsid w:val="00B937D0"/>
    <w:rsid w:val="00B93A4A"/>
    <w:rsid w:val="00B93C3D"/>
    <w:rsid w:val="00B9487D"/>
    <w:rsid w:val="00B954EE"/>
    <w:rsid w:val="00B95E41"/>
    <w:rsid w:val="00B96677"/>
    <w:rsid w:val="00B9694B"/>
    <w:rsid w:val="00B96CB4"/>
    <w:rsid w:val="00B97164"/>
    <w:rsid w:val="00B97817"/>
    <w:rsid w:val="00B9786F"/>
    <w:rsid w:val="00BA0227"/>
    <w:rsid w:val="00BA0CC1"/>
    <w:rsid w:val="00BA10BC"/>
    <w:rsid w:val="00BA1AD5"/>
    <w:rsid w:val="00BA1C0A"/>
    <w:rsid w:val="00BA27C2"/>
    <w:rsid w:val="00BA29F7"/>
    <w:rsid w:val="00BA2C4D"/>
    <w:rsid w:val="00BA34FA"/>
    <w:rsid w:val="00BA372B"/>
    <w:rsid w:val="00BA3C26"/>
    <w:rsid w:val="00BA472D"/>
    <w:rsid w:val="00BA54A2"/>
    <w:rsid w:val="00BA5747"/>
    <w:rsid w:val="00BA58BA"/>
    <w:rsid w:val="00BA5E14"/>
    <w:rsid w:val="00BA608A"/>
    <w:rsid w:val="00BA63A8"/>
    <w:rsid w:val="00BA6A74"/>
    <w:rsid w:val="00BA6E0B"/>
    <w:rsid w:val="00BA6E96"/>
    <w:rsid w:val="00BA746D"/>
    <w:rsid w:val="00BA7488"/>
    <w:rsid w:val="00BA7961"/>
    <w:rsid w:val="00BA7FC4"/>
    <w:rsid w:val="00BB00AE"/>
    <w:rsid w:val="00BB0869"/>
    <w:rsid w:val="00BB0BB8"/>
    <w:rsid w:val="00BB0D0E"/>
    <w:rsid w:val="00BB0EA6"/>
    <w:rsid w:val="00BB1276"/>
    <w:rsid w:val="00BB144F"/>
    <w:rsid w:val="00BB323A"/>
    <w:rsid w:val="00BB3CBC"/>
    <w:rsid w:val="00BB4042"/>
    <w:rsid w:val="00BB48A2"/>
    <w:rsid w:val="00BB4C92"/>
    <w:rsid w:val="00BB4DEE"/>
    <w:rsid w:val="00BB5351"/>
    <w:rsid w:val="00BB5D8C"/>
    <w:rsid w:val="00BB5F72"/>
    <w:rsid w:val="00BB61E0"/>
    <w:rsid w:val="00BB6A96"/>
    <w:rsid w:val="00BB6CF3"/>
    <w:rsid w:val="00BB7524"/>
    <w:rsid w:val="00BB7A7D"/>
    <w:rsid w:val="00BC07C8"/>
    <w:rsid w:val="00BC0C5D"/>
    <w:rsid w:val="00BC1910"/>
    <w:rsid w:val="00BC1A4D"/>
    <w:rsid w:val="00BC1F70"/>
    <w:rsid w:val="00BC29B7"/>
    <w:rsid w:val="00BC2B31"/>
    <w:rsid w:val="00BC2BFA"/>
    <w:rsid w:val="00BC39FC"/>
    <w:rsid w:val="00BC45B4"/>
    <w:rsid w:val="00BC4B1D"/>
    <w:rsid w:val="00BC53F4"/>
    <w:rsid w:val="00BC57C5"/>
    <w:rsid w:val="00BC5A42"/>
    <w:rsid w:val="00BC60F7"/>
    <w:rsid w:val="00BC657E"/>
    <w:rsid w:val="00BC6A80"/>
    <w:rsid w:val="00BC6B8A"/>
    <w:rsid w:val="00BD05C9"/>
    <w:rsid w:val="00BD0789"/>
    <w:rsid w:val="00BD08FD"/>
    <w:rsid w:val="00BD0E3A"/>
    <w:rsid w:val="00BD0F61"/>
    <w:rsid w:val="00BD1A74"/>
    <w:rsid w:val="00BD1FDA"/>
    <w:rsid w:val="00BD252A"/>
    <w:rsid w:val="00BD34B6"/>
    <w:rsid w:val="00BD3708"/>
    <w:rsid w:val="00BD3BF1"/>
    <w:rsid w:val="00BD40F4"/>
    <w:rsid w:val="00BD4693"/>
    <w:rsid w:val="00BD47BC"/>
    <w:rsid w:val="00BD54AB"/>
    <w:rsid w:val="00BD5BD8"/>
    <w:rsid w:val="00BD5E58"/>
    <w:rsid w:val="00BD6D0E"/>
    <w:rsid w:val="00BD7067"/>
    <w:rsid w:val="00BD77A0"/>
    <w:rsid w:val="00BE0AF3"/>
    <w:rsid w:val="00BE0BF3"/>
    <w:rsid w:val="00BE1472"/>
    <w:rsid w:val="00BE16E1"/>
    <w:rsid w:val="00BE1ACB"/>
    <w:rsid w:val="00BE1AEE"/>
    <w:rsid w:val="00BE1EEC"/>
    <w:rsid w:val="00BE22F4"/>
    <w:rsid w:val="00BE2361"/>
    <w:rsid w:val="00BE262F"/>
    <w:rsid w:val="00BE2B18"/>
    <w:rsid w:val="00BE2B9B"/>
    <w:rsid w:val="00BE3011"/>
    <w:rsid w:val="00BE311E"/>
    <w:rsid w:val="00BE3B61"/>
    <w:rsid w:val="00BE3F76"/>
    <w:rsid w:val="00BE3FDC"/>
    <w:rsid w:val="00BE40C6"/>
    <w:rsid w:val="00BE4A07"/>
    <w:rsid w:val="00BE54C6"/>
    <w:rsid w:val="00BE6B7A"/>
    <w:rsid w:val="00BE6CFA"/>
    <w:rsid w:val="00BE71B4"/>
    <w:rsid w:val="00BE738A"/>
    <w:rsid w:val="00BE738F"/>
    <w:rsid w:val="00BE73ED"/>
    <w:rsid w:val="00BE7684"/>
    <w:rsid w:val="00BF04A7"/>
    <w:rsid w:val="00BF053A"/>
    <w:rsid w:val="00BF0731"/>
    <w:rsid w:val="00BF074C"/>
    <w:rsid w:val="00BF111E"/>
    <w:rsid w:val="00BF1455"/>
    <w:rsid w:val="00BF17A2"/>
    <w:rsid w:val="00BF17E6"/>
    <w:rsid w:val="00BF1C91"/>
    <w:rsid w:val="00BF1E5F"/>
    <w:rsid w:val="00BF2520"/>
    <w:rsid w:val="00BF2686"/>
    <w:rsid w:val="00BF286F"/>
    <w:rsid w:val="00BF29EF"/>
    <w:rsid w:val="00BF31C1"/>
    <w:rsid w:val="00BF3E7C"/>
    <w:rsid w:val="00BF4304"/>
    <w:rsid w:val="00BF4495"/>
    <w:rsid w:val="00BF4A94"/>
    <w:rsid w:val="00BF4C96"/>
    <w:rsid w:val="00BF559B"/>
    <w:rsid w:val="00BF6534"/>
    <w:rsid w:val="00BF6BD6"/>
    <w:rsid w:val="00BF726A"/>
    <w:rsid w:val="00BF77E3"/>
    <w:rsid w:val="00BF78A1"/>
    <w:rsid w:val="00BF78B7"/>
    <w:rsid w:val="00BF7A8B"/>
    <w:rsid w:val="00BF7BD1"/>
    <w:rsid w:val="00BF7BF8"/>
    <w:rsid w:val="00BF7F94"/>
    <w:rsid w:val="00C01120"/>
    <w:rsid w:val="00C01B34"/>
    <w:rsid w:val="00C01FC5"/>
    <w:rsid w:val="00C026A3"/>
    <w:rsid w:val="00C02966"/>
    <w:rsid w:val="00C0454C"/>
    <w:rsid w:val="00C046D2"/>
    <w:rsid w:val="00C04A8F"/>
    <w:rsid w:val="00C053AA"/>
    <w:rsid w:val="00C05452"/>
    <w:rsid w:val="00C05602"/>
    <w:rsid w:val="00C05706"/>
    <w:rsid w:val="00C05BAA"/>
    <w:rsid w:val="00C05D23"/>
    <w:rsid w:val="00C05E27"/>
    <w:rsid w:val="00C11641"/>
    <w:rsid w:val="00C11743"/>
    <w:rsid w:val="00C124BC"/>
    <w:rsid w:val="00C12DCA"/>
    <w:rsid w:val="00C12E68"/>
    <w:rsid w:val="00C12F5E"/>
    <w:rsid w:val="00C13BC6"/>
    <w:rsid w:val="00C1468E"/>
    <w:rsid w:val="00C147A5"/>
    <w:rsid w:val="00C149A5"/>
    <w:rsid w:val="00C1519C"/>
    <w:rsid w:val="00C15FE3"/>
    <w:rsid w:val="00C16441"/>
    <w:rsid w:val="00C16636"/>
    <w:rsid w:val="00C16773"/>
    <w:rsid w:val="00C17050"/>
    <w:rsid w:val="00C1728B"/>
    <w:rsid w:val="00C172A8"/>
    <w:rsid w:val="00C172E6"/>
    <w:rsid w:val="00C174AE"/>
    <w:rsid w:val="00C176D9"/>
    <w:rsid w:val="00C20465"/>
    <w:rsid w:val="00C20913"/>
    <w:rsid w:val="00C20E1C"/>
    <w:rsid w:val="00C20F12"/>
    <w:rsid w:val="00C21FE0"/>
    <w:rsid w:val="00C22561"/>
    <w:rsid w:val="00C227D6"/>
    <w:rsid w:val="00C2373F"/>
    <w:rsid w:val="00C23939"/>
    <w:rsid w:val="00C23F2F"/>
    <w:rsid w:val="00C23FFF"/>
    <w:rsid w:val="00C24308"/>
    <w:rsid w:val="00C25627"/>
    <w:rsid w:val="00C25C46"/>
    <w:rsid w:val="00C264A6"/>
    <w:rsid w:val="00C26570"/>
    <w:rsid w:val="00C26AEC"/>
    <w:rsid w:val="00C27909"/>
    <w:rsid w:val="00C27AF4"/>
    <w:rsid w:val="00C303AE"/>
    <w:rsid w:val="00C30C3D"/>
    <w:rsid w:val="00C30F1F"/>
    <w:rsid w:val="00C314B7"/>
    <w:rsid w:val="00C3209A"/>
    <w:rsid w:val="00C32E0C"/>
    <w:rsid w:val="00C33B5B"/>
    <w:rsid w:val="00C33D4B"/>
    <w:rsid w:val="00C33DDD"/>
    <w:rsid w:val="00C33EED"/>
    <w:rsid w:val="00C34446"/>
    <w:rsid w:val="00C34ABD"/>
    <w:rsid w:val="00C36100"/>
    <w:rsid w:val="00C3621B"/>
    <w:rsid w:val="00C362EE"/>
    <w:rsid w:val="00C369E3"/>
    <w:rsid w:val="00C36C18"/>
    <w:rsid w:val="00C37083"/>
    <w:rsid w:val="00C374F2"/>
    <w:rsid w:val="00C3789B"/>
    <w:rsid w:val="00C37919"/>
    <w:rsid w:val="00C4066E"/>
    <w:rsid w:val="00C40BD2"/>
    <w:rsid w:val="00C410EB"/>
    <w:rsid w:val="00C41700"/>
    <w:rsid w:val="00C418C9"/>
    <w:rsid w:val="00C41D8F"/>
    <w:rsid w:val="00C42A42"/>
    <w:rsid w:val="00C42E6A"/>
    <w:rsid w:val="00C42E8A"/>
    <w:rsid w:val="00C43EDF"/>
    <w:rsid w:val="00C4414E"/>
    <w:rsid w:val="00C4433D"/>
    <w:rsid w:val="00C446D3"/>
    <w:rsid w:val="00C458E8"/>
    <w:rsid w:val="00C459A3"/>
    <w:rsid w:val="00C4680A"/>
    <w:rsid w:val="00C46928"/>
    <w:rsid w:val="00C47C38"/>
    <w:rsid w:val="00C504A2"/>
    <w:rsid w:val="00C50609"/>
    <w:rsid w:val="00C50CDA"/>
    <w:rsid w:val="00C51632"/>
    <w:rsid w:val="00C51A7B"/>
    <w:rsid w:val="00C525D5"/>
    <w:rsid w:val="00C52839"/>
    <w:rsid w:val="00C5295D"/>
    <w:rsid w:val="00C52E17"/>
    <w:rsid w:val="00C52F55"/>
    <w:rsid w:val="00C538E5"/>
    <w:rsid w:val="00C54319"/>
    <w:rsid w:val="00C544D9"/>
    <w:rsid w:val="00C5450F"/>
    <w:rsid w:val="00C5558B"/>
    <w:rsid w:val="00C555B6"/>
    <w:rsid w:val="00C55E6C"/>
    <w:rsid w:val="00C5602A"/>
    <w:rsid w:val="00C5626A"/>
    <w:rsid w:val="00C56D81"/>
    <w:rsid w:val="00C57B66"/>
    <w:rsid w:val="00C57C7E"/>
    <w:rsid w:val="00C57E86"/>
    <w:rsid w:val="00C60847"/>
    <w:rsid w:val="00C60C5D"/>
    <w:rsid w:val="00C60FCE"/>
    <w:rsid w:val="00C62272"/>
    <w:rsid w:val="00C62A0D"/>
    <w:rsid w:val="00C6335A"/>
    <w:rsid w:val="00C63656"/>
    <w:rsid w:val="00C65BD4"/>
    <w:rsid w:val="00C65F61"/>
    <w:rsid w:val="00C65F72"/>
    <w:rsid w:val="00C66156"/>
    <w:rsid w:val="00C667C4"/>
    <w:rsid w:val="00C66E43"/>
    <w:rsid w:val="00C67557"/>
    <w:rsid w:val="00C676FF"/>
    <w:rsid w:val="00C6780D"/>
    <w:rsid w:val="00C67E44"/>
    <w:rsid w:val="00C67F35"/>
    <w:rsid w:val="00C70129"/>
    <w:rsid w:val="00C709C2"/>
    <w:rsid w:val="00C70DAE"/>
    <w:rsid w:val="00C71551"/>
    <w:rsid w:val="00C7167F"/>
    <w:rsid w:val="00C72783"/>
    <w:rsid w:val="00C727FA"/>
    <w:rsid w:val="00C7396E"/>
    <w:rsid w:val="00C73ED0"/>
    <w:rsid w:val="00C74787"/>
    <w:rsid w:val="00C74C80"/>
    <w:rsid w:val="00C74FED"/>
    <w:rsid w:val="00C75050"/>
    <w:rsid w:val="00C75148"/>
    <w:rsid w:val="00C7628D"/>
    <w:rsid w:val="00C76997"/>
    <w:rsid w:val="00C77133"/>
    <w:rsid w:val="00C77518"/>
    <w:rsid w:val="00C77821"/>
    <w:rsid w:val="00C80225"/>
    <w:rsid w:val="00C812EB"/>
    <w:rsid w:val="00C81F84"/>
    <w:rsid w:val="00C829C4"/>
    <w:rsid w:val="00C82B6C"/>
    <w:rsid w:val="00C836D2"/>
    <w:rsid w:val="00C83934"/>
    <w:rsid w:val="00C83B01"/>
    <w:rsid w:val="00C83B04"/>
    <w:rsid w:val="00C83C99"/>
    <w:rsid w:val="00C83E23"/>
    <w:rsid w:val="00C840C8"/>
    <w:rsid w:val="00C843A9"/>
    <w:rsid w:val="00C84C99"/>
    <w:rsid w:val="00C8511F"/>
    <w:rsid w:val="00C85168"/>
    <w:rsid w:val="00C85905"/>
    <w:rsid w:val="00C86645"/>
    <w:rsid w:val="00C8672F"/>
    <w:rsid w:val="00C87B04"/>
    <w:rsid w:val="00C901DB"/>
    <w:rsid w:val="00C907C6"/>
    <w:rsid w:val="00C90C75"/>
    <w:rsid w:val="00C90D0F"/>
    <w:rsid w:val="00C90D11"/>
    <w:rsid w:val="00C90DC0"/>
    <w:rsid w:val="00C90DD1"/>
    <w:rsid w:val="00C91374"/>
    <w:rsid w:val="00C91549"/>
    <w:rsid w:val="00C91AC1"/>
    <w:rsid w:val="00C926BB"/>
    <w:rsid w:val="00C93012"/>
    <w:rsid w:val="00C94558"/>
    <w:rsid w:val="00C94735"/>
    <w:rsid w:val="00C95004"/>
    <w:rsid w:val="00C95897"/>
    <w:rsid w:val="00C97BF3"/>
    <w:rsid w:val="00CA0357"/>
    <w:rsid w:val="00CA0610"/>
    <w:rsid w:val="00CA07D1"/>
    <w:rsid w:val="00CA1549"/>
    <w:rsid w:val="00CA18CD"/>
    <w:rsid w:val="00CA249B"/>
    <w:rsid w:val="00CA25CC"/>
    <w:rsid w:val="00CA270B"/>
    <w:rsid w:val="00CA2D72"/>
    <w:rsid w:val="00CA2FBF"/>
    <w:rsid w:val="00CA4204"/>
    <w:rsid w:val="00CA4538"/>
    <w:rsid w:val="00CA5932"/>
    <w:rsid w:val="00CA64D0"/>
    <w:rsid w:val="00CA691D"/>
    <w:rsid w:val="00CA71F7"/>
    <w:rsid w:val="00CA7342"/>
    <w:rsid w:val="00CB005A"/>
    <w:rsid w:val="00CB053B"/>
    <w:rsid w:val="00CB0C94"/>
    <w:rsid w:val="00CB13E9"/>
    <w:rsid w:val="00CB2EF0"/>
    <w:rsid w:val="00CB300C"/>
    <w:rsid w:val="00CB3A16"/>
    <w:rsid w:val="00CB3CB1"/>
    <w:rsid w:val="00CB51B0"/>
    <w:rsid w:val="00CB5EA0"/>
    <w:rsid w:val="00CB6675"/>
    <w:rsid w:val="00CB6A47"/>
    <w:rsid w:val="00CB6CA3"/>
    <w:rsid w:val="00CB78E1"/>
    <w:rsid w:val="00CB7B85"/>
    <w:rsid w:val="00CB7F0C"/>
    <w:rsid w:val="00CB7F65"/>
    <w:rsid w:val="00CC024F"/>
    <w:rsid w:val="00CC06D4"/>
    <w:rsid w:val="00CC091C"/>
    <w:rsid w:val="00CC0EE0"/>
    <w:rsid w:val="00CC2222"/>
    <w:rsid w:val="00CC3BE5"/>
    <w:rsid w:val="00CC3D18"/>
    <w:rsid w:val="00CC3DAC"/>
    <w:rsid w:val="00CC40C9"/>
    <w:rsid w:val="00CC42C9"/>
    <w:rsid w:val="00CC43C0"/>
    <w:rsid w:val="00CC51ED"/>
    <w:rsid w:val="00CC565C"/>
    <w:rsid w:val="00CC5EF0"/>
    <w:rsid w:val="00CC63E8"/>
    <w:rsid w:val="00CC6691"/>
    <w:rsid w:val="00CC71A4"/>
    <w:rsid w:val="00CC7ABC"/>
    <w:rsid w:val="00CC7B41"/>
    <w:rsid w:val="00CD01BF"/>
    <w:rsid w:val="00CD0513"/>
    <w:rsid w:val="00CD05DF"/>
    <w:rsid w:val="00CD0DDA"/>
    <w:rsid w:val="00CD1611"/>
    <w:rsid w:val="00CD1DB5"/>
    <w:rsid w:val="00CD2704"/>
    <w:rsid w:val="00CD28DA"/>
    <w:rsid w:val="00CD33C8"/>
    <w:rsid w:val="00CD3ECC"/>
    <w:rsid w:val="00CD40FA"/>
    <w:rsid w:val="00CD4866"/>
    <w:rsid w:val="00CD50C9"/>
    <w:rsid w:val="00CD591D"/>
    <w:rsid w:val="00CD5B47"/>
    <w:rsid w:val="00CD5B8A"/>
    <w:rsid w:val="00CD5DA8"/>
    <w:rsid w:val="00CD707D"/>
    <w:rsid w:val="00CD734D"/>
    <w:rsid w:val="00CD76A2"/>
    <w:rsid w:val="00CD7841"/>
    <w:rsid w:val="00CE00C7"/>
    <w:rsid w:val="00CE0EAA"/>
    <w:rsid w:val="00CE0EBC"/>
    <w:rsid w:val="00CE1218"/>
    <w:rsid w:val="00CE2648"/>
    <w:rsid w:val="00CE2B44"/>
    <w:rsid w:val="00CE2CA7"/>
    <w:rsid w:val="00CE3962"/>
    <w:rsid w:val="00CE4330"/>
    <w:rsid w:val="00CE47C8"/>
    <w:rsid w:val="00CE4D09"/>
    <w:rsid w:val="00CE57F7"/>
    <w:rsid w:val="00CE6657"/>
    <w:rsid w:val="00CE72C1"/>
    <w:rsid w:val="00CE75BE"/>
    <w:rsid w:val="00CE76CE"/>
    <w:rsid w:val="00CF0111"/>
    <w:rsid w:val="00CF0267"/>
    <w:rsid w:val="00CF0290"/>
    <w:rsid w:val="00CF074B"/>
    <w:rsid w:val="00CF0818"/>
    <w:rsid w:val="00CF0AF7"/>
    <w:rsid w:val="00CF1111"/>
    <w:rsid w:val="00CF1544"/>
    <w:rsid w:val="00CF1FED"/>
    <w:rsid w:val="00CF33D0"/>
    <w:rsid w:val="00CF35AA"/>
    <w:rsid w:val="00CF3A15"/>
    <w:rsid w:val="00CF3D84"/>
    <w:rsid w:val="00CF3ED3"/>
    <w:rsid w:val="00CF520E"/>
    <w:rsid w:val="00CF5420"/>
    <w:rsid w:val="00CF5E60"/>
    <w:rsid w:val="00CF5F78"/>
    <w:rsid w:val="00CF625D"/>
    <w:rsid w:val="00CF64D3"/>
    <w:rsid w:val="00CF68C3"/>
    <w:rsid w:val="00CF6BE5"/>
    <w:rsid w:val="00D002F5"/>
    <w:rsid w:val="00D00377"/>
    <w:rsid w:val="00D00A60"/>
    <w:rsid w:val="00D00C7F"/>
    <w:rsid w:val="00D0164E"/>
    <w:rsid w:val="00D01CFD"/>
    <w:rsid w:val="00D02324"/>
    <w:rsid w:val="00D02932"/>
    <w:rsid w:val="00D02A27"/>
    <w:rsid w:val="00D03018"/>
    <w:rsid w:val="00D040A8"/>
    <w:rsid w:val="00D046D2"/>
    <w:rsid w:val="00D05E30"/>
    <w:rsid w:val="00D05E68"/>
    <w:rsid w:val="00D05F2B"/>
    <w:rsid w:val="00D06375"/>
    <w:rsid w:val="00D07128"/>
    <w:rsid w:val="00D076F4"/>
    <w:rsid w:val="00D077C9"/>
    <w:rsid w:val="00D101CB"/>
    <w:rsid w:val="00D10587"/>
    <w:rsid w:val="00D1082D"/>
    <w:rsid w:val="00D10AF0"/>
    <w:rsid w:val="00D10B09"/>
    <w:rsid w:val="00D10C00"/>
    <w:rsid w:val="00D11AB6"/>
    <w:rsid w:val="00D11E4F"/>
    <w:rsid w:val="00D1233D"/>
    <w:rsid w:val="00D14794"/>
    <w:rsid w:val="00D148D0"/>
    <w:rsid w:val="00D15519"/>
    <w:rsid w:val="00D155F5"/>
    <w:rsid w:val="00D15B0D"/>
    <w:rsid w:val="00D161B0"/>
    <w:rsid w:val="00D164C8"/>
    <w:rsid w:val="00D1650B"/>
    <w:rsid w:val="00D16589"/>
    <w:rsid w:val="00D168FA"/>
    <w:rsid w:val="00D16AAE"/>
    <w:rsid w:val="00D16F2D"/>
    <w:rsid w:val="00D16F94"/>
    <w:rsid w:val="00D171F5"/>
    <w:rsid w:val="00D1727C"/>
    <w:rsid w:val="00D17345"/>
    <w:rsid w:val="00D17E84"/>
    <w:rsid w:val="00D203A9"/>
    <w:rsid w:val="00D20815"/>
    <w:rsid w:val="00D20974"/>
    <w:rsid w:val="00D20F1F"/>
    <w:rsid w:val="00D211AC"/>
    <w:rsid w:val="00D214DB"/>
    <w:rsid w:val="00D2198D"/>
    <w:rsid w:val="00D224AA"/>
    <w:rsid w:val="00D22829"/>
    <w:rsid w:val="00D23759"/>
    <w:rsid w:val="00D23D00"/>
    <w:rsid w:val="00D24D19"/>
    <w:rsid w:val="00D24D4D"/>
    <w:rsid w:val="00D24DDA"/>
    <w:rsid w:val="00D25FFF"/>
    <w:rsid w:val="00D2668D"/>
    <w:rsid w:val="00D2672D"/>
    <w:rsid w:val="00D26E1C"/>
    <w:rsid w:val="00D26E2F"/>
    <w:rsid w:val="00D26E32"/>
    <w:rsid w:val="00D27798"/>
    <w:rsid w:val="00D27CB5"/>
    <w:rsid w:val="00D30407"/>
    <w:rsid w:val="00D30459"/>
    <w:rsid w:val="00D305DD"/>
    <w:rsid w:val="00D308F1"/>
    <w:rsid w:val="00D309B7"/>
    <w:rsid w:val="00D30CA5"/>
    <w:rsid w:val="00D30EB0"/>
    <w:rsid w:val="00D30FA7"/>
    <w:rsid w:val="00D311E2"/>
    <w:rsid w:val="00D313A5"/>
    <w:rsid w:val="00D31DFA"/>
    <w:rsid w:val="00D31F3F"/>
    <w:rsid w:val="00D320DC"/>
    <w:rsid w:val="00D3223E"/>
    <w:rsid w:val="00D32588"/>
    <w:rsid w:val="00D32990"/>
    <w:rsid w:val="00D329E0"/>
    <w:rsid w:val="00D32D74"/>
    <w:rsid w:val="00D3300E"/>
    <w:rsid w:val="00D337FB"/>
    <w:rsid w:val="00D33A86"/>
    <w:rsid w:val="00D341CD"/>
    <w:rsid w:val="00D34714"/>
    <w:rsid w:val="00D349C4"/>
    <w:rsid w:val="00D34C6D"/>
    <w:rsid w:val="00D34DC8"/>
    <w:rsid w:val="00D3507F"/>
    <w:rsid w:val="00D353D4"/>
    <w:rsid w:val="00D3588F"/>
    <w:rsid w:val="00D36972"/>
    <w:rsid w:val="00D3783B"/>
    <w:rsid w:val="00D37867"/>
    <w:rsid w:val="00D379FC"/>
    <w:rsid w:val="00D37C28"/>
    <w:rsid w:val="00D40529"/>
    <w:rsid w:val="00D4262D"/>
    <w:rsid w:val="00D42FBA"/>
    <w:rsid w:val="00D434C7"/>
    <w:rsid w:val="00D434FD"/>
    <w:rsid w:val="00D438C5"/>
    <w:rsid w:val="00D440EC"/>
    <w:rsid w:val="00D441A6"/>
    <w:rsid w:val="00D445E3"/>
    <w:rsid w:val="00D4707D"/>
    <w:rsid w:val="00D47AD3"/>
    <w:rsid w:val="00D47F1E"/>
    <w:rsid w:val="00D50B4B"/>
    <w:rsid w:val="00D50D56"/>
    <w:rsid w:val="00D50DB9"/>
    <w:rsid w:val="00D50EFF"/>
    <w:rsid w:val="00D518C2"/>
    <w:rsid w:val="00D51BFF"/>
    <w:rsid w:val="00D5232C"/>
    <w:rsid w:val="00D5233A"/>
    <w:rsid w:val="00D5276B"/>
    <w:rsid w:val="00D527D7"/>
    <w:rsid w:val="00D52AA4"/>
    <w:rsid w:val="00D52BC9"/>
    <w:rsid w:val="00D52C59"/>
    <w:rsid w:val="00D535A3"/>
    <w:rsid w:val="00D53660"/>
    <w:rsid w:val="00D540D3"/>
    <w:rsid w:val="00D54601"/>
    <w:rsid w:val="00D55282"/>
    <w:rsid w:val="00D55D08"/>
    <w:rsid w:val="00D55EC6"/>
    <w:rsid w:val="00D566A4"/>
    <w:rsid w:val="00D56891"/>
    <w:rsid w:val="00D56EFC"/>
    <w:rsid w:val="00D5763B"/>
    <w:rsid w:val="00D60380"/>
    <w:rsid w:val="00D61BED"/>
    <w:rsid w:val="00D61C7E"/>
    <w:rsid w:val="00D6200A"/>
    <w:rsid w:val="00D62308"/>
    <w:rsid w:val="00D62310"/>
    <w:rsid w:val="00D629F4"/>
    <w:rsid w:val="00D62A0B"/>
    <w:rsid w:val="00D62D14"/>
    <w:rsid w:val="00D634E5"/>
    <w:rsid w:val="00D6372C"/>
    <w:rsid w:val="00D64238"/>
    <w:rsid w:val="00D64D0B"/>
    <w:rsid w:val="00D64EFF"/>
    <w:rsid w:val="00D65664"/>
    <w:rsid w:val="00D663FB"/>
    <w:rsid w:val="00D6760A"/>
    <w:rsid w:val="00D67E25"/>
    <w:rsid w:val="00D70535"/>
    <w:rsid w:val="00D708F7"/>
    <w:rsid w:val="00D71A33"/>
    <w:rsid w:val="00D7215D"/>
    <w:rsid w:val="00D72629"/>
    <w:rsid w:val="00D7290E"/>
    <w:rsid w:val="00D73217"/>
    <w:rsid w:val="00D73AE0"/>
    <w:rsid w:val="00D73C42"/>
    <w:rsid w:val="00D74B44"/>
    <w:rsid w:val="00D74B75"/>
    <w:rsid w:val="00D74D97"/>
    <w:rsid w:val="00D75098"/>
    <w:rsid w:val="00D755D7"/>
    <w:rsid w:val="00D75BD5"/>
    <w:rsid w:val="00D75C14"/>
    <w:rsid w:val="00D75E26"/>
    <w:rsid w:val="00D7683B"/>
    <w:rsid w:val="00D76DB4"/>
    <w:rsid w:val="00D77008"/>
    <w:rsid w:val="00D77132"/>
    <w:rsid w:val="00D77D9C"/>
    <w:rsid w:val="00D80C43"/>
    <w:rsid w:val="00D80C85"/>
    <w:rsid w:val="00D80DEF"/>
    <w:rsid w:val="00D80E6C"/>
    <w:rsid w:val="00D81069"/>
    <w:rsid w:val="00D810E1"/>
    <w:rsid w:val="00D811EC"/>
    <w:rsid w:val="00D813E0"/>
    <w:rsid w:val="00D820D4"/>
    <w:rsid w:val="00D824D4"/>
    <w:rsid w:val="00D838F4"/>
    <w:rsid w:val="00D8398C"/>
    <w:rsid w:val="00D83A1C"/>
    <w:rsid w:val="00D842BE"/>
    <w:rsid w:val="00D844C2"/>
    <w:rsid w:val="00D84A8D"/>
    <w:rsid w:val="00D852B0"/>
    <w:rsid w:val="00D85339"/>
    <w:rsid w:val="00D8595B"/>
    <w:rsid w:val="00D85FD3"/>
    <w:rsid w:val="00D8648F"/>
    <w:rsid w:val="00D8672F"/>
    <w:rsid w:val="00D86BB2"/>
    <w:rsid w:val="00D86BF0"/>
    <w:rsid w:val="00D871DC"/>
    <w:rsid w:val="00D872A5"/>
    <w:rsid w:val="00D87618"/>
    <w:rsid w:val="00D87784"/>
    <w:rsid w:val="00D90106"/>
    <w:rsid w:val="00D901D2"/>
    <w:rsid w:val="00D902BF"/>
    <w:rsid w:val="00D90703"/>
    <w:rsid w:val="00D90DE4"/>
    <w:rsid w:val="00D90F8D"/>
    <w:rsid w:val="00D91169"/>
    <w:rsid w:val="00D91E10"/>
    <w:rsid w:val="00D91FC5"/>
    <w:rsid w:val="00D920EE"/>
    <w:rsid w:val="00D92C82"/>
    <w:rsid w:val="00D92E70"/>
    <w:rsid w:val="00D93137"/>
    <w:rsid w:val="00D931FC"/>
    <w:rsid w:val="00D9352E"/>
    <w:rsid w:val="00D940F4"/>
    <w:rsid w:val="00D9484F"/>
    <w:rsid w:val="00D95AD8"/>
    <w:rsid w:val="00D95F19"/>
    <w:rsid w:val="00D96122"/>
    <w:rsid w:val="00D96343"/>
    <w:rsid w:val="00D9659A"/>
    <w:rsid w:val="00D96602"/>
    <w:rsid w:val="00D966E1"/>
    <w:rsid w:val="00D96794"/>
    <w:rsid w:val="00D972AE"/>
    <w:rsid w:val="00DA0C34"/>
    <w:rsid w:val="00DA11D7"/>
    <w:rsid w:val="00DA16AE"/>
    <w:rsid w:val="00DA3974"/>
    <w:rsid w:val="00DA3E8E"/>
    <w:rsid w:val="00DA420F"/>
    <w:rsid w:val="00DA42F0"/>
    <w:rsid w:val="00DA465A"/>
    <w:rsid w:val="00DA567F"/>
    <w:rsid w:val="00DA5F1A"/>
    <w:rsid w:val="00DA65A7"/>
    <w:rsid w:val="00DA72CA"/>
    <w:rsid w:val="00DB0872"/>
    <w:rsid w:val="00DB1821"/>
    <w:rsid w:val="00DB1AC7"/>
    <w:rsid w:val="00DB20F9"/>
    <w:rsid w:val="00DB3614"/>
    <w:rsid w:val="00DB3E61"/>
    <w:rsid w:val="00DB45A4"/>
    <w:rsid w:val="00DB563C"/>
    <w:rsid w:val="00DB59DA"/>
    <w:rsid w:val="00DB5C26"/>
    <w:rsid w:val="00DB6407"/>
    <w:rsid w:val="00DB676B"/>
    <w:rsid w:val="00DB69B3"/>
    <w:rsid w:val="00DB6E38"/>
    <w:rsid w:val="00DB6EA1"/>
    <w:rsid w:val="00DB7213"/>
    <w:rsid w:val="00DB7897"/>
    <w:rsid w:val="00DB7903"/>
    <w:rsid w:val="00DB7D43"/>
    <w:rsid w:val="00DB7E31"/>
    <w:rsid w:val="00DB7FB1"/>
    <w:rsid w:val="00DC0013"/>
    <w:rsid w:val="00DC05E9"/>
    <w:rsid w:val="00DC08FE"/>
    <w:rsid w:val="00DC0B75"/>
    <w:rsid w:val="00DC156A"/>
    <w:rsid w:val="00DC1C09"/>
    <w:rsid w:val="00DC1DBE"/>
    <w:rsid w:val="00DC1E96"/>
    <w:rsid w:val="00DC262D"/>
    <w:rsid w:val="00DC26D0"/>
    <w:rsid w:val="00DC2B98"/>
    <w:rsid w:val="00DC2CD0"/>
    <w:rsid w:val="00DC3133"/>
    <w:rsid w:val="00DC3725"/>
    <w:rsid w:val="00DC495D"/>
    <w:rsid w:val="00DC5076"/>
    <w:rsid w:val="00DC634A"/>
    <w:rsid w:val="00DC64E8"/>
    <w:rsid w:val="00DC6763"/>
    <w:rsid w:val="00DC70DE"/>
    <w:rsid w:val="00DC712D"/>
    <w:rsid w:val="00DC7143"/>
    <w:rsid w:val="00DD0322"/>
    <w:rsid w:val="00DD1256"/>
    <w:rsid w:val="00DD16E1"/>
    <w:rsid w:val="00DD20EB"/>
    <w:rsid w:val="00DD24FD"/>
    <w:rsid w:val="00DD30ED"/>
    <w:rsid w:val="00DD4341"/>
    <w:rsid w:val="00DD4C12"/>
    <w:rsid w:val="00DD50A8"/>
    <w:rsid w:val="00DD573B"/>
    <w:rsid w:val="00DD5DDD"/>
    <w:rsid w:val="00DD5EDE"/>
    <w:rsid w:val="00DD61F4"/>
    <w:rsid w:val="00DD6255"/>
    <w:rsid w:val="00DD7075"/>
    <w:rsid w:val="00DD715C"/>
    <w:rsid w:val="00DD78F2"/>
    <w:rsid w:val="00DD7AB9"/>
    <w:rsid w:val="00DE0FED"/>
    <w:rsid w:val="00DE1401"/>
    <w:rsid w:val="00DE16F7"/>
    <w:rsid w:val="00DE1716"/>
    <w:rsid w:val="00DE1FF9"/>
    <w:rsid w:val="00DE3598"/>
    <w:rsid w:val="00DE37E4"/>
    <w:rsid w:val="00DE3CCF"/>
    <w:rsid w:val="00DE4102"/>
    <w:rsid w:val="00DE4263"/>
    <w:rsid w:val="00DE489A"/>
    <w:rsid w:val="00DE49BA"/>
    <w:rsid w:val="00DE4A02"/>
    <w:rsid w:val="00DE4A5B"/>
    <w:rsid w:val="00DE4BE1"/>
    <w:rsid w:val="00DE5A86"/>
    <w:rsid w:val="00DE627E"/>
    <w:rsid w:val="00DE6C8A"/>
    <w:rsid w:val="00DE766F"/>
    <w:rsid w:val="00DE77AA"/>
    <w:rsid w:val="00DE7F5F"/>
    <w:rsid w:val="00DE7F63"/>
    <w:rsid w:val="00DF09BC"/>
    <w:rsid w:val="00DF0B8C"/>
    <w:rsid w:val="00DF1345"/>
    <w:rsid w:val="00DF1D76"/>
    <w:rsid w:val="00DF23EC"/>
    <w:rsid w:val="00DF277E"/>
    <w:rsid w:val="00DF2BFB"/>
    <w:rsid w:val="00DF3CE3"/>
    <w:rsid w:val="00DF4296"/>
    <w:rsid w:val="00DF46E9"/>
    <w:rsid w:val="00DF5948"/>
    <w:rsid w:val="00DF6C9E"/>
    <w:rsid w:val="00DF6F12"/>
    <w:rsid w:val="00DF7834"/>
    <w:rsid w:val="00DF787B"/>
    <w:rsid w:val="00E0014B"/>
    <w:rsid w:val="00E001CA"/>
    <w:rsid w:val="00E00820"/>
    <w:rsid w:val="00E00B39"/>
    <w:rsid w:val="00E01618"/>
    <w:rsid w:val="00E01F5F"/>
    <w:rsid w:val="00E02B1D"/>
    <w:rsid w:val="00E02FCF"/>
    <w:rsid w:val="00E03AC4"/>
    <w:rsid w:val="00E0435E"/>
    <w:rsid w:val="00E04504"/>
    <w:rsid w:val="00E04745"/>
    <w:rsid w:val="00E05689"/>
    <w:rsid w:val="00E057E1"/>
    <w:rsid w:val="00E05A2E"/>
    <w:rsid w:val="00E05CAF"/>
    <w:rsid w:val="00E05DFA"/>
    <w:rsid w:val="00E06365"/>
    <w:rsid w:val="00E06A5E"/>
    <w:rsid w:val="00E06F86"/>
    <w:rsid w:val="00E07557"/>
    <w:rsid w:val="00E10B46"/>
    <w:rsid w:val="00E10CBB"/>
    <w:rsid w:val="00E11743"/>
    <w:rsid w:val="00E11B57"/>
    <w:rsid w:val="00E11C00"/>
    <w:rsid w:val="00E12104"/>
    <w:rsid w:val="00E129C3"/>
    <w:rsid w:val="00E12C9F"/>
    <w:rsid w:val="00E12D1C"/>
    <w:rsid w:val="00E13E3B"/>
    <w:rsid w:val="00E142D3"/>
    <w:rsid w:val="00E14391"/>
    <w:rsid w:val="00E1639B"/>
    <w:rsid w:val="00E163B1"/>
    <w:rsid w:val="00E163ED"/>
    <w:rsid w:val="00E166D8"/>
    <w:rsid w:val="00E1676A"/>
    <w:rsid w:val="00E16FD4"/>
    <w:rsid w:val="00E20200"/>
    <w:rsid w:val="00E20AED"/>
    <w:rsid w:val="00E210DB"/>
    <w:rsid w:val="00E21187"/>
    <w:rsid w:val="00E218B1"/>
    <w:rsid w:val="00E21C34"/>
    <w:rsid w:val="00E2234A"/>
    <w:rsid w:val="00E22435"/>
    <w:rsid w:val="00E23831"/>
    <w:rsid w:val="00E23889"/>
    <w:rsid w:val="00E24191"/>
    <w:rsid w:val="00E2421F"/>
    <w:rsid w:val="00E247A6"/>
    <w:rsid w:val="00E24BA7"/>
    <w:rsid w:val="00E24E76"/>
    <w:rsid w:val="00E2564E"/>
    <w:rsid w:val="00E25679"/>
    <w:rsid w:val="00E25DC5"/>
    <w:rsid w:val="00E26A1C"/>
    <w:rsid w:val="00E27934"/>
    <w:rsid w:val="00E30270"/>
    <w:rsid w:val="00E31951"/>
    <w:rsid w:val="00E31C4E"/>
    <w:rsid w:val="00E322F2"/>
    <w:rsid w:val="00E32504"/>
    <w:rsid w:val="00E3283C"/>
    <w:rsid w:val="00E328FA"/>
    <w:rsid w:val="00E32923"/>
    <w:rsid w:val="00E32B18"/>
    <w:rsid w:val="00E32DA1"/>
    <w:rsid w:val="00E331F2"/>
    <w:rsid w:val="00E33DBB"/>
    <w:rsid w:val="00E34912"/>
    <w:rsid w:val="00E3505E"/>
    <w:rsid w:val="00E35860"/>
    <w:rsid w:val="00E35A71"/>
    <w:rsid w:val="00E35C4F"/>
    <w:rsid w:val="00E3629C"/>
    <w:rsid w:val="00E36A7F"/>
    <w:rsid w:val="00E37CA4"/>
    <w:rsid w:val="00E37F48"/>
    <w:rsid w:val="00E4061F"/>
    <w:rsid w:val="00E40738"/>
    <w:rsid w:val="00E40F09"/>
    <w:rsid w:val="00E418A6"/>
    <w:rsid w:val="00E41AA5"/>
    <w:rsid w:val="00E41C9B"/>
    <w:rsid w:val="00E41E6F"/>
    <w:rsid w:val="00E42838"/>
    <w:rsid w:val="00E42F23"/>
    <w:rsid w:val="00E43254"/>
    <w:rsid w:val="00E434F0"/>
    <w:rsid w:val="00E43F82"/>
    <w:rsid w:val="00E450F6"/>
    <w:rsid w:val="00E45C7E"/>
    <w:rsid w:val="00E47687"/>
    <w:rsid w:val="00E47708"/>
    <w:rsid w:val="00E50219"/>
    <w:rsid w:val="00E503DE"/>
    <w:rsid w:val="00E5046E"/>
    <w:rsid w:val="00E505B4"/>
    <w:rsid w:val="00E5149D"/>
    <w:rsid w:val="00E51660"/>
    <w:rsid w:val="00E51A23"/>
    <w:rsid w:val="00E52097"/>
    <w:rsid w:val="00E526FD"/>
    <w:rsid w:val="00E5275B"/>
    <w:rsid w:val="00E53C98"/>
    <w:rsid w:val="00E53CB5"/>
    <w:rsid w:val="00E53CCB"/>
    <w:rsid w:val="00E53DFF"/>
    <w:rsid w:val="00E53E88"/>
    <w:rsid w:val="00E548EE"/>
    <w:rsid w:val="00E55A4A"/>
    <w:rsid w:val="00E55E4D"/>
    <w:rsid w:val="00E5668B"/>
    <w:rsid w:val="00E56913"/>
    <w:rsid w:val="00E572D7"/>
    <w:rsid w:val="00E573E8"/>
    <w:rsid w:val="00E5752E"/>
    <w:rsid w:val="00E601B0"/>
    <w:rsid w:val="00E607C8"/>
    <w:rsid w:val="00E61042"/>
    <w:rsid w:val="00E61090"/>
    <w:rsid w:val="00E6125D"/>
    <w:rsid w:val="00E613EE"/>
    <w:rsid w:val="00E617B5"/>
    <w:rsid w:val="00E62F75"/>
    <w:rsid w:val="00E6311D"/>
    <w:rsid w:val="00E631B4"/>
    <w:rsid w:val="00E63CF5"/>
    <w:rsid w:val="00E64807"/>
    <w:rsid w:val="00E64D35"/>
    <w:rsid w:val="00E65199"/>
    <w:rsid w:val="00E657C6"/>
    <w:rsid w:val="00E66143"/>
    <w:rsid w:val="00E66F6B"/>
    <w:rsid w:val="00E67071"/>
    <w:rsid w:val="00E6713B"/>
    <w:rsid w:val="00E6794C"/>
    <w:rsid w:val="00E67AAE"/>
    <w:rsid w:val="00E67C4E"/>
    <w:rsid w:val="00E67ED3"/>
    <w:rsid w:val="00E70BC1"/>
    <w:rsid w:val="00E70C17"/>
    <w:rsid w:val="00E70FDA"/>
    <w:rsid w:val="00E719E1"/>
    <w:rsid w:val="00E7235A"/>
    <w:rsid w:val="00E7266D"/>
    <w:rsid w:val="00E72F3E"/>
    <w:rsid w:val="00E738DC"/>
    <w:rsid w:val="00E73AA9"/>
    <w:rsid w:val="00E73CCD"/>
    <w:rsid w:val="00E747B4"/>
    <w:rsid w:val="00E74C89"/>
    <w:rsid w:val="00E75435"/>
    <w:rsid w:val="00E756B4"/>
    <w:rsid w:val="00E757DE"/>
    <w:rsid w:val="00E75B76"/>
    <w:rsid w:val="00E76796"/>
    <w:rsid w:val="00E767CB"/>
    <w:rsid w:val="00E768CE"/>
    <w:rsid w:val="00E7692D"/>
    <w:rsid w:val="00E76BE1"/>
    <w:rsid w:val="00E76C27"/>
    <w:rsid w:val="00E76E13"/>
    <w:rsid w:val="00E76FF2"/>
    <w:rsid w:val="00E77279"/>
    <w:rsid w:val="00E7737D"/>
    <w:rsid w:val="00E773CD"/>
    <w:rsid w:val="00E801F9"/>
    <w:rsid w:val="00E80761"/>
    <w:rsid w:val="00E80774"/>
    <w:rsid w:val="00E81301"/>
    <w:rsid w:val="00E8179C"/>
    <w:rsid w:val="00E81A09"/>
    <w:rsid w:val="00E8224B"/>
    <w:rsid w:val="00E827A4"/>
    <w:rsid w:val="00E82EBE"/>
    <w:rsid w:val="00E83EB9"/>
    <w:rsid w:val="00E845A2"/>
    <w:rsid w:val="00E84D31"/>
    <w:rsid w:val="00E84F73"/>
    <w:rsid w:val="00E8517E"/>
    <w:rsid w:val="00E853B6"/>
    <w:rsid w:val="00E85A92"/>
    <w:rsid w:val="00E8611C"/>
    <w:rsid w:val="00E86382"/>
    <w:rsid w:val="00E8733A"/>
    <w:rsid w:val="00E87ADF"/>
    <w:rsid w:val="00E87AE8"/>
    <w:rsid w:val="00E87ED0"/>
    <w:rsid w:val="00E900C4"/>
    <w:rsid w:val="00E9074A"/>
    <w:rsid w:val="00E90A15"/>
    <w:rsid w:val="00E90AEF"/>
    <w:rsid w:val="00E9111F"/>
    <w:rsid w:val="00E91943"/>
    <w:rsid w:val="00E91B13"/>
    <w:rsid w:val="00E91D57"/>
    <w:rsid w:val="00E91E3A"/>
    <w:rsid w:val="00E91EB1"/>
    <w:rsid w:val="00E92CD6"/>
    <w:rsid w:val="00E92DF9"/>
    <w:rsid w:val="00E93796"/>
    <w:rsid w:val="00E93B3C"/>
    <w:rsid w:val="00E93ED2"/>
    <w:rsid w:val="00E94803"/>
    <w:rsid w:val="00E95261"/>
    <w:rsid w:val="00E95399"/>
    <w:rsid w:val="00E95457"/>
    <w:rsid w:val="00E954FF"/>
    <w:rsid w:val="00E95546"/>
    <w:rsid w:val="00E95B59"/>
    <w:rsid w:val="00E96240"/>
    <w:rsid w:val="00E9628B"/>
    <w:rsid w:val="00E96A39"/>
    <w:rsid w:val="00E9760E"/>
    <w:rsid w:val="00E97637"/>
    <w:rsid w:val="00E97B58"/>
    <w:rsid w:val="00E97FDF"/>
    <w:rsid w:val="00EA1642"/>
    <w:rsid w:val="00EA26B4"/>
    <w:rsid w:val="00EA3039"/>
    <w:rsid w:val="00EA3575"/>
    <w:rsid w:val="00EA3819"/>
    <w:rsid w:val="00EA3BF4"/>
    <w:rsid w:val="00EA3E6A"/>
    <w:rsid w:val="00EA461F"/>
    <w:rsid w:val="00EA4DE1"/>
    <w:rsid w:val="00EA5345"/>
    <w:rsid w:val="00EA55AA"/>
    <w:rsid w:val="00EA55AB"/>
    <w:rsid w:val="00EA5B45"/>
    <w:rsid w:val="00EA5B75"/>
    <w:rsid w:val="00EA66B6"/>
    <w:rsid w:val="00EA687B"/>
    <w:rsid w:val="00EA7666"/>
    <w:rsid w:val="00EB0256"/>
    <w:rsid w:val="00EB02AF"/>
    <w:rsid w:val="00EB0A71"/>
    <w:rsid w:val="00EB0AED"/>
    <w:rsid w:val="00EB0C95"/>
    <w:rsid w:val="00EB0D70"/>
    <w:rsid w:val="00EB0E91"/>
    <w:rsid w:val="00EB106D"/>
    <w:rsid w:val="00EB1080"/>
    <w:rsid w:val="00EB23AC"/>
    <w:rsid w:val="00EB2506"/>
    <w:rsid w:val="00EB261D"/>
    <w:rsid w:val="00EB35AA"/>
    <w:rsid w:val="00EB40CA"/>
    <w:rsid w:val="00EB45F8"/>
    <w:rsid w:val="00EB4A50"/>
    <w:rsid w:val="00EB51EA"/>
    <w:rsid w:val="00EB5468"/>
    <w:rsid w:val="00EB5B9B"/>
    <w:rsid w:val="00EB6613"/>
    <w:rsid w:val="00EB716E"/>
    <w:rsid w:val="00EB78BF"/>
    <w:rsid w:val="00EB7D46"/>
    <w:rsid w:val="00EB7E7A"/>
    <w:rsid w:val="00EB7EC5"/>
    <w:rsid w:val="00EB7F8C"/>
    <w:rsid w:val="00EC015A"/>
    <w:rsid w:val="00EC0186"/>
    <w:rsid w:val="00EC0888"/>
    <w:rsid w:val="00EC08B4"/>
    <w:rsid w:val="00EC12D4"/>
    <w:rsid w:val="00EC1D41"/>
    <w:rsid w:val="00EC1E49"/>
    <w:rsid w:val="00EC28A5"/>
    <w:rsid w:val="00EC2C52"/>
    <w:rsid w:val="00EC2C5E"/>
    <w:rsid w:val="00EC4869"/>
    <w:rsid w:val="00EC49FE"/>
    <w:rsid w:val="00EC58A4"/>
    <w:rsid w:val="00EC5CF4"/>
    <w:rsid w:val="00EC62ED"/>
    <w:rsid w:val="00EC7634"/>
    <w:rsid w:val="00EC7DB1"/>
    <w:rsid w:val="00ED04F3"/>
    <w:rsid w:val="00ED0BE8"/>
    <w:rsid w:val="00ED0E1D"/>
    <w:rsid w:val="00ED1001"/>
    <w:rsid w:val="00ED1355"/>
    <w:rsid w:val="00ED1C92"/>
    <w:rsid w:val="00ED1FEE"/>
    <w:rsid w:val="00ED23A5"/>
    <w:rsid w:val="00ED25CB"/>
    <w:rsid w:val="00ED2912"/>
    <w:rsid w:val="00ED34B7"/>
    <w:rsid w:val="00ED34BE"/>
    <w:rsid w:val="00ED3C36"/>
    <w:rsid w:val="00ED3D37"/>
    <w:rsid w:val="00ED3DD0"/>
    <w:rsid w:val="00ED403E"/>
    <w:rsid w:val="00ED4B91"/>
    <w:rsid w:val="00ED4F8A"/>
    <w:rsid w:val="00ED54F1"/>
    <w:rsid w:val="00ED5D81"/>
    <w:rsid w:val="00ED5DF6"/>
    <w:rsid w:val="00ED5E1D"/>
    <w:rsid w:val="00ED6E5A"/>
    <w:rsid w:val="00ED7DD2"/>
    <w:rsid w:val="00ED7E5C"/>
    <w:rsid w:val="00EE0221"/>
    <w:rsid w:val="00EE0810"/>
    <w:rsid w:val="00EE0BC0"/>
    <w:rsid w:val="00EE0C67"/>
    <w:rsid w:val="00EE11D8"/>
    <w:rsid w:val="00EE19D6"/>
    <w:rsid w:val="00EE1EBA"/>
    <w:rsid w:val="00EE2D60"/>
    <w:rsid w:val="00EE460B"/>
    <w:rsid w:val="00EE4F13"/>
    <w:rsid w:val="00EE5D15"/>
    <w:rsid w:val="00EE673C"/>
    <w:rsid w:val="00EE7146"/>
    <w:rsid w:val="00EE71D9"/>
    <w:rsid w:val="00EF15D4"/>
    <w:rsid w:val="00EF1CA1"/>
    <w:rsid w:val="00EF2D86"/>
    <w:rsid w:val="00EF2DBC"/>
    <w:rsid w:val="00EF30AC"/>
    <w:rsid w:val="00EF3526"/>
    <w:rsid w:val="00EF37E9"/>
    <w:rsid w:val="00EF3D48"/>
    <w:rsid w:val="00EF4449"/>
    <w:rsid w:val="00EF479E"/>
    <w:rsid w:val="00EF4F72"/>
    <w:rsid w:val="00EF505C"/>
    <w:rsid w:val="00EF50A0"/>
    <w:rsid w:val="00EF540D"/>
    <w:rsid w:val="00EF5F40"/>
    <w:rsid w:val="00EF7166"/>
    <w:rsid w:val="00EF7806"/>
    <w:rsid w:val="00EF7B4C"/>
    <w:rsid w:val="00EF7D63"/>
    <w:rsid w:val="00F00324"/>
    <w:rsid w:val="00F00BA0"/>
    <w:rsid w:val="00F013EC"/>
    <w:rsid w:val="00F0150B"/>
    <w:rsid w:val="00F01728"/>
    <w:rsid w:val="00F0215F"/>
    <w:rsid w:val="00F02671"/>
    <w:rsid w:val="00F027F1"/>
    <w:rsid w:val="00F02929"/>
    <w:rsid w:val="00F02EF4"/>
    <w:rsid w:val="00F03055"/>
    <w:rsid w:val="00F03930"/>
    <w:rsid w:val="00F03A2B"/>
    <w:rsid w:val="00F03CC5"/>
    <w:rsid w:val="00F04778"/>
    <w:rsid w:val="00F04955"/>
    <w:rsid w:val="00F05499"/>
    <w:rsid w:val="00F05D98"/>
    <w:rsid w:val="00F061E4"/>
    <w:rsid w:val="00F06A02"/>
    <w:rsid w:val="00F07262"/>
    <w:rsid w:val="00F075A4"/>
    <w:rsid w:val="00F07828"/>
    <w:rsid w:val="00F07EB2"/>
    <w:rsid w:val="00F10363"/>
    <w:rsid w:val="00F10829"/>
    <w:rsid w:val="00F10C7D"/>
    <w:rsid w:val="00F112C4"/>
    <w:rsid w:val="00F11967"/>
    <w:rsid w:val="00F11E3D"/>
    <w:rsid w:val="00F127F9"/>
    <w:rsid w:val="00F12A3F"/>
    <w:rsid w:val="00F12F58"/>
    <w:rsid w:val="00F131E7"/>
    <w:rsid w:val="00F137B9"/>
    <w:rsid w:val="00F13B08"/>
    <w:rsid w:val="00F14330"/>
    <w:rsid w:val="00F14663"/>
    <w:rsid w:val="00F15454"/>
    <w:rsid w:val="00F15FA3"/>
    <w:rsid w:val="00F16005"/>
    <w:rsid w:val="00F16603"/>
    <w:rsid w:val="00F16B15"/>
    <w:rsid w:val="00F171F0"/>
    <w:rsid w:val="00F17640"/>
    <w:rsid w:val="00F2005A"/>
    <w:rsid w:val="00F200C0"/>
    <w:rsid w:val="00F201FB"/>
    <w:rsid w:val="00F20792"/>
    <w:rsid w:val="00F20D64"/>
    <w:rsid w:val="00F20FC9"/>
    <w:rsid w:val="00F210E3"/>
    <w:rsid w:val="00F211AF"/>
    <w:rsid w:val="00F21CAF"/>
    <w:rsid w:val="00F21DA6"/>
    <w:rsid w:val="00F2232D"/>
    <w:rsid w:val="00F22F7D"/>
    <w:rsid w:val="00F230DC"/>
    <w:rsid w:val="00F2404D"/>
    <w:rsid w:val="00F2409E"/>
    <w:rsid w:val="00F24647"/>
    <w:rsid w:val="00F2474E"/>
    <w:rsid w:val="00F2534E"/>
    <w:rsid w:val="00F25675"/>
    <w:rsid w:val="00F26C81"/>
    <w:rsid w:val="00F26F0A"/>
    <w:rsid w:val="00F301AB"/>
    <w:rsid w:val="00F3030B"/>
    <w:rsid w:val="00F308A5"/>
    <w:rsid w:val="00F31231"/>
    <w:rsid w:val="00F31F89"/>
    <w:rsid w:val="00F3207A"/>
    <w:rsid w:val="00F321C6"/>
    <w:rsid w:val="00F33330"/>
    <w:rsid w:val="00F33DF4"/>
    <w:rsid w:val="00F3467E"/>
    <w:rsid w:val="00F34752"/>
    <w:rsid w:val="00F34A87"/>
    <w:rsid w:val="00F34BE8"/>
    <w:rsid w:val="00F3504C"/>
    <w:rsid w:val="00F355A7"/>
    <w:rsid w:val="00F35B4E"/>
    <w:rsid w:val="00F3636A"/>
    <w:rsid w:val="00F36422"/>
    <w:rsid w:val="00F3753D"/>
    <w:rsid w:val="00F376E8"/>
    <w:rsid w:val="00F3777D"/>
    <w:rsid w:val="00F4056F"/>
    <w:rsid w:val="00F40866"/>
    <w:rsid w:val="00F413FA"/>
    <w:rsid w:val="00F4190E"/>
    <w:rsid w:val="00F430F7"/>
    <w:rsid w:val="00F434D3"/>
    <w:rsid w:val="00F43B3C"/>
    <w:rsid w:val="00F43B99"/>
    <w:rsid w:val="00F43F54"/>
    <w:rsid w:val="00F443D0"/>
    <w:rsid w:val="00F44561"/>
    <w:rsid w:val="00F44B87"/>
    <w:rsid w:val="00F44E0E"/>
    <w:rsid w:val="00F4569F"/>
    <w:rsid w:val="00F45A05"/>
    <w:rsid w:val="00F46834"/>
    <w:rsid w:val="00F47046"/>
    <w:rsid w:val="00F4764B"/>
    <w:rsid w:val="00F50ED5"/>
    <w:rsid w:val="00F5115D"/>
    <w:rsid w:val="00F513CD"/>
    <w:rsid w:val="00F51DE2"/>
    <w:rsid w:val="00F520AA"/>
    <w:rsid w:val="00F52295"/>
    <w:rsid w:val="00F5294C"/>
    <w:rsid w:val="00F53746"/>
    <w:rsid w:val="00F53975"/>
    <w:rsid w:val="00F53AD6"/>
    <w:rsid w:val="00F54030"/>
    <w:rsid w:val="00F544FF"/>
    <w:rsid w:val="00F54F82"/>
    <w:rsid w:val="00F5598F"/>
    <w:rsid w:val="00F55A56"/>
    <w:rsid w:val="00F5605F"/>
    <w:rsid w:val="00F567D6"/>
    <w:rsid w:val="00F56A67"/>
    <w:rsid w:val="00F56A99"/>
    <w:rsid w:val="00F56C03"/>
    <w:rsid w:val="00F56F34"/>
    <w:rsid w:val="00F574F5"/>
    <w:rsid w:val="00F57BA3"/>
    <w:rsid w:val="00F600C9"/>
    <w:rsid w:val="00F60803"/>
    <w:rsid w:val="00F6226E"/>
    <w:rsid w:val="00F6240C"/>
    <w:rsid w:val="00F6251E"/>
    <w:rsid w:val="00F62A63"/>
    <w:rsid w:val="00F62DE9"/>
    <w:rsid w:val="00F62F85"/>
    <w:rsid w:val="00F63497"/>
    <w:rsid w:val="00F63F94"/>
    <w:rsid w:val="00F644F6"/>
    <w:rsid w:val="00F644FD"/>
    <w:rsid w:val="00F64519"/>
    <w:rsid w:val="00F64A45"/>
    <w:rsid w:val="00F64E8A"/>
    <w:rsid w:val="00F650B1"/>
    <w:rsid w:val="00F65EEE"/>
    <w:rsid w:val="00F66000"/>
    <w:rsid w:val="00F6712A"/>
    <w:rsid w:val="00F675A6"/>
    <w:rsid w:val="00F67AF8"/>
    <w:rsid w:val="00F7053D"/>
    <w:rsid w:val="00F7091E"/>
    <w:rsid w:val="00F70956"/>
    <w:rsid w:val="00F70A4D"/>
    <w:rsid w:val="00F70CED"/>
    <w:rsid w:val="00F71408"/>
    <w:rsid w:val="00F716B3"/>
    <w:rsid w:val="00F723B5"/>
    <w:rsid w:val="00F7258F"/>
    <w:rsid w:val="00F72E70"/>
    <w:rsid w:val="00F743DF"/>
    <w:rsid w:val="00F7473F"/>
    <w:rsid w:val="00F74AEE"/>
    <w:rsid w:val="00F74DBA"/>
    <w:rsid w:val="00F74F8D"/>
    <w:rsid w:val="00F74FCA"/>
    <w:rsid w:val="00F75415"/>
    <w:rsid w:val="00F75B7B"/>
    <w:rsid w:val="00F76269"/>
    <w:rsid w:val="00F765DF"/>
    <w:rsid w:val="00F766DA"/>
    <w:rsid w:val="00F771D7"/>
    <w:rsid w:val="00F776A1"/>
    <w:rsid w:val="00F7791D"/>
    <w:rsid w:val="00F77C97"/>
    <w:rsid w:val="00F77DCB"/>
    <w:rsid w:val="00F77F30"/>
    <w:rsid w:val="00F80E0C"/>
    <w:rsid w:val="00F81375"/>
    <w:rsid w:val="00F81758"/>
    <w:rsid w:val="00F8187F"/>
    <w:rsid w:val="00F819E4"/>
    <w:rsid w:val="00F8270C"/>
    <w:rsid w:val="00F8281D"/>
    <w:rsid w:val="00F83452"/>
    <w:rsid w:val="00F83841"/>
    <w:rsid w:val="00F83DC5"/>
    <w:rsid w:val="00F8504C"/>
    <w:rsid w:val="00F85757"/>
    <w:rsid w:val="00F85A0E"/>
    <w:rsid w:val="00F85C5C"/>
    <w:rsid w:val="00F86648"/>
    <w:rsid w:val="00F86F6C"/>
    <w:rsid w:val="00F8731D"/>
    <w:rsid w:val="00F874D0"/>
    <w:rsid w:val="00F875D0"/>
    <w:rsid w:val="00F878E2"/>
    <w:rsid w:val="00F87B74"/>
    <w:rsid w:val="00F90065"/>
    <w:rsid w:val="00F902A0"/>
    <w:rsid w:val="00F902B3"/>
    <w:rsid w:val="00F90EE9"/>
    <w:rsid w:val="00F91B31"/>
    <w:rsid w:val="00F92025"/>
    <w:rsid w:val="00F9245D"/>
    <w:rsid w:val="00F9279B"/>
    <w:rsid w:val="00F93130"/>
    <w:rsid w:val="00F93526"/>
    <w:rsid w:val="00F94224"/>
    <w:rsid w:val="00F944EF"/>
    <w:rsid w:val="00F94D76"/>
    <w:rsid w:val="00F95970"/>
    <w:rsid w:val="00F95C1F"/>
    <w:rsid w:val="00F96A59"/>
    <w:rsid w:val="00F96F50"/>
    <w:rsid w:val="00F971D7"/>
    <w:rsid w:val="00F97C0B"/>
    <w:rsid w:val="00FA02F0"/>
    <w:rsid w:val="00FA0CE1"/>
    <w:rsid w:val="00FA0E26"/>
    <w:rsid w:val="00FA1014"/>
    <w:rsid w:val="00FA11E8"/>
    <w:rsid w:val="00FA1261"/>
    <w:rsid w:val="00FA1356"/>
    <w:rsid w:val="00FA2452"/>
    <w:rsid w:val="00FA26FE"/>
    <w:rsid w:val="00FA2E25"/>
    <w:rsid w:val="00FA2EDF"/>
    <w:rsid w:val="00FA36B4"/>
    <w:rsid w:val="00FA3E96"/>
    <w:rsid w:val="00FA5009"/>
    <w:rsid w:val="00FA5C06"/>
    <w:rsid w:val="00FA5C50"/>
    <w:rsid w:val="00FA746C"/>
    <w:rsid w:val="00FA76EB"/>
    <w:rsid w:val="00FA7873"/>
    <w:rsid w:val="00FA798B"/>
    <w:rsid w:val="00FA7E73"/>
    <w:rsid w:val="00FB030E"/>
    <w:rsid w:val="00FB0441"/>
    <w:rsid w:val="00FB0E69"/>
    <w:rsid w:val="00FB11A8"/>
    <w:rsid w:val="00FB15A4"/>
    <w:rsid w:val="00FB1829"/>
    <w:rsid w:val="00FB1D7A"/>
    <w:rsid w:val="00FB2136"/>
    <w:rsid w:val="00FB216A"/>
    <w:rsid w:val="00FB28D0"/>
    <w:rsid w:val="00FB2FD2"/>
    <w:rsid w:val="00FB3106"/>
    <w:rsid w:val="00FB324F"/>
    <w:rsid w:val="00FB33B7"/>
    <w:rsid w:val="00FB3703"/>
    <w:rsid w:val="00FB3735"/>
    <w:rsid w:val="00FB4371"/>
    <w:rsid w:val="00FB4B92"/>
    <w:rsid w:val="00FB4CFD"/>
    <w:rsid w:val="00FB5B08"/>
    <w:rsid w:val="00FB634E"/>
    <w:rsid w:val="00FB6492"/>
    <w:rsid w:val="00FB6D28"/>
    <w:rsid w:val="00FB7C5A"/>
    <w:rsid w:val="00FB7DFC"/>
    <w:rsid w:val="00FC014A"/>
    <w:rsid w:val="00FC0604"/>
    <w:rsid w:val="00FC1A2E"/>
    <w:rsid w:val="00FC1BC0"/>
    <w:rsid w:val="00FC1D77"/>
    <w:rsid w:val="00FC1EA3"/>
    <w:rsid w:val="00FC246F"/>
    <w:rsid w:val="00FC3CBF"/>
    <w:rsid w:val="00FC3CEB"/>
    <w:rsid w:val="00FC4A09"/>
    <w:rsid w:val="00FC4E24"/>
    <w:rsid w:val="00FC54EE"/>
    <w:rsid w:val="00FC5E40"/>
    <w:rsid w:val="00FC5F06"/>
    <w:rsid w:val="00FC694C"/>
    <w:rsid w:val="00FC7207"/>
    <w:rsid w:val="00FD0A4E"/>
    <w:rsid w:val="00FD0C6E"/>
    <w:rsid w:val="00FD1C5A"/>
    <w:rsid w:val="00FD2BC0"/>
    <w:rsid w:val="00FD2CAD"/>
    <w:rsid w:val="00FD3214"/>
    <w:rsid w:val="00FD34E1"/>
    <w:rsid w:val="00FD3999"/>
    <w:rsid w:val="00FD3FA8"/>
    <w:rsid w:val="00FD4A70"/>
    <w:rsid w:val="00FD57E5"/>
    <w:rsid w:val="00FD63B2"/>
    <w:rsid w:val="00FD66A8"/>
    <w:rsid w:val="00FD6A39"/>
    <w:rsid w:val="00FD6E22"/>
    <w:rsid w:val="00FD7012"/>
    <w:rsid w:val="00FD74CA"/>
    <w:rsid w:val="00FE0A1A"/>
    <w:rsid w:val="00FE1076"/>
    <w:rsid w:val="00FE17E4"/>
    <w:rsid w:val="00FE19EC"/>
    <w:rsid w:val="00FE282A"/>
    <w:rsid w:val="00FE30A4"/>
    <w:rsid w:val="00FE3773"/>
    <w:rsid w:val="00FE3D4B"/>
    <w:rsid w:val="00FE439A"/>
    <w:rsid w:val="00FE4AD0"/>
    <w:rsid w:val="00FE5971"/>
    <w:rsid w:val="00FE5CEE"/>
    <w:rsid w:val="00FE6D01"/>
    <w:rsid w:val="00FE742D"/>
    <w:rsid w:val="00FF15FD"/>
    <w:rsid w:val="00FF16BD"/>
    <w:rsid w:val="00FF2005"/>
    <w:rsid w:val="00FF2246"/>
    <w:rsid w:val="00FF239A"/>
    <w:rsid w:val="00FF28E7"/>
    <w:rsid w:val="00FF2AD4"/>
    <w:rsid w:val="00FF2AD8"/>
    <w:rsid w:val="00FF2CBE"/>
    <w:rsid w:val="00FF3B04"/>
    <w:rsid w:val="00FF4189"/>
    <w:rsid w:val="00FF4F0A"/>
    <w:rsid w:val="00FF55EA"/>
    <w:rsid w:val="00FF6691"/>
    <w:rsid w:val="00FF66F7"/>
    <w:rsid w:val="00FF76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FEB"/>
    <w:pPr>
      <w:spacing w:after="100" w:line="400" w:lineRule="exact"/>
      <w:jc w:val="both"/>
    </w:pPr>
    <w:rPr>
      <w:rFonts w:ascii="Century Schoolbook" w:hAnsi="Century Schoolbook"/>
      <w:sz w:val="27"/>
    </w:rPr>
  </w:style>
  <w:style w:type="paragraph" w:styleId="Heading1">
    <w:name w:val="heading 1"/>
    <w:basedOn w:val="Normal"/>
    <w:next w:val="Normal"/>
    <w:qFormat/>
    <w:rsid w:val="007B6D67"/>
    <w:pPr>
      <w:keepNext/>
      <w:spacing w:before="140" w:line="240" w:lineRule="atLeast"/>
      <w:jc w:val="center"/>
      <w:outlineLvl w:val="0"/>
    </w:pPr>
    <w:rPr>
      <w:b/>
      <w:smallCaps/>
    </w:rPr>
  </w:style>
  <w:style w:type="paragraph" w:styleId="Heading2">
    <w:name w:val="heading 2"/>
    <w:basedOn w:val="Normal"/>
    <w:next w:val="Normal"/>
    <w:qFormat/>
    <w:rsid w:val="007B6D67"/>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7B6D67"/>
    <w:pPr>
      <w:keepNext/>
      <w:tabs>
        <w:tab w:val="left" w:pos="1584"/>
      </w:tabs>
      <w:spacing w:before="140" w:line="240" w:lineRule="atLeast"/>
      <w:ind w:left="1584" w:hanging="432"/>
      <w:jc w:val="left"/>
      <w:outlineLvl w:val="2"/>
    </w:pPr>
    <w:rPr>
      <w:i/>
    </w:rPr>
  </w:style>
  <w:style w:type="paragraph" w:styleId="Heading4">
    <w:name w:val="heading 4"/>
    <w:basedOn w:val="Normal"/>
    <w:rsid w:val="007B6D67"/>
    <w:pPr>
      <w:keepNext/>
      <w:tabs>
        <w:tab w:val="left" w:pos="2016"/>
      </w:tabs>
      <w:spacing w:before="140" w:line="240" w:lineRule="atLeast"/>
      <w:ind w:left="2016" w:hanging="432"/>
      <w:jc w:val="left"/>
      <w:outlineLvl w:val="3"/>
    </w:pPr>
    <w:rPr>
      <w:i/>
    </w:rPr>
  </w:style>
  <w:style w:type="paragraph" w:styleId="Heading5">
    <w:name w:val="heading 5"/>
    <w:basedOn w:val="Normal"/>
    <w:rsid w:val="007B6D67"/>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7B6D67"/>
    <w:pPr>
      <w:ind w:left="720"/>
    </w:pPr>
  </w:style>
  <w:style w:type="paragraph" w:styleId="Footer">
    <w:name w:val="footer"/>
    <w:basedOn w:val="Normal"/>
    <w:link w:val="FooterChar"/>
    <w:uiPriority w:val="99"/>
    <w:qFormat/>
    <w:rsid w:val="007B6D67"/>
    <w:pPr>
      <w:tabs>
        <w:tab w:val="center" w:pos="3960"/>
        <w:tab w:val="right" w:pos="10080"/>
      </w:tabs>
      <w:spacing w:after="0" w:line="240" w:lineRule="auto"/>
      <w:jc w:val="center"/>
    </w:pPr>
    <w:rPr>
      <w:sz w:val="22"/>
    </w:rPr>
  </w:style>
  <w:style w:type="paragraph" w:styleId="Header">
    <w:name w:val="header"/>
    <w:basedOn w:val="Normal"/>
    <w:qFormat/>
    <w:rsid w:val="007B6D67"/>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7B6D67"/>
    <w:rPr>
      <w:rFonts w:ascii="Century Schoolbook" w:hAnsi="Century Schoolbook"/>
      <w:b/>
      <w:i w:val="0"/>
      <w:position w:val="4"/>
      <w:sz w:val="27"/>
      <w:vertAlign w:val="superscript"/>
    </w:rPr>
  </w:style>
  <w:style w:type="paragraph" w:styleId="FootnoteText">
    <w:name w:val="footnote text"/>
    <w:basedOn w:val="Normal"/>
    <w:link w:val="FootnoteTextChar"/>
    <w:rsid w:val="007B6D67"/>
    <w:pPr>
      <w:spacing w:line="300" w:lineRule="exact"/>
    </w:pPr>
  </w:style>
  <w:style w:type="paragraph" w:customStyle="1" w:styleId="Title1">
    <w:name w:val="Title1"/>
    <w:basedOn w:val="Normal"/>
    <w:rsid w:val="007B6D67"/>
    <w:pPr>
      <w:tabs>
        <w:tab w:val="left" w:pos="5760"/>
        <w:tab w:val="left" w:pos="6480"/>
      </w:tabs>
      <w:spacing w:line="240" w:lineRule="atLeast"/>
    </w:pPr>
  </w:style>
  <w:style w:type="paragraph" w:customStyle="1" w:styleId="Recommend">
    <w:name w:val="Recommend"/>
    <w:basedOn w:val="Normal"/>
    <w:rsid w:val="007B6D67"/>
  </w:style>
  <w:style w:type="paragraph" w:customStyle="1" w:styleId="Summary">
    <w:name w:val="Summary"/>
    <w:basedOn w:val="Normal"/>
    <w:rsid w:val="007B6D67"/>
    <w:pPr>
      <w:ind w:left="2160" w:hanging="2160"/>
    </w:pPr>
  </w:style>
  <w:style w:type="paragraph" w:customStyle="1" w:styleId="Text">
    <w:name w:val="Text"/>
    <w:basedOn w:val="Normal"/>
    <w:rsid w:val="007B6D67"/>
    <w:pPr>
      <w:tabs>
        <w:tab w:val="left" w:pos="720"/>
        <w:tab w:val="left" w:pos="1440"/>
        <w:tab w:val="left" w:pos="2160"/>
        <w:tab w:val="center" w:pos="4320"/>
      </w:tabs>
      <w:spacing w:line="480" w:lineRule="atLeast"/>
      <w:ind w:firstLine="540"/>
    </w:pPr>
  </w:style>
  <w:style w:type="paragraph" w:styleId="Date">
    <w:name w:val="Date"/>
    <w:basedOn w:val="Normal"/>
    <w:semiHidden/>
    <w:rsid w:val="007B6D67"/>
    <w:pPr>
      <w:jc w:val="right"/>
    </w:pPr>
  </w:style>
  <w:style w:type="character" w:styleId="PageNumber">
    <w:name w:val="page number"/>
    <w:basedOn w:val="DefaultParagraphFont"/>
    <w:semiHidden/>
    <w:rsid w:val="007B6D67"/>
  </w:style>
  <w:style w:type="paragraph" w:customStyle="1" w:styleId="subject">
    <w:name w:val="subject"/>
    <w:basedOn w:val="Normal"/>
    <w:rsid w:val="007B6D67"/>
    <w:pPr>
      <w:tabs>
        <w:tab w:val="left" w:pos="1008"/>
      </w:tabs>
      <w:ind w:left="990" w:hanging="990"/>
    </w:pPr>
    <w:rPr>
      <w:b/>
    </w:rPr>
  </w:style>
  <w:style w:type="paragraph" w:customStyle="1" w:styleId="Titles">
    <w:name w:val="Titles"/>
    <w:basedOn w:val="Normal"/>
    <w:rsid w:val="007B6D67"/>
    <w:pPr>
      <w:tabs>
        <w:tab w:val="left" w:pos="2160"/>
      </w:tabs>
      <w:ind w:left="2160" w:hanging="2160"/>
    </w:pPr>
    <w:rPr>
      <w:b/>
    </w:rPr>
  </w:style>
  <w:style w:type="paragraph" w:styleId="TOAHeading">
    <w:name w:val="toa heading"/>
    <w:basedOn w:val="Normal"/>
    <w:next w:val="Normal"/>
    <w:semiHidden/>
    <w:rsid w:val="007B6D67"/>
    <w:pPr>
      <w:spacing w:before="120"/>
    </w:pPr>
    <w:rPr>
      <w:b/>
    </w:rPr>
  </w:style>
  <w:style w:type="paragraph" w:styleId="TOC1">
    <w:name w:val="toc 1"/>
    <w:basedOn w:val="Normal"/>
    <w:next w:val="Normal"/>
    <w:autoRedefine/>
    <w:semiHidden/>
    <w:rsid w:val="007B6D67"/>
  </w:style>
  <w:style w:type="paragraph" w:styleId="TOC2">
    <w:name w:val="toc 2"/>
    <w:basedOn w:val="Normal"/>
    <w:next w:val="Normal"/>
    <w:autoRedefine/>
    <w:semiHidden/>
    <w:rsid w:val="007B6D67"/>
    <w:pPr>
      <w:ind w:left="259"/>
    </w:pPr>
  </w:style>
  <w:style w:type="paragraph" w:styleId="TOC3">
    <w:name w:val="toc 3"/>
    <w:basedOn w:val="Normal"/>
    <w:next w:val="Normal"/>
    <w:autoRedefine/>
    <w:semiHidden/>
    <w:rsid w:val="007B6D67"/>
    <w:pPr>
      <w:ind w:left="520"/>
    </w:pPr>
  </w:style>
  <w:style w:type="paragraph" w:styleId="TOC4">
    <w:name w:val="toc 4"/>
    <w:basedOn w:val="Normal"/>
    <w:next w:val="Normal"/>
    <w:autoRedefine/>
    <w:semiHidden/>
    <w:rsid w:val="007B6D67"/>
    <w:pPr>
      <w:ind w:left="780"/>
    </w:pPr>
  </w:style>
  <w:style w:type="paragraph" w:styleId="TOC5">
    <w:name w:val="toc 5"/>
    <w:basedOn w:val="Normal"/>
    <w:next w:val="Normal"/>
    <w:autoRedefine/>
    <w:semiHidden/>
    <w:rsid w:val="007B6D67"/>
    <w:pPr>
      <w:ind w:left="1040"/>
    </w:pPr>
  </w:style>
  <w:style w:type="paragraph" w:styleId="TOC6">
    <w:name w:val="toc 6"/>
    <w:basedOn w:val="Normal"/>
    <w:next w:val="Normal"/>
    <w:autoRedefine/>
    <w:semiHidden/>
    <w:rsid w:val="007B6D67"/>
    <w:pPr>
      <w:ind w:left="1300"/>
    </w:pPr>
  </w:style>
  <w:style w:type="paragraph" w:styleId="TOC7">
    <w:name w:val="toc 7"/>
    <w:basedOn w:val="Normal"/>
    <w:next w:val="Normal"/>
    <w:autoRedefine/>
    <w:semiHidden/>
    <w:rsid w:val="007B6D67"/>
    <w:pPr>
      <w:ind w:left="1560"/>
    </w:pPr>
  </w:style>
  <w:style w:type="paragraph" w:styleId="TOC8">
    <w:name w:val="toc 8"/>
    <w:basedOn w:val="Normal"/>
    <w:next w:val="Normal"/>
    <w:autoRedefine/>
    <w:semiHidden/>
    <w:rsid w:val="007B6D67"/>
    <w:pPr>
      <w:ind w:left="1820"/>
    </w:pPr>
  </w:style>
  <w:style w:type="paragraph" w:styleId="TOC9">
    <w:name w:val="toc 9"/>
    <w:basedOn w:val="Normal"/>
    <w:next w:val="Normal"/>
    <w:autoRedefine/>
    <w:semiHidden/>
    <w:rsid w:val="007B6D67"/>
    <w:pPr>
      <w:ind w:left="2080"/>
    </w:pPr>
  </w:style>
  <w:style w:type="paragraph" w:customStyle="1" w:styleId="Contents">
    <w:name w:val="Contents"/>
    <w:basedOn w:val="Normal"/>
    <w:rsid w:val="007B6D67"/>
    <w:pPr>
      <w:jc w:val="center"/>
    </w:pPr>
    <w:rPr>
      <w:b/>
      <w:spacing w:val="100"/>
    </w:rPr>
  </w:style>
  <w:style w:type="paragraph" w:styleId="BalloonText">
    <w:name w:val="Balloon Text"/>
    <w:basedOn w:val="Normal"/>
    <w:link w:val="BalloonTextChar"/>
    <w:uiPriority w:val="99"/>
    <w:semiHidden/>
    <w:unhideWhenUsed/>
    <w:rsid w:val="002F62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287"/>
    <w:rPr>
      <w:rFonts w:ascii="Segoe UI" w:hAnsi="Segoe UI" w:cs="Segoe UI"/>
      <w:sz w:val="18"/>
      <w:szCs w:val="18"/>
    </w:rPr>
  </w:style>
  <w:style w:type="character" w:customStyle="1" w:styleId="FootnoteTextChar">
    <w:name w:val="Footnote Text Char"/>
    <w:basedOn w:val="DefaultParagraphFont"/>
    <w:link w:val="FootnoteText"/>
    <w:rsid w:val="00F00BA0"/>
    <w:rPr>
      <w:rFonts w:ascii="Century Schoolbook" w:hAnsi="Century Schoolbook"/>
      <w:sz w:val="27"/>
    </w:rPr>
  </w:style>
  <w:style w:type="character" w:styleId="Hyperlink">
    <w:name w:val="Hyperlink"/>
    <w:basedOn w:val="DefaultParagraphFont"/>
    <w:uiPriority w:val="99"/>
    <w:unhideWhenUsed/>
    <w:rsid w:val="004C7763"/>
    <w:rPr>
      <w:color w:val="0000FF" w:themeColor="hyperlink"/>
      <w:u w:val="single"/>
    </w:rPr>
  </w:style>
  <w:style w:type="character" w:customStyle="1" w:styleId="UnresolvedMention">
    <w:name w:val="Unresolved Mention"/>
    <w:basedOn w:val="DefaultParagraphFont"/>
    <w:uiPriority w:val="99"/>
    <w:semiHidden/>
    <w:unhideWhenUsed/>
    <w:rsid w:val="004C7763"/>
    <w:rPr>
      <w:color w:val="605E5C"/>
      <w:shd w:val="clear" w:color="auto" w:fill="E1DFDD"/>
    </w:rPr>
  </w:style>
  <w:style w:type="character" w:styleId="CommentReference">
    <w:name w:val="annotation reference"/>
    <w:basedOn w:val="DefaultParagraphFont"/>
    <w:uiPriority w:val="99"/>
    <w:semiHidden/>
    <w:unhideWhenUsed/>
    <w:rsid w:val="00A81FEE"/>
    <w:rPr>
      <w:sz w:val="16"/>
      <w:szCs w:val="16"/>
    </w:rPr>
  </w:style>
  <w:style w:type="paragraph" w:styleId="CommentText">
    <w:name w:val="annotation text"/>
    <w:basedOn w:val="Normal"/>
    <w:link w:val="CommentTextChar"/>
    <w:uiPriority w:val="99"/>
    <w:unhideWhenUsed/>
    <w:rsid w:val="00A81FEE"/>
    <w:rPr>
      <w:sz w:val="20"/>
    </w:rPr>
  </w:style>
  <w:style w:type="character" w:customStyle="1" w:styleId="CommentTextChar">
    <w:name w:val="Comment Text Char"/>
    <w:basedOn w:val="DefaultParagraphFont"/>
    <w:link w:val="CommentText"/>
    <w:uiPriority w:val="99"/>
    <w:rsid w:val="00A81FEE"/>
  </w:style>
  <w:style w:type="paragraph" w:styleId="CommentSubject">
    <w:name w:val="annotation subject"/>
    <w:basedOn w:val="CommentText"/>
    <w:next w:val="CommentText"/>
    <w:link w:val="CommentSubjectChar"/>
    <w:uiPriority w:val="99"/>
    <w:semiHidden/>
    <w:unhideWhenUsed/>
    <w:rsid w:val="00A81FEE"/>
    <w:rPr>
      <w:b/>
      <w:bCs/>
    </w:rPr>
  </w:style>
  <w:style w:type="character" w:customStyle="1" w:styleId="CommentSubjectChar">
    <w:name w:val="Comment Subject Char"/>
    <w:basedOn w:val="CommentTextChar"/>
    <w:link w:val="CommentSubject"/>
    <w:uiPriority w:val="99"/>
    <w:semiHidden/>
    <w:rsid w:val="00A81FEE"/>
    <w:rPr>
      <w:b/>
      <w:bCs/>
    </w:rPr>
  </w:style>
  <w:style w:type="character" w:styleId="FollowedHyperlink">
    <w:name w:val="FollowedHyperlink"/>
    <w:basedOn w:val="DefaultParagraphFont"/>
    <w:uiPriority w:val="99"/>
    <w:semiHidden/>
    <w:unhideWhenUsed/>
    <w:rsid w:val="004613EC"/>
    <w:rPr>
      <w:color w:val="800080" w:themeColor="followedHyperlink"/>
      <w:u w:val="single"/>
    </w:rPr>
  </w:style>
  <w:style w:type="paragraph" w:styleId="Revision">
    <w:name w:val="Revision"/>
    <w:hidden/>
    <w:uiPriority w:val="99"/>
    <w:semiHidden/>
    <w:rsid w:val="00561E8C"/>
    <w:rPr>
      <w:sz w:val="26"/>
    </w:rPr>
  </w:style>
  <w:style w:type="paragraph" w:styleId="BodyText">
    <w:name w:val="Body Text"/>
    <w:basedOn w:val="Normal"/>
    <w:link w:val="BodyTextChar"/>
    <w:qFormat/>
    <w:rsid w:val="007B6D67"/>
  </w:style>
  <w:style w:type="character" w:customStyle="1" w:styleId="BodyTextChar">
    <w:name w:val="Body Text Char"/>
    <w:basedOn w:val="DefaultParagraphFont"/>
    <w:link w:val="BodyText"/>
    <w:rsid w:val="007B6D67"/>
    <w:rPr>
      <w:rFonts w:ascii="Century Schoolbook" w:hAnsi="Century Schoolbook"/>
      <w:sz w:val="27"/>
    </w:rPr>
  </w:style>
  <w:style w:type="character" w:customStyle="1" w:styleId="FooterChar">
    <w:name w:val="Footer Char"/>
    <w:basedOn w:val="DefaultParagraphFont"/>
    <w:link w:val="Footer"/>
    <w:uiPriority w:val="99"/>
    <w:rsid w:val="007B6D67"/>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4.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F7C767F4814B418F022DD2576A57CC" ma:contentTypeVersion="10" ma:contentTypeDescription="Create a new document." ma:contentTypeScope="" ma:versionID="7698e6daac9236480ee8b065c083ef54">
  <xsd:schema xmlns:xsd="http://www.w3.org/2001/XMLSchema" xmlns:xs="http://www.w3.org/2001/XMLSchema" xmlns:p="http://schemas.microsoft.com/office/2006/metadata/properties" xmlns:ns3="cf4ece06-c9f0-4b71-bd3c-6710c50cd1d1" xmlns:ns4="5f38275b-3c29-461e-b2f1-2f27e9ac03f9" targetNamespace="http://schemas.microsoft.com/office/2006/metadata/properties" ma:root="true" ma:fieldsID="970c470a715df8f9a9edcefc682c2c00" ns3:_="" ns4:_="">
    <xsd:import namespace="cf4ece06-c9f0-4b71-bd3c-6710c50cd1d1"/>
    <xsd:import namespace="5f38275b-3c29-461e-b2f1-2f27e9ac03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ece06-c9f0-4b71-bd3c-6710c50cd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38275b-3c29-461e-b2f1-2f27e9ac03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A87EA-E491-4D2E-BFC9-BC41D85FC45C}">
  <ds:schemaRefs>
    <ds:schemaRef ds:uri="http://schemas.openxmlformats.org/officeDocument/2006/bibliography"/>
  </ds:schemaRefs>
</ds:datastoreItem>
</file>

<file path=customXml/itemProps2.xml><?xml version="1.0" encoding="utf-8"?>
<ds:datastoreItem xmlns:ds="http://schemas.openxmlformats.org/officeDocument/2006/customXml" ds:itemID="{7CE3F55E-F01D-4100-B145-A42B01C8E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ece06-c9f0-4b71-bd3c-6710c50cd1d1"/>
    <ds:schemaRef ds:uri="5f38275b-3c29-461e-b2f1-2f27e9ac0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9465</Words>
  <Characters>53957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2021-06-28T16:40:44Z</dcterms:created>
  <dcterms:modified xsi:type="dcterms:W3CDTF">2021-06-28T16:40:44Z</dcterms:modified>
</cp:coreProperties>
</file>